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60" w:lineRule="auto"/>
        <w:rPr>
          <w:rFonts w:ascii="宋体"/>
          <w:b/>
          <w:bCs/>
          <w:sz w:val="72"/>
          <w:szCs w:val="72"/>
          <w:highlight w:val="none"/>
        </w:rPr>
      </w:pPr>
    </w:p>
    <w:p>
      <w:pPr>
        <w:jc w:val="both"/>
        <w:rPr>
          <w:rFonts w:ascii="黑体" w:hAnsi="华文中宋" w:eastAsia="黑体"/>
          <w:spacing w:val="20"/>
          <w:sz w:val="72"/>
          <w:szCs w:val="72"/>
          <w:highlight w:val="none"/>
        </w:rPr>
      </w:pPr>
    </w:p>
    <w:p>
      <w:pPr>
        <w:jc w:val="center"/>
        <w:rPr>
          <w:rFonts w:ascii="黑体" w:hAnsi="华文中宋" w:eastAsia="黑体"/>
          <w:spacing w:val="20"/>
          <w:sz w:val="72"/>
          <w:szCs w:val="72"/>
          <w:highlight w:val="none"/>
        </w:rPr>
      </w:pPr>
    </w:p>
    <w:p>
      <w:pPr>
        <w:jc w:val="center"/>
        <w:rPr>
          <w:rFonts w:ascii="黑体" w:hAnsi="华文中宋" w:eastAsia="黑体"/>
          <w:spacing w:val="20"/>
          <w:sz w:val="72"/>
          <w:szCs w:val="72"/>
          <w:highlight w:val="none"/>
        </w:rPr>
      </w:pPr>
      <w:r>
        <w:rPr>
          <w:rFonts w:hint="eastAsia" w:ascii="黑体" w:hAnsi="华文中宋" w:eastAsia="黑体" w:cs="黑体"/>
          <w:spacing w:val="20"/>
          <w:sz w:val="72"/>
          <w:szCs w:val="72"/>
          <w:highlight w:val="none"/>
        </w:rPr>
        <w:t>无</w:t>
      </w:r>
      <w:r>
        <w:rPr>
          <w:rFonts w:ascii="黑体" w:hAnsi="华文中宋" w:eastAsia="黑体" w:cs="黑体"/>
          <w:spacing w:val="20"/>
          <w:sz w:val="72"/>
          <w:szCs w:val="72"/>
          <w:highlight w:val="none"/>
        </w:rPr>
        <w:t xml:space="preserve"> </w:t>
      </w:r>
      <w:r>
        <w:rPr>
          <w:rFonts w:hint="eastAsia" w:ascii="黑体" w:hAnsi="华文中宋" w:eastAsia="黑体" w:cs="黑体"/>
          <w:spacing w:val="20"/>
          <w:sz w:val="72"/>
          <w:szCs w:val="72"/>
          <w:highlight w:val="none"/>
        </w:rPr>
        <w:t>锡</w:t>
      </w:r>
      <w:r>
        <w:rPr>
          <w:rFonts w:ascii="黑体" w:hAnsi="华文中宋" w:eastAsia="黑体" w:cs="黑体"/>
          <w:spacing w:val="20"/>
          <w:sz w:val="72"/>
          <w:szCs w:val="72"/>
          <w:highlight w:val="none"/>
        </w:rPr>
        <w:t xml:space="preserve"> </w:t>
      </w:r>
      <w:r>
        <w:rPr>
          <w:rFonts w:hint="eastAsia" w:ascii="黑体" w:hAnsi="华文中宋" w:eastAsia="黑体" w:cs="黑体"/>
          <w:spacing w:val="20"/>
          <w:sz w:val="72"/>
          <w:szCs w:val="72"/>
          <w:highlight w:val="none"/>
        </w:rPr>
        <w:t>市</w:t>
      </w:r>
      <w:r>
        <w:rPr>
          <w:rFonts w:ascii="黑体" w:hAnsi="华文中宋" w:eastAsia="黑体" w:cs="黑体"/>
          <w:spacing w:val="20"/>
          <w:sz w:val="72"/>
          <w:szCs w:val="72"/>
          <w:highlight w:val="none"/>
        </w:rPr>
        <w:t xml:space="preserve"> </w:t>
      </w:r>
      <w:r>
        <w:rPr>
          <w:rFonts w:hint="eastAsia" w:ascii="黑体" w:hAnsi="华文中宋" w:eastAsia="黑体" w:cs="黑体"/>
          <w:spacing w:val="20"/>
          <w:sz w:val="72"/>
          <w:szCs w:val="72"/>
          <w:highlight w:val="none"/>
        </w:rPr>
        <w:t>政</w:t>
      </w:r>
      <w:r>
        <w:rPr>
          <w:rFonts w:ascii="黑体" w:hAnsi="华文中宋" w:eastAsia="黑体" w:cs="黑体"/>
          <w:spacing w:val="20"/>
          <w:sz w:val="72"/>
          <w:szCs w:val="72"/>
          <w:highlight w:val="none"/>
        </w:rPr>
        <w:t xml:space="preserve"> </w:t>
      </w:r>
      <w:r>
        <w:rPr>
          <w:rFonts w:hint="eastAsia" w:ascii="黑体" w:hAnsi="华文中宋" w:eastAsia="黑体" w:cs="黑体"/>
          <w:spacing w:val="20"/>
          <w:sz w:val="72"/>
          <w:szCs w:val="72"/>
          <w:highlight w:val="none"/>
        </w:rPr>
        <w:t>府</w:t>
      </w:r>
      <w:r>
        <w:rPr>
          <w:rFonts w:ascii="黑体" w:hAnsi="华文中宋" w:eastAsia="黑体" w:cs="黑体"/>
          <w:spacing w:val="20"/>
          <w:sz w:val="72"/>
          <w:szCs w:val="72"/>
          <w:highlight w:val="none"/>
        </w:rPr>
        <w:t xml:space="preserve"> </w:t>
      </w:r>
      <w:r>
        <w:rPr>
          <w:rFonts w:hint="eastAsia" w:ascii="黑体" w:hAnsi="华文中宋" w:eastAsia="黑体" w:cs="黑体"/>
          <w:spacing w:val="20"/>
          <w:sz w:val="72"/>
          <w:szCs w:val="72"/>
          <w:highlight w:val="none"/>
        </w:rPr>
        <w:t>采</w:t>
      </w:r>
      <w:r>
        <w:rPr>
          <w:rFonts w:ascii="黑体" w:hAnsi="华文中宋" w:eastAsia="黑体" w:cs="黑体"/>
          <w:spacing w:val="20"/>
          <w:sz w:val="72"/>
          <w:szCs w:val="72"/>
          <w:highlight w:val="none"/>
        </w:rPr>
        <w:t xml:space="preserve"> </w:t>
      </w:r>
      <w:r>
        <w:rPr>
          <w:rFonts w:hint="eastAsia" w:ascii="黑体" w:hAnsi="华文中宋" w:eastAsia="黑体" w:cs="黑体"/>
          <w:spacing w:val="20"/>
          <w:sz w:val="72"/>
          <w:szCs w:val="72"/>
          <w:highlight w:val="none"/>
        </w:rPr>
        <w:t>购</w:t>
      </w:r>
    </w:p>
    <w:p>
      <w:pPr>
        <w:rPr>
          <w:rFonts w:ascii="华文中宋" w:hAnsi="华文中宋" w:eastAsia="华文中宋"/>
          <w:sz w:val="30"/>
          <w:szCs w:val="30"/>
          <w:highlight w:val="none"/>
        </w:rPr>
      </w:pPr>
    </w:p>
    <w:p>
      <w:pPr>
        <w:rPr>
          <w:rFonts w:ascii="华文中宋" w:hAnsi="华文中宋" w:eastAsia="华文中宋"/>
          <w:sz w:val="30"/>
          <w:szCs w:val="30"/>
          <w:highlight w:val="none"/>
        </w:rPr>
      </w:pPr>
    </w:p>
    <w:p>
      <w:pPr>
        <w:rPr>
          <w:rFonts w:ascii="华文中宋" w:hAnsi="华文中宋" w:eastAsia="华文中宋"/>
          <w:sz w:val="30"/>
          <w:szCs w:val="30"/>
          <w:highlight w:val="none"/>
        </w:rPr>
      </w:pPr>
    </w:p>
    <w:p>
      <w:pPr>
        <w:pStyle w:val="8"/>
        <w:numPr>
          <w:ilvl w:val="4"/>
          <w:numId w:val="0"/>
        </w:numPr>
        <w:rPr>
          <w:rFonts w:cs="Times New Roman"/>
          <w:highlight w:val="none"/>
        </w:rPr>
      </w:pPr>
    </w:p>
    <w:p>
      <w:pPr>
        <w:rPr>
          <w:rFonts w:ascii="华文中宋" w:hAnsi="华文中宋" w:eastAsia="华文中宋"/>
          <w:sz w:val="30"/>
          <w:szCs w:val="30"/>
          <w:highlight w:val="none"/>
        </w:rPr>
      </w:pPr>
    </w:p>
    <w:p>
      <w:pPr>
        <w:jc w:val="center"/>
        <w:rPr>
          <w:rFonts w:ascii="黑体" w:hAnsi="华文中宋" w:eastAsia="黑体" w:cs="黑体"/>
          <w:spacing w:val="20"/>
          <w:sz w:val="52"/>
          <w:szCs w:val="52"/>
          <w:highlight w:val="none"/>
        </w:rPr>
      </w:pPr>
      <w:r>
        <w:rPr>
          <w:rFonts w:hint="eastAsia" w:ascii="黑体" w:hAnsi="华文中宋" w:eastAsia="黑体" w:cs="黑体"/>
          <w:spacing w:val="20"/>
          <w:sz w:val="52"/>
          <w:szCs w:val="52"/>
          <w:highlight w:val="none"/>
        </w:rPr>
        <w:t>公</w:t>
      </w:r>
      <w:r>
        <w:rPr>
          <w:rFonts w:ascii="黑体" w:hAnsi="华文中宋" w:eastAsia="黑体" w:cs="黑体"/>
          <w:spacing w:val="20"/>
          <w:sz w:val="52"/>
          <w:szCs w:val="52"/>
          <w:highlight w:val="none"/>
        </w:rPr>
        <w:t xml:space="preserve">  </w:t>
      </w:r>
      <w:r>
        <w:rPr>
          <w:rFonts w:hint="eastAsia" w:ascii="黑体" w:hAnsi="华文中宋" w:eastAsia="黑体" w:cs="黑体"/>
          <w:spacing w:val="20"/>
          <w:sz w:val="52"/>
          <w:szCs w:val="52"/>
          <w:highlight w:val="none"/>
        </w:rPr>
        <w:t>开</w:t>
      </w:r>
      <w:r>
        <w:rPr>
          <w:rFonts w:ascii="黑体" w:hAnsi="华文中宋" w:eastAsia="黑体" w:cs="黑体"/>
          <w:spacing w:val="20"/>
          <w:sz w:val="52"/>
          <w:szCs w:val="52"/>
          <w:highlight w:val="none"/>
        </w:rPr>
        <w:t xml:space="preserve">   </w:t>
      </w:r>
    </w:p>
    <w:p>
      <w:pPr>
        <w:jc w:val="center"/>
        <w:rPr>
          <w:rFonts w:ascii="华文中宋" w:hAnsi="华文中宋" w:eastAsia="华文中宋"/>
          <w:spacing w:val="20"/>
          <w:sz w:val="52"/>
          <w:szCs w:val="52"/>
          <w:highlight w:val="none"/>
        </w:rPr>
      </w:pPr>
      <w:r>
        <w:rPr>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gv3/rXAAAACQEAAA8AAAAAAAAAAQAgAAAAIgAAAGRycy9kb3ducmV2LnhtbFBLAQIUABQA&#10;AAAIAIdO4kC4YyrB8QEAAOADAAAOAAAAAAAAAAEAIAAAACYBAABkcnMvZTJvRG9jLnhtbFBLBQYA&#10;AAAABgAGAFkBAACJBQAAAAA=&#10;">
                <v:fill on="f" focussize="0,0"/>
                <v:stroke color="#000000" joinstyle="round"/>
                <v:imagedata o:title=""/>
                <o:lock v:ext="edit" aspectratio="f"/>
              </v:line>
            </w:pict>
          </mc:Fallback>
        </mc:AlternateContent>
      </w:r>
      <w:r>
        <w:rPr>
          <w:rFonts w:hint="eastAsia" w:ascii="黑体" w:hAnsi="华文中宋" w:eastAsia="黑体" w:cs="黑体"/>
          <w:spacing w:val="20"/>
          <w:sz w:val="52"/>
          <w:szCs w:val="52"/>
          <w:highlight w:val="none"/>
        </w:rPr>
        <w:t>招</w:t>
      </w:r>
      <w:r>
        <w:rPr>
          <w:rFonts w:ascii="黑体" w:hAnsi="华文中宋" w:eastAsia="黑体" w:cs="黑体"/>
          <w:spacing w:val="20"/>
          <w:sz w:val="52"/>
          <w:szCs w:val="52"/>
          <w:highlight w:val="none"/>
        </w:rPr>
        <w:t xml:space="preserve">  </w:t>
      </w:r>
      <w:r>
        <w:rPr>
          <w:rFonts w:hint="eastAsia" w:ascii="黑体" w:hAnsi="华文中宋" w:eastAsia="黑体" w:cs="黑体"/>
          <w:spacing w:val="20"/>
          <w:sz w:val="52"/>
          <w:szCs w:val="52"/>
          <w:highlight w:val="none"/>
        </w:rPr>
        <w:t>标</w:t>
      </w:r>
      <w:r>
        <w:rPr>
          <w:rFonts w:ascii="黑体" w:hAnsi="华文中宋" w:eastAsia="黑体" w:cs="黑体"/>
          <w:spacing w:val="20"/>
          <w:sz w:val="52"/>
          <w:szCs w:val="52"/>
          <w:highlight w:val="none"/>
        </w:rPr>
        <w:t xml:space="preserve">  </w:t>
      </w:r>
      <w:r>
        <w:rPr>
          <w:rFonts w:hint="eastAsia" w:ascii="黑体" w:hAnsi="华文中宋" w:eastAsia="黑体" w:cs="黑体"/>
          <w:spacing w:val="20"/>
          <w:sz w:val="52"/>
          <w:szCs w:val="52"/>
          <w:highlight w:val="none"/>
        </w:rPr>
        <w:t>文</w:t>
      </w:r>
      <w:r>
        <w:rPr>
          <w:rFonts w:ascii="黑体" w:hAnsi="华文中宋" w:eastAsia="黑体" w:cs="黑体"/>
          <w:spacing w:val="20"/>
          <w:sz w:val="52"/>
          <w:szCs w:val="52"/>
          <w:highlight w:val="none"/>
        </w:rPr>
        <w:t xml:space="preserve">  </w:t>
      </w:r>
      <w:r>
        <w:rPr>
          <w:rFonts w:hint="eastAsia" w:ascii="黑体" w:hAnsi="华文中宋" w:eastAsia="黑体" w:cs="黑体"/>
          <w:spacing w:val="20"/>
          <w:sz w:val="52"/>
          <w:szCs w:val="52"/>
          <w:highlight w:val="none"/>
        </w:rPr>
        <w:t>件</w:t>
      </w:r>
    </w:p>
    <w:p>
      <w:pPr>
        <w:pStyle w:val="8"/>
        <w:numPr>
          <w:ilvl w:val="4"/>
          <w:numId w:val="0"/>
        </w:numPr>
        <w:rPr>
          <w:rFonts w:cs="Times New Roman"/>
          <w:highlight w:val="none"/>
        </w:rPr>
      </w:pPr>
    </w:p>
    <w:p>
      <w:pPr>
        <w:jc w:val="center"/>
        <w:rPr>
          <w:sz w:val="22"/>
          <w:szCs w:val="22"/>
          <w:highlight w:val="none"/>
        </w:rPr>
      </w:pPr>
      <w:r>
        <w:rPr>
          <w:rFonts w:hint="eastAsia" w:ascii="宋体" w:hAnsi="宋体"/>
          <w:b/>
          <w:color w:val="auto"/>
          <w:sz w:val="32"/>
          <w:szCs w:val="32"/>
          <w:highlight w:val="none"/>
        </w:rPr>
        <w:t>（全流程电子化）</w:t>
      </w:r>
    </w:p>
    <w:p>
      <w:pPr>
        <w:spacing w:line="360" w:lineRule="auto"/>
        <w:ind w:firstLine="960" w:firstLineChars="200"/>
        <w:rPr>
          <w:rFonts w:hint="eastAsia" w:ascii="黑体" w:hAnsi="华文中宋" w:eastAsia="黑体" w:cs="黑体"/>
          <w:sz w:val="48"/>
          <w:szCs w:val="48"/>
          <w:highlight w:val="none"/>
        </w:rPr>
      </w:pPr>
    </w:p>
    <w:p>
      <w:pPr>
        <w:spacing w:line="360" w:lineRule="auto"/>
        <w:ind w:firstLine="600" w:firstLineChars="200"/>
        <w:rPr>
          <w:rFonts w:hint="eastAsia" w:ascii="黑体" w:hAnsi="华文中宋" w:eastAsia="黑体" w:cs="黑体"/>
          <w:sz w:val="30"/>
          <w:szCs w:val="30"/>
          <w:highlight w:val="none"/>
          <w:lang w:eastAsia="zh-CN"/>
        </w:rPr>
      </w:pPr>
      <w:r>
        <w:rPr>
          <w:rFonts w:hint="eastAsia" w:ascii="黑体" w:hAnsi="华文中宋" w:eastAsia="黑体" w:cs="黑体"/>
          <w:sz w:val="30"/>
          <w:szCs w:val="30"/>
          <w:highlight w:val="none"/>
        </w:rPr>
        <w:t>政府采购编号：</w:t>
      </w:r>
      <w:r>
        <w:rPr>
          <w:rFonts w:hint="eastAsia" w:ascii="黑体" w:hAnsi="华文中宋" w:eastAsia="黑体" w:cs="黑体"/>
          <w:sz w:val="30"/>
          <w:szCs w:val="30"/>
          <w:highlight w:val="none"/>
          <w:lang w:eastAsia="zh-CN"/>
        </w:rPr>
        <w:t>JSJNCG2023-013</w:t>
      </w:r>
    </w:p>
    <w:p>
      <w:pPr>
        <w:spacing w:line="360" w:lineRule="auto"/>
        <w:ind w:firstLine="600" w:firstLineChars="200"/>
        <w:rPr>
          <w:rFonts w:hint="eastAsia" w:ascii="黑体" w:hAnsi="华文中宋" w:eastAsia="黑体" w:cs="黑体"/>
          <w:sz w:val="30"/>
          <w:szCs w:val="30"/>
          <w:highlight w:val="none"/>
          <w:lang w:val="en-US" w:eastAsia="zh-CN"/>
        </w:rPr>
      </w:pPr>
      <w:r>
        <w:rPr>
          <w:rFonts w:hint="eastAsia" w:ascii="黑体" w:hAnsi="华文中宋" w:eastAsia="黑体" w:cs="黑体"/>
          <w:sz w:val="30"/>
          <w:szCs w:val="30"/>
          <w:highlight w:val="none"/>
        </w:rPr>
        <w:t>采购项目名称：</w:t>
      </w:r>
      <w:r>
        <w:rPr>
          <w:rFonts w:hint="eastAsia" w:ascii="黑体" w:hAnsi="华文中宋" w:eastAsia="黑体" w:cs="黑体"/>
          <w:sz w:val="30"/>
          <w:szCs w:val="30"/>
          <w:highlight w:val="none"/>
          <w:lang w:val="en-US" w:eastAsia="zh-CN"/>
        </w:rPr>
        <w:t>2024年瞻江街道机动车拖车项目</w:t>
      </w:r>
    </w:p>
    <w:p>
      <w:pPr>
        <w:spacing w:line="360" w:lineRule="auto"/>
        <w:ind w:firstLine="600" w:firstLineChars="200"/>
        <w:rPr>
          <w:rFonts w:hint="eastAsia" w:ascii="黑体" w:hAnsi="华文中宋" w:eastAsia="黑体" w:cs="黑体"/>
          <w:sz w:val="30"/>
          <w:szCs w:val="30"/>
          <w:highlight w:val="none"/>
          <w:lang w:eastAsia="zh-CN"/>
        </w:rPr>
      </w:pPr>
      <w:r>
        <w:rPr>
          <w:rFonts w:hint="eastAsia" w:ascii="黑体" w:hAnsi="华文中宋" w:eastAsia="黑体" w:cs="黑体"/>
          <w:sz w:val="30"/>
          <w:szCs w:val="30"/>
          <w:highlight w:val="none"/>
        </w:rPr>
        <w:t>采</w:t>
      </w:r>
      <w:r>
        <w:rPr>
          <w:rFonts w:ascii="黑体" w:hAnsi="华文中宋" w:eastAsia="黑体" w:cs="黑体"/>
          <w:sz w:val="30"/>
          <w:szCs w:val="30"/>
          <w:highlight w:val="none"/>
        </w:rPr>
        <w:t xml:space="preserve">   </w:t>
      </w:r>
      <w:r>
        <w:rPr>
          <w:rFonts w:hint="eastAsia" w:ascii="黑体" w:hAnsi="华文中宋" w:eastAsia="黑体" w:cs="黑体"/>
          <w:sz w:val="30"/>
          <w:szCs w:val="30"/>
          <w:highlight w:val="none"/>
        </w:rPr>
        <w:t>购</w:t>
      </w:r>
      <w:r>
        <w:rPr>
          <w:rFonts w:ascii="黑体" w:hAnsi="华文中宋" w:eastAsia="黑体" w:cs="黑体"/>
          <w:sz w:val="30"/>
          <w:szCs w:val="30"/>
          <w:highlight w:val="none"/>
        </w:rPr>
        <w:t xml:space="preserve">   </w:t>
      </w:r>
      <w:r>
        <w:rPr>
          <w:rFonts w:hint="eastAsia" w:ascii="黑体" w:hAnsi="华文中宋" w:eastAsia="黑体" w:cs="黑体"/>
          <w:sz w:val="30"/>
          <w:szCs w:val="30"/>
          <w:highlight w:val="none"/>
        </w:rPr>
        <w:t>人：</w:t>
      </w:r>
      <w:r>
        <w:rPr>
          <w:rFonts w:hint="eastAsia" w:ascii="黑体" w:hAnsi="华文中宋" w:eastAsia="黑体" w:cs="黑体"/>
          <w:sz w:val="30"/>
          <w:szCs w:val="30"/>
          <w:highlight w:val="none"/>
          <w:lang w:eastAsia="zh-CN"/>
        </w:rPr>
        <w:t>无锡市梁溪区瞻江街道办事处</w:t>
      </w:r>
    </w:p>
    <w:p>
      <w:pPr>
        <w:spacing w:line="360" w:lineRule="auto"/>
        <w:ind w:firstLine="600" w:firstLineChars="200"/>
        <w:rPr>
          <w:rFonts w:hint="eastAsia" w:ascii="黑体" w:hAnsi="华文中宋" w:eastAsia="黑体"/>
          <w:sz w:val="36"/>
          <w:szCs w:val="36"/>
          <w:highlight w:val="none"/>
          <w:lang w:eastAsia="zh-CN"/>
        </w:rPr>
      </w:pPr>
      <w:r>
        <w:rPr>
          <w:rFonts w:hint="eastAsia" w:ascii="黑体" w:hAnsi="华文中宋" w:eastAsia="黑体" w:cs="黑体"/>
          <w:sz w:val="30"/>
          <w:szCs w:val="30"/>
          <w:highlight w:val="none"/>
        </w:rPr>
        <w:t>采购代理机构：</w:t>
      </w:r>
      <w:r>
        <w:rPr>
          <w:rFonts w:hint="eastAsia" w:ascii="黑体" w:hAnsi="华文中宋" w:eastAsia="黑体" w:cs="黑体"/>
          <w:sz w:val="30"/>
          <w:szCs w:val="30"/>
          <w:highlight w:val="none"/>
          <w:lang w:eastAsia="zh-CN"/>
        </w:rPr>
        <w:t xml:space="preserve">江苏江南梁鸿建设咨询有限公司 </w:t>
      </w:r>
    </w:p>
    <w:p>
      <w:pPr>
        <w:topLinePunct/>
        <w:snapToGrid w:val="0"/>
        <w:spacing w:line="360" w:lineRule="auto"/>
        <w:jc w:val="center"/>
        <w:rPr>
          <w:b/>
          <w:bCs/>
          <w:sz w:val="32"/>
          <w:szCs w:val="32"/>
          <w:highlight w:val="none"/>
        </w:rPr>
      </w:pPr>
    </w:p>
    <w:p>
      <w:pPr>
        <w:topLinePunct/>
        <w:snapToGrid w:val="0"/>
        <w:spacing w:line="360" w:lineRule="auto"/>
        <w:ind w:firstLine="3240" w:firstLineChars="900"/>
        <w:jc w:val="both"/>
        <w:rPr>
          <w:rFonts w:ascii="宋体"/>
          <w:b/>
          <w:bCs/>
          <w:color w:val="000000"/>
          <w:sz w:val="44"/>
          <w:szCs w:val="44"/>
          <w:highlight w:val="none"/>
        </w:rPr>
      </w:pPr>
      <w:r>
        <w:rPr>
          <w:rFonts w:hint="eastAsia" w:ascii="黑体" w:hAnsi="华文中宋" w:eastAsia="黑体" w:cs="黑体"/>
          <w:sz w:val="36"/>
          <w:szCs w:val="36"/>
          <w:highlight w:val="none"/>
        </w:rPr>
        <w:t>二○二</w:t>
      </w:r>
      <w:r>
        <w:rPr>
          <w:rFonts w:hint="eastAsia" w:ascii="黑体" w:hAnsi="华文中宋" w:eastAsia="黑体" w:cs="黑体"/>
          <w:sz w:val="36"/>
          <w:szCs w:val="36"/>
          <w:highlight w:val="none"/>
          <w:lang w:val="en-US" w:eastAsia="zh-CN"/>
        </w:rPr>
        <w:t>三</w:t>
      </w:r>
      <w:r>
        <w:rPr>
          <w:rFonts w:hint="eastAsia" w:ascii="黑体" w:hAnsi="华文中宋" w:eastAsia="黑体" w:cs="黑体"/>
          <w:sz w:val="36"/>
          <w:szCs w:val="36"/>
          <w:highlight w:val="none"/>
        </w:rPr>
        <w:t>年</w:t>
      </w:r>
      <w:r>
        <w:rPr>
          <w:rFonts w:hint="eastAsia" w:ascii="黑体" w:hAnsi="华文中宋" w:eastAsia="黑体" w:cs="黑体"/>
          <w:sz w:val="36"/>
          <w:szCs w:val="36"/>
          <w:highlight w:val="none"/>
          <w:lang w:val="en-US" w:eastAsia="zh-CN"/>
        </w:rPr>
        <w:t>十一</w:t>
      </w:r>
      <w:r>
        <w:rPr>
          <w:rFonts w:hint="eastAsia" w:ascii="黑体" w:hAnsi="华文中宋" w:eastAsia="黑体" w:cs="黑体"/>
          <w:sz w:val="36"/>
          <w:szCs w:val="36"/>
          <w:highlight w:val="none"/>
        </w:rPr>
        <w:t>月</w:t>
      </w:r>
    </w:p>
    <w:p>
      <w:pPr>
        <w:spacing w:line="720" w:lineRule="auto"/>
        <w:ind w:firstLine="600" w:firstLineChars="150"/>
        <w:jc w:val="center"/>
        <w:rPr>
          <w:rFonts w:ascii="宋体"/>
          <w:sz w:val="40"/>
          <w:szCs w:val="40"/>
          <w:highlight w:val="none"/>
        </w:rPr>
        <w:sectPr>
          <w:footerReference r:id="rId4" w:type="first"/>
          <w:headerReference r:id="rId3" w:type="default"/>
          <w:pgSz w:w="11906" w:h="16838"/>
          <w:pgMar w:top="1020" w:right="850" w:bottom="850" w:left="1020" w:header="851" w:footer="454" w:gutter="0"/>
          <w:pgNumType w:fmt="numberInDash" w:start="0"/>
          <w:cols w:space="720" w:num="1"/>
          <w:docGrid w:type="lines" w:linePitch="312" w:charSpace="0"/>
        </w:sectPr>
      </w:pPr>
    </w:p>
    <w:p>
      <w:pPr>
        <w:spacing w:line="720" w:lineRule="auto"/>
        <w:ind w:firstLine="600" w:firstLineChars="150"/>
        <w:jc w:val="center"/>
        <w:rPr>
          <w:rFonts w:ascii="宋体"/>
          <w:b/>
          <w:bCs/>
          <w:color w:val="000000"/>
          <w:sz w:val="30"/>
          <w:szCs w:val="30"/>
          <w:highlight w:val="none"/>
        </w:rPr>
      </w:pPr>
      <w:r>
        <w:rPr>
          <w:rFonts w:hint="eastAsia" w:ascii="宋体" w:hAnsi="宋体" w:cs="宋体"/>
          <w:sz w:val="40"/>
          <w:szCs w:val="40"/>
          <w:highlight w:val="none"/>
        </w:rPr>
        <w:t>目</w:t>
      </w:r>
      <w:r>
        <w:rPr>
          <w:rFonts w:ascii="宋体" w:hAnsi="宋体" w:cs="宋体"/>
          <w:sz w:val="40"/>
          <w:szCs w:val="40"/>
          <w:highlight w:val="none"/>
        </w:rPr>
        <w:t xml:space="preserve">  </w:t>
      </w:r>
      <w:r>
        <w:rPr>
          <w:rFonts w:hint="eastAsia" w:ascii="宋体" w:hAnsi="宋体" w:cs="宋体"/>
          <w:sz w:val="40"/>
          <w:szCs w:val="40"/>
          <w:highlight w:val="none"/>
        </w:rPr>
        <w:t>录</w:t>
      </w:r>
    </w:p>
    <w:p>
      <w:pPr>
        <w:spacing w:line="720" w:lineRule="auto"/>
        <w:ind w:firstLine="450" w:firstLineChars="150"/>
        <w:rPr>
          <w:rFonts w:ascii="宋体"/>
          <w:sz w:val="30"/>
          <w:szCs w:val="30"/>
          <w:highlight w:val="none"/>
        </w:rPr>
      </w:pPr>
      <w:r>
        <w:rPr>
          <w:rFonts w:hint="eastAsia" w:ascii="宋体" w:hAnsi="宋体" w:cs="宋体"/>
          <w:sz w:val="30"/>
          <w:szCs w:val="30"/>
          <w:highlight w:val="none"/>
        </w:rPr>
        <w:t>一．投标邀请</w:t>
      </w:r>
    </w:p>
    <w:p>
      <w:pPr>
        <w:spacing w:line="720" w:lineRule="auto"/>
        <w:ind w:firstLine="450" w:firstLineChars="150"/>
        <w:rPr>
          <w:rFonts w:ascii="宋体"/>
          <w:sz w:val="30"/>
          <w:szCs w:val="30"/>
          <w:highlight w:val="none"/>
        </w:rPr>
      </w:pPr>
      <w:r>
        <w:rPr>
          <w:rFonts w:hint="eastAsia" w:ascii="宋体" w:hAnsi="宋体" w:cs="宋体"/>
          <w:sz w:val="30"/>
          <w:szCs w:val="30"/>
          <w:highlight w:val="none"/>
        </w:rPr>
        <w:t>二．投标供应商须知</w:t>
      </w:r>
    </w:p>
    <w:p>
      <w:pPr>
        <w:spacing w:line="720" w:lineRule="auto"/>
        <w:ind w:firstLine="450" w:firstLineChars="150"/>
        <w:rPr>
          <w:rFonts w:ascii="宋体"/>
          <w:sz w:val="30"/>
          <w:szCs w:val="30"/>
          <w:highlight w:val="none"/>
        </w:rPr>
      </w:pPr>
      <w:r>
        <w:rPr>
          <w:rFonts w:hint="eastAsia" w:ascii="宋体" w:hAnsi="宋体" w:cs="宋体"/>
          <w:sz w:val="30"/>
          <w:szCs w:val="30"/>
          <w:highlight w:val="none"/>
        </w:rPr>
        <w:t>三．采购需求</w:t>
      </w:r>
    </w:p>
    <w:p>
      <w:pPr>
        <w:spacing w:line="720" w:lineRule="auto"/>
        <w:ind w:firstLine="450" w:firstLineChars="150"/>
        <w:rPr>
          <w:rFonts w:ascii="宋体"/>
          <w:sz w:val="30"/>
          <w:szCs w:val="30"/>
          <w:highlight w:val="none"/>
        </w:rPr>
      </w:pPr>
      <w:r>
        <w:rPr>
          <w:rFonts w:hint="eastAsia" w:ascii="宋体" w:hAnsi="宋体" w:cs="宋体"/>
          <w:sz w:val="30"/>
          <w:szCs w:val="30"/>
          <w:highlight w:val="none"/>
        </w:rPr>
        <w:t>四．合同书（格式）</w:t>
      </w:r>
    </w:p>
    <w:p>
      <w:pPr>
        <w:spacing w:line="720" w:lineRule="auto"/>
        <w:ind w:firstLine="450" w:firstLineChars="150"/>
        <w:rPr>
          <w:rFonts w:ascii="宋体"/>
          <w:sz w:val="30"/>
          <w:szCs w:val="30"/>
          <w:highlight w:val="none"/>
        </w:rPr>
      </w:pPr>
      <w:r>
        <w:rPr>
          <w:rFonts w:hint="eastAsia" w:ascii="宋体" w:hAnsi="宋体" w:cs="宋体"/>
          <w:sz w:val="30"/>
          <w:szCs w:val="30"/>
          <w:highlight w:val="none"/>
        </w:rPr>
        <w:t>五</w:t>
      </w:r>
      <w:r>
        <w:rPr>
          <w:rFonts w:ascii="宋体" w:hAnsi="宋体" w:cs="宋体"/>
          <w:sz w:val="30"/>
          <w:szCs w:val="30"/>
          <w:highlight w:val="none"/>
        </w:rPr>
        <w:t xml:space="preserve">. </w:t>
      </w:r>
      <w:r>
        <w:rPr>
          <w:rFonts w:hint="eastAsia" w:ascii="宋体" w:hAnsi="宋体" w:cs="宋体"/>
          <w:sz w:val="30"/>
          <w:szCs w:val="30"/>
          <w:highlight w:val="none"/>
        </w:rPr>
        <w:t>投标文件（格式）</w:t>
      </w:r>
    </w:p>
    <w:p>
      <w:pPr>
        <w:spacing w:line="720" w:lineRule="auto"/>
        <w:rPr>
          <w:rFonts w:ascii="宋体"/>
          <w:sz w:val="30"/>
          <w:szCs w:val="30"/>
          <w:highlight w:val="none"/>
        </w:rPr>
      </w:pPr>
      <w:r>
        <w:rPr>
          <w:rFonts w:ascii="宋体" w:hAnsi="宋体" w:cs="宋体"/>
          <w:sz w:val="30"/>
          <w:szCs w:val="30"/>
          <w:highlight w:val="none"/>
        </w:rPr>
        <w:t xml:space="preserve">  </w:t>
      </w:r>
    </w:p>
    <w:p>
      <w:pPr>
        <w:widowControl/>
        <w:topLinePunct/>
        <w:snapToGrid w:val="0"/>
        <w:spacing w:line="360" w:lineRule="auto"/>
        <w:rPr>
          <w:rFonts w:ascii="宋体"/>
          <w:b/>
          <w:bCs/>
          <w:color w:val="000000"/>
          <w:sz w:val="24"/>
          <w:szCs w:val="24"/>
          <w:highlight w:val="none"/>
        </w:rPr>
      </w:pPr>
    </w:p>
    <w:p>
      <w:pPr>
        <w:widowControl/>
        <w:topLinePunct/>
        <w:snapToGrid w:val="0"/>
        <w:spacing w:line="360" w:lineRule="auto"/>
        <w:rPr>
          <w:rFonts w:ascii="宋体"/>
          <w:b/>
          <w:bCs/>
          <w:color w:val="000000"/>
          <w:sz w:val="24"/>
          <w:szCs w:val="24"/>
          <w:highlight w:val="none"/>
        </w:rPr>
      </w:pPr>
    </w:p>
    <w:p>
      <w:pPr>
        <w:widowControl/>
        <w:topLinePunct/>
        <w:snapToGrid w:val="0"/>
        <w:spacing w:line="360" w:lineRule="auto"/>
        <w:rPr>
          <w:rFonts w:ascii="宋体"/>
          <w:b/>
          <w:bCs/>
          <w:color w:val="000000"/>
          <w:sz w:val="24"/>
          <w:szCs w:val="24"/>
          <w:highlight w:val="none"/>
        </w:rPr>
      </w:pPr>
    </w:p>
    <w:p>
      <w:pPr>
        <w:widowControl/>
        <w:topLinePunct/>
        <w:snapToGrid w:val="0"/>
        <w:spacing w:line="360" w:lineRule="auto"/>
        <w:rPr>
          <w:rFonts w:ascii="宋体"/>
          <w:b/>
          <w:bCs/>
          <w:color w:val="000000"/>
          <w:sz w:val="24"/>
          <w:szCs w:val="24"/>
          <w:highlight w:val="none"/>
        </w:rPr>
      </w:pPr>
    </w:p>
    <w:p>
      <w:pPr>
        <w:widowControl/>
        <w:topLinePunct/>
        <w:snapToGrid w:val="0"/>
        <w:spacing w:line="360" w:lineRule="auto"/>
        <w:rPr>
          <w:rFonts w:ascii="宋体"/>
          <w:b/>
          <w:bCs/>
          <w:color w:val="000000"/>
          <w:sz w:val="24"/>
          <w:szCs w:val="24"/>
          <w:highlight w:val="none"/>
        </w:rPr>
      </w:pPr>
    </w:p>
    <w:p>
      <w:pPr>
        <w:widowControl/>
        <w:topLinePunct/>
        <w:spacing w:before="470"/>
        <w:rPr>
          <w:rFonts w:ascii="宋体"/>
          <w:b/>
          <w:bCs/>
          <w:color w:val="000000"/>
          <w:sz w:val="24"/>
          <w:szCs w:val="24"/>
          <w:highlight w:val="none"/>
        </w:rPr>
      </w:pPr>
    </w:p>
    <w:p>
      <w:pPr>
        <w:widowControl/>
        <w:topLinePunct/>
        <w:spacing w:before="470"/>
        <w:rPr>
          <w:rFonts w:ascii="宋体"/>
          <w:b/>
          <w:bCs/>
          <w:color w:val="000000"/>
          <w:sz w:val="24"/>
          <w:szCs w:val="24"/>
          <w:highlight w:val="none"/>
        </w:rPr>
      </w:pPr>
    </w:p>
    <w:p>
      <w:pPr>
        <w:widowControl/>
        <w:topLinePunct/>
        <w:jc w:val="center"/>
        <w:rPr>
          <w:rFonts w:ascii="宋体"/>
          <w:b/>
          <w:bCs/>
          <w:sz w:val="36"/>
          <w:szCs w:val="36"/>
          <w:highlight w:val="none"/>
        </w:rPr>
      </w:pPr>
    </w:p>
    <w:p>
      <w:pPr>
        <w:widowControl/>
        <w:topLinePunct/>
        <w:jc w:val="center"/>
        <w:rPr>
          <w:rFonts w:ascii="宋体"/>
          <w:b/>
          <w:bCs/>
          <w:sz w:val="36"/>
          <w:szCs w:val="36"/>
          <w:highlight w:val="none"/>
        </w:rPr>
      </w:pPr>
    </w:p>
    <w:p>
      <w:pPr>
        <w:widowControl/>
        <w:topLinePunct/>
        <w:jc w:val="center"/>
        <w:rPr>
          <w:rFonts w:ascii="宋体"/>
          <w:b/>
          <w:bCs/>
          <w:sz w:val="36"/>
          <w:szCs w:val="36"/>
          <w:highlight w:val="none"/>
        </w:rPr>
      </w:pPr>
    </w:p>
    <w:p>
      <w:pPr>
        <w:widowControl/>
        <w:topLinePunct/>
        <w:jc w:val="center"/>
        <w:rPr>
          <w:rFonts w:ascii="宋体"/>
          <w:b/>
          <w:bCs/>
          <w:sz w:val="36"/>
          <w:szCs w:val="36"/>
          <w:highlight w:val="none"/>
        </w:rPr>
      </w:pPr>
    </w:p>
    <w:p>
      <w:pPr>
        <w:widowControl/>
        <w:topLinePunct/>
        <w:rPr>
          <w:rFonts w:ascii="宋体"/>
          <w:b/>
          <w:bCs/>
          <w:sz w:val="36"/>
          <w:szCs w:val="36"/>
          <w:highlight w:val="none"/>
        </w:rPr>
      </w:pPr>
    </w:p>
    <w:p>
      <w:pPr>
        <w:pStyle w:val="8"/>
        <w:numPr>
          <w:ilvl w:val="4"/>
          <w:numId w:val="0"/>
        </w:numPr>
        <w:rPr>
          <w:rFonts w:hint="default" w:eastAsia="黑体" w:cs="Times New Roman"/>
          <w:highlight w:val="none"/>
          <w:lang w:val="en-US" w:eastAsia="zh-CN"/>
        </w:rPr>
      </w:pPr>
      <w:r>
        <w:rPr>
          <w:rFonts w:hint="eastAsia" w:cs="Times New Roman"/>
          <w:highlight w:val="none"/>
          <w:lang w:val="en-US" w:eastAsia="zh-CN"/>
        </w:rPr>
        <w:t xml:space="preserve">                               </w:t>
      </w:r>
    </w:p>
    <w:p>
      <w:pPr>
        <w:jc w:val="center"/>
        <w:rPr>
          <w:rFonts w:ascii="黑体" w:eastAsia="黑体"/>
          <w:sz w:val="28"/>
          <w:szCs w:val="28"/>
          <w:highlight w:val="none"/>
        </w:rPr>
      </w:pPr>
    </w:p>
    <w:p>
      <w:pPr>
        <w:jc w:val="center"/>
        <w:rPr>
          <w:rFonts w:ascii="黑体" w:eastAsia="黑体"/>
          <w:sz w:val="28"/>
          <w:szCs w:val="28"/>
          <w:highlight w:val="none"/>
        </w:rPr>
        <w:sectPr>
          <w:headerReference r:id="rId5" w:type="default"/>
          <w:footerReference r:id="rId6" w:type="default"/>
          <w:pgSz w:w="11906" w:h="16838"/>
          <w:pgMar w:top="1020" w:right="850" w:bottom="850" w:left="1020" w:header="851" w:footer="454" w:gutter="0"/>
          <w:pgNumType w:fmt="numberInDash" w:start="38"/>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2891" w:firstLineChars="900"/>
        <w:jc w:val="left"/>
        <w:textAlignment w:val="auto"/>
        <w:rPr>
          <w:rFonts w:hint="eastAsia" w:asciiTheme="majorEastAsia" w:hAnsiTheme="majorEastAsia" w:eastAsiaTheme="majorEastAsia" w:cstheme="majorEastAsia"/>
          <w:b/>
          <w:bCs/>
          <w:sz w:val="32"/>
          <w:szCs w:val="32"/>
          <w:highlight w:val="none"/>
          <w:lang w:val="en-US" w:eastAsia="zh-CN"/>
        </w:rPr>
      </w:pPr>
      <w:r>
        <w:rPr>
          <w:rFonts w:hint="eastAsia" w:asciiTheme="majorEastAsia" w:hAnsiTheme="majorEastAsia" w:eastAsiaTheme="majorEastAsia" w:cstheme="majorEastAsia"/>
          <w:b/>
          <w:bCs/>
          <w:sz w:val="32"/>
          <w:szCs w:val="32"/>
          <w:highlight w:val="none"/>
          <w:lang w:val="en-US" w:eastAsia="zh-CN"/>
        </w:rPr>
        <w:t>一．投标邀请函</w:t>
      </w:r>
    </w:p>
    <w:p>
      <w:pPr>
        <w:widowControl/>
        <w:topLinePunct/>
        <w:spacing w:line="360" w:lineRule="auto"/>
        <w:ind w:right="-92" w:rightChars="-44" w:firstLine="480" w:firstLineChars="200"/>
        <w:rPr>
          <w:rFonts w:ascii="宋体"/>
          <w:sz w:val="24"/>
          <w:szCs w:val="24"/>
          <w:highlight w:val="none"/>
        </w:rPr>
      </w:pPr>
      <w:r>
        <w:rPr>
          <w:rFonts w:hint="eastAsia" w:ascii="宋体" w:hAnsi="宋体" w:cs="宋体"/>
          <w:color w:val="000000"/>
          <w:sz w:val="24"/>
          <w:szCs w:val="24"/>
          <w:highlight w:val="none"/>
        </w:rPr>
        <w:t>我公司受</w:t>
      </w:r>
      <w:r>
        <w:rPr>
          <w:rFonts w:hint="eastAsia" w:ascii="宋体" w:hAnsi="宋体" w:cs="宋体"/>
          <w:b w:val="0"/>
          <w:bCs w:val="0"/>
          <w:sz w:val="24"/>
          <w:szCs w:val="24"/>
          <w:highlight w:val="none"/>
          <w:lang w:eastAsia="zh-CN"/>
        </w:rPr>
        <w:t>无锡市梁溪区瞻江街道办事处</w:t>
      </w:r>
      <w:r>
        <w:rPr>
          <w:rFonts w:hint="eastAsia" w:ascii="宋体" w:hAnsi="宋体" w:cs="宋体"/>
          <w:b w:val="0"/>
          <w:bCs w:val="0"/>
          <w:sz w:val="24"/>
          <w:szCs w:val="24"/>
          <w:highlight w:val="none"/>
        </w:rPr>
        <w:t>的</w:t>
      </w:r>
      <w:r>
        <w:rPr>
          <w:rFonts w:hint="eastAsia" w:ascii="宋体" w:hAnsi="宋体" w:cs="宋体"/>
          <w:b w:val="0"/>
          <w:bCs w:val="0"/>
          <w:color w:val="000000"/>
          <w:sz w:val="24"/>
          <w:szCs w:val="24"/>
          <w:highlight w:val="none"/>
        </w:rPr>
        <w:t>委托</w:t>
      </w:r>
      <w:r>
        <w:rPr>
          <w:rFonts w:hint="eastAsia" w:ascii="宋体" w:hAnsi="宋体" w:cs="宋体"/>
          <w:color w:val="000000"/>
          <w:sz w:val="24"/>
          <w:szCs w:val="24"/>
          <w:highlight w:val="none"/>
        </w:rPr>
        <w:t>，就</w:t>
      </w:r>
      <w:r>
        <w:rPr>
          <w:rFonts w:hint="eastAsia" w:ascii="宋体" w:hAnsi="宋体" w:cs="宋体"/>
          <w:b w:val="0"/>
          <w:bCs w:val="0"/>
          <w:sz w:val="24"/>
          <w:szCs w:val="24"/>
          <w:highlight w:val="none"/>
          <w:lang w:val="en-US" w:eastAsia="zh-CN"/>
        </w:rPr>
        <w:t>2024年瞻江街道机动车拖车项目</w:t>
      </w:r>
      <w:r>
        <w:rPr>
          <w:rFonts w:hint="eastAsia" w:ascii="宋体" w:hAnsi="宋体" w:cs="宋体"/>
          <w:b w:val="0"/>
          <w:bCs w:val="0"/>
          <w:sz w:val="24"/>
          <w:szCs w:val="24"/>
          <w:highlight w:val="none"/>
        </w:rPr>
        <w:t>进</w:t>
      </w:r>
      <w:r>
        <w:rPr>
          <w:rFonts w:hint="eastAsia" w:ascii="宋体" w:hAnsi="宋体" w:cs="宋体"/>
          <w:sz w:val="24"/>
          <w:szCs w:val="24"/>
          <w:highlight w:val="none"/>
        </w:rPr>
        <w:t>行</w:t>
      </w:r>
      <w:r>
        <w:rPr>
          <w:rFonts w:hint="eastAsia" w:ascii="宋体" w:hAnsi="宋体" w:cs="宋体"/>
          <w:color w:val="000000"/>
          <w:sz w:val="24"/>
          <w:szCs w:val="24"/>
          <w:highlight w:val="none"/>
        </w:rPr>
        <w:t>公开招标，</w:t>
      </w:r>
      <w:r>
        <w:rPr>
          <w:rFonts w:hint="eastAsia" w:ascii="宋体" w:hAnsi="宋体" w:cs="宋体"/>
          <w:sz w:val="24"/>
          <w:szCs w:val="24"/>
          <w:highlight w:val="none"/>
        </w:rPr>
        <w:t>欢迎你单位参加投标并提请注意下列附表中的相关事项：</w:t>
      </w:r>
    </w:p>
    <w:tbl>
      <w:tblPr>
        <w:tblStyle w:val="22"/>
        <w:tblW w:w="954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8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1" w:type="dxa"/>
          </w:tcPr>
          <w:p>
            <w:pPr>
              <w:snapToGrid w:val="0"/>
              <w:spacing w:line="440" w:lineRule="exact"/>
              <w:jc w:val="center"/>
              <w:rPr>
                <w:rFonts w:ascii="宋体"/>
                <w:sz w:val="24"/>
                <w:szCs w:val="24"/>
                <w:highlight w:val="none"/>
              </w:rPr>
            </w:pPr>
            <w:r>
              <w:rPr>
                <w:rFonts w:hint="eastAsia" w:ascii="宋体" w:hAnsi="宋体" w:cs="宋体"/>
                <w:sz w:val="24"/>
                <w:szCs w:val="24"/>
                <w:highlight w:val="none"/>
              </w:rPr>
              <w:t>序号</w:t>
            </w:r>
          </w:p>
        </w:tc>
        <w:tc>
          <w:tcPr>
            <w:tcW w:w="8792" w:type="dxa"/>
          </w:tcPr>
          <w:p>
            <w:pPr>
              <w:snapToGrid w:val="0"/>
              <w:spacing w:line="440" w:lineRule="exact"/>
              <w:jc w:val="center"/>
              <w:rPr>
                <w:rFonts w:ascii="宋体"/>
                <w:sz w:val="24"/>
                <w:szCs w:val="24"/>
                <w:highlight w:val="none"/>
              </w:rPr>
            </w:pPr>
            <w:r>
              <w:rPr>
                <w:rFonts w:hint="eastAsia" w:ascii="宋体" w:hAnsi="宋体" w:cs="宋体"/>
                <w:sz w:val="24"/>
                <w:szCs w:val="24"/>
                <w:highlight w:val="none"/>
              </w:rPr>
              <w:t>内</w:t>
            </w:r>
            <w:r>
              <w:rPr>
                <w:rFonts w:ascii="宋体" w:hAnsi="宋体" w:cs="宋体"/>
                <w:sz w:val="24"/>
                <w:szCs w:val="24"/>
                <w:highlight w:val="none"/>
              </w:rPr>
              <w:t xml:space="preserve">    </w:t>
            </w:r>
            <w:r>
              <w:rPr>
                <w:rFonts w:hint="eastAsia" w:ascii="宋体" w:hAnsi="宋体" w:cs="宋体"/>
                <w:sz w:val="24"/>
                <w:szCs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751" w:type="dxa"/>
            <w:vAlign w:val="center"/>
          </w:tcPr>
          <w:p>
            <w:pPr>
              <w:snapToGrid w:val="0"/>
              <w:spacing w:line="440" w:lineRule="exact"/>
              <w:jc w:val="center"/>
              <w:rPr>
                <w:rFonts w:ascii="宋体"/>
                <w:sz w:val="24"/>
                <w:szCs w:val="24"/>
                <w:highlight w:val="none"/>
              </w:rPr>
            </w:pPr>
            <w:r>
              <w:rPr>
                <w:rFonts w:ascii="宋体" w:hAnsi="宋体" w:cs="宋体"/>
                <w:sz w:val="24"/>
                <w:szCs w:val="24"/>
                <w:highlight w:val="none"/>
              </w:rPr>
              <w:t>1</w:t>
            </w:r>
          </w:p>
        </w:tc>
        <w:tc>
          <w:tcPr>
            <w:tcW w:w="8792" w:type="dxa"/>
            <w:vAlign w:val="center"/>
          </w:tcPr>
          <w:p>
            <w:pPr>
              <w:snapToGrid w:val="0"/>
              <w:spacing w:line="440" w:lineRule="exact"/>
              <w:ind w:left="1680" w:hanging="1680" w:hangingChars="700"/>
              <w:rPr>
                <w:rFonts w:ascii="宋体"/>
                <w:sz w:val="24"/>
                <w:szCs w:val="24"/>
                <w:highlight w:val="none"/>
              </w:rPr>
            </w:pPr>
            <w:r>
              <w:rPr>
                <w:rFonts w:hint="eastAsia" w:ascii="宋体" w:hAnsi="宋体" w:cs="宋体"/>
                <w:sz w:val="24"/>
                <w:szCs w:val="24"/>
                <w:highlight w:val="none"/>
              </w:rPr>
              <w:t>采购项目名称：</w:t>
            </w:r>
            <w:r>
              <w:rPr>
                <w:rFonts w:hint="eastAsia" w:ascii="宋体" w:hAnsi="宋体" w:cs="宋体"/>
                <w:b w:val="0"/>
                <w:bCs w:val="0"/>
                <w:sz w:val="24"/>
                <w:szCs w:val="24"/>
                <w:highlight w:val="none"/>
                <w:lang w:val="en-US" w:eastAsia="zh-CN"/>
              </w:rPr>
              <w:t>2024年瞻江街道机动车拖车项目</w:t>
            </w:r>
          </w:p>
          <w:p>
            <w:pPr>
              <w:snapToGrid w:val="0"/>
              <w:spacing w:line="440" w:lineRule="exact"/>
              <w:ind w:left="120" w:hanging="120" w:hangingChars="50"/>
              <w:rPr>
                <w:rFonts w:hint="eastAsia" w:ascii="宋体" w:eastAsia="宋体"/>
                <w:sz w:val="24"/>
                <w:szCs w:val="24"/>
                <w:highlight w:val="none"/>
                <w:lang w:eastAsia="zh-CN"/>
              </w:rPr>
            </w:pPr>
            <w:r>
              <w:rPr>
                <w:rFonts w:hint="eastAsia" w:ascii="宋体" w:hAnsi="宋体" w:cs="宋体"/>
                <w:sz w:val="24"/>
                <w:szCs w:val="24"/>
                <w:highlight w:val="none"/>
              </w:rPr>
              <w:t>采购项目编号：</w:t>
            </w:r>
            <w:r>
              <w:rPr>
                <w:rFonts w:hint="eastAsia" w:ascii="宋体" w:hAnsi="宋体" w:cs="宋体"/>
                <w:sz w:val="24"/>
                <w:szCs w:val="24"/>
                <w:highlight w:val="none"/>
                <w:lang w:eastAsia="zh-CN"/>
              </w:rPr>
              <w:t>JSJNCG2023-013</w:t>
            </w:r>
          </w:p>
          <w:p>
            <w:pPr>
              <w:snapToGrid w:val="0"/>
              <w:spacing w:line="440" w:lineRule="exact"/>
              <w:rPr>
                <w:rFonts w:hint="eastAsia" w:ascii="宋体" w:eastAsia="宋体"/>
                <w:sz w:val="24"/>
                <w:szCs w:val="24"/>
                <w:highlight w:val="none"/>
                <w:lang w:eastAsia="zh-CN"/>
              </w:rPr>
            </w:pPr>
            <w:r>
              <w:rPr>
                <w:rFonts w:hint="eastAsia" w:ascii="宋体" w:hAnsi="宋体" w:cs="宋体"/>
                <w:sz w:val="24"/>
                <w:szCs w:val="24"/>
                <w:highlight w:val="none"/>
              </w:rPr>
              <w:t>采</w:t>
            </w:r>
            <w:r>
              <w:rPr>
                <w:rFonts w:ascii="宋体" w:hAnsi="宋体" w:cs="宋体"/>
                <w:sz w:val="24"/>
                <w:szCs w:val="24"/>
                <w:highlight w:val="none"/>
              </w:rPr>
              <w:t xml:space="preserve"> </w:t>
            </w:r>
            <w:r>
              <w:rPr>
                <w:rFonts w:hint="eastAsia" w:ascii="宋体" w:hAnsi="宋体" w:cs="宋体"/>
                <w:sz w:val="24"/>
                <w:szCs w:val="24"/>
                <w:highlight w:val="none"/>
              </w:rPr>
              <w:t>购</w:t>
            </w:r>
            <w:r>
              <w:rPr>
                <w:rFonts w:ascii="宋体" w:hAnsi="宋体" w:cs="宋体"/>
                <w:sz w:val="24"/>
                <w:szCs w:val="24"/>
                <w:highlight w:val="none"/>
              </w:rPr>
              <w:t xml:space="preserve"> </w:t>
            </w:r>
            <w:r>
              <w:rPr>
                <w:rFonts w:hint="eastAsia" w:ascii="宋体" w:hAnsi="宋体" w:cs="宋体"/>
                <w:sz w:val="24"/>
                <w:szCs w:val="24"/>
                <w:highlight w:val="none"/>
              </w:rPr>
              <w:t>人：</w:t>
            </w:r>
            <w:r>
              <w:rPr>
                <w:rFonts w:hint="eastAsia" w:ascii="宋体" w:hAnsi="宋体" w:cs="宋体"/>
                <w:sz w:val="24"/>
                <w:szCs w:val="24"/>
                <w:highlight w:val="none"/>
                <w:lang w:eastAsia="zh-CN"/>
              </w:rPr>
              <w:t>无锡市梁溪区瞻江街道办事处</w:t>
            </w:r>
          </w:p>
          <w:p>
            <w:pPr>
              <w:snapToGrid w:val="0"/>
              <w:spacing w:line="440" w:lineRule="exact"/>
              <w:rPr>
                <w:rFonts w:ascii="宋体"/>
                <w:sz w:val="24"/>
                <w:szCs w:val="24"/>
                <w:highlight w:val="none"/>
              </w:rPr>
            </w:pPr>
            <w:r>
              <w:rPr>
                <w:rFonts w:hint="eastAsia" w:ascii="宋体" w:hAnsi="宋体" w:cs="宋体"/>
                <w:sz w:val="24"/>
                <w:szCs w:val="24"/>
                <w:highlight w:val="none"/>
              </w:rPr>
              <w:t>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51" w:type="dxa"/>
            <w:vAlign w:val="center"/>
          </w:tcPr>
          <w:p>
            <w:pPr>
              <w:snapToGrid w:val="0"/>
              <w:spacing w:line="440" w:lineRule="exact"/>
              <w:jc w:val="center"/>
              <w:rPr>
                <w:rFonts w:ascii="宋体"/>
                <w:sz w:val="24"/>
                <w:szCs w:val="24"/>
                <w:highlight w:val="none"/>
              </w:rPr>
            </w:pPr>
            <w:r>
              <w:rPr>
                <w:rFonts w:ascii="宋体" w:hAnsi="宋体" w:cs="宋体"/>
                <w:sz w:val="24"/>
                <w:szCs w:val="24"/>
                <w:highlight w:val="none"/>
              </w:rPr>
              <w:t>2</w:t>
            </w:r>
          </w:p>
        </w:tc>
        <w:tc>
          <w:tcPr>
            <w:tcW w:w="8792" w:type="dxa"/>
            <w:vAlign w:val="center"/>
          </w:tcPr>
          <w:p>
            <w:pPr>
              <w:snapToGrid w:val="0"/>
              <w:spacing w:line="440" w:lineRule="exact"/>
              <w:rPr>
                <w:rFonts w:hint="eastAsia" w:ascii="宋体" w:eastAsia="宋体"/>
                <w:sz w:val="24"/>
                <w:szCs w:val="24"/>
                <w:highlight w:val="none"/>
                <w:lang w:eastAsia="zh-CN"/>
              </w:rPr>
            </w:pPr>
            <w:r>
              <w:rPr>
                <w:rFonts w:hint="eastAsia" w:ascii="宋体" w:hAnsi="宋体" w:cs="宋体"/>
                <w:sz w:val="24"/>
                <w:szCs w:val="24"/>
                <w:highlight w:val="none"/>
              </w:rPr>
              <w:t>采购代理机构：</w:t>
            </w:r>
            <w:r>
              <w:rPr>
                <w:rFonts w:hint="eastAsia" w:ascii="宋体" w:hAnsi="宋体" w:cs="宋体"/>
                <w:sz w:val="24"/>
                <w:szCs w:val="24"/>
                <w:highlight w:val="none"/>
                <w:lang w:eastAsia="zh-CN"/>
              </w:rPr>
              <w:t xml:space="preserve">江苏江南梁鸿建设咨询有限公司 </w:t>
            </w:r>
          </w:p>
          <w:p>
            <w:pPr>
              <w:snapToGrid w:val="0"/>
              <w:spacing w:line="440" w:lineRule="exact"/>
              <w:rPr>
                <w:rFonts w:hint="eastAsia" w:ascii="宋体" w:eastAsia="宋体"/>
                <w:sz w:val="24"/>
                <w:szCs w:val="24"/>
                <w:highlight w:val="none"/>
                <w:lang w:eastAsia="zh-CN"/>
              </w:rPr>
            </w:pPr>
            <w:r>
              <w:rPr>
                <w:rFonts w:hint="eastAsia" w:ascii="宋体" w:hAnsi="宋体" w:cs="宋体"/>
                <w:sz w:val="24"/>
                <w:szCs w:val="24"/>
                <w:highlight w:val="none"/>
              </w:rPr>
              <w:t>地</w:t>
            </w:r>
            <w:r>
              <w:rPr>
                <w:rFonts w:ascii="宋体" w:hAnsi="宋体" w:cs="宋体"/>
                <w:sz w:val="24"/>
                <w:szCs w:val="24"/>
                <w:highlight w:val="none"/>
              </w:rPr>
              <w:t xml:space="preserve">        </w:t>
            </w:r>
            <w:r>
              <w:rPr>
                <w:rFonts w:hint="eastAsia" w:ascii="宋体" w:hAnsi="宋体" w:cs="宋体"/>
                <w:sz w:val="24"/>
                <w:szCs w:val="24"/>
                <w:highlight w:val="none"/>
              </w:rPr>
              <w:t>址：</w:t>
            </w:r>
            <w:r>
              <w:rPr>
                <w:rFonts w:hint="eastAsia" w:ascii="宋体" w:hAnsi="宋体" w:cs="宋体"/>
                <w:sz w:val="24"/>
                <w:szCs w:val="24"/>
                <w:highlight w:val="none"/>
                <w:lang w:eastAsia="zh-CN"/>
              </w:rPr>
              <w:t>无锡市湖滨街15号蠡湖科研大厦17层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dxa"/>
            <w:vAlign w:val="center"/>
          </w:tcPr>
          <w:p>
            <w:pPr>
              <w:snapToGrid w:val="0"/>
              <w:spacing w:line="440" w:lineRule="exact"/>
              <w:jc w:val="center"/>
              <w:rPr>
                <w:rFonts w:ascii="宋体"/>
                <w:sz w:val="24"/>
                <w:szCs w:val="24"/>
                <w:highlight w:val="none"/>
              </w:rPr>
            </w:pPr>
            <w:r>
              <w:rPr>
                <w:rFonts w:ascii="宋体" w:hAnsi="宋体" w:cs="宋体"/>
                <w:sz w:val="24"/>
                <w:szCs w:val="24"/>
                <w:highlight w:val="none"/>
              </w:rPr>
              <w:t>3</w:t>
            </w:r>
          </w:p>
        </w:tc>
        <w:tc>
          <w:tcPr>
            <w:tcW w:w="8792" w:type="dxa"/>
            <w:vAlign w:val="center"/>
          </w:tcPr>
          <w:p>
            <w:pPr>
              <w:widowControl/>
              <w:topLinePunct/>
              <w:snapToGrid w:val="0"/>
              <w:spacing w:line="360" w:lineRule="auto"/>
              <w:rPr>
                <w:rFonts w:ascii="宋体"/>
                <w:sz w:val="24"/>
                <w:szCs w:val="24"/>
                <w:highlight w:val="none"/>
              </w:rPr>
            </w:pPr>
            <w:r>
              <w:rPr>
                <w:rFonts w:hint="eastAsia" w:ascii="宋体" w:hAnsi="宋体" w:cs="宋体"/>
                <w:sz w:val="24"/>
                <w:szCs w:val="24"/>
                <w:highlight w:val="none"/>
              </w:rPr>
              <w:t>招标项目概况、要求：（具体内容、要求详见</w:t>
            </w:r>
            <w:r>
              <w:rPr>
                <w:rFonts w:hint="eastAsia" w:ascii="宋体" w:hAnsi="宋体" w:cs="宋体"/>
                <w:sz w:val="24"/>
                <w:szCs w:val="24"/>
                <w:highlight w:val="none"/>
                <w:lang w:eastAsia="zh-CN"/>
              </w:rPr>
              <w:t>招标文件</w:t>
            </w:r>
            <w:r>
              <w:rPr>
                <w:rFonts w:hint="eastAsia" w:ascii="宋体" w:hAnsi="宋体" w:cs="宋体"/>
                <w:sz w:val="24"/>
                <w:szCs w:val="24"/>
                <w:highlight w:val="none"/>
              </w:rPr>
              <w:t>“三．采购需求”）。</w:t>
            </w:r>
          </w:p>
          <w:p>
            <w:pPr>
              <w:widowControl/>
              <w:numPr>
                <w:ilvl w:val="0"/>
                <w:numId w:val="0"/>
              </w:numPr>
              <w:topLinePunct/>
              <w:snapToGrid w:val="0"/>
              <w:spacing w:line="360" w:lineRule="auto"/>
              <w:rPr>
                <w:rFonts w:hint="eastAsia" w:ascii="宋体" w:hAnsi="宋体"/>
                <w:bCs/>
                <w:color w:val="000000"/>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）项目概况</w:t>
            </w:r>
            <w:r>
              <w:rPr>
                <w:rFonts w:hint="eastAsia" w:ascii="宋体" w:hAnsi="宋体" w:cs="宋体"/>
                <w:sz w:val="24"/>
                <w:szCs w:val="24"/>
                <w:highlight w:val="none"/>
              </w:rPr>
              <w:t>：</w:t>
            </w:r>
            <w:r>
              <w:rPr>
                <w:rFonts w:hint="eastAsia" w:ascii="宋体" w:hAnsi="宋体" w:eastAsia="宋体" w:cs="宋体"/>
                <w:bCs/>
                <w:color w:val="auto"/>
                <w:sz w:val="24"/>
                <w:highlight w:val="none"/>
                <w:lang w:val="en-US" w:eastAsia="zh-CN"/>
              </w:rPr>
              <w:t>针对无锡市梁溪区瞻江街道辖区内日常城市管理工作中存在车辆违法占道停放、占道经营以及其他违法违规停放行为，配合辖区交警、城管部门对辖区范围内市政道路、其他道路、绿化养护范围内的违停车辆进行拖移和停放以及其他临时性指派拖移服务。</w:t>
            </w:r>
            <w:r>
              <w:rPr>
                <w:rFonts w:hint="eastAsia" w:ascii="宋体" w:hAnsi="宋体"/>
                <w:bCs/>
                <w:color w:val="000000"/>
                <w:sz w:val="24"/>
                <w:szCs w:val="24"/>
                <w:highlight w:val="none"/>
                <w:lang w:eastAsia="zh-CN"/>
              </w:rPr>
              <w:t xml:space="preserve">  </w:t>
            </w:r>
          </w:p>
          <w:p>
            <w:pPr>
              <w:widowControl/>
              <w:numPr>
                <w:ilvl w:val="0"/>
                <w:numId w:val="0"/>
              </w:numPr>
              <w:topLinePunct/>
              <w:snapToGrid w:val="0"/>
              <w:spacing w:line="360" w:lineRule="auto"/>
              <w:rPr>
                <w:rFonts w:hint="eastAsia" w:ascii="宋体" w:eastAsia="宋体"/>
                <w:color w:val="auto"/>
                <w:sz w:val="24"/>
                <w:szCs w:val="24"/>
                <w:highlight w:val="none"/>
                <w:lang w:eastAsia="zh-CN"/>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sz w:val="24"/>
                <w:szCs w:val="24"/>
                <w:highlight w:val="none"/>
                <w:lang w:eastAsia="zh-CN"/>
              </w:rPr>
              <w:t>服务期限</w:t>
            </w:r>
            <w:r>
              <w:rPr>
                <w:rFonts w:hint="eastAsia" w:ascii="宋体" w:hAnsi="宋体" w:eastAsia="宋体" w:cs="宋体"/>
                <w:sz w:val="24"/>
                <w:highlight w:val="none"/>
              </w:rPr>
              <w:t>：</w:t>
            </w:r>
            <w:r>
              <w:rPr>
                <w:rFonts w:hint="eastAsia" w:ascii="宋体" w:hAnsi="宋体" w:cs="宋体"/>
                <w:color w:val="auto"/>
                <w:sz w:val="24"/>
                <w:highlight w:val="none"/>
                <w:lang w:val="en-US" w:eastAsia="zh-CN"/>
              </w:rPr>
              <w:t>2024年度。</w:t>
            </w:r>
          </w:p>
          <w:p>
            <w:pPr>
              <w:widowControl/>
              <w:topLinePunct/>
              <w:snapToGrid w:val="0"/>
              <w:spacing w:line="360" w:lineRule="auto"/>
              <w:rPr>
                <w:rFonts w:hint="eastAsia" w:ascii="宋体" w:hAnsi="宋体" w:eastAsia="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）实施地点</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无锡市梁溪区瞻江街道</w:t>
            </w:r>
            <w:r>
              <w:rPr>
                <w:rFonts w:hint="eastAsia" w:ascii="宋体" w:hAnsi="宋体" w:eastAsia="宋体" w:cs="宋体"/>
                <w:sz w:val="24"/>
                <w:highlight w:val="none"/>
              </w:rPr>
              <w:t>范围内。</w:t>
            </w:r>
          </w:p>
          <w:p>
            <w:pPr>
              <w:widowControl/>
              <w:topLinePunct/>
              <w:snapToGrid w:val="0"/>
              <w:spacing w:line="360" w:lineRule="auto"/>
              <w:rPr>
                <w:rFonts w:hint="eastAsia" w:ascii="宋体" w:hAnsi="宋体" w:eastAsia="宋体" w:cs="宋体"/>
                <w:kern w:val="2"/>
                <w:sz w:val="24"/>
                <w:szCs w:val="21"/>
                <w:highlight w:val="none"/>
                <w:lang w:val="en-US" w:eastAsia="zh-CN" w:bidi="ar-SA"/>
              </w:rPr>
            </w:pPr>
            <w:r>
              <w:rPr>
                <w:rFonts w:hint="eastAsia" w:ascii="宋体" w:hAnsi="宋体" w:eastAsia="宋体" w:cs="宋体"/>
                <w:kern w:val="2"/>
                <w:sz w:val="24"/>
                <w:szCs w:val="21"/>
                <w:highlight w:val="none"/>
                <w:lang w:val="en-US" w:eastAsia="zh-CN" w:bidi="ar-SA"/>
              </w:rPr>
              <w:t>（4）安全要求：满足国家相关法律法规的要求，无安全责任事故，且不留安全隐患。</w:t>
            </w:r>
          </w:p>
          <w:p>
            <w:pPr>
              <w:widowControl/>
              <w:topLinePunct/>
              <w:snapToGrid w:val="0"/>
              <w:spacing w:line="360" w:lineRule="auto"/>
              <w:rPr>
                <w:rFonts w:hint="eastAsia" w:ascii="宋体" w:hAnsi="宋体" w:eastAsia="宋体" w:cs="宋体"/>
                <w:kern w:val="2"/>
                <w:sz w:val="24"/>
                <w:szCs w:val="21"/>
                <w:highlight w:val="none"/>
                <w:lang w:val="en-US" w:eastAsia="zh-CN" w:bidi="ar-SA"/>
              </w:rPr>
            </w:pPr>
            <w:r>
              <w:rPr>
                <w:rFonts w:hint="eastAsia" w:ascii="宋体" w:hAnsi="宋体" w:eastAsia="宋体" w:cs="宋体"/>
                <w:kern w:val="2"/>
                <w:sz w:val="24"/>
                <w:szCs w:val="21"/>
                <w:highlight w:val="none"/>
                <w:lang w:val="en-US" w:eastAsia="zh-CN" w:bidi="ar-SA"/>
              </w:rPr>
              <w:t>（5）服务效率：投标供应商提供全天24小时的清障保障，必须确保随叫随到（最多不超过30分钟到达现场）</w:t>
            </w:r>
            <w:r>
              <w:rPr>
                <w:rFonts w:hint="eastAsia" w:ascii="宋体" w:hAnsi="宋体" w:cs="宋体"/>
                <w:kern w:val="2"/>
                <w:sz w:val="24"/>
                <w:szCs w:val="21"/>
                <w:highlight w:val="none"/>
                <w:lang w:val="en-US" w:eastAsia="zh-CN" w:bidi="ar-SA"/>
              </w:rPr>
              <w:t>。</w:t>
            </w:r>
          </w:p>
          <w:p>
            <w:pPr>
              <w:widowControl/>
              <w:topLinePunct/>
              <w:snapToGrid w:val="0"/>
              <w:spacing w:line="360" w:lineRule="auto"/>
              <w:rPr>
                <w:rFonts w:hint="eastAsia" w:ascii="宋体" w:eastAsia="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cs="宋体"/>
                <w:sz w:val="24"/>
                <w:szCs w:val="24"/>
                <w:highlight w:val="none"/>
              </w:rPr>
              <w:t>本项目专门面向中小企业（含监狱企业、残疾人福利性单位）采购</w:t>
            </w:r>
            <w:r>
              <w:rPr>
                <w:rFonts w:hint="eastAsia" w:ascii="宋体" w:hAnsi="宋体" w:cs="宋体"/>
                <w:sz w:val="24"/>
                <w:szCs w:val="24"/>
                <w:highlight w:val="none"/>
                <w:lang w:eastAsia="zh-CN"/>
              </w:rPr>
              <w:t>。</w:t>
            </w:r>
          </w:p>
          <w:p>
            <w:pPr>
              <w:widowControl/>
              <w:topLinePunct/>
              <w:snapToGrid w:val="0"/>
              <w:spacing w:line="360" w:lineRule="auto"/>
              <w:rPr>
                <w:rFonts w:hint="eastAsia" w:ascii="宋体" w:hAnsi="宋体" w:cs="宋体"/>
                <w:sz w:val="24"/>
                <w:szCs w:val="24"/>
                <w:highlight w:val="none"/>
                <w:lang w:eastAsia="zh-CN"/>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）本项目标的所属行业：</w:t>
            </w:r>
            <w:r>
              <w:rPr>
                <w:rFonts w:hint="eastAsia" w:ascii="宋体" w:hAnsi="宋体" w:cs="宋体"/>
                <w:sz w:val="24"/>
                <w:szCs w:val="24"/>
                <w:highlight w:val="none"/>
                <w:lang w:val="en-US" w:eastAsia="zh-CN"/>
              </w:rPr>
              <w:t>其他未列明行业。根据《中小企业划型标准规定》工信部联企业[2011]300号规定，其他未列明行业：从业人员300人以下的为中小微型企业。其中，从业人员100人及以上的为中型企业；从业人员10人及以上的为小型企业；从业人员10人以下的为微型企业</w:t>
            </w:r>
            <w:r>
              <w:rPr>
                <w:rFonts w:hint="eastAsia" w:ascii="宋体" w:hAnsi="宋体" w:cs="宋体"/>
                <w:sz w:val="24"/>
                <w:szCs w:val="24"/>
                <w:highlight w:val="none"/>
                <w:lang w:eastAsia="zh-CN"/>
              </w:rPr>
              <w:t>；</w:t>
            </w:r>
          </w:p>
          <w:p>
            <w:pPr>
              <w:widowControl/>
              <w:topLinePunct/>
              <w:snapToGrid w:val="0"/>
              <w:spacing w:line="360" w:lineRule="auto"/>
              <w:rPr>
                <w:rFonts w:hint="eastAsia" w:ascii="宋体" w:eastAsia="宋体"/>
                <w:sz w:val="24"/>
                <w:szCs w:val="24"/>
                <w:highlight w:val="none"/>
                <w:lang w:eastAsia="zh-CN"/>
              </w:rPr>
            </w:pPr>
            <w:r>
              <w:rPr>
                <w:rFonts w:hint="eastAsia" w:ascii="宋体" w:hAnsi="宋体" w:cs="宋体"/>
                <w:sz w:val="24"/>
                <w:szCs w:val="24"/>
                <w:highlight w:val="none"/>
                <w:lang w:val="en-US" w:eastAsia="zh-CN"/>
              </w:rPr>
              <w:t>（8）最高限价</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45万</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highlight w:val="none"/>
              </w:rPr>
              <w:t>注：</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供应商的投标报价不能超过</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rPr>
              <w:t>设定的最高限价。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51" w:type="dxa"/>
            <w:vAlign w:val="center"/>
          </w:tcPr>
          <w:p>
            <w:pPr>
              <w:snapToGrid w:val="0"/>
              <w:spacing w:line="440" w:lineRule="exact"/>
              <w:jc w:val="center"/>
              <w:rPr>
                <w:rFonts w:ascii="宋体"/>
                <w:sz w:val="24"/>
                <w:szCs w:val="24"/>
                <w:highlight w:val="none"/>
              </w:rPr>
            </w:pPr>
            <w:r>
              <w:rPr>
                <w:rFonts w:ascii="宋体" w:hAnsi="宋体" w:cs="宋体"/>
                <w:sz w:val="24"/>
                <w:szCs w:val="24"/>
                <w:highlight w:val="none"/>
              </w:rPr>
              <w:t>4</w:t>
            </w:r>
          </w:p>
        </w:tc>
        <w:tc>
          <w:tcPr>
            <w:tcW w:w="8792" w:type="dxa"/>
            <w:vAlign w:val="center"/>
          </w:tcPr>
          <w:p>
            <w:pPr>
              <w:widowControl/>
              <w:spacing w:line="360" w:lineRule="auto"/>
              <w:rPr>
                <w:color w:val="auto"/>
                <w:sz w:val="24"/>
                <w:highlight w:val="none"/>
              </w:rPr>
            </w:pPr>
            <w:r>
              <w:rPr>
                <w:rFonts w:hint="eastAsia"/>
                <w:color w:val="auto"/>
                <w:sz w:val="24"/>
                <w:highlight w:val="none"/>
              </w:rPr>
              <w:t>供应商资格要求：</w:t>
            </w:r>
          </w:p>
          <w:p>
            <w:pPr>
              <w:numPr>
                <w:ilvl w:val="0"/>
                <w:numId w:val="0"/>
              </w:numPr>
              <w:spacing w:line="360" w:lineRule="auto"/>
              <w:rPr>
                <w:color w:val="auto"/>
                <w:highlight w:val="none"/>
              </w:rPr>
            </w:pPr>
            <w:r>
              <w:rPr>
                <w:rFonts w:hint="eastAsia" w:ascii="Times New Roman" w:hAnsi="Times New Roman" w:eastAsia="宋体" w:cs="Times New Roman"/>
                <w:color w:val="auto"/>
                <w:kern w:val="2"/>
                <w:sz w:val="24"/>
                <w:szCs w:val="24"/>
                <w:highlight w:val="none"/>
                <w:lang w:val="en-US" w:eastAsia="zh-CN" w:bidi="ar-SA"/>
              </w:rPr>
              <w:t>1.</w:t>
            </w:r>
            <w:r>
              <w:rPr>
                <w:rFonts w:hint="eastAsia"/>
                <w:color w:val="auto"/>
                <w:sz w:val="24"/>
                <w:highlight w:val="none"/>
                <w:lang w:eastAsia="zh-CN"/>
              </w:rPr>
              <w:t>符合《中华人民共和国政府采购法》第二十二条的规定</w:t>
            </w:r>
            <w:r>
              <w:rPr>
                <w:rFonts w:hint="eastAsia"/>
                <w:color w:val="auto"/>
                <w:sz w:val="24"/>
                <w:highlight w:val="none"/>
              </w:rPr>
              <w:t>；</w:t>
            </w:r>
          </w:p>
          <w:p>
            <w:pPr>
              <w:numPr>
                <w:ilvl w:val="0"/>
                <w:numId w:val="0"/>
              </w:numPr>
              <w:spacing w:line="360" w:lineRule="auto"/>
              <w:rPr>
                <w:rFonts w:hint="eastAsia"/>
                <w:color w:val="auto"/>
                <w:sz w:val="24"/>
                <w:highlight w:val="none"/>
                <w:lang w:eastAsia="zh-CN"/>
              </w:rPr>
            </w:pPr>
            <w:r>
              <w:rPr>
                <w:rFonts w:hint="eastAsia"/>
                <w:color w:val="auto"/>
                <w:kern w:val="2"/>
                <w:sz w:val="24"/>
                <w:szCs w:val="24"/>
                <w:highlight w:val="none"/>
                <w:lang w:val="en-US" w:eastAsia="zh-CN" w:bidi="ar-SA"/>
              </w:rPr>
              <w:t>2.</w:t>
            </w:r>
            <w:r>
              <w:rPr>
                <w:rFonts w:hint="eastAsia"/>
                <w:color w:val="auto"/>
                <w:sz w:val="24"/>
                <w:highlight w:val="none"/>
                <w:lang w:eastAsia="zh-CN"/>
              </w:rPr>
              <w:t>未被“信用中国”（www.creditchina.gov.cn）、中国政府采购网（www.ccgp.gov.cn）列入失信被执行人、重大税收违法案件当事人名单、政府采购严重违法失信行为记录名单；</w:t>
            </w:r>
          </w:p>
          <w:p>
            <w:pPr>
              <w:spacing w:line="360" w:lineRule="auto"/>
              <w:rPr>
                <w:rFonts w:hint="eastAsia" w:eastAsia="宋体"/>
                <w:color w:val="auto"/>
                <w:sz w:val="24"/>
                <w:highlight w:val="none"/>
                <w:lang w:eastAsia="zh-CN"/>
              </w:rPr>
            </w:pPr>
            <w:r>
              <w:rPr>
                <w:rFonts w:hint="eastAsia"/>
                <w:color w:val="auto"/>
                <w:sz w:val="24"/>
                <w:highlight w:val="none"/>
                <w:lang w:val="en-US" w:eastAsia="zh-CN"/>
              </w:rPr>
              <w:t>3</w:t>
            </w:r>
            <w:r>
              <w:rPr>
                <w:rFonts w:hint="eastAsia"/>
                <w:color w:val="auto"/>
                <w:sz w:val="24"/>
                <w:highlight w:val="none"/>
              </w:rPr>
              <w:t>.</w:t>
            </w:r>
            <w:r>
              <w:rPr>
                <w:rFonts w:ascii="宋体" w:hAnsi="宋体" w:eastAsia="宋体" w:cs="宋体"/>
                <w:color w:val="auto"/>
                <w:sz w:val="24"/>
                <w:szCs w:val="24"/>
                <w:highlight w:val="none"/>
              </w:rPr>
              <w:t>落实政府采购政策需满足的资格要求：本项目专门面向中小企业，资格证明文件中必须提交《中小企业声明函》或《监狱企业证明文件》或《残疾人福利性单位声明函》</w:t>
            </w:r>
            <w:r>
              <w:rPr>
                <w:rFonts w:hint="eastAsia" w:eastAsia="宋体"/>
                <w:color w:val="auto"/>
                <w:sz w:val="24"/>
                <w:highlight w:val="none"/>
                <w:lang w:eastAsia="zh-CN"/>
              </w:rPr>
              <w:t>；</w:t>
            </w:r>
          </w:p>
          <w:p>
            <w:pPr>
              <w:spacing w:line="360" w:lineRule="auto"/>
              <w:rPr>
                <w:rFonts w:hint="eastAsia"/>
                <w:color w:val="auto"/>
                <w:sz w:val="24"/>
                <w:highlight w:val="none"/>
              </w:rPr>
            </w:pPr>
            <w:r>
              <w:rPr>
                <w:rFonts w:hint="eastAsia"/>
                <w:color w:val="auto"/>
                <w:sz w:val="24"/>
                <w:highlight w:val="none"/>
                <w:lang w:val="en-US" w:eastAsia="zh-CN"/>
              </w:rPr>
              <w:t>4</w:t>
            </w:r>
            <w:r>
              <w:rPr>
                <w:rFonts w:hint="eastAsia"/>
                <w:color w:val="auto"/>
                <w:sz w:val="24"/>
                <w:highlight w:val="none"/>
              </w:rPr>
              <w:t>.本项目的特定资格要求：</w:t>
            </w:r>
          </w:p>
          <w:p>
            <w:pPr>
              <w:spacing w:line="360" w:lineRule="auto"/>
              <w:rPr>
                <w:rFonts w:hint="eastAsia"/>
                <w:color w:val="auto"/>
                <w:sz w:val="24"/>
                <w:highlight w:val="none"/>
                <w:lang w:val="en-US" w:eastAsia="zh-CN"/>
              </w:rPr>
            </w:pPr>
            <w:r>
              <w:rPr>
                <w:rFonts w:hint="eastAsia"/>
                <w:color w:val="auto"/>
                <w:sz w:val="24"/>
                <w:highlight w:val="none"/>
                <w:lang w:val="en-US" w:eastAsia="zh-CN"/>
              </w:rPr>
              <w:t>1）投标供应商应为中华人民共和国境内注册、具有独立法人资格；</w:t>
            </w:r>
          </w:p>
          <w:p>
            <w:pPr>
              <w:spacing w:line="360" w:lineRule="auto"/>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w:t>
            </w:r>
            <w:r>
              <w:rPr>
                <w:rFonts w:hint="eastAsia"/>
                <w:color w:val="auto"/>
                <w:sz w:val="24"/>
                <w:szCs w:val="24"/>
                <w:highlight w:val="none"/>
                <w:lang w:val="en-US" w:eastAsia="zh-CN"/>
              </w:rPr>
              <w:t>授权委托人</w:t>
            </w:r>
            <w:r>
              <w:rPr>
                <w:rFonts w:hint="eastAsia"/>
                <w:color w:val="auto"/>
                <w:sz w:val="24"/>
                <w:highlight w:val="none"/>
              </w:rPr>
              <w:t>、项目负责人</w:t>
            </w:r>
            <w:r>
              <w:rPr>
                <w:rFonts w:hint="eastAsia"/>
                <w:color w:val="auto"/>
                <w:sz w:val="24"/>
                <w:highlight w:val="none"/>
                <w:lang w:val="en-US" w:eastAsia="zh-CN"/>
              </w:rPr>
              <w:t>应为投标供应商企业</w:t>
            </w:r>
            <w:r>
              <w:rPr>
                <w:rFonts w:hint="eastAsia"/>
                <w:color w:val="auto"/>
                <w:sz w:val="24"/>
                <w:highlight w:val="none"/>
              </w:rPr>
              <w:t>在职职工</w:t>
            </w:r>
            <w:r>
              <w:rPr>
                <w:rFonts w:hint="eastAsia"/>
                <w:color w:val="auto"/>
                <w:sz w:val="24"/>
                <w:highlight w:val="none"/>
                <w:lang w:eastAsia="zh-CN"/>
              </w:rPr>
              <w:t>，</w:t>
            </w:r>
            <w:r>
              <w:rPr>
                <w:rFonts w:hint="eastAsia"/>
                <w:color w:val="auto"/>
                <w:sz w:val="24"/>
                <w:highlight w:val="none"/>
                <w:lang w:val="en-US" w:eastAsia="zh-CN"/>
              </w:rPr>
              <w:t>并</w:t>
            </w:r>
            <w:r>
              <w:rPr>
                <w:rFonts w:hint="eastAsia"/>
                <w:color w:val="auto"/>
                <w:sz w:val="24"/>
                <w:szCs w:val="24"/>
                <w:highlight w:val="none"/>
                <w:lang w:val="en-US" w:eastAsia="zh-CN"/>
              </w:rPr>
              <w:t>应具备与企业签订的劳动合同和【《职工养老保险手册》（内附2023年5月～2023年10月的缴费清单）或由社保机构出具的2023年5月～2023年10月的缴费证明】原件扫描件；（如投标供应商成立时间迟于要求开始的时间，则时间要求为投标供应商成立时间至截止时间。）</w:t>
            </w:r>
            <w:r>
              <w:rPr>
                <w:rFonts w:hint="eastAsia"/>
                <w:color w:val="auto"/>
                <w:sz w:val="24"/>
                <w:highlight w:val="none"/>
              </w:rPr>
              <w:br w:type="textWrapping"/>
            </w:r>
            <w:r>
              <w:rPr>
                <w:rFonts w:hint="eastAsia"/>
                <w:color w:val="auto"/>
                <w:sz w:val="24"/>
                <w:highlight w:val="none"/>
                <w:lang w:val="en-US" w:eastAsia="zh-CN"/>
              </w:rPr>
              <w:t>3</w:t>
            </w:r>
            <w:r>
              <w:rPr>
                <w:rFonts w:hint="eastAsia"/>
                <w:color w:val="auto"/>
                <w:sz w:val="24"/>
                <w:highlight w:val="none"/>
              </w:rPr>
              <w:t>）本项目</w:t>
            </w:r>
            <w:r>
              <w:rPr>
                <w:rFonts w:hint="eastAsia"/>
                <w:color w:val="auto"/>
                <w:sz w:val="24"/>
                <w:highlight w:val="none"/>
                <w:lang w:val="en-US" w:eastAsia="zh-CN"/>
              </w:rPr>
              <w:t>不</w:t>
            </w:r>
            <w:r>
              <w:rPr>
                <w:rFonts w:hint="eastAsia"/>
                <w:color w:val="auto"/>
                <w:sz w:val="24"/>
                <w:highlight w:val="none"/>
              </w:rPr>
              <w:t>接受联合体</w:t>
            </w:r>
            <w:r>
              <w:rPr>
                <w:rFonts w:hint="eastAsia"/>
                <w:color w:val="auto"/>
                <w:sz w:val="24"/>
                <w:highlight w:val="none"/>
                <w:lang w:val="en-US" w:eastAsia="zh-CN"/>
              </w:rPr>
              <w:t>投标</w:t>
            </w:r>
            <w:r>
              <w:rPr>
                <w:rFonts w:hint="eastAsia"/>
                <w:color w:val="auto"/>
                <w:sz w:val="24"/>
                <w:highlight w:val="none"/>
              </w:rPr>
              <w:t>。</w:t>
            </w:r>
          </w:p>
          <w:p>
            <w:pPr>
              <w:widowControl/>
              <w:numPr>
                <w:ilvl w:val="0"/>
                <w:numId w:val="0"/>
              </w:numPr>
              <w:tabs>
                <w:tab w:val="left" w:pos="360"/>
                <w:tab w:val="left" w:pos="960"/>
              </w:tabs>
              <w:spacing w:line="440" w:lineRule="exact"/>
              <w:jc w:val="left"/>
              <w:rPr>
                <w:rFonts w:ascii="宋体"/>
                <w:highlight w:val="none"/>
              </w:rPr>
            </w:pPr>
            <w:r>
              <w:rPr>
                <w:rFonts w:hint="eastAsia"/>
                <w:color w:val="auto"/>
                <w:sz w:val="24"/>
                <w:highlight w:val="none"/>
                <w:lang w:val="en-US" w:eastAsia="zh-CN"/>
              </w:rPr>
              <w:t>4</w:t>
            </w:r>
            <w:r>
              <w:rPr>
                <w:rFonts w:hint="eastAsia"/>
                <w:color w:val="auto"/>
                <w:sz w:val="24"/>
                <w:highlight w:val="none"/>
              </w:rPr>
              <w:t>）其他规定</w:t>
            </w:r>
            <w:r>
              <w:rPr>
                <w:rFonts w:hint="eastAsia"/>
                <w:color w:val="auto"/>
                <w:sz w:val="24"/>
                <w:highlight w:val="none"/>
                <w:lang w:eastAsia="zh-CN"/>
              </w:rPr>
              <w:t>：</w:t>
            </w:r>
            <w:r>
              <w:rPr>
                <w:rFonts w:hint="eastAsia" w:ascii="宋体" w:hAnsi="宋体" w:cs="Times New Roman"/>
                <w:bCs/>
                <w:color w:val="auto"/>
                <w:kern w:val="2"/>
                <w:sz w:val="24"/>
                <w:szCs w:val="24"/>
                <w:highlight w:val="none"/>
                <w:u w:val="none" w:color="auto"/>
                <w:lang w:val="en-US" w:eastAsia="zh-CN"/>
              </w:rPr>
              <w:t>单位负责人为同一人或者存在直接控股、管理关系的不同供应商，不得参加同一合同项下的政府采购活动</w:t>
            </w:r>
            <w:r>
              <w:rPr>
                <w:rFonts w:hint="eastAsia"/>
                <w:color w:val="auto"/>
                <w:sz w:val="24"/>
                <w:highlight w:val="none"/>
              </w:rPr>
              <w:t>，否则均作为无效报价处理。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51" w:type="dxa"/>
            <w:vAlign w:val="center"/>
          </w:tcPr>
          <w:p>
            <w:pPr>
              <w:snapToGrid w:val="0"/>
              <w:spacing w:line="440" w:lineRule="exact"/>
              <w:jc w:val="center"/>
              <w:rPr>
                <w:rFonts w:ascii="宋体"/>
                <w:sz w:val="24"/>
                <w:szCs w:val="24"/>
                <w:highlight w:val="none"/>
              </w:rPr>
            </w:pPr>
            <w:r>
              <w:rPr>
                <w:rFonts w:ascii="宋体" w:hAnsi="宋体" w:cs="宋体"/>
                <w:sz w:val="24"/>
                <w:szCs w:val="24"/>
                <w:highlight w:val="none"/>
              </w:rPr>
              <w:t>5</w:t>
            </w:r>
          </w:p>
        </w:tc>
        <w:tc>
          <w:tcPr>
            <w:tcW w:w="8792" w:type="dxa"/>
            <w:vAlign w:val="center"/>
          </w:tcPr>
          <w:p>
            <w:pPr>
              <w:snapToGrid w:val="0"/>
              <w:spacing w:line="440" w:lineRule="exact"/>
              <w:rPr>
                <w:rFonts w:ascii="宋体"/>
                <w:sz w:val="24"/>
                <w:szCs w:val="24"/>
                <w:highlight w:val="none"/>
              </w:rPr>
            </w:pPr>
            <w:r>
              <w:rPr>
                <w:rFonts w:hint="eastAsia" w:ascii="宋体" w:hAnsi="宋体" w:cs="宋体"/>
                <w:sz w:val="24"/>
                <w:szCs w:val="24"/>
                <w:highlight w:val="none"/>
              </w:rPr>
              <w:t>资金来源：财政资金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751" w:type="dxa"/>
            <w:vAlign w:val="center"/>
          </w:tcPr>
          <w:p>
            <w:pPr>
              <w:snapToGrid w:val="0"/>
              <w:spacing w:line="440" w:lineRule="exact"/>
              <w:jc w:val="center"/>
              <w:rPr>
                <w:rFonts w:ascii="宋体"/>
                <w:sz w:val="24"/>
                <w:szCs w:val="24"/>
                <w:highlight w:val="none"/>
              </w:rPr>
            </w:pPr>
            <w:r>
              <w:rPr>
                <w:rFonts w:ascii="宋体" w:hAnsi="宋体" w:cs="宋体"/>
                <w:sz w:val="24"/>
                <w:szCs w:val="24"/>
                <w:highlight w:val="none"/>
              </w:rPr>
              <w:t>6</w:t>
            </w:r>
          </w:p>
        </w:tc>
        <w:tc>
          <w:tcPr>
            <w:tcW w:w="8792" w:type="dxa"/>
            <w:vAlign w:val="center"/>
          </w:tcPr>
          <w:p>
            <w:pPr>
              <w:widowControl/>
              <w:topLinePunct/>
              <w:spacing w:line="360" w:lineRule="auto"/>
              <w:rPr>
                <w:rFonts w:hint="eastAsia" w:ascii="宋体" w:hAnsi="宋体"/>
                <w:color w:val="000000"/>
                <w:sz w:val="24"/>
                <w:highlight w:val="none"/>
              </w:rPr>
            </w:pPr>
            <w:r>
              <w:rPr>
                <w:rFonts w:hint="eastAsia" w:ascii="宋体" w:hAnsi="宋体"/>
                <w:sz w:val="24"/>
                <w:highlight w:val="none"/>
              </w:rPr>
              <w:t>提供招标文件期限：</w:t>
            </w:r>
            <w:r>
              <w:rPr>
                <w:rFonts w:hint="eastAsia" w:ascii="宋体" w:hAnsi="宋体" w:cs="宋体"/>
                <w:kern w:val="0"/>
                <w:sz w:val="24"/>
                <w:highlight w:val="none"/>
              </w:rPr>
              <w:t>公告发布之日起五个工作日内</w:t>
            </w:r>
            <w:r>
              <w:rPr>
                <w:rFonts w:hint="eastAsia" w:ascii="宋体" w:hAnsi="宋体"/>
                <w:color w:val="000000"/>
                <w:sz w:val="24"/>
                <w:highlight w:val="none"/>
              </w:rPr>
              <w:t>。</w:t>
            </w:r>
          </w:p>
          <w:p>
            <w:pPr>
              <w:snapToGrid w:val="0"/>
              <w:spacing w:line="440" w:lineRule="exact"/>
              <w:rPr>
                <w:rFonts w:ascii="宋体"/>
                <w:sz w:val="24"/>
                <w:szCs w:val="24"/>
                <w:highlight w:val="none"/>
              </w:rPr>
            </w:pPr>
            <w:r>
              <w:rPr>
                <w:rFonts w:hint="eastAsia" w:ascii="宋体" w:hAnsi="宋体" w:cs="宋体"/>
                <w:kern w:val="0"/>
                <w:sz w:val="24"/>
                <w:highlight w:val="none"/>
              </w:rPr>
              <w:t>潜在</w:t>
            </w:r>
            <w:r>
              <w:rPr>
                <w:rFonts w:hint="eastAsia" w:ascii="宋体" w:hAnsi="宋体" w:cs="宋体"/>
                <w:kern w:val="0"/>
                <w:sz w:val="24"/>
                <w:highlight w:val="none"/>
                <w:lang w:eastAsia="zh-CN"/>
              </w:rPr>
              <w:t>投标供应商</w:t>
            </w:r>
            <w:r>
              <w:rPr>
                <w:rFonts w:hint="eastAsia" w:ascii="宋体" w:hAnsi="宋体" w:cs="宋体"/>
                <w:kern w:val="0"/>
                <w:sz w:val="24"/>
                <w:highlight w:val="none"/>
              </w:rPr>
              <w:t>可在项目招标公告附件中查看招标文件，如确定投标，必须在政采云平台（http://login.wuxi.zcygov.cn/user-login/#/login）中免费下载招标文件（“项目采购-获取</w:t>
            </w:r>
            <w:r>
              <w:rPr>
                <w:rFonts w:hint="eastAsia" w:ascii="宋体" w:hAnsi="宋体" w:cs="宋体"/>
                <w:kern w:val="0"/>
                <w:sz w:val="24"/>
                <w:highlight w:val="none"/>
                <w:lang w:eastAsia="zh-CN"/>
              </w:rPr>
              <w:t>招标文件</w:t>
            </w:r>
            <w:r>
              <w:rPr>
                <w:rFonts w:hint="eastAsia" w:ascii="宋体" w:hAnsi="宋体" w:cs="宋体"/>
                <w:kern w:val="0"/>
                <w:sz w:val="24"/>
                <w:highlight w:val="none"/>
              </w:rPr>
              <w:t>管理-待申请”标签页下，找到需要获取</w:t>
            </w:r>
            <w:r>
              <w:rPr>
                <w:rFonts w:hint="eastAsia" w:ascii="宋体" w:hAnsi="宋体" w:cs="宋体"/>
                <w:kern w:val="0"/>
                <w:sz w:val="24"/>
                <w:highlight w:val="none"/>
                <w:lang w:eastAsia="zh-CN"/>
              </w:rPr>
              <w:t>招标文件</w:t>
            </w:r>
            <w:r>
              <w:rPr>
                <w:rFonts w:hint="eastAsia" w:ascii="宋体" w:hAnsi="宋体" w:cs="宋体"/>
                <w:kern w:val="0"/>
                <w:sz w:val="24"/>
                <w:highlight w:val="none"/>
              </w:rPr>
              <w:t>的项目，点击“申请获取</w:t>
            </w:r>
            <w:r>
              <w:rPr>
                <w:rFonts w:hint="eastAsia" w:ascii="宋体" w:hAnsi="宋体" w:cs="宋体"/>
                <w:kern w:val="0"/>
                <w:sz w:val="24"/>
                <w:highlight w:val="none"/>
                <w:lang w:eastAsia="zh-CN"/>
              </w:rPr>
              <w:t>招标文件</w:t>
            </w:r>
            <w:r>
              <w:rPr>
                <w:rFonts w:hint="eastAsia" w:ascii="宋体" w:hAnsi="宋体" w:cs="宋体"/>
                <w:kern w:val="0"/>
                <w:sz w:val="24"/>
                <w:highlight w:val="none"/>
              </w:rPr>
              <w:t>”），完成</w:t>
            </w:r>
            <w:r>
              <w:rPr>
                <w:rFonts w:hint="eastAsia" w:ascii="宋体" w:hAnsi="宋体" w:eastAsia="宋体" w:cs="宋体"/>
                <w:kern w:val="0"/>
                <w:sz w:val="24"/>
                <w:highlight w:val="none"/>
                <w:lang w:val="zh-CN"/>
              </w:rPr>
              <w:t>项目</w:t>
            </w:r>
            <w:r>
              <w:rPr>
                <w:rFonts w:hint="eastAsia" w:ascii="宋体" w:hAnsi="宋体" w:eastAsia="宋体" w:cs="宋体"/>
                <w:kern w:val="0"/>
                <w:sz w:val="24"/>
                <w:highlight w:val="none"/>
                <w:lang w:val="en-US" w:eastAsia="zh-CN"/>
              </w:rPr>
              <w:t>采购文件获取</w:t>
            </w:r>
            <w:r>
              <w:rPr>
                <w:rFonts w:hint="eastAsia" w:ascii="宋体" w:hAnsi="宋体" w:cs="宋体"/>
                <w:kern w:val="0"/>
                <w:sz w:val="24"/>
                <w:highlight w:val="none"/>
              </w:rPr>
              <w:t>，方可按要求制作、上传投标文件，对招标文件各项内容做出实质性响应，否则其投标文件无效</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本项目为线上不见面采购，无需到开标现场也无需递交纸质文件。</w:t>
            </w:r>
            <w:r>
              <w:rPr>
                <w:rFonts w:hint="eastAsia" w:ascii="宋体" w:hAnsi="宋体" w:eastAsia="宋体" w:cs="宋体"/>
                <w:kern w:val="0"/>
                <w:sz w:val="24"/>
                <w:highlight w:val="none"/>
              </w:rPr>
              <w:t>供应商应承担其编</w:t>
            </w:r>
            <w:r>
              <w:rPr>
                <w:rFonts w:hint="eastAsia" w:ascii="宋体" w:hAnsi="宋体" w:cs="宋体"/>
                <w:kern w:val="0"/>
                <w:sz w:val="24"/>
                <w:highlight w:val="none"/>
              </w:rPr>
              <w:t>制投标文件以及递交投标文件所涉及的一切费用。无论投标结果如何，采购人对上述费用不负任何责任。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751" w:type="dxa"/>
            <w:vAlign w:val="center"/>
          </w:tcPr>
          <w:p>
            <w:pPr>
              <w:snapToGrid w:val="0"/>
              <w:spacing w:line="440" w:lineRule="exact"/>
              <w:jc w:val="center"/>
              <w:rPr>
                <w:rFonts w:ascii="宋体"/>
                <w:sz w:val="24"/>
                <w:szCs w:val="24"/>
                <w:highlight w:val="none"/>
              </w:rPr>
            </w:pPr>
            <w:r>
              <w:rPr>
                <w:rFonts w:ascii="宋体" w:hAnsi="宋体" w:cs="宋体"/>
                <w:sz w:val="24"/>
                <w:szCs w:val="24"/>
                <w:highlight w:val="none"/>
              </w:rPr>
              <w:t>7</w:t>
            </w:r>
          </w:p>
        </w:tc>
        <w:tc>
          <w:tcPr>
            <w:tcW w:w="8792" w:type="dxa"/>
            <w:vAlign w:val="center"/>
          </w:tcPr>
          <w:p>
            <w:pPr>
              <w:snapToGrid w:val="0"/>
              <w:spacing w:line="440" w:lineRule="exact"/>
              <w:rPr>
                <w:rFonts w:hint="eastAsia" w:ascii="宋体" w:hAnsi="宋体" w:cs="宋体"/>
                <w:kern w:val="0"/>
                <w:sz w:val="24"/>
                <w:highlight w:val="none"/>
              </w:rPr>
            </w:pPr>
            <w:r>
              <w:rPr>
                <w:rFonts w:hint="eastAsia" w:ascii="宋体" w:hAnsi="宋体" w:cs="宋体"/>
                <w:kern w:val="0"/>
                <w:sz w:val="24"/>
                <w:highlight w:val="none"/>
              </w:rPr>
              <w:t>提疑截止时间：202</w:t>
            </w:r>
            <w:r>
              <w:rPr>
                <w:rFonts w:hint="eastAsia" w:ascii="宋体" w:hAnsi="宋体" w:cs="宋体"/>
                <w:kern w:val="0"/>
                <w:sz w:val="24"/>
                <w:highlight w:val="none"/>
                <w:lang w:val="en-US" w:eastAsia="zh-CN"/>
              </w:rPr>
              <w:t>3</w:t>
            </w:r>
            <w:r>
              <w:rPr>
                <w:rFonts w:hint="eastAsia" w:ascii="宋体" w:hAnsi="宋体" w:cs="宋体"/>
                <w:kern w:val="0"/>
                <w:sz w:val="24"/>
                <w:highlight w:val="none"/>
              </w:rPr>
              <w:t>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04</w:t>
            </w:r>
            <w:r>
              <w:rPr>
                <w:rFonts w:hint="eastAsia" w:ascii="宋体" w:hAnsi="宋体" w:cs="宋体"/>
                <w:kern w:val="0"/>
                <w:sz w:val="24"/>
                <w:highlight w:val="none"/>
              </w:rPr>
              <w:t>日</w:t>
            </w:r>
            <w:r>
              <w:rPr>
                <w:rFonts w:hint="eastAsia" w:ascii="宋体" w:hAnsi="宋体" w:cs="宋体"/>
                <w:kern w:val="0"/>
                <w:sz w:val="24"/>
                <w:highlight w:val="none"/>
                <w:lang w:val="en-US" w:eastAsia="zh-CN"/>
              </w:rPr>
              <w:t>17</w:t>
            </w:r>
            <w:r>
              <w:rPr>
                <w:rFonts w:hint="eastAsia" w:ascii="宋体" w:hAnsi="宋体" w:cs="宋体"/>
                <w:kern w:val="0"/>
                <w:sz w:val="24"/>
                <w:highlight w:val="none"/>
              </w:rPr>
              <w:t>：</w:t>
            </w:r>
            <w:r>
              <w:rPr>
                <w:rFonts w:hint="eastAsia" w:ascii="宋体" w:hAnsi="宋体" w:cs="宋体"/>
                <w:kern w:val="0"/>
                <w:sz w:val="24"/>
                <w:highlight w:val="none"/>
                <w:lang w:val="en-US" w:eastAsia="zh-CN"/>
              </w:rPr>
              <w:t>00</w:t>
            </w:r>
            <w:r>
              <w:rPr>
                <w:rFonts w:hint="eastAsia" w:ascii="宋体" w:hAnsi="宋体" w:cs="宋体"/>
                <w:kern w:val="0"/>
                <w:sz w:val="24"/>
                <w:highlight w:val="none"/>
              </w:rPr>
              <w:t>时，以书面传真形式和电子邮件形式发送给采购代理机构；</w:t>
            </w:r>
          </w:p>
          <w:p>
            <w:pPr>
              <w:snapToGrid w:val="0"/>
              <w:spacing w:line="440" w:lineRule="exact"/>
              <w:rPr>
                <w:rFonts w:ascii="宋体"/>
                <w:sz w:val="24"/>
                <w:szCs w:val="24"/>
                <w:highlight w:val="none"/>
              </w:rPr>
            </w:pPr>
            <w:r>
              <w:rPr>
                <w:rFonts w:hint="eastAsia" w:ascii="宋体" w:hAnsi="宋体" w:cs="宋体"/>
                <w:kern w:val="0"/>
                <w:sz w:val="24"/>
                <w:highlight w:val="none"/>
              </w:rPr>
              <w:t>答疑时间：202</w:t>
            </w:r>
            <w:r>
              <w:rPr>
                <w:rFonts w:hint="eastAsia" w:ascii="宋体" w:hAnsi="宋体" w:cs="宋体"/>
                <w:kern w:val="0"/>
                <w:sz w:val="24"/>
                <w:highlight w:val="none"/>
                <w:lang w:val="en-US" w:eastAsia="zh-CN"/>
              </w:rPr>
              <w:t>3</w:t>
            </w:r>
            <w:r>
              <w:rPr>
                <w:rFonts w:hint="eastAsia" w:ascii="宋体" w:hAnsi="宋体" w:cs="宋体"/>
                <w:kern w:val="0"/>
                <w:sz w:val="24"/>
                <w:highlight w:val="none"/>
              </w:rPr>
              <w:t>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04</w:t>
            </w:r>
            <w:r>
              <w:rPr>
                <w:rFonts w:hint="eastAsia" w:ascii="宋体" w:hAnsi="宋体" w:cs="宋体"/>
                <w:kern w:val="0"/>
                <w:sz w:val="24"/>
                <w:highlight w:val="none"/>
              </w:rPr>
              <w:t>日1</w:t>
            </w:r>
            <w:r>
              <w:rPr>
                <w:rFonts w:hint="eastAsia" w:ascii="宋体" w:hAnsi="宋体" w:cs="宋体"/>
                <w:kern w:val="0"/>
                <w:sz w:val="24"/>
                <w:highlight w:val="none"/>
                <w:lang w:val="en-US" w:eastAsia="zh-CN"/>
              </w:rPr>
              <w:t>8：</w:t>
            </w:r>
            <w:r>
              <w:rPr>
                <w:rFonts w:hint="eastAsia" w:ascii="宋体" w:hAnsi="宋体" w:cs="宋体"/>
                <w:kern w:val="0"/>
                <w:sz w:val="24"/>
                <w:highlight w:val="none"/>
              </w:rPr>
              <w:t>00时前，以书面形式或电子邮件形式发送给</w:t>
            </w:r>
            <w:r>
              <w:rPr>
                <w:rFonts w:hint="eastAsia" w:ascii="宋体" w:hAnsi="宋体" w:cs="宋体"/>
                <w:color w:val="auto"/>
                <w:kern w:val="0"/>
                <w:sz w:val="24"/>
                <w:highlight w:val="none"/>
              </w:rPr>
              <w:t>各投标供应商；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napToGrid w:val="0"/>
              <w:spacing w:line="440" w:lineRule="exact"/>
              <w:jc w:val="center"/>
              <w:rPr>
                <w:rFonts w:ascii="宋体"/>
                <w:sz w:val="24"/>
                <w:szCs w:val="24"/>
                <w:highlight w:val="none"/>
              </w:rPr>
            </w:pPr>
            <w:r>
              <w:rPr>
                <w:rFonts w:ascii="宋体" w:hAnsi="宋体" w:cs="宋体"/>
                <w:sz w:val="24"/>
                <w:szCs w:val="24"/>
                <w:highlight w:val="none"/>
              </w:rPr>
              <w:t>8</w:t>
            </w:r>
          </w:p>
        </w:tc>
        <w:tc>
          <w:tcPr>
            <w:tcW w:w="8792" w:type="dxa"/>
            <w:vAlign w:val="center"/>
          </w:tcPr>
          <w:p>
            <w:pPr>
              <w:snapToGrid w:val="0"/>
              <w:spacing w:line="440" w:lineRule="exact"/>
              <w:rPr>
                <w:rFonts w:ascii="宋体"/>
                <w:sz w:val="24"/>
                <w:szCs w:val="24"/>
                <w:highlight w:val="none"/>
              </w:rPr>
            </w:pPr>
            <w:r>
              <w:rPr>
                <w:rFonts w:hint="eastAsia" w:ascii="宋体" w:hAnsi="宋体" w:cs="宋体"/>
                <w:sz w:val="24"/>
                <w:szCs w:val="24"/>
                <w:highlight w:val="none"/>
              </w:rPr>
              <w:t>投标有效期：开标之日起</w:t>
            </w:r>
            <w:r>
              <w:rPr>
                <w:rFonts w:ascii="宋体" w:hAnsi="宋体" w:cs="宋体"/>
                <w:sz w:val="24"/>
                <w:szCs w:val="24"/>
                <w:highlight w:val="none"/>
              </w:rPr>
              <w:t>90</w:t>
            </w:r>
            <w:r>
              <w:rPr>
                <w:rFonts w:hint="eastAsia" w:ascii="宋体" w:hAnsi="宋体" w:cs="宋体"/>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51" w:type="dxa"/>
            <w:vAlign w:val="center"/>
          </w:tcPr>
          <w:p>
            <w:pPr>
              <w:snapToGrid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8792" w:type="dxa"/>
            <w:vAlign w:val="center"/>
          </w:tcPr>
          <w:p>
            <w:pPr>
              <w:snapToGrid w:val="0"/>
              <w:spacing w:line="440" w:lineRule="exact"/>
              <w:rPr>
                <w:rFonts w:hint="eastAsia" w:ascii="宋体" w:hAnsi="宋体" w:eastAsia="宋体" w:cs="宋体"/>
                <w:b/>
                <w:bCs/>
                <w:kern w:val="0"/>
                <w:sz w:val="24"/>
                <w:highlight w:val="none"/>
              </w:rPr>
            </w:pPr>
            <w:r>
              <w:rPr>
                <w:rFonts w:hint="eastAsia" w:ascii="宋体" w:hAnsi="宋体" w:eastAsia="宋体" w:cs="宋体"/>
                <w:kern w:val="0"/>
                <w:sz w:val="24"/>
                <w:highlight w:val="none"/>
                <w:lang w:val="en-US" w:eastAsia="zh-CN"/>
              </w:rPr>
              <w:t>网上投标截</w:t>
            </w:r>
            <w:r>
              <w:rPr>
                <w:rFonts w:hint="eastAsia" w:ascii="宋体" w:hAnsi="宋体" w:eastAsia="宋体" w:cs="宋体"/>
                <w:kern w:val="0"/>
                <w:sz w:val="24"/>
                <w:highlight w:val="none"/>
              </w:rPr>
              <w:t>止时间：202</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年</w:t>
            </w:r>
            <w:r>
              <w:rPr>
                <w:rFonts w:hint="eastAsia" w:ascii="宋体" w:hAnsi="宋体" w:cs="宋体"/>
                <w:kern w:val="0"/>
                <w:sz w:val="24"/>
                <w:highlight w:val="none"/>
                <w:lang w:val="en-US" w:eastAsia="zh-CN"/>
              </w:rPr>
              <w:t>12</w:t>
            </w:r>
            <w:r>
              <w:rPr>
                <w:rFonts w:hint="eastAsia" w:ascii="宋体" w:hAnsi="宋体" w:eastAsia="宋体" w:cs="宋体"/>
                <w:kern w:val="0"/>
                <w:sz w:val="24"/>
                <w:highlight w:val="none"/>
              </w:rPr>
              <w:t>月</w:t>
            </w:r>
            <w:r>
              <w:rPr>
                <w:rFonts w:hint="eastAsia" w:ascii="宋体" w:hAnsi="宋体" w:cs="宋体"/>
                <w:kern w:val="0"/>
                <w:sz w:val="24"/>
                <w:highlight w:val="none"/>
                <w:lang w:val="en-US" w:eastAsia="zh-CN"/>
              </w:rPr>
              <w:t>20</w:t>
            </w:r>
            <w:r>
              <w:rPr>
                <w:rFonts w:hint="eastAsia" w:ascii="宋体" w:hAnsi="宋体" w:eastAsia="宋体" w:cs="宋体"/>
                <w:kern w:val="0"/>
                <w:sz w:val="24"/>
                <w:highlight w:val="none"/>
              </w:rPr>
              <w:t>日</w:t>
            </w:r>
            <w:r>
              <w:rPr>
                <w:rFonts w:hint="eastAsia" w:ascii="宋体" w:hAnsi="宋体" w:cs="宋体"/>
                <w:kern w:val="0"/>
                <w:sz w:val="24"/>
                <w:highlight w:val="none"/>
                <w:lang w:val="en-US" w:eastAsia="zh-CN"/>
              </w:rPr>
              <w:t>09</w:t>
            </w:r>
            <w:r>
              <w:rPr>
                <w:rFonts w:hint="eastAsia" w:ascii="宋体" w:hAnsi="宋体" w:eastAsia="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0（北京时间）</w:t>
            </w:r>
            <w:r>
              <w:rPr>
                <w:rFonts w:hint="default" w:ascii="宋体" w:hAnsi="宋体" w:eastAsia="宋体" w:cs="宋体"/>
                <w:kern w:val="0"/>
                <w:sz w:val="24"/>
                <w:highlight w:val="none"/>
                <w:lang w:val="en-US"/>
              </w:rPr>
              <w:t>,</w:t>
            </w:r>
            <w:r>
              <w:rPr>
                <w:rFonts w:hint="eastAsia" w:ascii="宋体" w:hAnsi="宋体" w:eastAsia="宋体" w:cs="宋体"/>
                <w:kern w:val="0"/>
                <w:sz w:val="24"/>
                <w:highlight w:val="none"/>
                <w:lang w:val="en-US" w:eastAsia="zh-CN"/>
              </w:rPr>
              <w:t>投标</w:t>
            </w:r>
            <w:r>
              <w:rPr>
                <w:rFonts w:hint="eastAsia" w:ascii="宋体" w:hAnsi="宋体" w:eastAsia="宋体" w:cs="宋体"/>
                <w:kern w:val="0"/>
                <w:sz w:val="24"/>
                <w:highlight w:val="none"/>
              </w:rPr>
              <w:t>截止时间后的</w:t>
            </w:r>
            <w:r>
              <w:rPr>
                <w:rFonts w:hint="eastAsia" w:ascii="宋体" w:hAnsi="宋体" w:eastAsia="宋体" w:cs="宋体"/>
                <w:kern w:val="0"/>
                <w:sz w:val="24"/>
                <w:highlight w:val="none"/>
                <w:lang w:val="en-US" w:eastAsia="zh-CN"/>
              </w:rPr>
              <w:t>投标</w:t>
            </w:r>
            <w:r>
              <w:rPr>
                <w:rFonts w:hint="eastAsia" w:ascii="宋体" w:hAnsi="宋体" w:eastAsia="宋体" w:cs="宋体"/>
                <w:kern w:val="0"/>
                <w:sz w:val="24"/>
                <w:highlight w:val="none"/>
              </w:rPr>
              <w:t>文件恕不接受。</w:t>
            </w:r>
            <w:r>
              <w:rPr>
                <w:rFonts w:hint="eastAsia" w:ascii="宋体" w:hAnsi="宋体" w:eastAsia="宋体" w:cs="宋体"/>
                <w:b/>
                <w:bCs/>
                <w:kern w:val="0"/>
                <w:sz w:val="24"/>
                <w:highlight w:val="none"/>
              </w:rPr>
              <w:t>本项目进行线上不见面采购活动，供应商准备好制作标书的笔记本电脑、CA锁（国信CA），在</w:t>
            </w:r>
            <w:r>
              <w:rPr>
                <w:rFonts w:hint="eastAsia" w:ascii="宋体" w:hAnsi="宋体" w:eastAsia="宋体" w:cs="宋体"/>
                <w:b/>
                <w:bCs/>
                <w:kern w:val="0"/>
                <w:sz w:val="24"/>
                <w:highlight w:val="none"/>
                <w:lang w:val="en-US" w:eastAsia="zh-CN"/>
              </w:rPr>
              <w:t>开标</w:t>
            </w:r>
            <w:r>
              <w:rPr>
                <w:rFonts w:hint="eastAsia" w:ascii="宋体" w:hAnsi="宋体" w:eastAsia="宋体" w:cs="宋体"/>
                <w:b/>
                <w:bCs/>
                <w:kern w:val="0"/>
                <w:sz w:val="24"/>
                <w:highlight w:val="none"/>
              </w:rPr>
              <w:t>截止时间前半小时，登录政采云网上开标大厅签到，在代理人员开启标书解密后，方可解密，请在规定时间内登录网上开标大厅参与采购活动</w:t>
            </w:r>
            <w:r>
              <w:rPr>
                <w:rFonts w:hint="eastAsia" w:ascii="宋体" w:hAnsi="宋体" w:eastAsia="宋体" w:cs="宋体"/>
                <w:b/>
                <w:bCs/>
                <w:kern w:val="0"/>
                <w:sz w:val="24"/>
                <w:highlight w:val="none"/>
                <w:lang w:eastAsia="zh-CN"/>
              </w:rPr>
              <w:t>。</w:t>
            </w:r>
          </w:p>
          <w:p>
            <w:pPr>
              <w:snapToGrid w:val="0"/>
              <w:spacing w:line="44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网上</w:t>
            </w:r>
            <w:r>
              <w:rPr>
                <w:rFonts w:hint="eastAsia" w:ascii="宋体" w:hAnsi="宋体" w:eastAsia="宋体" w:cs="宋体"/>
                <w:kern w:val="0"/>
                <w:sz w:val="24"/>
                <w:highlight w:val="none"/>
                <w:lang w:val="en-US" w:eastAsia="zh-CN"/>
              </w:rPr>
              <w:t>投标</w:t>
            </w:r>
            <w:r>
              <w:rPr>
                <w:rFonts w:hint="eastAsia" w:ascii="宋体" w:hAnsi="宋体" w:eastAsia="宋体" w:cs="宋体"/>
                <w:kern w:val="0"/>
                <w:sz w:val="24"/>
                <w:highlight w:val="none"/>
              </w:rPr>
              <w:t>文件地点：http://login.wuxi.zcygov.cn/user-login/#/login。</w:t>
            </w:r>
          </w:p>
          <w:p>
            <w:pPr>
              <w:snapToGrid w:val="0"/>
              <w:spacing w:line="44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注：中标供应商需在中标后递交一份纸质文件正本，两份纸质文件副本。</w:t>
            </w:r>
          </w:p>
          <w:p>
            <w:pPr>
              <w:snapToGrid w:val="0"/>
              <w:spacing w:line="44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网上解密时间：202</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年</w:t>
            </w:r>
            <w:r>
              <w:rPr>
                <w:rFonts w:hint="eastAsia" w:ascii="宋体" w:hAnsi="宋体" w:cs="宋体"/>
                <w:kern w:val="0"/>
                <w:sz w:val="24"/>
                <w:highlight w:val="none"/>
                <w:lang w:val="en-US" w:eastAsia="zh-CN"/>
              </w:rPr>
              <w:t>12</w:t>
            </w:r>
            <w:r>
              <w:rPr>
                <w:rFonts w:hint="eastAsia" w:ascii="宋体" w:hAnsi="宋体" w:eastAsia="宋体" w:cs="宋体"/>
                <w:kern w:val="0"/>
                <w:sz w:val="24"/>
                <w:highlight w:val="none"/>
              </w:rPr>
              <w:t>月</w:t>
            </w:r>
            <w:r>
              <w:rPr>
                <w:rFonts w:hint="eastAsia" w:ascii="宋体" w:hAnsi="宋体" w:cs="宋体"/>
                <w:kern w:val="0"/>
                <w:sz w:val="24"/>
                <w:highlight w:val="none"/>
                <w:lang w:val="en-US" w:eastAsia="zh-CN"/>
              </w:rPr>
              <w:t>20</w:t>
            </w:r>
            <w:r>
              <w:rPr>
                <w:rFonts w:hint="eastAsia" w:ascii="宋体" w:hAnsi="宋体" w:eastAsia="宋体" w:cs="宋体"/>
                <w:kern w:val="0"/>
                <w:sz w:val="24"/>
                <w:highlight w:val="none"/>
              </w:rPr>
              <w:t>日</w:t>
            </w:r>
            <w:r>
              <w:rPr>
                <w:rFonts w:hint="eastAsia" w:ascii="宋体" w:hAnsi="宋体" w:cs="宋体"/>
                <w:kern w:val="0"/>
                <w:sz w:val="24"/>
                <w:highlight w:val="none"/>
                <w:lang w:val="en-US" w:eastAsia="zh-CN"/>
              </w:rPr>
              <w:t>09</w:t>
            </w:r>
            <w:r>
              <w:rPr>
                <w:rFonts w:hint="eastAsia" w:ascii="宋体" w:hAnsi="宋体" w:eastAsia="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1" w:type="dxa"/>
            <w:vAlign w:val="center"/>
          </w:tcPr>
          <w:p>
            <w:pPr>
              <w:snapToGrid w:val="0"/>
              <w:spacing w:line="440" w:lineRule="exact"/>
              <w:jc w:val="center"/>
              <w:rPr>
                <w:rFonts w:ascii="宋体"/>
                <w:sz w:val="24"/>
                <w:szCs w:val="24"/>
                <w:highlight w:val="none"/>
              </w:rPr>
            </w:pPr>
            <w:r>
              <w:rPr>
                <w:rFonts w:ascii="宋体" w:hAnsi="宋体" w:cs="宋体"/>
                <w:sz w:val="24"/>
                <w:szCs w:val="24"/>
                <w:highlight w:val="none"/>
              </w:rPr>
              <w:t>10</w:t>
            </w:r>
          </w:p>
        </w:tc>
        <w:tc>
          <w:tcPr>
            <w:tcW w:w="8792" w:type="dxa"/>
            <w:vAlign w:val="center"/>
          </w:tcPr>
          <w:p>
            <w:pPr>
              <w:pStyle w:val="2"/>
              <w:spacing w:line="36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评审时间：</w:t>
            </w:r>
            <w:r>
              <w:rPr>
                <w:rFonts w:hint="eastAsia" w:ascii="宋体" w:hAnsi="宋体" w:eastAsia="宋体" w:cs="宋体"/>
                <w:kern w:val="0"/>
                <w:sz w:val="24"/>
                <w:szCs w:val="21"/>
                <w:highlight w:val="none"/>
                <w:lang w:val="en-US" w:eastAsia="zh-CN" w:bidi="ar-SA"/>
              </w:rPr>
              <w:t>2023年12月20日</w:t>
            </w:r>
            <w:r>
              <w:rPr>
                <w:rFonts w:hint="eastAsia" w:ascii="宋体" w:hAnsi="宋体" w:eastAsia="宋体" w:cs="宋体"/>
                <w:kern w:val="0"/>
                <w:sz w:val="24"/>
                <w:szCs w:val="21"/>
                <w:highlight w:val="none"/>
                <w:lang w:val="zh-CN" w:eastAsia="zh-CN" w:bidi="ar-SA"/>
              </w:rPr>
              <w:t>唱标结束</w:t>
            </w:r>
            <w:r>
              <w:rPr>
                <w:rFonts w:hint="eastAsia" w:ascii="宋体" w:hAnsi="宋体" w:eastAsia="宋体"/>
                <w:color w:val="000000"/>
                <w:sz w:val="24"/>
                <w:szCs w:val="24"/>
                <w:highlight w:val="none"/>
                <w:lang w:val="zh-CN" w:eastAsia="zh-CN"/>
              </w:rPr>
              <w:t xml:space="preserve">后  </w:t>
            </w:r>
          </w:p>
          <w:p>
            <w:pPr>
              <w:snapToGrid w:val="0"/>
              <w:spacing w:line="440" w:lineRule="exact"/>
              <w:rPr>
                <w:rFonts w:hint="default" w:ascii="宋体" w:eastAsia="宋体"/>
                <w:sz w:val="24"/>
                <w:szCs w:val="24"/>
                <w:highlight w:val="none"/>
                <w:lang w:val="en-US" w:eastAsia="zh-CN"/>
              </w:rPr>
            </w:pPr>
            <w:r>
              <w:rPr>
                <w:rFonts w:hint="eastAsia" w:ascii="宋体" w:hAnsi="宋体"/>
                <w:color w:val="000000"/>
                <w:sz w:val="24"/>
                <w:highlight w:val="none"/>
              </w:rPr>
              <w:t>评审地点：</w:t>
            </w:r>
            <w:r>
              <w:rPr>
                <w:rFonts w:hint="eastAsia" w:ascii="宋体" w:hAnsi="宋体"/>
                <w:color w:val="000000"/>
                <w:sz w:val="24"/>
                <w:highlight w:val="none"/>
                <w:lang w:val="en-US" w:eastAsia="zh-CN"/>
              </w:rPr>
              <w:t>政采云线上评审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51" w:type="dxa"/>
            <w:vAlign w:val="center"/>
          </w:tcPr>
          <w:p>
            <w:pPr>
              <w:snapToGrid w:val="0"/>
              <w:spacing w:line="440" w:lineRule="exact"/>
              <w:jc w:val="center"/>
              <w:rPr>
                <w:rFonts w:ascii="宋体"/>
                <w:sz w:val="24"/>
                <w:szCs w:val="24"/>
                <w:highlight w:val="none"/>
              </w:rPr>
            </w:pPr>
            <w:r>
              <w:rPr>
                <w:rFonts w:ascii="宋体" w:hAnsi="宋体" w:cs="宋体"/>
                <w:sz w:val="24"/>
                <w:szCs w:val="24"/>
                <w:highlight w:val="none"/>
              </w:rPr>
              <w:t>11</w:t>
            </w:r>
          </w:p>
        </w:tc>
        <w:tc>
          <w:tcPr>
            <w:tcW w:w="8792" w:type="dxa"/>
            <w:vAlign w:val="center"/>
          </w:tcPr>
          <w:p>
            <w:pPr>
              <w:snapToGrid w:val="0"/>
              <w:spacing w:line="440" w:lineRule="exact"/>
              <w:rPr>
                <w:rFonts w:ascii="宋体"/>
                <w:sz w:val="24"/>
                <w:szCs w:val="24"/>
                <w:highlight w:val="none"/>
              </w:rPr>
            </w:pPr>
            <w:r>
              <w:rPr>
                <w:rFonts w:hint="eastAsia" w:ascii="宋体" w:hAnsi="宋体" w:eastAsia="宋体"/>
                <w:color w:val="000000"/>
                <w:sz w:val="24"/>
                <w:szCs w:val="24"/>
                <w:highlight w:val="none"/>
                <w:lang w:val="en-US" w:eastAsia="zh-CN"/>
              </w:rPr>
              <w:t>中标单位确定时间：</w:t>
            </w:r>
            <w:r>
              <w:rPr>
                <w:rFonts w:ascii="宋体" w:hAnsi="宋体" w:eastAsia="宋体"/>
                <w:color w:val="000000"/>
                <w:sz w:val="24"/>
                <w:szCs w:val="24"/>
                <w:highlight w:val="none"/>
                <w:lang w:val="en-US" w:eastAsia="zh-CN"/>
              </w:rPr>
              <w:t>20</w:t>
            </w:r>
            <w:r>
              <w:rPr>
                <w:rFonts w:hint="eastAsia" w:ascii="宋体" w:hAnsi="宋体" w:eastAsia="宋体"/>
                <w:color w:val="000000"/>
                <w:sz w:val="24"/>
                <w:szCs w:val="24"/>
                <w:highlight w:val="none"/>
                <w:lang w:val="en-US" w:eastAsia="zh-CN"/>
              </w:rPr>
              <w:t>2</w:t>
            </w:r>
            <w:r>
              <w:rPr>
                <w:rFonts w:hint="eastAsia" w:ascii="宋体" w:hAnsi="宋体"/>
                <w:color w:val="000000"/>
                <w:sz w:val="24"/>
                <w:szCs w:val="24"/>
                <w:highlight w:val="none"/>
                <w:lang w:val="en-US" w:eastAsia="zh-CN"/>
              </w:rPr>
              <w:t>3</w:t>
            </w:r>
            <w:r>
              <w:rPr>
                <w:rFonts w:hint="eastAsia" w:ascii="宋体" w:hAnsi="宋体" w:eastAsia="宋体"/>
                <w:color w:val="000000"/>
                <w:sz w:val="24"/>
                <w:szCs w:val="24"/>
                <w:highlight w:val="none"/>
                <w:lang w:val="en-US" w:eastAsia="zh-CN"/>
              </w:rPr>
              <w:t>年</w:t>
            </w:r>
            <w:r>
              <w:rPr>
                <w:rFonts w:hint="eastAsia" w:ascii="宋体" w:hAnsi="宋体"/>
                <w:color w:val="000000"/>
                <w:sz w:val="24"/>
                <w:szCs w:val="24"/>
                <w:highlight w:val="none"/>
                <w:lang w:val="en-US" w:eastAsia="zh-CN"/>
              </w:rPr>
              <w:t>12月20</w:t>
            </w:r>
            <w:r>
              <w:rPr>
                <w:rFonts w:ascii="宋体" w:hAnsi="宋体" w:eastAsia="宋体"/>
                <w:color w:val="000000"/>
                <w:sz w:val="24"/>
                <w:szCs w:val="24"/>
                <w:highlight w:val="none"/>
                <w:lang w:val="en-US" w:eastAsia="zh-CN"/>
              </w:rPr>
              <w:t>日</w:t>
            </w:r>
            <w:r>
              <w:rPr>
                <w:rFonts w:hint="eastAsia" w:ascii="宋体" w:hAnsi="宋体" w:eastAsia="宋体"/>
                <w:color w:val="000000"/>
                <w:sz w:val="24"/>
                <w:szCs w:val="24"/>
                <w:highlight w:val="none"/>
                <w:lang w:val="en-US" w:eastAsia="zh-CN"/>
              </w:rPr>
              <w:t>评审结束后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1" w:type="dxa"/>
            <w:vAlign w:val="center"/>
          </w:tcPr>
          <w:p>
            <w:pPr>
              <w:snapToGrid w:val="0"/>
              <w:spacing w:line="440" w:lineRule="exact"/>
              <w:jc w:val="center"/>
              <w:rPr>
                <w:rFonts w:ascii="宋体"/>
                <w:sz w:val="24"/>
                <w:szCs w:val="24"/>
                <w:highlight w:val="none"/>
              </w:rPr>
            </w:pPr>
            <w:r>
              <w:rPr>
                <w:rFonts w:ascii="宋体" w:hAnsi="宋体" w:cs="宋体"/>
                <w:sz w:val="24"/>
                <w:szCs w:val="24"/>
                <w:highlight w:val="none"/>
              </w:rPr>
              <w:t>12</w:t>
            </w:r>
          </w:p>
        </w:tc>
        <w:tc>
          <w:tcPr>
            <w:tcW w:w="8792" w:type="dxa"/>
            <w:vAlign w:val="center"/>
          </w:tcPr>
          <w:p>
            <w:pPr>
              <w:adjustRightInd w:val="0"/>
              <w:snapToGrid w:val="0"/>
              <w:spacing w:line="440" w:lineRule="exact"/>
              <w:rPr>
                <w:rFonts w:ascii="宋体"/>
                <w:sz w:val="24"/>
                <w:szCs w:val="24"/>
                <w:highlight w:val="none"/>
              </w:rPr>
            </w:pPr>
            <w:r>
              <w:rPr>
                <w:rFonts w:hint="eastAsia" w:ascii="宋体" w:hAnsi="宋体"/>
                <w:sz w:val="24"/>
                <w:highlight w:val="none"/>
              </w:rPr>
              <w:t>纸质投标文件：</w:t>
            </w:r>
            <w:r>
              <w:rPr>
                <w:rFonts w:hint="eastAsia" w:ascii="宋体" w:hAnsi="宋体" w:eastAsia="宋体" w:cs="Times New Roman"/>
                <w:sz w:val="24"/>
                <w:highlight w:val="none"/>
                <w:lang w:val="en-US" w:eastAsia="zh-CN"/>
              </w:rPr>
              <w:t>本项目为线上不见面开标，无需递交纸质文件。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51" w:type="dxa"/>
            <w:vAlign w:val="center"/>
          </w:tcPr>
          <w:p>
            <w:pPr>
              <w:snapToGrid w:val="0"/>
              <w:spacing w:line="44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13</w:t>
            </w:r>
          </w:p>
        </w:tc>
        <w:tc>
          <w:tcPr>
            <w:tcW w:w="8792" w:type="dxa"/>
            <w:vAlign w:val="center"/>
          </w:tcPr>
          <w:p>
            <w:pPr>
              <w:adjustRightInd w:val="0"/>
              <w:snapToGrid w:val="0"/>
              <w:spacing w:line="440" w:lineRule="exact"/>
              <w:rPr>
                <w:rFonts w:hint="eastAsia" w:ascii="宋体" w:hAnsi="宋体"/>
                <w:sz w:val="24"/>
                <w:highlight w:val="none"/>
              </w:rPr>
            </w:pPr>
            <w:r>
              <w:rPr>
                <w:rFonts w:hint="eastAsia" w:ascii="宋体" w:hAnsi="宋体"/>
                <w:sz w:val="24"/>
                <w:highlight w:val="none"/>
              </w:rPr>
              <w:t>解密时间：</w:t>
            </w:r>
            <w:r>
              <w:rPr>
                <w:rFonts w:hint="eastAsia" w:ascii="宋体" w:hAnsi="宋体"/>
                <w:sz w:val="24"/>
                <w:highlight w:val="none"/>
                <w:lang w:val="en-US" w:eastAsia="zh-CN"/>
              </w:rPr>
              <w:t>30</w:t>
            </w:r>
            <w:r>
              <w:rPr>
                <w:rFonts w:hint="eastAsia" w:ascii="宋体" w:hAnsi="宋体"/>
                <w:sz w:val="24"/>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751" w:type="dxa"/>
            <w:vAlign w:val="center"/>
          </w:tcPr>
          <w:p>
            <w:pPr>
              <w:snapToGrid w:val="0"/>
              <w:spacing w:line="44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8792" w:type="dxa"/>
            <w:vAlign w:val="center"/>
          </w:tcPr>
          <w:p>
            <w:pPr>
              <w:adjustRightInd w:val="0"/>
              <w:snapToGrid w:val="0"/>
              <w:spacing w:line="440" w:lineRule="exact"/>
              <w:rPr>
                <w:rFonts w:hint="eastAsia" w:ascii="宋体" w:hAnsi="宋体"/>
                <w:sz w:val="24"/>
                <w:highlight w:val="none"/>
              </w:rPr>
            </w:pPr>
            <w:r>
              <w:rPr>
                <w:rFonts w:hint="eastAsia" w:ascii="宋体" w:hAnsi="宋体"/>
                <w:sz w:val="24"/>
                <w:highlight w:val="none"/>
              </w:rPr>
              <w:t>本次采购采用《无锡市政府采购交易管理系统》进行采购活动，招标文件发布、投标、评审和中标结果发布全程电子化。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751" w:type="dxa"/>
            <w:vAlign w:val="center"/>
          </w:tcPr>
          <w:p>
            <w:pPr>
              <w:snapToGrid w:val="0"/>
              <w:spacing w:line="44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15</w:t>
            </w:r>
          </w:p>
        </w:tc>
        <w:tc>
          <w:tcPr>
            <w:tcW w:w="8792" w:type="dxa"/>
            <w:vAlign w:val="center"/>
          </w:tcPr>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供应商主体信息库注册</w:t>
            </w:r>
          </w:p>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1、请有意参加本项目投标的的供应商按以下流程进行操作：</w:t>
            </w:r>
          </w:p>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访问“无锡政府采购网”点击“政府采购交易管理一体化系统”——“供应商注册管理系统”按钮进入注册界面，选择对应地区进行账号注册并填写申请信息,也可以直接通过http://middle.wuxi.zcygov.cn/v-settle-front/registry进入注册界面。</w:t>
            </w:r>
          </w:p>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 xml:space="preserve">（2）领取CA（办理地址：观山路199号市民中心12号楼1楼CA窗口）和办理电子签章（办理地址：观山路199号市民中心12号楼2楼2号窗口），（原已办理过CA进行过电子投标的供应商可不重复申领）。 </w:t>
            </w:r>
          </w:p>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（3）投标客户端下载链接：</w:t>
            </w:r>
          </w:p>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https://zcy-cdn.oss-cn-shanghai.aliyuncs.com/zcy-client/bidding-client/wuxi/ZhengCaiYunStep.3.11.7.exe</w:t>
            </w:r>
          </w:p>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（4）CA驱动下载链接（江苏省-国信CA驱动）：</w:t>
            </w:r>
          </w:p>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 xml:space="preserve">https://customer.zcygov.cn/CA-driver-download?utm=web-login-front.509b3709.0.0.004ab15096ee11ebbc33f5d151e70834 </w:t>
            </w:r>
          </w:p>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（5）技术服务电话：4008817190（服务时间：工作日8:00-20:00）</w:t>
            </w:r>
          </w:p>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2、投标供应商在领取CA和办理电子签章前务必前往“无锡政府采购网”“供应商信息库”（网址：</w:t>
            </w:r>
          </w:p>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https://cz.wuxi.zcygov.cn/wxCategory19/wxCategory125/index.html?utm=sites_group_front.5b1ba037.0.0.959ae250ca6711ebb0349920799faebc）查询是否完成注册登记。</w:t>
            </w:r>
          </w:p>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完成注册的供应商方可领取CA和办理电子签章，登录政采云平台，插入CA后，点击【我的工作台】——页面右上方【CA管理】--【绑定CA】，上传投标文件，进行投标。</w:t>
            </w:r>
          </w:p>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3、</w:t>
            </w:r>
            <w:r>
              <w:rPr>
                <w:rFonts w:hint="eastAsia" w:ascii="宋体" w:hAnsi="宋体"/>
                <w:color w:val="000000"/>
                <w:sz w:val="24"/>
                <w:szCs w:val="24"/>
                <w:highlight w:val="none"/>
                <w:lang w:val="en-US" w:eastAsia="zh-CN"/>
              </w:rPr>
              <w:t>投标</w:t>
            </w:r>
            <w:r>
              <w:rPr>
                <w:rFonts w:hint="eastAsia" w:ascii="宋体" w:hAnsi="宋体" w:eastAsia="宋体"/>
                <w:color w:val="000000"/>
                <w:sz w:val="24"/>
                <w:szCs w:val="24"/>
                <w:highlight w:val="none"/>
                <w:lang w:val="en-US" w:eastAsia="zh-CN"/>
              </w:rPr>
              <w:t>供应商应及时办理CA证书与电子签章，以确保全流程电子化政府采购活动的顺利进行。CA证书、电子签章服务商提供线上办理、邮寄服务，办理手续及流程可拨打客服热线进行咨询（联系电话：0510-85541366、4000251010）。</w:t>
            </w:r>
          </w:p>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4</w:t>
            </w:r>
            <w:r>
              <w:rPr>
                <w:rFonts w:hint="eastAsia" w:ascii="宋体" w:hAnsi="宋体" w:eastAsia="宋体"/>
                <w:color w:val="000000"/>
                <w:sz w:val="24"/>
                <w:szCs w:val="24"/>
                <w:highlight w:val="none"/>
                <w:lang w:val="en-US" w:eastAsia="zh-CN"/>
              </w:rPr>
              <w:t>、如投标供应商未按上述要求操作，由此所产生的损失及风险由投标供应商自行承担。在“供应商信息库”中无法查询的投标供应商，由评标委员会审查其投标截止时间前提交的未审核资料。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6" w:hRule="atLeast"/>
        </w:trPr>
        <w:tc>
          <w:tcPr>
            <w:tcW w:w="751" w:type="dxa"/>
            <w:vAlign w:val="center"/>
          </w:tcPr>
          <w:p>
            <w:pPr>
              <w:snapToGrid w:val="0"/>
              <w:spacing w:line="440" w:lineRule="exact"/>
              <w:jc w:val="center"/>
              <w:rPr>
                <w:rFonts w:hint="eastAsia" w:ascii="宋体" w:eastAsia="宋体"/>
                <w:sz w:val="24"/>
                <w:szCs w:val="24"/>
                <w:highlight w:val="none"/>
                <w:lang w:eastAsia="zh-CN"/>
              </w:rPr>
            </w:pPr>
            <w:r>
              <w:rPr>
                <w:rFonts w:ascii="宋体" w:hAnsi="宋体" w:cs="宋体"/>
                <w:sz w:val="24"/>
                <w:szCs w:val="24"/>
                <w:highlight w:val="none"/>
              </w:rPr>
              <w:t>1</w:t>
            </w:r>
            <w:r>
              <w:rPr>
                <w:rFonts w:hint="eastAsia" w:ascii="宋体" w:hAnsi="宋体" w:cs="宋体"/>
                <w:sz w:val="24"/>
                <w:szCs w:val="24"/>
                <w:highlight w:val="none"/>
                <w:lang w:val="en-US" w:eastAsia="zh-CN"/>
              </w:rPr>
              <w:t>6</w:t>
            </w:r>
          </w:p>
        </w:tc>
        <w:tc>
          <w:tcPr>
            <w:tcW w:w="8792" w:type="dxa"/>
            <w:vAlign w:val="center"/>
          </w:tcPr>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采购人：无锡市梁溪区瞻江街道办事处</w:t>
            </w:r>
          </w:p>
          <w:p>
            <w:pPr>
              <w:snapToGrid w:val="0"/>
              <w:spacing w:line="440" w:lineRule="exact"/>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联系人：</w:t>
            </w:r>
            <w:r>
              <w:rPr>
                <w:rFonts w:hint="eastAsia" w:ascii="宋体" w:hAnsi="宋体"/>
                <w:color w:val="000000"/>
                <w:sz w:val="24"/>
                <w:szCs w:val="24"/>
                <w:highlight w:val="none"/>
                <w:lang w:val="en-US" w:eastAsia="zh-CN"/>
              </w:rPr>
              <w:t>许人杰</w:t>
            </w:r>
          </w:p>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联系电话：0510-82028065</w:t>
            </w:r>
          </w:p>
          <w:p>
            <w:pPr>
              <w:snapToGrid w:val="0"/>
              <w:spacing w:line="440" w:lineRule="exact"/>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 xml:space="preserve">联系地址：梁溪区通江大道118号 </w:t>
            </w:r>
          </w:p>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采购代理机构：</w:t>
            </w:r>
            <w:r>
              <w:rPr>
                <w:rFonts w:hint="eastAsia" w:ascii="宋体" w:hAnsi="宋体"/>
                <w:color w:val="000000"/>
                <w:sz w:val="24"/>
                <w:szCs w:val="24"/>
                <w:highlight w:val="none"/>
                <w:lang w:val="en-US" w:eastAsia="zh-CN"/>
              </w:rPr>
              <w:t>江苏江南梁鸿建设咨询有限公司</w:t>
            </w:r>
            <w:r>
              <w:rPr>
                <w:rFonts w:hint="eastAsia" w:ascii="宋体" w:hAnsi="宋体" w:eastAsia="宋体"/>
                <w:color w:val="000000"/>
                <w:sz w:val="24"/>
                <w:szCs w:val="24"/>
                <w:highlight w:val="none"/>
                <w:lang w:val="en-US" w:eastAsia="zh-CN"/>
              </w:rPr>
              <w:t xml:space="preserve"> </w:t>
            </w:r>
          </w:p>
          <w:p>
            <w:pPr>
              <w:snapToGrid w:val="0"/>
              <w:spacing w:line="440" w:lineRule="exact"/>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联系人：</w:t>
            </w:r>
            <w:r>
              <w:rPr>
                <w:rFonts w:hint="eastAsia" w:ascii="宋体" w:hAnsi="宋体"/>
                <w:color w:val="000000"/>
                <w:sz w:val="24"/>
                <w:szCs w:val="24"/>
                <w:highlight w:val="none"/>
                <w:lang w:val="en-US" w:eastAsia="zh-CN"/>
              </w:rPr>
              <w:t>冷小慧、陆敏娟、夏燕婉</w:t>
            </w:r>
          </w:p>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联系电话：0510-</w:t>
            </w:r>
            <w:r>
              <w:rPr>
                <w:rFonts w:hint="eastAsia" w:ascii="宋体" w:hAnsi="宋体"/>
                <w:color w:val="000000"/>
                <w:sz w:val="24"/>
                <w:szCs w:val="24"/>
                <w:highlight w:val="none"/>
                <w:lang w:val="en-US" w:eastAsia="zh-CN"/>
              </w:rPr>
              <w:t>88220651</w:t>
            </w:r>
            <w:r>
              <w:rPr>
                <w:rFonts w:hint="eastAsia" w:ascii="宋体" w:hAnsi="宋体" w:eastAsia="宋体"/>
                <w:color w:val="000000"/>
                <w:sz w:val="24"/>
                <w:szCs w:val="24"/>
                <w:highlight w:val="none"/>
                <w:lang w:val="en-US" w:eastAsia="zh-CN"/>
              </w:rPr>
              <w:t xml:space="preserve"> </w:t>
            </w:r>
          </w:p>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电子邮件地址：</w:t>
            </w:r>
            <w:r>
              <w:rPr>
                <w:rFonts w:hint="eastAsia" w:ascii="宋体" w:hAnsi="宋体"/>
                <w:color w:val="000000"/>
                <w:sz w:val="24"/>
                <w:szCs w:val="24"/>
                <w:highlight w:val="none"/>
                <w:lang w:val="en-US" w:eastAsia="zh-CN"/>
              </w:rPr>
              <w:t>596312167</w:t>
            </w:r>
            <w:r>
              <w:rPr>
                <w:rFonts w:hint="eastAsia" w:ascii="宋体" w:hAnsi="宋体" w:eastAsia="宋体"/>
                <w:color w:val="000000"/>
                <w:sz w:val="24"/>
                <w:szCs w:val="24"/>
                <w:highlight w:val="none"/>
                <w:lang w:val="en-US" w:eastAsia="zh-CN"/>
              </w:rPr>
              <w:t>@qq.com</w:t>
            </w:r>
          </w:p>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联系地址：</w:t>
            </w:r>
            <w:r>
              <w:rPr>
                <w:rFonts w:hint="eastAsia" w:ascii="宋体" w:hAnsi="宋体"/>
                <w:color w:val="000000"/>
                <w:sz w:val="24"/>
                <w:szCs w:val="24"/>
                <w:highlight w:val="none"/>
                <w:lang w:val="en-US" w:eastAsia="zh-CN"/>
              </w:rPr>
              <w:t>无锡市湖滨街15号蠡湖科研大厦17层</w:t>
            </w:r>
          </w:p>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邮政编码：214000</w:t>
            </w:r>
          </w:p>
          <w:p>
            <w:pPr>
              <w:snapToGrid w:val="0"/>
              <w:spacing w:line="440" w:lineRule="exact"/>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有关本次采购活动方面的问题,可来人、来函（传真）或电话联系。</w:t>
            </w:r>
          </w:p>
        </w:tc>
      </w:tr>
    </w:tbl>
    <w:p>
      <w:pPr>
        <w:rPr>
          <w:rFonts w:hint="eastAsia" w:asciiTheme="majorEastAsia" w:hAnsiTheme="majorEastAsia" w:eastAsiaTheme="majorEastAsia" w:cstheme="majorEastAsia"/>
          <w:b/>
          <w:bCs/>
          <w:sz w:val="32"/>
          <w:szCs w:val="32"/>
          <w:highlight w:val="none"/>
          <w:lang w:val="en-US" w:eastAsia="zh-CN"/>
        </w:rPr>
      </w:pPr>
      <w:r>
        <w:rPr>
          <w:rFonts w:hint="eastAsia" w:asciiTheme="majorEastAsia" w:hAnsiTheme="majorEastAsia" w:eastAsiaTheme="majorEastAsia" w:cstheme="majorEastAsia"/>
          <w:b/>
          <w:bCs/>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2570" w:firstLineChars="800"/>
        <w:jc w:val="left"/>
        <w:textAlignment w:val="auto"/>
        <w:rPr>
          <w:rFonts w:hint="eastAsia" w:asciiTheme="majorEastAsia" w:hAnsiTheme="majorEastAsia" w:eastAsiaTheme="majorEastAsia" w:cstheme="majorEastAsia"/>
          <w:b/>
          <w:bCs/>
          <w:sz w:val="32"/>
          <w:szCs w:val="32"/>
          <w:highlight w:val="none"/>
          <w:lang w:val="en-US" w:eastAsia="zh-CN"/>
        </w:rPr>
      </w:pPr>
      <w:r>
        <w:rPr>
          <w:rFonts w:hint="eastAsia" w:asciiTheme="majorEastAsia" w:hAnsiTheme="majorEastAsia" w:eastAsiaTheme="majorEastAsia" w:cstheme="majorEastAsia"/>
          <w:b/>
          <w:bCs/>
          <w:sz w:val="32"/>
          <w:szCs w:val="32"/>
          <w:highlight w:val="none"/>
          <w:lang w:val="en-US" w:eastAsia="zh-CN"/>
        </w:rPr>
        <w:t>二．投标供应商须知</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0"/>
        <w:rPr>
          <w:rFonts w:hint="eastAsia" w:ascii="宋体" w:hAnsi="宋体" w:cs="宋体"/>
          <w:b/>
          <w:bCs/>
          <w:sz w:val="24"/>
          <w:szCs w:val="24"/>
          <w:highlight w:val="none"/>
        </w:rPr>
      </w:pPr>
      <w:bookmarkStart w:id="0" w:name="三．项目技术配置和有关说明"/>
      <w:bookmarkEnd w:id="0"/>
      <w:bookmarkStart w:id="1" w:name="四．合同书"/>
      <w:bookmarkEnd w:id="1"/>
      <w:r>
        <w:rPr>
          <w:rFonts w:hint="eastAsia" w:ascii="宋体" w:hAnsi="宋体" w:cs="宋体"/>
          <w:b/>
          <w:bCs/>
          <w:sz w:val="24"/>
          <w:szCs w:val="24"/>
          <w:highlight w:val="none"/>
        </w:rPr>
        <w:t>（一）遵循原则：</w:t>
      </w:r>
    </w:p>
    <w:p>
      <w:pPr>
        <w:spacing w:line="360" w:lineRule="auto"/>
        <w:ind w:firstLine="523" w:firstLineChars="218"/>
        <w:rPr>
          <w:rFonts w:ascii="宋体"/>
          <w:sz w:val="24"/>
          <w:szCs w:val="24"/>
          <w:highlight w:val="none"/>
        </w:rPr>
      </w:pPr>
      <w:r>
        <w:rPr>
          <w:rFonts w:hint="eastAsia" w:ascii="宋体" w:hAnsi="宋体" w:cs="宋体"/>
          <w:sz w:val="24"/>
          <w:szCs w:val="24"/>
          <w:highlight w:val="none"/>
        </w:rPr>
        <w:t>公开透明原则、公平竞争原则、公正原则和诚实信用原则。</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0"/>
        <w:rPr>
          <w:rFonts w:hint="eastAsia" w:ascii="宋体" w:hAnsi="宋体" w:cs="宋体"/>
          <w:b/>
          <w:bCs/>
          <w:sz w:val="24"/>
          <w:szCs w:val="24"/>
          <w:highlight w:val="none"/>
        </w:rPr>
      </w:pPr>
      <w:r>
        <w:rPr>
          <w:rFonts w:hint="eastAsia" w:ascii="宋体" w:hAnsi="宋体" w:cs="宋体"/>
          <w:b/>
          <w:bCs/>
          <w:sz w:val="24"/>
          <w:szCs w:val="24"/>
          <w:highlight w:val="none"/>
        </w:rPr>
        <w:t>（二）</w:t>
      </w:r>
      <w:r>
        <w:rPr>
          <w:rFonts w:hint="eastAsia" w:ascii="宋体" w:hAnsi="宋体" w:cs="宋体"/>
          <w:b/>
          <w:bCs/>
          <w:sz w:val="24"/>
          <w:szCs w:val="24"/>
          <w:highlight w:val="none"/>
          <w:lang w:eastAsia="zh-CN"/>
        </w:rPr>
        <w:t>招标文件</w:t>
      </w:r>
      <w:r>
        <w:rPr>
          <w:rFonts w:hint="eastAsia" w:ascii="宋体" w:hAnsi="宋体" w:cs="宋体"/>
          <w:b/>
          <w:bCs/>
          <w:sz w:val="24"/>
          <w:szCs w:val="24"/>
          <w:highlight w:val="none"/>
        </w:rPr>
        <w:t>：</w:t>
      </w:r>
    </w:p>
    <w:p>
      <w:pPr>
        <w:numPr>
          <w:ilvl w:val="0"/>
          <w:numId w:val="3"/>
        </w:numPr>
        <w:tabs>
          <w:tab w:val="left" w:pos="-1260"/>
          <w:tab w:val="left" w:pos="525"/>
          <w:tab w:val="left" w:pos="1050"/>
        </w:tabs>
        <w:adjustRightInd w:val="0"/>
        <w:snapToGrid w:val="0"/>
        <w:spacing w:line="360" w:lineRule="auto"/>
        <w:ind w:left="0" w:firstLine="628" w:firstLineChars="262"/>
        <w:rPr>
          <w:rFonts w:ascii="宋体"/>
          <w:sz w:val="24"/>
          <w:szCs w:val="24"/>
          <w:highlight w:val="none"/>
        </w:rPr>
      </w:pPr>
      <w:r>
        <w:rPr>
          <w:rFonts w:hint="eastAsia" w:ascii="宋体" w:hAnsi="宋体" w:cs="宋体"/>
          <w:sz w:val="24"/>
          <w:szCs w:val="24"/>
          <w:highlight w:val="none"/>
          <w:lang w:eastAsia="zh-CN"/>
        </w:rPr>
        <w:t>招标文件</w:t>
      </w:r>
      <w:r>
        <w:rPr>
          <w:rFonts w:hint="eastAsia" w:ascii="宋体" w:hAnsi="宋体" w:cs="宋体"/>
          <w:sz w:val="24"/>
          <w:szCs w:val="24"/>
          <w:highlight w:val="none"/>
        </w:rPr>
        <w:t>包括本文件目录所列全部内容，投标供应商应仔细阅读，并在投标文件中充分响应</w:t>
      </w:r>
      <w:r>
        <w:rPr>
          <w:rFonts w:hint="eastAsia" w:ascii="宋体" w:hAnsi="宋体" w:cs="宋体"/>
          <w:sz w:val="24"/>
          <w:szCs w:val="24"/>
          <w:highlight w:val="none"/>
          <w:lang w:eastAsia="zh-CN"/>
        </w:rPr>
        <w:t>招标文件</w:t>
      </w:r>
      <w:r>
        <w:rPr>
          <w:rFonts w:hint="eastAsia" w:ascii="宋体" w:hAnsi="宋体" w:cs="宋体"/>
          <w:sz w:val="24"/>
          <w:szCs w:val="24"/>
          <w:highlight w:val="none"/>
        </w:rPr>
        <w:t>的所有要求。</w:t>
      </w:r>
    </w:p>
    <w:p>
      <w:pPr>
        <w:numPr>
          <w:ilvl w:val="0"/>
          <w:numId w:val="3"/>
        </w:numPr>
        <w:tabs>
          <w:tab w:val="left" w:pos="0"/>
          <w:tab w:val="left" w:pos="525"/>
          <w:tab w:val="left" w:pos="1050"/>
        </w:tabs>
        <w:adjustRightInd w:val="0"/>
        <w:snapToGrid w:val="0"/>
        <w:spacing w:line="360" w:lineRule="auto"/>
        <w:ind w:left="0" w:firstLine="628" w:firstLineChars="262"/>
        <w:rPr>
          <w:rFonts w:ascii="宋体"/>
          <w:sz w:val="24"/>
          <w:szCs w:val="24"/>
          <w:highlight w:val="none"/>
        </w:rPr>
      </w:pPr>
      <w:r>
        <w:rPr>
          <w:rFonts w:hint="eastAsia" w:ascii="宋体" w:hAnsi="宋体" w:cs="宋体"/>
          <w:sz w:val="24"/>
          <w:szCs w:val="24"/>
          <w:highlight w:val="none"/>
        </w:rPr>
        <w:t>投标供应商应向</w:t>
      </w:r>
      <w:r>
        <w:rPr>
          <w:rFonts w:hint="eastAsia" w:ascii="宋体" w:hAnsi="宋体" w:eastAsia="宋体" w:cs="宋体"/>
          <w:sz w:val="24"/>
          <w:szCs w:val="24"/>
          <w:highlight w:val="none"/>
          <w:lang w:eastAsia="zh-CN"/>
        </w:rPr>
        <w:t>到</w:t>
      </w:r>
      <w:r>
        <w:rPr>
          <w:rFonts w:hint="eastAsia" w:ascii="宋体" w:hAnsi="宋体" w:eastAsia="宋体" w:cs="宋体"/>
          <w:sz w:val="24"/>
          <w:szCs w:val="24"/>
          <w:highlight w:val="none"/>
          <w:lang w:val="en-US" w:eastAsia="zh-CN"/>
        </w:rPr>
        <w:t>相应网站上下载</w:t>
      </w:r>
      <w:r>
        <w:rPr>
          <w:rFonts w:hint="eastAsia" w:ascii="宋体" w:hAnsi="宋体" w:cs="宋体"/>
          <w:sz w:val="24"/>
          <w:szCs w:val="24"/>
          <w:highlight w:val="none"/>
          <w:lang w:eastAsia="zh-CN"/>
        </w:rPr>
        <w:t>招标文件</w:t>
      </w:r>
      <w:r>
        <w:rPr>
          <w:rFonts w:hint="eastAsia" w:ascii="宋体" w:hAnsi="宋体" w:cs="宋体"/>
          <w:sz w:val="24"/>
          <w:szCs w:val="24"/>
          <w:highlight w:val="none"/>
        </w:rPr>
        <w:t>及相关资料，按</w:t>
      </w:r>
      <w:r>
        <w:rPr>
          <w:rFonts w:hint="eastAsia" w:ascii="宋体" w:hAnsi="宋体" w:cs="宋体"/>
          <w:sz w:val="24"/>
          <w:szCs w:val="24"/>
          <w:highlight w:val="none"/>
          <w:lang w:eastAsia="zh-CN"/>
        </w:rPr>
        <w:t>招标文件</w:t>
      </w:r>
      <w:r>
        <w:rPr>
          <w:rFonts w:hint="eastAsia" w:ascii="宋体" w:hAnsi="宋体" w:cs="宋体"/>
          <w:sz w:val="24"/>
          <w:szCs w:val="24"/>
          <w:highlight w:val="none"/>
        </w:rPr>
        <w:t>要求提交全部资料并对</w:t>
      </w:r>
      <w:r>
        <w:rPr>
          <w:rFonts w:hint="eastAsia" w:ascii="宋体" w:hAnsi="宋体" w:cs="宋体"/>
          <w:sz w:val="24"/>
          <w:szCs w:val="24"/>
          <w:highlight w:val="none"/>
          <w:lang w:eastAsia="zh-CN"/>
        </w:rPr>
        <w:t>招标文件</w:t>
      </w:r>
      <w:r>
        <w:rPr>
          <w:rFonts w:hint="eastAsia" w:ascii="宋体" w:hAnsi="宋体" w:cs="宋体"/>
          <w:sz w:val="24"/>
          <w:szCs w:val="24"/>
          <w:highlight w:val="none"/>
        </w:rPr>
        <w:t>各项内容作出实质性响应，否则投标无效。</w:t>
      </w:r>
    </w:p>
    <w:p>
      <w:pPr>
        <w:numPr>
          <w:ilvl w:val="0"/>
          <w:numId w:val="3"/>
        </w:numPr>
        <w:tabs>
          <w:tab w:val="left" w:pos="0"/>
          <w:tab w:val="left" w:pos="525"/>
          <w:tab w:val="left" w:pos="1050"/>
        </w:tabs>
        <w:adjustRightInd w:val="0"/>
        <w:snapToGrid w:val="0"/>
        <w:spacing w:line="360" w:lineRule="auto"/>
        <w:ind w:left="0" w:firstLine="628" w:firstLineChars="262"/>
        <w:rPr>
          <w:rFonts w:ascii="宋体"/>
          <w:sz w:val="24"/>
          <w:szCs w:val="24"/>
          <w:highlight w:val="none"/>
        </w:rPr>
      </w:pPr>
      <w:r>
        <w:rPr>
          <w:rFonts w:hint="eastAsia" w:ascii="宋体" w:hAnsi="宋体" w:cs="宋体"/>
          <w:sz w:val="24"/>
          <w:szCs w:val="24"/>
          <w:highlight w:val="none"/>
        </w:rPr>
        <w:t>投标供应商一旦参加本项目投标，即表明承诺接受了本</w:t>
      </w:r>
      <w:r>
        <w:rPr>
          <w:rFonts w:hint="eastAsia" w:ascii="宋体" w:hAnsi="宋体" w:cs="宋体"/>
          <w:sz w:val="24"/>
          <w:szCs w:val="24"/>
          <w:highlight w:val="none"/>
          <w:lang w:eastAsia="zh-CN"/>
        </w:rPr>
        <w:t>招标文件</w:t>
      </w:r>
      <w:r>
        <w:rPr>
          <w:rFonts w:hint="eastAsia" w:ascii="宋体" w:hAnsi="宋体" w:cs="宋体"/>
          <w:sz w:val="24"/>
          <w:szCs w:val="24"/>
          <w:highlight w:val="none"/>
        </w:rPr>
        <w:t>中的所有条件和规定。</w:t>
      </w:r>
    </w:p>
    <w:p>
      <w:pPr>
        <w:numPr>
          <w:ilvl w:val="0"/>
          <w:numId w:val="3"/>
        </w:numPr>
        <w:tabs>
          <w:tab w:val="left" w:pos="0"/>
          <w:tab w:val="left" w:pos="525"/>
          <w:tab w:val="left" w:pos="1050"/>
        </w:tabs>
        <w:adjustRightInd w:val="0"/>
        <w:snapToGrid w:val="0"/>
        <w:spacing w:line="360" w:lineRule="auto"/>
        <w:ind w:left="0" w:firstLine="628" w:firstLineChars="262"/>
        <w:rPr>
          <w:rFonts w:ascii="宋体"/>
          <w:sz w:val="24"/>
          <w:szCs w:val="24"/>
          <w:highlight w:val="none"/>
        </w:rPr>
      </w:pPr>
      <w:r>
        <w:rPr>
          <w:rFonts w:hint="eastAsia" w:ascii="宋体" w:hAnsi="宋体" w:cs="宋体"/>
          <w:sz w:val="24"/>
          <w:szCs w:val="24"/>
          <w:highlight w:val="none"/>
          <w:lang w:eastAsia="zh-CN"/>
        </w:rPr>
        <w:t>招标文件</w:t>
      </w:r>
      <w:r>
        <w:rPr>
          <w:rFonts w:hint="eastAsia" w:ascii="宋体" w:hAnsi="宋体" w:cs="宋体"/>
          <w:sz w:val="24"/>
          <w:szCs w:val="24"/>
          <w:highlight w:val="none"/>
        </w:rPr>
        <w:t>仅作为本次招投标使用。</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0"/>
        <w:rPr>
          <w:rFonts w:hint="eastAsia" w:ascii="宋体" w:hAnsi="宋体" w:cs="宋体"/>
          <w:b/>
          <w:bCs/>
          <w:sz w:val="24"/>
          <w:szCs w:val="24"/>
          <w:highlight w:val="none"/>
        </w:rPr>
      </w:pPr>
      <w:r>
        <w:rPr>
          <w:rFonts w:hint="eastAsia" w:ascii="宋体" w:hAnsi="宋体" w:cs="宋体"/>
          <w:b/>
          <w:bCs/>
          <w:sz w:val="24"/>
          <w:szCs w:val="24"/>
          <w:highlight w:val="none"/>
        </w:rPr>
        <w:t>（三）</w:t>
      </w:r>
      <w:r>
        <w:rPr>
          <w:rFonts w:hint="eastAsia" w:ascii="宋体" w:hAnsi="宋体" w:cs="宋体"/>
          <w:b/>
          <w:bCs/>
          <w:sz w:val="24"/>
          <w:szCs w:val="24"/>
          <w:highlight w:val="none"/>
          <w:lang w:eastAsia="zh-CN"/>
        </w:rPr>
        <w:t>招标文件</w:t>
      </w:r>
      <w:r>
        <w:rPr>
          <w:rFonts w:hint="eastAsia" w:ascii="宋体" w:hAnsi="宋体" w:cs="宋体"/>
          <w:b/>
          <w:bCs/>
          <w:sz w:val="24"/>
          <w:szCs w:val="24"/>
          <w:highlight w:val="none"/>
        </w:rPr>
        <w:t>的解释：</w:t>
      </w:r>
    </w:p>
    <w:p>
      <w:pPr>
        <w:numPr>
          <w:ilvl w:val="2"/>
          <w:numId w:val="4"/>
        </w:numPr>
        <w:tabs>
          <w:tab w:val="left" w:pos="525"/>
          <w:tab w:val="left" w:pos="1050"/>
          <w:tab w:val="clear" w:pos="1740"/>
        </w:tabs>
        <w:adjustRightInd w:val="0"/>
        <w:snapToGrid w:val="0"/>
        <w:spacing w:line="360" w:lineRule="auto"/>
        <w:ind w:left="0" w:firstLine="628" w:firstLineChars="262"/>
        <w:rPr>
          <w:rFonts w:ascii="宋体"/>
          <w:sz w:val="24"/>
          <w:szCs w:val="24"/>
          <w:highlight w:val="none"/>
        </w:rPr>
      </w:pPr>
      <w:r>
        <w:rPr>
          <w:rFonts w:hint="eastAsia" w:ascii="宋体" w:hAnsi="宋体" w:cs="宋体"/>
          <w:sz w:val="24"/>
          <w:szCs w:val="24"/>
          <w:highlight w:val="none"/>
        </w:rPr>
        <w:t>投标供应商如需要对</w:t>
      </w:r>
      <w:r>
        <w:rPr>
          <w:rFonts w:hint="eastAsia" w:ascii="宋体" w:hAnsi="宋体" w:cs="宋体"/>
          <w:sz w:val="24"/>
          <w:szCs w:val="24"/>
          <w:highlight w:val="none"/>
          <w:lang w:eastAsia="zh-CN"/>
        </w:rPr>
        <w:t>招标文件</w:t>
      </w:r>
      <w:r>
        <w:rPr>
          <w:rFonts w:hint="eastAsia" w:ascii="宋体" w:hAnsi="宋体" w:cs="宋体"/>
          <w:sz w:val="24"/>
          <w:szCs w:val="24"/>
          <w:highlight w:val="none"/>
        </w:rPr>
        <w:t>要求澄清的问题，请以书面提出，并按“投标邀请函”第</w:t>
      </w:r>
      <w:r>
        <w:rPr>
          <w:rFonts w:ascii="宋体" w:hAnsi="宋体" w:cs="宋体"/>
          <w:sz w:val="24"/>
          <w:szCs w:val="24"/>
          <w:highlight w:val="none"/>
        </w:rPr>
        <w:t>7</w:t>
      </w:r>
      <w:r>
        <w:rPr>
          <w:rFonts w:hint="eastAsia" w:ascii="宋体" w:hAnsi="宋体" w:cs="宋体"/>
          <w:sz w:val="24"/>
          <w:szCs w:val="24"/>
          <w:highlight w:val="none"/>
        </w:rPr>
        <w:t>项规定的时间将电子邮件及书面文件传真（两种形式均须发送）至</w:t>
      </w:r>
      <w:r>
        <w:rPr>
          <w:rFonts w:hint="eastAsia" w:ascii="宋体" w:hAnsi="宋体" w:cs="宋体"/>
          <w:sz w:val="24"/>
          <w:szCs w:val="24"/>
          <w:highlight w:val="none"/>
          <w:lang w:eastAsia="zh-CN"/>
        </w:rPr>
        <w:t>江苏江南梁鸿建设咨询有限公司</w:t>
      </w:r>
      <w:r>
        <w:rPr>
          <w:rFonts w:hint="eastAsia" w:ascii="宋体" w:hAnsi="宋体" w:cs="宋体"/>
          <w:sz w:val="24"/>
          <w:szCs w:val="24"/>
          <w:highlight w:val="none"/>
        </w:rPr>
        <w:t>。</w:t>
      </w:r>
    </w:p>
    <w:p>
      <w:pPr>
        <w:numPr>
          <w:ilvl w:val="2"/>
          <w:numId w:val="4"/>
        </w:numPr>
        <w:tabs>
          <w:tab w:val="left" w:pos="525"/>
          <w:tab w:val="left" w:pos="1050"/>
          <w:tab w:val="clear" w:pos="1740"/>
        </w:tabs>
        <w:adjustRightInd w:val="0"/>
        <w:snapToGrid w:val="0"/>
        <w:spacing w:line="360" w:lineRule="auto"/>
        <w:ind w:left="0" w:firstLine="628" w:firstLineChars="262"/>
        <w:rPr>
          <w:rFonts w:ascii="宋体"/>
          <w:sz w:val="24"/>
          <w:szCs w:val="24"/>
          <w:highlight w:val="none"/>
        </w:rPr>
      </w:pPr>
      <w:r>
        <w:rPr>
          <w:rFonts w:hint="eastAsia" w:ascii="宋体" w:hAnsi="宋体" w:cs="宋体"/>
          <w:sz w:val="24"/>
          <w:szCs w:val="24"/>
          <w:highlight w:val="none"/>
        </w:rPr>
        <w:t>采购人、</w:t>
      </w:r>
      <w:r>
        <w:rPr>
          <w:rFonts w:hint="eastAsia" w:ascii="宋体" w:hAnsi="宋体" w:cs="宋体"/>
          <w:sz w:val="24"/>
          <w:szCs w:val="24"/>
          <w:highlight w:val="none"/>
          <w:lang w:eastAsia="zh-CN"/>
        </w:rPr>
        <w:t>江苏江南梁鸿建设咨询有限公司</w:t>
      </w:r>
      <w:r>
        <w:rPr>
          <w:rFonts w:hint="eastAsia" w:ascii="宋体" w:hAnsi="宋体" w:cs="宋体"/>
          <w:sz w:val="24"/>
          <w:szCs w:val="24"/>
          <w:highlight w:val="none"/>
        </w:rPr>
        <w:t>将按“投标邀请函”第</w:t>
      </w:r>
      <w:r>
        <w:rPr>
          <w:rFonts w:ascii="宋体" w:hAnsi="宋体" w:cs="宋体"/>
          <w:sz w:val="24"/>
          <w:szCs w:val="24"/>
          <w:highlight w:val="none"/>
        </w:rPr>
        <w:t>7</w:t>
      </w:r>
      <w:r>
        <w:rPr>
          <w:rFonts w:hint="eastAsia" w:ascii="宋体" w:hAnsi="宋体" w:cs="宋体"/>
          <w:sz w:val="24"/>
          <w:szCs w:val="24"/>
          <w:highlight w:val="none"/>
        </w:rPr>
        <w:t>项规定的时间对投标供应商针对</w:t>
      </w:r>
      <w:r>
        <w:rPr>
          <w:rFonts w:hint="eastAsia" w:ascii="宋体" w:hAnsi="宋体" w:cs="宋体"/>
          <w:sz w:val="24"/>
          <w:szCs w:val="24"/>
          <w:highlight w:val="none"/>
          <w:lang w:eastAsia="zh-CN"/>
        </w:rPr>
        <w:t>招标文件</w:t>
      </w:r>
      <w:r>
        <w:rPr>
          <w:rFonts w:hint="eastAsia" w:ascii="宋体" w:hAnsi="宋体" w:cs="宋体"/>
          <w:sz w:val="24"/>
          <w:szCs w:val="24"/>
          <w:highlight w:val="none"/>
        </w:rPr>
        <w:t>书面提出的要求澄清的问题进行书面答疑。</w:t>
      </w:r>
    </w:p>
    <w:p>
      <w:pPr>
        <w:numPr>
          <w:ilvl w:val="2"/>
          <w:numId w:val="4"/>
        </w:numPr>
        <w:tabs>
          <w:tab w:val="left" w:pos="525"/>
          <w:tab w:val="left" w:pos="1050"/>
          <w:tab w:val="clear" w:pos="1740"/>
        </w:tabs>
        <w:adjustRightInd w:val="0"/>
        <w:snapToGrid w:val="0"/>
        <w:spacing w:line="360" w:lineRule="auto"/>
        <w:ind w:left="0" w:firstLine="628" w:firstLineChars="262"/>
        <w:rPr>
          <w:rFonts w:ascii="宋体"/>
          <w:sz w:val="24"/>
          <w:szCs w:val="24"/>
          <w:highlight w:val="none"/>
        </w:rPr>
      </w:pPr>
      <w:r>
        <w:rPr>
          <w:rFonts w:hint="eastAsia" w:ascii="宋体" w:hAnsi="宋体" w:cs="宋体"/>
          <w:sz w:val="24"/>
          <w:szCs w:val="24"/>
          <w:highlight w:val="none"/>
        </w:rPr>
        <w:t>本文件的最终解释权归采购人。</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0"/>
        <w:rPr>
          <w:rFonts w:hint="eastAsia" w:ascii="宋体" w:hAnsi="宋体" w:cs="宋体"/>
          <w:b/>
          <w:bCs/>
          <w:sz w:val="24"/>
          <w:szCs w:val="24"/>
          <w:highlight w:val="none"/>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招标文件</w:t>
      </w:r>
      <w:r>
        <w:rPr>
          <w:rFonts w:hint="eastAsia" w:ascii="宋体" w:hAnsi="宋体" w:cs="宋体"/>
          <w:b/>
          <w:bCs/>
          <w:sz w:val="24"/>
          <w:szCs w:val="24"/>
          <w:highlight w:val="none"/>
        </w:rPr>
        <w:t xml:space="preserve">的补充或修正： </w:t>
      </w:r>
    </w:p>
    <w:p>
      <w:pPr>
        <w:numPr>
          <w:ilvl w:val="0"/>
          <w:numId w:val="5"/>
        </w:numPr>
        <w:tabs>
          <w:tab w:val="left" w:pos="525"/>
          <w:tab w:val="left" w:pos="1050"/>
        </w:tabs>
        <w:adjustRightInd w:val="0"/>
        <w:snapToGrid w:val="0"/>
        <w:spacing w:line="360" w:lineRule="auto"/>
        <w:rPr>
          <w:rFonts w:ascii="宋体"/>
          <w:sz w:val="24"/>
          <w:szCs w:val="24"/>
          <w:highlight w:val="none"/>
        </w:rPr>
      </w:pPr>
      <w:r>
        <w:rPr>
          <w:rFonts w:hint="eastAsia" w:ascii="宋体" w:hAnsi="宋体" w:cs="宋体"/>
          <w:sz w:val="24"/>
          <w:szCs w:val="24"/>
          <w:highlight w:val="none"/>
        </w:rPr>
        <w:t>采购人或者采购代理机构可以对已发出的</w:t>
      </w:r>
      <w:r>
        <w:rPr>
          <w:rFonts w:hint="eastAsia" w:ascii="宋体" w:hAnsi="宋体" w:cs="宋体"/>
          <w:sz w:val="24"/>
          <w:szCs w:val="24"/>
          <w:highlight w:val="none"/>
          <w:lang w:eastAsia="zh-CN"/>
        </w:rPr>
        <w:t>招标文件</w:t>
      </w:r>
      <w:r>
        <w:rPr>
          <w:rFonts w:hint="eastAsia" w:ascii="宋体" w:hAnsi="宋体" w:cs="宋体"/>
          <w:sz w:val="24"/>
          <w:szCs w:val="24"/>
          <w:highlight w:val="none"/>
        </w:rPr>
        <w:t>进行必要的澄清或者修改，</w:t>
      </w:r>
      <w:r>
        <w:rPr>
          <w:rFonts w:hint="eastAsia" w:ascii="宋体" w:hAnsi="宋体" w:cs="宋体"/>
          <w:sz w:val="24"/>
          <w:szCs w:val="24"/>
          <w:highlight w:val="none"/>
          <w:shd w:val="clear" w:color="auto" w:fill="FFFFFF"/>
        </w:rPr>
        <w:t>但不得改变采购标的和资格条件。</w:t>
      </w:r>
      <w:r>
        <w:rPr>
          <w:rFonts w:hint="eastAsia" w:ascii="宋体" w:hAnsi="宋体" w:cs="宋体"/>
          <w:sz w:val="24"/>
          <w:szCs w:val="24"/>
          <w:highlight w:val="none"/>
        </w:rPr>
        <w:t>如需对</w:t>
      </w:r>
      <w:r>
        <w:rPr>
          <w:rFonts w:hint="eastAsia" w:ascii="宋体" w:hAnsi="宋体" w:cs="宋体"/>
          <w:sz w:val="24"/>
          <w:szCs w:val="24"/>
          <w:highlight w:val="none"/>
          <w:lang w:eastAsia="zh-CN"/>
        </w:rPr>
        <w:t>招标文件</w:t>
      </w:r>
      <w:r>
        <w:rPr>
          <w:rFonts w:hint="eastAsia" w:ascii="宋体" w:hAnsi="宋体" w:cs="宋体"/>
          <w:sz w:val="24"/>
          <w:szCs w:val="24"/>
          <w:highlight w:val="none"/>
        </w:rPr>
        <w:t>进行澄清或修正，</w:t>
      </w:r>
      <w:r>
        <w:rPr>
          <w:rFonts w:hint="eastAsia" w:ascii="宋体" w:hAnsi="宋体" w:cs="宋体"/>
          <w:sz w:val="24"/>
          <w:szCs w:val="24"/>
          <w:highlight w:val="none"/>
          <w:lang w:eastAsia="zh-CN"/>
        </w:rPr>
        <w:t>江苏江南梁鸿建设咨询有限公司</w:t>
      </w:r>
      <w:r>
        <w:rPr>
          <w:rFonts w:hint="eastAsia" w:ascii="宋体" w:hAnsi="宋体" w:cs="宋体"/>
          <w:sz w:val="24"/>
          <w:szCs w:val="24"/>
          <w:highlight w:val="none"/>
        </w:rPr>
        <w:t>将在财政部门指定的政府采购信息发布媒体上（无锡政府采购网、江苏政府采购网）发布更正公告并书面通知</w:t>
      </w:r>
      <w:r>
        <w:rPr>
          <w:rFonts w:hint="eastAsia" w:ascii="宋体" w:hAnsi="宋体" w:cs="宋体"/>
          <w:sz w:val="24"/>
          <w:szCs w:val="24"/>
          <w:highlight w:val="none"/>
          <w:lang w:val="en-US" w:eastAsia="zh-CN"/>
        </w:rPr>
        <w:t>投标供应商</w:t>
      </w:r>
      <w:r>
        <w:rPr>
          <w:rFonts w:hint="eastAsia" w:ascii="宋体" w:hAnsi="宋体" w:cs="宋体"/>
          <w:sz w:val="24"/>
          <w:szCs w:val="24"/>
          <w:highlight w:val="none"/>
        </w:rPr>
        <w:t>，该澄清或修正的内容为</w:t>
      </w:r>
      <w:r>
        <w:rPr>
          <w:rFonts w:hint="eastAsia" w:ascii="宋体" w:hAnsi="宋体" w:cs="宋体"/>
          <w:sz w:val="24"/>
          <w:szCs w:val="24"/>
          <w:highlight w:val="none"/>
          <w:lang w:eastAsia="zh-CN"/>
        </w:rPr>
        <w:t>招标文件</w:t>
      </w:r>
      <w:r>
        <w:rPr>
          <w:rFonts w:hint="eastAsia" w:ascii="宋体" w:hAnsi="宋体" w:cs="宋体"/>
          <w:sz w:val="24"/>
          <w:szCs w:val="24"/>
          <w:highlight w:val="none"/>
        </w:rPr>
        <w:t>的组成部分。投标供应商应在投标截止时间前关注原招标公告媒体上发布的相关更正公告。请</w:t>
      </w:r>
      <w:r>
        <w:rPr>
          <w:rFonts w:hint="eastAsia" w:ascii="宋体" w:hAnsi="宋体" w:cs="宋体"/>
          <w:sz w:val="24"/>
          <w:szCs w:val="24"/>
          <w:highlight w:val="none"/>
          <w:lang w:eastAsia="zh-CN"/>
        </w:rPr>
        <w:t>招标文件</w:t>
      </w:r>
      <w:r>
        <w:rPr>
          <w:rFonts w:hint="eastAsia" w:ascii="宋体" w:hAnsi="宋体" w:cs="宋体"/>
          <w:sz w:val="24"/>
          <w:szCs w:val="24"/>
          <w:highlight w:val="none"/>
        </w:rPr>
        <w:t>的收受人下载此更正公告后，于投标截止日前书面回函（传真件）</w:t>
      </w:r>
      <w:r>
        <w:rPr>
          <w:rFonts w:hint="eastAsia" w:ascii="宋体" w:hAnsi="宋体" w:cs="宋体"/>
          <w:sz w:val="24"/>
          <w:szCs w:val="24"/>
          <w:highlight w:val="none"/>
          <w:lang w:eastAsia="zh-CN"/>
        </w:rPr>
        <w:t>江苏江南梁鸿建设咨询有限公司</w:t>
      </w:r>
      <w:r>
        <w:rPr>
          <w:rFonts w:hint="eastAsia" w:ascii="宋体" w:hAnsi="宋体" w:cs="宋体"/>
          <w:sz w:val="24"/>
          <w:szCs w:val="24"/>
          <w:highlight w:val="none"/>
        </w:rPr>
        <w:t>，逾期不回视同收到此公告。澄清或者修改的内容为</w:t>
      </w:r>
      <w:r>
        <w:rPr>
          <w:rFonts w:hint="eastAsia" w:ascii="宋体" w:hAnsi="宋体" w:cs="宋体"/>
          <w:sz w:val="24"/>
          <w:szCs w:val="24"/>
          <w:highlight w:val="none"/>
          <w:lang w:eastAsia="zh-CN"/>
        </w:rPr>
        <w:t>招标文件</w:t>
      </w:r>
      <w:r>
        <w:rPr>
          <w:rFonts w:hint="eastAsia" w:ascii="宋体" w:hAnsi="宋体" w:cs="宋体"/>
          <w:sz w:val="24"/>
          <w:szCs w:val="24"/>
          <w:highlight w:val="none"/>
        </w:rPr>
        <w:t>的组成部分。</w:t>
      </w:r>
    </w:p>
    <w:p>
      <w:pPr>
        <w:tabs>
          <w:tab w:val="left" w:pos="525"/>
          <w:tab w:val="left" w:pos="945"/>
        </w:tabs>
        <w:spacing w:line="360" w:lineRule="auto"/>
        <w:ind w:firstLine="480" w:firstLineChars="20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澄清或者修改的内容可能影响投标文件编制的，采购人或者采购代理机构将在投标截止时间至少</w:t>
      </w:r>
      <w:r>
        <w:rPr>
          <w:rFonts w:ascii="宋体" w:hAnsi="宋体" w:cs="宋体"/>
          <w:sz w:val="24"/>
          <w:szCs w:val="24"/>
          <w:highlight w:val="none"/>
        </w:rPr>
        <w:t>15</w:t>
      </w:r>
      <w:r>
        <w:rPr>
          <w:rFonts w:hint="eastAsia" w:ascii="宋体" w:hAnsi="宋体" w:cs="宋体"/>
          <w:sz w:val="24"/>
          <w:szCs w:val="24"/>
          <w:highlight w:val="none"/>
        </w:rPr>
        <w:t>日前，以书面形式通知所有获取</w:t>
      </w:r>
      <w:r>
        <w:rPr>
          <w:rFonts w:hint="eastAsia" w:ascii="宋体" w:hAnsi="宋体" w:cs="宋体"/>
          <w:sz w:val="24"/>
          <w:szCs w:val="24"/>
          <w:highlight w:val="none"/>
          <w:lang w:eastAsia="zh-CN"/>
        </w:rPr>
        <w:t>招标文件</w:t>
      </w:r>
      <w:r>
        <w:rPr>
          <w:rFonts w:hint="eastAsia" w:ascii="宋体" w:hAnsi="宋体" w:cs="宋体"/>
          <w:sz w:val="24"/>
          <w:szCs w:val="24"/>
          <w:highlight w:val="none"/>
        </w:rPr>
        <w:t>的潜在投标供应商；不足</w:t>
      </w:r>
      <w:r>
        <w:rPr>
          <w:rFonts w:ascii="宋体" w:hAnsi="宋体" w:cs="宋体"/>
          <w:sz w:val="24"/>
          <w:szCs w:val="24"/>
          <w:highlight w:val="none"/>
        </w:rPr>
        <w:t>15</w:t>
      </w:r>
      <w:r>
        <w:rPr>
          <w:rFonts w:hint="eastAsia" w:ascii="宋体" w:hAnsi="宋体" w:cs="宋体"/>
          <w:sz w:val="24"/>
          <w:szCs w:val="24"/>
          <w:highlight w:val="none"/>
        </w:rPr>
        <w:t>日的，采购人或者采购代理机构将顺延提交投标文件的截止时间。</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0"/>
        <w:rPr>
          <w:rFonts w:hint="eastAsia" w:ascii="宋体" w:hAnsi="宋体" w:cs="宋体"/>
          <w:b/>
          <w:bCs/>
          <w:sz w:val="24"/>
          <w:szCs w:val="24"/>
          <w:highlight w:val="none"/>
          <w:lang w:eastAsia="zh-CN"/>
        </w:rPr>
      </w:pPr>
      <w:r>
        <w:rPr>
          <w:rFonts w:hint="eastAsia" w:ascii="宋体" w:hAnsi="宋体" w:cs="宋体"/>
          <w:b/>
          <w:bCs/>
          <w:sz w:val="24"/>
          <w:szCs w:val="24"/>
          <w:highlight w:val="none"/>
        </w:rPr>
        <w:t>（五）投标文件的组成：相应内容上传至</w:t>
      </w:r>
      <w:r>
        <w:rPr>
          <w:rFonts w:hint="eastAsia" w:ascii="宋体" w:hAnsi="宋体" w:cs="宋体"/>
          <w:b/>
          <w:bCs/>
          <w:sz w:val="24"/>
          <w:szCs w:val="24"/>
          <w:highlight w:val="none"/>
          <w:lang w:eastAsia="zh-CN"/>
        </w:rPr>
        <w:t>投标客户端。</w:t>
      </w:r>
    </w:p>
    <w:p>
      <w:pPr>
        <w:spacing w:line="360" w:lineRule="auto"/>
        <w:ind w:left="480"/>
        <w:rPr>
          <w:rFonts w:ascii="宋体" w:hAnsi="宋体"/>
          <w:b/>
          <w:color w:val="000000"/>
          <w:sz w:val="24"/>
          <w:highlight w:val="none"/>
        </w:rPr>
      </w:pPr>
      <w:r>
        <w:rPr>
          <w:rFonts w:hint="eastAsia" w:ascii="宋体" w:hAnsi="宋体"/>
          <w:b/>
          <w:color w:val="000000"/>
          <w:sz w:val="24"/>
          <w:highlight w:val="none"/>
        </w:rPr>
        <w:t>1、证明文件：</w:t>
      </w:r>
    </w:p>
    <w:p>
      <w:pPr>
        <w:spacing w:line="360" w:lineRule="auto"/>
        <w:ind w:firstLine="600" w:firstLineChars="250"/>
        <w:rPr>
          <w:rFonts w:ascii="黑体" w:hAnsi="宋体" w:eastAsia="黑体"/>
          <w:sz w:val="24"/>
          <w:szCs w:val="24"/>
          <w:highlight w:val="none"/>
        </w:rPr>
      </w:pPr>
      <w:r>
        <w:rPr>
          <w:rFonts w:hint="eastAsia" w:ascii="宋体" w:hAnsi="宋体"/>
          <w:sz w:val="24"/>
          <w:highlight w:val="none"/>
        </w:rPr>
        <w:t>第一部分：资格、资信证明文件</w:t>
      </w:r>
      <w:r>
        <w:rPr>
          <w:rFonts w:hint="eastAsia" w:ascii="宋体" w:hAnsi="宋体"/>
          <w:bCs/>
          <w:color w:val="000000"/>
          <w:sz w:val="24"/>
          <w:highlight w:val="none"/>
        </w:rPr>
        <w:t>（</w:t>
      </w:r>
      <w:r>
        <w:rPr>
          <w:rFonts w:hint="eastAsia" w:ascii="宋体" w:hAnsi="宋体"/>
          <w:b/>
          <w:bCs/>
          <w:color w:val="000000"/>
          <w:sz w:val="24"/>
          <w:highlight w:val="none"/>
        </w:rPr>
        <w:t>扫描后上传，身份证应为正、反面</w:t>
      </w:r>
      <w:r>
        <w:rPr>
          <w:rFonts w:hint="eastAsia" w:ascii="宋体" w:hAnsi="宋体"/>
          <w:bCs/>
          <w:color w:val="000000"/>
          <w:sz w:val="24"/>
          <w:highlight w:val="none"/>
        </w:rPr>
        <w:t>）</w:t>
      </w:r>
    </w:p>
    <w:p>
      <w:pPr>
        <w:tabs>
          <w:tab w:val="left" w:pos="420"/>
          <w:tab w:val="left" w:pos="1155"/>
        </w:tabs>
        <w:spacing w:line="360" w:lineRule="auto"/>
        <w:ind w:firstLine="480" w:firstLineChars="200"/>
        <w:rPr>
          <w:rFonts w:hint="eastAsia" w:ascii="宋体" w:eastAsia="宋体"/>
          <w:sz w:val="24"/>
          <w:szCs w:val="24"/>
          <w:highlight w:val="none"/>
          <w:lang w:eastAsia="zh-CN"/>
        </w:rPr>
      </w:pPr>
      <w:r>
        <w:rPr>
          <w:rFonts w:hint="eastAsia" w:ascii="宋体" w:hAnsi="宋体" w:eastAsia="宋体" w:cs="宋体"/>
          <w:color w:val="auto"/>
          <w:kern w:val="0"/>
          <w:sz w:val="24"/>
          <w:highlight w:val="none"/>
        </w:rPr>
        <w:t>（1）关于资格</w:t>
      </w:r>
      <w:r>
        <w:rPr>
          <w:rFonts w:hint="eastAsia" w:ascii="宋体"/>
          <w:sz w:val="24"/>
          <w:highlight w:val="none"/>
        </w:rPr>
        <w:t>的声明函原件扫描件</w:t>
      </w:r>
      <w:r>
        <w:rPr>
          <w:rFonts w:hint="eastAsia" w:ascii="宋体" w:hAnsi="宋体" w:cs="宋体"/>
          <w:sz w:val="24"/>
          <w:szCs w:val="24"/>
          <w:highlight w:val="none"/>
        </w:rPr>
        <w:t>（</w:t>
      </w:r>
      <w:r>
        <w:rPr>
          <w:rFonts w:hint="eastAsia" w:ascii="宋体" w:hAnsi="宋体" w:cs="宋体"/>
          <w:b/>
          <w:bCs/>
          <w:sz w:val="24"/>
          <w:szCs w:val="24"/>
          <w:highlight w:val="none"/>
        </w:rPr>
        <w:t>格式见附件</w:t>
      </w:r>
      <w:r>
        <w:rPr>
          <w:rFonts w:hint="eastAsia" w:ascii="宋体" w:hAnsi="宋体" w:cs="宋体"/>
          <w:sz w:val="24"/>
          <w:szCs w:val="24"/>
          <w:highlight w:val="none"/>
        </w:rPr>
        <w:t>）</w:t>
      </w:r>
      <w:r>
        <w:rPr>
          <w:rFonts w:hint="eastAsia" w:ascii="宋体" w:hAnsi="宋体" w:cs="宋体"/>
          <w:sz w:val="24"/>
          <w:szCs w:val="24"/>
          <w:highlight w:val="none"/>
          <w:lang w:eastAsia="zh-CN"/>
        </w:rPr>
        <w:t>；</w:t>
      </w:r>
    </w:p>
    <w:p>
      <w:pPr>
        <w:tabs>
          <w:tab w:val="left" w:pos="420"/>
          <w:tab w:val="left" w:pos="1155"/>
        </w:tabs>
        <w:spacing w:line="360" w:lineRule="auto"/>
        <w:ind w:firstLine="480" w:firstLineChars="200"/>
        <w:rPr>
          <w:rFonts w:ascii="宋体"/>
          <w:sz w:val="24"/>
          <w:szCs w:val="24"/>
          <w:highlight w:val="none"/>
          <w:lang w:val="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供应商企</w:t>
      </w:r>
      <w:r>
        <w:rPr>
          <w:rFonts w:hint="eastAsia" w:ascii="宋体"/>
          <w:sz w:val="24"/>
          <w:highlight w:val="none"/>
        </w:rPr>
        <w:t>业营业执照副本</w:t>
      </w:r>
      <w:r>
        <w:rPr>
          <w:rFonts w:hint="eastAsia" w:ascii="宋体"/>
          <w:bCs/>
          <w:sz w:val="24"/>
          <w:highlight w:val="none"/>
        </w:rPr>
        <w:t>或相关部门的登记证明文件</w:t>
      </w:r>
      <w:r>
        <w:rPr>
          <w:rFonts w:hint="eastAsia" w:ascii="宋体"/>
          <w:bCs/>
          <w:sz w:val="24"/>
          <w:highlight w:val="none"/>
          <w:lang w:val="en-US" w:eastAsia="zh-CN"/>
        </w:rPr>
        <w:t>或</w:t>
      </w:r>
      <w:r>
        <w:rPr>
          <w:rFonts w:hint="eastAsia" w:ascii="宋体" w:hAnsi="宋体" w:cs="宋体"/>
          <w:sz w:val="24"/>
          <w:szCs w:val="24"/>
          <w:highlight w:val="none"/>
        </w:rPr>
        <w:t>自然人</w:t>
      </w:r>
      <w:r>
        <w:rPr>
          <w:rFonts w:hint="eastAsia" w:ascii="宋体" w:hAnsi="宋体" w:cs="宋体"/>
          <w:bCs/>
          <w:color w:val="000000"/>
          <w:sz w:val="24"/>
          <w:highlight w:val="none"/>
        </w:rPr>
        <w:t>身份证明</w:t>
      </w:r>
      <w:r>
        <w:rPr>
          <w:rFonts w:hint="eastAsia" w:ascii="宋体" w:hAnsi="宋体" w:cs="宋体"/>
          <w:bCs/>
          <w:color w:val="000000"/>
          <w:sz w:val="24"/>
          <w:highlight w:val="none"/>
          <w:lang w:val="en-US" w:eastAsia="zh-CN"/>
        </w:rPr>
        <w:t>的</w:t>
      </w:r>
      <w:r>
        <w:rPr>
          <w:rFonts w:hint="eastAsia" w:ascii="宋体"/>
          <w:sz w:val="24"/>
          <w:highlight w:val="none"/>
        </w:rPr>
        <w:t>原件扫描件</w:t>
      </w:r>
      <w:r>
        <w:rPr>
          <w:rFonts w:hint="eastAsia" w:ascii="宋体" w:hAnsi="宋体" w:cs="宋体"/>
          <w:sz w:val="24"/>
          <w:szCs w:val="24"/>
          <w:highlight w:val="none"/>
        </w:rPr>
        <w:t>；</w:t>
      </w:r>
    </w:p>
    <w:p>
      <w:pPr>
        <w:tabs>
          <w:tab w:val="left" w:pos="420"/>
          <w:tab w:val="left" w:pos="1155"/>
        </w:tabs>
        <w:spacing w:line="360" w:lineRule="auto"/>
        <w:ind w:firstLine="480" w:firstLineChars="200"/>
        <w:rPr>
          <w:rFonts w:ascii="宋体"/>
          <w:sz w:val="24"/>
          <w:szCs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）投标供应</w:t>
      </w:r>
      <w:r>
        <w:rPr>
          <w:rFonts w:hint="eastAsia" w:ascii="宋体" w:hAnsi="宋体" w:cs="宋体"/>
          <w:sz w:val="24"/>
          <w:szCs w:val="24"/>
          <w:highlight w:val="none"/>
        </w:rPr>
        <w:t>商法定代表人授权委托书</w:t>
      </w:r>
      <w:r>
        <w:rPr>
          <w:rFonts w:hint="eastAsia" w:ascii="宋体"/>
          <w:sz w:val="24"/>
          <w:highlight w:val="none"/>
        </w:rPr>
        <w:t>原件扫描件</w:t>
      </w:r>
      <w:r>
        <w:rPr>
          <w:rFonts w:hint="eastAsia" w:ascii="宋体" w:hAnsi="宋体" w:cs="宋体"/>
          <w:sz w:val="24"/>
          <w:szCs w:val="24"/>
          <w:highlight w:val="none"/>
        </w:rPr>
        <w:t>（</w:t>
      </w:r>
      <w:r>
        <w:rPr>
          <w:rFonts w:hint="eastAsia" w:ascii="宋体" w:hAnsi="宋体" w:cs="宋体"/>
          <w:b/>
          <w:bCs/>
          <w:sz w:val="24"/>
          <w:szCs w:val="24"/>
          <w:highlight w:val="none"/>
        </w:rPr>
        <w:t>格式见附件，法定代表人亲自参加报价的除外</w:t>
      </w:r>
      <w:r>
        <w:rPr>
          <w:rFonts w:hint="eastAsia" w:ascii="宋体" w:hAnsi="宋体" w:cs="宋体"/>
          <w:sz w:val="24"/>
          <w:szCs w:val="24"/>
          <w:highlight w:val="none"/>
        </w:rPr>
        <w:t>）；</w:t>
      </w:r>
    </w:p>
    <w:p>
      <w:pPr>
        <w:tabs>
          <w:tab w:val="left" w:pos="420"/>
          <w:tab w:val="left" w:pos="1155"/>
        </w:tabs>
        <w:spacing w:line="360" w:lineRule="auto"/>
        <w:ind w:firstLine="480" w:firstLineChars="200"/>
        <w:rPr>
          <w:rFonts w:ascii="宋体"/>
          <w:sz w:val="24"/>
          <w:szCs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）投标</w:t>
      </w:r>
      <w:r>
        <w:rPr>
          <w:rFonts w:hint="eastAsia" w:ascii="宋体" w:hAnsi="宋体" w:cs="宋体"/>
          <w:sz w:val="24"/>
          <w:szCs w:val="24"/>
          <w:highlight w:val="none"/>
        </w:rPr>
        <w:t>供应商法定代表人身份证及法定代表人</w:t>
      </w:r>
      <w:r>
        <w:rPr>
          <w:rFonts w:hint="eastAsia" w:ascii="宋体" w:hAnsi="宋体" w:cs="宋体"/>
          <w:sz w:val="24"/>
          <w:szCs w:val="24"/>
          <w:highlight w:val="none"/>
          <w:lang w:val="en-US" w:eastAsia="zh-CN"/>
        </w:rPr>
        <w:t>被</w:t>
      </w:r>
      <w:r>
        <w:rPr>
          <w:rFonts w:hint="eastAsia" w:ascii="宋体" w:hAnsi="宋体" w:cs="宋体"/>
          <w:sz w:val="24"/>
          <w:szCs w:val="24"/>
          <w:highlight w:val="none"/>
        </w:rPr>
        <w:t>授权代表身份证</w:t>
      </w:r>
      <w:r>
        <w:rPr>
          <w:rFonts w:hint="eastAsia" w:ascii="宋体"/>
          <w:sz w:val="24"/>
          <w:highlight w:val="none"/>
        </w:rPr>
        <w:t>原件扫描件</w:t>
      </w:r>
      <w:r>
        <w:rPr>
          <w:rFonts w:hint="eastAsia" w:ascii="宋体" w:hAnsi="宋体" w:cs="宋体"/>
          <w:sz w:val="24"/>
          <w:szCs w:val="24"/>
          <w:highlight w:val="none"/>
        </w:rPr>
        <w:t>；</w:t>
      </w:r>
    </w:p>
    <w:p>
      <w:pPr>
        <w:tabs>
          <w:tab w:val="left" w:pos="420"/>
          <w:tab w:val="left" w:pos="1155"/>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（5）投标</w:t>
      </w:r>
      <w:r>
        <w:rPr>
          <w:rFonts w:hint="eastAsia" w:ascii="宋体" w:hAnsi="宋体" w:eastAsia="宋体" w:cs="宋体"/>
          <w:color w:val="auto"/>
          <w:kern w:val="0"/>
          <w:sz w:val="24"/>
          <w:highlight w:val="none"/>
          <w:lang w:eastAsia="zh-CN"/>
        </w:rPr>
        <w:t>供应商近三个月(</w:t>
      </w:r>
      <w:r>
        <w:rPr>
          <w:rFonts w:hint="eastAsia" w:ascii="宋体" w:hAnsi="宋体" w:cs="宋体"/>
          <w:color w:val="auto"/>
          <w:kern w:val="0"/>
          <w:sz w:val="24"/>
          <w:highlight w:val="none"/>
          <w:lang w:val="en-US" w:eastAsia="zh-CN"/>
        </w:rPr>
        <w:t>2023年8月/9月/10月</w:t>
      </w:r>
      <w:r>
        <w:rPr>
          <w:rFonts w:hint="eastAsia" w:ascii="宋体" w:hAnsi="宋体" w:eastAsia="宋体" w:cs="宋体"/>
          <w:color w:val="auto"/>
          <w:kern w:val="0"/>
          <w:sz w:val="24"/>
          <w:highlight w:val="none"/>
          <w:lang w:eastAsia="zh-CN"/>
        </w:rPr>
        <w:t>)中任意一个月份的财务状况报告（资产负债表和利润表）或由会计师事务所出具的近两年中（20</w:t>
      </w: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年或202</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年）任意一年度的审计报告和所附已审财务报告</w:t>
      </w:r>
      <w:r>
        <w:rPr>
          <w:rFonts w:hint="eastAsia" w:ascii="宋体" w:hAnsi="宋体" w:eastAsia="宋体" w:cs="宋体"/>
          <w:color w:val="auto"/>
          <w:kern w:val="0"/>
          <w:sz w:val="24"/>
          <w:highlight w:val="none"/>
        </w:rPr>
        <w:t>原件扫描件；</w:t>
      </w:r>
      <w:r>
        <w:rPr>
          <w:rFonts w:hint="eastAsia" w:ascii="宋体" w:hAnsi="宋体" w:cs="宋体"/>
          <w:sz w:val="24"/>
          <w:szCs w:val="24"/>
          <w:highlight w:val="none"/>
        </w:rPr>
        <w:t>（如</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供应商成立时间迟于要求开始的时间，则提供成立时间至</w:t>
      </w:r>
      <w:r>
        <w:rPr>
          <w:rFonts w:hint="eastAsia" w:ascii="宋体" w:hAnsi="宋体" w:cs="宋体"/>
          <w:sz w:val="24"/>
          <w:szCs w:val="24"/>
          <w:highlight w:val="none"/>
          <w:lang w:val="en-US" w:eastAsia="zh-CN"/>
        </w:rPr>
        <w:t>采购</w:t>
      </w:r>
      <w:r>
        <w:rPr>
          <w:rFonts w:hint="eastAsia" w:ascii="宋体" w:hAnsi="宋体" w:cs="宋体"/>
          <w:sz w:val="24"/>
          <w:szCs w:val="24"/>
          <w:highlight w:val="none"/>
        </w:rPr>
        <w:t>文件要求的截止时间内的证明</w:t>
      </w:r>
      <w:r>
        <w:rPr>
          <w:rFonts w:hint="eastAsia" w:ascii="宋体" w:hAnsi="宋体" w:cs="宋体"/>
          <w:sz w:val="24"/>
          <w:szCs w:val="24"/>
          <w:highlight w:val="none"/>
          <w:lang w:val="en-US" w:eastAsia="zh-CN"/>
        </w:rPr>
        <w:t>文件</w:t>
      </w:r>
      <w:r>
        <w:rPr>
          <w:rFonts w:hint="eastAsia" w:ascii="宋体" w:hAnsi="宋体" w:cs="宋体"/>
          <w:sz w:val="24"/>
          <w:szCs w:val="24"/>
          <w:highlight w:val="none"/>
        </w:rPr>
        <w:t>）</w:t>
      </w:r>
    </w:p>
    <w:p>
      <w:pPr>
        <w:tabs>
          <w:tab w:val="left" w:pos="420"/>
          <w:tab w:val="left" w:pos="1155"/>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）投标供应商近三个月</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lang w:val="en-US" w:eastAsia="zh-CN"/>
        </w:rPr>
        <w:t>2023年8月/9月/10月</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中任意一个月份的依法缴纳税收的相关材料（提供相关主管部门证明或银行代扣证明）原件扫描件；</w:t>
      </w:r>
      <w:r>
        <w:rPr>
          <w:rFonts w:hint="eastAsia" w:ascii="宋体" w:hAnsi="宋体" w:cs="宋体"/>
          <w:sz w:val="24"/>
          <w:szCs w:val="24"/>
          <w:highlight w:val="none"/>
        </w:rPr>
        <w:t>（如</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供应商成立时间迟于要求开始的时间，则提供成立时间至</w:t>
      </w:r>
      <w:r>
        <w:rPr>
          <w:rFonts w:hint="eastAsia" w:ascii="宋体" w:hAnsi="宋体" w:cs="宋体"/>
          <w:sz w:val="24"/>
          <w:szCs w:val="24"/>
          <w:highlight w:val="none"/>
          <w:lang w:val="en-US" w:eastAsia="zh-CN"/>
        </w:rPr>
        <w:t>采购</w:t>
      </w:r>
      <w:r>
        <w:rPr>
          <w:rFonts w:hint="eastAsia" w:ascii="宋体" w:hAnsi="宋体" w:cs="宋体"/>
          <w:sz w:val="24"/>
          <w:szCs w:val="24"/>
          <w:highlight w:val="none"/>
        </w:rPr>
        <w:t>文件要求的截止时间内的证明</w:t>
      </w:r>
      <w:r>
        <w:rPr>
          <w:rFonts w:hint="eastAsia" w:ascii="宋体" w:hAnsi="宋体" w:cs="宋体"/>
          <w:sz w:val="24"/>
          <w:szCs w:val="24"/>
          <w:highlight w:val="none"/>
          <w:lang w:val="en-US" w:eastAsia="zh-CN"/>
        </w:rPr>
        <w:t>文件</w:t>
      </w:r>
      <w:r>
        <w:rPr>
          <w:rFonts w:hint="eastAsia" w:ascii="宋体" w:hAnsi="宋体" w:cs="宋体"/>
          <w:sz w:val="24"/>
          <w:szCs w:val="24"/>
          <w:highlight w:val="none"/>
        </w:rPr>
        <w:t>）</w:t>
      </w:r>
    </w:p>
    <w:p>
      <w:pPr>
        <w:tabs>
          <w:tab w:val="left" w:pos="420"/>
          <w:tab w:val="left" w:pos="1155"/>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）投标供应商近三个月</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lang w:val="en-US" w:eastAsia="zh-CN"/>
        </w:rPr>
        <w:t>2023年8月/9月/10月</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中任意一个月份的依法缴纳社会保障资金的相关材料（提供相关主管部门证明或银行代扣证明）原件扫描件；</w:t>
      </w:r>
      <w:r>
        <w:rPr>
          <w:rFonts w:hint="eastAsia" w:ascii="宋体" w:hAnsi="宋体" w:cs="宋体"/>
          <w:sz w:val="24"/>
          <w:szCs w:val="24"/>
          <w:highlight w:val="none"/>
        </w:rPr>
        <w:t>（如</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供应商成立时间迟于要求开始的时间，则提供成立时间至</w:t>
      </w:r>
      <w:r>
        <w:rPr>
          <w:rFonts w:hint="eastAsia" w:ascii="宋体" w:hAnsi="宋体" w:cs="宋体"/>
          <w:sz w:val="24"/>
          <w:szCs w:val="24"/>
          <w:highlight w:val="none"/>
          <w:lang w:val="en-US" w:eastAsia="zh-CN"/>
        </w:rPr>
        <w:t>采购</w:t>
      </w:r>
      <w:r>
        <w:rPr>
          <w:rFonts w:hint="eastAsia" w:ascii="宋体" w:hAnsi="宋体" w:cs="宋体"/>
          <w:sz w:val="24"/>
          <w:szCs w:val="24"/>
          <w:highlight w:val="none"/>
        </w:rPr>
        <w:t>文件要求的截止时间内的证明</w:t>
      </w:r>
      <w:r>
        <w:rPr>
          <w:rFonts w:hint="eastAsia" w:ascii="宋体" w:hAnsi="宋体" w:cs="宋体"/>
          <w:sz w:val="24"/>
          <w:szCs w:val="24"/>
          <w:highlight w:val="none"/>
          <w:lang w:val="en-US" w:eastAsia="zh-CN"/>
        </w:rPr>
        <w:t>文件</w:t>
      </w:r>
      <w:r>
        <w:rPr>
          <w:rFonts w:hint="eastAsia" w:ascii="宋体" w:hAnsi="宋体" w:cs="宋体"/>
          <w:sz w:val="24"/>
          <w:szCs w:val="24"/>
          <w:highlight w:val="none"/>
        </w:rPr>
        <w:t>）</w:t>
      </w:r>
    </w:p>
    <w:p>
      <w:pPr>
        <w:tabs>
          <w:tab w:val="left" w:pos="420"/>
          <w:tab w:val="left" w:pos="1155"/>
        </w:tabs>
        <w:spacing w:line="360" w:lineRule="auto"/>
        <w:ind w:firstLine="480" w:firstLineChars="200"/>
        <w:rPr>
          <w:rFonts w:hint="eastAsia" w:ascii="宋体" w:hAnsi="宋体" w:cs="宋体"/>
          <w:sz w:val="24"/>
          <w:szCs w:val="24"/>
          <w:highlight w:val="none"/>
        </w:rPr>
      </w:pPr>
      <w:r>
        <w:rPr>
          <w:rFonts w:hint="eastAsia" w:ascii="宋体" w:hAnsi="宋体" w:eastAsia="宋体" w:cs="宋体"/>
          <w:color w:val="auto"/>
          <w:kern w:val="0"/>
          <w:sz w:val="24"/>
          <w:highlight w:val="none"/>
          <w:lang w:val="en-US" w:eastAsia="zh-CN"/>
        </w:rPr>
        <w:t>（8）授权委托人与企业签</w:t>
      </w:r>
      <w:r>
        <w:rPr>
          <w:rFonts w:hint="eastAsia" w:ascii="宋体" w:hAnsi="宋体" w:cs="宋体"/>
          <w:sz w:val="24"/>
          <w:szCs w:val="24"/>
          <w:highlight w:val="none"/>
          <w:lang w:val="en-US" w:eastAsia="zh-CN"/>
        </w:rPr>
        <w:t>订的劳动合同，</w:t>
      </w:r>
      <w:r>
        <w:rPr>
          <w:rFonts w:hint="eastAsia" w:ascii="宋体" w:hAnsi="宋体" w:eastAsia="宋体" w:cs="Times New Roman"/>
          <w:sz w:val="24"/>
          <w:highlight w:val="none"/>
          <w:lang w:val="en-US" w:eastAsia="zh-CN"/>
        </w:rPr>
        <w:t>并提供</w:t>
      </w:r>
      <w:r>
        <w:rPr>
          <w:rFonts w:hint="eastAsia" w:ascii="宋体" w:hAnsi="宋体" w:cs="宋体"/>
          <w:sz w:val="24"/>
          <w:szCs w:val="24"/>
          <w:highlight w:val="none"/>
          <w:lang w:val="en-US" w:eastAsia="zh-CN"/>
        </w:rPr>
        <w:t>《职工养老保险手册》（内附2023年5月至2023年10月的缴费清单）或由社保机构出具的2023年5月至2023年10月的缴费证明</w:t>
      </w:r>
      <w:r>
        <w:rPr>
          <w:rFonts w:hint="eastAsia" w:ascii="宋体" w:hAnsi="宋体" w:cs="宋体"/>
          <w:sz w:val="24"/>
          <w:szCs w:val="24"/>
          <w:highlight w:val="none"/>
        </w:rPr>
        <w:t>原件扫描件；（如</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供应商成立时间迟于要求开始的时间，则提供成立时间至</w:t>
      </w:r>
      <w:r>
        <w:rPr>
          <w:rFonts w:hint="eastAsia" w:ascii="宋体" w:hAnsi="宋体" w:cs="宋体"/>
          <w:sz w:val="24"/>
          <w:szCs w:val="24"/>
          <w:highlight w:val="none"/>
          <w:lang w:val="en-US" w:eastAsia="zh-CN"/>
        </w:rPr>
        <w:t>采购</w:t>
      </w:r>
      <w:r>
        <w:rPr>
          <w:rFonts w:hint="eastAsia" w:ascii="宋体" w:hAnsi="宋体" w:cs="宋体"/>
          <w:sz w:val="24"/>
          <w:szCs w:val="24"/>
          <w:highlight w:val="none"/>
        </w:rPr>
        <w:t>文件中社保要求的截止时间内的社保缴费证明）</w:t>
      </w:r>
    </w:p>
    <w:p>
      <w:pPr>
        <w:tabs>
          <w:tab w:val="left" w:pos="420"/>
          <w:tab w:val="left" w:pos="1155"/>
        </w:tabs>
        <w:spacing w:line="360" w:lineRule="auto"/>
        <w:ind w:firstLine="480" w:firstLineChars="200"/>
        <w:rPr>
          <w:rFonts w:hint="eastAsia" w:ascii="宋体" w:hAnsi="宋体" w:cs="宋体"/>
          <w:b/>
          <w:bCs/>
          <w:sz w:val="24"/>
          <w:szCs w:val="24"/>
          <w:highlight w:val="none"/>
          <w:lang w:val="en-US" w:eastAsia="zh-CN"/>
        </w:rPr>
      </w:pPr>
      <w:r>
        <w:rPr>
          <w:rFonts w:hint="eastAsia" w:ascii="宋体" w:hAnsi="宋体" w:eastAsia="宋体" w:cs="宋体"/>
          <w:color w:val="auto"/>
          <w:kern w:val="0"/>
          <w:sz w:val="24"/>
          <w:highlight w:val="none"/>
          <w:lang w:val="en-US" w:eastAsia="zh-CN"/>
        </w:rPr>
        <w:t>（9）承诺书原件扫描件</w:t>
      </w:r>
      <w:r>
        <w:rPr>
          <w:rFonts w:hint="eastAsia" w:ascii="宋体" w:hAnsi="宋体" w:cs="宋体"/>
          <w:b/>
          <w:bCs/>
          <w:sz w:val="24"/>
          <w:szCs w:val="24"/>
          <w:highlight w:val="none"/>
          <w:lang w:val="en-US" w:eastAsia="zh-CN"/>
        </w:rPr>
        <w:t>（格式见附件）；</w:t>
      </w:r>
    </w:p>
    <w:p>
      <w:pPr>
        <w:tabs>
          <w:tab w:val="left" w:pos="420"/>
          <w:tab w:val="left" w:pos="1155"/>
        </w:tabs>
        <w:spacing w:line="360" w:lineRule="auto"/>
        <w:ind w:firstLine="480" w:firstLineChars="200"/>
        <w:rPr>
          <w:rFonts w:hint="eastAsia" w:ascii="宋体" w:hAnsi="宋体" w:eastAsia="宋体" w:cs="Times New Roman"/>
          <w:sz w:val="24"/>
          <w:highlight w:val="none"/>
          <w:lang w:eastAsia="zh-CN"/>
        </w:rPr>
      </w:pPr>
      <w:r>
        <w:rPr>
          <w:rFonts w:hint="eastAsia" w:ascii="宋体" w:hAnsi="宋体" w:eastAsia="宋体" w:cs="宋体"/>
          <w:color w:val="auto"/>
          <w:kern w:val="0"/>
          <w:sz w:val="24"/>
          <w:highlight w:val="none"/>
          <w:lang w:val="en-US" w:eastAsia="zh-CN"/>
        </w:rPr>
        <w:t>（10）</w:t>
      </w:r>
      <w:r>
        <w:rPr>
          <w:rFonts w:hint="eastAsia"/>
          <w:color w:val="auto"/>
          <w:sz w:val="24"/>
          <w:highlight w:val="none"/>
        </w:rPr>
        <w:t>本项目专门面向中小企业采购（中小微企业、监狱企业、残疾人福利性单位），供应商如为中小微企业的提供《中小企业声明函》；如为监狱和戒毒企业的，按照财政部《司法部关于政府采购支持监狱企业发展有关问题》（财库〔2014〕68号）的规定提供由省级以上监狱管理局、戒毒管理局（含新疆生产建设兵团）出具的属于监狱企业的证明文件复印件，监狱企业视同小型、微型企业；如为残疾人福利性单位的提供《残疾人福利性单位声明函》，并对声明的真实性负责，残疾人福利性单位视同小型、微型企业。</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注：</w:t>
      </w:r>
      <w:r>
        <w:rPr>
          <w:rFonts w:hint="eastAsia" w:ascii="宋体" w:hAnsi="宋体" w:cs="Times New Roman"/>
          <w:sz w:val="24"/>
          <w:highlight w:val="none"/>
          <w:lang w:val="en-US" w:eastAsia="zh-CN"/>
        </w:rPr>
        <w:t>投标</w:t>
      </w:r>
      <w:r>
        <w:rPr>
          <w:rFonts w:hint="eastAsia" w:ascii="宋体" w:hAnsi="宋体" w:eastAsia="宋体" w:cs="Times New Roman"/>
          <w:sz w:val="24"/>
          <w:highlight w:val="none"/>
          <w:lang w:eastAsia="zh-CN"/>
        </w:rPr>
        <w:t>供应商如已按《无锡市政府采购供应商注册登记管理办法》（锡财购〔2012〕3号）要求加入供应商库的，可注册入库（详见https://middle.wuxi.zcygov.cn/luban/settle/wuxi?settleCategory=1&amp;entranceType=1109）成功后，从网上下载打印《无锡市政府采购注册供应商资格信息登记表》（以下简称信息登记表），经法定代表人签字并加盖公章后,可作为供应商响应文件的有效组成部分提交采购代理机构。信息登记表所记录的信息如能反映</w:t>
      </w:r>
      <w:r>
        <w:rPr>
          <w:rFonts w:hint="eastAsia" w:ascii="宋体" w:hAnsi="宋体" w:cs="Times New Roman"/>
          <w:sz w:val="24"/>
          <w:highlight w:val="none"/>
          <w:lang w:val="en-US" w:eastAsia="zh-CN"/>
        </w:rPr>
        <w:t>投标供应商</w:t>
      </w:r>
      <w:r>
        <w:rPr>
          <w:rFonts w:hint="eastAsia" w:ascii="宋体" w:hAnsi="宋体" w:eastAsia="宋体" w:cs="Times New Roman"/>
          <w:sz w:val="24"/>
          <w:highlight w:val="none"/>
          <w:lang w:eastAsia="zh-CN"/>
        </w:rPr>
        <w:t>具备对应资格条件项的，在本项目评审时，可凭该信息登记表免于提供相应的资格、资信证明材料的原件或公证件，否则必须按要求提供相应的资格、资信证明材料原件或公证件。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val="0"/>
          <w:color w:val="auto"/>
          <w:sz w:val="24"/>
          <w:highlight w:val="none"/>
        </w:rPr>
      </w:pPr>
      <w:r>
        <w:rPr>
          <w:rFonts w:hint="eastAsia" w:ascii="宋体" w:hAnsi="宋体"/>
          <w:b w:val="0"/>
          <w:bCs w:val="0"/>
          <w:color w:val="auto"/>
          <w:sz w:val="24"/>
          <w:highlight w:val="none"/>
        </w:rPr>
        <w:t>上述资格、资信证明文件</w:t>
      </w:r>
      <w:r>
        <w:rPr>
          <w:rFonts w:hint="eastAsia" w:ascii="宋体" w:hAnsi="宋体"/>
          <w:b w:val="0"/>
          <w:bCs w:val="0"/>
          <w:color w:val="auto"/>
          <w:sz w:val="24"/>
          <w:highlight w:val="none"/>
          <w:lang w:eastAsia="zh-CN"/>
        </w:rPr>
        <w:t>供应商</w:t>
      </w:r>
      <w:r>
        <w:rPr>
          <w:rFonts w:hint="eastAsia" w:ascii="宋体" w:hAnsi="宋体"/>
          <w:b w:val="0"/>
          <w:bCs w:val="0"/>
          <w:color w:val="auto"/>
          <w:sz w:val="24"/>
          <w:highlight w:val="none"/>
        </w:rPr>
        <w:t>必须按要求全部提供，否则响应文件无效。如上述资格、资信证明文件遇有国家相关政策规定可不具备的，必须提供相关政策规定或相关单位出具的有效证明</w:t>
      </w:r>
      <w:r>
        <w:rPr>
          <w:rFonts w:hint="eastAsia" w:ascii="宋体" w:hAnsi="宋体"/>
          <w:b w:val="0"/>
          <w:bCs w:val="0"/>
          <w:color w:val="auto"/>
          <w:sz w:val="24"/>
          <w:highlight w:val="none"/>
          <w:lang w:eastAsia="zh-CN"/>
        </w:rPr>
        <w:t>原件扫描件</w:t>
      </w:r>
      <w:r>
        <w:rPr>
          <w:rFonts w:hint="eastAsia" w:ascii="宋体" w:hAnsi="宋体"/>
          <w:b w:val="0"/>
          <w:bCs w:val="0"/>
          <w:color w:val="auto"/>
          <w:sz w:val="24"/>
          <w:highlight w:val="none"/>
        </w:rPr>
        <w:t>。</w:t>
      </w:r>
      <w:r>
        <w:rPr>
          <w:rFonts w:hint="eastAsia" w:ascii="宋体" w:hAnsi="宋体"/>
          <w:b w:val="0"/>
          <w:bCs w:val="0"/>
          <w:color w:val="auto"/>
          <w:sz w:val="24"/>
          <w:highlight w:val="none"/>
          <w:lang w:eastAsia="zh-CN"/>
        </w:rPr>
        <w:t>供应商</w:t>
      </w:r>
      <w:r>
        <w:rPr>
          <w:rFonts w:hint="eastAsia" w:ascii="宋体" w:hAnsi="宋体"/>
          <w:b w:val="0"/>
          <w:bCs w:val="0"/>
          <w:color w:val="auto"/>
          <w:sz w:val="24"/>
          <w:highlight w:val="none"/>
        </w:rPr>
        <w:t>法定代表人或法定代表人授权代表为外籍、港、澳、台地区人士的，其身份证明须提供有效的护照或港澳同胞来往内地通行证、台湾同胞来往大陆通行</w:t>
      </w:r>
      <w:r>
        <w:rPr>
          <w:rFonts w:hint="eastAsia" w:ascii="宋体" w:hAnsi="宋体" w:eastAsia="宋体" w:cs="Times New Roman"/>
          <w:b w:val="0"/>
          <w:bCs w:val="0"/>
          <w:color w:val="auto"/>
          <w:sz w:val="24"/>
          <w:highlight w:val="none"/>
        </w:rPr>
        <w:t>证，或其它可在中国大陆有效居留的许可证明。</w:t>
      </w:r>
    </w:p>
    <w:p>
      <w:pPr>
        <w:tabs>
          <w:tab w:val="left" w:pos="1365"/>
        </w:tabs>
        <w:spacing w:line="440" w:lineRule="exact"/>
        <w:ind w:left="1" w:firstLine="480" w:firstLineChars="200"/>
        <w:rPr>
          <w:rFonts w:hint="eastAsia" w:ascii="宋体" w:hAnsi="宋体" w:cs="宋体"/>
          <w:color w:val="auto"/>
          <w:kern w:val="0"/>
          <w:sz w:val="24"/>
          <w:highlight w:val="none"/>
        </w:rPr>
      </w:pPr>
      <w:r>
        <w:rPr>
          <w:rFonts w:hint="eastAsia" w:ascii="宋体" w:hAnsi="宋体"/>
          <w:color w:val="auto"/>
          <w:sz w:val="24"/>
          <w:highlight w:val="none"/>
        </w:rPr>
        <w:t>第二部分：</w:t>
      </w:r>
    </w:p>
    <w:p>
      <w:pPr>
        <w:widowControl/>
        <w:tabs>
          <w:tab w:val="left" w:pos="0"/>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补充证明文件：</w:t>
      </w:r>
    </w:p>
    <w:p>
      <w:pPr>
        <w:widowControl/>
        <w:tabs>
          <w:tab w:val="left" w:pos="0"/>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（1）供应商简介和经营情况说明；</w:t>
      </w:r>
    </w:p>
    <w:p>
      <w:pPr>
        <w:widowControl/>
        <w:tabs>
          <w:tab w:val="left" w:pos="420"/>
        </w:tabs>
        <w:spacing w:line="360" w:lineRule="auto"/>
        <w:ind w:firstLine="480" w:firstLineChars="200"/>
        <w:jc w:val="left"/>
        <w:rPr>
          <w:rFonts w:hint="eastAsia" w:ascii="宋体" w:hAnsi="宋体"/>
          <w:b/>
          <w:bCs/>
          <w:color w:val="auto"/>
          <w:sz w:val="24"/>
          <w:highlight w:val="none"/>
          <w:lang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w:t>
      </w:r>
      <w:r>
        <w:rPr>
          <w:rFonts w:hint="eastAsia" w:ascii="宋体" w:hAnsi="宋体" w:eastAsia="宋体" w:cs="宋体"/>
          <w:bCs/>
          <w:sz w:val="24"/>
          <w:highlight w:val="none"/>
          <w:lang w:val="en-US" w:eastAsia="zh-CN"/>
        </w:rPr>
        <w:t>拟投入本项目的人员一览表</w:t>
      </w:r>
      <w:r>
        <w:rPr>
          <w:rFonts w:hint="eastAsia" w:ascii="宋体" w:hAnsi="宋体"/>
          <w:b/>
          <w:bCs/>
          <w:color w:val="auto"/>
          <w:sz w:val="24"/>
          <w:highlight w:val="none"/>
        </w:rPr>
        <w:t>（格式</w:t>
      </w:r>
      <w:r>
        <w:rPr>
          <w:rFonts w:hint="eastAsia" w:ascii="宋体" w:hAnsi="宋体"/>
          <w:b/>
          <w:bCs/>
          <w:color w:val="auto"/>
          <w:sz w:val="24"/>
          <w:highlight w:val="none"/>
          <w:lang w:val="en-US" w:eastAsia="zh-CN"/>
        </w:rPr>
        <w:t>见附件</w:t>
      </w:r>
      <w:r>
        <w:rPr>
          <w:rFonts w:hint="eastAsia" w:ascii="宋体" w:hAnsi="宋体"/>
          <w:b/>
          <w:bCs/>
          <w:color w:val="auto"/>
          <w:sz w:val="24"/>
          <w:highlight w:val="none"/>
        </w:rPr>
        <w:t>）</w:t>
      </w:r>
      <w:r>
        <w:rPr>
          <w:rFonts w:hint="eastAsia" w:ascii="宋体" w:hAnsi="宋体"/>
          <w:b/>
          <w:bCs/>
          <w:color w:val="auto"/>
          <w:sz w:val="24"/>
          <w:highlight w:val="none"/>
          <w:lang w:eastAsia="zh-CN"/>
        </w:rPr>
        <w:t>；</w:t>
      </w:r>
    </w:p>
    <w:p>
      <w:pPr>
        <w:widowControl/>
        <w:tabs>
          <w:tab w:val="left" w:pos="420"/>
        </w:tabs>
        <w:spacing w:line="360" w:lineRule="auto"/>
        <w:ind w:firstLine="480" w:firstLineChars="200"/>
        <w:jc w:val="left"/>
        <w:rPr>
          <w:rFonts w:hint="eastAsia" w:ascii="宋体" w:hAnsi="宋体"/>
          <w:b/>
          <w:bCs/>
          <w:color w:val="auto"/>
          <w:sz w:val="24"/>
          <w:highlight w:val="none"/>
          <w:lang w:val="en-US"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lang w:val="en-US" w:eastAsia="zh-CN"/>
        </w:rPr>
        <w:t>清障辅助设备一览表</w:t>
      </w:r>
      <w:r>
        <w:rPr>
          <w:rFonts w:hint="eastAsia" w:ascii="宋体" w:hAnsi="宋体"/>
          <w:b/>
          <w:bCs/>
          <w:color w:val="auto"/>
          <w:sz w:val="24"/>
          <w:highlight w:val="none"/>
        </w:rPr>
        <w:t>（格式</w:t>
      </w:r>
      <w:r>
        <w:rPr>
          <w:rFonts w:hint="eastAsia" w:ascii="宋体" w:hAnsi="宋体"/>
          <w:b/>
          <w:bCs/>
          <w:color w:val="auto"/>
          <w:sz w:val="24"/>
          <w:highlight w:val="none"/>
          <w:lang w:val="en-US" w:eastAsia="zh-CN"/>
        </w:rPr>
        <w:t>见附件</w:t>
      </w:r>
      <w:r>
        <w:rPr>
          <w:rFonts w:hint="eastAsia" w:ascii="宋体" w:hAnsi="宋体"/>
          <w:b/>
          <w:bCs/>
          <w:color w:val="auto"/>
          <w:sz w:val="24"/>
          <w:highlight w:val="none"/>
        </w:rPr>
        <w:t>）</w:t>
      </w:r>
    </w:p>
    <w:p>
      <w:pPr>
        <w:widowControl/>
        <w:tabs>
          <w:tab w:val="left" w:pos="420"/>
        </w:tabs>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rPr>
        <w:t>投标</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rPr>
        <w:t>认为有必要提供的其它资料（详见评分标准所要求之证明材料）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响应函部分</w:t>
      </w:r>
      <w:r>
        <w:rPr>
          <w:rFonts w:hint="eastAsia" w:ascii="宋体" w:hAnsi="宋体"/>
          <w:b/>
          <w:bCs/>
          <w:color w:val="auto"/>
          <w:sz w:val="24"/>
          <w:highlight w:val="none"/>
        </w:rPr>
        <w:t>（格式见附件）</w:t>
      </w:r>
      <w:r>
        <w:rPr>
          <w:rFonts w:hint="eastAsia" w:ascii="宋体" w:hAnsi="宋体"/>
          <w:color w:val="auto"/>
          <w:sz w:val="24"/>
          <w:highlight w:val="none"/>
        </w:rPr>
        <w:t>：</w:t>
      </w:r>
    </w:p>
    <w:p>
      <w:pPr>
        <w:widowControl/>
        <w:tabs>
          <w:tab w:val="left" w:pos="420"/>
        </w:tabs>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（1）响应函</w:t>
      </w:r>
      <w:r>
        <w:rPr>
          <w:rFonts w:hint="eastAsia" w:ascii="宋体" w:hAnsi="宋体" w:eastAsia="宋体" w:cs="宋体"/>
          <w:color w:val="auto"/>
          <w:kern w:val="0"/>
          <w:sz w:val="24"/>
          <w:highlight w:val="none"/>
          <w:lang w:eastAsia="zh-CN"/>
        </w:rPr>
        <w:t>；</w:t>
      </w:r>
    </w:p>
    <w:p>
      <w:pPr>
        <w:widowControl/>
        <w:tabs>
          <w:tab w:val="left" w:pos="420"/>
        </w:tabs>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（2）开标一览表</w:t>
      </w:r>
      <w:r>
        <w:rPr>
          <w:rFonts w:hint="eastAsia" w:ascii="宋体" w:hAnsi="宋体" w:eastAsia="宋体" w:cs="宋体"/>
          <w:color w:val="auto"/>
          <w:kern w:val="0"/>
          <w:sz w:val="24"/>
          <w:highlight w:val="none"/>
          <w:lang w:eastAsia="zh-CN"/>
        </w:rPr>
        <w:t>；</w:t>
      </w:r>
    </w:p>
    <w:p>
      <w:pPr>
        <w:widowControl/>
        <w:tabs>
          <w:tab w:val="left" w:pos="420"/>
        </w:tabs>
        <w:spacing w:line="360" w:lineRule="auto"/>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（3）报价明细表；</w:t>
      </w:r>
    </w:p>
    <w:p>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3</w:t>
      </w:r>
      <w:r>
        <w:rPr>
          <w:rFonts w:hint="eastAsia" w:ascii="宋体" w:hAnsi="宋体"/>
          <w:color w:val="auto"/>
          <w:sz w:val="24"/>
          <w:highlight w:val="none"/>
        </w:rPr>
        <w:t>.技术文件部分</w:t>
      </w:r>
      <w:r>
        <w:rPr>
          <w:rFonts w:hint="eastAsia" w:ascii="宋体" w:hAnsi="宋体"/>
          <w:color w:val="auto"/>
          <w:sz w:val="24"/>
          <w:highlight w:val="none"/>
          <w:lang w:eastAsia="zh-CN"/>
        </w:rPr>
        <w:t>：</w:t>
      </w:r>
    </w:p>
    <w:p>
      <w:pPr>
        <w:widowControl/>
        <w:tabs>
          <w:tab w:val="left" w:pos="420"/>
        </w:tabs>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岗前培训及阶段性培训管理</w:t>
      </w:r>
      <w:r>
        <w:rPr>
          <w:rFonts w:hint="eastAsia" w:ascii="宋体" w:hAnsi="宋体" w:eastAsia="宋体" w:cs="宋体"/>
          <w:color w:val="auto"/>
          <w:kern w:val="0"/>
          <w:sz w:val="24"/>
          <w:highlight w:val="none"/>
          <w:lang w:val="en-US" w:eastAsia="zh-CN"/>
        </w:rPr>
        <w:t xml:space="preserve">；                                                                  </w:t>
      </w:r>
    </w:p>
    <w:p>
      <w:pPr>
        <w:widowControl/>
        <w:tabs>
          <w:tab w:val="left" w:pos="420"/>
        </w:tabs>
        <w:spacing w:line="360" w:lineRule="auto"/>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物资装备的配备</w:t>
      </w:r>
      <w:r>
        <w:rPr>
          <w:rFonts w:hint="eastAsia" w:ascii="宋体" w:hAnsi="宋体" w:eastAsia="宋体" w:cs="宋体"/>
          <w:color w:val="auto"/>
          <w:kern w:val="0"/>
          <w:sz w:val="24"/>
          <w:highlight w:val="none"/>
          <w:lang w:val="en-US" w:eastAsia="zh-CN"/>
        </w:rPr>
        <w:t xml:space="preserve">及人员安排；                             </w:t>
      </w:r>
    </w:p>
    <w:p>
      <w:pPr>
        <w:widowControl/>
        <w:tabs>
          <w:tab w:val="left" w:pos="420"/>
        </w:tabs>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管理规章制度</w:t>
      </w:r>
      <w:r>
        <w:rPr>
          <w:rFonts w:hint="eastAsia" w:ascii="宋体" w:hAnsi="宋体" w:eastAsia="宋体" w:cs="宋体"/>
          <w:color w:val="auto"/>
          <w:kern w:val="0"/>
          <w:sz w:val="24"/>
          <w:highlight w:val="none"/>
          <w:lang w:val="en-US" w:eastAsia="zh-CN"/>
        </w:rPr>
        <w:t xml:space="preserve">；                                                                  </w:t>
      </w:r>
    </w:p>
    <w:p>
      <w:pPr>
        <w:widowControl/>
        <w:tabs>
          <w:tab w:val="left" w:pos="420"/>
        </w:tabs>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违停车辆清障服务中涉及的违停车辆清障、重大活动保障的工作流程</w:t>
      </w:r>
      <w:r>
        <w:rPr>
          <w:rFonts w:hint="eastAsia" w:ascii="宋体" w:hAnsi="宋体" w:eastAsia="宋体" w:cs="宋体"/>
          <w:color w:val="auto"/>
          <w:kern w:val="0"/>
          <w:sz w:val="24"/>
          <w:highlight w:val="none"/>
          <w:lang w:val="en-US" w:eastAsia="zh-CN"/>
        </w:rPr>
        <w:t xml:space="preserve">；                                   </w:t>
      </w:r>
    </w:p>
    <w:p>
      <w:pPr>
        <w:widowControl/>
        <w:tabs>
          <w:tab w:val="left" w:pos="420"/>
        </w:tabs>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违停车辆清障服务项目的重点难点问题措施</w:t>
      </w:r>
      <w:r>
        <w:rPr>
          <w:rFonts w:hint="eastAsia" w:ascii="宋体" w:hAnsi="宋体" w:eastAsia="宋体" w:cs="宋体"/>
          <w:color w:val="auto"/>
          <w:kern w:val="0"/>
          <w:sz w:val="24"/>
          <w:highlight w:val="none"/>
          <w:lang w:val="en-US" w:eastAsia="zh-CN"/>
        </w:rPr>
        <w:t xml:space="preserve">；                               </w:t>
      </w:r>
    </w:p>
    <w:p>
      <w:pPr>
        <w:widowControl/>
        <w:tabs>
          <w:tab w:val="left" w:pos="420"/>
        </w:tabs>
        <w:spacing w:line="360" w:lineRule="auto"/>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档案资料管理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 xml:space="preserve">                                         </w:t>
      </w:r>
    </w:p>
    <w:p>
      <w:pPr>
        <w:widowControl/>
        <w:tabs>
          <w:tab w:val="left" w:pos="420"/>
        </w:tabs>
        <w:spacing w:line="360" w:lineRule="auto"/>
        <w:ind w:firstLine="480" w:firstLineChars="200"/>
        <w:jc w:val="left"/>
        <w:rPr>
          <w:rFonts w:hint="eastAsia" w:ascii="宋体" w:hAnsi="宋体" w:cs="宋体"/>
          <w:sz w:val="24"/>
          <w:szCs w:val="24"/>
          <w:highlight w:val="none"/>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服务响应时间</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cs="宋体"/>
          <w:kern w:val="0"/>
          <w:sz w:val="24"/>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cs="宋体"/>
          <w:kern w:val="0"/>
          <w:sz w:val="24"/>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cs="宋体"/>
          <w:kern w:val="0"/>
          <w:sz w:val="24"/>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eastAsia="宋体" w:cs="宋体"/>
          <w:color w:val="000000"/>
          <w:kern w:val="2"/>
          <w:sz w:val="24"/>
          <w:szCs w:val="24"/>
          <w:highlight w:val="none"/>
          <w:lang w:val="en-US" w:eastAsia="zh-CN"/>
        </w:rPr>
        <w:t xml:space="preserve">                  </w:t>
      </w:r>
      <w:r>
        <w:rPr>
          <w:rFonts w:hint="eastAsia" w:ascii="宋体" w:hAnsi="宋体" w:cs="宋体"/>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0"/>
        <w:rPr>
          <w:rFonts w:hint="eastAsia" w:ascii="宋体" w:hAnsi="宋体" w:cs="宋体"/>
          <w:b/>
          <w:bCs/>
          <w:sz w:val="24"/>
          <w:szCs w:val="24"/>
          <w:highlight w:val="none"/>
        </w:rPr>
      </w:pP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六</w:t>
      </w:r>
      <w:r>
        <w:rPr>
          <w:rFonts w:hint="eastAsia" w:ascii="宋体" w:hAnsi="宋体" w:cs="宋体"/>
          <w:b/>
          <w:bCs/>
          <w:sz w:val="24"/>
          <w:szCs w:val="24"/>
          <w:highlight w:val="none"/>
        </w:rPr>
        <w:t>）投标文件的要求</w:t>
      </w:r>
    </w:p>
    <w:p>
      <w:pPr>
        <w:spacing w:line="360" w:lineRule="auto"/>
        <w:ind w:firstLine="480" w:firstLineChars="200"/>
        <w:jc w:val="left"/>
        <w:rPr>
          <w:rFonts w:hint="eastAsia" w:ascii="宋体" w:hAnsi="宋体"/>
          <w:sz w:val="24"/>
          <w:highlight w:val="none"/>
        </w:rPr>
      </w:pPr>
      <w:r>
        <w:rPr>
          <w:rFonts w:ascii="宋体" w:hAnsi="宋体"/>
          <w:sz w:val="24"/>
          <w:highlight w:val="none"/>
        </w:rPr>
        <w:t>1.</w:t>
      </w:r>
      <w:r>
        <w:rPr>
          <w:rFonts w:hint="eastAsia" w:ascii="宋体" w:hAnsi="宋体"/>
          <w:sz w:val="24"/>
          <w:highlight w:val="none"/>
        </w:rPr>
        <w:t>所有文件、往来函件均应使用简体中文（规格、型号辅助符号除外）。</w:t>
      </w:r>
    </w:p>
    <w:p>
      <w:pPr>
        <w:spacing w:line="360" w:lineRule="auto"/>
        <w:ind w:firstLine="480" w:firstLineChars="200"/>
        <w:jc w:val="left"/>
        <w:rPr>
          <w:rFonts w:ascii="宋体" w:hAnsi="宋体"/>
          <w:sz w:val="24"/>
          <w:highlight w:val="none"/>
        </w:rPr>
      </w:pPr>
      <w:r>
        <w:rPr>
          <w:rFonts w:ascii="宋体" w:hAnsi="宋体"/>
          <w:sz w:val="24"/>
          <w:highlight w:val="none"/>
        </w:rPr>
        <w:t>2.</w:t>
      </w:r>
      <w:r>
        <w:rPr>
          <w:rFonts w:hint="eastAsia" w:ascii="宋体" w:hAnsi="宋体"/>
          <w:sz w:val="24"/>
          <w:highlight w:val="none"/>
        </w:rPr>
        <w:t>投标文件由投标供应商按给定格式如实填写（编写），须有法人（盖章）、法定代表人或法定代表人授权代表签字或盖章，方为有效，未尽事宜可自行补充。</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宋体" w:hAnsi="宋体"/>
          <w:sz w:val="24"/>
          <w:highlight w:val="none"/>
        </w:rPr>
      </w:pPr>
      <w:r>
        <w:rPr>
          <w:rFonts w:ascii="宋体" w:hAnsi="宋体"/>
          <w:sz w:val="24"/>
          <w:highlight w:val="none"/>
        </w:rPr>
        <w:t>3.</w:t>
      </w:r>
      <w:r>
        <w:rPr>
          <w:rFonts w:hint="eastAsia" w:ascii="宋体" w:hAnsi="宋体"/>
          <w:sz w:val="24"/>
          <w:highlight w:val="none"/>
        </w:rPr>
        <w:t>投标供应商报价一律以人民币为报价结算货币，结算单位为“元”。</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投标费用自理。</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jc w:val="left"/>
        <w:textAlignment w:val="auto"/>
        <w:rPr>
          <w:rFonts w:ascii="宋体" w:hAnsi="宋体"/>
          <w:sz w:val="24"/>
          <w:highlight w:val="none"/>
        </w:rPr>
      </w:pPr>
      <w:r>
        <w:rPr>
          <w:rFonts w:hint="eastAsia" w:ascii="宋体" w:hAnsi="宋体"/>
          <w:sz w:val="24"/>
          <w:highlight w:val="none"/>
        </w:rPr>
        <w:t>5.</w:t>
      </w:r>
      <w:r>
        <w:rPr>
          <w:rFonts w:hint="eastAsia" w:ascii="宋体" w:hAnsi="宋体"/>
          <w:sz w:val="24"/>
          <w:highlight w:val="none"/>
          <w:lang w:eastAsia="zh-CN"/>
        </w:rPr>
        <w:t>投标供应商</w:t>
      </w:r>
      <w:r>
        <w:rPr>
          <w:rFonts w:hint="eastAsia" w:ascii="宋体" w:hAnsi="宋体"/>
          <w:sz w:val="24"/>
          <w:highlight w:val="none"/>
        </w:rPr>
        <w:t>应由其法定代表人或法定代表人授权代表在规定的网上投标时间内，凭CA数字证书登陆政府采购交易管理一体化系统获取招标文件，在政采云报价客户端制作投标文件（电子数据），并在投标截止时间之前上传投标文件。</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jc w:val="left"/>
        <w:textAlignment w:val="auto"/>
        <w:rPr>
          <w:rFonts w:ascii="宋体" w:hAnsi="宋体"/>
          <w:sz w:val="24"/>
          <w:highlight w:val="none"/>
        </w:rPr>
      </w:pPr>
      <w:r>
        <w:rPr>
          <w:rFonts w:hint="eastAsia" w:ascii="宋体" w:hAnsi="宋体"/>
          <w:sz w:val="24"/>
          <w:highlight w:val="none"/>
        </w:rPr>
        <w:t>6.</w:t>
      </w:r>
      <w:r>
        <w:rPr>
          <w:rFonts w:hint="eastAsia" w:ascii="宋体" w:hAnsi="宋体"/>
          <w:sz w:val="24"/>
          <w:highlight w:val="none"/>
          <w:lang w:eastAsia="zh-CN"/>
        </w:rPr>
        <w:t>投标供应商</w:t>
      </w:r>
      <w:r>
        <w:rPr>
          <w:rFonts w:hint="eastAsia" w:ascii="宋体" w:hAnsi="宋体"/>
          <w:sz w:val="24"/>
          <w:highlight w:val="none"/>
        </w:rPr>
        <w:t>应对CA数字证书妥善保管，如被他人盗用投标，后果自负。</w:t>
      </w:r>
    </w:p>
    <w:p>
      <w:pPr>
        <w:keepNext w:val="0"/>
        <w:keepLines w:val="0"/>
        <w:pageBreakBefore w:val="0"/>
        <w:widowControl w:val="0"/>
        <w:tabs>
          <w:tab w:val="left" w:pos="0"/>
        </w:tabs>
        <w:kinsoku/>
        <w:wordWrap/>
        <w:overflowPunct/>
        <w:topLinePunct w:val="0"/>
        <w:autoSpaceDE/>
        <w:autoSpaceDN/>
        <w:bidi w:val="0"/>
        <w:spacing w:line="360" w:lineRule="auto"/>
        <w:ind w:firstLine="480" w:firstLineChars="200"/>
        <w:jc w:val="left"/>
        <w:textAlignment w:val="auto"/>
        <w:rPr>
          <w:rFonts w:ascii="宋体" w:hAnsi="宋体"/>
          <w:sz w:val="24"/>
          <w:highlight w:val="none"/>
        </w:rPr>
      </w:pPr>
      <w:r>
        <w:rPr>
          <w:rFonts w:hint="eastAsia" w:ascii="宋体" w:hAnsi="宋体"/>
          <w:sz w:val="24"/>
          <w:highlight w:val="none"/>
        </w:rPr>
        <w:t>7.</w:t>
      </w:r>
      <w:r>
        <w:rPr>
          <w:rFonts w:hint="eastAsia" w:ascii="宋体" w:hAnsi="宋体"/>
          <w:sz w:val="24"/>
          <w:highlight w:val="none"/>
          <w:lang w:eastAsia="zh-CN"/>
        </w:rPr>
        <w:t>投标供应商</w:t>
      </w:r>
      <w:r>
        <w:rPr>
          <w:rFonts w:hint="eastAsia" w:ascii="宋体" w:hAnsi="宋体"/>
          <w:sz w:val="24"/>
          <w:highlight w:val="none"/>
        </w:rPr>
        <w:t>按招标文件规定的网上解密时间进行解密，如未按时解密后果自负。</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rPr>
        <w:t>8.</w:t>
      </w:r>
      <w:r>
        <w:rPr>
          <w:rFonts w:hint="eastAsia" w:ascii="宋体" w:hAnsi="宋体"/>
          <w:sz w:val="24"/>
          <w:highlight w:val="none"/>
          <w:lang w:eastAsia="zh-CN"/>
        </w:rPr>
        <w:t>投标供应商</w:t>
      </w:r>
      <w:r>
        <w:rPr>
          <w:rFonts w:hint="eastAsia" w:ascii="宋体" w:hAnsi="宋体"/>
          <w:sz w:val="24"/>
          <w:highlight w:val="none"/>
        </w:rPr>
        <w:t>应当对招标文件提出的要求和条件作出实质性响应，并在电子投标系统逐条应答。</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highlight w:val="none"/>
        </w:rPr>
      </w:pPr>
      <w:r>
        <w:rPr>
          <w:rFonts w:hint="eastAsia" w:ascii="宋体" w:hAnsi="宋体"/>
          <w:sz w:val="24"/>
          <w:highlight w:val="none"/>
        </w:rPr>
        <w:t>9.</w:t>
      </w:r>
      <w:r>
        <w:rPr>
          <w:rFonts w:hint="eastAsia" w:ascii="宋体" w:hAnsi="宋体"/>
          <w:sz w:val="24"/>
          <w:highlight w:val="none"/>
          <w:lang w:eastAsia="zh-CN"/>
        </w:rPr>
        <w:t>投标供应商</w:t>
      </w:r>
      <w:r>
        <w:rPr>
          <w:rFonts w:hint="eastAsia" w:ascii="宋体" w:hAnsi="宋体"/>
          <w:sz w:val="24"/>
          <w:highlight w:val="none"/>
        </w:rPr>
        <w:t>应对要求提供的资格证明文件（如资质证书、资格证书）、技术资料（如白皮书、彩页、手册、业绩、报告等）扫描上传至投标系统。</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sz w:val="24"/>
          <w:highlight w:val="none"/>
          <w:lang w:val="en-US" w:eastAsia="zh-CN"/>
        </w:rPr>
        <w:t>10</w:t>
      </w:r>
      <w:r>
        <w:rPr>
          <w:rFonts w:hint="eastAsia" w:ascii="宋体" w:hAnsi="宋体"/>
          <w:sz w:val="24"/>
          <w:highlight w:val="none"/>
        </w:rPr>
        <w:t>.中标供应商需在中标后递交一份纸质文件正本，两份纸质文件副本。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szCs w:val="24"/>
          <w:highlight w:val="none"/>
        </w:rPr>
      </w:pPr>
      <w:r>
        <w:rPr>
          <w:rFonts w:hint="eastAsia"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w:t>
      </w:r>
      <w:r>
        <w:rPr>
          <w:rFonts w:hint="eastAsia" w:ascii="宋体" w:hAnsi="宋体"/>
          <w:sz w:val="24"/>
          <w:highlight w:val="none"/>
          <w:lang w:eastAsia="zh-CN"/>
        </w:rPr>
        <w:t>投标供应商</w:t>
      </w:r>
      <w:r>
        <w:rPr>
          <w:rFonts w:hint="eastAsia" w:ascii="宋体" w:hAnsi="宋体"/>
          <w:sz w:val="24"/>
          <w:highlight w:val="none"/>
        </w:rPr>
        <w:t>进行网上投标请参照《全流程电子化投标操作说明》。</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0"/>
        <w:rPr>
          <w:rFonts w:hint="eastAsia" w:ascii="宋体" w:hAnsi="宋体" w:cs="宋体"/>
          <w:b/>
          <w:bCs/>
          <w:sz w:val="24"/>
          <w:szCs w:val="24"/>
          <w:highlight w:val="none"/>
        </w:rPr>
      </w:pPr>
      <w:r>
        <w:rPr>
          <w:rFonts w:hint="eastAsia" w:ascii="宋体" w:hAnsi="宋体" w:cs="宋体"/>
          <w:b/>
          <w:bCs/>
          <w:sz w:val="24"/>
          <w:szCs w:val="24"/>
          <w:highlight w:val="none"/>
        </w:rPr>
        <w:t>（七）报价要求：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投标报价应包括人员</w:t>
      </w:r>
      <w:r>
        <w:rPr>
          <w:rFonts w:hint="eastAsia" w:asciiTheme="minorEastAsia" w:hAnsiTheme="minorEastAsia" w:eastAsiaTheme="minorEastAsia" w:cstheme="minorEastAsia"/>
          <w:sz w:val="24"/>
          <w:highlight w:val="none"/>
          <w:lang w:val="en-US" w:eastAsia="zh-CN"/>
        </w:rPr>
        <w:t>工资、加班费</w:t>
      </w:r>
      <w:r>
        <w:rPr>
          <w:rFonts w:hint="eastAsia" w:asciiTheme="minorEastAsia" w:hAnsiTheme="minorEastAsia" w:eastAsiaTheme="minorEastAsia" w:cstheme="minorEastAsia"/>
          <w:sz w:val="24"/>
          <w:highlight w:val="none"/>
        </w:rPr>
        <w:t>、机械</w:t>
      </w:r>
      <w:r>
        <w:rPr>
          <w:rFonts w:hint="eastAsia" w:asciiTheme="minorEastAsia" w:hAnsiTheme="minorEastAsia" w:eastAsiaTheme="minorEastAsia" w:cstheme="minorEastAsia"/>
          <w:sz w:val="24"/>
          <w:highlight w:val="none"/>
          <w:lang w:val="en-US" w:eastAsia="zh-CN"/>
        </w:rPr>
        <w:t>费</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车辆费、</w:t>
      </w:r>
      <w:r>
        <w:rPr>
          <w:rFonts w:hint="eastAsia" w:asciiTheme="minorEastAsia" w:hAnsiTheme="minorEastAsia" w:eastAsiaTheme="minorEastAsia" w:cstheme="minorEastAsia"/>
          <w:sz w:val="24"/>
          <w:highlight w:val="none"/>
        </w:rPr>
        <w:t>应急保障、</w:t>
      </w:r>
      <w:r>
        <w:rPr>
          <w:rFonts w:hint="eastAsia" w:asciiTheme="minorEastAsia" w:hAnsiTheme="minorEastAsia" w:eastAsiaTheme="minorEastAsia" w:cstheme="minorEastAsia"/>
          <w:sz w:val="24"/>
          <w:highlight w:val="none"/>
          <w:lang w:val="en-US" w:eastAsia="zh-CN"/>
        </w:rPr>
        <w:t>服装费、</w:t>
      </w:r>
      <w:r>
        <w:rPr>
          <w:rFonts w:hint="eastAsia" w:asciiTheme="minorEastAsia" w:hAnsiTheme="minorEastAsia" w:eastAsiaTheme="minorEastAsia" w:cstheme="minorEastAsia"/>
          <w:sz w:val="24"/>
          <w:highlight w:val="none"/>
        </w:rPr>
        <w:t>保险、利润、税金等服务期内满足采购人要求的全部费用。</w:t>
      </w:r>
      <w:r>
        <w:rPr>
          <w:rFonts w:hint="eastAsia" w:asciiTheme="minorEastAsia" w:hAnsiTheme="minorEastAsia" w:eastAsiaTheme="minorEastAsia" w:cstheme="minorEastAsia"/>
          <w:sz w:val="24"/>
          <w:highlight w:val="none"/>
          <w:lang w:val="en-US" w:eastAsia="zh-CN"/>
        </w:rPr>
        <w:t>投标供应商</w:t>
      </w:r>
      <w:r>
        <w:rPr>
          <w:rFonts w:hint="eastAsia" w:asciiTheme="minorEastAsia" w:hAnsiTheme="minorEastAsia" w:eastAsiaTheme="minorEastAsia" w:cstheme="minorEastAsia"/>
          <w:sz w:val="24"/>
          <w:highlight w:val="none"/>
        </w:rPr>
        <w:t>应充分考虑服务期内所有可能影响到报价的因素（包括最低工资标准和社保基数的政策性调整），一旦投标结束最终中标，不予调整。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投标供应商</w:t>
      </w:r>
      <w:r>
        <w:rPr>
          <w:rFonts w:hint="eastAsia" w:asciiTheme="minorEastAsia" w:hAnsiTheme="minorEastAsia" w:eastAsiaTheme="minorEastAsia" w:cstheme="minorEastAsia"/>
          <w:sz w:val="24"/>
          <w:highlight w:val="none"/>
        </w:rPr>
        <w:t>可先到现场踏勘以充分了解项目位置、情况、道路及任何其他足以影响承包价的情况，任何因忽视或误解项目情况而导致的索赔申请将不被批准。</w:t>
      </w:r>
    </w:p>
    <w:p>
      <w:pPr>
        <w:pStyle w:val="1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投标供应商应当充分考虑服务期内所有可能影响到的因素，一旦投标结束</w:t>
      </w:r>
      <w:r>
        <w:rPr>
          <w:rFonts w:hint="eastAsia" w:hAnsi="宋体"/>
          <w:sz w:val="24"/>
          <w:szCs w:val="24"/>
          <w:highlight w:val="none"/>
        </w:rPr>
        <w:t>最终成交，总价将包定，除采购人要求变更岗位配置数量外，总价不予调整（国家政策性调整除外）。如发生漏、缺、少项，都将被认为是中标方的报价让利行为，损失自负。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4.一项投标内容只允许一个报价，采购人不接受任何有选择性的投标报价。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hAnsi="宋体"/>
          <w:sz w:val="24"/>
          <w:szCs w:val="24"/>
          <w:highlight w:val="none"/>
          <w:lang w:val="en-US" w:eastAsia="zh-CN"/>
        </w:rPr>
      </w:pPr>
      <w:r>
        <w:rPr>
          <w:rFonts w:hint="eastAsia" w:ascii="宋体" w:hAnsi="宋体" w:eastAsia="宋体" w:cs="Times New Roman"/>
          <w:color w:val="auto"/>
          <w:sz w:val="24"/>
          <w:highlight w:val="none"/>
          <w:lang w:val="en-US" w:eastAsia="zh-CN"/>
        </w:rPr>
        <w:t>5.响应文件报价中的全费用单价采用人民币表示。</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Times New Roman"/>
          <w:b/>
          <w:bCs/>
          <w:color w:val="auto"/>
          <w:sz w:val="24"/>
          <w:highlight w:val="none"/>
          <w:lang w:val="en-US" w:eastAsia="zh-CN"/>
        </w:rPr>
      </w:pPr>
      <w:r>
        <w:rPr>
          <w:rFonts w:hint="eastAsia" w:ascii="宋体" w:hAnsi="宋体" w:cs="Times New Roman"/>
          <w:b/>
          <w:bCs/>
          <w:color w:val="auto"/>
          <w:sz w:val="24"/>
          <w:highlight w:val="none"/>
          <w:lang w:val="en-US" w:eastAsia="zh-CN"/>
        </w:rPr>
        <w:t>6</w:t>
      </w:r>
      <w:r>
        <w:rPr>
          <w:rFonts w:hint="eastAsia" w:ascii="宋体" w:hAnsi="宋体" w:eastAsia="宋体" w:cs="Times New Roman"/>
          <w:b/>
          <w:bCs/>
          <w:color w:val="auto"/>
          <w:sz w:val="24"/>
          <w:highlight w:val="none"/>
          <w:lang w:val="en-US" w:eastAsia="zh-CN"/>
        </w:rPr>
        <w:t>.评审小组认为投标供应商的报价明显低于其他通过符合性审查投标供应商的报价，有可能影响产品质量或者不能诚信履约的，应当要求其在评标现场合理的时间内(自通知之时起</w:t>
      </w:r>
      <w:r>
        <w:rPr>
          <w:rFonts w:hint="eastAsia" w:ascii="宋体" w:hAnsi="宋体" w:cs="Times New Roman"/>
          <w:b/>
          <w:bCs/>
          <w:color w:val="auto"/>
          <w:sz w:val="24"/>
          <w:highlight w:val="none"/>
          <w:lang w:val="en-US" w:eastAsia="zh-CN"/>
        </w:rPr>
        <w:t>一个</w:t>
      </w:r>
      <w:r>
        <w:rPr>
          <w:rFonts w:hint="eastAsia" w:ascii="宋体" w:hAnsi="宋体" w:eastAsia="宋体" w:cs="Times New Roman"/>
          <w:b/>
          <w:bCs/>
          <w:color w:val="auto"/>
          <w:sz w:val="24"/>
          <w:highlight w:val="none"/>
          <w:lang w:val="en-US" w:eastAsia="zh-CN"/>
        </w:rPr>
        <w:t>小时内)提供书面说明，必要时提交相关证明材料；投标供应商不能证明其报价合理性的，评审小组应当将其作为无效标处理。</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0"/>
        <w:rPr>
          <w:rFonts w:hint="eastAsia" w:ascii="宋体" w:hAnsi="宋体" w:cs="宋体"/>
          <w:b/>
          <w:bCs/>
          <w:sz w:val="24"/>
          <w:szCs w:val="24"/>
          <w:highlight w:val="none"/>
        </w:rPr>
      </w:pPr>
      <w:r>
        <w:rPr>
          <w:rFonts w:hint="eastAsia" w:ascii="宋体" w:hAnsi="宋体" w:cs="宋体"/>
          <w:b/>
          <w:bCs/>
          <w:sz w:val="24"/>
          <w:szCs w:val="24"/>
          <w:highlight w:val="none"/>
        </w:rPr>
        <w:t>（八）无效投标文件的确认</w:t>
      </w:r>
    </w:p>
    <w:p>
      <w:pPr>
        <w:keepNext w:val="0"/>
        <w:keepLines w:val="0"/>
        <w:pageBreakBefore w:val="0"/>
        <w:widowControl w:val="0"/>
        <w:kinsoku/>
        <w:wordWrap/>
        <w:overflowPunct/>
        <w:topLinePunct w:val="0"/>
        <w:autoSpaceDE/>
        <w:autoSpaceDN/>
        <w:bidi w:val="0"/>
        <w:spacing w:line="360" w:lineRule="auto"/>
        <w:ind w:left="-2" w:leftChars="-1" w:firstLine="480" w:firstLineChars="200"/>
        <w:textAlignment w:val="auto"/>
        <w:outlineLvl w:val="0"/>
        <w:rPr>
          <w:rFonts w:ascii="宋体"/>
          <w:sz w:val="24"/>
          <w:szCs w:val="24"/>
          <w:highlight w:val="none"/>
        </w:rPr>
      </w:pPr>
      <w:r>
        <w:rPr>
          <w:rFonts w:hint="eastAsia" w:ascii="宋体" w:hAnsi="宋体" w:cs="宋体"/>
          <w:sz w:val="24"/>
          <w:szCs w:val="24"/>
          <w:highlight w:val="none"/>
        </w:rPr>
        <w:t>投标供应商有下列情况之一者，其投标文件无效：</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hint="eastAsia" w:ascii="宋体" w:hAnsi="宋体" w:cs="宋体"/>
          <w:sz w:val="24"/>
          <w:highlight w:val="none"/>
        </w:rPr>
      </w:pPr>
      <w:r>
        <w:rPr>
          <w:rFonts w:hint="eastAsia" w:ascii="宋体" w:hAnsi="宋体" w:cs="宋体"/>
          <w:sz w:val="24"/>
          <w:highlight w:val="none"/>
        </w:rPr>
        <w:t>未按规定在无锡市政府采购供应商信息库注册的；</w:t>
      </w:r>
    </w:p>
    <w:p>
      <w:pPr>
        <w:keepNext w:val="0"/>
        <w:keepLines w:val="0"/>
        <w:pageBreakBefore w:val="0"/>
        <w:widowControl w:val="0"/>
        <w:numPr>
          <w:ilvl w:val="0"/>
          <w:numId w:val="6"/>
        </w:numPr>
        <w:tabs>
          <w:tab w:val="left" w:pos="945"/>
        </w:tabs>
        <w:kinsoku/>
        <w:wordWrap/>
        <w:overflowPunct/>
        <w:topLinePunct w:val="0"/>
        <w:autoSpaceDE/>
        <w:autoSpaceDN/>
        <w:bidi w:val="0"/>
        <w:spacing w:line="360" w:lineRule="auto"/>
        <w:ind w:left="1"/>
        <w:textAlignment w:val="auto"/>
        <w:rPr>
          <w:rFonts w:ascii="宋体" w:hAnsi="宋体"/>
          <w:bCs/>
          <w:sz w:val="24"/>
          <w:highlight w:val="none"/>
        </w:rPr>
      </w:pPr>
      <w:r>
        <w:rPr>
          <w:rFonts w:hint="eastAsia" w:ascii="宋体" w:hAnsi="宋体"/>
          <w:bCs/>
          <w:sz w:val="24"/>
          <w:highlight w:val="none"/>
        </w:rPr>
        <w:t>电子投标文件未按规定时间上传的，纸质投标文件（如有）未按规定的期限、地点送达的；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hint="eastAsia" w:ascii="宋体" w:hAnsi="宋体" w:cs="宋体"/>
          <w:sz w:val="24"/>
          <w:highlight w:val="none"/>
        </w:rPr>
      </w:pPr>
      <w:r>
        <w:rPr>
          <w:rFonts w:hint="eastAsia" w:ascii="宋体" w:hAnsi="宋体"/>
          <w:bCs/>
          <w:sz w:val="24"/>
          <w:highlight w:val="none"/>
        </w:rPr>
        <w:t>电子投标文件未按招标文件要求签章的</w:t>
      </w:r>
      <w:r>
        <w:rPr>
          <w:rFonts w:hint="eastAsia" w:ascii="宋体" w:hAnsi="宋体" w:cs="宋体"/>
          <w:sz w:val="24"/>
          <w:highlight w:val="none"/>
        </w:rPr>
        <w:t>；</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hAnsi="宋体" w:cs="宋体"/>
          <w:sz w:val="24"/>
          <w:highlight w:val="none"/>
        </w:rPr>
      </w:pPr>
      <w:r>
        <w:rPr>
          <w:rFonts w:hint="eastAsia" w:ascii="宋体" w:hAnsi="宋体" w:cs="宋体"/>
          <w:sz w:val="24"/>
          <w:highlight w:val="none"/>
          <w:lang w:eastAsia="zh-CN"/>
        </w:rPr>
        <w:t>投标供应商</w:t>
      </w:r>
      <w:r>
        <w:rPr>
          <w:rFonts w:hint="eastAsia" w:ascii="宋体" w:hAnsi="宋体" w:cs="宋体"/>
          <w:sz w:val="24"/>
          <w:highlight w:val="none"/>
        </w:rPr>
        <w:t>未按招标文件要求解密的；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hAnsi="宋体" w:cs="宋体"/>
          <w:sz w:val="24"/>
          <w:highlight w:val="none"/>
        </w:rPr>
      </w:pPr>
      <w:r>
        <w:rPr>
          <w:rFonts w:hint="eastAsia" w:ascii="宋体" w:hAnsi="宋体" w:cs="宋体"/>
          <w:sz w:val="24"/>
          <w:highlight w:val="none"/>
        </w:rPr>
        <w:t>不具备招标文件中规定的资格要求的；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hAnsi="宋体" w:cs="宋体"/>
          <w:sz w:val="24"/>
          <w:highlight w:val="none"/>
        </w:rPr>
      </w:pPr>
      <w:r>
        <w:rPr>
          <w:rFonts w:hint="eastAsia" w:ascii="宋体" w:hAnsi="宋体" w:cs="宋体"/>
          <w:sz w:val="24"/>
          <w:highlight w:val="none"/>
        </w:rPr>
        <w:t>报价超过招标文件中规定的预算金额或最高限价的；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hAnsi="宋体" w:cs="宋体"/>
          <w:sz w:val="24"/>
          <w:highlight w:val="none"/>
        </w:rPr>
      </w:pPr>
      <w:r>
        <w:rPr>
          <w:rFonts w:hint="eastAsia" w:ascii="宋体" w:hAnsi="宋体" w:cs="宋体"/>
          <w:sz w:val="24"/>
          <w:highlight w:val="none"/>
        </w:rPr>
        <w:t>投标供应商的法定代表人授权代表无法定代表人授权委托书的；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hAnsi="宋体" w:cs="宋体"/>
          <w:sz w:val="24"/>
          <w:highlight w:val="none"/>
        </w:rPr>
      </w:pPr>
      <w:r>
        <w:rPr>
          <w:rFonts w:hint="eastAsia" w:ascii="宋体" w:hAnsi="宋体" w:cs="宋体"/>
          <w:sz w:val="24"/>
          <w:highlight w:val="none"/>
        </w:rPr>
        <w:t>投标文件含有采购人不能接受的附加条件的；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hAnsi="宋体" w:cs="宋体"/>
          <w:sz w:val="24"/>
          <w:highlight w:val="none"/>
        </w:rPr>
      </w:pPr>
      <w:r>
        <w:rPr>
          <w:rFonts w:hint="eastAsia" w:ascii="宋体" w:hAnsi="宋体" w:cs="宋体"/>
          <w:sz w:val="24"/>
          <w:highlight w:val="none"/>
        </w:rPr>
        <w:t>投标文件未按</w:t>
      </w:r>
      <w:r>
        <w:rPr>
          <w:rFonts w:hint="eastAsia" w:ascii="宋体" w:hAnsi="宋体" w:cs="宋体"/>
          <w:sz w:val="24"/>
          <w:highlight w:val="none"/>
          <w:lang w:eastAsia="zh-CN"/>
        </w:rPr>
        <w:t>招标文件</w:t>
      </w:r>
      <w:r>
        <w:rPr>
          <w:rFonts w:hint="eastAsia" w:ascii="宋体" w:hAnsi="宋体" w:cs="宋体"/>
          <w:sz w:val="24"/>
          <w:highlight w:val="none"/>
        </w:rPr>
        <w:t>规定的格式、内容和要求填写、制作的；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sz w:val="24"/>
          <w:highlight w:val="none"/>
        </w:rPr>
      </w:pPr>
      <w:r>
        <w:rPr>
          <w:rFonts w:hint="eastAsia" w:ascii="宋体" w:hAnsi="宋体" w:cs="宋体"/>
          <w:sz w:val="24"/>
          <w:highlight w:val="none"/>
        </w:rPr>
        <w:t>投标文件书写潦草、字迹模糊不清、无法辨认的；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sz w:val="24"/>
          <w:highlight w:val="none"/>
        </w:rPr>
      </w:pPr>
      <w:r>
        <w:rPr>
          <w:rFonts w:hint="eastAsia" w:ascii="宋体" w:hAnsi="宋体" w:cs="宋体"/>
          <w:sz w:val="24"/>
          <w:highlight w:val="none"/>
        </w:rPr>
        <w:t>投标文件中有</w:t>
      </w:r>
      <w:r>
        <w:rPr>
          <w:rFonts w:hint="eastAsia" w:ascii="宋体" w:hAnsi="宋体" w:cs="宋体"/>
          <w:sz w:val="24"/>
          <w:highlight w:val="none"/>
          <w:lang w:eastAsia="zh-CN"/>
        </w:rPr>
        <w:t>招标文件</w:t>
      </w:r>
      <w:r>
        <w:rPr>
          <w:rFonts w:hint="eastAsia" w:ascii="宋体" w:hAnsi="宋体" w:cs="宋体"/>
          <w:sz w:val="24"/>
          <w:highlight w:val="none"/>
        </w:rPr>
        <w:t>未允许提供的选择性内容的；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sz w:val="24"/>
          <w:highlight w:val="none"/>
        </w:rPr>
      </w:pPr>
      <w:r>
        <w:rPr>
          <w:rFonts w:hint="eastAsia" w:ascii="宋体" w:hAnsi="宋体" w:cs="宋体"/>
          <w:sz w:val="24"/>
          <w:highlight w:val="none"/>
        </w:rPr>
        <w:t>恶意串通其他投标供应商，故意哄抬价格或压价的；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sz w:val="24"/>
          <w:highlight w:val="none"/>
        </w:rPr>
      </w:pPr>
      <w:r>
        <w:rPr>
          <w:rFonts w:hint="eastAsia" w:ascii="宋体" w:hAnsi="宋体" w:cs="宋体"/>
          <w:sz w:val="24"/>
          <w:highlight w:val="none"/>
        </w:rPr>
        <w:t>提供虚假材料的（包括工商营业执照、财务报表、资格证明文件等）；</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sz w:val="24"/>
          <w:highlight w:val="none"/>
        </w:rPr>
      </w:pPr>
      <w:r>
        <w:rPr>
          <w:rFonts w:hint="eastAsia" w:ascii="宋体" w:hAnsi="宋体" w:cs="宋体"/>
          <w:sz w:val="24"/>
          <w:highlight w:val="none"/>
        </w:rPr>
        <w:t>不同投标供应商投标文件相互混装的；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sz w:val="24"/>
          <w:highlight w:val="none"/>
        </w:rPr>
      </w:pPr>
      <w:r>
        <w:rPr>
          <w:rFonts w:hint="eastAsia" w:ascii="宋体" w:hAnsi="宋体" w:cs="宋体"/>
          <w:sz w:val="24"/>
          <w:highlight w:val="none"/>
        </w:rPr>
        <w:t>不同投标供应商投标文件中的项目相关人员出现同一人的；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sz w:val="24"/>
          <w:highlight w:val="none"/>
        </w:rPr>
      </w:pPr>
      <w:r>
        <w:rPr>
          <w:rFonts w:hint="eastAsia" w:ascii="宋体" w:hAnsi="宋体" w:cs="宋体"/>
          <w:sz w:val="24"/>
          <w:highlight w:val="none"/>
        </w:rPr>
        <w:t>不同投标供应商聘请同一人为其投标提供技术或经济咨询服务的；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sz w:val="24"/>
          <w:highlight w:val="none"/>
        </w:rPr>
      </w:pPr>
      <w:r>
        <w:rPr>
          <w:rFonts w:hint="eastAsia" w:ascii="宋体" w:hAnsi="宋体" w:cs="宋体"/>
          <w:sz w:val="24"/>
          <w:highlight w:val="none"/>
        </w:rPr>
        <w:t>不同投标供应商的单位负责人为同一人或者存在直接控股、管理关系的；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sz w:val="24"/>
          <w:highlight w:val="none"/>
        </w:rPr>
      </w:pPr>
      <w:r>
        <w:rPr>
          <w:rFonts w:hint="eastAsia" w:ascii="宋体" w:hAnsi="宋体" w:cs="宋体"/>
          <w:sz w:val="24"/>
          <w:highlight w:val="none"/>
        </w:rPr>
        <w:t>不同投标供应商的投标文件异常一致或者投标报价呈规律性差异；</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sz w:val="24"/>
          <w:highlight w:val="none"/>
        </w:rPr>
      </w:pPr>
      <w:r>
        <w:rPr>
          <w:rFonts w:hint="eastAsia" w:ascii="宋体" w:hAnsi="宋体" w:cs="宋体"/>
          <w:sz w:val="24"/>
          <w:highlight w:val="none"/>
        </w:rPr>
        <w:t>投标文件商务标中同一方案有选择性报价且未声明以哪一个为准的；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sz w:val="24"/>
          <w:highlight w:val="none"/>
        </w:rPr>
      </w:pPr>
      <w:r>
        <w:rPr>
          <w:rFonts w:hint="eastAsia" w:ascii="宋体" w:hAnsi="宋体" w:cs="宋体"/>
          <w:sz w:val="24"/>
          <w:highlight w:val="none"/>
        </w:rPr>
        <w:t>投标文件报价出现前后不一致，投标供应商拒不确认修正后的报价的；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sz w:val="24"/>
          <w:highlight w:val="none"/>
        </w:rPr>
      </w:pPr>
      <w:r>
        <w:rPr>
          <w:rFonts w:hint="eastAsia" w:ascii="宋体" w:hAnsi="宋体" w:cs="宋体"/>
          <w:sz w:val="24"/>
          <w:highlight w:val="none"/>
        </w:rPr>
        <w:t>评标委员会认为投标供应商的报价明显低于其他通过符合性审查投标供应商的报价，有可能影响产品质量或者不能诚信履约的，要求其在评标现场合理的时间内提供书面说明，并提交相关证明材料；投标供应商不能证明其报价合理性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sz w:val="24"/>
          <w:highlight w:val="none"/>
        </w:rPr>
      </w:pPr>
      <w:r>
        <w:rPr>
          <w:rFonts w:hint="eastAsia" w:ascii="宋体" w:hAnsi="宋体" w:cs="宋体"/>
          <w:sz w:val="24"/>
          <w:highlight w:val="none"/>
        </w:rPr>
        <w:t>未通过初步资格性审查、投标文件资格性检查、</w:t>
      </w:r>
      <w:r>
        <w:rPr>
          <w:rFonts w:ascii="宋体" w:hAnsi="宋体" w:cs="宋体"/>
          <w:sz w:val="24"/>
          <w:highlight w:val="none"/>
        </w:rPr>
        <w:t xml:space="preserve"> </w:t>
      </w:r>
      <w:r>
        <w:rPr>
          <w:rFonts w:hint="eastAsia" w:ascii="宋体" w:hAnsi="宋体" w:cs="宋体"/>
          <w:sz w:val="24"/>
          <w:highlight w:val="none"/>
        </w:rPr>
        <w:t>投标文件符合性检查的；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sz w:val="24"/>
          <w:highlight w:val="none"/>
        </w:rPr>
      </w:pPr>
      <w:r>
        <w:rPr>
          <w:rFonts w:hint="eastAsia" w:ascii="宋体" w:hAnsi="宋体" w:cs="宋体"/>
          <w:sz w:val="24"/>
          <w:highlight w:val="none"/>
        </w:rPr>
        <w:t>列入失信被执行人、重大税收违法案件当事人名单、政府采购严重违法失信行为记录名单及其他不符合《中华人民共和国政府采购法》第二十二条规定条件的；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sz w:val="24"/>
          <w:highlight w:val="none"/>
        </w:rPr>
      </w:pPr>
      <w:r>
        <w:rPr>
          <w:rFonts w:hint="eastAsia" w:ascii="宋体" w:hAnsi="宋体" w:cs="宋体"/>
          <w:sz w:val="24"/>
          <w:highlight w:val="none"/>
        </w:rPr>
        <w:t>投标供应商的投标报价畸高或畸低，但投标总报价与各分项报价不能相互对应，在询标时没有合理的解释或者不能提供计算依据和报价依据的；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sz w:val="24"/>
          <w:highlight w:val="none"/>
        </w:rPr>
      </w:pPr>
      <w:r>
        <w:rPr>
          <w:rFonts w:hint="eastAsia" w:ascii="宋体" w:hAnsi="宋体" w:cs="宋体"/>
          <w:sz w:val="24"/>
          <w:highlight w:val="none"/>
        </w:rPr>
        <w:t>不同投标供应商的投标文件的装订形式、纸张情况、目录序号、排版格式、文字风格等存在明显的相似性或一致性，特征显示由同一单位或者同一个人编制的；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sz w:val="24"/>
          <w:highlight w:val="none"/>
        </w:rPr>
      </w:pPr>
      <w:r>
        <w:rPr>
          <w:rFonts w:hint="eastAsia" w:ascii="宋体" w:hAnsi="宋体" w:cs="宋体"/>
          <w:sz w:val="24"/>
          <w:highlight w:val="none"/>
        </w:rPr>
        <w:t>不同投标供应商投标文件内容存在非正常一致、项目组成员或者联系人员出现同一人、投标文件中错误（或异常）一致或雷同、电子文档信息一致或雷同的；</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sz w:val="24"/>
          <w:highlight w:val="none"/>
        </w:rPr>
      </w:pPr>
      <w:r>
        <w:rPr>
          <w:rFonts w:hint="eastAsia" w:ascii="宋体" w:hAnsi="宋体" w:cs="宋体"/>
          <w:sz w:val="24"/>
          <w:highlight w:val="none"/>
        </w:rPr>
        <w:t>不同投标供应商的委托代理人、项目负责人以及其他相关人员有在同一个单位缴纳社会保险的；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03"/>
        <w:textAlignment w:val="auto"/>
        <w:rPr>
          <w:rFonts w:ascii="宋体"/>
          <w:sz w:val="24"/>
          <w:highlight w:val="none"/>
        </w:rPr>
      </w:pPr>
      <w:r>
        <w:rPr>
          <w:rFonts w:hint="eastAsia" w:ascii="宋体" w:hAnsi="宋体" w:cs="宋体"/>
          <w:sz w:val="24"/>
          <w:highlight w:val="none"/>
        </w:rPr>
        <w:t>同一投标文件中单位名称落款与公章不是同一单位的；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03"/>
        <w:textAlignment w:val="auto"/>
        <w:rPr>
          <w:rFonts w:ascii="宋体"/>
          <w:sz w:val="24"/>
          <w:highlight w:val="none"/>
        </w:rPr>
      </w:pPr>
      <w:r>
        <w:rPr>
          <w:rFonts w:hint="eastAsia" w:ascii="宋体" w:hAnsi="宋体" w:cs="宋体"/>
          <w:sz w:val="24"/>
          <w:highlight w:val="none"/>
        </w:rPr>
        <w:t>不同投标供应商委托同一单位或者个人办理投标事宜的；</w:t>
      </w:r>
    </w:p>
    <w:p>
      <w:pPr>
        <w:keepNext w:val="0"/>
        <w:keepLines w:val="0"/>
        <w:pageBreakBefore w:val="0"/>
        <w:widowControl w:val="0"/>
        <w:numPr>
          <w:ilvl w:val="0"/>
          <w:numId w:val="6"/>
        </w:numPr>
        <w:tabs>
          <w:tab w:val="left" w:pos="900"/>
        </w:tabs>
        <w:kinsoku/>
        <w:wordWrap/>
        <w:overflowPunct/>
        <w:topLinePunct w:val="0"/>
        <w:autoSpaceDE/>
        <w:autoSpaceDN/>
        <w:bidi w:val="0"/>
        <w:adjustRightInd/>
        <w:snapToGrid/>
        <w:spacing w:line="360" w:lineRule="auto"/>
        <w:ind w:firstLine="403"/>
        <w:textAlignment w:val="auto"/>
        <w:rPr>
          <w:rFonts w:ascii="黑体" w:hAnsi="宋体" w:eastAsia="黑体" w:cs="黑体"/>
          <w:sz w:val="24"/>
          <w:szCs w:val="24"/>
          <w:highlight w:val="none"/>
        </w:rPr>
      </w:pPr>
      <w:r>
        <w:rPr>
          <w:rFonts w:hint="eastAsia" w:ascii="宋体" w:hAnsi="宋体" w:cs="宋体"/>
          <w:sz w:val="24"/>
          <w:highlight w:val="none"/>
        </w:rPr>
        <w:t>投标文件</w:t>
      </w:r>
      <w:r>
        <w:rPr>
          <w:rFonts w:hint="eastAsia" w:ascii="宋体" w:hAnsi="宋体" w:eastAsia="宋体" w:cs="宋体"/>
          <w:sz w:val="24"/>
          <w:highlight w:val="none"/>
        </w:rPr>
        <w:t>内容不</w:t>
      </w:r>
      <w:r>
        <w:rPr>
          <w:rFonts w:hint="eastAsia" w:ascii="宋体" w:hAnsi="宋体" w:cs="宋体"/>
          <w:sz w:val="24"/>
          <w:highlight w:val="none"/>
        </w:rPr>
        <w:t>全或不符合法律法规和</w:t>
      </w:r>
      <w:r>
        <w:rPr>
          <w:rFonts w:hint="eastAsia" w:ascii="宋体" w:hAnsi="宋体" w:cs="宋体"/>
          <w:sz w:val="24"/>
          <w:highlight w:val="none"/>
          <w:lang w:eastAsia="zh-CN"/>
        </w:rPr>
        <w:t>招标文件</w:t>
      </w:r>
      <w:r>
        <w:rPr>
          <w:rFonts w:hint="eastAsia" w:ascii="宋体" w:hAnsi="宋体" w:cs="宋体"/>
          <w:sz w:val="24"/>
          <w:highlight w:val="none"/>
        </w:rPr>
        <w:t>中规定的其他实质性要求的。</w:t>
      </w:r>
      <w:r>
        <w:rPr>
          <w:rFonts w:ascii="黑体" w:hAnsi="宋体" w:eastAsia="黑体" w:cs="黑体"/>
          <w:sz w:val="24"/>
          <w:highlight w:val="none"/>
        </w:rPr>
        <w:t xml:space="preserve"> </w:t>
      </w:r>
      <w:r>
        <w:rPr>
          <w:rFonts w:ascii="黑体" w:hAnsi="宋体" w:eastAsia="黑体" w:cs="黑体"/>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0"/>
        <w:rPr>
          <w:rFonts w:hint="default" w:ascii="宋体" w:hAnsi="宋体" w:cs="宋体"/>
          <w:b/>
          <w:bCs/>
          <w:sz w:val="24"/>
          <w:szCs w:val="24"/>
          <w:highlight w:val="none"/>
          <w:lang w:val="en-US" w:eastAsia="zh-CN"/>
        </w:rPr>
      </w:pP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九</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开标、评标</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所有投标单位在招标文件规定的时间内解密各自投标文件。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2．投标截止时间后参加投标的供应商或解密投标文件的供应商不足三家的，不开标；开标后，所有投标供应商可在线上开标大厅中看到所有</w:t>
      </w:r>
      <w:r>
        <w:rPr>
          <w:rFonts w:hint="eastAsia" w:ascii="宋体" w:hAnsi="宋体" w:eastAsia="宋体" w:cs="Times New Roman"/>
          <w:sz w:val="24"/>
          <w:highlight w:val="none"/>
          <w:lang w:eastAsia="zh-CN"/>
        </w:rPr>
        <w:t>投标供应商</w:t>
      </w:r>
      <w:r>
        <w:rPr>
          <w:rFonts w:hint="eastAsia" w:ascii="宋体" w:hAnsi="宋体" w:eastAsia="宋体" w:cs="Times New Roman"/>
          <w:sz w:val="24"/>
          <w:highlight w:val="none"/>
        </w:rPr>
        <w:t>的投标报价。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3.投标文件的审查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(1)开标一览表内容与</w:t>
      </w:r>
      <w:r>
        <w:rPr>
          <w:rFonts w:hint="eastAsia" w:ascii="宋体" w:hAnsi="宋体" w:eastAsia="宋体" w:cs="Times New Roman"/>
          <w:sz w:val="24"/>
          <w:highlight w:val="none"/>
          <w:lang w:eastAsia="zh-CN"/>
        </w:rPr>
        <w:t>响应函</w:t>
      </w:r>
      <w:r>
        <w:rPr>
          <w:rFonts w:hint="eastAsia" w:ascii="宋体" w:hAnsi="宋体" w:eastAsia="宋体" w:cs="Times New Roman"/>
          <w:sz w:val="24"/>
          <w:highlight w:val="none"/>
        </w:rPr>
        <w:t>内容不一致的，以开标一览表为准。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(2)总价金额与按单价汇总金额不一致的，以单价金额计算结果为准。单价金额小数点有明显错位的，应以总价为准，并修改单价。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(3)大写金额与小写金额不一致的，以大写金额为准。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(5)电子投标文件与纸质投标文件（如有）不符的，以电子投标文件为准。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(6)</w:t>
      </w:r>
      <w:r>
        <w:rPr>
          <w:rFonts w:hint="eastAsia" w:ascii="宋体" w:hAnsi="宋体" w:eastAsia="宋体" w:cs="Times New Roman"/>
          <w:sz w:val="24"/>
          <w:highlight w:val="none"/>
          <w:lang w:eastAsia="zh-CN"/>
        </w:rPr>
        <w:t>投标供应商</w:t>
      </w:r>
      <w:r>
        <w:rPr>
          <w:rFonts w:hint="eastAsia" w:ascii="宋体" w:hAnsi="宋体" w:eastAsia="宋体" w:cs="Times New Roman"/>
          <w:sz w:val="24"/>
          <w:highlight w:val="none"/>
        </w:rPr>
        <w:t>未参加开标的，视同认可开标结果。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cs="Times New Roman"/>
          <w:sz w:val="24"/>
          <w:highlight w:val="none"/>
          <w:lang w:val="en-US" w:eastAsia="zh-CN"/>
        </w:rPr>
        <w:t>4.</w:t>
      </w:r>
      <w:r>
        <w:rPr>
          <w:rFonts w:hint="eastAsia" w:ascii="宋体" w:hAnsi="宋体" w:eastAsia="宋体" w:cs="Times New Roman"/>
          <w:sz w:val="24"/>
          <w:highlight w:val="none"/>
        </w:rPr>
        <w:t>评标程序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评标工作由</w:t>
      </w:r>
      <w:r>
        <w:rPr>
          <w:rFonts w:hint="eastAsia" w:ascii="宋体" w:hAnsi="宋体" w:cs="Times New Roman"/>
          <w:sz w:val="24"/>
          <w:highlight w:val="none"/>
          <w:lang w:eastAsia="zh-CN"/>
        </w:rPr>
        <w:t>江苏江南梁鸿建设咨询有限公司</w:t>
      </w:r>
      <w:r>
        <w:rPr>
          <w:rFonts w:hint="eastAsia" w:ascii="宋体" w:hAnsi="宋体" w:eastAsia="宋体" w:cs="Times New Roman"/>
          <w:sz w:val="24"/>
          <w:highlight w:val="none"/>
        </w:rPr>
        <w:t>负责组织，具体评标事务由依法组建的评标委员会负责。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(1)投标文件初审。初审分为资格性检查和符合性检查。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A．资格性检查。采购</w:t>
      </w:r>
      <w:r>
        <w:rPr>
          <w:rFonts w:hint="eastAsia" w:ascii="宋体" w:hAnsi="宋体" w:cs="Times New Roman"/>
          <w:sz w:val="24"/>
          <w:highlight w:val="none"/>
          <w:lang w:val="en-US" w:eastAsia="zh-CN"/>
        </w:rPr>
        <w:t>代理机构本项目工作人员</w:t>
      </w:r>
      <w:r>
        <w:rPr>
          <w:rFonts w:hint="eastAsia" w:ascii="宋体" w:hAnsi="宋体" w:eastAsia="宋体" w:cs="Times New Roman"/>
          <w:sz w:val="24"/>
          <w:highlight w:val="none"/>
        </w:rPr>
        <w:t>依据法律法规和招标文件的规定，对投标文件中的资格证明、投标（报价）承诺函等进行审查；通过“信用中国”网站(www.creditchina.gov.cn)、中国政府采购网(www.ccgp.gov.cn)</w:t>
      </w:r>
      <w:r>
        <w:rPr>
          <w:rFonts w:hint="eastAsia" w:ascii="宋体" w:hAnsi="宋体" w:cs="Times New Roman"/>
          <w:sz w:val="24"/>
          <w:highlight w:val="none"/>
          <w:lang w:eastAsia="zh-CN"/>
        </w:rPr>
        <w:t>、</w:t>
      </w:r>
      <w:r>
        <w:rPr>
          <w:rFonts w:hint="eastAsia" w:ascii="宋体" w:hAnsi="宋体" w:cs="宋体"/>
          <w:kern w:val="0"/>
          <w:sz w:val="24"/>
          <w:szCs w:val="24"/>
          <w:highlight w:val="none"/>
          <w:lang w:val="en-US" w:eastAsia="zh-CN"/>
        </w:rPr>
        <w:t xml:space="preserve"> </w:t>
      </w:r>
      <w:r>
        <w:rPr>
          <w:rFonts w:hint="eastAsia" w:ascii="宋体" w:hAnsi="宋体" w:eastAsia="宋体" w:cs="Times New Roman"/>
          <w:sz w:val="24"/>
          <w:highlight w:val="none"/>
        </w:rPr>
        <w:t>查询投标供应商在投标截止时间之前，是否被列入失信被执行人、重大税收违法案件当事人名单、政府采购严重违法失信行为记录名单，以确定投标供应商是否具备投标资格。信用查询结果以网页打印的形式留存并归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B．符合性检查。评标委员会依据招标文件的规定，从投标文件的有效性、完整性和对招标文件的响应程度进行审查，以确定是否对招标文件的实质性要求作出响应。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(2)澄清有关问题。对投标文件中含义不明确、同类问题表述不一致或者有明显文字和计算错误的内容，评标委员会可以通过政府采购交易管理一体化系统发起询标，要求</w:t>
      </w:r>
      <w:r>
        <w:rPr>
          <w:rFonts w:hint="eastAsia" w:ascii="宋体" w:hAnsi="宋体" w:eastAsia="宋体" w:cs="Times New Roman"/>
          <w:sz w:val="24"/>
          <w:highlight w:val="none"/>
          <w:lang w:eastAsia="zh-CN"/>
        </w:rPr>
        <w:t>投标供应商</w:t>
      </w:r>
      <w:r>
        <w:rPr>
          <w:rFonts w:hint="eastAsia" w:ascii="宋体" w:hAnsi="宋体" w:eastAsia="宋体" w:cs="Times New Roman"/>
          <w:sz w:val="24"/>
          <w:highlight w:val="none"/>
        </w:rPr>
        <w:t>作出必要的澄清、说明或者纠正。</w:t>
      </w:r>
      <w:r>
        <w:rPr>
          <w:rFonts w:hint="eastAsia" w:ascii="宋体" w:hAnsi="宋体" w:eastAsia="宋体" w:cs="Times New Roman"/>
          <w:sz w:val="24"/>
          <w:highlight w:val="none"/>
          <w:lang w:eastAsia="zh-CN"/>
        </w:rPr>
        <w:t>投标供应商</w:t>
      </w:r>
      <w:r>
        <w:rPr>
          <w:rFonts w:hint="eastAsia" w:ascii="宋体" w:hAnsi="宋体" w:eastAsia="宋体" w:cs="Times New Roman"/>
          <w:sz w:val="24"/>
          <w:highlight w:val="none"/>
        </w:rPr>
        <w:t>的澄清、说明或者补正应当通过政府采购交易管理一体化系统，由其授权的代表应答并加盖电子公章，且不得超出投标文件的范围或者改变投标文件的实质性内容。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(3)比较与评价。评标委员会按招标文件中规定的评标方法和标准，对资格性检查和符合性检查合格的投标文件进行商务和技术评估，综合比较与评价。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cs="Times New Roman"/>
          <w:sz w:val="24"/>
          <w:highlight w:val="none"/>
          <w:lang w:val="en-US" w:eastAsia="zh-CN"/>
        </w:rPr>
        <w:t>5</w:t>
      </w:r>
      <w:r>
        <w:rPr>
          <w:rFonts w:hint="eastAsia" w:ascii="宋体" w:hAnsi="宋体" w:eastAsia="宋体" w:cs="Times New Roman"/>
          <w:sz w:val="24"/>
          <w:highlight w:val="none"/>
          <w:lang w:val="en-US" w:eastAsia="zh-CN"/>
        </w:rPr>
        <w:t>.</w:t>
      </w:r>
      <w:r>
        <w:rPr>
          <w:rFonts w:hint="eastAsia" w:ascii="宋体" w:hAnsi="宋体" w:eastAsia="宋体" w:cs="Times New Roman"/>
          <w:sz w:val="24"/>
          <w:highlight w:val="none"/>
        </w:rPr>
        <w:t>评标方法</w:t>
      </w:r>
    </w:p>
    <w:p>
      <w:pPr>
        <w:keepNext w:val="0"/>
        <w:keepLines w:val="0"/>
        <w:pageBreakBefore w:val="0"/>
        <w:widowControl w:val="0"/>
        <w:tabs>
          <w:tab w:val="left" w:pos="525"/>
          <w:tab w:val="left" w:pos="1050"/>
        </w:tabs>
        <w:kinsoku/>
        <w:wordWrap/>
        <w:overflowPunct/>
        <w:topLinePunct w:val="0"/>
        <w:autoSpaceDE/>
        <w:autoSpaceDN/>
        <w:bidi w:val="0"/>
        <w:adjustRightInd/>
        <w:snapToGrid/>
        <w:spacing w:line="360" w:lineRule="auto"/>
        <w:ind w:firstLine="480" w:firstLineChars="200"/>
        <w:textAlignment w:val="auto"/>
        <w:rPr>
          <w:rFonts w:hint="eastAsia"/>
          <w:color w:val="000000"/>
          <w:sz w:val="24"/>
          <w:highlight w:val="none"/>
        </w:rPr>
      </w:pPr>
      <w:r>
        <w:rPr>
          <w:rFonts w:hint="eastAsia" w:ascii="宋体" w:hAnsi="宋体"/>
          <w:color w:val="000000"/>
          <w:sz w:val="24"/>
          <w:highlight w:val="none"/>
          <w:lang w:eastAsia="zh-CN"/>
        </w:rPr>
        <w:t>投标供应商</w:t>
      </w:r>
      <w:r>
        <w:rPr>
          <w:rFonts w:hint="eastAsia" w:ascii="宋体" w:hAnsi="宋体"/>
          <w:color w:val="000000"/>
          <w:sz w:val="24"/>
          <w:highlight w:val="none"/>
        </w:rPr>
        <w:t>通过初审的，方可进入比较与评价程序。</w:t>
      </w:r>
    </w:p>
    <w:p>
      <w:pPr>
        <w:keepNext w:val="0"/>
        <w:keepLines w:val="0"/>
        <w:pageBreakBefore w:val="0"/>
        <w:widowControl w:val="0"/>
        <w:kinsoku/>
        <w:wordWrap/>
        <w:overflowPunct/>
        <w:topLinePunct w:val="0"/>
        <w:autoSpaceDE/>
        <w:autoSpaceDN/>
        <w:bidi w:val="0"/>
        <w:adjustRightInd/>
        <w:snapToGrid/>
        <w:spacing w:line="360" w:lineRule="auto"/>
        <w:ind w:firstLine="523" w:firstLineChars="218"/>
        <w:textAlignment w:val="auto"/>
        <w:rPr>
          <w:rFonts w:hint="eastAsia"/>
          <w:color w:val="000000"/>
          <w:sz w:val="24"/>
          <w:highlight w:val="none"/>
        </w:rPr>
      </w:pPr>
      <w:r>
        <w:rPr>
          <w:rFonts w:hint="eastAsia" w:ascii="宋体" w:hAnsi="宋体"/>
          <w:color w:val="000000"/>
          <w:sz w:val="24"/>
          <w:highlight w:val="none"/>
        </w:rPr>
        <w:t>比较与评价采用综合评分法（计分均保留2位小数）。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sz w:val="24"/>
          <w:highlight w:val="none"/>
        </w:rPr>
      </w:pPr>
      <w:r>
        <w:rPr>
          <w:rFonts w:hint="eastAsia" w:ascii="宋体" w:hAnsi="宋体"/>
          <w:sz w:val="24"/>
          <w:highlight w:val="none"/>
        </w:rPr>
        <w:t>评审委员会遵循公平、公正、择优原则，独立按照评分标准分别评定投标供应商的分值；各投标供应商的最终得分为各评委所评定分值的平均值，</w:t>
      </w:r>
      <w:r>
        <w:rPr>
          <w:rFonts w:hint="eastAsia" w:ascii="宋体" w:hAnsi="宋体" w:cs="宋体"/>
          <w:color w:val="333333"/>
          <w:sz w:val="24"/>
          <w:highlight w:val="none"/>
        </w:rPr>
        <w:t>评标结果按评审后得分由高到低顺序排列</w:t>
      </w:r>
      <w:r>
        <w:rPr>
          <w:rFonts w:hint="eastAsia" w:ascii="宋体" w:hAnsi="宋体"/>
          <w:sz w:val="24"/>
          <w:highlight w:val="none"/>
        </w:rPr>
        <w:t>。得分相同的，</w:t>
      </w:r>
      <w:r>
        <w:rPr>
          <w:rFonts w:hint="eastAsia" w:ascii="宋体" w:hAnsi="宋体" w:cs="宋体"/>
          <w:color w:val="333333"/>
          <w:sz w:val="24"/>
          <w:highlight w:val="none"/>
        </w:rPr>
        <w:t>按投标报价由低到高顺序排列。得分且投标报价相同的并列。并列的</w:t>
      </w:r>
      <w:r>
        <w:rPr>
          <w:rFonts w:ascii="宋体" w:hAnsi="宋体"/>
          <w:bCs/>
          <w:sz w:val="24"/>
          <w:szCs w:val="20"/>
          <w:highlight w:val="none"/>
        </w:rPr>
        <w:t>按</w:t>
      </w:r>
      <w:r>
        <w:rPr>
          <w:rFonts w:hint="eastAsia" w:ascii="宋体" w:hAnsi="宋体"/>
          <w:bCs/>
          <w:sz w:val="24"/>
          <w:szCs w:val="20"/>
          <w:highlight w:val="none"/>
        </w:rPr>
        <w:t>技术标</w:t>
      </w:r>
      <w:r>
        <w:rPr>
          <w:rFonts w:ascii="宋体" w:hAnsi="宋体"/>
          <w:bCs/>
          <w:sz w:val="24"/>
          <w:szCs w:val="20"/>
          <w:highlight w:val="none"/>
        </w:rPr>
        <w:t>指标优劣顺序排列</w:t>
      </w:r>
      <w:r>
        <w:rPr>
          <w:rFonts w:hint="eastAsia" w:ascii="宋体" w:hAnsi="宋体"/>
          <w:bCs/>
          <w:sz w:val="24"/>
          <w:szCs w:val="20"/>
          <w:highlight w:val="none"/>
        </w:rPr>
        <w:t>。</w:t>
      </w:r>
      <w:r>
        <w:rPr>
          <w:rFonts w:hint="eastAsia" w:ascii="宋体" w:hAnsi="宋体" w:cs="宋体"/>
          <w:color w:val="333333"/>
          <w:sz w:val="24"/>
          <w:highlight w:val="none"/>
        </w:rPr>
        <w:t>投标文件满足招标文件全部实质性要求，且按照评审因素的量化指标评审得分最高的</w:t>
      </w:r>
      <w:r>
        <w:rPr>
          <w:rFonts w:hint="eastAsia" w:ascii="宋体" w:hAnsi="宋体" w:cs="宋体"/>
          <w:color w:val="333333"/>
          <w:sz w:val="24"/>
          <w:highlight w:val="none"/>
          <w:lang w:eastAsia="zh-CN"/>
        </w:rPr>
        <w:t>投标供应商</w:t>
      </w:r>
      <w:r>
        <w:rPr>
          <w:rFonts w:hint="eastAsia" w:ascii="宋体" w:hAnsi="宋体" w:cs="宋体"/>
          <w:color w:val="333333"/>
          <w:sz w:val="24"/>
          <w:highlight w:val="none"/>
        </w:rPr>
        <w:t>为排名第一的中标候选人。未列入本评分细则的其他条件不作为评分内容。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b/>
          <w:bCs/>
          <w:sz w:val="24"/>
          <w:szCs w:val="24"/>
          <w:highlight w:val="none"/>
        </w:rPr>
      </w:pPr>
      <w:r>
        <w:rPr>
          <w:rFonts w:hint="eastAsia" w:ascii="宋体" w:hAnsi="宋体"/>
          <w:color w:val="000000"/>
          <w:sz w:val="24"/>
          <w:highlight w:val="none"/>
          <w:lang w:val="en-US" w:eastAsia="zh-CN"/>
        </w:rPr>
        <w:t>6.</w:t>
      </w:r>
      <w:r>
        <w:rPr>
          <w:rFonts w:hint="eastAsia" w:ascii="宋体" w:hAnsi="宋体"/>
          <w:color w:val="000000"/>
          <w:sz w:val="24"/>
          <w:highlight w:val="none"/>
        </w:rPr>
        <w:t>评分标准</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一</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评分项目及总分（总分10</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p>
      <w:pPr>
        <w:spacing w:line="360" w:lineRule="auto"/>
        <w:ind w:firstLine="426" w:firstLineChars="177"/>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（1）</w:t>
      </w:r>
      <w:r>
        <w:rPr>
          <w:rFonts w:hint="eastAsia" w:ascii="宋体" w:hAnsi="宋体" w:cs="宋体"/>
          <w:b/>
          <w:sz w:val="24"/>
          <w:szCs w:val="24"/>
          <w:highlight w:val="none"/>
          <w:lang w:val="en-US" w:eastAsia="zh-CN"/>
        </w:rPr>
        <w:t>投标报价</w:t>
      </w:r>
      <w:r>
        <w:rPr>
          <w:rFonts w:hint="eastAsia" w:ascii="宋体" w:hAnsi="宋体" w:eastAsia="宋体" w:cs="宋体"/>
          <w:b/>
          <w:sz w:val="24"/>
          <w:szCs w:val="24"/>
          <w:highlight w:val="none"/>
          <w:lang w:val="en-US" w:eastAsia="zh-CN"/>
        </w:rPr>
        <w:t xml:space="preserve">                             </w:t>
      </w:r>
      <w:r>
        <w:rPr>
          <w:rFonts w:hint="eastAsia" w:ascii="宋体" w:hAnsi="宋体" w:cs="宋体"/>
          <w:b/>
          <w:sz w:val="24"/>
          <w:szCs w:val="24"/>
          <w:highlight w:val="none"/>
          <w:lang w:val="en-US" w:eastAsia="zh-CN"/>
        </w:rPr>
        <w:t>15</w:t>
      </w:r>
      <w:r>
        <w:rPr>
          <w:rFonts w:hint="eastAsia" w:ascii="宋体" w:hAnsi="宋体" w:eastAsia="宋体" w:cs="宋体"/>
          <w:b/>
          <w:sz w:val="24"/>
          <w:szCs w:val="24"/>
          <w:highlight w:val="none"/>
        </w:rPr>
        <w:t>分</w:t>
      </w:r>
    </w:p>
    <w:p>
      <w:pPr>
        <w:spacing w:line="360" w:lineRule="auto"/>
        <w:ind w:firstLine="426" w:firstLineChars="177"/>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cs="宋体"/>
          <w:b/>
          <w:sz w:val="24"/>
          <w:szCs w:val="24"/>
          <w:highlight w:val="none"/>
          <w:lang w:val="en-US" w:eastAsia="zh-CN"/>
        </w:rPr>
        <w:t>投标</w:t>
      </w:r>
      <w:r>
        <w:rPr>
          <w:rFonts w:hint="eastAsia" w:ascii="宋体" w:hAnsi="宋体" w:eastAsia="宋体" w:cs="宋体"/>
          <w:b/>
          <w:sz w:val="24"/>
          <w:szCs w:val="24"/>
          <w:highlight w:val="none"/>
          <w:lang w:val="en-US" w:eastAsia="zh-CN"/>
        </w:rPr>
        <w:t>供应商</w:t>
      </w:r>
      <w:r>
        <w:rPr>
          <w:rFonts w:hint="eastAsia" w:ascii="宋体" w:hAnsi="宋体" w:cs="宋体"/>
          <w:b/>
          <w:sz w:val="24"/>
          <w:szCs w:val="24"/>
          <w:highlight w:val="none"/>
          <w:lang w:val="en-US" w:eastAsia="zh-CN"/>
        </w:rPr>
        <w:t>综合</w:t>
      </w:r>
      <w:r>
        <w:rPr>
          <w:rFonts w:hint="eastAsia" w:ascii="宋体" w:hAnsi="宋体" w:eastAsia="宋体" w:cs="宋体"/>
          <w:b/>
          <w:sz w:val="24"/>
          <w:szCs w:val="24"/>
          <w:highlight w:val="none"/>
          <w:lang w:val="en-US" w:eastAsia="zh-CN"/>
        </w:rPr>
        <w:t xml:space="preserve">评价                   </w:t>
      </w:r>
      <w:r>
        <w:rPr>
          <w:rFonts w:hint="eastAsia" w:ascii="宋体" w:hAnsi="宋体" w:cs="宋体"/>
          <w:b/>
          <w:sz w:val="24"/>
          <w:szCs w:val="24"/>
          <w:highlight w:val="none"/>
          <w:lang w:val="en-US" w:eastAsia="zh-CN"/>
        </w:rPr>
        <w:t>32</w:t>
      </w:r>
      <w:r>
        <w:rPr>
          <w:rFonts w:hint="eastAsia" w:ascii="宋体" w:hAnsi="宋体" w:eastAsia="宋体" w:cs="宋体"/>
          <w:b/>
          <w:sz w:val="24"/>
          <w:szCs w:val="24"/>
          <w:highlight w:val="none"/>
        </w:rPr>
        <w:t>分</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 xml:space="preserve"> </w:t>
      </w:r>
    </w:p>
    <w:p>
      <w:pPr>
        <w:spacing w:line="360" w:lineRule="auto"/>
        <w:ind w:firstLine="426" w:firstLineChars="177"/>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（3）技术文件</w:t>
      </w:r>
      <w:r>
        <w:rPr>
          <w:rFonts w:hint="eastAsia" w:ascii="宋体" w:hAnsi="宋体" w:eastAsia="宋体" w:cs="宋体"/>
          <w:b/>
          <w:sz w:val="24"/>
          <w:szCs w:val="24"/>
          <w:highlight w:val="none"/>
          <w:lang w:val="en-US" w:eastAsia="zh-CN"/>
        </w:rPr>
        <w:t xml:space="preserve">                             </w:t>
      </w:r>
      <w:r>
        <w:rPr>
          <w:rFonts w:hint="eastAsia" w:ascii="宋体" w:hAnsi="宋体" w:cs="宋体"/>
          <w:b/>
          <w:sz w:val="24"/>
          <w:szCs w:val="24"/>
          <w:highlight w:val="none"/>
          <w:lang w:val="en-US" w:eastAsia="zh-CN"/>
        </w:rPr>
        <w:t>53</w:t>
      </w:r>
      <w:r>
        <w:rPr>
          <w:rFonts w:hint="eastAsia" w:ascii="宋体" w:hAnsi="宋体" w:eastAsia="宋体" w:cs="宋体"/>
          <w:b/>
          <w:sz w:val="24"/>
          <w:szCs w:val="24"/>
          <w:highlight w:val="none"/>
        </w:rPr>
        <w:t>分</w:t>
      </w:r>
    </w:p>
    <w:p>
      <w:pPr>
        <w:spacing w:line="360" w:lineRule="auto"/>
        <w:ind w:firstLine="426" w:firstLineChars="177"/>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 xml:space="preserve">）加分因素                             </w:t>
      </w:r>
      <w:r>
        <w:rPr>
          <w:rFonts w:hint="eastAsia" w:ascii="宋体" w:hAnsi="宋体" w:eastAsia="宋体" w:cs="宋体"/>
          <w:b/>
          <w:sz w:val="24"/>
          <w:szCs w:val="24"/>
          <w:highlight w:val="none"/>
          <w:lang w:val="en-US" w:eastAsia="zh-CN"/>
        </w:rPr>
        <w:t>+2分</w:t>
      </w:r>
      <w:r>
        <w:rPr>
          <w:rFonts w:hint="eastAsia" w:ascii="宋体" w:hAnsi="宋体" w:eastAsia="宋体" w:cs="宋体"/>
          <w:b/>
          <w:sz w:val="24"/>
          <w:szCs w:val="24"/>
          <w:highlight w:val="none"/>
        </w:rPr>
        <w:t xml:space="preserve"> </w:t>
      </w:r>
    </w:p>
    <w:p>
      <w:pPr>
        <w:spacing w:line="360" w:lineRule="auto"/>
        <w:ind w:firstLine="424" w:firstLineChars="177"/>
        <w:rPr>
          <w:rFonts w:hint="eastAsia" w:ascii="宋体" w:hAnsi="宋体" w:cs="宋体"/>
          <w:b/>
          <w:bCs/>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各项目评分标准：</w:t>
      </w:r>
    </w:p>
    <w:p>
      <w:pPr>
        <w:tabs>
          <w:tab w:val="left" w:pos="420"/>
          <w:tab w:val="left" w:pos="945"/>
          <w:tab w:val="left" w:pos="1155"/>
        </w:tabs>
        <w:spacing w:line="360" w:lineRule="auto"/>
        <w:ind w:firstLine="482" w:firstLineChars="200"/>
        <w:rPr>
          <w:rFonts w:hint="eastAsia" w:ascii="宋体" w:eastAsia="宋体"/>
          <w:b/>
          <w:bCs/>
          <w:sz w:val="24"/>
          <w:szCs w:val="24"/>
          <w:highlight w:val="none"/>
          <w:lang w:eastAsia="zh-CN"/>
        </w:rPr>
      </w:pP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1</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投标报价</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15</w:t>
      </w:r>
      <w:r>
        <w:rPr>
          <w:rFonts w:hint="eastAsia" w:ascii="宋体" w:hAnsi="宋体" w:cs="宋体"/>
          <w:b/>
          <w:bCs/>
          <w:sz w:val="24"/>
          <w:szCs w:val="24"/>
          <w:highlight w:val="none"/>
        </w:rPr>
        <w:t>分）</w:t>
      </w:r>
    </w:p>
    <w:p>
      <w:pPr>
        <w:tabs>
          <w:tab w:val="left" w:pos="945"/>
          <w:tab w:val="left" w:pos="1155"/>
        </w:tabs>
        <w:spacing w:line="360" w:lineRule="auto"/>
        <w:ind w:firstLine="480" w:firstLineChars="200"/>
        <w:rPr>
          <w:rFonts w:ascii="宋体"/>
          <w:sz w:val="24"/>
          <w:highlight w:val="none"/>
        </w:rPr>
      </w:pPr>
      <w:r>
        <w:rPr>
          <w:rFonts w:hint="eastAsia" w:ascii="宋体" w:hAnsi="宋体" w:cs="宋体"/>
          <w:sz w:val="24"/>
          <w:highlight w:val="none"/>
        </w:rPr>
        <w:t>价格分统一采用低价优先法计算，即满足</w:t>
      </w:r>
      <w:r>
        <w:rPr>
          <w:rFonts w:hint="eastAsia" w:ascii="宋体" w:hAnsi="宋体" w:cs="宋体"/>
          <w:sz w:val="24"/>
          <w:highlight w:val="none"/>
          <w:lang w:eastAsia="zh-CN"/>
        </w:rPr>
        <w:t>招标文件</w:t>
      </w:r>
      <w:r>
        <w:rPr>
          <w:rFonts w:hint="eastAsia" w:ascii="宋体" w:hAnsi="宋体" w:cs="宋体"/>
          <w:sz w:val="24"/>
          <w:highlight w:val="none"/>
        </w:rPr>
        <w:t>要求且投标报价最低的供应商的价格为投标基准价，其价格分为满分。其他供应商的价格分统一按照下列公式计算：</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cs="宋体"/>
          <w:b/>
          <w:bCs/>
          <w:sz w:val="24"/>
          <w:highlight w:val="none"/>
        </w:rPr>
        <w:t>投标报价得分</w:t>
      </w:r>
      <w:r>
        <w:rPr>
          <w:rFonts w:ascii="宋体" w:hAnsi="宋体" w:cs="宋体"/>
          <w:b/>
          <w:bCs/>
          <w:sz w:val="24"/>
          <w:highlight w:val="none"/>
        </w:rPr>
        <w:t>=</w:t>
      </w:r>
      <w:r>
        <w:rPr>
          <w:rFonts w:hint="eastAsia" w:ascii="宋体" w:hAnsi="宋体" w:cs="宋体"/>
          <w:b/>
          <w:bCs/>
          <w:sz w:val="24"/>
          <w:highlight w:val="none"/>
        </w:rPr>
        <w:t>（投标基准价</w:t>
      </w:r>
      <w:r>
        <w:rPr>
          <w:rFonts w:ascii="宋体" w:hAnsi="宋体" w:cs="宋体"/>
          <w:b/>
          <w:bCs/>
          <w:sz w:val="24"/>
          <w:highlight w:val="none"/>
        </w:rPr>
        <w:t>/</w:t>
      </w:r>
      <w:r>
        <w:rPr>
          <w:rFonts w:hint="eastAsia" w:ascii="宋体" w:hAnsi="宋体" w:cs="宋体"/>
          <w:b/>
          <w:bCs/>
          <w:sz w:val="24"/>
          <w:highlight w:val="none"/>
        </w:rPr>
        <w:t>投标报价）×价格权值×</w:t>
      </w:r>
      <w:r>
        <w:rPr>
          <w:rFonts w:ascii="宋体" w:hAnsi="宋体" w:cs="宋体"/>
          <w:b/>
          <w:bCs/>
          <w:sz w:val="24"/>
          <w:highlight w:val="none"/>
        </w:rPr>
        <w:t>100</w:t>
      </w:r>
      <w:r>
        <w:rPr>
          <w:rFonts w:hint="eastAsia" w:ascii="宋体" w:hAnsi="宋体" w:cs="宋体"/>
          <w:b/>
          <w:bCs/>
          <w:sz w:val="24"/>
          <w:highlight w:val="none"/>
        </w:rPr>
        <w:t>。</w:t>
      </w:r>
    </w:p>
    <w:p>
      <w:pPr>
        <w:keepNext w:val="0"/>
        <w:keepLines w:val="0"/>
        <w:pageBreakBefore w:val="0"/>
        <w:numPr>
          <w:ilvl w:val="0"/>
          <w:numId w:val="8"/>
        </w:numPr>
        <w:tabs>
          <w:tab w:val="left" w:pos="525"/>
          <w:tab w:val="left" w:pos="945"/>
          <w:tab w:val="left" w:pos="1155"/>
        </w:tabs>
        <w:kinsoku/>
        <w:wordWrap/>
        <w:overflowPunct/>
        <w:topLinePunct w:val="0"/>
        <w:autoSpaceDE/>
        <w:autoSpaceDN/>
        <w:bidi w:val="0"/>
        <w:snapToGrid/>
        <w:spacing w:line="360" w:lineRule="auto"/>
        <w:ind w:left="458" w:leftChars="218"/>
        <w:textAlignment w:val="auto"/>
        <w:rPr>
          <w:rFonts w:ascii="宋体" w:hAnsi="宋体"/>
          <w:b/>
          <w:bCs/>
          <w:sz w:val="24"/>
          <w:highlight w:val="none"/>
        </w:rPr>
      </w:pPr>
      <w:r>
        <w:rPr>
          <w:rFonts w:hint="eastAsia" w:ascii="宋体" w:hAnsi="宋体"/>
          <w:b/>
          <w:bCs/>
          <w:sz w:val="24"/>
          <w:highlight w:val="none"/>
          <w:lang w:val="en-US" w:eastAsia="zh-CN"/>
        </w:rPr>
        <w:t>投标供应商综合评价</w:t>
      </w:r>
      <w:r>
        <w:rPr>
          <w:rFonts w:ascii="宋体" w:hAnsi="宋体"/>
          <w:b/>
          <w:bCs/>
          <w:sz w:val="24"/>
          <w:highlight w:val="none"/>
        </w:rPr>
        <w:t>（</w:t>
      </w:r>
      <w:r>
        <w:rPr>
          <w:rFonts w:hint="eastAsia" w:ascii="宋体" w:hAnsi="宋体"/>
          <w:b/>
          <w:bCs/>
          <w:sz w:val="24"/>
          <w:highlight w:val="none"/>
          <w:lang w:val="en-US" w:eastAsia="zh-CN"/>
        </w:rPr>
        <w:t>32</w:t>
      </w:r>
      <w:r>
        <w:rPr>
          <w:rFonts w:ascii="宋体" w:hAnsi="宋体"/>
          <w:b/>
          <w:bCs/>
          <w:sz w:val="24"/>
          <w:highlight w:val="none"/>
        </w:rPr>
        <w:t>分）</w:t>
      </w:r>
    </w:p>
    <w:p>
      <w:pPr>
        <w:keepNext w:val="0"/>
        <w:keepLines w:val="0"/>
        <w:pageBreakBefore w:val="0"/>
        <w:numPr>
          <w:ilvl w:val="0"/>
          <w:numId w:val="0"/>
        </w:numPr>
        <w:tabs>
          <w:tab w:val="left" w:pos="525"/>
          <w:tab w:val="left" w:pos="945"/>
          <w:tab w:val="left" w:pos="115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highlight w:val="none"/>
          <w:lang w:val="en-US" w:eastAsia="zh-CN"/>
        </w:rPr>
      </w:pPr>
      <w:r>
        <w:rPr>
          <w:rFonts w:hint="eastAsia" w:ascii="宋体" w:hAnsi="宋体" w:eastAsia="宋体" w:cs="Times New Roman"/>
          <w:b/>
          <w:bCs/>
          <w:sz w:val="24"/>
          <w:highlight w:val="none"/>
          <w:lang w:val="en-US" w:eastAsia="zh-CN"/>
        </w:rPr>
        <w:t>2.1投标供应商拟投入</w:t>
      </w:r>
      <w:r>
        <w:rPr>
          <w:rFonts w:hint="eastAsia" w:ascii="宋体" w:hAnsi="宋体" w:cs="Times New Roman"/>
          <w:b/>
          <w:bCs/>
          <w:sz w:val="24"/>
          <w:highlight w:val="none"/>
          <w:lang w:val="en-US" w:eastAsia="zh-CN"/>
        </w:rPr>
        <w:t>车辆</w:t>
      </w:r>
      <w:r>
        <w:rPr>
          <w:rFonts w:hint="eastAsia" w:ascii="宋体" w:hAnsi="宋体" w:eastAsia="宋体" w:cs="Times New Roman"/>
          <w:b/>
          <w:bCs/>
          <w:sz w:val="24"/>
          <w:highlight w:val="none"/>
          <w:lang w:val="en-US" w:eastAsia="zh-CN"/>
        </w:rPr>
        <w:t>（20分）：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2.1.1投标供应商拟投入与本项目匹配的中小型清障车，有一辆得1分，本项最高得8分。（提供有效证书原件的扫描件上传至响应文件中，无扫描件不得分）。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2.1.2</w:t>
      </w:r>
      <w:r>
        <w:rPr>
          <w:rFonts w:hint="eastAsia" w:ascii="宋体" w:hAnsi="宋体" w:cs="宋体"/>
          <w:kern w:val="0"/>
          <w:sz w:val="24"/>
          <w:highlight w:val="none"/>
          <w:lang w:val="en-US" w:eastAsia="zh-CN"/>
        </w:rPr>
        <w:t>投标</w:t>
      </w:r>
      <w:r>
        <w:rPr>
          <w:rFonts w:hint="eastAsia" w:ascii="宋体" w:hAnsi="宋体" w:eastAsia="宋体" w:cs="宋体"/>
          <w:kern w:val="0"/>
          <w:sz w:val="24"/>
          <w:highlight w:val="none"/>
          <w:lang w:val="en-US" w:eastAsia="zh-CN"/>
        </w:rPr>
        <w:t>供应商</w:t>
      </w:r>
      <w:r>
        <w:rPr>
          <w:rFonts w:hint="eastAsia" w:ascii="宋体" w:hAnsi="宋体" w:cs="宋体"/>
          <w:kern w:val="0"/>
          <w:sz w:val="24"/>
          <w:highlight w:val="none"/>
          <w:lang w:val="en-US" w:eastAsia="zh-CN"/>
        </w:rPr>
        <w:t>拟投入与本项目匹配的</w:t>
      </w:r>
      <w:r>
        <w:rPr>
          <w:rFonts w:hint="eastAsia" w:ascii="宋体" w:hAnsi="宋体" w:eastAsia="宋体" w:cs="宋体"/>
          <w:kern w:val="0"/>
          <w:sz w:val="24"/>
          <w:highlight w:val="none"/>
          <w:lang w:val="en-US" w:eastAsia="zh-CN"/>
        </w:rPr>
        <w:t>15吨以上大型清障车，有一辆得3分，本项最高得3分。（提供有效证书原件的扫描件上传至响应文件中，无扫描件不得分）。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2.1.3</w:t>
      </w:r>
      <w:r>
        <w:rPr>
          <w:rFonts w:hint="eastAsia" w:ascii="宋体" w:hAnsi="宋体" w:cs="宋体"/>
          <w:kern w:val="0"/>
          <w:sz w:val="24"/>
          <w:highlight w:val="none"/>
          <w:lang w:val="en-US" w:eastAsia="zh-CN"/>
        </w:rPr>
        <w:t>投标</w:t>
      </w:r>
      <w:r>
        <w:rPr>
          <w:rFonts w:hint="eastAsia" w:ascii="宋体" w:hAnsi="宋体" w:eastAsia="宋体" w:cs="宋体"/>
          <w:kern w:val="0"/>
          <w:sz w:val="24"/>
          <w:highlight w:val="none"/>
          <w:lang w:val="en-US" w:eastAsia="zh-CN"/>
        </w:rPr>
        <w:t>供应商</w:t>
      </w:r>
      <w:r>
        <w:rPr>
          <w:rFonts w:hint="eastAsia" w:ascii="宋体" w:hAnsi="宋体" w:cs="宋体"/>
          <w:kern w:val="0"/>
          <w:sz w:val="24"/>
          <w:highlight w:val="none"/>
          <w:lang w:val="en-US" w:eastAsia="zh-CN"/>
        </w:rPr>
        <w:t>拟投入与本项目匹配的</w:t>
      </w:r>
      <w:r>
        <w:rPr>
          <w:rFonts w:hint="eastAsia" w:ascii="宋体" w:hAnsi="宋体" w:eastAsia="宋体" w:cs="宋体"/>
          <w:kern w:val="0"/>
          <w:sz w:val="24"/>
          <w:highlight w:val="none"/>
          <w:lang w:val="en-US" w:eastAsia="zh-CN"/>
        </w:rPr>
        <w:t>厢式货车</w:t>
      </w:r>
      <w:r>
        <w:rPr>
          <w:rFonts w:hint="eastAsia" w:ascii="宋体" w:hAnsi="宋体" w:cs="宋体"/>
          <w:kern w:val="0"/>
          <w:sz w:val="24"/>
          <w:highlight w:val="none"/>
          <w:lang w:val="en-US" w:eastAsia="zh-CN"/>
        </w:rPr>
        <w:t>配备专用吊装设备</w:t>
      </w:r>
      <w:r>
        <w:rPr>
          <w:rFonts w:hint="eastAsia" w:ascii="宋体" w:hAnsi="宋体" w:eastAsia="宋体" w:cs="宋体"/>
          <w:kern w:val="0"/>
          <w:sz w:val="24"/>
          <w:highlight w:val="none"/>
          <w:lang w:val="en-US" w:eastAsia="zh-CN"/>
        </w:rPr>
        <w:t>（拖电动车、自行车用），有一辆得1分，本项最高得</w:t>
      </w:r>
      <w:r>
        <w:rPr>
          <w:rFonts w:hint="eastAsia" w:ascii="宋体" w:hAnsi="宋体" w:cs="宋体"/>
          <w:kern w:val="0"/>
          <w:sz w:val="24"/>
          <w:highlight w:val="none"/>
          <w:lang w:val="en-US" w:eastAsia="zh-CN"/>
        </w:rPr>
        <w:t>4</w:t>
      </w:r>
      <w:r>
        <w:rPr>
          <w:rFonts w:hint="eastAsia" w:ascii="宋体" w:hAnsi="宋体" w:eastAsia="宋体" w:cs="宋体"/>
          <w:kern w:val="0"/>
          <w:sz w:val="24"/>
          <w:highlight w:val="none"/>
          <w:lang w:val="en-US" w:eastAsia="zh-CN"/>
        </w:rPr>
        <w:t>分。（提供有效证书</w:t>
      </w:r>
      <w:r>
        <w:rPr>
          <w:rFonts w:hint="eastAsia" w:ascii="宋体" w:hAnsi="宋体" w:cs="宋体"/>
          <w:kern w:val="0"/>
          <w:sz w:val="24"/>
          <w:highlight w:val="none"/>
          <w:lang w:val="en-US" w:eastAsia="zh-CN"/>
        </w:rPr>
        <w:t>、证明资料</w:t>
      </w:r>
      <w:r>
        <w:rPr>
          <w:rFonts w:hint="eastAsia" w:ascii="宋体" w:hAnsi="宋体" w:eastAsia="宋体" w:cs="宋体"/>
          <w:kern w:val="0"/>
          <w:sz w:val="24"/>
          <w:highlight w:val="none"/>
          <w:lang w:val="en-US" w:eastAsia="zh-CN"/>
        </w:rPr>
        <w:t>原件的扫描件上传至响应文件中，无扫描件不得分）。</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2.1.4上述车辆购买除交强险外，购买保险理赔金额不少50万元的第三者责任险的，提供一辆车的保单得0.5分，本项最高得5分。</w:t>
      </w:r>
    </w:p>
    <w:p>
      <w:pPr>
        <w:pStyle w:val="2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注：</w:t>
      </w:r>
      <w:r>
        <w:rPr>
          <w:rFonts w:hint="eastAsia" w:ascii="宋体" w:hAnsi="宋体" w:cs="宋体"/>
          <w:b/>
          <w:bCs/>
          <w:kern w:val="0"/>
          <w:sz w:val="24"/>
          <w:szCs w:val="24"/>
          <w:highlight w:val="none"/>
          <w:lang w:val="en-US" w:eastAsia="zh-CN" w:bidi="ar-SA"/>
        </w:rPr>
        <w:t>投标供应商</w:t>
      </w:r>
      <w:r>
        <w:rPr>
          <w:rFonts w:hint="eastAsia" w:ascii="宋体" w:hAnsi="宋体" w:eastAsia="宋体" w:cs="宋体"/>
          <w:b/>
          <w:bCs/>
          <w:kern w:val="0"/>
          <w:sz w:val="24"/>
          <w:szCs w:val="24"/>
          <w:highlight w:val="none"/>
          <w:lang w:val="en-US" w:eastAsia="zh-CN" w:bidi="ar-SA"/>
        </w:rPr>
        <w:t>提供的清障车辆必须具有合法、完备</w:t>
      </w:r>
      <w:bookmarkStart w:id="9" w:name="_GoBack"/>
      <w:bookmarkEnd w:id="9"/>
      <w:r>
        <w:rPr>
          <w:rFonts w:hint="eastAsia" w:ascii="宋体" w:hAnsi="宋体" w:eastAsia="宋体" w:cs="宋体"/>
          <w:b/>
          <w:bCs/>
          <w:kern w:val="0"/>
          <w:sz w:val="24"/>
          <w:szCs w:val="24"/>
          <w:highlight w:val="none"/>
          <w:lang w:val="en-US" w:eastAsia="zh-CN" w:bidi="ar-SA"/>
        </w:rPr>
        <w:t>的证照，不得提供报废、非法车辆参与清障作业，车辆可以为自有或者租赁，投标时需提供车辆行驶证、为车辆投保的保险公司保单、机动车登记证证书原件扫描件，如车辆为租赁则另需提供租赁合同（须在有效租赁期内且租赁</w:t>
      </w:r>
      <w:r>
        <w:rPr>
          <w:rFonts w:hint="eastAsia" w:ascii="宋体" w:hAnsi="宋体" w:cs="宋体"/>
          <w:b/>
          <w:bCs/>
          <w:kern w:val="0"/>
          <w:sz w:val="24"/>
          <w:szCs w:val="24"/>
          <w:highlight w:val="none"/>
          <w:lang w:val="en-US" w:eastAsia="zh-CN" w:bidi="ar-SA"/>
        </w:rPr>
        <w:t>期限</w:t>
      </w:r>
      <w:r>
        <w:rPr>
          <w:rFonts w:hint="eastAsia" w:ascii="宋体" w:hAnsi="宋体" w:eastAsia="宋体" w:cs="宋体"/>
          <w:b/>
          <w:bCs/>
          <w:kern w:val="0"/>
          <w:sz w:val="24"/>
          <w:szCs w:val="24"/>
          <w:highlight w:val="none"/>
          <w:lang w:val="en-US" w:eastAsia="zh-CN" w:bidi="ar-SA"/>
        </w:rPr>
        <w:t>不得少于1年）原件扫描件；以上证明材料不按要求提供不得分，提供以上有效证明材料原件的扫描件上传至响应文件中，无扫描件不得分。</w:t>
      </w:r>
    </w:p>
    <w:p>
      <w:pPr>
        <w:keepNext w:val="0"/>
        <w:keepLines w:val="0"/>
        <w:pageBreakBefore w:val="0"/>
        <w:widowControl w:val="0"/>
        <w:numPr>
          <w:ilvl w:val="0"/>
          <w:numId w:val="0"/>
        </w:numPr>
        <w:tabs>
          <w:tab w:val="left" w:pos="525"/>
          <w:tab w:val="left" w:pos="945"/>
          <w:tab w:val="left" w:pos="1155"/>
        </w:tabs>
        <w:kinsoku/>
        <w:wordWrap/>
        <w:overflowPunct/>
        <w:topLinePunct w:val="0"/>
        <w:autoSpaceDE/>
        <w:autoSpaceDN/>
        <w:bidi w:val="0"/>
        <w:adjustRightInd/>
        <w:snapToGrid/>
        <w:spacing w:line="360" w:lineRule="auto"/>
        <w:ind w:firstLine="482" w:firstLineChars="200"/>
        <w:textAlignment w:val="auto"/>
        <w:rPr>
          <w:rFonts w:hint="eastAsia" w:ascii="宋体" w:hAnsi="宋体"/>
          <w:color w:val="auto"/>
          <w:sz w:val="24"/>
          <w:highlight w:val="none"/>
          <w:lang w:val="en-US" w:eastAsia="zh-CN"/>
        </w:rPr>
      </w:pPr>
      <w:r>
        <w:rPr>
          <w:rFonts w:hint="eastAsia" w:ascii="宋体" w:hAnsi="宋体" w:eastAsia="宋体" w:cs="Times New Roman"/>
          <w:b/>
          <w:bCs/>
          <w:sz w:val="24"/>
          <w:highlight w:val="none"/>
          <w:lang w:val="en-US" w:eastAsia="zh-CN"/>
        </w:rPr>
        <w:t>2.2清障车随车装备（3分）：</w:t>
      </w:r>
      <w:r>
        <w:rPr>
          <w:rFonts w:hint="eastAsia" w:ascii="宋体" w:hAnsi="宋体"/>
          <w:color w:val="auto"/>
          <w:sz w:val="24"/>
          <w:highlight w:val="none"/>
        </w:rPr>
        <w:t>上述投标供应商提供的清障车应配备足够、完好的交通清障辅助设备：包括枕木、警示筒、警示带、拖车辅助轮、千斤顶、1000万像素以上具有夜间拍摄和摄录功能的相机。</w:t>
      </w:r>
      <w:r>
        <w:rPr>
          <w:rFonts w:hint="eastAsia" w:ascii="宋体" w:hAnsi="宋体"/>
          <w:b/>
          <w:bCs/>
          <w:color w:val="auto"/>
          <w:sz w:val="24"/>
          <w:highlight w:val="none"/>
          <w:lang w:val="en-US" w:eastAsia="zh-CN"/>
        </w:rPr>
        <w:t>以上</w:t>
      </w:r>
      <w:r>
        <w:rPr>
          <w:rFonts w:hint="eastAsia" w:ascii="宋体" w:hAnsi="宋体" w:eastAsia="宋体" w:cs="宋体"/>
          <w:b/>
          <w:bCs/>
          <w:kern w:val="0"/>
          <w:sz w:val="24"/>
          <w:highlight w:val="none"/>
          <w:lang w:val="en-US" w:eastAsia="zh-CN"/>
        </w:rPr>
        <w:t>装备配备不全的得1分，装备配备齐全的得3分</w:t>
      </w:r>
      <w:r>
        <w:rPr>
          <w:rFonts w:hint="eastAsia" w:ascii="宋体" w:hAnsi="宋体" w:cs="宋体"/>
          <w:b/>
          <w:bCs/>
          <w:kern w:val="0"/>
          <w:sz w:val="24"/>
          <w:highlight w:val="none"/>
          <w:lang w:val="en-US" w:eastAsia="zh-CN"/>
        </w:rPr>
        <w:t>，不配备不得分。本项最高得3分。</w:t>
      </w:r>
      <w:r>
        <w:rPr>
          <w:rFonts w:hint="eastAsia" w:ascii="宋体" w:hAnsi="宋体"/>
          <w:color w:val="auto"/>
          <w:sz w:val="24"/>
          <w:highlight w:val="none"/>
          <w:lang w:val="en-US" w:eastAsia="zh-CN"/>
        </w:rPr>
        <w:t>（</w:t>
      </w:r>
      <w:r>
        <w:rPr>
          <w:rFonts w:hint="eastAsia" w:ascii="宋体" w:hAnsi="宋体"/>
          <w:color w:val="auto"/>
          <w:sz w:val="24"/>
          <w:highlight w:val="none"/>
        </w:rPr>
        <w:t>提供清障车随</w:t>
      </w:r>
      <w:r>
        <w:rPr>
          <w:rFonts w:hint="eastAsia" w:ascii="宋体" w:hAnsi="宋体"/>
          <w:color w:val="auto"/>
          <w:sz w:val="24"/>
          <w:highlight w:val="none"/>
          <w:lang w:val="en-US" w:eastAsia="zh-CN"/>
        </w:rPr>
        <w:t>车</w:t>
      </w:r>
      <w:r>
        <w:rPr>
          <w:rFonts w:hint="eastAsia" w:ascii="宋体" w:hAnsi="宋体"/>
          <w:color w:val="auto"/>
          <w:sz w:val="24"/>
          <w:highlight w:val="none"/>
        </w:rPr>
        <w:t>装备清单及清障车上随车装备的照片上传至</w:t>
      </w:r>
      <w:r>
        <w:rPr>
          <w:rFonts w:hint="eastAsia" w:ascii="宋体" w:hAnsi="宋体"/>
          <w:color w:val="auto"/>
          <w:sz w:val="24"/>
          <w:highlight w:val="none"/>
          <w:lang w:val="en-US" w:eastAsia="zh-CN"/>
        </w:rPr>
        <w:t>响应</w:t>
      </w:r>
      <w:r>
        <w:rPr>
          <w:rFonts w:hint="eastAsia" w:ascii="宋体" w:hAnsi="宋体"/>
          <w:color w:val="auto"/>
          <w:sz w:val="24"/>
          <w:highlight w:val="none"/>
        </w:rPr>
        <w:t>文件中，</w:t>
      </w:r>
      <w:r>
        <w:rPr>
          <w:rFonts w:hint="eastAsia" w:ascii="宋体" w:hAnsi="宋体"/>
          <w:color w:val="auto"/>
          <w:sz w:val="24"/>
          <w:highlight w:val="none"/>
          <w:lang w:val="en-US" w:eastAsia="zh-CN"/>
        </w:rPr>
        <w:t>无扫描件不得分）</w:t>
      </w:r>
    </w:p>
    <w:p>
      <w:pPr>
        <w:keepNext w:val="0"/>
        <w:keepLines w:val="0"/>
        <w:pageBreakBefore w:val="0"/>
        <w:widowControl w:val="0"/>
        <w:numPr>
          <w:ilvl w:val="0"/>
          <w:numId w:val="0"/>
        </w:numPr>
        <w:tabs>
          <w:tab w:val="left" w:pos="525"/>
          <w:tab w:val="left" w:pos="945"/>
          <w:tab w:val="left" w:pos="115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Times New Roman"/>
          <w:b/>
          <w:bCs/>
          <w:sz w:val="24"/>
          <w:highlight w:val="none"/>
          <w:lang w:val="en-US" w:eastAsia="zh-CN"/>
        </w:rPr>
        <w:t>2.3清障人员配备状况（9分）：</w:t>
      </w:r>
      <w:r>
        <w:rPr>
          <w:rFonts w:hint="eastAsia" w:ascii="宋体" w:hAnsi="宋体" w:cs="宋体"/>
          <w:sz w:val="24"/>
          <w:highlight w:val="none"/>
        </w:rPr>
        <w:t>投标供应商的在职清障人员应</w:t>
      </w:r>
      <w:r>
        <w:rPr>
          <w:rFonts w:hint="eastAsia" w:ascii="宋体" w:hAnsi="宋体" w:cs="宋体"/>
          <w:sz w:val="24"/>
          <w:highlight w:val="none"/>
          <w:lang w:val="en-US" w:eastAsia="zh-CN"/>
        </w:rPr>
        <w:t>具备</w:t>
      </w:r>
      <w:r>
        <w:rPr>
          <w:rFonts w:hint="eastAsia" w:ascii="宋体" w:hAnsi="宋体" w:cs="宋体"/>
          <w:sz w:val="24"/>
          <w:highlight w:val="none"/>
        </w:rPr>
        <w:t>与上述清障车准驾车型相符的驾驶证</w:t>
      </w:r>
      <w:r>
        <w:rPr>
          <w:rFonts w:hint="eastAsia" w:ascii="宋体" w:hAnsi="宋体" w:cs="宋体"/>
          <w:sz w:val="24"/>
          <w:highlight w:val="none"/>
          <w:lang w:eastAsia="zh-CN"/>
        </w:rPr>
        <w:t>，</w:t>
      </w:r>
      <w:r>
        <w:rPr>
          <w:rFonts w:hint="eastAsia" w:ascii="宋体" w:hAnsi="宋体" w:cs="宋体"/>
          <w:sz w:val="24"/>
          <w:highlight w:val="none"/>
          <w:lang w:val="en-US" w:eastAsia="zh-CN"/>
        </w:rPr>
        <w:t>有9人及9人以上的得9分，有7人（含）到9人（不含）的得7分，有5人（含）到7人（不含）的得5分，5人以下不得分。</w:t>
      </w:r>
      <w:r>
        <w:rPr>
          <w:rFonts w:hint="eastAsia" w:ascii="宋体" w:hAnsi="宋体" w:cs="宋体"/>
          <w:sz w:val="24"/>
          <w:highlight w:val="none"/>
        </w:rPr>
        <w:t>本项最高得</w:t>
      </w:r>
      <w:r>
        <w:rPr>
          <w:rFonts w:hint="eastAsia" w:ascii="宋体" w:hAnsi="宋体" w:cs="宋体"/>
          <w:sz w:val="24"/>
          <w:highlight w:val="none"/>
          <w:lang w:val="en-US" w:eastAsia="zh-CN"/>
        </w:rPr>
        <w:t>9</w:t>
      </w:r>
      <w:r>
        <w:rPr>
          <w:rFonts w:hint="eastAsia" w:ascii="宋体" w:hAnsi="宋体" w:cs="宋体"/>
          <w:sz w:val="24"/>
          <w:highlight w:val="none"/>
        </w:rPr>
        <w:t>分</w:t>
      </w:r>
      <w:r>
        <w:rPr>
          <w:rFonts w:hint="eastAsia" w:ascii="宋体" w:hAnsi="宋体" w:cs="宋体"/>
          <w:sz w:val="24"/>
          <w:highlight w:val="none"/>
          <w:lang w:eastAsia="zh-CN"/>
        </w:rPr>
        <w:t>。</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以上在职清障人员驾驶证原件、劳动合同原件以及由法定的社保收缴部门出具的2023年8月-2023年10月缴纳社保证明的原件的扫描件上传至响应文件中</w:t>
      </w:r>
      <w:r>
        <w:rPr>
          <w:rFonts w:hint="eastAsia" w:ascii="宋体" w:hAnsi="宋体" w:cs="宋体"/>
          <w:b/>
          <w:bCs/>
          <w:sz w:val="24"/>
          <w:highlight w:val="none"/>
        </w:rPr>
        <w:t>，</w:t>
      </w:r>
      <w:r>
        <w:rPr>
          <w:rFonts w:hint="eastAsia" w:ascii="宋体" w:hAnsi="宋体" w:cs="宋体"/>
          <w:b/>
          <w:bCs/>
          <w:sz w:val="24"/>
          <w:highlight w:val="none"/>
          <w:lang w:val="en-US" w:eastAsia="zh-CN"/>
        </w:rPr>
        <w:t>带二维码的打印件可做原件使用。提供不全或无扫描件不得分。</w:t>
      </w:r>
      <w:r>
        <w:rPr>
          <w:rFonts w:hint="eastAsia" w:ascii="宋体" w:hAnsi="宋体" w:cs="宋体"/>
          <w:b/>
          <w:bCs/>
          <w:sz w:val="24"/>
          <w:highlight w:val="none"/>
        </w:rPr>
        <w:t>如</w:t>
      </w:r>
      <w:r>
        <w:rPr>
          <w:rFonts w:hint="eastAsia" w:ascii="宋体" w:hAnsi="宋体" w:cs="宋体"/>
          <w:b/>
          <w:bCs/>
          <w:sz w:val="24"/>
          <w:highlight w:val="none"/>
          <w:lang w:val="en-US" w:eastAsia="zh-CN"/>
        </w:rPr>
        <w:t>投标</w:t>
      </w:r>
      <w:r>
        <w:rPr>
          <w:rFonts w:hint="eastAsia" w:ascii="宋体" w:hAnsi="宋体" w:cs="宋体"/>
          <w:b/>
          <w:bCs/>
          <w:sz w:val="24"/>
          <w:highlight w:val="none"/>
        </w:rPr>
        <w:t>供应商成立时间迟于要求开始的时间，则提供成立时间至</w:t>
      </w:r>
      <w:r>
        <w:rPr>
          <w:rFonts w:hint="eastAsia" w:ascii="宋体" w:hAnsi="宋体" w:cs="宋体"/>
          <w:b/>
          <w:bCs/>
          <w:sz w:val="24"/>
          <w:highlight w:val="none"/>
          <w:lang w:val="en-US" w:eastAsia="zh-CN"/>
        </w:rPr>
        <w:t>采购</w:t>
      </w:r>
      <w:r>
        <w:rPr>
          <w:rFonts w:hint="eastAsia" w:ascii="宋体" w:hAnsi="宋体" w:cs="宋体"/>
          <w:b/>
          <w:bCs/>
          <w:sz w:val="24"/>
          <w:highlight w:val="none"/>
        </w:rPr>
        <w:t>文件中社保要求的截止时间内的社保缴费证明</w:t>
      </w:r>
      <w:r>
        <w:rPr>
          <w:rFonts w:hint="eastAsia" w:ascii="宋体" w:hAnsi="宋体" w:cs="宋体"/>
          <w:b/>
          <w:bCs/>
          <w:sz w:val="24"/>
          <w:highlight w:val="none"/>
          <w:lang w:eastAsia="zh-CN"/>
        </w:rPr>
        <w:t>）</w:t>
      </w:r>
    </w:p>
    <w:p>
      <w:pPr>
        <w:keepNext w:val="0"/>
        <w:keepLines w:val="0"/>
        <w:pageBreakBefore w:val="0"/>
        <w:numPr>
          <w:ilvl w:val="0"/>
          <w:numId w:val="0"/>
        </w:numPr>
        <w:tabs>
          <w:tab w:val="left" w:pos="525"/>
          <w:tab w:val="left" w:pos="945"/>
          <w:tab w:val="left" w:pos="1155"/>
        </w:tabs>
        <w:kinsoku/>
        <w:wordWrap/>
        <w:overflowPunct/>
        <w:topLinePunct w:val="0"/>
        <w:autoSpaceDE/>
        <w:autoSpaceDN/>
        <w:bidi w:val="0"/>
        <w:snapToGrid/>
        <w:spacing w:line="360" w:lineRule="auto"/>
        <w:textAlignment w:val="auto"/>
        <w:rPr>
          <w:rFonts w:hint="eastAsia" w:ascii="宋体" w:hAnsi="宋体" w:eastAsia="宋体" w:cs="Times New Roman"/>
          <w:b/>
          <w:bCs/>
          <w:sz w:val="24"/>
          <w:highlight w:val="none"/>
          <w:lang w:eastAsia="zh-CN"/>
        </w:rPr>
      </w:pPr>
      <w:r>
        <w:rPr>
          <w:rFonts w:hint="eastAsia" w:ascii="宋体" w:hAnsi="宋体" w:eastAsia="宋体" w:cs="Times New Roman"/>
          <w:b/>
          <w:bCs/>
          <w:sz w:val="24"/>
          <w:highlight w:val="none"/>
          <w:lang w:eastAsia="zh-CN"/>
        </w:rPr>
        <w:t>（</w:t>
      </w:r>
      <w:r>
        <w:rPr>
          <w:rFonts w:hint="eastAsia" w:ascii="宋体" w:hAnsi="宋体" w:eastAsia="宋体" w:cs="Times New Roman"/>
          <w:b/>
          <w:bCs/>
          <w:sz w:val="24"/>
          <w:highlight w:val="none"/>
          <w:lang w:val="en-US" w:eastAsia="zh-CN"/>
        </w:rPr>
        <w:t>3</w:t>
      </w:r>
      <w:r>
        <w:rPr>
          <w:rFonts w:hint="eastAsia" w:ascii="宋体" w:hAnsi="宋体" w:eastAsia="宋体" w:cs="Times New Roman"/>
          <w:b/>
          <w:bCs/>
          <w:sz w:val="24"/>
          <w:highlight w:val="none"/>
          <w:lang w:eastAsia="zh-CN"/>
        </w:rPr>
        <w:t>）技术文件:（</w:t>
      </w:r>
      <w:r>
        <w:rPr>
          <w:rFonts w:hint="eastAsia" w:ascii="宋体" w:hAnsi="宋体" w:cs="Times New Roman"/>
          <w:b/>
          <w:bCs/>
          <w:sz w:val="24"/>
          <w:highlight w:val="none"/>
          <w:lang w:val="en-US" w:eastAsia="zh-CN"/>
        </w:rPr>
        <w:t>53</w:t>
      </w:r>
      <w:r>
        <w:rPr>
          <w:rFonts w:hint="eastAsia" w:ascii="宋体" w:hAnsi="宋体" w:eastAsia="宋体" w:cs="Times New Roman"/>
          <w:b/>
          <w:bCs/>
          <w:sz w:val="24"/>
          <w:highlight w:val="none"/>
          <w:lang w:eastAsia="zh-CN"/>
        </w:rPr>
        <w:t xml:space="preserve">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highlight w:val="none"/>
        </w:rPr>
      </w:pPr>
      <w:r>
        <w:rPr>
          <w:rFonts w:hint="eastAsia" w:ascii="宋体" w:hAnsi="宋体"/>
          <w:sz w:val="24"/>
          <w:highlight w:val="none"/>
        </w:rPr>
        <w:t xml:space="preserve"> </w:t>
      </w:r>
      <w:r>
        <w:rPr>
          <w:rFonts w:hint="eastAsia" w:ascii="宋体" w:hAnsi="宋体"/>
          <w:bCs/>
          <w:sz w:val="24"/>
          <w:highlight w:val="none"/>
        </w:rPr>
        <w:t>在</w:t>
      </w:r>
      <w:r>
        <w:rPr>
          <w:rFonts w:hint="eastAsia" w:ascii="宋体" w:hAnsi="宋体"/>
          <w:bCs/>
          <w:sz w:val="24"/>
          <w:highlight w:val="none"/>
          <w:lang w:val="en-US" w:eastAsia="zh-CN"/>
        </w:rPr>
        <w:t>响应招标文件采购</w:t>
      </w:r>
      <w:r>
        <w:rPr>
          <w:rFonts w:hint="eastAsia" w:ascii="宋体" w:hAnsi="宋体"/>
          <w:bCs/>
          <w:sz w:val="24"/>
          <w:highlight w:val="none"/>
        </w:rPr>
        <w:t>需求的基础上针对下列各部分进行评价，要求体现科学合理性、条理性、可行性、完善性、针对性，以下各部分如未阐述不得分：</w:t>
      </w:r>
    </w:p>
    <w:p>
      <w:pPr>
        <w:keepNext w:val="0"/>
        <w:keepLines w:val="0"/>
        <w:pageBreakBefore w:val="0"/>
        <w:widowControl w:val="0"/>
        <w:numPr>
          <w:ilvl w:val="0"/>
          <w:numId w:val="0"/>
        </w:numPr>
        <w:tabs>
          <w:tab w:val="left" w:pos="525"/>
          <w:tab w:val="left" w:pos="945"/>
          <w:tab w:val="left" w:pos="115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3.1</w:t>
      </w:r>
      <w:r>
        <w:rPr>
          <w:rFonts w:hint="eastAsia" w:ascii="宋体" w:hAnsi="宋体" w:eastAsia="宋体" w:cs="宋体"/>
          <w:b/>
          <w:bCs/>
          <w:sz w:val="24"/>
          <w:szCs w:val="24"/>
          <w:highlight w:val="none"/>
        </w:rPr>
        <w:t>岗前培训及阶段性培训管理</w:t>
      </w:r>
      <w:r>
        <w:rPr>
          <w:rFonts w:hint="eastAsia" w:ascii="宋体" w:hAnsi="宋体" w:eastAsia="宋体" w:cs="宋体"/>
          <w:b/>
          <w:bCs/>
          <w:sz w:val="24"/>
          <w:highlight w:val="none"/>
          <w:lang w:val="en-US" w:eastAsia="zh-CN"/>
        </w:rPr>
        <w:t>（</w:t>
      </w:r>
      <w:r>
        <w:rPr>
          <w:rFonts w:hint="eastAsia" w:ascii="宋体" w:hAnsi="宋体" w:cs="宋体"/>
          <w:b/>
          <w:bCs/>
          <w:sz w:val="24"/>
          <w:highlight w:val="none"/>
          <w:lang w:val="en-US" w:eastAsia="zh-CN"/>
        </w:rPr>
        <w:t>8</w:t>
      </w:r>
      <w:r>
        <w:rPr>
          <w:rFonts w:hint="eastAsia" w:ascii="宋体" w:hAnsi="宋体" w:eastAsia="宋体" w:cs="宋体"/>
          <w:b/>
          <w:bCs/>
          <w:sz w:val="24"/>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lang w:val="en-US" w:eastAsia="zh-CN"/>
        </w:rPr>
        <w:t>A、</w:t>
      </w:r>
      <w:r>
        <w:rPr>
          <w:rFonts w:hint="eastAsia" w:ascii="宋体" w:hAnsi="宋体"/>
          <w:bCs/>
          <w:sz w:val="24"/>
          <w:szCs w:val="24"/>
          <w:highlight w:val="none"/>
        </w:rPr>
        <w:t>岗前培训及阶段性培训管理</w:t>
      </w:r>
      <w:r>
        <w:rPr>
          <w:rFonts w:hint="eastAsia" w:ascii="宋体" w:hAnsi="宋体" w:eastAsia="宋体" w:cs="Times New Roman"/>
          <w:bCs/>
          <w:sz w:val="24"/>
          <w:highlight w:val="none"/>
          <w:lang w:val="en-US" w:eastAsia="zh-CN"/>
        </w:rPr>
        <w:t>完整详实且符合实际的得</w:t>
      </w:r>
      <w:r>
        <w:rPr>
          <w:rFonts w:hint="eastAsia" w:ascii="宋体" w:hAnsi="宋体" w:cs="Times New Roman"/>
          <w:bCs/>
          <w:sz w:val="24"/>
          <w:highlight w:val="none"/>
          <w:lang w:val="en-US" w:eastAsia="zh-CN"/>
        </w:rPr>
        <w:t>8</w:t>
      </w:r>
      <w:r>
        <w:rPr>
          <w:rFonts w:hint="eastAsia" w:ascii="宋体" w:hAnsi="宋体" w:eastAsia="宋体" w:cs="Times New Roman"/>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lang w:val="en-US" w:eastAsia="zh-CN"/>
        </w:rPr>
        <w:t>B、</w:t>
      </w:r>
      <w:r>
        <w:rPr>
          <w:rFonts w:hint="eastAsia" w:ascii="宋体" w:hAnsi="宋体"/>
          <w:bCs/>
          <w:sz w:val="24"/>
          <w:szCs w:val="24"/>
          <w:highlight w:val="none"/>
        </w:rPr>
        <w:t>岗前培训及阶段性培训管理</w:t>
      </w:r>
      <w:r>
        <w:rPr>
          <w:rFonts w:hint="eastAsia" w:ascii="宋体" w:hAnsi="宋体" w:eastAsia="宋体" w:cs="Times New Roman"/>
          <w:bCs/>
          <w:sz w:val="24"/>
          <w:highlight w:val="none"/>
          <w:lang w:val="en-US" w:eastAsia="zh-CN"/>
        </w:rPr>
        <w:t>基本全面完整的得</w:t>
      </w:r>
      <w:r>
        <w:rPr>
          <w:rFonts w:hint="eastAsia" w:ascii="宋体" w:hAnsi="宋体" w:cs="Times New Roman"/>
          <w:bCs/>
          <w:sz w:val="24"/>
          <w:highlight w:val="none"/>
          <w:lang w:val="en-US" w:eastAsia="zh-CN"/>
        </w:rPr>
        <w:t>6</w:t>
      </w:r>
      <w:r>
        <w:rPr>
          <w:rFonts w:hint="eastAsia" w:ascii="宋体" w:hAnsi="宋体" w:eastAsia="宋体" w:cs="Times New Roman"/>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lang w:val="en-US" w:eastAsia="zh-CN"/>
        </w:rPr>
        <w:t>C、</w:t>
      </w:r>
      <w:r>
        <w:rPr>
          <w:rFonts w:hint="eastAsia" w:ascii="宋体" w:hAnsi="宋体"/>
          <w:bCs/>
          <w:sz w:val="24"/>
          <w:szCs w:val="24"/>
          <w:highlight w:val="none"/>
        </w:rPr>
        <w:t>岗前培训及阶段性培训管理</w:t>
      </w:r>
      <w:r>
        <w:rPr>
          <w:rFonts w:hint="eastAsia" w:ascii="宋体" w:hAnsi="宋体" w:eastAsia="宋体" w:cs="Times New Roman"/>
          <w:bCs/>
          <w:sz w:val="24"/>
          <w:highlight w:val="none"/>
          <w:lang w:val="en-US" w:eastAsia="zh-CN"/>
        </w:rPr>
        <w:t>有所欠缺的得</w:t>
      </w:r>
      <w:r>
        <w:rPr>
          <w:rFonts w:hint="eastAsia" w:ascii="宋体" w:hAnsi="宋体" w:cs="Times New Roman"/>
          <w:bCs/>
          <w:sz w:val="24"/>
          <w:highlight w:val="none"/>
          <w:lang w:val="en-US" w:eastAsia="zh-CN"/>
        </w:rPr>
        <w:t>4</w:t>
      </w:r>
      <w:r>
        <w:rPr>
          <w:rFonts w:hint="eastAsia" w:ascii="宋体" w:hAnsi="宋体" w:eastAsia="宋体" w:cs="Times New Roman"/>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lang w:val="en-US" w:eastAsia="zh-CN"/>
        </w:rPr>
        <w:t>D、未提供</w:t>
      </w:r>
      <w:r>
        <w:rPr>
          <w:rFonts w:hint="eastAsia" w:ascii="宋体" w:hAnsi="宋体"/>
          <w:bCs/>
          <w:sz w:val="24"/>
          <w:szCs w:val="24"/>
          <w:highlight w:val="none"/>
        </w:rPr>
        <w:t>岗前培训及阶段性培训管理</w:t>
      </w:r>
      <w:r>
        <w:rPr>
          <w:rFonts w:hint="eastAsia" w:ascii="宋体" w:hAnsi="宋体" w:eastAsia="宋体" w:cs="Times New Roman"/>
          <w:bCs/>
          <w:sz w:val="24"/>
          <w:highlight w:val="none"/>
          <w:lang w:val="en-US" w:eastAsia="zh-CN"/>
        </w:rPr>
        <w:t>或</w:t>
      </w:r>
      <w:r>
        <w:rPr>
          <w:rFonts w:hint="eastAsia" w:ascii="宋体" w:hAnsi="宋体"/>
          <w:bCs/>
          <w:sz w:val="24"/>
          <w:szCs w:val="24"/>
          <w:highlight w:val="none"/>
        </w:rPr>
        <w:t>岗前培训及阶段性培训管理</w:t>
      </w:r>
      <w:r>
        <w:rPr>
          <w:rFonts w:hint="eastAsia" w:ascii="宋体" w:hAnsi="宋体" w:eastAsia="宋体" w:cs="Times New Roman"/>
          <w:bCs/>
          <w:sz w:val="24"/>
          <w:highlight w:val="none"/>
          <w:lang w:val="en-US" w:eastAsia="zh-CN"/>
        </w:rPr>
        <w:t>不合理的，该项不得分。</w:t>
      </w:r>
    </w:p>
    <w:p>
      <w:pPr>
        <w:keepNext w:val="0"/>
        <w:keepLines w:val="0"/>
        <w:pageBreakBefore w:val="0"/>
        <w:widowControl w:val="0"/>
        <w:numPr>
          <w:ilvl w:val="0"/>
          <w:numId w:val="0"/>
        </w:numPr>
        <w:tabs>
          <w:tab w:val="left" w:pos="525"/>
          <w:tab w:val="left" w:pos="945"/>
          <w:tab w:val="left" w:pos="115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3.2物资装备的配备及人员安排（</w:t>
      </w:r>
      <w:r>
        <w:rPr>
          <w:rFonts w:hint="eastAsia" w:ascii="宋体" w:hAnsi="宋体" w:cs="宋体"/>
          <w:b/>
          <w:bCs/>
          <w:sz w:val="24"/>
          <w:highlight w:val="none"/>
          <w:lang w:val="en-US" w:eastAsia="zh-CN"/>
        </w:rPr>
        <w:t>8</w:t>
      </w:r>
      <w:r>
        <w:rPr>
          <w:rFonts w:hint="eastAsia" w:ascii="宋体" w:hAnsi="宋体" w:eastAsia="宋体" w:cs="宋体"/>
          <w:b/>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lang w:val="en-US" w:eastAsia="zh-CN"/>
        </w:rPr>
        <w:t>A、物资装备的配备及人员安排完整详实且符合实际的得</w:t>
      </w:r>
      <w:r>
        <w:rPr>
          <w:rFonts w:hint="eastAsia" w:ascii="宋体" w:hAnsi="宋体" w:cs="Times New Roman"/>
          <w:bCs/>
          <w:sz w:val="24"/>
          <w:highlight w:val="none"/>
          <w:lang w:val="en-US" w:eastAsia="zh-CN"/>
        </w:rPr>
        <w:t>8</w:t>
      </w:r>
      <w:r>
        <w:rPr>
          <w:rFonts w:hint="eastAsia" w:ascii="宋体" w:hAnsi="宋体" w:eastAsia="宋体" w:cs="Times New Roman"/>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lang w:val="en-US" w:eastAsia="zh-CN"/>
        </w:rPr>
        <w:t>B、物资装备的配备及人员安排基本全面完整的得</w:t>
      </w:r>
      <w:r>
        <w:rPr>
          <w:rFonts w:hint="eastAsia" w:ascii="宋体" w:hAnsi="宋体" w:cs="Times New Roman"/>
          <w:bCs/>
          <w:sz w:val="24"/>
          <w:highlight w:val="none"/>
          <w:lang w:val="en-US" w:eastAsia="zh-CN"/>
        </w:rPr>
        <w:t>6</w:t>
      </w:r>
      <w:r>
        <w:rPr>
          <w:rFonts w:hint="eastAsia" w:ascii="宋体" w:hAnsi="宋体" w:eastAsia="宋体" w:cs="Times New Roman"/>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lang w:val="en-US" w:eastAsia="zh-CN"/>
        </w:rPr>
        <w:t>C、物资装备的配备及人员安排有所欠缺的得</w:t>
      </w:r>
      <w:r>
        <w:rPr>
          <w:rFonts w:hint="eastAsia" w:ascii="宋体" w:hAnsi="宋体" w:cs="Times New Roman"/>
          <w:bCs/>
          <w:sz w:val="24"/>
          <w:highlight w:val="none"/>
          <w:lang w:val="en-US" w:eastAsia="zh-CN"/>
        </w:rPr>
        <w:t>4</w:t>
      </w:r>
      <w:r>
        <w:rPr>
          <w:rFonts w:hint="eastAsia" w:ascii="宋体" w:hAnsi="宋体" w:eastAsia="宋体" w:cs="Times New Roman"/>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lang w:val="en-US" w:eastAsia="zh-CN"/>
        </w:rPr>
        <w:t>D、未提供物资装备的配备及人员安排或物资装备的配备及人员安排不合理的，该项不得分。</w:t>
      </w:r>
    </w:p>
    <w:p>
      <w:pPr>
        <w:keepNext w:val="0"/>
        <w:keepLines w:val="0"/>
        <w:pageBreakBefore w:val="0"/>
        <w:widowControl w:val="0"/>
        <w:numPr>
          <w:ilvl w:val="0"/>
          <w:numId w:val="0"/>
        </w:numPr>
        <w:tabs>
          <w:tab w:val="left" w:pos="525"/>
          <w:tab w:val="left" w:pos="945"/>
          <w:tab w:val="left" w:pos="115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3.3</w:t>
      </w:r>
      <w:r>
        <w:rPr>
          <w:rFonts w:hint="eastAsia" w:ascii="宋体" w:hAnsi="宋体" w:eastAsia="宋体" w:cs="宋体"/>
          <w:b/>
          <w:bCs/>
          <w:sz w:val="24"/>
          <w:szCs w:val="24"/>
          <w:highlight w:val="none"/>
        </w:rPr>
        <w:t>管理规章制度</w:t>
      </w:r>
      <w:r>
        <w:rPr>
          <w:rFonts w:hint="eastAsia" w:ascii="宋体" w:hAnsi="宋体" w:eastAsia="宋体" w:cs="宋体"/>
          <w:b/>
          <w:bCs/>
          <w:sz w:val="24"/>
          <w:highlight w:val="none"/>
          <w:lang w:val="en-US" w:eastAsia="zh-CN"/>
        </w:rPr>
        <w:t>（</w:t>
      </w:r>
      <w:r>
        <w:rPr>
          <w:rFonts w:hint="eastAsia" w:ascii="宋体" w:hAnsi="宋体" w:cs="宋体"/>
          <w:b/>
          <w:bCs/>
          <w:sz w:val="24"/>
          <w:highlight w:val="none"/>
          <w:lang w:val="en-US" w:eastAsia="zh-CN"/>
        </w:rPr>
        <w:t>8</w:t>
      </w:r>
      <w:r>
        <w:rPr>
          <w:rFonts w:hint="eastAsia" w:ascii="宋体" w:hAnsi="宋体" w:eastAsia="宋体" w:cs="宋体"/>
          <w:b/>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A、</w:t>
      </w:r>
      <w:r>
        <w:rPr>
          <w:rFonts w:hint="eastAsia" w:ascii="宋体" w:hAnsi="宋体"/>
          <w:bCs/>
          <w:sz w:val="24"/>
          <w:szCs w:val="24"/>
          <w:highlight w:val="none"/>
        </w:rPr>
        <w:t>管理规章制度</w:t>
      </w:r>
      <w:r>
        <w:rPr>
          <w:rFonts w:hint="eastAsia" w:ascii="宋体" w:hAnsi="宋体" w:eastAsia="宋体" w:cs="Times New Roman"/>
          <w:b w:val="0"/>
          <w:bCs/>
          <w:sz w:val="24"/>
          <w:highlight w:val="none"/>
          <w:lang w:val="en-US" w:eastAsia="zh-CN"/>
        </w:rPr>
        <w:t>完整详实且符合实际的得</w:t>
      </w:r>
      <w:r>
        <w:rPr>
          <w:rFonts w:hint="eastAsia" w:ascii="宋体" w:hAnsi="宋体" w:cs="Times New Roman"/>
          <w:b w:val="0"/>
          <w:bCs/>
          <w:sz w:val="24"/>
          <w:highlight w:val="none"/>
          <w:lang w:val="en-US" w:eastAsia="zh-CN"/>
        </w:rPr>
        <w:t>8</w:t>
      </w:r>
      <w:r>
        <w:rPr>
          <w:rFonts w:hint="eastAsia" w:ascii="宋体" w:hAnsi="宋体" w:eastAsia="宋体" w:cs="Times New Roman"/>
          <w:b w:val="0"/>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B、</w:t>
      </w:r>
      <w:r>
        <w:rPr>
          <w:rFonts w:hint="eastAsia" w:ascii="宋体" w:hAnsi="宋体"/>
          <w:bCs/>
          <w:sz w:val="24"/>
          <w:szCs w:val="24"/>
          <w:highlight w:val="none"/>
        </w:rPr>
        <w:t>管理规章制度</w:t>
      </w:r>
      <w:r>
        <w:rPr>
          <w:rFonts w:hint="eastAsia" w:ascii="宋体" w:hAnsi="宋体" w:eastAsia="宋体" w:cs="Times New Roman"/>
          <w:b w:val="0"/>
          <w:bCs/>
          <w:sz w:val="24"/>
          <w:highlight w:val="none"/>
          <w:lang w:val="en-US" w:eastAsia="zh-CN"/>
        </w:rPr>
        <w:t>基本全面完整的得</w:t>
      </w:r>
      <w:r>
        <w:rPr>
          <w:rFonts w:hint="eastAsia" w:ascii="宋体" w:hAnsi="宋体" w:cs="Times New Roman"/>
          <w:b w:val="0"/>
          <w:bCs/>
          <w:sz w:val="24"/>
          <w:highlight w:val="none"/>
          <w:lang w:val="en-US" w:eastAsia="zh-CN"/>
        </w:rPr>
        <w:t>6</w:t>
      </w:r>
      <w:r>
        <w:rPr>
          <w:rFonts w:hint="eastAsia" w:ascii="宋体" w:hAnsi="宋体" w:eastAsia="宋体" w:cs="Times New Roman"/>
          <w:b w:val="0"/>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lang w:val="en-US" w:eastAsia="zh-CN"/>
        </w:rPr>
        <w:t>C、管理规章制度有所欠缺的得</w:t>
      </w:r>
      <w:r>
        <w:rPr>
          <w:rFonts w:hint="eastAsia" w:ascii="宋体" w:hAnsi="宋体" w:cs="Times New Roman"/>
          <w:bCs/>
          <w:sz w:val="24"/>
          <w:highlight w:val="none"/>
          <w:lang w:val="en-US" w:eastAsia="zh-CN"/>
        </w:rPr>
        <w:t>4</w:t>
      </w:r>
      <w:r>
        <w:rPr>
          <w:rFonts w:hint="eastAsia" w:ascii="宋体" w:hAnsi="宋体" w:eastAsia="宋体" w:cs="Times New Roman"/>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b w:val="0"/>
          <w:bCs/>
          <w:highlight w:val="none"/>
        </w:rPr>
      </w:pPr>
      <w:r>
        <w:rPr>
          <w:rFonts w:hint="eastAsia" w:ascii="宋体" w:hAnsi="宋体" w:eastAsia="宋体" w:cs="Times New Roman"/>
          <w:bCs/>
          <w:sz w:val="24"/>
          <w:highlight w:val="none"/>
          <w:lang w:val="en-US" w:eastAsia="zh-CN"/>
        </w:rPr>
        <w:t>D、未提供管理规章制度或管理规章制度不合理的，该项不得分。</w:t>
      </w:r>
    </w:p>
    <w:p>
      <w:pPr>
        <w:keepNext w:val="0"/>
        <w:keepLines w:val="0"/>
        <w:pageBreakBefore w:val="0"/>
        <w:widowControl w:val="0"/>
        <w:numPr>
          <w:ilvl w:val="0"/>
          <w:numId w:val="0"/>
        </w:numPr>
        <w:tabs>
          <w:tab w:val="left" w:pos="525"/>
          <w:tab w:val="left" w:pos="945"/>
          <w:tab w:val="left" w:pos="115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3.4违停车辆清障服务中涉及的违停车辆清障、重大活动保障的工作流程（</w:t>
      </w:r>
      <w:r>
        <w:rPr>
          <w:rFonts w:hint="eastAsia" w:ascii="宋体" w:hAnsi="宋体" w:cs="宋体"/>
          <w:b/>
          <w:bCs/>
          <w:sz w:val="24"/>
          <w:highlight w:val="none"/>
          <w:lang w:val="en-US" w:eastAsia="zh-CN"/>
        </w:rPr>
        <w:t>8</w:t>
      </w:r>
      <w:r>
        <w:rPr>
          <w:rFonts w:hint="eastAsia" w:ascii="宋体" w:hAnsi="宋体" w:eastAsia="宋体" w:cs="宋体"/>
          <w:b/>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A、</w:t>
      </w:r>
      <w:r>
        <w:rPr>
          <w:rFonts w:hint="eastAsia" w:ascii="宋体" w:hAnsi="宋体"/>
          <w:sz w:val="24"/>
          <w:highlight w:val="none"/>
        </w:rPr>
        <w:t>违停车辆清障服务中涉及的违停车辆清障、重大活动保障的工作流程</w:t>
      </w:r>
      <w:r>
        <w:rPr>
          <w:rFonts w:hint="eastAsia" w:ascii="宋体" w:hAnsi="宋体" w:eastAsia="宋体" w:cs="Times New Roman"/>
          <w:b w:val="0"/>
          <w:bCs/>
          <w:sz w:val="24"/>
          <w:highlight w:val="none"/>
          <w:lang w:val="en-US" w:eastAsia="zh-CN"/>
        </w:rPr>
        <w:t>完整详实且符合实际的得</w:t>
      </w:r>
      <w:r>
        <w:rPr>
          <w:rFonts w:hint="eastAsia" w:ascii="宋体" w:hAnsi="宋体" w:cs="Times New Roman"/>
          <w:b w:val="0"/>
          <w:bCs/>
          <w:sz w:val="24"/>
          <w:highlight w:val="none"/>
          <w:lang w:val="en-US" w:eastAsia="zh-CN"/>
        </w:rPr>
        <w:t>8</w:t>
      </w:r>
      <w:r>
        <w:rPr>
          <w:rFonts w:hint="eastAsia" w:ascii="宋体" w:hAnsi="宋体" w:eastAsia="宋体" w:cs="Times New Roman"/>
          <w:b w:val="0"/>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B、</w:t>
      </w:r>
      <w:r>
        <w:rPr>
          <w:rFonts w:hint="eastAsia" w:ascii="宋体" w:hAnsi="宋体"/>
          <w:sz w:val="24"/>
          <w:highlight w:val="none"/>
        </w:rPr>
        <w:t>违停车辆清障服务中涉及的违停车辆清障、重大活动保障的工作流程</w:t>
      </w:r>
      <w:r>
        <w:rPr>
          <w:rFonts w:hint="eastAsia" w:ascii="宋体" w:hAnsi="宋体" w:eastAsia="宋体" w:cs="Times New Roman"/>
          <w:b w:val="0"/>
          <w:bCs/>
          <w:sz w:val="24"/>
          <w:highlight w:val="none"/>
          <w:lang w:val="en-US" w:eastAsia="zh-CN"/>
        </w:rPr>
        <w:t>基本全面完整的得</w:t>
      </w:r>
      <w:r>
        <w:rPr>
          <w:rFonts w:hint="eastAsia" w:ascii="宋体" w:hAnsi="宋体" w:cs="Times New Roman"/>
          <w:b w:val="0"/>
          <w:bCs/>
          <w:sz w:val="24"/>
          <w:highlight w:val="none"/>
          <w:lang w:val="en-US" w:eastAsia="zh-CN"/>
        </w:rPr>
        <w:t>6</w:t>
      </w:r>
      <w:r>
        <w:rPr>
          <w:rFonts w:hint="eastAsia" w:ascii="宋体" w:hAnsi="宋体" w:eastAsia="宋体" w:cs="Times New Roman"/>
          <w:b w:val="0"/>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b w:val="0"/>
          <w:bCs/>
          <w:sz w:val="24"/>
          <w:highlight w:val="none"/>
          <w:lang w:val="en-US" w:eastAsia="zh-CN"/>
        </w:rPr>
      </w:pPr>
      <w:r>
        <w:rPr>
          <w:rFonts w:hint="eastAsia" w:ascii="宋体" w:hAnsi="宋体" w:eastAsia="宋体" w:cs="Times New Roman"/>
          <w:b w:val="0"/>
          <w:bCs/>
          <w:sz w:val="24"/>
          <w:highlight w:val="none"/>
          <w:lang w:val="en-US" w:eastAsia="zh-CN"/>
        </w:rPr>
        <w:t>C、</w:t>
      </w:r>
      <w:r>
        <w:rPr>
          <w:rFonts w:hint="eastAsia" w:ascii="宋体" w:hAnsi="宋体"/>
          <w:sz w:val="24"/>
          <w:highlight w:val="none"/>
        </w:rPr>
        <w:t>违停车辆清障服务中涉及的违停车辆清障、重大活动保障的工作流程</w:t>
      </w:r>
      <w:r>
        <w:rPr>
          <w:rFonts w:hint="eastAsia" w:ascii="宋体" w:hAnsi="宋体" w:eastAsia="宋体" w:cs="Times New Roman"/>
          <w:b w:val="0"/>
          <w:bCs/>
          <w:sz w:val="24"/>
          <w:highlight w:val="none"/>
          <w:lang w:val="en-US" w:eastAsia="zh-CN"/>
        </w:rPr>
        <w:t>有所欠缺的得</w:t>
      </w:r>
      <w:r>
        <w:rPr>
          <w:rFonts w:hint="eastAsia" w:ascii="宋体" w:hAnsi="宋体" w:cs="Times New Roman"/>
          <w:b w:val="0"/>
          <w:bCs/>
          <w:sz w:val="24"/>
          <w:highlight w:val="none"/>
          <w:lang w:val="en-US" w:eastAsia="zh-CN"/>
        </w:rPr>
        <w:t>4</w:t>
      </w:r>
      <w:r>
        <w:rPr>
          <w:rFonts w:hint="eastAsia" w:ascii="宋体" w:hAnsi="宋体" w:eastAsia="宋体" w:cs="Times New Roman"/>
          <w:b w:val="0"/>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bCs/>
          <w:sz w:val="24"/>
          <w:highlight w:val="none"/>
          <w:lang w:val="en-US" w:eastAsia="zh-CN"/>
        </w:rPr>
      </w:pPr>
      <w:r>
        <w:rPr>
          <w:rFonts w:hint="eastAsia" w:ascii="宋体" w:hAnsi="宋体" w:eastAsia="宋体" w:cs="Times New Roman"/>
          <w:b w:val="0"/>
          <w:bCs/>
          <w:sz w:val="24"/>
          <w:highlight w:val="none"/>
          <w:lang w:val="en-US" w:eastAsia="zh-CN"/>
        </w:rPr>
        <w:t>D、</w:t>
      </w:r>
      <w:r>
        <w:rPr>
          <w:rFonts w:hint="eastAsia" w:ascii="宋体" w:hAnsi="宋体" w:eastAsia="宋体" w:cs="Times New Roman"/>
          <w:bCs/>
          <w:sz w:val="24"/>
          <w:highlight w:val="none"/>
          <w:lang w:val="en-US" w:eastAsia="zh-CN"/>
        </w:rPr>
        <w:t>未提供违停车辆清障服务中涉及的违停车辆清障、重大活动保障的工作流程或违停车辆清障服务中涉及的违停车辆清障、重大活动保障的工作流程不合理的，该项不得分。</w:t>
      </w:r>
    </w:p>
    <w:p>
      <w:pPr>
        <w:keepNext w:val="0"/>
        <w:keepLines w:val="0"/>
        <w:pageBreakBefore w:val="0"/>
        <w:widowControl w:val="0"/>
        <w:numPr>
          <w:ilvl w:val="0"/>
          <w:numId w:val="0"/>
        </w:numPr>
        <w:tabs>
          <w:tab w:val="left" w:pos="525"/>
          <w:tab w:val="left" w:pos="945"/>
          <w:tab w:val="left" w:pos="115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3.5违停车辆清障服务项目的重点难点问题措施（</w:t>
      </w:r>
      <w:r>
        <w:rPr>
          <w:rFonts w:hint="eastAsia" w:ascii="宋体" w:hAnsi="宋体" w:cs="宋体"/>
          <w:b/>
          <w:bCs/>
          <w:sz w:val="24"/>
          <w:highlight w:val="none"/>
          <w:lang w:val="en-US" w:eastAsia="zh-CN"/>
        </w:rPr>
        <w:t>8</w:t>
      </w:r>
      <w:r>
        <w:rPr>
          <w:rFonts w:hint="eastAsia" w:ascii="宋体" w:hAnsi="宋体" w:eastAsia="宋体" w:cs="宋体"/>
          <w:b/>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A、违停车辆清障服务项目的重点难点问题措施完整详实且符合实际的得</w:t>
      </w:r>
      <w:r>
        <w:rPr>
          <w:rFonts w:hint="eastAsia" w:ascii="宋体" w:hAnsi="宋体" w:cs="宋体"/>
          <w:b w:val="0"/>
          <w:bCs/>
          <w:sz w:val="24"/>
          <w:highlight w:val="none"/>
          <w:lang w:val="en-US" w:eastAsia="zh-CN"/>
        </w:rPr>
        <w:t>8</w:t>
      </w:r>
      <w:r>
        <w:rPr>
          <w:rFonts w:hint="eastAsia" w:ascii="宋体" w:hAnsi="宋体" w:eastAsia="宋体" w:cs="宋体"/>
          <w:b w:val="0"/>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B、违停车辆清障服务项目的重点难点问题措施基本全面完整的得</w:t>
      </w:r>
      <w:r>
        <w:rPr>
          <w:rFonts w:hint="eastAsia" w:ascii="宋体" w:hAnsi="宋体" w:cs="宋体"/>
          <w:b w:val="0"/>
          <w:bCs/>
          <w:sz w:val="24"/>
          <w:highlight w:val="none"/>
          <w:lang w:val="en-US" w:eastAsia="zh-CN"/>
        </w:rPr>
        <w:t>6</w:t>
      </w:r>
      <w:r>
        <w:rPr>
          <w:rFonts w:hint="eastAsia" w:ascii="宋体" w:hAnsi="宋体" w:eastAsia="宋体" w:cs="宋体"/>
          <w:b w:val="0"/>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C、违停车辆清障服务项目的重点难点问题措施有所欠缺的得</w:t>
      </w:r>
      <w:r>
        <w:rPr>
          <w:rFonts w:hint="eastAsia" w:ascii="宋体" w:hAnsi="宋体" w:cs="宋体"/>
          <w:b w:val="0"/>
          <w:bCs/>
          <w:sz w:val="24"/>
          <w:highlight w:val="none"/>
          <w:lang w:val="en-US" w:eastAsia="zh-CN"/>
        </w:rPr>
        <w:t>4</w:t>
      </w:r>
      <w:r>
        <w:rPr>
          <w:rFonts w:hint="eastAsia" w:ascii="宋体" w:hAnsi="宋体" w:eastAsia="宋体" w:cs="宋体"/>
          <w:b w:val="0"/>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D、未提供违停车辆清障服务项目的重点难点问题措施或违停车辆清障服务项目的重点难点问题措施不合理的，该项不得分。</w:t>
      </w:r>
    </w:p>
    <w:p>
      <w:pPr>
        <w:keepNext w:val="0"/>
        <w:keepLines w:val="0"/>
        <w:pageBreakBefore w:val="0"/>
        <w:widowControl w:val="0"/>
        <w:numPr>
          <w:ilvl w:val="0"/>
          <w:numId w:val="0"/>
        </w:numPr>
        <w:tabs>
          <w:tab w:val="left" w:pos="525"/>
          <w:tab w:val="left" w:pos="945"/>
          <w:tab w:val="left" w:pos="115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3.6档案资料管理（</w:t>
      </w:r>
      <w:r>
        <w:rPr>
          <w:rFonts w:hint="eastAsia" w:ascii="宋体" w:hAnsi="宋体" w:cs="宋体"/>
          <w:b/>
          <w:bCs/>
          <w:sz w:val="24"/>
          <w:highlight w:val="none"/>
          <w:lang w:val="en-US" w:eastAsia="zh-CN"/>
        </w:rPr>
        <w:t>5</w:t>
      </w:r>
      <w:r>
        <w:rPr>
          <w:rFonts w:hint="eastAsia" w:ascii="宋体" w:hAnsi="宋体" w:eastAsia="宋体" w:cs="宋体"/>
          <w:b/>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A、</w:t>
      </w:r>
      <w:r>
        <w:rPr>
          <w:rFonts w:hint="eastAsia" w:ascii="宋体" w:hAnsi="宋体"/>
          <w:bCs/>
          <w:sz w:val="24"/>
          <w:highlight w:val="none"/>
        </w:rPr>
        <w:t>档案资料管理</w:t>
      </w:r>
      <w:r>
        <w:rPr>
          <w:rFonts w:hint="eastAsia" w:ascii="宋体" w:hAnsi="宋体" w:eastAsia="宋体" w:cs="宋体"/>
          <w:b w:val="0"/>
          <w:bCs/>
          <w:sz w:val="24"/>
          <w:highlight w:val="none"/>
          <w:lang w:val="en-US" w:eastAsia="zh-CN"/>
        </w:rPr>
        <w:t>完整详实且符合实际的得</w:t>
      </w:r>
      <w:r>
        <w:rPr>
          <w:rFonts w:hint="eastAsia" w:ascii="宋体" w:hAnsi="宋体" w:cs="宋体"/>
          <w:b w:val="0"/>
          <w:bCs/>
          <w:sz w:val="24"/>
          <w:highlight w:val="none"/>
          <w:lang w:val="en-US" w:eastAsia="zh-CN"/>
        </w:rPr>
        <w:t>5</w:t>
      </w:r>
      <w:r>
        <w:rPr>
          <w:rFonts w:hint="eastAsia" w:ascii="宋体" w:hAnsi="宋体" w:eastAsia="宋体" w:cs="宋体"/>
          <w:b w:val="0"/>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B、</w:t>
      </w:r>
      <w:r>
        <w:rPr>
          <w:rFonts w:hint="eastAsia" w:ascii="宋体" w:hAnsi="宋体"/>
          <w:bCs/>
          <w:sz w:val="24"/>
          <w:highlight w:val="none"/>
        </w:rPr>
        <w:t>档案资料管理</w:t>
      </w:r>
      <w:r>
        <w:rPr>
          <w:rFonts w:hint="eastAsia" w:ascii="宋体" w:hAnsi="宋体" w:eastAsia="宋体" w:cs="宋体"/>
          <w:b w:val="0"/>
          <w:bCs/>
          <w:sz w:val="24"/>
          <w:highlight w:val="none"/>
          <w:lang w:val="en-US" w:eastAsia="zh-CN"/>
        </w:rPr>
        <w:t>基本全面完整的得</w:t>
      </w:r>
      <w:r>
        <w:rPr>
          <w:rFonts w:hint="eastAsia" w:ascii="宋体" w:hAnsi="宋体" w:cs="宋体"/>
          <w:b w:val="0"/>
          <w:bCs/>
          <w:sz w:val="24"/>
          <w:highlight w:val="none"/>
          <w:lang w:val="en-US" w:eastAsia="zh-CN"/>
        </w:rPr>
        <w:t>3</w:t>
      </w:r>
      <w:r>
        <w:rPr>
          <w:rFonts w:hint="eastAsia" w:ascii="宋体" w:hAnsi="宋体" w:eastAsia="宋体" w:cs="宋体"/>
          <w:b w:val="0"/>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C、</w:t>
      </w:r>
      <w:r>
        <w:rPr>
          <w:rFonts w:hint="eastAsia" w:ascii="宋体" w:hAnsi="宋体"/>
          <w:bCs/>
          <w:sz w:val="24"/>
          <w:highlight w:val="none"/>
        </w:rPr>
        <w:t>档案资料管理</w:t>
      </w:r>
      <w:r>
        <w:rPr>
          <w:rFonts w:hint="eastAsia" w:ascii="宋体" w:hAnsi="宋体" w:eastAsia="宋体" w:cs="宋体"/>
          <w:b w:val="0"/>
          <w:bCs/>
          <w:sz w:val="24"/>
          <w:highlight w:val="none"/>
          <w:lang w:val="en-US" w:eastAsia="zh-CN"/>
        </w:rPr>
        <w:t>有所欠缺的得</w:t>
      </w:r>
      <w:r>
        <w:rPr>
          <w:rFonts w:hint="eastAsia" w:ascii="宋体" w:hAnsi="宋体" w:cs="宋体"/>
          <w:b w:val="0"/>
          <w:bCs/>
          <w:sz w:val="24"/>
          <w:highlight w:val="none"/>
          <w:lang w:val="en-US" w:eastAsia="zh-CN"/>
        </w:rPr>
        <w:t>1</w:t>
      </w:r>
      <w:r>
        <w:rPr>
          <w:rFonts w:hint="eastAsia" w:ascii="宋体" w:hAnsi="宋体" w:eastAsia="宋体" w:cs="宋体"/>
          <w:b w:val="0"/>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D、未提供</w:t>
      </w:r>
      <w:r>
        <w:rPr>
          <w:rFonts w:hint="eastAsia" w:ascii="宋体" w:hAnsi="宋体"/>
          <w:bCs/>
          <w:sz w:val="24"/>
          <w:highlight w:val="none"/>
        </w:rPr>
        <w:t>档案资料管理</w:t>
      </w:r>
      <w:r>
        <w:rPr>
          <w:rFonts w:hint="eastAsia" w:ascii="宋体" w:hAnsi="宋体" w:eastAsia="宋体" w:cs="宋体"/>
          <w:b w:val="0"/>
          <w:bCs/>
          <w:sz w:val="24"/>
          <w:highlight w:val="none"/>
          <w:lang w:val="en-US" w:eastAsia="zh-CN"/>
        </w:rPr>
        <w:t>或</w:t>
      </w:r>
      <w:r>
        <w:rPr>
          <w:rFonts w:hint="eastAsia" w:ascii="宋体" w:hAnsi="宋体"/>
          <w:bCs/>
          <w:sz w:val="24"/>
          <w:highlight w:val="none"/>
        </w:rPr>
        <w:t>档案资料管理</w:t>
      </w:r>
      <w:r>
        <w:rPr>
          <w:rFonts w:hint="eastAsia" w:ascii="宋体" w:hAnsi="宋体" w:eastAsia="宋体" w:cs="宋体"/>
          <w:b w:val="0"/>
          <w:bCs/>
          <w:sz w:val="24"/>
          <w:highlight w:val="none"/>
          <w:lang w:val="en-US" w:eastAsia="zh-CN"/>
        </w:rPr>
        <w:t>不合理的，该项不得分。</w:t>
      </w:r>
    </w:p>
    <w:p>
      <w:pPr>
        <w:keepNext w:val="0"/>
        <w:keepLines w:val="0"/>
        <w:pageBreakBefore w:val="0"/>
        <w:widowControl w:val="0"/>
        <w:numPr>
          <w:ilvl w:val="0"/>
          <w:numId w:val="0"/>
        </w:numPr>
        <w:tabs>
          <w:tab w:val="left" w:pos="525"/>
          <w:tab w:val="left" w:pos="945"/>
          <w:tab w:val="left" w:pos="115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3.7服务响应时间（</w:t>
      </w:r>
      <w:r>
        <w:rPr>
          <w:rFonts w:hint="eastAsia" w:ascii="宋体" w:hAnsi="宋体" w:cs="宋体"/>
          <w:b/>
          <w:bCs/>
          <w:sz w:val="24"/>
          <w:highlight w:val="none"/>
          <w:lang w:val="en-US" w:eastAsia="zh-CN"/>
        </w:rPr>
        <w:t>8</w:t>
      </w:r>
      <w:r>
        <w:rPr>
          <w:rFonts w:hint="eastAsia" w:ascii="宋体" w:hAnsi="宋体" w:eastAsia="宋体" w:cs="宋体"/>
          <w:b/>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lang w:val="en-US" w:eastAsia="zh-CN"/>
        </w:rPr>
        <w:t>A、</w:t>
      </w:r>
      <w:r>
        <w:rPr>
          <w:rFonts w:hint="eastAsia" w:ascii="宋体" w:hAnsi="宋体"/>
          <w:bCs/>
          <w:sz w:val="24"/>
          <w:szCs w:val="24"/>
          <w:highlight w:val="none"/>
        </w:rPr>
        <w:t>服务响应时间</w:t>
      </w:r>
      <w:r>
        <w:rPr>
          <w:rFonts w:hint="eastAsia" w:ascii="宋体" w:hAnsi="宋体" w:eastAsia="宋体" w:cs="Times New Roman"/>
          <w:bCs/>
          <w:sz w:val="24"/>
          <w:highlight w:val="none"/>
          <w:lang w:val="en-US" w:eastAsia="zh-CN"/>
        </w:rPr>
        <w:t>完整详实且符合实际的得</w:t>
      </w:r>
      <w:r>
        <w:rPr>
          <w:rFonts w:hint="eastAsia" w:ascii="宋体" w:hAnsi="宋体" w:cs="Times New Roman"/>
          <w:bCs/>
          <w:sz w:val="24"/>
          <w:highlight w:val="none"/>
          <w:lang w:val="en-US" w:eastAsia="zh-CN"/>
        </w:rPr>
        <w:t>8</w:t>
      </w:r>
      <w:r>
        <w:rPr>
          <w:rFonts w:hint="eastAsia" w:ascii="宋体" w:hAnsi="宋体" w:eastAsia="宋体" w:cs="Times New Roman"/>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lang w:val="en-US" w:eastAsia="zh-CN"/>
        </w:rPr>
        <w:t>B、</w:t>
      </w:r>
      <w:r>
        <w:rPr>
          <w:rFonts w:hint="eastAsia" w:ascii="宋体" w:hAnsi="宋体"/>
          <w:bCs/>
          <w:sz w:val="24"/>
          <w:szCs w:val="24"/>
          <w:highlight w:val="none"/>
        </w:rPr>
        <w:t>服务响应时间</w:t>
      </w:r>
      <w:r>
        <w:rPr>
          <w:rFonts w:hint="eastAsia" w:ascii="宋体" w:hAnsi="宋体" w:eastAsia="宋体" w:cs="Times New Roman"/>
          <w:bCs/>
          <w:sz w:val="24"/>
          <w:highlight w:val="none"/>
          <w:lang w:val="en-US" w:eastAsia="zh-CN"/>
        </w:rPr>
        <w:t>基本全面完整的得</w:t>
      </w:r>
      <w:r>
        <w:rPr>
          <w:rFonts w:hint="eastAsia" w:ascii="宋体" w:hAnsi="宋体" w:cs="Times New Roman"/>
          <w:bCs/>
          <w:sz w:val="24"/>
          <w:highlight w:val="none"/>
          <w:lang w:val="en-US" w:eastAsia="zh-CN"/>
        </w:rPr>
        <w:t>6</w:t>
      </w:r>
      <w:r>
        <w:rPr>
          <w:rFonts w:hint="eastAsia" w:ascii="宋体" w:hAnsi="宋体" w:eastAsia="宋体" w:cs="Times New Roman"/>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lang w:val="en-US" w:eastAsia="zh-CN"/>
        </w:rPr>
        <w:t>C、</w:t>
      </w:r>
      <w:r>
        <w:rPr>
          <w:rFonts w:hint="eastAsia" w:ascii="宋体" w:hAnsi="宋体"/>
          <w:bCs/>
          <w:sz w:val="24"/>
          <w:szCs w:val="24"/>
          <w:highlight w:val="none"/>
        </w:rPr>
        <w:t>服务响应时间</w:t>
      </w:r>
      <w:r>
        <w:rPr>
          <w:rFonts w:hint="eastAsia" w:ascii="宋体" w:hAnsi="宋体" w:eastAsia="宋体" w:cs="Times New Roman"/>
          <w:bCs/>
          <w:sz w:val="24"/>
          <w:highlight w:val="none"/>
          <w:lang w:val="en-US" w:eastAsia="zh-CN"/>
        </w:rPr>
        <w:t>有所欠缺的得</w:t>
      </w:r>
      <w:r>
        <w:rPr>
          <w:rFonts w:hint="eastAsia" w:ascii="宋体" w:hAnsi="宋体" w:cs="Times New Roman"/>
          <w:bCs/>
          <w:sz w:val="24"/>
          <w:highlight w:val="none"/>
          <w:lang w:val="en-US" w:eastAsia="zh-CN"/>
        </w:rPr>
        <w:t>4</w:t>
      </w:r>
      <w:r>
        <w:rPr>
          <w:rFonts w:hint="eastAsia" w:ascii="宋体" w:hAnsi="宋体" w:eastAsia="宋体" w:cs="Times New Roman"/>
          <w:bCs/>
          <w:sz w:val="24"/>
          <w:highlight w:val="none"/>
          <w:lang w:val="en-US" w:eastAsia="zh-CN"/>
        </w:rPr>
        <w:t>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highlight w:val="none"/>
        </w:rPr>
      </w:pPr>
      <w:r>
        <w:rPr>
          <w:rFonts w:hint="eastAsia" w:ascii="宋体" w:hAnsi="宋体" w:eastAsia="宋体" w:cs="Times New Roman"/>
          <w:bCs/>
          <w:sz w:val="24"/>
          <w:highlight w:val="none"/>
          <w:lang w:val="en-US" w:eastAsia="zh-CN"/>
        </w:rPr>
        <w:t>D、</w:t>
      </w:r>
      <w:r>
        <w:rPr>
          <w:rFonts w:hint="eastAsia" w:ascii="宋体" w:hAnsi="宋体"/>
          <w:bCs/>
          <w:sz w:val="24"/>
          <w:szCs w:val="24"/>
          <w:highlight w:val="none"/>
        </w:rPr>
        <w:t>服务响应时间</w:t>
      </w:r>
      <w:r>
        <w:rPr>
          <w:rFonts w:hint="eastAsia" w:ascii="宋体" w:hAnsi="宋体" w:eastAsia="宋体" w:cs="Times New Roman"/>
          <w:bCs/>
          <w:sz w:val="24"/>
          <w:highlight w:val="none"/>
          <w:lang w:val="en-US" w:eastAsia="zh-CN"/>
        </w:rPr>
        <w:t>或</w:t>
      </w:r>
      <w:r>
        <w:rPr>
          <w:rFonts w:hint="eastAsia" w:ascii="宋体" w:hAnsi="宋体"/>
          <w:bCs/>
          <w:sz w:val="24"/>
          <w:szCs w:val="24"/>
          <w:highlight w:val="none"/>
        </w:rPr>
        <w:t>服务响应时间</w:t>
      </w:r>
      <w:r>
        <w:rPr>
          <w:rFonts w:hint="eastAsia" w:ascii="宋体" w:hAnsi="宋体" w:eastAsia="宋体" w:cs="Times New Roman"/>
          <w:bCs/>
          <w:sz w:val="24"/>
          <w:highlight w:val="none"/>
          <w:lang w:val="en-US" w:eastAsia="zh-CN"/>
        </w:rPr>
        <w:t>不合理的，该项不得分。</w:t>
      </w:r>
    </w:p>
    <w:p>
      <w:pPr>
        <w:keepNext w:val="0"/>
        <w:keepLines w:val="0"/>
        <w:pageBreakBefore w:val="0"/>
        <w:widowControl/>
        <w:tabs>
          <w:tab w:val="left" w:pos="630"/>
        </w:tabs>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未列入本评分细则的其他条件不作为评分内容。除技术文件编制粗糙、缺漏项较多的外，当技术文件所列项出现某小项漏项的则该项不得分</w:t>
      </w:r>
      <w:r>
        <w:rPr>
          <w:rFonts w:hint="eastAsia" w:ascii="宋体" w:hAnsi="宋体" w:eastAsia="宋体" w:cs="Times New Roman"/>
          <w:sz w:val="24"/>
          <w:highlight w:val="none"/>
          <w:lang w:eastAsia="zh-CN"/>
        </w:rPr>
        <w:t>。</w:t>
      </w:r>
      <w:r>
        <w:rPr>
          <w:rFonts w:hint="eastAsia" w:hAnsi="宋体"/>
          <w:color w:val="auto"/>
          <w:sz w:val="24"/>
          <w:highlight w:val="none"/>
        </w:rPr>
        <w:t>（</w:t>
      </w:r>
      <w:r>
        <w:rPr>
          <w:rFonts w:hint="eastAsia" w:hAnsi="宋体"/>
          <w:bCs/>
          <w:color w:val="auto"/>
          <w:sz w:val="24"/>
          <w:highlight w:val="none"/>
        </w:rPr>
        <w:t>取所有评委打分分值的平均值</w:t>
      </w:r>
      <w:r>
        <w:rPr>
          <w:rFonts w:hint="eastAsia" w:hAnsi="宋体"/>
          <w:color w:val="auto"/>
          <w:sz w:val="24"/>
          <w:highlight w:val="none"/>
        </w:rPr>
        <w:t>）。</w:t>
      </w:r>
    </w:p>
    <w:p>
      <w:pPr>
        <w:keepNext w:val="0"/>
        <w:keepLines w:val="0"/>
        <w:pageBreakBefore w:val="0"/>
        <w:widowControl w:val="0"/>
        <w:kinsoku/>
        <w:wordWrap/>
        <w:overflowPunct/>
        <w:topLinePunct w:val="0"/>
        <w:autoSpaceDE/>
        <w:autoSpaceDN/>
        <w:bidi w:val="0"/>
        <w:snapToGrid/>
        <w:spacing w:line="360" w:lineRule="auto"/>
        <w:ind w:firstLine="426" w:firstLineChars="177"/>
        <w:textAlignment w:val="auto"/>
        <w:rPr>
          <w:rFonts w:hint="eastAsia" w:ascii="宋体" w:hAnsi="宋体"/>
          <w:b w:val="0"/>
          <w:bCs w:val="0"/>
          <w:color w:val="auto"/>
          <w:sz w:val="24"/>
          <w:highlight w:val="none"/>
        </w:rPr>
      </w:pPr>
      <w:bookmarkStart w:id="2" w:name="_Hlk49319020"/>
      <w:r>
        <w:rPr>
          <w:rFonts w:hint="eastAsia" w:ascii="宋体" w:hAnsi="宋体" w:cs="宋体"/>
          <w:b/>
          <w:bCs/>
          <w:sz w:val="24"/>
          <w:szCs w:val="28"/>
          <w:highlight w:val="none"/>
        </w:rPr>
        <w:t>*</w:t>
      </w:r>
      <w:r>
        <w:rPr>
          <w:rFonts w:hint="eastAsia" w:ascii="宋体" w:hAnsi="宋体" w:cs="宋体"/>
          <w:b/>
          <w:bCs/>
          <w:kern w:val="0"/>
          <w:sz w:val="24"/>
          <w:highlight w:val="none"/>
        </w:rPr>
        <w:t>加分因素（2分）</w:t>
      </w:r>
      <w:r>
        <w:rPr>
          <w:rFonts w:hint="eastAsia" w:ascii="宋体" w:hAnsi="宋体" w:cs="宋体"/>
          <w:kern w:val="0"/>
          <w:sz w:val="24"/>
          <w:highlight w:val="none"/>
        </w:rPr>
        <w:t>：</w:t>
      </w:r>
      <w:bookmarkEnd w:id="2"/>
      <w:r>
        <w:rPr>
          <w:rFonts w:hint="eastAsia" w:ascii="宋体" w:hAnsi="宋体" w:cs="宋体"/>
          <w:kern w:val="0"/>
          <w:sz w:val="24"/>
          <w:highlight w:val="none"/>
        </w:rPr>
        <w:t>所选用设备、材料</w:t>
      </w:r>
      <w:r>
        <w:rPr>
          <w:rFonts w:hint="eastAsia" w:ascii="宋体" w:hAnsi="宋体" w:cs="宋体"/>
          <w:b/>
          <w:bCs/>
          <w:kern w:val="0"/>
          <w:sz w:val="24"/>
          <w:highlight w:val="none"/>
        </w:rPr>
        <w:t>(除强制采购产品外</w:t>
      </w:r>
      <w:r>
        <w:rPr>
          <w:rFonts w:hint="eastAsia" w:ascii="宋体" w:hAnsi="宋体" w:cs="宋体"/>
          <w:kern w:val="0"/>
          <w:sz w:val="24"/>
          <w:highlight w:val="none"/>
        </w:rPr>
        <w:t>)属于节能产品、环境标志产品品目清单范围的，提供由国家确定的认证机构（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环境标志产品认证证书的，落实政府优先采购政策，分别予以加1分（同</w:t>
      </w:r>
      <w:r>
        <w:rPr>
          <w:rFonts w:hint="eastAsia" w:ascii="宋体" w:hAnsi="宋体" w:cs="宋体"/>
          <w:b w:val="0"/>
          <w:bCs w:val="0"/>
          <w:kern w:val="0"/>
          <w:sz w:val="24"/>
          <w:highlight w:val="none"/>
        </w:rPr>
        <w:t>一产品同时具有节能产品、环境标志产品认证证书的不重复加分）。</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0"/>
        <w:rPr>
          <w:rFonts w:hint="eastAsia" w:ascii="宋体" w:hAnsi="宋体" w:cs="宋体"/>
          <w:b/>
          <w:bCs/>
          <w:sz w:val="24"/>
          <w:szCs w:val="24"/>
          <w:highlight w:val="none"/>
        </w:rPr>
      </w:pP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十</w:t>
      </w:r>
      <w:r>
        <w:rPr>
          <w:rFonts w:hint="eastAsia" w:ascii="宋体" w:hAnsi="宋体" w:cs="宋体"/>
          <w:b/>
          <w:bCs/>
          <w:sz w:val="24"/>
          <w:szCs w:val="24"/>
          <w:highlight w:val="none"/>
        </w:rPr>
        <w:t>） 定标：</w:t>
      </w:r>
    </w:p>
    <w:p>
      <w:pPr>
        <w:keepNext w:val="0"/>
        <w:keepLines w:val="0"/>
        <w:pageBreakBefore w:val="0"/>
        <w:widowControl w:val="0"/>
        <w:tabs>
          <w:tab w:val="left" w:pos="1155"/>
        </w:tabs>
        <w:kinsoku/>
        <w:wordWrap/>
        <w:overflowPunct/>
        <w:topLinePunct w:val="0"/>
        <w:bidi w:val="0"/>
        <w:spacing w:line="360" w:lineRule="auto"/>
        <w:ind w:firstLine="480" w:firstLineChars="200"/>
        <w:textAlignment w:val="auto"/>
        <w:rPr>
          <w:rFonts w:ascii="宋体" w:hAnsi="宋体" w:cs="宋体"/>
          <w:sz w:val="24"/>
          <w:highlight w:val="none"/>
        </w:rPr>
      </w:pPr>
      <w:r>
        <w:rPr>
          <w:rFonts w:ascii="宋体" w:hAnsi="宋体"/>
          <w:bCs/>
          <w:color w:val="000000"/>
          <w:sz w:val="24"/>
          <w:highlight w:val="none"/>
        </w:rPr>
        <w:t>1.</w:t>
      </w:r>
      <w:r>
        <w:rPr>
          <w:rFonts w:hint="eastAsia" w:ascii="宋体" w:hAnsi="宋体"/>
          <w:bCs/>
          <w:color w:val="000000"/>
          <w:sz w:val="24"/>
          <w:highlight w:val="none"/>
        </w:rPr>
        <w:t xml:space="preserve"> </w:t>
      </w:r>
      <w:r>
        <w:rPr>
          <w:rFonts w:hint="eastAsia" w:ascii="宋体" w:hAnsi="宋体"/>
          <w:bCs/>
          <w:sz w:val="24"/>
          <w:highlight w:val="none"/>
        </w:rPr>
        <w:t>评标委员会根据招标文件规定的评标方法和评标标准进行评审，按本次招标的定标规则确定中标候选人，</w:t>
      </w:r>
      <w:r>
        <w:rPr>
          <w:rFonts w:hint="eastAsia" w:ascii="宋体" w:hAnsi="宋体" w:cs="宋体"/>
          <w:color w:val="333333"/>
          <w:sz w:val="24"/>
          <w:highlight w:val="none"/>
        </w:rPr>
        <w:t>采</w:t>
      </w:r>
      <w:r>
        <w:rPr>
          <w:rFonts w:hint="eastAsia" w:ascii="宋体" w:hAnsi="宋体"/>
          <w:bCs/>
          <w:sz w:val="24"/>
          <w:highlight w:val="none"/>
        </w:rPr>
        <w:t>购代理机构应当在评标结束后2个工作日内将评标报告送采购人。采购人自收到评标报告之日起5个工作日内，在评标报告确定的中标候选人名单中按顺序确定中标人。</w:t>
      </w:r>
      <w:r>
        <w:rPr>
          <w:rFonts w:hint="eastAsia" w:ascii="宋体" w:hAnsi="宋体" w:eastAsia="宋体" w:cs="Times New Roman"/>
          <w:bCs/>
          <w:sz w:val="24"/>
          <w:highlight w:val="none"/>
        </w:rPr>
        <w:t>中标候选人并列的，由采购人或者采购人委托评标委员会按照招标文件规定的方式确定中标人；招标文件未规定的，采取随机抽取的方式确定。</w:t>
      </w:r>
      <w:r>
        <w:rPr>
          <w:rFonts w:hint="eastAsia" w:ascii="宋体" w:hAnsi="宋体" w:cs="Times New Roman"/>
          <w:bCs/>
          <w:sz w:val="24"/>
          <w:highlight w:val="none"/>
          <w:lang w:eastAsia="zh-CN"/>
        </w:rPr>
        <w:t>江苏江南梁鸿建设咨询有限公司</w:t>
      </w:r>
      <w:r>
        <w:rPr>
          <w:rFonts w:hint="eastAsia" w:ascii="宋体" w:hAnsi="宋体" w:eastAsia="宋体" w:cs="Times New Roman"/>
          <w:bCs/>
          <w:sz w:val="24"/>
          <w:highlight w:val="none"/>
        </w:rPr>
        <w:t>自中标人确定之日起2个工作日内，在省级以上财政部门指定的媒体（江苏政府采购网、无锡政府采购网）上公告中标结</w:t>
      </w:r>
      <w:r>
        <w:rPr>
          <w:rFonts w:hint="eastAsia" w:ascii="宋体" w:hAnsi="宋体" w:cs="宋体"/>
          <w:sz w:val="24"/>
          <w:highlight w:val="none"/>
        </w:rPr>
        <w:t>果，在公告中标结果的同时，</w:t>
      </w:r>
      <w:r>
        <w:rPr>
          <w:rFonts w:hint="eastAsia" w:ascii="宋体" w:hAnsi="宋体" w:cs="宋体"/>
          <w:sz w:val="24"/>
          <w:highlight w:val="none"/>
          <w:lang w:eastAsia="zh-CN"/>
        </w:rPr>
        <w:t xml:space="preserve">江苏江南梁鸿建设咨询有限公司 </w:t>
      </w:r>
      <w:r>
        <w:rPr>
          <w:rFonts w:hint="eastAsia" w:ascii="宋体" w:hAnsi="宋体" w:cs="宋体"/>
          <w:sz w:val="24"/>
          <w:highlight w:val="none"/>
        </w:rPr>
        <w:t>向中标人发出中标通知书。</w:t>
      </w:r>
    </w:p>
    <w:p>
      <w:pPr>
        <w:keepNext w:val="0"/>
        <w:keepLines w:val="0"/>
        <w:pageBreakBefore w:val="0"/>
        <w:widowControl w:val="0"/>
        <w:tabs>
          <w:tab w:val="left" w:pos="1155"/>
        </w:tabs>
        <w:kinsoku/>
        <w:wordWrap/>
        <w:overflowPunct/>
        <w:topLinePunct w:val="0"/>
        <w:bidi w:val="0"/>
        <w:spacing w:line="360" w:lineRule="auto"/>
        <w:ind w:firstLine="480" w:firstLineChars="200"/>
        <w:textAlignment w:val="auto"/>
        <w:rPr>
          <w:rFonts w:ascii="宋体" w:hAnsi="宋体" w:cs="宋体"/>
          <w:sz w:val="24"/>
          <w:highlight w:val="none"/>
        </w:rPr>
      </w:pPr>
      <w:r>
        <w:rPr>
          <w:rFonts w:hint="eastAsia" w:ascii="宋体" w:hAnsi="宋体"/>
          <w:bCs/>
          <w:sz w:val="24"/>
          <w:highlight w:val="none"/>
        </w:rPr>
        <w:t>2.</w:t>
      </w:r>
      <w:r>
        <w:rPr>
          <w:rFonts w:ascii="宋体" w:hAnsi="宋体"/>
          <w:bCs/>
          <w:sz w:val="24"/>
          <w:highlight w:val="none"/>
        </w:rPr>
        <w:t xml:space="preserve"> 如有质疑，</w:t>
      </w:r>
      <w:r>
        <w:rPr>
          <w:rFonts w:hint="eastAsia" w:ascii="宋体" w:hAnsi="宋体"/>
          <w:bCs/>
          <w:sz w:val="24"/>
          <w:highlight w:val="none"/>
        </w:rPr>
        <w:t>按中华人民共和国财政部令第94号--政府采购质疑和投诉办法执行，供应商在法定质疑期限外送达的质疑函或法定质疑期限内送达的质疑函不符合下述要求的均为无效质疑，</w:t>
      </w:r>
      <w:r>
        <w:rPr>
          <w:rFonts w:hint="eastAsia" w:ascii="宋体" w:hAnsi="宋体"/>
          <w:bCs/>
          <w:sz w:val="24"/>
          <w:highlight w:val="none"/>
          <w:lang w:eastAsia="zh-CN"/>
        </w:rPr>
        <w:t>江苏江南梁鸿建设咨询有限公司</w:t>
      </w:r>
      <w:r>
        <w:rPr>
          <w:rFonts w:hint="eastAsia" w:ascii="宋体" w:hAnsi="宋体"/>
          <w:bCs/>
          <w:sz w:val="24"/>
          <w:highlight w:val="none"/>
        </w:rPr>
        <w:t>对无效质疑不予受理。如质疑查无实据或供应商捏造事实，提供虚假材料进行恶意举报，不配合或采用不正当手段干扰政府采购质疑的，将记入供应商在江苏省和无锡市的政府采购“供应商诚信记录”，并按相关规定处理。</w:t>
      </w:r>
    </w:p>
    <w:p>
      <w:pPr>
        <w:keepNext w:val="0"/>
        <w:keepLines w:val="0"/>
        <w:pageBreakBefore w:val="0"/>
        <w:widowControl w:val="0"/>
        <w:tabs>
          <w:tab w:val="right" w:pos="180"/>
          <w:tab w:val="left" w:pos="525"/>
          <w:tab w:val="left" w:pos="945"/>
        </w:tabs>
        <w:kinsoku/>
        <w:wordWrap/>
        <w:overflowPunct/>
        <w:topLinePunct w:val="0"/>
        <w:bidi w:val="0"/>
        <w:spacing w:line="360" w:lineRule="auto"/>
        <w:ind w:left="523"/>
        <w:textAlignment w:val="auto"/>
        <w:rPr>
          <w:rFonts w:ascii="宋体" w:hAnsi="宋体"/>
          <w:bCs/>
          <w:sz w:val="24"/>
          <w:highlight w:val="none"/>
        </w:rPr>
      </w:pPr>
      <w:r>
        <w:rPr>
          <w:rFonts w:hint="eastAsia" w:ascii="宋体" w:hAnsi="宋体"/>
          <w:bCs/>
          <w:sz w:val="24"/>
          <w:highlight w:val="none"/>
        </w:rPr>
        <w:t>1）提出质疑的供应商应当是参与所质疑项目采购活动的供应商。</w:t>
      </w:r>
    </w:p>
    <w:p>
      <w:pPr>
        <w:keepNext w:val="0"/>
        <w:keepLines w:val="0"/>
        <w:pageBreakBefore w:val="0"/>
        <w:widowControl w:val="0"/>
        <w:tabs>
          <w:tab w:val="right" w:pos="180"/>
          <w:tab w:val="left" w:pos="525"/>
          <w:tab w:val="left" w:pos="570"/>
          <w:tab w:val="left" w:pos="945"/>
        </w:tabs>
        <w:kinsoku/>
        <w:wordWrap/>
        <w:overflowPunct/>
        <w:topLinePunct w:val="0"/>
        <w:bidi w:val="0"/>
        <w:spacing w:line="360" w:lineRule="auto"/>
        <w:ind w:firstLine="480" w:firstLineChars="200"/>
        <w:textAlignment w:val="auto"/>
        <w:rPr>
          <w:rFonts w:ascii="宋体" w:hAnsi="宋体"/>
          <w:bCs/>
          <w:sz w:val="24"/>
          <w:highlight w:val="none"/>
        </w:rPr>
      </w:pPr>
      <w:r>
        <w:rPr>
          <w:rFonts w:hint="eastAsia" w:ascii="宋体" w:hAnsi="宋体"/>
          <w:bCs/>
          <w:sz w:val="24"/>
          <w:highlight w:val="none"/>
        </w:rPr>
        <w:t>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val="0"/>
        <w:tabs>
          <w:tab w:val="right" w:pos="180"/>
          <w:tab w:val="left" w:pos="525"/>
          <w:tab w:val="left" w:pos="570"/>
          <w:tab w:val="left" w:pos="945"/>
        </w:tabs>
        <w:kinsoku/>
        <w:wordWrap/>
        <w:overflowPunct/>
        <w:topLinePunct w:val="0"/>
        <w:bidi w:val="0"/>
        <w:spacing w:line="360" w:lineRule="auto"/>
        <w:ind w:firstLine="480" w:firstLineChars="200"/>
        <w:textAlignment w:val="auto"/>
        <w:rPr>
          <w:rFonts w:hint="eastAsia" w:ascii="宋体" w:hAnsi="宋体"/>
          <w:bCs/>
          <w:sz w:val="24"/>
          <w:highlight w:val="none"/>
        </w:rPr>
      </w:pPr>
      <w:r>
        <w:rPr>
          <w:rFonts w:hint="eastAsia" w:ascii="宋体" w:hAnsi="宋体"/>
          <w:bCs/>
          <w:sz w:val="24"/>
          <w:highlight w:val="none"/>
        </w:rPr>
        <w:t>2）供应商提出质疑应当提交质疑函和必要的证明材料。质疑函应当包括下列内容：</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bCs/>
          <w:kern w:val="2"/>
          <w:sz w:val="24"/>
          <w:szCs w:val="24"/>
          <w:highlight w:val="none"/>
        </w:rPr>
      </w:pPr>
      <w:r>
        <w:rPr>
          <w:rFonts w:hint="eastAsia" w:ascii="宋体" w:hAnsi="宋体" w:eastAsia="宋体"/>
          <w:bCs/>
          <w:kern w:val="2"/>
          <w:sz w:val="24"/>
          <w:szCs w:val="24"/>
          <w:highlight w:val="none"/>
        </w:rPr>
        <w:t>　　</w:t>
      </w:r>
      <w:r>
        <w:rPr>
          <w:rFonts w:ascii="宋体" w:hAnsi="宋体" w:eastAsia="宋体"/>
          <w:bCs/>
          <w:kern w:val="2"/>
          <w:sz w:val="24"/>
          <w:szCs w:val="24"/>
          <w:highlight w:val="none"/>
        </w:rPr>
        <w:t>A</w:t>
      </w:r>
      <w:r>
        <w:rPr>
          <w:rFonts w:hint="eastAsia" w:ascii="宋体" w:hAnsi="宋体" w:eastAsia="宋体"/>
          <w:bCs/>
          <w:kern w:val="2"/>
          <w:sz w:val="24"/>
          <w:szCs w:val="24"/>
          <w:highlight w:val="none"/>
        </w:rPr>
        <w:t>．供应商的姓名或者名称、地址、邮编、联系人及联系电话；</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bCs/>
          <w:kern w:val="2"/>
          <w:sz w:val="24"/>
          <w:szCs w:val="24"/>
          <w:highlight w:val="none"/>
        </w:rPr>
      </w:pPr>
      <w:r>
        <w:rPr>
          <w:rFonts w:hint="eastAsia" w:ascii="宋体" w:hAnsi="宋体" w:eastAsia="宋体"/>
          <w:bCs/>
          <w:kern w:val="2"/>
          <w:sz w:val="24"/>
          <w:szCs w:val="24"/>
          <w:highlight w:val="none"/>
        </w:rPr>
        <w:t>　　</w:t>
      </w:r>
      <w:r>
        <w:rPr>
          <w:rFonts w:ascii="宋体" w:hAnsi="宋体" w:eastAsia="宋体"/>
          <w:bCs/>
          <w:kern w:val="2"/>
          <w:sz w:val="24"/>
          <w:szCs w:val="24"/>
          <w:highlight w:val="none"/>
        </w:rPr>
        <w:t>B</w:t>
      </w:r>
      <w:r>
        <w:rPr>
          <w:rFonts w:hint="eastAsia" w:ascii="宋体" w:hAnsi="宋体" w:eastAsia="宋体"/>
          <w:bCs/>
          <w:kern w:val="2"/>
          <w:sz w:val="24"/>
          <w:szCs w:val="24"/>
          <w:highlight w:val="none"/>
        </w:rPr>
        <w:t>．质疑项目的名称、编号；</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bCs/>
          <w:kern w:val="2"/>
          <w:sz w:val="24"/>
          <w:szCs w:val="24"/>
          <w:highlight w:val="none"/>
        </w:rPr>
      </w:pPr>
      <w:r>
        <w:rPr>
          <w:rFonts w:hint="eastAsia" w:ascii="宋体" w:hAnsi="宋体" w:eastAsia="宋体"/>
          <w:bCs/>
          <w:kern w:val="2"/>
          <w:sz w:val="24"/>
          <w:szCs w:val="24"/>
          <w:highlight w:val="none"/>
        </w:rPr>
        <w:t>　　</w:t>
      </w:r>
      <w:r>
        <w:rPr>
          <w:rFonts w:ascii="宋体" w:hAnsi="宋体" w:eastAsia="宋体"/>
          <w:bCs/>
          <w:kern w:val="2"/>
          <w:sz w:val="24"/>
          <w:szCs w:val="24"/>
          <w:highlight w:val="none"/>
        </w:rPr>
        <w:t>C</w:t>
      </w:r>
      <w:r>
        <w:rPr>
          <w:rFonts w:hint="eastAsia" w:ascii="宋体" w:hAnsi="宋体" w:eastAsia="宋体"/>
          <w:bCs/>
          <w:kern w:val="2"/>
          <w:sz w:val="24"/>
          <w:szCs w:val="24"/>
          <w:highlight w:val="none"/>
        </w:rPr>
        <w:t>．具体、明确的质疑事项和与质疑事项相关的请求；</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bCs/>
          <w:kern w:val="2"/>
          <w:sz w:val="24"/>
          <w:szCs w:val="24"/>
          <w:highlight w:val="none"/>
        </w:rPr>
      </w:pPr>
      <w:r>
        <w:rPr>
          <w:rFonts w:hint="eastAsia" w:ascii="宋体" w:hAnsi="宋体" w:eastAsia="宋体"/>
          <w:bCs/>
          <w:kern w:val="2"/>
          <w:sz w:val="24"/>
          <w:szCs w:val="24"/>
          <w:highlight w:val="none"/>
        </w:rPr>
        <w:t>　　</w:t>
      </w:r>
      <w:r>
        <w:rPr>
          <w:rFonts w:ascii="宋体" w:hAnsi="宋体" w:eastAsia="宋体"/>
          <w:bCs/>
          <w:kern w:val="2"/>
          <w:sz w:val="24"/>
          <w:szCs w:val="24"/>
          <w:highlight w:val="none"/>
        </w:rPr>
        <w:t>D</w:t>
      </w:r>
      <w:r>
        <w:rPr>
          <w:rFonts w:hint="eastAsia" w:ascii="宋体" w:hAnsi="宋体" w:eastAsia="宋体"/>
          <w:bCs/>
          <w:kern w:val="2"/>
          <w:sz w:val="24"/>
          <w:szCs w:val="24"/>
          <w:highlight w:val="none"/>
        </w:rPr>
        <w:t>．事实依据；</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bCs/>
          <w:kern w:val="2"/>
          <w:sz w:val="24"/>
          <w:szCs w:val="24"/>
          <w:highlight w:val="none"/>
        </w:rPr>
      </w:pPr>
      <w:r>
        <w:rPr>
          <w:rFonts w:hint="eastAsia" w:ascii="宋体" w:hAnsi="宋体" w:eastAsia="宋体"/>
          <w:bCs/>
          <w:kern w:val="2"/>
          <w:sz w:val="24"/>
          <w:szCs w:val="24"/>
          <w:highlight w:val="none"/>
        </w:rPr>
        <w:t>　　</w:t>
      </w:r>
      <w:r>
        <w:rPr>
          <w:rFonts w:ascii="宋体" w:hAnsi="宋体" w:eastAsia="宋体"/>
          <w:bCs/>
          <w:kern w:val="2"/>
          <w:sz w:val="24"/>
          <w:szCs w:val="24"/>
          <w:highlight w:val="none"/>
        </w:rPr>
        <w:t>E</w:t>
      </w:r>
      <w:r>
        <w:rPr>
          <w:rFonts w:hint="eastAsia" w:ascii="宋体" w:hAnsi="宋体" w:eastAsia="宋体"/>
          <w:bCs/>
          <w:kern w:val="2"/>
          <w:sz w:val="24"/>
          <w:szCs w:val="24"/>
          <w:highlight w:val="none"/>
        </w:rPr>
        <w:t>．必要的法律依据；</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bCs/>
          <w:kern w:val="2"/>
          <w:sz w:val="24"/>
          <w:szCs w:val="24"/>
          <w:highlight w:val="none"/>
        </w:rPr>
      </w:pPr>
      <w:r>
        <w:rPr>
          <w:rFonts w:hint="eastAsia" w:ascii="宋体" w:hAnsi="宋体" w:eastAsia="宋体"/>
          <w:bCs/>
          <w:kern w:val="2"/>
          <w:sz w:val="24"/>
          <w:szCs w:val="24"/>
          <w:highlight w:val="none"/>
        </w:rPr>
        <w:t>　　</w:t>
      </w:r>
      <w:r>
        <w:rPr>
          <w:rFonts w:ascii="宋体" w:hAnsi="宋体" w:eastAsia="宋体"/>
          <w:bCs/>
          <w:kern w:val="2"/>
          <w:sz w:val="24"/>
          <w:szCs w:val="24"/>
          <w:highlight w:val="none"/>
        </w:rPr>
        <w:t>F</w:t>
      </w:r>
      <w:r>
        <w:rPr>
          <w:rFonts w:hint="eastAsia" w:ascii="宋体" w:hAnsi="宋体" w:eastAsia="宋体"/>
          <w:bCs/>
          <w:kern w:val="2"/>
          <w:sz w:val="24"/>
          <w:szCs w:val="24"/>
          <w:highlight w:val="none"/>
        </w:rPr>
        <w:t>．提出质疑的日期。</w:t>
      </w:r>
    </w:p>
    <w:p>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bCs/>
          <w:kern w:val="2"/>
          <w:sz w:val="24"/>
          <w:szCs w:val="24"/>
          <w:highlight w:val="none"/>
        </w:rPr>
      </w:pPr>
      <w:r>
        <w:rPr>
          <w:rFonts w:hint="eastAsia" w:ascii="宋体" w:hAnsi="宋体" w:eastAsia="宋体"/>
          <w:bCs/>
          <w:kern w:val="2"/>
          <w:sz w:val="24"/>
          <w:szCs w:val="24"/>
          <w:highlight w:val="none"/>
        </w:rPr>
        <w:t>　　供应商为自然人的，应当由本人签字；供应商为法人或者其他组织的，应当由法定代表人、主要负责人，或者其授权代表签字或者盖章，并加盖公章。</w:t>
      </w:r>
    </w:p>
    <w:p>
      <w:pPr>
        <w:pStyle w:val="2"/>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bCs/>
          <w:kern w:val="2"/>
          <w:sz w:val="24"/>
          <w:szCs w:val="24"/>
          <w:highlight w:val="none"/>
        </w:rPr>
      </w:pPr>
      <w:r>
        <w:rPr>
          <w:rFonts w:hint="eastAsia" w:ascii="宋体" w:hAnsi="宋体" w:eastAsia="宋体"/>
          <w:bCs/>
          <w:kern w:val="2"/>
          <w:sz w:val="24"/>
          <w:szCs w:val="24"/>
          <w:highlight w:val="none"/>
        </w:rPr>
        <w:t>3）采购人、采购代理机构不得拒收质疑供应商在法定质疑期内发出的质疑函，应当在收到质疑函后7个工作日内作出答复，并以书面形式通知质疑供应商和其他有关供应商。</w:t>
      </w:r>
    </w:p>
    <w:p>
      <w:pPr>
        <w:keepNext w:val="0"/>
        <w:keepLines w:val="0"/>
        <w:pageBreakBefore w:val="0"/>
        <w:widowControl w:val="0"/>
        <w:tabs>
          <w:tab w:val="left" w:pos="1155"/>
        </w:tabs>
        <w:kinsoku/>
        <w:wordWrap/>
        <w:overflowPunct/>
        <w:topLinePunct w:val="0"/>
        <w:bidi w:val="0"/>
        <w:spacing w:line="360" w:lineRule="auto"/>
        <w:ind w:firstLine="480" w:firstLineChars="200"/>
        <w:textAlignment w:val="auto"/>
        <w:rPr>
          <w:rFonts w:hint="eastAsia" w:ascii="宋体" w:hAnsi="宋体"/>
          <w:bCs/>
          <w:sz w:val="24"/>
          <w:highlight w:val="none"/>
        </w:rPr>
      </w:pPr>
      <w:r>
        <w:rPr>
          <w:rFonts w:hint="eastAsia" w:ascii="宋体" w:hAnsi="宋体"/>
          <w:bCs/>
          <w:color w:val="000000"/>
          <w:sz w:val="24"/>
          <w:highlight w:val="none"/>
        </w:rPr>
        <w:t>3</w:t>
      </w:r>
      <w:r>
        <w:rPr>
          <w:rFonts w:ascii="宋体" w:hAnsi="宋体"/>
          <w:bCs/>
          <w:color w:val="000000"/>
          <w:sz w:val="24"/>
          <w:highlight w:val="none"/>
        </w:rPr>
        <w:t>.</w:t>
      </w:r>
      <w:r>
        <w:rPr>
          <w:rFonts w:hint="eastAsia" w:ascii="宋体" w:hAnsi="宋体"/>
          <w:bCs/>
          <w:color w:val="000000"/>
          <w:sz w:val="24"/>
          <w:highlight w:val="none"/>
        </w:rPr>
        <w:t>投标、开标及定标的整个过程均由有关部门</w:t>
      </w:r>
      <w:r>
        <w:rPr>
          <w:rFonts w:hint="eastAsia" w:ascii="宋体" w:hAnsi="宋体"/>
          <w:bCs/>
          <w:sz w:val="24"/>
          <w:highlight w:val="none"/>
        </w:rPr>
        <w:t>进行现场监督。</w:t>
      </w:r>
    </w:p>
    <w:p>
      <w:pPr>
        <w:keepNext w:val="0"/>
        <w:keepLines w:val="0"/>
        <w:pageBreakBefore w:val="0"/>
        <w:widowControl w:val="0"/>
        <w:tabs>
          <w:tab w:val="left" w:pos="1155"/>
        </w:tabs>
        <w:kinsoku/>
        <w:wordWrap/>
        <w:overflowPunct/>
        <w:topLinePunct w:val="0"/>
        <w:bidi w:val="0"/>
        <w:spacing w:line="360" w:lineRule="auto"/>
        <w:ind w:firstLine="480" w:firstLineChars="200"/>
        <w:textAlignment w:val="auto"/>
        <w:rPr>
          <w:rFonts w:ascii="宋体" w:cs="Times New Roman"/>
          <w:sz w:val="24"/>
          <w:szCs w:val="24"/>
          <w:highlight w:val="none"/>
        </w:rPr>
      </w:pPr>
      <w:r>
        <w:rPr>
          <w:rFonts w:hint="eastAsia" w:ascii="宋体" w:hAnsi="宋体"/>
          <w:bCs/>
          <w:color w:val="000000"/>
          <w:sz w:val="24"/>
          <w:highlight w:val="none"/>
        </w:rPr>
        <w:t>4.未中标供应商的投标文件正本、中标供应商的投标文件正本及副本（两份）留存，其余投标文件副本和原件退还各投标供应商。</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0"/>
        <w:rPr>
          <w:rFonts w:hint="eastAsia" w:ascii="宋体" w:hAnsi="宋体" w:cs="宋体"/>
          <w:b/>
          <w:bCs/>
          <w:sz w:val="24"/>
          <w:szCs w:val="24"/>
          <w:highlight w:val="none"/>
        </w:rPr>
      </w:pPr>
      <w:r>
        <w:rPr>
          <w:rFonts w:hint="eastAsia" w:ascii="宋体" w:hAnsi="宋体" w:cs="宋体"/>
          <w:b/>
          <w:bCs/>
          <w:sz w:val="24"/>
          <w:szCs w:val="24"/>
          <w:highlight w:val="none"/>
        </w:rPr>
        <w:t>（十</w:t>
      </w:r>
      <w:r>
        <w:rPr>
          <w:rFonts w:hint="eastAsia" w:ascii="宋体" w:hAnsi="宋体" w:cs="宋体"/>
          <w:b/>
          <w:bCs/>
          <w:sz w:val="24"/>
          <w:szCs w:val="24"/>
          <w:highlight w:val="none"/>
          <w:lang w:val="en-US" w:eastAsia="zh-CN"/>
        </w:rPr>
        <w:t>一</w:t>
      </w:r>
      <w:r>
        <w:rPr>
          <w:rFonts w:hint="eastAsia" w:ascii="宋体" w:hAnsi="宋体" w:cs="宋体"/>
          <w:b/>
          <w:bCs/>
          <w:sz w:val="24"/>
          <w:szCs w:val="24"/>
          <w:highlight w:val="none"/>
        </w:rPr>
        <w:t>） 废标的确认：</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sz w:val="24"/>
          <w:szCs w:val="24"/>
          <w:highlight w:val="none"/>
        </w:rPr>
      </w:pPr>
      <w:r>
        <w:rPr>
          <w:rFonts w:hint="eastAsia" w:ascii="宋体" w:hAnsi="宋体" w:cs="宋体"/>
          <w:sz w:val="24"/>
          <w:szCs w:val="24"/>
          <w:highlight w:val="none"/>
        </w:rPr>
        <w:t>在招标采购中，出现下列情况之一的，应予废标：</w:t>
      </w:r>
    </w:p>
    <w:p>
      <w:pPr>
        <w:keepNext w:val="0"/>
        <w:keepLines w:val="0"/>
        <w:pageBreakBefore w:val="0"/>
        <w:widowControl w:val="0"/>
        <w:tabs>
          <w:tab w:val="left" w:pos="1155"/>
          <w:tab w:val="left" w:pos="1260"/>
        </w:tabs>
        <w:kinsoku/>
        <w:wordWrap/>
        <w:overflowPunct/>
        <w:topLinePunct w:val="0"/>
        <w:bidi w:val="0"/>
        <w:spacing w:line="360" w:lineRule="auto"/>
        <w:ind w:firstLine="480" w:firstLineChars="200"/>
        <w:textAlignment w:val="auto"/>
        <w:rPr>
          <w:rFonts w:ascii="宋体"/>
          <w:sz w:val="24"/>
          <w:szCs w:val="24"/>
          <w:highlight w:val="none"/>
        </w:rPr>
      </w:pPr>
      <w:r>
        <w:rPr>
          <w:rFonts w:ascii="宋体" w:hAnsi="宋体" w:cs="宋体"/>
          <w:sz w:val="24"/>
          <w:szCs w:val="24"/>
          <w:highlight w:val="none"/>
        </w:rPr>
        <w:t xml:space="preserve">1. </w:t>
      </w:r>
      <w:r>
        <w:rPr>
          <w:rFonts w:hint="eastAsia" w:ascii="宋体" w:hAnsi="宋体" w:cs="宋体"/>
          <w:sz w:val="24"/>
          <w:szCs w:val="24"/>
          <w:highlight w:val="none"/>
        </w:rPr>
        <w:t>符合专业条件的投标供应商或者对</w:t>
      </w:r>
      <w:r>
        <w:rPr>
          <w:rFonts w:hint="eastAsia" w:ascii="宋体" w:hAnsi="宋体" w:cs="宋体"/>
          <w:sz w:val="24"/>
          <w:szCs w:val="24"/>
          <w:highlight w:val="none"/>
          <w:lang w:eastAsia="zh-CN"/>
        </w:rPr>
        <w:t>招标文件</w:t>
      </w:r>
      <w:r>
        <w:rPr>
          <w:rFonts w:hint="eastAsia" w:ascii="宋体" w:hAnsi="宋体" w:cs="宋体"/>
          <w:sz w:val="24"/>
          <w:szCs w:val="24"/>
          <w:highlight w:val="none"/>
        </w:rPr>
        <w:t>作出实质性响应的投标供应商不足三家；</w:t>
      </w:r>
    </w:p>
    <w:p>
      <w:pPr>
        <w:keepNext w:val="0"/>
        <w:keepLines w:val="0"/>
        <w:pageBreakBefore w:val="0"/>
        <w:widowControl w:val="0"/>
        <w:tabs>
          <w:tab w:val="left" w:pos="1155"/>
          <w:tab w:val="left" w:pos="1260"/>
        </w:tabs>
        <w:kinsoku/>
        <w:wordWrap/>
        <w:overflowPunct/>
        <w:topLinePunct w:val="0"/>
        <w:bidi w:val="0"/>
        <w:spacing w:line="360" w:lineRule="auto"/>
        <w:ind w:firstLine="480" w:firstLineChars="200"/>
        <w:textAlignment w:val="auto"/>
        <w:rPr>
          <w:rFonts w:ascii="宋体"/>
          <w:sz w:val="24"/>
          <w:szCs w:val="24"/>
          <w:highlight w:val="none"/>
        </w:rPr>
      </w:pPr>
      <w:r>
        <w:rPr>
          <w:rFonts w:ascii="宋体" w:hAnsi="宋体" w:cs="宋体"/>
          <w:sz w:val="24"/>
          <w:szCs w:val="24"/>
          <w:highlight w:val="none"/>
        </w:rPr>
        <w:t xml:space="preserve">2. </w:t>
      </w:r>
      <w:r>
        <w:rPr>
          <w:rFonts w:hint="eastAsia" w:ascii="宋体" w:hAnsi="宋体" w:cs="宋体"/>
          <w:sz w:val="24"/>
          <w:szCs w:val="24"/>
          <w:highlight w:val="none"/>
        </w:rPr>
        <w:t>出现影响采购公正的违法、违规行为；</w:t>
      </w:r>
    </w:p>
    <w:p>
      <w:pPr>
        <w:keepNext w:val="0"/>
        <w:keepLines w:val="0"/>
        <w:pageBreakBefore w:val="0"/>
        <w:widowControl w:val="0"/>
        <w:tabs>
          <w:tab w:val="left" w:pos="1155"/>
          <w:tab w:val="left" w:pos="1260"/>
        </w:tabs>
        <w:kinsoku/>
        <w:wordWrap/>
        <w:overflowPunct/>
        <w:topLinePunct w:val="0"/>
        <w:bidi w:val="0"/>
        <w:spacing w:line="360" w:lineRule="auto"/>
        <w:ind w:firstLine="480" w:firstLineChars="200"/>
        <w:textAlignment w:val="auto"/>
        <w:rPr>
          <w:rFonts w:ascii="宋体"/>
          <w:sz w:val="24"/>
          <w:szCs w:val="24"/>
          <w:highlight w:val="none"/>
        </w:rPr>
      </w:pPr>
      <w:r>
        <w:rPr>
          <w:rFonts w:ascii="宋体" w:hAnsi="宋体" w:cs="宋体"/>
          <w:sz w:val="24"/>
          <w:szCs w:val="24"/>
          <w:highlight w:val="none"/>
        </w:rPr>
        <w:t xml:space="preserve">3. </w:t>
      </w:r>
      <w:r>
        <w:rPr>
          <w:rFonts w:hint="eastAsia" w:ascii="宋体" w:hAnsi="宋体" w:cs="宋体"/>
          <w:sz w:val="24"/>
          <w:szCs w:val="24"/>
          <w:highlight w:val="none"/>
        </w:rPr>
        <w:t>投标供应商的报价均超过采购预算，采购人不能支付的；</w:t>
      </w:r>
    </w:p>
    <w:p>
      <w:pPr>
        <w:keepNext w:val="0"/>
        <w:keepLines w:val="0"/>
        <w:pageBreakBefore w:val="0"/>
        <w:widowControl w:val="0"/>
        <w:kinsoku/>
        <w:wordWrap/>
        <w:overflowPunct/>
        <w:topLinePunct w:val="0"/>
        <w:bidi w:val="0"/>
        <w:spacing w:line="360" w:lineRule="auto"/>
        <w:ind w:firstLine="480" w:firstLineChars="200"/>
        <w:textAlignment w:val="auto"/>
        <w:outlineLvl w:val="0"/>
        <w:rPr>
          <w:rFonts w:ascii="宋体"/>
          <w:sz w:val="24"/>
          <w:szCs w:val="24"/>
          <w:highlight w:val="none"/>
        </w:rPr>
      </w:pPr>
      <w:r>
        <w:rPr>
          <w:rFonts w:ascii="宋体" w:hAnsi="宋体" w:cs="宋体"/>
          <w:sz w:val="24"/>
          <w:szCs w:val="24"/>
          <w:highlight w:val="none"/>
        </w:rPr>
        <w:t xml:space="preserve">4. </w:t>
      </w:r>
      <w:r>
        <w:rPr>
          <w:rFonts w:hint="eastAsia" w:ascii="宋体" w:hAnsi="宋体" w:cs="宋体"/>
          <w:sz w:val="24"/>
          <w:szCs w:val="24"/>
          <w:highlight w:val="none"/>
        </w:rPr>
        <w:t>因重大变故，采购任务取消。</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0"/>
        <w:rPr>
          <w:rFonts w:hint="eastAsia" w:ascii="宋体" w:hAnsi="宋体" w:cs="宋体"/>
          <w:b/>
          <w:bCs/>
          <w:sz w:val="24"/>
          <w:szCs w:val="24"/>
          <w:highlight w:val="none"/>
        </w:rPr>
      </w:pPr>
      <w:r>
        <w:rPr>
          <w:rFonts w:hint="eastAsia" w:ascii="宋体" w:hAnsi="宋体" w:cs="宋体"/>
          <w:b/>
          <w:bCs/>
          <w:sz w:val="24"/>
          <w:szCs w:val="24"/>
          <w:highlight w:val="none"/>
        </w:rPr>
        <w:t>（十</w:t>
      </w:r>
      <w:r>
        <w:rPr>
          <w:rFonts w:hint="eastAsia" w:ascii="宋体" w:hAnsi="宋体" w:cs="宋体"/>
          <w:b/>
          <w:bCs/>
          <w:sz w:val="24"/>
          <w:szCs w:val="24"/>
          <w:highlight w:val="none"/>
          <w:lang w:val="en-US" w:eastAsia="zh-CN"/>
        </w:rPr>
        <w:t>二</w:t>
      </w:r>
      <w:r>
        <w:rPr>
          <w:rFonts w:hint="eastAsia" w:ascii="宋体" w:hAnsi="宋体" w:cs="宋体"/>
          <w:b/>
          <w:bCs/>
          <w:sz w:val="24"/>
          <w:szCs w:val="24"/>
          <w:highlight w:val="none"/>
        </w:rPr>
        <w:t>）中标无效的确认：</w:t>
      </w:r>
    </w:p>
    <w:p>
      <w:pPr>
        <w:keepNext w:val="0"/>
        <w:keepLines w:val="0"/>
        <w:pageBreakBefore w:val="0"/>
        <w:widowControl w:val="0"/>
        <w:kinsoku/>
        <w:wordWrap/>
        <w:overflowPunct/>
        <w:topLinePunct w:val="0"/>
        <w:bidi w:val="0"/>
        <w:spacing w:line="360" w:lineRule="auto"/>
        <w:ind w:firstLine="480" w:firstLineChars="200"/>
        <w:textAlignment w:val="auto"/>
        <w:outlineLvl w:val="0"/>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提供虚假材料谋取中标的；</w:t>
      </w:r>
    </w:p>
    <w:p>
      <w:pPr>
        <w:keepNext w:val="0"/>
        <w:keepLines w:val="0"/>
        <w:pageBreakBefore w:val="0"/>
        <w:widowControl w:val="0"/>
        <w:kinsoku/>
        <w:wordWrap/>
        <w:overflowPunct/>
        <w:topLinePunct w:val="0"/>
        <w:bidi w:val="0"/>
        <w:spacing w:line="360" w:lineRule="auto"/>
        <w:ind w:firstLine="480" w:firstLineChars="200"/>
        <w:textAlignment w:val="auto"/>
        <w:outlineLvl w:val="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采取不正当手段诋毁、排挤其他投标供应商的；</w:t>
      </w:r>
    </w:p>
    <w:p>
      <w:pPr>
        <w:keepNext w:val="0"/>
        <w:keepLines w:val="0"/>
        <w:pageBreakBefore w:val="0"/>
        <w:widowControl w:val="0"/>
        <w:kinsoku/>
        <w:wordWrap/>
        <w:overflowPunct/>
        <w:topLinePunct w:val="0"/>
        <w:bidi w:val="0"/>
        <w:spacing w:line="360" w:lineRule="auto"/>
        <w:ind w:firstLine="480" w:firstLineChars="200"/>
        <w:textAlignment w:val="auto"/>
        <w:outlineLvl w:val="0"/>
        <w:rPr>
          <w:rFonts w:ascii="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与招标采购单位、其他投标供应商恶意串通的：</w:t>
      </w:r>
    </w:p>
    <w:p>
      <w:pPr>
        <w:keepNext w:val="0"/>
        <w:keepLines w:val="0"/>
        <w:pageBreakBefore w:val="0"/>
        <w:widowControl w:val="0"/>
        <w:kinsoku/>
        <w:wordWrap/>
        <w:overflowPunct/>
        <w:topLinePunct w:val="0"/>
        <w:bidi w:val="0"/>
        <w:spacing w:line="360" w:lineRule="auto"/>
        <w:ind w:firstLine="480" w:firstLineChars="200"/>
        <w:textAlignment w:val="auto"/>
        <w:outlineLvl w:val="0"/>
        <w:rPr>
          <w:rFonts w:ascii="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向招标采购单位行贿或者提供其他不正当利益的；</w:t>
      </w:r>
    </w:p>
    <w:p>
      <w:pPr>
        <w:keepNext w:val="0"/>
        <w:keepLines w:val="0"/>
        <w:pageBreakBefore w:val="0"/>
        <w:widowControl w:val="0"/>
        <w:kinsoku/>
        <w:wordWrap/>
        <w:overflowPunct/>
        <w:topLinePunct w:val="0"/>
        <w:bidi w:val="0"/>
        <w:spacing w:line="360" w:lineRule="auto"/>
        <w:ind w:left="-2" w:leftChars="-1" w:firstLine="480" w:firstLineChars="200"/>
        <w:textAlignment w:val="auto"/>
        <w:outlineLvl w:val="0"/>
        <w:rPr>
          <w:rFonts w:ascii="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在招标过程中与招标采购单位进行协商谈判、不按照</w:t>
      </w:r>
      <w:r>
        <w:rPr>
          <w:rFonts w:hint="eastAsia" w:ascii="宋体" w:hAnsi="宋体" w:cs="宋体"/>
          <w:sz w:val="24"/>
          <w:szCs w:val="24"/>
          <w:highlight w:val="none"/>
          <w:lang w:eastAsia="zh-CN"/>
        </w:rPr>
        <w:t>招标文件</w:t>
      </w:r>
      <w:r>
        <w:rPr>
          <w:rFonts w:hint="eastAsia" w:ascii="宋体" w:hAnsi="宋体" w:cs="宋体"/>
          <w:sz w:val="24"/>
          <w:szCs w:val="24"/>
          <w:highlight w:val="none"/>
        </w:rPr>
        <w:t>和中标单位的投标文件订立合同，或者与采购单位另行订立背离合同实质性内容的协议的；</w:t>
      </w:r>
    </w:p>
    <w:p>
      <w:pPr>
        <w:keepNext w:val="0"/>
        <w:keepLines w:val="0"/>
        <w:pageBreakBefore w:val="0"/>
        <w:widowControl w:val="0"/>
        <w:kinsoku/>
        <w:wordWrap/>
        <w:overflowPunct/>
        <w:topLinePunct w:val="0"/>
        <w:bidi w:val="0"/>
        <w:spacing w:line="360" w:lineRule="auto"/>
        <w:ind w:firstLine="480" w:firstLineChars="200"/>
        <w:textAlignment w:val="auto"/>
        <w:outlineLvl w:val="0"/>
        <w:rPr>
          <w:rFonts w:ascii="宋体"/>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拒绝有关部门监督检查或者提供虚假情况的。</w:t>
      </w:r>
    </w:p>
    <w:p>
      <w:pPr>
        <w:keepNext w:val="0"/>
        <w:keepLines w:val="0"/>
        <w:pageBreakBefore w:val="0"/>
        <w:widowControl w:val="0"/>
        <w:kinsoku/>
        <w:wordWrap/>
        <w:overflowPunct/>
        <w:topLinePunct w:val="0"/>
        <w:bidi w:val="0"/>
        <w:spacing w:line="360" w:lineRule="auto"/>
        <w:ind w:firstLine="480" w:firstLineChars="200"/>
        <w:textAlignment w:val="auto"/>
        <w:outlineLvl w:val="0"/>
        <w:rPr>
          <w:rFonts w:ascii="宋体"/>
          <w:sz w:val="24"/>
          <w:szCs w:val="24"/>
          <w:highlight w:val="none"/>
        </w:rPr>
      </w:pPr>
      <w:r>
        <w:rPr>
          <w:rFonts w:hint="eastAsia" w:ascii="宋体" w:hAnsi="宋体" w:cs="宋体"/>
          <w:sz w:val="24"/>
          <w:szCs w:val="24"/>
          <w:highlight w:val="none"/>
        </w:rPr>
        <w:t>投标供应商有上述</w:t>
      </w:r>
      <w:r>
        <w:rPr>
          <w:rFonts w:ascii="宋体" w:hAnsi="宋体" w:cs="宋体"/>
          <w:sz w:val="24"/>
          <w:szCs w:val="24"/>
          <w:highlight w:val="none"/>
        </w:rPr>
        <w:t>1</w:t>
      </w:r>
      <w:r>
        <w:rPr>
          <w:rFonts w:hint="eastAsia" w:ascii="宋体" w:hAnsi="宋体" w:cs="宋体"/>
          <w:sz w:val="24"/>
          <w:szCs w:val="24"/>
          <w:highlight w:val="none"/>
        </w:rPr>
        <w:t>至</w:t>
      </w:r>
      <w:r>
        <w:rPr>
          <w:rFonts w:ascii="宋体" w:hAnsi="宋体" w:cs="宋体"/>
          <w:sz w:val="24"/>
          <w:szCs w:val="24"/>
          <w:highlight w:val="none"/>
        </w:rPr>
        <w:t>5</w:t>
      </w:r>
      <w:r>
        <w:rPr>
          <w:rFonts w:hint="eastAsia" w:ascii="宋体" w:hAnsi="宋体" w:cs="宋体"/>
          <w:sz w:val="24"/>
          <w:szCs w:val="24"/>
          <w:highlight w:val="none"/>
        </w:rPr>
        <w:t>项情形之一的，中标无效。有上述</w:t>
      </w:r>
      <w:r>
        <w:rPr>
          <w:rFonts w:ascii="宋体" w:hAnsi="宋体" w:cs="宋体"/>
          <w:sz w:val="24"/>
          <w:szCs w:val="24"/>
          <w:highlight w:val="none"/>
        </w:rPr>
        <w:t>1</w:t>
      </w:r>
      <w:r>
        <w:rPr>
          <w:rFonts w:hint="eastAsia" w:ascii="宋体" w:hAnsi="宋体" w:cs="宋体"/>
          <w:sz w:val="24"/>
          <w:szCs w:val="24"/>
          <w:highlight w:val="none"/>
        </w:rPr>
        <w:t>至</w:t>
      </w:r>
      <w:r>
        <w:rPr>
          <w:rFonts w:ascii="宋体" w:hAnsi="宋体" w:cs="宋体"/>
          <w:sz w:val="24"/>
          <w:szCs w:val="24"/>
          <w:highlight w:val="none"/>
        </w:rPr>
        <w:t>6</w:t>
      </w:r>
      <w:r>
        <w:rPr>
          <w:rFonts w:hint="eastAsia" w:ascii="宋体" w:hAnsi="宋体" w:cs="宋体"/>
          <w:sz w:val="24"/>
          <w:szCs w:val="24"/>
          <w:highlight w:val="none"/>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0"/>
        <w:rPr>
          <w:rFonts w:hint="eastAsia" w:ascii="宋体" w:hAnsi="宋体" w:cs="宋体"/>
          <w:b/>
          <w:bCs/>
          <w:sz w:val="24"/>
          <w:szCs w:val="24"/>
          <w:highlight w:val="none"/>
        </w:rPr>
      </w:pPr>
      <w:r>
        <w:rPr>
          <w:rFonts w:hint="eastAsia" w:ascii="宋体" w:hAnsi="宋体" w:cs="宋体"/>
          <w:b/>
          <w:bCs/>
          <w:sz w:val="24"/>
          <w:szCs w:val="24"/>
          <w:highlight w:val="none"/>
        </w:rPr>
        <w:t>（十</w:t>
      </w:r>
      <w:r>
        <w:rPr>
          <w:rFonts w:hint="eastAsia" w:ascii="宋体" w:hAnsi="宋体" w:cs="宋体"/>
          <w:b/>
          <w:bCs/>
          <w:sz w:val="24"/>
          <w:szCs w:val="24"/>
          <w:highlight w:val="none"/>
          <w:lang w:val="en-US" w:eastAsia="zh-CN"/>
        </w:rPr>
        <w:t>三</w:t>
      </w:r>
      <w:r>
        <w:rPr>
          <w:rFonts w:hint="eastAsia" w:ascii="宋体" w:hAnsi="宋体" w:cs="宋体"/>
          <w:b/>
          <w:bCs/>
          <w:sz w:val="24"/>
          <w:szCs w:val="24"/>
          <w:highlight w:val="none"/>
        </w:rPr>
        <w:t>）签订、履行合同：</w:t>
      </w:r>
    </w:p>
    <w:p>
      <w:pPr>
        <w:keepNext w:val="0"/>
        <w:keepLines w:val="0"/>
        <w:pageBreakBefore w:val="0"/>
        <w:widowControl w:val="0"/>
        <w:kinsoku/>
        <w:wordWrap/>
        <w:overflowPunct/>
        <w:topLinePunct w:val="0"/>
        <w:bidi w:val="0"/>
        <w:spacing w:line="360" w:lineRule="auto"/>
        <w:ind w:firstLine="480" w:firstLineChars="200"/>
        <w:textAlignment w:val="auto"/>
        <w:outlineLvl w:val="0"/>
        <w:rPr>
          <w:rFonts w:hint="eastAsia" w:ascii="宋体" w:hAnsi="宋体" w:cs="宋体"/>
          <w:sz w:val="24"/>
          <w:szCs w:val="24"/>
          <w:highlight w:val="none"/>
        </w:rPr>
      </w:pPr>
      <w:r>
        <w:rPr>
          <w:rFonts w:hint="eastAsia" w:ascii="宋体" w:hAnsi="宋体" w:cs="宋体"/>
          <w:sz w:val="24"/>
          <w:szCs w:val="24"/>
          <w:highlight w:val="none"/>
        </w:rPr>
        <w:t>1.采购人应当自</w:t>
      </w:r>
      <w:r>
        <w:rPr>
          <w:rFonts w:hint="eastAsia" w:ascii="宋体" w:hAnsi="宋体" w:cs="宋体"/>
          <w:sz w:val="24"/>
          <w:szCs w:val="24"/>
          <w:highlight w:val="none"/>
          <w:lang w:val="en-US" w:eastAsia="zh-CN"/>
        </w:rPr>
        <w:t>中标</w:t>
      </w:r>
      <w:r>
        <w:rPr>
          <w:rFonts w:hint="eastAsia" w:ascii="宋体" w:hAnsi="宋体" w:cs="宋体"/>
          <w:sz w:val="24"/>
          <w:szCs w:val="24"/>
          <w:highlight w:val="none"/>
        </w:rPr>
        <w:t>通知书发出之日起十五日内，按照</w:t>
      </w:r>
      <w:r>
        <w:rPr>
          <w:rFonts w:hint="eastAsia" w:ascii="宋体" w:hAnsi="宋体" w:cs="宋体"/>
          <w:sz w:val="24"/>
          <w:szCs w:val="24"/>
          <w:highlight w:val="none"/>
          <w:lang w:eastAsia="zh-CN"/>
        </w:rPr>
        <w:t>招标文件</w:t>
      </w:r>
      <w:r>
        <w:rPr>
          <w:rFonts w:hint="eastAsia" w:ascii="宋体" w:hAnsi="宋体" w:cs="宋体"/>
          <w:sz w:val="24"/>
          <w:szCs w:val="24"/>
          <w:highlight w:val="none"/>
        </w:rPr>
        <w:t>和</w:t>
      </w:r>
      <w:r>
        <w:rPr>
          <w:rFonts w:hint="eastAsia" w:ascii="宋体" w:hAnsi="宋体" w:cs="宋体"/>
          <w:sz w:val="24"/>
          <w:szCs w:val="24"/>
          <w:highlight w:val="none"/>
          <w:lang w:eastAsia="zh-CN"/>
        </w:rPr>
        <w:t>中标供应商</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文件的约定，与</w:t>
      </w:r>
      <w:r>
        <w:rPr>
          <w:rFonts w:hint="eastAsia" w:ascii="宋体" w:hAnsi="宋体" w:cs="宋体"/>
          <w:sz w:val="24"/>
          <w:szCs w:val="24"/>
          <w:highlight w:val="none"/>
          <w:lang w:eastAsia="zh-CN"/>
        </w:rPr>
        <w:t>中标供应商</w:t>
      </w:r>
      <w:r>
        <w:rPr>
          <w:rFonts w:hint="eastAsia" w:ascii="宋体" w:hAnsi="宋体" w:cs="宋体"/>
          <w:sz w:val="24"/>
          <w:szCs w:val="24"/>
          <w:highlight w:val="none"/>
        </w:rPr>
        <w:t>签订书面合同。所签订的合同不得对</w:t>
      </w:r>
      <w:r>
        <w:rPr>
          <w:rFonts w:hint="eastAsia" w:ascii="宋体" w:hAnsi="宋体" w:cs="宋体"/>
          <w:sz w:val="24"/>
          <w:szCs w:val="24"/>
          <w:highlight w:val="none"/>
          <w:lang w:eastAsia="zh-CN"/>
        </w:rPr>
        <w:t>招标文件</w:t>
      </w:r>
      <w:r>
        <w:rPr>
          <w:rFonts w:hint="eastAsia" w:ascii="宋体" w:hAnsi="宋体" w:cs="宋体"/>
          <w:sz w:val="24"/>
          <w:szCs w:val="24"/>
          <w:highlight w:val="none"/>
        </w:rPr>
        <w:t>和</w:t>
      </w:r>
      <w:r>
        <w:rPr>
          <w:rFonts w:hint="eastAsia" w:ascii="宋体" w:hAnsi="宋体" w:cs="宋体"/>
          <w:sz w:val="24"/>
          <w:szCs w:val="24"/>
          <w:highlight w:val="none"/>
          <w:lang w:eastAsia="zh-CN"/>
        </w:rPr>
        <w:t>中标供应商投标文件</w:t>
      </w:r>
      <w:r>
        <w:rPr>
          <w:rFonts w:hint="eastAsia" w:ascii="宋体" w:hAnsi="宋体" w:cs="宋体"/>
          <w:sz w:val="24"/>
          <w:szCs w:val="24"/>
          <w:highlight w:val="none"/>
        </w:rPr>
        <w:t>作实质性修改。采购人不得向</w:t>
      </w:r>
      <w:r>
        <w:rPr>
          <w:rFonts w:hint="eastAsia" w:ascii="宋体" w:hAnsi="宋体" w:cs="宋体"/>
          <w:sz w:val="24"/>
          <w:szCs w:val="24"/>
          <w:highlight w:val="none"/>
          <w:lang w:eastAsia="zh-CN"/>
        </w:rPr>
        <w:t>中标供应商</w:t>
      </w:r>
      <w:r>
        <w:rPr>
          <w:rFonts w:hint="eastAsia" w:ascii="宋体" w:hAnsi="宋体" w:cs="宋体"/>
          <w:sz w:val="24"/>
          <w:szCs w:val="24"/>
          <w:highlight w:val="none"/>
        </w:rPr>
        <w:t>提出任何不合理的要求，作为签订合同的条件，不得与</w:t>
      </w:r>
      <w:r>
        <w:rPr>
          <w:rFonts w:hint="eastAsia" w:ascii="宋体" w:hAnsi="宋体" w:cs="宋体"/>
          <w:sz w:val="24"/>
          <w:szCs w:val="24"/>
          <w:highlight w:val="none"/>
          <w:lang w:eastAsia="zh-CN"/>
        </w:rPr>
        <w:t>中标供应商</w:t>
      </w:r>
      <w:r>
        <w:rPr>
          <w:rFonts w:hint="eastAsia" w:ascii="宋体" w:hAnsi="宋体" w:cs="宋体"/>
          <w:sz w:val="24"/>
          <w:szCs w:val="24"/>
          <w:highlight w:val="none"/>
        </w:rPr>
        <w:t>私下订立背离合同实质性内容的协议。合同经</w:t>
      </w:r>
      <w:r>
        <w:rPr>
          <w:rFonts w:hint="eastAsia" w:ascii="宋体" w:hAnsi="宋体" w:cs="宋体"/>
          <w:sz w:val="24"/>
          <w:szCs w:val="24"/>
          <w:highlight w:val="none"/>
          <w:lang w:eastAsia="zh-CN"/>
        </w:rPr>
        <w:t>江苏江南梁鸿建设咨询有限公司</w:t>
      </w:r>
      <w:r>
        <w:rPr>
          <w:rFonts w:hint="eastAsia" w:ascii="宋体" w:hAnsi="宋体" w:cs="宋体"/>
          <w:sz w:val="24"/>
          <w:szCs w:val="24"/>
          <w:highlight w:val="none"/>
        </w:rPr>
        <w:t>见证后生效。</w:t>
      </w:r>
    </w:p>
    <w:p>
      <w:pPr>
        <w:keepNext w:val="0"/>
        <w:keepLines w:val="0"/>
        <w:pageBreakBefore w:val="0"/>
        <w:widowControl w:val="0"/>
        <w:kinsoku/>
        <w:wordWrap/>
        <w:overflowPunct/>
        <w:topLinePunct w:val="0"/>
        <w:bidi w:val="0"/>
        <w:spacing w:line="360" w:lineRule="auto"/>
        <w:ind w:firstLine="480" w:firstLineChars="200"/>
        <w:textAlignment w:val="auto"/>
        <w:outlineLvl w:val="0"/>
        <w:rPr>
          <w:rFonts w:hint="eastAsia" w:ascii="宋体" w:hAnsi="宋体" w:cs="宋体"/>
          <w:sz w:val="24"/>
          <w:szCs w:val="24"/>
          <w:highlight w:val="none"/>
          <w:lang w:eastAsia="zh-CN"/>
        </w:rPr>
      </w:pPr>
      <w:r>
        <w:rPr>
          <w:rFonts w:hint="eastAsia" w:ascii="宋体" w:hAnsi="宋体" w:cs="宋体"/>
          <w:sz w:val="24"/>
          <w:szCs w:val="24"/>
          <w:highlight w:val="none"/>
          <w:lang w:eastAsia="zh-CN"/>
        </w:rPr>
        <w:t>2.本项目不需交纳履约保证金。</w:t>
      </w:r>
    </w:p>
    <w:p>
      <w:pPr>
        <w:keepNext w:val="0"/>
        <w:keepLines w:val="0"/>
        <w:pageBreakBefore w:val="0"/>
        <w:widowControl w:val="0"/>
        <w:kinsoku/>
        <w:wordWrap/>
        <w:overflowPunct/>
        <w:topLinePunct w:val="0"/>
        <w:bidi w:val="0"/>
        <w:spacing w:line="360" w:lineRule="auto"/>
        <w:ind w:firstLine="480" w:firstLineChars="200"/>
        <w:textAlignment w:val="auto"/>
        <w:outlineLvl w:val="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w:t>
      </w:r>
      <w:r>
        <w:rPr>
          <w:rFonts w:hint="eastAsia" w:ascii="宋体" w:hAnsi="宋体" w:cs="宋体"/>
          <w:sz w:val="24"/>
          <w:szCs w:val="24"/>
          <w:highlight w:val="none"/>
          <w:lang w:val="en-US" w:eastAsia="zh-CN"/>
        </w:rPr>
        <w:t>江苏江南梁鸿建设咨询有限公司监督</w:t>
      </w:r>
      <w:r>
        <w:rPr>
          <w:rFonts w:hint="eastAsia" w:ascii="宋体" w:hAnsi="宋体" w:cs="宋体"/>
          <w:sz w:val="24"/>
          <w:szCs w:val="24"/>
          <w:highlight w:val="none"/>
        </w:rPr>
        <w:t>合同</w:t>
      </w:r>
      <w:r>
        <w:rPr>
          <w:rFonts w:hint="eastAsia" w:ascii="宋体" w:hAnsi="宋体" w:cs="宋体"/>
          <w:sz w:val="24"/>
          <w:szCs w:val="24"/>
          <w:highlight w:val="none"/>
          <w:lang w:val="en-US" w:eastAsia="zh-CN"/>
        </w:rPr>
        <w:t>的</w:t>
      </w:r>
      <w:r>
        <w:rPr>
          <w:rFonts w:hint="eastAsia" w:ascii="宋体" w:hAnsi="宋体" w:cs="宋体"/>
          <w:sz w:val="24"/>
          <w:szCs w:val="24"/>
          <w:highlight w:val="none"/>
        </w:rPr>
        <w:t>履行。中标方非因不可抗力未履行招、投标文件和合同规定的义务，一经查实，采购代理机构将根据具体情况提请政府采购管理部门作出相应处理。</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0"/>
        <w:rPr>
          <w:rFonts w:hint="eastAsia" w:ascii="宋体" w:hAnsi="宋体" w:cs="宋体"/>
          <w:b/>
          <w:bCs/>
          <w:sz w:val="24"/>
          <w:szCs w:val="24"/>
          <w:highlight w:val="none"/>
        </w:rPr>
      </w:pPr>
      <w:r>
        <w:rPr>
          <w:rFonts w:hint="eastAsia" w:ascii="宋体" w:hAnsi="宋体" w:cs="宋体"/>
          <w:b/>
          <w:bCs/>
          <w:sz w:val="24"/>
          <w:szCs w:val="24"/>
          <w:highlight w:val="none"/>
        </w:rPr>
        <w:t>(十</w:t>
      </w:r>
      <w:r>
        <w:rPr>
          <w:rFonts w:hint="eastAsia" w:ascii="宋体" w:hAnsi="宋体" w:cs="宋体"/>
          <w:b/>
          <w:bCs/>
          <w:sz w:val="24"/>
          <w:szCs w:val="24"/>
          <w:highlight w:val="none"/>
          <w:lang w:val="en-US" w:eastAsia="zh-CN"/>
        </w:rPr>
        <w:t>四</w:t>
      </w:r>
      <w:r>
        <w:rPr>
          <w:rFonts w:hint="eastAsia" w:ascii="宋体" w:hAnsi="宋体" w:cs="宋体"/>
          <w:b/>
          <w:bCs/>
          <w:sz w:val="24"/>
          <w:szCs w:val="24"/>
          <w:highlight w:val="none"/>
        </w:rPr>
        <w:t>) 政府采购信用担保</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sz w:val="24"/>
          <w:szCs w:val="24"/>
          <w:highlight w:val="none"/>
        </w:rPr>
      </w:pPr>
      <w:r>
        <w:rPr>
          <w:rFonts w:hint="eastAsia" w:ascii="宋体" w:hAnsi="宋体" w:cs="宋体"/>
          <w:sz w:val="24"/>
          <w:szCs w:val="24"/>
          <w:highlight w:val="none"/>
        </w:rPr>
        <w:t>履约担保，是指由专业担保机构为中标供应商支付履约保证金的义务向采购人提供的保函担保。专业担保机构根据中标供应商的中标通知书为凭据，进行资信审查后出具保函</w:t>
      </w:r>
      <w:r>
        <w:rPr>
          <w:rFonts w:ascii="宋体" w:hAnsi="宋体" w:cs="宋体"/>
          <w:sz w:val="24"/>
          <w:szCs w:val="24"/>
          <w:highlight w:val="none"/>
        </w:rPr>
        <w:t xml:space="preserve">, </w:t>
      </w:r>
      <w:r>
        <w:rPr>
          <w:rFonts w:hint="eastAsia" w:ascii="宋体" w:hAnsi="宋体" w:cs="宋体"/>
          <w:sz w:val="24"/>
          <w:szCs w:val="24"/>
          <w:highlight w:val="none"/>
        </w:rPr>
        <w:t>中标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keepNext w:val="0"/>
        <w:keepLines w:val="0"/>
        <w:pageBreakBefore w:val="0"/>
        <w:widowControl w:val="0"/>
        <w:kinsoku/>
        <w:wordWrap/>
        <w:overflowPunct/>
        <w:topLinePunct w:val="0"/>
        <w:bidi w:val="0"/>
        <w:spacing w:line="360" w:lineRule="auto"/>
        <w:ind w:firstLine="480" w:firstLineChars="200"/>
        <w:textAlignment w:val="auto"/>
        <w:rPr>
          <w:color w:val="000000"/>
          <w:sz w:val="24"/>
          <w:szCs w:val="24"/>
          <w:highlight w:val="none"/>
        </w:rPr>
      </w:pPr>
      <w:r>
        <w:rPr>
          <w:rFonts w:hint="eastAsia" w:ascii="宋体" w:hAnsi="宋体" w:cs="宋体"/>
          <w:sz w:val="24"/>
          <w:szCs w:val="24"/>
          <w:highlight w:val="none"/>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0"/>
        <w:rPr>
          <w:rFonts w:hint="eastAsia" w:ascii="宋体" w:hAnsi="宋体" w:cs="宋体"/>
          <w:b/>
          <w:bCs/>
          <w:sz w:val="24"/>
          <w:szCs w:val="24"/>
          <w:highlight w:val="none"/>
        </w:rPr>
      </w:pPr>
      <w:r>
        <w:rPr>
          <w:rFonts w:hint="eastAsia" w:ascii="宋体" w:hAnsi="宋体" w:cs="宋体"/>
          <w:b/>
          <w:bCs/>
          <w:sz w:val="24"/>
          <w:szCs w:val="24"/>
          <w:highlight w:val="none"/>
        </w:rPr>
        <w:t>（十</w:t>
      </w:r>
      <w:r>
        <w:rPr>
          <w:rFonts w:hint="eastAsia" w:ascii="宋体" w:hAnsi="宋体" w:cs="宋体"/>
          <w:b/>
          <w:bCs/>
          <w:sz w:val="24"/>
          <w:szCs w:val="24"/>
          <w:highlight w:val="none"/>
          <w:lang w:val="en-US" w:eastAsia="zh-CN"/>
        </w:rPr>
        <w:t>五</w:t>
      </w:r>
      <w:r>
        <w:rPr>
          <w:rFonts w:hint="eastAsia" w:ascii="宋体" w:hAnsi="宋体" w:cs="宋体"/>
          <w:b/>
          <w:bCs/>
          <w:sz w:val="24"/>
          <w:szCs w:val="24"/>
          <w:highlight w:val="none"/>
        </w:rPr>
        <w:t>）政府采购合同融资</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sz w:val="24"/>
          <w:szCs w:val="24"/>
          <w:highlight w:val="none"/>
        </w:rPr>
      </w:pPr>
      <w:r>
        <w:rPr>
          <w:rFonts w:hint="eastAsia" w:ascii="宋体" w:hAnsi="宋体" w:cs="宋体"/>
          <w:sz w:val="24"/>
          <w:szCs w:val="24"/>
          <w:highlight w:val="none"/>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w:t>
      </w:r>
      <w:r>
        <w:rPr>
          <w:rFonts w:hint="eastAsia" w:ascii="宋体" w:hAnsi="宋体" w:cs="宋体"/>
          <w:sz w:val="24"/>
          <w:szCs w:val="24"/>
          <w:highlight w:val="none"/>
          <w:lang w:eastAsia="zh-CN"/>
        </w:rPr>
        <w:t>中标供应商</w:t>
      </w:r>
      <w:r>
        <w:rPr>
          <w:rFonts w:hint="eastAsia" w:ascii="宋体" w:hAnsi="宋体" w:cs="宋体"/>
          <w:sz w:val="24"/>
          <w:szCs w:val="24"/>
          <w:highlight w:val="none"/>
        </w:rPr>
        <w:t>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keepNext w:val="0"/>
        <w:keepLines w:val="0"/>
        <w:pageBreakBefore w:val="0"/>
        <w:widowControl w:val="0"/>
        <w:kinsoku/>
        <w:wordWrap/>
        <w:overflowPunct/>
        <w:topLinePunct w:val="0"/>
        <w:bidi w:val="0"/>
        <w:spacing w:line="360" w:lineRule="auto"/>
        <w:ind w:firstLine="480" w:firstLineChars="200"/>
        <w:textAlignment w:val="auto"/>
        <w:rPr>
          <w:rFonts w:ascii="宋体"/>
          <w:sz w:val="24"/>
          <w:szCs w:val="24"/>
          <w:highlight w:val="none"/>
        </w:rPr>
      </w:pPr>
      <w:r>
        <w:rPr>
          <w:rFonts w:hint="eastAsia" w:ascii="宋体" w:hAnsi="宋体" w:cs="宋体"/>
          <w:sz w:val="24"/>
          <w:szCs w:val="24"/>
          <w:highlight w:val="none"/>
        </w:rPr>
        <w:t>中标、</w:t>
      </w:r>
      <w:r>
        <w:rPr>
          <w:rFonts w:hint="eastAsia" w:ascii="宋体" w:hAnsi="宋体" w:cs="宋体"/>
          <w:sz w:val="24"/>
          <w:szCs w:val="24"/>
          <w:highlight w:val="none"/>
          <w:lang w:eastAsia="zh-CN"/>
        </w:rPr>
        <w:t>中标供应商</w:t>
      </w:r>
      <w:r>
        <w:rPr>
          <w:rFonts w:hint="eastAsia" w:ascii="宋体" w:hAnsi="宋体" w:cs="宋体"/>
          <w:sz w:val="24"/>
          <w:szCs w:val="24"/>
          <w:highlight w:val="none"/>
        </w:rPr>
        <w:t>可根据自身情况，自行决定是否选择采用合同融资形式，在无锡政府采购网</w:t>
      </w:r>
      <w:r>
        <w:rPr>
          <w:rFonts w:ascii="宋体" w:hAnsi="宋体" w:cs="宋体"/>
          <w:sz w:val="24"/>
          <w:szCs w:val="24"/>
          <w:highlight w:val="none"/>
        </w:rPr>
        <w:t>——</w:t>
      </w:r>
      <w:r>
        <w:rPr>
          <w:rFonts w:hint="eastAsia" w:ascii="宋体" w:hAnsi="宋体" w:cs="宋体"/>
          <w:sz w:val="24"/>
          <w:szCs w:val="24"/>
          <w:highlight w:val="none"/>
        </w:rPr>
        <w:t>政采贷专栏提供的银行名录内自主选择合作银行。</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0"/>
        <w:rPr>
          <w:rFonts w:hint="eastAsia" w:ascii="宋体" w:hAnsi="宋体" w:cs="宋体"/>
          <w:b/>
          <w:bCs/>
          <w:sz w:val="24"/>
          <w:szCs w:val="24"/>
          <w:highlight w:val="none"/>
        </w:rPr>
      </w:pPr>
      <w:r>
        <w:rPr>
          <w:rFonts w:hint="eastAsia" w:ascii="宋体" w:hAnsi="宋体" w:cs="宋体"/>
          <w:b/>
          <w:bCs/>
          <w:sz w:val="24"/>
          <w:szCs w:val="24"/>
          <w:highlight w:val="none"/>
        </w:rPr>
        <w:t>（十</w:t>
      </w:r>
      <w:r>
        <w:rPr>
          <w:rFonts w:hint="eastAsia" w:ascii="宋体" w:hAnsi="宋体" w:cs="宋体"/>
          <w:b/>
          <w:bCs/>
          <w:sz w:val="24"/>
          <w:szCs w:val="24"/>
          <w:highlight w:val="none"/>
          <w:lang w:val="en-US" w:eastAsia="zh-CN"/>
        </w:rPr>
        <w:t>六</w:t>
      </w:r>
      <w:r>
        <w:rPr>
          <w:rFonts w:hint="eastAsia" w:ascii="宋体" w:hAnsi="宋体" w:cs="宋体"/>
          <w:b/>
          <w:bCs/>
          <w:sz w:val="24"/>
          <w:szCs w:val="24"/>
          <w:highlight w:val="none"/>
        </w:rPr>
        <w:t>）代理服务费：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本项目代理费由</w:t>
      </w:r>
      <w:r>
        <w:rPr>
          <w:rFonts w:hint="eastAsia" w:ascii="宋体" w:hAnsi="宋体" w:cs="宋体"/>
          <w:sz w:val="24"/>
          <w:szCs w:val="24"/>
          <w:highlight w:val="none"/>
          <w:lang w:val="en-US" w:eastAsia="zh-CN"/>
        </w:rPr>
        <w:t>采购</w:t>
      </w:r>
      <w:r>
        <w:rPr>
          <w:rFonts w:hint="eastAsia" w:ascii="宋体" w:hAnsi="宋体" w:cs="宋体"/>
          <w:sz w:val="24"/>
          <w:szCs w:val="24"/>
          <w:highlight w:val="none"/>
        </w:rPr>
        <w:t>人支付。收费</w:t>
      </w:r>
      <w:r>
        <w:rPr>
          <w:rFonts w:hint="eastAsia" w:ascii="宋体" w:hAnsi="宋体" w:cs="宋体"/>
          <w:sz w:val="24"/>
          <w:szCs w:val="24"/>
          <w:highlight w:val="none"/>
          <w:lang w:val="en-US" w:eastAsia="zh-CN"/>
        </w:rPr>
        <w:t>金额按</w:t>
      </w:r>
      <w:r>
        <w:rPr>
          <w:rFonts w:hint="eastAsia" w:ascii="宋体" w:hAnsi="宋体" w:cs="宋体"/>
          <w:sz w:val="24"/>
          <w:szCs w:val="24"/>
          <w:highlight w:val="none"/>
        </w:rPr>
        <w:t>中标金额的1.</w:t>
      </w:r>
      <w:r>
        <w:rPr>
          <w:rFonts w:hint="eastAsia" w:ascii="宋体" w:hAnsi="宋体" w:cs="宋体"/>
          <w:sz w:val="24"/>
          <w:szCs w:val="24"/>
          <w:highlight w:val="none"/>
          <w:lang w:val="en-US" w:eastAsia="zh-CN"/>
        </w:rPr>
        <w:t>2</w:t>
      </w:r>
      <w:r>
        <w:rPr>
          <w:rFonts w:hint="eastAsia" w:ascii="宋体" w:hAnsi="宋体" w:cs="宋体"/>
          <w:sz w:val="24"/>
          <w:szCs w:val="24"/>
          <w:highlight w:val="none"/>
        </w:rPr>
        <w:t>%</w:t>
      </w:r>
      <w:r>
        <w:rPr>
          <w:rFonts w:hint="eastAsia" w:ascii="宋体" w:hAnsi="宋体" w:cs="宋体"/>
          <w:sz w:val="24"/>
          <w:szCs w:val="24"/>
          <w:highlight w:val="none"/>
          <w:lang w:val="en-US" w:eastAsia="zh-CN"/>
        </w:rPr>
        <w:t>计取</w:t>
      </w:r>
      <w:r>
        <w:rPr>
          <w:rFonts w:hint="eastAsia" w:ascii="宋体" w:hAnsi="宋体" w:cs="宋体"/>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outlineLvl w:val="0"/>
        <w:rPr>
          <w:rFonts w:hint="eastAsia" w:ascii="宋体" w:hAnsi="宋体" w:cs="宋体"/>
          <w:b/>
          <w:bCs/>
          <w:sz w:val="24"/>
          <w:szCs w:val="24"/>
          <w:highlight w:val="none"/>
        </w:rPr>
      </w:pPr>
      <w:r>
        <w:rPr>
          <w:rFonts w:hint="eastAsia" w:ascii="宋体" w:hAnsi="宋体" w:cs="宋体"/>
          <w:b/>
          <w:bCs/>
          <w:sz w:val="24"/>
          <w:szCs w:val="24"/>
          <w:highlight w:val="none"/>
        </w:rPr>
        <w:t>（十</w:t>
      </w:r>
      <w:r>
        <w:rPr>
          <w:rFonts w:hint="eastAsia" w:ascii="宋体" w:hAnsi="宋体" w:cs="宋体"/>
          <w:b/>
          <w:bCs/>
          <w:sz w:val="24"/>
          <w:szCs w:val="24"/>
          <w:highlight w:val="none"/>
          <w:lang w:val="en-US" w:eastAsia="zh-CN"/>
        </w:rPr>
        <w:t>七</w:t>
      </w:r>
      <w:r>
        <w:rPr>
          <w:rFonts w:hint="eastAsia" w:ascii="宋体" w:hAnsi="宋体" w:cs="宋体"/>
          <w:b/>
          <w:bCs/>
          <w:sz w:val="24"/>
          <w:szCs w:val="24"/>
          <w:highlight w:val="none"/>
        </w:rPr>
        <w:t>）其他：</w:t>
      </w:r>
    </w:p>
    <w:p>
      <w:pPr>
        <w:keepNext w:val="0"/>
        <w:keepLines w:val="0"/>
        <w:pageBreakBefore w:val="0"/>
        <w:widowControl w:val="0"/>
        <w:kinsoku/>
        <w:wordWrap/>
        <w:overflowPunct/>
        <w:topLinePunct w:val="0"/>
        <w:bidi w:val="0"/>
        <w:spacing w:line="360" w:lineRule="auto"/>
        <w:ind w:left="-76" w:leftChars="-36" w:firstLine="477" w:firstLineChars="199"/>
        <w:textAlignment w:val="auto"/>
        <w:rPr>
          <w:rFonts w:ascii="黑体" w:hAnsi="黑体" w:eastAsia="黑体"/>
          <w:b/>
          <w:bCs/>
          <w:sz w:val="28"/>
          <w:szCs w:val="28"/>
          <w:highlight w:val="none"/>
          <w:shd w:val="clear" w:color="auto" w:fill="FFFFFF"/>
        </w:rPr>
      </w:pPr>
      <w:r>
        <w:rPr>
          <w:rFonts w:hint="eastAsia" w:ascii="宋体" w:hAnsi="宋体" w:cs="宋体"/>
          <w:sz w:val="24"/>
          <w:szCs w:val="24"/>
          <w:highlight w:val="none"/>
          <w:lang w:eastAsia="zh-CN"/>
        </w:rPr>
        <w:t>招标文件</w:t>
      </w:r>
      <w:r>
        <w:rPr>
          <w:rFonts w:hint="eastAsia" w:ascii="宋体" w:hAnsi="宋体" w:cs="宋体"/>
          <w:sz w:val="24"/>
          <w:szCs w:val="24"/>
          <w:highlight w:val="none"/>
        </w:rPr>
        <w:t>的条款必须认真审阅，投标供应商应自行检查</w:t>
      </w:r>
      <w:r>
        <w:rPr>
          <w:rFonts w:hint="eastAsia" w:ascii="宋体" w:hAnsi="宋体" w:cs="宋体"/>
          <w:sz w:val="24"/>
          <w:szCs w:val="24"/>
          <w:highlight w:val="none"/>
          <w:lang w:eastAsia="zh-CN"/>
        </w:rPr>
        <w:t>招标文件</w:t>
      </w:r>
      <w:r>
        <w:rPr>
          <w:rFonts w:hint="eastAsia" w:ascii="宋体" w:hAnsi="宋体" w:cs="宋体"/>
          <w:sz w:val="24"/>
          <w:szCs w:val="24"/>
          <w:highlight w:val="none"/>
        </w:rPr>
        <w:t>页数是否齐全。若有遗漏、重复或不清楚，需立刻通知采购人予以更正；凡属对条款的误解所造成的投标价格失误，由投标供应商负责。</w:t>
      </w:r>
      <w:bookmarkStart w:id="3" w:name="五．合同条款"/>
      <w:bookmarkEnd w:id="3"/>
    </w:p>
    <w:p>
      <w:pPr>
        <w:snapToGrid w:val="0"/>
        <w:spacing w:line="540" w:lineRule="exact"/>
        <w:jc w:val="both"/>
        <w:rPr>
          <w:rFonts w:hint="eastAsia" w:ascii="黑体" w:hAnsi="黑体" w:eastAsia="黑体" w:cs="黑体"/>
          <w:b/>
          <w:bCs/>
          <w:sz w:val="28"/>
          <w:szCs w:val="28"/>
          <w:highlight w:val="none"/>
          <w:shd w:val="clear" w:color="auto" w:fill="FFFFFF"/>
        </w:rPr>
      </w:pPr>
    </w:p>
    <w:p>
      <w:pPr>
        <w:snapToGrid w:val="0"/>
        <w:spacing w:line="540" w:lineRule="exact"/>
        <w:jc w:val="center"/>
        <w:rPr>
          <w:rFonts w:hint="eastAsia" w:ascii="黑体" w:hAnsi="黑体" w:eastAsia="黑体" w:cs="黑体"/>
          <w:b/>
          <w:bCs/>
          <w:sz w:val="28"/>
          <w:szCs w:val="28"/>
          <w:highlight w:val="none"/>
          <w:shd w:val="clear" w:color="auto" w:fill="FFFFFF"/>
        </w:rPr>
      </w:pPr>
    </w:p>
    <w:p>
      <w:pPr>
        <w:snapToGrid w:val="0"/>
        <w:spacing w:line="540" w:lineRule="exact"/>
        <w:jc w:val="center"/>
        <w:rPr>
          <w:rFonts w:hint="eastAsia" w:ascii="黑体" w:hAnsi="黑体" w:eastAsia="黑体" w:cs="黑体"/>
          <w:b/>
          <w:bCs/>
          <w:sz w:val="28"/>
          <w:szCs w:val="28"/>
          <w:highlight w:val="none"/>
          <w:shd w:val="clear" w:color="auto" w:fill="FFFFFF"/>
        </w:rPr>
      </w:pPr>
    </w:p>
    <w:p>
      <w:pPr>
        <w:snapToGrid w:val="0"/>
        <w:spacing w:line="540" w:lineRule="exact"/>
        <w:jc w:val="center"/>
        <w:rPr>
          <w:rFonts w:hint="eastAsia" w:ascii="黑体" w:hAnsi="黑体" w:eastAsia="黑体" w:cs="黑体"/>
          <w:b/>
          <w:bCs/>
          <w:sz w:val="28"/>
          <w:szCs w:val="28"/>
          <w:highlight w:val="none"/>
          <w:shd w:val="clear" w:color="auto" w:fill="FFFFFF"/>
        </w:rPr>
      </w:pPr>
    </w:p>
    <w:p>
      <w:pPr>
        <w:snapToGrid w:val="0"/>
        <w:spacing w:line="540" w:lineRule="exact"/>
        <w:jc w:val="center"/>
        <w:rPr>
          <w:rFonts w:hint="eastAsia" w:ascii="黑体" w:hAnsi="黑体" w:eastAsia="黑体" w:cs="黑体"/>
          <w:b/>
          <w:bCs/>
          <w:sz w:val="28"/>
          <w:szCs w:val="28"/>
          <w:highlight w:val="none"/>
          <w:shd w:val="clear" w:color="auto" w:fill="FFFFFF"/>
        </w:rPr>
      </w:pPr>
    </w:p>
    <w:p>
      <w:pPr>
        <w:snapToGrid w:val="0"/>
        <w:spacing w:line="540" w:lineRule="exact"/>
        <w:jc w:val="center"/>
        <w:rPr>
          <w:rFonts w:hint="eastAsia" w:ascii="黑体" w:hAnsi="黑体" w:eastAsia="黑体" w:cs="黑体"/>
          <w:b/>
          <w:bCs/>
          <w:sz w:val="28"/>
          <w:szCs w:val="28"/>
          <w:highlight w:val="none"/>
          <w:shd w:val="clear" w:color="auto" w:fill="FFFFFF"/>
        </w:rPr>
      </w:pPr>
    </w:p>
    <w:p>
      <w:pPr>
        <w:snapToGrid w:val="0"/>
        <w:spacing w:line="540" w:lineRule="exact"/>
        <w:jc w:val="both"/>
        <w:rPr>
          <w:rFonts w:hint="eastAsia" w:ascii="黑体" w:hAnsi="黑体" w:eastAsia="黑体" w:cs="黑体"/>
          <w:b/>
          <w:bCs/>
          <w:sz w:val="28"/>
          <w:szCs w:val="28"/>
          <w:highlight w:val="none"/>
          <w:shd w:val="clear" w:color="auto" w:fill="FFFFFF"/>
        </w:rPr>
      </w:pPr>
    </w:p>
    <w:p>
      <w:pPr>
        <w:snapToGrid w:val="0"/>
        <w:spacing w:line="540" w:lineRule="exact"/>
        <w:jc w:val="center"/>
        <w:rPr>
          <w:rFonts w:hint="eastAsia" w:ascii="黑体" w:hAnsi="黑体" w:eastAsia="黑体" w:cs="黑体"/>
          <w:b/>
          <w:bCs/>
          <w:sz w:val="28"/>
          <w:szCs w:val="28"/>
          <w:highlight w:val="none"/>
          <w:shd w:val="clear" w:color="auto" w:fill="FFFFFF"/>
        </w:rPr>
      </w:pPr>
    </w:p>
    <w:p>
      <w:pPr>
        <w:snapToGrid w:val="0"/>
        <w:spacing w:line="540" w:lineRule="exact"/>
        <w:jc w:val="center"/>
        <w:rPr>
          <w:rFonts w:hint="eastAsia" w:ascii="黑体" w:hAnsi="黑体" w:eastAsia="黑体" w:cs="黑体"/>
          <w:b/>
          <w:bCs/>
          <w:sz w:val="28"/>
          <w:szCs w:val="28"/>
          <w:highlight w:val="none"/>
          <w:shd w:val="clear" w:color="auto" w:fill="FFFFFF"/>
        </w:rPr>
      </w:pPr>
    </w:p>
    <w:p>
      <w:pPr>
        <w:snapToGrid w:val="0"/>
        <w:spacing w:line="540" w:lineRule="exact"/>
        <w:jc w:val="center"/>
        <w:rPr>
          <w:rFonts w:hint="eastAsia" w:ascii="黑体" w:hAnsi="黑体" w:eastAsia="黑体" w:cs="黑体"/>
          <w:b/>
          <w:bCs/>
          <w:sz w:val="28"/>
          <w:szCs w:val="28"/>
          <w:highlight w:val="none"/>
          <w:shd w:val="clear" w:color="auto" w:fill="FFFFFF"/>
        </w:rPr>
      </w:pPr>
    </w:p>
    <w:p>
      <w:pPr>
        <w:snapToGrid w:val="0"/>
        <w:spacing w:line="540" w:lineRule="exact"/>
        <w:jc w:val="both"/>
        <w:rPr>
          <w:rFonts w:hint="eastAsia" w:ascii="黑体" w:hAnsi="黑体" w:eastAsia="黑体" w:cs="黑体"/>
          <w:b/>
          <w:bCs/>
          <w:sz w:val="28"/>
          <w:szCs w:val="28"/>
          <w:highlight w:val="none"/>
          <w:shd w:val="clear" w:color="auto" w:fill="FFFFFF"/>
        </w:rPr>
      </w:pP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ajorEastAsia" w:hAnsiTheme="majorEastAsia" w:eastAsiaTheme="majorEastAsia" w:cstheme="majorEastAsia"/>
          <w:b/>
          <w:bCs/>
          <w:sz w:val="32"/>
          <w:szCs w:val="32"/>
          <w:highlight w:val="none"/>
          <w:lang w:val="en-US" w:eastAsia="zh-CN"/>
        </w:rPr>
      </w:pPr>
      <w:r>
        <w:rPr>
          <w:rFonts w:hint="eastAsia" w:asciiTheme="majorEastAsia" w:hAnsiTheme="majorEastAsia" w:eastAsiaTheme="majorEastAsia" w:cstheme="majorEastAsia"/>
          <w:b/>
          <w:bCs/>
          <w:sz w:val="32"/>
          <w:szCs w:val="32"/>
          <w:highlight w:val="none"/>
          <w:lang w:val="en-US" w:eastAsia="zh-CN"/>
        </w:rPr>
        <w:t>三.采购需求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sz w:val="24"/>
          <w:highlight w:val="none"/>
        </w:rPr>
      </w:pPr>
      <w:r>
        <w:rPr>
          <w:rFonts w:hint="eastAsia" w:ascii="宋体" w:hAnsi="宋体" w:eastAsia="宋体" w:cs="宋体"/>
          <w:b/>
          <w:bCs w:val="0"/>
          <w:sz w:val="24"/>
          <w:highlight w:val="none"/>
        </w:rPr>
        <w:t>一、采购标的需实现的功能或者目标，以及为落实政府采购政策需满足的要求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针对无锡市梁溪区瞻江街道辖区内日常城市管理工作中存在车辆违法占道停放、占道经营以及其他违法违规停放行为，配合辖区交警、城管部门对辖区范围内市政道路、其他道路、绿化养护范围内的违停车辆进行拖移和停放以及其他临时性指派拖移服务。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二、采购标的需执行的国家相关标准、行业标准、地方标准或者其他标准、规范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此次采购根据《中华人民共和国道路交通安全法》、《中华人民共和国道路交通安全法实施条例》、《中华人民共和国行政强制法》、《中华人民共和国政府采购法》等法律法规。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highlight w:val="none"/>
        </w:rPr>
      </w:pPr>
      <w:r>
        <w:rPr>
          <w:rFonts w:hint="eastAsia" w:ascii="宋体" w:hAnsi="宋体" w:eastAsia="宋体" w:cs="宋体"/>
          <w:b/>
          <w:bCs w:val="0"/>
          <w:color w:val="auto"/>
          <w:sz w:val="24"/>
          <w:highlight w:val="none"/>
        </w:rPr>
        <w:t>三、采购标的需满足的质量、安全、技术规格、物理特性等要求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w:t>
      </w:r>
      <w:r>
        <w:rPr>
          <w:rFonts w:hint="eastAsia" w:ascii="宋体" w:hAnsi="宋体" w:cs="宋体"/>
          <w:bCs/>
          <w:color w:val="auto"/>
          <w:sz w:val="24"/>
          <w:highlight w:val="none"/>
          <w:lang w:eastAsia="zh-CN"/>
        </w:rPr>
        <w:t>投标供应商</w:t>
      </w:r>
      <w:r>
        <w:rPr>
          <w:rFonts w:hint="eastAsia" w:ascii="宋体" w:hAnsi="宋体" w:eastAsia="宋体" w:cs="宋体"/>
          <w:bCs/>
          <w:color w:val="auto"/>
          <w:sz w:val="24"/>
          <w:highlight w:val="none"/>
        </w:rPr>
        <w:t>提供的车辆必须具有合法、完备的证照，不得提供报废、非法车辆参与清障作业，保证车况良好并配备足够、完好的交通清障辅助设备通讯工具。大中型专项作业车（含）以上车型还需增配消防器材、破拆工具等设备，以确保清障能力与通信畅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w:t>
      </w:r>
      <w:r>
        <w:rPr>
          <w:rFonts w:hint="eastAsia" w:ascii="宋体" w:hAnsi="宋体" w:cs="宋体"/>
          <w:bCs/>
          <w:color w:val="auto"/>
          <w:sz w:val="24"/>
          <w:highlight w:val="none"/>
          <w:lang w:eastAsia="zh-CN"/>
        </w:rPr>
        <w:t>投标供应商</w:t>
      </w:r>
      <w:r>
        <w:rPr>
          <w:rFonts w:hint="eastAsia" w:ascii="宋体" w:hAnsi="宋体" w:eastAsia="宋体" w:cs="宋体"/>
          <w:bCs/>
          <w:color w:val="auto"/>
          <w:sz w:val="24"/>
          <w:highlight w:val="none"/>
        </w:rPr>
        <w:t>提供的车辆在中标后签订合同前必须安装行车记录仪（前后都有），满足日间、夜晚的记录要求，能清晰摄录从将暂扣车辆拖移至指定停车场并移交完毕的整个过程，摄录数据至少保存</w:t>
      </w:r>
      <w:r>
        <w:rPr>
          <w:rFonts w:hint="eastAsia" w:ascii="宋体" w:hAnsi="宋体" w:eastAsia="宋体" w:cs="宋体"/>
          <w:bCs/>
          <w:color w:val="auto"/>
          <w:sz w:val="24"/>
          <w:highlight w:val="none"/>
          <w:lang w:val="en-US" w:eastAsia="zh-CN"/>
        </w:rPr>
        <w:t>60</w:t>
      </w:r>
      <w:r>
        <w:rPr>
          <w:rFonts w:hint="eastAsia" w:ascii="宋体" w:hAnsi="宋体" w:eastAsia="宋体" w:cs="宋体"/>
          <w:bCs/>
          <w:color w:val="auto"/>
          <w:sz w:val="24"/>
          <w:highlight w:val="none"/>
        </w:rPr>
        <w:t>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安全要求：满足国家相关法律法规的要求，无安全责任事故，且不留安全隐患</w:t>
      </w:r>
      <w:r>
        <w:rPr>
          <w:rFonts w:hint="eastAsia" w:ascii="宋体" w:hAnsi="宋体" w:eastAsia="宋体" w:cs="宋体"/>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四、采购标的需满足的服务标准、期限、效率等要求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en-US" w:eastAsia="zh-CN"/>
        </w:rPr>
        <w:t>服务期限：</w:t>
      </w:r>
      <w:r>
        <w:rPr>
          <w:rFonts w:hint="eastAsia" w:ascii="宋体" w:hAnsi="宋体" w:cs="宋体"/>
          <w:bCs/>
          <w:color w:val="auto"/>
          <w:sz w:val="24"/>
          <w:highlight w:val="none"/>
          <w:lang w:val="en-US" w:eastAsia="zh-CN"/>
        </w:rPr>
        <w:t>2024年度</w:t>
      </w:r>
      <w:r>
        <w:rPr>
          <w:rFonts w:hint="eastAsia" w:ascii="宋体" w:hAnsi="宋体" w:eastAsia="宋体" w:cs="宋体"/>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实施地点：无锡市梁溪区瞻江街道范围内</w:t>
      </w:r>
      <w:r>
        <w:rPr>
          <w:rFonts w:hint="eastAsia" w:ascii="宋体" w:hAnsi="宋体" w:cs="宋体"/>
          <w:bCs/>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、服务效率：必须确保随叫随到（最多不超过30分钟到达现场）。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rPr>
        <w:t>、</w:t>
      </w:r>
      <w:r>
        <w:rPr>
          <w:rFonts w:hint="eastAsia" w:ascii="宋体" w:hAnsi="宋体" w:cs="宋体"/>
          <w:bCs/>
          <w:color w:val="auto"/>
          <w:sz w:val="24"/>
          <w:highlight w:val="none"/>
          <w:lang w:eastAsia="zh-CN"/>
        </w:rPr>
        <w:t>投标供应商</w:t>
      </w:r>
      <w:r>
        <w:rPr>
          <w:rFonts w:hint="eastAsia" w:ascii="宋体" w:hAnsi="宋体" w:eastAsia="宋体" w:cs="宋体"/>
          <w:bCs/>
          <w:color w:val="auto"/>
          <w:sz w:val="24"/>
          <w:highlight w:val="none"/>
        </w:rPr>
        <w:t>提供全天24小时的清障保障，接清障通知，30分钟内到达。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w:t>
      </w:r>
      <w:r>
        <w:rPr>
          <w:rFonts w:hint="eastAsia" w:ascii="宋体" w:hAnsi="宋体" w:cs="宋体"/>
          <w:bCs/>
          <w:color w:val="auto"/>
          <w:sz w:val="24"/>
          <w:highlight w:val="none"/>
          <w:lang w:eastAsia="zh-CN"/>
        </w:rPr>
        <w:t>投标供应商</w:t>
      </w:r>
      <w:r>
        <w:rPr>
          <w:rFonts w:hint="eastAsia" w:ascii="宋体" w:hAnsi="宋体" w:eastAsia="宋体" w:cs="宋体"/>
          <w:bCs/>
          <w:color w:val="auto"/>
          <w:sz w:val="24"/>
          <w:highlight w:val="none"/>
        </w:rPr>
        <w:t>在执行值守和重大活动保障任务期间，要自觉服从</w:t>
      </w:r>
      <w:r>
        <w:rPr>
          <w:rFonts w:hint="eastAsia" w:ascii="宋体" w:hAnsi="宋体" w:eastAsia="宋体" w:cs="宋体"/>
          <w:bCs/>
          <w:color w:val="auto"/>
          <w:sz w:val="24"/>
          <w:highlight w:val="none"/>
          <w:lang w:val="en-US" w:eastAsia="zh-CN"/>
        </w:rPr>
        <w:t>采购人</w:t>
      </w:r>
      <w:r>
        <w:rPr>
          <w:rFonts w:hint="eastAsia" w:ascii="宋体" w:hAnsi="宋体" w:eastAsia="宋体" w:cs="宋体"/>
          <w:bCs/>
          <w:color w:val="auto"/>
          <w:sz w:val="24"/>
          <w:highlight w:val="none"/>
        </w:rPr>
        <w:t>的工作指令，及时快速做好现场处置工作。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、清障人员要熟悉各类型车辆性能，掌握操作规范，注意人员财产安全。现场作业时必须严格遵守道路交通管理规定，不得因作业而影响交通、造成交通堵塞或损坏市政设施。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rPr>
        <w:t>、清障作业人员应服从现场指挥。清障作业时，必须有</w:t>
      </w:r>
      <w:r>
        <w:rPr>
          <w:rFonts w:hint="eastAsia" w:ascii="宋体" w:hAnsi="宋体" w:eastAsia="宋体" w:cs="宋体"/>
          <w:bCs/>
          <w:color w:val="auto"/>
          <w:sz w:val="24"/>
          <w:highlight w:val="none"/>
          <w:lang w:val="en-US" w:eastAsia="zh-CN"/>
        </w:rPr>
        <w:t>采购人</w:t>
      </w:r>
      <w:r>
        <w:rPr>
          <w:rFonts w:hint="eastAsia" w:ascii="宋体" w:hAnsi="宋体" w:eastAsia="宋体" w:cs="宋体"/>
          <w:bCs/>
          <w:color w:val="auto"/>
          <w:sz w:val="24"/>
          <w:highlight w:val="none"/>
        </w:rPr>
        <w:t>在场。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eastAsia="zh-CN"/>
        </w:rPr>
        <w:t>、</w:t>
      </w:r>
      <w:r>
        <w:rPr>
          <w:rFonts w:hint="eastAsia" w:ascii="宋体" w:hAnsi="宋体" w:cs="宋体"/>
          <w:bCs/>
          <w:color w:val="auto"/>
          <w:sz w:val="24"/>
          <w:highlight w:val="none"/>
          <w:lang w:eastAsia="zh-CN"/>
        </w:rPr>
        <w:t>投标供应商</w:t>
      </w:r>
      <w:r>
        <w:rPr>
          <w:rFonts w:hint="eastAsia" w:ascii="宋体" w:hAnsi="宋体" w:eastAsia="宋体" w:cs="宋体"/>
          <w:bCs/>
          <w:color w:val="auto"/>
          <w:sz w:val="24"/>
          <w:highlight w:val="none"/>
        </w:rPr>
        <w:t>应按照规定的程序及规范处置被清障车辆的随车物品，未经同意，不得进入被拖车辆的车辆内部（包括驾驶乘坐仓以及车尾箱等）。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、在作业过程中，产生的自身（车辆、人员）或给第三方造成的损失的，由供应商全权负责，与采购人无关。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投标供应商须提供梁溪区以外的拖车停车场，</w:t>
      </w:r>
      <w:r>
        <w:rPr>
          <w:rFonts w:hint="eastAsia" w:ascii="宋体" w:hAnsi="宋体" w:eastAsia="宋体" w:cs="宋体"/>
          <w:bCs/>
          <w:color w:val="auto"/>
          <w:sz w:val="24"/>
          <w:highlight w:val="none"/>
          <w:lang w:val="en-US" w:eastAsia="zh-CN"/>
        </w:rPr>
        <w:t>不能以停车场地车辆停满为由，拒绝采购人的拖车需求，若不能执行采购人指令，采购人可以中止履行合同或解除合同。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投标供应商</w:t>
      </w:r>
      <w:r>
        <w:rPr>
          <w:rFonts w:hint="eastAsia" w:ascii="宋体" w:hAnsi="宋体" w:eastAsia="宋体" w:cs="宋体"/>
          <w:bCs/>
          <w:color w:val="auto"/>
          <w:sz w:val="24"/>
          <w:highlight w:val="none"/>
          <w:lang w:val="en-US" w:eastAsia="zh-CN"/>
        </w:rPr>
        <w:t>须提供用于半挂车停放的场地，不能以停车场地车辆停满为由，拒绝采购人的拖车需求，若不能执行采购人指令，采购人可以中止履行合同或解除合同。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投标供应商</w:t>
      </w:r>
      <w:r>
        <w:rPr>
          <w:rFonts w:hint="eastAsia" w:ascii="宋体" w:hAnsi="宋体" w:eastAsia="宋体" w:cs="宋体"/>
          <w:bCs/>
          <w:color w:val="auto"/>
          <w:sz w:val="24"/>
          <w:highlight w:val="none"/>
          <w:lang w:val="en-US" w:eastAsia="zh-CN"/>
        </w:rPr>
        <w:t>需提交针对本项目的服务方案（包括人员安排、队伍管理、规章制度、工作措施、服务承诺等）。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五、本项目采购标的的数量、采购项目交付或者实施的时间和地点要求：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1、采购标的的数量：</w:t>
      </w:r>
      <w:r>
        <w:rPr>
          <w:rFonts w:hint="eastAsia" w:ascii="宋体" w:hAnsi="宋体" w:cs="宋体"/>
          <w:bCs/>
          <w:color w:val="auto"/>
          <w:sz w:val="24"/>
          <w:highlight w:val="none"/>
          <w:lang w:eastAsia="zh-CN"/>
        </w:rPr>
        <w:t>2024年瞻江街道机动车拖车项目</w:t>
      </w:r>
      <w:r>
        <w:rPr>
          <w:rFonts w:hint="eastAsia" w:ascii="宋体" w:hAnsi="宋体" w:eastAsia="宋体" w:cs="宋体"/>
          <w:bCs/>
          <w:color w:val="auto"/>
          <w:sz w:val="24"/>
          <w:highlight w:val="none"/>
        </w:rPr>
        <w:t>，详见采购文件；拖车数量具体清单见附表：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拖车服务清单</w:t>
      </w:r>
    </w:p>
    <w:tbl>
      <w:tblPr>
        <w:tblStyle w:val="22"/>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629"/>
        <w:gridCol w:w="2204"/>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6" w:type="dxa"/>
            <w:noWrap w:val="0"/>
            <w:vAlign w:val="center"/>
          </w:tcPr>
          <w:p>
            <w:pPr>
              <w:spacing w:line="50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1629" w:type="dxa"/>
            <w:noWrap w:val="0"/>
            <w:vAlign w:val="center"/>
          </w:tcPr>
          <w:p>
            <w:pPr>
              <w:spacing w:line="50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车型</w:t>
            </w:r>
          </w:p>
        </w:tc>
        <w:tc>
          <w:tcPr>
            <w:tcW w:w="2204" w:type="dxa"/>
            <w:noWrap w:val="0"/>
            <w:vAlign w:val="center"/>
          </w:tcPr>
          <w:p>
            <w:pPr>
              <w:spacing w:line="500" w:lineRule="exact"/>
              <w:jc w:val="center"/>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预估数量（车、台）</w:t>
            </w:r>
          </w:p>
        </w:tc>
        <w:tc>
          <w:tcPr>
            <w:tcW w:w="4728" w:type="dxa"/>
            <w:noWrap w:val="0"/>
            <w:vAlign w:val="center"/>
          </w:tcPr>
          <w:p>
            <w:pPr>
              <w:spacing w:line="500" w:lineRule="exact"/>
              <w:ind w:firstLine="422" w:firstLineChars="200"/>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6" w:type="dxa"/>
            <w:noWrap w:val="0"/>
            <w:vAlign w:val="center"/>
          </w:tcPr>
          <w:p>
            <w:pPr>
              <w:spacing w:line="5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1</w:t>
            </w:r>
          </w:p>
        </w:tc>
        <w:tc>
          <w:tcPr>
            <w:tcW w:w="1629" w:type="dxa"/>
            <w:noWrap w:val="0"/>
            <w:vAlign w:val="center"/>
          </w:tcPr>
          <w:p>
            <w:pPr>
              <w:spacing w:line="5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一类车</w:t>
            </w:r>
          </w:p>
        </w:tc>
        <w:tc>
          <w:tcPr>
            <w:tcW w:w="2204" w:type="dxa"/>
            <w:noWrap w:val="0"/>
            <w:vAlign w:val="center"/>
          </w:tcPr>
          <w:p>
            <w:pPr>
              <w:spacing w:line="500" w:lineRule="exact"/>
              <w:jc w:val="center"/>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720</w:t>
            </w:r>
          </w:p>
        </w:tc>
        <w:tc>
          <w:tcPr>
            <w:tcW w:w="4728" w:type="dxa"/>
            <w:noWrap w:val="0"/>
            <w:vAlign w:val="center"/>
          </w:tcPr>
          <w:p>
            <w:pPr>
              <w:spacing w:line="500" w:lineRule="exact"/>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7座及7座以下轿车、小型客车、2吨及2吨以下的小货车。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6" w:type="dxa"/>
            <w:noWrap w:val="0"/>
            <w:vAlign w:val="center"/>
          </w:tcPr>
          <w:p>
            <w:pPr>
              <w:spacing w:line="5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2</w:t>
            </w:r>
          </w:p>
        </w:tc>
        <w:tc>
          <w:tcPr>
            <w:tcW w:w="1629" w:type="dxa"/>
            <w:noWrap w:val="0"/>
            <w:vAlign w:val="center"/>
          </w:tcPr>
          <w:p>
            <w:pPr>
              <w:spacing w:line="5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二类车</w:t>
            </w:r>
          </w:p>
        </w:tc>
        <w:tc>
          <w:tcPr>
            <w:tcW w:w="2204" w:type="dxa"/>
            <w:noWrap w:val="0"/>
            <w:vAlign w:val="center"/>
          </w:tcPr>
          <w:p>
            <w:pPr>
              <w:spacing w:line="500" w:lineRule="exact"/>
              <w:jc w:val="center"/>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100</w:t>
            </w:r>
          </w:p>
        </w:tc>
        <w:tc>
          <w:tcPr>
            <w:tcW w:w="4728" w:type="dxa"/>
            <w:noWrap w:val="0"/>
            <w:vAlign w:val="center"/>
          </w:tcPr>
          <w:p>
            <w:pPr>
              <w:spacing w:line="500" w:lineRule="exact"/>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8座以上至19座以下客车、2吨以上至5吨（含5吨）的货车。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6" w:type="dxa"/>
            <w:noWrap w:val="0"/>
            <w:vAlign w:val="center"/>
          </w:tcPr>
          <w:p>
            <w:pPr>
              <w:spacing w:line="5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3</w:t>
            </w:r>
          </w:p>
        </w:tc>
        <w:tc>
          <w:tcPr>
            <w:tcW w:w="1629" w:type="dxa"/>
            <w:noWrap w:val="0"/>
            <w:vAlign w:val="center"/>
          </w:tcPr>
          <w:p>
            <w:pPr>
              <w:spacing w:line="5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三类车</w:t>
            </w:r>
          </w:p>
        </w:tc>
        <w:tc>
          <w:tcPr>
            <w:tcW w:w="2204" w:type="dxa"/>
            <w:noWrap w:val="0"/>
            <w:vAlign w:val="center"/>
          </w:tcPr>
          <w:p>
            <w:pPr>
              <w:spacing w:line="500" w:lineRule="exact"/>
              <w:jc w:val="center"/>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65</w:t>
            </w:r>
          </w:p>
        </w:tc>
        <w:tc>
          <w:tcPr>
            <w:tcW w:w="4728" w:type="dxa"/>
            <w:noWrap w:val="0"/>
            <w:vAlign w:val="center"/>
          </w:tcPr>
          <w:p>
            <w:pPr>
              <w:spacing w:line="50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20座以上至39座以下客车、5吨以上至10吨（含10吨）的货车。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96" w:type="dxa"/>
            <w:noWrap w:val="0"/>
            <w:vAlign w:val="center"/>
          </w:tcPr>
          <w:p>
            <w:pPr>
              <w:spacing w:line="500" w:lineRule="exact"/>
              <w:ind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c>
          <w:tcPr>
            <w:tcW w:w="1629" w:type="dxa"/>
            <w:noWrap w:val="0"/>
            <w:vAlign w:val="center"/>
          </w:tcPr>
          <w:p>
            <w:pPr>
              <w:spacing w:line="5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四类车</w:t>
            </w:r>
          </w:p>
        </w:tc>
        <w:tc>
          <w:tcPr>
            <w:tcW w:w="2204" w:type="dxa"/>
            <w:noWrap w:val="0"/>
            <w:vAlign w:val="center"/>
          </w:tcPr>
          <w:p>
            <w:pPr>
              <w:spacing w:line="500" w:lineRule="exact"/>
              <w:jc w:val="center"/>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65</w:t>
            </w:r>
          </w:p>
        </w:tc>
        <w:tc>
          <w:tcPr>
            <w:tcW w:w="4728" w:type="dxa"/>
            <w:noWrap w:val="0"/>
            <w:vAlign w:val="center"/>
          </w:tcPr>
          <w:p>
            <w:pPr>
              <w:spacing w:line="500" w:lineRule="exact"/>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40座以上（含40座）以上客车、10吨以上至15吨（含15吨）的货车。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6" w:type="dxa"/>
            <w:noWrap w:val="0"/>
            <w:vAlign w:val="center"/>
          </w:tcPr>
          <w:p>
            <w:pPr>
              <w:spacing w:line="500" w:lineRule="exact"/>
              <w:ind w:firstLine="420" w:firstLineChars="200"/>
              <w:jc w:val="both"/>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1629" w:type="dxa"/>
            <w:noWrap w:val="0"/>
            <w:vAlign w:val="center"/>
          </w:tcPr>
          <w:p>
            <w:pPr>
              <w:spacing w:line="5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五类车</w:t>
            </w:r>
          </w:p>
        </w:tc>
        <w:tc>
          <w:tcPr>
            <w:tcW w:w="2204" w:type="dxa"/>
            <w:noWrap w:val="0"/>
            <w:vAlign w:val="center"/>
          </w:tcPr>
          <w:p>
            <w:pPr>
              <w:spacing w:line="500" w:lineRule="exact"/>
              <w:jc w:val="center"/>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81</w:t>
            </w:r>
          </w:p>
        </w:tc>
        <w:tc>
          <w:tcPr>
            <w:tcW w:w="4728" w:type="dxa"/>
            <w:noWrap w:val="0"/>
            <w:vAlign w:val="center"/>
          </w:tcPr>
          <w:p>
            <w:pPr>
              <w:spacing w:line="500" w:lineRule="exact"/>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15吨以上的货车。</w:t>
            </w:r>
          </w:p>
        </w:tc>
      </w:tr>
    </w:tbl>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服务期限：</w:t>
      </w:r>
      <w:r>
        <w:rPr>
          <w:rFonts w:hint="eastAsia" w:ascii="宋体" w:hAnsi="宋体" w:cs="宋体"/>
          <w:bCs/>
          <w:color w:val="auto"/>
          <w:sz w:val="24"/>
          <w:highlight w:val="none"/>
          <w:lang w:val="en-US" w:eastAsia="zh-CN"/>
        </w:rPr>
        <w:t>2024年度</w:t>
      </w:r>
      <w:r>
        <w:rPr>
          <w:rFonts w:hint="eastAsia" w:ascii="宋体" w:hAnsi="宋体" w:eastAsia="宋体" w:cs="宋体"/>
          <w:bCs/>
          <w:color w:val="auto"/>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3、实施地点：</w:t>
      </w:r>
      <w:r>
        <w:rPr>
          <w:rFonts w:hint="eastAsia" w:ascii="宋体" w:hAnsi="宋体" w:eastAsia="宋体" w:cs="宋体"/>
          <w:bCs/>
          <w:color w:val="auto"/>
          <w:sz w:val="24"/>
          <w:highlight w:val="none"/>
          <w:lang w:val="en-US" w:eastAsia="zh-CN"/>
        </w:rPr>
        <w:t>无锡市梁溪区瞻江街道</w:t>
      </w:r>
      <w:r>
        <w:rPr>
          <w:rFonts w:hint="eastAsia" w:ascii="宋体" w:hAnsi="宋体" w:eastAsia="宋体" w:cs="宋体"/>
          <w:bCs/>
          <w:color w:val="auto"/>
          <w:sz w:val="24"/>
          <w:highlight w:val="none"/>
        </w:rPr>
        <w:t>范围内。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六、采购标的的验收标准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违法车辆拖移的考核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第一条：考核结果运用：日常考核占合同金额的90%，专项考核占合同金额的10%，根据考核结果支付相应费用。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二条日常考核：每月为一个考核周期，设定清障公司基础分为100分，存在下列情况的扣除相应分值。结算金额=中标单价×实际清障车数×90%×所得分数÷100。如一期扣分超过20分（含）的，将暂缓支付服务费用，直至整改结束并通过复核。连续三个季度考核低于80分的，将按法律程序终止服务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1、不按要求使用清障交接管理系统的，每次扣1分。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2、不按要求使用行车记录仪的，或不按要求保存相关数据的，每次扣1分。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3、未按规定办理车辆交接、登记手续，每起扣1分</w:t>
      </w:r>
      <w:r>
        <w:rPr>
          <w:rFonts w:hint="eastAsia" w:ascii="宋体" w:hAnsi="宋体" w:cs="宋体"/>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4、在清障工作中发生重大失误或违规事件并被当事人投诉至相关部门的，除负责赔偿处理外，每次扣5分。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5、车辆拖移并移交停车场的整个过程没有录像或录像不全，造成相关事实无法查实的，追究相应责任，需要赔偿的承担赔偿责任外，每次扣5分。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w:t>
      </w:r>
      <w:bookmarkStart w:id="4" w:name="_Toc363483663"/>
      <w:bookmarkStart w:id="5" w:name="_Toc360023822"/>
      <w:r>
        <w:rPr>
          <w:rFonts w:hint="eastAsia" w:ascii="宋体" w:hAnsi="宋体" w:eastAsia="宋体" w:cs="宋体"/>
          <w:bCs/>
          <w:color w:val="auto"/>
          <w:sz w:val="24"/>
          <w:highlight w:val="none"/>
        </w:rPr>
        <w:t>私自使用被拖车辆或车上物品的，每次扣5分。</w:t>
      </w:r>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7、造成车辆损坏或遗失的，除负责赔偿处理外，每次扣5分。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8、盗窃或置换被拖吊车辆零配件或车上物品的，每次扣5分；数量或金额较大的（盗窃车上物品估计价值超过1万元的），每次扣20分，同时追究法律责任。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9、不服从</w:t>
      </w:r>
      <w:r>
        <w:rPr>
          <w:rFonts w:hint="eastAsia" w:ascii="宋体" w:hAnsi="宋体" w:eastAsia="宋体" w:cs="宋体"/>
          <w:bCs/>
          <w:color w:val="auto"/>
          <w:sz w:val="24"/>
          <w:highlight w:val="none"/>
          <w:lang w:val="en-US" w:eastAsia="zh-CN"/>
        </w:rPr>
        <w:t>采购人</w:t>
      </w:r>
      <w:r>
        <w:rPr>
          <w:rFonts w:hint="eastAsia" w:ascii="宋体" w:hAnsi="宋体" w:eastAsia="宋体" w:cs="宋体"/>
          <w:bCs/>
          <w:color w:val="auto"/>
          <w:sz w:val="24"/>
          <w:highlight w:val="none"/>
        </w:rPr>
        <w:t>管理、工作中推诿的，发现一起扣5分</w:t>
      </w:r>
      <w:r>
        <w:rPr>
          <w:rFonts w:hint="eastAsia" w:ascii="宋体" w:hAnsi="宋体" w:cs="宋体"/>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10、两高峰不安排车辆和人员值守、重大活动和执行任务期间不安排车辆保障的，发现一起扣10分。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11、存在弄虚作假行为的，每次扣10分。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12、存在其他违反招标文件、投标文件、合同、相关承诺、声明等违规行为的，发现一起扣5分，造成损害的承担赔偿责任。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第三条专项考核：每半年进行一次，结算金额=中标单价×实际清障车数×10%×所得分数÷100。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对清障公司进行抽查，发现存在违反招标文件、投标文件、合同、相关承诺、声明等情况的，每起扣5分。根据督察部门受理的有关投诉，以及存在弄虚作假行为的，经查证属实的，每起扣5分。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第四条由采购人考核得分超过90分的半年度考核表，将在下一轮停车场服务项目招标中予以加分。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七、采购标的的其他技术、服务等要求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1、车辆清障根据交通管理实际需要，按实结算费用，采购人将根据实际情况安排工作，中标单位应服从任务分配方式或结果。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中标单位不服从安排影响工作的，采购人有权发出整改通知书要求限期整改，中标单位拒绝整改、整改达不到要求的，采购人可以中止履行合同或解除合同。在合同履行中，中标人提前解除合同的，则需向采购人支付合同总标的额20%的违约金。</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八、付款方式</w:t>
      </w:r>
    </w:p>
    <w:p>
      <w:pPr>
        <w:keepNext w:val="0"/>
        <w:keepLines w:val="0"/>
        <w:pageBreakBefore w:val="0"/>
        <w:widowControl w:val="0"/>
        <w:numPr>
          <w:ilvl w:val="1"/>
          <w:numId w:val="10"/>
        </w:numPr>
        <w:tabs>
          <w:tab w:val="left" w:pos="525"/>
          <w:tab w:val="left" w:pos="945"/>
        </w:tabs>
        <w:kinsoku/>
        <w:wordWrap/>
        <w:overflowPunct/>
        <w:topLinePunct w:val="0"/>
        <w:autoSpaceDE/>
        <w:autoSpaceDN/>
        <w:bidi w:val="0"/>
        <w:adjustRightInd/>
        <w:snapToGrid/>
        <w:spacing w:line="360" w:lineRule="auto"/>
        <w:ind w:left="0" w:firstLine="527"/>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本项目无预付款，每</w:t>
      </w:r>
      <w:r>
        <w:rPr>
          <w:rFonts w:hint="eastAsia" w:ascii="宋体" w:hAnsi="宋体" w:eastAsia="宋体" w:cs="宋体"/>
          <w:bCs/>
          <w:color w:val="auto"/>
          <w:sz w:val="24"/>
          <w:highlight w:val="none"/>
          <w:lang w:val="en-US" w:eastAsia="zh-CN"/>
        </w:rPr>
        <w:t>季度</w:t>
      </w:r>
      <w:r>
        <w:rPr>
          <w:rFonts w:hint="eastAsia" w:ascii="宋体" w:hAnsi="宋体" w:eastAsia="宋体" w:cs="宋体"/>
          <w:bCs/>
          <w:color w:val="auto"/>
          <w:sz w:val="24"/>
          <w:highlight w:val="none"/>
        </w:rPr>
        <w:t>支付一次，以指派性拖车确认单、拖车水印图片、执法处理认证、现场指派签字单等作为请款依据，扣除考核罚款（如有）。且所有款项全部支付至中标单位基本账户。乙方应在付款前10个工作日内开具相应的增值税发票。</w:t>
      </w:r>
      <w:r>
        <w:rPr>
          <w:rFonts w:hint="eastAsia" w:ascii="宋体" w:hAnsi="宋体" w:eastAsia="宋体" w:cs="宋体"/>
          <w:bCs/>
          <w:sz w:val="24"/>
          <w:szCs w:val="24"/>
          <w:highlight w:val="none"/>
          <w:lang w:val="en-US" w:eastAsia="zh-CN"/>
        </w:rPr>
        <w:t>每次付款均在自收到</w:t>
      </w:r>
      <w:r>
        <w:rPr>
          <w:rFonts w:hint="eastAsia" w:ascii="宋体" w:hAnsi="宋体" w:cs="宋体"/>
          <w:bCs/>
          <w:sz w:val="24"/>
          <w:szCs w:val="24"/>
          <w:highlight w:val="none"/>
          <w:lang w:val="en-US" w:eastAsia="zh-CN"/>
        </w:rPr>
        <w:t>中标</w:t>
      </w:r>
      <w:r>
        <w:rPr>
          <w:rFonts w:hint="eastAsia" w:ascii="宋体" w:hAnsi="宋体" w:eastAsia="宋体" w:cs="宋体"/>
          <w:bCs/>
          <w:sz w:val="24"/>
          <w:szCs w:val="24"/>
          <w:highlight w:val="none"/>
          <w:lang w:val="en-US" w:eastAsia="zh-CN"/>
        </w:rPr>
        <w:t>供应商开具合法有效等额增值税发票后15日内支付。</w:t>
      </w:r>
    </w:p>
    <w:p>
      <w:pPr>
        <w:spacing w:line="500" w:lineRule="exact"/>
        <w:ind w:firstLine="480" w:firstLineChars="200"/>
        <w:jc w:val="left"/>
        <w:rPr>
          <w:rFonts w:hint="eastAsia" w:ascii="宋体" w:hAnsi="宋体" w:eastAsia="宋体" w:cs="宋体"/>
          <w:bCs/>
          <w:color w:val="auto"/>
          <w:sz w:val="24"/>
          <w:highlight w:val="none"/>
          <w:lang w:val="en-US"/>
        </w:rPr>
      </w:pPr>
      <w:r>
        <w:rPr>
          <w:rFonts w:hint="eastAsia" w:ascii="宋体" w:hAnsi="宋体" w:eastAsia="宋体" w:cs="宋体"/>
          <w:bCs/>
          <w:color w:val="auto"/>
          <w:sz w:val="24"/>
          <w:highlight w:val="none"/>
          <w:lang w:val="en-US"/>
        </w:rPr>
        <w:t>每辆车最高限价为：</w:t>
      </w:r>
    </w:p>
    <w:tbl>
      <w:tblPr>
        <w:tblStyle w:val="22"/>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964"/>
        <w:gridCol w:w="3483"/>
        <w:gridCol w:w="3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noWrap w:val="0"/>
            <w:vAlign w:val="center"/>
          </w:tcPr>
          <w:p>
            <w:pPr>
              <w:spacing w:line="50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1964" w:type="dxa"/>
            <w:noWrap w:val="0"/>
            <w:vAlign w:val="center"/>
          </w:tcPr>
          <w:p>
            <w:pPr>
              <w:spacing w:line="50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车型</w:t>
            </w:r>
          </w:p>
        </w:tc>
        <w:tc>
          <w:tcPr>
            <w:tcW w:w="3483" w:type="dxa"/>
            <w:noWrap w:val="0"/>
            <w:vAlign w:val="center"/>
          </w:tcPr>
          <w:p>
            <w:pPr>
              <w:spacing w:line="500" w:lineRule="exact"/>
              <w:jc w:val="center"/>
              <w:rPr>
                <w:rFonts w:hint="eastAsia" w:ascii="宋体" w:hAnsi="宋体" w:eastAsia="宋体" w:cs="宋体"/>
                <w:b/>
                <w:bCs w:val="0"/>
                <w:color w:val="auto"/>
                <w:sz w:val="21"/>
                <w:szCs w:val="21"/>
                <w:highlight w:val="none"/>
              </w:rPr>
            </w:pPr>
            <w:r>
              <w:rPr>
                <w:rFonts w:hint="eastAsia" w:ascii="宋体" w:hAnsi="宋体" w:cs="宋体"/>
                <w:color w:val="auto"/>
                <w:kern w:val="0"/>
                <w:highlight w:val="none"/>
                <w:lang w:bidi="ar"/>
              </w:rPr>
              <w:t>最高限价（元/</w:t>
            </w:r>
            <w:r>
              <w:rPr>
                <w:rFonts w:hint="eastAsia" w:ascii="宋体" w:hAnsi="宋体" w:cs="宋体"/>
                <w:color w:val="auto"/>
                <w:kern w:val="0"/>
                <w:highlight w:val="none"/>
                <w:lang w:val="en-US" w:eastAsia="zh-CN" w:bidi="ar"/>
              </w:rPr>
              <w:t>车或台</w:t>
            </w:r>
            <w:r>
              <w:rPr>
                <w:rFonts w:hint="eastAsia" w:ascii="宋体" w:hAnsi="宋体" w:cs="宋体"/>
                <w:color w:val="auto"/>
                <w:kern w:val="0"/>
                <w:highlight w:val="none"/>
                <w:lang w:bidi="ar"/>
              </w:rPr>
              <w:t>）</w:t>
            </w:r>
          </w:p>
        </w:tc>
        <w:tc>
          <w:tcPr>
            <w:tcW w:w="3483" w:type="dxa"/>
            <w:noWrap w:val="0"/>
            <w:vAlign w:val="center"/>
          </w:tcPr>
          <w:p>
            <w:pPr>
              <w:spacing w:line="500" w:lineRule="exact"/>
              <w:ind w:firstLine="422" w:firstLineChars="200"/>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noWrap w:val="0"/>
            <w:vAlign w:val="center"/>
          </w:tcPr>
          <w:p>
            <w:pPr>
              <w:spacing w:line="5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1</w:t>
            </w:r>
          </w:p>
        </w:tc>
        <w:tc>
          <w:tcPr>
            <w:tcW w:w="1964" w:type="dxa"/>
            <w:noWrap w:val="0"/>
            <w:vAlign w:val="center"/>
          </w:tcPr>
          <w:p>
            <w:pPr>
              <w:spacing w:line="5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一类车</w:t>
            </w:r>
          </w:p>
        </w:tc>
        <w:tc>
          <w:tcPr>
            <w:tcW w:w="3483" w:type="dxa"/>
            <w:noWrap w:val="0"/>
            <w:vAlign w:val="center"/>
          </w:tcPr>
          <w:p>
            <w:pPr>
              <w:spacing w:line="5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320元/台</w:t>
            </w:r>
          </w:p>
        </w:tc>
        <w:tc>
          <w:tcPr>
            <w:tcW w:w="3483" w:type="dxa"/>
            <w:noWrap w:val="0"/>
            <w:vAlign w:val="center"/>
          </w:tcPr>
          <w:p>
            <w:pPr>
              <w:spacing w:line="500" w:lineRule="exact"/>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7座及7座以下轿车、小型客车、2吨及2吨以下的小货车。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4" w:type="dxa"/>
            <w:noWrap w:val="0"/>
            <w:vAlign w:val="center"/>
          </w:tcPr>
          <w:p>
            <w:pPr>
              <w:spacing w:line="5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2</w:t>
            </w:r>
          </w:p>
        </w:tc>
        <w:tc>
          <w:tcPr>
            <w:tcW w:w="1964" w:type="dxa"/>
            <w:noWrap w:val="0"/>
            <w:vAlign w:val="center"/>
          </w:tcPr>
          <w:p>
            <w:pPr>
              <w:spacing w:line="5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二类车</w:t>
            </w:r>
          </w:p>
        </w:tc>
        <w:tc>
          <w:tcPr>
            <w:tcW w:w="3483" w:type="dxa"/>
            <w:noWrap w:val="0"/>
            <w:vAlign w:val="center"/>
          </w:tcPr>
          <w:p>
            <w:pPr>
              <w:spacing w:line="5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450元/台</w:t>
            </w:r>
          </w:p>
        </w:tc>
        <w:tc>
          <w:tcPr>
            <w:tcW w:w="3483" w:type="dxa"/>
            <w:noWrap w:val="0"/>
            <w:vAlign w:val="center"/>
          </w:tcPr>
          <w:p>
            <w:pPr>
              <w:spacing w:line="500" w:lineRule="exact"/>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8座以上至19座以下客车、2吨以上至5吨（含5吨）的货车。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4" w:type="dxa"/>
            <w:noWrap w:val="0"/>
            <w:vAlign w:val="center"/>
          </w:tcPr>
          <w:p>
            <w:pPr>
              <w:spacing w:line="500" w:lineRule="exact"/>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3</w:t>
            </w:r>
          </w:p>
        </w:tc>
        <w:tc>
          <w:tcPr>
            <w:tcW w:w="1964" w:type="dxa"/>
            <w:noWrap w:val="0"/>
            <w:vAlign w:val="center"/>
          </w:tcPr>
          <w:p>
            <w:pPr>
              <w:spacing w:line="5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三类车</w:t>
            </w:r>
          </w:p>
        </w:tc>
        <w:tc>
          <w:tcPr>
            <w:tcW w:w="3483" w:type="dxa"/>
            <w:noWrap w:val="0"/>
            <w:vAlign w:val="center"/>
          </w:tcPr>
          <w:p>
            <w:pPr>
              <w:spacing w:line="5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600元/台</w:t>
            </w:r>
          </w:p>
        </w:tc>
        <w:tc>
          <w:tcPr>
            <w:tcW w:w="3483" w:type="dxa"/>
            <w:noWrap w:val="0"/>
            <w:vAlign w:val="center"/>
          </w:tcPr>
          <w:p>
            <w:pPr>
              <w:spacing w:line="50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20座以上至39座以下客车、5吨以上至10吨（含10吨）的货车。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54" w:type="dxa"/>
            <w:noWrap w:val="0"/>
            <w:vAlign w:val="center"/>
          </w:tcPr>
          <w:p>
            <w:pPr>
              <w:spacing w:line="500" w:lineRule="exact"/>
              <w:ind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c>
          <w:tcPr>
            <w:tcW w:w="1964" w:type="dxa"/>
            <w:noWrap w:val="0"/>
            <w:vAlign w:val="center"/>
          </w:tcPr>
          <w:p>
            <w:pPr>
              <w:spacing w:line="5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四类车</w:t>
            </w:r>
          </w:p>
        </w:tc>
        <w:tc>
          <w:tcPr>
            <w:tcW w:w="3483" w:type="dxa"/>
            <w:noWrap w:val="0"/>
            <w:vAlign w:val="center"/>
          </w:tcPr>
          <w:p>
            <w:pPr>
              <w:spacing w:line="5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840元/台</w:t>
            </w:r>
          </w:p>
        </w:tc>
        <w:tc>
          <w:tcPr>
            <w:tcW w:w="3483" w:type="dxa"/>
            <w:noWrap w:val="0"/>
            <w:vAlign w:val="center"/>
          </w:tcPr>
          <w:p>
            <w:pPr>
              <w:spacing w:line="500" w:lineRule="exact"/>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40座以上（含40座）以上客车、10吨以上至15吨（含15吨）的货车。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4" w:type="dxa"/>
            <w:noWrap w:val="0"/>
            <w:vAlign w:val="center"/>
          </w:tcPr>
          <w:p>
            <w:pPr>
              <w:spacing w:line="500" w:lineRule="exact"/>
              <w:ind w:firstLine="420" w:firstLineChars="200"/>
              <w:jc w:val="both"/>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1964" w:type="dxa"/>
            <w:noWrap w:val="0"/>
            <w:vAlign w:val="center"/>
          </w:tcPr>
          <w:p>
            <w:pPr>
              <w:spacing w:line="5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五类车</w:t>
            </w:r>
          </w:p>
        </w:tc>
        <w:tc>
          <w:tcPr>
            <w:tcW w:w="3483" w:type="dxa"/>
            <w:noWrap w:val="0"/>
            <w:vAlign w:val="center"/>
          </w:tcPr>
          <w:p>
            <w:pPr>
              <w:spacing w:line="5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1000元/台</w:t>
            </w:r>
          </w:p>
        </w:tc>
        <w:tc>
          <w:tcPr>
            <w:tcW w:w="3483" w:type="dxa"/>
            <w:noWrap w:val="0"/>
            <w:vAlign w:val="center"/>
          </w:tcPr>
          <w:p>
            <w:pPr>
              <w:spacing w:line="500" w:lineRule="exact"/>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15吨以上的货车。</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注：（1）每辆车的报价不能超过规定的每辆车的最高限价；</w:t>
      </w:r>
    </w:p>
    <w:p>
      <w:pPr>
        <w:rPr>
          <w:highlight w:val="none"/>
        </w:rPr>
      </w:pPr>
      <w:r>
        <w:rPr>
          <w:rFonts w:hint="eastAsia" w:ascii="宋体" w:hAnsi="宋体" w:eastAsia="宋体" w:cs="宋体"/>
          <w:color w:val="auto"/>
          <w:sz w:val="24"/>
          <w:szCs w:val="24"/>
          <w:highlight w:val="none"/>
        </w:rPr>
        <w:t xml:space="preserve">    （2）每辆车的拖车数量按实结算。</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kern w:val="0"/>
          <w:sz w:val="24"/>
          <w:highlight w:val="none"/>
        </w:rPr>
      </w:pPr>
    </w:p>
    <w:p>
      <w:pPr>
        <w:rPr>
          <w:rFonts w:hint="eastAsia"/>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Cs/>
          <w:kern w:val="0"/>
          <w:sz w:val="24"/>
          <w:highlight w:val="none"/>
        </w:rPr>
      </w:pPr>
    </w:p>
    <w:p>
      <w:pPr>
        <w:widowControl/>
        <w:adjustRightInd w:val="0"/>
        <w:snapToGrid w:val="0"/>
        <w:spacing w:line="470" w:lineRule="exact"/>
        <w:ind w:firstLine="480" w:firstLineChars="200"/>
        <w:jc w:val="left"/>
        <w:rPr>
          <w:rFonts w:hint="eastAsia" w:ascii="宋体" w:hAnsi="宋体" w:eastAsia="宋体" w:cs="宋体"/>
          <w:bCs/>
          <w:kern w:val="0"/>
          <w:sz w:val="24"/>
          <w:highlight w:val="none"/>
          <w:lang w:val="en-US" w:eastAsia="zh-CN"/>
        </w:rPr>
      </w:pPr>
    </w:p>
    <w:p>
      <w:pPr>
        <w:spacing w:line="360" w:lineRule="auto"/>
        <w:jc w:val="center"/>
        <w:rPr>
          <w:rFonts w:hint="eastAsia" w:ascii="宋体" w:hAnsi="宋体" w:eastAsia="宋体" w:cs="宋体"/>
          <w:b/>
          <w:sz w:val="36"/>
          <w:szCs w:val="36"/>
          <w:highlight w:val="none"/>
        </w:rPr>
      </w:pPr>
    </w:p>
    <w:p>
      <w:pPr>
        <w:jc w:val="both"/>
        <w:rPr>
          <w:rFonts w:hint="eastAsia" w:ascii="黑体" w:eastAsia="黑体"/>
          <w:bCs/>
          <w:color w:val="000000"/>
          <w:sz w:val="28"/>
          <w:szCs w:val="28"/>
          <w:highlight w:val="none"/>
        </w:rPr>
      </w:pPr>
    </w:p>
    <w:p>
      <w:pPr>
        <w:jc w:val="center"/>
        <w:rPr>
          <w:rFonts w:hint="eastAsia" w:ascii="黑体" w:eastAsia="黑体"/>
          <w:bCs/>
          <w:color w:val="000000"/>
          <w:sz w:val="28"/>
          <w:szCs w:val="28"/>
          <w:highlight w:val="none"/>
        </w:rPr>
      </w:pPr>
    </w:p>
    <w:p>
      <w:pPr>
        <w:jc w:val="center"/>
        <w:rPr>
          <w:rFonts w:hint="eastAsia" w:ascii="黑体" w:eastAsia="黑体"/>
          <w:bCs/>
          <w:color w:val="000000"/>
          <w:sz w:val="28"/>
          <w:szCs w:val="28"/>
          <w:highlight w:val="none"/>
        </w:rPr>
      </w:pPr>
    </w:p>
    <w:p>
      <w:pPr>
        <w:jc w:val="center"/>
        <w:rPr>
          <w:rFonts w:hint="eastAsia" w:ascii="黑体" w:eastAsia="黑体"/>
          <w:bCs/>
          <w:color w:val="000000"/>
          <w:sz w:val="28"/>
          <w:szCs w:val="28"/>
          <w:highlight w:val="none"/>
        </w:rPr>
      </w:pPr>
    </w:p>
    <w:p>
      <w:pPr>
        <w:jc w:val="center"/>
        <w:rPr>
          <w:rFonts w:hint="eastAsia" w:ascii="黑体" w:eastAsia="黑体"/>
          <w:bCs/>
          <w:color w:val="000000"/>
          <w:sz w:val="28"/>
          <w:szCs w:val="28"/>
          <w:highlight w:val="none"/>
        </w:rPr>
      </w:pPr>
    </w:p>
    <w:p>
      <w:pPr>
        <w:jc w:val="center"/>
        <w:rPr>
          <w:rFonts w:hint="eastAsia" w:ascii="黑体" w:eastAsia="黑体"/>
          <w:bCs/>
          <w:color w:val="000000"/>
          <w:sz w:val="28"/>
          <w:szCs w:val="28"/>
          <w:highlight w:val="none"/>
        </w:rPr>
      </w:pPr>
    </w:p>
    <w:p>
      <w:pPr>
        <w:pStyle w:val="8"/>
        <w:numPr>
          <w:ilvl w:val="4"/>
          <w:numId w:val="0"/>
        </w:numPr>
        <w:ind w:leftChars="0"/>
        <w:rPr>
          <w:rFonts w:hint="eastAsia"/>
          <w:highlight w:val="none"/>
        </w:rPr>
      </w:pPr>
    </w:p>
    <w:p>
      <w:pPr>
        <w:rPr>
          <w:rFonts w:hint="eastAsia"/>
          <w:highlight w:val="none"/>
        </w:rPr>
      </w:pPr>
    </w:p>
    <w:p>
      <w:pPr>
        <w:pStyle w:val="2"/>
        <w:rPr>
          <w:rFonts w:hint="eastAsia"/>
          <w:highlight w:val="none"/>
        </w:rPr>
      </w:pPr>
    </w:p>
    <w:p>
      <w:pPr>
        <w:pStyle w:val="3"/>
        <w:rPr>
          <w:rFonts w:hint="eastAsia"/>
          <w:highlight w:val="none"/>
        </w:rPr>
      </w:pPr>
    </w:p>
    <w:p>
      <w:pPr>
        <w:rPr>
          <w:rFonts w:hint="eastAsia"/>
          <w:highlight w:val="none"/>
        </w:rPr>
      </w:pPr>
    </w:p>
    <w:p>
      <w:pPr>
        <w:jc w:val="both"/>
        <w:rPr>
          <w:rFonts w:hint="eastAsia" w:ascii="黑体" w:eastAsia="黑体"/>
          <w:bCs/>
          <w:color w:val="000000"/>
          <w:sz w:val="28"/>
          <w:szCs w:val="28"/>
          <w:highlight w:val="none"/>
        </w:rPr>
      </w:pPr>
    </w:p>
    <w:p>
      <w:pPr>
        <w:rPr>
          <w:rFonts w:hint="eastAsia" w:asciiTheme="majorEastAsia" w:hAnsiTheme="majorEastAsia" w:eastAsiaTheme="majorEastAsia" w:cstheme="majorEastAsia"/>
          <w:b/>
          <w:bCs/>
          <w:sz w:val="32"/>
          <w:szCs w:val="32"/>
          <w:highlight w:val="none"/>
          <w:lang w:val="en-US" w:eastAsia="zh-CN"/>
        </w:rPr>
      </w:pPr>
      <w:r>
        <w:rPr>
          <w:rFonts w:hint="eastAsia" w:asciiTheme="majorEastAsia" w:hAnsiTheme="majorEastAsia" w:eastAsiaTheme="majorEastAsia" w:cstheme="majorEastAsia"/>
          <w:b/>
          <w:bCs/>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2570" w:firstLineChars="800"/>
        <w:jc w:val="left"/>
        <w:textAlignment w:val="auto"/>
        <w:rPr>
          <w:rFonts w:hint="eastAsia" w:asciiTheme="majorEastAsia" w:hAnsiTheme="majorEastAsia" w:eastAsiaTheme="majorEastAsia" w:cstheme="majorEastAsia"/>
          <w:b/>
          <w:bCs/>
          <w:sz w:val="32"/>
          <w:szCs w:val="32"/>
          <w:highlight w:val="none"/>
          <w:lang w:val="en-US" w:eastAsia="zh-CN"/>
        </w:rPr>
      </w:pPr>
      <w:r>
        <w:rPr>
          <w:rFonts w:hint="eastAsia" w:asciiTheme="majorEastAsia" w:hAnsiTheme="majorEastAsia" w:eastAsiaTheme="majorEastAsia" w:cstheme="majorEastAsia"/>
          <w:b/>
          <w:bCs/>
          <w:sz w:val="32"/>
          <w:szCs w:val="32"/>
          <w:highlight w:val="none"/>
          <w:lang w:val="en-US" w:eastAsia="zh-CN"/>
        </w:rPr>
        <w:t>四．合同书（格式）</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jc w:val="left"/>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2024年瞻江街道机动车拖车项目</w:t>
      </w:r>
      <w:r>
        <w:rPr>
          <w:rFonts w:hint="eastAsia" w:ascii="宋体" w:hAnsi="宋体" w:eastAsia="宋体" w:cs="宋体"/>
          <w:bCs/>
          <w:color w:val="auto"/>
          <w:sz w:val="24"/>
          <w:highlight w:val="none"/>
        </w:rPr>
        <w:t>合同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合同号：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甲方</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采购方</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 xml:space="preserve">： </w:t>
            </w:r>
          </w:p>
        </w:tc>
        <w:tc>
          <w:tcPr>
            <w:tcW w:w="4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供</w:t>
            </w:r>
            <w:r>
              <w:rPr>
                <w:rFonts w:hint="eastAsia" w:ascii="宋体" w:hAnsi="宋体" w:eastAsia="宋体" w:cs="宋体"/>
                <w:bCs/>
                <w:color w:val="auto"/>
                <w:sz w:val="24"/>
                <w:highlight w:val="none"/>
              </w:rPr>
              <w:t>方</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供应方</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地址：</w:t>
            </w:r>
          </w:p>
        </w:tc>
        <w:tc>
          <w:tcPr>
            <w:tcW w:w="4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邮政编码：</w:t>
            </w:r>
          </w:p>
        </w:tc>
        <w:tc>
          <w:tcPr>
            <w:tcW w:w="4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电话：</w:t>
            </w:r>
          </w:p>
        </w:tc>
        <w:tc>
          <w:tcPr>
            <w:tcW w:w="4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传真：</w:t>
            </w:r>
          </w:p>
        </w:tc>
        <w:tc>
          <w:tcPr>
            <w:tcW w:w="4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开户银行：</w:t>
            </w:r>
          </w:p>
        </w:tc>
        <w:tc>
          <w:tcPr>
            <w:tcW w:w="4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帐号：</w:t>
            </w:r>
          </w:p>
        </w:tc>
        <w:tc>
          <w:tcPr>
            <w:tcW w:w="4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税务登记号：</w:t>
            </w:r>
          </w:p>
        </w:tc>
        <w:tc>
          <w:tcPr>
            <w:tcW w:w="426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税务登记号：</w:t>
            </w:r>
          </w:p>
        </w:tc>
      </w:tr>
    </w:tbl>
    <w:p>
      <w:pPr>
        <w:spacing w:line="360" w:lineRule="auto"/>
        <w:jc w:val="left"/>
        <w:rPr>
          <w:rFonts w:hint="eastAsia"/>
          <w:color w:val="0000FF"/>
          <w:sz w:val="24"/>
          <w:highlight w:val="none"/>
        </w:rPr>
      </w:pP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根据《中华人民共和国民法典》、《中华人民共和国政府采购法》以及有关法律、法规，在自愿、平等、协商一致的基础上，甲乙双方就拖车服务项目订立本协议。</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第</w:t>
      </w:r>
      <w:r>
        <w:rPr>
          <w:rFonts w:hint="eastAsia" w:ascii="宋体" w:hAnsi="宋体" w:cs="Times New Roman"/>
          <w:bCs/>
          <w:sz w:val="24"/>
          <w:szCs w:val="21"/>
          <w:highlight w:val="none"/>
          <w:shd w:val="clear" w:color="auto" w:fill="FFFFFF"/>
          <w:lang w:val="en-US" w:eastAsia="zh-CN"/>
        </w:rPr>
        <w:t>一</w:t>
      </w:r>
      <w:r>
        <w:rPr>
          <w:rFonts w:hint="eastAsia" w:ascii="宋体" w:hAnsi="宋体" w:eastAsia="宋体" w:cs="Times New Roman"/>
          <w:bCs/>
          <w:sz w:val="24"/>
          <w:szCs w:val="21"/>
          <w:highlight w:val="none"/>
          <w:shd w:val="clear" w:color="auto" w:fill="FFFFFF"/>
        </w:rPr>
        <w:t>条在本协议服务期内，乙方提供配合辖区交警、城管部门对辖区范围内市政道路、其他道路、绿化养护范围内的违停车辆进行拖移和停放以及其他临时性指派拖移服务。</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第二条服务范围:</w:t>
      </w:r>
      <w:r>
        <w:rPr>
          <w:rFonts w:hint="eastAsia" w:ascii="宋体" w:hAnsi="宋体" w:eastAsia="宋体" w:cs="Times New Roman"/>
          <w:bCs/>
          <w:sz w:val="24"/>
          <w:szCs w:val="21"/>
          <w:highlight w:val="none"/>
          <w:shd w:val="clear" w:color="auto" w:fill="FFFFFF"/>
          <w:lang w:eastAsia="zh-CN"/>
        </w:rPr>
        <w:t>针对无锡市梁溪区瞻江街道辖区内日常城市管理工作中存在车辆违法占道停放、占道经营以及其他违法违规停放行为，配合辖区交警、城管部门对辖区范围内市政道路、其他道路、绿化养护范围内的违停车辆进行拖移和停放以及其他临时性指派拖移服务。</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 xml:space="preserve">第三条服务期限: </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服务期限为自</w:t>
      </w:r>
      <w:r>
        <w:rPr>
          <w:rFonts w:hint="eastAsia" w:ascii="宋体" w:hAnsi="宋体" w:cs="Times New Roman"/>
          <w:bCs/>
          <w:sz w:val="24"/>
          <w:szCs w:val="21"/>
          <w:highlight w:val="none"/>
          <w:u w:val="single"/>
          <w:shd w:val="clear" w:color="auto" w:fill="FFFFFF"/>
          <w:lang w:val="en-US" w:eastAsia="zh-CN"/>
        </w:rPr>
        <w:t xml:space="preserve">     </w:t>
      </w:r>
      <w:r>
        <w:rPr>
          <w:rFonts w:hint="eastAsia" w:ascii="宋体" w:hAnsi="宋体" w:eastAsia="宋体" w:cs="Times New Roman"/>
          <w:bCs/>
          <w:sz w:val="24"/>
          <w:szCs w:val="21"/>
          <w:highlight w:val="none"/>
          <w:shd w:val="clear" w:color="auto" w:fill="FFFFFF"/>
        </w:rPr>
        <w:t>年</w:t>
      </w:r>
      <w:r>
        <w:rPr>
          <w:rFonts w:hint="eastAsia" w:ascii="宋体" w:hAnsi="宋体" w:eastAsia="宋体" w:cs="Times New Roman"/>
          <w:bCs/>
          <w:sz w:val="24"/>
          <w:szCs w:val="21"/>
          <w:highlight w:val="none"/>
          <w:u w:val="single"/>
          <w:shd w:val="clear" w:color="auto" w:fill="FFFFFF"/>
        </w:rPr>
        <w:t xml:space="preserve">    </w:t>
      </w:r>
      <w:r>
        <w:rPr>
          <w:rFonts w:hint="eastAsia" w:ascii="宋体" w:hAnsi="宋体" w:eastAsia="宋体" w:cs="Times New Roman"/>
          <w:bCs/>
          <w:sz w:val="24"/>
          <w:szCs w:val="21"/>
          <w:highlight w:val="none"/>
          <w:shd w:val="clear" w:color="auto" w:fill="FFFFFF"/>
        </w:rPr>
        <w:t>月</w:t>
      </w:r>
      <w:r>
        <w:rPr>
          <w:rFonts w:hint="eastAsia" w:ascii="宋体" w:hAnsi="宋体" w:eastAsia="宋体" w:cs="Times New Roman"/>
          <w:bCs/>
          <w:sz w:val="24"/>
          <w:szCs w:val="21"/>
          <w:highlight w:val="none"/>
          <w:u w:val="single"/>
          <w:shd w:val="clear" w:color="auto" w:fill="FFFFFF"/>
        </w:rPr>
        <w:t xml:space="preserve">    </w:t>
      </w:r>
      <w:r>
        <w:rPr>
          <w:rFonts w:hint="eastAsia" w:ascii="宋体" w:hAnsi="宋体" w:eastAsia="宋体" w:cs="Times New Roman"/>
          <w:bCs/>
          <w:sz w:val="24"/>
          <w:szCs w:val="21"/>
          <w:highlight w:val="none"/>
          <w:shd w:val="clear" w:color="auto" w:fill="FFFFFF"/>
        </w:rPr>
        <w:t>日起至</w:t>
      </w:r>
      <w:r>
        <w:rPr>
          <w:rFonts w:hint="eastAsia" w:ascii="宋体" w:hAnsi="宋体" w:cs="Times New Roman"/>
          <w:bCs/>
          <w:sz w:val="24"/>
          <w:szCs w:val="21"/>
          <w:highlight w:val="none"/>
          <w:u w:val="single"/>
          <w:shd w:val="clear" w:color="auto" w:fill="FFFFFF"/>
          <w:lang w:val="en-US" w:eastAsia="zh-CN"/>
        </w:rPr>
        <w:t xml:space="preserve">     </w:t>
      </w:r>
      <w:r>
        <w:rPr>
          <w:rFonts w:hint="eastAsia" w:ascii="宋体" w:hAnsi="宋体" w:eastAsia="宋体" w:cs="Times New Roman"/>
          <w:bCs/>
          <w:sz w:val="24"/>
          <w:szCs w:val="21"/>
          <w:highlight w:val="none"/>
          <w:shd w:val="clear" w:color="auto" w:fill="FFFFFF"/>
        </w:rPr>
        <w:t>年</w:t>
      </w:r>
      <w:r>
        <w:rPr>
          <w:rFonts w:hint="eastAsia" w:ascii="宋体" w:hAnsi="宋体" w:eastAsia="宋体" w:cs="Times New Roman"/>
          <w:bCs/>
          <w:sz w:val="24"/>
          <w:szCs w:val="21"/>
          <w:highlight w:val="none"/>
          <w:u w:val="single"/>
          <w:shd w:val="clear" w:color="auto" w:fill="FFFFFF"/>
        </w:rPr>
        <w:t xml:space="preserve">    </w:t>
      </w:r>
      <w:r>
        <w:rPr>
          <w:rFonts w:hint="eastAsia" w:ascii="宋体" w:hAnsi="宋体" w:eastAsia="宋体" w:cs="Times New Roman"/>
          <w:bCs/>
          <w:sz w:val="24"/>
          <w:szCs w:val="21"/>
          <w:highlight w:val="none"/>
          <w:shd w:val="clear" w:color="auto" w:fill="FFFFFF"/>
        </w:rPr>
        <w:t>月</w:t>
      </w:r>
      <w:r>
        <w:rPr>
          <w:rFonts w:hint="eastAsia" w:ascii="宋体" w:hAnsi="宋体" w:eastAsia="宋体" w:cs="Times New Roman"/>
          <w:bCs/>
          <w:sz w:val="24"/>
          <w:szCs w:val="21"/>
          <w:highlight w:val="none"/>
          <w:u w:val="single"/>
          <w:shd w:val="clear" w:color="auto" w:fill="FFFFFF"/>
        </w:rPr>
        <w:t xml:space="preserve">    </w:t>
      </w:r>
      <w:r>
        <w:rPr>
          <w:rFonts w:hint="eastAsia" w:ascii="宋体" w:hAnsi="宋体" w:eastAsia="宋体" w:cs="Times New Roman"/>
          <w:bCs/>
          <w:sz w:val="24"/>
          <w:szCs w:val="21"/>
          <w:highlight w:val="none"/>
          <w:shd w:val="clear" w:color="auto" w:fill="FFFFFF"/>
        </w:rPr>
        <w:t>日止。</w:t>
      </w:r>
    </w:p>
    <w:p>
      <w:pPr>
        <w:keepNext w:val="0"/>
        <w:keepLines w:val="0"/>
        <w:pageBreakBefore w:val="0"/>
        <w:kinsoku/>
        <w:wordWrap/>
        <w:overflowPunct/>
        <w:topLinePunct w:val="0"/>
        <w:bidi w:val="0"/>
        <w:spacing w:line="360" w:lineRule="auto"/>
        <w:ind w:firstLine="480" w:firstLineChars="200"/>
        <w:rPr>
          <w:rFonts w:hint="eastAsia" w:ascii="宋体" w:hAnsi="宋体" w:cs="Times New Roman"/>
          <w:bCs/>
          <w:sz w:val="24"/>
          <w:szCs w:val="21"/>
          <w:highlight w:val="none"/>
          <w:shd w:val="clear" w:color="auto" w:fill="FFFFFF"/>
          <w:lang w:eastAsia="zh-CN"/>
        </w:rPr>
      </w:pPr>
      <w:r>
        <w:rPr>
          <w:rFonts w:hint="eastAsia" w:ascii="宋体" w:hAnsi="宋体" w:eastAsia="宋体" w:cs="Times New Roman"/>
          <w:bCs/>
          <w:sz w:val="24"/>
          <w:szCs w:val="21"/>
          <w:highlight w:val="none"/>
          <w:shd w:val="clear" w:color="auto" w:fill="FFFFFF"/>
        </w:rPr>
        <w:t>第四条价格</w:t>
      </w:r>
      <w:r>
        <w:rPr>
          <w:rFonts w:hint="eastAsia" w:ascii="宋体" w:hAnsi="宋体" w:cs="Times New Roman"/>
          <w:bCs/>
          <w:sz w:val="24"/>
          <w:szCs w:val="21"/>
          <w:highlight w:val="none"/>
          <w:shd w:val="clear" w:color="auto" w:fill="FFFFFF"/>
          <w:lang w:val="en-US" w:eastAsia="zh-CN"/>
        </w:rPr>
        <w:t>与支付</w:t>
      </w:r>
      <w:r>
        <w:rPr>
          <w:rFonts w:hint="eastAsia" w:ascii="宋体" w:hAnsi="宋体" w:eastAsia="宋体" w:cs="Times New Roman"/>
          <w:bCs/>
          <w:sz w:val="24"/>
          <w:szCs w:val="21"/>
          <w:highlight w:val="none"/>
          <w:shd w:val="clear" w:color="auto" w:fill="FFFFFF"/>
        </w:rPr>
        <w:t>:</w:t>
      </w:r>
    </w:p>
    <w:p>
      <w:pPr>
        <w:keepNext w:val="0"/>
        <w:keepLines w:val="0"/>
        <w:pageBreakBefore w:val="0"/>
        <w:kinsoku/>
        <w:wordWrap/>
        <w:overflowPunct/>
        <w:topLinePunct w:val="0"/>
        <w:bidi w:val="0"/>
        <w:spacing w:line="360" w:lineRule="auto"/>
        <w:ind w:firstLine="480" w:firstLineChars="200"/>
        <w:rPr>
          <w:rFonts w:hint="eastAsia" w:ascii="宋体" w:hAnsi="宋体" w:cs="Times New Roman"/>
          <w:bCs/>
          <w:sz w:val="24"/>
          <w:szCs w:val="21"/>
          <w:highlight w:val="none"/>
          <w:shd w:val="clear" w:color="auto" w:fill="FFFFFF"/>
          <w:lang w:eastAsia="zh-CN"/>
        </w:rPr>
      </w:pPr>
      <w:r>
        <w:rPr>
          <w:rFonts w:hint="eastAsia" w:ascii="宋体" w:hAnsi="宋体" w:cs="Times New Roman"/>
          <w:bCs/>
          <w:sz w:val="24"/>
          <w:szCs w:val="21"/>
          <w:highlight w:val="none"/>
          <w:u w:val="none"/>
          <w:shd w:val="clear" w:color="auto" w:fill="FFFFFF"/>
          <w:lang w:val="en-US" w:eastAsia="zh-CN"/>
        </w:rPr>
        <w:t>一类车</w:t>
      </w:r>
      <w:r>
        <w:rPr>
          <w:rFonts w:hint="eastAsia" w:ascii="宋体" w:hAnsi="宋体" w:cs="Times New Roman"/>
          <w:bCs/>
          <w:sz w:val="24"/>
          <w:szCs w:val="21"/>
          <w:highlight w:val="none"/>
          <w:u w:val="single"/>
          <w:shd w:val="clear" w:color="auto" w:fill="FFFFFF"/>
          <w:lang w:val="en-US" w:eastAsia="zh-CN"/>
        </w:rPr>
        <w:t xml:space="preserve">       </w:t>
      </w:r>
      <w:r>
        <w:rPr>
          <w:rFonts w:hint="eastAsia" w:ascii="宋体" w:hAnsi="宋体" w:eastAsia="宋体" w:cs="Times New Roman"/>
          <w:bCs/>
          <w:sz w:val="24"/>
          <w:szCs w:val="21"/>
          <w:highlight w:val="none"/>
          <w:shd w:val="clear" w:color="auto" w:fill="FFFFFF"/>
        </w:rPr>
        <w:t>元/车</w:t>
      </w:r>
      <w:r>
        <w:rPr>
          <w:rFonts w:hint="eastAsia" w:ascii="宋体" w:hAnsi="宋体" w:cs="Times New Roman"/>
          <w:bCs/>
          <w:sz w:val="24"/>
          <w:szCs w:val="21"/>
          <w:highlight w:val="none"/>
          <w:shd w:val="clear" w:color="auto" w:fill="FFFFFF"/>
          <w:lang w:eastAsia="zh-CN"/>
        </w:rPr>
        <w:t>（</w:t>
      </w:r>
      <w:r>
        <w:rPr>
          <w:rFonts w:hint="eastAsia" w:ascii="宋体" w:hAnsi="宋体" w:cs="Times New Roman"/>
          <w:bCs/>
          <w:sz w:val="24"/>
          <w:szCs w:val="21"/>
          <w:highlight w:val="none"/>
          <w:shd w:val="clear" w:color="auto" w:fill="FFFFFF"/>
          <w:lang w:val="en-US" w:eastAsia="zh-CN"/>
        </w:rPr>
        <w:t>备注：7座及7座以下轿车、小型客车、2吨及2吨以下的小货车</w:t>
      </w:r>
      <w:r>
        <w:rPr>
          <w:rFonts w:hint="eastAsia" w:ascii="宋体" w:hAnsi="宋体" w:eastAsia="宋体" w:cs="Times New Roman"/>
          <w:bCs/>
          <w:sz w:val="24"/>
          <w:szCs w:val="21"/>
          <w:highlight w:val="none"/>
          <w:shd w:val="clear" w:color="auto" w:fill="FFFFFF"/>
          <w:lang w:val="en-US" w:eastAsia="zh-CN"/>
        </w:rPr>
        <w:t>。</w:t>
      </w:r>
      <w:r>
        <w:rPr>
          <w:rFonts w:hint="eastAsia" w:ascii="宋体" w:hAnsi="宋体" w:cs="Times New Roman"/>
          <w:bCs/>
          <w:sz w:val="24"/>
          <w:szCs w:val="21"/>
          <w:highlight w:val="none"/>
          <w:shd w:val="clear" w:color="auto" w:fill="FFFFFF"/>
          <w:lang w:eastAsia="zh-CN"/>
        </w:rPr>
        <w:t>）</w:t>
      </w:r>
    </w:p>
    <w:p>
      <w:pPr>
        <w:keepNext w:val="0"/>
        <w:keepLines w:val="0"/>
        <w:pageBreakBefore w:val="0"/>
        <w:kinsoku/>
        <w:wordWrap/>
        <w:overflowPunct/>
        <w:topLinePunct w:val="0"/>
        <w:bidi w:val="0"/>
        <w:spacing w:line="360" w:lineRule="auto"/>
        <w:ind w:firstLine="480" w:firstLineChars="200"/>
        <w:rPr>
          <w:rFonts w:hint="eastAsia" w:ascii="宋体" w:hAnsi="宋体" w:cs="Times New Roman"/>
          <w:bCs/>
          <w:sz w:val="24"/>
          <w:szCs w:val="21"/>
          <w:highlight w:val="none"/>
          <w:u w:val="none"/>
          <w:shd w:val="clear" w:color="auto" w:fill="FFFFFF"/>
          <w:lang w:val="en-US" w:eastAsia="zh-CN"/>
        </w:rPr>
      </w:pPr>
      <w:r>
        <w:rPr>
          <w:rFonts w:hint="eastAsia" w:ascii="宋体" w:hAnsi="宋体" w:cs="Times New Roman"/>
          <w:bCs/>
          <w:sz w:val="24"/>
          <w:szCs w:val="21"/>
          <w:highlight w:val="none"/>
          <w:u w:val="none"/>
          <w:shd w:val="clear" w:color="auto" w:fill="FFFFFF"/>
          <w:lang w:val="en-US" w:eastAsia="zh-CN"/>
        </w:rPr>
        <w:t>二类车</w:t>
      </w:r>
      <w:r>
        <w:rPr>
          <w:rFonts w:hint="eastAsia" w:ascii="宋体" w:hAnsi="宋体" w:cs="Times New Roman"/>
          <w:bCs/>
          <w:sz w:val="24"/>
          <w:szCs w:val="21"/>
          <w:highlight w:val="none"/>
          <w:u w:val="single"/>
          <w:shd w:val="clear" w:color="auto" w:fill="FFFFFF"/>
          <w:lang w:val="en-US" w:eastAsia="zh-CN"/>
        </w:rPr>
        <w:t xml:space="preserve">       </w:t>
      </w:r>
      <w:r>
        <w:rPr>
          <w:rFonts w:hint="eastAsia" w:ascii="宋体" w:hAnsi="宋体" w:eastAsia="宋体" w:cs="Times New Roman"/>
          <w:bCs/>
          <w:sz w:val="24"/>
          <w:szCs w:val="21"/>
          <w:highlight w:val="none"/>
          <w:shd w:val="clear" w:color="auto" w:fill="FFFFFF"/>
        </w:rPr>
        <w:t>元/车</w:t>
      </w:r>
      <w:r>
        <w:rPr>
          <w:rFonts w:hint="eastAsia" w:ascii="宋体" w:hAnsi="宋体" w:cs="Times New Roman"/>
          <w:bCs/>
          <w:sz w:val="24"/>
          <w:szCs w:val="21"/>
          <w:highlight w:val="none"/>
          <w:shd w:val="clear" w:color="auto" w:fill="FFFFFF"/>
          <w:lang w:eastAsia="zh-CN"/>
        </w:rPr>
        <w:t>（</w:t>
      </w:r>
      <w:r>
        <w:rPr>
          <w:rFonts w:hint="eastAsia" w:ascii="宋体" w:hAnsi="宋体" w:cs="Times New Roman"/>
          <w:bCs/>
          <w:sz w:val="24"/>
          <w:szCs w:val="21"/>
          <w:highlight w:val="none"/>
          <w:u w:val="none"/>
          <w:shd w:val="clear" w:color="auto" w:fill="FFFFFF"/>
          <w:lang w:val="en-US" w:eastAsia="zh-CN"/>
        </w:rPr>
        <w:t>备注：8座以上至19座以下客车、2吨以上至5吨（含5吨）的货车。）</w:t>
      </w:r>
    </w:p>
    <w:p>
      <w:pPr>
        <w:keepNext w:val="0"/>
        <w:keepLines w:val="0"/>
        <w:pageBreakBefore w:val="0"/>
        <w:kinsoku/>
        <w:wordWrap/>
        <w:overflowPunct/>
        <w:topLinePunct w:val="0"/>
        <w:bidi w:val="0"/>
        <w:spacing w:line="360" w:lineRule="auto"/>
        <w:ind w:firstLine="480" w:firstLineChars="200"/>
        <w:rPr>
          <w:rFonts w:hint="eastAsia" w:ascii="宋体" w:hAnsi="宋体" w:cs="Times New Roman"/>
          <w:bCs/>
          <w:sz w:val="24"/>
          <w:szCs w:val="21"/>
          <w:highlight w:val="none"/>
          <w:u w:val="none"/>
          <w:shd w:val="clear" w:color="auto" w:fill="FFFFFF"/>
          <w:lang w:val="en-US" w:eastAsia="zh-CN"/>
        </w:rPr>
      </w:pPr>
      <w:r>
        <w:rPr>
          <w:rFonts w:hint="eastAsia" w:ascii="宋体" w:hAnsi="宋体" w:cs="Times New Roman"/>
          <w:bCs/>
          <w:sz w:val="24"/>
          <w:szCs w:val="21"/>
          <w:highlight w:val="none"/>
          <w:u w:val="none"/>
          <w:shd w:val="clear" w:color="auto" w:fill="FFFFFF"/>
          <w:lang w:val="en-US" w:eastAsia="zh-CN"/>
        </w:rPr>
        <w:t>三类车</w:t>
      </w:r>
      <w:r>
        <w:rPr>
          <w:rFonts w:hint="eastAsia" w:ascii="宋体" w:hAnsi="宋体" w:cs="Times New Roman"/>
          <w:bCs/>
          <w:sz w:val="24"/>
          <w:szCs w:val="21"/>
          <w:highlight w:val="none"/>
          <w:u w:val="single"/>
          <w:shd w:val="clear" w:color="auto" w:fill="FFFFFF"/>
          <w:lang w:val="en-US" w:eastAsia="zh-CN"/>
        </w:rPr>
        <w:t xml:space="preserve">       </w:t>
      </w:r>
      <w:r>
        <w:rPr>
          <w:rFonts w:hint="eastAsia" w:ascii="宋体" w:hAnsi="宋体" w:eastAsia="宋体" w:cs="Times New Roman"/>
          <w:bCs/>
          <w:sz w:val="24"/>
          <w:szCs w:val="21"/>
          <w:highlight w:val="none"/>
          <w:shd w:val="clear" w:color="auto" w:fill="FFFFFF"/>
        </w:rPr>
        <w:t>元/车</w:t>
      </w:r>
      <w:r>
        <w:rPr>
          <w:rFonts w:hint="eastAsia" w:ascii="宋体" w:hAnsi="宋体" w:cs="Times New Roman"/>
          <w:bCs/>
          <w:sz w:val="24"/>
          <w:szCs w:val="21"/>
          <w:highlight w:val="none"/>
          <w:u w:val="none"/>
          <w:shd w:val="clear" w:color="auto" w:fill="FFFFFF"/>
          <w:lang w:val="en-US" w:eastAsia="zh-CN"/>
        </w:rPr>
        <w:t>（备注：20座以上至39座以下客车、5吨以上至10吨（含10吨）的货车。）</w:t>
      </w:r>
    </w:p>
    <w:p>
      <w:pPr>
        <w:keepNext w:val="0"/>
        <w:keepLines w:val="0"/>
        <w:pageBreakBefore w:val="0"/>
        <w:kinsoku/>
        <w:wordWrap/>
        <w:overflowPunct/>
        <w:topLinePunct w:val="0"/>
        <w:bidi w:val="0"/>
        <w:spacing w:line="360" w:lineRule="auto"/>
        <w:ind w:firstLine="480" w:firstLineChars="200"/>
        <w:rPr>
          <w:rFonts w:hint="eastAsia" w:ascii="宋体" w:hAnsi="宋体" w:cs="Times New Roman"/>
          <w:bCs/>
          <w:sz w:val="24"/>
          <w:szCs w:val="21"/>
          <w:highlight w:val="none"/>
          <w:u w:val="none"/>
          <w:shd w:val="clear" w:color="auto" w:fill="FFFFFF"/>
          <w:lang w:val="en-US" w:eastAsia="zh-CN"/>
        </w:rPr>
      </w:pPr>
      <w:r>
        <w:rPr>
          <w:rFonts w:hint="eastAsia" w:ascii="宋体" w:hAnsi="宋体" w:cs="Times New Roman"/>
          <w:bCs/>
          <w:sz w:val="24"/>
          <w:szCs w:val="21"/>
          <w:highlight w:val="none"/>
          <w:u w:val="none"/>
          <w:shd w:val="clear" w:color="auto" w:fill="FFFFFF"/>
          <w:lang w:val="en-US" w:eastAsia="zh-CN"/>
        </w:rPr>
        <w:t>四类车</w:t>
      </w:r>
      <w:r>
        <w:rPr>
          <w:rFonts w:hint="eastAsia" w:ascii="宋体" w:hAnsi="宋体" w:cs="Times New Roman"/>
          <w:bCs/>
          <w:sz w:val="24"/>
          <w:szCs w:val="21"/>
          <w:highlight w:val="none"/>
          <w:u w:val="single"/>
          <w:shd w:val="clear" w:color="auto" w:fill="FFFFFF"/>
          <w:lang w:val="en-US" w:eastAsia="zh-CN"/>
        </w:rPr>
        <w:t xml:space="preserve">       </w:t>
      </w:r>
      <w:r>
        <w:rPr>
          <w:rFonts w:hint="eastAsia" w:ascii="宋体" w:hAnsi="宋体" w:eastAsia="宋体" w:cs="Times New Roman"/>
          <w:bCs/>
          <w:sz w:val="24"/>
          <w:szCs w:val="21"/>
          <w:highlight w:val="none"/>
          <w:shd w:val="clear" w:color="auto" w:fill="FFFFFF"/>
        </w:rPr>
        <w:t>元/车</w:t>
      </w:r>
      <w:r>
        <w:rPr>
          <w:rFonts w:hint="eastAsia" w:ascii="宋体" w:hAnsi="宋体" w:cs="Times New Roman"/>
          <w:bCs/>
          <w:sz w:val="24"/>
          <w:szCs w:val="21"/>
          <w:highlight w:val="none"/>
          <w:shd w:val="clear" w:color="auto" w:fill="FFFFFF"/>
          <w:lang w:eastAsia="zh-CN"/>
        </w:rPr>
        <w:t>（</w:t>
      </w:r>
      <w:r>
        <w:rPr>
          <w:rFonts w:hint="eastAsia" w:ascii="宋体" w:hAnsi="宋体" w:cs="Times New Roman"/>
          <w:bCs/>
          <w:sz w:val="24"/>
          <w:szCs w:val="21"/>
          <w:highlight w:val="none"/>
          <w:u w:val="none"/>
          <w:shd w:val="clear" w:color="auto" w:fill="FFFFFF"/>
          <w:lang w:val="en-US" w:eastAsia="zh-CN"/>
        </w:rPr>
        <w:t>备注：40座以上（含40座）以上客车、10吨以上至15吨（含15吨）的货车。）</w:t>
      </w:r>
    </w:p>
    <w:p>
      <w:pPr>
        <w:keepNext w:val="0"/>
        <w:keepLines w:val="0"/>
        <w:pageBreakBefore w:val="0"/>
        <w:kinsoku/>
        <w:wordWrap/>
        <w:overflowPunct/>
        <w:topLinePunct w:val="0"/>
        <w:bidi w:val="0"/>
        <w:spacing w:line="360" w:lineRule="auto"/>
        <w:ind w:firstLine="480" w:firstLineChars="200"/>
        <w:rPr>
          <w:rFonts w:hint="eastAsia" w:ascii="宋体" w:hAnsi="宋体" w:cs="Times New Roman"/>
          <w:bCs/>
          <w:sz w:val="24"/>
          <w:szCs w:val="21"/>
          <w:highlight w:val="none"/>
          <w:u w:val="none"/>
          <w:shd w:val="clear" w:color="auto" w:fill="FFFFFF"/>
          <w:lang w:val="en-US" w:eastAsia="zh-CN"/>
        </w:rPr>
      </w:pPr>
      <w:r>
        <w:rPr>
          <w:rFonts w:hint="eastAsia" w:ascii="宋体" w:hAnsi="宋体" w:cs="Times New Roman"/>
          <w:bCs/>
          <w:sz w:val="24"/>
          <w:szCs w:val="21"/>
          <w:highlight w:val="none"/>
          <w:u w:val="none"/>
          <w:shd w:val="clear" w:color="auto" w:fill="FFFFFF"/>
          <w:lang w:val="en-US" w:eastAsia="zh-CN"/>
        </w:rPr>
        <w:t>五类车</w:t>
      </w:r>
      <w:r>
        <w:rPr>
          <w:rFonts w:hint="eastAsia" w:ascii="宋体" w:hAnsi="宋体" w:cs="Times New Roman"/>
          <w:bCs/>
          <w:sz w:val="24"/>
          <w:szCs w:val="21"/>
          <w:highlight w:val="none"/>
          <w:u w:val="single"/>
          <w:shd w:val="clear" w:color="auto" w:fill="FFFFFF"/>
          <w:lang w:val="en-US" w:eastAsia="zh-CN"/>
        </w:rPr>
        <w:t xml:space="preserve">       </w:t>
      </w:r>
      <w:r>
        <w:rPr>
          <w:rFonts w:hint="eastAsia" w:ascii="宋体" w:hAnsi="宋体" w:eastAsia="宋体" w:cs="Times New Roman"/>
          <w:bCs/>
          <w:sz w:val="24"/>
          <w:szCs w:val="21"/>
          <w:highlight w:val="none"/>
          <w:shd w:val="clear" w:color="auto" w:fill="FFFFFF"/>
        </w:rPr>
        <w:t>元/车</w:t>
      </w:r>
      <w:r>
        <w:rPr>
          <w:rFonts w:hint="eastAsia" w:ascii="宋体" w:hAnsi="宋体" w:cs="Times New Roman"/>
          <w:bCs/>
          <w:sz w:val="24"/>
          <w:szCs w:val="21"/>
          <w:highlight w:val="none"/>
          <w:u w:val="none"/>
          <w:shd w:val="clear" w:color="auto" w:fill="FFFFFF"/>
          <w:lang w:val="en-US" w:eastAsia="zh-CN"/>
        </w:rPr>
        <w:t>（备注：15吨以上的货车。）</w:t>
      </w:r>
    </w:p>
    <w:p>
      <w:pPr>
        <w:keepNext w:val="0"/>
        <w:keepLines w:val="0"/>
        <w:pageBreakBefore w:val="0"/>
        <w:kinsoku/>
        <w:wordWrap/>
        <w:overflowPunct/>
        <w:topLinePunct w:val="0"/>
        <w:bidi w:val="0"/>
        <w:spacing w:line="360" w:lineRule="auto"/>
        <w:ind w:firstLine="480" w:firstLineChars="200"/>
        <w:rPr>
          <w:rFonts w:hint="eastAsia" w:ascii="宋体" w:hAnsi="宋体" w:cs="Times New Roman"/>
          <w:bCs/>
          <w:sz w:val="24"/>
          <w:szCs w:val="21"/>
          <w:highlight w:val="none"/>
          <w:shd w:val="clear" w:color="auto" w:fill="FFFFFF"/>
          <w:lang w:val="en-US" w:eastAsia="zh-CN"/>
        </w:rPr>
      </w:pPr>
      <w:r>
        <w:rPr>
          <w:rFonts w:hint="eastAsia" w:ascii="宋体" w:hAnsi="宋体" w:cs="Times New Roman"/>
          <w:bCs/>
          <w:sz w:val="24"/>
          <w:szCs w:val="21"/>
          <w:highlight w:val="none"/>
          <w:shd w:val="clear" w:color="auto" w:fill="FFFFFF"/>
          <w:lang w:val="en-US" w:eastAsia="zh-CN"/>
        </w:rPr>
        <w:t>付款方式:本项目无预付款，每季度支付一次，以指派性拖车确认单、拖车水印图片、执法处理认证、现场指派签字单等作为请款依据，扣除考核罚款（如有）。且所有款项全部支付至中标单位基本账户。乙方应在付款前10个工作日内开具相应的增值税发票。每次付款均在自收到中标供应商开具合法有效等额增值税发票后15日内支付。</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备注: (本公司提供专职人员看守的停车场摆放</w:t>
      </w:r>
      <w:r>
        <w:rPr>
          <w:rFonts w:hint="eastAsia" w:ascii="宋体" w:hAnsi="宋体" w:cs="Times New Roman"/>
          <w:bCs/>
          <w:sz w:val="24"/>
          <w:szCs w:val="21"/>
          <w:highlight w:val="none"/>
          <w:shd w:val="clear" w:color="auto" w:fill="FFFFFF"/>
          <w:lang w:eastAsia="zh-CN"/>
        </w:rPr>
        <w:t>瞻江</w:t>
      </w:r>
      <w:r>
        <w:rPr>
          <w:rFonts w:hint="eastAsia" w:ascii="宋体" w:hAnsi="宋体" w:eastAsia="宋体" w:cs="Times New Roman"/>
          <w:bCs/>
          <w:sz w:val="24"/>
          <w:szCs w:val="21"/>
          <w:highlight w:val="none"/>
          <w:shd w:val="clear" w:color="auto" w:fill="FFFFFF"/>
        </w:rPr>
        <w:t>街道的违法车辆)</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第五条甲方权利和义务:</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甲方因工作需要有权利随时要求乙方进行拖车服务;</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第六条乙方权利和义务:</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1、乙方接到甲方的拖车通知后，应当迅速赶赴相应的地点开展拖车工作;</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2、在对每批被罚没车辆进行处理前，乙方应当认真登记清理，并将数据报甲方;</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3、乙方有权要求甲方按照协议的要求支付被拖车辆的拖车费用;</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第七条其它约定:</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1、乙方提供服务的车辆及人员要有符合国家、地区规定的相关证件，并按有关规定持证驾驶。</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2、乙方必须依照交通部颁布的有关技术标准及检测证明，对服务车辆进行检查、保养、维修，保持服务车辆技术状态良好，服务车辆应是已年检车辆，并达到一级技术等级的在用车。</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3、甲方不确保拖车服务的数量，作车服务用车承载车辆的最少运载数量，由甲、乙双方共同协商确定。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、乙方</w:t>
      </w:r>
      <w:r>
        <w:rPr>
          <w:rFonts w:hint="eastAsia" w:ascii="宋体" w:hAnsi="宋体" w:cs="宋体"/>
          <w:bCs/>
          <w:color w:val="auto"/>
          <w:sz w:val="24"/>
          <w:highlight w:val="none"/>
          <w:lang w:val="en-US" w:eastAsia="zh-CN"/>
        </w:rPr>
        <w:t>须提供梁溪区以外的拖车停车场，</w:t>
      </w:r>
      <w:r>
        <w:rPr>
          <w:rFonts w:hint="eastAsia" w:ascii="宋体" w:hAnsi="宋体" w:eastAsia="宋体" w:cs="宋体"/>
          <w:bCs/>
          <w:color w:val="auto"/>
          <w:sz w:val="24"/>
          <w:highlight w:val="none"/>
          <w:lang w:val="en-US" w:eastAsia="zh-CN"/>
        </w:rPr>
        <w:t>不能以停车场地车辆停满为由，拒绝甲方的拖车需求，若不能执行甲方指令，甲方可以中止履行合同或解除合同。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5、乙方须提供用于半挂车停放的场地，不能以停车场地车辆停满为由，拒绝甲方的拖车需求，若不能执行甲方指令，甲方可以中止履行合同或解除合同。</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cs="Times New Roman"/>
          <w:bCs/>
          <w:sz w:val="24"/>
          <w:szCs w:val="21"/>
          <w:highlight w:val="none"/>
          <w:shd w:val="clear" w:color="auto" w:fill="FFFFFF"/>
          <w:lang w:val="en-US" w:eastAsia="zh-CN"/>
        </w:rPr>
        <w:t>6</w:t>
      </w:r>
      <w:r>
        <w:rPr>
          <w:rFonts w:hint="eastAsia" w:ascii="宋体" w:hAnsi="宋体" w:eastAsia="宋体" w:cs="Times New Roman"/>
          <w:bCs/>
          <w:sz w:val="24"/>
          <w:szCs w:val="21"/>
          <w:highlight w:val="none"/>
          <w:shd w:val="clear" w:color="auto" w:fill="FFFFFF"/>
        </w:rPr>
        <w:t>、保密要求:</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1)乙方必须对本项目服务的工作严格保密。</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2)乙方要严格资料保密制度，必须保证所提供的服务、过程资料等资料在没有证得甲方同意的情况下，不得向甲方以外的第三方透露相关内容，否则，乙方必须承担相应的法律责任。</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第八条违约责任:</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1、甲方违反本合同要求的规定，造成乙方损失的，甲方应给予乙方经济赔偿，并承担相应的法律责任。</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2、乙方违反本合同要求的规定，未能达到服务约定，每次处罚金1000元(人民币壹仟元整)当累计罚金超出合同价的10%时，甲方有权立即终止合同;造成甲方经济损失的，乙方应给予甲方经济赔偿，并承担相应的法律责任。</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3、本合同的法律依据为中华人民共和国有关法律、法规和规章。</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第九条附则:</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1、本合同之所有附件均为合同的有效组成部分，与合同具有同等法律效率，合同与附件之间内容应认为是互为补充和解释，但如有模棱两可或互相矛盾之处，以时间在后的文件为准。</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2、双方可对本合同的条款进行补充，以书面形式签订补充协议，补充协议与本合同具有同等法律效力。</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3、本合同执行期间，甲乙双方的任何一方由于不可抗力的原因，不能履行或不能完全履行合同时，应尽快向对方通报理由，在提供相应证明后，可允许延期履行、部分履行或不履行，并可根据情况部分或全部免于承担违约责任。</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4、本合同在履行中如发生争议，由双方当事人协商解决，协商不成的，依法向甲方所在地有管辖权的人民法院起诉。</w:t>
      </w:r>
    </w:p>
    <w:p>
      <w:pPr>
        <w:keepNext w:val="0"/>
        <w:keepLines w:val="0"/>
        <w:pageBreakBefore w:val="0"/>
        <w:widowControl w:val="0"/>
        <w:tabs>
          <w:tab w:val="left" w:pos="0"/>
          <w:tab w:val="left" w:pos="315"/>
          <w:tab w:val="left" w:pos="525"/>
          <w:tab w:val="left" w:pos="94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5、本合同共</w:t>
      </w:r>
      <w:r>
        <w:rPr>
          <w:rFonts w:hint="eastAsia" w:ascii="宋体" w:hAnsi="宋体" w:cs="Times New Roman"/>
          <w:bCs/>
          <w:sz w:val="24"/>
          <w:szCs w:val="21"/>
          <w:highlight w:val="none"/>
          <w:shd w:val="clear" w:color="auto" w:fill="FFFFFF"/>
          <w:lang w:val="en-US" w:eastAsia="zh-CN"/>
        </w:rPr>
        <w:t>柒</w:t>
      </w:r>
      <w:r>
        <w:rPr>
          <w:rFonts w:hint="eastAsia" w:ascii="宋体" w:hAnsi="宋体" w:eastAsia="宋体" w:cs="Times New Roman"/>
          <w:bCs/>
          <w:sz w:val="24"/>
          <w:szCs w:val="21"/>
          <w:highlight w:val="none"/>
          <w:shd w:val="clear" w:color="auto" w:fill="FFFFFF"/>
        </w:rPr>
        <w:t>份，甲乙双方各执</w:t>
      </w:r>
      <w:r>
        <w:rPr>
          <w:rFonts w:hint="eastAsia" w:ascii="宋体" w:hAnsi="宋体" w:cs="Times New Roman"/>
          <w:bCs/>
          <w:sz w:val="24"/>
          <w:szCs w:val="21"/>
          <w:highlight w:val="none"/>
          <w:shd w:val="clear" w:color="auto" w:fill="FFFFFF"/>
          <w:lang w:val="en-US" w:eastAsia="zh-CN"/>
        </w:rPr>
        <w:t>叁</w:t>
      </w:r>
      <w:r>
        <w:rPr>
          <w:rFonts w:hint="eastAsia" w:ascii="宋体" w:hAnsi="宋体" w:eastAsia="宋体" w:cs="Times New Roman"/>
          <w:bCs/>
          <w:sz w:val="24"/>
          <w:szCs w:val="21"/>
          <w:highlight w:val="none"/>
          <w:shd w:val="clear" w:color="auto" w:fill="FFFFFF"/>
        </w:rPr>
        <w:t>份</w:t>
      </w:r>
      <w:r>
        <w:rPr>
          <w:rFonts w:hint="eastAsia" w:ascii="宋体" w:hAnsi="宋体" w:cs="Times New Roman"/>
          <w:bCs/>
          <w:sz w:val="24"/>
          <w:szCs w:val="21"/>
          <w:highlight w:val="none"/>
          <w:shd w:val="clear" w:color="auto" w:fill="FFFFFF"/>
          <w:lang w:eastAsia="zh-CN"/>
        </w:rPr>
        <w:t>，</w:t>
      </w:r>
      <w:r>
        <w:rPr>
          <w:rFonts w:hint="eastAsia" w:ascii="宋体" w:hAnsi="宋体" w:cs="Times New Roman"/>
          <w:bCs/>
          <w:sz w:val="24"/>
          <w:szCs w:val="21"/>
          <w:highlight w:val="none"/>
          <w:shd w:val="clear" w:color="auto" w:fill="FFFFFF"/>
          <w:lang w:val="en-US" w:eastAsia="zh-CN"/>
        </w:rPr>
        <w:t>采购代理机构执壹份</w:t>
      </w:r>
      <w:r>
        <w:rPr>
          <w:rFonts w:hint="eastAsia" w:ascii="宋体" w:hAnsi="宋体" w:eastAsia="宋体" w:cs="Times New Roman"/>
          <w:bCs/>
          <w:sz w:val="24"/>
          <w:szCs w:val="21"/>
          <w:highlight w:val="none"/>
          <w:shd w:val="clear" w:color="auto" w:fill="FFFFFF"/>
        </w:rPr>
        <w:t>。</w:t>
      </w:r>
      <w:r>
        <w:rPr>
          <w:rFonts w:hint="eastAsia" w:ascii="宋体" w:hAnsi="宋体" w:eastAsia="宋体" w:cs="宋体"/>
          <w:bCs/>
          <w:sz w:val="24"/>
          <w:szCs w:val="24"/>
          <w:highlight w:val="none"/>
        </w:rPr>
        <w:t>合同经供需双方代表签字并盖章，且在</w:t>
      </w:r>
      <w:r>
        <w:rPr>
          <w:rFonts w:hint="eastAsia" w:ascii="宋体" w:hAnsi="宋体" w:cs="宋体"/>
          <w:bCs/>
          <w:sz w:val="24"/>
          <w:szCs w:val="24"/>
          <w:highlight w:val="none"/>
          <w:lang w:eastAsia="zh-CN"/>
        </w:rPr>
        <w:t>江苏江南梁鸿建设咨询有限公司</w:t>
      </w:r>
      <w:r>
        <w:rPr>
          <w:rFonts w:hint="eastAsia" w:ascii="宋体" w:hAnsi="宋体" w:eastAsia="宋体" w:cs="宋体"/>
          <w:bCs/>
          <w:sz w:val="24"/>
          <w:szCs w:val="24"/>
          <w:highlight w:val="none"/>
        </w:rPr>
        <w:t>见证后即生效。</w:t>
      </w:r>
      <w:r>
        <w:rPr>
          <w:rFonts w:hint="eastAsia" w:ascii="宋体" w:hAnsi="宋体" w:eastAsia="宋体" w:cs="Times New Roman"/>
          <w:bCs/>
          <w:sz w:val="24"/>
          <w:szCs w:val="21"/>
          <w:highlight w:val="none"/>
          <w:shd w:val="clear" w:color="auto" w:fill="FFFFFF"/>
        </w:rPr>
        <w:t>合同期满本合同自然终止。</w:t>
      </w:r>
    </w:p>
    <w:p>
      <w:pPr>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br w:type="page"/>
      </w:r>
    </w:p>
    <w:p>
      <w:pPr>
        <w:keepNext w:val="0"/>
        <w:keepLines w:val="0"/>
        <w:pageBreakBefore w:val="0"/>
        <w:kinsoku/>
        <w:wordWrap/>
        <w:overflowPunct/>
        <w:topLinePunct w:val="0"/>
        <w:bidi w:val="0"/>
        <w:spacing w:line="360" w:lineRule="auto"/>
        <w:ind w:firstLine="480" w:firstLineChars="200"/>
        <w:rPr>
          <w:rFonts w:hint="default" w:ascii="宋体" w:hAnsi="宋体" w:eastAsia="宋体" w:cs="Times New Roman"/>
          <w:bCs/>
          <w:sz w:val="24"/>
          <w:szCs w:val="21"/>
          <w:highlight w:val="none"/>
          <w:shd w:val="clear" w:color="auto" w:fill="FFFFFF"/>
          <w:lang w:val="en-US" w:eastAsia="zh-CN"/>
        </w:rPr>
      </w:pPr>
      <w:r>
        <w:rPr>
          <w:rFonts w:hint="eastAsia" w:ascii="宋体" w:hAnsi="宋体" w:cs="Times New Roman"/>
          <w:bCs/>
          <w:sz w:val="24"/>
          <w:szCs w:val="21"/>
          <w:highlight w:val="none"/>
          <w:shd w:val="clear" w:color="auto" w:fill="FFFFFF"/>
          <w:lang w:val="en-US" w:eastAsia="zh-CN"/>
        </w:rPr>
        <w:t>此页无正文。</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甲   方：                                       乙   方：</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Times New Roman"/>
          <w:bCs/>
          <w:sz w:val="24"/>
          <w:szCs w:val="21"/>
          <w:highlight w:val="none"/>
          <w:shd w:val="clear" w:color="auto" w:fill="FFFFFF"/>
        </w:rPr>
      </w:pPr>
      <w:r>
        <w:rPr>
          <w:rFonts w:hint="eastAsia" w:ascii="宋体" w:hAnsi="宋体" w:eastAsia="宋体" w:cs="Times New Roman"/>
          <w:bCs/>
          <w:sz w:val="24"/>
          <w:szCs w:val="21"/>
          <w:highlight w:val="none"/>
          <w:shd w:val="clear" w:color="auto" w:fill="FFFFFF"/>
        </w:rPr>
        <w:t>代表签名（盖章）：                              代表签名（盖章）：</w:t>
      </w:r>
    </w:p>
    <w:p>
      <w:pPr>
        <w:keepNext w:val="0"/>
        <w:keepLines w:val="0"/>
        <w:pageBreakBefore w:val="0"/>
        <w:kinsoku/>
        <w:wordWrap/>
        <w:overflowPunct/>
        <w:topLinePunct w:val="0"/>
        <w:bidi w:val="0"/>
        <w:spacing w:line="360" w:lineRule="auto"/>
        <w:ind w:firstLine="480" w:firstLineChars="200"/>
        <w:rPr>
          <w:rFonts w:hint="eastAsia"/>
          <w:color w:val="0000FF"/>
          <w:sz w:val="24"/>
          <w:szCs w:val="24"/>
          <w:highlight w:val="none"/>
        </w:rPr>
      </w:pPr>
      <w:r>
        <w:rPr>
          <w:rFonts w:hint="eastAsia" w:ascii="宋体" w:hAnsi="宋体" w:eastAsia="宋体" w:cs="Times New Roman"/>
          <w:bCs/>
          <w:sz w:val="24"/>
          <w:szCs w:val="21"/>
          <w:highlight w:val="none"/>
          <w:shd w:val="clear" w:color="auto" w:fill="FFFFFF"/>
        </w:rPr>
        <w:t xml:space="preserve">日  期 ：   年  月   日               </w:t>
      </w:r>
      <w:r>
        <w:rPr>
          <w:rFonts w:hint="eastAsia" w:ascii="宋体" w:hAnsi="宋体" w:eastAsia="宋体" w:cs="Times New Roman"/>
          <w:bCs/>
          <w:sz w:val="24"/>
          <w:szCs w:val="21"/>
          <w:highlight w:val="none"/>
          <w:shd w:val="clear" w:color="auto" w:fill="FFFFFF"/>
          <w:lang w:val="en-US" w:eastAsia="zh-CN"/>
        </w:rPr>
        <w:t xml:space="preserve"> </w:t>
      </w:r>
      <w:r>
        <w:rPr>
          <w:rFonts w:hint="eastAsia" w:ascii="宋体" w:hAnsi="宋体" w:eastAsia="宋体" w:cs="Times New Roman"/>
          <w:bCs/>
          <w:sz w:val="24"/>
          <w:szCs w:val="21"/>
          <w:highlight w:val="none"/>
          <w:shd w:val="clear" w:color="auto" w:fill="FFFFFF"/>
        </w:rPr>
        <w:t xml:space="preserve"> </w:t>
      </w:r>
      <w:r>
        <w:rPr>
          <w:rFonts w:hint="eastAsia" w:ascii="宋体" w:hAnsi="宋体" w:eastAsia="宋体" w:cs="Times New Roman"/>
          <w:bCs/>
          <w:sz w:val="24"/>
          <w:szCs w:val="21"/>
          <w:highlight w:val="none"/>
          <w:shd w:val="clear" w:color="auto" w:fill="FFFFFF"/>
          <w:lang w:val="en-US" w:eastAsia="zh-CN"/>
        </w:rPr>
        <w:t xml:space="preserve">  </w:t>
      </w:r>
      <w:r>
        <w:rPr>
          <w:rFonts w:hint="eastAsia" w:ascii="宋体" w:hAnsi="宋体" w:eastAsia="宋体" w:cs="Times New Roman"/>
          <w:bCs/>
          <w:sz w:val="24"/>
          <w:szCs w:val="21"/>
          <w:highlight w:val="none"/>
          <w:shd w:val="clear" w:color="auto" w:fill="FFFFFF"/>
        </w:rPr>
        <w:t>日  期 ：   年  月  日</w:t>
      </w:r>
    </w:p>
    <w:p>
      <w:pPr>
        <w:spacing w:line="360" w:lineRule="auto"/>
        <w:jc w:val="left"/>
        <w:rPr>
          <w:rFonts w:hint="eastAsia" w:ascii="宋体" w:hAnsi="宋体" w:cs="宋体"/>
          <w:b w:val="0"/>
          <w:bCs w:val="0"/>
          <w:sz w:val="24"/>
          <w:szCs w:val="24"/>
          <w:highlight w:val="none"/>
        </w:rPr>
      </w:pPr>
    </w:p>
    <w:p>
      <w:pPr>
        <w:spacing w:line="360" w:lineRule="auto"/>
        <w:ind w:firstLine="480" w:firstLineChars="200"/>
        <w:jc w:val="left"/>
        <w:rPr>
          <w:rFonts w:hint="eastAsia" w:ascii="宋体" w:hAnsi="宋体" w:cs="宋体"/>
          <w:b w:val="0"/>
          <w:bCs w:val="0"/>
          <w:sz w:val="24"/>
          <w:szCs w:val="24"/>
          <w:highlight w:val="none"/>
        </w:rPr>
      </w:pPr>
      <w:r>
        <w:rPr>
          <w:rFonts w:hint="eastAsia" w:ascii="宋体" w:hAnsi="宋体" w:cs="宋体"/>
          <w:b w:val="0"/>
          <w:bCs w:val="0"/>
          <w:sz w:val="24"/>
          <w:szCs w:val="24"/>
          <w:highlight w:val="none"/>
        </w:rPr>
        <w:t>见证方：</w:t>
      </w:r>
      <w:r>
        <w:rPr>
          <w:rFonts w:hint="eastAsia" w:ascii="宋体" w:hAnsi="宋体" w:cs="宋体"/>
          <w:b w:val="0"/>
          <w:bCs w:val="0"/>
          <w:sz w:val="24"/>
          <w:szCs w:val="24"/>
          <w:highlight w:val="none"/>
          <w:lang w:eastAsia="zh-CN"/>
        </w:rPr>
        <w:t xml:space="preserve">江苏江南梁鸿建设咨询有限公司 </w:t>
      </w:r>
      <w:r>
        <w:rPr>
          <w:rFonts w:hint="eastAsia" w:ascii="宋体" w:hAnsi="宋体" w:cs="宋体"/>
          <w:b w:val="0"/>
          <w:bCs w:val="0"/>
          <w:sz w:val="24"/>
          <w:szCs w:val="24"/>
          <w:highlight w:val="none"/>
        </w:rPr>
        <w:t>（签章）</w:t>
      </w:r>
    </w:p>
    <w:p>
      <w:pPr>
        <w:spacing w:line="360" w:lineRule="auto"/>
        <w:ind w:firstLine="480" w:firstLineChars="200"/>
        <w:jc w:val="left"/>
        <w:rPr>
          <w:rFonts w:hint="eastAsia" w:ascii="宋体" w:hAnsi="宋体" w:cs="宋体"/>
          <w:b w:val="0"/>
          <w:bCs w:val="0"/>
          <w:sz w:val="24"/>
          <w:szCs w:val="24"/>
          <w:highlight w:val="none"/>
        </w:rPr>
      </w:pPr>
      <w:r>
        <w:rPr>
          <w:rFonts w:hint="eastAsia" w:ascii="宋体" w:hAnsi="宋体" w:cs="宋体"/>
          <w:b w:val="0"/>
          <w:bCs w:val="0"/>
          <w:sz w:val="24"/>
          <w:szCs w:val="24"/>
          <w:highlight w:val="none"/>
        </w:rPr>
        <w:t>见证人：</w:t>
      </w:r>
    </w:p>
    <w:p>
      <w:pPr>
        <w:spacing w:line="360" w:lineRule="auto"/>
        <w:ind w:firstLine="480" w:firstLineChars="200"/>
        <w:jc w:val="left"/>
        <w:rPr>
          <w:rFonts w:hint="eastAsia" w:eastAsia="宋体"/>
          <w:highlight w:val="none"/>
          <w:lang w:val="en-US" w:eastAsia="zh-CN"/>
        </w:rPr>
      </w:pPr>
      <w:r>
        <w:rPr>
          <w:rFonts w:hint="eastAsia" w:ascii="宋体" w:hAnsi="宋体" w:eastAsia="宋体" w:cs="Times New Roman"/>
          <w:bCs/>
          <w:sz w:val="24"/>
          <w:szCs w:val="21"/>
          <w:highlight w:val="none"/>
          <w:shd w:val="clear" w:color="auto" w:fill="FFFFFF"/>
        </w:rPr>
        <w:t>日  期 ：</w:t>
      </w:r>
      <w:r>
        <w:rPr>
          <w:rFonts w:hint="eastAsia" w:ascii="宋体" w:hAnsi="宋体" w:eastAsia="宋体" w:cs="Times New Roman"/>
          <w:bCs/>
          <w:sz w:val="24"/>
          <w:szCs w:val="21"/>
          <w:highlight w:val="none"/>
          <w:shd w:val="clear" w:color="auto" w:fill="FFFFFF"/>
          <w:lang w:val="en-US" w:eastAsia="zh-CN"/>
        </w:rPr>
        <w:t xml:space="preserve">  </w:t>
      </w:r>
      <w:r>
        <w:rPr>
          <w:rFonts w:hint="eastAsia" w:ascii="宋体" w:hAnsi="宋体" w:cs="宋体"/>
          <w:b w:val="0"/>
          <w:bCs w:val="0"/>
          <w:sz w:val="24"/>
          <w:szCs w:val="24"/>
          <w:highlight w:val="none"/>
        </w:rPr>
        <w:t xml:space="preserve">年   月    </w:t>
      </w:r>
      <w:r>
        <w:rPr>
          <w:rFonts w:hint="eastAsia" w:ascii="宋体" w:hAnsi="宋体" w:cs="宋体"/>
          <w:b w:val="0"/>
          <w:bCs w:val="0"/>
          <w:sz w:val="24"/>
          <w:szCs w:val="24"/>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ind w:firstLine="2570" w:firstLineChars="800"/>
        <w:jc w:val="left"/>
        <w:textAlignment w:val="auto"/>
        <w:rPr>
          <w:rFonts w:hint="eastAsia" w:asciiTheme="majorEastAsia" w:hAnsiTheme="majorEastAsia" w:eastAsiaTheme="majorEastAsia" w:cstheme="majorEastAsia"/>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70" w:firstLineChars="800"/>
        <w:jc w:val="left"/>
        <w:textAlignment w:val="auto"/>
        <w:rPr>
          <w:rFonts w:hint="eastAsia" w:asciiTheme="majorEastAsia" w:hAnsiTheme="majorEastAsia" w:eastAsiaTheme="majorEastAsia" w:cstheme="majorEastAsia"/>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70" w:firstLineChars="800"/>
        <w:jc w:val="left"/>
        <w:textAlignment w:val="auto"/>
        <w:rPr>
          <w:rFonts w:hint="eastAsia" w:asciiTheme="majorEastAsia" w:hAnsiTheme="majorEastAsia" w:eastAsiaTheme="majorEastAsia" w:cstheme="majorEastAsia"/>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70" w:firstLineChars="800"/>
        <w:jc w:val="left"/>
        <w:textAlignment w:val="auto"/>
        <w:rPr>
          <w:rFonts w:hint="eastAsia" w:asciiTheme="majorEastAsia" w:hAnsiTheme="majorEastAsia" w:eastAsiaTheme="majorEastAsia" w:cstheme="majorEastAsia"/>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70" w:firstLineChars="800"/>
        <w:jc w:val="left"/>
        <w:textAlignment w:val="auto"/>
        <w:rPr>
          <w:rFonts w:hint="eastAsia" w:asciiTheme="majorEastAsia" w:hAnsiTheme="majorEastAsia" w:eastAsiaTheme="majorEastAsia" w:cstheme="majorEastAsia"/>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70" w:firstLineChars="800"/>
        <w:jc w:val="left"/>
        <w:textAlignment w:val="auto"/>
        <w:rPr>
          <w:rFonts w:hint="eastAsia" w:asciiTheme="majorEastAsia" w:hAnsiTheme="majorEastAsia" w:eastAsiaTheme="majorEastAsia" w:cstheme="majorEastAsia"/>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70" w:firstLineChars="800"/>
        <w:jc w:val="left"/>
        <w:textAlignment w:val="auto"/>
        <w:rPr>
          <w:rFonts w:hint="eastAsia" w:asciiTheme="majorEastAsia" w:hAnsiTheme="majorEastAsia" w:eastAsiaTheme="majorEastAsia" w:cstheme="majorEastAsia"/>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70" w:firstLineChars="800"/>
        <w:jc w:val="left"/>
        <w:textAlignment w:val="auto"/>
        <w:rPr>
          <w:rFonts w:hint="eastAsia" w:asciiTheme="majorEastAsia" w:hAnsiTheme="majorEastAsia" w:eastAsiaTheme="majorEastAsia" w:cstheme="majorEastAsia"/>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70" w:firstLineChars="800"/>
        <w:jc w:val="left"/>
        <w:textAlignment w:val="auto"/>
        <w:rPr>
          <w:rFonts w:hint="eastAsia" w:asciiTheme="majorEastAsia" w:hAnsiTheme="majorEastAsia" w:eastAsiaTheme="majorEastAsia" w:cstheme="majorEastAsia"/>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70" w:firstLineChars="800"/>
        <w:jc w:val="left"/>
        <w:textAlignment w:val="auto"/>
        <w:rPr>
          <w:rFonts w:hint="eastAsia" w:asciiTheme="majorEastAsia" w:hAnsiTheme="majorEastAsia" w:eastAsiaTheme="majorEastAsia" w:cstheme="majorEastAsia"/>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70" w:firstLineChars="800"/>
        <w:jc w:val="left"/>
        <w:textAlignment w:val="auto"/>
        <w:rPr>
          <w:rFonts w:hint="eastAsia" w:asciiTheme="majorEastAsia" w:hAnsiTheme="majorEastAsia" w:eastAsiaTheme="majorEastAsia" w:cstheme="majorEastAsia"/>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70" w:firstLineChars="800"/>
        <w:jc w:val="left"/>
        <w:textAlignment w:val="auto"/>
        <w:rPr>
          <w:rFonts w:hint="eastAsia" w:asciiTheme="majorEastAsia" w:hAnsiTheme="majorEastAsia" w:eastAsiaTheme="majorEastAsia" w:cstheme="majorEastAsia"/>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70" w:firstLineChars="800"/>
        <w:jc w:val="left"/>
        <w:textAlignment w:val="auto"/>
        <w:rPr>
          <w:rFonts w:hint="eastAsia" w:asciiTheme="majorEastAsia" w:hAnsiTheme="majorEastAsia" w:eastAsiaTheme="majorEastAsia" w:cstheme="majorEastAsia"/>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70" w:firstLineChars="800"/>
        <w:jc w:val="left"/>
        <w:textAlignment w:val="auto"/>
        <w:rPr>
          <w:rFonts w:hint="eastAsia" w:asciiTheme="majorEastAsia" w:hAnsiTheme="majorEastAsia" w:eastAsiaTheme="majorEastAsia" w:cstheme="majorEastAsia"/>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70" w:firstLineChars="800"/>
        <w:jc w:val="left"/>
        <w:textAlignment w:val="auto"/>
        <w:rPr>
          <w:rFonts w:hint="eastAsia" w:asciiTheme="majorEastAsia" w:hAnsiTheme="majorEastAsia" w:eastAsiaTheme="majorEastAsia" w:cstheme="majorEastAsia"/>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70" w:firstLineChars="800"/>
        <w:jc w:val="left"/>
        <w:textAlignment w:val="auto"/>
        <w:rPr>
          <w:rFonts w:hint="eastAsia" w:asciiTheme="majorEastAsia" w:hAnsiTheme="majorEastAsia" w:eastAsiaTheme="majorEastAsia" w:cstheme="majorEastAsia"/>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70" w:firstLineChars="800"/>
        <w:jc w:val="left"/>
        <w:textAlignment w:val="auto"/>
        <w:rPr>
          <w:rFonts w:hint="eastAsia" w:asciiTheme="majorEastAsia" w:hAnsiTheme="majorEastAsia" w:eastAsiaTheme="majorEastAsia" w:cstheme="majorEastAsia"/>
          <w:b/>
          <w:bCs/>
          <w:sz w:val="32"/>
          <w:szCs w:val="32"/>
          <w:highlight w:val="none"/>
          <w:lang w:val="en-US" w:eastAsia="zh-CN"/>
        </w:rPr>
      </w:pPr>
      <w:r>
        <w:rPr>
          <w:rFonts w:hint="eastAsia" w:asciiTheme="majorEastAsia" w:hAnsiTheme="majorEastAsia" w:eastAsiaTheme="majorEastAsia" w:cstheme="majorEastAsia"/>
          <w:b/>
          <w:bCs/>
          <w:sz w:val="32"/>
          <w:szCs w:val="32"/>
          <w:highlight w:val="none"/>
          <w:lang w:val="en-US" w:eastAsia="zh-CN"/>
        </w:rPr>
        <w:t>五．投标文件（格式）</w:t>
      </w:r>
    </w:p>
    <w:p>
      <w:pPr>
        <w:jc w:val="center"/>
        <w:rPr>
          <w:rFonts w:hint="eastAsia" w:ascii="黑体" w:eastAsia="黑体" w:cs="黑体"/>
          <w:sz w:val="52"/>
          <w:szCs w:val="52"/>
          <w:highlight w:val="none"/>
        </w:rPr>
      </w:pPr>
    </w:p>
    <w:p>
      <w:pPr>
        <w:jc w:val="center"/>
        <w:rPr>
          <w:rFonts w:ascii="黑体" w:eastAsia="黑体"/>
          <w:sz w:val="52"/>
          <w:szCs w:val="52"/>
          <w:highlight w:val="none"/>
        </w:rPr>
      </w:pPr>
      <w:r>
        <w:rPr>
          <w:rFonts w:hint="eastAsia" w:ascii="黑体" w:eastAsia="黑体" w:cs="黑体"/>
          <w:sz w:val="52"/>
          <w:szCs w:val="52"/>
          <w:highlight w:val="none"/>
        </w:rPr>
        <w:t>投</w:t>
      </w:r>
    </w:p>
    <w:p>
      <w:pPr>
        <w:jc w:val="center"/>
        <w:rPr>
          <w:rFonts w:ascii="黑体" w:eastAsia="黑体"/>
          <w:sz w:val="72"/>
          <w:szCs w:val="72"/>
          <w:highlight w:val="none"/>
        </w:rPr>
      </w:pPr>
    </w:p>
    <w:p>
      <w:pPr>
        <w:jc w:val="center"/>
        <w:rPr>
          <w:rFonts w:ascii="黑体" w:eastAsia="黑体"/>
          <w:sz w:val="52"/>
          <w:szCs w:val="52"/>
          <w:highlight w:val="none"/>
        </w:rPr>
      </w:pPr>
      <w:r>
        <w:rPr>
          <w:rFonts w:hint="eastAsia" w:ascii="黑体" w:eastAsia="黑体" w:cs="黑体"/>
          <w:sz w:val="52"/>
          <w:szCs w:val="52"/>
          <w:highlight w:val="none"/>
        </w:rPr>
        <w:t>标</w:t>
      </w:r>
    </w:p>
    <w:p>
      <w:pPr>
        <w:jc w:val="center"/>
        <w:rPr>
          <w:rFonts w:ascii="黑体" w:eastAsia="黑体"/>
          <w:sz w:val="72"/>
          <w:szCs w:val="72"/>
          <w:highlight w:val="none"/>
        </w:rPr>
      </w:pPr>
    </w:p>
    <w:p>
      <w:pPr>
        <w:jc w:val="center"/>
        <w:rPr>
          <w:rFonts w:ascii="黑体" w:eastAsia="黑体"/>
          <w:sz w:val="52"/>
          <w:szCs w:val="52"/>
          <w:highlight w:val="none"/>
        </w:rPr>
      </w:pPr>
      <w:r>
        <w:rPr>
          <w:rFonts w:hint="eastAsia" w:ascii="黑体" w:eastAsia="黑体" w:cs="黑体"/>
          <w:sz w:val="52"/>
          <w:szCs w:val="52"/>
          <w:highlight w:val="none"/>
        </w:rPr>
        <w:t>文</w:t>
      </w:r>
    </w:p>
    <w:p>
      <w:pPr>
        <w:jc w:val="center"/>
        <w:rPr>
          <w:rFonts w:ascii="黑体" w:eastAsia="黑体"/>
          <w:sz w:val="52"/>
          <w:szCs w:val="52"/>
          <w:highlight w:val="none"/>
        </w:rPr>
      </w:pPr>
    </w:p>
    <w:p>
      <w:pPr>
        <w:jc w:val="center"/>
        <w:rPr>
          <w:rFonts w:ascii="楷体_GB2312" w:eastAsia="楷体_GB2312"/>
          <w:sz w:val="72"/>
          <w:szCs w:val="72"/>
          <w:highlight w:val="none"/>
        </w:rPr>
      </w:pPr>
      <w:r>
        <w:rPr>
          <w:rFonts w:hint="eastAsia" w:ascii="黑体" w:eastAsia="黑体" w:cs="黑体"/>
          <w:sz w:val="52"/>
          <w:szCs w:val="52"/>
          <w:highlight w:val="none"/>
        </w:rPr>
        <w:t>件</w:t>
      </w:r>
    </w:p>
    <w:p>
      <w:pPr>
        <w:pStyle w:val="8"/>
        <w:numPr>
          <w:ilvl w:val="4"/>
          <w:numId w:val="0"/>
        </w:numPr>
        <w:rPr>
          <w:rFonts w:cs="Times New Roman"/>
          <w:highlight w:val="none"/>
        </w:rPr>
      </w:pPr>
    </w:p>
    <w:p>
      <w:pPr>
        <w:spacing w:line="360" w:lineRule="auto"/>
        <w:rPr>
          <w:rFonts w:ascii="黑体" w:eastAsia="黑体"/>
          <w:sz w:val="28"/>
          <w:szCs w:val="28"/>
          <w:highlight w:val="none"/>
        </w:rPr>
      </w:pPr>
    </w:p>
    <w:p>
      <w:pPr>
        <w:spacing w:line="360" w:lineRule="auto"/>
        <w:ind w:firstLine="560" w:firstLineChars="200"/>
        <w:rPr>
          <w:rFonts w:ascii="黑体" w:eastAsia="黑体"/>
          <w:sz w:val="28"/>
          <w:szCs w:val="28"/>
          <w:highlight w:val="none"/>
        </w:rPr>
      </w:pPr>
      <w:r>
        <w:rPr>
          <w:rFonts w:hint="eastAsia" w:ascii="黑体" w:eastAsia="黑体" w:cs="黑体"/>
          <w:sz w:val="28"/>
          <w:szCs w:val="28"/>
          <w:highlight w:val="none"/>
        </w:rPr>
        <w:t>采购项目编号：</w:t>
      </w:r>
    </w:p>
    <w:p>
      <w:pPr>
        <w:spacing w:line="360" w:lineRule="auto"/>
        <w:ind w:firstLine="560" w:firstLineChars="200"/>
        <w:rPr>
          <w:rFonts w:ascii="黑体" w:eastAsia="黑体"/>
          <w:sz w:val="28"/>
          <w:szCs w:val="28"/>
          <w:highlight w:val="none"/>
        </w:rPr>
      </w:pPr>
      <w:r>
        <w:rPr>
          <w:rFonts w:hint="eastAsia" w:ascii="黑体" w:eastAsia="黑体" w:cs="黑体"/>
          <w:sz w:val="28"/>
          <w:szCs w:val="28"/>
          <w:highlight w:val="none"/>
        </w:rPr>
        <w:t>采购项目名称：</w:t>
      </w:r>
    </w:p>
    <w:p>
      <w:pPr>
        <w:spacing w:line="360" w:lineRule="auto"/>
        <w:ind w:firstLine="560" w:firstLineChars="200"/>
        <w:rPr>
          <w:rFonts w:ascii="黑体" w:eastAsia="黑体"/>
          <w:sz w:val="32"/>
          <w:szCs w:val="32"/>
          <w:highlight w:val="none"/>
        </w:rPr>
      </w:pPr>
      <w:r>
        <w:rPr>
          <w:rFonts w:hint="eastAsia" w:ascii="黑体" w:eastAsia="黑体" w:cs="黑体"/>
          <w:sz w:val="28"/>
          <w:szCs w:val="28"/>
          <w:highlight w:val="none"/>
        </w:rPr>
        <w:t>投标供应商：</w:t>
      </w:r>
    </w:p>
    <w:p>
      <w:pPr>
        <w:rPr>
          <w:rFonts w:ascii="黑体" w:eastAsia="黑体"/>
          <w:sz w:val="32"/>
          <w:szCs w:val="32"/>
          <w:highlight w:val="none"/>
        </w:rPr>
      </w:pPr>
    </w:p>
    <w:p>
      <w:pPr>
        <w:jc w:val="center"/>
        <w:rPr>
          <w:rFonts w:ascii="黑体" w:hAnsi="宋体" w:eastAsia="黑体"/>
          <w:sz w:val="24"/>
          <w:szCs w:val="24"/>
          <w:highlight w:val="none"/>
        </w:rPr>
      </w:pPr>
      <w:r>
        <w:rPr>
          <w:rFonts w:hint="eastAsia" w:ascii="黑体" w:eastAsia="黑体" w:cs="黑体"/>
          <w:sz w:val="36"/>
          <w:szCs w:val="36"/>
          <w:highlight w:val="none"/>
        </w:rPr>
        <w:t>二○</w:t>
      </w:r>
      <w:r>
        <w:rPr>
          <w:rFonts w:ascii="黑体" w:eastAsia="黑体" w:cs="黑体"/>
          <w:sz w:val="36"/>
          <w:szCs w:val="36"/>
          <w:highlight w:val="none"/>
        </w:rPr>
        <w:t xml:space="preserve">  </w:t>
      </w:r>
      <w:r>
        <w:rPr>
          <w:rFonts w:hint="eastAsia" w:ascii="黑体" w:eastAsia="黑体" w:cs="黑体"/>
          <w:sz w:val="36"/>
          <w:szCs w:val="36"/>
          <w:highlight w:val="none"/>
        </w:rPr>
        <w:t>年</w:t>
      </w:r>
      <w:r>
        <w:rPr>
          <w:rFonts w:ascii="黑体" w:eastAsia="黑体" w:cs="黑体"/>
          <w:sz w:val="36"/>
          <w:szCs w:val="36"/>
          <w:highlight w:val="none"/>
        </w:rPr>
        <w:t xml:space="preserve">  </w:t>
      </w:r>
      <w:r>
        <w:rPr>
          <w:rFonts w:hint="eastAsia" w:ascii="黑体" w:eastAsia="黑体" w:cs="黑体"/>
          <w:sz w:val="36"/>
          <w:szCs w:val="36"/>
          <w:highlight w:val="none"/>
        </w:rPr>
        <w:t>月</w:t>
      </w:r>
      <w:r>
        <w:rPr>
          <w:rFonts w:ascii="黑体" w:eastAsia="黑体" w:cs="黑体"/>
          <w:sz w:val="36"/>
          <w:szCs w:val="36"/>
          <w:highlight w:val="none"/>
        </w:rPr>
        <w:t xml:space="preserve">  </w:t>
      </w:r>
      <w:r>
        <w:rPr>
          <w:rFonts w:hint="eastAsia" w:ascii="黑体" w:eastAsia="黑体" w:cs="黑体"/>
          <w:sz w:val="36"/>
          <w:szCs w:val="36"/>
          <w:highlight w:val="none"/>
        </w:rPr>
        <w:t>日</w:t>
      </w:r>
      <w:bookmarkStart w:id="6" w:name="一．报价函（格式）"/>
      <w:bookmarkEnd w:id="6"/>
    </w:p>
    <w:p>
      <w:pPr>
        <w:spacing w:line="360" w:lineRule="auto"/>
        <w:jc w:val="center"/>
        <w:rPr>
          <w:rFonts w:hint="eastAsia" w:ascii="黑体" w:eastAsia="黑体"/>
          <w:b/>
          <w:bCs/>
          <w:color w:val="auto"/>
          <w:sz w:val="28"/>
          <w:szCs w:val="28"/>
          <w:highlight w:val="none"/>
        </w:rPr>
      </w:pPr>
    </w:p>
    <w:p>
      <w:pPr>
        <w:pStyle w:val="8"/>
        <w:numPr>
          <w:ilvl w:val="4"/>
          <w:numId w:val="0"/>
        </w:numPr>
        <w:ind w:leftChars="0"/>
        <w:rPr>
          <w:rFonts w:hint="eastAsia"/>
          <w:highlight w:val="none"/>
        </w:rPr>
      </w:pPr>
    </w:p>
    <w:p>
      <w:pPr>
        <w:rPr>
          <w:rFonts w:hint="eastAsia"/>
          <w:highlight w:val="none"/>
        </w:rPr>
      </w:pPr>
    </w:p>
    <w:p>
      <w:pPr>
        <w:pStyle w:val="2"/>
        <w:rPr>
          <w:rFonts w:hint="eastAsia"/>
          <w:highlight w:val="none"/>
        </w:rPr>
      </w:pPr>
    </w:p>
    <w:p>
      <w:pPr>
        <w:outlineLvl w:val="0"/>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（一）响应函（格式）</w:t>
      </w:r>
    </w:p>
    <w:p>
      <w:pPr>
        <w:jc w:val="center"/>
        <w:outlineLvl w:val="0"/>
        <w:rPr>
          <w:rFonts w:ascii="黑体" w:hAnsi="宋体" w:eastAsia="黑体"/>
          <w:sz w:val="32"/>
          <w:szCs w:val="32"/>
          <w:highlight w:val="none"/>
        </w:rPr>
      </w:pPr>
      <w:r>
        <w:rPr>
          <w:rFonts w:hint="eastAsia" w:ascii="黑体" w:hAnsi="宋体" w:eastAsia="黑体" w:cs="黑体"/>
          <w:sz w:val="32"/>
          <w:szCs w:val="32"/>
          <w:highlight w:val="none"/>
          <w:lang w:val="en-US" w:eastAsia="zh-CN"/>
        </w:rPr>
        <w:t>响应</w:t>
      </w:r>
      <w:r>
        <w:rPr>
          <w:rFonts w:hint="eastAsia" w:ascii="黑体" w:hAnsi="宋体" w:eastAsia="黑体" w:cs="黑体"/>
          <w:sz w:val="32"/>
          <w:szCs w:val="32"/>
          <w:highlight w:val="none"/>
        </w:rPr>
        <w:t>函</w:t>
      </w:r>
    </w:p>
    <w:p>
      <w:pPr>
        <w:spacing w:line="360" w:lineRule="auto"/>
        <w:rPr>
          <w:rFonts w:hint="eastAsia" w:ascii="宋体" w:hAnsi="宋体"/>
          <w:bCs/>
          <w:color w:val="auto"/>
          <w:sz w:val="24"/>
          <w:highlight w:val="none"/>
        </w:rPr>
      </w:pPr>
      <w:r>
        <w:rPr>
          <w:rFonts w:hint="eastAsia" w:ascii="宋体" w:hAnsi="宋体"/>
          <w:bCs/>
          <w:color w:val="auto"/>
          <w:sz w:val="24"/>
          <w:highlight w:val="none"/>
        </w:rPr>
        <w:t>致</w:t>
      </w:r>
      <w:r>
        <w:rPr>
          <w:rFonts w:hint="eastAsia" w:ascii="宋体" w:hAnsi="宋体"/>
          <w:bCs/>
          <w:color w:val="auto"/>
          <w:sz w:val="24"/>
          <w:highlight w:val="none"/>
          <w:lang w:eastAsia="zh-CN"/>
        </w:rPr>
        <w:t xml:space="preserve">江苏江南梁鸿建设咨询有限公司 </w:t>
      </w:r>
      <w:r>
        <w:rPr>
          <w:rFonts w:hint="eastAsia" w:ascii="宋体" w:hAnsi="宋体"/>
          <w:bCs/>
          <w:color w:val="auto"/>
          <w:sz w:val="24"/>
          <w:highlight w:val="none"/>
        </w:rPr>
        <w:t>：</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我们收到你们</w:t>
      </w:r>
      <w:r>
        <w:rPr>
          <w:rFonts w:hint="eastAsia" w:ascii="宋体" w:hAnsi="宋体"/>
          <w:bCs/>
          <w:color w:val="auto"/>
          <w:sz w:val="24"/>
          <w:highlight w:val="none"/>
          <w:u w:val="single"/>
        </w:rPr>
        <w:t xml:space="preserve">   ****项目     </w:t>
      </w:r>
      <w:r>
        <w:rPr>
          <w:rFonts w:hint="eastAsia" w:ascii="宋体" w:hAnsi="宋体"/>
          <w:bCs/>
          <w:color w:val="auto"/>
          <w:sz w:val="24"/>
          <w:highlight w:val="none"/>
          <w:lang w:eastAsia="zh-CN"/>
        </w:rPr>
        <w:t>投标</w:t>
      </w:r>
      <w:r>
        <w:rPr>
          <w:rFonts w:hint="eastAsia" w:ascii="宋体" w:hAnsi="宋体"/>
          <w:bCs/>
          <w:color w:val="auto"/>
          <w:sz w:val="24"/>
          <w:highlight w:val="none"/>
        </w:rPr>
        <w:t>文件，经仔细阅读和研究，我们决定参加此次</w:t>
      </w:r>
      <w:r>
        <w:rPr>
          <w:rFonts w:hint="eastAsia" w:ascii="宋体" w:hAnsi="宋体"/>
          <w:bCs/>
          <w:color w:val="auto"/>
          <w:sz w:val="24"/>
          <w:highlight w:val="none"/>
          <w:u w:val="single"/>
        </w:rPr>
        <w:t xml:space="preserve">   （采购项目名称）   </w:t>
      </w:r>
      <w:r>
        <w:rPr>
          <w:rFonts w:hint="eastAsia" w:ascii="宋体" w:hAnsi="宋体"/>
          <w:bCs/>
          <w:color w:val="auto"/>
          <w:sz w:val="24"/>
          <w:highlight w:val="none"/>
        </w:rPr>
        <w:t>项目的投标。</w:t>
      </w:r>
    </w:p>
    <w:p>
      <w:pPr>
        <w:tabs>
          <w:tab w:val="left" w:pos="420"/>
          <w:tab w:val="left" w:pos="525"/>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一、我们愿意按照</w:t>
      </w:r>
      <w:r>
        <w:rPr>
          <w:rFonts w:hint="eastAsia" w:ascii="宋体" w:hAnsi="宋体"/>
          <w:bCs/>
          <w:color w:val="auto"/>
          <w:sz w:val="24"/>
          <w:highlight w:val="none"/>
          <w:lang w:val="en-US" w:eastAsia="zh-CN"/>
        </w:rPr>
        <w:t>采购</w:t>
      </w:r>
      <w:r>
        <w:rPr>
          <w:rFonts w:hint="eastAsia" w:ascii="宋体" w:hAnsi="宋体"/>
          <w:bCs/>
          <w:color w:val="auto"/>
          <w:sz w:val="24"/>
          <w:highlight w:val="none"/>
        </w:rPr>
        <w:t>文件的一切要求（包括付款方式），提供本项目的报价，总报价见《响应函附录》。</w:t>
      </w:r>
    </w:p>
    <w:p>
      <w:pPr>
        <w:widowControl/>
        <w:tabs>
          <w:tab w:val="left" w:pos="420"/>
        </w:tabs>
        <w:spacing w:line="360" w:lineRule="auto"/>
        <w:ind w:left="479" w:leftChars="228" w:firstLine="0" w:firstLineChars="0"/>
        <w:jc w:val="left"/>
        <w:rPr>
          <w:rFonts w:hint="eastAsia" w:ascii="宋体" w:hAnsi="宋体" w:cs="宋体"/>
          <w:sz w:val="24"/>
          <w:highlight w:val="none"/>
          <w:lang w:val="en-US" w:eastAsia="zh-CN"/>
        </w:rPr>
      </w:pPr>
      <w:r>
        <w:rPr>
          <w:rFonts w:hint="eastAsia" w:ascii="宋体" w:hAnsi="宋体"/>
          <w:bCs/>
          <w:color w:val="auto"/>
          <w:sz w:val="24"/>
          <w:highlight w:val="none"/>
        </w:rPr>
        <w:t>二、我们愿意提供</w:t>
      </w:r>
      <w:r>
        <w:rPr>
          <w:rFonts w:hint="eastAsia" w:ascii="宋体" w:hAnsi="宋体"/>
          <w:bCs/>
          <w:color w:val="auto"/>
          <w:sz w:val="24"/>
          <w:highlight w:val="none"/>
          <w:lang w:eastAsia="zh-CN"/>
        </w:rPr>
        <w:t xml:space="preserve">江苏江南梁鸿建设咨询有限公司 </w:t>
      </w:r>
      <w:r>
        <w:rPr>
          <w:rFonts w:hint="eastAsia" w:ascii="宋体" w:hAnsi="宋体"/>
          <w:bCs/>
          <w:color w:val="auto"/>
          <w:sz w:val="24"/>
          <w:highlight w:val="none"/>
        </w:rPr>
        <w:t>在</w:t>
      </w:r>
      <w:r>
        <w:rPr>
          <w:rFonts w:hint="eastAsia" w:ascii="宋体" w:hAnsi="宋体"/>
          <w:bCs/>
          <w:color w:val="auto"/>
          <w:sz w:val="24"/>
          <w:highlight w:val="none"/>
          <w:lang w:val="en-US" w:eastAsia="zh-CN"/>
        </w:rPr>
        <w:t>采购</w:t>
      </w:r>
      <w:r>
        <w:rPr>
          <w:rFonts w:hint="eastAsia" w:ascii="宋体" w:hAnsi="宋体"/>
          <w:bCs/>
          <w:color w:val="auto"/>
          <w:sz w:val="24"/>
          <w:highlight w:val="none"/>
        </w:rPr>
        <w:t>文件中要求的文件、资料</w:t>
      </w:r>
      <w:r>
        <w:rPr>
          <w:rFonts w:hint="eastAsia" w:ascii="宋体" w:hAnsi="宋体" w:eastAsia="宋体" w:cs="宋体"/>
          <w:color w:val="auto"/>
          <w:kern w:val="0"/>
          <w:sz w:val="24"/>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cs="宋体"/>
          <w:kern w:val="0"/>
          <w:sz w:val="24"/>
          <w:highlight w:val="none"/>
          <w:lang w:val="en-US" w:eastAsia="zh-CN"/>
        </w:rPr>
        <w:t xml:space="preserve">                </w:t>
      </w:r>
      <w:r>
        <w:rPr>
          <w:rFonts w:hint="eastAsia" w:ascii="宋体" w:hAnsi="宋体" w:cs="宋体"/>
          <w:sz w:val="24"/>
          <w:highlight w:val="none"/>
          <w:lang w:val="en-US" w:eastAsia="zh-CN"/>
        </w:rPr>
        <w:t xml:space="preserve">                  </w:t>
      </w:r>
    </w:p>
    <w:p>
      <w:pPr>
        <w:widowControl/>
        <w:tabs>
          <w:tab w:val="left" w:pos="420"/>
        </w:tabs>
        <w:spacing w:line="360" w:lineRule="auto"/>
        <w:ind w:left="479" w:leftChars="228" w:firstLine="0" w:firstLineChars="0"/>
        <w:jc w:val="left"/>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三、我们同意按</w:t>
      </w:r>
      <w:r>
        <w:rPr>
          <w:rFonts w:hint="eastAsia" w:ascii="宋体" w:hAnsi="宋体" w:eastAsia="宋体" w:cs="Times New Roman"/>
          <w:color w:val="auto"/>
          <w:kern w:val="0"/>
          <w:sz w:val="24"/>
          <w:highlight w:val="none"/>
          <w:lang w:eastAsia="zh-CN"/>
        </w:rPr>
        <w:t>投标</w:t>
      </w:r>
      <w:r>
        <w:rPr>
          <w:rFonts w:hint="eastAsia" w:ascii="宋体" w:hAnsi="宋体" w:eastAsia="宋体" w:cs="Times New Roman"/>
          <w:color w:val="auto"/>
          <w:kern w:val="0"/>
          <w:sz w:val="24"/>
          <w:highlight w:val="none"/>
        </w:rPr>
        <w:t>文件中的规定，本响应文件投标的有效期限为投标截止之日起90天。</w:t>
      </w:r>
    </w:p>
    <w:p>
      <w:pPr>
        <w:tabs>
          <w:tab w:val="left" w:pos="525"/>
          <w:tab w:val="left" w:pos="552"/>
          <w:tab w:val="left" w:pos="630"/>
          <w:tab w:val="left" w:pos="945"/>
        </w:tabs>
        <w:spacing w:line="360" w:lineRule="auto"/>
        <w:ind w:firstLine="480" w:firstLineChars="200"/>
        <w:rPr>
          <w:rFonts w:hint="eastAsia" w:ascii="宋体" w:hAnsi="宋体"/>
          <w:bCs/>
          <w:color w:val="auto"/>
          <w:sz w:val="24"/>
          <w:highlight w:val="none"/>
        </w:rPr>
      </w:pPr>
      <w:r>
        <w:rPr>
          <w:rFonts w:hint="eastAsia" w:ascii="宋体" w:hAnsi="宋体"/>
          <w:color w:val="auto"/>
          <w:kern w:val="0"/>
          <w:sz w:val="24"/>
          <w:highlight w:val="none"/>
        </w:rPr>
        <w:t>四、我方同意按</w:t>
      </w:r>
      <w:r>
        <w:rPr>
          <w:rFonts w:hint="eastAsia" w:ascii="宋体" w:hAnsi="宋体"/>
          <w:color w:val="auto"/>
          <w:kern w:val="0"/>
          <w:sz w:val="24"/>
          <w:highlight w:val="none"/>
          <w:lang w:eastAsia="zh-CN"/>
        </w:rPr>
        <w:t>投标</w:t>
      </w:r>
      <w:r>
        <w:rPr>
          <w:rFonts w:hint="eastAsia" w:ascii="宋体" w:hAnsi="宋体"/>
          <w:color w:val="auto"/>
          <w:kern w:val="0"/>
          <w:sz w:val="24"/>
          <w:highlight w:val="none"/>
        </w:rPr>
        <w:t>文件中的规定期限内完成全部工作。</w:t>
      </w:r>
    </w:p>
    <w:p>
      <w:pPr>
        <w:tabs>
          <w:tab w:val="left" w:pos="525"/>
          <w:tab w:val="left" w:pos="552"/>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五、如果我们的响应文件被接受，我们将履行</w:t>
      </w:r>
      <w:r>
        <w:rPr>
          <w:rFonts w:hint="eastAsia" w:ascii="宋体" w:hAnsi="宋体"/>
          <w:bCs/>
          <w:color w:val="auto"/>
          <w:sz w:val="24"/>
          <w:highlight w:val="none"/>
          <w:lang w:eastAsia="zh-CN"/>
        </w:rPr>
        <w:t>投标</w:t>
      </w:r>
      <w:r>
        <w:rPr>
          <w:rFonts w:hint="eastAsia" w:ascii="宋体" w:hAnsi="宋体"/>
          <w:bCs/>
          <w:color w:val="auto"/>
          <w:sz w:val="24"/>
          <w:highlight w:val="none"/>
        </w:rPr>
        <w:t>文件中规定的每一项要求，按期、按质、按量，完成交货任务。</w:t>
      </w:r>
    </w:p>
    <w:p>
      <w:pPr>
        <w:tabs>
          <w:tab w:val="left" w:pos="525"/>
          <w:tab w:val="left" w:pos="552"/>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六、我们认为你们有权决定成交者。</w:t>
      </w:r>
    </w:p>
    <w:p>
      <w:pPr>
        <w:tabs>
          <w:tab w:val="left" w:pos="525"/>
          <w:tab w:val="left" w:pos="552"/>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七、我方愿意遵守《中华人民共和国政府采购法》，并按《中华人民共和国</w:t>
      </w:r>
      <w:r>
        <w:rPr>
          <w:rFonts w:hint="eastAsia" w:ascii="宋体" w:hAnsi="宋体"/>
          <w:bCs/>
          <w:color w:val="auto"/>
          <w:sz w:val="24"/>
          <w:highlight w:val="none"/>
          <w:lang w:val="en-US" w:eastAsia="zh-CN"/>
        </w:rPr>
        <w:t>民法典</w:t>
      </w:r>
      <w:r>
        <w:rPr>
          <w:rFonts w:hint="eastAsia" w:ascii="宋体" w:hAnsi="宋体"/>
          <w:bCs/>
          <w:color w:val="auto"/>
          <w:sz w:val="24"/>
          <w:highlight w:val="none"/>
        </w:rPr>
        <w:t>》和合同条款履行自己的全部责任。在合同履行过程中，双方如有争议，同意由</w:t>
      </w:r>
      <w:r>
        <w:rPr>
          <w:rFonts w:hint="eastAsia" w:ascii="宋体" w:hAnsi="宋体"/>
          <w:bCs/>
          <w:color w:val="auto"/>
          <w:sz w:val="24"/>
          <w:highlight w:val="none"/>
          <w:lang w:eastAsia="zh-CN"/>
        </w:rPr>
        <w:t xml:space="preserve">江苏江南梁鸿建设咨询有限公司 </w:t>
      </w:r>
      <w:r>
        <w:rPr>
          <w:rFonts w:hint="eastAsia" w:ascii="宋体" w:hAnsi="宋体"/>
          <w:bCs/>
          <w:color w:val="auto"/>
          <w:sz w:val="24"/>
          <w:highlight w:val="none"/>
        </w:rPr>
        <w:t>协调解决，并按相关法规和有关文件规定处理。</w:t>
      </w:r>
    </w:p>
    <w:p>
      <w:pPr>
        <w:tabs>
          <w:tab w:val="left" w:pos="525"/>
          <w:tab w:val="left" w:pos="552"/>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八、我们认可并保证遵守</w:t>
      </w:r>
      <w:r>
        <w:rPr>
          <w:rFonts w:hint="eastAsia" w:ascii="宋体" w:hAnsi="宋体"/>
          <w:bCs/>
          <w:color w:val="auto"/>
          <w:sz w:val="24"/>
          <w:highlight w:val="none"/>
          <w:lang w:eastAsia="zh-CN"/>
        </w:rPr>
        <w:t>投标</w:t>
      </w:r>
      <w:r>
        <w:rPr>
          <w:rFonts w:hint="eastAsia" w:ascii="宋体" w:hAnsi="宋体"/>
          <w:bCs/>
          <w:color w:val="auto"/>
          <w:sz w:val="24"/>
          <w:highlight w:val="none"/>
        </w:rPr>
        <w:t>文件的所有规定。</w:t>
      </w:r>
    </w:p>
    <w:p>
      <w:pPr>
        <w:tabs>
          <w:tab w:val="left" w:pos="525"/>
          <w:tab w:val="left" w:pos="552"/>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九</w:t>
      </w:r>
      <w:r>
        <w:rPr>
          <w:rFonts w:hint="eastAsia" w:ascii="宋体" w:hAnsi="宋体"/>
          <w:bCs/>
          <w:color w:val="auto"/>
          <w:sz w:val="24"/>
          <w:highlight w:val="none"/>
        </w:rPr>
        <w:t>、如果我方被确定为</w:t>
      </w:r>
      <w:r>
        <w:rPr>
          <w:rFonts w:hint="eastAsia" w:ascii="宋体" w:hAnsi="宋体"/>
          <w:bCs/>
          <w:color w:val="auto"/>
          <w:sz w:val="24"/>
          <w:highlight w:val="none"/>
          <w:lang w:val="en-US" w:eastAsia="zh-CN"/>
        </w:rPr>
        <w:t>成交</w:t>
      </w:r>
      <w:r>
        <w:rPr>
          <w:rFonts w:hint="eastAsia" w:ascii="宋体" w:hAnsi="宋体"/>
          <w:bCs/>
          <w:color w:val="auto"/>
          <w:sz w:val="24"/>
          <w:highlight w:val="none"/>
        </w:rPr>
        <w:t>供应商，且我方如无不可抗力，又未履行</w:t>
      </w:r>
      <w:r>
        <w:rPr>
          <w:rFonts w:hint="eastAsia" w:ascii="宋体" w:hAnsi="宋体"/>
          <w:bCs/>
          <w:color w:val="auto"/>
          <w:sz w:val="24"/>
          <w:highlight w:val="none"/>
          <w:lang w:eastAsia="zh-CN"/>
        </w:rPr>
        <w:t>投标</w:t>
      </w:r>
      <w:r>
        <w:rPr>
          <w:rFonts w:hint="eastAsia" w:ascii="宋体" w:hAnsi="宋体"/>
          <w:bCs/>
          <w:color w:val="auto"/>
          <w:sz w:val="24"/>
          <w:highlight w:val="none"/>
        </w:rPr>
        <w:t>文件、响应文件和合同条款的，一经查实，我方愿意赔偿由此而造成的一切损失，并同意接受按</w:t>
      </w:r>
      <w:r>
        <w:rPr>
          <w:rFonts w:hint="eastAsia" w:ascii="宋体" w:hAnsi="宋体"/>
          <w:bCs/>
          <w:color w:val="auto"/>
          <w:sz w:val="24"/>
          <w:highlight w:val="none"/>
          <w:lang w:eastAsia="zh-CN"/>
        </w:rPr>
        <w:t>投标</w:t>
      </w:r>
      <w:r>
        <w:rPr>
          <w:rFonts w:hint="eastAsia" w:ascii="宋体" w:hAnsi="宋体"/>
          <w:bCs/>
          <w:color w:val="auto"/>
          <w:sz w:val="24"/>
          <w:highlight w:val="none"/>
        </w:rPr>
        <w:t>文件的相关要求对我方进行的处理。</w:t>
      </w:r>
    </w:p>
    <w:p>
      <w:pPr>
        <w:spacing w:line="400" w:lineRule="exact"/>
        <w:ind w:firstLine="480" w:firstLineChars="200"/>
        <w:rPr>
          <w:rFonts w:hint="eastAsia" w:ascii="宋体" w:hAnsi="宋体"/>
          <w:bCs/>
          <w:color w:val="auto"/>
          <w:sz w:val="24"/>
          <w:highlight w:val="none"/>
        </w:rPr>
      </w:pPr>
      <w:r>
        <w:rPr>
          <w:rFonts w:hint="eastAsia" w:ascii="宋体" w:hAnsi="宋体"/>
          <w:color w:val="auto"/>
          <w:sz w:val="24"/>
          <w:highlight w:val="none"/>
          <w:lang w:val="en-US" w:eastAsia="zh-CN"/>
        </w:rPr>
        <w:t>投标</w:t>
      </w:r>
      <w:r>
        <w:rPr>
          <w:rFonts w:hint="eastAsia" w:ascii="宋体" w:hAnsi="宋体"/>
          <w:color w:val="auto"/>
          <w:sz w:val="24"/>
          <w:highlight w:val="none"/>
        </w:rPr>
        <w:t>供应商</w:t>
      </w:r>
      <w:r>
        <w:rPr>
          <w:rFonts w:hint="eastAsia" w:ascii="宋体" w:hAnsi="宋体"/>
          <w:bCs/>
          <w:color w:val="auto"/>
          <w:sz w:val="24"/>
          <w:highlight w:val="none"/>
        </w:rPr>
        <w:t xml:space="preserve">（盖章）：     </w:t>
      </w:r>
    </w:p>
    <w:p>
      <w:pPr>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法定代表人或法定代表人授权代表签字或盖章：</w:t>
      </w:r>
    </w:p>
    <w:p>
      <w:pPr>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电话：                              传真：</w:t>
      </w:r>
    </w:p>
    <w:p>
      <w:pPr>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 xml:space="preserve">地址：                              邮编：                             </w:t>
      </w:r>
    </w:p>
    <w:p>
      <w:pPr>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开户名称：</w:t>
      </w:r>
    </w:p>
    <w:p>
      <w:pPr>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 xml:space="preserve">开户银行：                   </w:t>
      </w:r>
    </w:p>
    <w:p>
      <w:pPr>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开户账号：</w:t>
      </w:r>
      <w:bookmarkStart w:id="7" w:name="校园网系统报价和服务承诺表（格式）"/>
      <w:bookmarkEnd w:id="7"/>
      <w:bookmarkStart w:id="8" w:name="（报价人）法定代表人授权书（格式）"/>
      <w:bookmarkEnd w:id="8"/>
    </w:p>
    <w:p>
      <w:pPr>
        <w:spacing w:line="400" w:lineRule="exact"/>
        <w:ind w:firstLine="420" w:firstLineChars="200"/>
        <w:rPr>
          <w:rFonts w:hint="eastAsia"/>
          <w:color w:val="auto"/>
          <w:highlight w:val="none"/>
        </w:rPr>
      </w:pPr>
    </w:p>
    <w:p>
      <w:pPr>
        <w:spacing w:line="400" w:lineRule="exact"/>
        <w:ind w:firstLine="420" w:firstLineChars="200"/>
        <w:rPr>
          <w:rFonts w:hint="eastAsia"/>
          <w:color w:val="auto"/>
          <w:highlight w:val="none"/>
        </w:rPr>
      </w:pPr>
    </w:p>
    <w:p>
      <w:pPr>
        <w:pStyle w:val="7"/>
        <w:numPr>
          <w:ilvl w:val="0"/>
          <w:numId w:val="4"/>
        </w:numPr>
        <w:ind w:left="855" w:leftChars="0" w:hanging="855" w:firstLineChars="0"/>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b w:val="0"/>
          <w:color w:val="auto"/>
          <w:sz w:val="28"/>
          <w:szCs w:val="28"/>
          <w:highlight w:val="none"/>
        </w:rPr>
        <w:br w:type="page"/>
      </w:r>
      <w:r>
        <w:rPr>
          <w:rFonts w:hint="eastAsia" w:asciiTheme="minorEastAsia" w:hAnsiTheme="minorEastAsia" w:eastAsiaTheme="minorEastAsia" w:cstheme="minorEastAsia"/>
          <w:b/>
          <w:bCs/>
          <w:color w:val="auto"/>
          <w:kern w:val="2"/>
          <w:sz w:val="28"/>
          <w:szCs w:val="28"/>
          <w:highlight w:val="none"/>
          <w:lang w:val="en-US" w:eastAsia="zh-CN" w:bidi="ar-SA"/>
        </w:rPr>
        <w:t>开标一览表（格式）</w:t>
      </w:r>
    </w:p>
    <w:p>
      <w:pPr>
        <w:jc w:val="center"/>
        <w:outlineLvl w:val="0"/>
        <w:rPr>
          <w:rFonts w:hint="default" w:ascii="黑体" w:hAnsi="宋体" w:eastAsia="黑体"/>
          <w:sz w:val="32"/>
          <w:szCs w:val="32"/>
          <w:highlight w:val="none"/>
          <w:lang w:val="en-US" w:eastAsia="zh-CN"/>
        </w:rPr>
      </w:pPr>
      <w:r>
        <w:rPr>
          <w:rFonts w:hint="eastAsia" w:ascii="黑体" w:hAnsi="宋体" w:eastAsia="黑体"/>
          <w:sz w:val="32"/>
          <w:szCs w:val="32"/>
          <w:highlight w:val="none"/>
          <w:lang w:val="en-US" w:eastAsia="zh-CN"/>
        </w:rPr>
        <w:t>开标一览表</w:t>
      </w:r>
    </w:p>
    <w:p>
      <w:pPr>
        <w:numPr>
          <w:ilvl w:val="0"/>
          <w:numId w:val="0"/>
        </w:numPr>
        <w:ind w:leftChars="0"/>
        <w:rPr>
          <w:rFonts w:hint="eastAsia"/>
          <w:highlight w:val="none"/>
          <w:lang w:val="en-US" w:eastAsia="zh-CN"/>
        </w:rPr>
      </w:pPr>
    </w:p>
    <w:p>
      <w:pPr>
        <w:adjustRightInd w:val="0"/>
        <w:snapToGrid w:val="0"/>
        <w:spacing w:line="300" w:lineRule="auto"/>
        <w:rPr>
          <w:rFonts w:hint="eastAsia" w:ascii="宋体" w:hAnsi="宋体"/>
          <w:color w:val="auto"/>
          <w:highlight w:val="none"/>
        </w:rPr>
      </w:pPr>
      <w:r>
        <w:rPr>
          <w:rFonts w:hint="eastAsia" w:ascii="宋体" w:hAnsi="宋体"/>
          <w:color w:val="auto"/>
          <w:sz w:val="24"/>
          <w:highlight w:val="none"/>
          <w:lang w:val="en-US" w:eastAsia="zh-CN"/>
        </w:rPr>
        <w:t>投标</w:t>
      </w:r>
      <w:r>
        <w:rPr>
          <w:rFonts w:hint="eastAsia" w:ascii="宋体" w:hAnsi="宋体"/>
          <w:color w:val="auto"/>
          <w:sz w:val="24"/>
          <w:highlight w:val="none"/>
        </w:rPr>
        <w:t xml:space="preserve">供应商全称（加盖公章）：  </w:t>
      </w:r>
      <w:r>
        <w:rPr>
          <w:rFonts w:hint="eastAsia" w:ascii="宋体" w:hAnsi="宋体" w:cs="宋体"/>
          <w:color w:val="auto"/>
          <w:sz w:val="24"/>
          <w:szCs w:val="28"/>
          <w:highlight w:val="none"/>
        </w:rPr>
        <w:t xml:space="preserve">                      </w:t>
      </w:r>
      <w:r>
        <w:rPr>
          <w:rFonts w:hint="eastAsia" w:ascii="宋体" w:hAnsi="宋体"/>
          <w:color w:val="auto"/>
          <w:sz w:val="24"/>
          <w:highlight w:val="none"/>
          <w:lang w:val="en-US" w:eastAsia="zh-CN"/>
        </w:rPr>
        <w:t>采购项目</w:t>
      </w:r>
      <w:r>
        <w:rPr>
          <w:rFonts w:hint="eastAsia" w:ascii="宋体" w:hAnsi="宋体"/>
          <w:color w:val="auto"/>
          <w:sz w:val="24"/>
          <w:highlight w:val="none"/>
        </w:rPr>
        <w:t>编号：</w:t>
      </w:r>
      <w:r>
        <w:rPr>
          <w:rFonts w:hint="eastAsia" w:ascii="宋体" w:hAnsi="宋体"/>
          <w:color w:val="auto"/>
          <w:highlight w:val="none"/>
        </w:rPr>
        <w:t xml:space="preserve"> </w:t>
      </w:r>
    </w:p>
    <w:p>
      <w:pPr>
        <w:adjustRightInd w:val="0"/>
        <w:snapToGrid w:val="0"/>
        <w:spacing w:line="300" w:lineRule="auto"/>
        <w:rPr>
          <w:rFonts w:hint="eastAsia" w:ascii="宋体" w:hAnsi="宋体"/>
          <w:color w:val="auto"/>
          <w:highlight w:val="none"/>
        </w:rPr>
      </w:pP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2340" w:type="dxa"/>
            <w:vMerge w:val="restart"/>
            <w:noWrap w:val="0"/>
            <w:vAlign w:val="center"/>
          </w:tcPr>
          <w:p>
            <w:pPr>
              <w:adjustRightInd w:val="0"/>
              <w:snapToGrid w:val="0"/>
              <w:spacing w:line="300" w:lineRule="auto"/>
              <w:jc w:val="center"/>
              <w:rPr>
                <w:rFonts w:hint="eastAsia" w:ascii="宋体" w:hAnsi="宋体" w:cs="宋体"/>
                <w:sz w:val="24"/>
                <w:highlight w:val="none"/>
              </w:rPr>
            </w:pPr>
            <w:r>
              <w:rPr>
                <w:rFonts w:hint="eastAsia" w:ascii="宋体" w:hAnsi="宋体" w:cs="宋体"/>
                <w:sz w:val="24"/>
                <w:highlight w:val="none"/>
              </w:rPr>
              <w:t>投标报价（元）</w:t>
            </w:r>
          </w:p>
        </w:tc>
        <w:tc>
          <w:tcPr>
            <w:tcW w:w="6620" w:type="dxa"/>
            <w:noWrap w:val="0"/>
            <w:vAlign w:val="center"/>
          </w:tcPr>
          <w:p>
            <w:pPr>
              <w:adjustRightInd w:val="0"/>
              <w:snapToGrid w:val="0"/>
              <w:spacing w:line="300" w:lineRule="auto"/>
              <w:jc w:val="left"/>
              <w:rPr>
                <w:rFonts w:hint="eastAsia" w:ascii="宋体" w:hAnsi="宋体" w:cs="宋体"/>
                <w:sz w:val="24"/>
                <w:highlight w:val="none"/>
              </w:rPr>
            </w:pPr>
            <w:r>
              <w:rPr>
                <w:rFonts w:hint="eastAsia" w:ascii="宋体" w:hAnsi="宋体" w:cs="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2340" w:type="dxa"/>
            <w:vMerge w:val="continue"/>
            <w:noWrap w:val="0"/>
            <w:vAlign w:val="center"/>
          </w:tcPr>
          <w:p>
            <w:pPr>
              <w:adjustRightInd w:val="0"/>
              <w:snapToGrid w:val="0"/>
              <w:spacing w:line="300" w:lineRule="auto"/>
              <w:ind w:firstLine="2640" w:firstLineChars="1100"/>
              <w:rPr>
                <w:rFonts w:hint="eastAsia" w:ascii="宋体" w:hAnsi="宋体" w:cs="宋体"/>
                <w:sz w:val="24"/>
                <w:highlight w:val="none"/>
              </w:rPr>
            </w:pPr>
          </w:p>
        </w:tc>
        <w:tc>
          <w:tcPr>
            <w:tcW w:w="6620" w:type="dxa"/>
            <w:noWrap w:val="0"/>
            <w:vAlign w:val="center"/>
          </w:tcPr>
          <w:p>
            <w:pPr>
              <w:adjustRightInd w:val="0"/>
              <w:snapToGrid w:val="0"/>
              <w:spacing w:line="300" w:lineRule="auto"/>
              <w:jc w:val="left"/>
              <w:rPr>
                <w:rFonts w:hint="eastAsia" w:ascii="宋体" w:hAnsi="宋体" w:cs="宋体"/>
                <w:sz w:val="24"/>
                <w:highlight w:val="none"/>
              </w:rPr>
            </w:pPr>
            <w:r>
              <w:rPr>
                <w:rFonts w:hint="eastAsia" w:ascii="宋体" w:hAnsi="宋体" w:cs="宋体"/>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2340" w:type="dxa"/>
            <w:noWrap w:val="0"/>
            <w:vAlign w:val="center"/>
          </w:tcPr>
          <w:p>
            <w:pPr>
              <w:adjustRightInd w:val="0"/>
              <w:snapToGrid w:val="0"/>
              <w:spacing w:line="300" w:lineRule="auto"/>
              <w:jc w:val="center"/>
              <w:rPr>
                <w:rFonts w:hint="default" w:ascii="宋体" w:hAnsi="宋体" w:eastAsia="宋体" w:cs="宋体"/>
                <w:sz w:val="24"/>
                <w:highlight w:val="none"/>
                <w:lang w:val="en-US" w:eastAsia="zh-CN"/>
              </w:rPr>
            </w:pPr>
            <w:r>
              <w:rPr>
                <w:rFonts w:hint="eastAsia" w:ascii="宋体" w:hAnsi="宋体" w:cs="宋体"/>
                <w:kern w:val="0"/>
                <w:sz w:val="24"/>
                <w:highlight w:val="none"/>
                <w:lang w:val="en-US" w:eastAsia="zh-CN"/>
              </w:rPr>
              <w:t>服务期限</w:t>
            </w:r>
          </w:p>
        </w:tc>
        <w:tc>
          <w:tcPr>
            <w:tcW w:w="6620" w:type="dxa"/>
            <w:noWrap w:val="0"/>
            <w:vAlign w:val="center"/>
          </w:tcPr>
          <w:p>
            <w:pPr>
              <w:adjustRightInd w:val="0"/>
              <w:snapToGrid w:val="0"/>
              <w:spacing w:line="300" w:lineRule="auto"/>
              <w:rPr>
                <w:rFonts w:hint="default" w:ascii="宋体" w:hAnsi="宋体" w:eastAsia="宋体" w:cs="宋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2340" w:type="dxa"/>
            <w:noWrap w:val="0"/>
            <w:vAlign w:val="center"/>
          </w:tcPr>
          <w:p>
            <w:pPr>
              <w:adjustRightInd w:val="0"/>
              <w:snapToGrid w:val="0"/>
              <w:spacing w:line="300" w:lineRule="auto"/>
              <w:jc w:val="center"/>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实施地点</w:t>
            </w:r>
          </w:p>
        </w:tc>
        <w:tc>
          <w:tcPr>
            <w:tcW w:w="6620" w:type="dxa"/>
            <w:noWrap w:val="0"/>
            <w:vAlign w:val="center"/>
          </w:tcPr>
          <w:p>
            <w:pPr>
              <w:adjustRightInd w:val="0"/>
              <w:snapToGrid w:val="0"/>
              <w:spacing w:line="300" w:lineRule="auto"/>
              <w:rPr>
                <w:rFonts w:hint="eastAsia" w:ascii="宋体" w:hAnsi="宋体" w:eastAsia="宋体" w:cs="宋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2340" w:type="dxa"/>
            <w:noWrap w:val="0"/>
            <w:vAlign w:val="center"/>
          </w:tcPr>
          <w:p>
            <w:pPr>
              <w:adjustRightInd w:val="0"/>
              <w:snapToGrid w:val="0"/>
              <w:spacing w:line="300" w:lineRule="auto"/>
              <w:jc w:val="center"/>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安全要求</w:t>
            </w:r>
          </w:p>
        </w:tc>
        <w:tc>
          <w:tcPr>
            <w:tcW w:w="6620" w:type="dxa"/>
            <w:noWrap w:val="0"/>
            <w:vAlign w:val="center"/>
          </w:tcPr>
          <w:p>
            <w:pPr>
              <w:adjustRightInd w:val="0"/>
              <w:snapToGrid w:val="0"/>
              <w:spacing w:line="300" w:lineRule="auto"/>
              <w:rPr>
                <w:rFonts w:hint="eastAsia" w:ascii="宋体" w:hAnsi="宋体" w:eastAsia="宋体" w:cs="宋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2340" w:type="dxa"/>
            <w:noWrap w:val="0"/>
            <w:vAlign w:val="center"/>
          </w:tcPr>
          <w:p>
            <w:pPr>
              <w:adjustRightInd w:val="0"/>
              <w:snapToGrid w:val="0"/>
              <w:spacing w:line="300" w:lineRule="auto"/>
              <w:jc w:val="center"/>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服务效率</w:t>
            </w:r>
          </w:p>
        </w:tc>
        <w:tc>
          <w:tcPr>
            <w:tcW w:w="6620" w:type="dxa"/>
            <w:noWrap w:val="0"/>
            <w:vAlign w:val="center"/>
          </w:tcPr>
          <w:p>
            <w:pPr>
              <w:adjustRightInd w:val="0"/>
              <w:snapToGrid w:val="0"/>
              <w:spacing w:line="300" w:lineRule="auto"/>
              <w:rPr>
                <w:rFonts w:hint="eastAsia" w:ascii="宋体" w:hAnsi="宋体" w:eastAsia="宋体" w:cs="宋体"/>
                <w:sz w:val="24"/>
                <w:highlight w:val="none"/>
                <w:lang w:val="en-US" w:eastAsia="zh-CN"/>
              </w:rPr>
            </w:pPr>
          </w:p>
        </w:tc>
      </w:tr>
    </w:tbl>
    <w:p>
      <w:pPr>
        <w:overflowPunct w:val="0"/>
        <w:rPr>
          <w:rFonts w:hint="eastAsia" w:ascii="宋体" w:hAnsi="宋体"/>
          <w:color w:val="auto"/>
          <w:sz w:val="24"/>
          <w:highlight w:val="none"/>
        </w:rPr>
      </w:pPr>
    </w:p>
    <w:p>
      <w:pPr>
        <w:overflowPunct w:val="0"/>
        <w:rPr>
          <w:rFonts w:hint="eastAsia" w:ascii="宋体" w:hAnsi="宋体"/>
          <w:color w:val="auto"/>
          <w:sz w:val="24"/>
          <w:highlight w:val="none"/>
        </w:rPr>
      </w:pPr>
      <w:r>
        <w:rPr>
          <w:rFonts w:hint="eastAsia" w:ascii="宋体" w:hAnsi="宋体"/>
          <w:color w:val="auto"/>
          <w:sz w:val="24"/>
          <w:highlight w:val="none"/>
        </w:rPr>
        <w:t>法定代表人或授权代表签字：                        日期：   年   月   日</w:t>
      </w:r>
    </w:p>
    <w:p>
      <w:pPr>
        <w:overflowPunct w:val="0"/>
        <w:rPr>
          <w:rFonts w:hint="eastAsia" w:ascii="宋体" w:hAnsi="宋体"/>
          <w:color w:val="auto"/>
          <w:sz w:val="24"/>
          <w:highlight w:val="none"/>
        </w:rPr>
      </w:pPr>
    </w:p>
    <w:p>
      <w:pPr>
        <w:overflowPunct w:val="0"/>
        <w:rPr>
          <w:rFonts w:hint="eastAsia" w:ascii="宋体" w:hAnsi="宋体"/>
          <w:color w:val="auto"/>
          <w:sz w:val="24"/>
          <w:highlight w:val="none"/>
        </w:rPr>
      </w:pPr>
      <w:r>
        <w:rPr>
          <w:rFonts w:hint="eastAsia" w:ascii="宋体" w:hAnsi="宋体"/>
          <w:color w:val="auto"/>
          <w:sz w:val="24"/>
          <w:highlight w:val="none"/>
        </w:rPr>
        <w:t>填写说明：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b/>
          <w:bCs/>
          <w:sz w:val="24"/>
          <w:highlight w:val="none"/>
        </w:rPr>
      </w:pPr>
      <w:r>
        <w:rPr>
          <w:rFonts w:ascii="宋体" w:hAnsi="宋体" w:cs="宋体"/>
          <w:b/>
          <w:bCs/>
          <w:sz w:val="24"/>
          <w:highlight w:val="none"/>
        </w:rPr>
        <w:t>1</w:t>
      </w:r>
      <w:r>
        <w:rPr>
          <w:rFonts w:hint="eastAsia" w:ascii="宋体" w:hAnsi="宋体" w:cs="宋体"/>
          <w:b/>
          <w:bCs/>
          <w:sz w:val="24"/>
          <w:highlight w:val="none"/>
        </w:rPr>
        <w:t>、开标一览表中的内容应与响应函内容一致，否则评标时一律按开标一览表中内容为准，开标一览表中必须盖章或签字。</w:t>
      </w: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宋体" w:hAnsi="宋体"/>
          <w:b/>
          <w:color w:val="auto"/>
          <w:sz w:val="24"/>
          <w:highlight w:val="none"/>
        </w:rPr>
        <w:br w:type="page"/>
      </w:r>
      <w:r>
        <w:rPr>
          <w:rFonts w:hint="eastAsia" w:asciiTheme="minorEastAsia" w:hAnsiTheme="minorEastAsia" w:eastAsiaTheme="minorEastAsia" w:cstheme="minorEastAsia"/>
          <w:b/>
          <w:bCs/>
          <w:color w:val="auto"/>
          <w:kern w:val="2"/>
          <w:sz w:val="28"/>
          <w:szCs w:val="28"/>
          <w:highlight w:val="none"/>
          <w:lang w:val="en-US" w:eastAsia="zh-CN" w:bidi="ar-SA"/>
        </w:rPr>
        <w:t>（三）报价明细表（格式）</w:t>
      </w:r>
    </w:p>
    <w:p>
      <w:pPr>
        <w:jc w:val="left"/>
        <w:outlineLvl w:val="0"/>
        <w:rPr>
          <w:rFonts w:hint="eastAsia" w:asciiTheme="minorEastAsia" w:hAnsiTheme="minorEastAsia" w:eastAsiaTheme="minorEastAsia" w:cstheme="minorEastAsia"/>
          <w:b/>
          <w:bCs/>
          <w:color w:val="auto"/>
          <w:kern w:val="2"/>
          <w:sz w:val="32"/>
          <w:szCs w:val="32"/>
          <w:highlight w:val="none"/>
          <w:lang w:val="en-US" w:eastAsia="zh-CN" w:bidi="ar-SA"/>
        </w:rPr>
      </w:pPr>
      <w:r>
        <w:rPr>
          <w:rFonts w:hint="eastAsia" w:ascii="黑体" w:eastAsia="黑体" w:cs="黑体"/>
          <w:sz w:val="32"/>
          <w:szCs w:val="32"/>
          <w:highlight w:val="none"/>
          <w:lang w:val="en-US" w:eastAsia="zh-CN"/>
        </w:rPr>
        <w:t xml:space="preserve">                     </w:t>
      </w:r>
      <w:r>
        <w:rPr>
          <w:rFonts w:hint="eastAsia" w:asciiTheme="minorEastAsia" w:hAnsiTheme="minorEastAsia" w:eastAsiaTheme="minorEastAsia" w:cstheme="minorEastAsia"/>
          <w:b/>
          <w:bCs/>
          <w:color w:val="auto"/>
          <w:kern w:val="2"/>
          <w:sz w:val="28"/>
          <w:szCs w:val="28"/>
          <w:highlight w:val="none"/>
          <w:lang w:val="en-US" w:eastAsia="zh-CN" w:bidi="ar-SA"/>
        </w:rPr>
        <w:t xml:space="preserve"> </w:t>
      </w:r>
      <w:r>
        <w:rPr>
          <w:rFonts w:hint="eastAsia" w:asciiTheme="minorEastAsia" w:hAnsiTheme="minorEastAsia" w:eastAsiaTheme="minorEastAsia" w:cstheme="minorEastAsia"/>
          <w:b/>
          <w:bCs/>
          <w:color w:val="auto"/>
          <w:kern w:val="2"/>
          <w:sz w:val="32"/>
          <w:szCs w:val="32"/>
          <w:highlight w:val="none"/>
          <w:lang w:val="en-US" w:eastAsia="zh-CN" w:bidi="ar-SA"/>
        </w:rPr>
        <w:t>报价明细表</w:t>
      </w:r>
    </w:p>
    <w:p>
      <w:pPr>
        <w:jc w:val="left"/>
        <w:outlineLvl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投标供应商全称（加盖公章）：                       </w:t>
      </w:r>
      <w:r>
        <w:rPr>
          <w:rFonts w:hint="eastAsia" w:ascii="黑体" w:eastAsia="黑体"/>
          <w:bCs/>
          <w:color w:val="auto"/>
          <w:highlight w:val="none"/>
        </w:rPr>
        <w:t xml:space="preserve">  </w:t>
      </w:r>
      <w:r>
        <w:rPr>
          <w:rFonts w:hint="eastAsia" w:ascii="宋体" w:hAnsi="宋体" w:eastAsia="宋体" w:cs="宋体"/>
          <w:sz w:val="24"/>
          <w:szCs w:val="24"/>
          <w:highlight w:val="none"/>
          <w:lang w:val="en-US" w:eastAsia="zh-CN"/>
        </w:rPr>
        <w:t>采购项目</w:t>
      </w:r>
      <w:r>
        <w:rPr>
          <w:rFonts w:hint="eastAsia" w:ascii="宋体" w:hAnsi="宋体" w:eastAsia="宋体" w:cs="宋体"/>
          <w:sz w:val="24"/>
          <w:szCs w:val="24"/>
          <w:highlight w:val="none"/>
        </w:rPr>
        <w:t>编号</w:t>
      </w:r>
      <w:r>
        <w:rPr>
          <w:rFonts w:hint="eastAsia" w:ascii="宋体" w:hAnsi="宋体" w:eastAsia="宋体" w:cs="宋体"/>
          <w:sz w:val="24"/>
          <w:szCs w:val="24"/>
          <w:highlight w:val="none"/>
          <w:lang w:eastAsia="zh-CN"/>
        </w:rPr>
        <w:t>：</w:t>
      </w:r>
    </w:p>
    <w:tbl>
      <w:tblPr>
        <w:tblStyle w:val="22"/>
        <w:tblW w:w="94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1012"/>
        <w:gridCol w:w="2329"/>
        <w:gridCol w:w="1102"/>
        <w:gridCol w:w="2018"/>
        <w:gridCol w:w="1036"/>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0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车型</w:t>
            </w:r>
          </w:p>
        </w:tc>
        <w:tc>
          <w:tcPr>
            <w:tcW w:w="23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参数</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拖移预估数量</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全费用单价</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（元/车或台）</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合计</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Cs/>
                <w:color w:val="auto"/>
                <w:sz w:val="21"/>
                <w:szCs w:val="21"/>
                <w:highlight w:val="none"/>
                <w:lang w:val="en-US" w:eastAsia="zh-CN"/>
              </w:rPr>
              <w:t>一类车</w:t>
            </w:r>
          </w:p>
        </w:tc>
        <w:tc>
          <w:tcPr>
            <w:tcW w:w="232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left"/>
              <w:rPr>
                <w:rFonts w:hint="eastAsia" w:ascii="宋体" w:hAnsi="宋体" w:eastAsia="宋体" w:cs="宋体"/>
                <w:i w:val="0"/>
                <w:iCs w:val="0"/>
                <w:color w:val="000000"/>
                <w:sz w:val="24"/>
                <w:szCs w:val="24"/>
                <w:highlight w:val="none"/>
                <w:u w:val="none"/>
              </w:rPr>
            </w:pPr>
            <w:r>
              <w:rPr>
                <w:rFonts w:hint="eastAsia" w:ascii="宋体" w:hAnsi="宋体" w:eastAsia="宋体" w:cs="宋体"/>
                <w:bCs/>
                <w:color w:val="auto"/>
                <w:sz w:val="21"/>
                <w:szCs w:val="21"/>
                <w:highlight w:val="none"/>
                <w:lang w:val="en-US" w:eastAsia="zh-CN"/>
              </w:rPr>
              <w:t>7座及7座以下轿车、小型客车、2吨及2吨以下的小货车。</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hint="default" w:ascii="宋体" w:hAnsi="宋体" w:eastAsia="宋体" w:cs="宋体"/>
                <w:b w:val="0"/>
                <w:bCs/>
                <w:i w:val="0"/>
                <w:iCs w:val="0"/>
                <w:color w:val="000000"/>
                <w:sz w:val="24"/>
                <w:szCs w:val="24"/>
                <w:highlight w:val="none"/>
                <w:u w:val="none"/>
                <w:lang w:val="en-US"/>
              </w:rPr>
            </w:pPr>
            <w:r>
              <w:rPr>
                <w:rFonts w:hint="eastAsia" w:ascii="宋体" w:hAnsi="宋体" w:cs="宋体"/>
                <w:b w:val="0"/>
                <w:bCs/>
                <w:color w:val="auto"/>
                <w:sz w:val="21"/>
                <w:szCs w:val="21"/>
                <w:highlight w:val="none"/>
                <w:lang w:val="en-US" w:eastAsia="zh-CN"/>
              </w:rPr>
              <w:t>720</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2</w:t>
            </w:r>
          </w:p>
        </w:tc>
        <w:tc>
          <w:tcPr>
            <w:tcW w:w="10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Cs/>
                <w:color w:val="auto"/>
                <w:sz w:val="21"/>
                <w:szCs w:val="21"/>
                <w:highlight w:val="none"/>
                <w:lang w:val="en-US" w:eastAsia="zh-CN"/>
              </w:rPr>
              <w:t>二类车</w:t>
            </w:r>
          </w:p>
        </w:tc>
        <w:tc>
          <w:tcPr>
            <w:tcW w:w="232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left"/>
              <w:rPr>
                <w:rFonts w:hint="eastAsia" w:ascii="宋体" w:hAnsi="宋体" w:eastAsia="宋体" w:cs="宋体"/>
                <w:i w:val="0"/>
                <w:iCs w:val="0"/>
                <w:color w:val="000000"/>
                <w:sz w:val="24"/>
                <w:szCs w:val="24"/>
                <w:highlight w:val="none"/>
                <w:u w:val="none"/>
              </w:rPr>
            </w:pPr>
            <w:r>
              <w:rPr>
                <w:rFonts w:hint="eastAsia" w:ascii="宋体" w:hAnsi="宋体" w:eastAsia="宋体" w:cs="宋体"/>
                <w:bCs/>
                <w:color w:val="auto"/>
                <w:sz w:val="21"/>
                <w:szCs w:val="21"/>
                <w:highlight w:val="none"/>
                <w:lang w:val="en-US" w:eastAsia="zh-CN"/>
              </w:rPr>
              <w:t>8座以上至19座以下客车、2吨以上至5吨（含5吨）的货车。</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hint="default" w:ascii="宋体" w:hAnsi="宋体" w:eastAsia="宋体" w:cs="宋体"/>
                <w:b w:val="0"/>
                <w:bCs/>
                <w:i w:val="0"/>
                <w:iCs w:val="0"/>
                <w:color w:val="000000"/>
                <w:sz w:val="24"/>
                <w:szCs w:val="24"/>
                <w:highlight w:val="none"/>
                <w:u w:val="none"/>
                <w:lang w:val="en-US"/>
              </w:rPr>
            </w:pPr>
            <w:r>
              <w:rPr>
                <w:rFonts w:hint="eastAsia" w:ascii="宋体" w:hAnsi="宋体" w:cs="宋体"/>
                <w:b w:val="0"/>
                <w:bCs/>
                <w:color w:val="auto"/>
                <w:sz w:val="21"/>
                <w:szCs w:val="21"/>
                <w:highlight w:val="none"/>
                <w:lang w:val="en-US" w:eastAsia="zh-CN"/>
              </w:rPr>
              <w:t>100</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3</w:t>
            </w:r>
          </w:p>
        </w:tc>
        <w:tc>
          <w:tcPr>
            <w:tcW w:w="10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Cs/>
                <w:color w:val="auto"/>
                <w:sz w:val="21"/>
                <w:szCs w:val="21"/>
                <w:highlight w:val="none"/>
                <w:lang w:val="en-US" w:eastAsia="zh-CN"/>
              </w:rPr>
              <w:t>三类车</w:t>
            </w:r>
          </w:p>
        </w:tc>
        <w:tc>
          <w:tcPr>
            <w:tcW w:w="232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left"/>
              <w:rPr>
                <w:rFonts w:hint="eastAsia" w:ascii="宋体" w:hAnsi="宋体" w:eastAsia="宋体" w:cs="宋体"/>
                <w:i w:val="0"/>
                <w:iCs w:val="0"/>
                <w:color w:val="000000"/>
                <w:sz w:val="24"/>
                <w:szCs w:val="24"/>
                <w:highlight w:val="none"/>
                <w:u w:val="none"/>
              </w:rPr>
            </w:pPr>
            <w:r>
              <w:rPr>
                <w:rFonts w:hint="eastAsia" w:ascii="宋体" w:hAnsi="宋体" w:eastAsia="宋体" w:cs="宋体"/>
                <w:bCs/>
                <w:color w:val="auto"/>
                <w:sz w:val="21"/>
                <w:szCs w:val="21"/>
                <w:highlight w:val="none"/>
                <w:lang w:val="en-US" w:eastAsia="zh-CN"/>
              </w:rPr>
              <w:t>20座以上至39座以下客车、5吨以上至10吨（含10吨）的货车。</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hint="default" w:ascii="宋体" w:hAnsi="宋体" w:eastAsia="宋体" w:cs="宋体"/>
                <w:b w:val="0"/>
                <w:bCs/>
                <w:i w:val="0"/>
                <w:iCs w:val="0"/>
                <w:color w:val="000000"/>
                <w:sz w:val="24"/>
                <w:szCs w:val="24"/>
                <w:highlight w:val="none"/>
                <w:u w:val="none"/>
                <w:lang w:val="en-US"/>
              </w:rPr>
            </w:pPr>
            <w:r>
              <w:rPr>
                <w:rFonts w:hint="eastAsia" w:ascii="宋体" w:hAnsi="宋体" w:cs="宋体"/>
                <w:b w:val="0"/>
                <w:bCs/>
                <w:color w:val="auto"/>
                <w:sz w:val="21"/>
                <w:szCs w:val="21"/>
                <w:highlight w:val="none"/>
                <w:lang w:val="en-US" w:eastAsia="zh-CN"/>
              </w:rPr>
              <w:t>65</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4</w:t>
            </w:r>
          </w:p>
        </w:tc>
        <w:tc>
          <w:tcPr>
            <w:tcW w:w="10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Cs/>
                <w:color w:val="auto"/>
                <w:sz w:val="21"/>
                <w:szCs w:val="21"/>
                <w:highlight w:val="none"/>
                <w:lang w:val="en-US" w:eastAsia="zh-CN"/>
              </w:rPr>
              <w:t>四类车</w:t>
            </w:r>
          </w:p>
        </w:tc>
        <w:tc>
          <w:tcPr>
            <w:tcW w:w="232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left"/>
              <w:rPr>
                <w:rFonts w:hint="eastAsia" w:ascii="宋体" w:hAnsi="宋体" w:eastAsia="宋体" w:cs="宋体"/>
                <w:i w:val="0"/>
                <w:iCs w:val="0"/>
                <w:color w:val="000000"/>
                <w:sz w:val="24"/>
                <w:szCs w:val="24"/>
                <w:highlight w:val="none"/>
                <w:u w:val="none"/>
              </w:rPr>
            </w:pPr>
            <w:r>
              <w:rPr>
                <w:rFonts w:hint="eastAsia" w:ascii="宋体" w:hAnsi="宋体" w:eastAsia="宋体" w:cs="宋体"/>
                <w:bCs/>
                <w:color w:val="auto"/>
                <w:sz w:val="21"/>
                <w:szCs w:val="21"/>
                <w:highlight w:val="none"/>
                <w:lang w:val="en-US" w:eastAsia="zh-CN"/>
              </w:rPr>
              <w:t>40座以上（含40座）以上客车、10吨以上至15吨（含15吨）的货车。</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hint="default" w:ascii="宋体" w:hAnsi="宋体" w:eastAsia="宋体" w:cs="宋体"/>
                <w:b w:val="0"/>
                <w:bCs/>
                <w:i w:val="0"/>
                <w:iCs w:val="0"/>
                <w:color w:val="000000"/>
                <w:sz w:val="24"/>
                <w:szCs w:val="24"/>
                <w:highlight w:val="none"/>
                <w:u w:val="none"/>
                <w:lang w:val="en-US"/>
              </w:rPr>
            </w:pPr>
            <w:r>
              <w:rPr>
                <w:rFonts w:hint="eastAsia" w:ascii="宋体" w:hAnsi="宋体" w:cs="宋体"/>
                <w:b w:val="0"/>
                <w:bCs/>
                <w:color w:val="auto"/>
                <w:sz w:val="21"/>
                <w:szCs w:val="21"/>
                <w:highlight w:val="none"/>
                <w:lang w:val="en-US" w:eastAsia="zh-CN"/>
              </w:rPr>
              <w:t>65</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w:t>
            </w:r>
          </w:p>
        </w:tc>
        <w:tc>
          <w:tcPr>
            <w:tcW w:w="10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五类车</w:t>
            </w:r>
          </w:p>
        </w:tc>
        <w:tc>
          <w:tcPr>
            <w:tcW w:w="232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Cs/>
                <w:color w:val="auto"/>
                <w:sz w:val="21"/>
                <w:szCs w:val="21"/>
                <w:highlight w:val="none"/>
                <w:lang w:val="en-US" w:eastAsia="zh-CN"/>
              </w:rPr>
              <w:t>15吨以上的货车。</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hint="default" w:ascii="宋体" w:hAnsi="宋体" w:eastAsia="宋体" w:cs="宋体"/>
                <w:b w:val="0"/>
                <w:bCs/>
                <w:i w:val="0"/>
                <w:iCs w:val="0"/>
                <w:color w:val="000000"/>
                <w:kern w:val="0"/>
                <w:sz w:val="24"/>
                <w:szCs w:val="24"/>
                <w:highlight w:val="none"/>
                <w:u w:val="none"/>
                <w:lang w:val="en-US" w:eastAsia="zh-CN" w:bidi="ar"/>
              </w:rPr>
            </w:pPr>
            <w:r>
              <w:rPr>
                <w:rFonts w:hint="eastAsia" w:ascii="宋体" w:hAnsi="宋体" w:cs="宋体"/>
                <w:b w:val="0"/>
                <w:bCs/>
                <w:color w:val="auto"/>
                <w:sz w:val="21"/>
                <w:szCs w:val="21"/>
                <w:highlight w:val="none"/>
                <w:lang w:val="en-US" w:eastAsia="zh-CN"/>
              </w:rPr>
              <w:t>81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812" w:type="dxa"/>
            <w:vMerge w:val="restart"/>
            <w:tcBorders>
              <w:top w:val="single" w:color="000000" w:sz="4" w:space="0"/>
              <w:left w:val="single" w:color="000000" w:sz="4" w:space="0"/>
              <w:right w:val="single" w:color="000000" w:sz="4" w:space="0"/>
            </w:tcBorders>
            <w:noWrap/>
            <w:vAlign w:val="center"/>
          </w:tcPr>
          <w:p>
            <w:pPr>
              <w:tabs>
                <w:tab w:val="left" w:pos="210"/>
              </w:tabs>
              <w:rPr>
                <w:rFonts w:ascii="宋体" w:hAnsi="宋体" w:cs="宋体"/>
                <w:b/>
                <w:bCs w:val="0"/>
                <w:color w:val="auto"/>
                <w:highlight w:val="none"/>
              </w:rPr>
            </w:pPr>
          </w:p>
          <w:p>
            <w:pPr>
              <w:ind w:firstLine="211" w:firstLineChars="1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服</w:t>
            </w:r>
          </w:p>
          <w:p>
            <w:pPr>
              <w:ind w:firstLine="211" w:firstLineChars="1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务</w:t>
            </w:r>
          </w:p>
          <w:p>
            <w:pPr>
              <w:ind w:firstLine="211" w:firstLineChars="1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承</w:t>
            </w:r>
          </w:p>
          <w:p>
            <w:pPr>
              <w:ind w:firstLine="211" w:firstLineChars="1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诺</w:t>
            </w:r>
          </w:p>
        </w:tc>
        <w:tc>
          <w:tcPr>
            <w:tcW w:w="8599" w:type="dxa"/>
            <w:gridSpan w:val="6"/>
            <w:tcBorders>
              <w:top w:val="single" w:color="000000" w:sz="4" w:space="0"/>
              <w:left w:val="single" w:color="000000" w:sz="4" w:space="0"/>
              <w:bottom w:val="single" w:color="000000" w:sz="4" w:space="0"/>
              <w:right w:val="single" w:color="000000" w:sz="4" w:space="0"/>
            </w:tcBorders>
            <w:noWrap/>
            <w:vAlign w:val="center"/>
          </w:tcPr>
          <w:p>
            <w:pPr>
              <w:tabs>
                <w:tab w:val="left" w:pos="210"/>
              </w:tabs>
              <w:rPr>
                <w:rFonts w:ascii="宋体" w:hAnsi="宋体" w:cs="宋体"/>
                <w:bCs/>
                <w:color w:val="auto"/>
                <w:highlight w:val="none"/>
              </w:rPr>
            </w:pPr>
          </w:p>
          <w:p>
            <w:pP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highlight w:val="none"/>
                <w:lang w:val="en-US" w:eastAsia="zh-CN"/>
              </w:rPr>
              <w:t>投标</w:t>
            </w:r>
            <w:r>
              <w:rPr>
                <w:rFonts w:hint="eastAsia" w:ascii="宋体" w:hAnsi="宋体" w:cs="宋体"/>
                <w:bCs/>
                <w:color w:val="auto"/>
                <w:highlight w:val="none"/>
              </w:rPr>
              <w:t>供应商应在满足磋商文件要求的基础上，根据自己单位的情况作出具体承诺</w:t>
            </w:r>
            <w:r>
              <w:rPr>
                <w:rFonts w:hint="eastAsia" w:ascii="宋体" w:hAnsi="宋体" w:cs="宋体"/>
                <w:bCs/>
                <w:color w:val="auto"/>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812"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p>
        </w:tc>
        <w:tc>
          <w:tcPr>
            <w:tcW w:w="859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pPr>
        <w:jc w:val="left"/>
        <w:outlineLvl w:val="0"/>
        <w:rPr>
          <w:rFonts w:hint="eastAsia" w:ascii="黑体" w:hAnsi="宋体" w:eastAsia="黑体" w:cs="黑体"/>
          <w:sz w:val="24"/>
          <w:szCs w:val="24"/>
          <w:highlight w:val="none"/>
        </w:rPr>
      </w:pPr>
    </w:p>
    <w:p>
      <w:pPr>
        <w:jc w:val="left"/>
        <w:outlineLvl w:val="0"/>
        <w:rPr>
          <w:rFonts w:hint="eastAsia" w:ascii="宋体" w:hAnsi="宋体" w:cs="宋体"/>
          <w:sz w:val="24"/>
          <w:szCs w:val="24"/>
          <w:highlight w:val="none"/>
        </w:rPr>
      </w:pPr>
      <w:r>
        <w:rPr>
          <w:rFonts w:hint="eastAsia" w:ascii="宋体" w:hAnsi="宋体" w:cs="宋体"/>
          <w:sz w:val="24"/>
          <w:szCs w:val="24"/>
          <w:highlight w:val="none"/>
        </w:rPr>
        <w:t>法定代表人或法定代表人授权代表签字或盖章：</w:t>
      </w:r>
    </w:p>
    <w:p>
      <w:pPr>
        <w:jc w:val="left"/>
        <w:outlineLvl w:val="0"/>
        <w:rPr>
          <w:rFonts w:hint="eastAsia" w:ascii="宋体" w:hAnsi="宋体" w:cs="宋体"/>
          <w:sz w:val="24"/>
          <w:szCs w:val="24"/>
          <w:highlight w:val="none"/>
          <w:lang w:val="en-US"/>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val="0"/>
          <w:sz w:val="22"/>
          <w:szCs w:val="22"/>
          <w:highlight w:val="none"/>
        </w:rPr>
      </w:pPr>
      <w:r>
        <w:rPr>
          <w:rFonts w:hint="eastAsia" w:ascii="宋体" w:hAnsi="宋体" w:cs="宋体"/>
          <w:b w:val="0"/>
          <w:bCs w:val="0"/>
          <w:sz w:val="22"/>
          <w:szCs w:val="22"/>
          <w:highlight w:val="none"/>
        </w:rPr>
        <w:t>注：（1）</w:t>
      </w:r>
      <w:r>
        <w:rPr>
          <w:rFonts w:hint="eastAsia" w:ascii="宋体" w:hAnsi="宋体" w:cs="宋体"/>
          <w:b w:val="0"/>
          <w:bCs w:val="0"/>
          <w:sz w:val="22"/>
          <w:szCs w:val="22"/>
          <w:highlight w:val="none"/>
          <w:lang w:val="en-US" w:eastAsia="zh-CN"/>
        </w:rPr>
        <w:t>投标供应商</w:t>
      </w:r>
      <w:r>
        <w:rPr>
          <w:rFonts w:hint="eastAsia" w:ascii="宋体" w:hAnsi="宋体" w:cs="宋体"/>
          <w:b w:val="0"/>
          <w:bCs w:val="0"/>
          <w:sz w:val="22"/>
          <w:szCs w:val="22"/>
          <w:highlight w:val="none"/>
        </w:rPr>
        <w:t>应当根据</w:t>
      </w:r>
      <w:r>
        <w:rPr>
          <w:rFonts w:hint="eastAsia" w:ascii="宋体" w:hAnsi="宋体" w:cs="宋体"/>
          <w:b w:val="0"/>
          <w:bCs w:val="0"/>
          <w:sz w:val="22"/>
          <w:szCs w:val="22"/>
          <w:highlight w:val="none"/>
          <w:lang w:val="en-US" w:eastAsia="zh-CN"/>
        </w:rPr>
        <w:t>第三章</w:t>
      </w:r>
      <w:r>
        <w:rPr>
          <w:rFonts w:hint="eastAsia" w:ascii="宋体" w:hAnsi="宋体" w:cs="宋体"/>
          <w:b w:val="0"/>
          <w:bCs w:val="0"/>
          <w:sz w:val="22"/>
          <w:szCs w:val="22"/>
          <w:highlight w:val="none"/>
        </w:rPr>
        <w:t>“采购需求”的内容在上表中详细填写；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val="0"/>
          <w:sz w:val="22"/>
          <w:szCs w:val="22"/>
          <w:highlight w:val="none"/>
        </w:rPr>
      </w:pPr>
      <w:r>
        <w:rPr>
          <w:rFonts w:hint="eastAsia" w:ascii="宋体" w:hAnsi="宋体" w:cs="宋体"/>
          <w:b w:val="0"/>
          <w:bCs w:val="0"/>
          <w:sz w:val="22"/>
          <w:szCs w:val="22"/>
          <w:highlight w:val="none"/>
        </w:rPr>
        <w:t>（2）表格不够可自行延长；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val="0"/>
          <w:sz w:val="22"/>
          <w:szCs w:val="22"/>
          <w:highlight w:val="none"/>
        </w:rPr>
      </w:pPr>
      <w:r>
        <w:rPr>
          <w:rFonts w:hint="eastAsia" w:ascii="宋体" w:hAnsi="宋体" w:cs="宋体"/>
          <w:b w:val="0"/>
          <w:bCs w:val="0"/>
          <w:sz w:val="22"/>
          <w:szCs w:val="22"/>
          <w:highlight w:val="none"/>
        </w:rPr>
        <w:t>（3）拖车数量为报价用预估数量，实际结算以实际数量按实结算。</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黑体" w:hAnsi="宋体" w:eastAsia="黑体" w:cs="黑体"/>
          <w:sz w:val="24"/>
          <w:szCs w:val="24"/>
          <w:highlight w:val="none"/>
        </w:rPr>
      </w:pPr>
      <w:r>
        <w:rPr>
          <w:rFonts w:hint="eastAsia" w:ascii="宋体" w:hAnsi="宋体" w:cs="宋体"/>
          <w:b w:val="0"/>
          <w:bCs w:val="0"/>
          <w:sz w:val="22"/>
          <w:szCs w:val="22"/>
          <w:highlight w:val="none"/>
          <w:lang w:eastAsia="zh-CN"/>
        </w:rPr>
        <w:t>（</w:t>
      </w:r>
      <w:r>
        <w:rPr>
          <w:rFonts w:hint="eastAsia" w:ascii="宋体" w:hAnsi="宋体" w:cs="宋体"/>
          <w:b w:val="0"/>
          <w:bCs w:val="0"/>
          <w:sz w:val="22"/>
          <w:szCs w:val="22"/>
          <w:highlight w:val="none"/>
          <w:lang w:val="en-US" w:eastAsia="zh-CN"/>
        </w:rPr>
        <w:t>4</w:t>
      </w:r>
      <w:r>
        <w:rPr>
          <w:rFonts w:hint="eastAsia" w:ascii="宋体" w:hAnsi="宋体" w:cs="宋体"/>
          <w:b w:val="0"/>
          <w:bCs w:val="0"/>
          <w:sz w:val="22"/>
          <w:szCs w:val="22"/>
          <w:highlight w:val="none"/>
          <w:lang w:eastAsia="zh-CN"/>
        </w:rPr>
        <w:t>）</w:t>
      </w:r>
      <w:r>
        <w:rPr>
          <w:rFonts w:hint="eastAsia" w:ascii="宋体" w:hAnsi="宋体" w:cs="宋体"/>
          <w:b w:val="0"/>
          <w:bCs w:val="0"/>
          <w:sz w:val="22"/>
          <w:szCs w:val="22"/>
          <w:highlight w:val="none"/>
          <w:lang w:val="en-US" w:eastAsia="zh-CN"/>
        </w:rPr>
        <w:t>全费用单价含停车费用。</w:t>
      </w: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p>
    <w:p>
      <w:pPr>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br w:type="page"/>
      </w: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（四）承诺书（格式）</w:t>
      </w:r>
    </w:p>
    <w:p>
      <w:pPr>
        <w:ind w:left="420"/>
        <w:jc w:val="center"/>
        <w:outlineLvl w:val="0"/>
        <w:rPr>
          <w:rFonts w:ascii="黑体" w:hAnsi="宋体" w:eastAsia="黑体"/>
          <w:sz w:val="32"/>
          <w:szCs w:val="32"/>
          <w:highlight w:val="none"/>
        </w:rPr>
      </w:pPr>
    </w:p>
    <w:p>
      <w:pPr>
        <w:keepNext/>
        <w:jc w:val="center"/>
        <w:outlineLvl w:val="2"/>
        <w:rPr>
          <w:rFonts w:ascii="宋体"/>
          <w:sz w:val="28"/>
          <w:szCs w:val="28"/>
          <w:highlight w:val="none"/>
        </w:rPr>
      </w:pPr>
      <w:r>
        <w:rPr>
          <w:rFonts w:hint="eastAsia" w:ascii="宋体" w:hAnsi="宋体" w:cs="宋体"/>
          <w:b/>
          <w:bCs/>
          <w:sz w:val="28"/>
          <w:szCs w:val="28"/>
          <w:highlight w:val="none"/>
        </w:rPr>
        <w:t>承诺书一</w:t>
      </w:r>
    </w:p>
    <w:p>
      <w:pPr>
        <w:spacing w:line="360" w:lineRule="auto"/>
        <w:ind w:firstLine="360" w:firstLineChars="150"/>
        <w:outlineLvl w:val="0"/>
        <w:rPr>
          <w:rFonts w:ascii="宋体"/>
          <w:sz w:val="24"/>
          <w:szCs w:val="24"/>
          <w:highlight w:val="none"/>
        </w:rPr>
      </w:pPr>
      <w:r>
        <w:rPr>
          <w:rFonts w:hint="eastAsia" w:ascii="宋体" w:hAnsi="宋体" w:cs="宋体"/>
          <w:sz w:val="24"/>
          <w:szCs w:val="24"/>
          <w:highlight w:val="none"/>
        </w:rPr>
        <w:t>（投标供应商名称）在此承诺：</w:t>
      </w:r>
    </w:p>
    <w:p>
      <w:pPr>
        <w:spacing w:line="360" w:lineRule="auto"/>
        <w:ind w:firstLine="360" w:firstLineChars="150"/>
        <w:outlineLvl w:val="0"/>
        <w:rPr>
          <w:rFonts w:ascii="宋体"/>
          <w:sz w:val="24"/>
          <w:szCs w:val="24"/>
          <w:highlight w:val="none"/>
        </w:rPr>
      </w:pPr>
    </w:p>
    <w:p>
      <w:pPr>
        <w:spacing w:line="360" w:lineRule="auto"/>
        <w:ind w:firstLine="600" w:firstLineChars="250"/>
        <w:outlineLvl w:val="0"/>
        <w:rPr>
          <w:rFonts w:ascii="宋体"/>
          <w:sz w:val="24"/>
          <w:szCs w:val="24"/>
          <w:highlight w:val="none"/>
        </w:rPr>
      </w:pPr>
      <w:r>
        <w:rPr>
          <w:rFonts w:hint="eastAsia" w:ascii="宋体" w:hAnsi="宋体" w:cs="宋体"/>
          <w:sz w:val="24"/>
          <w:szCs w:val="24"/>
          <w:highlight w:val="none"/>
        </w:rPr>
        <w:t>我公司</w:t>
      </w:r>
      <w:r>
        <w:rPr>
          <w:rFonts w:ascii="宋体" w:hAnsi="宋体" w:cs="宋体"/>
          <w:sz w:val="24"/>
          <w:szCs w:val="24"/>
          <w:highlight w:val="none"/>
        </w:rPr>
        <w:t>(</w:t>
      </w:r>
      <w:r>
        <w:rPr>
          <w:rFonts w:hint="eastAsia" w:ascii="宋体" w:hAnsi="宋体" w:cs="宋体"/>
          <w:sz w:val="24"/>
          <w:szCs w:val="24"/>
          <w:highlight w:val="none"/>
        </w:rPr>
        <w:t>单位</w:t>
      </w:r>
      <w:r>
        <w:rPr>
          <w:rFonts w:ascii="宋体" w:hAnsi="宋体" w:cs="宋体"/>
          <w:sz w:val="24"/>
          <w:szCs w:val="24"/>
          <w:highlight w:val="none"/>
        </w:rPr>
        <w:t>)</w:t>
      </w:r>
      <w:r>
        <w:rPr>
          <w:rFonts w:hint="eastAsia" w:ascii="宋体" w:hAnsi="宋体" w:cs="宋体"/>
          <w:sz w:val="24"/>
          <w:szCs w:val="24"/>
          <w:highlight w:val="none"/>
        </w:rPr>
        <w:t>愿针对此次</w:t>
      </w:r>
      <w:r>
        <w:rPr>
          <w:rFonts w:ascii="宋体" w:hAnsi="宋体" w:cs="宋体"/>
          <w:sz w:val="24"/>
          <w:szCs w:val="24"/>
          <w:highlight w:val="none"/>
          <w:u w:val="single"/>
        </w:rPr>
        <w:t xml:space="preserve">              </w:t>
      </w:r>
      <w:r>
        <w:rPr>
          <w:rFonts w:hint="eastAsia" w:ascii="宋体" w:hAnsi="宋体" w:cs="宋体"/>
          <w:sz w:val="24"/>
          <w:szCs w:val="24"/>
          <w:highlight w:val="none"/>
          <w:u w:val="single"/>
        </w:rPr>
        <w:t>（项目名称）</w:t>
      </w:r>
      <w:r>
        <w:rPr>
          <w:rFonts w:hint="eastAsia" w:ascii="宋体" w:hAnsi="宋体" w:cs="宋体"/>
          <w:sz w:val="24"/>
          <w:szCs w:val="24"/>
          <w:highlight w:val="none"/>
        </w:rPr>
        <w:t>进行投标。</w:t>
      </w:r>
      <w:r>
        <w:rPr>
          <w:rFonts w:ascii="宋体" w:hAnsi="宋体" w:cs="宋体"/>
          <w:sz w:val="24"/>
          <w:szCs w:val="24"/>
          <w:highlight w:val="none"/>
        </w:rPr>
        <w:t xml:space="preserve">     </w:t>
      </w:r>
      <w:r>
        <w:rPr>
          <w:rFonts w:hint="eastAsia" w:ascii="宋体" w:hAnsi="宋体" w:cs="宋体"/>
          <w:sz w:val="24"/>
          <w:szCs w:val="24"/>
          <w:highlight w:val="none"/>
        </w:rPr>
        <w:t>我公司符合《中华人民共和国政府采购法》第二十二条的规定，在此郑重承诺具备以下条件：</w:t>
      </w:r>
      <w:r>
        <w:rPr>
          <w:rFonts w:ascii="宋体" w:hAnsi="宋体" w:cs="宋体"/>
          <w:sz w:val="24"/>
          <w:szCs w:val="24"/>
          <w:highlight w:val="none"/>
        </w:rPr>
        <w:t>(</w:t>
      </w:r>
      <w:r>
        <w:rPr>
          <w:rFonts w:hint="eastAsia" w:ascii="宋体" w:hAnsi="宋体" w:cs="宋体"/>
          <w:sz w:val="24"/>
          <w:szCs w:val="24"/>
          <w:highlight w:val="none"/>
        </w:rPr>
        <w:t>一</w:t>
      </w:r>
      <w:r>
        <w:rPr>
          <w:rFonts w:ascii="宋体" w:hAnsi="宋体" w:cs="宋体"/>
          <w:sz w:val="24"/>
          <w:szCs w:val="24"/>
          <w:highlight w:val="none"/>
        </w:rPr>
        <w:t>)</w:t>
      </w:r>
      <w:r>
        <w:rPr>
          <w:rFonts w:hint="eastAsia" w:ascii="宋体" w:hAnsi="宋体" w:cs="宋体"/>
          <w:sz w:val="24"/>
          <w:szCs w:val="24"/>
          <w:highlight w:val="none"/>
        </w:rPr>
        <w:t>具有独立承担民事责任的能力；</w:t>
      </w:r>
      <w:r>
        <w:rPr>
          <w:rFonts w:ascii="宋体" w:hAnsi="宋体" w:cs="宋体"/>
          <w:sz w:val="24"/>
          <w:szCs w:val="24"/>
          <w:highlight w:val="none"/>
        </w:rPr>
        <w:t>(</w:t>
      </w:r>
      <w:r>
        <w:rPr>
          <w:rFonts w:hint="eastAsia" w:ascii="宋体" w:hAnsi="宋体" w:cs="宋体"/>
          <w:sz w:val="24"/>
          <w:szCs w:val="24"/>
          <w:highlight w:val="none"/>
        </w:rPr>
        <w:t>二</w:t>
      </w:r>
      <w:r>
        <w:rPr>
          <w:rFonts w:ascii="宋体" w:hAnsi="宋体" w:cs="宋体"/>
          <w:sz w:val="24"/>
          <w:szCs w:val="24"/>
          <w:highlight w:val="none"/>
        </w:rPr>
        <w:t>)</w:t>
      </w:r>
      <w:r>
        <w:rPr>
          <w:rFonts w:hint="eastAsia" w:ascii="宋体" w:hAnsi="宋体" w:cs="宋体"/>
          <w:sz w:val="24"/>
          <w:szCs w:val="24"/>
          <w:highlight w:val="none"/>
        </w:rPr>
        <w:t>具有良好的商业信誉和健全的财务会计制度；</w:t>
      </w:r>
      <w:r>
        <w:rPr>
          <w:rFonts w:ascii="宋体" w:hAnsi="宋体" w:cs="宋体"/>
          <w:sz w:val="24"/>
          <w:szCs w:val="24"/>
          <w:highlight w:val="none"/>
        </w:rPr>
        <w:t>(</w:t>
      </w:r>
      <w:r>
        <w:rPr>
          <w:rFonts w:hint="eastAsia" w:ascii="宋体" w:hAnsi="宋体" w:cs="宋体"/>
          <w:sz w:val="24"/>
          <w:szCs w:val="24"/>
          <w:highlight w:val="none"/>
        </w:rPr>
        <w:t>三</w:t>
      </w:r>
      <w:r>
        <w:rPr>
          <w:rFonts w:ascii="宋体" w:hAnsi="宋体" w:cs="宋体"/>
          <w:sz w:val="24"/>
          <w:szCs w:val="24"/>
          <w:highlight w:val="none"/>
        </w:rPr>
        <w:t>)</w:t>
      </w:r>
      <w:r>
        <w:rPr>
          <w:rFonts w:hint="eastAsia" w:ascii="宋体" w:hAnsi="宋体" w:cs="宋体"/>
          <w:sz w:val="24"/>
          <w:szCs w:val="24"/>
          <w:highlight w:val="none"/>
        </w:rPr>
        <w:t>具有履行合同所必需的设备和专业技术能力；</w:t>
      </w:r>
      <w:r>
        <w:rPr>
          <w:rFonts w:ascii="宋体" w:hAnsi="宋体" w:cs="宋体"/>
          <w:sz w:val="24"/>
          <w:szCs w:val="24"/>
          <w:highlight w:val="none"/>
        </w:rPr>
        <w:t>(</w:t>
      </w:r>
      <w:r>
        <w:rPr>
          <w:rFonts w:hint="eastAsia" w:ascii="宋体" w:hAnsi="宋体" w:cs="宋体"/>
          <w:sz w:val="24"/>
          <w:szCs w:val="24"/>
          <w:highlight w:val="none"/>
        </w:rPr>
        <w:t>四</w:t>
      </w:r>
      <w:r>
        <w:rPr>
          <w:rFonts w:ascii="宋体" w:hAnsi="宋体" w:cs="宋体"/>
          <w:sz w:val="24"/>
          <w:szCs w:val="24"/>
          <w:highlight w:val="none"/>
        </w:rPr>
        <w:t>)</w:t>
      </w:r>
      <w:r>
        <w:rPr>
          <w:rFonts w:hint="eastAsia" w:ascii="宋体" w:hAnsi="宋体" w:cs="宋体"/>
          <w:sz w:val="24"/>
          <w:szCs w:val="24"/>
          <w:highlight w:val="none"/>
        </w:rPr>
        <w:t>有依法缴纳税收和社会保障资金的良好记录；</w:t>
      </w:r>
      <w:r>
        <w:rPr>
          <w:rFonts w:ascii="宋体" w:hAnsi="宋体" w:cs="宋体"/>
          <w:sz w:val="24"/>
          <w:szCs w:val="24"/>
          <w:highlight w:val="none"/>
        </w:rPr>
        <w:t>(</w:t>
      </w:r>
      <w:r>
        <w:rPr>
          <w:rFonts w:hint="eastAsia" w:ascii="宋体" w:hAnsi="宋体" w:cs="宋体"/>
          <w:sz w:val="24"/>
          <w:szCs w:val="24"/>
          <w:highlight w:val="none"/>
        </w:rPr>
        <w:t>五</w:t>
      </w:r>
      <w:r>
        <w:rPr>
          <w:rFonts w:ascii="宋体" w:hAnsi="宋体" w:cs="宋体"/>
          <w:sz w:val="24"/>
          <w:szCs w:val="24"/>
          <w:highlight w:val="none"/>
        </w:rPr>
        <w:t>)</w:t>
      </w:r>
      <w:r>
        <w:rPr>
          <w:rFonts w:hint="eastAsia" w:ascii="宋体" w:hAnsi="宋体" w:cs="宋体"/>
          <w:sz w:val="24"/>
          <w:szCs w:val="24"/>
          <w:highlight w:val="none"/>
        </w:rPr>
        <w:t>近三年内，在经营活动中没有重大违法记录；</w:t>
      </w:r>
      <w:r>
        <w:rPr>
          <w:rFonts w:ascii="宋体" w:hAnsi="宋体" w:cs="宋体"/>
          <w:sz w:val="24"/>
          <w:szCs w:val="24"/>
          <w:highlight w:val="none"/>
        </w:rPr>
        <w:t>(</w:t>
      </w:r>
      <w:r>
        <w:rPr>
          <w:rFonts w:hint="eastAsia" w:ascii="宋体" w:hAnsi="宋体" w:cs="宋体"/>
          <w:sz w:val="24"/>
          <w:szCs w:val="24"/>
          <w:highlight w:val="none"/>
        </w:rPr>
        <w:t>六</w:t>
      </w:r>
      <w:r>
        <w:rPr>
          <w:rFonts w:ascii="宋体" w:hAnsi="宋体" w:cs="宋体"/>
          <w:sz w:val="24"/>
          <w:szCs w:val="24"/>
          <w:highlight w:val="none"/>
        </w:rPr>
        <w:t>)</w:t>
      </w:r>
      <w:r>
        <w:rPr>
          <w:rFonts w:hint="eastAsia" w:ascii="宋体" w:hAnsi="宋体" w:cs="宋体"/>
          <w:sz w:val="24"/>
          <w:szCs w:val="24"/>
          <w:highlight w:val="none"/>
        </w:rPr>
        <w:t>投标文件中所有关于投标资格的文件、证明、陈述均是真实的、准确的。若有违背，我公司</w:t>
      </w:r>
      <w:r>
        <w:rPr>
          <w:rFonts w:ascii="宋体" w:hAnsi="宋体" w:cs="宋体"/>
          <w:sz w:val="24"/>
          <w:szCs w:val="24"/>
          <w:highlight w:val="none"/>
        </w:rPr>
        <w:t>(</w:t>
      </w:r>
      <w:r>
        <w:rPr>
          <w:rFonts w:hint="eastAsia" w:ascii="宋体" w:hAnsi="宋体" w:cs="宋体"/>
          <w:sz w:val="24"/>
          <w:szCs w:val="24"/>
          <w:highlight w:val="none"/>
        </w:rPr>
        <w:t>单位</w:t>
      </w:r>
      <w:r>
        <w:rPr>
          <w:rFonts w:ascii="宋体" w:hAnsi="宋体" w:cs="宋体"/>
          <w:sz w:val="24"/>
          <w:szCs w:val="24"/>
          <w:highlight w:val="none"/>
        </w:rPr>
        <w:t>)</w:t>
      </w:r>
      <w:r>
        <w:rPr>
          <w:rFonts w:hint="eastAsia" w:ascii="宋体" w:hAnsi="宋体" w:cs="宋体"/>
          <w:sz w:val="24"/>
          <w:szCs w:val="24"/>
          <w:highlight w:val="none"/>
        </w:rPr>
        <w:t>愿意承担由此而产生的一切后果。</w:t>
      </w:r>
    </w:p>
    <w:p>
      <w:pPr>
        <w:spacing w:line="360" w:lineRule="auto"/>
        <w:ind w:firstLine="360" w:firstLineChars="150"/>
        <w:outlineLvl w:val="0"/>
        <w:rPr>
          <w:rFonts w:ascii="宋体"/>
          <w:sz w:val="24"/>
          <w:szCs w:val="24"/>
          <w:highlight w:val="none"/>
        </w:rPr>
      </w:pPr>
    </w:p>
    <w:p>
      <w:pPr>
        <w:spacing w:line="360" w:lineRule="auto"/>
        <w:ind w:firstLine="360" w:firstLineChars="150"/>
        <w:outlineLvl w:val="0"/>
        <w:rPr>
          <w:rFonts w:ascii="宋体"/>
          <w:sz w:val="24"/>
          <w:szCs w:val="24"/>
          <w:highlight w:val="none"/>
        </w:rPr>
      </w:pPr>
    </w:p>
    <w:p>
      <w:pPr>
        <w:spacing w:line="360" w:lineRule="auto"/>
        <w:ind w:firstLine="360" w:firstLineChars="150"/>
        <w:outlineLvl w:val="0"/>
        <w:rPr>
          <w:rFonts w:ascii="宋体"/>
          <w:sz w:val="24"/>
          <w:szCs w:val="24"/>
          <w:highlight w:val="none"/>
        </w:rPr>
      </w:pPr>
      <w:r>
        <w:rPr>
          <w:rFonts w:hint="eastAsia" w:ascii="宋体" w:hAnsi="宋体" w:cs="宋体"/>
          <w:sz w:val="24"/>
          <w:szCs w:val="24"/>
          <w:highlight w:val="none"/>
        </w:rPr>
        <w:t>投标供应商（盖章）：</w:t>
      </w:r>
    </w:p>
    <w:p>
      <w:pPr>
        <w:spacing w:line="360" w:lineRule="auto"/>
        <w:ind w:firstLine="360" w:firstLineChars="150"/>
        <w:outlineLvl w:val="0"/>
        <w:rPr>
          <w:rFonts w:ascii="宋体"/>
          <w:sz w:val="24"/>
          <w:szCs w:val="24"/>
          <w:highlight w:val="none"/>
        </w:rPr>
      </w:pPr>
      <w:r>
        <w:rPr>
          <w:rFonts w:hint="eastAsia" w:ascii="宋体" w:hAnsi="宋体" w:cs="宋体"/>
          <w:sz w:val="24"/>
          <w:szCs w:val="24"/>
          <w:highlight w:val="none"/>
        </w:rPr>
        <w:t>法定代表人或法定代表人授权代表签字或盖章：</w:t>
      </w:r>
    </w:p>
    <w:p>
      <w:pPr>
        <w:keepNext/>
        <w:jc w:val="center"/>
        <w:outlineLvl w:val="2"/>
        <w:rPr>
          <w:rFonts w:ascii="宋体"/>
          <w:b/>
          <w:bCs/>
          <w:sz w:val="32"/>
          <w:szCs w:val="32"/>
          <w:highlight w:val="none"/>
        </w:rPr>
      </w:pPr>
      <w:r>
        <w:rPr>
          <w:rFonts w:ascii="宋体"/>
          <w:sz w:val="24"/>
          <w:szCs w:val="24"/>
          <w:highlight w:val="none"/>
        </w:rPr>
        <w:br w:type="page"/>
      </w:r>
      <w:r>
        <w:rPr>
          <w:rFonts w:hint="eastAsia" w:ascii="宋体" w:hAnsi="宋体" w:cs="宋体"/>
          <w:b/>
          <w:bCs/>
          <w:sz w:val="28"/>
          <w:szCs w:val="28"/>
          <w:highlight w:val="none"/>
        </w:rPr>
        <w:t>承诺书二</w:t>
      </w:r>
    </w:p>
    <w:p>
      <w:pPr>
        <w:spacing w:line="360" w:lineRule="auto"/>
        <w:rPr>
          <w:rFonts w:ascii="宋体"/>
          <w:sz w:val="24"/>
          <w:szCs w:val="24"/>
          <w:highlight w:val="none"/>
        </w:rPr>
      </w:pPr>
    </w:p>
    <w:p>
      <w:pPr>
        <w:spacing w:line="360" w:lineRule="auto"/>
        <w:outlineLvl w:val="0"/>
        <w:rPr>
          <w:rFonts w:ascii="宋体"/>
          <w:sz w:val="24"/>
          <w:szCs w:val="24"/>
          <w:highlight w:val="none"/>
        </w:rPr>
      </w:pPr>
      <w:r>
        <w:rPr>
          <w:rFonts w:hint="eastAsia" w:ascii="宋体" w:hAnsi="宋体" w:cs="宋体"/>
          <w:sz w:val="24"/>
          <w:szCs w:val="24"/>
          <w:highlight w:val="none"/>
        </w:rPr>
        <w:t>致：</w:t>
      </w:r>
      <w:r>
        <w:rPr>
          <w:rFonts w:ascii="宋体" w:hAnsi="宋体" w:cs="宋体"/>
          <w:sz w:val="24"/>
          <w:szCs w:val="24"/>
          <w:highlight w:val="none"/>
        </w:rPr>
        <w:t xml:space="preserve">                       </w:t>
      </w:r>
      <w:r>
        <w:rPr>
          <w:rFonts w:hint="eastAsia" w:ascii="宋体" w:hAnsi="宋体" w:cs="宋体"/>
          <w:sz w:val="24"/>
          <w:szCs w:val="24"/>
          <w:highlight w:val="none"/>
        </w:rPr>
        <w:t>（采购人名称）</w:t>
      </w:r>
    </w:p>
    <w:p>
      <w:pPr>
        <w:spacing w:line="360" w:lineRule="auto"/>
        <w:ind w:firstLine="480" w:firstLineChars="200"/>
        <w:outlineLvl w:val="0"/>
        <w:rPr>
          <w:rFonts w:ascii="宋体"/>
          <w:sz w:val="24"/>
          <w:szCs w:val="24"/>
          <w:highlight w:val="none"/>
        </w:rPr>
      </w:pPr>
      <w:r>
        <w:rPr>
          <w:rFonts w:hint="eastAsia" w:ascii="宋体" w:hAnsi="宋体" w:cs="宋体"/>
          <w:sz w:val="24"/>
          <w:szCs w:val="24"/>
          <w:highlight w:val="none"/>
        </w:rPr>
        <w:t>我公司自愿参加贵单位（公司）项目的投标，并接受对我公司的资格审查，我公司承诺：本公司参加政府采购活动前</w:t>
      </w:r>
      <w:r>
        <w:rPr>
          <w:rFonts w:ascii="宋体" w:hAnsi="宋体" w:cs="宋体"/>
          <w:sz w:val="24"/>
          <w:szCs w:val="24"/>
          <w:highlight w:val="none"/>
        </w:rPr>
        <w:t>3</w:t>
      </w:r>
      <w:r>
        <w:rPr>
          <w:rFonts w:hint="eastAsia" w:ascii="宋体" w:hAnsi="宋体" w:cs="宋体"/>
          <w:sz w:val="24"/>
          <w:szCs w:val="24"/>
          <w:highlight w:val="none"/>
        </w:rPr>
        <w:t>年内在经营活动中没有重大违法记录；我公司未处于被责令停业、投标资格被取消或者财产被接管、冻结和破产状态，企业没有因骗取中标或者严重违约以及发生重大工程质量事故等问题，被有关部门暂停投标资格并在暂停期内的。根据贵单位（公司）提出的</w:t>
      </w:r>
      <w:r>
        <w:rPr>
          <w:rFonts w:hint="eastAsia" w:ascii="宋体" w:hAnsi="宋体" w:cs="宋体"/>
          <w:sz w:val="24"/>
          <w:szCs w:val="24"/>
          <w:highlight w:val="none"/>
          <w:lang w:eastAsia="zh-CN"/>
        </w:rPr>
        <w:t>招标文件</w:t>
      </w:r>
      <w:r>
        <w:rPr>
          <w:rFonts w:hint="eastAsia" w:ascii="宋体" w:hAnsi="宋体" w:cs="宋体"/>
          <w:sz w:val="24"/>
          <w:szCs w:val="24"/>
          <w:highlight w:val="none"/>
        </w:rPr>
        <w:t>要求，本公司递交的投标文件中的内容没有隐瞒、虚假、伪造等弄虚作假行为。若发现该行为，贵公司可以拒绝我公司报价，如已中标，</w:t>
      </w:r>
      <w:r>
        <w:rPr>
          <w:rFonts w:hint="eastAsia" w:ascii="宋体" w:hAnsi="宋体" w:cs="宋体"/>
          <w:sz w:val="24"/>
          <w:szCs w:val="24"/>
          <w:highlight w:val="none"/>
          <w:lang w:val="en-US" w:eastAsia="zh-CN"/>
        </w:rPr>
        <w:t>我公司自愿放弃</w:t>
      </w:r>
      <w:r>
        <w:rPr>
          <w:rFonts w:hint="eastAsia" w:ascii="宋体" w:hAnsi="宋体" w:cs="宋体"/>
          <w:sz w:val="24"/>
          <w:szCs w:val="24"/>
          <w:highlight w:val="none"/>
        </w:rPr>
        <w:t>中标资格，并接受政府采购主管部门对我公司弄虚作假、违反公平和诚实信用原则做出的任何处理。</w:t>
      </w:r>
    </w:p>
    <w:p>
      <w:pPr>
        <w:spacing w:before="240" w:line="360" w:lineRule="auto"/>
        <w:ind w:firstLine="480"/>
        <w:rPr>
          <w:rFonts w:ascii="宋体"/>
          <w:sz w:val="24"/>
          <w:szCs w:val="24"/>
          <w:highlight w:val="none"/>
        </w:rPr>
      </w:pPr>
    </w:p>
    <w:p>
      <w:pPr>
        <w:spacing w:before="240" w:line="360" w:lineRule="auto"/>
        <w:ind w:firstLine="480"/>
        <w:rPr>
          <w:rFonts w:ascii="宋体"/>
          <w:sz w:val="24"/>
          <w:szCs w:val="24"/>
          <w:highlight w:val="none"/>
        </w:rPr>
      </w:pPr>
    </w:p>
    <w:p>
      <w:pPr>
        <w:spacing w:before="240" w:line="360" w:lineRule="auto"/>
        <w:ind w:firstLine="480"/>
        <w:rPr>
          <w:rFonts w:ascii="宋体"/>
          <w:sz w:val="24"/>
          <w:szCs w:val="24"/>
          <w:highlight w:val="none"/>
        </w:rPr>
      </w:pPr>
    </w:p>
    <w:p>
      <w:pPr>
        <w:wordWrap w:val="0"/>
        <w:spacing w:before="240" w:line="360" w:lineRule="auto"/>
        <w:ind w:right="480" w:firstLine="4560" w:firstLineChars="1900"/>
        <w:rPr>
          <w:rFonts w:ascii="宋体"/>
          <w:sz w:val="24"/>
          <w:szCs w:val="24"/>
          <w:highlight w:val="none"/>
        </w:rPr>
      </w:pPr>
      <w:r>
        <w:rPr>
          <w:rFonts w:hint="eastAsia" w:ascii="宋体" w:hAnsi="宋体" w:cs="宋体"/>
          <w:sz w:val="24"/>
          <w:szCs w:val="24"/>
          <w:highlight w:val="none"/>
        </w:rPr>
        <w:t>投标供应商：（盖章）</w:t>
      </w:r>
      <w:r>
        <w:rPr>
          <w:rFonts w:ascii="宋体" w:hAnsi="宋体" w:cs="宋体"/>
          <w:sz w:val="24"/>
          <w:szCs w:val="24"/>
          <w:highlight w:val="none"/>
        </w:rPr>
        <w:t xml:space="preserve">  </w:t>
      </w:r>
    </w:p>
    <w:p>
      <w:pPr>
        <w:wordWrap w:val="0"/>
        <w:spacing w:before="240" w:line="360" w:lineRule="auto"/>
        <w:ind w:right="480" w:firstLine="4560" w:firstLineChars="1900"/>
        <w:rPr>
          <w:sz w:val="24"/>
          <w:szCs w:val="24"/>
          <w:highlight w:val="none"/>
        </w:rPr>
      </w:pPr>
      <w:r>
        <w:rPr>
          <w:rFonts w:hint="eastAsia" w:ascii="宋体" w:hAnsi="宋体" w:cs="宋体"/>
          <w:sz w:val="24"/>
          <w:szCs w:val="24"/>
          <w:highlight w:val="none"/>
        </w:rPr>
        <w:t>法定代表人签名或盖章：</w:t>
      </w:r>
      <w:r>
        <w:rPr>
          <w:rFonts w:ascii="宋体" w:hAnsi="宋体" w:cs="宋体"/>
          <w:sz w:val="24"/>
          <w:szCs w:val="24"/>
          <w:highlight w:val="none"/>
        </w:rPr>
        <w:t xml:space="preserve">     </w:t>
      </w:r>
    </w:p>
    <w:p>
      <w:pPr>
        <w:wordWrap w:val="0"/>
        <w:spacing w:before="240" w:line="360" w:lineRule="auto"/>
        <w:ind w:firstLine="480"/>
        <w:jc w:val="center"/>
        <w:rPr>
          <w:rFonts w:ascii="宋体"/>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p>
      <w:pPr>
        <w:pStyle w:val="8"/>
        <w:numPr>
          <w:ilvl w:val="4"/>
          <w:numId w:val="0"/>
        </w:numPr>
        <w:tabs>
          <w:tab w:val="left" w:pos="1080"/>
        </w:tabs>
        <w:rPr>
          <w:rFonts w:ascii="宋体" w:eastAsia="宋体" w:cs="Times New Roman"/>
          <w:sz w:val="24"/>
          <w:szCs w:val="24"/>
          <w:highlight w:val="none"/>
        </w:rPr>
      </w:pPr>
    </w:p>
    <w:p>
      <w:pPr>
        <w:rPr>
          <w:rFonts w:ascii="宋体"/>
          <w:sz w:val="24"/>
          <w:szCs w:val="24"/>
          <w:highlight w:val="none"/>
        </w:rPr>
      </w:pPr>
    </w:p>
    <w:p>
      <w:pPr>
        <w:rPr>
          <w:highlight w:val="none"/>
        </w:rPr>
      </w:pPr>
    </w:p>
    <w:p>
      <w:pPr>
        <w:rPr>
          <w:highlight w:val="none"/>
        </w:rPr>
      </w:pPr>
    </w:p>
    <w:p>
      <w:pPr>
        <w:pStyle w:val="4"/>
        <w:numPr>
          <w:ilvl w:val="0"/>
          <w:numId w:val="0"/>
        </w:numPr>
        <w:tabs>
          <w:tab w:val="left" w:pos="1800"/>
        </w:tabs>
        <w:ind w:leftChars="0"/>
        <w:jc w:val="both"/>
        <w:rPr>
          <w:rFonts w:hint="eastAsia"/>
          <w:highlight w:val="none"/>
        </w:rPr>
      </w:pPr>
    </w:p>
    <w:p>
      <w:pPr>
        <w:rPr>
          <w:rFonts w:hint="eastAsia" w:ascii="宋体" w:hAnsi="宋体" w:cs="宋体"/>
          <w:b/>
          <w:bCs/>
          <w:sz w:val="28"/>
          <w:szCs w:val="28"/>
          <w:highlight w:val="none"/>
        </w:rPr>
      </w:pPr>
      <w:r>
        <w:rPr>
          <w:rFonts w:hint="eastAsia" w:ascii="宋体" w:hAnsi="宋体" w:cs="宋体"/>
          <w:b/>
          <w:bCs/>
          <w:sz w:val="28"/>
          <w:szCs w:val="28"/>
          <w:highlight w:val="none"/>
        </w:rPr>
        <w:br w:type="page"/>
      </w:r>
    </w:p>
    <w:p>
      <w:pPr>
        <w:keepNext/>
        <w:jc w:val="center"/>
        <w:outlineLvl w:val="2"/>
        <w:rPr>
          <w:rFonts w:ascii="宋体"/>
          <w:b/>
          <w:bCs/>
          <w:sz w:val="28"/>
          <w:szCs w:val="28"/>
          <w:highlight w:val="none"/>
        </w:rPr>
      </w:pPr>
      <w:r>
        <w:rPr>
          <w:rFonts w:hint="eastAsia" w:ascii="宋体" w:hAnsi="宋体" w:cs="宋体"/>
          <w:b/>
          <w:bCs/>
          <w:sz w:val="28"/>
          <w:szCs w:val="28"/>
          <w:highlight w:val="none"/>
        </w:rPr>
        <w:t>承诺书三（廉洁承诺书格式）</w:t>
      </w:r>
    </w:p>
    <w:p>
      <w:pPr>
        <w:spacing w:line="520" w:lineRule="exact"/>
        <w:ind w:firstLine="480" w:firstLineChars="200"/>
        <w:rPr>
          <w:rFonts w:ascii="宋体"/>
          <w:sz w:val="24"/>
          <w:szCs w:val="24"/>
          <w:highlight w:val="none"/>
        </w:rPr>
      </w:pPr>
      <w:r>
        <w:rPr>
          <w:rFonts w:hint="eastAsia" w:ascii="宋体" w:hAnsi="宋体" w:cs="宋体"/>
          <w:sz w:val="24"/>
          <w:szCs w:val="24"/>
          <w:highlight w:val="none"/>
        </w:rPr>
        <w:t>为了积极配合贵单位的招标工作，有效遏制不公平竞争和违规违纪问题的发生，确保招标工作的公平、公正、公开，我们保证认真贯彻《招投标法》等相关规定以及相关廉洁要求，特向贵单位承诺如下事项：</w:t>
      </w:r>
    </w:p>
    <w:p>
      <w:pPr>
        <w:spacing w:line="520" w:lineRule="exact"/>
        <w:ind w:firstLine="480" w:firstLineChars="200"/>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、自觉遵守国家法律法规及有关廉政建设制度。</w:t>
      </w:r>
    </w:p>
    <w:p>
      <w:pPr>
        <w:spacing w:line="520" w:lineRule="exact"/>
        <w:ind w:firstLine="480" w:firstLineChars="20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、主动了解贵局招投标纪律，积极配合贵局执行招投标廉政建设的有关规定。</w:t>
      </w:r>
    </w:p>
    <w:p>
      <w:pPr>
        <w:spacing w:line="520" w:lineRule="exact"/>
        <w:ind w:firstLine="480" w:firstLineChars="200"/>
        <w:rPr>
          <w:rFonts w:ascii="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、不使用不正当手段妨碍、排挤其他投标单位或串通投标。</w:t>
      </w:r>
    </w:p>
    <w:p>
      <w:pPr>
        <w:spacing w:line="520" w:lineRule="exact"/>
        <w:ind w:firstLine="480" w:firstLineChars="200"/>
        <w:rPr>
          <w:rFonts w:ascii="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、按照</w:t>
      </w:r>
      <w:r>
        <w:rPr>
          <w:rFonts w:hint="eastAsia" w:ascii="宋体" w:hAnsi="宋体" w:cs="宋体"/>
          <w:sz w:val="24"/>
          <w:szCs w:val="24"/>
          <w:highlight w:val="none"/>
          <w:lang w:eastAsia="zh-CN"/>
        </w:rPr>
        <w:t>招标文件</w:t>
      </w:r>
      <w:r>
        <w:rPr>
          <w:rFonts w:hint="eastAsia" w:ascii="宋体" w:hAnsi="宋体" w:cs="宋体"/>
          <w:sz w:val="24"/>
          <w:szCs w:val="24"/>
          <w:highlight w:val="none"/>
        </w:rPr>
        <w:t>规定的方式进行投标，不隐瞒本单位投标资质的真实情况，投标资质符合规定。</w:t>
      </w:r>
    </w:p>
    <w:p>
      <w:pPr>
        <w:spacing w:line="520" w:lineRule="exact"/>
        <w:ind w:firstLine="480" w:firstLineChars="200"/>
        <w:rPr>
          <w:rFonts w:ascii="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不以任何方式向招标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pPr>
        <w:spacing w:line="520" w:lineRule="exact"/>
        <w:ind w:firstLine="480" w:firstLineChars="200"/>
        <w:rPr>
          <w:rFonts w:ascii="宋体"/>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、不向设计招标的单位及个人购置或提供通讯工具、交通工具和高档办公用品等。</w:t>
      </w:r>
    </w:p>
    <w:p>
      <w:pPr>
        <w:spacing w:line="520" w:lineRule="exact"/>
        <w:ind w:firstLine="480" w:firstLineChars="200"/>
        <w:rPr>
          <w:rFonts w:ascii="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、不向涉及招标的单位及个人的配偶、子女、亲属分包此次招标项目。</w:t>
      </w:r>
    </w:p>
    <w:p>
      <w:pPr>
        <w:spacing w:line="520" w:lineRule="exact"/>
        <w:ind w:firstLine="480" w:firstLineChars="200"/>
        <w:rPr>
          <w:rFonts w:ascii="宋体"/>
          <w:sz w:val="24"/>
          <w:szCs w:val="24"/>
          <w:highlight w:val="none"/>
        </w:rPr>
      </w:pPr>
      <w:r>
        <w:rPr>
          <w:rFonts w:ascii="宋体" w:hAnsi="宋体" w:cs="宋体"/>
          <w:sz w:val="24"/>
          <w:szCs w:val="24"/>
          <w:highlight w:val="none"/>
        </w:rPr>
        <w:t>8</w:t>
      </w:r>
      <w:r>
        <w:rPr>
          <w:rFonts w:hint="eastAsia" w:ascii="宋体" w:hAnsi="宋体" w:cs="宋体"/>
          <w:sz w:val="24"/>
          <w:szCs w:val="24"/>
          <w:highlight w:val="none"/>
        </w:rPr>
        <w:t>、不向涉及招标的单位及个人支付好处费、介绍费。</w:t>
      </w:r>
    </w:p>
    <w:p>
      <w:pPr>
        <w:spacing w:line="520" w:lineRule="exact"/>
        <w:ind w:firstLine="480" w:firstLineChars="200"/>
        <w:rPr>
          <w:rFonts w:ascii="宋体"/>
          <w:sz w:val="24"/>
          <w:szCs w:val="24"/>
          <w:highlight w:val="none"/>
        </w:rPr>
      </w:pPr>
      <w:r>
        <w:rPr>
          <w:rFonts w:ascii="宋体" w:hAnsi="宋体" w:cs="宋体"/>
          <w:sz w:val="24"/>
          <w:szCs w:val="24"/>
          <w:highlight w:val="none"/>
        </w:rPr>
        <w:t>9</w:t>
      </w:r>
      <w:r>
        <w:rPr>
          <w:rFonts w:hint="eastAsia" w:ascii="宋体" w:hAnsi="宋体" w:cs="宋体"/>
          <w:sz w:val="24"/>
          <w:szCs w:val="24"/>
          <w:highlight w:val="none"/>
        </w:rPr>
        <w:t>、一旦发现相关人员在招标过程中有索要财物等不廉洁行为，坚决予以抵制，并及时向贵局纪检监察室举报。</w:t>
      </w:r>
    </w:p>
    <w:p>
      <w:pPr>
        <w:spacing w:line="520" w:lineRule="exact"/>
        <w:ind w:firstLine="480" w:firstLineChars="200"/>
        <w:rPr>
          <w:rFonts w:ascii="宋体"/>
          <w:sz w:val="24"/>
          <w:szCs w:val="24"/>
          <w:highlight w:val="none"/>
        </w:rPr>
      </w:pPr>
      <w:r>
        <w:rPr>
          <w:rFonts w:hint="eastAsia" w:ascii="宋体" w:hAnsi="宋体" w:cs="宋体"/>
          <w:sz w:val="24"/>
          <w:szCs w:val="24"/>
          <w:highlight w:val="none"/>
        </w:rPr>
        <w:t>我们若违反上述承诺，</w:t>
      </w:r>
      <w:r>
        <w:rPr>
          <w:rFonts w:hint="eastAsia" w:ascii="宋体" w:hAnsi="宋体" w:cs="宋体"/>
          <w:sz w:val="24"/>
          <w:szCs w:val="24"/>
          <w:highlight w:val="none"/>
          <w:lang w:val="en-US" w:eastAsia="zh-CN"/>
        </w:rPr>
        <w:t>我公司自愿放弃</w:t>
      </w:r>
      <w:r>
        <w:rPr>
          <w:rFonts w:hint="eastAsia" w:ascii="宋体" w:hAnsi="宋体" w:cs="宋体"/>
          <w:sz w:val="24"/>
          <w:szCs w:val="24"/>
          <w:highlight w:val="none"/>
        </w:rPr>
        <w:t>投标资格并接受其他任何形式的处理。</w:t>
      </w:r>
    </w:p>
    <w:p>
      <w:pPr>
        <w:spacing w:line="520" w:lineRule="exact"/>
        <w:ind w:firstLine="480" w:firstLineChars="200"/>
        <w:rPr>
          <w:rFonts w:ascii="宋体"/>
          <w:sz w:val="24"/>
          <w:szCs w:val="24"/>
          <w:highlight w:val="none"/>
        </w:rPr>
      </w:pPr>
    </w:p>
    <w:p>
      <w:pPr>
        <w:spacing w:line="360" w:lineRule="auto"/>
        <w:ind w:firstLine="4800" w:firstLineChars="2000"/>
        <w:jc w:val="both"/>
        <w:rPr>
          <w:rFonts w:ascii="宋体"/>
          <w:sz w:val="24"/>
          <w:szCs w:val="24"/>
          <w:highlight w:val="none"/>
        </w:rPr>
      </w:pPr>
      <w:r>
        <w:rPr>
          <w:rFonts w:hint="eastAsia" w:ascii="宋体" w:hAnsi="宋体" w:cs="宋体"/>
          <w:sz w:val="24"/>
          <w:szCs w:val="24"/>
          <w:highlight w:val="none"/>
        </w:rPr>
        <w:t>投标供应商（公章）：</w:t>
      </w:r>
      <w:r>
        <w:rPr>
          <w:rFonts w:ascii="宋体" w:hAnsi="宋体" w:cs="宋体"/>
          <w:sz w:val="24"/>
          <w:szCs w:val="24"/>
          <w:highlight w:val="none"/>
        </w:rPr>
        <w:t xml:space="preserve">             </w:t>
      </w:r>
    </w:p>
    <w:p>
      <w:pPr>
        <w:spacing w:line="360" w:lineRule="auto"/>
        <w:ind w:firstLine="3840" w:firstLineChars="1600"/>
        <w:rPr>
          <w:rFonts w:ascii="宋体"/>
          <w:sz w:val="24"/>
          <w:szCs w:val="24"/>
          <w:highlight w:val="none"/>
        </w:rPr>
      </w:pPr>
      <w:r>
        <w:rPr>
          <w:rFonts w:hint="eastAsia" w:ascii="宋体" w:hAnsi="宋体" w:cs="宋体"/>
          <w:sz w:val="24"/>
          <w:szCs w:val="24"/>
          <w:highlight w:val="none"/>
        </w:rPr>
        <w:t>法定代表人或授权代理人：</w:t>
      </w:r>
      <w:r>
        <w:rPr>
          <w:rFonts w:ascii="宋体" w:hAnsi="宋体" w:cs="宋体"/>
          <w:sz w:val="24"/>
          <w:szCs w:val="24"/>
          <w:highlight w:val="none"/>
        </w:rPr>
        <w:t xml:space="preserve"> </w:t>
      </w:r>
      <w:r>
        <w:rPr>
          <w:rFonts w:hint="eastAsia" w:ascii="宋体" w:hAnsi="宋体" w:cs="宋体"/>
          <w:sz w:val="24"/>
          <w:szCs w:val="24"/>
          <w:highlight w:val="none"/>
        </w:rPr>
        <w:t>（签字或盖章）</w:t>
      </w:r>
    </w:p>
    <w:p>
      <w:pPr>
        <w:pStyle w:val="8"/>
        <w:numPr>
          <w:ilvl w:val="4"/>
          <w:numId w:val="0"/>
        </w:numPr>
        <w:tabs>
          <w:tab w:val="left" w:pos="1080"/>
        </w:tabs>
        <w:spacing w:line="360" w:lineRule="auto"/>
        <w:jc w:val="left"/>
        <w:rPr>
          <w:rFonts w:ascii="宋体" w:hAnsi="宋体" w:eastAsia="宋体" w:cs="Times New Roman"/>
          <w:b w:val="0"/>
          <w:bCs w:val="0"/>
          <w:sz w:val="24"/>
          <w:szCs w:val="24"/>
          <w:highlight w:val="none"/>
        </w:rPr>
      </w:pPr>
      <w:r>
        <w:rPr>
          <w:rFonts w:ascii="宋体" w:hAnsi="宋体" w:cs="宋体"/>
          <w:sz w:val="24"/>
          <w:szCs w:val="24"/>
          <w:highlight w:val="none"/>
        </w:rPr>
        <w:t xml:space="preserve">   </w:t>
      </w:r>
      <w:r>
        <w:rPr>
          <w:rFonts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lang w:val="en-US" w:eastAsia="zh-CN"/>
        </w:rPr>
        <w:t xml:space="preserve">                                      </w:t>
      </w:r>
      <w:r>
        <w:rPr>
          <w:rFonts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rPr>
        <w:t>年</w:t>
      </w:r>
      <w:r>
        <w:rPr>
          <w:rFonts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rPr>
        <w:t>月</w:t>
      </w:r>
      <w:r>
        <w:rPr>
          <w:rFonts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rPr>
        <w:t>日</w:t>
      </w:r>
    </w:p>
    <w:p>
      <w:pPr>
        <w:pStyle w:val="8"/>
        <w:numPr>
          <w:ilvl w:val="4"/>
          <w:numId w:val="0"/>
        </w:numPr>
        <w:tabs>
          <w:tab w:val="left" w:pos="1080"/>
        </w:tabs>
        <w:rPr>
          <w:rFonts w:cs="Times New Roman"/>
          <w:highlight w:val="none"/>
        </w:rPr>
      </w:pPr>
    </w:p>
    <w:p>
      <w:pPr>
        <w:rPr>
          <w:highlight w:val="none"/>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（五）法定代表人授权委托书（格式）</w:t>
      </w:r>
    </w:p>
    <w:p>
      <w:pPr>
        <w:jc w:val="center"/>
        <w:outlineLvl w:val="0"/>
        <w:rPr>
          <w:rFonts w:ascii="宋体"/>
          <w:b/>
          <w:bCs/>
          <w:sz w:val="30"/>
          <w:szCs w:val="30"/>
          <w:highlight w:val="none"/>
        </w:rPr>
      </w:pPr>
    </w:p>
    <w:p>
      <w:pPr>
        <w:jc w:val="center"/>
        <w:outlineLvl w:val="0"/>
        <w:rPr>
          <w:rFonts w:ascii="宋体"/>
          <w:b/>
          <w:bCs/>
          <w:sz w:val="30"/>
          <w:szCs w:val="30"/>
          <w:highlight w:val="none"/>
        </w:rPr>
      </w:pPr>
      <w:r>
        <w:rPr>
          <w:rFonts w:hint="eastAsia" w:ascii="宋体" w:hAnsi="宋体" w:cs="宋体"/>
          <w:b/>
          <w:bCs/>
          <w:sz w:val="30"/>
          <w:szCs w:val="30"/>
          <w:highlight w:val="none"/>
        </w:rPr>
        <w:t>法定代表人授权委托书</w:t>
      </w:r>
    </w:p>
    <w:p>
      <w:pPr>
        <w:jc w:val="left"/>
        <w:outlineLvl w:val="0"/>
        <w:rPr>
          <w:rFonts w:ascii="黑体" w:hAnsi="宋体" w:eastAsia="黑体"/>
          <w:sz w:val="24"/>
          <w:szCs w:val="24"/>
          <w:highlight w:val="none"/>
        </w:rPr>
      </w:pPr>
    </w:p>
    <w:p>
      <w:pPr>
        <w:topLinePunct/>
        <w:snapToGrid w:val="0"/>
        <w:spacing w:line="360" w:lineRule="auto"/>
        <w:jc w:val="center"/>
        <w:rPr>
          <w:rFonts w:ascii="宋体"/>
          <w:sz w:val="24"/>
          <w:szCs w:val="24"/>
          <w:highlight w:val="none"/>
        </w:rPr>
      </w:pPr>
      <w:r>
        <w:rPr>
          <w:rFonts w:hint="eastAsia" w:ascii="宋体" w:hAnsi="宋体" w:cs="宋体"/>
          <w:sz w:val="24"/>
          <w:szCs w:val="24"/>
          <w:highlight w:val="none"/>
        </w:rPr>
        <w:t>采购编号：</w:t>
      </w:r>
    </w:p>
    <w:p>
      <w:pPr>
        <w:topLinePunct/>
        <w:snapToGrid w:val="0"/>
        <w:spacing w:line="360" w:lineRule="auto"/>
        <w:jc w:val="center"/>
        <w:rPr>
          <w:rFonts w:ascii="宋体"/>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日期：</w:t>
      </w:r>
    </w:p>
    <w:p>
      <w:pPr>
        <w:topLinePunct/>
        <w:snapToGrid w:val="0"/>
        <w:spacing w:line="360" w:lineRule="auto"/>
        <w:rPr>
          <w:rFonts w:ascii="宋体"/>
          <w:sz w:val="24"/>
          <w:szCs w:val="24"/>
          <w:highlight w:val="none"/>
          <w:u w:val="single"/>
        </w:rPr>
      </w:pPr>
      <w:r>
        <w:rPr>
          <w:rFonts w:hint="eastAsia" w:ascii="宋体" w:hAnsi="宋体" w:cs="宋体"/>
          <w:sz w:val="24"/>
          <w:szCs w:val="24"/>
          <w:highlight w:val="none"/>
          <w:u w:val="single"/>
          <w:lang w:eastAsia="zh-CN"/>
        </w:rPr>
        <w:t xml:space="preserve">江苏江南梁鸿建设咨询有限公司 </w:t>
      </w:r>
      <w:r>
        <w:rPr>
          <w:rFonts w:hint="eastAsia" w:ascii="宋体" w:hAnsi="宋体" w:cs="宋体"/>
          <w:sz w:val="24"/>
          <w:szCs w:val="24"/>
          <w:highlight w:val="none"/>
          <w:u w:val="single"/>
        </w:rPr>
        <w:t>：</w:t>
      </w:r>
    </w:p>
    <w:p>
      <w:pPr>
        <w:topLinePunct/>
        <w:snapToGrid w:val="0"/>
        <w:spacing w:line="360" w:lineRule="auto"/>
        <w:rPr>
          <w:rFonts w:ascii="宋体"/>
          <w:sz w:val="24"/>
          <w:szCs w:val="24"/>
          <w:highlight w:val="none"/>
        </w:rPr>
      </w:pP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（投标供应商名称）</w:t>
      </w:r>
      <w:r>
        <w:rPr>
          <w:rFonts w:ascii="宋体" w:hAnsi="宋体" w:cs="宋体"/>
          <w:sz w:val="24"/>
          <w:szCs w:val="24"/>
          <w:highlight w:val="none"/>
          <w:u w:val="single"/>
        </w:rPr>
        <w:t xml:space="preserve">       </w:t>
      </w:r>
      <w:r>
        <w:rPr>
          <w:rFonts w:hint="eastAsia" w:ascii="宋体" w:hAnsi="宋体" w:cs="宋体"/>
          <w:sz w:val="24"/>
          <w:szCs w:val="24"/>
          <w:highlight w:val="none"/>
        </w:rPr>
        <w:t>系中华人民共和国合法企业</w:t>
      </w:r>
    </w:p>
    <w:p>
      <w:pPr>
        <w:topLinePunct/>
        <w:snapToGrid w:val="0"/>
        <w:spacing w:line="360" w:lineRule="auto"/>
        <w:rPr>
          <w:rFonts w:ascii="宋体"/>
          <w:sz w:val="24"/>
          <w:szCs w:val="24"/>
          <w:highlight w:val="none"/>
        </w:rPr>
      </w:pPr>
      <w:r>
        <w:rPr>
          <w:rFonts w:hint="eastAsia" w:ascii="宋体" w:hAnsi="宋体" w:cs="宋体"/>
          <w:sz w:val="24"/>
          <w:szCs w:val="24"/>
          <w:highlight w:val="none"/>
        </w:rPr>
        <w:t>法定地址：</w:t>
      </w:r>
      <w:r>
        <w:rPr>
          <w:rFonts w:ascii="宋体" w:hAnsi="宋体" w:cs="宋体"/>
          <w:sz w:val="24"/>
          <w:szCs w:val="24"/>
          <w:highlight w:val="none"/>
        </w:rPr>
        <w:t xml:space="preserve">                      </w:t>
      </w:r>
      <w:r>
        <w:rPr>
          <w:rFonts w:hint="eastAsia" w:ascii="宋体" w:hAnsi="宋体" w:cs="宋体"/>
          <w:sz w:val="24"/>
          <w:szCs w:val="24"/>
          <w:highlight w:val="none"/>
        </w:rPr>
        <w:t>特授权</w:t>
      </w:r>
      <w:r>
        <w:rPr>
          <w:rFonts w:ascii="宋体" w:hAnsi="宋体" w:cs="宋体"/>
          <w:sz w:val="24"/>
          <w:szCs w:val="24"/>
          <w:highlight w:val="none"/>
        </w:rPr>
        <w:t xml:space="preserve">      </w:t>
      </w:r>
      <w:r>
        <w:rPr>
          <w:rFonts w:hint="eastAsia" w:ascii="宋体" w:hAnsi="宋体" w:cs="宋体"/>
          <w:sz w:val="24"/>
          <w:szCs w:val="24"/>
          <w:highlight w:val="none"/>
        </w:rPr>
        <w:t>代表我公司（单位）全权办理针对本项目（采购编号：</w:t>
      </w:r>
      <w:r>
        <w:rPr>
          <w:rFonts w:ascii="宋体" w:hAnsi="宋体" w:cs="宋体"/>
          <w:sz w:val="24"/>
          <w:szCs w:val="24"/>
          <w:highlight w:val="none"/>
        </w:rPr>
        <w:t xml:space="preserve">          </w:t>
      </w:r>
      <w:r>
        <w:rPr>
          <w:rFonts w:hint="eastAsia" w:ascii="宋体" w:hAnsi="宋体" w:cs="宋体"/>
          <w:sz w:val="24"/>
          <w:szCs w:val="24"/>
          <w:highlight w:val="none"/>
        </w:rPr>
        <w:t>）的报价等具体工作，并签署全部有关文件、协议及合同。</w:t>
      </w:r>
    </w:p>
    <w:p>
      <w:pPr>
        <w:topLinePunct/>
        <w:snapToGrid w:val="0"/>
        <w:spacing w:line="360" w:lineRule="auto"/>
        <w:ind w:firstLine="480"/>
        <w:rPr>
          <w:rFonts w:ascii="宋体"/>
          <w:sz w:val="24"/>
          <w:szCs w:val="24"/>
          <w:highlight w:val="none"/>
        </w:rPr>
      </w:pPr>
      <w:r>
        <w:rPr>
          <w:rFonts w:hint="eastAsia" w:ascii="宋体" w:hAnsi="宋体" w:cs="宋体"/>
          <w:sz w:val="24"/>
          <w:szCs w:val="24"/>
          <w:highlight w:val="none"/>
        </w:rPr>
        <w:t>我公司（单位）对被授权人的签名负全部责任。</w:t>
      </w:r>
    </w:p>
    <w:p>
      <w:pPr>
        <w:topLinePunct/>
        <w:snapToGrid w:val="0"/>
        <w:spacing w:line="360" w:lineRule="auto"/>
        <w:ind w:firstLine="480"/>
        <w:rPr>
          <w:rFonts w:ascii="宋体"/>
          <w:sz w:val="24"/>
          <w:szCs w:val="24"/>
          <w:highlight w:val="none"/>
        </w:rPr>
      </w:pPr>
      <w:r>
        <w:rPr>
          <w:rFonts w:hint="eastAsia" w:ascii="宋体" w:hAnsi="宋体" w:cs="宋体"/>
          <w:sz w:val="24"/>
          <w:szCs w:val="24"/>
          <w:highlight w:val="none"/>
        </w:rPr>
        <w:t>在撤销授权的书面通知送达你处以前，本授权书一直有效，被授权人签署的所有文件（在授权书有效期内签署的）不因授权的撤销而失效。被授权人有（无）转委托权。</w:t>
      </w:r>
    </w:p>
    <w:p>
      <w:pPr>
        <w:topLinePunct/>
        <w:snapToGrid w:val="0"/>
        <w:spacing w:line="360" w:lineRule="auto"/>
        <w:ind w:firstLine="480"/>
        <w:rPr>
          <w:rFonts w:ascii="宋体"/>
          <w:sz w:val="24"/>
          <w:szCs w:val="24"/>
          <w:highlight w:val="none"/>
        </w:rPr>
      </w:pPr>
      <w:r>
        <w:rPr>
          <w:rFonts w:hint="eastAsia" w:ascii="宋体" w:hAnsi="宋体" w:cs="宋体"/>
          <w:sz w:val="24"/>
          <w:szCs w:val="24"/>
          <w:highlight w:val="none"/>
        </w:rPr>
        <w:t>被授权人情况：</w:t>
      </w:r>
    </w:p>
    <w:p>
      <w:pPr>
        <w:topLinePunct/>
        <w:snapToGrid w:val="0"/>
        <w:spacing w:line="360" w:lineRule="auto"/>
        <w:ind w:firstLine="480"/>
        <w:rPr>
          <w:rFonts w:ascii="宋体"/>
          <w:sz w:val="24"/>
          <w:szCs w:val="24"/>
          <w:highlight w:val="none"/>
        </w:rPr>
      </w:pPr>
      <w:r>
        <w:rPr>
          <w:rFonts w:hint="eastAsia" w:ascii="宋体" w:hAnsi="宋体" w:cs="宋体"/>
          <w:sz w:val="24"/>
          <w:szCs w:val="24"/>
          <w:highlight w:val="none"/>
        </w:rPr>
        <w:t>姓名：</w:t>
      </w:r>
      <w:r>
        <w:rPr>
          <w:rFonts w:ascii="宋体" w:hAnsi="宋体" w:cs="宋体"/>
          <w:sz w:val="24"/>
          <w:szCs w:val="24"/>
          <w:highlight w:val="none"/>
        </w:rPr>
        <w:t xml:space="preserve">          </w:t>
      </w:r>
      <w:r>
        <w:rPr>
          <w:rFonts w:hint="eastAsia" w:ascii="宋体" w:hAnsi="宋体" w:cs="宋体"/>
          <w:sz w:val="24"/>
          <w:szCs w:val="24"/>
          <w:highlight w:val="none"/>
        </w:rPr>
        <w:t>性别：</w:t>
      </w:r>
      <w:r>
        <w:rPr>
          <w:rFonts w:ascii="宋体" w:hAnsi="宋体" w:cs="宋体"/>
          <w:sz w:val="24"/>
          <w:szCs w:val="24"/>
          <w:highlight w:val="none"/>
        </w:rPr>
        <w:t xml:space="preserve">         </w:t>
      </w:r>
      <w:r>
        <w:rPr>
          <w:rFonts w:hint="eastAsia" w:ascii="宋体" w:hAnsi="宋体" w:cs="宋体"/>
          <w:sz w:val="24"/>
          <w:szCs w:val="24"/>
          <w:highlight w:val="none"/>
        </w:rPr>
        <w:t>年龄：</w:t>
      </w:r>
      <w:r>
        <w:rPr>
          <w:rFonts w:ascii="宋体" w:hAnsi="宋体" w:cs="宋体"/>
          <w:sz w:val="24"/>
          <w:szCs w:val="24"/>
          <w:highlight w:val="none"/>
        </w:rPr>
        <w:t xml:space="preserve">          </w:t>
      </w:r>
      <w:r>
        <w:rPr>
          <w:rFonts w:hint="eastAsia" w:ascii="宋体" w:hAnsi="宋体" w:cs="宋体"/>
          <w:sz w:val="24"/>
          <w:szCs w:val="24"/>
          <w:highlight w:val="none"/>
        </w:rPr>
        <w:t>职务：</w:t>
      </w:r>
    </w:p>
    <w:p>
      <w:pPr>
        <w:topLinePunct/>
        <w:snapToGrid w:val="0"/>
        <w:spacing w:line="360" w:lineRule="auto"/>
        <w:ind w:firstLine="480"/>
        <w:rPr>
          <w:rFonts w:ascii="宋体"/>
          <w:sz w:val="24"/>
          <w:szCs w:val="24"/>
          <w:highlight w:val="none"/>
        </w:rPr>
      </w:pPr>
      <w:r>
        <w:rPr>
          <w:rFonts w:hint="eastAsia" w:ascii="宋体" w:hAnsi="宋体" w:cs="宋体"/>
          <w:sz w:val="24"/>
          <w:szCs w:val="24"/>
          <w:highlight w:val="none"/>
        </w:rPr>
        <w:t>身份证号码：</w:t>
      </w:r>
      <w:r>
        <w:rPr>
          <w:rFonts w:ascii="宋体" w:hAnsi="宋体" w:cs="宋体"/>
          <w:sz w:val="24"/>
          <w:szCs w:val="24"/>
          <w:highlight w:val="none"/>
        </w:rPr>
        <w:t xml:space="preserve">                   </w:t>
      </w:r>
      <w:r>
        <w:rPr>
          <w:rFonts w:hint="eastAsia" w:ascii="宋体" w:hAnsi="宋体" w:cs="宋体"/>
          <w:sz w:val="24"/>
          <w:szCs w:val="24"/>
          <w:highlight w:val="none"/>
        </w:rPr>
        <w:t>电话：</w:t>
      </w:r>
    </w:p>
    <w:p>
      <w:pPr>
        <w:topLinePunct/>
        <w:snapToGrid w:val="0"/>
        <w:spacing w:line="360" w:lineRule="auto"/>
        <w:ind w:firstLine="480"/>
        <w:rPr>
          <w:rFonts w:ascii="宋体"/>
          <w:sz w:val="24"/>
          <w:szCs w:val="24"/>
          <w:highlight w:val="none"/>
        </w:rPr>
      </w:pPr>
      <w:r>
        <w:rPr>
          <w:rFonts w:hint="eastAsia" w:ascii="宋体" w:hAnsi="宋体" w:cs="宋体"/>
          <w:sz w:val="24"/>
          <w:szCs w:val="24"/>
          <w:highlight w:val="none"/>
        </w:rPr>
        <w:t>通讯地址：</w:t>
      </w:r>
    </w:p>
    <w:p>
      <w:pPr>
        <w:topLinePunct/>
        <w:snapToGrid w:val="0"/>
        <w:spacing w:line="360" w:lineRule="auto"/>
        <w:ind w:firstLine="480"/>
        <w:rPr>
          <w:rFonts w:ascii="宋体"/>
          <w:sz w:val="24"/>
          <w:szCs w:val="24"/>
          <w:highlight w:val="none"/>
        </w:rPr>
      </w:pPr>
      <w:r>
        <w:rPr>
          <w:rFonts w:hint="eastAsia" w:ascii="宋体" w:hAnsi="宋体" w:cs="宋体"/>
          <w:sz w:val="24"/>
          <w:szCs w:val="24"/>
          <w:highlight w:val="none"/>
        </w:rPr>
        <w:t>被授权人签名：</w:t>
      </w:r>
      <w:r>
        <w:rPr>
          <w:rFonts w:ascii="宋体" w:hAnsi="宋体" w:cs="宋体"/>
          <w:sz w:val="24"/>
          <w:szCs w:val="24"/>
          <w:highlight w:val="none"/>
        </w:rPr>
        <w:t xml:space="preserve">                  </w:t>
      </w:r>
      <w:r>
        <w:rPr>
          <w:rFonts w:hint="eastAsia" w:ascii="宋体" w:hAnsi="宋体" w:cs="宋体"/>
          <w:sz w:val="24"/>
          <w:szCs w:val="24"/>
          <w:highlight w:val="none"/>
        </w:rPr>
        <w:t>投标供应商（盖章）：</w:t>
      </w:r>
    </w:p>
    <w:p>
      <w:pPr>
        <w:topLinePunct/>
        <w:snapToGrid w:val="0"/>
        <w:spacing w:line="360" w:lineRule="auto"/>
        <w:ind w:firstLine="4320" w:firstLineChars="1800"/>
        <w:rPr>
          <w:rFonts w:ascii="宋体"/>
          <w:sz w:val="24"/>
          <w:szCs w:val="24"/>
          <w:highlight w:val="none"/>
        </w:rPr>
      </w:pPr>
      <w:r>
        <w:rPr>
          <w:rFonts w:hint="eastAsia" w:ascii="宋体" w:hAnsi="宋体" w:cs="宋体"/>
          <w:sz w:val="24"/>
          <w:szCs w:val="24"/>
          <w:highlight w:val="none"/>
        </w:rPr>
        <w:t>法定代表人（签字或盖章）：</w:t>
      </w:r>
    </w:p>
    <w:p>
      <w:pPr>
        <w:topLinePunct/>
        <w:snapToGrid w:val="0"/>
        <w:spacing w:line="360" w:lineRule="auto"/>
        <w:ind w:firstLine="4320" w:firstLineChars="1800"/>
        <w:rPr>
          <w:rFonts w:ascii="宋体"/>
          <w:sz w:val="24"/>
          <w:szCs w:val="24"/>
          <w:highlight w:val="none"/>
        </w:rPr>
      </w:pP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p>
      <w:pPr>
        <w:topLinePunct/>
        <w:snapToGrid w:val="0"/>
        <w:spacing w:line="360" w:lineRule="auto"/>
        <w:ind w:firstLine="5760" w:firstLineChars="2400"/>
        <w:rPr>
          <w:rFonts w:ascii="宋体"/>
          <w:sz w:val="24"/>
          <w:szCs w:val="24"/>
          <w:highlight w:val="none"/>
        </w:rPr>
      </w:pPr>
    </w:p>
    <w:tbl>
      <w:tblPr>
        <w:tblStyle w:val="22"/>
        <w:tblW w:w="100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666"/>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4680" w:type="dxa"/>
            <w:noWrap w:val="0"/>
            <w:vAlign w:val="top"/>
          </w:tcPr>
          <w:p>
            <w:pPr>
              <w:widowControl/>
              <w:topLinePunct/>
              <w:spacing w:before="4" w:line="360" w:lineRule="auto"/>
              <w:rPr>
                <w:rFonts w:ascii="宋体"/>
                <w:sz w:val="24"/>
                <w:szCs w:val="24"/>
                <w:highlight w:val="none"/>
              </w:rPr>
            </w:pPr>
          </w:p>
          <w:p>
            <w:pPr>
              <w:widowControl/>
              <w:topLinePunct/>
              <w:spacing w:before="4" w:line="360" w:lineRule="auto"/>
              <w:rPr>
                <w:rFonts w:ascii="宋体"/>
                <w:sz w:val="24"/>
                <w:szCs w:val="24"/>
                <w:highlight w:val="none"/>
              </w:rPr>
            </w:pPr>
          </w:p>
          <w:p>
            <w:pPr>
              <w:widowControl/>
              <w:topLinePunct/>
              <w:spacing w:before="4" w:line="360" w:lineRule="auto"/>
              <w:jc w:val="center"/>
              <w:rPr>
                <w:rFonts w:ascii="宋体"/>
                <w:sz w:val="24"/>
                <w:szCs w:val="24"/>
                <w:highlight w:val="none"/>
              </w:rPr>
            </w:pPr>
            <w:r>
              <w:rPr>
                <w:rFonts w:hint="eastAsia" w:ascii="宋体" w:hAnsi="宋体" w:cs="宋体"/>
                <w:sz w:val="24"/>
                <w:szCs w:val="24"/>
                <w:highlight w:val="none"/>
              </w:rPr>
              <w:t>法定代表人身份证复印件</w:t>
            </w:r>
          </w:p>
        </w:tc>
        <w:tc>
          <w:tcPr>
            <w:tcW w:w="666" w:type="dxa"/>
            <w:tcBorders>
              <w:top w:val="nil"/>
              <w:bottom w:val="nil"/>
            </w:tcBorders>
            <w:noWrap w:val="0"/>
            <w:vAlign w:val="top"/>
          </w:tcPr>
          <w:p>
            <w:pPr>
              <w:widowControl/>
              <w:jc w:val="left"/>
              <w:rPr>
                <w:rFonts w:ascii="宋体"/>
                <w:sz w:val="24"/>
                <w:szCs w:val="24"/>
                <w:highlight w:val="none"/>
              </w:rPr>
            </w:pPr>
          </w:p>
        </w:tc>
        <w:tc>
          <w:tcPr>
            <w:tcW w:w="4690" w:type="dxa"/>
            <w:noWrap w:val="0"/>
            <w:vAlign w:val="top"/>
          </w:tcPr>
          <w:p>
            <w:pPr>
              <w:widowControl/>
              <w:topLinePunct/>
              <w:spacing w:before="4" w:line="360" w:lineRule="auto"/>
              <w:rPr>
                <w:rFonts w:ascii="宋体"/>
                <w:sz w:val="24"/>
                <w:szCs w:val="24"/>
                <w:highlight w:val="none"/>
              </w:rPr>
            </w:pPr>
          </w:p>
          <w:p>
            <w:pPr>
              <w:widowControl/>
              <w:topLinePunct/>
              <w:spacing w:before="4" w:line="360" w:lineRule="auto"/>
              <w:rPr>
                <w:rFonts w:ascii="宋体"/>
                <w:sz w:val="24"/>
                <w:szCs w:val="24"/>
                <w:highlight w:val="none"/>
              </w:rPr>
            </w:pPr>
          </w:p>
          <w:p>
            <w:pPr>
              <w:widowControl/>
              <w:topLinePunct/>
              <w:spacing w:before="4" w:line="360" w:lineRule="auto"/>
              <w:jc w:val="center"/>
              <w:rPr>
                <w:rFonts w:ascii="宋体"/>
                <w:sz w:val="24"/>
                <w:szCs w:val="24"/>
                <w:highlight w:val="none"/>
              </w:rPr>
            </w:pPr>
            <w:r>
              <w:rPr>
                <w:rFonts w:hint="eastAsia" w:ascii="宋体" w:hAnsi="宋体" w:cs="宋体"/>
                <w:sz w:val="24"/>
                <w:szCs w:val="24"/>
                <w:highlight w:val="none"/>
              </w:rPr>
              <w:t>授权代表身份证复印件</w:t>
            </w:r>
          </w:p>
        </w:tc>
      </w:tr>
    </w:tbl>
    <w:p>
      <w:pPr>
        <w:jc w:val="left"/>
        <w:outlineLvl w:val="0"/>
        <w:rPr>
          <w:rFonts w:ascii="黑体" w:hAnsi="宋体" w:eastAsia="黑体"/>
          <w:sz w:val="24"/>
          <w:szCs w:val="24"/>
          <w:highlight w:val="none"/>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（六）关于资格的声明函（格式）</w:t>
      </w:r>
    </w:p>
    <w:p>
      <w:pPr>
        <w:topLinePunct/>
        <w:snapToGrid w:val="0"/>
        <w:spacing w:line="360" w:lineRule="auto"/>
        <w:jc w:val="center"/>
        <w:rPr>
          <w:rFonts w:ascii="宋体"/>
          <w:sz w:val="24"/>
          <w:szCs w:val="24"/>
          <w:highlight w:val="none"/>
        </w:rPr>
      </w:pPr>
    </w:p>
    <w:p>
      <w:pPr>
        <w:spacing w:line="360" w:lineRule="auto"/>
        <w:ind w:firstLine="2811" w:firstLineChars="1000"/>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关于资格的声明函</w:t>
      </w:r>
    </w:p>
    <w:p>
      <w:pPr>
        <w:topLinePunct/>
        <w:snapToGrid w:val="0"/>
        <w:spacing w:line="360" w:lineRule="auto"/>
        <w:jc w:val="center"/>
        <w:rPr>
          <w:rFonts w:ascii="宋体"/>
          <w:sz w:val="24"/>
          <w:szCs w:val="24"/>
          <w:highlight w:val="none"/>
        </w:rPr>
      </w:pPr>
    </w:p>
    <w:p>
      <w:pPr>
        <w:topLinePunct/>
        <w:snapToGrid w:val="0"/>
        <w:spacing w:line="360" w:lineRule="auto"/>
        <w:jc w:val="center"/>
        <w:rPr>
          <w:rFonts w:ascii="宋体"/>
          <w:sz w:val="24"/>
          <w:szCs w:val="24"/>
          <w:highlight w:val="none"/>
        </w:rPr>
      </w:pPr>
      <w:r>
        <w:rPr>
          <w:rFonts w:hint="eastAsia" w:ascii="宋体" w:hAnsi="宋体" w:cs="宋体"/>
          <w:sz w:val="24"/>
          <w:szCs w:val="24"/>
          <w:highlight w:val="none"/>
        </w:rPr>
        <w:t>采购编号：</w:t>
      </w:r>
    </w:p>
    <w:p>
      <w:pPr>
        <w:topLinePunct/>
        <w:snapToGrid w:val="0"/>
        <w:spacing w:line="360" w:lineRule="auto"/>
        <w:jc w:val="center"/>
        <w:rPr>
          <w:rFonts w:ascii="宋体"/>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日期：</w:t>
      </w:r>
    </w:p>
    <w:p>
      <w:pPr>
        <w:topLinePunct/>
        <w:snapToGrid w:val="0"/>
        <w:spacing w:line="360" w:lineRule="auto"/>
        <w:jc w:val="center"/>
        <w:rPr>
          <w:rFonts w:ascii="宋体"/>
          <w:sz w:val="24"/>
          <w:szCs w:val="24"/>
          <w:highlight w:val="none"/>
        </w:rPr>
      </w:pPr>
    </w:p>
    <w:p>
      <w:pPr>
        <w:jc w:val="center"/>
        <w:rPr>
          <w:rFonts w:ascii="宋体"/>
          <w:highlight w:val="none"/>
        </w:rPr>
      </w:pPr>
    </w:p>
    <w:p>
      <w:pPr>
        <w:topLinePunct/>
        <w:snapToGrid w:val="0"/>
        <w:spacing w:line="360" w:lineRule="auto"/>
        <w:rPr>
          <w:rFonts w:ascii="宋体"/>
          <w:sz w:val="24"/>
          <w:szCs w:val="24"/>
          <w:highlight w:val="none"/>
          <w:u w:val="single"/>
        </w:rPr>
      </w:pPr>
      <w:r>
        <w:rPr>
          <w:rFonts w:hint="eastAsia" w:ascii="宋体" w:hAnsi="宋体" w:cs="宋体"/>
          <w:sz w:val="24"/>
          <w:szCs w:val="24"/>
          <w:highlight w:val="none"/>
          <w:u w:val="single"/>
          <w:lang w:eastAsia="zh-CN"/>
        </w:rPr>
        <w:t xml:space="preserve">江苏江南梁鸿建设咨询有限公司 </w:t>
      </w:r>
      <w:r>
        <w:rPr>
          <w:rFonts w:hint="eastAsia" w:ascii="宋体" w:hAnsi="宋体" w:cs="宋体"/>
          <w:sz w:val="24"/>
          <w:szCs w:val="24"/>
          <w:highlight w:val="none"/>
          <w:u w:val="single"/>
        </w:rPr>
        <w:t>：</w:t>
      </w:r>
    </w:p>
    <w:p>
      <w:pPr>
        <w:pStyle w:val="13"/>
        <w:spacing w:line="360" w:lineRule="auto"/>
        <w:ind w:left="0" w:right="34" w:firstLine="403"/>
        <w:rPr>
          <w:rFonts w:hAnsi="宋体"/>
          <w:highlight w:val="none"/>
        </w:rPr>
      </w:pPr>
      <w:r>
        <w:rPr>
          <w:rFonts w:hint="eastAsia" w:hAnsi="宋体" w:cs="宋体"/>
          <w:highlight w:val="none"/>
        </w:rPr>
        <w:t>我公司（单位）在参加本次政府采购活动前三年内，在经营活动中没有重大违法记录。</w:t>
      </w:r>
    </w:p>
    <w:p>
      <w:pPr>
        <w:pStyle w:val="13"/>
        <w:spacing w:line="360" w:lineRule="auto"/>
        <w:ind w:left="0" w:right="34" w:firstLine="403"/>
        <w:rPr>
          <w:rFonts w:hAnsi="宋体"/>
          <w:highlight w:val="none"/>
        </w:rPr>
      </w:pPr>
      <w:r>
        <w:rPr>
          <w:rFonts w:hint="eastAsia" w:hAnsi="宋体" w:cs="宋体"/>
          <w:highlight w:val="none"/>
        </w:rPr>
        <w:t>我公司愿针对本项目（采购编号：　　　　）进行报价，投标文件中所有关于报价资格的文件、证明、陈述均是真实的、准确的。若有违背，我公司（单位）</w:t>
      </w:r>
      <w:r>
        <w:rPr>
          <w:rFonts w:hAnsi="宋体"/>
          <w:highlight w:val="none"/>
        </w:rPr>
        <w:t xml:space="preserve">        </w:t>
      </w:r>
      <w:r>
        <w:rPr>
          <w:rFonts w:hint="eastAsia" w:hAnsi="宋体" w:cs="宋体"/>
          <w:highlight w:val="none"/>
        </w:rPr>
        <w:t>愿意承担由此而产生的一切后果。</w:t>
      </w:r>
    </w:p>
    <w:p>
      <w:pPr>
        <w:pStyle w:val="13"/>
        <w:ind w:left="0" w:right="34" w:firstLine="403"/>
        <w:rPr>
          <w:rFonts w:hAnsi="宋体"/>
          <w:highlight w:val="none"/>
        </w:rPr>
      </w:pPr>
    </w:p>
    <w:p>
      <w:pPr>
        <w:pStyle w:val="13"/>
        <w:ind w:left="0" w:right="34" w:firstLine="403"/>
        <w:rPr>
          <w:rFonts w:hAnsi="宋体"/>
          <w:sz w:val="21"/>
          <w:szCs w:val="21"/>
          <w:highlight w:val="none"/>
        </w:rPr>
      </w:pPr>
    </w:p>
    <w:p>
      <w:pPr>
        <w:pStyle w:val="13"/>
        <w:ind w:left="0" w:right="34" w:firstLine="403"/>
        <w:rPr>
          <w:rFonts w:hAnsi="宋体"/>
          <w:sz w:val="21"/>
          <w:szCs w:val="21"/>
          <w:highlight w:val="none"/>
        </w:rPr>
      </w:pPr>
    </w:p>
    <w:p>
      <w:pPr>
        <w:spacing w:line="360" w:lineRule="auto"/>
        <w:outlineLvl w:val="0"/>
        <w:rPr>
          <w:b/>
          <w:bCs/>
          <w:sz w:val="24"/>
          <w:szCs w:val="24"/>
          <w:highlight w:val="none"/>
        </w:rPr>
      </w:pPr>
    </w:p>
    <w:p>
      <w:pPr>
        <w:spacing w:line="360" w:lineRule="auto"/>
        <w:jc w:val="left"/>
        <w:outlineLvl w:val="0"/>
        <w:rPr>
          <w:b/>
          <w:bCs/>
          <w:sz w:val="24"/>
          <w:szCs w:val="24"/>
          <w:highlight w:val="none"/>
        </w:rPr>
      </w:pPr>
      <w:r>
        <w:rPr>
          <w:b/>
          <w:bCs/>
          <w:sz w:val="24"/>
          <w:szCs w:val="24"/>
          <w:highlight w:val="none"/>
        </w:rPr>
        <w:t xml:space="preserve">                                   </w:t>
      </w:r>
      <w:r>
        <w:rPr>
          <w:rFonts w:hint="eastAsia" w:cs="宋体"/>
          <w:b/>
          <w:bCs/>
          <w:sz w:val="24"/>
          <w:szCs w:val="24"/>
          <w:highlight w:val="none"/>
        </w:rPr>
        <w:t>投标供应商（盖章）：</w:t>
      </w:r>
    </w:p>
    <w:p>
      <w:pPr>
        <w:spacing w:line="360" w:lineRule="auto"/>
        <w:outlineLvl w:val="0"/>
        <w:rPr>
          <w:b/>
          <w:bCs/>
          <w:sz w:val="24"/>
          <w:szCs w:val="24"/>
          <w:highlight w:val="none"/>
        </w:rPr>
      </w:pPr>
      <w:r>
        <w:rPr>
          <w:rFonts w:hint="eastAsia" w:cs="宋体"/>
          <w:b/>
          <w:bCs/>
          <w:sz w:val="24"/>
          <w:szCs w:val="24"/>
          <w:highlight w:val="none"/>
        </w:rPr>
        <w:t>　　　　　　　　　　　法定代表人或法定代表人授权代表签字或盖章：</w:t>
      </w:r>
    </w:p>
    <w:p>
      <w:pPr>
        <w:spacing w:line="360" w:lineRule="auto"/>
        <w:outlineLvl w:val="0"/>
        <w:rPr>
          <w:b/>
          <w:bCs/>
          <w:sz w:val="24"/>
          <w:szCs w:val="24"/>
          <w:highlight w:val="none"/>
        </w:rPr>
      </w:pPr>
      <w:r>
        <w:rPr>
          <w:b/>
          <w:bCs/>
          <w:sz w:val="24"/>
          <w:szCs w:val="24"/>
          <w:highlight w:val="none"/>
        </w:rPr>
        <w:t xml:space="preserve">                                   </w:t>
      </w:r>
      <w:r>
        <w:rPr>
          <w:rFonts w:hint="eastAsia" w:cs="宋体"/>
          <w:b/>
          <w:bCs/>
          <w:sz w:val="24"/>
          <w:szCs w:val="24"/>
          <w:highlight w:val="none"/>
        </w:rPr>
        <w:t>年</w:t>
      </w:r>
      <w:r>
        <w:rPr>
          <w:b/>
          <w:bCs/>
          <w:sz w:val="24"/>
          <w:szCs w:val="24"/>
          <w:highlight w:val="none"/>
        </w:rPr>
        <w:t xml:space="preserve">     </w:t>
      </w:r>
      <w:r>
        <w:rPr>
          <w:rFonts w:hint="eastAsia" w:cs="宋体"/>
          <w:b/>
          <w:bCs/>
          <w:sz w:val="24"/>
          <w:szCs w:val="24"/>
          <w:highlight w:val="none"/>
        </w:rPr>
        <w:t>月</w:t>
      </w:r>
      <w:r>
        <w:rPr>
          <w:b/>
          <w:bCs/>
          <w:sz w:val="24"/>
          <w:szCs w:val="24"/>
          <w:highlight w:val="none"/>
        </w:rPr>
        <w:t xml:space="preserve">     </w:t>
      </w:r>
      <w:r>
        <w:rPr>
          <w:rFonts w:hint="eastAsia" w:cs="宋体"/>
          <w:b/>
          <w:bCs/>
          <w:sz w:val="24"/>
          <w:szCs w:val="24"/>
          <w:highlight w:val="none"/>
        </w:rPr>
        <w:t>日</w:t>
      </w:r>
    </w:p>
    <w:p>
      <w:pPr>
        <w:adjustRightInd w:val="0"/>
        <w:snapToGrid w:val="0"/>
        <w:spacing w:line="360" w:lineRule="auto"/>
        <w:outlineLvl w:val="0"/>
        <w:rPr>
          <w:rFonts w:ascii="宋体"/>
          <w:b/>
          <w:bCs/>
          <w:sz w:val="32"/>
          <w:szCs w:val="32"/>
          <w:highlight w:val="none"/>
        </w:rPr>
      </w:pPr>
    </w:p>
    <w:p>
      <w:pPr>
        <w:widowControl/>
        <w:spacing w:line="360" w:lineRule="auto"/>
        <w:rPr>
          <w:rFonts w:ascii="宋体"/>
          <w:b/>
          <w:bCs/>
          <w:sz w:val="30"/>
          <w:szCs w:val="30"/>
          <w:highlight w:val="none"/>
        </w:rPr>
      </w:pPr>
    </w:p>
    <w:p>
      <w:pPr>
        <w:widowControl/>
        <w:spacing w:line="360" w:lineRule="auto"/>
        <w:rPr>
          <w:rFonts w:ascii="宋体"/>
          <w:b/>
          <w:bCs/>
          <w:sz w:val="30"/>
          <w:szCs w:val="30"/>
          <w:highlight w:val="none"/>
        </w:rPr>
      </w:pPr>
    </w:p>
    <w:p>
      <w:pPr>
        <w:pStyle w:val="8"/>
        <w:numPr>
          <w:ilvl w:val="4"/>
          <w:numId w:val="0"/>
        </w:numPr>
        <w:tabs>
          <w:tab w:val="left" w:pos="1080"/>
        </w:tabs>
        <w:rPr>
          <w:rFonts w:cs="Times New Roman"/>
          <w:highlight w:val="none"/>
        </w:rPr>
      </w:pPr>
    </w:p>
    <w:p>
      <w:pPr>
        <w:rPr>
          <w:highlight w:val="none"/>
        </w:rPr>
      </w:pPr>
    </w:p>
    <w:p>
      <w:pPr>
        <w:pStyle w:val="8"/>
        <w:numPr>
          <w:ilvl w:val="4"/>
          <w:numId w:val="0"/>
        </w:numPr>
        <w:tabs>
          <w:tab w:val="left" w:pos="1080"/>
        </w:tabs>
        <w:rPr>
          <w:rFonts w:cs="Times New Roman"/>
          <w:highlight w:val="none"/>
        </w:rPr>
      </w:pPr>
    </w:p>
    <w:p>
      <w:pPr>
        <w:jc w:val="left"/>
        <w:outlineLvl w:val="0"/>
        <w:rPr>
          <w:rFonts w:ascii="黑体" w:hAnsi="宋体" w:eastAsia="黑体"/>
          <w:sz w:val="24"/>
          <w:szCs w:val="24"/>
          <w:highlight w:val="none"/>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（七）拟投入本项目的人员一览表（格式）</w:t>
      </w:r>
    </w:p>
    <w:p>
      <w:pPr>
        <w:jc w:val="left"/>
        <w:outlineLvl w:val="0"/>
        <w:rPr>
          <w:rFonts w:ascii="黑体" w:hAnsi="宋体" w:eastAsia="黑体"/>
          <w:sz w:val="24"/>
          <w:szCs w:val="24"/>
          <w:highlight w:val="none"/>
        </w:rPr>
      </w:pPr>
    </w:p>
    <w:p>
      <w:pPr>
        <w:spacing w:line="360" w:lineRule="auto"/>
        <w:ind w:firstLine="1968" w:firstLineChars="700"/>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拟投入本项目的人员一览表</w:t>
      </w:r>
    </w:p>
    <w:tbl>
      <w:tblPr>
        <w:tblStyle w:val="22"/>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072"/>
        <w:gridCol w:w="1860"/>
        <w:gridCol w:w="1410"/>
        <w:gridCol w:w="1339"/>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29" w:type="dxa"/>
            <w:noWrap w:val="0"/>
            <w:vAlign w:val="center"/>
          </w:tcPr>
          <w:p>
            <w:pPr>
              <w:snapToGrid w:val="0"/>
              <w:spacing w:line="500" w:lineRule="exact"/>
              <w:jc w:val="center"/>
              <w:rPr>
                <w:sz w:val="24"/>
                <w:highlight w:val="none"/>
              </w:rPr>
            </w:pPr>
            <w:r>
              <w:rPr>
                <w:rFonts w:eastAsia="Times New Roman"/>
                <w:sz w:val="24"/>
                <w:highlight w:val="none"/>
              </w:rPr>
              <w:t>序</w:t>
            </w:r>
            <w:r>
              <w:rPr>
                <w:rFonts w:hint="eastAsia"/>
                <w:sz w:val="24"/>
                <w:highlight w:val="none"/>
              </w:rPr>
              <w:t xml:space="preserve"> </w:t>
            </w:r>
            <w:r>
              <w:rPr>
                <w:rFonts w:eastAsia="Times New Roman"/>
                <w:sz w:val="24"/>
                <w:highlight w:val="none"/>
              </w:rPr>
              <w:t>号</w:t>
            </w:r>
          </w:p>
        </w:tc>
        <w:tc>
          <w:tcPr>
            <w:tcW w:w="2072" w:type="dxa"/>
            <w:noWrap w:val="0"/>
            <w:vAlign w:val="center"/>
          </w:tcPr>
          <w:p>
            <w:pPr>
              <w:snapToGrid w:val="0"/>
              <w:spacing w:line="500" w:lineRule="exact"/>
              <w:ind w:firstLine="240"/>
              <w:jc w:val="center"/>
              <w:rPr>
                <w:sz w:val="24"/>
                <w:highlight w:val="none"/>
              </w:rPr>
            </w:pPr>
            <w:r>
              <w:rPr>
                <w:rFonts w:eastAsia="Times New Roman"/>
                <w:sz w:val="24"/>
                <w:highlight w:val="none"/>
              </w:rPr>
              <w:t>姓 名</w:t>
            </w:r>
          </w:p>
        </w:tc>
        <w:tc>
          <w:tcPr>
            <w:tcW w:w="1860" w:type="dxa"/>
            <w:noWrap w:val="0"/>
            <w:vAlign w:val="center"/>
          </w:tcPr>
          <w:p>
            <w:pPr>
              <w:snapToGrid w:val="0"/>
              <w:spacing w:line="500" w:lineRule="exact"/>
              <w:jc w:val="center"/>
              <w:rPr>
                <w:rFonts w:hint="default" w:eastAsia="宋体"/>
                <w:sz w:val="24"/>
                <w:highlight w:val="none"/>
                <w:lang w:val="en-US" w:eastAsia="zh-CN"/>
              </w:rPr>
            </w:pPr>
            <w:r>
              <w:rPr>
                <w:rFonts w:hint="eastAsia"/>
                <w:sz w:val="24"/>
                <w:highlight w:val="none"/>
                <w:lang w:val="en-US" w:eastAsia="zh-CN"/>
              </w:rPr>
              <w:t>身份证号</w:t>
            </w:r>
          </w:p>
        </w:tc>
        <w:tc>
          <w:tcPr>
            <w:tcW w:w="1410" w:type="dxa"/>
            <w:noWrap w:val="0"/>
            <w:vAlign w:val="center"/>
          </w:tcPr>
          <w:p>
            <w:pPr>
              <w:snapToGrid w:val="0"/>
              <w:spacing w:line="500" w:lineRule="exact"/>
              <w:jc w:val="center"/>
              <w:rPr>
                <w:rFonts w:hint="default" w:ascii="宋体"/>
                <w:sz w:val="24"/>
                <w:highlight w:val="none"/>
                <w:lang w:val="en-US" w:eastAsia="zh-CN" w:bidi="ar-SA"/>
              </w:rPr>
            </w:pPr>
            <w:r>
              <w:rPr>
                <w:rFonts w:hint="eastAsia" w:eastAsia="宋体"/>
                <w:sz w:val="24"/>
                <w:highlight w:val="none"/>
                <w:lang w:val="en-US" w:eastAsia="zh-CN"/>
              </w:rPr>
              <w:t>职称</w:t>
            </w:r>
          </w:p>
        </w:tc>
        <w:tc>
          <w:tcPr>
            <w:tcW w:w="1339" w:type="dxa"/>
            <w:noWrap w:val="0"/>
            <w:vAlign w:val="center"/>
          </w:tcPr>
          <w:p>
            <w:pPr>
              <w:snapToGrid w:val="0"/>
              <w:spacing w:line="500" w:lineRule="exact"/>
              <w:jc w:val="center"/>
              <w:rPr>
                <w:rFonts w:hint="eastAsia" w:ascii="宋体" w:eastAsia="宋体"/>
                <w:sz w:val="24"/>
                <w:highlight w:val="none"/>
                <w:lang w:val="en-US" w:eastAsia="zh-CN" w:bidi="ar-SA"/>
              </w:rPr>
            </w:pPr>
            <w:r>
              <w:rPr>
                <w:rFonts w:hint="eastAsia"/>
                <w:sz w:val="24"/>
                <w:highlight w:val="none"/>
                <w:lang w:val="en-US" w:eastAsia="zh-CN"/>
              </w:rPr>
              <w:t>证书号</w:t>
            </w:r>
          </w:p>
        </w:tc>
        <w:tc>
          <w:tcPr>
            <w:tcW w:w="2113" w:type="dxa"/>
            <w:noWrap w:val="0"/>
            <w:vAlign w:val="center"/>
          </w:tcPr>
          <w:p>
            <w:pPr>
              <w:snapToGrid w:val="0"/>
              <w:spacing w:line="500" w:lineRule="exact"/>
              <w:jc w:val="center"/>
              <w:rPr>
                <w:rFonts w:eastAsia="Times New Roman"/>
                <w:sz w:val="24"/>
                <w:highlight w:val="none"/>
              </w:rPr>
            </w:pPr>
            <w:r>
              <w:rPr>
                <w:rFonts w:eastAsia="Times New Roman"/>
                <w:sz w:val="24"/>
                <w:highlight w:val="none"/>
              </w:rPr>
              <w:t>在本项目拟任</w:t>
            </w:r>
          </w:p>
          <w:p>
            <w:pPr>
              <w:snapToGrid w:val="0"/>
              <w:spacing w:line="500" w:lineRule="exact"/>
              <w:jc w:val="center"/>
              <w:rPr>
                <w:sz w:val="24"/>
                <w:highlight w:val="none"/>
              </w:rPr>
            </w:pPr>
            <w:r>
              <w:rPr>
                <w:rFonts w:eastAsia="Times New Roman"/>
                <w:sz w:val="24"/>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29" w:type="dxa"/>
            <w:noWrap w:val="0"/>
            <w:vAlign w:val="center"/>
          </w:tcPr>
          <w:p>
            <w:pPr>
              <w:snapToGrid w:val="0"/>
              <w:spacing w:line="500" w:lineRule="exact"/>
              <w:jc w:val="center"/>
              <w:rPr>
                <w:sz w:val="24"/>
                <w:highlight w:val="none"/>
              </w:rPr>
            </w:pPr>
          </w:p>
        </w:tc>
        <w:tc>
          <w:tcPr>
            <w:tcW w:w="2072" w:type="dxa"/>
            <w:noWrap w:val="0"/>
            <w:vAlign w:val="center"/>
          </w:tcPr>
          <w:p>
            <w:pPr>
              <w:snapToGrid w:val="0"/>
              <w:spacing w:line="500" w:lineRule="exact"/>
              <w:jc w:val="center"/>
              <w:rPr>
                <w:sz w:val="24"/>
                <w:highlight w:val="none"/>
              </w:rPr>
            </w:pPr>
          </w:p>
        </w:tc>
        <w:tc>
          <w:tcPr>
            <w:tcW w:w="1860" w:type="dxa"/>
            <w:noWrap w:val="0"/>
            <w:vAlign w:val="center"/>
          </w:tcPr>
          <w:p>
            <w:pPr>
              <w:snapToGrid w:val="0"/>
              <w:spacing w:line="500" w:lineRule="exact"/>
              <w:jc w:val="center"/>
              <w:rPr>
                <w:sz w:val="24"/>
                <w:highlight w:val="none"/>
              </w:rPr>
            </w:pPr>
          </w:p>
        </w:tc>
        <w:tc>
          <w:tcPr>
            <w:tcW w:w="1410" w:type="dxa"/>
            <w:noWrap w:val="0"/>
            <w:vAlign w:val="center"/>
          </w:tcPr>
          <w:p>
            <w:pPr>
              <w:snapToGrid w:val="0"/>
              <w:spacing w:line="500" w:lineRule="exact"/>
              <w:jc w:val="center"/>
              <w:rPr>
                <w:sz w:val="24"/>
                <w:highlight w:val="none"/>
              </w:rPr>
            </w:pPr>
          </w:p>
        </w:tc>
        <w:tc>
          <w:tcPr>
            <w:tcW w:w="1339" w:type="dxa"/>
            <w:noWrap w:val="0"/>
            <w:vAlign w:val="center"/>
          </w:tcPr>
          <w:p>
            <w:pPr>
              <w:snapToGrid w:val="0"/>
              <w:spacing w:line="500" w:lineRule="exact"/>
              <w:jc w:val="center"/>
              <w:rPr>
                <w:sz w:val="24"/>
                <w:highlight w:val="none"/>
              </w:rPr>
            </w:pPr>
          </w:p>
        </w:tc>
        <w:tc>
          <w:tcPr>
            <w:tcW w:w="2113" w:type="dxa"/>
            <w:noWrap w:val="0"/>
            <w:vAlign w:val="center"/>
          </w:tcPr>
          <w:p>
            <w:pPr>
              <w:snapToGrid w:val="0"/>
              <w:spacing w:line="500" w:lineRule="exact"/>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29" w:type="dxa"/>
            <w:noWrap w:val="0"/>
            <w:vAlign w:val="center"/>
          </w:tcPr>
          <w:p>
            <w:pPr>
              <w:snapToGrid w:val="0"/>
              <w:spacing w:line="500" w:lineRule="exact"/>
              <w:jc w:val="center"/>
              <w:rPr>
                <w:sz w:val="24"/>
                <w:highlight w:val="none"/>
              </w:rPr>
            </w:pPr>
          </w:p>
        </w:tc>
        <w:tc>
          <w:tcPr>
            <w:tcW w:w="2072" w:type="dxa"/>
            <w:noWrap w:val="0"/>
            <w:vAlign w:val="center"/>
          </w:tcPr>
          <w:p>
            <w:pPr>
              <w:snapToGrid w:val="0"/>
              <w:spacing w:line="500" w:lineRule="exact"/>
              <w:jc w:val="center"/>
              <w:rPr>
                <w:sz w:val="24"/>
                <w:highlight w:val="none"/>
              </w:rPr>
            </w:pPr>
          </w:p>
        </w:tc>
        <w:tc>
          <w:tcPr>
            <w:tcW w:w="1860" w:type="dxa"/>
            <w:noWrap w:val="0"/>
            <w:vAlign w:val="center"/>
          </w:tcPr>
          <w:p>
            <w:pPr>
              <w:snapToGrid w:val="0"/>
              <w:spacing w:line="500" w:lineRule="exact"/>
              <w:jc w:val="center"/>
              <w:rPr>
                <w:sz w:val="24"/>
                <w:highlight w:val="none"/>
              </w:rPr>
            </w:pPr>
          </w:p>
        </w:tc>
        <w:tc>
          <w:tcPr>
            <w:tcW w:w="1410" w:type="dxa"/>
            <w:noWrap w:val="0"/>
            <w:vAlign w:val="center"/>
          </w:tcPr>
          <w:p>
            <w:pPr>
              <w:snapToGrid w:val="0"/>
              <w:spacing w:line="500" w:lineRule="exact"/>
              <w:jc w:val="center"/>
              <w:rPr>
                <w:sz w:val="24"/>
                <w:highlight w:val="none"/>
              </w:rPr>
            </w:pPr>
          </w:p>
        </w:tc>
        <w:tc>
          <w:tcPr>
            <w:tcW w:w="1339" w:type="dxa"/>
            <w:noWrap w:val="0"/>
            <w:vAlign w:val="center"/>
          </w:tcPr>
          <w:p>
            <w:pPr>
              <w:snapToGrid w:val="0"/>
              <w:spacing w:line="500" w:lineRule="exact"/>
              <w:jc w:val="center"/>
              <w:rPr>
                <w:sz w:val="24"/>
                <w:highlight w:val="none"/>
              </w:rPr>
            </w:pPr>
          </w:p>
        </w:tc>
        <w:tc>
          <w:tcPr>
            <w:tcW w:w="2113" w:type="dxa"/>
            <w:noWrap w:val="0"/>
            <w:vAlign w:val="center"/>
          </w:tcPr>
          <w:p>
            <w:pPr>
              <w:snapToGrid w:val="0"/>
              <w:spacing w:line="500" w:lineRule="exact"/>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29" w:type="dxa"/>
            <w:noWrap w:val="0"/>
            <w:vAlign w:val="center"/>
          </w:tcPr>
          <w:p>
            <w:pPr>
              <w:snapToGrid w:val="0"/>
              <w:spacing w:line="500" w:lineRule="exact"/>
              <w:jc w:val="center"/>
              <w:rPr>
                <w:sz w:val="24"/>
                <w:highlight w:val="none"/>
              </w:rPr>
            </w:pPr>
          </w:p>
        </w:tc>
        <w:tc>
          <w:tcPr>
            <w:tcW w:w="2072" w:type="dxa"/>
            <w:noWrap w:val="0"/>
            <w:vAlign w:val="center"/>
          </w:tcPr>
          <w:p>
            <w:pPr>
              <w:snapToGrid w:val="0"/>
              <w:spacing w:line="500" w:lineRule="exact"/>
              <w:jc w:val="center"/>
              <w:rPr>
                <w:sz w:val="24"/>
                <w:highlight w:val="none"/>
              </w:rPr>
            </w:pPr>
          </w:p>
        </w:tc>
        <w:tc>
          <w:tcPr>
            <w:tcW w:w="1860" w:type="dxa"/>
            <w:noWrap w:val="0"/>
            <w:vAlign w:val="center"/>
          </w:tcPr>
          <w:p>
            <w:pPr>
              <w:snapToGrid w:val="0"/>
              <w:spacing w:line="500" w:lineRule="exact"/>
              <w:jc w:val="center"/>
              <w:rPr>
                <w:sz w:val="24"/>
                <w:highlight w:val="none"/>
              </w:rPr>
            </w:pPr>
          </w:p>
        </w:tc>
        <w:tc>
          <w:tcPr>
            <w:tcW w:w="1410" w:type="dxa"/>
            <w:noWrap w:val="0"/>
            <w:vAlign w:val="center"/>
          </w:tcPr>
          <w:p>
            <w:pPr>
              <w:snapToGrid w:val="0"/>
              <w:spacing w:line="500" w:lineRule="exact"/>
              <w:jc w:val="center"/>
              <w:rPr>
                <w:sz w:val="24"/>
                <w:highlight w:val="none"/>
              </w:rPr>
            </w:pPr>
          </w:p>
        </w:tc>
        <w:tc>
          <w:tcPr>
            <w:tcW w:w="1339" w:type="dxa"/>
            <w:noWrap w:val="0"/>
            <w:vAlign w:val="center"/>
          </w:tcPr>
          <w:p>
            <w:pPr>
              <w:snapToGrid w:val="0"/>
              <w:spacing w:line="500" w:lineRule="exact"/>
              <w:jc w:val="center"/>
              <w:rPr>
                <w:sz w:val="24"/>
                <w:highlight w:val="none"/>
              </w:rPr>
            </w:pPr>
          </w:p>
        </w:tc>
        <w:tc>
          <w:tcPr>
            <w:tcW w:w="2113" w:type="dxa"/>
            <w:noWrap w:val="0"/>
            <w:vAlign w:val="center"/>
          </w:tcPr>
          <w:p>
            <w:pPr>
              <w:snapToGrid w:val="0"/>
              <w:spacing w:line="500" w:lineRule="exact"/>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29" w:type="dxa"/>
            <w:noWrap w:val="0"/>
            <w:vAlign w:val="center"/>
          </w:tcPr>
          <w:p>
            <w:pPr>
              <w:snapToGrid w:val="0"/>
              <w:spacing w:line="500" w:lineRule="exact"/>
              <w:jc w:val="center"/>
              <w:rPr>
                <w:sz w:val="24"/>
                <w:highlight w:val="none"/>
              </w:rPr>
            </w:pPr>
          </w:p>
        </w:tc>
        <w:tc>
          <w:tcPr>
            <w:tcW w:w="2072" w:type="dxa"/>
            <w:noWrap w:val="0"/>
            <w:vAlign w:val="center"/>
          </w:tcPr>
          <w:p>
            <w:pPr>
              <w:snapToGrid w:val="0"/>
              <w:spacing w:line="500" w:lineRule="exact"/>
              <w:jc w:val="center"/>
              <w:rPr>
                <w:sz w:val="24"/>
                <w:highlight w:val="none"/>
              </w:rPr>
            </w:pPr>
          </w:p>
        </w:tc>
        <w:tc>
          <w:tcPr>
            <w:tcW w:w="1860" w:type="dxa"/>
            <w:noWrap w:val="0"/>
            <w:vAlign w:val="center"/>
          </w:tcPr>
          <w:p>
            <w:pPr>
              <w:snapToGrid w:val="0"/>
              <w:spacing w:line="500" w:lineRule="exact"/>
              <w:jc w:val="center"/>
              <w:rPr>
                <w:sz w:val="24"/>
                <w:highlight w:val="none"/>
              </w:rPr>
            </w:pPr>
          </w:p>
        </w:tc>
        <w:tc>
          <w:tcPr>
            <w:tcW w:w="1410" w:type="dxa"/>
            <w:noWrap w:val="0"/>
            <w:vAlign w:val="center"/>
          </w:tcPr>
          <w:p>
            <w:pPr>
              <w:snapToGrid w:val="0"/>
              <w:spacing w:line="500" w:lineRule="exact"/>
              <w:jc w:val="center"/>
              <w:rPr>
                <w:sz w:val="24"/>
                <w:highlight w:val="none"/>
              </w:rPr>
            </w:pPr>
          </w:p>
        </w:tc>
        <w:tc>
          <w:tcPr>
            <w:tcW w:w="1339" w:type="dxa"/>
            <w:noWrap w:val="0"/>
            <w:vAlign w:val="center"/>
          </w:tcPr>
          <w:p>
            <w:pPr>
              <w:snapToGrid w:val="0"/>
              <w:spacing w:line="500" w:lineRule="exact"/>
              <w:jc w:val="center"/>
              <w:rPr>
                <w:sz w:val="24"/>
                <w:highlight w:val="none"/>
              </w:rPr>
            </w:pPr>
          </w:p>
        </w:tc>
        <w:tc>
          <w:tcPr>
            <w:tcW w:w="2113" w:type="dxa"/>
            <w:noWrap w:val="0"/>
            <w:vAlign w:val="center"/>
          </w:tcPr>
          <w:p>
            <w:pPr>
              <w:snapToGrid w:val="0"/>
              <w:spacing w:line="500" w:lineRule="exact"/>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29" w:type="dxa"/>
            <w:noWrap w:val="0"/>
            <w:vAlign w:val="center"/>
          </w:tcPr>
          <w:p>
            <w:pPr>
              <w:snapToGrid w:val="0"/>
              <w:spacing w:line="500" w:lineRule="exact"/>
              <w:jc w:val="center"/>
              <w:rPr>
                <w:sz w:val="24"/>
                <w:highlight w:val="none"/>
              </w:rPr>
            </w:pPr>
          </w:p>
        </w:tc>
        <w:tc>
          <w:tcPr>
            <w:tcW w:w="2072" w:type="dxa"/>
            <w:noWrap w:val="0"/>
            <w:vAlign w:val="center"/>
          </w:tcPr>
          <w:p>
            <w:pPr>
              <w:snapToGrid w:val="0"/>
              <w:spacing w:line="500" w:lineRule="exact"/>
              <w:jc w:val="center"/>
              <w:rPr>
                <w:sz w:val="24"/>
                <w:highlight w:val="none"/>
              </w:rPr>
            </w:pPr>
          </w:p>
        </w:tc>
        <w:tc>
          <w:tcPr>
            <w:tcW w:w="1860" w:type="dxa"/>
            <w:noWrap w:val="0"/>
            <w:vAlign w:val="center"/>
          </w:tcPr>
          <w:p>
            <w:pPr>
              <w:snapToGrid w:val="0"/>
              <w:spacing w:line="500" w:lineRule="exact"/>
              <w:jc w:val="center"/>
              <w:rPr>
                <w:sz w:val="24"/>
                <w:highlight w:val="none"/>
              </w:rPr>
            </w:pPr>
          </w:p>
        </w:tc>
        <w:tc>
          <w:tcPr>
            <w:tcW w:w="1410" w:type="dxa"/>
            <w:noWrap w:val="0"/>
            <w:vAlign w:val="center"/>
          </w:tcPr>
          <w:p>
            <w:pPr>
              <w:snapToGrid w:val="0"/>
              <w:spacing w:line="500" w:lineRule="exact"/>
              <w:jc w:val="center"/>
              <w:rPr>
                <w:sz w:val="24"/>
                <w:highlight w:val="none"/>
              </w:rPr>
            </w:pPr>
          </w:p>
        </w:tc>
        <w:tc>
          <w:tcPr>
            <w:tcW w:w="1339" w:type="dxa"/>
            <w:noWrap w:val="0"/>
            <w:vAlign w:val="center"/>
          </w:tcPr>
          <w:p>
            <w:pPr>
              <w:snapToGrid w:val="0"/>
              <w:spacing w:line="500" w:lineRule="exact"/>
              <w:jc w:val="center"/>
              <w:rPr>
                <w:sz w:val="24"/>
                <w:highlight w:val="none"/>
              </w:rPr>
            </w:pPr>
          </w:p>
        </w:tc>
        <w:tc>
          <w:tcPr>
            <w:tcW w:w="2113" w:type="dxa"/>
            <w:noWrap w:val="0"/>
            <w:vAlign w:val="center"/>
          </w:tcPr>
          <w:p>
            <w:pPr>
              <w:snapToGrid w:val="0"/>
              <w:spacing w:line="500" w:lineRule="exact"/>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29" w:type="dxa"/>
            <w:noWrap w:val="0"/>
            <w:vAlign w:val="center"/>
          </w:tcPr>
          <w:p>
            <w:pPr>
              <w:snapToGrid w:val="0"/>
              <w:spacing w:line="500" w:lineRule="exact"/>
              <w:jc w:val="center"/>
              <w:rPr>
                <w:sz w:val="24"/>
                <w:highlight w:val="none"/>
              </w:rPr>
            </w:pPr>
          </w:p>
        </w:tc>
        <w:tc>
          <w:tcPr>
            <w:tcW w:w="2072" w:type="dxa"/>
            <w:noWrap w:val="0"/>
            <w:vAlign w:val="center"/>
          </w:tcPr>
          <w:p>
            <w:pPr>
              <w:snapToGrid w:val="0"/>
              <w:spacing w:line="500" w:lineRule="exact"/>
              <w:jc w:val="center"/>
              <w:rPr>
                <w:sz w:val="24"/>
                <w:highlight w:val="none"/>
              </w:rPr>
            </w:pPr>
          </w:p>
        </w:tc>
        <w:tc>
          <w:tcPr>
            <w:tcW w:w="1860" w:type="dxa"/>
            <w:noWrap w:val="0"/>
            <w:vAlign w:val="center"/>
          </w:tcPr>
          <w:p>
            <w:pPr>
              <w:snapToGrid w:val="0"/>
              <w:spacing w:line="500" w:lineRule="exact"/>
              <w:jc w:val="center"/>
              <w:rPr>
                <w:sz w:val="24"/>
                <w:highlight w:val="none"/>
              </w:rPr>
            </w:pPr>
          </w:p>
        </w:tc>
        <w:tc>
          <w:tcPr>
            <w:tcW w:w="1410" w:type="dxa"/>
            <w:noWrap w:val="0"/>
            <w:vAlign w:val="center"/>
          </w:tcPr>
          <w:p>
            <w:pPr>
              <w:snapToGrid w:val="0"/>
              <w:spacing w:line="500" w:lineRule="exact"/>
              <w:jc w:val="center"/>
              <w:rPr>
                <w:sz w:val="24"/>
                <w:highlight w:val="none"/>
              </w:rPr>
            </w:pPr>
          </w:p>
        </w:tc>
        <w:tc>
          <w:tcPr>
            <w:tcW w:w="1339" w:type="dxa"/>
            <w:noWrap w:val="0"/>
            <w:vAlign w:val="center"/>
          </w:tcPr>
          <w:p>
            <w:pPr>
              <w:snapToGrid w:val="0"/>
              <w:spacing w:line="500" w:lineRule="exact"/>
              <w:jc w:val="center"/>
              <w:rPr>
                <w:sz w:val="24"/>
                <w:highlight w:val="none"/>
              </w:rPr>
            </w:pPr>
          </w:p>
        </w:tc>
        <w:tc>
          <w:tcPr>
            <w:tcW w:w="2113" w:type="dxa"/>
            <w:noWrap w:val="0"/>
            <w:vAlign w:val="center"/>
          </w:tcPr>
          <w:p>
            <w:pPr>
              <w:snapToGrid w:val="0"/>
              <w:spacing w:line="500" w:lineRule="exact"/>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29" w:type="dxa"/>
            <w:noWrap w:val="0"/>
            <w:vAlign w:val="center"/>
          </w:tcPr>
          <w:p>
            <w:pPr>
              <w:snapToGrid w:val="0"/>
              <w:spacing w:line="500" w:lineRule="exact"/>
              <w:jc w:val="center"/>
              <w:rPr>
                <w:sz w:val="24"/>
                <w:highlight w:val="none"/>
              </w:rPr>
            </w:pPr>
          </w:p>
        </w:tc>
        <w:tc>
          <w:tcPr>
            <w:tcW w:w="2072" w:type="dxa"/>
            <w:noWrap w:val="0"/>
            <w:vAlign w:val="center"/>
          </w:tcPr>
          <w:p>
            <w:pPr>
              <w:snapToGrid w:val="0"/>
              <w:spacing w:line="500" w:lineRule="exact"/>
              <w:jc w:val="center"/>
              <w:rPr>
                <w:sz w:val="24"/>
                <w:highlight w:val="none"/>
              </w:rPr>
            </w:pPr>
          </w:p>
        </w:tc>
        <w:tc>
          <w:tcPr>
            <w:tcW w:w="1860" w:type="dxa"/>
            <w:noWrap w:val="0"/>
            <w:vAlign w:val="center"/>
          </w:tcPr>
          <w:p>
            <w:pPr>
              <w:snapToGrid w:val="0"/>
              <w:spacing w:line="500" w:lineRule="exact"/>
              <w:jc w:val="center"/>
              <w:rPr>
                <w:sz w:val="24"/>
                <w:highlight w:val="none"/>
              </w:rPr>
            </w:pPr>
          </w:p>
        </w:tc>
        <w:tc>
          <w:tcPr>
            <w:tcW w:w="1410" w:type="dxa"/>
            <w:noWrap w:val="0"/>
            <w:vAlign w:val="center"/>
          </w:tcPr>
          <w:p>
            <w:pPr>
              <w:snapToGrid w:val="0"/>
              <w:spacing w:line="500" w:lineRule="exact"/>
              <w:jc w:val="center"/>
              <w:rPr>
                <w:sz w:val="24"/>
                <w:highlight w:val="none"/>
              </w:rPr>
            </w:pPr>
          </w:p>
        </w:tc>
        <w:tc>
          <w:tcPr>
            <w:tcW w:w="1339" w:type="dxa"/>
            <w:noWrap w:val="0"/>
            <w:vAlign w:val="center"/>
          </w:tcPr>
          <w:p>
            <w:pPr>
              <w:snapToGrid w:val="0"/>
              <w:spacing w:line="500" w:lineRule="exact"/>
              <w:jc w:val="center"/>
              <w:rPr>
                <w:sz w:val="24"/>
                <w:highlight w:val="none"/>
              </w:rPr>
            </w:pPr>
          </w:p>
        </w:tc>
        <w:tc>
          <w:tcPr>
            <w:tcW w:w="2113" w:type="dxa"/>
            <w:noWrap w:val="0"/>
            <w:vAlign w:val="center"/>
          </w:tcPr>
          <w:p>
            <w:pPr>
              <w:snapToGrid w:val="0"/>
              <w:spacing w:line="500" w:lineRule="exact"/>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29" w:type="dxa"/>
            <w:noWrap w:val="0"/>
            <w:vAlign w:val="center"/>
          </w:tcPr>
          <w:p>
            <w:pPr>
              <w:snapToGrid w:val="0"/>
              <w:spacing w:line="500" w:lineRule="exact"/>
              <w:jc w:val="center"/>
              <w:rPr>
                <w:sz w:val="24"/>
                <w:highlight w:val="none"/>
              </w:rPr>
            </w:pPr>
          </w:p>
        </w:tc>
        <w:tc>
          <w:tcPr>
            <w:tcW w:w="2072" w:type="dxa"/>
            <w:noWrap w:val="0"/>
            <w:vAlign w:val="center"/>
          </w:tcPr>
          <w:p>
            <w:pPr>
              <w:snapToGrid w:val="0"/>
              <w:spacing w:line="500" w:lineRule="exact"/>
              <w:jc w:val="center"/>
              <w:rPr>
                <w:sz w:val="24"/>
                <w:highlight w:val="none"/>
              </w:rPr>
            </w:pPr>
          </w:p>
        </w:tc>
        <w:tc>
          <w:tcPr>
            <w:tcW w:w="1860" w:type="dxa"/>
            <w:noWrap w:val="0"/>
            <w:vAlign w:val="center"/>
          </w:tcPr>
          <w:p>
            <w:pPr>
              <w:snapToGrid w:val="0"/>
              <w:spacing w:line="500" w:lineRule="exact"/>
              <w:jc w:val="center"/>
              <w:rPr>
                <w:sz w:val="24"/>
                <w:highlight w:val="none"/>
              </w:rPr>
            </w:pPr>
          </w:p>
        </w:tc>
        <w:tc>
          <w:tcPr>
            <w:tcW w:w="1410" w:type="dxa"/>
            <w:noWrap w:val="0"/>
            <w:vAlign w:val="center"/>
          </w:tcPr>
          <w:p>
            <w:pPr>
              <w:snapToGrid w:val="0"/>
              <w:spacing w:line="500" w:lineRule="exact"/>
              <w:jc w:val="center"/>
              <w:rPr>
                <w:sz w:val="24"/>
                <w:highlight w:val="none"/>
              </w:rPr>
            </w:pPr>
          </w:p>
        </w:tc>
        <w:tc>
          <w:tcPr>
            <w:tcW w:w="1339" w:type="dxa"/>
            <w:noWrap w:val="0"/>
            <w:vAlign w:val="center"/>
          </w:tcPr>
          <w:p>
            <w:pPr>
              <w:snapToGrid w:val="0"/>
              <w:spacing w:line="500" w:lineRule="exact"/>
              <w:jc w:val="center"/>
              <w:rPr>
                <w:sz w:val="24"/>
                <w:highlight w:val="none"/>
              </w:rPr>
            </w:pPr>
          </w:p>
        </w:tc>
        <w:tc>
          <w:tcPr>
            <w:tcW w:w="2113" w:type="dxa"/>
            <w:noWrap w:val="0"/>
            <w:vAlign w:val="center"/>
          </w:tcPr>
          <w:p>
            <w:pPr>
              <w:snapToGrid w:val="0"/>
              <w:spacing w:line="500" w:lineRule="exact"/>
              <w:jc w:val="center"/>
              <w:rPr>
                <w:sz w:val="24"/>
                <w:highlight w:val="none"/>
              </w:rPr>
            </w:pPr>
          </w:p>
        </w:tc>
      </w:tr>
    </w:tbl>
    <w:p>
      <w:pPr>
        <w:spacing w:line="480" w:lineRule="auto"/>
        <w:rPr>
          <w:bCs/>
          <w:sz w:val="24"/>
          <w:highlight w:val="none"/>
        </w:rPr>
      </w:pPr>
      <w:r>
        <w:rPr>
          <w:rFonts w:hint="eastAsia" w:ascii="Times New Roman"/>
          <w:bCs/>
          <w:kern w:val="2"/>
          <w:sz w:val="24"/>
          <w:szCs w:val="22"/>
          <w:highlight w:val="none"/>
        </w:rPr>
        <w:t>注：上表如需要自行延长。</w:t>
      </w:r>
    </w:p>
    <w:p>
      <w:pPr>
        <w:spacing w:line="360" w:lineRule="auto"/>
        <w:outlineLvl w:val="0"/>
        <w:rPr>
          <w:rFonts w:hint="eastAsia"/>
          <w:b w:val="0"/>
          <w:bCs w:val="0"/>
          <w:sz w:val="24"/>
          <w:highlight w:val="none"/>
          <w:lang w:val="en-US" w:eastAsia="zh-CN"/>
        </w:rPr>
      </w:pPr>
    </w:p>
    <w:p>
      <w:pPr>
        <w:spacing w:line="360" w:lineRule="auto"/>
        <w:outlineLvl w:val="0"/>
        <w:rPr>
          <w:rFonts w:hint="eastAsia"/>
          <w:b w:val="0"/>
          <w:bCs w:val="0"/>
          <w:sz w:val="24"/>
          <w:highlight w:val="none"/>
        </w:rPr>
      </w:pPr>
      <w:r>
        <w:rPr>
          <w:rFonts w:hint="eastAsia"/>
          <w:b w:val="0"/>
          <w:bCs w:val="0"/>
          <w:sz w:val="24"/>
          <w:highlight w:val="none"/>
          <w:lang w:val="en-US" w:eastAsia="zh-CN"/>
        </w:rPr>
        <w:t>投标</w:t>
      </w:r>
      <w:r>
        <w:rPr>
          <w:rFonts w:hint="eastAsia"/>
          <w:b w:val="0"/>
          <w:bCs w:val="0"/>
          <w:sz w:val="24"/>
          <w:highlight w:val="none"/>
        </w:rPr>
        <w:t>供应商（盖章）：</w:t>
      </w:r>
    </w:p>
    <w:p>
      <w:pPr>
        <w:spacing w:line="360" w:lineRule="auto"/>
        <w:outlineLvl w:val="0"/>
        <w:rPr>
          <w:rFonts w:hint="eastAsia"/>
          <w:b w:val="0"/>
          <w:bCs w:val="0"/>
          <w:sz w:val="24"/>
          <w:highlight w:val="none"/>
        </w:rPr>
      </w:pPr>
      <w:r>
        <w:rPr>
          <w:rFonts w:hint="eastAsia"/>
          <w:b w:val="0"/>
          <w:bCs w:val="0"/>
          <w:sz w:val="24"/>
          <w:highlight w:val="none"/>
        </w:rPr>
        <w:t>法定代表人或法定代表人授权代表签字或盖章：</w:t>
      </w:r>
    </w:p>
    <w:p>
      <w:pPr>
        <w:spacing w:line="360" w:lineRule="auto"/>
        <w:outlineLvl w:val="0"/>
        <w:rPr>
          <w:rFonts w:hint="eastAsia"/>
          <w:b w:val="0"/>
          <w:bCs w:val="0"/>
          <w:sz w:val="24"/>
          <w:highlight w:val="none"/>
        </w:rPr>
      </w:pPr>
      <w:r>
        <w:rPr>
          <w:rFonts w:hint="eastAsia"/>
          <w:b w:val="0"/>
          <w:bCs w:val="0"/>
          <w:sz w:val="24"/>
          <w:highlight w:val="none"/>
        </w:rPr>
        <w:t>日期：</w:t>
      </w:r>
    </w:p>
    <w:p>
      <w:pPr>
        <w:jc w:val="left"/>
        <w:outlineLvl w:val="0"/>
        <w:rPr>
          <w:rFonts w:ascii="黑体" w:hAnsi="宋体" w:eastAsia="黑体"/>
          <w:sz w:val="24"/>
          <w:szCs w:val="24"/>
          <w:highlight w:val="none"/>
        </w:rPr>
      </w:pPr>
    </w:p>
    <w:p>
      <w:pPr>
        <w:jc w:val="left"/>
        <w:outlineLvl w:val="0"/>
        <w:rPr>
          <w:rFonts w:ascii="黑体" w:hAnsi="宋体" w:eastAsia="黑体"/>
          <w:sz w:val="24"/>
          <w:szCs w:val="24"/>
          <w:highlight w:val="none"/>
        </w:rPr>
      </w:pPr>
    </w:p>
    <w:p>
      <w:pPr>
        <w:jc w:val="left"/>
        <w:outlineLvl w:val="0"/>
        <w:rPr>
          <w:rFonts w:hint="eastAsia" w:ascii="黑体" w:hAnsi="宋体" w:eastAsia="黑体" w:cs="黑体"/>
          <w:sz w:val="24"/>
          <w:szCs w:val="24"/>
          <w:highlight w:val="none"/>
        </w:rPr>
      </w:pPr>
    </w:p>
    <w:p>
      <w:pPr>
        <w:jc w:val="left"/>
        <w:outlineLvl w:val="0"/>
        <w:rPr>
          <w:rFonts w:hint="eastAsia" w:ascii="黑体" w:hAnsi="宋体" w:eastAsia="黑体" w:cs="黑体"/>
          <w:sz w:val="24"/>
          <w:szCs w:val="24"/>
          <w:highlight w:val="none"/>
        </w:rPr>
      </w:pPr>
    </w:p>
    <w:p>
      <w:pPr>
        <w:jc w:val="left"/>
        <w:outlineLvl w:val="0"/>
        <w:rPr>
          <w:rFonts w:hint="eastAsia" w:ascii="黑体" w:hAnsi="宋体" w:eastAsia="黑体" w:cs="黑体"/>
          <w:sz w:val="24"/>
          <w:szCs w:val="24"/>
          <w:highlight w:val="none"/>
        </w:rPr>
      </w:pPr>
    </w:p>
    <w:p>
      <w:pPr>
        <w:jc w:val="left"/>
        <w:outlineLvl w:val="0"/>
        <w:rPr>
          <w:rFonts w:hint="eastAsia" w:ascii="黑体" w:hAnsi="宋体" w:eastAsia="黑体" w:cs="黑体"/>
          <w:sz w:val="24"/>
          <w:szCs w:val="24"/>
          <w:highlight w:val="none"/>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（八）清障辅助设备一览表（格式）</w:t>
      </w:r>
    </w:p>
    <w:p>
      <w:pPr>
        <w:pStyle w:val="7"/>
        <w:adjustRightInd w:val="0"/>
        <w:snapToGrid w:val="0"/>
        <w:spacing w:before="0" w:after="0" w:line="360" w:lineRule="auto"/>
        <w:jc w:val="center"/>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清障辅助设备一览表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123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noWrap w:val="0"/>
            <w:vAlign w:val="center"/>
          </w:tcPr>
          <w:p>
            <w:pPr>
              <w:jc w:val="distribute"/>
              <w:rPr>
                <w:rFonts w:hint="eastAsia" w:ascii="宋体" w:hAnsi="宋体"/>
                <w:color w:val="auto"/>
                <w:highlight w:val="none"/>
              </w:rPr>
            </w:pPr>
            <w:r>
              <w:rPr>
                <w:rFonts w:hint="eastAsia" w:ascii="宋体" w:hAnsi="宋体"/>
                <w:color w:val="auto"/>
                <w:highlight w:val="none"/>
              </w:rPr>
              <w:t>序号</w:t>
            </w:r>
          </w:p>
        </w:tc>
        <w:tc>
          <w:tcPr>
            <w:tcW w:w="1500" w:type="dxa"/>
            <w:noWrap w:val="0"/>
            <w:vAlign w:val="center"/>
          </w:tcPr>
          <w:p>
            <w:pPr>
              <w:jc w:val="distribute"/>
              <w:rPr>
                <w:rFonts w:hint="eastAsia" w:ascii="宋体" w:hAnsi="宋体"/>
                <w:color w:val="auto"/>
                <w:highlight w:val="none"/>
              </w:rPr>
            </w:pPr>
            <w:r>
              <w:rPr>
                <w:rFonts w:hint="eastAsia" w:ascii="宋体" w:hAnsi="宋体"/>
                <w:color w:val="auto"/>
                <w:highlight w:val="none"/>
              </w:rPr>
              <w:t>机械或</w:t>
            </w:r>
          </w:p>
          <w:p>
            <w:pPr>
              <w:jc w:val="distribute"/>
              <w:rPr>
                <w:rFonts w:hint="eastAsia" w:ascii="宋体" w:hAnsi="宋体"/>
                <w:color w:val="auto"/>
                <w:highlight w:val="none"/>
              </w:rPr>
            </w:pPr>
            <w:r>
              <w:rPr>
                <w:rFonts w:hint="eastAsia" w:ascii="宋体" w:hAnsi="宋体"/>
                <w:color w:val="auto"/>
                <w:highlight w:val="none"/>
              </w:rPr>
              <w:t>设备名称</w:t>
            </w:r>
          </w:p>
        </w:tc>
        <w:tc>
          <w:tcPr>
            <w:tcW w:w="979" w:type="dxa"/>
            <w:noWrap w:val="0"/>
            <w:vAlign w:val="center"/>
          </w:tcPr>
          <w:p>
            <w:pPr>
              <w:jc w:val="distribute"/>
              <w:rPr>
                <w:rFonts w:hint="eastAsia" w:ascii="宋体" w:hAnsi="宋体"/>
                <w:color w:val="auto"/>
                <w:highlight w:val="none"/>
              </w:rPr>
            </w:pPr>
            <w:r>
              <w:rPr>
                <w:rFonts w:hint="eastAsia" w:ascii="宋体" w:hAnsi="宋体"/>
                <w:color w:val="auto"/>
                <w:highlight w:val="none"/>
              </w:rPr>
              <w:t>型号</w:t>
            </w:r>
          </w:p>
          <w:p>
            <w:pPr>
              <w:jc w:val="distribute"/>
              <w:rPr>
                <w:rFonts w:hint="eastAsia" w:ascii="宋体" w:hAnsi="宋体"/>
                <w:color w:val="auto"/>
                <w:highlight w:val="none"/>
              </w:rPr>
            </w:pPr>
            <w:r>
              <w:rPr>
                <w:rFonts w:hint="eastAsia" w:ascii="宋体" w:hAnsi="宋体"/>
                <w:color w:val="auto"/>
                <w:highlight w:val="none"/>
              </w:rPr>
              <w:t>规格</w:t>
            </w:r>
          </w:p>
        </w:tc>
        <w:tc>
          <w:tcPr>
            <w:tcW w:w="720" w:type="dxa"/>
            <w:noWrap w:val="0"/>
            <w:vAlign w:val="center"/>
          </w:tcPr>
          <w:p>
            <w:pPr>
              <w:jc w:val="distribute"/>
              <w:rPr>
                <w:rFonts w:hint="eastAsia" w:ascii="宋体" w:hAnsi="宋体"/>
                <w:color w:val="auto"/>
                <w:highlight w:val="none"/>
              </w:rPr>
            </w:pPr>
            <w:r>
              <w:rPr>
                <w:rFonts w:hint="eastAsia" w:ascii="宋体" w:hAnsi="宋体"/>
                <w:color w:val="auto"/>
                <w:highlight w:val="none"/>
              </w:rPr>
              <w:t>数量</w:t>
            </w:r>
          </w:p>
        </w:tc>
        <w:tc>
          <w:tcPr>
            <w:tcW w:w="801" w:type="dxa"/>
            <w:noWrap w:val="0"/>
            <w:vAlign w:val="center"/>
          </w:tcPr>
          <w:p>
            <w:pPr>
              <w:jc w:val="distribute"/>
              <w:rPr>
                <w:rFonts w:hint="eastAsia" w:ascii="宋体" w:hAnsi="宋体"/>
                <w:color w:val="auto"/>
                <w:highlight w:val="none"/>
              </w:rPr>
            </w:pPr>
            <w:r>
              <w:rPr>
                <w:rFonts w:hint="eastAsia" w:ascii="宋体" w:hAnsi="宋体"/>
                <w:color w:val="auto"/>
                <w:highlight w:val="none"/>
              </w:rPr>
              <w:t>国别产地</w:t>
            </w:r>
          </w:p>
        </w:tc>
        <w:tc>
          <w:tcPr>
            <w:tcW w:w="1100" w:type="dxa"/>
            <w:noWrap w:val="0"/>
            <w:vAlign w:val="center"/>
          </w:tcPr>
          <w:p>
            <w:pPr>
              <w:jc w:val="distribute"/>
              <w:rPr>
                <w:rFonts w:hint="eastAsia" w:ascii="宋体" w:hAnsi="宋体"/>
                <w:color w:val="auto"/>
                <w:highlight w:val="none"/>
              </w:rPr>
            </w:pPr>
            <w:r>
              <w:rPr>
                <w:rFonts w:hint="eastAsia" w:ascii="宋体" w:hAnsi="宋体"/>
                <w:color w:val="auto"/>
                <w:highlight w:val="none"/>
              </w:rPr>
              <w:t>制造年份</w:t>
            </w:r>
          </w:p>
        </w:tc>
        <w:tc>
          <w:tcPr>
            <w:tcW w:w="1100" w:type="dxa"/>
            <w:noWrap w:val="0"/>
            <w:vAlign w:val="center"/>
          </w:tcPr>
          <w:p>
            <w:pPr>
              <w:jc w:val="distribute"/>
              <w:rPr>
                <w:rFonts w:hint="eastAsia" w:ascii="宋体" w:hAnsi="宋体"/>
                <w:color w:val="auto"/>
                <w:highlight w:val="none"/>
              </w:rPr>
            </w:pPr>
            <w:r>
              <w:rPr>
                <w:rFonts w:hint="eastAsia" w:ascii="宋体" w:hAnsi="宋体"/>
                <w:color w:val="auto"/>
                <w:highlight w:val="none"/>
              </w:rPr>
              <w:t>额定功率（KW）</w:t>
            </w:r>
          </w:p>
        </w:tc>
        <w:tc>
          <w:tcPr>
            <w:tcW w:w="1237" w:type="dxa"/>
            <w:noWrap w:val="0"/>
            <w:vAlign w:val="center"/>
          </w:tcPr>
          <w:p>
            <w:pPr>
              <w:jc w:val="distribute"/>
              <w:rPr>
                <w:rFonts w:hint="eastAsia" w:ascii="宋体" w:hAnsi="宋体"/>
                <w:color w:val="auto"/>
                <w:highlight w:val="none"/>
              </w:rPr>
            </w:pPr>
            <w:r>
              <w:rPr>
                <w:rFonts w:hint="eastAsia" w:ascii="宋体" w:hAnsi="宋体"/>
                <w:color w:val="auto"/>
                <w:highlight w:val="none"/>
              </w:rPr>
              <w:t>生产能力</w:t>
            </w:r>
          </w:p>
        </w:tc>
        <w:tc>
          <w:tcPr>
            <w:tcW w:w="1210" w:type="dxa"/>
            <w:tcBorders>
              <w:left w:val="single" w:color="auto" w:sz="4" w:space="0"/>
            </w:tcBorders>
            <w:noWrap w:val="0"/>
            <w:vAlign w:val="center"/>
          </w:tcPr>
          <w:p>
            <w:pPr>
              <w:jc w:val="distribute"/>
              <w:rPr>
                <w:rFonts w:hint="eastAsia"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rPr>
                <w:rFonts w:hint="eastAsia" w:ascii="宋体" w:hAnsi="宋体"/>
                <w:color w:val="auto"/>
                <w:highlight w:val="none"/>
              </w:rPr>
            </w:pPr>
          </w:p>
        </w:tc>
        <w:tc>
          <w:tcPr>
            <w:tcW w:w="1500" w:type="dxa"/>
            <w:noWrap w:val="0"/>
            <w:vAlign w:val="top"/>
          </w:tcPr>
          <w:p>
            <w:pPr>
              <w:rPr>
                <w:rFonts w:hint="eastAsia" w:ascii="宋体" w:hAnsi="宋体"/>
                <w:color w:val="auto"/>
                <w:highlight w:val="none"/>
              </w:rPr>
            </w:pPr>
          </w:p>
        </w:tc>
        <w:tc>
          <w:tcPr>
            <w:tcW w:w="979" w:type="dxa"/>
            <w:noWrap w:val="0"/>
            <w:vAlign w:val="top"/>
          </w:tcPr>
          <w:p>
            <w:pPr>
              <w:rPr>
                <w:rFonts w:hint="eastAsia" w:ascii="宋体" w:hAnsi="宋体"/>
                <w:color w:val="auto"/>
                <w:highlight w:val="none"/>
              </w:rPr>
            </w:pPr>
          </w:p>
        </w:tc>
        <w:tc>
          <w:tcPr>
            <w:tcW w:w="720" w:type="dxa"/>
            <w:noWrap w:val="0"/>
            <w:vAlign w:val="top"/>
          </w:tcPr>
          <w:p>
            <w:pPr>
              <w:rPr>
                <w:rFonts w:hint="eastAsia" w:ascii="宋体" w:hAnsi="宋体"/>
                <w:color w:val="auto"/>
                <w:highlight w:val="none"/>
              </w:rPr>
            </w:pPr>
          </w:p>
        </w:tc>
        <w:tc>
          <w:tcPr>
            <w:tcW w:w="801" w:type="dxa"/>
            <w:noWrap w:val="0"/>
            <w:vAlign w:val="top"/>
          </w:tcPr>
          <w:p>
            <w:pPr>
              <w:rPr>
                <w:rFonts w:hint="eastAsia" w:ascii="宋体" w:hAnsi="宋体"/>
                <w:color w:val="auto"/>
                <w:highlight w:val="none"/>
              </w:rPr>
            </w:pPr>
          </w:p>
        </w:tc>
        <w:tc>
          <w:tcPr>
            <w:tcW w:w="1100" w:type="dxa"/>
            <w:noWrap w:val="0"/>
            <w:vAlign w:val="top"/>
          </w:tcPr>
          <w:p>
            <w:pPr>
              <w:rPr>
                <w:rFonts w:hint="eastAsia" w:ascii="宋体" w:hAnsi="宋体"/>
                <w:color w:val="auto"/>
                <w:highlight w:val="none"/>
              </w:rPr>
            </w:pPr>
          </w:p>
        </w:tc>
        <w:tc>
          <w:tcPr>
            <w:tcW w:w="1100" w:type="dxa"/>
            <w:noWrap w:val="0"/>
            <w:vAlign w:val="top"/>
          </w:tcPr>
          <w:p>
            <w:pPr>
              <w:rPr>
                <w:rFonts w:hint="eastAsia" w:ascii="宋体" w:hAnsi="宋体"/>
                <w:color w:val="auto"/>
                <w:highlight w:val="none"/>
              </w:rPr>
            </w:pPr>
          </w:p>
        </w:tc>
        <w:tc>
          <w:tcPr>
            <w:tcW w:w="1237" w:type="dxa"/>
            <w:noWrap w:val="0"/>
            <w:vAlign w:val="top"/>
          </w:tcPr>
          <w:p>
            <w:pPr>
              <w:rPr>
                <w:rFonts w:hint="eastAsia" w:ascii="宋体" w:hAnsi="宋体"/>
                <w:color w:val="auto"/>
                <w:highlight w:val="none"/>
              </w:rPr>
            </w:pPr>
          </w:p>
        </w:tc>
        <w:tc>
          <w:tcPr>
            <w:tcW w:w="1210" w:type="dxa"/>
            <w:tcBorders>
              <w:left w:val="single" w:color="auto" w:sz="4" w:space="0"/>
            </w:tcBorders>
            <w:noWrap w:val="0"/>
            <w:vAlign w:val="top"/>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rPr>
                <w:rFonts w:hint="eastAsia" w:ascii="宋体" w:hAnsi="宋体"/>
                <w:color w:val="auto"/>
                <w:highlight w:val="none"/>
              </w:rPr>
            </w:pPr>
          </w:p>
        </w:tc>
        <w:tc>
          <w:tcPr>
            <w:tcW w:w="1500" w:type="dxa"/>
            <w:noWrap w:val="0"/>
            <w:vAlign w:val="top"/>
          </w:tcPr>
          <w:p>
            <w:pPr>
              <w:rPr>
                <w:rFonts w:hint="eastAsia" w:ascii="宋体" w:hAnsi="宋体"/>
                <w:color w:val="auto"/>
                <w:highlight w:val="none"/>
              </w:rPr>
            </w:pPr>
          </w:p>
        </w:tc>
        <w:tc>
          <w:tcPr>
            <w:tcW w:w="979" w:type="dxa"/>
            <w:noWrap w:val="0"/>
            <w:vAlign w:val="top"/>
          </w:tcPr>
          <w:p>
            <w:pPr>
              <w:rPr>
                <w:rFonts w:hint="eastAsia" w:ascii="宋体" w:hAnsi="宋体"/>
                <w:color w:val="auto"/>
                <w:highlight w:val="none"/>
              </w:rPr>
            </w:pPr>
          </w:p>
        </w:tc>
        <w:tc>
          <w:tcPr>
            <w:tcW w:w="720" w:type="dxa"/>
            <w:noWrap w:val="0"/>
            <w:vAlign w:val="top"/>
          </w:tcPr>
          <w:p>
            <w:pPr>
              <w:rPr>
                <w:rFonts w:hint="eastAsia" w:ascii="宋体" w:hAnsi="宋体"/>
                <w:color w:val="auto"/>
                <w:highlight w:val="none"/>
              </w:rPr>
            </w:pPr>
          </w:p>
        </w:tc>
        <w:tc>
          <w:tcPr>
            <w:tcW w:w="801" w:type="dxa"/>
            <w:noWrap w:val="0"/>
            <w:vAlign w:val="top"/>
          </w:tcPr>
          <w:p>
            <w:pPr>
              <w:rPr>
                <w:rFonts w:hint="eastAsia" w:ascii="宋体" w:hAnsi="宋体"/>
                <w:color w:val="auto"/>
                <w:highlight w:val="none"/>
              </w:rPr>
            </w:pPr>
          </w:p>
        </w:tc>
        <w:tc>
          <w:tcPr>
            <w:tcW w:w="1100" w:type="dxa"/>
            <w:noWrap w:val="0"/>
            <w:vAlign w:val="top"/>
          </w:tcPr>
          <w:p>
            <w:pPr>
              <w:rPr>
                <w:rFonts w:hint="eastAsia" w:ascii="宋体" w:hAnsi="宋体"/>
                <w:color w:val="auto"/>
                <w:highlight w:val="none"/>
              </w:rPr>
            </w:pPr>
          </w:p>
        </w:tc>
        <w:tc>
          <w:tcPr>
            <w:tcW w:w="1100" w:type="dxa"/>
            <w:noWrap w:val="0"/>
            <w:vAlign w:val="top"/>
          </w:tcPr>
          <w:p>
            <w:pPr>
              <w:rPr>
                <w:rFonts w:hint="eastAsia" w:ascii="宋体" w:hAnsi="宋体"/>
                <w:color w:val="auto"/>
                <w:highlight w:val="none"/>
              </w:rPr>
            </w:pPr>
          </w:p>
        </w:tc>
        <w:tc>
          <w:tcPr>
            <w:tcW w:w="1237" w:type="dxa"/>
            <w:noWrap w:val="0"/>
            <w:vAlign w:val="top"/>
          </w:tcPr>
          <w:p>
            <w:pPr>
              <w:rPr>
                <w:rFonts w:hint="eastAsia" w:ascii="宋体" w:hAnsi="宋体"/>
                <w:color w:val="auto"/>
                <w:highlight w:val="none"/>
              </w:rPr>
            </w:pPr>
          </w:p>
        </w:tc>
        <w:tc>
          <w:tcPr>
            <w:tcW w:w="1210" w:type="dxa"/>
            <w:tcBorders>
              <w:left w:val="single" w:color="auto" w:sz="4" w:space="0"/>
            </w:tcBorders>
            <w:noWrap w:val="0"/>
            <w:vAlign w:val="top"/>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rPr>
                <w:rFonts w:hint="eastAsia" w:ascii="宋体" w:hAnsi="宋体"/>
                <w:color w:val="auto"/>
                <w:highlight w:val="none"/>
              </w:rPr>
            </w:pPr>
          </w:p>
        </w:tc>
        <w:tc>
          <w:tcPr>
            <w:tcW w:w="1500" w:type="dxa"/>
            <w:noWrap w:val="0"/>
            <w:vAlign w:val="top"/>
          </w:tcPr>
          <w:p>
            <w:pPr>
              <w:rPr>
                <w:rFonts w:hint="eastAsia" w:ascii="宋体" w:hAnsi="宋体"/>
                <w:color w:val="auto"/>
                <w:highlight w:val="none"/>
              </w:rPr>
            </w:pPr>
          </w:p>
        </w:tc>
        <w:tc>
          <w:tcPr>
            <w:tcW w:w="979" w:type="dxa"/>
            <w:noWrap w:val="0"/>
            <w:vAlign w:val="top"/>
          </w:tcPr>
          <w:p>
            <w:pPr>
              <w:rPr>
                <w:rFonts w:hint="eastAsia" w:ascii="宋体" w:hAnsi="宋体"/>
                <w:color w:val="auto"/>
                <w:highlight w:val="none"/>
              </w:rPr>
            </w:pPr>
          </w:p>
        </w:tc>
        <w:tc>
          <w:tcPr>
            <w:tcW w:w="720" w:type="dxa"/>
            <w:noWrap w:val="0"/>
            <w:vAlign w:val="top"/>
          </w:tcPr>
          <w:p>
            <w:pPr>
              <w:rPr>
                <w:rFonts w:hint="eastAsia" w:ascii="宋体" w:hAnsi="宋体"/>
                <w:color w:val="auto"/>
                <w:highlight w:val="none"/>
              </w:rPr>
            </w:pPr>
          </w:p>
        </w:tc>
        <w:tc>
          <w:tcPr>
            <w:tcW w:w="801" w:type="dxa"/>
            <w:noWrap w:val="0"/>
            <w:vAlign w:val="top"/>
          </w:tcPr>
          <w:p>
            <w:pPr>
              <w:rPr>
                <w:rFonts w:hint="eastAsia" w:ascii="宋体" w:hAnsi="宋体"/>
                <w:color w:val="auto"/>
                <w:highlight w:val="none"/>
              </w:rPr>
            </w:pPr>
          </w:p>
        </w:tc>
        <w:tc>
          <w:tcPr>
            <w:tcW w:w="1100" w:type="dxa"/>
            <w:noWrap w:val="0"/>
            <w:vAlign w:val="top"/>
          </w:tcPr>
          <w:p>
            <w:pPr>
              <w:rPr>
                <w:rFonts w:hint="eastAsia" w:ascii="宋体" w:hAnsi="宋体"/>
                <w:color w:val="auto"/>
                <w:highlight w:val="none"/>
              </w:rPr>
            </w:pPr>
          </w:p>
        </w:tc>
        <w:tc>
          <w:tcPr>
            <w:tcW w:w="1100" w:type="dxa"/>
            <w:noWrap w:val="0"/>
            <w:vAlign w:val="top"/>
          </w:tcPr>
          <w:p>
            <w:pPr>
              <w:rPr>
                <w:rFonts w:hint="eastAsia" w:ascii="宋体" w:hAnsi="宋体"/>
                <w:color w:val="auto"/>
                <w:highlight w:val="none"/>
              </w:rPr>
            </w:pPr>
          </w:p>
        </w:tc>
        <w:tc>
          <w:tcPr>
            <w:tcW w:w="1237" w:type="dxa"/>
            <w:noWrap w:val="0"/>
            <w:vAlign w:val="top"/>
          </w:tcPr>
          <w:p>
            <w:pPr>
              <w:rPr>
                <w:rFonts w:hint="eastAsia" w:ascii="宋体" w:hAnsi="宋体"/>
                <w:color w:val="auto"/>
                <w:highlight w:val="none"/>
              </w:rPr>
            </w:pPr>
          </w:p>
        </w:tc>
        <w:tc>
          <w:tcPr>
            <w:tcW w:w="1210" w:type="dxa"/>
            <w:tcBorders>
              <w:left w:val="single" w:color="auto" w:sz="4" w:space="0"/>
            </w:tcBorders>
            <w:noWrap w:val="0"/>
            <w:vAlign w:val="top"/>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rPr>
                <w:rFonts w:hint="eastAsia" w:ascii="宋体" w:hAnsi="宋体"/>
                <w:color w:val="auto"/>
                <w:highlight w:val="none"/>
              </w:rPr>
            </w:pPr>
          </w:p>
        </w:tc>
        <w:tc>
          <w:tcPr>
            <w:tcW w:w="1500" w:type="dxa"/>
            <w:noWrap w:val="0"/>
            <w:vAlign w:val="top"/>
          </w:tcPr>
          <w:p>
            <w:pPr>
              <w:rPr>
                <w:rFonts w:hint="eastAsia" w:ascii="宋体" w:hAnsi="宋体"/>
                <w:color w:val="auto"/>
                <w:highlight w:val="none"/>
              </w:rPr>
            </w:pPr>
          </w:p>
        </w:tc>
        <w:tc>
          <w:tcPr>
            <w:tcW w:w="979" w:type="dxa"/>
            <w:noWrap w:val="0"/>
            <w:vAlign w:val="top"/>
          </w:tcPr>
          <w:p>
            <w:pPr>
              <w:rPr>
                <w:rFonts w:hint="eastAsia" w:ascii="宋体" w:hAnsi="宋体"/>
                <w:color w:val="auto"/>
                <w:highlight w:val="none"/>
              </w:rPr>
            </w:pPr>
          </w:p>
        </w:tc>
        <w:tc>
          <w:tcPr>
            <w:tcW w:w="720" w:type="dxa"/>
            <w:noWrap w:val="0"/>
            <w:vAlign w:val="top"/>
          </w:tcPr>
          <w:p>
            <w:pPr>
              <w:rPr>
                <w:rFonts w:hint="eastAsia" w:ascii="宋体" w:hAnsi="宋体"/>
                <w:color w:val="auto"/>
                <w:highlight w:val="none"/>
              </w:rPr>
            </w:pPr>
          </w:p>
        </w:tc>
        <w:tc>
          <w:tcPr>
            <w:tcW w:w="801" w:type="dxa"/>
            <w:noWrap w:val="0"/>
            <w:vAlign w:val="top"/>
          </w:tcPr>
          <w:p>
            <w:pPr>
              <w:rPr>
                <w:rFonts w:hint="eastAsia" w:ascii="宋体" w:hAnsi="宋体"/>
                <w:color w:val="auto"/>
                <w:highlight w:val="none"/>
              </w:rPr>
            </w:pPr>
          </w:p>
        </w:tc>
        <w:tc>
          <w:tcPr>
            <w:tcW w:w="1100" w:type="dxa"/>
            <w:noWrap w:val="0"/>
            <w:vAlign w:val="top"/>
          </w:tcPr>
          <w:p>
            <w:pPr>
              <w:rPr>
                <w:rFonts w:hint="eastAsia" w:ascii="宋体" w:hAnsi="宋体"/>
                <w:color w:val="auto"/>
                <w:highlight w:val="none"/>
              </w:rPr>
            </w:pPr>
          </w:p>
        </w:tc>
        <w:tc>
          <w:tcPr>
            <w:tcW w:w="1100" w:type="dxa"/>
            <w:noWrap w:val="0"/>
            <w:vAlign w:val="top"/>
          </w:tcPr>
          <w:p>
            <w:pPr>
              <w:rPr>
                <w:rFonts w:hint="eastAsia" w:ascii="宋体" w:hAnsi="宋体"/>
                <w:color w:val="auto"/>
                <w:highlight w:val="none"/>
              </w:rPr>
            </w:pPr>
          </w:p>
        </w:tc>
        <w:tc>
          <w:tcPr>
            <w:tcW w:w="1237" w:type="dxa"/>
            <w:noWrap w:val="0"/>
            <w:vAlign w:val="top"/>
          </w:tcPr>
          <w:p>
            <w:pPr>
              <w:rPr>
                <w:rFonts w:hint="eastAsia" w:ascii="宋体" w:hAnsi="宋体"/>
                <w:color w:val="auto"/>
                <w:highlight w:val="none"/>
              </w:rPr>
            </w:pPr>
          </w:p>
        </w:tc>
        <w:tc>
          <w:tcPr>
            <w:tcW w:w="1210" w:type="dxa"/>
            <w:tcBorders>
              <w:left w:val="single" w:color="auto" w:sz="4" w:space="0"/>
            </w:tcBorders>
            <w:noWrap w:val="0"/>
            <w:vAlign w:val="top"/>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rPr>
                <w:rFonts w:hint="eastAsia" w:ascii="宋体" w:hAnsi="宋体"/>
                <w:color w:val="auto"/>
                <w:highlight w:val="none"/>
              </w:rPr>
            </w:pPr>
          </w:p>
        </w:tc>
        <w:tc>
          <w:tcPr>
            <w:tcW w:w="1500" w:type="dxa"/>
            <w:noWrap w:val="0"/>
            <w:vAlign w:val="top"/>
          </w:tcPr>
          <w:p>
            <w:pPr>
              <w:rPr>
                <w:rFonts w:hint="eastAsia" w:ascii="宋体" w:hAnsi="宋体"/>
                <w:color w:val="auto"/>
                <w:highlight w:val="none"/>
              </w:rPr>
            </w:pPr>
          </w:p>
        </w:tc>
        <w:tc>
          <w:tcPr>
            <w:tcW w:w="979" w:type="dxa"/>
            <w:noWrap w:val="0"/>
            <w:vAlign w:val="top"/>
          </w:tcPr>
          <w:p>
            <w:pPr>
              <w:rPr>
                <w:rFonts w:hint="eastAsia" w:ascii="宋体" w:hAnsi="宋体"/>
                <w:color w:val="auto"/>
                <w:highlight w:val="none"/>
              </w:rPr>
            </w:pPr>
          </w:p>
        </w:tc>
        <w:tc>
          <w:tcPr>
            <w:tcW w:w="720" w:type="dxa"/>
            <w:noWrap w:val="0"/>
            <w:vAlign w:val="top"/>
          </w:tcPr>
          <w:p>
            <w:pPr>
              <w:rPr>
                <w:rFonts w:hint="eastAsia" w:ascii="宋体" w:hAnsi="宋体"/>
                <w:color w:val="auto"/>
                <w:highlight w:val="none"/>
              </w:rPr>
            </w:pPr>
          </w:p>
        </w:tc>
        <w:tc>
          <w:tcPr>
            <w:tcW w:w="801" w:type="dxa"/>
            <w:noWrap w:val="0"/>
            <w:vAlign w:val="top"/>
          </w:tcPr>
          <w:p>
            <w:pPr>
              <w:rPr>
                <w:rFonts w:hint="eastAsia" w:ascii="宋体" w:hAnsi="宋体"/>
                <w:color w:val="auto"/>
                <w:highlight w:val="none"/>
              </w:rPr>
            </w:pPr>
          </w:p>
        </w:tc>
        <w:tc>
          <w:tcPr>
            <w:tcW w:w="1100" w:type="dxa"/>
            <w:noWrap w:val="0"/>
            <w:vAlign w:val="top"/>
          </w:tcPr>
          <w:p>
            <w:pPr>
              <w:rPr>
                <w:rFonts w:hint="eastAsia" w:ascii="宋体" w:hAnsi="宋体"/>
                <w:color w:val="auto"/>
                <w:highlight w:val="none"/>
              </w:rPr>
            </w:pPr>
          </w:p>
        </w:tc>
        <w:tc>
          <w:tcPr>
            <w:tcW w:w="1100" w:type="dxa"/>
            <w:noWrap w:val="0"/>
            <w:vAlign w:val="top"/>
          </w:tcPr>
          <w:p>
            <w:pPr>
              <w:rPr>
                <w:rFonts w:hint="eastAsia" w:ascii="宋体" w:hAnsi="宋体"/>
                <w:color w:val="auto"/>
                <w:highlight w:val="none"/>
              </w:rPr>
            </w:pPr>
          </w:p>
        </w:tc>
        <w:tc>
          <w:tcPr>
            <w:tcW w:w="1237" w:type="dxa"/>
            <w:noWrap w:val="0"/>
            <w:vAlign w:val="top"/>
          </w:tcPr>
          <w:p>
            <w:pPr>
              <w:rPr>
                <w:rFonts w:hint="eastAsia" w:ascii="宋体" w:hAnsi="宋体"/>
                <w:color w:val="auto"/>
                <w:highlight w:val="none"/>
              </w:rPr>
            </w:pPr>
          </w:p>
        </w:tc>
        <w:tc>
          <w:tcPr>
            <w:tcW w:w="1210" w:type="dxa"/>
            <w:tcBorders>
              <w:left w:val="single" w:color="auto" w:sz="4" w:space="0"/>
            </w:tcBorders>
            <w:noWrap w:val="0"/>
            <w:vAlign w:val="top"/>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rPr>
                <w:rFonts w:hint="eastAsia" w:ascii="宋体" w:hAnsi="宋体"/>
                <w:color w:val="auto"/>
                <w:highlight w:val="none"/>
              </w:rPr>
            </w:pPr>
          </w:p>
        </w:tc>
        <w:tc>
          <w:tcPr>
            <w:tcW w:w="1500" w:type="dxa"/>
            <w:noWrap w:val="0"/>
            <w:vAlign w:val="top"/>
          </w:tcPr>
          <w:p>
            <w:pPr>
              <w:rPr>
                <w:rFonts w:hint="eastAsia" w:ascii="宋体" w:hAnsi="宋体"/>
                <w:color w:val="auto"/>
                <w:highlight w:val="none"/>
              </w:rPr>
            </w:pPr>
          </w:p>
        </w:tc>
        <w:tc>
          <w:tcPr>
            <w:tcW w:w="979" w:type="dxa"/>
            <w:noWrap w:val="0"/>
            <w:vAlign w:val="top"/>
          </w:tcPr>
          <w:p>
            <w:pPr>
              <w:rPr>
                <w:rFonts w:hint="eastAsia" w:ascii="宋体" w:hAnsi="宋体"/>
                <w:color w:val="auto"/>
                <w:highlight w:val="none"/>
              </w:rPr>
            </w:pPr>
          </w:p>
        </w:tc>
        <w:tc>
          <w:tcPr>
            <w:tcW w:w="720" w:type="dxa"/>
            <w:noWrap w:val="0"/>
            <w:vAlign w:val="top"/>
          </w:tcPr>
          <w:p>
            <w:pPr>
              <w:rPr>
                <w:rFonts w:hint="eastAsia" w:ascii="宋体" w:hAnsi="宋体"/>
                <w:color w:val="auto"/>
                <w:highlight w:val="none"/>
              </w:rPr>
            </w:pPr>
          </w:p>
        </w:tc>
        <w:tc>
          <w:tcPr>
            <w:tcW w:w="801" w:type="dxa"/>
            <w:noWrap w:val="0"/>
            <w:vAlign w:val="top"/>
          </w:tcPr>
          <w:p>
            <w:pPr>
              <w:rPr>
                <w:rFonts w:hint="eastAsia" w:ascii="宋体" w:hAnsi="宋体"/>
                <w:color w:val="auto"/>
                <w:highlight w:val="none"/>
              </w:rPr>
            </w:pPr>
          </w:p>
        </w:tc>
        <w:tc>
          <w:tcPr>
            <w:tcW w:w="1100" w:type="dxa"/>
            <w:noWrap w:val="0"/>
            <w:vAlign w:val="top"/>
          </w:tcPr>
          <w:p>
            <w:pPr>
              <w:rPr>
                <w:rFonts w:hint="eastAsia" w:ascii="宋体" w:hAnsi="宋体"/>
                <w:color w:val="auto"/>
                <w:highlight w:val="none"/>
              </w:rPr>
            </w:pPr>
          </w:p>
        </w:tc>
        <w:tc>
          <w:tcPr>
            <w:tcW w:w="1100" w:type="dxa"/>
            <w:noWrap w:val="0"/>
            <w:vAlign w:val="top"/>
          </w:tcPr>
          <w:p>
            <w:pPr>
              <w:rPr>
                <w:rFonts w:hint="eastAsia" w:ascii="宋体" w:hAnsi="宋体"/>
                <w:color w:val="auto"/>
                <w:highlight w:val="none"/>
              </w:rPr>
            </w:pPr>
          </w:p>
        </w:tc>
        <w:tc>
          <w:tcPr>
            <w:tcW w:w="1237" w:type="dxa"/>
            <w:noWrap w:val="0"/>
            <w:vAlign w:val="top"/>
          </w:tcPr>
          <w:p>
            <w:pPr>
              <w:rPr>
                <w:rFonts w:hint="eastAsia" w:ascii="宋体" w:hAnsi="宋体"/>
                <w:color w:val="auto"/>
                <w:highlight w:val="none"/>
              </w:rPr>
            </w:pPr>
          </w:p>
        </w:tc>
        <w:tc>
          <w:tcPr>
            <w:tcW w:w="1210" w:type="dxa"/>
            <w:tcBorders>
              <w:left w:val="single" w:color="auto" w:sz="4" w:space="0"/>
            </w:tcBorders>
            <w:noWrap w:val="0"/>
            <w:vAlign w:val="top"/>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rPr>
                <w:rFonts w:hint="eastAsia" w:ascii="宋体" w:hAnsi="宋体"/>
                <w:color w:val="auto"/>
                <w:highlight w:val="none"/>
              </w:rPr>
            </w:pPr>
          </w:p>
        </w:tc>
        <w:tc>
          <w:tcPr>
            <w:tcW w:w="1500" w:type="dxa"/>
            <w:noWrap w:val="0"/>
            <w:vAlign w:val="top"/>
          </w:tcPr>
          <w:p>
            <w:pPr>
              <w:rPr>
                <w:rFonts w:hint="eastAsia" w:ascii="宋体" w:hAnsi="宋体"/>
                <w:color w:val="auto"/>
                <w:highlight w:val="none"/>
              </w:rPr>
            </w:pPr>
          </w:p>
        </w:tc>
        <w:tc>
          <w:tcPr>
            <w:tcW w:w="979" w:type="dxa"/>
            <w:noWrap w:val="0"/>
            <w:vAlign w:val="top"/>
          </w:tcPr>
          <w:p>
            <w:pPr>
              <w:rPr>
                <w:rFonts w:hint="eastAsia" w:ascii="宋体" w:hAnsi="宋体"/>
                <w:color w:val="auto"/>
                <w:highlight w:val="none"/>
              </w:rPr>
            </w:pPr>
          </w:p>
        </w:tc>
        <w:tc>
          <w:tcPr>
            <w:tcW w:w="720" w:type="dxa"/>
            <w:noWrap w:val="0"/>
            <w:vAlign w:val="top"/>
          </w:tcPr>
          <w:p>
            <w:pPr>
              <w:rPr>
                <w:rFonts w:hint="eastAsia" w:ascii="宋体" w:hAnsi="宋体"/>
                <w:color w:val="auto"/>
                <w:highlight w:val="none"/>
              </w:rPr>
            </w:pPr>
          </w:p>
        </w:tc>
        <w:tc>
          <w:tcPr>
            <w:tcW w:w="801" w:type="dxa"/>
            <w:noWrap w:val="0"/>
            <w:vAlign w:val="top"/>
          </w:tcPr>
          <w:p>
            <w:pPr>
              <w:rPr>
                <w:rFonts w:hint="eastAsia" w:ascii="宋体" w:hAnsi="宋体"/>
                <w:color w:val="auto"/>
                <w:highlight w:val="none"/>
              </w:rPr>
            </w:pPr>
          </w:p>
        </w:tc>
        <w:tc>
          <w:tcPr>
            <w:tcW w:w="1100" w:type="dxa"/>
            <w:noWrap w:val="0"/>
            <w:vAlign w:val="top"/>
          </w:tcPr>
          <w:p>
            <w:pPr>
              <w:rPr>
                <w:rFonts w:hint="eastAsia" w:ascii="宋体" w:hAnsi="宋体"/>
                <w:color w:val="auto"/>
                <w:highlight w:val="none"/>
              </w:rPr>
            </w:pPr>
          </w:p>
        </w:tc>
        <w:tc>
          <w:tcPr>
            <w:tcW w:w="1100" w:type="dxa"/>
            <w:noWrap w:val="0"/>
            <w:vAlign w:val="top"/>
          </w:tcPr>
          <w:p>
            <w:pPr>
              <w:rPr>
                <w:rFonts w:hint="eastAsia" w:ascii="宋体" w:hAnsi="宋体"/>
                <w:color w:val="auto"/>
                <w:highlight w:val="none"/>
              </w:rPr>
            </w:pPr>
          </w:p>
        </w:tc>
        <w:tc>
          <w:tcPr>
            <w:tcW w:w="1237" w:type="dxa"/>
            <w:noWrap w:val="0"/>
            <w:vAlign w:val="top"/>
          </w:tcPr>
          <w:p>
            <w:pPr>
              <w:rPr>
                <w:rFonts w:hint="eastAsia" w:ascii="宋体" w:hAnsi="宋体"/>
                <w:color w:val="auto"/>
                <w:highlight w:val="none"/>
              </w:rPr>
            </w:pPr>
          </w:p>
        </w:tc>
        <w:tc>
          <w:tcPr>
            <w:tcW w:w="1210" w:type="dxa"/>
            <w:tcBorders>
              <w:left w:val="single" w:color="auto" w:sz="4" w:space="0"/>
            </w:tcBorders>
            <w:noWrap w:val="0"/>
            <w:vAlign w:val="top"/>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rPr>
                <w:rFonts w:hint="eastAsia" w:ascii="宋体" w:hAnsi="宋体"/>
                <w:color w:val="auto"/>
                <w:highlight w:val="none"/>
              </w:rPr>
            </w:pPr>
          </w:p>
        </w:tc>
        <w:tc>
          <w:tcPr>
            <w:tcW w:w="1500" w:type="dxa"/>
            <w:noWrap w:val="0"/>
            <w:vAlign w:val="top"/>
          </w:tcPr>
          <w:p>
            <w:pPr>
              <w:rPr>
                <w:rFonts w:hint="eastAsia" w:ascii="宋体" w:hAnsi="宋体"/>
                <w:color w:val="auto"/>
                <w:highlight w:val="none"/>
              </w:rPr>
            </w:pPr>
          </w:p>
        </w:tc>
        <w:tc>
          <w:tcPr>
            <w:tcW w:w="979" w:type="dxa"/>
            <w:noWrap w:val="0"/>
            <w:vAlign w:val="top"/>
          </w:tcPr>
          <w:p>
            <w:pPr>
              <w:rPr>
                <w:rFonts w:hint="eastAsia" w:ascii="宋体" w:hAnsi="宋体"/>
                <w:color w:val="auto"/>
                <w:highlight w:val="none"/>
              </w:rPr>
            </w:pPr>
          </w:p>
        </w:tc>
        <w:tc>
          <w:tcPr>
            <w:tcW w:w="720" w:type="dxa"/>
            <w:noWrap w:val="0"/>
            <w:vAlign w:val="top"/>
          </w:tcPr>
          <w:p>
            <w:pPr>
              <w:rPr>
                <w:rFonts w:hint="eastAsia" w:ascii="宋体" w:hAnsi="宋体"/>
                <w:color w:val="auto"/>
                <w:highlight w:val="none"/>
              </w:rPr>
            </w:pPr>
          </w:p>
        </w:tc>
        <w:tc>
          <w:tcPr>
            <w:tcW w:w="801" w:type="dxa"/>
            <w:noWrap w:val="0"/>
            <w:vAlign w:val="top"/>
          </w:tcPr>
          <w:p>
            <w:pPr>
              <w:rPr>
                <w:rFonts w:hint="eastAsia" w:ascii="宋体" w:hAnsi="宋体"/>
                <w:color w:val="auto"/>
                <w:highlight w:val="none"/>
              </w:rPr>
            </w:pPr>
          </w:p>
        </w:tc>
        <w:tc>
          <w:tcPr>
            <w:tcW w:w="1100" w:type="dxa"/>
            <w:noWrap w:val="0"/>
            <w:vAlign w:val="top"/>
          </w:tcPr>
          <w:p>
            <w:pPr>
              <w:rPr>
                <w:rFonts w:hint="eastAsia" w:ascii="宋体" w:hAnsi="宋体"/>
                <w:color w:val="auto"/>
                <w:highlight w:val="none"/>
              </w:rPr>
            </w:pPr>
          </w:p>
        </w:tc>
        <w:tc>
          <w:tcPr>
            <w:tcW w:w="1100" w:type="dxa"/>
            <w:noWrap w:val="0"/>
            <w:vAlign w:val="top"/>
          </w:tcPr>
          <w:p>
            <w:pPr>
              <w:rPr>
                <w:rFonts w:hint="eastAsia" w:ascii="宋体" w:hAnsi="宋体"/>
                <w:color w:val="auto"/>
                <w:highlight w:val="none"/>
              </w:rPr>
            </w:pPr>
          </w:p>
        </w:tc>
        <w:tc>
          <w:tcPr>
            <w:tcW w:w="1237" w:type="dxa"/>
            <w:noWrap w:val="0"/>
            <w:vAlign w:val="top"/>
          </w:tcPr>
          <w:p>
            <w:pPr>
              <w:rPr>
                <w:rFonts w:hint="eastAsia" w:ascii="宋体" w:hAnsi="宋体"/>
                <w:color w:val="auto"/>
                <w:highlight w:val="none"/>
              </w:rPr>
            </w:pPr>
          </w:p>
        </w:tc>
        <w:tc>
          <w:tcPr>
            <w:tcW w:w="1210" w:type="dxa"/>
            <w:tcBorders>
              <w:left w:val="single" w:color="auto" w:sz="4" w:space="0"/>
            </w:tcBorders>
            <w:noWrap w:val="0"/>
            <w:vAlign w:val="top"/>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rPr>
                <w:rFonts w:hint="eastAsia" w:ascii="宋体" w:hAnsi="宋体"/>
                <w:color w:val="auto"/>
                <w:highlight w:val="none"/>
              </w:rPr>
            </w:pPr>
          </w:p>
        </w:tc>
        <w:tc>
          <w:tcPr>
            <w:tcW w:w="1500" w:type="dxa"/>
            <w:noWrap w:val="0"/>
            <w:vAlign w:val="top"/>
          </w:tcPr>
          <w:p>
            <w:pPr>
              <w:rPr>
                <w:rFonts w:hint="eastAsia" w:ascii="宋体" w:hAnsi="宋体"/>
                <w:color w:val="auto"/>
                <w:highlight w:val="none"/>
              </w:rPr>
            </w:pPr>
          </w:p>
        </w:tc>
        <w:tc>
          <w:tcPr>
            <w:tcW w:w="979" w:type="dxa"/>
            <w:noWrap w:val="0"/>
            <w:vAlign w:val="top"/>
          </w:tcPr>
          <w:p>
            <w:pPr>
              <w:rPr>
                <w:rFonts w:hint="eastAsia" w:ascii="宋体" w:hAnsi="宋体"/>
                <w:color w:val="auto"/>
                <w:highlight w:val="none"/>
              </w:rPr>
            </w:pPr>
          </w:p>
        </w:tc>
        <w:tc>
          <w:tcPr>
            <w:tcW w:w="720" w:type="dxa"/>
            <w:noWrap w:val="0"/>
            <w:vAlign w:val="top"/>
          </w:tcPr>
          <w:p>
            <w:pPr>
              <w:rPr>
                <w:rFonts w:hint="eastAsia" w:ascii="宋体" w:hAnsi="宋体"/>
                <w:color w:val="auto"/>
                <w:highlight w:val="none"/>
              </w:rPr>
            </w:pPr>
          </w:p>
        </w:tc>
        <w:tc>
          <w:tcPr>
            <w:tcW w:w="801" w:type="dxa"/>
            <w:noWrap w:val="0"/>
            <w:vAlign w:val="top"/>
          </w:tcPr>
          <w:p>
            <w:pPr>
              <w:rPr>
                <w:rFonts w:hint="eastAsia" w:ascii="宋体" w:hAnsi="宋体"/>
                <w:color w:val="auto"/>
                <w:highlight w:val="none"/>
              </w:rPr>
            </w:pPr>
          </w:p>
        </w:tc>
        <w:tc>
          <w:tcPr>
            <w:tcW w:w="1100" w:type="dxa"/>
            <w:noWrap w:val="0"/>
            <w:vAlign w:val="top"/>
          </w:tcPr>
          <w:p>
            <w:pPr>
              <w:rPr>
                <w:rFonts w:hint="eastAsia" w:ascii="宋体" w:hAnsi="宋体"/>
                <w:color w:val="auto"/>
                <w:highlight w:val="none"/>
              </w:rPr>
            </w:pPr>
          </w:p>
        </w:tc>
        <w:tc>
          <w:tcPr>
            <w:tcW w:w="1100" w:type="dxa"/>
            <w:noWrap w:val="0"/>
            <w:vAlign w:val="top"/>
          </w:tcPr>
          <w:p>
            <w:pPr>
              <w:rPr>
                <w:rFonts w:hint="eastAsia" w:ascii="宋体" w:hAnsi="宋体"/>
                <w:color w:val="auto"/>
                <w:highlight w:val="none"/>
              </w:rPr>
            </w:pPr>
          </w:p>
        </w:tc>
        <w:tc>
          <w:tcPr>
            <w:tcW w:w="1237" w:type="dxa"/>
            <w:noWrap w:val="0"/>
            <w:vAlign w:val="top"/>
          </w:tcPr>
          <w:p>
            <w:pPr>
              <w:rPr>
                <w:rFonts w:hint="eastAsia" w:ascii="宋体" w:hAnsi="宋体"/>
                <w:color w:val="auto"/>
                <w:highlight w:val="none"/>
              </w:rPr>
            </w:pPr>
          </w:p>
        </w:tc>
        <w:tc>
          <w:tcPr>
            <w:tcW w:w="1210" w:type="dxa"/>
            <w:tcBorders>
              <w:left w:val="single" w:color="auto" w:sz="4" w:space="0"/>
            </w:tcBorders>
            <w:noWrap w:val="0"/>
            <w:vAlign w:val="top"/>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rPr>
                <w:rFonts w:hint="eastAsia" w:ascii="宋体" w:hAnsi="宋体"/>
                <w:color w:val="auto"/>
                <w:highlight w:val="none"/>
              </w:rPr>
            </w:pPr>
          </w:p>
        </w:tc>
        <w:tc>
          <w:tcPr>
            <w:tcW w:w="1500" w:type="dxa"/>
            <w:noWrap w:val="0"/>
            <w:vAlign w:val="top"/>
          </w:tcPr>
          <w:p>
            <w:pPr>
              <w:rPr>
                <w:rFonts w:hint="eastAsia" w:ascii="宋体" w:hAnsi="宋体"/>
                <w:color w:val="auto"/>
                <w:highlight w:val="none"/>
              </w:rPr>
            </w:pPr>
          </w:p>
        </w:tc>
        <w:tc>
          <w:tcPr>
            <w:tcW w:w="979" w:type="dxa"/>
            <w:noWrap w:val="0"/>
            <w:vAlign w:val="top"/>
          </w:tcPr>
          <w:p>
            <w:pPr>
              <w:rPr>
                <w:rFonts w:hint="eastAsia" w:ascii="宋体" w:hAnsi="宋体"/>
                <w:color w:val="auto"/>
                <w:highlight w:val="none"/>
              </w:rPr>
            </w:pPr>
          </w:p>
        </w:tc>
        <w:tc>
          <w:tcPr>
            <w:tcW w:w="720" w:type="dxa"/>
            <w:noWrap w:val="0"/>
            <w:vAlign w:val="top"/>
          </w:tcPr>
          <w:p>
            <w:pPr>
              <w:rPr>
                <w:rFonts w:hint="eastAsia" w:ascii="宋体" w:hAnsi="宋体"/>
                <w:color w:val="auto"/>
                <w:highlight w:val="none"/>
              </w:rPr>
            </w:pPr>
          </w:p>
        </w:tc>
        <w:tc>
          <w:tcPr>
            <w:tcW w:w="801" w:type="dxa"/>
            <w:noWrap w:val="0"/>
            <w:vAlign w:val="top"/>
          </w:tcPr>
          <w:p>
            <w:pPr>
              <w:rPr>
                <w:rFonts w:hint="eastAsia" w:ascii="宋体" w:hAnsi="宋体"/>
                <w:color w:val="auto"/>
                <w:highlight w:val="none"/>
              </w:rPr>
            </w:pPr>
          </w:p>
        </w:tc>
        <w:tc>
          <w:tcPr>
            <w:tcW w:w="1100" w:type="dxa"/>
            <w:noWrap w:val="0"/>
            <w:vAlign w:val="top"/>
          </w:tcPr>
          <w:p>
            <w:pPr>
              <w:rPr>
                <w:rFonts w:hint="eastAsia" w:ascii="宋体" w:hAnsi="宋体"/>
                <w:color w:val="auto"/>
                <w:highlight w:val="none"/>
              </w:rPr>
            </w:pPr>
          </w:p>
        </w:tc>
        <w:tc>
          <w:tcPr>
            <w:tcW w:w="1100" w:type="dxa"/>
            <w:noWrap w:val="0"/>
            <w:vAlign w:val="top"/>
          </w:tcPr>
          <w:p>
            <w:pPr>
              <w:rPr>
                <w:rFonts w:hint="eastAsia" w:ascii="宋体" w:hAnsi="宋体"/>
                <w:color w:val="auto"/>
                <w:highlight w:val="none"/>
              </w:rPr>
            </w:pPr>
          </w:p>
        </w:tc>
        <w:tc>
          <w:tcPr>
            <w:tcW w:w="1237" w:type="dxa"/>
            <w:noWrap w:val="0"/>
            <w:vAlign w:val="top"/>
          </w:tcPr>
          <w:p>
            <w:pPr>
              <w:rPr>
                <w:rFonts w:hint="eastAsia" w:ascii="宋体" w:hAnsi="宋体"/>
                <w:color w:val="auto"/>
                <w:highlight w:val="none"/>
              </w:rPr>
            </w:pPr>
          </w:p>
        </w:tc>
        <w:tc>
          <w:tcPr>
            <w:tcW w:w="1210" w:type="dxa"/>
            <w:tcBorders>
              <w:left w:val="single" w:color="auto" w:sz="4" w:space="0"/>
            </w:tcBorders>
            <w:noWrap w:val="0"/>
            <w:vAlign w:val="top"/>
          </w:tcPr>
          <w:p>
            <w:pP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8" w:type="dxa"/>
            <w:noWrap w:val="0"/>
            <w:vAlign w:val="top"/>
          </w:tcPr>
          <w:p>
            <w:pPr>
              <w:outlineLvl w:val="0"/>
              <w:rPr>
                <w:rFonts w:hint="eastAsia" w:ascii="宋体" w:hAnsi="宋体" w:eastAsia="宋体" w:cs="宋体"/>
                <w:b/>
                <w:bCs/>
                <w:color w:val="auto"/>
                <w:sz w:val="24"/>
                <w:szCs w:val="22"/>
                <w:highlight w:val="none"/>
              </w:rPr>
            </w:pPr>
          </w:p>
        </w:tc>
        <w:tc>
          <w:tcPr>
            <w:tcW w:w="1500" w:type="dxa"/>
            <w:noWrap w:val="0"/>
            <w:vAlign w:val="top"/>
          </w:tcPr>
          <w:p>
            <w:pPr>
              <w:outlineLvl w:val="0"/>
              <w:rPr>
                <w:rFonts w:hint="eastAsia" w:ascii="宋体" w:hAnsi="宋体" w:eastAsia="宋体" w:cs="宋体"/>
                <w:b/>
                <w:bCs/>
                <w:color w:val="auto"/>
                <w:sz w:val="24"/>
                <w:szCs w:val="22"/>
                <w:highlight w:val="none"/>
              </w:rPr>
            </w:pPr>
          </w:p>
        </w:tc>
        <w:tc>
          <w:tcPr>
            <w:tcW w:w="979" w:type="dxa"/>
            <w:noWrap w:val="0"/>
            <w:vAlign w:val="top"/>
          </w:tcPr>
          <w:p>
            <w:pPr>
              <w:outlineLvl w:val="0"/>
              <w:rPr>
                <w:rFonts w:hint="eastAsia" w:ascii="宋体" w:hAnsi="宋体" w:eastAsia="宋体" w:cs="宋体"/>
                <w:b/>
                <w:bCs/>
                <w:color w:val="auto"/>
                <w:sz w:val="24"/>
                <w:szCs w:val="22"/>
                <w:highlight w:val="none"/>
              </w:rPr>
            </w:pPr>
          </w:p>
        </w:tc>
        <w:tc>
          <w:tcPr>
            <w:tcW w:w="720" w:type="dxa"/>
            <w:noWrap w:val="0"/>
            <w:vAlign w:val="top"/>
          </w:tcPr>
          <w:p>
            <w:pPr>
              <w:outlineLvl w:val="0"/>
              <w:rPr>
                <w:rFonts w:hint="eastAsia" w:ascii="宋体" w:hAnsi="宋体" w:eastAsia="宋体" w:cs="宋体"/>
                <w:b/>
                <w:bCs/>
                <w:color w:val="auto"/>
                <w:sz w:val="24"/>
                <w:szCs w:val="22"/>
                <w:highlight w:val="none"/>
              </w:rPr>
            </w:pPr>
          </w:p>
        </w:tc>
        <w:tc>
          <w:tcPr>
            <w:tcW w:w="801" w:type="dxa"/>
            <w:noWrap w:val="0"/>
            <w:vAlign w:val="top"/>
          </w:tcPr>
          <w:p>
            <w:pPr>
              <w:outlineLvl w:val="0"/>
              <w:rPr>
                <w:rFonts w:hint="eastAsia" w:ascii="宋体" w:hAnsi="宋体" w:eastAsia="宋体" w:cs="宋体"/>
                <w:b/>
                <w:bCs/>
                <w:color w:val="auto"/>
                <w:sz w:val="24"/>
                <w:szCs w:val="22"/>
                <w:highlight w:val="none"/>
              </w:rPr>
            </w:pPr>
          </w:p>
        </w:tc>
        <w:tc>
          <w:tcPr>
            <w:tcW w:w="1100" w:type="dxa"/>
            <w:noWrap w:val="0"/>
            <w:vAlign w:val="top"/>
          </w:tcPr>
          <w:p>
            <w:pPr>
              <w:outlineLvl w:val="0"/>
              <w:rPr>
                <w:rFonts w:hint="eastAsia" w:ascii="宋体" w:hAnsi="宋体" w:eastAsia="宋体" w:cs="宋体"/>
                <w:b/>
                <w:bCs/>
                <w:color w:val="auto"/>
                <w:sz w:val="24"/>
                <w:szCs w:val="22"/>
                <w:highlight w:val="none"/>
              </w:rPr>
            </w:pPr>
          </w:p>
        </w:tc>
        <w:tc>
          <w:tcPr>
            <w:tcW w:w="1100" w:type="dxa"/>
            <w:noWrap w:val="0"/>
            <w:vAlign w:val="top"/>
          </w:tcPr>
          <w:p>
            <w:pPr>
              <w:outlineLvl w:val="0"/>
              <w:rPr>
                <w:rFonts w:hint="eastAsia" w:ascii="宋体" w:hAnsi="宋体" w:eastAsia="宋体" w:cs="宋体"/>
                <w:b/>
                <w:bCs/>
                <w:color w:val="auto"/>
                <w:sz w:val="24"/>
                <w:szCs w:val="22"/>
                <w:highlight w:val="none"/>
              </w:rPr>
            </w:pPr>
          </w:p>
        </w:tc>
        <w:tc>
          <w:tcPr>
            <w:tcW w:w="1237" w:type="dxa"/>
            <w:noWrap w:val="0"/>
            <w:vAlign w:val="top"/>
          </w:tcPr>
          <w:p>
            <w:pPr>
              <w:outlineLvl w:val="0"/>
              <w:rPr>
                <w:rFonts w:hint="eastAsia" w:ascii="宋体" w:hAnsi="宋体" w:eastAsia="宋体" w:cs="宋体"/>
                <w:b/>
                <w:bCs/>
                <w:color w:val="auto"/>
                <w:sz w:val="24"/>
                <w:szCs w:val="22"/>
                <w:highlight w:val="none"/>
              </w:rPr>
            </w:pPr>
          </w:p>
        </w:tc>
        <w:tc>
          <w:tcPr>
            <w:tcW w:w="1210" w:type="dxa"/>
            <w:tcBorders>
              <w:left w:val="single" w:color="auto" w:sz="4" w:space="0"/>
            </w:tcBorders>
            <w:noWrap w:val="0"/>
            <w:vAlign w:val="top"/>
          </w:tcPr>
          <w:p>
            <w:pPr>
              <w:outlineLvl w:val="0"/>
              <w:rPr>
                <w:rFonts w:hint="eastAsia" w:ascii="宋体" w:hAnsi="宋体" w:eastAsia="宋体" w:cs="宋体"/>
                <w:b/>
                <w:bCs/>
                <w:color w:val="auto"/>
                <w:sz w:val="24"/>
                <w:szCs w:val="22"/>
                <w:highlight w:val="none"/>
              </w:rPr>
            </w:pPr>
          </w:p>
        </w:tc>
      </w:tr>
    </w:tbl>
    <w:p>
      <w:pPr>
        <w:pStyle w:val="7"/>
        <w:adjustRightInd w:val="0"/>
        <w:snapToGrid w:val="0"/>
        <w:spacing w:before="0" w:after="0" w:line="360" w:lineRule="auto"/>
        <w:jc w:val="left"/>
        <w:rPr>
          <w:rFonts w:hint="eastAsia"/>
          <w:b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日 </w:t>
      </w:r>
      <w:r>
        <w:rPr>
          <w:rFonts w:hint="eastAsia" w:ascii="宋体" w:hAnsi="宋体" w:eastAsia="宋体" w:cs="宋体"/>
          <w:b/>
          <w:bCs/>
          <w:color w:val="auto"/>
          <w:sz w:val="24"/>
          <w:szCs w:val="22"/>
          <w:highlight w:val="none"/>
          <w:lang w:val="en-US" w:eastAsia="zh-CN"/>
        </w:rPr>
        <w:t xml:space="preserve">  </w:t>
      </w:r>
      <w:r>
        <w:rPr>
          <w:rFonts w:hint="eastAsia" w:ascii="宋体" w:hAnsi="宋体" w:eastAsia="宋体" w:cs="宋体"/>
          <w:b/>
          <w:bCs/>
          <w:color w:val="auto"/>
          <w:sz w:val="24"/>
          <w:szCs w:val="22"/>
          <w:highlight w:val="none"/>
        </w:rPr>
        <w:t xml:space="preserve"> 期：</w:t>
      </w:r>
    </w:p>
    <w:p>
      <w:pPr>
        <w:jc w:val="left"/>
        <w:outlineLvl w:val="0"/>
        <w:rPr>
          <w:rFonts w:hint="eastAsia" w:ascii="黑体" w:hAnsi="宋体" w:eastAsia="黑体" w:cs="黑体"/>
          <w:sz w:val="24"/>
          <w:szCs w:val="24"/>
          <w:highlight w:val="none"/>
        </w:rPr>
      </w:pPr>
    </w:p>
    <w:p>
      <w:pPr>
        <w:jc w:val="left"/>
        <w:outlineLvl w:val="0"/>
        <w:rPr>
          <w:rFonts w:hint="eastAsia" w:ascii="黑体" w:hAnsi="宋体" w:eastAsia="黑体" w:cs="黑体"/>
          <w:sz w:val="24"/>
          <w:szCs w:val="24"/>
          <w:highlight w:val="none"/>
        </w:rPr>
      </w:pPr>
    </w:p>
    <w:p>
      <w:pPr>
        <w:jc w:val="left"/>
        <w:outlineLvl w:val="0"/>
        <w:rPr>
          <w:rFonts w:hint="eastAsia" w:ascii="黑体" w:hAnsi="宋体" w:eastAsia="黑体" w:cs="黑体"/>
          <w:sz w:val="24"/>
          <w:szCs w:val="24"/>
          <w:highlight w:val="none"/>
        </w:rPr>
      </w:pPr>
    </w:p>
    <w:p>
      <w:pPr>
        <w:jc w:val="left"/>
        <w:outlineLvl w:val="0"/>
        <w:rPr>
          <w:rFonts w:hint="eastAsia" w:ascii="黑体" w:hAnsi="宋体" w:eastAsia="黑体" w:cs="黑体"/>
          <w:sz w:val="24"/>
          <w:szCs w:val="24"/>
          <w:highlight w:val="none"/>
        </w:rPr>
      </w:pPr>
    </w:p>
    <w:p>
      <w:pPr>
        <w:jc w:val="left"/>
        <w:outlineLvl w:val="0"/>
        <w:rPr>
          <w:rFonts w:hint="eastAsia" w:ascii="黑体" w:hAnsi="宋体" w:eastAsia="黑体" w:cs="黑体"/>
          <w:sz w:val="24"/>
          <w:szCs w:val="24"/>
          <w:highlight w:val="none"/>
        </w:rPr>
      </w:pPr>
    </w:p>
    <w:p>
      <w:pPr>
        <w:jc w:val="left"/>
        <w:outlineLvl w:val="0"/>
        <w:rPr>
          <w:rFonts w:hint="eastAsia" w:ascii="黑体" w:hAnsi="宋体" w:eastAsia="黑体" w:cs="黑体"/>
          <w:sz w:val="24"/>
          <w:szCs w:val="24"/>
          <w:highlight w:val="none"/>
        </w:rPr>
      </w:pPr>
    </w:p>
    <w:p>
      <w:pPr>
        <w:jc w:val="left"/>
        <w:outlineLvl w:val="0"/>
        <w:rPr>
          <w:rFonts w:hint="eastAsia" w:ascii="黑体" w:hAnsi="宋体" w:eastAsia="黑体" w:cs="黑体"/>
          <w:sz w:val="24"/>
          <w:szCs w:val="24"/>
          <w:highlight w:val="none"/>
        </w:rPr>
      </w:pPr>
    </w:p>
    <w:p>
      <w:pPr>
        <w:jc w:val="left"/>
        <w:outlineLvl w:val="0"/>
        <w:rPr>
          <w:rFonts w:hint="eastAsia" w:ascii="黑体" w:hAnsi="宋体" w:eastAsia="黑体" w:cs="黑体"/>
          <w:sz w:val="24"/>
          <w:szCs w:val="24"/>
          <w:highlight w:val="none"/>
        </w:rPr>
      </w:pPr>
    </w:p>
    <w:p>
      <w:pPr>
        <w:jc w:val="left"/>
        <w:outlineLvl w:val="0"/>
        <w:rPr>
          <w:rFonts w:hint="eastAsia" w:ascii="黑体" w:hAnsi="宋体" w:eastAsia="黑体" w:cs="黑体"/>
          <w:sz w:val="24"/>
          <w:szCs w:val="24"/>
          <w:highlight w:val="none"/>
        </w:rPr>
      </w:pPr>
    </w:p>
    <w:p>
      <w:pPr>
        <w:jc w:val="left"/>
        <w:outlineLvl w:val="0"/>
        <w:rPr>
          <w:rFonts w:hint="eastAsia" w:ascii="黑体" w:hAnsi="宋体" w:eastAsia="黑体" w:cs="黑体"/>
          <w:sz w:val="24"/>
          <w:szCs w:val="24"/>
          <w:highlight w:val="none"/>
        </w:rPr>
      </w:pPr>
    </w:p>
    <w:p>
      <w:pPr>
        <w:jc w:val="left"/>
        <w:outlineLvl w:val="0"/>
        <w:rPr>
          <w:rFonts w:hint="eastAsia" w:ascii="黑体" w:hAnsi="宋体" w:eastAsia="黑体" w:cs="黑体"/>
          <w:sz w:val="24"/>
          <w:szCs w:val="24"/>
          <w:highlight w:val="none"/>
        </w:rPr>
      </w:pPr>
    </w:p>
    <w:p>
      <w:pPr>
        <w:jc w:val="left"/>
        <w:outlineLvl w:val="0"/>
        <w:rPr>
          <w:rFonts w:hint="eastAsia" w:ascii="黑体" w:hAnsi="宋体" w:eastAsia="黑体" w:cs="黑体"/>
          <w:sz w:val="24"/>
          <w:szCs w:val="24"/>
          <w:highlight w:val="none"/>
        </w:rPr>
      </w:pPr>
    </w:p>
    <w:p>
      <w:pPr>
        <w:jc w:val="left"/>
        <w:outlineLvl w:val="0"/>
        <w:rPr>
          <w:rFonts w:hint="eastAsia" w:ascii="黑体" w:hAnsi="宋体" w:eastAsia="黑体" w:cs="黑体"/>
          <w:sz w:val="24"/>
          <w:szCs w:val="24"/>
          <w:highlight w:val="none"/>
        </w:rPr>
      </w:pPr>
    </w:p>
    <w:p>
      <w:pPr>
        <w:jc w:val="left"/>
        <w:outlineLvl w:val="0"/>
        <w:rPr>
          <w:rFonts w:hint="eastAsia" w:ascii="黑体" w:hAnsi="宋体" w:eastAsia="黑体" w:cs="黑体"/>
          <w:sz w:val="24"/>
          <w:szCs w:val="24"/>
          <w:highlight w:val="none"/>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（九）投标供应商简介和经营情况说明表（格式）</w:t>
      </w:r>
    </w:p>
    <w:p>
      <w:pPr>
        <w:snapToGrid w:val="0"/>
        <w:spacing w:line="360" w:lineRule="auto"/>
        <w:jc w:val="center"/>
        <w:outlineLvl w:val="0"/>
        <w:rPr>
          <w:rFonts w:ascii="黑体" w:eastAsia="黑体"/>
          <w:sz w:val="28"/>
          <w:szCs w:val="28"/>
          <w:highlight w:val="none"/>
        </w:rPr>
      </w:pPr>
    </w:p>
    <w:p>
      <w:pPr>
        <w:spacing w:line="360" w:lineRule="auto"/>
        <w:ind w:firstLine="2249" w:firstLineChars="800"/>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投标供应商简介和经营情况说明表</w:t>
      </w:r>
    </w:p>
    <w:p>
      <w:pPr>
        <w:spacing w:line="460" w:lineRule="exact"/>
        <w:jc w:val="center"/>
        <w:rPr>
          <w:rFonts w:ascii="宋体"/>
          <w:sz w:val="24"/>
          <w:szCs w:val="24"/>
          <w:highlight w:val="none"/>
        </w:rPr>
      </w:pPr>
      <w:r>
        <w:rPr>
          <w:rFonts w:hint="eastAsia" w:ascii="宋体" w:hAnsi="宋体" w:cs="宋体"/>
          <w:sz w:val="24"/>
          <w:szCs w:val="24"/>
          <w:highlight w:val="none"/>
        </w:rPr>
        <w:t>（内容写不完的栏目可相应扩展）</w:t>
      </w:r>
    </w:p>
    <w:p>
      <w:pPr>
        <w:pStyle w:val="9"/>
        <w:overflowPunct w:val="0"/>
        <w:ind w:firstLine="0"/>
        <w:rPr>
          <w:rFonts w:ascii="宋体"/>
          <w:b/>
          <w:bCs/>
          <w:sz w:val="24"/>
          <w:szCs w:val="24"/>
          <w:highlight w:val="none"/>
        </w:rPr>
      </w:pPr>
      <w:r>
        <w:rPr>
          <w:rFonts w:hint="eastAsia" w:ascii="宋体" w:hAnsi="宋体" w:cs="宋体"/>
          <w:b/>
          <w:bCs/>
          <w:sz w:val="24"/>
          <w:szCs w:val="24"/>
          <w:highlight w:val="none"/>
        </w:rPr>
        <w:t>投标供应商（盖章）</w:t>
      </w:r>
    </w:p>
    <w:tbl>
      <w:tblPr>
        <w:tblStyle w:val="22"/>
        <w:tblW w:w="9127" w:type="dxa"/>
        <w:tblInd w:w="2"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110"/>
        <w:gridCol w:w="149"/>
        <w:gridCol w:w="1757"/>
        <w:gridCol w:w="260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hint="eastAsia" w:ascii="宋体" w:hAnsi="宋体" w:cs="宋体"/>
                <w:sz w:val="24"/>
                <w:szCs w:val="24"/>
                <w:highlight w:val="none"/>
                <w:lang w:val="en-US" w:eastAsia="zh-CN"/>
              </w:rPr>
              <w:t>法定代表人</w:t>
            </w:r>
          </w:p>
        </w:tc>
        <w:tc>
          <w:tcPr>
            <w:tcW w:w="2259" w:type="dxa"/>
            <w:gridSpan w:val="2"/>
            <w:tcBorders>
              <w:top w:val="single" w:color="auto" w:sz="6" w:space="0"/>
              <w:left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p>
        </w:tc>
        <w:tc>
          <w:tcPr>
            <w:tcW w:w="1757" w:type="dxa"/>
            <w:tcBorders>
              <w:top w:val="single" w:color="auto" w:sz="6" w:space="0"/>
              <w:left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hint="eastAsia" w:ascii="宋体" w:hAnsi="宋体" w:cs="宋体"/>
                <w:sz w:val="24"/>
                <w:szCs w:val="24"/>
                <w:highlight w:val="none"/>
                <w:lang w:val="en-US" w:eastAsia="zh-CN"/>
              </w:rPr>
              <w:t>成立日期</w:t>
            </w:r>
          </w:p>
        </w:tc>
        <w:tc>
          <w:tcPr>
            <w:tcW w:w="2601" w:type="dxa"/>
            <w:tcBorders>
              <w:top w:val="single" w:color="auto" w:sz="6" w:space="0"/>
              <w:left w:val="single" w:color="auto" w:sz="6" w:space="0"/>
              <w:bottom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hint="eastAsia" w:ascii="宋体" w:hAnsi="宋体" w:cs="宋体"/>
                <w:sz w:val="24"/>
                <w:szCs w:val="24"/>
                <w:highlight w:val="none"/>
                <w:lang w:val="en-US" w:eastAsia="zh-CN"/>
              </w:rPr>
              <w:t>企业地址</w:t>
            </w:r>
          </w:p>
        </w:tc>
        <w:tc>
          <w:tcPr>
            <w:tcW w:w="2259" w:type="dxa"/>
            <w:gridSpan w:val="2"/>
            <w:tcBorders>
              <w:top w:val="single" w:color="auto" w:sz="6" w:space="0"/>
              <w:left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p>
        </w:tc>
        <w:tc>
          <w:tcPr>
            <w:tcW w:w="1757" w:type="dxa"/>
            <w:tcBorders>
              <w:top w:val="single" w:color="auto" w:sz="6" w:space="0"/>
              <w:left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hint="eastAsia" w:ascii="宋体" w:hAnsi="宋体" w:cs="宋体"/>
                <w:sz w:val="24"/>
                <w:szCs w:val="24"/>
                <w:highlight w:val="none"/>
                <w:lang w:val="en-US" w:eastAsia="zh-CN"/>
              </w:rPr>
              <w:t>注册资本</w:t>
            </w:r>
          </w:p>
        </w:tc>
        <w:tc>
          <w:tcPr>
            <w:tcW w:w="2601" w:type="dxa"/>
            <w:tcBorders>
              <w:top w:val="single" w:color="auto" w:sz="6" w:space="0"/>
              <w:left w:val="single" w:color="auto" w:sz="6" w:space="0"/>
              <w:bottom w:val="single" w:color="auto" w:sz="6" w:space="0"/>
            </w:tcBorders>
            <w:noWrap w:val="0"/>
            <w:vAlign w:val="top"/>
          </w:tcPr>
          <w:p>
            <w:pPr>
              <w:pStyle w:val="9"/>
              <w:overflowPunct w:val="0"/>
              <w:spacing w:line="400" w:lineRule="exact"/>
              <w:ind w:firstLine="840" w:firstLineChars="350"/>
              <w:rPr>
                <w:rFonts w:ascii="宋体"/>
                <w:sz w:val="24"/>
                <w:szCs w:val="24"/>
                <w:highlight w:val="none"/>
                <w:lang w:val="en-US" w:eastAsia="zh-CN"/>
              </w:rPr>
            </w:pPr>
            <w:r>
              <w:rPr>
                <w:rFonts w:hint="eastAsia" w:ascii="宋体" w:hAnsi="宋体" w:cs="宋体"/>
                <w:sz w:val="24"/>
                <w:szCs w:val="24"/>
                <w:highlight w:val="none"/>
                <w:lang w:val="en-US" w:eastAsia="zh-CN"/>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hint="eastAsia" w:ascii="宋体" w:hAnsi="宋体" w:cs="宋体"/>
                <w:sz w:val="24"/>
                <w:szCs w:val="24"/>
                <w:highlight w:val="none"/>
                <w:lang w:val="en-US" w:eastAsia="zh-CN"/>
              </w:rPr>
              <w:t>经营范围</w:t>
            </w:r>
          </w:p>
        </w:tc>
        <w:tc>
          <w:tcPr>
            <w:tcW w:w="6617" w:type="dxa"/>
            <w:gridSpan w:val="4"/>
            <w:tcBorders>
              <w:top w:val="single" w:color="auto" w:sz="6" w:space="0"/>
              <w:left w:val="single" w:color="auto" w:sz="6" w:space="0"/>
              <w:bottom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hint="eastAsia" w:ascii="宋体" w:hAnsi="宋体" w:cs="宋体"/>
                <w:sz w:val="24"/>
                <w:szCs w:val="24"/>
                <w:highlight w:val="none"/>
                <w:lang w:val="en-US" w:eastAsia="zh-CN"/>
              </w:rPr>
              <w:t>职工人数</w:t>
            </w:r>
          </w:p>
        </w:tc>
        <w:tc>
          <w:tcPr>
            <w:tcW w:w="2110" w:type="dxa"/>
            <w:tcBorders>
              <w:top w:val="single" w:color="auto" w:sz="6" w:space="0"/>
              <w:left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p>
        </w:tc>
        <w:tc>
          <w:tcPr>
            <w:tcW w:w="4507" w:type="dxa"/>
            <w:gridSpan w:val="3"/>
            <w:tcBorders>
              <w:top w:val="single" w:color="auto" w:sz="6" w:space="0"/>
              <w:left w:val="single" w:color="auto" w:sz="6" w:space="0"/>
              <w:bottom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hint="eastAsia" w:ascii="宋体" w:hAnsi="宋体" w:cs="宋体"/>
                <w:sz w:val="24"/>
                <w:szCs w:val="24"/>
                <w:highlight w:val="none"/>
                <w:lang w:val="en-US" w:eastAsia="zh-CN"/>
              </w:rPr>
              <w:t>其中：</w:t>
            </w:r>
          </w:p>
          <w:p>
            <w:pPr>
              <w:pStyle w:val="9"/>
              <w:overflowPunct w:val="0"/>
              <w:spacing w:line="400" w:lineRule="exact"/>
              <w:ind w:left="959" w:leftChars="228" w:hanging="480" w:hangingChars="200"/>
              <w:rPr>
                <w:rFonts w:ascii="宋体"/>
                <w:sz w:val="24"/>
                <w:szCs w:val="24"/>
                <w:highlight w:val="none"/>
                <w:lang w:val="en-US" w:eastAsia="zh-CN"/>
              </w:rPr>
            </w:pPr>
            <w:r>
              <w:rPr>
                <w:rFonts w:hint="eastAsia" w:ascii="宋体" w:hAnsi="宋体" w:cs="宋体"/>
                <w:sz w:val="24"/>
                <w:szCs w:val="24"/>
                <w:highlight w:val="none"/>
                <w:lang w:val="en-US" w:eastAsia="zh-CN"/>
              </w:rPr>
              <w:t>中级职称</w:t>
            </w:r>
            <w:r>
              <w:rPr>
                <w:rFonts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人数、</w:t>
            </w:r>
          </w:p>
          <w:p>
            <w:pPr>
              <w:pStyle w:val="9"/>
              <w:overflowPunct w:val="0"/>
              <w:spacing w:line="400" w:lineRule="exact"/>
              <w:ind w:left="959" w:leftChars="228" w:hanging="480" w:hangingChars="200"/>
              <w:rPr>
                <w:rFonts w:ascii="宋体"/>
                <w:sz w:val="24"/>
                <w:szCs w:val="24"/>
                <w:highlight w:val="none"/>
                <w:lang w:val="en-US" w:eastAsia="zh-CN"/>
              </w:rPr>
            </w:pPr>
            <w:r>
              <w:rPr>
                <w:rFonts w:hint="eastAsia" w:ascii="宋体" w:hAnsi="宋体" w:cs="宋体"/>
                <w:sz w:val="24"/>
                <w:szCs w:val="24"/>
                <w:highlight w:val="none"/>
                <w:lang w:val="en-US" w:eastAsia="zh-CN"/>
              </w:rPr>
              <w:t>高级职称</w:t>
            </w:r>
            <w:r>
              <w:rPr>
                <w:rFonts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人数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2510" w:type="dxa"/>
            <w:tcBorders>
              <w:top w:val="single" w:color="auto" w:sz="6" w:space="0"/>
              <w:bottom w:val="single" w:color="auto" w:sz="6" w:space="0"/>
              <w:right w:val="single" w:color="auto" w:sz="6" w:space="0"/>
            </w:tcBorders>
            <w:noWrap w:val="0"/>
            <w:vAlign w:val="top"/>
          </w:tcPr>
          <w:p>
            <w:pPr>
              <w:pStyle w:val="9"/>
              <w:overflowPunct w:val="0"/>
              <w:spacing w:line="400" w:lineRule="exact"/>
              <w:ind w:firstLine="0"/>
              <w:rPr>
                <w:rFonts w:ascii="宋体"/>
                <w:sz w:val="24"/>
                <w:szCs w:val="24"/>
                <w:highlight w:val="none"/>
                <w:lang w:val="en-US" w:eastAsia="zh-CN"/>
              </w:rPr>
            </w:pPr>
            <w:r>
              <w:rPr>
                <w:rFonts w:ascii="宋体" w:hAnsi="宋体" w:cs="宋体"/>
                <w:sz w:val="24"/>
                <w:szCs w:val="24"/>
                <w:highlight w:val="none"/>
                <w:lang w:val="en-US" w:eastAsia="zh-CN"/>
              </w:rPr>
              <w:t>202</w:t>
            </w:r>
            <w:r>
              <w:rPr>
                <w:rFonts w:hint="eastAsia" w:ascii="宋体" w:hAnsi="宋体" w:cs="宋体"/>
                <w:sz w:val="24"/>
                <w:szCs w:val="24"/>
                <w:highlight w:val="none"/>
                <w:lang w:val="en-US" w:eastAsia="zh-CN"/>
              </w:rPr>
              <w:t>2年</w:t>
            </w:r>
            <w:r>
              <w:rPr>
                <w:rFonts w:ascii="宋体" w:hAnsi="宋体" w:cs="宋体"/>
                <w:sz w:val="24"/>
                <w:szCs w:val="24"/>
                <w:highlight w:val="none"/>
                <w:lang w:val="en-US" w:eastAsia="zh-CN"/>
              </w:rPr>
              <w:t>12</w:t>
            </w:r>
            <w:r>
              <w:rPr>
                <w:rFonts w:hint="eastAsia" w:ascii="宋体" w:hAnsi="宋体" w:cs="宋体"/>
                <w:sz w:val="24"/>
                <w:szCs w:val="24"/>
                <w:highlight w:val="none"/>
                <w:lang w:val="en-US" w:eastAsia="zh-CN"/>
              </w:rPr>
              <w:t>月资产总额</w:t>
            </w:r>
          </w:p>
        </w:tc>
        <w:tc>
          <w:tcPr>
            <w:tcW w:w="2110" w:type="dxa"/>
            <w:tcBorders>
              <w:top w:val="single" w:color="auto" w:sz="6" w:space="0"/>
              <w:left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ascii="宋体" w:hAnsi="宋体" w:cs="宋体"/>
                <w:sz w:val="24"/>
                <w:szCs w:val="24"/>
                <w:highlight w:val="none"/>
                <w:lang w:val="en-US" w:eastAsia="zh-CN"/>
              </w:rPr>
              <w:t xml:space="preserve">       </w:t>
            </w:r>
            <w:r>
              <w:rPr>
                <w:rFonts w:hint="eastAsia" w:ascii="宋体" w:hAnsi="宋体" w:cs="宋体"/>
                <w:sz w:val="24"/>
                <w:szCs w:val="24"/>
                <w:highlight w:val="none"/>
                <w:lang w:val="en-US" w:eastAsia="zh-CN"/>
              </w:rPr>
              <w:t>万元</w:t>
            </w:r>
          </w:p>
        </w:tc>
        <w:tc>
          <w:tcPr>
            <w:tcW w:w="1906" w:type="dxa"/>
            <w:gridSpan w:val="2"/>
            <w:tcBorders>
              <w:top w:val="single" w:color="auto" w:sz="6" w:space="0"/>
              <w:left w:val="single" w:color="auto" w:sz="6" w:space="0"/>
              <w:bottom w:val="single" w:color="auto" w:sz="6" w:space="0"/>
              <w:right w:val="single" w:color="auto" w:sz="6" w:space="0"/>
            </w:tcBorders>
            <w:noWrap w:val="0"/>
            <w:vAlign w:val="top"/>
          </w:tcPr>
          <w:p>
            <w:pPr>
              <w:pStyle w:val="9"/>
              <w:overflowPunct w:val="0"/>
              <w:spacing w:line="400" w:lineRule="exact"/>
              <w:ind w:firstLine="0"/>
              <w:rPr>
                <w:rFonts w:ascii="宋体"/>
                <w:sz w:val="24"/>
                <w:szCs w:val="24"/>
                <w:highlight w:val="none"/>
                <w:lang w:val="en-US" w:eastAsia="zh-CN"/>
              </w:rPr>
            </w:pPr>
            <w:r>
              <w:rPr>
                <w:rFonts w:hint="eastAsia" w:ascii="宋体" w:hAnsi="宋体" w:cs="宋体"/>
                <w:sz w:val="24"/>
                <w:szCs w:val="24"/>
                <w:highlight w:val="none"/>
                <w:lang w:val="en-US" w:eastAsia="zh-CN"/>
              </w:rPr>
              <w:t>净资产</w:t>
            </w:r>
          </w:p>
        </w:tc>
        <w:tc>
          <w:tcPr>
            <w:tcW w:w="2601" w:type="dxa"/>
            <w:tcBorders>
              <w:top w:val="single" w:color="auto" w:sz="6" w:space="0"/>
              <w:left w:val="single" w:color="auto" w:sz="6" w:space="0"/>
              <w:bottom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ascii="宋体" w:hAnsi="宋体" w:cs="宋体"/>
                <w:sz w:val="24"/>
                <w:szCs w:val="24"/>
                <w:highlight w:val="none"/>
                <w:lang w:val="en-US" w:eastAsia="zh-CN"/>
              </w:rPr>
              <w:t xml:space="preserve">         </w:t>
            </w:r>
            <w:r>
              <w:rPr>
                <w:rFonts w:hint="eastAsia" w:ascii="宋体" w:hAnsi="宋体" w:cs="宋体"/>
                <w:sz w:val="24"/>
                <w:szCs w:val="24"/>
                <w:highlight w:val="none"/>
                <w:lang w:val="en-US" w:eastAsia="zh-CN"/>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bottom w:val="single" w:color="auto" w:sz="6" w:space="0"/>
              <w:right w:val="single" w:color="auto" w:sz="6" w:space="0"/>
            </w:tcBorders>
            <w:noWrap w:val="0"/>
            <w:vAlign w:val="top"/>
          </w:tcPr>
          <w:p>
            <w:pPr>
              <w:pStyle w:val="9"/>
              <w:overflowPunct w:val="0"/>
              <w:spacing w:line="400" w:lineRule="exact"/>
              <w:ind w:firstLine="0"/>
              <w:rPr>
                <w:rFonts w:ascii="宋体"/>
                <w:sz w:val="24"/>
                <w:szCs w:val="24"/>
                <w:highlight w:val="none"/>
                <w:lang w:val="en-US" w:eastAsia="zh-CN"/>
              </w:rPr>
            </w:pPr>
            <w:r>
              <w:rPr>
                <w:rFonts w:ascii="宋体" w:hAnsi="宋体" w:cs="宋体"/>
                <w:sz w:val="24"/>
                <w:szCs w:val="24"/>
                <w:highlight w:val="none"/>
                <w:lang w:val="en-US" w:eastAsia="zh-CN"/>
              </w:rPr>
              <w:t>202</w:t>
            </w:r>
            <w:r>
              <w:rPr>
                <w:rFonts w:hint="eastAsia" w:ascii="宋体" w:hAnsi="宋体" w:cs="宋体"/>
                <w:sz w:val="24"/>
                <w:szCs w:val="24"/>
                <w:highlight w:val="none"/>
                <w:lang w:val="en-US" w:eastAsia="zh-CN"/>
              </w:rPr>
              <w:t>2年</w:t>
            </w:r>
            <w:r>
              <w:rPr>
                <w:rFonts w:ascii="宋体" w:hAnsi="宋体" w:cs="宋体"/>
                <w:sz w:val="24"/>
                <w:szCs w:val="24"/>
                <w:highlight w:val="none"/>
                <w:lang w:val="en-US" w:eastAsia="zh-CN"/>
              </w:rPr>
              <w:t>12</w:t>
            </w:r>
            <w:r>
              <w:rPr>
                <w:rFonts w:hint="eastAsia" w:ascii="宋体" w:hAnsi="宋体" w:cs="宋体"/>
                <w:sz w:val="24"/>
                <w:szCs w:val="24"/>
                <w:highlight w:val="none"/>
                <w:lang w:val="en-US" w:eastAsia="zh-CN"/>
              </w:rPr>
              <w:t>月股东权益</w:t>
            </w:r>
          </w:p>
        </w:tc>
        <w:tc>
          <w:tcPr>
            <w:tcW w:w="2110" w:type="dxa"/>
            <w:tcBorders>
              <w:top w:val="single" w:color="auto" w:sz="6" w:space="0"/>
              <w:left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ascii="宋体" w:hAnsi="宋体" w:cs="宋体"/>
                <w:sz w:val="24"/>
                <w:szCs w:val="24"/>
                <w:highlight w:val="none"/>
                <w:lang w:val="en-US" w:eastAsia="zh-CN"/>
              </w:rPr>
              <w:t xml:space="preserve">       </w:t>
            </w:r>
            <w:r>
              <w:rPr>
                <w:rFonts w:hint="eastAsia" w:ascii="宋体" w:hAnsi="宋体" w:cs="宋体"/>
                <w:sz w:val="24"/>
                <w:szCs w:val="24"/>
                <w:highlight w:val="none"/>
                <w:lang w:val="en-US" w:eastAsia="zh-CN"/>
              </w:rPr>
              <w:t>万元</w:t>
            </w:r>
          </w:p>
        </w:tc>
        <w:tc>
          <w:tcPr>
            <w:tcW w:w="1906" w:type="dxa"/>
            <w:gridSpan w:val="2"/>
            <w:tcBorders>
              <w:top w:val="single" w:color="auto" w:sz="6" w:space="0"/>
              <w:left w:val="single" w:color="auto" w:sz="6" w:space="0"/>
              <w:bottom w:val="single" w:color="auto" w:sz="6" w:space="0"/>
              <w:right w:val="single" w:color="auto" w:sz="6" w:space="0"/>
            </w:tcBorders>
            <w:noWrap w:val="0"/>
            <w:vAlign w:val="top"/>
          </w:tcPr>
          <w:p>
            <w:pPr>
              <w:pStyle w:val="9"/>
              <w:overflowPunct w:val="0"/>
              <w:spacing w:line="400" w:lineRule="exact"/>
              <w:ind w:firstLine="0"/>
              <w:rPr>
                <w:rFonts w:ascii="宋体"/>
                <w:sz w:val="24"/>
                <w:szCs w:val="24"/>
                <w:highlight w:val="none"/>
                <w:lang w:val="en-US" w:eastAsia="zh-CN"/>
              </w:rPr>
            </w:pPr>
            <w:r>
              <w:rPr>
                <w:rFonts w:ascii="宋体" w:hAnsi="宋体" w:cs="宋体"/>
                <w:sz w:val="24"/>
                <w:szCs w:val="24"/>
                <w:highlight w:val="none"/>
                <w:lang w:val="en-US" w:eastAsia="zh-CN"/>
              </w:rPr>
              <w:t>202</w:t>
            </w:r>
            <w:r>
              <w:rPr>
                <w:rFonts w:hint="eastAsia" w:ascii="宋体" w:hAnsi="宋体" w:cs="宋体"/>
                <w:sz w:val="24"/>
                <w:szCs w:val="24"/>
                <w:highlight w:val="none"/>
                <w:lang w:val="en-US" w:eastAsia="zh-CN"/>
              </w:rPr>
              <w:t>2年业务收入</w:t>
            </w:r>
          </w:p>
        </w:tc>
        <w:tc>
          <w:tcPr>
            <w:tcW w:w="2601" w:type="dxa"/>
            <w:tcBorders>
              <w:top w:val="single" w:color="auto" w:sz="6" w:space="0"/>
              <w:left w:val="single" w:color="auto" w:sz="6" w:space="0"/>
              <w:bottom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ascii="宋体" w:hAnsi="宋体" w:cs="宋体"/>
                <w:sz w:val="24"/>
                <w:szCs w:val="24"/>
                <w:highlight w:val="none"/>
                <w:lang w:val="en-US" w:eastAsia="zh-CN"/>
              </w:rPr>
              <w:t xml:space="preserve">         </w:t>
            </w:r>
            <w:r>
              <w:rPr>
                <w:rFonts w:hint="eastAsia" w:ascii="宋体" w:hAnsi="宋体" w:cs="宋体"/>
                <w:sz w:val="24"/>
                <w:szCs w:val="24"/>
                <w:highlight w:val="none"/>
                <w:lang w:val="en-US" w:eastAsia="zh-CN"/>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ascii="宋体" w:hAnsi="宋体" w:cs="宋体"/>
                <w:sz w:val="24"/>
                <w:szCs w:val="24"/>
                <w:highlight w:val="none"/>
                <w:lang w:val="en-US" w:eastAsia="zh-CN"/>
              </w:rPr>
              <w:t>202</w:t>
            </w:r>
            <w:r>
              <w:rPr>
                <w:rFonts w:hint="eastAsia" w:ascii="宋体" w:hAnsi="宋体" w:cs="宋体"/>
                <w:sz w:val="24"/>
                <w:szCs w:val="24"/>
                <w:highlight w:val="none"/>
                <w:lang w:val="en-US" w:eastAsia="zh-CN"/>
              </w:rPr>
              <w:t>2年实现利润</w:t>
            </w:r>
          </w:p>
        </w:tc>
        <w:tc>
          <w:tcPr>
            <w:tcW w:w="2110" w:type="dxa"/>
            <w:tcBorders>
              <w:top w:val="single" w:color="auto" w:sz="6" w:space="0"/>
              <w:left w:val="single" w:color="auto" w:sz="6" w:space="0"/>
              <w:bottom w:val="single" w:color="auto" w:sz="6" w:space="0"/>
              <w:right w:val="single" w:color="auto" w:sz="6" w:space="0"/>
            </w:tcBorders>
            <w:noWrap w:val="0"/>
            <w:vAlign w:val="top"/>
          </w:tcPr>
          <w:p>
            <w:pPr>
              <w:pStyle w:val="9"/>
              <w:overflowPunct w:val="0"/>
              <w:spacing w:line="400" w:lineRule="exact"/>
              <w:ind w:firstLine="1320" w:firstLineChars="550"/>
              <w:rPr>
                <w:rFonts w:ascii="宋体"/>
                <w:sz w:val="24"/>
                <w:szCs w:val="24"/>
                <w:highlight w:val="none"/>
                <w:lang w:val="en-US" w:eastAsia="zh-CN"/>
              </w:rPr>
            </w:pPr>
            <w:r>
              <w:rPr>
                <w:rFonts w:hint="eastAsia" w:ascii="宋体" w:hAnsi="宋体" w:cs="宋体"/>
                <w:sz w:val="24"/>
                <w:szCs w:val="24"/>
                <w:highlight w:val="none"/>
                <w:lang w:val="en-US" w:eastAsia="zh-CN"/>
              </w:rPr>
              <w:t>万元</w:t>
            </w:r>
          </w:p>
        </w:tc>
        <w:tc>
          <w:tcPr>
            <w:tcW w:w="1906" w:type="dxa"/>
            <w:gridSpan w:val="2"/>
            <w:tcBorders>
              <w:top w:val="single" w:color="auto" w:sz="6" w:space="0"/>
              <w:left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p>
        </w:tc>
        <w:tc>
          <w:tcPr>
            <w:tcW w:w="2601" w:type="dxa"/>
            <w:tcBorders>
              <w:top w:val="single" w:color="auto" w:sz="6" w:space="0"/>
              <w:left w:val="single" w:color="auto" w:sz="6" w:space="0"/>
              <w:bottom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hint="eastAsia" w:ascii="宋体" w:hAnsi="宋体" w:cs="宋体"/>
                <w:sz w:val="24"/>
                <w:szCs w:val="24"/>
                <w:highlight w:val="none"/>
                <w:lang w:val="en-US" w:eastAsia="zh-CN"/>
              </w:rPr>
              <w:t>办公面积</w:t>
            </w:r>
          </w:p>
          <w:p>
            <w:pPr>
              <w:pStyle w:val="9"/>
              <w:overflowPunct w:val="0"/>
              <w:spacing w:line="400" w:lineRule="exact"/>
              <w:ind w:firstLine="480"/>
              <w:rPr>
                <w:rFonts w:ascii="宋体"/>
                <w:sz w:val="24"/>
                <w:szCs w:val="24"/>
                <w:highlight w:val="none"/>
                <w:lang w:val="en-US" w:eastAsia="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ascii="宋体" w:hAnsi="宋体" w:cs="宋体"/>
                <w:sz w:val="24"/>
                <w:szCs w:val="24"/>
                <w:highlight w:val="none"/>
                <w:lang w:val="en-US" w:eastAsia="zh-CN"/>
              </w:rPr>
              <w:t xml:space="preserve">     </w:t>
            </w:r>
            <w:r>
              <w:rPr>
                <w:rFonts w:hint="eastAsia" w:ascii="宋体" w:hAnsi="宋体" w:cs="宋体"/>
                <w:sz w:val="24"/>
                <w:szCs w:val="24"/>
                <w:highlight w:val="none"/>
                <w:lang w:val="en-US" w:eastAsia="zh-CN"/>
              </w:rPr>
              <w:t>平方米</w:t>
            </w:r>
          </w:p>
        </w:tc>
        <w:tc>
          <w:tcPr>
            <w:tcW w:w="1906" w:type="dxa"/>
            <w:gridSpan w:val="2"/>
            <w:tcBorders>
              <w:top w:val="single" w:color="auto" w:sz="6" w:space="0"/>
              <w:left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hint="eastAsia" w:ascii="宋体" w:hAnsi="宋体" w:cs="宋体"/>
                <w:sz w:val="24"/>
                <w:szCs w:val="24"/>
                <w:highlight w:val="none"/>
                <w:lang w:val="en-US" w:eastAsia="zh-CN"/>
              </w:rPr>
              <w:t>其中：</w:t>
            </w:r>
          </w:p>
        </w:tc>
        <w:tc>
          <w:tcPr>
            <w:tcW w:w="2601" w:type="dxa"/>
            <w:tcBorders>
              <w:top w:val="single" w:color="auto" w:sz="6" w:space="0"/>
              <w:left w:val="single" w:color="auto" w:sz="6" w:space="0"/>
              <w:bottom w:val="single" w:color="auto" w:sz="6" w:space="0"/>
            </w:tcBorders>
            <w:noWrap w:val="0"/>
            <w:vAlign w:val="top"/>
          </w:tcPr>
          <w:p>
            <w:pPr>
              <w:pStyle w:val="9"/>
              <w:overflowPunct w:val="0"/>
              <w:spacing w:line="400" w:lineRule="exact"/>
              <w:ind w:firstLine="0"/>
              <w:rPr>
                <w:rFonts w:ascii="宋体"/>
                <w:sz w:val="24"/>
                <w:szCs w:val="24"/>
                <w:highlight w:val="none"/>
                <w:lang w:val="en-US" w:eastAsia="zh-CN"/>
              </w:rPr>
            </w:pPr>
            <w:r>
              <w:rPr>
                <w:rFonts w:hint="eastAsia" w:ascii="宋体" w:hAnsi="宋体" w:cs="宋体"/>
                <w:sz w:val="24"/>
                <w:szCs w:val="24"/>
                <w:highlight w:val="none"/>
                <w:lang w:val="en-US" w:eastAsia="zh-CN"/>
              </w:rPr>
              <w:t>自有面积</w:t>
            </w:r>
            <w:r>
              <w:rPr>
                <w:rFonts w:ascii="宋体" w:hAnsi="宋体" w:cs="宋体"/>
                <w:sz w:val="24"/>
                <w:szCs w:val="24"/>
                <w:highlight w:val="none"/>
                <w:lang w:val="en-US" w:eastAsia="zh-CN"/>
              </w:rPr>
              <w:t xml:space="preserve">    </w:t>
            </w:r>
            <w:r>
              <w:rPr>
                <w:rFonts w:hint="eastAsia" w:ascii="宋体" w:hAnsi="宋体" w:cs="宋体"/>
                <w:sz w:val="24"/>
                <w:szCs w:val="24"/>
                <w:highlight w:val="none"/>
                <w:lang w:val="en-US" w:eastAsia="zh-CN"/>
              </w:rPr>
              <w:t>平方米</w:t>
            </w:r>
          </w:p>
          <w:p>
            <w:pPr>
              <w:pStyle w:val="9"/>
              <w:overflowPunct w:val="0"/>
              <w:spacing w:line="400" w:lineRule="exact"/>
              <w:ind w:firstLine="0"/>
              <w:rPr>
                <w:rFonts w:ascii="宋体"/>
                <w:sz w:val="24"/>
                <w:szCs w:val="24"/>
                <w:highlight w:val="none"/>
                <w:lang w:val="en-US" w:eastAsia="zh-CN"/>
              </w:rPr>
            </w:pPr>
            <w:r>
              <w:rPr>
                <w:rFonts w:hint="eastAsia" w:ascii="宋体" w:hAnsi="宋体" w:cs="宋体"/>
                <w:sz w:val="24"/>
                <w:szCs w:val="24"/>
                <w:highlight w:val="none"/>
                <w:lang w:val="en-US" w:eastAsia="zh-CN"/>
              </w:rPr>
              <w:t>承租面积</w:t>
            </w:r>
            <w:r>
              <w:rPr>
                <w:rFonts w:ascii="宋体" w:hAnsi="宋体" w:cs="宋体"/>
                <w:sz w:val="24"/>
                <w:szCs w:val="24"/>
                <w:highlight w:val="none"/>
                <w:lang w:val="en-US" w:eastAsia="zh-CN"/>
              </w:rPr>
              <w:t xml:space="preserve">    </w:t>
            </w:r>
            <w:r>
              <w:rPr>
                <w:rFonts w:hint="eastAsia" w:ascii="宋体" w:hAnsi="宋体" w:cs="宋体"/>
                <w:sz w:val="24"/>
                <w:szCs w:val="24"/>
                <w:highlight w:val="none"/>
                <w:lang w:val="en-US" w:eastAsia="zh-CN"/>
              </w:rPr>
              <w:t>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hint="eastAsia" w:ascii="宋体" w:hAnsi="宋体" w:cs="宋体"/>
                <w:sz w:val="24"/>
                <w:szCs w:val="24"/>
                <w:highlight w:val="none"/>
                <w:lang w:val="en-US" w:eastAsia="zh-CN"/>
              </w:rPr>
              <w:t>单位简历及内设机构情况</w:t>
            </w:r>
          </w:p>
        </w:tc>
        <w:tc>
          <w:tcPr>
            <w:tcW w:w="4507" w:type="dxa"/>
            <w:gridSpan w:val="3"/>
            <w:tcBorders>
              <w:top w:val="single" w:color="auto" w:sz="6" w:space="0"/>
              <w:left w:val="single" w:color="auto" w:sz="6" w:space="0"/>
              <w:bottom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hint="eastAsia" w:ascii="宋体" w:hAnsi="宋体" w:cs="宋体"/>
                <w:sz w:val="24"/>
                <w:szCs w:val="24"/>
                <w:highlight w:val="none"/>
                <w:lang w:val="en-US" w:eastAsia="zh-CN"/>
              </w:rPr>
              <w:t>单位优势及特长</w:t>
            </w:r>
          </w:p>
        </w:tc>
        <w:tc>
          <w:tcPr>
            <w:tcW w:w="4507" w:type="dxa"/>
            <w:gridSpan w:val="3"/>
            <w:tcBorders>
              <w:top w:val="single" w:color="auto" w:sz="6" w:space="0"/>
              <w:left w:val="single" w:color="auto" w:sz="6" w:space="0"/>
              <w:bottom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hint="eastAsia" w:ascii="宋体" w:hAnsi="宋体" w:cs="宋体"/>
                <w:sz w:val="24"/>
                <w:szCs w:val="24"/>
                <w:highlight w:val="none"/>
                <w:lang w:val="en-US" w:eastAsia="zh-CN"/>
              </w:rPr>
              <w:t>近三年来完成或正在履行的重大合同情况</w:t>
            </w:r>
          </w:p>
        </w:tc>
        <w:tc>
          <w:tcPr>
            <w:tcW w:w="4507" w:type="dxa"/>
            <w:gridSpan w:val="3"/>
            <w:tcBorders>
              <w:top w:val="single" w:color="auto" w:sz="6" w:space="0"/>
              <w:left w:val="single" w:color="auto" w:sz="6" w:space="0"/>
              <w:bottom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hint="eastAsia" w:ascii="宋体" w:hAnsi="宋体" w:cs="宋体"/>
                <w:sz w:val="24"/>
                <w:szCs w:val="24"/>
                <w:highlight w:val="none"/>
                <w:lang w:val="en-US" w:eastAsia="zh-CN"/>
              </w:rPr>
              <w:t>近三年来受行业主管部门考核评价及业主评价意见</w:t>
            </w:r>
          </w:p>
        </w:tc>
        <w:tc>
          <w:tcPr>
            <w:tcW w:w="4507" w:type="dxa"/>
            <w:gridSpan w:val="3"/>
            <w:tcBorders>
              <w:top w:val="single" w:color="auto" w:sz="6" w:space="0"/>
              <w:left w:val="single" w:color="auto" w:sz="6" w:space="0"/>
              <w:bottom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hint="eastAsia" w:ascii="宋体" w:hAnsi="宋体" w:cs="宋体"/>
                <w:sz w:val="24"/>
                <w:szCs w:val="24"/>
                <w:highlight w:val="none"/>
                <w:lang w:val="en-US" w:eastAsia="zh-CN"/>
              </w:rPr>
              <w:t>最近</w:t>
            </w:r>
            <w:r>
              <w:rPr>
                <w:rFonts w:ascii="宋体" w:hAnsi="宋体" w:cs="宋体"/>
                <w:sz w:val="24"/>
                <w:szCs w:val="24"/>
                <w:highlight w:val="none"/>
                <w:lang w:val="en-US" w:eastAsia="zh-CN"/>
              </w:rPr>
              <w:t>3</w:t>
            </w:r>
            <w:r>
              <w:rPr>
                <w:rFonts w:hint="eastAsia" w:ascii="宋体" w:hAnsi="宋体" w:cs="宋体"/>
                <w:sz w:val="24"/>
                <w:szCs w:val="24"/>
                <w:highlight w:val="none"/>
                <w:lang w:val="en-US" w:eastAsia="zh-CN"/>
              </w:rPr>
              <w:t>年内有无因违纪或是其他原因被投诉或起诉的情况及说明</w:t>
            </w:r>
          </w:p>
        </w:tc>
        <w:tc>
          <w:tcPr>
            <w:tcW w:w="4507" w:type="dxa"/>
            <w:gridSpan w:val="3"/>
            <w:tcBorders>
              <w:top w:val="single" w:color="auto" w:sz="6" w:space="0"/>
              <w:left w:val="single" w:color="auto" w:sz="6" w:space="0"/>
              <w:bottom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hint="eastAsia" w:ascii="宋体" w:hAnsi="宋体" w:cs="宋体"/>
                <w:sz w:val="24"/>
                <w:szCs w:val="24"/>
                <w:highlight w:val="none"/>
                <w:lang w:val="en-US" w:eastAsia="zh-CN"/>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hint="eastAsia" w:ascii="宋体" w:hAnsi="宋体" w:cs="宋体"/>
                <w:sz w:val="24"/>
                <w:szCs w:val="24"/>
                <w:highlight w:val="none"/>
                <w:lang w:val="en-US" w:eastAsia="zh-CN"/>
              </w:rPr>
              <w:t>最近</w:t>
            </w:r>
            <w:r>
              <w:rPr>
                <w:rFonts w:ascii="宋体" w:hAnsi="宋体" w:cs="宋体"/>
                <w:sz w:val="24"/>
                <w:szCs w:val="24"/>
                <w:highlight w:val="none"/>
                <w:lang w:val="en-US" w:eastAsia="zh-CN"/>
              </w:rPr>
              <w:t>3</w:t>
            </w:r>
            <w:r>
              <w:rPr>
                <w:rFonts w:hint="eastAsia" w:ascii="宋体" w:hAnsi="宋体" w:cs="宋体"/>
                <w:sz w:val="24"/>
                <w:szCs w:val="24"/>
                <w:highlight w:val="none"/>
                <w:lang w:val="en-US" w:eastAsia="zh-CN"/>
              </w:rPr>
              <w:t>年内主要负责人有无因经济犯罪被司法机关追究的情况及说明</w:t>
            </w:r>
          </w:p>
        </w:tc>
        <w:tc>
          <w:tcPr>
            <w:tcW w:w="4507" w:type="dxa"/>
            <w:gridSpan w:val="3"/>
            <w:tcBorders>
              <w:top w:val="single" w:color="auto" w:sz="6" w:space="0"/>
              <w:left w:val="single" w:color="auto" w:sz="6" w:space="0"/>
              <w:bottom w:val="single" w:color="auto" w:sz="6" w:space="0"/>
            </w:tcBorders>
            <w:noWrap w:val="0"/>
            <w:vAlign w:val="top"/>
          </w:tcPr>
          <w:p>
            <w:pPr>
              <w:spacing w:line="360" w:lineRule="auto"/>
              <w:ind w:firstLine="480" w:firstLineChars="20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620" w:type="dxa"/>
            <w:gridSpan w:val="2"/>
            <w:tcBorders>
              <w:top w:val="single" w:color="auto" w:sz="6" w:space="0"/>
              <w:bottom w:val="single" w:color="auto" w:sz="6" w:space="0"/>
              <w:right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r>
              <w:rPr>
                <w:rFonts w:hint="eastAsia" w:ascii="宋体" w:hAnsi="宋体" w:cs="宋体"/>
                <w:sz w:val="24"/>
                <w:szCs w:val="24"/>
                <w:highlight w:val="none"/>
                <w:lang w:val="en-US" w:eastAsia="zh-CN"/>
              </w:rPr>
              <w:t>其他需要说明的情况</w:t>
            </w:r>
          </w:p>
        </w:tc>
        <w:tc>
          <w:tcPr>
            <w:tcW w:w="4507" w:type="dxa"/>
            <w:gridSpan w:val="3"/>
            <w:tcBorders>
              <w:top w:val="single" w:color="auto" w:sz="6" w:space="0"/>
              <w:left w:val="single" w:color="auto" w:sz="6" w:space="0"/>
              <w:bottom w:val="single" w:color="auto" w:sz="6" w:space="0"/>
            </w:tcBorders>
            <w:noWrap w:val="0"/>
            <w:vAlign w:val="top"/>
          </w:tcPr>
          <w:p>
            <w:pPr>
              <w:pStyle w:val="9"/>
              <w:overflowPunct w:val="0"/>
              <w:spacing w:line="400" w:lineRule="exact"/>
              <w:ind w:firstLine="480"/>
              <w:rPr>
                <w:rFonts w:ascii="宋体"/>
                <w:sz w:val="24"/>
                <w:szCs w:val="24"/>
                <w:highlight w:val="none"/>
                <w:lang w:val="en-US" w:eastAsia="zh-CN"/>
              </w:rPr>
            </w:pPr>
          </w:p>
        </w:tc>
      </w:tr>
    </w:tbl>
    <w:p>
      <w:pPr>
        <w:rPr>
          <w:rFonts w:ascii="宋体"/>
          <w:b/>
          <w:bCs/>
          <w:sz w:val="24"/>
          <w:szCs w:val="24"/>
          <w:highlight w:val="none"/>
        </w:rPr>
      </w:pPr>
      <w:r>
        <w:rPr>
          <w:rFonts w:hint="eastAsia" w:ascii="宋体" w:hAnsi="宋体" w:cs="宋体"/>
          <w:b/>
          <w:bCs/>
          <w:sz w:val="24"/>
          <w:szCs w:val="24"/>
          <w:highlight w:val="none"/>
        </w:rPr>
        <w:t>法定代表人或授权委托人签字或盖章：</w:t>
      </w:r>
    </w:p>
    <w:p>
      <w:pPr>
        <w:rPr>
          <w:rFonts w:ascii="宋体"/>
          <w:b/>
          <w:bCs/>
          <w:sz w:val="24"/>
          <w:szCs w:val="24"/>
          <w:highlight w:val="none"/>
        </w:rPr>
      </w:pPr>
      <w:r>
        <w:rPr>
          <w:rFonts w:hint="eastAsia" w:ascii="宋体" w:hAnsi="宋体" w:cs="宋体"/>
          <w:b/>
          <w:bCs/>
          <w:sz w:val="24"/>
          <w:szCs w:val="24"/>
          <w:highlight w:val="none"/>
        </w:rPr>
        <w:t>日期：</w:t>
      </w:r>
    </w:p>
    <w:p>
      <w:pPr>
        <w:pStyle w:val="8"/>
        <w:numPr>
          <w:ilvl w:val="4"/>
          <w:numId w:val="0"/>
        </w:numPr>
        <w:tabs>
          <w:tab w:val="left" w:pos="1080"/>
        </w:tabs>
        <w:rPr>
          <w:rFonts w:cs="Times New Roman"/>
          <w:highlight w:val="none"/>
        </w:rPr>
      </w:pPr>
    </w:p>
    <w:p>
      <w:pPr>
        <w:jc w:val="left"/>
        <w:outlineLvl w:val="0"/>
        <w:rPr>
          <w:rFonts w:ascii="黑体" w:hAnsi="宋体" w:eastAsia="黑体"/>
          <w:sz w:val="24"/>
          <w:szCs w:val="24"/>
          <w:highlight w:val="none"/>
        </w:rPr>
      </w:pPr>
    </w:p>
    <w:p>
      <w:pPr>
        <w:spacing w:line="360" w:lineRule="auto"/>
        <w:rPr>
          <w:rFonts w:ascii="黑体" w:eastAsia="黑体"/>
          <w:sz w:val="28"/>
          <w:szCs w:val="28"/>
          <w:highlight w:val="none"/>
        </w:rPr>
      </w:pPr>
      <w:r>
        <w:rPr>
          <w:rFonts w:hint="eastAsia" w:asciiTheme="minorEastAsia" w:hAnsiTheme="minorEastAsia" w:eastAsiaTheme="minorEastAsia" w:cstheme="minorEastAsia"/>
          <w:b/>
          <w:bCs/>
          <w:color w:val="auto"/>
          <w:kern w:val="2"/>
          <w:sz w:val="28"/>
          <w:szCs w:val="28"/>
          <w:highlight w:val="none"/>
          <w:lang w:val="en-US" w:eastAsia="zh-CN" w:bidi="ar-SA"/>
        </w:rPr>
        <w:t>（十）中小企业声明函（格式）：</w:t>
      </w:r>
    </w:p>
    <w:p>
      <w:pPr>
        <w:snapToGrid w:val="0"/>
        <w:spacing w:line="360" w:lineRule="auto"/>
        <w:jc w:val="center"/>
        <w:outlineLvl w:val="0"/>
        <w:rPr>
          <w:rFonts w:hint="eastAsia" w:ascii="黑体" w:hAnsi="Times New Roman" w:eastAsia="黑体" w:cs="黑体"/>
          <w:sz w:val="28"/>
          <w:szCs w:val="28"/>
          <w:highlight w:val="none"/>
          <w:lang w:val="en-US" w:eastAsia="zh-CN"/>
        </w:rPr>
      </w:pPr>
      <w:r>
        <w:rPr>
          <w:rFonts w:hint="eastAsia" w:ascii="黑体" w:hAnsi="Times New Roman" w:eastAsia="黑体" w:cs="黑体"/>
          <w:sz w:val="28"/>
          <w:szCs w:val="28"/>
          <w:highlight w:val="none"/>
          <w:lang w:val="en-US" w:eastAsia="zh-CN"/>
        </w:rPr>
        <w:t>中小企业声明函（服务）</w:t>
      </w:r>
    </w:p>
    <w:p>
      <w:pPr>
        <w:spacing w:line="580" w:lineRule="exact"/>
        <w:ind w:firstLine="480" w:firstLineChars="200"/>
        <w:rPr>
          <w:rFonts w:hint="eastAsia" w:ascii="宋体" w:hAnsi="宋体" w:cs="宋体"/>
          <w:bCs/>
          <w:sz w:val="24"/>
          <w:highlight w:val="none"/>
        </w:rPr>
      </w:pPr>
      <w:r>
        <w:rPr>
          <w:rFonts w:hint="eastAsia" w:ascii="宋体" w:hAnsi="宋体" w:cs="宋体"/>
          <w:bCs/>
          <w:sz w:val="24"/>
          <w:highlight w:val="none"/>
        </w:rPr>
        <w:t>本公司郑重声明，根据《政府采购促进中小企业发展管理办法》（财库﹝2020﹞46号）的规定，本公司参加</w:t>
      </w:r>
      <w:r>
        <w:rPr>
          <w:rFonts w:hint="eastAsia" w:ascii="宋体" w:hAnsi="宋体" w:cs="宋体"/>
          <w:bCs/>
          <w:sz w:val="24"/>
          <w:highlight w:val="none"/>
          <w:u w:val="single"/>
        </w:rPr>
        <w:t>（单位名称）</w:t>
      </w:r>
      <w:r>
        <w:rPr>
          <w:rFonts w:hint="eastAsia" w:ascii="宋体" w:hAnsi="宋体" w:cs="宋体"/>
          <w:bCs/>
          <w:sz w:val="24"/>
          <w:highlight w:val="none"/>
        </w:rPr>
        <w:t>的</w:t>
      </w:r>
      <w:r>
        <w:rPr>
          <w:rFonts w:hint="eastAsia" w:ascii="宋体" w:hAnsi="宋体" w:cs="宋体"/>
          <w:bCs/>
          <w:sz w:val="24"/>
          <w:highlight w:val="none"/>
          <w:u w:val="single"/>
        </w:rPr>
        <w:t>（项目名称）</w:t>
      </w:r>
      <w:r>
        <w:rPr>
          <w:rFonts w:hint="eastAsia" w:ascii="宋体" w:hAnsi="宋体" w:cs="宋体"/>
          <w:bCs/>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580" w:lineRule="exact"/>
        <w:ind w:firstLine="480" w:firstLineChars="200"/>
        <w:rPr>
          <w:rFonts w:hint="eastAsia" w:ascii="宋体" w:hAnsi="宋体" w:cs="宋体"/>
          <w:bCs/>
          <w:sz w:val="24"/>
          <w:szCs w:val="20"/>
          <w:highlight w:val="none"/>
        </w:rPr>
      </w:pPr>
      <w:r>
        <w:rPr>
          <w:rFonts w:hint="eastAsia" w:ascii="宋体" w:hAnsi="宋体" w:cs="宋体"/>
          <w:bCs/>
          <w:sz w:val="24"/>
          <w:highlight w:val="none"/>
        </w:rPr>
        <w:t>1、</w:t>
      </w:r>
      <w:r>
        <w:rPr>
          <w:rFonts w:hint="eastAsia" w:ascii="宋体" w:hAnsi="宋体" w:cs="宋体"/>
          <w:bCs/>
          <w:sz w:val="24"/>
          <w:szCs w:val="20"/>
          <w:highlight w:val="none"/>
          <w:u w:val="single"/>
        </w:rPr>
        <w:t xml:space="preserve"> （标的名称） </w:t>
      </w:r>
      <w:r>
        <w:rPr>
          <w:rFonts w:hint="eastAsia" w:ascii="宋体" w:hAnsi="宋体" w:cs="宋体"/>
          <w:bCs/>
          <w:sz w:val="24"/>
          <w:szCs w:val="20"/>
          <w:highlight w:val="none"/>
        </w:rPr>
        <w:t>，属于</w:t>
      </w:r>
      <w:r>
        <w:rPr>
          <w:rFonts w:hint="eastAsia" w:ascii="宋体" w:hAnsi="宋体" w:cs="宋体"/>
          <w:bCs/>
          <w:sz w:val="24"/>
          <w:szCs w:val="20"/>
          <w:highlight w:val="none"/>
          <w:u w:val="single"/>
        </w:rPr>
        <w:t xml:space="preserve"> 采购文件中明确的所属行业 </w:t>
      </w:r>
      <w:r>
        <w:rPr>
          <w:rFonts w:hint="eastAsia" w:ascii="宋体" w:hAnsi="宋体" w:cs="宋体"/>
          <w:bCs/>
          <w:sz w:val="24"/>
          <w:szCs w:val="20"/>
          <w:highlight w:val="none"/>
        </w:rPr>
        <w:t>；承建（承接）企业为</w:t>
      </w:r>
      <w:r>
        <w:rPr>
          <w:rFonts w:hint="eastAsia" w:ascii="宋体" w:hAnsi="宋体" w:cs="宋体"/>
          <w:bCs/>
          <w:sz w:val="24"/>
          <w:szCs w:val="20"/>
          <w:highlight w:val="none"/>
          <w:u w:val="single"/>
        </w:rPr>
        <w:t>（企业名称）</w:t>
      </w:r>
      <w:r>
        <w:rPr>
          <w:rFonts w:hint="eastAsia" w:ascii="宋体" w:hAnsi="宋体" w:cs="宋体"/>
          <w:bCs/>
          <w:sz w:val="24"/>
          <w:szCs w:val="20"/>
          <w:highlight w:val="none"/>
        </w:rPr>
        <w:t>，从业人员</w:t>
      </w:r>
      <w:r>
        <w:rPr>
          <w:rFonts w:hint="eastAsia" w:ascii="宋体" w:hAnsi="宋体" w:cs="宋体"/>
          <w:bCs/>
          <w:sz w:val="24"/>
          <w:szCs w:val="20"/>
          <w:highlight w:val="none"/>
          <w:u w:val="single"/>
        </w:rPr>
        <w:t xml:space="preserve">     </w:t>
      </w:r>
      <w:r>
        <w:rPr>
          <w:rFonts w:hint="eastAsia" w:ascii="宋体" w:hAnsi="宋体" w:cs="宋体"/>
          <w:bCs/>
          <w:sz w:val="24"/>
          <w:szCs w:val="20"/>
          <w:highlight w:val="none"/>
        </w:rPr>
        <w:t>人，营业收入为</w:t>
      </w:r>
      <w:r>
        <w:rPr>
          <w:rFonts w:hint="eastAsia" w:ascii="宋体" w:hAnsi="宋体" w:cs="宋体"/>
          <w:bCs/>
          <w:sz w:val="24"/>
          <w:szCs w:val="20"/>
          <w:highlight w:val="none"/>
          <w:u w:val="single"/>
        </w:rPr>
        <w:t xml:space="preserve">      </w:t>
      </w:r>
      <w:r>
        <w:rPr>
          <w:rFonts w:hint="eastAsia" w:ascii="宋体" w:hAnsi="宋体" w:cs="宋体"/>
          <w:bCs/>
          <w:sz w:val="24"/>
          <w:szCs w:val="20"/>
          <w:highlight w:val="none"/>
        </w:rPr>
        <w:t>万元，资产总额为</w:t>
      </w:r>
      <w:r>
        <w:rPr>
          <w:rFonts w:hint="eastAsia" w:ascii="宋体" w:hAnsi="宋体" w:cs="宋体"/>
          <w:bCs/>
          <w:sz w:val="24"/>
          <w:szCs w:val="20"/>
          <w:highlight w:val="none"/>
          <w:u w:val="single"/>
        </w:rPr>
        <w:t xml:space="preserve">     </w:t>
      </w:r>
      <w:r>
        <w:rPr>
          <w:rFonts w:hint="eastAsia" w:ascii="宋体" w:hAnsi="宋体" w:cs="宋体"/>
          <w:bCs/>
          <w:sz w:val="24"/>
          <w:szCs w:val="20"/>
          <w:highlight w:val="none"/>
        </w:rPr>
        <w:t>万元</w:t>
      </w:r>
      <w:r>
        <w:rPr>
          <w:rFonts w:hint="eastAsia" w:ascii="宋体" w:hAnsi="宋体" w:cs="宋体"/>
          <w:szCs w:val="20"/>
          <w:highlight w:val="none"/>
          <w:vertAlign w:val="superscript"/>
        </w:rPr>
        <w:t>1</w:t>
      </w:r>
      <w:r>
        <w:rPr>
          <w:rFonts w:hint="eastAsia" w:ascii="宋体" w:hAnsi="宋体" w:cs="宋体"/>
          <w:bCs/>
          <w:sz w:val="24"/>
          <w:szCs w:val="20"/>
          <w:highlight w:val="none"/>
        </w:rPr>
        <w:t>，属于</w:t>
      </w:r>
      <w:r>
        <w:rPr>
          <w:rFonts w:hint="eastAsia" w:ascii="宋体" w:hAnsi="宋体" w:cs="宋体"/>
          <w:bCs/>
          <w:sz w:val="24"/>
          <w:szCs w:val="20"/>
          <w:highlight w:val="none"/>
          <w:u w:val="single"/>
        </w:rPr>
        <w:t xml:space="preserve"> （中型企业、小型企业、微型企业）</w:t>
      </w:r>
      <w:r>
        <w:rPr>
          <w:rFonts w:hint="eastAsia" w:ascii="宋体" w:hAnsi="宋体" w:cs="宋体"/>
          <w:bCs/>
          <w:sz w:val="24"/>
          <w:szCs w:val="20"/>
          <w:highlight w:val="none"/>
        </w:rPr>
        <w:t xml:space="preserve">； </w:t>
      </w:r>
    </w:p>
    <w:p>
      <w:pPr>
        <w:spacing w:line="580" w:lineRule="exact"/>
        <w:ind w:firstLine="480" w:firstLineChars="200"/>
        <w:rPr>
          <w:rFonts w:hint="eastAsia" w:ascii="宋体" w:hAnsi="宋体" w:cs="宋体"/>
          <w:bCs/>
          <w:sz w:val="24"/>
          <w:szCs w:val="20"/>
          <w:highlight w:val="none"/>
        </w:rPr>
      </w:pPr>
      <w:r>
        <w:rPr>
          <w:rFonts w:hint="eastAsia" w:ascii="宋体" w:hAnsi="宋体" w:cs="宋体"/>
          <w:bCs/>
          <w:sz w:val="24"/>
          <w:szCs w:val="20"/>
          <w:highlight w:val="none"/>
        </w:rPr>
        <w:t>2、</w:t>
      </w:r>
      <w:r>
        <w:rPr>
          <w:rFonts w:hint="eastAsia" w:ascii="宋体" w:hAnsi="宋体" w:cs="宋体"/>
          <w:bCs/>
          <w:sz w:val="24"/>
          <w:szCs w:val="20"/>
          <w:highlight w:val="none"/>
          <w:u w:val="single"/>
        </w:rPr>
        <w:t xml:space="preserve"> （标的名称） </w:t>
      </w:r>
      <w:r>
        <w:rPr>
          <w:rFonts w:hint="eastAsia" w:ascii="宋体" w:hAnsi="宋体" w:cs="宋体"/>
          <w:bCs/>
          <w:sz w:val="24"/>
          <w:szCs w:val="20"/>
          <w:highlight w:val="none"/>
        </w:rPr>
        <w:t>，属于</w:t>
      </w:r>
      <w:r>
        <w:rPr>
          <w:rFonts w:hint="eastAsia" w:ascii="宋体" w:hAnsi="宋体" w:cs="宋体"/>
          <w:bCs/>
          <w:sz w:val="24"/>
          <w:szCs w:val="20"/>
          <w:highlight w:val="none"/>
          <w:u w:val="single"/>
        </w:rPr>
        <w:t xml:space="preserve"> </w:t>
      </w:r>
      <w:r>
        <w:rPr>
          <w:rFonts w:hint="eastAsia" w:ascii="宋体" w:hAnsi="宋体" w:eastAsia="宋体"/>
          <w:bCs/>
          <w:sz w:val="24"/>
          <w:szCs w:val="24"/>
          <w:highlight w:val="none"/>
          <w:u w:val="single"/>
        </w:rPr>
        <w:t>采购文件中明确的所属行业</w:t>
      </w:r>
      <w:r>
        <w:rPr>
          <w:rFonts w:hint="eastAsia" w:ascii="宋体" w:hAnsi="宋体" w:cs="宋体"/>
          <w:bCs/>
          <w:sz w:val="24"/>
          <w:szCs w:val="20"/>
          <w:highlight w:val="none"/>
          <w:u w:val="single"/>
        </w:rPr>
        <w:t xml:space="preserve"> </w:t>
      </w:r>
      <w:r>
        <w:rPr>
          <w:rFonts w:hint="eastAsia" w:ascii="宋体" w:hAnsi="宋体" w:cs="宋体"/>
          <w:bCs/>
          <w:sz w:val="24"/>
          <w:szCs w:val="20"/>
          <w:highlight w:val="none"/>
        </w:rPr>
        <w:t>；承建（承接）企业为</w:t>
      </w:r>
      <w:r>
        <w:rPr>
          <w:rFonts w:hint="eastAsia" w:ascii="宋体" w:hAnsi="宋体" w:cs="宋体"/>
          <w:bCs/>
          <w:sz w:val="24"/>
          <w:szCs w:val="20"/>
          <w:highlight w:val="none"/>
          <w:u w:val="single"/>
        </w:rPr>
        <w:t>（企业名称）</w:t>
      </w:r>
      <w:r>
        <w:rPr>
          <w:rFonts w:hint="eastAsia" w:ascii="宋体" w:hAnsi="宋体" w:cs="宋体"/>
          <w:bCs/>
          <w:sz w:val="24"/>
          <w:szCs w:val="20"/>
          <w:highlight w:val="none"/>
        </w:rPr>
        <w:t>，从业人员</w:t>
      </w:r>
      <w:r>
        <w:rPr>
          <w:rFonts w:hint="eastAsia" w:ascii="宋体" w:hAnsi="宋体" w:cs="宋体"/>
          <w:bCs/>
          <w:sz w:val="24"/>
          <w:szCs w:val="20"/>
          <w:highlight w:val="none"/>
          <w:u w:val="single"/>
        </w:rPr>
        <w:t xml:space="preserve">     </w:t>
      </w:r>
      <w:r>
        <w:rPr>
          <w:rFonts w:hint="eastAsia" w:ascii="宋体" w:hAnsi="宋体" w:cs="宋体"/>
          <w:bCs/>
          <w:sz w:val="24"/>
          <w:szCs w:val="20"/>
          <w:highlight w:val="none"/>
        </w:rPr>
        <w:t>人，营业收入为</w:t>
      </w:r>
      <w:r>
        <w:rPr>
          <w:rFonts w:hint="eastAsia" w:ascii="宋体" w:hAnsi="宋体" w:cs="宋体"/>
          <w:bCs/>
          <w:sz w:val="24"/>
          <w:szCs w:val="20"/>
          <w:highlight w:val="none"/>
          <w:u w:val="single"/>
        </w:rPr>
        <w:t xml:space="preserve">      </w:t>
      </w:r>
      <w:r>
        <w:rPr>
          <w:rFonts w:hint="eastAsia" w:ascii="宋体" w:hAnsi="宋体" w:cs="宋体"/>
          <w:bCs/>
          <w:sz w:val="24"/>
          <w:szCs w:val="20"/>
          <w:highlight w:val="none"/>
        </w:rPr>
        <w:t xml:space="preserve">万元，资产总额 </w:t>
      </w:r>
      <w:r>
        <w:rPr>
          <w:rFonts w:hint="eastAsia" w:ascii="宋体" w:hAnsi="宋体" w:cs="宋体"/>
          <w:bCs/>
          <w:sz w:val="24"/>
          <w:szCs w:val="20"/>
          <w:highlight w:val="none"/>
          <w:u w:val="single"/>
        </w:rPr>
        <w:t xml:space="preserve">      </w:t>
      </w:r>
      <w:r>
        <w:rPr>
          <w:rFonts w:hint="eastAsia" w:ascii="宋体" w:hAnsi="宋体" w:cs="宋体"/>
          <w:bCs/>
          <w:sz w:val="24"/>
          <w:szCs w:val="20"/>
          <w:highlight w:val="none"/>
        </w:rPr>
        <w:t>万元，属于</w:t>
      </w:r>
      <w:r>
        <w:rPr>
          <w:rFonts w:hint="eastAsia" w:ascii="宋体" w:hAnsi="宋体" w:cs="宋体"/>
          <w:bCs/>
          <w:sz w:val="24"/>
          <w:szCs w:val="20"/>
          <w:highlight w:val="none"/>
          <w:u w:val="single"/>
        </w:rPr>
        <w:t>（中型企业、小型企业、微型企业）</w:t>
      </w:r>
      <w:r>
        <w:rPr>
          <w:rFonts w:hint="eastAsia" w:ascii="宋体" w:hAnsi="宋体" w:cs="宋体"/>
          <w:bCs/>
          <w:sz w:val="24"/>
          <w:szCs w:val="20"/>
          <w:highlight w:val="none"/>
        </w:rPr>
        <w:t xml:space="preserve">； </w:t>
      </w:r>
    </w:p>
    <w:p>
      <w:pPr>
        <w:spacing w:line="580" w:lineRule="exact"/>
        <w:ind w:firstLine="480" w:firstLineChars="200"/>
        <w:rPr>
          <w:rFonts w:hint="eastAsia" w:ascii="宋体" w:hAnsi="宋体" w:cs="宋体"/>
          <w:bCs/>
          <w:sz w:val="24"/>
          <w:szCs w:val="20"/>
          <w:highlight w:val="none"/>
        </w:rPr>
      </w:pPr>
      <w:r>
        <w:rPr>
          <w:rFonts w:hint="eastAsia" w:ascii="宋体" w:hAnsi="宋体" w:cs="宋体"/>
          <w:bCs/>
          <w:sz w:val="24"/>
          <w:szCs w:val="20"/>
          <w:highlight w:val="none"/>
        </w:rPr>
        <w:t>……</w:t>
      </w:r>
    </w:p>
    <w:p>
      <w:pPr>
        <w:spacing w:line="580" w:lineRule="exact"/>
        <w:ind w:firstLine="480" w:firstLineChars="200"/>
        <w:rPr>
          <w:rFonts w:hint="eastAsia" w:ascii="宋体" w:hAnsi="宋体" w:cs="宋体"/>
          <w:bCs/>
          <w:sz w:val="24"/>
          <w:szCs w:val="20"/>
          <w:highlight w:val="none"/>
        </w:rPr>
      </w:pPr>
      <w:r>
        <w:rPr>
          <w:rFonts w:hint="eastAsia" w:ascii="宋体" w:hAnsi="宋体" w:cs="宋体"/>
          <w:bCs/>
          <w:sz w:val="24"/>
          <w:szCs w:val="20"/>
          <w:highlight w:val="none"/>
        </w:rPr>
        <w:t>以上企业，不属于大企业的分支机构，不存在控股股东为大企业的情形，也不存在与大企业的负责人为同一人的情形。</w:t>
      </w:r>
    </w:p>
    <w:p>
      <w:pPr>
        <w:spacing w:line="580" w:lineRule="exact"/>
        <w:ind w:firstLine="480" w:firstLineChars="200"/>
        <w:rPr>
          <w:rFonts w:hint="eastAsia" w:ascii="宋体" w:hAnsi="宋体" w:cs="宋体"/>
          <w:bCs/>
          <w:sz w:val="24"/>
          <w:szCs w:val="20"/>
          <w:highlight w:val="none"/>
        </w:rPr>
      </w:pPr>
      <w:r>
        <w:rPr>
          <w:rFonts w:hint="eastAsia" w:ascii="宋体" w:hAnsi="宋体" w:cs="宋体"/>
          <w:bCs/>
          <w:sz w:val="24"/>
          <w:szCs w:val="20"/>
          <w:highlight w:val="none"/>
        </w:rPr>
        <w:t xml:space="preserve">本企业对上述声明内容的真实性负责。如有虚假，将依法承担相应责任。 </w:t>
      </w:r>
    </w:p>
    <w:p>
      <w:pPr>
        <w:spacing w:line="580" w:lineRule="exact"/>
        <w:ind w:firstLine="480" w:firstLineChars="200"/>
        <w:jc w:val="center"/>
        <w:rPr>
          <w:rFonts w:hint="eastAsia" w:ascii="宋体" w:hAnsi="宋体" w:cs="宋体"/>
          <w:bCs/>
          <w:sz w:val="24"/>
          <w:szCs w:val="20"/>
          <w:highlight w:val="none"/>
        </w:rPr>
      </w:pPr>
      <w:r>
        <w:rPr>
          <w:rFonts w:hint="eastAsia" w:ascii="宋体" w:hAnsi="宋体" w:cs="宋体"/>
          <w:bCs/>
          <w:sz w:val="24"/>
          <w:szCs w:val="20"/>
          <w:highlight w:val="none"/>
        </w:rPr>
        <w:t xml:space="preserve">                          企业名称（盖章）： </w:t>
      </w:r>
    </w:p>
    <w:p>
      <w:pPr>
        <w:spacing w:line="580" w:lineRule="exact"/>
        <w:ind w:firstLine="480" w:firstLineChars="200"/>
        <w:jc w:val="center"/>
        <w:rPr>
          <w:rFonts w:hint="eastAsia" w:ascii="宋体" w:hAnsi="宋体" w:cs="宋体"/>
          <w:bCs/>
          <w:sz w:val="24"/>
          <w:szCs w:val="20"/>
          <w:highlight w:val="none"/>
        </w:rPr>
      </w:pPr>
      <w:r>
        <w:rPr>
          <w:rFonts w:hint="eastAsia" w:ascii="宋体" w:hAnsi="宋体" w:cs="宋体"/>
          <w:bCs/>
          <w:sz w:val="24"/>
          <w:szCs w:val="20"/>
          <w:highlight w:val="none"/>
        </w:rPr>
        <w:t xml:space="preserve">               日 期：</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cs="Times New Roman"/>
          <w:b/>
          <w:bCs w:val="0"/>
          <w:sz w:val="18"/>
          <w:szCs w:val="1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rPr>
        <w:t>注：1.从业人员、营业收入、资产总额填报上一年度数据，无上一年度数据的新成立企业可不填报。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val="0"/>
          <w:color w:val="auto"/>
          <w:szCs w:val="21"/>
          <w:highlight w:val="none"/>
        </w:rPr>
        <w:t>2.中标、成交供应商的《中小企业声明函》将随中标、成交公告进行公示。供应商按照本办法规定提供声明函内容不实的，属于提供虚假材料谋取中标、成交，依照《中华人民共和国政府采购法》等国家有关规定追究相应责任。</w:t>
      </w: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（十一）残疾人福利性单位声明函（格式）</w:t>
      </w:r>
    </w:p>
    <w:p>
      <w:pPr>
        <w:rPr>
          <w:highlight w:val="none"/>
        </w:rPr>
      </w:pPr>
    </w:p>
    <w:p>
      <w:pPr>
        <w:snapToGrid w:val="0"/>
        <w:spacing w:line="360" w:lineRule="auto"/>
        <w:jc w:val="center"/>
        <w:outlineLvl w:val="0"/>
        <w:rPr>
          <w:rFonts w:ascii="黑体" w:eastAsia="黑体"/>
          <w:sz w:val="28"/>
          <w:szCs w:val="28"/>
          <w:highlight w:val="none"/>
        </w:rPr>
      </w:pPr>
    </w:p>
    <w:p>
      <w:pPr>
        <w:snapToGrid w:val="0"/>
        <w:spacing w:line="360" w:lineRule="auto"/>
        <w:jc w:val="center"/>
        <w:outlineLvl w:val="0"/>
        <w:rPr>
          <w:rFonts w:ascii="黑体" w:eastAsia="黑体"/>
          <w:sz w:val="28"/>
          <w:szCs w:val="28"/>
          <w:highlight w:val="none"/>
        </w:rPr>
      </w:pPr>
      <w:r>
        <w:rPr>
          <w:rFonts w:hint="eastAsia" w:ascii="黑体" w:eastAsia="黑体" w:cs="黑体"/>
          <w:sz w:val="28"/>
          <w:szCs w:val="28"/>
          <w:highlight w:val="none"/>
        </w:rPr>
        <w:t>残疾人福利性单位声明函</w:t>
      </w:r>
    </w:p>
    <w:p>
      <w:pPr>
        <w:snapToGrid w:val="0"/>
        <w:spacing w:line="360" w:lineRule="auto"/>
        <w:jc w:val="center"/>
        <w:outlineLvl w:val="0"/>
        <w:rPr>
          <w:rFonts w:ascii="黑体" w:eastAsia="黑体"/>
          <w:sz w:val="28"/>
          <w:szCs w:val="28"/>
          <w:highlight w:val="none"/>
        </w:rPr>
      </w:pPr>
    </w:p>
    <w:p>
      <w:pPr>
        <w:spacing w:line="440" w:lineRule="exact"/>
        <w:ind w:firstLine="480" w:firstLineChars="200"/>
        <w:outlineLvl w:val="0"/>
        <w:rPr>
          <w:rFonts w:ascii="宋体"/>
          <w:sz w:val="24"/>
          <w:szCs w:val="24"/>
          <w:highlight w:val="none"/>
        </w:rPr>
      </w:pPr>
      <w:r>
        <w:rPr>
          <w:rFonts w:hint="eastAsia" w:ascii="宋体" w:hAnsi="宋体" w:cs="宋体"/>
          <w:sz w:val="24"/>
          <w:szCs w:val="24"/>
          <w:highlight w:val="none"/>
        </w:rPr>
        <w:t>本公司郑重承诺，根据《财政部司法部中国残疾人联合会关于促进残疾人就业政府采购政策的通知》（财库（</w:t>
      </w:r>
      <w:r>
        <w:rPr>
          <w:rFonts w:ascii="宋体" w:hAnsi="宋体" w:cs="宋体"/>
          <w:sz w:val="24"/>
          <w:szCs w:val="24"/>
          <w:highlight w:val="none"/>
        </w:rPr>
        <w:t>2017</w:t>
      </w:r>
      <w:r>
        <w:rPr>
          <w:rFonts w:hint="eastAsia" w:ascii="宋体" w:hAnsi="宋体" w:cs="宋体"/>
          <w:sz w:val="24"/>
          <w:szCs w:val="24"/>
          <w:highlight w:val="none"/>
        </w:rPr>
        <w:t>）</w:t>
      </w:r>
      <w:r>
        <w:rPr>
          <w:rFonts w:ascii="宋体" w:hAnsi="宋体" w:cs="宋体"/>
          <w:sz w:val="24"/>
          <w:szCs w:val="24"/>
          <w:highlight w:val="none"/>
        </w:rPr>
        <w:t>141</w:t>
      </w:r>
      <w:r>
        <w:rPr>
          <w:rFonts w:hint="eastAsia" w:ascii="宋体" w:hAnsi="宋体" w:cs="宋体"/>
          <w:sz w:val="24"/>
          <w:szCs w:val="24"/>
          <w:highlight w:val="none"/>
        </w:rPr>
        <w:t>号）的规定，本单位为符合条件的残疾人福利性单位，且本单位参加</w:t>
      </w:r>
      <w:r>
        <w:rPr>
          <w:rFonts w:ascii="宋体" w:hAnsi="宋体" w:cs="宋体"/>
          <w:sz w:val="24"/>
          <w:szCs w:val="24"/>
          <w:highlight w:val="none"/>
          <w:u w:val="single"/>
        </w:rPr>
        <w:t xml:space="preserve">                 </w:t>
      </w:r>
      <w:r>
        <w:rPr>
          <w:rFonts w:hint="eastAsia" w:ascii="宋体" w:hAnsi="宋体" w:cs="宋体"/>
          <w:sz w:val="24"/>
          <w:szCs w:val="24"/>
          <w:highlight w:val="none"/>
        </w:rPr>
        <w:t>单位的</w:t>
      </w:r>
      <w:r>
        <w:rPr>
          <w:rFonts w:ascii="宋体" w:hAnsi="宋体" w:cs="宋体"/>
          <w:sz w:val="24"/>
          <w:szCs w:val="24"/>
          <w:highlight w:val="none"/>
          <w:u w:val="single"/>
        </w:rPr>
        <w:t xml:space="preserve">           </w:t>
      </w:r>
      <w:r>
        <w:rPr>
          <w:rFonts w:hint="eastAsia" w:ascii="宋体" w:hAnsi="宋体" w:cs="宋体"/>
          <w:sz w:val="24"/>
          <w:szCs w:val="24"/>
          <w:highlight w:val="none"/>
        </w:rPr>
        <w:t>项目采购活动提供本企业制造的货物，由本公司承担工程、提供服务，或者提供其他残疾人福利性单位制造的货物（不包括使用非残疾人福利性单位注册商标的货物）。</w:t>
      </w:r>
    </w:p>
    <w:p>
      <w:pPr>
        <w:spacing w:line="440" w:lineRule="exact"/>
        <w:outlineLvl w:val="0"/>
        <w:rPr>
          <w:rFonts w:ascii="宋体"/>
          <w:sz w:val="24"/>
          <w:szCs w:val="24"/>
          <w:highlight w:val="none"/>
        </w:rPr>
      </w:pPr>
    </w:p>
    <w:p>
      <w:pPr>
        <w:spacing w:line="440" w:lineRule="exact"/>
        <w:ind w:firstLine="480" w:firstLineChars="200"/>
        <w:outlineLvl w:val="0"/>
        <w:rPr>
          <w:rFonts w:ascii="宋体"/>
          <w:sz w:val="24"/>
          <w:szCs w:val="24"/>
          <w:highlight w:val="none"/>
        </w:rPr>
      </w:pPr>
      <w:r>
        <w:rPr>
          <w:rFonts w:hint="eastAsia" w:ascii="宋体" w:hAnsi="宋体" w:cs="宋体"/>
          <w:sz w:val="24"/>
          <w:szCs w:val="24"/>
          <w:highlight w:val="none"/>
        </w:rPr>
        <w:t>本公司对上述声明的真实性负责。如有虚假，将依法承担相应责任。</w:t>
      </w:r>
    </w:p>
    <w:p>
      <w:pPr>
        <w:spacing w:line="440" w:lineRule="exact"/>
        <w:outlineLvl w:val="0"/>
        <w:rPr>
          <w:rFonts w:ascii="宋体"/>
          <w:sz w:val="24"/>
          <w:szCs w:val="24"/>
          <w:highlight w:val="none"/>
        </w:rPr>
      </w:pPr>
    </w:p>
    <w:p>
      <w:pPr>
        <w:spacing w:line="440" w:lineRule="exact"/>
        <w:outlineLvl w:val="0"/>
        <w:rPr>
          <w:rFonts w:ascii="宋体"/>
          <w:sz w:val="24"/>
          <w:szCs w:val="24"/>
          <w:highlight w:val="none"/>
        </w:rPr>
      </w:pPr>
      <w:r>
        <w:rPr>
          <w:rFonts w:ascii="宋体"/>
          <w:sz w:val="24"/>
          <w:szCs w:val="24"/>
          <w:highlight w:val="none"/>
        </w:rPr>
        <w:tab/>
      </w:r>
    </w:p>
    <w:p>
      <w:pPr>
        <w:spacing w:line="440" w:lineRule="exact"/>
        <w:outlineLvl w:val="0"/>
        <w:rPr>
          <w:rFonts w:ascii="宋体"/>
          <w:sz w:val="24"/>
          <w:szCs w:val="24"/>
          <w:highlight w:val="none"/>
        </w:rPr>
      </w:pPr>
    </w:p>
    <w:p>
      <w:pPr>
        <w:spacing w:line="440" w:lineRule="exact"/>
        <w:jc w:val="right"/>
        <w:outlineLvl w:val="0"/>
        <w:rPr>
          <w:rFonts w:ascii="宋体"/>
          <w:sz w:val="24"/>
          <w:szCs w:val="24"/>
          <w:highlight w:val="none"/>
        </w:rPr>
      </w:pPr>
      <w:r>
        <w:rPr>
          <w:rFonts w:hint="eastAsia" w:ascii="宋体" w:hAnsi="宋体" w:cs="宋体"/>
          <w:sz w:val="24"/>
          <w:szCs w:val="24"/>
          <w:highlight w:val="none"/>
        </w:rPr>
        <w:t>企业名称（盖章）：</w:t>
      </w:r>
    </w:p>
    <w:p>
      <w:pPr>
        <w:spacing w:line="440" w:lineRule="exact"/>
        <w:jc w:val="right"/>
        <w:outlineLvl w:val="0"/>
        <w:rPr>
          <w:rFonts w:ascii="宋体"/>
          <w:sz w:val="24"/>
          <w:szCs w:val="24"/>
          <w:highlight w:val="none"/>
        </w:rPr>
      </w:pPr>
    </w:p>
    <w:p>
      <w:pPr>
        <w:spacing w:line="440" w:lineRule="exact"/>
        <w:jc w:val="right"/>
        <w:outlineLvl w:val="0"/>
        <w:rPr>
          <w:rFonts w:ascii="宋体"/>
          <w:sz w:val="24"/>
          <w:szCs w:val="24"/>
          <w:highlight w:val="none"/>
        </w:rPr>
      </w:pPr>
      <w:r>
        <w:rPr>
          <w:rFonts w:hint="eastAsia" w:ascii="宋体" w:hAnsi="宋体" w:cs="宋体"/>
          <w:sz w:val="24"/>
          <w:szCs w:val="24"/>
          <w:highlight w:val="none"/>
        </w:rPr>
        <w:t>日　　　　　　期：</w:t>
      </w:r>
    </w:p>
    <w:p>
      <w:pPr>
        <w:jc w:val="center"/>
        <w:rPr>
          <w:rFonts w:ascii="宋体"/>
          <w:b/>
          <w:bCs/>
          <w:sz w:val="32"/>
          <w:szCs w:val="32"/>
          <w:highlight w:val="none"/>
        </w:rPr>
      </w:pPr>
    </w:p>
    <w:p>
      <w:pPr>
        <w:jc w:val="center"/>
        <w:rPr>
          <w:rFonts w:ascii="宋体"/>
          <w:b/>
          <w:bCs/>
          <w:sz w:val="32"/>
          <w:szCs w:val="32"/>
          <w:highlight w:val="none"/>
        </w:rPr>
      </w:pPr>
    </w:p>
    <w:p>
      <w:pPr>
        <w:jc w:val="center"/>
        <w:rPr>
          <w:rFonts w:ascii="宋体"/>
          <w:b/>
          <w:bCs/>
          <w:sz w:val="32"/>
          <w:szCs w:val="32"/>
          <w:highlight w:val="none"/>
        </w:rPr>
      </w:pPr>
    </w:p>
    <w:p>
      <w:pPr>
        <w:jc w:val="center"/>
        <w:rPr>
          <w:rFonts w:ascii="宋体"/>
          <w:b/>
          <w:bCs/>
          <w:sz w:val="32"/>
          <w:szCs w:val="32"/>
          <w:highlight w:val="none"/>
        </w:rPr>
      </w:pPr>
    </w:p>
    <w:p>
      <w:pPr>
        <w:jc w:val="center"/>
        <w:rPr>
          <w:rFonts w:ascii="宋体"/>
          <w:b/>
          <w:bCs/>
          <w:sz w:val="32"/>
          <w:szCs w:val="32"/>
          <w:highlight w:val="none"/>
        </w:rPr>
      </w:pPr>
    </w:p>
    <w:p>
      <w:pPr>
        <w:jc w:val="center"/>
        <w:rPr>
          <w:rFonts w:ascii="宋体"/>
          <w:b/>
          <w:bCs/>
          <w:sz w:val="32"/>
          <w:szCs w:val="32"/>
          <w:highlight w:val="none"/>
        </w:rPr>
      </w:pPr>
    </w:p>
    <w:p>
      <w:pPr>
        <w:jc w:val="center"/>
        <w:rPr>
          <w:rFonts w:ascii="宋体"/>
          <w:b/>
          <w:bCs/>
          <w:sz w:val="32"/>
          <w:szCs w:val="32"/>
          <w:highlight w:val="none"/>
        </w:rPr>
      </w:pPr>
    </w:p>
    <w:p>
      <w:pPr>
        <w:pStyle w:val="8"/>
        <w:numPr>
          <w:ilvl w:val="4"/>
          <w:numId w:val="0"/>
        </w:numPr>
        <w:tabs>
          <w:tab w:val="left" w:pos="1080"/>
        </w:tabs>
        <w:rPr>
          <w:rFonts w:cs="Times New Roman"/>
          <w:highlight w:val="none"/>
        </w:rPr>
      </w:pPr>
    </w:p>
    <w:p>
      <w:pPr>
        <w:jc w:val="left"/>
        <w:outlineLvl w:val="0"/>
        <w:rPr>
          <w:rFonts w:ascii="黑体" w:hAnsi="宋体" w:eastAsia="黑体"/>
          <w:sz w:val="24"/>
          <w:szCs w:val="24"/>
          <w:highlight w:val="none"/>
        </w:rPr>
      </w:pPr>
    </w:p>
    <w:p>
      <w:pPr>
        <w:spacing w:line="360" w:lineRule="auto"/>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（十二）技术文件（格式自拟）</w:t>
      </w:r>
    </w:p>
    <w:p>
      <w:pPr>
        <w:jc w:val="center"/>
        <w:outlineLvl w:val="0"/>
        <w:rPr>
          <w:rFonts w:hint="eastAsia" w:ascii="宋体" w:hAnsi="宋体" w:eastAsia="宋体" w:cs="宋体"/>
          <w:sz w:val="30"/>
          <w:szCs w:val="30"/>
          <w:highlight w:val="none"/>
        </w:rPr>
      </w:pPr>
      <w:r>
        <w:rPr>
          <w:rFonts w:hint="eastAsia" w:ascii="宋体" w:hAnsi="宋体" w:eastAsia="宋体" w:cs="宋体"/>
          <w:color w:val="000000"/>
          <w:sz w:val="30"/>
          <w:szCs w:val="30"/>
          <w:highlight w:val="none"/>
        </w:rPr>
        <w:t>目   录</w:t>
      </w:r>
    </w:p>
    <w:p>
      <w:pPr>
        <w:keepNext w:val="0"/>
        <w:keepLines w:val="0"/>
        <w:pageBreakBefore w:val="0"/>
        <w:widowControl w:val="0"/>
        <w:tabs>
          <w:tab w:val="left" w:pos="525"/>
          <w:tab w:val="left" w:pos="105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 xml:space="preserve">1）岗前培训及阶段性培训管理；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b w:val="0"/>
          <w:bCs w:val="0"/>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b w:val="0"/>
          <w:bCs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物资装备的配备</w:t>
      </w:r>
      <w:r>
        <w:rPr>
          <w:rFonts w:hint="eastAsia" w:asciiTheme="minorEastAsia" w:hAnsiTheme="minorEastAsia" w:eastAsiaTheme="minorEastAsia" w:cstheme="minorEastAsia"/>
          <w:color w:val="auto"/>
          <w:kern w:val="0"/>
          <w:sz w:val="24"/>
          <w:szCs w:val="24"/>
          <w:highlight w:val="none"/>
          <w:lang w:val="en-US" w:eastAsia="zh-CN"/>
        </w:rPr>
        <w:t>及人员安排</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管理规章制度</w:t>
      </w:r>
      <w:r>
        <w:rPr>
          <w:rFonts w:hint="eastAsia" w:asciiTheme="minorEastAsia" w:hAnsiTheme="minorEastAsia" w:eastAsiaTheme="minorEastAsia" w:cstheme="minorEastAsia"/>
          <w:b w:val="0"/>
          <w:bCs w:val="0"/>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b w:val="0"/>
          <w:bCs w:val="0"/>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违停车辆清障服务中涉及的违停车辆清障、重大活动保障的工作流程</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违停车辆清障服务项目的重点难点问题措施</w:t>
      </w:r>
      <w:r>
        <w:rPr>
          <w:rFonts w:hint="eastAsia" w:asciiTheme="minorEastAsia" w:hAnsiTheme="minorEastAsia" w:eastAsiaTheme="minorEastAsia" w:cstheme="minorEastAsia"/>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档案资料管理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30"/>
          <w:szCs w:val="30"/>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rPr>
        <w:t>服务响应时间</w:t>
      </w:r>
      <w:r>
        <w:rPr>
          <w:rFonts w:hint="eastAsia"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 xml:space="preserve">  </w:t>
      </w:r>
      <w:r>
        <w:rPr>
          <w:rFonts w:hint="eastAsia" w:ascii="宋体" w:hAnsi="宋体" w:cs="宋体"/>
          <w:sz w:val="30"/>
          <w:szCs w:val="30"/>
          <w:highlight w:val="none"/>
          <w:lang w:val="en-US" w:eastAsia="zh-CN"/>
        </w:rPr>
        <w:t xml:space="preserve">                                            </w:t>
      </w:r>
    </w:p>
    <w:p>
      <w:pPr>
        <w:tabs>
          <w:tab w:val="left" w:pos="525"/>
          <w:tab w:val="left" w:pos="1050"/>
        </w:tabs>
        <w:spacing w:line="360" w:lineRule="auto"/>
        <w:ind w:firstLine="480" w:firstLineChars="200"/>
        <w:rPr>
          <w:rFonts w:hint="eastAsia" w:ascii="宋体" w:hAnsi="宋体" w:eastAsia="宋体" w:cs="Times New Roman"/>
          <w:sz w:val="24"/>
          <w:szCs w:val="24"/>
          <w:highlight w:val="none"/>
        </w:rPr>
      </w:pPr>
      <w:r>
        <w:rPr>
          <w:rFonts w:hint="eastAsia" w:ascii="宋体" w:hAnsi="宋体" w:cs="宋体"/>
          <w:kern w:val="0"/>
          <w:sz w:val="24"/>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cs="宋体"/>
          <w:kern w:val="0"/>
          <w:sz w:val="30"/>
          <w:szCs w:val="30"/>
          <w:highlight w:val="none"/>
          <w:lang w:val="en-US" w:eastAsia="zh-CN"/>
        </w:rPr>
        <w:t xml:space="preserve">   </w:t>
      </w:r>
      <w:r>
        <w:rPr>
          <w:rFonts w:hint="eastAsia" w:ascii="宋体" w:hAnsi="宋体" w:cs="宋体"/>
          <w:kern w:val="0"/>
          <w:sz w:val="24"/>
          <w:highlight w:val="none"/>
          <w:lang w:val="en-US" w:eastAsia="zh-CN"/>
        </w:rPr>
        <w:t xml:space="preserve">             </w:t>
      </w:r>
      <w:r>
        <w:rPr>
          <w:rFonts w:hint="eastAsia" w:ascii="宋体" w:hAnsi="宋体" w:cs="宋体"/>
          <w:sz w:val="24"/>
          <w:highlight w:val="none"/>
          <w:lang w:val="en-US" w:eastAsia="zh-CN"/>
        </w:rPr>
        <w:t xml:space="preserve">                         </w:t>
      </w:r>
    </w:p>
    <w:p>
      <w:pPr>
        <w:pStyle w:val="8"/>
        <w:numPr>
          <w:ilvl w:val="4"/>
          <w:numId w:val="0"/>
        </w:numPr>
        <w:ind w:leftChars="0"/>
        <w:rPr>
          <w:rFonts w:hint="eastAsia"/>
          <w:highlight w:val="none"/>
          <w:lang w:val="en-US" w:eastAsia="zh-CN"/>
        </w:rPr>
      </w:pP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left" w:pos="2406"/>
      </w:tabs>
      <w:ind w:right="450"/>
      <w:jc w:val="left"/>
      <w:rPr>
        <w:rFonts w:ascii="宋体" w:cs="宋体"/>
        <w:kern w:val="0"/>
        <w:sz w:val="11"/>
        <w:szCs w:val="11"/>
      </w:rPr>
    </w:pPr>
    <w:r>
      <w:rPr>
        <w:rFonts w:ascii="宋体" w:cs="宋体"/>
        <w:kern w:val="0"/>
        <w:sz w:val="11"/>
        <w:szCs w:val="11"/>
      </w:rPr>
      <w:t xml:space="preserve"> </w:t>
    </w:r>
    <w:r>
      <w:rPr>
        <w:rFonts w:ascii="宋体" w:cs="宋体"/>
        <w:kern w:val="0"/>
        <w:sz w:val="11"/>
        <w:szCs w:val="1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52E2B"/>
    <w:multiLevelType w:val="singleLevel"/>
    <w:tmpl w:val="B8552E2B"/>
    <w:lvl w:ilvl="0" w:tentative="0">
      <w:start w:val="2"/>
      <w:numFmt w:val="decimal"/>
      <w:suff w:val="nothing"/>
      <w:lvlText w:val="%1、"/>
      <w:lvlJc w:val="left"/>
    </w:lvl>
  </w:abstractNum>
  <w:abstractNum w:abstractNumId="1">
    <w:nsid w:val="B9E50204"/>
    <w:multiLevelType w:val="singleLevel"/>
    <w:tmpl w:val="B9E50204"/>
    <w:lvl w:ilvl="0" w:tentative="0">
      <w:start w:val="2"/>
      <w:numFmt w:val="decimal"/>
      <w:suff w:val="nothing"/>
      <w:lvlText w:val="（%1）"/>
      <w:lvlJc w:val="left"/>
    </w:lvl>
  </w:abstractNum>
  <w:abstractNum w:abstractNumId="2">
    <w:nsid w:val="EB45AB89"/>
    <w:multiLevelType w:val="singleLevel"/>
    <w:tmpl w:val="EB45AB89"/>
    <w:lvl w:ilvl="0" w:tentative="0">
      <w:start w:val="1"/>
      <w:numFmt w:val="decimal"/>
      <w:suff w:val="nothing"/>
      <w:lvlText w:val="%1．"/>
      <w:lvlJc w:val="left"/>
      <w:pPr>
        <w:ind w:firstLine="400"/>
      </w:pPr>
      <w:rPr>
        <w:rFonts w:hint="default"/>
      </w:rPr>
    </w:lvl>
  </w:abstractNum>
  <w:abstractNum w:abstractNumId="3">
    <w:nsid w:val="0000000A"/>
    <w:multiLevelType w:val="multilevel"/>
    <w:tmpl w:val="0000000A"/>
    <w:lvl w:ilvl="0" w:tentative="0">
      <w:start w:val="1"/>
      <w:numFmt w:val="chineseCountingThousand"/>
      <w:pStyle w:val="4"/>
      <w:lvlText w:val="第%1部分"/>
      <w:lvlJc w:val="left"/>
      <w:pPr>
        <w:tabs>
          <w:tab w:val="left" w:pos="1800"/>
        </w:tabs>
        <w:ind w:left="425" w:hanging="425"/>
      </w:pPr>
      <w:rPr>
        <w:rFonts w:hint="eastAsia"/>
      </w:rPr>
    </w:lvl>
    <w:lvl w:ilvl="1" w:tentative="0">
      <w:start w:val="1"/>
      <w:numFmt w:val="decimal"/>
      <w:pStyle w:val="5"/>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8"/>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0B"/>
    <w:multiLevelType w:val="multilevel"/>
    <w:tmpl w:val="0000000B"/>
    <w:lvl w:ilvl="0" w:tentative="0">
      <w:start w:val="1"/>
      <w:numFmt w:val="japaneseCounting"/>
      <w:lvlText w:val="（%1）"/>
      <w:lvlJc w:val="left"/>
      <w:pPr>
        <w:tabs>
          <w:tab w:val="left" w:pos="855"/>
        </w:tabs>
        <w:ind w:left="855" w:hanging="855"/>
      </w:pPr>
      <w:rPr>
        <w:rFonts w:hint="eastAsia"/>
      </w:rPr>
    </w:lvl>
    <w:lvl w:ilvl="1" w:tentative="0">
      <w:start w:val="3"/>
      <w:numFmt w:val="decimal"/>
      <w:lvlText w:val="%2."/>
      <w:lvlJc w:val="left"/>
      <w:pPr>
        <w:tabs>
          <w:tab w:val="left" w:pos="1125"/>
        </w:tabs>
        <w:ind w:left="1125" w:hanging="705"/>
      </w:pPr>
      <w:rPr>
        <w:rFonts w:hint="default"/>
      </w:rPr>
    </w:lvl>
    <w:lvl w:ilvl="2" w:tentative="0">
      <w:start w:val="1"/>
      <w:numFmt w:val="decimal"/>
      <w:lvlText w:val="%3."/>
      <w:lvlJc w:val="left"/>
      <w:pPr>
        <w:tabs>
          <w:tab w:val="left" w:pos="1740"/>
        </w:tabs>
        <w:ind w:left="1740" w:hanging="900"/>
      </w:pPr>
      <w:rPr>
        <w:rFonts w:hint="eastAsia"/>
        <w:color w:val="auto"/>
      </w:rPr>
    </w:lvl>
    <w:lvl w:ilvl="3" w:tentative="0">
      <w:start w:val="1"/>
      <w:numFmt w:val="decimal"/>
      <w:lvlText w:val="（%4）"/>
      <w:lvlJc w:val="left"/>
      <w:pPr>
        <w:tabs>
          <w:tab w:val="left" w:pos="1980"/>
        </w:tabs>
        <w:ind w:left="1980" w:hanging="720"/>
      </w:pPr>
      <w:rPr>
        <w:rFonts w:hint="eastAsia" w:ascii="宋体" w:hAnsi="宋体" w:eastAsia="宋体"/>
        <w:sz w:val="24"/>
        <w:szCs w:val="24"/>
      </w:rPr>
    </w:lvl>
    <w:lvl w:ilvl="4" w:tentative="0">
      <w:start w:val="1"/>
      <w:numFmt w:val="lowerLetter"/>
      <w:lvlText w:val="%5."/>
      <w:lvlJc w:val="left"/>
      <w:pPr>
        <w:tabs>
          <w:tab w:val="left" w:pos="2040"/>
        </w:tabs>
        <w:ind w:left="2040" w:hanging="360"/>
      </w:pPr>
      <w:rPr>
        <w:rFonts w:hint="eastAsia"/>
      </w:rPr>
    </w:lvl>
    <w:lvl w:ilvl="5" w:tentative="0">
      <w:start w:val="1"/>
      <w:numFmt w:val="decimal"/>
      <w:lvlText w:val="%6．"/>
      <w:lvlJc w:val="left"/>
      <w:pPr>
        <w:tabs>
          <w:tab w:val="left" w:pos="2820"/>
        </w:tabs>
        <w:ind w:left="2820" w:hanging="720"/>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decimalEnclosedCircle"/>
      <w:lvlText w:val="%8"/>
      <w:lvlJc w:val="left"/>
      <w:pPr>
        <w:tabs>
          <w:tab w:val="left" w:pos="3300"/>
        </w:tabs>
        <w:ind w:left="3300" w:hanging="360"/>
      </w:pPr>
      <w:rPr>
        <w:rFonts w:hint="default"/>
      </w:rPr>
    </w:lvl>
    <w:lvl w:ilvl="8" w:tentative="0">
      <w:start w:val="1"/>
      <w:numFmt w:val="lowerRoman"/>
      <w:lvlText w:val="%9."/>
      <w:lvlJc w:val="right"/>
      <w:pPr>
        <w:tabs>
          <w:tab w:val="left" w:pos="3780"/>
        </w:tabs>
        <w:ind w:left="3780" w:hanging="420"/>
      </w:pPr>
    </w:lvl>
  </w:abstractNum>
  <w:abstractNum w:abstractNumId="5">
    <w:nsid w:val="00000017"/>
    <w:multiLevelType w:val="singleLevel"/>
    <w:tmpl w:val="00000017"/>
    <w:lvl w:ilvl="0" w:tentative="0">
      <w:start w:val="1"/>
      <w:numFmt w:val="decimal"/>
      <w:suff w:val="nothing"/>
      <w:lvlText w:val="%1．"/>
      <w:lvlJc w:val="left"/>
      <w:pPr>
        <w:ind w:firstLine="400"/>
      </w:pPr>
      <w:rPr>
        <w:rFonts w:hint="default"/>
      </w:rPr>
    </w:lvl>
  </w:abstractNum>
  <w:abstractNum w:abstractNumId="6">
    <w:nsid w:val="0000001D"/>
    <w:multiLevelType w:val="singleLevel"/>
    <w:tmpl w:val="0000001D"/>
    <w:lvl w:ilvl="0" w:tentative="0">
      <w:start w:val="1"/>
      <w:numFmt w:val="decimal"/>
      <w:lvlText w:val="%1．"/>
      <w:lvlJc w:val="left"/>
      <w:pPr>
        <w:tabs>
          <w:tab w:val="left" w:pos="3360"/>
        </w:tabs>
        <w:ind w:left="3360" w:hanging="420"/>
      </w:pPr>
      <w:rPr>
        <w:rFonts w:hint="eastAsia"/>
      </w:rPr>
    </w:lvl>
  </w:abstractNum>
  <w:abstractNum w:abstractNumId="7">
    <w:nsid w:val="00000021"/>
    <w:multiLevelType w:val="singleLevel"/>
    <w:tmpl w:val="00000021"/>
    <w:lvl w:ilvl="0" w:tentative="0">
      <w:start w:val="1"/>
      <w:numFmt w:val="decimal"/>
      <w:pStyle w:val="35"/>
      <w:lvlText w:val="%1．"/>
      <w:lvlJc w:val="left"/>
      <w:pPr>
        <w:tabs>
          <w:tab w:val="left" w:pos="552"/>
        </w:tabs>
        <w:ind w:left="552" w:hanging="420"/>
      </w:pPr>
      <w:rPr>
        <w:rFonts w:hint="eastAsia"/>
      </w:rPr>
    </w:lvl>
  </w:abstractNum>
  <w:abstractNum w:abstractNumId="8">
    <w:nsid w:val="10926BFE"/>
    <w:multiLevelType w:val="multilevel"/>
    <w:tmpl w:val="10926BF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360"/>
        </w:tabs>
        <w:ind w:left="360" w:hanging="360"/>
      </w:pPr>
      <w:rPr>
        <w:rFonts w:hint="default" w:ascii="Times New Roman" w:hAnsi="Times New Roman" w:cs="Times New Roman"/>
        <w:color w:val="00000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7A26025B"/>
    <w:multiLevelType w:val="singleLevel"/>
    <w:tmpl w:val="7A26025B"/>
    <w:lvl w:ilvl="0" w:tentative="0">
      <w:start w:val="1"/>
      <w:numFmt w:val="decimal"/>
      <w:suff w:val="space"/>
      <w:lvlText w:val="%1."/>
      <w:lvlJc w:val="left"/>
    </w:lvl>
  </w:abstractNum>
  <w:num w:numId="1">
    <w:abstractNumId w:val="3"/>
  </w:num>
  <w:num w:numId="2">
    <w:abstractNumId w:val="7"/>
  </w:num>
  <w:num w:numId="3">
    <w:abstractNumId w:val="6"/>
  </w:num>
  <w:num w:numId="4">
    <w:abstractNumId w:val="4"/>
  </w:num>
  <w:num w:numId="5">
    <w:abstractNumId w:val="5"/>
  </w:num>
  <w:num w:numId="6">
    <w:abstractNumId w:val="2"/>
  </w:num>
  <w:num w:numId="7">
    <w:abstractNumId w:val="9"/>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ZTZiYWNlN2E5NjIyOTZiMjkxYmZlZTU3MWQzOTMifQ=="/>
  </w:docVars>
  <w:rsids>
    <w:rsidRoot w:val="00000000"/>
    <w:rsid w:val="001747AC"/>
    <w:rsid w:val="001F1D2C"/>
    <w:rsid w:val="00374D67"/>
    <w:rsid w:val="00411CA3"/>
    <w:rsid w:val="0058523E"/>
    <w:rsid w:val="006A72B0"/>
    <w:rsid w:val="008E0C60"/>
    <w:rsid w:val="0091469E"/>
    <w:rsid w:val="009629A9"/>
    <w:rsid w:val="00994EFF"/>
    <w:rsid w:val="00997D30"/>
    <w:rsid w:val="00F27441"/>
    <w:rsid w:val="012A0989"/>
    <w:rsid w:val="012D2227"/>
    <w:rsid w:val="012F4284"/>
    <w:rsid w:val="014C1BCD"/>
    <w:rsid w:val="01515DCE"/>
    <w:rsid w:val="0156177E"/>
    <w:rsid w:val="016609DC"/>
    <w:rsid w:val="01A11E3B"/>
    <w:rsid w:val="01A31ABB"/>
    <w:rsid w:val="01BC2F9F"/>
    <w:rsid w:val="01BF37C7"/>
    <w:rsid w:val="01C5133A"/>
    <w:rsid w:val="02104022"/>
    <w:rsid w:val="021138F7"/>
    <w:rsid w:val="024760C3"/>
    <w:rsid w:val="028279CD"/>
    <w:rsid w:val="02F33B1A"/>
    <w:rsid w:val="030A49C9"/>
    <w:rsid w:val="03253F4C"/>
    <w:rsid w:val="032572A5"/>
    <w:rsid w:val="034D4E02"/>
    <w:rsid w:val="0352701F"/>
    <w:rsid w:val="03724B63"/>
    <w:rsid w:val="037E4FBC"/>
    <w:rsid w:val="039B791C"/>
    <w:rsid w:val="03AE4937"/>
    <w:rsid w:val="03BA5E36"/>
    <w:rsid w:val="03CC748C"/>
    <w:rsid w:val="03CF5E7E"/>
    <w:rsid w:val="04161698"/>
    <w:rsid w:val="041A0836"/>
    <w:rsid w:val="041B116E"/>
    <w:rsid w:val="04241D95"/>
    <w:rsid w:val="04301D26"/>
    <w:rsid w:val="04340711"/>
    <w:rsid w:val="04633962"/>
    <w:rsid w:val="047A4E64"/>
    <w:rsid w:val="048A306B"/>
    <w:rsid w:val="048A45BA"/>
    <w:rsid w:val="049820AD"/>
    <w:rsid w:val="04B2316F"/>
    <w:rsid w:val="04D035F5"/>
    <w:rsid w:val="04DA0918"/>
    <w:rsid w:val="04FF037E"/>
    <w:rsid w:val="051B47FF"/>
    <w:rsid w:val="054022C8"/>
    <w:rsid w:val="05541460"/>
    <w:rsid w:val="05553AA1"/>
    <w:rsid w:val="05573D16"/>
    <w:rsid w:val="055B01CE"/>
    <w:rsid w:val="055F4733"/>
    <w:rsid w:val="05776E8E"/>
    <w:rsid w:val="057C552B"/>
    <w:rsid w:val="059B1D73"/>
    <w:rsid w:val="05C05314"/>
    <w:rsid w:val="05E33C0A"/>
    <w:rsid w:val="05E41A4E"/>
    <w:rsid w:val="060400BB"/>
    <w:rsid w:val="060E16CF"/>
    <w:rsid w:val="060E191F"/>
    <w:rsid w:val="06257970"/>
    <w:rsid w:val="06287461"/>
    <w:rsid w:val="06401624"/>
    <w:rsid w:val="065B0D78"/>
    <w:rsid w:val="067B1C86"/>
    <w:rsid w:val="068F658C"/>
    <w:rsid w:val="068F7430"/>
    <w:rsid w:val="06B62CBE"/>
    <w:rsid w:val="06B93462"/>
    <w:rsid w:val="06BA52D8"/>
    <w:rsid w:val="06BB4119"/>
    <w:rsid w:val="06E14CBE"/>
    <w:rsid w:val="070F28B2"/>
    <w:rsid w:val="07126147"/>
    <w:rsid w:val="071E2D3E"/>
    <w:rsid w:val="072B545A"/>
    <w:rsid w:val="073C1B2A"/>
    <w:rsid w:val="07582318"/>
    <w:rsid w:val="07736B4D"/>
    <w:rsid w:val="07862691"/>
    <w:rsid w:val="07AA637F"/>
    <w:rsid w:val="07B10F18"/>
    <w:rsid w:val="07FD6DF7"/>
    <w:rsid w:val="07FE2B6F"/>
    <w:rsid w:val="08283748"/>
    <w:rsid w:val="08471E20"/>
    <w:rsid w:val="084D3D8A"/>
    <w:rsid w:val="08601134"/>
    <w:rsid w:val="087D5842"/>
    <w:rsid w:val="0923283F"/>
    <w:rsid w:val="09273A00"/>
    <w:rsid w:val="093525C0"/>
    <w:rsid w:val="094A3820"/>
    <w:rsid w:val="094D16B8"/>
    <w:rsid w:val="094E5430"/>
    <w:rsid w:val="095353CE"/>
    <w:rsid w:val="0963712E"/>
    <w:rsid w:val="097E5305"/>
    <w:rsid w:val="09B259BF"/>
    <w:rsid w:val="09B63701"/>
    <w:rsid w:val="09BD035F"/>
    <w:rsid w:val="09DF0839"/>
    <w:rsid w:val="09E57B3D"/>
    <w:rsid w:val="09E85885"/>
    <w:rsid w:val="09F45FD8"/>
    <w:rsid w:val="0A184AE5"/>
    <w:rsid w:val="0A1D36B1"/>
    <w:rsid w:val="0A514034"/>
    <w:rsid w:val="0A577D9C"/>
    <w:rsid w:val="0A6A4CF1"/>
    <w:rsid w:val="0A867F26"/>
    <w:rsid w:val="0A934468"/>
    <w:rsid w:val="0A947A52"/>
    <w:rsid w:val="0AA03A6A"/>
    <w:rsid w:val="0AB47DEE"/>
    <w:rsid w:val="0AB54E14"/>
    <w:rsid w:val="0AC37453"/>
    <w:rsid w:val="0AC6015C"/>
    <w:rsid w:val="0AEE2A27"/>
    <w:rsid w:val="0AF3489C"/>
    <w:rsid w:val="0B0B182B"/>
    <w:rsid w:val="0B3A5C6C"/>
    <w:rsid w:val="0B452114"/>
    <w:rsid w:val="0B4D3BF1"/>
    <w:rsid w:val="0B6E002E"/>
    <w:rsid w:val="0B927856"/>
    <w:rsid w:val="0B9C06D5"/>
    <w:rsid w:val="0BB377CC"/>
    <w:rsid w:val="0BB60295"/>
    <w:rsid w:val="0BBF642C"/>
    <w:rsid w:val="0BC96FF0"/>
    <w:rsid w:val="0BE86C04"/>
    <w:rsid w:val="0BFC3D4A"/>
    <w:rsid w:val="0C41127C"/>
    <w:rsid w:val="0C4F3999"/>
    <w:rsid w:val="0C664AFA"/>
    <w:rsid w:val="0C812AB9"/>
    <w:rsid w:val="0CE5570B"/>
    <w:rsid w:val="0D224637"/>
    <w:rsid w:val="0D326A5B"/>
    <w:rsid w:val="0D570809"/>
    <w:rsid w:val="0DAA1C84"/>
    <w:rsid w:val="0DB8543B"/>
    <w:rsid w:val="0DBB7A2B"/>
    <w:rsid w:val="0DCF218D"/>
    <w:rsid w:val="0DD028B8"/>
    <w:rsid w:val="0DD759F4"/>
    <w:rsid w:val="0DE85E53"/>
    <w:rsid w:val="0DF90060"/>
    <w:rsid w:val="0E0021E6"/>
    <w:rsid w:val="0E19425F"/>
    <w:rsid w:val="0E26072A"/>
    <w:rsid w:val="0E8F4521"/>
    <w:rsid w:val="0EB302EB"/>
    <w:rsid w:val="0EBE1041"/>
    <w:rsid w:val="0EE0247C"/>
    <w:rsid w:val="0EF80318"/>
    <w:rsid w:val="0F024CF3"/>
    <w:rsid w:val="0F087E2F"/>
    <w:rsid w:val="0F0913B0"/>
    <w:rsid w:val="0F0966E5"/>
    <w:rsid w:val="0F0C028E"/>
    <w:rsid w:val="0F1B5DB5"/>
    <w:rsid w:val="0F1E2B2D"/>
    <w:rsid w:val="0F2509E1"/>
    <w:rsid w:val="0F26545B"/>
    <w:rsid w:val="0F441DAA"/>
    <w:rsid w:val="0F557518"/>
    <w:rsid w:val="0F5D0BCD"/>
    <w:rsid w:val="0F5F0397"/>
    <w:rsid w:val="0F921E4E"/>
    <w:rsid w:val="0FB07C45"/>
    <w:rsid w:val="0FC76BED"/>
    <w:rsid w:val="0FF24DB7"/>
    <w:rsid w:val="10052B96"/>
    <w:rsid w:val="102E38C6"/>
    <w:rsid w:val="10336C98"/>
    <w:rsid w:val="1039266B"/>
    <w:rsid w:val="105D4E3C"/>
    <w:rsid w:val="105E41AB"/>
    <w:rsid w:val="10802373"/>
    <w:rsid w:val="10D86084"/>
    <w:rsid w:val="10E36DA6"/>
    <w:rsid w:val="10EE19D3"/>
    <w:rsid w:val="11005262"/>
    <w:rsid w:val="11146F5F"/>
    <w:rsid w:val="11182772"/>
    <w:rsid w:val="11436F92"/>
    <w:rsid w:val="11557F73"/>
    <w:rsid w:val="115B4B8E"/>
    <w:rsid w:val="115E01DA"/>
    <w:rsid w:val="11766E14"/>
    <w:rsid w:val="11AF6095"/>
    <w:rsid w:val="11C05D49"/>
    <w:rsid w:val="11D32976"/>
    <w:rsid w:val="11E93499"/>
    <w:rsid w:val="11E93F48"/>
    <w:rsid w:val="11EF7F47"/>
    <w:rsid w:val="11FC3C7B"/>
    <w:rsid w:val="1236085B"/>
    <w:rsid w:val="12446D55"/>
    <w:rsid w:val="126873B6"/>
    <w:rsid w:val="128A7B95"/>
    <w:rsid w:val="1299771C"/>
    <w:rsid w:val="12BF6B87"/>
    <w:rsid w:val="12C0739F"/>
    <w:rsid w:val="12DC3AAD"/>
    <w:rsid w:val="12F11306"/>
    <w:rsid w:val="12F6691D"/>
    <w:rsid w:val="12FE7EC7"/>
    <w:rsid w:val="132A2A6A"/>
    <w:rsid w:val="134F1897"/>
    <w:rsid w:val="13506989"/>
    <w:rsid w:val="13712447"/>
    <w:rsid w:val="137912FC"/>
    <w:rsid w:val="13A46379"/>
    <w:rsid w:val="13AD693A"/>
    <w:rsid w:val="13DA2891"/>
    <w:rsid w:val="13E0569F"/>
    <w:rsid w:val="13F15336"/>
    <w:rsid w:val="140266D8"/>
    <w:rsid w:val="143316B0"/>
    <w:rsid w:val="145E3E44"/>
    <w:rsid w:val="14AD5701"/>
    <w:rsid w:val="14B60A59"/>
    <w:rsid w:val="14C9752B"/>
    <w:rsid w:val="14E07884"/>
    <w:rsid w:val="14E86739"/>
    <w:rsid w:val="14EF7AC7"/>
    <w:rsid w:val="151417DA"/>
    <w:rsid w:val="151E14E5"/>
    <w:rsid w:val="152F6116"/>
    <w:rsid w:val="153320AA"/>
    <w:rsid w:val="153876C0"/>
    <w:rsid w:val="15393438"/>
    <w:rsid w:val="153B0F5F"/>
    <w:rsid w:val="1565422D"/>
    <w:rsid w:val="156D6C30"/>
    <w:rsid w:val="156E6BA7"/>
    <w:rsid w:val="15761F97"/>
    <w:rsid w:val="159B1DCC"/>
    <w:rsid w:val="159E4D00"/>
    <w:rsid w:val="15BD5E17"/>
    <w:rsid w:val="15CE592F"/>
    <w:rsid w:val="15D34291"/>
    <w:rsid w:val="15DC09CE"/>
    <w:rsid w:val="15E16E64"/>
    <w:rsid w:val="15E3643E"/>
    <w:rsid w:val="15ED7E33"/>
    <w:rsid w:val="15F46E44"/>
    <w:rsid w:val="15F4787E"/>
    <w:rsid w:val="1626576B"/>
    <w:rsid w:val="165013C4"/>
    <w:rsid w:val="16514256"/>
    <w:rsid w:val="16637D57"/>
    <w:rsid w:val="16711852"/>
    <w:rsid w:val="167F4E7B"/>
    <w:rsid w:val="16831C06"/>
    <w:rsid w:val="16921052"/>
    <w:rsid w:val="169F376F"/>
    <w:rsid w:val="16A62FEF"/>
    <w:rsid w:val="16B15D26"/>
    <w:rsid w:val="16BC7326"/>
    <w:rsid w:val="16CD208A"/>
    <w:rsid w:val="16DC147A"/>
    <w:rsid w:val="16ED3D92"/>
    <w:rsid w:val="16F615E1"/>
    <w:rsid w:val="170B2BB3"/>
    <w:rsid w:val="170F3EB1"/>
    <w:rsid w:val="17163A31"/>
    <w:rsid w:val="171A32E9"/>
    <w:rsid w:val="17732C32"/>
    <w:rsid w:val="17AF0DE2"/>
    <w:rsid w:val="17C0399D"/>
    <w:rsid w:val="17CC2342"/>
    <w:rsid w:val="17D35D21"/>
    <w:rsid w:val="17D968E5"/>
    <w:rsid w:val="17E4082F"/>
    <w:rsid w:val="17F43647"/>
    <w:rsid w:val="18047E9E"/>
    <w:rsid w:val="180C0917"/>
    <w:rsid w:val="1840126B"/>
    <w:rsid w:val="18697B91"/>
    <w:rsid w:val="187C47A2"/>
    <w:rsid w:val="18932E60"/>
    <w:rsid w:val="18995B9F"/>
    <w:rsid w:val="189E2D38"/>
    <w:rsid w:val="18AB5655"/>
    <w:rsid w:val="18E3280A"/>
    <w:rsid w:val="18E53D25"/>
    <w:rsid w:val="191A0E8B"/>
    <w:rsid w:val="191E2EA7"/>
    <w:rsid w:val="191F46F3"/>
    <w:rsid w:val="194A5C14"/>
    <w:rsid w:val="19687E48"/>
    <w:rsid w:val="198A7DBF"/>
    <w:rsid w:val="198C4FC9"/>
    <w:rsid w:val="199B0336"/>
    <w:rsid w:val="19CE4405"/>
    <w:rsid w:val="19E576EB"/>
    <w:rsid w:val="19F00251"/>
    <w:rsid w:val="19FD67E3"/>
    <w:rsid w:val="19FE46B5"/>
    <w:rsid w:val="1A126733"/>
    <w:rsid w:val="1A1D50D7"/>
    <w:rsid w:val="1A235FFB"/>
    <w:rsid w:val="1A366198"/>
    <w:rsid w:val="1A4765B8"/>
    <w:rsid w:val="1A632C63"/>
    <w:rsid w:val="1AA2738A"/>
    <w:rsid w:val="1AA66E7A"/>
    <w:rsid w:val="1AB93AF5"/>
    <w:rsid w:val="1AC86365"/>
    <w:rsid w:val="1ACF76F9"/>
    <w:rsid w:val="1AD82DAC"/>
    <w:rsid w:val="1ADE1BD5"/>
    <w:rsid w:val="1AE856E5"/>
    <w:rsid w:val="1AFA0F74"/>
    <w:rsid w:val="1AFA5F43"/>
    <w:rsid w:val="1B0F0EC3"/>
    <w:rsid w:val="1B12332A"/>
    <w:rsid w:val="1B2E6B14"/>
    <w:rsid w:val="1B4548E5"/>
    <w:rsid w:val="1B4D49F0"/>
    <w:rsid w:val="1B836421"/>
    <w:rsid w:val="1BA23AE5"/>
    <w:rsid w:val="1BAD4238"/>
    <w:rsid w:val="1BD977E3"/>
    <w:rsid w:val="1BDE2644"/>
    <w:rsid w:val="1BF91BD9"/>
    <w:rsid w:val="1BFF5C68"/>
    <w:rsid w:val="1C145E8F"/>
    <w:rsid w:val="1C3141B7"/>
    <w:rsid w:val="1C5105AF"/>
    <w:rsid w:val="1C5446B4"/>
    <w:rsid w:val="1C5648D0"/>
    <w:rsid w:val="1C5650F0"/>
    <w:rsid w:val="1C640D9B"/>
    <w:rsid w:val="1C644F76"/>
    <w:rsid w:val="1C6F7740"/>
    <w:rsid w:val="1C79387F"/>
    <w:rsid w:val="1CA05B4B"/>
    <w:rsid w:val="1CA44A2D"/>
    <w:rsid w:val="1CB564E4"/>
    <w:rsid w:val="1CBD494F"/>
    <w:rsid w:val="1CC11770"/>
    <w:rsid w:val="1CC730D8"/>
    <w:rsid w:val="1CCB706C"/>
    <w:rsid w:val="1CEF7861"/>
    <w:rsid w:val="1D1D68F0"/>
    <w:rsid w:val="1D3569D6"/>
    <w:rsid w:val="1D387B44"/>
    <w:rsid w:val="1D655A3D"/>
    <w:rsid w:val="1D6A4651"/>
    <w:rsid w:val="1D9A07EC"/>
    <w:rsid w:val="1D9C2CB3"/>
    <w:rsid w:val="1DAA6C81"/>
    <w:rsid w:val="1DB250E6"/>
    <w:rsid w:val="1DB45D52"/>
    <w:rsid w:val="1DC41205"/>
    <w:rsid w:val="1DC87107"/>
    <w:rsid w:val="1DEA704E"/>
    <w:rsid w:val="1E097BC7"/>
    <w:rsid w:val="1E122A78"/>
    <w:rsid w:val="1E34479D"/>
    <w:rsid w:val="1E4075E6"/>
    <w:rsid w:val="1E566E09"/>
    <w:rsid w:val="1E977F21"/>
    <w:rsid w:val="1EB409D1"/>
    <w:rsid w:val="1EBA3A3C"/>
    <w:rsid w:val="1ECB5101"/>
    <w:rsid w:val="1EE14925"/>
    <w:rsid w:val="1EE40026"/>
    <w:rsid w:val="1EF32942"/>
    <w:rsid w:val="1F0A017C"/>
    <w:rsid w:val="1F240FEC"/>
    <w:rsid w:val="1F2435EF"/>
    <w:rsid w:val="1F5570C1"/>
    <w:rsid w:val="1F6D61B8"/>
    <w:rsid w:val="1FBD3B1D"/>
    <w:rsid w:val="1FBD401E"/>
    <w:rsid w:val="1FF11203"/>
    <w:rsid w:val="200603BB"/>
    <w:rsid w:val="200E4970"/>
    <w:rsid w:val="201725C8"/>
    <w:rsid w:val="201B5C14"/>
    <w:rsid w:val="201D58D9"/>
    <w:rsid w:val="201E5705"/>
    <w:rsid w:val="209C2C89"/>
    <w:rsid w:val="20A52531"/>
    <w:rsid w:val="20BB11A5"/>
    <w:rsid w:val="20BB2EB9"/>
    <w:rsid w:val="20C626AD"/>
    <w:rsid w:val="20CE2C87"/>
    <w:rsid w:val="20D12777"/>
    <w:rsid w:val="20D81D57"/>
    <w:rsid w:val="20E3645C"/>
    <w:rsid w:val="20E71F9A"/>
    <w:rsid w:val="20F626D9"/>
    <w:rsid w:val="20F94359"/>
    <w:rsid w:val="21204F6E"/>
    <w:rsid w:val="212154AC"/>
    <w:rsid w:val="21250EB8"/>
    <w:rsid w:val="2130305C"/>
    <w:rsid w:val="21543ADE"/>
    <w:rsid w:val="215A09BE"/>
    <w:rsid w:val="2192709C"/>
    <w:rsid w:val="21AD4F92"/>
    <w:rsid w:val="21C26CCA"/>
    <w:rsid w:val="21F961C3"/>
    <w:rsid w:val="2217065D"/>
    <w:rsid w:val="222D52A6"/>
    <w:rsid w:val="224D60FF"/>
    <w:rsid w:val="22596EC8"/>
    <w:rsid w:val="22716E90"/>
    <w:rsid w:val="227862DF"/>
    <w:rsid w:val="22804455"/>
    <w:rsid w:val="22A21B1F"/>
    <w:rsid w:val="22B440FE"/>
    <w:rsid w:val="22D60519"/>
    <w:rsid w:val="22D76FBC"/>
    <w:rsid w:val="22D95913"/>
    <w:rsid w:val="23506270"/>
    <w:rsid w:val="23773AAF"/>
    <w:rsid w:val="23774C8E"/>
    <w:rsid w:val="237C10C0"/>
    <w:rsid w:val="237D2742"/>
    <w:rsid w:val="238910E7"/>
    <w:rsid w:val="23C30A9D"/>
    <w:rsid w:val="23E832F1"/>
    <w:rsid w:val="23EB0047"/>
    <w:rsid w:val="23ED3D6C"/>
    <w:rsid w:val="23F777D7"/>
    <w:rsid w:val="23F83519"/>
    <w:rsid w:val="2417512A"/>
    <w:rsid w:val="2419493C"/>
    <w:rsid w:val="241D070A"/>
    <w:rsid w:val="242F2A7C"/>
    <w:rsid w:val="243C7D9A"/>
    <w:rsid w:val="24426B47"/>
    <w:rsid w:val="245B6F27"/>
    <w:rsid w:val="246102B6"/>
    <w:rsid w:val="246E7559"/>
    <w:rsid w:val="247032B6"/>
    <w:rsid w:val="247238F2"/>
    <w:rsid w:val="24A3442A"/>
    <w:rsid w:val="24A73F1B"/>
    <w:rsid w:val="24AE34FB"/>
    <w:rsid w:val="24EE7D9B"/>
    <w:rsid w:val="24F86524"/>
    <w:rsid w:val="25072C0B"/>
    <w:rsid w:val="250C589F"/>
    <w:rsid w:val="251F7F55"/>
    <w:rsid w:val="25385CB4"/>
    <w:rsid w:val="25537BFE"/>
    <w:rsid w:val="257302A1"/>
    <w:rsid w:val="25891872"/>
    <w:rsid w:val="25A1634B"/>
    <w:rsid w:val="25C12DBA"/>
    <w:rsid w:val="25CD5C03"/>
    <w:rsid w:val="25CE54D7"/>
    <w:rsid w:val="25F27417"/>
    <w:rsid w:val="25FC107F"/>
    <w:rsid w:val="261B7AF9"/>
    <w:rsid w:val="2640493D"/>
    <w:rsid w:val="264C6A3D"/>
    <w:rsid w:val="26713510"/>
    <w:rsid w:val="26B24DF9"/>
    <w:rsid w:val="26B91CE3"/>
    <w:rsid w:val="26BE19EF"/>
    <w:rsid w:val="26D01B93"/>
    <w:rsid w:val="26D42FC1"/>
    <w:rsid w:val="26D703BB"/>
    <w:rsid w:val="26DE6A53"/>
    <w:rsid w:val="26EA0F5C"/>
    <w:rsid w:val="270311B0"/>
    <w:rsid w:val="2714569C"/>
    <w:rsid w:val="27213B76"/>
    <w:rsid w:val="27383550"/>
    <w:rsid w:val="273D3956"/>
    <w:rsid w:val="27441EF5"/>
    <w:rsid w:val="27497F52"/>
    <w:rsid w:val="27530316"/>
    <w:rsid w:val="2760456E"/>
    <w:rsid w:val="276C640A"/>
    <w:rsid w:val="27946E80"/>
    <w:rsid w:val="27D112AE"/>
    <w:rsid w:val="27E234BC"/>
    <w:rsid w:val="27F67230"/>
    <w:rsid w:val="27FC632B"/>
    <w:rsid w:val="28187BC7"/>
    <w:rsid w:val="2823047A"/>
    <w:rsid w:val="28377363"/>
    <w:rsid w:val="284E0B51"/>
    <w:rsid w:val="28513664"/>
    <w:rsid w:val="28584D39"/>
    <w:rsid w:val="2859377E"/>
    <w:rsid w:val="285D6B99"/>
    <w:rsid w:val="285F7571"/>
    <w:rsid w:val="28C130D1"/>
    <w:rsid w:val="28D15A0A"/>
    <w:rsid w:val="28EA6ACC"/>
    <w:rsid w:val="290F02E0"/>
    <w:rsid w:val="292908D4"/>
    <w:rsid w:val="292D19F0"/>
    <w:rsid w:val="29311CF7"/>
    <w:rsid w:val="293F5426"/>
    <w:rsid w:val="295008C4"/>
    <w:rsid w:val="296323DA"/>
    <w:rsid w:val="29645DE5"/>
    <w:rsid w:val="29824F56"/>
    <w:rsid w:val="29B21197"/>
    <w:rsid w:val="29B82726"/>
    <w:rsid w:val="29C9048F"/>
    <w:rsid w:val="2A07545B"/>
    <w:rsid w:val="2A0A5752"/>
    <w:rsid w:val="2A0C65CE"/>
    <w:rsid w:val="2A121B27"/>
    <w:rsid w:val="2A17569E"/>
    <w:rsid w:val="2A1C7A2A"/>
    <w:rsid w:val="2A3E70CF"/>
    <w:rsid w:val="2A4B5348"/>
    <w:rsid w:val="2A4F06B7"/>
    <w:rsid w:val="2A6C52BE"/>
    <w:rsid w:val="2A7C3749"/>
    <w:rsid w:val="2A9F7442"/>
    <w:rsid w:val="2AB12C28"/>
    <w:rsid w:val="2AE15CAC"/>
    <w:rsid w:val="2B2111C7"/>
    <w:rsid w:val="2B250C6E"/>
    <w:rsid w:val="2B277B63"/>
    <w:rsid w:val="2B2F6A18"/>
    <w:rsid w:val="2B3E42A3"/>
    <w:rsid w:val="2B6E040C"/>
    <w:rsid w:val="2B7A63E5"/>
    <w:rsid w:val="2B7F1CBA"/>
    <w:rsid w:val="2B914308"/>
    <w:rsid w:val="2B960845"/>
    <w:rsid w:val="2B966FAA"/>
    <w:rsid w:val="2BA94A1C"/>
    <w:rsid w:val="2BC74EA2"/>
    <w:rsid w:val="2BC76C50"/>
    <w:rsid w:val="2BD37364"/>
    <w:rsid w:val="2BD61589"/>
    <w:rsid w:val="2BE07D12"/>
    <w:rsid w:val="2BF11F1F"/>
    <w:rsid w:val="2BF710FE"/>
    <w:rsid w:val="2C257ED2"/>
    <w:rsid w:val="2C26606D"/>
    <w:rsid w:val="2C2E244C"/>
    <w:rsid w:val="2C3F2C8B"/>
    <w:rsid w:val="2C424529"/>
    <w:rsid w:val="2C444593"/>
    <w:rsid w:val="2C4B7881"/>
    <w:rsid w:val="2C62036A"/>
    <w:rsid w:val="2C6556FB"/>
    <w:rsid w:val="2C844B41"/>
    <w:rsid w:val="2C9034E6"/>
    <w:rsid w:val="2CA46F92"/>
    <w:rsid w:val="2CA84CD4"/>
    <w:rsid w:val="2CA90A4C"/>
    <w:rsid w:val="2CAD1E3D"/>
    <w:rsid w:val="2CD86C3B"/>
    <w:rsid w:val="2CF9552F"/>
    <w:rsid w:val="2D1144F2"/>
    <w:rsid w:val="2D1265F1"/>
    <w:rsid w:val="2D241798"/>
    <w:rsid w:val="2D246E8D"/>
    <w:rsid w:val="2D39592C"/>
    <w:rsid w:val="2D3C77E2"/>
    <w:rsid w:val="2D5E5392"/>
    <w:rsid w:val="2D6230D5"/>
    <w:rsid w:val="2D947006"/>
    <w:rsid w:val="2DB11966"/>
    <w:rsid w:val="2DBA6ABB"/>
    <w:rsid w:val="2DBB4C44"/>
    <w:rsid w:val="2DC461C6"/>
    <w:rsid w:val="2DDD4176"/>
    <w:rsid w:val="2DE531B8"/>
    <w:rsid w:val="2DE57862"/>
    <w:rsid w:val="2DEC299E"/>
    <w:rsid w:val="2DEC744F"/>
    <w:rsid w:val="2DF53F49"/>
    <w:rsid w:val="2E1E4B22"/>
    <w:rsid w:val="2E26736B"/>
    <w:rsid w:val="2E2B48D2"/>
    <w:rsid w:val="2E494294"/>
    <w:rsid w:val="2E513149"/>
    <w:rsid w:val="2E5909DA"/>
    <w:rsid w:val="2E6B53DA"/>
    <w:rsid w:val="2E6D0BE6"/>
    <w:rsid w:val="2E731311"/>
    <w:rsid w:val="2E7E7DC6"/>
    <w:rsid w:val="2EA65243"/>
    <w:rsid w:val="2EB36C62"/>
    <w:rsid w:val="2ECB2EFB"/>
    <w:rsid w:val="2EE13011"/>
    <w:rsid w:val="2EF57F78"/>
    <w:rsid w:val="2EFC7199"/>
    <w:rsid w:val="2F115F90"/>
    <w:rsid w:val="2F195A15"/>
    <w:rsid w:val="2F2B4570"/>
    <w:rsid w:val="2F480C6B"/>
    <w:rsid w:val="2F67489E"/>
    <w:rsid w:val="2F6953C2"/>
    <w:rsid w:val="2F740E9D"/>
    <w:rsid w:val="2F971C83"/>
    <w:rsid w:val="2F9C03F4"/>
    <w:rsid w:val="2FFE1E61"/>
    <w:rsid w:val="2FFE4C0B"/>
    <w:rsid w:val="300C37CC"/>
    <w:rsid w:val="301306B6"/>
    <w:rsid w:val="30132550"/>
    <w:rsid w:val="30240B15"/>
    <w:rsid w:val="30264996"/>
    <w:rsid w:val="30420F9B"/>
    <w:rsid w:val="30651D38"/>
    <w:rsid w:val="30673BAE"/>
    <w:rsid w:val="306E6D99"/>
    <w:rsid w:val="30755F1B"/>
    <w:rsid w:val="308710A4"/>
    <w:rsid w:val="30964A73"/>
    <w:rsid w:val="30C419B0"/>
    <w:rsid w:val="30CB71E3"/>
    <w:rsid w:val="30E062E6"/>
    <w:rsid w:val="30EB74D7"/>
    <w:rsid w:val="30F229C1"/>
    <w:rsid w:val="30F31139"/>
    <w:rsid w:val="30F7003D"/>
    <w:rsid w:val="3108724E"/>
    <w:rsid w:val="31114128"/>
    <w:rsid w:val="312B5ED3"/>
    <w:rsid w:val="31572824"/>
    <w:rsid w:val="3166233E"/>
    <w:rsid w:val="31A70566"/>
    <w:rsid w:val="31A737AC"/>
    <w:rsid w:val="31C0661C"/>
    <w:rsid w:val="31ED3D01"/>
    <w:rsid w:val="31FE7144"/>
    <w:rsid w:val="321027CB"/>
    <w:rsid w:val="32186458"/>
    <w:rsid w:val="32516BF0"/>
    <w:rsid w:val="32597EC7"/>
    <w:rsid w:val="325A259F"/>
    <w:rsid w:val="3268280F"/>
    <w:rsid w:val="32807168"/>
    <w:rsid w:val="32977A40"/>
    <w:rsid w:val="32A31C4C"/>
    <w:rsid w:val="32AC3044"/>
    <w:rsid w:val="32BD219F"/>
    <w:rsid w:val="32BF2D77"/>
    <w:rsid w:val="32C20171"/>
    <w:rsid w:val="32DD31FD"/>
    <w:rsid w:val="32E31607"/>
    <w:rsid w:val="330A6264"/>
    <w:rsid w:val="331623E5"/>
    <w:rsid w:val="333F7A14"/>
    <w:rsid w:val="335334BF"/>
    <w:rsid w:val="336E3E55"/>
    <w:rsid w:val="33882AFC"/>
    <w:rsid w:val="33F521ED"/>
    <w:rsid w:val="341906EF"/>
    <w:rsid w:val="3430563F"/>
    <w:rsid w:val="344975C9"/>
    <w:rsid w:val="34591E9C"/>
    <w:rsid w:val="346A0622"/>
    <w:rsid w:val="34754B87"/>
    <w:rsid w:val="34774CAA"/>
    <w:rsid w:val="34833930"/>
    <w:rsid w:val="349124F1"/>
    <w:rsid w:val="34991016"/>
    <w:rsid w:val="34AB35B3"/>
    <w:rsid w:val="351C413D"/>
    <w:rsid w:val="356F3CBC"/>
    <w:rsid w:val="357F67EE"/>
    <w:rsid w:val="359C114E"/>
    <w:rsid w:val="35B71AE4"/>
    <w:rsid w:val="35BA15D4"/>
    <w:rsid w:val="35CF676F"/>
    <w:rsid w:val="35E93C67"/>
    <w:rsid w:val="364076FC"/>
    <w:rsid w:val="369D517D"/>
    <w:rsid w:val="36C0292C"/>
    <w:rsid w:val="36C344B8"/>
    <w:rsid w:val="36D16BD5"/>
    <w:rsid w:val="36D84407"/>
    <w:rsid w:val="36F76A4A"/>
    <w:rsid w:val="371854BD"/>
    <w:rsid w:val="37227431"/>
    <w:rsid w:val="37284CC4"/>
    <w:rsid w:val="372C02AF"/>
    <w:rsid w:val="373068D7"/>
    <w:rsid w:val="373D426B"/>
    <w:rsid w:val="374B6987"/>
    <w:rsid w:val="37645C9B"/>
    <w:rsid w:val="37670CFB"/>
    <w:rsid w:val="376A52B7"/>
    <w:rsid w:val="376C4B50"/>
    <w:rsid w:val="37767142"/>
    <w:rsid w:val="37785D74"/>
    <w:rsid w:val="3784633D"/>
    <w:rsid w:val="3793032E"/>
    <w:rsid w:val="37981EAD"/>
    <w:rsid w:val="37B248FD"/>
    <w:rsid w:val="37BF7375"/>
    <w:rsid w:val="37D73C36"/>
    <w:rsid w:val="37DF3574"/>
    <w:rsid w:val="37E07593"/>
    <w:rsid w:val="37F92887"/>
    <w:rsid w:val="383E473E"/>
    <w:rsid w:val="38594918"/>
    <w:rsid w:val="385950D4"/>
    <w:rsid w:val="385E7BC2"/>
    <w:rsid w:val="38653A79"/>
    <w:rsid w:val="387719FE"/>
    <w:rsid w:val="3894296A"/>
    <w:rsid w:val="38B40535"/>
    <w:rsid w:val="38B47AD0"/>
    <w:rsid w:val="38DA745B"/>
    <w:rsid w:val="38E9361D"/>
    <w:rsid w:val="38F8573A"/>
    <w:rsid w:val="390F4D4F"/>
    <w:rsid w:val="39131727"/>
    <w:rsid w:val="392806B2"/>
    <w:rsid w:val="392E6561"/>
    <w:rsid w:val="39363667"/>
    <w:rsid w:val="395104A1"/>
    <w:rsid w:val="39767E42"/>
    <w:rsid w:val="3986639D"/>
    <w:rsid w:val="39A607ED"/>
    <w:rsid w:val="39A700C1"/>
    <w:rsid w:val="39B36FF2"/>
    <w:rsid w:val="39C33D67"/>
    <w:rsid w:val="39C67608"/>
    <w:rsid w:val="39D32C64"/>
    <w:rsid w:val="39E74FE5"/>
    <w:rsid w:val="39E918FB"/>
    <w:rsid w:val="39EE37AE"/>
    <w:rsid w:val="3A6D130B"/>
    <w:rsid w:val="3A744026"/>
    <w:rsid w:val="3A802DEC"/>
    <w:rsid w:val="3A811D9E"/>
    <w:rsid w:val="3A995C5C"/>
    <w:rsid w:val="3A9B4EA2"/>
    <w:rsid w:val="3AA840F1"/>
    <w:rsid w:val="3AB900AC"/>
    <w:rsid w:val="3ABA036F"/>
    <w:rsid w:val="3ABC7B9C"/>
    <w:rsid w:val="3AD17B25"/>
    <w:rsid w:val="3AD756A7"/>
    <w:rsid w:val="3AEC0481"/>
    <w:rsid w:val="3AEE41FA"/>
    <w:rsid w:val="3AFA0DF0"/>
    <w:rsid w:val="3AFB5E98"/>
    <w:rsid w:val="3B201ED9"/>
    <w:rsid w:val="3B281EB5"/>
    <w:rsid w:val="3B2F65C0"/>
    <w:rsid w:val="3B625686"/>
    <w:rsid w:val="3B640A64"/>
    <w:rsid w:val="3B6B24DA"/>
    <w:rsid w:val="3B7346FF"/>
    <w:rsid w:val="3B7E2844"/>
    <w:rsid w:val="3BB057B4"/>
    <w:rsid w:val="3BDD426E"/>
    <w:rsid w:val="3BEC44F4"/>
    <w:rsid w:val="3BF35840"/>
    <w:rsid w:val="3C2974B3"/>
    <w:rsid w:val="3C3A346E"/>
    <w:rsid w:val="3C554DB2"/>
    <w:rsid w:val="3C5A766D"/>
    <w:rsid w:val="3C6E7B10"/>
    <w:rsid w:val="3C8412B7"/>
    <w:rsid w:val="3C860462"/>
    <w:rsid w:val="3C8E19ED"/>
    <w:rsid w:val="3CA12987"/>
    <w:rsid w:val="3CAF1767"/>
    <w:rsid w:val="3CC53697"/>
    <w:rsid w:val="3CCB40C7"/>
    <w:rsid w:val="3CDB69FF"/>
    <w:rsid w:val="3CF11D7F"/>
    <w:rsid w:val="3CF661BD"/>
    <w:rsid w:val="3CF9310E"/>
    <w:rsid w:val="3D121CF5"/>
    <w:rsid w:val="3D1E4B3E"/>
    <w:rsid w:val="3D204412"/>
    <w:rsid w:val="3D37175C"/>
    <w:rsid w:val="3D3C45F6"/>
    <w:rsid w:val="3D595B76"/>
    <w:rsid w:val="3D651A12"/>
    <w:rsid w:val="3D803103"/>
    <w:rsid w:val="3D826E7B"/>
    <w:rsid w:val="3D95517D"/>
    <w:rsid w:val="3DC47494"/>
    <w:rsid w:val="3DD31485"/>
    <w:rsid w:val="3DDC68F0"/>
    <w:rsid w:val="3DE6740A"/>
    <w:rsid w:val="3E0C53B6"/>
    <w:rsid w:val="3E2D328B"/>
    <w:rsid w:val="3E522CF1"/>
    <w:rsid w:val="3E566547"/>
    <w:rsid w:val="3E5A2A6C"/>
    <w:rsid w:val="3E641E5A"/>
    <w:rsid w:val="3E7D7EE8"/>
    <w:rsid w:val="3E8C7301"/>
    <w:rsid w:val="3E8F7AA2"/>
    <w:rsid w:val="3EAF1EF2"/>
    <w:rsid w:val="3EB05C6A"/>
    <w:rsid w:val="3F0D231B"/>
    <w:rsid w:val="3F2B7951"/>
    <w:rsid w:val="3F443AEC"/>
    <w:rsid w:val="3F5F47A0"/>
    <w:rsid w:val="3F676329"/>
    <w:rsid w:val="3F696545"/>
    <w:rsid w:val="3F7A52C4"/>
    <w:rsid w:val="3F964E60"/>
    <w:rsid w:val="3F984734"/>
    <w:rsid w:val="3FC27B53"/>
    <w:rsid w:val="3FD613A6"/>
    <w:rsid w:val="3FF1653A"/>
    <w:rsid w:val="3FFE3B5F"/>
    <w:rsid w:val="400B6F60"/>
    <w:rsid w:val="40420B44"/>
    <w:rsid w:val="40583EC3"/>
    <w:rsid w:val="406D3E12"/>
    <w:rsid w:val="407335B5"/>
    <w:rsid w:val="40736F4F"/>
    <w:rsid w:val="40801EA7"/>
    <w:rsid w:val="408F46DB"/>
    <w:rsid w:val="40A51B07"/>
    <w:rsid w:val="40E807D5"/>
    <w:rsid w:val="40FD5AF5"/>
    <w:rsid w:val="41143B09"/>
    <w:rsid w:val="411461B5"/>
    <w:rsid w:val="41156654"/>
    <w:rsid w:val="411918A4"/>
    <w:rsid w:val="412D5350"/>
    <w:rsid w:val="412F5365"/>
    <w:rsid w:val="41332D7B"/>
    <w:rsid w:val="415428DD"/>
    <w:rsid w:val="41717932"/>
    <w:rsid w:val="41885D55"/>
    <w:rsid w:val="41A03D74"/>
    <w:rsid w:val="41A1071A"/>
    <w:rsid w:val="41B038CE"/>
    <w:rsid w:val="41E00614"/>
    <w:rsid w:val="41F45E6E"/>
    <w:rsid w:val="420851A9"/>
    <w:rsid w:val="42243B52"/>
    <w:rsid w:val="42280D92"/>
    <w:rsid w:val="4239456E"/>
    <w:rsid w:val="42653F5F"/>
    <w:rsid w:val="42674891"/>
    <w:rsid w:val="428471F1"/>
    <w:rsid w:val="42EB1B54"/>
    <w:rsid w:val="42FC322C"/>
    <w:rsid w:val="430109C8"/>
    <w:rsid w:val="4315253F"/>
    <w:rsid w:val="43302ED5"/>
    <w:rsid w:val="433429C6"/>
    <w:rsid w:val="43435BC3"/>
    <w:rsid w:val="434846C3"/>
    <w:rsid w:val="434B5204"/>
    <w:rsid w:val="43505326"/>
    <w:rsid w:val="435E3EE6"/>
    <w:rsid w:val="43754D8C"/>
    <w:rsid w:val="43784FA8"/>
    <w:rsid w:val="438B51D4"/>
    <w:rsid w:val="43B56534"/>
    <w:rsid w:val="43C06869"/>
    <w:rsid w:val="43C31F9B"/>
    <w:rsid w:val="43C401ED"/>
    <w:rsid w:val="43E04A85"/>
    <w:rsid w:val="43FF4B1E"/>
    <w:rsid w:val="44327A83"/>
    <w:rsid w:val="443F4D58"/>
    <w:rsid w:val="44402FE5"/>
    <w:rsid w:val="44435B0C"/>
    <w:rsid w:val="445826E4"/>
    <w:rsid w:val="448259B3"/>
    <w:rsid w:val="449F7EAC"/>
    <w:rsid w:val="44B02520"/>
    <w:rsid w:val="44BD199B"/>
    <w:rsid w:val="44D564FC"/>
    <w:rsid w:val="44DE776C"/>
    <w:rsid w:val="44EB2F9D"/>
    <w:rsid w:val="45313C39"/>
    <w:rsid w:val="454B4922"/>
    <w:rsid w:val="455455A1"/>
    <w:rsid w:val="457E617A"/>
    <w:rsid w:val="45806396"/>
    <w:rsid w:val="45A02594"/>
    <w:rsid w:val="45A46619"/>
    <w:rsid w:val="45A66202"/>
    <w:rsid w:val="45C51FFB"/>
    <w:rsid w:val="45E1674D"/>
    <w:rsid w:val="45EA5BDA"/>
    <w:rsid w:val="46394F03"/>
    <w:rsid w:val="465267F2"/>
    <w:rsid w:val="468C5364"/>
    <w:rsid w:val="46982843"/>
    <w:rsid w:val="46B52BD0"/>
    <w:rsid w:val="46F52DC0"/>
    <w:rsid w:val="46F870C2"/>
    <w:rsid w:val="472F1E22"/>
    <w:rsid w:val="47411B55"/>
    <w:rsid w:val="474653BD"/>
    <w:rsid w:val="475278BE"/>
    <w:rsid w:val="47653A95"/>
    <w:rsid w:val="47977FC5"/>
    <w:rsid w:val="47A224EC"/>
    <w:rsid w:val="47A41E93"/>
    <w:rsid w:val="47E32C0C"/>
    <w:rsid w:val="47E524E0"/>
    <w:rsid w:val="47EB386F"/>
    <w:rsid w:val="47EC2079"/>
    <w:rsid w:val="47FE35A2"/>
    <w:rsid w:val="48264838"/>
    <w:rsid w:val="485B09F4"/>
    <w:rsid w:val="485F6737"/>
    <w:rsid w:val="48857300"/>
    <w:rsid w:val="48B541A3"/>
    <w:rsid w:val="48BF6F2E"/>
    <w:rsid w:val="48C42A3E"/>
    <w:rsid w:val="48DF1625"/>
    <w:rsid w:val="4921579A"/>
    <w:rsid w:val="49235D7F"/>
    <w:rsid w:val="49553696"/>
    <w:rsid w:val="49641E67"/>
    <w:rsid w:val="49752D84"/>
    <w:rsid w:val="49C16F7D"/>
    <w:rsid w:val="49EE6966"/>
    <w:rsid w:val="49F64E22"/>
    <w:rsid w:val="49F92273"/>
    <w:rsid w:val="49FE0702"/>
    <w:rsid w:val="4A1441FE"/>
    <w:rsid w:val="4A272BCA"/>
    <w:rsid w:val="4A3414FD"/>
    <w:rsid w:val="4A4831FA"/>
    <w:rsid w:val="4A4C3467"/>
    <w:rsid w:val="4A510301"/>
    <w:rsid w:val="4A873D23"/>
    <w:rsid w:val="4A9456E3"/>
    <w:rsid w:val="4A9B5A20"/>
    <w:rsid w:val="4AA41753"/>
    <w:rsid w:val="4AC00FE3"/>
    <w:rsid w:val="4AC32CF8"/>
    <w:rsid w:val="4AEB42B2"/>
    <w:rsid w:val="4B5C0D0B"/>
    <w:rsid w:val="4B6202EC"/>
    <w:rsid w:val="4B6516AF"/>
    <w:rsid w:val="4BB370D4"/>
    <w:rsid w:val="4BB82350"/>
    <w:rsid w:val="4BBF432A"/>
    <w:rsid w:val="4BE7364F"/>
    <w:rsid w:val="4C03562B"/>
    <w:rsid w:val="4C29425A"/>
    <w:rsid w:val="4C365A00"/>
    <w:rsid w:val="4C485CAB"/>
    <w:rsid w:val="4C7C718B"/>
    <w:rsid w:val="4C83051A"/>
    <w:rsid w:val="4C8A5D4C"/>
    <w:rsid w:val="4C991EB0"/>
    <w:rsid w:val="4CA30BBC"/>
    <w:rsid w:val="4CEE59E9"/>
    <w:rsid w:val="4D0505DF"/>
    <w:rsid w:val="4D0E072B"/>
    <w:rsid w:val="4D16313C"/>
    <w:rsid w:val="4D1A1C30"/>
    <w:rsid w:val="4D1D44CA"/>
    <w:rsid w:val="4D2D5CA1"/>
    <w:rsid w:val="4D4D167D"/>
    <w:rsid w:val="4D50664E"/>
    <w:rsid w:val="4D580318"/>
    <w:rsid w:val="4D687448"/>
    <w:rsid w:val="4D6A4D32"/>
    <w:rsid w:val="4D796FFA"/>
    <w:rsid w:val="4D8B1BB2"/>
    <w:rsid w:val="4D9825AC"/>
    <w:rsid w:val="4DD81650"/>
    <w:rsid w:val="4DEF5FB2"/>
    <w:rsid w:val="4E454265"/>
    <w:rsid w:val="4E7217CD"/>
    <w:rsid w:val="4E7D0F97"/>
    <w:rsid w:val="4E86609F"/>
    <w:rsid w:val="4E972BF0"/>
    <w:rsid w:val="4EB5270A"/>
    <w:rsid w:val="4EE01363"/>
    <w:rsid w:val="4EE71234"/>
    <w:rsid w:val="4EE879B3"/>
    <w:rsid w:val="4F0A3A37"/>
    <w:rsid w:val="4F1D6A04"/>
    <w:rsid w:val="4F363F69"/>
    <w:rsid w:val="4F5B577E"/>
    <w:rsid w:val="4F74486C"/>
    <w:rsid w:val="4F8826E4"/>
    <w:rsid w:val="4F8E5B53"/>
    <w:rsid w:val="4F9071D6"/>
    <w:rsid w:val="4FB629B4"/>
    <w:rsid w:val="4FC9093A"/>
    <w:rsid w:val="4FD00BF3"/>
    <w:rsid w:val="4FED287A"/>
    <w:rsid w:val="501D729C"/>
    <w:rsid w:val="50577CF3"/>
    <w:rsid w:val="50630D8E"/>
    <w:rsid w:val="506A3ECB"/>
    <w:rsid w:val="508360DF"/>
    <w:rsid w:val="50907237"/>
    <w:rsid w:val="50AF7B2F"/>
    <w:rsid w:val="50E64C33"/>
    <w:rsid w:val="510460CD"/>
    <w:rsid w:val="51291D2B"/>
    <w:rsid w:val="512978E2"/>
    <w:rsid w:val="513E2C61"/>
    <w:rsid w:val="515B2E61"/>
    <w:rsid w:val="51663EC6"/>
    <w:rsid w:val="516F72BF"/>
    <w:rsid w:val="51740B96"/>
    <w:rsid w:val="51755AC9"/>
    <w:rsid w:val="5196484B"/>
    <w:rsid w:val="51986E31"/>
    <w:rsid w:val="519A433C"/>
    <w:rsid w:val="51B1793A"/>
    <w:rsid w:val="52094038"/>
    <w:rsid w:val="520C6479"/>
    <w:rsid w:val="5229133D"/>
    <w:rsid w:val="526A01B2"/>
    <w:rsid w:val="526F7672"/>
    <w:rsid w:val="527F3531"/>
    <w:rsid w:val="52F83A10"/>
    <w:rsid w:val="52FB3500"/>
    <w:rsid w:val="53082584"/>
    <w:rsid w:val="5324244B"/>
    <w:rsid w:val="53543902"/>
    <w:rsid w:val="535D18EF"/>
    <w:rsid w:val="53603363"/>
    <w:rsid w:val="53672943"/>
    <w:rsid w:val="53852DC9"/>
    <w:rsid w:val="539606E9"/>
    <w:rsid w:val="539A6875"/>
    <w:rsid w:val="53AD0A51"/>
    <w:rsid w:val="53F7797B"/>
    <w:rsid w:val="53FC12DE"/>
    <w:rsid w:val="540463E4"/>
    <w:rsid w:val="54324EB9"/>
    <w:rsid w:val="543B6F56"/>
    <w:rsid w:val="543C7830"/>
    <w:rsid w:val="54574766"/>
    <w:rsid w:val="54834C53"/>
    <w:rsid w:val="548C3A0B"/>
    <w:rsid w:val="54A656ED"/>
    <w:rsid w:val="54B47576"/>
    <w:rsid w:val="54B84863"/>
    <w:rsid w:val="54D04518"/>
    <w:rsid w:val="54D062C6"/>
    <w:rsid w:val="54D23DEC"/>
    <w:rsid w:val="54DD7806"/>
    <w:rsid w:val="54DE03A2"/>
    <w:rsid w:val="54E0475B"/>
    <w:rsid w:val="54EF395F"/>
    <w:rsid w:val="54F9581D"/>
    <w:rsid w:val="55277591"/>
    <w:rsid w:val="552E275D"/>
    <w:rsid w:val="554C1DF1"/>
    <w:rsid w:val="555053ED"/>
    <w:rsid w:val="556907D2"/>
    <w:rsid w:val="55711857"/>
    <w:rsid w:val="55A106D3"/>
    <w:rsid w:val="55B1434A"/>
    <w:rsid w:val="55B94FAC"/>
    <w:rsid w:val="55EB6291"/>
    <w:rsid w:val="561649F9"/>
    <w:rsid w:val="5628491F"/>
    <w:rsid w:val="5654477C"/>
    <w:rsid w:val="56570A4D"/>
    <w:rsid w:val="567F76F4"/>
    <w:rsid w:val="5697332C"/>
    <w:rsid w:val="569C2904"/>
    <w:rsid w:val="569F0646"/>
    <w:rsid w:val="56A9296F"/>
    <w:rsid w:val="56AD4B11"/>
    <w:rsid w:val="56B0716F"/>
    <w:rsid w:val="56B3048E"/>
    <w:rsid w:val="56B714EC"/>
    <w:rsid w:val="56BA5E87"/>
    <w:rsid w:val="56C46C0D"/>
    <w:rsid w:val="56CE6835"/>
    <w:rsid w:val="56E46059"/>
    <w:rsid w:val="56F1560D"/>
    <w:rsid w:val="570C5CDB"/>
    <w:rsid w:val="571A096A"/>
    <w:rsid w:val="57285565"/>
    <w:rsid w:val="57342B3C"/>
    <w:rsid w:val="57362D58"/>
    <w:rsid w:val="57394D8A"/>
    <w:rsid w:val="57430FD1"/>
    <w:rsid w:val="57723665"/>
    <w:rsid w:val="5781677A"/>
    <w:rsid w:val="57925AB5"/>
    <w:rsid w:val="57B53D8D"/>
    <w:rsid w:val="57B714C9"/>
    <w:rsid w:val="57BF6F5C"/>
    <w:rsid w:val="57C54F1C"/>
    <w:rsid w:val="57D871FF"/>
    <w:rsid w:val="57D91936"/>
    <w:rsid w:val="57F549C2"/>
    <w:rsid w:val="58285232"/>
    <w:rsid w:val="58441720"/>
    <w:rsid w:val="584D342C"/>
    <w:rsid w:val="585B234B"/>
    <w:rsid w:val="585C6A6C"/>
    <w:rsid w:val="585F0FC3"/>
    <w:rsid w:val="5860287F"/>
    <w:rsid w:val="588E0972"/>
    <w:rsid w:val="589C4E3D"/>
    <w:rsid w:val="58AE63FA"/>
    <w:rsid w:val="58BC46C8"/>
    <w:rsid w:val="58D64E5E"/>
    <w:rsid w:val="58F05189"/>
    <w:rsid w:val="58F37E01"/>
    <w:rsid w:val="591C39E7"/>
    <w:rsid w:val="5952374E"/>
    <w:rsid w:val="595E20F3"/>
    <w:rsid w:val="599F601F"/>
    <w:rsid w:val="59A20CF5"/>
    <w:rsid w:val="59A807FF"/>
    <w:rsid w:val="5A3A490E"/>
    <w:rsid w:val="5A3B0686"/>
    <w:rsid w:val="5A6C7949"/>
    <w:rsid w:val="5A751DEA"/>
    <w:rsid w:val="5AA004E9"/>
    <w:rsid w:val="5AA227F5"/>
    <w:rsid w:val="5AB57542"/>
    <w:rsid w:val="5AD3266C"/>
    <w:rsid w:val="5ADA34F9"/>
    <w:rsid w:val="5AF37AD1"/>
    <w:rsid w:val="5AF745AD"/>
    <w:rsid w:val="5AF86C4E"/>
    <w:rsid w:val="5AF97B5F"/>
    <w:rsid w:val="5AFE1DDF"/>
    <w:rsid w:val="5B1930C3"/>
    <w:rsid w:val="5B280E18"/>
    <w:rsid w:val="5B2A225C"/>
    <w:rsid w:val="5B2B4256"/>
    <w:rsid w:val="5B5730FC"/>
    <w:rsid w:val="5B721E85"/>
    <w:rsid w:val="5B9E7060"/>
    <w:rsid w:val="5BA945D4"/>
    <w:rsid w:val="5C043425"/>
    <w:rsid w:val="5C1E3DBB"/>
    <w:rsid w:val="5C241F42"/>
    <w:rsid w:val="5C380AB3"/>
    <w:rsid w:val="5C3A6E47"/>
    <w:rsid w:val="5C4551F9"/>
    <w:rsid w:val="5C4C6B7A"/>
    <w:rsid w:val="5C5F0622"/>
    <w:rsid w:val="5C687CD7"/>
    <w:rsid w:val="5C9022D0"/>
    <w:rsid w:val="5C91458D"/>
    <w:rsid w:val="5CBB62D4"/>
    <w:rsid w:val="5D1D5649"/>
    <w:rsid w:val="5D59154F"/>
    <w:rsid w:val="5D5B0CA6"/>
    <w:rsid w:val="5D6A1105"/>
    <w:rsid w:val="5D892F91"/>
    <w:rsid w:val="5D8B232B"/>
    <w:rsid w:val="5D9A2AF2"/>
    <w:rsid w:val="5DA778EE"/>
    <w:rsid w:val="5DD96EDD"/>
    <w:rsid w:val="5DE956EC"/>
    <w:rsid w:val="5E1C4F9F"/>
    <w:rsid w:val="5E2D7BBF"/>
    <w:rsid w:val="5E587A58"/>
    <w:rsid w:val="5E59107C"/>
    <w:rsid w:val="5E5B4E53"/>
    <w:rsid w:val="5E5D0CC7"/>
    <w:rsid w:val="5E5E2B95"/>
    <w:rsid w:val="5E620706"/>
    <w:rsid w:val="5E653D32"/>
    <w:rsid w:val="5E6A778C"/>
    <w:rsid w:val="5E7E0D08"/>
    <w:rsid w:val="5E7E173E"/>
    <w:rsid w:val="5E805591"/>
    <w:rsid w:val="5E8657B6"/>
    <w:rsid w:val="5E8F573D"/>
    <w:rsid w:val="5E94797D"/>
    <w:rsid w:val="5EA06D09"/>
    <w:rsid w:val="5EA50BC4"/>
    <w:rsid w:val="5ED66BCF"/>
    <w:rsid w:val="5F4D7B61"/>
    <w:rsid w:val="5F5F0972"/>
    <w:rsid w:val="5F69359F"/>
    <w:rsid w:val="5F885EA1"/>
    <w:rsid w:val="5FA4596B"/>
    <w:rsid w:val="5FAA42E4"/>
    <w:rsid w:val="5FAF1AEE"/>
    <w:rsid w:val="5FB567E4"/>
    <w:rsid w:val="5FB707AE"/>
    <w:rsid w:val="5FBE2C6B"/>
    <w:rsid w:val="5FD537AD"/>
    <w:rsid w:val="5FE175D9"/>
    <w:rsid w:val="5FEB482F"/>
    <w:rsid w:val="5FFB4B3F"/>
    <w:rsid w:val="5FFC2665"/>
    <w:rsid w:val="600A2FD4"/>
    <w:rsid w:val="602120CC"/>
    <w:rsid w:val="603A2112"/>
    <w:rsid w:val="603F692C"/>
    <w:rsid w:val="604F09E7"/>
    <w:rsid w:val="605C691B"/>
    <w:rsid w:val="606721D5"/>
    <w:rsid w:val="609B59DA"/>
    <w:rsid w:val="60A031BD"/>
    <w:rsid w:val="60A14A3E"/>
    <w:rsid w:val="60A725D1"/>
    <w:rsid w:val="60AC7BE7"/>
    <w:rsid w:val="60E70C20"/>
    <w:rsid w:val="60F83A5A"/>
    <w:rsid w:val="60FD0443"/>
    <w:rsid w:val="61025A59"/>
    <w:rsid w:val="6105554A"/>
    <w:rsid w:val="612E4AA0"/>
    <w:rsid w:val="61482AD9"/>
    <w:rsid w:val="61706E67"/>
    <w:rsid w:val="6174014D"/>
    <w:rsid w:val="61871248"/>
    <w:rsid w:val="618C70D1"/>
    <w:rsid w:val="61913DD8"/>
    <w:rsid w:val="61931AA0"/>
    <w:rsid w:val="61947FC4"/>
    <w:rsid w:val="61C45D22"/>
    <w:rsid w:val="61DC62AA"/>
    <w:rsid w:val="61DD587D"/>
    <w:rsid w:val="620917D9"/>
    <w:rsid w:val="621A6DD3"/>
    <w:rsid w:val="62287742"/>
    <w:rsid w:val="622A170C"/>
    <w:rsid w:val="624F3821"/>
    <w:rsid w:val="625E0034"/>
    <w:rsid w:val="625E65CA"/>
    <w:rsid w:val="627209BD"/>
    <w:rsid w:val="627E55B4"/>
    <w:rsid w:val="628971A8"/>
    <w:rsid w:val="62B965EC"/>
    <w:rsid w:val="62BB1F75"/>
    <w:rsid w:val="62CF5E0F"/>
    <w:rsid w:val="62E00F36"/>
    <w:rsid w:val="62EC3303"/>
    <w:rsid w:val="62F353D6"/>
    <w:rsid w:val="62FD15A5"/>
    <w:rsid w:val="632717A7"/>
    <w:rsid w:val="637614BC"/>
    <w:rsid w:val="63797300"/>
    <w:rsid w:val="637D586B"/>
    <w:rsid w:val="63994762"/>
    <w:rsid w:val="639C03E7"/>
    <w:rsid w:val="63A37E79"/>
    <w:rsid w:val="63E07347"/>
    <w:rsid w:val="643646A1"/>
    <w:rsid w:val="6445282D"/>
    <w:rsid w:val="647A07CD"/>
    <w:rsid w:val="64A439A6"/>
    <w:rsid w:val="64A717AD"/>
    <w:rsid w:val="64B559C9"/>
    <w:rsid w:val="64B64DA5"/>
    <w:rsid w:val="6502023B"/>
    <w:rsid w:val="65275C40"/>
    <w:rsid w:val="65393C6D"/>
    <w:rsid w:val="65634E24"/>
    <w:rsid w:val="65847385"/>
    <w:rsid w:val="659547A6"/>
    <w:rsid w:val="65AA7C28"/>
    <w:rsid w:val="661E1ABE"/>
    <w:rsid w:val="663973B7"/>
    <w:rsid w:val="66596009"/>
    <w:rsid w:val="668A09CB"/>
    <w:rsid w:val="66B157D7"/>
    <w:rsid w:val="66B45A48"/>
    <w:rsid w:val="66BB58D9"/>
    <w:rsid w:val="66C13CC1"/>
    <w:rsid w:val="66CA526B"/>
    <w:rsid w:val="66E9163F"/>
    <w:rsid w:val="66FC0998"/>
    <w:rsid w:val="670C4F68"/>
    <w:rsid w:val="671367FA"/>
    <w:rsid w:val="67136C12"/>
    <w:rsid w:val="67295A98"/>
    <w:rsid w:val="673744F6"/>
    <w:rsid w:val="673821D5"/>
    <w:rsid w:val="673C7BCA"/>
    <w:rsid w:val="674703B0"/>
    <w:rsid w:val="6747066A"/>
    <w:rsid w:val="675D7E8D"/>
    <w:rsid w:val="676261DA"/>
    <w:rsid w:val="6764121C"/>
    <w:rsid w:val="677E1BB2"/>
    <w:rsid w:val="67A4007D"/>
    <w:rsid w:val="67C43A69"/>
    <w:rsid w:val="67CE0D8B"/>
    <w:rsid w:val="67D85766"/>
    <w:rsid w:val="68012F0F"/>
    <w:rsid w:val="680B1697"/>
    <w:rsid w:val="68531A5B"/>
    <w:rsid w:val="6861575B"/>
    <w:rsid w:val="6874548F"/>
    <w:rsid w:val="687A05CB"/>
    <w:rsid w:val="689E42BA"/>
    <w:rsid w:val="68CA3301"/>
    <w:rsid w:val="68E46D71"/>
    <w:rsid w:val="68F465CF"/>
    <w:rsid w:val="69126A56"/>
    <w:rsid w:val="69360996"/>
    <w:rsid w:val="698C4A5A"/>
    <w:rsid w:val="69913E1E"/>
    <w:rsid w:val="69A73642"/>
    <w:rsid w:val="69B1626F"/>
    <w:rsid w:val="69BD10B7"/>
    <w:rsid w:val="69E8497D"/>
    <w:rsid w:val="69F119B4"/>
    <w:rsid w:val="6A0E1913"/>
    <w:rsid w:val="6A18009C"/>
    <w:rsid w:val="6A1B5381"/>
    <w:rsid w:val="6A2E5B11"/>
    <w:rsid w:val="6A304CEA"/>
    <w:rsid w:val="6A396731"/>
    <w:rsid w:val="6A3F4266"/>
    <w:rsid w:val="6A430159"/>
    <w:rsid w:val="6A507938"/>
    <w:rsid w:val="6A687275"/>
    <w:rsid w:val="6A6C07F5"/>
    <w:rsid w:val="6A9E2C97"/>
    <w:rsid w:val="6ABF49BB"/>
    <w:rsid w:val="6AED1528"/>
    <w:rsid w:val="6B00125C"/>
    <w:rsid w:val="6B0433D7"/>
    <w:rsid w:val="6B0912D1"/>
    <w:rsid w:val="6B0B19AE"/>
    <w:rsid w:val="6B1828CE"/>
    <w:rsid w:val="6B43739A"/>
    <w:rsid w:val="6B581098"/>
    <w:rsid w:val="6B5925FD"/>
    <w:rsid w:val="6B650832"/>
    <w:rsid w:val="6B92333A"/>
    <w:rsid w:val="6B9D3DC0"/>
    <w:rsid w:val="6BD11820"/>
    <w:rsid w:val="6BDA7CFF"/>
    <w:rsid w:val="6BE026ED"/>
    <w:rsid w:val="6C021003"/>
    <w:rsid w:val="6C0B67EC"/>
    <w:rsid w:val="6C23040B"/>
    <w:rsid w:val="6C256AA0"/>
    <w:rsid w:val="6C445178"/>
    <w:rsid w:val="6C5A30D4"/>
    <w:rsid w:val="6CCD1611"/>
    <w:rsid w:val="6CD76AFF"/>
    <w:rsid w:val="6D003795"/>
    <w:rsid w:val="6D235034"/>
    <w:rsid w:val="6D437B25"/>
    <w:rsid w:val="6D513FF0"/>
    <w:rsid w:val="6D635AD2"/>
    <w:rsid w:val="6D6655C2"/>
    <w:rsid w:val="6D8200DC"/>
    <w:rsid w:val="6D8223FC"/>
    <w:rsid w:val="6DBE0F5A"/>
    <w:rsid w:val="6DD32432"/>
    <w:rsid w:val="6DDB5FB0"/>
    <w:rsid w:val="6DFE57FA"/>
    <w:rsid w:val="6E010674"/>
    <w:rsid w:val="6E100AD3"/>
    <w:rsid w:val="6E144C91"/>
    <w:rsid w:val="6E1818C3"/>
    <w:rsid w:val="6E5056AE"/>
    <w:rsid w:val="6E69536A"/>
    <w:rsid w:val="6E9817AB"/>
    <w:rsid w:val="6E9F2C58"/>
    <w:rsid w:val="6EB20ABF"/>
    <w:rsid w:val="6EDC0332"/>
    <w:rsid w:val="6F17407D"/>
    <w:rsid w:val="6F314216"/>
    <w:rsid w:val="6F3D5378"/>
    <w:rsid w:val="6F4F27B2"/>
    <w:rsid w:val="6F563B40"/>
    <w:rsid w:val="6F7915DC"/>
    <w:rsid w:val="6F7E4E45"/>
    <w:rsid w:val="6F8F2BAE"/>
    <w:rsid w:val="6F8F6C92"/>
    <w:rsid w:val="6FA01CFF"/>
    <w:rsid w:val="6FB1521A"/>
    <w:rsid w:val="6FB24AEE"/>
    <w:rsid w:val="6FDB2297"/>
    <w:rsid w:val="6FDB5DF3"/>
    <w:rsid w:val="6FEC6252"/>
    <w:rsid w:val="6FFB46E7"/>
    <w:rsid w:val="701240E1"/>
    <w:rsid w:val="70333E81"/>
    <w:rsid w:val="70756248"/>
    <w:rsid w:val="707F70C6"/>
    <w:rsid w:val="70950698"/>
    <w:rsid w:val="70BE5822"/>
    <w:rsid w:val="70CA6520"/>
    <w:rsid w:val="70E94540"/>
    <w:rsid w:val="70FC24C5"/>
    <w:rsid w:val="7121017E"/>
    <w:rsid w:val="712B4B58"/>
    <w:rsid w:val="713A2FED"/>
    <w:rsid w:val="713D2587"/>
    <w:rsid w:val="71463740"/>
    <w:rsid w:val="71572E2C"/>
    <w:rsid w:val="71A31B2E"/>
    <w:rsid w:val="71CF3736"/>
    <w:rsid w:val="71EB31C5"/>
    <w:rsid w:val="720B5907"/>
    <w:rsid w:val="720D425E"/>
    <w:rsid w:val="72153DD4"/>
    <w:rsid w:val="722515A8"/>
    <w:rsid w:val="72547143"/>
    <w:rsid w:val="72556331"/>
    <w:rsid w:val="72A66542"/>
    <w:rsid w:val="72AC7F1B"/>
    <w:rsid w:val="72BD3ED6"/>
    <w:rsid w:val="72CC1F67"/>
    <w:rsid w:val="72E27499"/>
    <w:rsid w:val="72E70F53"/>
    <w:rsid w:val="72F60AC4"/>
    <w:rsid w:val="72FB055A"/>
    <w:rsid w:val="7306039D"/>
    <w:rsid w:val="731735E6"/>
    <w:rsid w:val="731C6E4F"/>
    <w:rsid w:val="732575E8"/>
    <w:rsid w:val="732E6B82"/>
    <w:rsid w:val="73661E78"/>
    <w:rsid w:val="73696DBB"/>
    <w:rsid w:val="73A429A0"/>
    <w:rsid w:val="73A82273"/>
    <w:rsid w:val="73B40E35"/>
    <w:rsid w:val="73C121C1"/>
    <w:rsid w:val="73C179F6"/>
    <w:rsid w:val="73D83687"/>
    <w:rsid w:val="73F97190"/>
    <w:rsid w:val="74267EDB"/>
    <w:rsid w:val="74407D5F"/>
    <w:rsid w:val="74455F31"/>
    <w:rsid w:val="744D06C5"/>
    <w:rsid w:val="745443C6"/>
    <w:rsid w:val="74654825"/>
    <w:rsid w:val="746C5BB4"/>
    <w:rsid w:val="74714F78"/>
    <w:rsid w:val="7472129C"/>
    <w:rsid w:val="747A5426"/>
    <w:rsid w:val="74BD640F"/>
    <w:rsid w:val="74C16CDF"/>
    <w:rsid w:val="74D13C69"/>
    <w:rsid w:val="74E30B33"/>
    <w:rsid w:val="74E97204"/>
    <w:rsid w:val="74F160B9"/>
    <w:rsid w:val="750F771A"/>
    <w:rsid w:val="75130312"/>
    <w:rsid w:val="75151DA7"/>
    <w:rsid w:val="7530273D"/>
    <w:rsid w:val="754E376F"/>
    <w:rsid w:val="75591645"/>
    <w:rsid w:val="758328FE"/>
    <w:rsid w:val="759233F8"/>
    <w:rsid w:val="75994786"/>
    <w:rsid w:val="75D957D5"/>
    <w:rsid w:val="75EB48B6"/>
    <w:rsid w:val="75F257F1"/>
    <w:rsid w:val="76067942"/>
    <w:rsid w:val="76087460"/>
    <w:rsid w:val="763172F6"/>
    <w:rsid w:val="76377AFB"/>
    <w:rsid w:val="763B54E9"/>
    <w:rsid w:val="764A3CD3"/>
    <w:rsid w:val="76830F93"/>
    <w:rsid w:val="76857A13"/>
    <w:rsid w:val="76A827A7"/>
    <w:rsid w:val="76BC448D"/>
    <w:rsid w:val="76EC08E6"/>
    <w:rsid w:val="77110F15"/>
    <w:rsid w:val="7711190F"/>
    <w:rsid w:val="77201984"/>
    <w:rsid w:val="77291431"/>
    <w:rsid w:val="776C1A27"/>
    <w:rsid w:val="777234E1"/>
    <w:rsid w:val="77896E39"/>
    <w:rsid w:val="778B6351"/>
    <w:rsid w:val="77A25449"/>
    <w:rsid w:val="77A40C18"/>
    <w:rsid w:val="77BF5FFA"/>
    <w:rsid w:val="77BF757F"/>
    <w:rsid w:val="77E20193"/>
    <w:rsid w:val="77E45A61"/>
    <w:rsid w:val="77EC1F5B"/>
    <w:rsid w:val="77FD5B08"/>
    <w:rsid w:val="78175148"/>
    <w:rsid w:val="78252301"/>
    <w:rsid w:val="78356A00"/>
    <w:rsid w:val="784A620C"/>
    <w:rsid w:val="785679DC"/>
    <w:rsid w:val="785D53B4"/>
    <w:rsid w:val="78847C7B"/>
    <w:rsid w:val="789366E3"/>
    <w:rsid w:val="78970D25"/>
    <w:rsid w:val="78B33DB1"/>
    <w:rsid w:val="78C41853"/>
    <w:rsid w:val="791660EE"/>
    <w:rsid w:val="794A5D98"/>
    <w:rsid w:val="79835D16"/>
    <w:rsid w:val="79A4194C"/>
    <w:rsid w:val="79A75DED"/>
    <w:rsid w:val="79C031FB"/>
    <w:rsid w:val="79CB6ED9"/>
    <w:rsid w:val="79D57D57"/>
    <w:rsid w:val="79DA35C0"/>
    <w:rsid w:val="79E42A71"/>
    <w:rsid w:val="79E93803"/>
    <w:rsid w:val="7A246165"/>
    <w:rsid w:val="7A411125"/>
    <w:rsid w:val="7A7237F8"/>
    <w:rsid w:val="7A7B22A7"/>
    <w:rsid w:val="7ABF087A"/>
    <w:rsid w:val="7AC322A6"/>
    <w:rsid w:val="7AC86154"/>
    <w:rsid w:val="7AE244DA"/>
    <w:rsid w:val="7AF413D2"/>
    <w:rsid w:val="7AFD198A"/>
    <w:rsid w:val="7B2745E3"/>
    <w:rsid w:val="7B2A40D3"/>
    <w:rsid w:val="7B310FBD"/>
    <w:rsid w:val="7B3D6B8B"/>
    <w:rsid w:val="7B430CF1"/>
    <w:rsid w:val="7B4F7695"/>
    <w:rsid w:val="7B5F5B2A"/>
    <w:rsid w:val="7B876E2F"/>
    <w:rsid w:val="7B8E4662"/>
    <w:rsid w:val="7B957F01"/>
    <w:rsid w:val="7B9D2AF7"/>
    <w:rsid w:val="7BC828BB"/>
    <w:rsid w:val="7BCD6DEB"/>
    <w:rsid w:val="7BD61B65"/>
    <w:rsid w:val="7BD77DB7"/>
    <w:rsid w:val="7BDD2EF3"/>
    <w:rsid w:val="7BF546E1"/>
    <w:rsid w:val="7C0C391D"/>
    <w:rsid w:val="7C1F275F"/>
    <w:rsid w:val="7C52777D"/>
    <w:rsid w:val="7C75312C"/>
    <w:rsid w:val="7C7623EB"/>
    <w:rsid w:val="7C7E659B"/>
    <w:rsid w:val="7C913580"/>
    <w:rsid w:val="7CA26617"/>
    <w:rsid w:val="7CBE3BFC"/>
    <w:rsid w:val="7CC82F6C"/>
    <w:rsid w:val="7CD150D1"/>
    <w:rsid w:val="7CD83E81"/>
    <w:rsid w:val="7CF229CE"/>
    <w:rsid w:val="7CF95B0B"/>
    <w:rsid w:val="7D24527D"/>
    <w:rsid w:val="7D2D3A06"/>
    <w:rsid w:val="7D3704A9"/>
    <w:rsid w:val="7D3D633F"/>
    <w:rsid w:val="7D651C6E"/>
    <w:rsid w:val="7DA55C93"/>
    <w:rsid w:val="7DAC0DCF"/>
    <w:rsid w:val="7DBF2CB4"/>
    <w:rsid w:val="7DC4436B"/>
    <w:rsid w:val="7DEE13E8"/>
    <w:rsid w:val="7E290672"/>
    <w:rsid w:val="7E2F64F7"/>
    <w:rsid w:val="7E582D05"/>
    <w:rsid w:val="7E5B0DC6"/>
    <w:rsid w:val="7E6671D0"/>
    <w:rsid w:val="7E6B0C8A"/>
    <w:rsid w:val="7E924469"/>
    <w:rsid w:val="7E937113"/>
    <w:rsid w:val="7EA36676"/>
    <w:rsid w:val="7EAB552B"/>
    <w:rsid w:val="7EB97C47"/>
    <w:rsid w:val="7EBB39C0"/>
    <w:rsid w:val="7EC30004"/>
    <w:rsid w:val="7EE10F4C"/>
    <w:rsid w:val="7EF0414E"/>
    <w:rsid w:val="7EFB200E"/>
    <w:rsid w:val="7EFC27A6"/>
    <w:rsid w:val="7EFE565A"/>
    <w:rsid w:val="7F0541D2"/>
    <w:rsid w:val="7F0569E9"/>
    <w:rsid w:val="7F2605F2"/>
    <w:rsid w:val="7F390D88"/>
    <w:rsid w:val="7F3D4789"/>
    <w:rsid w:val="7F4921AA"/>
    <w:rsid w:val="7F4E570E"/>
    <w:rsid w:val="7F760CEF"/>
    <w:rsid w:val="7F7678E7"/>
    <w:rsid w:val="7F802822"/>
    <w:rsid w:val="7F942BA3"/>
    <w:rsid w:val="7F972973"/>
    <w:rsid w:val="7FA224A6"/>
    <w:rsid w:val="7FA95426"/>
    <w:rsid w:val="7FB71348"/>
    <w:rsid w:val="7FC04365"/>
    <w:rsid w:val="7FDA2839"/>
    <w:rsid w:val="7FEE5BF1"/>
    <w:rsid w:val="7FF13FE1"/>
    <w:rsid w:val="7FF52F01"/>
    <w:rsid w:val="7FF615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9"/>
    <w:pPr>
      <w:keepNext/>
      <w:keepLines/>
      <w:numPr>
        <w:ilvl w:val="0"/>
        <w:numId w:val="1"/>
      </w:numPr>
      <w:tabs>
        <w:tab w:val="clear" w:pos="1800"/>
      </w:tabs>
      <w:spacing w:line="578" w:lineRule="auto"/>
      <w:jc w:val="center"/>
      <w:outlineLvl w:val="0"/>
    </w:pPr>
    <w:rPr>
      <w:rFonts w:ascii="黑体" w:hAnsi="Calibri" w:eastAsia="黑体" w:cs="黑体"/>
      <w:b/>
      <w:bCs/>
      <w:kern w:val="44"/>
      <w:sz w:val="44"/>
      <w:szCs w:val="44"/>
    </w:rPr>
  </w:style>
  <w:style w:type="paragraph" w:styleId="5">
    <w:name w:val="heading 2"/>
    <w:basedOn w:val="6"/>
    <w:next w:val="1"/>
    <w:qFormat/>
    <w:uiPriority w:val="99"/>
    <w:pPr>
      <w:keepNext/>
      <w:keepLines/>
      <w:numPr>
        <w:ilvl w:val="1"/>
        <w:numId w:val="1"/>
      </w:numPr>
      <w:tabs>
        <w:tab w:val="clear" w:pos="567"/>
      </w:tabs>
      <w:spacing w:line="415" w:lineRule="auto"/>
      <w:outlineLvl w:val="1"/>
    </w:pPr>
    <w:rPr>
      <w:rFonts w:ascii="Arial" w:hAnsi="Arial" w:eastAsia="黑体" w:cs="Arial"/>
      <w:sz w:val="32"/>
      <w:szCs w:val="32"/>
    </w:rPr>
  </w:style>
  <w:style w:type="paragraph" w:styleId="7">
    <w:name w:val="heading 3"/>
    <w:basedOn w:val="1"/>
    <w:next w:val="1"/>
    <w:qFormat/>
    <w:uiPriority w:val="99"/>
    <w:pPr>
      <w:keepNext/>
      <w:keepLines/>
      <w:spacing w:line="415" w:lineRule="auto"/>
      <w:outlineLvl w:val="2"/>
    </w:pPr>
    <w:rPr>
      <w:rFonts w:ascii="黑体" w:eastAsia="黑体" w:cs="黑体"/>
      <w:sz w:val="32"/>
      <w:szCs w:val="32"/>
    </w:rPr>
  </w:style>
  <w:style w:type="paragraph" w:styleId="8">
    <w:name w:val="heading 4"/>
    <w:basedOn w:val="1"/>
    <w:next w:val="1"/>
    <w:qFormat/>
    <w:uiPriority w:val="99"/>
    <w:pPr>
      <w:keepNext/>
      <w:keepLines/>
      <w:numPr>
        <w:ilvl w:val="4"/>
        <w:numId w:val="1"/>
      </w:numPr>
      <w:tabs>
        <w:tab w:val="clear" w:pos="1080"/>
      </w:tabs>
      <w:spacing w:line="376" w:lineRule="auto"/>
      <w:outlineLvl w:val="3"/>
    </w:pPr>
    <w:rPr>
      <w:rFonts w:ascii="Arial" w:hAnsi="Arial" w:eastAsia="黑体" w:cs="Arial"/>
      <w:b/>
      <w:bCs/>
      <w:sz w:val="28"/>
      <w:szCs w:val="28"/>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autoSpaceDE w:val="0"/>
      <w:autoSpaceDN w:val="0"/>
      <w:adjustRightInd w:val="0"/>
    </w:pPr>
    <w:rPr>
      <w:rFonts w:ascii="仿宋_GB2312" w:eastAsia="仿宋_GB2312" w:cs="仿宋_GB2312"/>
      <w:kern w:val="0"/>
      <w:sz w:val="28"/>
      <w:szCs w:val="28"/>
    </w:rPr>
  </w:style>
  <w:style w:type="paragraph" w:styleId="3">
    <w:name w:val="toc 2"/>
    <w:basedOn w:val="1"/>
    <w:next w:val="1"/>
    <w:qFormat/>
    <w:uiPriority w:val="39"/>
    <w:pPr>
      <w:adjustRightInd w:val="0"/>
      <w:spacing w:line="288" w:lineRule="auto"/>
      <w:ind w:left="210" w:firstLine="420"/>
      <w:jc w:val="left"/>
      <w:textAlignment w:val="baseline"/>
    </w:pPr>
    <w:rPr>
      <w:smallCaps/>
      <w:sz w:val="20"/>
      <w:szCs w:val="20"/>
    </w:rPr>
  </w:style>
  <w:style w:type="paragraph" w:styleId="6">
    <w:name w:val="Title"/>
    <w:basedOn w:val="1"/>
    <w:next w:val="1"/>
    <w:qFormat/>
    <w:uiPriority w:val="99"/>
    <w:pPr>
      <w:adjustRightInd w:val="0"/>
      <w:spacing w:line="288" w:lineRule="auto"/>
      <w:ind w:firstLine="420"/>
      <w:jc w:val="center"/>
      <w:textAlignment w:val="baseline"/>
      <w:outlineLvl w:val="0"/>
    </w:pPr>
    <w:rPr>
      <w:rFonts w:ascii="Arial" w:hAnsi="Arial" w:cs="Arial"/>
      <w:b/>
      <w:bCs/>
      <w:sz w:val="32"/>
      <w:szCs w:val="32"/>
    </w:rPr>
  </w:style>
  <w:style w:type="paragraph" w:styleId="9">
    <w:name w:val="Normal Indent"/>
    <w:basedOn w:val="1"/>
    <w:qFormat/>
    <w:uiPriority w:val="99"/>
    <w:pPr>
      <w:widowControl/>
      <w:ind w:firstLine="420"/>
      <w:jc w:val="left"/>
    </w:pPr>
    <w:rPr>
      <w:kern w:val="0"/>
      <w:sz w:val="20"/>
      <w:szCs w:val="20"/>
    </w:rPr>
  </w:style>
  <w:style w:type="paragraph" w:styleId="10">
    <w:name w:val="Document Map"/>
    <w:basedOn w:val="1"/>
    <w:qFormat/>
    <w:uiPriority w:val="0"/>
    <w:pPr>
      <w:shd w:val="clear" w:color="auto" w:fill="000080"/>
    </w:pPr>
  </w:style>
  <w:style w:type="paragraph" w:styleId="11">
    <w:name w:val="annotation text"/>
    <w:basedOn w:val="1"/>
    <w:semiHidden/>
    <w:qFormat/>
    <w:uiPriority w:val="99"/>
    <w:pPr>
      <w:jc w:val="left"/>
    </w:pPr>
  </w:style>
  <w:style w:type="paragraph" w:styleId="12">
    <w:name w:val="Body Text Indent"/>
    <w:basedOn w:val="1"/>
    <w:qFormat/>
    <w:uiPriority w:val="0"/>
    <w:pPr>
      <w:widowControl/>
      <w:autoSpaceDE w:val="0"/>
      <w:autoSpaceDN w:val="0"/>
      <w:adjustRightInd w:val="0"/>
      <w:spacing w:line="300" w:lineRule="auto"/>
      <w:ind w:left="156"/>
    </w:pPr>
    <w:rPr>
      <w:rFonts w:ascii="仿宋_GB2312" w:eastAsia="仿宋_GB2312"/>
      <w:sz w:val="28"/>
    </w:rPr>
  </w:style>
  <w:style w:type="paragraph" w:styleId="13">
    <w:name w:val="Block Text"/>
    <w:basedOn w:val="1"/>
    <w:qFormat/>
    <w:uiPriority w:val="99"/>
    <w:pPr>
      <w:adjustRightInd w:val="0"/>
      <w:ind w:left="420" w:right="33"/>
      <w:jc w:val="left"/>
      <w:textAlignment w:val="baseline"/>
    </w:pPr>
    <w:rPr>
      <w:kern w:val="0"/>
      <w:sz w:val="24"/>
      <w:szCs w:val="24"/>
    </w:rPr>
  </w:style>
  <w:style w:type="paragraph" w:styleId="14">
    <w:name w:val="Plain Text"/>
    <w:basedOn w:val="1"/>
    <w:qFormat/>
    <w:uiPriority w:val="99"/>
    <w:rPr>
      <w:rFonts w:ascii="宋体" w:cs="宋体"/>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pPr>
      <w:adjustRightInd w:val="0"/>
      <w:spacing w:after="20" w:afterLines="0" w:line="720" w:lineRule="auto"/>
      <w:ind w:firstLine="420"/>
      <w:textAlignment w:val="baseline"/>
    </w:pPr>
    <w:rPr>
      <w:sz w:val="3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20" w:afterLines="0" w:line="288" w:lineRule="auto"/>
      <w:ind w:firstLine="420"/>
      <w:jc w:val="left"/>
      <w:textAlignment w:val="baseline"/>
    </w:pPr>
    <w:rPr>
      <w:rFonts w:ascii="黑体" w:hAnsi="Courier New" w:eastAsia="黑体"/>
      <w:kern w:val="0"/>
      <w:sz w:val="20"/>
      <w:szCs w:val="20"/>
    </w:rPr>
  </w:style>
  <w:style w:type="paragraph" w:styleId="19">
    <w:name w:val="Normal (Web)"/>
    <w:basedOn w:val="1"/>
    <w:qFormat/>
    <w:uiPriority w:val="0"/>
    <w:pPr>
      <w:widowControl/>
      <w:adjustRightInd w:val="0"/>
      <w:spacing w:before="100" w:beforeLines="0" w:beforeAutospacing="1" w:after="100" w:afterLines="0" w:afterAutospacing="1" w:line="288" w:lineRule="auto"/>
      <w:ind w:firstLine="420"/>
      <w:jc w:val="left"/>
      <w:textAlignment w:val="baseline"/>
    </w:pPr>
    <w:rPr>
      <w:rFonts w:hAnsi="宋体"/>
      <w:sz w:val="24"/>
      <w:szCs w:val="24"/>
    </w:rPr>
  </w:style>
  <w:style w:type="paragraph" w:styleId="20">
    <w:name w:val="Body Text First Indent"/>
    <w:basedOn w:val="2"/>
    <w:qFormat/>
    <w:uiPriority w:val="0"/>
    <w:pPr>
      <w:autoSpaceDE/>
      <w:autoSpaceDN/>
      <w:adjustRightInd/>
      <w:spacing w:after="120" w:line="440" w:lineRule="exact"/>
      <w:ind w:firstLine="420" w:firstLineChars="100"/>
    </w:pPr>
    <w:rPr>
      <w:rFonts w:ascii="宋体"/>
      <w:kern w:val="2"/>
      <w:sz w:val="24"/>
      <w:szCs w:val="28"/>
    </w:rPr>
  </w:style>
  <w:style w:type="paragraph" w:styleId="21">
    <w:name w:val="Body Text First Indent 2"/>
    <w:basedOn w:val="12"/>
    <w:next w:val="1"/>
    <w:qFormat/>
    <w:uiPriority w:val="0"/>
    <w:pPr>
      <w:widowControl w:val="0"/>
      <w:autoSpaceDE/>
      <w:autoSpaceDN/>
      <w:adjustRightInd/>
      <w:spacing w:after="120" w:afterLines="0" w:line="240" w:lineRule="auto"/>
      <w:ind w:left="0" w:firstLine="210" w:firstLineChars="200"/>
    </w:pPr>
    <w:rPr>
      <w:rFonts w:ascii="Times New Roman" w:hAnsi="宋体" w:eastAsia="宋体"/>
      <w:color w:val="000000"/>
      <w:spacing w:val="-8"/>
      <w:kern w:val="2"/>
      <w:sz w:val="21"/>
      <w:szCs w:val="24"/>
    </w:rPr>
  </w:style>
  <w:style w:type="character" w:styleId="24">
    <w:name w:val="HTML Typewriter"/>
    <w:basedOn w:val="23"/>
    <w:qFormat/>
    <w:uiPriority w:val="99"/>
    <w:rPr>
      <w:rFonts w:ascii="宋体" w:hAnsi="宋体" w:eastAsia="宋体" w:cs="宋体"/>
      <w:sz w:val="24"/>
      <w:szCs w:val="24"/>
    </w:rPr>
  </w:style>
  <w:style w:type="character" w:styleId="25">
    <w:name w:val="Hyperlink"/>
    <w:basedOn w:val="23"/>
    <w:qFormat/>
    <w:uiPriority w:val="0"/>
    <w:rPr>
      <w:color w:val="0000FF"/>
      <w:u w:val="single"/>
    </w:rPr>
  </w:style>
  <w:style w:type="paragraph" w:customStyle="1" w:styleId="26">
    <w:name w:val="BodyText1I2"/>
    <w:basedOn w:val="27"/>
    <w:qFormat/>
    <w:uiPriority w:val="99"/>
    <w:pPr>
      <w:ind w:left="0" w:leftChars="0" w:firstLine="420" w:firstLineChars="200"/>
    </w:pPr>
    <w:rPr>
      <w:kern w:val="2"/>
    </w:rPr>
  </w:style>
  <w:style w:type="paragraph" w:customStyle="1" w:styleId="27">
    <w:name w:val="BodyTextIndent"/>
    <w:basedOn w:val="1"/>
    <w:qFormat/>
    <w:uiPriority w:val="99"/>
    <w:pPr>
      <w:spacing w:line="360" w:lineRule="auto"/>
      <w:ind w:left="257" w:leftChars="257"/>
    </w:pPr>
    <w:rPr>
      <w:rFonts w:ascii="宋体" w:hAnsi="宋体" w:eastAsia="仿宋_GB2312"/>
      <w:b/>
      <w:kern w:val="0"/>
      <w:sz w:val="24"/>
      <w:szCs w:val="20"/>
    </w:rPr>
  </w:style>
  <w:style w:type="paragraph" w:customStyle="1" w:styleId="28">
    <w:name w:val="_Style 1"/>
    <w:basedOn w:val="1"/>
    <w:qFormat/>
    <w:uiPriority w:val="99"/>
    <w:pPr>
      <w:ind w:firstLine="420" w:firstLineChars="200"/>
    </w:pPr>
    <w:rPr>
      <w:rFonts w:ascii="Calibri" w:hAnsi="Calibri" w:eastAsia="宋体" w:cs="Calibri"/>
      <w:kern w:val="0"/>
      <w:sz w:val="34"/>
      <w:szCs w:val="34"/>
    </w:rPr>
  </w:style>
  <w:style w:type="paragraph" w:customStyle="1" w:styleId="29">
    <w:name w:val="样式 表格正文 + 两端对齐"/>
    <w:basedOn w:val="1"/>
    <w:next w:val="30"/>
    <w:qFormat/>
    <w:uiPriority w:val="99"/>
    <w:pPr>
      <w:spacing w:line="300" w:lineRule="auto"/>
    </w:pPr>
  </w:style>
  <w:style w:type="paragraph" w:customStyle="1" w:styleId="30">
    <w:name w:val="正文1"/>
    <w:basedOn w:val="10"/>
    <w:next w:val="1"/>
    <w:qFormat/>
    <w:uiPriority w:val="99"/>
    <w:pPr>
      <w:spacing w:line="360" w:lineRule="auto"/>
      <w:ind w:right="1" w:rightChars="1"/>
    </w:pPr>
    <w:rPr>
      <w:rFonts w:ascii="宋体" w:hAnsi="宋体" w:cs="宋体"/>
      <w:color w:val="000000"/>
      <w:sz w:val="24"/>
      <w:szCs w:val="24"/>
    </w:rPr>
  </w:style>
  <w:style w:type="paragraph" w:customStyle="1" w:styleId="31">
    <w:name w:val="目录"/>
    <w:basedOn w:val="1"/>
    <w:next w:val="1"/>
    <w:qFormat/>
    <w:uiPriority w:val="99"/>
    <w:pPr>
      <w:adjustRightInd w:val="0"/>
      <w:spacing w:line="360" w:lineRule="auto"/>
      <w:ind w:firstLine="420"/>
      <w:jc w:val="center"/>
      <w:textAlignment w:val="baseline"/>
    </w:pPr>
    <w:rPr>
      <w:b/>
      <w:bCs/>
      <w:spacing w:val="200"/>
      <w:sz w:val="36"/>
      <w:szCs w:val="36"/>
    </w:rPr>
  </w:style>
  <w:style w:type="paragraph" w:styleId="32">
    <w:name w:val="List Paragraph"/>
    <w:basedOn w:val="1"/>
    <w:qFormat/>
    <w:uiPriority w:val="99"/>
    <w:pPr>
      <w:ind w:firstLine="200" w:firstLineChars="200"/>
    </w:pPr>
    <w:rPr>
      <w:rFonts w:ascii="Calibri" w:hAnsi="Calibri" w:cs="Calibri"/>
    </w:rPr>
  </w:style>
  <w:style w:type="character" w:customStyle="1" w:styleId="33">
    <w:name w:val="NormalCharacter"/>
    <w:qFormat/>
    <w:uiPriority w:val="0"/>
  </w:style>
  <w:style w:type="paragraph" w:customStyle="1" w:styleId="34">
    <w:name w:val="正文2"/>
    <w:basedOn w:val="1"/>
    <w:qFormat/>
    <w:uiPriority w:val="0"/>
    <w:pPr>
      <w:spacing w:before="156" w:beforeLines="0" w:line="360" w:lineRule="auto"/>
      <w:ind w:firstLine="510" w:firstLineChars="200"/>
    </w:pPr>
    <w:rPr>
      <w:rFonts w:hAnsi="宋体"/>
      <w:kern w:val="2"/>
      <w:sz w:val="24"/>
    </w:rPr>
  </w:style>
  <w:style w:type="paragraph" w:customStyle="1" w:styleId="35">
    <w:name w:val=" Char"/>
    <w:basedOn w:val="1"/>
    <w:qFormat/>
    <w:uiPriority w:val="0"/>
    <w:pPr>
      <w:numPr>
        <w:ilvl w:val="0"/>
        <w:numId w:val="2"/>
      </w:numPr>
      <w:tabs>
        <w:tab w:val="left" w:pos="1080"/>
        <w:tab w:val="clear" w:pos="552"/>
      </w:tabs>
    </w:pPr>
    <w:rPr>
      <w:rFonts w:ascii="Times New Roman"/>
      <w:kern w:val="2"/>
      <w:sz w:val="24"/>
      <w:szCs w:val="24"/>
    </w:rPr>
  </w:style>
  <w:style w:type="paragraph" w:customStyle="1" w:styleId="36">
    <w:name w:val="首行缩进"/>
    <w:qFormat/>
    <w:uiPriority w:val="0"/>
    <w:pPr>
      <w:widowControl w:val="0"/>
      <w:ind w:firstLine="480" w:firstLineChars="200"/>
      <w:jc w:val="both"/>
    </w:pPr>
    <w:rPr>
      <w:rFonts w:ascii="Calibri" w:hAnsi="Calibri" w:eastAsia="宋体" w:cs="Times New Roman"/>
      <w:kern w:val="2"/>
      <w:sz w:val="21"/>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23894</Words>
  <Characters>25194</Characters>
  <Lines>0</Lines>
  <Paragraphs>0</Paragraphs>
  <TotalTime>25</TotalTime>
  <ScaleCrop>false</ScaleCrop>
  <LinksUpToDate>false</LinksUpToDate>
  <CharactersWithSpaces>27772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夏燕婉</cp:lastModifiedBy>
  <cp:lastPrinted>2023-11-23T08:58:00Z</cp:lastPrinted>
  <dcterms:modified xsi:type="dcterms:W3CDTF">2023-11-23T09:31:23Z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1805B0A3EB1C4F94BA7FB6118FAEE3BD_13</vt:lpwstr>
  </property>
  <property fmtid="{D5CDD505-2E9C-101B-9397-08002B2CF9AE}" pid="4" name="commondata">
    <vt:lpwstr>eyJoZGlkIjoiMTI5OTQ5ZTkyOTZlMjBlYzJmZGMzNDNjMWMyNGU2ZTYifQ==</vt:lpwstr>
  </property>
</Properties>
</file>