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085"/>
        </w:tabs>
        <w:topLinePunct/>
        <w:spacing w:line="360" w:lineRule="auto"/>
        <w:jc w:val="center"/>
        <w:rPr>
          <w:rFonts w:ascii="宋体" w:hAnsi="宋体"/>
          <w:b/>
          <w:sz w:val="52"/>
          <w:szCs w:val="52"/>
        </w:rPr>
      </w:pPr>
    </w:p>
    <w:p>
      <w:pPr>
        <w:topLinePunct/>
        <w:spacing w:line="360" w:lineRule="auto"/>
        <w:jc w:val="center"/>
        <w:rPr>
          <w:rFonts w:ascii="宋体" w:hAnsi="宋体"/>
          <w:b/>
          <w:sz w:val="52"/>
          <w:szCs w:val="52"/>
        </w:rPr>
      </w:pPr>
    </w:p>
    <w:p>
      <w:pPr>
        <w:topLinePunct/>
        <w:spacing w:line="360" w:lineRule="auto"/>
        <w:jc w:val="center"/>
        <w:rPr>
          <w:rFonts w:eastAsia="黑体"/>
          <w:b/>
          <w:sz w:val="72"/>
          <w:szCs w:val="72"/>
        </w:rPr>
      </w:pPr>
      <w:r>
        <w:rPr>
          <w:rFonts w:hint="eastAsia" w:eastAsia="黑体"/>
          <w:b/>
          <w:sz w:val="72"/>
          <w:szCs w:val="72"/>
        </w:rPr>
        <w:t>无锡市政府采购</w:t>
      </w:r>
    </w:p>
    <w:p>
      <w:pPr>
        <w:topLinePunct/>
        <w:spacing w:line="360" w:lineRule="auto"/>
        <w:jc w:val="center"/>
        <w:rPr>
          <w:rFonts w:eastAsia="黑体"/>
          <w:b/>
          <w:sz w:val="72"/>
          <w:szCs w:val="72"/>
        </w:rPr>
      </w:pPr>
    </w:p>
    <w:p>
      <w:pPr>
        <w:topLinePunct/>
        <w:spacing w:line="360" w:lineRule="auto"/>
        <w:jc w:val="center"/>
        <w:rPr>
          <w:rFonts w:eastAsia="黑体"/>
          <w:b/>
          <w:sz w:val="72"/>
          <w:szCs w:val="72"/>
        </w:rPr>
      </w:pPr>
      <w:r>
        <w:rPr>
          <w:rFonts w:hint="eastAsia" w:eastAsia="黑体"/>
          <w:b/>
          <w:sz w:val="72"/>
          <w:szCs w:val="72"/>
        </w:rPr>
        <w:t>公开招标文件</w:t>
      </w:r>
    </w:p>
    <w:p>
      <w:pPr>
        <w:topLinePunct/>
        <w:spacing w:line="360" w:lineRule="auto"/>
        <w:jc w:val="center"/>
        <w:rPr>
          <w:rFonts w:ascii="宋体" w:hAnsi="宋体"/>
          <w:b/>
          <w:sz w:val="24"/>
        </w:rPr>
      </w:pPr>
    </w:p>
    <w:p>
      <w:pPr>
        <w:topLinePunct/>
        <w:spacing w:line="360" w:lineRule="auto"/>
        <w:jc w:val="center"/>
        <w:rPr>
          <w:rFonts w:ascii="宋体" w:hAnsi="宋体"/>
          <w:b/>
          <w:sz w:val="24"/>
        </w:rPr>
      </w:pPr>
    </w:p>
    <w:p>
      <w:pPr>
        <w:topLinePunct/>
        <w:spacing w:line="360" w:lineRule="auto"/>
        <w:jc w:val="center"/>
        <w:rPr>
          <w:rFonts w:ascii="宋体" w:hAnsi="宋体"/>
          <w:b/>
          <w:sz w:val="24"/>
        </w:rPr>
      </w:pPr>
    </w:p>
    <w:p>
      <w:pPr>
        <w:topLinePunct/>
        <w:spacing w:line="360" w:lineRule="auto"/>
        <w:rPr>
          <w:rFonts w:ascii="宋体" w:hAnsi="宋体"/>
          <w:b/>
          <w:sz w:val="24"/>
        </w:rPr>
      </w:pPr>
    </w:p>
    <w:p>
      <w:pPr>
        <w:topLinePunct/>
        <w:spacing w:line="360" w:lineRule="auto"/>
        <w:rPr>
          <w:rFonts w:ascii="宋体" w:hAnsi="宋体"/>
          <w:b/>
          <w:sz w:val="24"/>
        </w:rPr>
      </w:pPr>
    </w:p>
    <w:p>
      <w:pPr>
        <w:topLinePunct/>
        <w:spacing w:line="360" w:lineRule="auto"/>
        <w:ind w:firstLine="642"/>
        <w:rPr>
          <w:rFonts w:ascii="宋体" w:hAnsi="宋体"/>
          <w:b/>
          <w:sz w:val="32"/>
          <w:szCs w:val="32"/>
        </w:rPr>
      </w:pPr>
      <w:r>
        <w:rPr>
          <w:rFonts w:hint="eastAsia" w:ascii="宋体" w:hAnsi="宋体"/>
          <w:b/>
          <w:sz w:val="32"/>
          <w:szCs w:val="32"/>
        </w:rPr>
        <w:t>政府采购编号:JSZHCG2023-075</w:t>
      </w:r>
    </w:p>
    <w:p>
      <w:pPr>
        <w:topLinePunct/>
        <w:spacing w:line="360" w:lineRule="auto"/>
        <w:ind w:firstLine="642"/>
        <w:rPr>
          <w:rFonts w:ascii="宋体" w:hAnsi="宋体"/>
          <w:b/>
          <w:sz w:val="32"/>
          <w:szCs w:val="32"/>
        </w:rPr>
      </w:pPr>
    </w:p>
    <w:p>
      <w:pPr>
        <w:topLinePunct/>
        <w:spacing w:line="360" w:lineRule="auto"/>
        <w:ind w:left="2238" w:leftChars="304" w:hanging="1600" w:hangingChars="500"/>
        <w:rPr>
          <w:rFonts w:ascii="宋体" w:hAnsi="宋体"/>
          <w:b/>
          <w:sz w:val="32"/>
          <w:szCs w:val="32"/>
        </w:rPr>
      </w:pPr>
      <w:r>
        <w:rPr>
          <w:rFonts w:hint="eastAsia" w:ascii="宋体" w:hAnsi="宋体"/>
          <w:b/>
          <w:sz w:val="32"/>
          <w:szCs w:val="32"/>
        </w:rPr>
        <w:t>项目名称：江苏省荣军医院食堂食材采购项目</w:t>
      </w:r>
    </w:p>
    <w:p>
      <w:pPr>
        <w:topLinePunct/>
        <w:spacing w:line="360" w:lineRule="auto"/>
        <w:ind w:firstLine="642"/>
        <w:rPr>
          <w:rFonts w:ascii="宋体" w:hAnsi="宋体"/>
          <w:b/>
          <w:sz w:val="32"/>
          <w:szCs w:val="32"/>
        </w:rPr>
      </w:pPr>
    </w:p>
    <w:p>
      <w:pPr>
        <w:topLinePunct/>
        <w:spacing w:line="360" w:lineRule="auto"/>
        <w:ind w:firstLine="642"/>
        <w:rPr>
          <w:rFonts w:ascii="宋体" w:hAnsi="宋体"/>
          <w:b/>
          <w:sz w:val="32"/>
          <w:szCs w:val="32"/>
        </w:rPr>
      </w:pPr>
      <w:r>
        <w:rPr>
          <w:rFonts w:hint="eastAsia" w:ascii="宋体" w:hAnsi="宋体"/>
          <w:b/>
          <w:sz w:val="32"/>
          <w:szCs w:val="32"/>
        </w:rPr>
        <w:t>采 购 人：江苏省荣军医院</w:t>
      </w:r>
    </w:p>
    <w:p>
      <w:pPr>
        <w:topLinePunct/>
        <w:spacing w:line="360" w:lineRule="auto"/>
        <w:ind w:firstLine="640" w:firstLineChars="200"/>
        <w:rPr>
          <w:rFonts w:ascii="宋体" w:hAnsi="宋体"/>
          <w:b/>
          <w:sz w:val="32"/>
          <w:szCs w:val="32"/>
        </w:rPr>
      </w:pPr>
    </w:p>
    <w:p>
      <w:pPr>
        <w:topLinePunct/>
        <w:spacing w:line="360" w:lineRule="auto"/>
        <w:rPr>
          <w:rFonts w:ascii="宋体" w:hAnsi="宋体"/>
          <w:b/>
          <w:sz w:val="32"/>
          <w:szCs w:val="32"/>
        </w:rPr>
      </w:pPr>
      <w:r>
        <w:rPr>
          <w:rFonts w:hint="eastAsia" w:ascii="宋体" w:hAnsi="宋体"/>
          <w:b/>
          <w:sz w:val="32"/>
          <w:szCs w:val="32"/>
        </w:rPr>
        <w:t xml:space="preserve">    代理机构：江苏智汇锡建工程项目管理有限公司</w:t>
      </w:r>
    </w:p>
    <w:p>
      <w:pPr>
        <w:topLinePunct/>
        <w:spacing w:line="360" w:lineRule="auto"/>
        <w:rPr>
          <w:rFonts w:ascii="宋体" w:hAnsi="宋体"/>
          <w:b/>
          <w:sz w:val="24"/>
        </w:rPr>
      </w:pPr>
    </w:p>
    <w:p>
      <w:pPr>
        <w:topLinePunct/>
        <w:spacing w:line="360" w:lineRule="auto"/>
        <w:rPr>
          <w:rFonts w:ascii="宋体" w:hAnsi="宋体"/>
          <w:b/>
          <w:sz w:val="24"/>
        </w:rPr>
      </w:pPr>
    </w:p>
    <w:p>
      <w:pPr>
        <w:topLinePunct/>
        <w:snapToGrid w:val="0"/>
        <w:spacing w:line="360" w:lineRule="auto"/>
        <w:jc w:val="center"/>
        <w:rPr>
          <w:rFonts w:ascii="宋体" w:hAnsi="宋体"/>
          <w:b/>
          <w:sz w:val="32"/>
          <w:szCs w:val="32"/>
        </w:rPr>
      </w:pPr>
      <w:r>
        <w:rPr>
          <w:rFonts w:hint="eastAsia" w:ascii="宋体" w:hAnsi="宋体"/>
          <w:b/>
          <w:sz w:val="32"/>
          <w:szCs w:val="32"/>
        </w:rPr>
        <w:t>2023年12月</w:t>
      </w:r>
    </w:p>
    <w:p>
      <w:pPr>
        <w:topLinePunct/>
        <w:snapToGrid w:val="0"/>
        <w:spacing w:line="360" w:lineRule="auto"/>
        <w:jc w:val="center"/>
        <w:rPr>
          <w:rFonts w:ascii="宋体" w:hAnsi="宋体"/>
          <w:b/>
          <w:sz w:val="32"/>
          <w:szCs w:val="32"/>
        </w:rPr>
      </w:pPr>
    </w:p>
    <w:p>
      <w:pPr>
        <w:jc w:val="center"/>
        <w:rPr>
          <w:rStyle w:val="53"/>
          <w:rFonts w:eastAsia="黑体"/>
          <w:bCs/>
          <w:sz w:val="48"/>
        </w:rPr>
      </w:pPr>
    </w:p>
    <w:p>
      <w:pPr>
        <w:jc w:val="center"/>
        <w:rPr>
          <w:rStyle w:val="53"/>
          <w:rFonts w:eastAsia="黑体"/>
          <w:bCs/>
          <w:sz w:val="48"/>
        </w:rPr>
      </w:pPr>
    </w:p>
    <w:p>
      <w:pPr>
        <w:jc w:val="center"/>
        <w:rPr>
          <w:rStyle w:val="53"/>
          <w:rFonts w:eastAsia="黑体"/>
          <w:bCs/>
          <w:sz w:val="48"/>
        </w:rPr>
      </w:pPr>
      <w:r>
        <w:rPr>
          <w:rStyle w:val="53"/>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hAnsi="宋体"/>
          <w:bCs/>
          <w:sz w:val="30"/>
          <w:szCs w:val="30"/>
        </w:rPr>
      </w:pPr>
      <w:r>
        <w:rPr>
          <w:rFonts w:hint="eastAsia" w:ascii="宋体" w:hAnsi="宋体"/>
          <w:bCs/>
          <w:sz w:val="30"/>
          <w:szCs w:val="30"/>
        </w:rPr>
        <w:t>一．投标邀请--------------------------------------------（1）</w:t>
      </w:r>
    </w:p>
    <w:p>
      <w:pPr>
        <w:spacing w:line="720" w:lineRule="auto"/>
        <w:ind w:firstLine="450" w:firstLineChars="150"/>
        <w:rPr>
          <w:rFonts w:ascii="宋体" w:hAnsi="宋体"/>
          <w:bCs/>
          <w:sz w:val="30"/>
          <w:szCs w:val="30"/>
        </w:rPr>
      </w:pPr>
      <w:r>
        <w:rPr>
          <w:rFonts w:hint="eastAsia" w:ascii="宋体" w:hAnsi="宋体"/>
          <w:bCs/>
          <w:sz w:val="30"/>
          <w:szCs w:val="30"/>
        </w:rPr>
        <w:t>二．投标供应商须知--------------------------------------（4）</w:t>
      </w:r>
    </w:p>
    <w:p>
      <w:pPr>
        <w:spacing w:line="720" w:lineRule="auto"/>
        <w:ind w:firstLine="450" w:firstLineChars="150"/>
        <w:rPr>
          <w:rFonts w:ascii="宋体" w:hAnsi="宋体"/>
          <w:bCs/>
          <w:sz w:val="30"/>
          <w:szCs w:val="30"/>
        </w:rPr>
      </w:pPr>
      <w:r>
        <w:rPr>
          <w:rFonts w:hint="eastAsia" w:ascii="宋体" w:hAnsi="宋体"/>
          <w:bCs/>
          <w:sz w:val="30"/>
          <w:szCs w:val="30"/>
        </w:rPr>
        <w:t>三．项目技术</w:t>
      </w:r>
      <w:bookmarkStart w:id="0" w:name="_Hlt49764623"/>
      <w:r>
        <w:rPr>
          <w:rFonts w:hint="eastAsia" w:ascii="宋体" w:hAnsi="宋体"/>
          <w:bCs/>
          <w:sz w:val="30"/>
          <w:szCs w:val="30"/>
        </w:rPr>
        <w:t>要求和</w:t>
      </w:r>
      <w:bookmarkEnd w:id="0"/>
      <w:r>
        <w:rPr>
          <w:rFonts w:hint="eastAsia" w:ascii="宋体" w:hAnsi="宋体"/>
          <w:bCs/>
          <w:sz w:val="30"/>
          <w:szCs w:val="30"/>
        </w:rPr>
        <w:t>有</w:t>
      </w:r>
      <w:bookmarkStart w:id="1" w:name="_Hlt15786850"/>
      <w:bookmarkStart w:id="2" w:name="_Hlt15786849"/>
      <w:r>
        <w:rPr>
          <w:rFonts w:hint="eastAsia" w:ascii="宋体" w:hAnsi="宋体"/>
          <w:bCs/>
          <w:sz w:val="30"/>
          <w:szCs w:val="30"/>
        </w:rPr>
        <w:t>关</w:t>
      </w:r>
      <w:bookmarkEnd w:id="1"/>
      <w:bookmarkEnd w:id="2"/>
      <w:r>
        <w:rPr>
          <w:rFonts w:hint="eastAsia" w:ascii="宋体" w:hAnsi="宋体"/>
          <w:bCs/>
          <w:sz w:val="30"/>
          <w:szCs w:val="30"/>
        </w:rPr>
        <w:t>说</w:t>
      </w:r>
      <w:bookmarkStart w:id="3" w:name="_Hlt529244298"/>
      <w:r>
        <w:rPr>
          <w:rFonts w:hint="eastAsia" w:ascii="宋体" w:hAnsi="宋体"/>
          <w:bCs/>
          <w:sz w:val="30"/>
          <w:szCs w:val="30"/>
        </w:rPr>
        <w:t>明</w:t>
      </w:r>
      <w:bookmarkEnd w:id="3"/>
      <w:r>
        <w:rPr>
          <w:rFonts w:hint="eastAsia" w:ascii="宋体" w:hAnsi="宋体"/>
          <w:bCs/>
          <w:sz w:val="30"/>
          <w:szCs w:val="30"/>
        </w:rPr>
        <w:t>------------------------------（17）</w:t>
      </w:r>
    </w:p>
    <w:p>
      <w:pPr>
        <w:spacing w:line="720" w:lineRule="auto"/>
        <w:ind w:firstLine="450" w:firstLineChars="150"/>
        <w:rPr>
          <w:rFonts w:ascii="宋体" w:hAnsi="宋体"/>
          <w:bCs/>
          <w:sz w:val="30"/>
          <w:szCs w:val="30"/>
        </w:rPr>
      </w:pPr>
      <w:r>
        <w:rPr>
          <w:rFonts w:hint="eastAsia" w:ascii="宋体" w:hAnsi="宋体"/>
          <w:bCs/>
          <w:sz w:val="30"/>
          <w:szCs w:val="30"/>
        </w:rPr>
        <w:t>四. 合同书及合同条款------------------------------------（23）</w:t>
      </w:r>
    </w:p>
    <w:p>
      <w:pPr>
        <w:spacing w:line="720" w:lineRule="auto"/>
        <w:ind w:firstLine="450" w:firstLineChars="150"/>
        <w:rPr>
          <w:rFonts w:ascii="宋体" w:hAnsi="宋体"/>
          <w:bCs/>
          <w:sz w:val="28"/>
          <w:szCs w:val="28"/>
        </w:rPr>
      </w:pPr>
      <w:r>
        <w:rPr>
          <w:rFonts w:hint="eastAsia" w:ascii="宋体" w:hAnsi="宋体"/>
          <w:bCs/>
          <w:sz w:val="30"/>
          <w:szCs w:val="30"/>
        </w:rPr>
        <w:t>五. 附件（投标文件格式）--------------------------------（29）</w:t>
      </w:r>
    </w:p>
    <w:p>
      <w:pPr>
        <w:spacing w:line="720" w:lineRule="auto"/>
        <w:rPr>
          <w:rFonts w:ascii="宋体" w:hAnsi="宋体"/>
          <w:bCs/>
          <w:sz w:val="30"/>
        </w:rPr>
      </w:pPr>
    </w:p>
    <w:p>
      <w:pPr>
        <w:spacing w:line="480" w:lineRule="auto"/>
        <w:rPr>
          <w:rFonts w:ascii="宋体" w:hAnsi="宋体"/>
          <w:bCs/>
          <w:sz w:val="30"/>
        </w:rPr>
      </w:pPr>
    </w:p>
    <w:p>
      <w:pPr>
        <w:rPr>
          <w:rFonts w:ascii="宋体" w:hAnsi="宋体"/>
          <w:bCs/>
          <w:sz w:val="28"/>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rPr>
          <w:rFonts w:ascii="宋体" w:hAnsi="宋体"/>
          <w:bCs/>
          <w:szCs w:val="21"/>
        </w:rPr>
      </w:pPr>
    </w:p>
    <w:p>
      <w:pPr>
        <w:jc w:val="center"/>
        <w:rPr>
          <w:rFonts w:ascii="黑体" w:eastAsia="黑体"/>
          <w:bCs/>
          <w:sz w:val="28"/>
          <w:szCs w:val="28"/>
        </w:rPr>
        <w:sectPr>
          <w:footerReference r:id="rId5" w:type="first"/>
          <w:headerReference r:id="rId3" w:type="default"/>
          <w:footerReference r:id="rId4" w:type="default"/>
          <w:pgSz w:w="11906" w:h="16838"/>
          <w:pgMar w:top="567" w:right="851" w:bottom="567" w:left="1134" w:header="624" w:footer="907" w:gutter="0"/>
          <w:pgNumType w:start="1"/>
          <w:cols w:space="720" w:num="1"/>
          <w:docGrid w:type="linesAndChars" w:linePitch="312" w:charSpace="0"/>
        </w:sectPr>
      </w:pPr>
      <w:bookmarkStart w:id="4" w:name="报价方须知前附表"/>
      <w:bookmarkEnd w:id="4"/>
    </w:p>
    <w:p>
      <w:pPr>
        <w:jc w:val="center"/>
        <w:rPr>
          <w:rFonts w:ascii="黑体" w:eastAsia="黑体"/>
          <w:bCs/>
          <w:sz w:val="28"/>
          <w:szCs w:val="28"/>
        </w:rPr>
      </w:pPr>
      <w:r>
        <w:rPr>
          <w:rFonts w:hint="eastAsia" w:ascii="黑体" w:eastAsia="黑体"/>
          <w:bCs/>
          <w:sz w:val="28"/>
          <w:szCs w:val="28"/>
        </w:rPr>
        <w:t>一．投标邀请</w:t>
      </w:r>
    </w:p>
    <w:p>
      <w:pPr>
        <w:spacing w:line="360" w:lineRule="auto"/>
        <w:ind w:firstLine="480" w:firstLineChars="200"/>
        <w:rPr>
          <w:rFonts w:ascii="宋体" w:hAnsi="宋体"/>
          <w:bCs/>
          <w:sz w:val="24"/>
          <w:szCs w:val="24"/>
        </w:rPr>
      </w:pPr>
      <w:r>
        <w:rPr>
          <w:rFonts w:hint="eastAsia" w:ascii="宋体" w:hAnsi="宋体"/>
          <w:bCs/>
          <w:sz w:val="24"/>
          <w:szCs w:val="24"/>
        </w:rPr>
        <w:t>江苏智汇锡建工程项目管理有限公司受</w:t>
      </w:r>
      <w:r>
        <w:rPr>
          <w:rFonts w:hint="eastAsia" w:ascii="宋体" w:hAnsi="宋体"/>
          <w:sz w:val="24"/>
        </w:rPr>
        <w:t>江苏省荣军医院</w:t>
      </w:r>
      <w:r>
        <w:rPr>
          <w:rFonts w:hint="eastAsia" w:ascii="宋体" w:hAnsi="宋体"/>
          <w:bCs/>
          <w:sz w:val="24"/>
          <w:szCs w:val="24"/>
        </w:rPr>
        <w:t>的委托，对</w:t>
      </w:r>
      <w:r>
        <w:rPr>
          <w:rFonts w:hint="eastAsia" w:ascii="宋体" w:hAnsi="宋体"/>
          <w:sz w:val="24"/>
        </w:rPr>
        <w:t>江苏省荣军医院食堂食材采购项目</w:t>
      </w:r>
      <w:r>
        <w:rPr>
          <w:rFonts w:hint="eastAsia" w:ascii="宋体" w:hAnsi="宋体"/>
          <w:bCs/>
          <w:sz w:val="24"/>
          <w:szCs w:val="24"/>
        </w:rPr>
        <w:t>进行公开招标，欢迎你单位参加投标并提请注意下列附表中的相关事项：</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tcPr>
          <w:p>
            <w:pPr>
              <w:spacing w:line="288" w:lineRule="auto"/>
              <w:jc w:val="center"/>
              <w:rPr>
                <w:rFonts w:ascii="宋体" w:hAnsi="宋体" w:cs="宋体"/>
                <w:bCs/>
                <w:sz w:val="24"/>
                <w:szCs w:val="24"/>
              </w:rPr>
            </w:pPr>
            <w:r>
              <w:rPr>
                <w:rFonts w:hint="eastAsia" w:ascii="宋体" w:hAnsi="宋体" w:cs="宋体"/>
                <w:bCs/>
                <w:sz w:val="24"/>
                <w:szCs w:val="24"/>
              </w:rPr>
              <w:t>序号</w:t>
            </w:r>
          </w:p>
        </w:tc>
        <w:tc>
          <w:tcPr>
            <w:tcW w:w="9135" w:type="dxa"/>
          </w:tcPr>
          <w:p>
            <w:pPr>
              <w:spacing w:line="288" w:lineRule="auto"/>
              <w:jc w:val="center"/>
              <w:rPr>
                <w:rFonts w:ascii="宋体" w:hAnsi="宋体" w:cs="宋体"/>
                <w:bCs/>
                <w:sz w:val="24"/>
                <w:szCs w:val="24"/>
              </w:rPr>
            </w:pPr>
            <w:r>
              <w:rPr>
                <w:rFonts w:hint="eastAsia" w:ascii="宋体" w:hAnsi="宋体" w:cs="宋体"/>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1</w:t>
            </w:r>
          </w:p>
        </w:tc>
        <w:tc>
          <w:tcPr>
            <w:tcW w:w="9135" w:type="dxa"/>
          </w:tcPr>
          <w:p>
            <w:pPr>
              <w:spacing w:line="288" w:lineRule="auto"/>
              <w:rPr>
                <w:rFonts w:ascii="宋体" w:hAnsi="宋体" w:cs="宋体"/>
                <w:bCs/>
                <w:sz w:val="24"/>
                <w:szCs w:val="24"/>
              </w:rPr>
            </w:pPr>
            <w:r>
              <w:rPr>
                <w:rFonts w:hint="eastAsia" w:ascii="宋体" w:hAnsi="宋体" w:cs="宋体"/>
                <w:bCs/>
                <w:sz w:val="24"/>
                <w:szCs w:val="24"/>
              </w:rPr>
              <w:t>项目名称：</w:t>
            </w:r>
            <w:r>
              <w:rPr>
                <w:rFonts w:hint="eastAsia" w:ascii="宋体" w:hAnsi="宋体"/>
                <w:sz w:val="24"/>
              </w:rPr>
              <w:t>江苏省荣军医院食堂食材采购项目</w:t>
            </w:r>
          </w:p>
          <w:p>
            <w:pPr>
              <w:spacing w:line="288" w:lineRule="auto"/>
              <w:rPr>
                <w:rFonts w:ascii="宋体" w:hAnsi="宋体" w:cs="宋体"/>
                <w:bCs/>
                <w:sz w:val="24"/>
                <w:szCs w:val="24"/>
              </w:rPr>
            </w:pPr>
            <w:r>
              <w:rPr>
                <w:rFonts w:hint="eastAsia" w:ascii="宋体" w:hAnsi="宋体" w:cs="宋体"/>
                <w:bCs/>
                <w:sz w:val="24"/>
                <w:szCs w:val="24"/>
              </w:rPr>
              <w:t>采购编号：JSZHCG2023-075</w:t>
            </w:r>
          </w:p>
          <w:p>
            <w:pPr>
              <w:spacing w:line="288" w:lineRule="auto"/>
              <w:rPr>
                <w:rFonts w:ascii="宋体" w:hAnsi="宋体" w:cs="宋体"/>
                <w:bCs/>
                <w:sz w:val="24"/>
                <w:szCs w:val="24"/>
              </w:rPr>
            </w:pPr>
            <w:r>
              <w:rPr>
                <w:rFonts w:hint="eastAsia" w:ascii="宋体" w:hAnsi="宋体" w:cs="宋体"/>
                <w:bCs/>
                <w:sz w:val="24"/>
                <w:szCs w:val="24"/>
              </w:rPr>
              <w:t>采购人：</w:t>
            </w:r>
            <w:r>
              <w:rPr>
                <w:rFonts w:hint="eastAsia" w:ascii="宋体" w:hAnsi="宋体"/>
                <w:sz w:val="24"/>
              </w:rPr>
              <w:t>江苏省荣军医院</w:t>
            </w:r>
          </w:p>
          <w:p>
            <w:pPr>
              <w:spacing w:line="288" w:lineRule="auto"/>
              <w:rPr>
                <w:rFonts w:ascii="宋体" w:hAnsi="宋体" w:cs="宋体"/>
                <w:bCs/>
                <w:sz w:val="24"/>
                <w:szCs w:val="24"/>
              </w:rPr>
            </w:pPr>
            <w:r>
              <w:rPr>
                <w:rFonts w:hint="eastAsia" w:ascii="宋体" w:hAnsi="宋体" w:cs="宋体"/>
                <w:bCs/>
                <w:sz w:val="24"/>
                <w:szCs w:val="24"/>
              </w:rPr>
              <w:t>采购人式：公开招标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2</w:t>
            </w:r>
          </w:p>
        </w:tc>
        <w:tc>
          <w:tcPr>
            <w:tcW w:w="9135" w:type="dxa"/>
          </w:tcPr>
          <w:p>
            <w:pPr>
              <w:spacing w:line="288" w:lineRule="auto"/>
              <w:rPr>
                <w:rFonts w:ascii="宋体" w:hAnsi="宋体" w:cs="宋体"/>
                <w:bCs/>
                <w:sz w:val="24"/>
                <w:szCs w:val="24"/>
              </w:rPr>
            </w:pPr>
            <w:r>
              <w:rPr>
                <w:rFonts w:hint="eastAsia" w:ascii="宋体" w:hAnsi="宋体" w:cs="宋体"/>
                <w:bCs/>
                <w:sz w:val="24"/>
                <w:szCs w:val="24"/>
              </w:rPr>
              <w:t xml:space="preserve">采购代理机构: 江苏智汇锡建工程项目管理有限公司       </w:t>
            </w:r>
          </w:p>
          <w:p>
            <w:pPr>
              <w:spacing w:line="288" w:lineRule="auto"/>
              <w:rPr>
                <w:rFonts w:ascii="宋体" w:hAnsi="宋体" w:cs="宋体"/>
                <w:bCs/>
                <w:sz w:val="24"/>
                <w:szCs w:val="24"/>
              </w:rPr>
            </w:pPr>
            <w:r>
              <w:rPr>
                <w:rFonts w:hint="eastAsia" w:ascii="宋体" w:hAnsi="宋体" w:cs="宋体"/>
                <w:bCs/>
                <w:sz w:val="24"/>
                <w:szCs w:val="24"/>
              </w:rPr>
              <w:t>地址：</w:t>
            </w:r>
            <w:r>
              <w:rPr>
                <w:rFonts w:hint="eastAsia" w:ascii="宋体" w:hAnsi="宋体" w:cs="宋体"/>
                <w:sz w:val="24"/>
                <w:szCs w:val="24"/>
              </w:rPr>
              <w:t>无锡市</w:t>
            </w:r>
            <w:r>
              <w:rPr>
                <w:rFonts w:hint="eastAsia" w:ascii="宋体" w:hAnsi="宋体"/>
                <w:sz w:val="24"/>
              </w:rPr>
              <w:t>新吴区菱湖大道180号-8B幢9楼907</w:t>
            </w:r>
            <w:r>
              <w:rPr>
                <w:rFonts w:hint="eastAsia" w:ascii="宋体" w:hAnsi="宋体" w:cs="宋体"/>
                <w:sz w:val="24"/>
                <w:szCs w:val="24"/>
              </w:rPr>
              <w:t>室</w:t>
            </w:r>
          </w:p>
          <w:p>
            <w:pPr>
              <w:widowControl/>
              <w:topLinePunct/>
              <w:spacing w:line="288" w:lineRule="auto"/>
              <w:rPr>
                <w:rFonts w:ascii="宋体" w:hAnsi="宋体" w:cs="宋体"/>
                <w:bCs/>
                <w:sz w:val="24"/>
                <w:szCs w:val="24"/>
              </w:rPr>
            </w:pPr>
            <w:r>
              <w:rPr>
                <w:rFonts w:hint="eastAsia" w:ascii="宋体" w:hAnsi="宋体" w:cs="宋体"/>
                <w:bCs/>
                <w:sz w:val="24"/>
                <w:szCs w:val="24"/>
              </w:rPr>
              <w:t>联系人：</w:t>
            </w:r>
            <w:r>
              <w:rPr>
                <w:rFonts w:hint="eastAsia" w:ascii="宋体" w:hAnsi="宋体" w:cs="宋体"/>
                <w:sz w:val="24"/>
                <w:szCs w:val="24"/>
              </w:rPr>
              <w:t>张沁、华晓蓉</w:t>
            </w:r>
          </w:p>
          <w:p>
            <w:pPr>
              <w:spacing w:line="288" w:lineRule="auto"/>
              <w:rPr>
                <w:rFonts w:ascii="宋体" w:hAnsi="宋体" w:cs="宋体"/>
                <w:bCs/>
                <w:sz w:val="24"/>
                <w:szCs w:val="24"/>
              </w:rPr>
            </w:pPr>
            <w:r>
              <w:rPr>
                <w:rFonts w:hint="eastAsia" w:ascii="宋体" w:hAnsi="宋体" w:cs="宋体"/>
                <w:bCs/>
                <w:sz w:val="24"/>
                <w:szCs w:val="24"/>
              </w:rPr>
              <w:t>联系电话：0510-82707727</w:t>
            </w:r>
          </w:p>
          <w:p>
            <w:pPr>
              <w:spacing w:line="288" w:lineRule="auto"/>
              <w:rPr>
                <w:rFonts w:ascii="宋体" w:hAnsi="宋体" w:cs="宋体"/>
                <w:bCs/>
                <w:sz w:val="24"/>
                <w:szCs w:val="24"/>
              </w:rPr>
            </w:pPr>
            <w:r>
              <w:rPr>
                <w:rFonts w:hint="eastAsia" w:ascii="宋体" w:hAnsi="宋体" w:cs="宋体"/>
                <w:bCs/>
                <w:sz w:val="24"/>
                <w:szCs w:val="24"/>
              </w:rPr>
              <w:t>请有意参加本项目投标的供应商携带招标公告所要求的内容，至采购代理机构处领购采购文件，并在获取采购文件后，进行无锡政府采购供应商库注册登记，地址为</w:t>
            </w:r>
            <w:r>
              <w:rPr>
                <w:rFonts w:ascii="宋体" w:hAnsi="宋体" w:cs="宋体"/>
                <w:sz w:val="24"/>
                <w:szCs w:val="24"/>
              </w:rPr>
              <w:t>http://middle.wuxi.zcygov.cn/v-settle-front/registry?settleCategory=1&amp;utm=sites_group_front.2ef5001f.0.0.5c4d6f50435211ebb83923d07fece4a7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3</w:t>
            </w:r>
          </w:p>
        </w:tc>
        <w:tc>
          <w:tcPr>
            <w:tcW w:w="9135" w:type="dxa"/>
          </w:tcPr>
          <w:p>
            <w:pPr>
              <w:spacing w:line="288" w:lineRule="auto"/>
              <w:rPr>
                <w:rFonts w:ascii="宋体" w:hAnsi="宋体" w:cs="宋体"/>
                <w:bCs/>
                <w:sz w:val="24"/>
                <w:szCs w:val="24"/>
              </w:rPr>
            </w:pPr>
            <w:r>
              <w:rPr>
                <w:rFonts w:hint="eastAsia" w:ascii="宋体" w:hAnsi="宋体" w:cs="宋体"/>
                <w:bCs/>
                <w:sz w:val="24"/>
                <w:szCs w:val="24"/>
              </w:rPr>
              <w:t>投标供应商参加本次政府采购活动除应当符合以下规定：</w:t>
            </w:r>
          </w:p>
          <w:p>
            <w:pPr>
              <w:spacing w:line="288" w:lineRule="auto"/>
              <w:rPr>
                <w:rFonts w:ascii="宋体" w:hAnsi="宋体" w:cs="宋体"/>
                <w:bCs/>
                <w:sz w:val="24"/>
                <w:szCs w:val="24"/>
              </w:rPr>
            </w:pPr>
            <w:r>
              <w:rPr>
                <w:rFonts w:hint="eastAsia" w:ascii="宋体" w:hAnsi="宋体" w:cs="宋体"/>
                <w:bCs/>
                <w:sz w:val="24"/>
                <w:szCs w:val="24"/>
              </w:rPr>
              <w:t>1、满足《中华人民共和国政府采购法》第二十二条规定：</w:t>
            </w:r>
          </w:p>
          <w:p>
            <w:pPr>
              <w:spacing w:line="288" w:lineRule="auto"/>
              <w:rPr>
                <w:rFonts w:ascii="宋体" w:hAnsi="宋体" w:cs="宋体"/>
                <w:sz w:val="24"/>
                <w:szCs w:val="24"/>
              </w:rPr>
            </w:pPr>
            <w:r>
              <w:rPr>
                <w:rFonts w:hint="eastAsia" w:ascii="宋体" w:hAnsi="宋体" w:cs="宋体"/>
                <w:sz w:val="24"/>
                <w:szCs w:val="24"/>
              </w:rPr>
              <w:t xml:space="preserve">①具有独立承担民事责任的能力； </w:t>
            </w:r>
          </w:p>
          <w:p>
            <w:pPr>
              <w:spacing w:line="288" w:lineRule="auto"/>
              <w:rPr>
                <w:rFonts w:ascii="宋体" w:hAnsi="宋体" w:cs="宋体"/>
                <w:sz w:val="24"/>
                <w:szCs w:val="24"/>
              </w:rPr>
            </w:pPr>
            <w:r>
              <w:rPr>
                <w:rFonts w:hint="eastAsia" w:ascii="宋体" w:hAnsi="宋体" w:cs="宋体"/>
                <w:sz w:val="24"/>
                <w:szCs w:val="24"/>
              </w:rPr>
              <w:t>②具有良好的商业信誉和健全的财务会计制度；</w:t>
            </w:r>
          </w:p>
          <w:p>
            <w:pPr>
              <w:spacing w:line="288" w:lineRule="auto"/>
              <w:rPr>
                <w:rFonts w:ascii="宋体" w:hAnsi="宋体" w:cs="宋体"/>
                <w:sz w:val="24"/>
                <w:szCs w:val="24"/>
              </w:rPr>
            </w:pPr>
            <w:r>
              <w:rPr>
                <w:rFonts w:hint="eastAsia" w:ascii="宋体" w:hAnsi="宋体" w:cs="宋体"/>
                <w:sz w:val="24"/>
                <w:szCs w:val="24"/>
              </w:rPr>
              <w:t>③具有履行合同所必需的设备和专业技术能力；</w:t>
            </w:r>
          </w:p>
          <w:p>
            <w:pPr>
              <w:spacing w:line="288" w:lineRule="auto"/>
              <w:rPr>
                <w:rFonts w:ascii="宋体" w:hAnsi="宋体" w:cs="宋体"/>
                <w:sz w:val="24"/>
                <w:szCs w:val="24"/>
              </w:rPr>
            </w:pPr>
            <w:r>
              <w:rPr>
                <w:rFonts w:hint="eastAsia" w:ascii="宋体" w:hAnsi="宋体" w:cs="宋体"/>
                <w:sz w:val="24"/>
                <w:szCs w:val="24"/>
              </w:rPr>
              <w:t xml:space="preserve">④有依法缴纳税收和社会保障资金的良好记录； </w:t>
            </w:r>
          </w:p>
          <w:p>
            <w:pPr>
              <w:spacing w:line="288" w:lineRule="auto"/>
              <w:rPr>
                <w:rFonts w:ascii="宋体" w:hAnsi="宋体" w:cs="宋体"/>
                <w:sz w:val="24"/>
                <w:szCs w:val="24"/>
              </w:rPr>
            </w:pPr>
            <w:r>
              <w:rPr>
                <w:rFonts w:hint="eastAsia" w:ascii="宋体" w:hAnsi="宋体" w:cs="宋体"/>
                <w:sz w:val="24"/>
                <w:szCs w:val="24"/>
              </w:rPr>
              <w:t>⑤参加政府采购活动前三年内，在经营活动中没有重大违法记录；</w:t>
            </w:r>
          </w:p>
          <w:p>
            <w:pPr>
              <w:spacing w:line="288" w:lineRule="auto"/>
              <w:rPr>
                <w:rFonts w:ascii="宋体" w:hAnsi="宋体" w:cs="宋体"/>
                <w:sz w:val="24"/>
                <w:szCs w:val="24"/>
              </w:rPr>
            </w:pPr>
            <w:r>
              <w:rPr>
                <w:rFonts w:hint="eastAsia" w:ascii="宋体" w:hAnsi="宋体" w:cs="宋体"/>
                <w:sz w:val="24"/>
                <w:szCs w:val="24"/>
              </w:rPr>
              <w:t xml:space="preserve">⑥法律、行政法规规定的其他条件。 </w:t>
            </w:r>
          </w:p>
          <w:p>
            <w:pPr>
              <w:spacing w:line="288" w:lineRule="auto"/>
              <w:rPr>
                <w:rFonts w:ascii="宋体" w:hAnsi="宋体" w:cs="宋体"/>
                <w:sz w:val="24"/>
                <w:szCs w:val="24"/>
              </w:rPr>
            </w:pPr>
            <w:r>
              <w:rPr>
                <w:rFonts w:hint="eastAsia" w:ascii="宋体" w:hAnsi="宋体" w:cs="宋体"/>
                <w:sz w:val="24"/>
                <w:szCs w:val="24"/>
              </w:rPr>
              <w:t>"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p>
          <w:p>
            <w:pPr>
              <w:spacing w:line="288" w:lineRule="auto"/>
              <w:rPr>
                <w:rFonts w:ascii="宋体" w:hAnsi="宋体" w:cs="宋体"/>
                <w:bCs/>
                <w:sz w:val="24"/>
                <w:szCs w:val="24"/>
              </w:rPr>
            </w:pPr>
            <w:r>
              <w:rPr>
                <w:rFonts w:hint="eastAsia" w:ascii="宋体" w:hAnsi="宋体" w:cs="宋体"/>
                <w:bCs/>
                <w:sz w:val="24"/>
                <w:szCs w:val="24"/>
              </w:rPr>
              <w:t>2、</w:t>
            </w:r>
            <w:r>
              <w:rPr>
                <w:rFonts w:hint="eastAsia" w:ascii="宋体" w:hAnsi="宋体" w:cs="宋体"/>
                <w:sz w:val="24"/>
                <w:szCs w:val="24"/>
              </w:rPr>
              <w:t>本项目特定资格要求</w:t>
            </w:r>
            <w:r>
              <w:rPr>
                <w:rFonts w:hint="eastAsia" w:ascii="宋体" w:hAnsi="宋体" w:cs="宋体"/>
                <w:bCs/>
                <w:sz w:val="24"/>
                <w:szCs w:val="24"/>
              </w:rPr>
              <w:t>：</w:t>
            </w:r>
          </w:p>
          <w:p>
            <w:pPr>
              <w:spacing w:line="288" w:lineRule="auto"/>
              <w:rPr>
                <w:rFonts w:ascii="宋体" w:hAnsi="宋体" w:cs="宋体"/>
                <w:kern w:val="0"/>
                <w:sz w:val="24"/>
              </w:rPr>
            </w:pPr>
            <w:r>
              <w:rPr>
                <w:rFonts w:hint="eastAsia" w:ascii="宋体" w:hAnsi="宋体" w:cs="宋体"/>
                <w:sz w:val="24"/>
                <w:szCs w:val="24"/>
              </w:rPr>
              <w:t>①</w:t>
            </w:r>
            <w:r>
              <w:rPr>
                <w:rFonts w:hint="eastAsia" w:ascii="宋体" w:hAnsi="宋体"/>
                <w:bCs/>
                <w:kern w:val="0"/>
                <w:sz w:val="24"/>
              </w:rPr>
              <w:t>投标供应商应为中国大陆境内合法注册、具有独立法人资格的企业单位或其他组织</w:t>
            </w:r>
            <w:r>
              <w:rPr>
                <w:rFonts w:hint="eastAsia" w:ascii="宋体" w:hAnsi="宋体" w:cs="宋体"/>
                <w:kern w:val="0"/>
                <w:sz w:val="24"/>
              </w:rPr>
              <w:t>；</w:t>
            </w:r>
          </w:p>
          <w:p>
            <w:pPr>
              <w:spacing w:line="288" w:lineRule="auto"/>
              <w:rPr>
                <w:rFonts w:ascii="宋体" w:hAnsi="宋体" w:cs="宋体"/>
                <w:kern w:val="0"/>
                <w:sz w:val="24"/>
              </w:rPr>
            </w:pPr>
            <w:r>
              <w:rPr>
                <w:rFonts w:hint="eastAsia" w:ascii="宋体" w:hAnsi="宋体" w:cs="宋体"/>
                <w:kern w:val="0"/>
                <w:sz w:val="24"/>
              </w:rPr>
              <w:t>②</w:t>
            </w:r>
            <w:r>
              <w:rPr>
                <w:rFonts w:hint="eastAsia" w:ascii="宋体" w:hAnsi="宋体"/>
                <w:bCs/>
                <w:kern w:val="0"/>
                <w:sz w:val="24"/>
              </w:rPr>
              <w:t>投标供应商应具有有效的《食品流通许可证》或《食品经营许可证》或《全国工业产品生产许可证》或《食品生产许可证》；</w:t>
            </w:r>
          </w:p>
          <w:p>
            <w:pPr>
              <w:spacing w:line="288" w:lineRule="auto"/>
              <w:rPr>
                <w:rFonts w:ascii="宋体" w:hAnsi="宋体" w:cs="宋体"/>
                <w:sz w:val="24"/>
                <w:szCs w:val="24"/>
              </w:rPr>
            </w:pPr>
            <w:r>
              <w:rPr>
                <w:rFonts w:ascii="宋体" w:hAnsi="宋体" w:cs="宋体"/>
                <w:kern w:val="0"/>
                <w:sz w:val="24"/>
              </w:rPr>
              <w:t>③</w:t>
            </w:r>
            <w:r>
              <w:rPr>
                <w:rFonts w:hint="eastAsia" w:ascii="宋体" w:hAnsi="宋体" w:cs="Arial"/>
                <w:kern w:val="0"/>
                <w:sz w:val="24"/>
              </w:rPr>
              <w:t>投标单位授权委托人须为投标单位正式职工，提供与供应商企业签订的劳动合同及由法定的社保收缴部门出具的2023年6月 -2023年11月的由供应商为其依法缴纳社会保障资金的相关材料（提供相关主管部门证明或银行代扣证明）。</w:t>
            </w:r>
          </w:p>
          <w:p>
            <w:pPr>
              <w:spacing w:line="288" w:lineRule="auto"/>
              <w:rPr>
                <w:rFonts w:ascii="宋体" w:hAnsi="宋体" w:cs="宋体"/>
                <w:sz w:val="24"/>
                <w:szCs w:val="24"/>
              </w:rPr>
            </w:pPr>
            <w:r>
              <w:rPr>
                <w:rFonts w:hint="eastAsia" w:ascii="宋体" w:hAnsi="宋体" w:cs="宋体"/>
                <w:bCs/>
                <w:sz w:val="24"/>
                <w:szCs w:val="24"/>
              </w:rPr>
              <w:t>3、近三年内被</w:t>
            </w:r>
            <w:r>
              <w:rPr>
                <w:rFonts w:hint="eastAsia" w:ascii="宋体" w:hAnsi="宋体" w:cs="宋体"/>
                <w:sz w:val="24"/>
                <w:szCs w:val="24"/>
              </w:rPr>
              <w:t>“信用中国”网站或被“中国政府采购网”、“信用江苏网”列入失信被执行人和重大税收违法案件当事人名单、政府采购严重违法失信行为信息记录名单的（处罚期限尚未届满的），不得参与本项目的政府采购活动。</w:t>
            </w:r>
          </w:p>
          <w:p>
            <w:pPr>
              <w:spacing w:line="288" w:lineRule="auto"/>
              <w:rPr>
                <w:rFonts w:ascii="宋体" w:hAnsi="宋体" w:cs="宋体"/>
                <w:bCs/>
                <w:sz w:val="24"/>
                <w:szCs w:val="24"/>
              </w:rPr>
            </w:pPr>
            <w:r>
              <w:rPr>
                <w:rFonts w:hint="eastAsia" w:ascii="宋体" w:hAnsi="宋体" w:cs="宋体"/>
                <w:sz w:val="24"/>
                <w:szCs w:val="24"/>
              </w:rPr>
              <w:t>4、</w:t>
            </w:r>
            <w:r>
              <w:rPr>
                <w:rFonts w:hint="eastAsia" w:ascii="宋体" w:hAnsi="宋体" w:cs="宋体"/>
                <w:bCs/>
                <w:sz w:val="24"/>
                <w:szCs w:val="24"/>
              </w:rPr>
              <w:t>落实政府釆购政策需满足的资格要求：</w:t>
            </w:r>
          </w:p>
          <w:p>
            <w:pPr>
              <w:spacing w:line="288" w:lineRule="auto"/>
              <w:rPr>
                <w:rFonts w:ascii="宋体" w:hAnsi="宋体" w:cs="宋体"/>
                <w:sz w:val="24"/>
                <w:szCs w:val="24"/>
              </w:rPr>
            </w:pPr>
            <w:r>
              <w:rPr>
                <w:rFonts w:hint="eastAsia" w:ascii="宋体" w:hAnsi="宋体" w:cs="宋体"/>
                <w:sz w:val="24"/>
                <w:szCs w:val="24"/>
              </w:rPr>
              <w:t>4.1按照《政府采购促进中小企业发展暂行办法》（财库〔2020〕46号）的规定，对小型和微型企业产品的价格给予10%的扣除；</w:t>
            </w:r>
          </w:p>
          <w:p>
            <w:pPr>
              <w:spacing w:line="288" w:lineRule="auto"/>
              <w:rPr>
                <w:rFonts w:ascii="宋体" w:hAnsi="宋体" w:cs="宋体"/>
                <w:sz w:val="24"/>
                <w:szCs w:val="24"/>
              </w:rPr>
            </w:pPr>
            <w:r>
              <w:rPr>
                <w:rFonts w:hint="eastAsia" w:ascii="宋体" w:hAnsi="宋体" w:cs="宋体"/>
                <w:sz w:val="24"/>
                <w:szCs w:val="24"/>
              </w:rPr>
              <w:t>4.2按照《财政部司法部关于政府采购支持监狱企业发展有关问题的通知》（财库[2014]68号）文件规定，在政府采购活动中，监狱企业视同小型、微型企业，享受评审中价格扣除的政府采购政策；监狱和戒毒企业属于小微企业的，不重复享受政策支持。</w:t>
            </w:r>
          </w:p>
          <w:p>
            <w:pPr>
              <w:spacing w:line="288" w:lineRule="auto"/>
              <w:rPr>
                <w:rFonts w:ascii="宋体" w:hAnsi="宋体" w:cs="宋体"/>
                <w:sz w:val="24"/>
                <w:szCs w:val="24"/>
              </w:rPr>
            </w:pPr>
            <w:r>
              <w:rPr>
                <w:rFonts w:hint="eastAsia" w:ascii="宋体" w:hAnsi="宋体" w:cs="宋体"/>
                <w:sz w:val="24"/>
                <w:szCs w:val="24"/>
              </w:rPr>
              <w:t>4.3按照《财政部民政部中国残疾人联合会关于促进残疾人就业政府采购政策的通知》，残疾人福利性单位视同小型、微型企业，享受评审中价格扣除的政府采购政策，残疾人福利性单位属于小型、微型企业的，不重复享受政策。</w:t>
            </w:r>
          </w:p>
          <w:p>
            <w:pPr>
              <w:spacing w:line="288" w:lineRule="auto"/>
              <w:rPr>
                <w:rFonts w:ascii="宋体" w:hAnsi="宋体" w:cs="宋体"/>
                <w:sz w:val="24"/>
                <w:szCs w:val="24"/>
              </w:rPr>
            </w:pPr>
            <w:r>
              <w:rPr>
                <w:rFonts w:hint="eastAsia" w:ascii="宋体" w:hAnsi="宋体" w:cs="宋体"/>
                <w:sz w:val="24"/>
                <w:szCs w:val="24"/>
              </w:rPr>
              <w:t>4.4优先和强制采购节能产品。属于财政部、国家发展改革委《节能产品政府采购清单》有效期内产品的优先采购，属于节能产品清单中强制采购的产品强制采购。优先采购环保产品。属于财政部、环境保护部《环境标志产品政府采购清单》有效期内产品的优先采购。</w:t>
            </w:r>
          </w:p>
          <w:p>
            <w:pPr>
              <w:spacing w:line="288" w:lineRule="auto"/>
              <w:rPr>
                <w:rFonts w:ascii="宋体" w:hAnsi="宋体" w:cs="宋体"/>
                <w:sz w:val="24"/>
                <w:szCs w:val="24"/>
              </w:rPr>
            </w:pPr>
            <w:r>
              <w:rPr>
                <w:rFonts w:hint="eastAsia" w:ascii="宋体" w:hAnsi="宋体" w:cs="宋体"/>
                <w:sz w:val="24"/>
                <w:szCs w:val="24"/>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4</w:t>
            </w:r>
          </w:p>
        </w:tc>
        <w:tc>
          <w:tcPr>
            <w:tcW w:w="9135" w:type="dxa"/>
          </w:tcPr>
          <w:p>
            <w:pPr>
              <w:spacing w:line="288" w:lineRule="auto"/>
              <w:ind w:left="-58" w:leftChars="-28"/>
              <w:rPr>
                <w:rFonts w:ascii="宋体" w:hAnsi="宋体" w:cs="宋体"/>
                <w:bCs/>
                <w:sz w:val="24"/>
                <w:szCs w:val="24"/>
              </w:rPr>
            </w:pPr>
            <w:r>
              <w:rPr>
                <w:rFonts w:hint="eastAsia" w:ascii="宋体" w:hAnsi="宋体" w:cs="宋体"/>
                <w:bCs/>
                <w:sz w:val="24"/>
                <w:szCs w:val="24"/>
              </w:rPr>
              <w:t>采购项目概况</w:t>
            </w:r>
          </w:p>
          <w:p>
            <w:pPr>
              <w:numPr>
                <w:ilvl w:val="0"/>
                <w:numId w:val="5"/>
              </w:numPr>
              <w:spacing w:line="288" w:lineRule="auto"/>
              <w:ind w:left="-58" w:leftChars="-28"/>
              <w:rPr>
                <w:rFonts w:ascii="宋体" w:hAnsi="宋体" w:cs="宋体"/>
                <w:bCs/>
                <w:sz w:val="24"/>
                <w:szCs w:val="24"/>
              </w:rPr>
            </w:pPr>
            <w:r>
              <w:rPr>
                <w:rFonts w:hint="eastAsia" w:ascii="宋体" w:hAnsi="宋体" w:cs="宋体"/>
                <w:bCs/>
                <w:sz w:val="24"/>
                <w:szCs w:val="24"/>
              </w:rPr>
              <w:t>项目地点：</w:t>
            </w:r>
            <w:r>
              <w:rPr>
                <w:rFonts w:hint="eastAsia" w:ascii="宋体" w:hAnsi="宋体"/>
                <w:sz w:val="24"/>
              </w:rPr>
              <w:t>江苏省荣军医院</w:t>
            </w:r>
            <w:r>
              <w:rPr>
                <w:sz w:val="24"/>
                <w:szCs w:val="24"/>
              </w:rPr>
              <w:t>，</w:t>
            </w:r>
            <w:r>
              <w:rPr>
                <w:rFonts w:hint="eastAsia" w:ascii="宋体" w:hAnsi="宋体"/>
                <w:sz w:val="24"/>
              </w:rPr>
              <w:t>无锡市惠河路196号</w:t>
            </w:r>
            <w:r>
              <w:rPr>
                <w:rFonts w:hint="eastAsia" w:ascii="宋体" w:hAnsi="宋体" w:cs="宋体"/>
                <w:bCs/>
                <w:sz w:val="24"/>
                <w:szCs w:val="24"/>
              </w:rPr>
              <w:t>。</w:t>
            </w:r>
          </w:p>
          <w:p>
            <w:pPr>
              <w:spacing w:line="288" w:lineRule="auto"/>
              <w:ind w:left="-58" w:leftChars="-28"/>
              <w:rPr>
                <w:rFonts w:ascii="宋体" w:hAnsi="宋体" w:cs="宋体"/>
                <w:bCs/>
                <w:sz w:val="24"/>
                <w:szCs w:val="24"/>
              </w:rPr>
            </w:pPr>
            <w:r>
              <w:rPr>
                <w:rFonts w:hint="eastAsia" w:ascii="宋体" w:hAnsi="宋体" w:cs="宋体"/>
                <w:bCs/>
                <w:sz w:val="24"/>
                <w:szCs w:val="24"/>
              </w:rPr>
              <w:t>2、采购内容：</w:t>
            </w:r>
            <w:r>
              <w:rPr>
                <w:rFonts w:hint="eastAsia" w:ascii="宋体" w:hAnsi="宋体"/>
                <w:sz w:val="24"/>
              </w:rPr>
              <w:t>江苏省荣军医院食堂食材采购及服务</w:t>
            </w:r>
          </w:p>
          <w:p>
            <w:pPr>
              <w:spacing w:line="288" w:lineRule="auto"/>
              <w:ind w:left="-58" w:leftChars="-28"/>
              <w:rPr>
                <w:rFonts w:ascii="宋体" w:hAnsi="宋体" w:cs="宋体"/>
                <w:bCs/>
                <w:sz w:val="24"/>
                <w:szCs w:val="24"/>
              </w:rPr>
            </w:pPr>
            <w:r>
              <w:rPr>
                <w:rFonts w:hint="eastAsia" w:ascii="宋体" w:hAnsi="宋体" w:cs="宋体"/>
                <w:bCs/>
                <w:sz w:val="24"/>
                <w:szCs w:val="24"/>
              </w:rPr>
              <w:t>3、供货期：2年，自合同签约之日起算</w:t>
            </w:r>
          </w:p>
          <w:p>
            <w:pPr>
              <w:spacing w:line="288" w:lineRule="auto"/>
              <w:ind w:left="-58" w:leftChars="-28"/>
              <w:rPr>
                <w:rFonts w:ascii="宋体" w:hAnsi="宋体" w:cs="宋体"/>
                <w:bCs/>
                <w:sz w:val="24"/>
                <w:szCs w:val="24"/>
              </w:rPr>
            </w:pPr>
            <w:r>
              <w:rPr>
                <w:rFonts w:hint="eastAsia" w:ascii="宋体" w:hAnsi="宋体" w:cs="宋体"/>
                <w:bCs/>
                <w:sz w:val="24"/>
                <w:szCs w:val="24"/>
              </w:rPr>
              <w:t>4、质量要求：</w:t>
            </w:r>
            <w:r>
              <w:rPr>
                <w:rFonts w:hint="eastAsia" w:ascii="宋体" w:hAnsi="宋体" w:cs="宋体"/>
                <w:kern w:val="0"/>
                <w:sz w:val="24"/>
                <w:szCs w:val="24"/>
                <w:u w:color="000000"/>
              </w:rPr>
              <w:t>合格产品，满足采购人的要求</w:t>
            </w:r>
            <w:r>
              <w:rPr>
                <w:rFonts w:hint="eastAsia" w:ascii="宋体" w:hAnsi="宋体" w:cs="宋体"/>
                <w:bCs/>
                <w:sz w:val="24"/>
                <w:szCs w:val="24"/>
              </w:rPr>
              <w:t>；</w:t>
            </w:r>
          </w:p>
          <w:p>
            <w:pPr>
              <w:spacing w:line="288" w:lineRule="auto"/>
              <w:ind w:left="-59"/>
              <w:rPr>
                <w:rFonts w:ascii="宋体" w:hAnsi="宋体" w:cs="宋体"/>
                <w:bCs/>
                <w:sz w:val="24"/>
                <w:szCs w:val="24"/>
              </w:rPr>
            </w:pPr>
            <w:r>
              <w:rPr>
                <w:rFonts w:hint="eastAsia" w:ascii="宋体" w:hAnsi="宋体" w:cs="宋体"/>
                <w:bCs/>
                <w:sz w:val="24"/>
                <w:szCs w:val="24"/>
              </w:rPr>
              <w:t>5、采购预算：640万/两年，其中一标段440万元（两年），二标段200万元（两年）。</w:t>
            </w:r>
          </w:p>
          <w:p>
            <w:pPr>
              <w:spacing w:line="288" w:lineRule="auto"/>
              <w:ind w:left="-59"/>
              <w:rPr>
                <w:rFonts w:ascii="宋体" w:hAnsi="宋体" w:cs="宋体"/>
                <w:bCs/>
                <w:sz w:val="24"/>
                <w:szCs w:val="24"/>
              </w:rPr>
            </w:pPr>
            <w:r>
              <w:rPr>
                <w:rFonts w:hint="eastAsia" w:ascii="宋体" w:hAnsi="宋体" w:cs="宋体"/>
                <w:bCs/>
                <w:sz w:val="24"/>
                <w:szCs w:val="24"/>
              </w:rPr>
              <w:t>6、所有货物按无锡市发展和改革委员会官网专题专栏中民生价费近期公示价格的平均价格*中标折扣率*实际数量进行结算，如遇网站上没有该食品，则按无锡市天惠超市的价格*中标折扣率*实际数量结算，如遇无锡市发展和改革委员会官网及无锡市天惠超市均没有该类食品，乙方应提前通知甲方，经双方协商后进行调整确认，原则上按寻找到的其他市场价格*中标折扣率*实际数量结算。</w:t>
            </w:r>
          </w:p>
          <w:p>
            <w:pPr>
              <w:spacing w:line="288" w:lineRule="auto"/>
              <w:ind w:left="-59"/>
              <w:rPr>
                <w:rFonts w:hint="eastAsia" w:ascii="宋体" w:hAnsi="宋体" w:cs="宋体"/>
                <w:bCs/>
                <w:sz w:val="24"/>
                <w:szCs w:val="24"/>
              </w:rPr>
            </w:pPr>
            <w:r>
              <w:rPr>
                <w:rFonts w:hint="eastAsia" w:ascii="宋体" w:hAnsi="宋体"/>
                <w:sz w:val="24"/>
              </w:rPr>
              <w:t>注：假设商品单价为100元，综合折扣率为99%则结算时该商品单价为99元，综合折扣率为98%则结算时该商品单价为98元，以此类推。</w:t>
            </w:r>
          </w:p>
          <w:p>
            <w:pPr>
              <w:spacing w:line="288" w:lineRule="auto"/>
              <w:ind w:left="-59"/>
              <w:rPr>
                <w:rFonts w:ascii="宋体" w:hAnsi="宋体" w:cs="宋体"/>
                <w:bCs/>
                <w:sz w:val="24"/>
                <w:szCs w:val="24"/>
              </w:rPr>
            </w:pPr>
            <w:r>
              <w:rPr>
                <w:rFonts w:hint="eastAsia" w:ascii="宋体" w:hAnsi="宋体" w:cs="宋体"/>
                <w:bCs/>
                <w:sz w:val="24"/>
                <w:szCs w:val="24"/>
              </w:rPr>
              <w:t>7、本项目根据配送内容分为二个标段：</w:t>
            </w:r>
          </w:p>
          <w:p>
            <w:pPr>
              <w:spacing w:line="288" w:lineRule="auto"/>
              <w:ind w:left="-59"/>
              <w:rPr>
                <w:rFonts w:ascii="宋体" w:hAnsi="宋体" w:cs="宋体"/>
                <w:bCs/>
                <w:sz w:val="24"/>
                <w:szCs w:val="24"/>
              </w:rPr>
            </w:pPr>
            <w:r>
              <w:rPr>
                <w:rFonts w:hint="eastAsia" w:ascii="宋体" w:hAnsi="宋体" w:cs="宋体"/>
                <w:bCs/>
                <w:sz w:val="24"/>
                <w:szCs w:val="24"/>
              </w:rPr>
              <w:t>一标段：</w:t>
            </w:r>
            <w:r>
              <w:rPr>
                <w:rFonts w:hint="eastAsia" w:asciiTheme="minorEastAsia" w:hAnsiTheme="minorEastAsia" w:eastAsiaTheme="minorEastAsia" w:cstheme="minorEastAsia"/>
                <w:sz w:val="24"/>
              </w:rPr>
              <w:t>包含新鲜肉类（含猪牛羊肉等）及其冻品、新鲜禽类及其冻品、速冻面点类、水产品类</w:t>
            </w:r>
            <w:r>
              <w:rPr>
                <w:rFonts w:hint="eastAsia" w:asciiTheme="minorEastAsia" w:hAnsiTheme="minorEastAsia" w:eastAsiaTheme="minorEastAsia" w:cstheme="minorEastAsia"/>
                <w:sz w:val="24"/>
                <w:lang w:val="zh-TW" w:eastAsia="zh-TW"/>
              </w:rPr>
              <w:t>、</w:t>
            </w:r>
            <w:r>
              <w:rPr>
                <w:rFonts w:hint="eastAsia" w:asciiTheme="minorEastAsia" w:hAnsiTheme="minorEastAsia" w:eastAsiaTheme="minorEastAsia" w:cstheme="minorEastAsia"/>
                <w:sz w:val="24"/>
              </w:rPr>
              <w:t>禽</w:t>
            </w:r>
            <w:r>
              <w:rPr>
                <w:rFonts w:hint="eastAsia" w:asciiTheme="minorEastAsia" w:hAnsiTheme="minorEastAsia" w:eastAsiaTheme="minorEastAsia" w:cstheme="minorEastAsia"/>
                <w:sz w:val="24"/>
                <w:lang w:val="zh-TW" w:eastAsia="zh-TW"/>
              </w:rPr>
              <w:t>蛋类</w:t>
            </w:r>
            <w:r>
              <w:rPr>
                <w:rFonts w:hint="eastAsia" w:asciiTheme="minorEastAsia" w:hAnsiTheme="minorEastAsia" w:eastAsiaTheme="minorEastAsia" w:cstheme="minorEastAsia"/>
                <w:sz w:val="24"/>
                <w:lang w:val="zh-TW"/>
              </w:rPr>
              <w:t>、</w:t>
            </w:r>
            <w:r>
              <w:rPr>
                <w:rFonts w:hint="eastAsia" w:asciiTheme="minorEastAsia" w:hAnsiTheme="minorEastAsia" w:eastAsiaTheme="minorEastAsia" w:cstheme="minorEastAsia"/>
                <w:sz w:val="24"/>
                <w:lang w:val="zh-TW" w:eastAsia="zh-TW"/>
              </w:rPr>
              <w:t>蔬菜、水果</w:t>
            </w:r>
            <w:r>
              <w:rPr>
                <w:rFonts w:hint="eastAsia" w:asciiTheme="minorEastAsia" w:hAnsiTheme="minorEastAsia" w:eastAsiaTheme="minorEastAsia" w:cstheme="minorEastAsia"/>
                <w:sz w:val="24"/>
                <w:lang w:val="zh-TW"/>
              </w:rPr>
              <w:t>、</w:t>
            </w:r>
            <w:r>
              <w:rPr>
                <w:rFonts w:hint="eastAsia" w:asciiTheme="minorEastAsia" w:hAnsiTheme="minorEastAsia" w:eastAsiaTheme="minorEastAsia" w:cstheme="minorEastAsia"/>
                <w:sz w:val="24"/>
              </w:rPr>
              <w:t>豆制品、南北货以及应急及零星采购食材任务等</w:t>
            </w:r>
            <w:r>
              <w:rPr>
                <w:rFonts w:hint="eastAsia" w:ascii="宋体" w:hAnsi="宋体" w:cs="宋体"/>
                <w:bCs/>
                <w:sz w:val="24"/>
                <w:szCs w:val="24"/>
              </w:rPr>
              <w:t>；</w:t>
            </w:r>
          </w:p>
          <w:p>
            <w:pPr>
              <w:spacing w:line="288" w:lineRule="auto"/>
              <w:ind w:left="-59"/>
              <w:rPr>
                <w:rFonts w:ascii="宋体" w:hAnsi="宋体" w:cs="宋体"/>
                <w:bCs/>
                <w:sz w:val="24"/>
                <w:szCs w:val="24"/>
              </w:rPr>
            </w:pPr>
            <w:r>
              <w:rPr>
                <w:rFonts w:hint="eastAsia" w:ascii="宋体" w:hAnsi="宋体" w:cs="宋体"/>
                <w:bCs/>
                <w:sz w:val="24"/>
                <w:szCs w:val="24"/>
              </w:rPr>
              <w:t>二标段：</w:t>
            </w:r>
            <w:r>
              <w:rPr>
                <w:rFonts w:hint="eastAsia"/>
                <w:sz w:val="24"/>
              </w:rPr>
              <w:t>包含</w:t>
            </w:r>
            <w:r>
              <w:rPr>
                <w:rFonts w:hint="eastAsia"/>
                <w:sz w:val="24"/>
                <w:lang w:val="zh-TW" w:eastAsia="zh-TW"/>
              </w:rPr>
              <w:t>大米面粉、粮油、调料、</w:t>
            </w:r>
            <w:r>
              <w:rPr>
                <w:rFonts w:hint="eastAsia"/>
                <w:sz w:val="24"/>
              </w:rPr>
              <w:t>奶制品</w:t>
            </w:r>
            <w:r>
              <w:rPr>
                <w:rFonts w:hint="eastAsia"/>
                <w:sz w:val="24"/>
                <w:lang w:val="zh-TW" w:eastAsia="zh-TW"/>
              </w:rPr>
              <w:t>、面包蛋糕、水、饮料等副食品</w:t>
            </w:r>
            <w:r>
              <w:rPr>
                <w:rFonts w:hint="eastAsia"/>
                <w:sz w:val="24"/>
              </w:rPr>
              <w:t>以及一次性易耗品等</w:t>
            </w:r>
            <w:r>
              <w:rPr>
                <w:rFonts w:hint="eastAsia" w:ascii="宋体" w:hAnsi="宋体" w:cs="宋体"/>
                <w:bCs/>
                <w:sz w:val="24"/>
                <w:szCs w:val="24"/>
              </w:rPr>
              <w:t>；</w:t>
            </w:r>
          </w:p>
          <w:p>
            <w:pPr>
              <w:spacing w:line="288" w:lineRule="auto"/>
              <w:ind w:left="-59"/>
              <w:rPr>
                <w:rFonts w:ascii="宋体" w:hAnsi="宋体" w:cs="宋体"/>
                <w:bCs/>
                <w:sz w:val="24"/>
                <w:szCs w:val="24"/>
              </w:rPr>
            </w:pPr>
            <w:r>
              <w:rPr>
                <w:rFonts w:hint="eastAsia" w:ascii="宋体" w:hAnsi="宋体"/>
                <w:b/>
                <w:sz w:val="24"/>
                <w:szCs w:val="24"/>
              </w:rPr>
              <w:t>本次招标共分2个标段，每个投标人最多可以投2个标段，但中标只能中1个标段，评分排名均第一的情况下由投标单位在投标文件中承诺优先中何标段。如某标段排名第一的供应商已经中了其他标段，则该标段由排名第二的供应商中标，依次类推。</w:t>
            </w:r>
          </w:p>
          <w:p>
            <w:pPr>
              <w:spacing w:line="288" w:lineRule="auto"/>
              <w:ind w:left="-59"/>
              <w:rPr>
                <w:rFonts w:ascii="宋体" w:hAnsi="宋体" w:cs="宋体"/>
                <w:bCs/>
                <w:sz w:val="24"/>
                <w:szCs w:val="24"/>
              </w:rPr>
            </w:pPr>
            <w:r>
              <w:rPr>
                <w:rFonts w:hint="eastAsia" w:ascii="宋体" w:hAnsi="宋体" w:cs="宋体"/>
                <w:bCs/>
                <w:sz w:val="24"/>
                <w:szCs w:val="24"/>
              </w:rPr>
              <w:t>8、本项目所属行业为：批发</w:t>
            </w:r>
            <w:r>
              <w:rPr>
                <w:rFonts w:hint="eastAsia" w:ascii="宋体" w:hAnsi="宋体" w:cs="宋体"/>
                <w:bCs/>
                <w:sz w:val="24"/>
              </w:rPr>
              <w:t>业</w:t>
            </w:r>
            <w:r>
              <w:rPr>
                <w:rFonts w:hint="eastAsia" w:ascii="宋体" w:hAnsi="宋体" w:cs="宋体"/>
                <w:bCs/>
                <w:sz w:val="24"/>
                <w:szCs w:val="24"/>
              </w:rPr>
              <w:t>。</w:t>
            </w:r>
            <w:r>
              <w:rPr>
                <w:rFonts w:hint="eastAsia" w:ascii="宋体" w:hAnsi="宋体"/>
                <w:sz w:val="24"/>
              </w:rPr>
              <w:t>根据《中小企业划型标准规定》工信部联企业[2011]300号规定，</w:t>
            </w:r>
            <w:r>
              <w:rPr>
                <w:rFonts w:hint="eastAsia" w:ascii="宋体" w:hAnsi="宋体" w:cs="宋体"/>
                <w:bCs/>
                <w:sz w:val="24"/>
              </w:rPr>
              <w:t>批发业</w:t>
            </w:r>
            <w:r>
              <w:rPr>
                <w:rFonts w:hint="eastAsia" w:ascii="宋体" w:hAnsi="宋体"/>
                <w:bCs/>
                <w:sz w:val="24"/>
              </w:rPr>
              <w:t>：</w:t>
            </w:r>
            <w:r>
              <w:rPr>
                <w:rFonts w:hint="eastAsia" w:ascii="宋体" w:hAnsi="宋体" w:cs="宋体"/>
                <w:bCs/>
                <w:sz w:val="24"/>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288" w:lineRule="auto"/>
              <w:ind w:left="-59"/>
            </w:pPr>
            <w:r>
              <w:rPr>
                <w:rFonts w:hint="eastAsia" w:ascii="宋体" w:hAnsi="宋体" w:cs="宋体"/>
                <w:bCs/>
                <w:sz w:val="24"/>
                <w:szCs w:val="24"/>
              </w:rPr>
              <w:t>9、本项目是否专门面向中小企业：否。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5</w:t>
            </w:r>
          </w:p>
        </w:tc>
        <w:tc>
          <w:tcPr>
            <w:tcW w:w="9135" w:type="dxa"/>
            <w:vAlign w:val="center"/>
          </w:tcPr>
          <w:p>
            <w:pPr>
              <w:widowControl/>
              <w:topLinePunct/>
              <w:spacing w:line="288" w:lineRule="auto"/>
              <w:rPr>
                <w:rFonts w:ascii="宋体" w:hAnsi="宋体" w:cs="宋体"/>
                <w:bCs/>
                <w:sz w:val="24"/>
                <w:szCs w:val="24"/>
              </w:rPr>
            </w:pPr>
            <w:r>
              <w:rPr>
                <w:rFonts w:hint="eastAsia" w:ascii="宋体" w:hAnsi="宋体" w:cs="宋体"/>
                <w:sz w:val="24"/>
                <w:szCs w:val="24"/>
              </w:rPr>
              <w:t>投标供应商应承担其编制投标文件以及递交投标文件所涉及的一切费用。无论报价结果如何，采购人对上述费用不负任何责任。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6</w:t>
            </w:r>
          </w:p>
        </w:tc>
        <w:tc>
          <w:tcPr>
            <w:tcW w:w="9135" w:type="dxa"/>
          </w:tcPr>
          <w:p>
            <w:pPr>
              <w:widowControl/>
              <w:topLinePunct/>
              <w:snapToGrid w:val="0"/>
              <w:spacing w:line="288" w:lineRule="auto"/>
              <w:rPr>
                <w:rFonts w:ascii="宋体" w:hAnsi="宋体" w:cs="宋体"/>
                <w:sz w:val="24"/>
                <w:szCs w:val="24"/>
              </w:rPr>
            </w:pPr>
            <w:r>
              <w:rPr>
                <w:rFonts w:hint="eastAsia" w:ascii="宋体" w:hAnsi="宋体" w:cs="宋体"/>
                <w:sz w:val="24"/>
                <w:szCs w:val="24"/>
              </w:rPr>
              <w:t>提疑截止时间：202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日11时00分，以书面形式（或以邮件形式发送原件扫描件）发送给采购代理机构。</w:t>
            </w:r>
          </w:p>
          <w:p>
            <w:pPr>
              <w:spacing w:line="288" w:lineRule="auto"/>
              <w:ind w:left="-58" w:leftChars="-28"/>
              <w:rPr>
                <w:rFonts w:ascii="宋体" w:hAnsi="宋体" w:cs="宋体"/>
                <w:bCs/>
                <w:sz w:val="24"/>
                <w:szCs w:val="24"/>
              </w:rPr>
            </w:pPr>
            <w:r>
              <w:rPr>
                <w:rFonts w:hint="eastAsia" w:ascii="宋体" w:hAnsi="宋体" w:cs="宋体"/>
                <w:sz w:val="24"/>
                <w:szCs w:val="24"/>
              </w:rPr>
              <w:t>答疑时间：202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日17时00分前，以书面形式或电子邮件形式发送给各潜在投标供应商；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7</w:t>
            </w:r>
          </w:p>
        </w:tc>
        <w:tc>
          <w:tcPr>
            <w:tcW w:w="9135" w:type="dxa"/>
            <w:vAlign w:val="center"/>
          </w:tcPr>
          <w:p>
            <w:pPr>
              <w:widowControl/>
              <w:topLinePunct/>
              <w:spacing w:line="288" w:lineRule="auto"/>
              <w:rPr>
                <w:rFonts w:ascii="宋体" w:hAnsi="宋体"/>
                <w:sz w:val="24"/>
              </w:rPr>
            </w:pPr>
            <w:r>
              <w:rPr>
                <w:rFonts w:hint="eastAsia" w:ascii="宋体" w:hAnsi="宋体" w:cs="宋体"/>
                <w:sz w:val="24"/>
                <w:szCs w:val="24"/>
                <w:lang w:val="zh-CN"/>
              </w:rPr>
              <w:t>投标供应商须按规定交纳投标保证金：</w:t>
            </w: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8</w:t>
            </w:r>
          </w:p>
        </w:tc>
        <w:tc>
          <w:tcPr>
            <w:tcW w:w="9135" w:type="dxa"/>
            <w:vAlign w:val="center"/>
          </w:tcPr>
          <w:p>
            <w:pPr>
              <w:spacing w:line="288" w:lineRule="auto"/>
              <w:rPr>
                <w:rFonts w:ascii="宋体" w:hAnsi="宋体" w:cs="宋体"/>
                <w:bCs/>
                <w:sz w:val="24"/>
                <w:szCs w:val="24"/>
              </w:rPr>
            </w:pPr>
            <w:r>
              <w:rPr>
                <w:rFonts w:hint="eastAsia" w:ascii="宋体" w:hAnsi="宋体" w:cs="宋体"/>
                <w:bCs/>
                <w:sz w:val="24"/>
                <w:szCs w:val="24"/>
              </w:rPr>
              <w:t>投标有效期：开标之日起90天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9</w:t>
            </w:r>
          </w:p>
        </w:tc>
        <w:tc>
          <w:tcPr>
            <w:tcW w:w="9135" w:type="dxa"/>
            <w:vAlign w:val="center"/>
          </w:tcPr>
          <w:p>
            <w:pPr>
              <w:widowControl/>
              <w:topLinePunct/>
              <w:spacing w:line="288" w:lineRule="auto"/>
              <w:rPr>
                <w:rFonts w:ascii="宋体" w:hAnsi="宋体" w:cs="宋体"/>
                <w:sz w:val="24"/>
                <w:szCs w:val="24"/>
              </w:rPr>
            </w:pPr>
            <w:r>
              <w:rPr>
                <w:rFonts w:hint="eastAsia" w:ascii="宋体" w:hAnsi="宋体" w:cs="宋体"/>
                <w:sz w:val="24"/>
                <w:szCs w:val="24"/>
              </w:rPr>
              <w:t>投标开始时间：2024年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日下午13时00分，</w:t>
            </w:r>
          </w:p>
          <w:p>
            <w:pPr>
              <w:widowControl/>
              <w:topLinePunct/>
              <w:spacing w:line="288" w:lineRule="auto"/>
              <w:rPr>
                <w:rFonts w:ascii="宋体" w:hAnsi="宋体" w:cs="宋体"/>
                <w:sz w:val="24"/>
                <w:szCs w:val="24"/>
              </w:rPr>
            </w:pPr>
            <w:r>
              <w:rPr>
                <w:rFonts w:hint="eastAsia" w:ascii="宋体" w:hAnsi="宋体" w:cs="宋体"/>
                <w:sz w:val="24"/>
                <w:szCs w:val="24"/>
              </w:rPr>
              <w:t>投标截止时间：2024年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日下午13时30分，</w:t>
            </w:r>
          </w:p>
          <w:p>
            <w:pPr>
              <w:widowControl/>
              <w:topLinePunct/>
              <w:spacing w:line="288" w:lineRule="auto"/>
              <w:rPr>
                <w:rFonts w:ascii="宋体" w:hAnsi="宋体" w:cs="宋体"/>
                <w:sz w:val="24"/>
                <w:szCs w:val="24"/>
              </w:rPr>
            </w:pPr>
            <w:r>
              <w:rPr>
                <w:rFonts w:hint="eastAsia" w:ascii="宋体" w:hAnsi="宋体" w:cs="宋体"/>
                <w:sz w:val="24"/>
                <w:szCs w:val="24"/>
              </w:rPr>
              <w:t>投标文件接收人：张沁、华晓蓉</w:t>
            </w:r>
          </w:p>
          <w:p>
            <w:pPr>
              <w:widowControl/>
              <w:topLinePunct/>
              <w:spacing w:line="288" w:lineRule="auto"/>
              <w:rPr>
                <w:rFonts w:ascii="宋体" w:hAnsi="宋体" w:cs="宋体"/>
                <w:sz w:val="24"/>
                <w:szCs w:val="24"/>
              </w:rPr>
            </w:pPr>
            <w:r>
              <w:rPr>
                <w:rFonts w:hint="eastAsia" w:ascii="宋体" w:hAnsi="宋体" w:cs="宋体"/>
                <w:sz w:val="24"/>
                <w:szCs w:val="24"/>
              </w:rPr>
              <w:t>截止期后的投标文件恕不接受。</w:t>
            </w:r>
          </w:p>
          <w:p>
            <w:pPr>
              <w:widowControl/>
              <w:topLinePunct/>
              <w:spacing w:line="288" w:lineRule="auto"/>
              <w:rPr>
                <w:rFonts w:ascii="宋体" w:hAnsi="宋体" w:cs="宋体"/>
                <w:b/>
                <w:sz w:val="24"/>
                <w:szCs w:val="24"/>
              </w:rPr>
            </w:pPr>
            <w:r>
              <w:rPr>
                <w:rFonts w:hint="eastAsia" w:ascii="宋体" w:hAnsi="宋体" w:cs="宋体"/>
                <w:sz w:val="24"/>
                <w:szCs w:val="24"/>
              </w:rPr>
              <w:t>投标地点：江苏智汇锡建工程项目管理有限公司（无锡市</w:t>
            </w:r>
            <w:r>
              <w:rPr>
                <w:rFonts w:hint="eastAsia" w:ascii="宋体" w:hAnsi="宋体"/>
                <w:sz w:val="24"/>
              </w:rPr>
              <w:t>新吴区菱湖大道180号-8B幢9楼会议</w:t>
            </w:r>
            <w:r>
              <w:rPr>
                <w:rFonts w:hint="eastAsia" w:ascii="宋体"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10</w:t>
            </w:r>
          </w:p>
        </w:tc>
        <w:tc>
          <w:tcPr>
            <w:tcW w:w="9135" w:type="dxa"/>
            <w:vAlign w:val="center"/>
          </w:tcPr>
          <w:p>
            <w:pPr>
              <w:widowControl/>
              <w:topLinePunct/>
              <w:spacing w:line="288" w:lineRule="auto"/>
              <w:rPr>
                <w:rFonts w:ascii="宋体" w:hAnsi="宋体" w:cs="宋体"/>
                <w:sz w:val="24"/>
                <w:szCs w:val="24"/>
              </w:rPr>
            </w:pPr>
            <w:r>
              <w:rPr>
                <w:rFonts w:hint="eastAsia" w:ascii="宋体" w:hAnsi="宋体" w:cs="宋体"/>
                <w:sz w:val="24"/>
                <w:szCs w:val="24"/>
              </w:rPr>
              <w:t>开标时间：2024年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 xml:space="preserve">日下午13时30分；  </w:t>
            </w:r>
          </w:p>
          <w:p>
            <w:pPr>
              <w:widowControl/>
              <w:topLinePunct/>
              <w:spacing w:line="288" w:lineRule="auto"/>
              <w:rPr>
                <w:rFonts w:ascii="宋体" w:hAnsi="宋体" w:cs="宋体"/>
                <w:sz w:val="24"/>
                <w:szCs w:val="24"/>
                <w:u w:val="single"/>
              </w:rPr>
            </w:pPr>
            <w:r>
              <w:rPr>
                <w:rFonts w:hint="eastAsia" w:ascii="宋体" w:hAnsi="宋体" w:cs="宋体"/>
                <w:sz w:val="24"/>
                <w:szCs w:val="24"/>
              </w:rPr>
              <w:t>开标地点：江苏智汇锡建工程项目管理有限公司（无锡市</w:t>
            </w:r>
            <w:r>
              <w:rPr>
                <w:rFonts w:hint="eastAsia" w:ascii="宋体" w:hAnsi="宋体"/>
                <w:sz w:val="24"/>
              </w:rPr>
              <w:t>新吴区菱湖大道180号-8B幢9楼会议</w:t>
            </w:r>
            <w:r>
              <w:rPr>
                <w:rFonts w:hint="eastAsia" w:ascii="宋体" w:hAnsi="宋体" w:cs="宋体"/>
                <w:sz w:val="24"/>
                <w:szCs w:val="24"/>
              </w:rPr>
              <w:t>室）</w:t>
            </w:r>
          </w:p>
          <w:p>
            <w:pPr>
              <w:widowControl/>
              <w:topLinePunct/>
              <w:spacing w:line="288" w:lineRule="auto"/>
              <w:rPr>
                <w:rFonts w:ascii="宋体" w:hAnsi="宋体" w:cs="宋体"/>
                <w:sz w:val="24"/>
                <w:szCs w:val="24"/>
              </w:rPr>
            </w:pPr>
            <w:r>
              <w:rPr>
                <w:rFonts w:hint="eastAsia" w:ascii="宋体" w:hAnsi="宋体" w:cs="宋体"/>
                <w:sz w:val="24"/>
                <w:szCs w:val="24"/>
              </w:rPr>
              <w:t>评标时间：2024年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日开标结束后</w:t>
            </w:r>
          </w:p>
          <w:p>
            <w:pPr>
              <w:widowControl/>
              <w:topLinePunct/>
              <w:spacing w:line="288" w:lineRule="auto"/>
              <w:rPr>
                <w:rFonts w:ascii="宋体" w:hAnsi="宋体" w:cs="宋体"/>
                <w:bCs/>
                <w:sz w:val="24"/>
                <w:szCs w:val="24"/>
              </w:rPr>
            </w:pPr>
            <w:r>
              <w:rPr>
                <w:rFonts w:hint="eastAsia" w:ascii="宋体" w:hAnsi="宋体" w:cs="宋体"/>
                <w:sz w:val="24"/>
                <w:szCs w:val="24"/>
              </w:rPr>
              <w:t>评标地点：江苏智汇锡建工程项目管理有限公司（无锡市</w:t>
            </w:r>
            <w:r>
              <w:rPr>
                <w:rFonts w:hint="eastAsia" w:ascii="宋体" w:hAnsi="宋体"/>
                <w:sz w:val="24"/>
              </w:rPr>
              <w:t>新吴区菱湖大道180号-8B幢9楼会议</w:t>
            </w:r>
            <w:r>
              <w:rPr>
                <w:rFonts w:hint="eastAsia" w:ascii="宋体"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11</w:t>
            </w:r>
          </w:p>
        </w:tc>
        <w:tc>
          <w:tcPr>
            <w:tcW w:w="9135" w:type="dxa"/>
            <w:vAlign w:val="center"/>
          </w:tcPr>
          <w:p>
            <w:pPr>
              <w:widowControl/>
              <w:topLinePunct/>
              <w:spacing w:line="288" w:lineRule="auto"/>
              <w:rPr>
                <w:rFonts w:ascii="宋体" w:hAnsi="宋体" w:cs="宋体"/>
                <w:sz w:val="24"/>
                <w:szCs w:val="24"/>
              </w:rPr>
            </w:pPr>
            <w:r>
              <w:rPr>
                <w:rFonts w:hint="eastAsia" w:ascii="宋体" w:hAnsi="宋体" w:cs="宋体"/>
                <w:sz w:val="24"/>
                <w:szCs w:val="24"/>
              </w:rPr>
              <w:t>确定成交供应商时间：2024年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日评审结束后</w:t>
            </w:r>
          </w:p>
          <w:p>
            <w:pPr>
              <w:widowControl/>
              <w:topLinePunct/>
              <w:spacing w:line="288" w:lineRule="auto"/>
              <w:rPr>
                <w:rFonts w:ascii="宋体" w:hAnsi="宋体" w:cs="宋体"/>
                <w:sz w:val="24"/>
                <w:szCs w:val="24"/>
              </w:rPr>
            </w:pPr>
            <w:r>
              <w:rPr>
                <w:rFonts w:hint="eastAsia" w:ascii="宋体" w:hAnsi="宋体" w:cs="宋体"/>
                <w:sz w:val="24"/>
                <w:szCs w:val="24"/>
              </w:rPr>
              <w:t>确定成交供应商地点：江苏智汇锡建工程项目管理有限公司（无锡市</w:t>
            </w:r>
            <w:r>
              <w:rPr>
                <w:rFonts w:hint="eastAsia" w:ascii="宋体" w:hAnsi="宋体"/>
                <w:sz w:val="24"/>
              </w:rPr>
              <w:t>新吴区菱湖大道180号-8B幢9楼会议</w:t>
            </w:r>
            <w:r>
              <w:rPr>
                <w:rFonts w:hint="eastAsia" w:ascii="宋体" w:hAnsi="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35" w:type="dxa"/>
            <w:vAlign w:val="center"/>
          </w:tcPr>
          <w:p>
            <w:pPr>
              <w:spacing w:line="288" w:lineRule="auto"/>
              <w:jc w:val="center"/>
              <w:rPr>
                <w:rFonts w:ascii="宋体" w:hAnsi="宋体" w:cs="宋体"/>
                <w:bCs/>
                <w:sz w:val="24"/>
                <w:szCs w:val="24"/>
              </w:rPr>
            </w:pPr>
            <w:r>
              <w:rPr>
                <w:rFonts w:hint="eastAsia" w:ascii="宋体" w:hAnsi="宋体" w:cs="宋体"/>
                <w:bCs/>
                <w:sz w:val="24"/>
                <w:szCs w:val="24"/>
              </w:rPr>
              <w:t>12</w:t>
            </w:r>
          </w:p>
        </w:tc>
        <w:tc>
          <w:tcPr>
            <w:tcW w:w="9135" w:type="dxa"/>
            <w:vAlign w:val="center"/>
          </w:tcPr>
          <w:p>
            <w:pPr>
              <w:spacing w:line="360" w:lineRule="auto"/>
              <w:rPr>
                <w:rFonts w:ascii="宋体" w:hAnsi="宋体" w:cs="宋体"/>
                <w:color w:val="000000"/>
                <w:sz w:val="24"/>
              </w:rPr>
            </w:pPr>
            <w:r>
              <w:rPr>
                <w:rFonts w:hint="eastAsia" w:ascii="宋体" w:hAnsi="宋体"/>
                <w:bCs/>
                <w:sz w:val="24"/>
                <w:szCs w:val="24"/>
              </w:rPr>
              <w:t>投标文件份数：</w:t>
            </w:r>
            <w:r>
              <w:rPr>
                <w:rFonts w:hint="eastAsia" w:ascii="宋体" w:hAnsi="宋体" w:cs="宋体"/>
                <w:sz w:val="24"/>
              </w:rPr>
              <w:t>明标部分一正二副，暗标部分一正五副</w:t>
            </w:r>
            <w:r>
              <w:rPr>
                <w:rFonts w:hint="eastAsia" w:ascii="宋体" w:hAnsi="宋体" w:cs="宋体"/>
                <w:color w:val="000000"/>
                <w:sz w:val="24"/>
              </w:rPr>
              <w:t>，电子光盘或U盘一份（需包含投标文件明标</w:t>
            </w:r>
            <w:r>
              <w:rPr>
                <w:rFonts w:hint="eastAsia" w:ascii="宋体" w:hAnsi="宋体" w:cs="宋体"/>
                <w:sz w:val="24"/>
              </w:rPr>
              <w:t>扫描件加盖公章</w:t>
            </w:r>
            <w:r>
              <w:rPr>
                <w:rFonts w:hint="eastAsia" w:ascii="宋体" w:hAnsi="宋体" w:cs="宋体"/>
                <w:color w:val="000000"/>
                <w:sz w:val="24"/>
              </w:rPr>
              <w:t>和暗标所有内容）。</w:t>
            </w:r>
          </w:p>
          <w:p>
            <w:pPr>
              <w:spacing w:line="360" w:lineRule="auto"/>
              <w:rPr>
                <w:rFonts w:ascii="宋体" w:hAnsi="宋体" w:cs="宋体"/>
                <w:sz w:val="24"/>
                <w:szCs w:val="24"/>
              </w:rPr>
            </w:pPr>
            <w:r>
              <w:rPr>
                <w:rFonts w:hint="eastAsia" w:ascii="宋体" w:hAnsi="宋体" w:cs="宋体"/>
                <w:b/>
                <w:sz w:val="24"/>
              </w:rPr>
              <w:t>注：如</w:t>
            </w:r>
            <w:r>
              <w:rPr>
                <w:rFonts w:hint="eastAsia"/>
                <w:b/>
                <w:sz w:val="24"/>
              </w:rPr>
              <w:t>投标人投2个标段，</w:t>
            </w:r>
            <w:r>
              <w:rPr>
                <w:rFonts w:hint="eastAsia" w:ascii="宋体" w:hAnsi="宋体" w:cs="宋体"/>
                <w:b/>
                <w:bCs/>
                <w:sz w:val="24"/>
              </w:rPr>
              <w:t>投标文件明标部分无需分标段制作，不同标段的开标一览表、明细报价表及投标偏离表需分开填写，</w:t>
            </w:r>
            <w:r>
              <w:rPr>
                <w:rFonts w:hint="eastAsia"/>
                <w:b/>
                <w:sz w:val="24"/>
              </w:rPr>
              <w:t>但应同时包括所投标段的所有投标内容</w:t>
            </w:r>
            <w:r>
              <w:rPr>
                <w:rFonts w:hint="eastAsia" w:ascii="宋体" w:hAnsi="宋体" w:cs="宋体"/>
                <w:b/>
                <w:bCs/>
                <w:sz w:val="24"/>
              </w:rPr>
              <w:t>。暗标部分需按标段制作。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735" w:type="dxa"/>
            <w:vAlign w:val="center"/>
          </w:tcPr>
          <w:p>
            <w:pPr>
              <w:spacing w:line="288" w:lineRule="auto"/>
              <w:jc w:val="center"/>
              <w:rPr>
                <w:rFonts w:ascii="宋体" w:hAnsi="宋体" w:cs="宋体"/>
                <w:bCs/>
                <w:sz w:val="24"/>
                <w:szCs w:val="24"/>
              </w:rPr>
            </w:pPr>
            <w:bookmarkStart w:id="5" w:name="二．报价方须知"/>
            <w:bookmarkEnd w:id="5"/>
            <w:r>
              <w:rPr>
                <w:rFonts w:hint="eastAsia" w:ascii="宋体" w:hAnsi="宋体" w:cs="宋体"/>
                <w:bCs/>
                <w:sz w:val="24"/>
                <w:szCs w:val="24"/>
              </w:rPr>
              <w:t>13</w:t>
            </w:r>
          </w:p>
        </w:tc>
        <w:tc>
          <w:tcPr>
            <w:tcW w:w="9135" w:type="dxa"/>
            <w:vAlign w:val="center"/>
          </w:tcPr>
          <w:p>
            <w:pPr>
              <w:widowControl/>
              <w:topLinePunct/>
              <w:spacing w:line="288" w:lineRule="auto"/>
              <w:rPr>
                <w:rFonts w:ascii="宋体" w:hAnsi="宋体" w:cs="宋体"/>
                <w:sz w:val="24"/>
                <w:szCs w:val="24"/>
              </w:rPr>
            </w:pPr>
            <w:r>
              <w:rPr>
                <w:rFonts w:hint="eastAsia" w:ascii="宋体" w:hAnsi="宋体" w:cs="宋体"/>
                <w:sz w:val="24"/>
                <w:szCs w:val="24"/>
              </w:rPr>
              <w:t>有关本次采购活动程序方面的问题，可来人、来函（传真）或电话联系。</w:t>
            </w:r>
          </w:p>
          <w:p>
            <w:pPr>
              <w:widowControl/>
              <w:topLinePunct/>
              <w:spacing w:line="288" w:lineRule="auto"/>
              <w:rPr>
                <w:rFonts w:ascii="宋体" w:hAnsi="宋体" w:cs="宋体"/>
                <w:sz w:val="24"/>
                <w:szCs w:val="24"/>
              </w:rPr>
            </w:pPr>
            <w:r>
              <w:rPr>
                <w:rFonts w:hint="eastAsia" w:ascii="宋体" w:hAnsi="宋体" w:cs="宋体"/>
                <w:sz w:val="24"/>
                <w:szCs w:val="24"/>
              </w:rPr>
              <w:t>采购人：</w:t>
            </w:r>
            <w:r>
              <w:rPr>
                <w:rFonts w:hint="eastAsia" w:ascii="宋体" w:hAnsi="宋体"/>
                <w:sz w:val="24"/>
              </w:rPr>
              <w:t>江苏省荣军医院</w:t>
            </w:r>
          </w:p>
          <w:p>
            <w:pPr>
              <w:widowControl/>
              <w:topLinePunct/>
              <w:spacing w:line="288" w:lineRule="auto"/>
              <w:rPr>
                <w:rFonts w:ascii="宋体" w:hAnsi="宋体" w:cs="宋体"/>
                <w:sz w:val="24"/>
                <w:szCs w:val="24"/>
              </w:rPr>
            </w:pPr>
            <w:r>
              <w:rPr>
                <w:rFonts w:hint="eastAsia" w:ascii="宋体" w:hAnsi="宋体" w:cs="宋体"/>
                <w:sz w:val="24"/>
                <w:szCs w:val="24"/>
              </w:rPr>
              <w:t>联系人：谭玲玉</w:t>
            </w:r>
          </w:p>
          <w:p>
            <w:pPr>
              <w:widowControl/>
              <w:topLinePunct/>
              <w:spacing w:line="288" w:lineRule="auto"/>
              <w:rPr>
                <w:rFonts w:ascii="宋体" w:hAnsi="宋体" w:cs="宋体"/>
                <w:sz w:val="24"/>
                <w:szCs w:val="24"/>
              </w:rPr>
            </w:pPr>
            <w:r>
              <w:rPr>
                <w:rFonts w:hint="eastAsia" w:ascii="宋体" w:hAnsi="宋体" w:cs="宋体"/>
                <w:sz w:val="24"/>
                <w:szCs w:val="24"/>
              </w:rPr>
              <w:t>联系电话：</w:t>
            </w:r>
            <w:r>
              <w:rPr>
                <w:rFonts w:hint="eastAsia" w:ascii="宋体" w:hAnsi="宋体"/>
                <w:sz w:val="24"/>
              </w:rPr>
              <w:t>0510-85817300</w:t>
            </w:r>
          </w:p>
          <w:p>
            <w:pPr>
              <w:widowControl/>
              <w:topLinePunct/>
              <w:spacing w:line="288" w:lineRule="auto"/>
              <w:rPr>
                <w:rFonts w:ascii="宋体" w:hAnsi="宋体" w:cs="宋体"/>
                <w:sz w:val="24"/>
                <w:szCs w:val="24"/>
              </w:rPr>
            </w:pPr>
            <w:r>
              <w:rPr>
                <w:rFonts w:hint="eastAsia" w:ascii="宋体" w:hAnsi="宋体" w:cs="宋体"/>
                <w:sz w:val="24"/>
                <w:szCs w:val="24"/>
              </w:rPr>
              <w:t>联系地址：</w:t>
            </w:r>
            <w:r>
              <w:rPr>
                <w:rFonts w:hint="eastAsia" w:ascii="宋体" w:hAnsi="宋体" w:cs="宋体"/>
                <w:kern w:val="0"/>
                <w:sz w:val="24"/>
              </w:rPr>
              <w:t>无锡市惠河路196号</w:t>
            </w:r>
          </w:p>
          <w:p>
            <w:pPr>
              <w:widowControl/>
              <w:topLinePunct/>
              <w:spacing w:line="288" w:lineRule="auto"/>
              <w:rPr>
                <w:rFonts w:ascii="宋体" w:hAnsi="宋体" w:cs="宋体"/>
                <w:sz w:val="24"/>
                <w:szCs w:val="24"/>
              </w:rPr>
            </w:pPr>
            <w:r>
              <w:rPr>
                <w:rFonts w:hint="eastAsia" w:ascii="宋体" w:hAnsi="宋体" w:cs="宋体"/>
                <w:sz w:val="24"/>
                <w:szCs w:val="24"/>
              </w:rPr>
              <w:t>代理机构：江苏智汇锡建工程项目管理有限公司</w:t>
            </w:r>
          </w:p>
          <w:p>
            <w:pPr>
              <w:widowControl/>
              <w:topLinePunct/>
              <w:spacing w:line="288" w:lineRule="auto"/>
              <w:rPr>
                <w:rFonts w:ascii="宋体" w:hAnsi="宋体" w:cs="宋体"/>
                <w:sz w:val="24"/>
                <w:szCs w:val="24"/>
              </w:rPr>
            </w:pPr>
            <w:r>
              <w:rPr>
                <w:rFonts w:hint="eastAsia" w:ascii="宋体" w:hAnsi="宋体" w:cs="宋体"/>
                <w:sz w:val="24"/>
                <w:szCs w:val="24"/>
              </w:rPr>
              <w:t>联系地址：无锡市</w:t>
            </w:r>
            <w:r>
              <w:rPr>
                <w:rFonts w:hint="eastAsia" w:ascii="宋体" w:hAnsi="宋体"/>
                <w:sz w:val="24"/>
              </w:rPr>
              <w:t>新吴区菱湖大道180号-8B幢9楼907</w:t>
            </w:r>
            <w:r>
              <w:rPr>
                <w:rFonts w:hint="eastAsia" w:ascii="宋体" w:hAnsi="宋体" w:cs="宋体"/>
                <w:sz w:val="24"/>
                <w:szCs w:val="24"/>
              </w:rPr>
              <w:t xml:space="preserve">室 </w:t>
            </w:r>
          </w:p>
          <w:p>
            <w:pPr>
              <w:widowControl/>
              <w:topLinePunct/>
              <w:spacing w:line="288" w:lineRule="auto"/>
              <w:rPr>
                <w:rFonts w:ascii="宋体" w:hAnsi="宋体" w:cs="宋体"/>
                <w:sz w:val="24"/>
                <w:szCs w:val="24"/>
              </w:rPr>
            </w:pPr>
            <w:r>
              <w:rPr>
                <w:rFonts w:hint="eastAsia" w:ascii="宋体" w:hAnsi="宋体" w:cs="宋体"/>
                <w:sz w:val="24"/>
                <w:szCs w:val="24"/>
              </w:rPr>
              <w:t>联系人：张沁、华晓蓉</w:t>
            </w:r>
          </w:p>
          <w:p>
            <w:pPr>
              <w:widowControl/>
              <w:topLinePunct/>
              <w:spacing w:line="288" w:lineRule="auto"/>
              <w:rPr>
                <w:rFonts w:ascii="宋体" w:hAnsi="宋体" w:cs="宋体"/>
                <w:sz w:val="24"/>
                <w:szCs w:val="24"/>
              </w:rPr>
            </w:pPr>
            <w:r>
              <w:rPr>
                <w:rFonts w:hint="eastAsia" w:ascii="宋体" w:hAnsi="宋体" w:cs="宋体"/>
                <w:sz w:val="24"/>
                <w:szCs w:val="24"/>
              </w:rPr>
              <w:t>联系电话及传真： 0510-82707727</w:t>
            </w:r>
          </w:p>
          <w:p>
            <w:pPr>
              <w:widowControl/>
              <w:topLinePunct/>
              <w:spacing w:line="288" w:lineRule="auto"/>
              <w:rPr>
                <w:rFonts w:ascii="宋体" w:hAnsi="宋体" w:cs="宋体"/>
                <w:sz w:val="24"/>
                <w:szCs w:val="24"/>
              </w:rPr>
            </w:pPr>
            <w:r>
              <w:rPr>
                <w:rFonts w:hint="eastAsia" w:ascii="宋体" w:hAnsi="宋体" w:cs="宋体"/>
                <w:sz w:val="24"/>
                <w:szCs w:val="24"/>
              </w:rPr>
              <w:t>电子邮件地址：jszh1802@163.com</w:t>
            </w:r>
          </w:p>
        </w:tc>
      </w:tr>
    </w:tbl>
    <w:p>
      <w:pPr>
        <w:spacing w:line="490" w:lineRule="exact"/>
        <w:jc w:val="center"/>
        <w:rPr>
          <w:rFonts w:ascii="黑体" w:eastAsia="黑体"/>
          <w:bCs/>
          <w:sz w:val="30"/>
          <w:szCs w:val="30"/>
        </w:rPr>
      </w:pPr>
      <w:r>
        <w:rPr>
          <w:rFonts w:hint="eastAsia" w:ascii="黑体" w:eastAsia="黑体"/>
          <w:bCs/>
          <w:sz w:val="28"/>
          <w:szCs w:val="28"/>
        </w:rPr>
        <w:br w:type="page"/>
      </w:r>
      <w:r>
        <w:rPr>
          <w:rFonts w:hint="eastAsia" w:ascii="黑体" w:eastAsia="黑体"/>
          <w:bCs/>
          <w:sz w:val="28"/>
          <w:szCs w:val="28"/>
        </w:rPr>
        <w:t>二．投标供应商须知</w:t>
      </w:r>
    </w:p>
    <w:p>
      <w:pPr>
        <w:numPr>
          <w:ilvl w:val="0"/>
          <w:numId w:val="2"/>
        </w:numPr>
        <w:tabs>
          <w:tab w:val="left" w:pos="735"/>
        </w:tabs>
        <w:adjustRightInd w:val="0"/>
        <w:snapToGrid w:val="0"/>
        <w:spacing w:line="360" w:lineRule="auto"/>
        <w:ind w:left="0" w:firstLine="420"/>
        <w:rPr>
          <w:rFonts w:ascii="黑体" w:hAnsi="宋体" w:eastAsia="黑体"/>
          <w:bCs/>
          <w:sz w:val="24"/>
          <w:szCs w:val="24"/>
        </w:rPr>
      </w:pPr>
      <w:r>
        <w:rPr>
          <w:rFonts w:hint="eastAsia" w:ascii="黑体" w:hAnsi="宋体" w:eastAsia="黑体"/>
          <w:bCs/>
          <w:sz w:val="24"/>
          <w:szCs w:val="24"/>
        </w:rPr>
        <w:t>遵循原则：</w:t>
      </w:r>
    </w:p>
    <w:p>
      <w:pPr>
        <w:adjustRightInd w:val="0"/>
        <w:snapToGrid w:val="0"/>
        <w:spacing w:line="360" w:lineRule="auto"/>
        <w:ind w:firstLine="523" w:firstLineChars="218"/>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2"/>
        </w:numPr>
        <w:tabs>
          <w:tab w:val="left" w:pos="735"/>
        </w:tabs>
        <w:adjustRightInd w:val="0"/>
        <w:snapToGrid w:val="0"/>
        <w:spacing w:line="360" w:lineRule="auto"/>
        <w:ind w:left="0" w:firstLine="420"/>
        <w:rPr>
          <w:rFonts w:ascii="黑体" w:hAnsi="宋体" w:eastAsia="黑体"/>
          <w:bCs/>
          <w:sz w:val="24"/>
          <w:szCs w:val="24"/>
        </w:rPr>
      </w:pPr>
      <w:r>
        <w:rPr>
          <w:rFonts w:hint="eastAsia" w:ascii="黑体" w:hAnsi="宋体" w:eastAsia="黑体"/>
          <w:bCs/>
          <w:sz w:val="24"/>
          <w:szCs w:val="24"/>
        </w:rPr>
        <w:t>采购文件：</w:t>
      </w:r>
    </w:p>
    <w:p>
      <w:pPr>
        <w:numPr>
          <w:ilvl w:val="0"/>
          <w:numId w:val="4"/>
        </w:numPr>
        <w:tabs>
          <w:tab w:val="left" w:pos="-1260"/>
          <w:tab w:val="left" w:pos="525"/>
          <w:tab w:val="left" w:pos="1050"/>
          <w:tab w:val="clear" w:pos="552"/>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采购文件包括本文件目录所列全部内容，投标供应商应仔细阅读，并在投标文件中充分响应采购文件的所有要求。</w:t>
      </w:r>
    </w:p>
    <w:p>
      <w:pPr>
        <w:numPr>
          <w:ilvl w:val="0"/>
          <w:numId w:val="4"/>
        </w:numPr>
        <w:tabs>
          <w:tab w:val="left" w:pos="0"/>
          <w:tab w:val="left" w:pos="525"/>
          <w:tab w:val="left" w:pos="1050"/>
          <w:tab w:val="clear" w:pos="552"/>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投标供应商应在采购代理机构处购买采购文件及有关资料，按采购文件要求提交全部资料并对采购文件各项内容做出实质性响应，否则投标无效。</w:t>
      </w:r>
    </w:p>
    <w:p>
      <w:pPr>
        <w:numPr>
          <w:ilvl w:val="0"/>
          <w:numId w:val="4"/>
        </w:numPr>
        <w:tabs>
          <w:tab w:val="left" w:pos="0"/>
          <w:tab w:val="left" w:pos="525"/>
          <w:tab w:val="left" w:pos="1050"/>
          <w:tab w:val="clear" w:pos="552"/>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投标供应商一旦参加本项目投标，即表明承诺接受了本采购文件中的所有条件和规定。</w:t>
      </w:r>
    </w:p>
    <w:p>
      <w:pPr>
        <w:numPr>
          <w:ilvl w:val="0"/>
          <w:numId w:val="4"/>
        </w:numPr>
        <w:tabs>
          <w:tab w:val="left" w:pos="0"/>
          <w:tab w:val="left" w:pos="525"/>
          <w:tab w:val="left" w:pos="1050"/>
          <w:tab w:val="clear" w:pos="552"/>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采购文件仅作为本次招投标使用。</w:t>
      </w:r>
    </w:p>
    <w:p>
      <w:pPr>
        <w:tabs>
          <w:tab w:val="left" w:pos="630"/>
        </w:tabs>
        <w:adjustRightInd w:val="0"/>
        <w:snapToGrid w:val="0"/>
        <w:spacing w:line="360" w:lineRule="auto"/>
        <w:ind w:left="-2" w:leftChars="-1" w:firstLine="420" w:firstLineChars="175"/>
        <w:rPr>
          <w:rFonts w:ascii="黑体" w:hAnsi="宋体" w:eastAsia="黑体"/>
          <w:bCs/>
          <w:sz w:val="24"/>
          <w:szCs w:val="24"/>
        </w:rPr>
      </w:pPr>
      <w:r>
        <w:rPr>
          <w:rFonts w:hint="eastAsia" w:ascii="黑体" w:hAnsi="宋体" w:eastAsia="黑体"/>
          <w:bCs/>
          <w:sz w:val="24"/>
          <w:szCs w:val="24"/>
        </w:rPr>
        <w:t>（三） 采购文件的解释：</w:t>
      </w:r>
    </w:p>
    <w:p>
      <w:pPr>
        <w:numPr>
          <w:ilvl w:val="2"/>
          <w:numId w:val="2"/>
        </w:numPr>
        <w:tabs>
          <w:tab w:val="left" w:pos="525"/>
          <w:tab w:val="left" w:pos="1050"/>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投标供应商自行踏勘现场，如有需要对采购文件要求澄清的问题，请以前附表约定的形式提出，并于须知前附表规定的时间前送采购代理机构。提疑截止时间后的相关提疑内容，恕不接受。</w:t>
      </w:r>
    </w:p>
    <w:p>
      <w:pPr>
        <w:numPr>
          <w:ilvl w:val="2"/>
          <w:numId w:val="2"/>
        </w:numPr>
        <w:tabs>
          <w:tab w:val="left" w:pos="525"/>
          <w:tab w:val="left" w:pos="1050"/>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采购人、采购代理机构将于须知前附表规定的时间</w:t>
      </w:r>
      <w:r>
        <w:rPr>
          <w:rFonts w:hint="eastAsia" w:ascii="宋体" w:hAnsi="宋体"/>
          <w:sz w:val="24"/>
        </w:rPr>
        <w:t>前，以书面形式或电子邮件形式</w:t>
      </w:r>
      <w:r>
        <w:rPr>
          <w:rFonts w:hint="eastAsia" w:ascii="宋体" w:hAnsi="宋体"/>
          <w:bCs/>
          <w:sz w:val="24"/>
          <w:szCs w:val="24"/>
        </w:rPr>
        <w:t>对投标供应商针对采购文件书面提出的要求澄清的问题进行答疑。</w:t>
      </w:r>
    </w:p>
    <w:p>
      <w:pPr>
        <w:numPr>
          <w:ilvl w:val="2"/>
          <w:numId w:val="2"/>
        </w:numPr>
        <w:tabs>
          <w:tab w:val="left" w:pos="525"/>
          <w:tab w:val="left" w:pos="1050"/>
        </w:tabs>
        <w:adjustRightInd w:val="0"/>
        <w:snapToGrid w:val="0"/>
        <w:spacing w:line="360" w:lineRule="auto"/>
        <w:ind w:left="0" w:firstLine="628" w:firstLineChars="262"/>
        <w:rPr>
          <w:rFonts w:ascii="宋体" w:hAnsi="宋体"/>
          <w:bCs/>
          <w:sz w:val="24"/>
          <w:szCs w:val="24"/>
        </w:rPr>
      </w:pPr>
      <w:r>
        <w:rPr>
          <w:rFonts w:hint="eastAsia" w:ascii="宋体" w:hAnsi="宋体"/>
          <w:bCs/>
          <w:sz w:val="24"/>
          <w:szCs w:val="24"/>
        </w:rPr>
        <w:t>本文件的最终解释权归采购人。</w:t>
      </w:r>
    </w:p>
    <w:p>
      <w:pPr>
        <w:numPr>
          <w:ilvl w:val="0"/>
          <w:numId w:val="6"/>
        </w:numPr>
        <w:adjustRightInd w:val="0"/>
        <w:snapToGrid w:val="0"/>
        <w:spacing w:line="360" w:lineRule="auto"/>
        <w:ind w:left="-2" w:leftChars="-1" w:firstLine="420" w:firstLineChars="175"/>
        <w:rPr>
          <w:rFonts w:ascii="黑体" w:hAnsi="宋体" w:eastAsia="黑体"/>
          <w:bCs/>
          <w:sz w:val="24"/>
          <w:szCs w:val="24"/>
        </w:rPr>
      </w:pPr>
      <w:r>
        <w:rPr>
          <w:rFonts w:hint="eastAsia" w:ascii="黑体" w:hAnsi="宋体" w:eastAsia="黑体"/>
          <w:bCs/>
          <w:sz w:val="24"/>
          <w:szCs w:val="24"/>
        </w:rPr>
        <w:t xml:space="preserve">采购文件的补充或修正： </w:t>
      </w:r>
    </w:p>
    <w:p>
      <w:pPr>
        <w:numPr>
          <w:ilvl w:val="0"/>
          <w:numId w:val="7"/>
        </w:numPr>
        <w:tabs>
          <w:tab w:val="left" w:pos="525"/>
          <w:tab w:val="left" w:pos="945"/>
          <w:tab w:val="clear" w:pos="898"/>
        </w:tabs>
        <w:adjustRightInd w:val="0"/>
        <w:snapToGrid w:val="0"/>
        <w:spacing w:line="360" w:lineRule="auto"/>
        <w:ind w:left="1" w:firstLine="523" w:firstLineChars="218"/>
        <w:rPr>
          <w:rFonts w:ascii="宋体" w:hAnsi="宋体"/>
          <w:bCs/>
          <w:sz w:val="24"/>
          <w:szCs w:val="24"/>
        </w:rPr>
      </w:pPr>
      <w:r>
        <w:rPr>
          <w:rFonts w:hint="eastAsia" w:ascii="宋体" w:hAnsi="宋体"/>
          <w:bCs/>
          <w:sz w:val="24"/>
          <w:szCs w:val="24"/>
        </w:rPr>
        <w:t>采购代理机构可以对已发出的采购文件进行必要的澄清或者修改，但不得改变采购标的和资格条件。澄清或者修改应该当江苏政府采购网、无锡政府采购网上发布澄清公告。澄清或者修改的内容为采购文件的组成部分。</w:t>
      </w:r>
    </w:p>
    <w:p>
      <w:pPr>
        <w:numPr>
          <w:ilvl w:val="0"/>
          <w:numId w:val="7"/>
        </w:numPr>
        <w:tabs>
          <w:tab w:val="left" w:pos="525"/>
          <w:tab w:val="left" w:pos="945"/>
          <w:tab w:val="clear" w:pos="898"/>
        </w:tabs>
        <w:adjustRightInd w:val="0"/>
        <w:snapToGrid w:val="0"/>
        <w:spacing w:line="360" w:lineRule="auto"/>
        <w:ind w:left="1" w:firstLine="523" w:firstLineChars="218"/>
        <w:rPr>
          <w:rFonts w:ascii="宋体" w:hAnsi="宋体"/>
          <w:bCs/>
          <w:sz w:val="24"/>
          <w:szCs w:val="24"/>
        </w:rPr>
      </w:pPr>
      <w:r>
        <w:rPr>
          <w:rFonts w:hint="eastAsia" w:ascii="宋体" w:hAnsi="宋体"/>
          <w:bCs/>
          <w:sz w:val="24"/>
          <w:szCs w:val="24"/>
        </w:rPr>
        <w:t>澄清或者修改的内容可能影响投标文件的编制的，采购代理机构应当在投标截止时间至少15日前，以书面形式通知所有获取采购文件的潜在投标供应商；不足15日的，采购代理机构应当顺延提交投标文件的截止时间。</w:t>
      </w:r>
      <w:r>
        <w:rPr>
          <w:rFonts w:ascii="宋体" w:hAnsi="宋体"/>
          <w:bCs/>
          <w:sz w:val="24"/>
          <w:szCs w:val="24"/>
        </w:rPr>
        <w:t>请</w:t>
      </w:r>
      <w:r>
        <w:rPr>
          <w:rFonts w:hint="eastAsia" w:ascii="宋体" w:hAnsi="宋体"/>
          <w:bCs/>
          <w:sz w:val="24"/>
          <w:szCs w:val="24"/>
        </w:rPr>
        <w:t>采购文件</w:t>
      </w:r>
      <w:r>
        <w:rPr>
          <w:rFonts w:ascii="宋体" w:hAnsi="宋体"/>
          <w:bCs/>
          <w:sz w:val="24"/>
          <w:szCs w:val="24"/>
        </w:rPr>
        <w:t>的</w:t>
      </w:r>
      <w:r>
        <w:rPr>
          <w:rFonts w:hint="eastAsia" w:ascii="宋体" w:hAnsi="宋体"/>
          <w:bCs/>
          <w:sz w:val="24"/>
          <w:szCs w:val="24"/>
        </w:rPr>
        <w:t>收受人收到采购代理机构的书面通知</w:t>
      </w:r>
      <w:r>
        <w:rPr>
          <w:rFonts w:ascii="宋体" w:hAnsi="宋体"/>
          <w:bCs/>
          <w:sz w:val="24"/>
          <w:szCs w:val="24"/>
        </w:rPr>
        <w:t>后</w:t>
      </w:r>
      <w:r>
        <w:rPr>
          <w:rFonts w:hint="eastAsia" w:ascii="宋体" w:hAnsi="宋体"/>
          <w:bCs/>
          <w:sz w:val="24"/>
          <w:szCs w:val="24"/>
        </w:rPr>
        <w:t>，</w:t>
      </w:r>
      <w:r>
        <w:rPr>
          <w:rFonts w:ascii="宋体" w:hAnsi="宋体"/>
          <w:bCs/>
          <w:sz w:val="24"/>
          <w:szCs w:val="24"/>
        </w:rPr>
        <w:t>于</w:t>
      </w:r>
      <w:r>
        <w:rPr>
          <w:rFonts w:hint="eastAsia" w:ascii="宋体" w:hAnsi="宋体"/>
          <w:bCs/>
          <w:sz w:val="24"/>
          <w:szCs w:val="24"/>
        </w:rPr>
        <w:t>投标截止</w:t>
      </w:r>
      <w:r>
        <w:rPr>
          <w:rFonts w:ascii="宋体" w:hAnsi="宋体"/>
          <w:bCs/>
          <w:sz w:val="24"/>
          <w:szCs w:val="24"/>
        </w:rPr>
        <w:t>日前书面回函（传真件）</w:t>
      </w:r>
      <w:r>
        <w:rPr>
          <w:rFonts w:hint="eastAsia" w:ascii="宋体" w:hAnsi="宋体"/>
          <w:bCs/>
          <w:sz w:val="24"/>
          <w:szCs w:val="24"/>
        </w:rPr>
        <w:t>采购代理机构，传真：0510-82707727</w:t>
      </w:r>
      <w:r>
        <w:rPr>
          <w:rFonts w:ascii="宋体" w:hAnsi="宋体"/>
          <w:bCs/>
          <w:sz w:val="24"/>
          <w:szCs w:val="24"/>
        </w:rPr>
        <w:t>，逾期不回视同收到此</w:t>
      </w:r>
      <w:r>
        <w:rPr>
          <w:rFonts w:hint="eastAsia" w:ascii="宋体" w:hAnsi="宋体"/>
          <w:bCs/>
          <w:sz w:val="24"/>
          <w:szCs w:val="24"/>
        </w:rPr>
        <w:t>书面通知。因投标供应商未尽注意义务，未及时全面地关注澄清或修改内容导致其提交的投标材料不符合采购代理机构要求，而造成的损失及风险（包括但不限于未中标）由投标供应商自行承担。</w:t>
      </w:r>
    </w:p>
    <w:p>
      <w:pPr>
        <w:numPr>
          <w:ilvl w:val="0"/>
          <w:numId w:val="8"/>
        </w:numPr>
        <w:adjustRightInd w:val="0"/>
        <w:snapToGrid w:val="0"/>
        <w:spacing w:line="360" w:lineRule="auto"/>
        <w:ind w:firstLine="420" w:firstLineChars="175"/>
        <w:rPr>
          <w:rFonts w:ascii="黑体" w:hAnsi="宋体" w:eastAsia="黑体"/>
          <w:bCs/>
          <w:sz w:val="24"/>
          <w:szCs w:val="24"/>
        </w:rPr>
      </w:pPr>
      <w:r>
        <w:rPr>
          <w:rFonts w:hint="eastAsia" w:ascii="黑体" w:hAnsi="宋体" w:eastAsia="黑体"/>
          <w:bCs/>
          <w:sz w:val="24"/>
          <w:szCs w:val="24"/>
        </w:rPr>
        <w:t>投标文件的组成：</w:t>
      </w:r>
    </w:p>
    <w:p>
      <w:pPr>
        <w:spacing w:line="360" w:lineRule="auto"/>
        <w:ind w:firstLine="480" w:firstLineChars="200"/>
        <w:rPr>
          <w:rFonts w:ascii="宋体" w:hAnsi="宋体" w:cs="宋体"/>
          <w:b/>
          <w:sz w:val="24"/>
        </w:rPr>
      </w:pPr>
      <w:r>
        <w:rPr>
          <w:rFonts w:hint="eastAsia" w:ascii="宋体" w:hAnsi="宋体" w:cs="宋体"/>
          <w:b/>
          <w:sz w:val="24"/>
        </w:rPr>
        <w:t>投标文件分为明标和暗标两部分，其中明标部分单独装订成一册（一正二副），暗标部分单独装订成一册（一正五副），同时提供投标文件电子光盘（或U盘）一份（应包含所有投标内容）。</w:t>
      </w:r>
    </w:p>
    <w:p>
      <w:pPr>
        <w:spacing w:line="360" w:lineRule="auto"/>
        <w:rPr>
          <w:rFonts w:ascii="宋体" w:hAnsi="宋体" w:cs="宋体"/>
          <w:b/>
          <w:bCs/>
          <w:sz w:val="24"/>
        </w:rPr>
      </w:pP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cs="宋体"/>
          <w:b/>
          <w:bCs/>
          <w:sz w:val="24"/>
        </w:rPr>
        <w:t>明标部分：</w:t>
      </w:r>
    </w:p>
    <w:p>
      <w:pPr>
        <w:tabs>
          <w:tab w:val="left" w:pos="525"/>
          <w:tab w:val="left" w:pos="1050"/>
        </w:tabs>
        <w:adjustRightInd w:val="0"/>
        <w:snapToGrid w:val="0"/>
        <w:spacing w:line="360" w:lineRule="auto"/>
        <w:ind w:left="550" w:leftChars="262"/>
        <w:rPr>
          <w:rFonts w:ascii="宋体" w:hAnsi="宋体"/>
          <w:bCs/>
          <w:sz w:val="24"/>
          <w:szCs w:val="24"/>
        </w:rPr>
      </w:pPr>
      <w:r>
        <w:rPr>
          <w:rFonts w:hint="eastAsia" w:ascii="宋体" w:hAnsi="宋体"/>
          <w:bCs/>
          <w:sz w:val="24"/>
          <w:szCs w:val="24"/>
        </w:rPr>
        <w:t>1、投标函</w:t>
      </w:r>
      <w:r>
        <w:rPr>
          <w:rFonts w:hint="eastAsia" w:ascii="宋体" w:hAnsi="宋体"/>
          <w:bCs/>
          <w:color w:val="000000"/>
          <w:sz w:val="24"/>
          <w:szCs w:val="24"/>
        </w:rPr>
        <w:t>（</w:t>
      </w:r>
      <w:r>
        <w:rPr>
          <w:rFonts w:hint="eastAsia" w:ascii="宋体" w:hAnsi="宋体"/>
          <w:b/>
          <w:bCs/>
          <w:color w:val="000000"/>
          <w:sz w:val="24"/>
          <w:szCs w:val="24"/>
        </w:rPr>
        <w:t>格式见附件）</w:t>
      </w:r>
    </w:p>
    <w:p>
      <w:pPr>
        <w:tabs>
          <w:tab w:val="left" w:pos="525"/>
          <w:tab w:val="left" w:pos="1050"/>
        </w:tabs>
        <w:adjustRightInd w:val="0"/>
        <w:snapToGrid w:val="0"/>
        <w:spacing w:line="360" w:lineRule="auto"/>
        <w:ind w:left="550" w:leftChars="262"/>
        <w:rPr>
          <w:rFonts w:ascii="宋体" w:hAnsi="宋体"/>
          <w:bCs/>
          <w:sz w:val="24"/>
          <w:szCs w:val="24"/>
        </w:rPr>
      </w:pPr>
      <w:r>
        <w:rPr>
          <w:rFonts w:hint="eastAsia" w:ascii="宋体" w:hAnsi="宋体"/>
          <w:bCs/>
          <w:sz w:val="24"/>
          <w:szCs w:val="24"/>
        </w:rPr>
        <w:t>2、资格、资信证明文件：</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sz w:val="24"/>
        </w:rPr>
      </w:pPr>
      <w:r>
        <w:rPr>
          <w:rFonts w:hint="eastAsia" w:ascii="宋体" w:hAnsi="宋体"/>
          <w:sz w:val="24"/>
        </w:rPr>
        <w:t>投标供应商有效期内企业法人营业执照副本、</w:t>
      </w:r>
      <w:r>
        <w:rPr>
          <w:rFonts w:hint="eastAsia" w:ascii="宋体" w:hAnsi="宋体" w:cs="宋体"/>
          <w:bCs/>
          <w:sz w:val="24"/>
          <w:szCs w:val="24"/>
        </w:rPr>
        <w:t>税务登记证、组织机构代码证</w:t>
      </w:r>
      <w:r>
        <w:rPr>
          <w:rFonts w:hint="eastAsia" w:ascii="宋体" w:hAnsi="宋体"/>
          <w:sz w:val="24"/>
        </w:rPr>
        <w:t>复印件加盖公章</w:t>
      </w:r>
      <w:r>
        <w:rPr>
          <w:rFonts w:hint="eastAsia" w:ascii="宋体" w:hAnsi="宋体" w:cs="宋体"/>
          <w:bCs/>
          <w:sz w:val="24"/>
          <w:szCs w:val="24"/>
        </w:rPr>
        <w:t>（三证合一的单位只需提供最新营业执照，</w:t>
      </w:r>
      <w:r>
        <w:rPr>
          <w:rFonts w:hint="eastAsia" w:ascii="宋体" w:hAnsi="宋体" w:cs="宋体"/>
          <w:sz w:val="24"/>
          <w:szCs w:val="24"/>
        </w:rPr>
        <w:t>投标时提供原件</w:t>
      </w:r>
      <w:r>
        <w:rPr>
          <w:rFonts w:hint="eastAsia" w:ascii="宋体" w:hAnsi="宋体" w:cs="宋体"/>
          <w:kern w:val="0"/>
          <w:sz w:val="24"/>
        </w:rPr>
        <w:t>或公证件</w:t>
      </w:r>
      <w:r>
        <w:rPr>
          <w:rFonts w:hint="eastAsia" w:ascii="宋体" w:hAnsi="宋体" w:cs="宋体"/>
          <w:bCs/>
          <w:sz w:val="24"/>
          <w:szCs w:val="24"/>
        </w:rPr>
        <w:t>）</w:t>
      </w:r>
      <w:r>
        <w:rPr>
          <w:rFonts w:hint="eastAsia" w:ascii="宋体" w:hAnsi="宋体"/>
          <w:sz w:val="24"/>
        </w:rPr>
        <w:t>；</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bCs/>
          <w:sz w:val="24"/>
        </w:rPr>
      </w:pPr>
      <w:r>
        <w:rPr>
          <w:rFonts w:hint="eastAsia" w:ascii="宋体" w:hAnsi="宋体"/>
          <w:bCs/>
          <w:sz w:val="24"/>
        </w:rPr>
        <w:t>法定代表人身份证明书（格式见附件）；</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bCs/>
          <w:sz w:val="24"/>
        </w:rPr>
      </w:pPr>
      <w:r>
        <w:rPr>
          <w:rFonts w:hint="eastAsia" w:ascii="宋体" w:hAnsi="宋体"/>
          <w:bCs/>
          <w:sz w:val="24"/>
        </w:rPr>
        <w:t>投标供应商法定代表人授权委托书（法定代表人亲自参与投标的除外，格式见附件）；</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sz w:val="24"/>
        </w:rPr>
      </w:pPr>
      <w:r>
        <w:rPr>
          <w:rFonts w:hint="eastAsia" w:ascii="宋体" w:hAnsi="宋体"/>
          <w:bCs/>
          <w:kern w:val="0"/>
          <w:sz w:val="24"/>
        </w:rPr>
        <w:t>投标供应商应具有有效的《食品流通许可证》或《食品经营许可证》或《全国工业产品生产许可证》或《食品生产许可证》</w:t>
      </w:r>
      <w:r>
        <w:rPr>
          <w:rFonts w:hint="eastAsia" w:ascii="宋体" w:hAnsi="宋体"/>
          <w:sz w:val="24"/>
        </w:rPr>
        <w:t>复印件并加盖公章</w:t>
      </w:r>
      <w:r>
        <w:rPr>
          <w:rFonts w:hint="eastAsia" w:ascii="宋体" w:hAnsi="宋体"/>
          <w:kern w:val="0"/>
          <w:sz w:val="24"/>
        </w:rPr>
        <w:t>；</w:t>
      </w:r>
      <w:r>
        <w:rPr>
          <w:rFonts w:hint="eastAsia" w:ascii="宋体" w:hAnsi="宋体" w:cs="宋体"/>
          <w:kern w:val="0"/>
          <w:sz w:val="24"/>
        </w:rPr>
        <w:t>（投标时提供原件或公证件）</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sz w:val="24"/>
        </w:rPr>
      </w:pPr>
      <w:r>
        <w:rPr>
          <w:rFonts w:hint="eastAsia" w:ascii="宋体" w:hAnsi="宋体"/>
          <w:sz w:val="24"/>
        </w:rPr>
        <w:t>投标供应商近三个月中任意一个月份(不含报价当月) 的财务状况报告（资产负债表和利润表）或由会计师事务所出具的2022年度的审计报告和所附已审财务报告复印件；</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sz w:val="24"/>
        </w:rPr>
      </w:pPr>
      <w:r>
        <w:rPr>
          <w:rFonts w:hint="eastAsia" w:ascii="宋体" w:hAnsi="宋体"/>
          <w:sz w:val="24"/>
        </w:rPr>
        <w:t>投标供应商近三个月中任意一个月份(不含报价当月) 的依法缴纳税收的相关材料（提供相关主管部门证明或银行代扣证明）复印件；</w:t>
      </w:r>
    </w:p>
    <w:p>
      <w:pPr>
        <w:numPr>
          <w:ilvl w:val="1"/>
          <w:numId w:val="9"/>
        </w:numPr>
        <w:tabs>
          <w:tab w:val="left" w:pos="1050"/>
          <w:tab w:val="clear" w:pos="1321"/>
        </w:tabs>
        <w:adjustRightInd w:val="0"/>
        <w:snapToGrid w:val="0"/>
        <w:spacing w:line="360" w:lineRule="auto"/>
        <w:ind w:left="420" w:leftChars="200" w:firstLine="480" w:firstLineChars="200"/>
        <w:rPr>
          <w:rFonts w:ascii="宋体" w:hAnsi="宋体"/>
          <w:sz w:val="24"/>
        </w:rPr>
      </w:pPr>
      <w:r>
        <w:rPr>
          <w:rFonts w:hint="eastAsia" w:ascii="宋体" w:hAnsi="宋体"/>
          <w:sz w:val="24"/>
        </w:rPr>
        <w:t>投标供应商近三个月中任意一个月份(不含报价当月)的依法缴纳社会保障资金的相关材料（提供相关主管部门证明或银行代扣证明）复印件；</w:t>
      </w:r>
    </w:p>
    <w:p>
      <w:pPr>
        <w:numPr>
          <w:ilvl w:val="1"/>
          <w:numId w:val="9"/>
        </w:numPr>
        <w:tabs>
          <w:tab w:val="left" w:pos="1050"/>
          <w:tab w:val="left" w:pos="1575"/>
          <w:tab w:val="clear" w:pos="1321"/>
        </w:tabs>
        <w:adjustRightInd w:val="0"/>
        <w:snapToGrid w:val="0"/>
        <w:spacing w:line="360" w:lineRule="auto"/>
        <w:ind w:left="420" w:leftChars="200" w:firstLine="480" w:firstLineChars="200"/>
        <w:rPr>
          <w:rFonts w:ascii="宋体" w:hAnsi="宋体"/>
          <w:bCs/>
          <w:sz w:val="24"/>
          <w:szCs w:val="24"/>
        </w:rPr>
      </w:pPr>
      <w:r>
        <w:rPr>
          <w:rFonts w:hint="eastAsia" w:ascii="宋体" w:hAnsi="宋体" w:cs="宋体"/>
          <w:kern w:val="0"/>
          <w:sz w:val="24"/>
        </w:rPr>
        <w:t>项目负责人及授权委托人与供应商企业签订的劳动合同、法定的社保收缴部门出具由供应商本企业为授权委托人依法缴纳的2023年6月-2023年11月的社会保障资金的相关材料（提供相关主管部门证明或银行代扣证明）复印件加盖公章；（投标时提供原件或公证件）</w:t>
      </w:r>
    </w:p>
    <w:p>
      <w:pPr>
        <w:numPr>
          <w:ilvl w:val="1"/>
          <w:numId w:val="9"/>
        </w:numPr>
        <w:tabs>
          <w:tab w:val="left" w:pos="1050"/>
          <w:tab w:val="left" w:pos="1575"/>
          <w:tab w:val="clear" w:pos="1321"/>
        </w:tabs>
        <w:adjustRightInd w:val="0"/>
        <w:snapToGrid w:val="0"/>
        <w:spacing w:line="360" w:lineRule="auto"/>
        <w:ind w:left="420" w:leftChars="200" w:firstLine="480" w:firstLineChars="200"/>
        <w:rPr>
          <w:rFonts w:ascii="宋体" w:hAnsi="宋体"/>
          <w:bCs/>
          <w:sz w:val="24"/>
          <w:szCs w:val="24"/>
        </w:rPr>
      </w:pPr>
      <w:r>
        <w:rPr>
          <w:rFonts w:hint="eastAsia" w:ascii="宋体" w:hAnsi="宋体"/>
          <w:bCs/>
          <w:sz w:val="24"/>
          <w:szCs w:val="24"/>
        </w:rPr>
        <w:t>承诺书一、二（格式见附件）；</w:t>
      </w:r>
    </w:p>
    <w:p>
      <w:pPr>
        <w:numPr>
          <w:ilvl w:val="1"/>
          <w:numId w:val="9"/>
        </w:numPr>
        <w:tabs>
          <w:tab w:val="left" w:pos="1050"/>
          <w:tab w:val="left" w:pos="1575"/>
          <w:tab w:val="clear" w:pos="1321"/>
        </w:tabs>
        <w:adjustRightInd w:val="0"/>
        <w:snapToGrid w:val="0"/>
        <w:spacing w:line="360" w:lineRule="auto"/>
        <w:ind w:left="420" w:leftChars="200" w:firstLine="480" w:firstLineChars="200"/>
        <w:rPr>
          <w:rFonts w:ascii="宋体" w:hAnsi="宋体"/>
          <w:bCs/>
          <w:sz w:val="24"/>
          <w:szCs w:val="24"/>
        </w:rPr>
      </w:pPr>
      <w:r>
        <w:rPr>
          <w:rFonts w:hint="eastAsia" w:ascii="宋体" w:hAnsi="宋体"/>
          <w:bCs/>
          <w:sz w:val="24"/>
          <w:szCs w:val="24"/>
        </w:rPr>
        <w:t>关于资格的声明函（格式见附件）。</w:t>
      </w:r>
    </w:p>
    <w:p>
      <w:p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b/>
          <w:sz w:val="24"/>
          <w:szCs w:val="24"/>
        </w:rPr>
        <w:t>上述证明文件中的资格、资信证明文件必须全部提供，否则将可能影响资格审查结果。</w:t>
      </w:r>
      <w:r>
        <w:rPr>
          <w:rFonts w:hint="eastAsia" w:ascii="宋体" w:hAnsi="宋体"/>
          <w:bCs/>
          <w:sz w:val="24"/>
          <w:szCs w:val="24"/>
        </w:rPr>
        <w:t>其中要求提交的原件或公证件（公证件效力等同于原件）必须与投标文件同时提交，如果原件正在年检（或换证），则必须提供法定年检（或换证）单位出具的有效证明原件。</w:t>
      </w:r>
      <w:r>
        <w:rPr>
          <w:rFonts w:hint="eastAsia" w:ascii="Tahoma" w:hAnsi="Tahoma" w:cs="Tahoma"/>
          <w:sz w:val="24"/>
          <w:szCs w:val="24"/>
        </w:rPr>
        <w:t>如上述资格证明文件第</w:t>
      </w:r>
      <w:r>
        <w:rPr>
          <w:rFonts w:hint="eastAsia" w:ascii="宋体" w:hAnsi="宋体" w:cs="宋体"/>
          <w:sz w:val="24"/>
          <w:szCs w:val="24"/>
        </w:rPr>
        <w:t>⑤</w:t>
      </w:r>
      <w:r>
        <w:rPr>
          <w:rFonts w:hint="eastAsia" w:ascii="Tahoma" w:hAnsi="Tahoma" w:cs="Tahoma"/>
          <w:sz w:val="24"/>
          <w:szCs w:val="24"/>
        </w:rPr>
        <w:t>、</w:t>
      </w:r>
      <w:r>
        <w:rPr>
          <w:rFonts w:hint="eastAsia" w:ascii="宋体" w:hAnsi="宋体"/>
          <w:sz w:val="24"/>
          <w:szCs w:val="24"/>
        </w:rPr>
        <w:t>⑥、⑦、⑧四项</w:t>
      </w:r>
      <w:r>
        <w:rPr>
          <w:rFonts w:hint="eastAsia" w:ascii="Tahoma" w:hAnsi="Tahoma" w:cs="Tahoma"/>
          <w:sz w:val="24"/>
          <w:szCs w:val="24"/>
        </w:rPr>
        <w:t>遇有国家相关政策规定可不具备的，必须提供相关政策规定或相关单位出具的有效证明复印件。</w:t>
      </w:r>
      <w:r>
        <w:rPr>
          <w:rFonts w:hint="eastAsia" w:ascii="宋体" w:hAnsi="宋体"/>
          <w:bCs/>
          <w:sz w:val="24"/>
          <w:szCs w:val="24"/>
        </w:rPr>
        <w:t>投标供应商法定代表人或法定代表人授权代表为外籍、港、澳、台地区人士的，其身份证明须提供有效的护照或港澳同胞来往内地通行证、台湾同胞来往大陆通行证，或其他可在中国大陆有效居留的许可证明。否则必须提供原件或公证件来予以证明。</w:t>
      </w:r>
    </w:p>
    <w:p>
      <w:pPr>
        <w:tabs>
          <w:tab w:val="left" w:pos="525"/>
          <w:tab w:val="left" w:pos="1050"/>
        </w:tabs>
        <w:adjustRightInd w:val="0"/>
        <w:snapToGrid w:val="0"/>
        <w:spacing w:line="360" w:lineRule="auto"/>
        <w:ind w:left="420" w:leftChars="200"/>
        <w:rPr>
          <w:rFonts w:ascii="宋体" w:hAnsi="宋体"/>
          <w:bCs/>
          <w:sz w:val="24"/>
          <w:szCs w:val="24"/>
        </w:rPr>
      </w:pPr>
      <w:r>
        <w:rPr>
          <w:rFonts w:hint="eastAsia" w:ascii="宋体" w:hAnsi="宋体"/>
          <w:bCs/>
          <w:sz w:val="24"/>
        </w:rPr>
        <w:t>3、补充性文件</w:t>
      </w:r>
    </w:p>
    <w:p>
      <w:pPr>
        <w:numPr>
          <w:ilvl w:val="0"/>
          <w:numId w:val="10"/>
        </w:num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投标供应商简介和经营情况说明；</w:t>
      </w:r>
    </w:p>
    <w:p>
      <w:pPr>
        <w:numPr>
          <w:ilvl w:val="0"/>
          <w:numId w:val="10"/>
        </w:num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投标供应商认为必须提供的其他证明材料；</w:t>
      </w:r>
    </w:p>
    <w:p>
      <w:pPr>
        <w:numPr>
          <w:ilvl w:val="0"/>
          <w:numId w:val="10"/>
        </w:num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sz w:val="24"/>
        </w:rPr>
        <w:t>中小企业声明函（不可删除，投标供应商非中小企业，请将空表列入投标文件）；</w:t>
      </w:r>
    </w:p>
    <w:p>
      <w:pPr>
        <w:numPr>
          <w:ilvl w:val="0"/>
          <w:numId w:val="10"/>
        </w:numPr>
        <w:tabs>
          <w:tab w:val="left" w:pos="735"/>
          <w:tab w:val="left" w:pos="1050"/>
          <w:tab w:val="left" w:pos="1080"/>
        </w:tabs>
        <w:adjustRightInd w:val="0"/>
        <w:snapToGrid w:val="0"/>
        <w:spacing w:line="360" w:lineRule="auto"/>
        <w:ind w:firstLine="480" w:firstLineChars="200"/>
        <w:rPr>
          <w:rFonts w:ascii="宋体" w:hAnsi="宋体"/>
          <w:bCs/>
          <w:sz w:val="24"/>
        </w:rPr>
      </w:pPr>
      <w:r>
        <w:rPr>
          <w:rFonts w:hint="eastAsia" w:ascii="宋体" w:hAnsi="宋体" w:cs="宋体"/>
          <w:bCs/>
          <w:sz w:val="24"/>
        </w:rPr>
        <w:t>残疾人福利性单位声明函；（供应商为残疾人福利性单位的必须提供，格式见附件）；</w:t>
      </w:r>
    </w:p>
    <w:p>
      <w:pPr>
        <w:numPr>
          <w:ilvl w:val="0"/>
          <w:numId w:val="10"/>
        </w:numPr>
        <w:tabs>
          <w:tab w:val="left" w:pos="735"/>
          <w:tab w:val="left" w:pos="1050"/>
          <w:tab w:val="left" w:pos="1080"/>
        </w:tabs>
        <w:adjustRightInd w:val="0"/>
        <w:snapToGrid w:val="0"/>
        <w:spacing w:line="360" w:lineRule="auto"/>
        <w:ind w:firstLine="480" w:firstLineChars="200"/>
        <w:rPr>
          <w:rFonts w:ascii="宋体" w:hAnsi="宋体"/>
          <w:bCs/>
          <w:sz w:val="24"/>
        </w:rPr>
      </w:pPr>
      <w:r>
        <w:rPr>
          <w:rFonts w:hint="eastAsia" w:hAnsi="宋体"/>
          <w:bCs/>
          <w:sz w:val="24"/>
          <w:lang w:val="zh-CN"/>
        </w:rPr>
        <w:t>中标标段优先顺序承诺函（格式见附件）；</w:t>
      </w:r>
    </w:p>
    <w:p>
      <w:pPr>
        <w:numPr>
          <w:ilvl w:val="0"/>
          <w:numId w:val="10"/>
        </w:numPr>
        <w:tabs>
          <w:tab w:val="left" w:pos="735"/>
          <w:tab w:val="left" w:pos="1050"/>
          <w:tab w:val="left" w:pos="1080"/>
        </w:tabs>
        <w:adjustRightInd w:val="0"/>
        <w:snapToGrid w:val="0"/>
        <w:spacing w:line="360" w:lineRule="auto"/>
        <w:ind w:firstLine="480" w:firstLineChars="200"/>
        <w:rPr>
          <w:rFonts w:ascii="宋体" w:hAnsi="宋体"/>
          <w:bCs/>
          <w:sz w:val="24"/>
        </w:rPr>
      </w:pPr>
      <w:r>
        <w:rPr>
          <w:rFonts w:hint="eastAsia" w:ascii="宋体" w:hAnsi="宋体"/>
          <w:sz w:val="24"/>
          <w:szCs w:val="24"/>
        </w:rPr>
        <w:t>投标人认为有必要提供的承诺、声明和资料。</w:t>
      </w:r>
    </w:p>
    <w:p>
      <w:pPr>
        <w:adjustRightInd w:val="0"/>
        <w:snapToGrid w:val="0"/>
        <w:spacing w:line="360" w:lineRule="auto"/>
        <w:ind w:firstLine="480" w:firstLineChars="200"/>
        <w:rPr>
          <w:rFonts w:ascii="宋体" w:hAnsi="宋体"/>
          <w:sz w:val="24"/>
        </w:rPr>
      </w:pPr>
      <w:r>
        <w:rPr>
          <w:rFonts w:hint="eastAsia" w:ascii="宋体" w:hAnsi="宋体"/>
          <w:sz w:val="24"/>
        </w:rPr>
        <w:t>4、报价文件（格式见附件）：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w:t>
      </w:r>
      <w:r>
        <w:rPr>
          <w:rFonts w:hint="eastAsia" w:ascii="宋体" w:hAnsi="宋体"/>
          <w:sz w:val="24"/>
          <w:szCs w:val="24"/>
        </w:rPr>
        <w:t>开标一览表（格式见附件）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②投入本项目的人员汇总表（格式见附件）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③投入本项目的人员简介表（格式见附件）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④其他补充资料</w:t>
      </w:r>
    </w:p>
    <w:p>
      <w:pPr>
        <w:adjustRightInd w:val="0"/>
        <w:snapToGrid w:val="0"/>
        <w:spacing w:line="360" w:lineRule="auto"/>
        <w:ind w:firstLine="480" w:firstLineChars="200"/>
        <w:rPr>
          <w:rFonts w:ascii="宋体" w:hAnsi="宋体"/>
          <w:sz w:val="24"/>
        </w:rPr>
      </w:pPr>
      <w:r>
        <w:rPr>
          <w:rFonts w:hint="eastAsia" w:ascii="宋体" w:hAnsi="宋体"/>
          <w:b/>
          <w:sz w:val="24"/>
        </w:rPr>
        <w:t>暗标部分：</w:t>
      </w:r>
    </w:p>
    <w:p>
      <w:pPr>
        <w:adjustRightInd w:val="0"/>
        <w:snapToGrid w:val="0"/>
        <w:spacing w:line="360" w:lineRule="auto"/>
        <w:ind w:firstLine="480" w:firstLineChars="200"/>
        <w:rPr>
          <w:rFonts w:ascii="宋体" w:hAnsi="宋体"/>
          <w:bCs/>
          <w:sz w:val="24"/>
        </w:rPr>
      </w:pPr>
      <w:r>
        <w:rPr>
          <w:rFonts w:hint="eastAsia" w:ascii="宋体" w:hAnsi="宋体"/>
          <w:bCs/>
          <w:sz w:val="24"/>
        </w:rPr>
        <w:t>投标</w:t>
      </w:r>
      <w:r>
        <w:rPr>
          <w:rFonts w:hint="eastAsia" w:ascii="宋体" w:hAnsi="宋体" w:cs="宋体"/>
          <w:sz w:val="24"/>
        </w:rPr>
        <w:t>供应商</w:t>
      </w:r>
      <w:r>
        <w:rPr>
          <w:rFonts w:hint="eastAsia" w:ascii="宋体" w:hAnsi="宋体"/>
          <w:bCs/>
          <w:sz w:val="24"/>
        </w:rPr>
        <w:t>根据采购文件要求自行编制技术标</w:t>
      </w:r>
      <w:r>
        <w:rPr>
          <w:rFonts w:hint="eastAsia" w:ascii="宋体"/>
          <w:sz w:val="24"/>
        </w:rPr>
        <w:t>。</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（六）</w:t>
      </w:r>
      <w:r>
        <w:rPr>
          <w:rFonts w:ascii="黑体" w:hAnsi="黑体" w:eastAsia="黑体"/>
          <w:sz w:val="24"/>
        </w:rPr>
        <w:t>投标报价</w:t>
      </w:r>
      <w:r>
        <w:rPr>
          <w:rFonts w:hint="eastAsia" w:ascii="黑体" w:hAnsi="黑体" w:eastAsia="黑体"/>
          <w:sz w:val="24"/>
        </w:rPr>
        <w:t>说明：</w:t>
      </w:r>
    </w:p>
    <w:p>
      <w:pPr>
        <w:numPr>
          <w:ilvl w:val="0"/>
          <w:numId w:val="11"/>
        </w:numPr>
        <w:tabs>
          <w:tab w:val="left" w:pos="0"/>
          <w:tab w:val="clear" w:pos="420"/>
        </w:tabs>
        <w:adjustRightInd w:val="0"/>
        <w:snapToGrid w:val="0"/>
        <w:spacing w:line="360" w:lineRule="auto"/>
        <w:ind w:left="0" w:firstLine="540"/>
        <w:rPr>
          <w:rFonts w:ascii="宋体" w:hAnsi="宋体"/>
          <w:bCs/>
          <w:sz w:val="24"/>
        </w:rPr>
      </w:pPr>
      <w:r>
        <w:rPr>
          <w:rFonts w:hint="eastAsia" w:ascii="宋体" w:hAnsi="宋体"/>
          <w:bCs/>
          <w:sz w:val="24"/>
        </w:rPr>
        <w:t>投标供应商的投标报价的总额应是投标供应商在投标文件中提出的各项支付金额的总和，也应是完成采购需求的全部费用。</w:t>
      </w:r>
    </w:p>
    <w:p>
      <w:pPr>
        <w:numPr>
          <w:ilvl w:val="0"/>
          <w:numId w:val="11"/>
        </w:numPr>
        <w:tabs>
          <w:tab w:val="left" w:pos="0"/>
          <w:tab w:val="clear" w:pos="420"/>
        </w:tabs>
        <w:adjustRightInd w:val="0"/>
        <w:snapToGrid w:val="0"/>
        <w:spacing w:line="360" w:lineRule="auto"/>
        <w:ind w:left="0" w:firstLine="540"/>
        <w:rPr>
          <w:rFonts w:ascii="宋体" w:hAnsi="宋体"/>
          <w:bCs/>
          <w:sz w:val="24"/>
        </w:rPr>
      </w:pPr>
      <w:r>
        <w:rPr>
          <w:rFonts w:ascii="宋体" w:hAnsi="宋体"/>
          <w:bCs/>
          <w:sz w:val="24"/>
        </w:rPr>
        <w:t>除非采购人对采购文件予以修改，投标供应商应按采购人提供的</w:t>
      </w:r>
      <w:r>
        <w:rPr>
          <w:rFonts w:hint="eastAsia" w:ascii="宋体" w:hAnsi="宋体"/>
          <w:bCs/>
          <w:sz w:val="24"/>
        </w:rPr>
        <w:t>采购清单，填报单价</w:t>
      </w:r>
      <w:r>
        <w:rPr>
          <w:rFonts w:ascii="宋体" w:hAnsi="宋体"/>
          <w:bCs/>
          <w:sz w:val="24"/>
        </w:rPr>
        <w:t>和合价。</w:t>
      </w:r>
      <w:r>
        <w:rPr>
          <w:rFonts w:hint="eastAsia" w:ascii="宋体" w:hAnsi="宋体"/>
          <w:bCs/>
          <w:sz w:val="24"/>
        </w:rPr>
        <w:t>投标供应商未填单价或合价的清单内容，视为该项目费用已包括在其他有价款的单价或合价内，</w:t>
      </w:r>
      <w:r>
        <w:rPr>
          <w:rFonts w:ascii="宋体" w:hAnsi="宋体"/>
          <w:bCs/>
          <w:sz w:val="24"/>
        </w:rPr>
        <w:t>在实施后，采购人将不</w:t>
      </w:r>
      <w:r>
        <w:rPr>
          <w:rFonts w:hint="eastAsia" w:ascii="宋体" w:hAnsi="宋体"/>
          <w:bCs/>
          <w:sz w:val="24"/>
        </w:rPr>
        <w:t>另行</w:t>
      </w:r>
      <w:r>
        <w:rPr>
          <w:rFonts w:ascii="宋体" w:hAnsi="宋体"/>
          <w:bCs/>
          <w:sz w:val="24"/>
        </w:rPr>
        <w:t>支付</w:t>
      </w:r>
      <w:r>
        <w:rPr>
          <w:rFonts w:hint="eastAsia" w:ascii="宋体" w:hAnsi="宋体"/>
          <w:bCs/>
          <w:sz w:val="24"/>
        </w:rPr>
        <w:t>。任何有选择的报价将不予接受。</w:t>
      </w:r>
    </w:p>
    <w:p>
      <w:pPr>
        <w:adjustRightInd w:val="0"/>
        <w:snapToGrid w:val="0"/>
        <w:spacing w:line="360" w:lineRule="auto"/>
        <w:ind w:firstLine="480" w:firstLineChars="200"/>
        <w:rPr>
          <w:rFonts w:ascii="宋体" w:hAnsi="宋体"/>
          <w:bCs/>
          <w:sz w:val="24"/>
        </w:rPr>
      </w:pPr>
      <w:r>
        <w:rPr>
          <w:rFonts w:hint="eastAsia" w:ascii="宋体" w:hAnsi="宋体"/>
          <w:bCs/>
          <w:sz w:val="24"/>
        </w:rPr>
        <w:t>3.评标委员会认为投标供应商的报价明显低于其他通过符合性审查投标供应商的报价，有可能影响产品质量或者不能诚信履约的，应当要求其在评标现场30分钟内提供书面说明，必要时提交相关证明材料；投标供应商不能证明其报价合理性的，评标委员会应当将其作为无效投标处理。</w:t>
      </w:r>
    </w:p>
    <w:p>
      <w:pPr>
        <w:adjustRightInd w:val="0"/>
        <w:snapToGrid w:val="0"/>
        <w:spacing w:line="360" w:lineRule="auto"/>
        <w:ind w:left="-2" w:leftChars="-1" w:firstLine="420" w:firstLineChars="175"/>
        <w:rPr>
          <w:rFonts w:ascii="黑体" w:hAnsi="宋体" w:eastAsia="黑体"/>
          <w:bCs/>
          <w:sz w:val="24"/>
          <w:szCs w:val="24"/>
        </w:rPr>
      </w:pPr>
      <w:r>
        <w:rPr>
          <w:rFonts w:hint="eastAsia" w:ascii="黑体" w:hAnsi="宋体" w:eastAsia="黑体"/>
          <w:bCs/>
          <w:sz w:val="24"/>
          <w:szCs w:val="24"/>
        </w:rPr>
        <w:t>（七） 投标文件的要求：</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1.所有文件、往来函件均应使用简体中文（规格、型号辅助符号例外）。</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2.投标文件由投标供应商按要求参考给定格式如实填写（编写），须有法人（盖章）、法定代表人或法定代表人授权代表签字或盖章，方为有效，未尽事宜可自行补充。</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3.如无特别说明，投标供应商报价一律以人民币为投标结算货币,结算单位为“元”。</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4.投标文件格式部分，应由投标人按给定格式提供，不得更改。</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5.投标文件应用不褪色的墨水书写或打印。</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6.投标文件统一用</w:t>
      </w:r>
      <w:r>
        <w:rPr>
          <w:rFonts w:ascii="宋体" w:hAnsi="宋体"/>
          <w:bCs/>
          <w:sz w:val="24"/>
          <w:szCs w:val="24"/>
        </w:rPr>
        <w:t>A4</w:t>
      </w:r>
      <w:r>
        <w:rPr>
          <w:rFonts w:hint="eastAsia" w:ascii="宋体" w:hAnsi="宋体"/>
          <w:bCs/>
          <w:sz w:val="24"/>
          <w:szCs w:val="24"/>
        </w:rPr>
        <w:t>纸，按照投标函格式中的顺序制作，并请编制目录和</w:t>
      </w:r>
      <w:r>
        <w:rPr>
          <w:rFonts w:ascii="宋体" w:hAnsi="宋体"/>
          <w:bCs/>
          <w:sz w:val="24"/>
          <w:szCs w:val="24"/>
        </w:rPr>
        <w:t>页码</w:t>
      </w:r>
      <w:r>
        <w:rPr>
          <w:rFonts w:hint="eastAsia" w:ascii="宋体" w:hAnsi="宋体"/>
          <w:bCs/>
          <w:sz w:val="24"/>
          <w:szCs w:val="24"/>
        </w:rPr>
        <w:t>。由于编排混乱导致投标文件被误读或查找不到，责任由投标供应商承担。</w:t>
      </w:r>
    </w:p>
    <w:p>
      <w:pPr>
        <w:tabs>
          <w:tab w:val="left" w:pos="0"/>
          <w:tab w:val="left" w:pos="851"/>
          <w:tab w:val="left" w:pos="1843"/>
        </w:tabs>
        <w:spacing w:line="440" w:lineRule="exact"/>
        <w:ind w:firstLine="480" w:firstLineChars="200"/>
        <w:rPr>
          <w:rFonts w:ascii="宋体" w:hAnsi="宋体"/>
          <w:b/>
          <w:sz w:val="24"/>
        </w:rPr>
      </w:pPr>
      <w:r>
        <w:rPr>
          <w:rFonts w:hint="eastAsia" w:ascii="宋体" w:hAnsi="宋体"/>
          <w:b/>
          <w:bCs/>
          <w:sz w:val="24"/>
        </w:rPr>
        <w:t>7.</w:t>
      </w:r>
      <w:r>
        <w:rPr>
          <w:rFonts w:hint="eastAsia" w:ascii="宋体" w:hAnsi="宋体"/>
          <w:b/>
          <w:sz w:val="24"/>
        </w:rPr>
        <w:t>投标文件分为明标和暗标两部分，其中明标部分单独装订成一册（一正二副），暗标部分单独装订成一册（一正五副），同时提供投标文件电子光盘（或U盘）一份（应包含所有投标内容）。</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
          <w:sz w:val="24"/>
        </w:rPr>
        <w:t>投标供应商应将投标文件明标部分正本及投标文件电子光盘（或U盘）密封在一个封袋中并在封袋上清楚地标明“投标文件正本”，将投标文件明标部分副本密封在一个封袋中并在封袋上清楚地标明“投标文件副本”；服务方案（暗标）正本单独密封在一个封袋中并在密封袋上清楚地标明“服务方案正本”， 服务方案（暗标）所有副本单独密封在一个封袋中并在密封袋上清楚地标明“服务方案副本”。服务方案（暗标）需按标段分开制作。招标文件中资格证明文件部分及评标办法中所需提供的原件资料需单独密封在一个封袋中（身份证可随身携带），并在密封袋上清楚地标明“原件资料”。所有投标文件封袋的封口处应加盖投标供应商印章。密封袋上还均应注明采购编号、项目名称、投标供应商名称。</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8.投标文件不应有涂改、增删和潦草之处，如有必须修改时，修改处必须有法人、法定代表人或法定代表人授权代表的签章。</w:t>
      </w:r>
    </w:p>
    <w:p>
      <w:pPr>
        <w:tabs>
          <w:tab w:val="left" w:pos="0"/>
        </w:tabs>
        <w:spacing w:line="360" w:lineRule="auto"/>
        <w:ind w:left="14" w:leftChars="7" w:firstLine="360" w:firstLineChars="150"/>
        <w:rPr>
          <w:rFonts w:ascii="宋体" w:hAnsi="宋体"/>
          <w:bCs/>
          <w:sz w:val="24"/>
        </w:rPr>
      </w:pPr>
      <w:r>
        <w:rPr>
          <w:rFonts w:hint="eastAsia" w:ascii="宋体" w:hAnsi="宋体"/>
          <w:bCs/>
          <w:sz w:val="24"/>
        </w:rPr>
        <w:t>9.暗标编制、装订要求：</w:t>
      </w:r>
    </w:p>
    <w:p>
      <w:pPr>
        <w:tabs>
          <w:tab w:val="left" w:pos="0"/>
          <w:tab w:val="left" w:pos="588"/>
        </w:tabs>
        <w:spacing w:line="360" w:lineRule="auto"/>
        <w:ind w:left="1" w:firstLine="480" w:firstLineChars="200"/>
        <w:rPr>
          <w:rFonts w:ascii="宋体" w:hAnsi="宋体"/>
          <w:b/>
          <w:bCs/>
          <w:sz w:val="24"/>
        </w:rPr>
      </w:pPr>
      <w:r>
        <w:rPr>
          <w:rFonts w:ascii="宋体" w:hAnsi="宋体"/>
          <w:b/>
          <w:bCs/>
          <w:sz w:val="24"/>
        </w:rPr>
        <w:t>暗标需单独成册，不得有分册。</w:t>
      </w:r>
      <w:r>
        <w:rPr>
          <w:rFonts w:hint="eastAsia" w:ascii="宋体" w:hAnsi="宋体"/>
          <w:b/>
          <w:bCs/>
          <w:sz w:val="24"/>
        </w:rPr>
        <w:t>暗标的封面、封底和装订夹由采购人（或采购代理机构）提供统一样品，封面和封底采用样品的格式 ，铁皮夹两长脚朝上靠左侧装订</w:t>
      </w:r>
      <w:r>
        <w:rPr>
          <w:rFonts w:ascii="宋体" w:hAnsi="宋体"/>
          <w:b/>
          <w:bCs/>
          <w:sz w:val="24"/>
        </w:rPr>
        <w:t>；</w:t>
      </w:r>
    </w:p>
    <w:p>
      <w:pPr>
        <w:tabs>
          <w:tab w:val="left" w:pos="0"/>
          <w:tab w:val="left" w:pos="588"/>
        </w:tabs>
        <w:spacing w:line="360" w:lineRule="auto"/>
        <w:ind w:left="1" w:firstLine="480" w:firstLineChars="200"/>
        <w:rPr>
          <w:rFonts w:ascii="宋体" w:hAnsi="宋体"/>
          <w:b/>
          <w:bCs/>
          <w:color w:val="0000FF"/>
          <w:sz w:val="24"/>
        </w:rPr>
      </w:pPr>
      <w:r>
        <w:rPr>
          <w:rFonts w:ascii="宋体" w:hAnsi="宋体"/>
          <w:b/>
          <w:bCs/>
          <w:sz w:val="24"/>
        </w:rPr>
        <w:t>暗标不得出现投标人名称、人员姓名，要求版面整洁、字迹清楚、不许涂改，不得出现能显示企业特征或其它提示性的标记或标识，也不得采用任何不符合常规、有别于其它投标人的特殊做法</w:t>
      </w:r>
      <w:r>
        <w:rPr>
          <w:rFonts w:hint="eastAsia" w:ascii="宋体" w:hAnsi="宋体"/>
          <w:b/>
          <w:bCs/>
          <w:sz w:val="24"/>
        </w:rPr>
        <w:t>，</w:t>
      </w:r>
      <w:r>
        <w:rPr>
          <w:rFonts w:hint="eastAsia" w:ascii="宋体" w:hAnsi="宋体"/>
          <w:b/>
          <w:bCs/>
          <w:color w:val="auto"/>
          <w:sz w:val="24"/>
        </w:rPr>
        <w:t>目录页页脚不得设置页码</w:t>
      </w:r>
      <w:r>
        <w:rPr>
          <w:rFonts w:ascii="宋体" w:hAnsi="宋体"/>
          <w:b/>
          <w:bCs/>
          <w:color w:val="auto"/>
          <w:sz w:val="24"/>
        </w:rPr>
        <w:t>；</w:t>
      </w:r>
      <w:bookmarkStart w:id="10" w:name="_GoBack"/>
      <w:bookmarkEnd w:id="10"/>
    </w:p>
    <w:p>
      <w:pPr>
        <w:tabs>
          <w:tab w:val="left" w:pos="525"/>
          <w:tab w:val="left" w:pos="1050"/>
        </w:tabs>
        <w:adjustRightInd w:val="0"/>
        <w:snapToGrid w:val="0"/>
        <w:spacing w:line="360" w:lineRule="auto"/>
        <w:ind w:firstLine="480" w:firstLineChars="200"/>
        <w:rPr>
          <w:rFonts w:ascii="宋体" w:hAnsi="宋体"/>
          <w:bCs/>
          <w:sz w:val="24"/>
          <w:szCs w:val="24"/>
        </w:rPr>
      </w:pPr>
      <w:r>
        <w:rPr>
          <w:rFonts w:ascii="宋体" w:hAnsi="宋体"/>
          <w:b/>
          <w:bCs/>
          <w:sz w:val="24"/>
        </w:rPr>
        <w:t>排版要求：使用word文件形式，A4白色复印纸单面黑色打印，字体为四号宋体，不得出现手写，单倍行间距，不得有任何加粗、斜体、下划线、边框、底纹、阴影等标记，不得设置页眉，页脚只准出现页码，采用小5号阿拉伯数字格式，设在页脚对中位置，页码应当连续，不得有空白页，装订必须在左侧装订。</w:t>
      </w:r>
      <w:r>
        <w:rPr>
          <w:rFonts w:hint="eastAsia" w:ascii="宋体" w:hAnsi="宋体"/>
          <w:b/>
          <w:bCs/>
          <w:sz w:val="24"/>
        </w:rPr>
        <w:t>网络图、平面图、进度表可用A3纸单面黑色打印，图表中字体用宋体字，字号不作限制。</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10. 投标费用自理。</w:t>
      </w:r>
    </w:p>
    <w:p>
      <w:pPr>
        <w:adjustRightInd w:val="0"/>
        <w:snapToGrid w:val="0"/>
        <w:spacing w:line="360" w:lineRule="auto"/>
        <w:ind w:left="365" w:leftChars="174"/>
        <w:rPr>
          <w:rFonts w:ascii="黑体" w:hAnsi="宋体" w:eastAsia="黑体"/>
          <w:bCs/>
          <w:sz w:val="24"/>
          <w:szCs w:val="24"/>
        </w:rPr>
      </w:pPr>
      <w:r>
        <w:rPr>
          <w:rFonts w:hint="eastAsia" w:ascii="黑体" w:hAnsi="宋体" w:eastAsia="黑体"/>
          <w:bCs/>
          <w:sz w:val="24"/>
          <w:szCs w:val="24"/>
        </w:rPr>
        <w:t>（八） 无效投标文件的确认：</w:t>
      </w:r>
    </w:p>
    <w:p>
      <w:pPr>
        <w:adjustRightInd w:val="0"/>
        <w:snapToGrid w:val="0"/>
        <w:spacing w:line="360" w:lineRule="auto"/>
        <w:ind w:firstLine="480" w:firstLineChars="200"/>
        <w:rPr>
          <w:rFonts w:ascii="黑体" w:hAnsi="宋体" w:eastAsia="黑体"/>
          <w:bCs/>
          <w:sz w:val="24"/>
          <w:szCs w:val="24"/>
        </w:rPr>
      </w:pPr>
      <w:r>
        <w:rPr>
          <w:rFonts w:hint="eastAsia" w:ascii="宋体" w:hAnsi="宋体"/>
          <w:bCs/>
          <w:sz w:val="24"/>
          <w:szCs w:val="24"/>
        </w:rPr>
        <w:t>投标供应商有下列情况之一者，投标文件无效：</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投标文件未按规定的期限、地点送达的；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投标文件未按招标文件要求密封、签署、盖章的；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投标人的法定代表人或法定代表人授权代表，未准时参加投标会议的；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投标人的法定代表人授权代表无法定代表人授权委托书的；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不具备招标文件中规定的资格、资信要求及未按招标文件规定的要求提供资格、资信证明文件的；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投标文件未按招标文件规定的格式、内容和要求填写、制作的；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投标文件书写潦草、字迹模糊不清、无法辨认的；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投标文件含有招标文件未允许提供的选择性内容的；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投标文件含有采购人不能接受的附加条件的；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提供虚假材料的（包括工商营业执照、财务报表、资格、资信证明文件等）；</w:t>
      </w:r>
    </w:p>
    <w:p>
      <w:pPr>
        <w:numPr>
          <w:ilvl w:val="0"/>
          <w:numId w:val="12"/>
        </w:numPr>
        <w:tabs>
          <w:tab w:val="left" w:pos="900"/>
        </w:tabs>
        <w:spacing w:line="360" w:lineRule="auto"/>
        <w:ind w:left="0" w:firstLine="425"/>
        <w:rPr>
          <w:rFonts w:ascii="宋体" w:hAnsi="宋体"/>
          <w:b/>
          <w:bCs/>
          <w:sz w:val="24"/>
        </w:rPr>
      </w:pPr>
      <w:r>
        <w:rPr>
          <w:rFonts w:hint="eastAsia" w:ascii="宋体" w:hAnsi="宋体"/>
          <w:b/>
          <w:bCs/>
          <w:sz w:val="24"/>
        </w:rPr>
        <w:t>明标和暗标未分别制作、装订、密封包装的；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投标文件明标未加盖投标人公章及法定代表人或授权代表签字或盖章的；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投标人未遵循公平竞争的原则，恶意串通，妨碍其他投标人的竞争行为，损害采购人或者其他投标人的合法权益的。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不同投标人的投标文件的装订形式、纸张情况、目录序号、排版格式、文字风格等存在明显的相似性或一致性，特征显示由同一单位或者同一个人编制的；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不同投标人委托同一单位或者个人办理投标事宜的；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不同投标人投标文件载明的项目管理成员或者联系人员为同一人的；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不同投标人的投标文件内容存在非正常一致、项目组成员出现同一人、投标文件中错误（或异常）一致或雷同、电子文档信息一致或雷同的；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不同投标人报价细目呈明显规律性变化，或恶意串通其他投标人，故意哄抬价格或压价的；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不同投标人投标文件相互混装的；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不同投标人聘请同一人为其投标提供技术或经济咨询服务的；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不同投标人的单位负责人为同一人或者存在直接控股、管理关系的；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不同投标人的委托代理人、项目负责人以及其他相关人员有在同一个单位缴纳社会保险的；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同一投标文件中单位名称落款与公章不是同一单位的；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投标人为本项目提供整体设计、规范编制或者项目管理、监理、检测等服务的；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投标文件明标中同一方案有选择性报价且未声明以哪一个为准的；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暗标中出现该投标人单位名称、简称、人员姓名、Logo、商标、电话号码等任何标识标记及其他暗示性标志的；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明标和暗标，其中某一标被本项目评委确认为无效投标文件的；</w:t>
      </w:r>
    </w:p>
    <w:p>
      <w:pPr>
        <w:numPr>
          <w:ilvl w:val="0"/>
          <w:numId w:val="12"/>
        </w:numPr>
        <w:tabs>
          <w:tab w:val="left" w:pos="900"/>
        </w:tabs>
        <w:spacing w:line="360" w:lineRule="auto"/>
        <w:ind w:left="0" w:firstLine="425"/>
        <w:rPr>
          <w:rFonts w:ascii="宋体" w:hAnsi="宋体"/>
          <w:sz w:val="24"/>
        </w:rPr>
      </w:pPr>
      <w:r>
        <w:rPr>
          <w:rFonts w:hint="eastAsia" w:ascii="宋体" w:hAnsi="宋体"/>
          <w:sz w:val="24"/>
        </w:rPr>
        <w:t>改变招标文件规定的暂定价格或不可竞争费用的；</w:t>
      </w:r>
    </w:p>
    <w:p>
      <w:pPr>
        <w:numPr>
          <w:ilvl w:val="0"/>
          <w:numId w:val="12"/>
        </w:numPr>
        <w:spacing w:line="360" w:lineRule="auto"/>
        <w:ind w:left="0" w:firstLine="425"/>
        <w:rPr>
          <w:rFonts w:ascii="宋体" w:hAnsi="宋体"/>
          <w:sz w:val="24"/>
        </w:rPr>
      </w:pPr>
      <w:r>
        <w:rPr>
          <w:rFonts w:hint="eastAsia" w:ascii="宋体" w:hAnsi="宋体"/>
          <w:sz w:val="24"/>
        </w:rPr>
        <w:t>报价超过招标文件规定的最高限价（单价与总价均不得超过限价）的；</w:t>
      </w:r>
    </w:p>
    <w:p>
      <w:pPr>
        <w:numPr>
          <w:ilvl w:val="0"/>
          <w:numId w:val="12"/>
        </w:numPr>
        <w:spacing w:line="360" w:lineRule="auto"/>
        <w:ind w:left="0" w:firstLine="425"/>
        <w:rPr>
          <w:rFonts w:ascii="宋体" w:hAnsi="宋体"/>
          <w:sz w:val="24"/>
        </w:rPr>
      </w:pPr>
      <w:r>
        <w:rPr>
          <w:rFonts w:hint="eastAsia" w:ascii="宋体" w:hAnsi="宋体"/>
          <w:sz w:val="24"/>
        </w:rPr>
        <w:t>投标报价畸高或畸低，但投标总报价与各分项报价不能相互对应，在询标时没有合理的解释或者不能提供计算依据和报价依据的；</w:t>
      </w:r>
    </w:p>
    <w:p>
      <w:pPr>
        <w:numPr>
          <w:ilvl w:val="0"/>
          <w:numId w:val="12"/>
        </w:numPr>
        <w:spacing w:line="360" w:lineRule="auto"/>
        <w:ind w:left="0" w:firstLine="425"/>
        <w:rPr>
          <w:rFonts w:ascii="宋体" w:hAnsi="宋体"/>
          <w:sz w:val="24"/>
        </w:rPr>
      </w:pPr>
      <w:r>
        <w:rPr>
          <w:rFonts w:hint="eastAsia" w:ascii="宋体" w:hAnsi="宋体"/>
          <w:sz w:val="24"/>
        </w:rPr>
        <w:t>投标报价明显低于其他通过符合性审查投标人的报价，有可能影响产品质量或者不能诚信履约，且投标人不能证明其报价合理性，不能在半小时内提供书面说明及提交相关证明材料的；</w:t>
      </w:r>
    </w:p>
    <w:p>
      <w:pPr>
        <w:numPr>
          <w:ilvl w:val="0"/>
          <w:numId w:val="12"/>
        </w:numPr>
        <w:spacing w:line="360" w:lineRule="auto"/>
        <w:ind w:left="0" w:firstLine="425"/>
        <w:rPr>
          <w:rFonts w:ascii="宋体" w:hAnsi="宋体"/>
          <w:sz w:val="24"/>
        </w:rPr>
      </w:pPr>
      <w:r>
        <w:rPr>
          <w:rFonts w:hint="eastAsia" w:ascii="宋体" w:hAnsi="宋体"/>
          <w:sz w:val="24"/>
        </w:rPr>
        <w:t>投标文件报价出现前后不一致且投标人对修正后的报价不确认的；</w:t>
      </w:r>
    </w:p>
    <w:p>
      <w:pPr>
        <w:numPr>
          <w:ilvl w:val="0"/>
          <w:numId w:val="12"/>
        </w:numPr>
        <w:spacing w:line="360" w:lineRule="auto"/>
        <w:ind w:left="0" w:firstLine="425"/>
        <w:rPr>
          <w:rFonts w:ascii="宋体" w:hAnsi="宋体"/>
          <w:sz w:val="24"/>
        </w:rPr>
      </w:pPr>
      <w:r>
        <w:rPr>
          <w:rFonts w:hint="eastAsia" w:ascii="宋体" w:hAnsi="宋体"/>
          <w:sz w:val="24"/>
        </w:rPr>
        <w:t>未通过初步资格性审查、投标文件资格性检查、 投标文件符合性检查的；</w:t>
      </w:r>
    </w:p>
    <w:p>
      <w:pPr>
        <w:numPr>
          <w:ilvl w:val="0"/>
          <w:numId w:val="12"/>
        </w:numPr>
        <w:spacing w:line="360" w:lineRule="auto"/>
        <w:ind w:left="0" w:firstLine="425"/>
        <w:rPr>
          <w:rFonts w:ascii="宋体" w:hAnsi="宋体"/>
          <w:sz w:val="24"/>
        </w:rPr>
      </w:pPr>
      <w:r>
        <w:rPr>
          <w:rFonts w:hint="eastAsia" w:ascii="宋体" w:hAnsi="宋体"/>
          <w:sz w:val="24"/>
        </w:rPr>
        <w:t>投标文件内容不全或不符合法律法规和招标文件中规定的其他实质性要求的；</w:t>
      </w:r>
    </w:p>
    <w:p>
      <w:pPr>
        <w:numPr>
          <w:ilvl w:val="0"/>
          <w:numId w:val="12"/>
        </w:numPr>
        <w:spacing w:line="360" w:lineRule="auto"/>
        <w:ind w:left="0" w:firstLine="425"/>
        <w:rPr>
          <w:rFonts w:ascii="宋体" w:hAnsi="宋体"/>
          <w:bCs/>
          <w:sz w:val="24"/>
          <w:szCs w:val="24"/>
        </w:rPr>
      </w:pPr>
      <w:r>
        <w:rPr>
          <w:rFonts w:hint="eastAsia" w:ascii="宋体" w:hAnsi="宋体"/>
          <w:sz w:val="24"/>
        </w:rPr>
        <w:t>被列入失信被执行人、重大税收违法案件当事人名单、政府采购严重违法失信行为记录名单及其他不符合《中华人民共和国政府采购法》第二十二条规定的；</w:t>
      </w:r>
    </w:p>
    <w:p>
      <w:pPr>
        <w:numPr>
          <w:ilvl w:val="0"/>
          <w:numId w:val="12"/>
        </w:numPr>
        <w:spacing w:line="360" w:lineRule="auto"/>
        <w:ind w:left="0" w:firstLine="425"/>
        <w:rPr>
          <w:rFonts w:ascii="宋体" w:hAnsi="宋体"/>
          <w:bCs/>
          <w:sz w:val="24"/>
          <w:szCs w:val="24"/>
        </w:rPr>
      </w:pPr>
      <w:r>
        <w:rPr>
          <w:rFonts w:hint="eastAsia" w:ascii="宋体" w:hAnsi="宋体"/>
          <w:sz w:val="24"/>
        </w:rPr>
        <w:t>未按要求提供电子光盘或光盘内容不全、不符合要求的。</w:t>
      </w:r>
    </w:p>
    <w:p>
      <w:pPr>
        <w:adjustRightInd w:val="0"/>
        <w:snapToGrid w:val="0"/>
        <w:spacing w:line="360" w:lineRule="auto"/>
        <w:ind w:left="-2" w:leftChars="-1" w:firstLine="420" w:firstLineChars="175"/>
        <w:outlineLvl w:val="0"/>
        <w:rPr>
          <w:rFonts w:ascii="黑体" w:hAnsi="宋体" w:eastAsia="黑体"/>
          <w:bCs/>
          <w:sz w:val="24"/>
          <w:szCs w:val="24"/>
        </w:rPr>
      </w:pPr>
      <w:r>
        <w:rPr>
          <w:rFonts w:hint="eastAsia" w:ascii="黑体" w:hAnsi="宋体" w:eastAsia="黑体"/>
          <w:bCs/>
          <w:sz w:val="24"/>
          <w:szCs w:val="24"/>
        </w:rPr>
        <w:t>（九） 开标、评标：</w:t>
      </w:r>
    </w:p>
    <w:p>
      <w:pPr>
        <w:numPr>
          <w:ilvl w:val="1"/>
          <w:numId w:val="13"/>
        </w:numPr>
        <w:tabs>
          <w:tab w:val="left" w:pos="525"/>
          <w:tab w:val="left" w:pos="1050"/>
          <w:tab w:val="clear" w:pos="1290"/>
        </w:tabs>
        <w:adjustRightInd w:val="0"/>
        <w:snapToGrid w:val="0"/>
        <w:spacing w:line="360" w:lineRule="auto"/>
        <w:ind w:left="1" w:firstLine="628" w:firstLineChars="262"/>
        <w:rPr>
          <w:rFonts w:ascii="宋体" w:hAnsi="宋体"/>
          <w:bCs/>
          <w:sz w:val="24"/>
        </w:rPr>
      </w:pPr>
      <w:r>
        <w:rPr>
          <w:rFonts w:hint="eastAsia" w:ascii="宋体" w:hAnsi="宋体"/>
          <w:bCs/>
          <w:sz w:val="24"/>
        </w:rPr>
        <w:t>由专家及采购人代表组成评标委员会，并实行回避制度。</w:t>
      </w:r>
    </w:p>
    <w:p>
      <w:pPr>
        <w:numPr>
          <w:ilvl w:val="1"/>
          <w:numId w:val="13"/>
        </w:numPr>
        <w:tabs>
          <w:tab w:val="left" w:pos="525"/>
          <w:tab w:val="left" w:pos="1050"/>
          <w:tab w:val="clear" w:pos="1290"/>
        </w:tabs>
        <w:adjustRightInd w:val="0"/>
        <w:snapToGrid w:val="0"/>
        <w:spacing w:line="360" w:lineRule="auto"/>
        <w:ind w:left="1" w:firstLine="628" w:firstLineChars="262"/>
        <w:rPr>
          <w:rFonts w:ascii="宋体" w:hAnsi="宋体"/>
          <w:bCs/>
          <w:sz w:val="24"/>
        </w:rPr>
      </w:pPr>
      <w:r>
        <w:rPr>
          <w:rFonts w:hint="eastAsia" w:ascii="宋体" w:hAnsi="宋体"/>
          <w:bCs/>
          <w:sz w:val="24"/>
        </w:rPr>
        <w:t>投标文件出现不一致情形的处理：</w:t>
      </w:r>
    </w:p>
    <w:p>
      <w:pPr>
        <w:tabs>
          <w:tab w:val="left" w:pos="630"/>
          <w:tab w:val="left" w:pos="1155"/>
          <w:tab w:val="left" w:pos="1320"/>
          <w:tab w:val="left" w:pos="1365"/>
        </w:tabs>
        <w:adjustRightInd w:val="0"/>
        <w:snapToGrid w:val="0"/>
        <w:spacing w:line="360" w:lineRule="auto"/>
        <w:ind w:left="630"/>
        <w:rPr>
          <w:rFonts w:ascii="宋体" w:hAnsi="宋体"/>
          <w:bCs/>
          <w:sz w:val="24"/>
        </w:rPr>
      </w:pPr>
      <w:r>
        <w:rPr>
          <w:rFonts w:hint="eastAsia" w:ascii="宋体" w:hAnsi="宋体"/>
          <w:bCs/>
          <w:sz w:val="24"/>
        </w:rPr>
        <w:t>2.1纸质文件投标文件正本与副本不符，以正本为准。</w:t>
      </w:r>
    </w:p>
    <w:p>
      <w:pPr>
        <w:tabs>
          <w:tab w:val="left" w:pos="630"/>
          <w:tab w:val="left" w:pos="1155"/>
          <w:tab w:val="left" w:pos="1320"/>
          <w:tab w:val="left" w:pos="1365"/>
        </w:tabs>
        <w:adjustRightInd w:val="0"/>
        <w:snapToGrid w:val="0"/>
        <w:spacing w:line="360" w:lineRule="auto"/>
        <w:ind w:left="630"/>
        <w:rPr>
          <w:rFonts w:ascii="宋体" w:hAnsi="宋体"/>
          <w:bCs/>
          <w:sz w:val="24"/>
        </w:rPr>
      </w:pPr>
      <w:r>
        <w:rPr>
          <w:rFonts w:hint="eastAsia" w:ascii="宋体" w:hAnsi="宋体"/>
          <w:bCs/>
          <w:sz w:val="24"/>
        </w:rPr>
        <w:t>2.2投标文件纸质版与电子版不符，以纸质版为准。</w:t>
      </w:r>
    </w:p>
    <w:p>
      <w:pPr>
        <w:tabs>
          <w:tab w:val="left" w:pos="630"/>
          <w:tab w:val="left" w:pos="1155"/>
          <w:tab w:val="left" w:pos="1320"/>
          <w:tab w:val="left" w:pos="1365"/>
        </w:tabs>
        <w:adjustRightInd w:val="0"/>
        <w:snapToGrid w:val="0"/>
        <w:spacing w:line="360" w:lineRule="auto"/>
        <w:ind w:left="630"/>
        <w:rPr>
          <w:rFonts w:ascii="宋体" w:hAnsi="宋体"/>
          <w:bCs/>
          <w:sz w:val="24"/>
        </w:rPr>
      </w:pPr>
      <w:r>
        <w:rPr>
          <w:rFonts w:hint="eastAsia" w:ascii="宋体" w:hAnsi="宋体"/>
          <w:bCs/>
          <w:sz w:val="24"/>
        </w:rPr>
        <w:t>2.3投标文件报价出现前后不一致的，除采购文件另有规定外，按照下列规定修正：</w:t>
      </w:r>
    </w:p>
    <w:p>
      <w:pPr>
        <w:tabs>
          <w:tab w:val="left" w:pos="630"/>
          <w:tab w:val="left" w:pos="1155"/>
          <w:tab w:val="left" w:pos="1320"/>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①投标文件中开标一览表（报价表）内容与投标文件中响应内容不一致的，以开标一览表（报价表）为准；</w:t>
      </w:r>
    </w:p>
    <w:p>
      <w:pPr>
        <w:tabs>
          <w:tab w:val="left" w:pos="630"/>
          <w:tab w:val="left" w:pos="1155"/>
          <w:tab w:val="left" w:pos="1320"/>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②大写金额和小写金额不一致的，以大写金额为准；</w:t>
      </w:r>
    </w:p>
    <w:p>
      <w:pPr>
        <w:tabs>
          <w:tab w:val="left" w:pos="630"/>
          <w:tab w:val="left" w:pos="1155"/>
          <w:tab w:val="left" w:pos="1320"/>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③单价金额小数点或者百分比有明显错位的，以开标一览表的总价为准，并修改单价；</w:t>
      </w:r>
    </w:p>
    <w:p>
      <w:pPr>
        <w:tabs>
          <w:tab w:val="left" w:pos="630"/>
          <w:tab w:val="left" w:pos="1155"/>
          <w:tab w:val="left" w:pos="1320"/>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④总价金额与按单价汇总金额不一致的，以单价金额计算结果为准；</w:t>
      </w:r>
    </w:p>
    <w:p>
      <w:pPr>
        <w:tabs>
          <w:tab w:val="left" w:pos="630"/>
          <w:tab w:val="left" w:pos="1155"/>
          <w:tab w:val="left" w:pos="1320"/>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同时出现两种以上不一致的，按照前述①至④规定的顺序修正。修正后的报价应当采用书面形式，并加盖公章，或者由法定代表人或其授权的代表签字后产生约束力，投标供应商不确认的，其投标无效。</w:t>
      </w:r>
    </w:p>
    <w:p>
      <w:pPr>
        <w:numPr>
          <w:ilvl w:val="1"/>
          <w:numId w:val="13"/>
        </w:numPr>
        <w:tabs>
          <w:tab w:val="left" w:pos="525"/>
          <w:tab w:val="left" w:pos="840"/>
          <w:tab w:val="left" w:pos="1050"/>
          <w:tab w:val="clear" w:pos="1290"/>
        </w:tabs>
        <w:adjustRightInd w:val="0"/>
        <w:snapToGrid w:val="0"/>
        <w:spacing w:line="360" w:lineRule="auto"/>
        <w:ind w:left="1" w:firstLine="628" w:firstLineChars="262"/>
        <w:rPr>
          <w:rFonts w:ascii="宋体" w:hAnsi="宋体"/>
          <w:bCs/>
          <w:sz w:val="24"/>
        </w:rPr>
      </w:pPr>
      <w:r>
        <w:rPr>
          <w:rFonts w:hint="eastAsia" w:ascii="宋体" w:hAnsi="宋体"/>
          <w:bCs/>
          <w:sz w:val="24"/>
        </w:rPr>
        <w:t>开标工作程序</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3.1 密封性审查：</w:t>
      </w:r>
    </w:p>
    <w:p>
      <w:pPr>
        <w:tabs>
          <w:tab w:val="left" w:pos="840"/>
          <w:tab w:val="left" w:pos="1050"/>
        </w:tabs>
        <w:adjustRightInd w:val="0"/>
        <w:snapToGrid w:val="0"/>
        <w:spacing w:line="360" w:lineRule="auto"/>
        <w:ind w:firstLine="600" w:firstLineChars="250"/>
        <w:rPr>
          <w:rFonts w:ascii="宋体" w:hAnsi="宋体"/>
          <w:bCs/>
          <w:sz w:val="24"/>
        </w:rPr>
      </w:pPr>
      <w:r>
        <w:rPr>
          <w:rFonts w:hint="eastAsia" w:ascii="宋体" w:hAnsi="宋体"/>
          <w:bCs/>
          <w:sz w:val="24"/>
        </w:rPr>
        <w:t>由投标供应商或其推选的代表检查投标文件的密封、签署、盖章情况，也可以由公证人员检查并公证；</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3.2初步资格性审查：</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由工作人员在公证或监督下，按照投标供应商签到时间顺序进行。审查内容有：</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3.2.1 投标供应商的投标文件是否规定的期限、地点送达；</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3.2.2投标供应商的法定代表人或负责人或授权代表是否准时参加开标会议。</w:t>
      </w:r>
    </w:p>
    <w:p>
      <w:pPr>
        <w:tabs>
          <w:tab w:val="left" w:pos="840"/>
          <w:tab w:val="left" w:pos="1050"/>
        </w:tabs>
        <w:adjustRightInd w:val="0"/>
        <w:snapToGrid w:val="0"/>
        <w:spacing w:line="360" w:lineRule="auto"/>
        <w:ind w:left="10" w:firstLine="619" w:firstLineChars="258"/>
        <w:rPr>
          <w:rFonts w:ascii="宋体" w:hAnsi="宋体"/>
          <w:bCs/>
          <w:sz w:val="24"/>
        </w:rPr>
      </w:pPr>
      <w:r>
        <w:rPr>
          <w:rFonts w:hint="eastAsia" w:ascii="宋体" w:hAnsi="宋体"/>
          <w:bCs/>
          <w:sz w:val="24"/>
        </w:rPr>
        <w:t>3.2.3 投标供应商的法定代表人授权代表是否提供有效的身份证明和法定代表人授权委托书；</w:t>
      </w:r>
    </w:p>
    <w:p>
      <w:pPr>
        <w:tabs>
          <w:tab w:val="left" w:pos="840"/>
          <w:tab w:val="left" w:pos="1050"/>
        </w:tabs>
        <w:adjustRightInd w:val="0"/>
        <w:snapToGrid w:val="0"/>
        <w:spacing w:line="360" w:lineRule="auto"/>
        <w:ind w:left="10" w:firstLine="708" w:firstLineChars="295"/>
        <w:rPr>
          <w:rFonts w:ascii="宋体" w:hAnsi="宋体"/>
          <w:bCs/>
          <w:sz w:val="24"/>
        </w:rPr>
      </w:pPr>
      <w:r>
        <w:rPr>
          <w:rFonts w:hint="eastAsia" w:ascii="宋体" w:hAnsi="宋体"/>
          <w:bCs/>
          <w:sz w:val="24"/>
        </w:rPr>
        <w:t>3.2.4投标供应商是否通过信用信息查询，未被列入失信被执行人和重大税收违法案件当事人名单、政府采购严重违法失信行为信息记录名单。</w:t>
      </w:r>
    </w:p>
    <w:p>
      <w:pPr>
        <w:tabs>
          <w:tab w:val="left" w:pos="840"/>
          <w:tab w:val="left" w:pos="1050"/>
        </w:tabs>
        <w:adjustRightInd w:val="0"/>
        <w:snapToGrid w:val="0"/>
        <w:spacing w:line="360" w:lineRule="auto"/>
        <w:ind w:left="10" w:firstLine="708" w:firstLineChars="295"/>
        <w:rPr>
          <w:rFonts w:ascii="宋体" w:hAnsi="宋体"/>
          <w:bCs/>
          <w:sz w:val="24"/>
        </w:rPr>
      </w:pPr>
      <w:r>
        <w:rPr>
          <w:rFonts w:hint="eastAsia" w:ascii="宋体" w:hAnsi="宋体"/>
          <w:bCs/>
          <w:sz w:val="24"/>
        </w:rPr>
        <w:t>采购人或采购代理机</w:t>
      </w:r>
      <w:r>
        <w:rPr>
          <w:rFonts w:hint="eastAsia" w:ascii="宋体" w:hAnsi="宋体"/>
          <w:bCs/>
          <w:sz w:val="24"/>
          <w:szCs w:val="22"/>
        </w:rPr>
        <w:t>构在开标前通</w:t>
      </w:r>
      <w:r>
        <w:rPr>
          <w:rFonts w:hint="eastAsia" w:ascii="宋体" w:hAnsi="宋体"/>
          <w:bCs/>
          <w:sz w:val="24"/>
        </w:rPr>
        <w:t>过“信用中国”网站(www.creditchina.gov.cn)、中国政府采购网(www.ccgp.gov.cn)、</w:t>
      </w:r>
      <w:r>
        <w:rPr>
          <w:rFonts w:hint="eastAsia" w:ascii="宋体" w:hAnsi="宋体" w:cs="宋体"/>
          <w:kern w:val="0"/>
          <w:sz w:val="24"/>
        </w:rPr>
        <w:t>“信用中国（江苏）”（网址：http://www.jscredit.gov.cn/）</w:t>
      </w:r>
      <w:r>
        <w:rPr>
          <w:rFonts w:hint="eastAsia" w:ascii="宋体" w:hAnsi="宋体"/>
          <w:bCs/>
          <w:sz w:val="24"/>
        </w:rPr>
        <w:t>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adjustRightInd w:val="0"/>
        <w:snapToGrid w:val="0"/>
        <w:spacing w:line="360" w:lineRule="auto"/>
        <w:ind w:left="10" w:firstLine="708" w:firstLineChars="295"/>
        <w:rPr>
          <w:rFonts w:ascii="宋体" w:hAnsi="宋体"/>
          <w:bCs/>
          <w:sz w:val="24"/>
        </w:rPr>
      </w:pPr>
      <w:r>
        <w:rPr>
          <w:rFonts w:hint="eastAsia" w:ascii="宋体" w:hAnsi="宋体"/>
          <w:bCs/>
          <w:sz w:val="24"/>
        </w:rPr>
        <w:t>采购人或采购代理机构通过相关渠道查询的供应商主体信用记录，与项目其他采购资料一并保存。</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3.3  唱标</w:t>
      </w:r>
    </w:p>
    <w:p>
      <w:pPr>
        <w:tabs>
          <w:tab w:val="left" w:pos="840"/>
          <w:tab w:val="left" w:pos="1050"/>
        </w:tabs>
        <w:adjustRightInd w:val="0"/>
        <w:snapToGrid w:val="0"/>
        <w:spacing w:line="360" w:lineRule="auto"/>
        <w:ind w:firstLine="600" w:firstLineChars="250"/>
        <w:rPr>
          <w:rFonts w:ascii="宋体" w:hAnsi="宋体"/>
          <w:bCs/>
          <w:sz w:val="24"/>
        </w:rPr>
      </w:pPr>
      <w:r>
        <w:rPr>
          <w:rFonts w:hint="eastAsia" w:ascii="宋体" w:hAnsi="宋体"/>
          <w:bCs/>
          <w:sz w:val="24"/>
        </w:rPr>
        <w:t>3.3.1经初步资格性审查确认无误后的明标投标文件，由工作人员在公证员公证或监督下，按照投标供应商签到时间顺序，当众拆封交唱标人唱标。</w:t>
      </w:r>
    </w:p>
    <w:p>
      <w:pPr>
        <w:tabs>
          <w:tab w:val="left" w:pos="840"/>
          <w:tab w:val="left" w:pos="1050"/>
        </w:tabs>
        <w:adjustRightInd w:val="0"/>
        <w:snapToGrid w:val="0"/>
        <w:spacing w:line="360" w:lineRule="auto"/>
        <w:ind w:left="630"/>
        <w:rPr>
          <w:rFonts w:ascii="宋体" w:hAnsi="宋体"/>
          <w:bCs/>
          <w:sz w:val="24"/>
        </w:rPr>
      </w:pPr>
      <w:r>
        <w:rPr>
          <w:rFonts w:hint="eastAsia" w:ascii="宋体" w:hAnsi="宋体"/>
          <w:bCs/>
          <w:sz w:val="24"/>
        </w:rPr>
        <w:t>3.3.2唱标内容仅涉及</w:t>
      </w:r>
      <w:r>
        <w:rPr>
          <w:rFonts w:hint="eastAsia" w:ascii="宋体" w:hAnsi="宋体"/>
          <w:sz w:val="24"/>
        </w:rPr>
        <w:t>开标一览表</w:t>
      </w:r>
      <w:r>
        <w:rPr>
          <w:rFonts w:hint="eastAsia" w:ascii="宋体" w:hAnsi="宋体"/>
          <w:bCs/>
          <w:sz w:val="24"/>
        </w:rPr>
        <w:t>。</w:t>
      </w:r>
    </w:p>
    <w:p>
      <w:pPr>
        <w:tabs>
          <w:tab w:val="left" w:pos="840"/>
          <w:tab w:val="left" w:pos="1050"/>
        </w:tabs>
        <w:adjustRightInd w:val="0"/>
        <w:snapToGrid w:val="0"/>
        <w:spacing w:line="360" w:lineRule="auto"/>
        <w:ind w:left="10" w:firstLine="619" w:firstLineChars="258"/>
        <w:rPr>
          <w:rFonts w:ascii="宋体" w:hAnsi="宋体"/>
          <w:bCs/>
          <w:sz w:val="24"/>
        </w:rPr>
      </w:pPr>
      <w:r>
        <w:rPr>
          <w:rFonts w:hint="eastAsia" w:ascii="宋体" w:hAnsi="宋体"/>
          <w:bCs/>
          <w:sz w:val="24"/>
        </w:rPr>
        <w:t>3.3.3各投标供应商对唱标内容有异议的，请在唱标结束后当场提出；对唱标内容无异议的，由各投标供应商授权代表在开标记录上签字确认。</w:t>
      </w:r>
    </w:p>
    <w:p>
      <w:pPr>
        <w:tabs>
          <w:tab w:val="left" w:pos="840"/>
          <w:tab w:val="left" w:pos="1050"/>
        </w:tabs>
        <w:adjustRightInd w:val="0"/>
        <w:snapToGrid w:val="0"/>
        <w:spacing w:line="360" w:lineRule="auto"/>
        <w:ind w:firstLine="600" w:firstLineChars="250"/>
        <w:rPr>
          <w:rFonts w:ascii="宋体" w:hAnsi="宋体"/>
          <w:bCs/>
          <w:sz w:val="24"/>
        </w:rPr>
      </w:pPr>
      <w:r>
        <w:rPr>
          <w:rFonts w:hint="eastAsia" w:ascii="宋体" w:hAnsi="宋体"/>
          <w:bCs/>
          <w:sz w:val="24"/>
        </w:rPr>
        <w:t>4.评标工作程序：</w:t>
      </w:r>
    </w:p>
    <w:p>
      <w:pPr>
        <w:tabs>
          <w:tab w:val="left" w:pos="840"/>
          <w:tab w:val="left" w:pos="1050"/>
        </w:tabs>
        <w:adjustRightInd w:val="0"/>
        <w:snapToGrid w:val="0"/>
        <w:spacing w:line="360" w:lineRule="auto"/>
        <w:ind w:firstLine="600" w:firstLineChars="250"/>
        <w:rPr>
          <w:rFonts w:ascii="宋体" w:hAnsi="宋体"/>
          <w:bCs/>
          <w:sz w:val="24"/>
        </w:rPr>
      </w:pPr>
      <w:r>
        <w:rPr>
          <w:rFonts w:hint="eastAsia" w:ascii="宋体" w:hAnsi="宋体"/>
          <w:bCs/>
          <w:sz w:val="24"/>
        </w:rPr>
        <w:t>4.1投标文件资格性检查。</w:t>
      </w:r>
    </w:p>
    <w:p>
      <w:pPr>
        <w:tabs>
          <w:tab w:val="left" w:pos="840"/>
          <w:tab w:val="left" w:pos="1050"/>
        </w:tabs>
        <w:adjustRightInd w:val="0"/>
        <w:snapToGrid w:val="0"/>
        <w:spacing w:line="360" w:lineRule="auto"/>
        <w:ind w:firstLine="600" w:firstLineChars="250"/>
        <w:rPr>
          <w:rFonts w:ascii="宋体" w:hAnsi="宋体"/>
          <w:bCs/>
          <w:sz w:val="24"/>
        </w:rPr>
      </w:pPr>
      <w:r>
        <w:rPr>
          <w:rFonts w:hint="eastAsia" w:ascii="宋体" w:hAnsi="宋体"/>
          <w:bCs/>
          <w:sz w:val="24"/>
        </w:rPr>
        <w:t>4.1.1投标文件资格性检查由采购人或采购代理机构负责。</w:t>
      </w:r>
    </w:p>
    <w:p>
      <w:pPr>
        <w:tabs>
          <w:tab w:val="left" w:pos="525"/>
        </w:tabs>
        <w:adjustRightInd w:val="0"/>
        <w:snapToGrid w:val="0"/>
        <w:spacing w:line="360" w:lineRule="auto"/>
        <w:ind w:firstLine="600" w:firstLineChars="250"/>
        <w:rPr>
          <w:rFonts w:ascii="宋体" w:hAnsi="宋体"/>
          <w:bCs/>
          <w:sz w:val="24"/>
        </w:rPr>
      </w:pPr>
      <w:r>
        <w:rPr>
          <w:rFonts w:hint="eastAsia" w:ascii="宋体" w:hAnsi="宋体"/>
          <w:bCs/>
          <w:sz w:val="24"/>
        </w:rPr>
        <w:t>4.1.2</w:t>
      </w:r>
      <w:r>
        <w:rPr>
          <w:rFonts w:ascii="宋体" w:hAnsi="宋体"/>
          <w:bCs/>
          <w:sz w:val="24"/>
        </w:rPr>
        <w:t>依据法律法规和</w:t>
      </w:r>
      <w:r>
        <w:rPr>
          <w:rFonts w:hint="eastAsia" w:ascii="宋体" w:hAnsi="宋体"/>
          <w:bCs/>
          <w:sz w:val="24"/>
        </w:rPr>
        <w:t>采购文件</w:t>
      </w:r>
      <w:r>
        <w:rPr>
          <w:rFonts w:ascii="宋体" w:hAnsi="宋体"/>
          <w:bCs/>
          <w:sz w:val="24"/>
        </w:rPr>
        <w:t>的规定，对</w:t>
      </w:r>
      <w:r>
        <w:rPr>
          <w:rFonts w:hint="eastAsia" w:ascii="宋体" w:hAnsi="宋体"/>
          <w:bCs/>
          <w:sz w:val="24"/>
        </w:rPr>
        <w:t>投标文件</w:t>
      </w:r>
      <w:r>
        <w:rPr>
          <w:rFonts w:ascii="宋体" w:hAnsi="宋体"/>
          <w:bCs/>
          <w:sz w:val="24"/>
        </w:rPr>
        <w:t>中的资格</w:t>
      </w:r>
      <w:r>
        <w:rPr>
          <w:rFonts w:hint="eastAsia" w:ascii="宋体" w:hAnsi="宋体"/>
          <w:bCs/>
          <w:sz w:val="24"/>
        </w:rPr>
        <w:t>、资信</w:t>
      </w:r>
      <w:r>
        <w:rPr>
          <w:rFonts w:ascii="宋体" w:hAnsi="宋体"/>
          <w:bCs/>
          <w:sz w:val="24"/>
        </w:rPr>
        <w:t>证明等进行审查，以确定投标供应商</w:t>
      </w:r>
      <w:r>
        <w:rPr>
          <w:rFonts w:hint="eastAsia" w:ascii="宋体" w:hAnsi="宋体"/>
          <w:bCs/>
          <w:sz w:val="24"/>
        </w:rPr>
        <w:t>提供资格、资信证明的合法性、真实性，</w:t>
      </w:r>
      <w:r>
        <w:rPr>
          <w:rFonts w:ascii="宋体" w:hAnsi="宋体"/>
          <w:bCs/>
          <w:sz w:val="24"/>
        </w:rPr>
        <w:t>是否具备投标资格</w:t>
      </w:r>
      <w:r>
        <w:rPr>
          <w:rFonts w:hint="eastAsia" w:ascii="宋体" w:hAnsi="宋体"/>
          <w:bCs/>
          <w:sz w:val="24"/>
        </w:rPr>
        <w:t>。</w:t>
      </w:r>
    </w:p>
    <w:p>
      <w:pPr>
        <w:tabs>
          <w:tab w:val="left" w:pos="525"/>
        </w:tabs>
        <w:adjustRightInd w:val="0"/>
        <w:snapToGrid w:val="0"/>
        <w:spacing w:line="360" w:lineRule="auto"/>
        <w:ind w:firstLine="600" w:firstLineChars="250"/>
        <w:rPr>
          <w:rFonts w:ascii="宋体" w:hAnsi="宋体"/>
          <w:bCs/>
          <w:sz w:val="24"/>
        </w:rPr>
      </w:pPr>
      <w:r>
        <w:rPr>
          <w:rFonts w:hint="eastAsia" w:ascii="宋体" w:hAnsi="宋体"/>
          <w:bCs/>
          <w:sz w:val="24"/>
        </w:rPr>
        <w:t>4.2符合性审查</w:t>
      </w:r>
    </w:p>
    <w:p>
      <w:pPr>
        <w:tabs>
          <w:tab w:val="left" w:pos="525"/>
        </w:tabs>
        <w:adjustRightInd w:val="0"/>
        <w:snapToGrid w:val="0"/>
        <w:spacing w:line="360" w:lineRule="auto"/>
        <w:ind w:firstLine="600" w:firstLineChars="250"/>
        <w:rPr>
          <w:rFonts w:ascii="宋体" w:hAnsi="宋体"/>
          <w:bCs/>
          <w:sz w:val="24"/>
        </w:rPr>
      </w:pPr>
      <w:r>
        <w:rPr>
          <w:rFonts w:hint="eastAsia" w:ascii="宋体" w:hAnsi="宋体"/>
          <w:bCs/>
          <w:sz w:val="24"/>
        </w:rPr>
        <w:t>4.2.1</w:t>
      </w:r>
      <w:r>
        <w:rPr>
          <w:rFonts w:ascii="宋体" w:hAnsi="宋体"/>
          <w:bCs/>
          <w:sz w:val="24"/>
        </w:rPr>
        <w:t>依据</w:t>
      </w:r>
      <w:r>
        <w:rPr>
          <w:rFonts w:hint="eastAsia" w:ascii="宋体" w:hAnsi="宋体"/>
          <w:bCs/>
          <w:sz w:val="24"/>
        </w:rPr>
        <w:t>采购文件</w:t>
      </w:r>
      <w:r>
        <w:rPr>
          <w:rFonts w:ascii="宋体" w:hAnsi="宋体"/>
          <w:bCs/>
          <w:sz w:val="24"/>
        </w:rPr>
        <w:t>的规定，从</w:t>
      </w:r>
      <w:r>
        <w:rPr>
          <w:rFonts w:hint="eastAsia" w:ascii="宋体" w:hAnsi="宋体"/>
          <w:bCs/>
          <w:sz w:val="24"/>
        </w:rPr>
        <w:t>投标文件</w:t>
      </w:r>
      <w:r>
        <w:rPr>
          <w:rFonts w:ascii="宋体" w:hAnsi="宋体"/>
          <w:bCs/>
          <w:sz w:val="24"/>
        </w:rPr>
        <w:t>的有效性、完整性和对</w:t>
      </w:r>
      <w:r>
        <w:rPr>
          <w:rFonts w:hint="eastAsia" w:ascii="宋体" w:hAnsi="宋体"/>
          <w:bCs/>
          <w:sz w:val="24"/>
        </w:rPr>
        <w:t>采购文件</w:t>
      </w:r>
      <w:r>
        <w:rPr>
          <w:rFonts w:ascii="宋体" w:hAnsi="宋体"/>
          <w:bCs/>
          <w:sz w:val="24"/>
        </w:rPr>
        <w:t>的响应程度进行审查，以确定是否对</w:t>
      </w:r>
      <w:r>
        <w:rPr>
          <w:rFonts w:hint="eastAsia" w:ascii="宋体" w:hAnsi="宋体"/>
          <w:bCs/>
          <w:sz w:val="24"/>
        </w:rPr>
        <w:t>采购文件</w:t>
      </w:r>
      <w:r>
        <w:rPr>
          <w:rFonts w:ascii="宋体" w:hAnsi="宋体"/>
          <w:bCs/>
          <w:sz w:val="24"/>
        </w:rPr>
        <w:t>的实质性要求作出响应</w:t>
      </w:r>
      <w:r>
        <w:rPr>
          <w:rFonts w:hint="eastAsia" w:ascii="宋体" w:hAnsi="宋体"/>
          <w:bCs/>
          <w:sz w:val="24"/>
        </w:rPr>
        <w:t>。</w:t>
      </w:r>
    </w:p>
    <w:p>
      <w:pPr>
        <w:tabs>
          <w:tab w:val="left" w:pos="525"/>
        </w:tabs>
        <w:adjustRightInd w:val="0"/>
        <w:snapToGrid w:val="0"/>
        <w:spacing w:line="360" w:lineRule="auto"/>
        <w:ind w:firstLine="597" w:firstLineChars="249"/>
        <w:rPr>
          <w:rFonts w:ascii="宋体" w:hAnsi="宋体"/>
          <w:sz w:val="24"/>
        </w:rPr>
      </w:pPr>
      <w:r>
        <w:rPr>
          <w:rFonts w:hint="eastAsia" w:ascii="宋体" w:hAnsi="宋体"/>
          <w:sz w:val="24"/>
        </w:rPr>
        <w:t>4.3对于投标文件含义不明确、同类问题表述不一致或者有明显文字和计算错误的内容，评标委员会应当以书面形式要求投标供应商作出必要的澄清、说明或者补正。</w:t>
      </w:r>
    </w:p>
    <w:p>
      <w:pPr>
        <w:tabs>
          <w:tab w:val="left" w:pos="525"/>
        </w:tabs>
        <w:adjustRightInd w:val="0"/>
        <w:snapToGrid w:val="0"/>
        <w:spacing w:line="360" w:lineRule="auto"/>
        <w:ind w:firstLine="597" w:firstLineChars="249"/>
        <w:rPr>
          <w:rFonts w:ascii="宋体" w:hAnsi="宋体"/>
          <w:sz w:val="24"/>
        </w:rPr>
      </w:pPr>
      <w:r>
        <w:rPr>
          <w:rFonts w:hint="eastAsia" w:ascii="宋体" w:hAnsi="宋体"/>
          <w:sz w:val="24"/>
        </w:rPr>
        <w:t>对于评标委员会认定明显低于其他通过符合性审查投标供应商的报价，有可能影响产品质量或者不能诚信履约的，评标委员会应当以书面形式要求投标供应商作出必要的澄清、说明或者补正。</w:t>
      </w:r>
    </w:p>
    <w:p>
      <w:pPr>
        <w:tabs>
          <w:tab w:val="left" w:pos="525"/>
        </w:tabs>
        <w:adjustRightInd w:val="0"/>
        <w:snapToGrid w:val="0"/>
        <w:spacing w:line="360" w:lineRule="auto"/>
        <w:ind w:firstLine="597" w:firstLineChars="249"/>
        <w:rPr>
          <w:rFonts w:ascii="宋体" w:hAnsi="宋体"/>
          <w:sz w:val="24"/>
        </w:rPr>
      </w:pPr>
      <w:r>
        <w:rPr>
          <w:rFonts w:hint="eastAsia" w:ascii="宋体" w:hAnsi="宋体"/>
          <w:sz w:val="24"/>
        </w:rPr>
        <w:t>投标供应商的澄清、说明或者补正应当采用书面形式，并加盖公章，或者由法定代表人或其授权的代表签字。投标供应商的澄清、说明或者补正不得超出投标文件的范围或者改变投标文件的实质内容。</w:t>
      </w:r>
    </w:p>
    <w:p>
      <w:pPr>
        <w:tabs>
          <w:tab w:val="left" w:pos="1365"/>
        </w:tabs>
        <w:adjustRightInd w:val="0"/>
        <w:snapToGrid w:val="0"/>
        <w:spacing w:line="360" w:lineRule="auto"/>
        <w:ind w:firstLine="600" w:firstLineChars="250"/>
        <w:rPr>
          <w:rFonts w:ascii="宋体" w:hAnsi="宋体"/>
          <w:bCs/>
          <w:sz w:val="24"/>
        </w:rPr>
      </w:pPr>
      <w:r>
        <w:rPr>
          <w:rFonts w:hint="eastAsia" w:ascii="宋体" w:hAnsi="宋体"/>
          <w:bCs/>
          <w:sz w:val="24"/>
        </w:rPr>
        <w:t>4.4</w:t>
      </w:r>
      <w:r>
        <w:rPr>
          <w:rFonts w:ascii="宋体" w:hAnsi="宋体"/>
          <w:bCs/>
          <w:sz w:val="24"/>
        </w:rPr>
        <w:t>比较与评价</w:t>
      </w:r>
    </w:p>
    <w:p>
      <w:pPr>
        <w:tabs>
          <w:tab w:val="left" w:pos="1365"/>
        </w:tabs>
        <w:adjustRightInd w:val="0"/>
        <w:snapToGrid w:val="0"/>
        <w:spacing w:line="360" w:lineRule="auto"/>
        <w:ind w:firstLine="480" w:firstLineChars="200"/>
        <w:rPr>
          <w:rFonts w:ascii="宋体" w:hAnsi="宋体"/>
          <w:sz w:val="24"/>
        </w:rPr>
      </w:pPr>
      <w:r>
        <w:rPr>
          <w:rFonts w:hint="eastAsia" w:ascii="宋体" w:hAnsi="宋体"/>
          <w:bCs/>
          <w:sz w:val="24"/>
        </w:rPr>
        <w:t>4.4</w:t>
      </w:r>
      <w:r>
        <w:rPr>
          <w:rFonts w:ascii="宋体" w:hAnsi="宋体"/>
          <w:bCs/>
          <w:sz w:val="24"/>
        </w:rPr>
        <w:t xml:space="preserve">.1 </w:t>
      </w:r>
      <w:r>
        <w:rPr>
          <w:rFonts w:hint="eastAsia" w:ascii="宋体" w:hAnsi="宋体"/>
          <w:bCs/>
          <w:sz w:val="24"/>
        </w:rPr>
        <w:t>投标文件</w:t>
      </w:r>
      <w:r>
        <w:rPr>
          <w:rFonts w:ascii="宋体" w:hAnsi="宋体"/>
          <w:bCs/>
          <w:sz w:val="24"/>
        </w:rPr>
        <w:t>资格性检查</w:t>
      </w:r>
      <w:r>
        <w:rPr>
          <w:rFonts w:hint="eastAsia" w:ascii="宋体" w:hAnsi="宋体"/>
          <w:bCs/>
          <w:sz w:val="24"/>
        </w:rPr>
        <w:t>和符合性检</w:t>
      </w:r>
      <w:r>
        <w:rPr>
          <w:rFonts w:ascii="宋体" w:hAnsi="宋体"/>
          <w:bCs/>
          <w:sz w:val="24"/>
        </w:rPr>
        <w:t>查</w:t>
      </w:r>
      <w:r>
        <w:rPr>
          <w:rFonts w:hint="eastAsia" w:ascii="宋体" w:hAnsi="宋体"/>
          <w:bCs/>
          <w:sz w:val="24"/>
        </w:rPr>
        <w:t>结束后，</w:t>
      </w:r>
      <w:r>
        <w:rPr>
          <w:rFonts w:hint="eastAsia" w:ascii="宋体" w:hAnsi="宋体"/>
          <w:sz w:val="24"/>
        </w:rPr>
        <w:t>凡属于“（八）无效投标文件的确认”的投标文件不进入比较与评价程序。</w:t>
      </w:r>
    </w:p>
    <w:p>
      <w:pPr>
        <w:tabs>
          <w:tab w:val="left" w:pos="1365"/>
        </w:tabs>
        <w:adjustRightInd w:val="0"/>
        <w:snapToGrid w:val="0"/>
        <w:spacing w:line="360" w:lineRule="auto"/>
        <w:ind w:firstLine="480" w:firstLineChars="200"/>
        <w:rPr>
          <w:rFonts w:ascii="宋体" w:hAnsi="宋体"/>
          <w:bCs/>
          <w:sz w:val="24"/>
        </w:rPr>
      </w:pPr>
      <w:r>
        <w:rPr>
          <w:rFonts w:hint="eastAsia" w:ascii="宋体" w:hAnsi="宋体"/>
          <w:sz w:val="24"/>
        </w:rPr>
        <w:t>4</w:t>
      </w:r>
      <w:r>
        <w:rPr>
          <w:rFonts w:ascii="宋体" w:hAnsi="宋体"/>
          <w:sz w:val="24"/>
        </w:rPr>
        <w:t>.</w:t>
      </w:r>
      <w:r>
        <w:rPr>
          <w:rFonts w:hint="eastAsia" w:ascii="宋体" w:hAnsi="宋体"/>
          <w:sz w:val="24"/>
        </w:rPr>
        <w:t>4</w:t>
      </w:r>
      <w:r>
        <w:rPr>
          <w:rFonts w:ascii="宋体" w:hAnsi="宋体"/>
          <w:sz w:val="24"/>
        </w:rPr>
        <w:t xml:space="preserve">.2 </w:t>
      </w:r>
      <w:r>
        <w:rPr>
          <w:rFonts w:hint="eastAsia" w:ascii="宋体" w:hAnsi="宋体"/>
          <w:sz w:val="24"/>
        </w:rPr>
        <w:t>经评审有效的投标文件</w:t>
      </w:r>
      <w:r>
        <w:rPr>
          <w:rFonts w:ascii="宋体" w:hAnsi="宋体"/>
          <w:bCs/>
          <w:sz w:val="24"/>
        </w:rPr>
        <w:t>按</w:t>
      </w:r>
      <w:r>
        <w:rPr>
          <w:rFonts w:hint="eastAsia" w:ascii="宋体" w:hAnsi="宋体"/>
          <w:bCs/>
          <w:sz w:val="24"/>
        </w:rPr>
        <w:t>采购文件</w:t>
      </w:r>
      <w:r>
        <w:rPr>
          <w:rFonts w:ascii="宋体" w:hAnsi="宋体"/>
          <w:bCs/>
          <w:sz w:val="24"/>
        </w:rPr>
        <w:t>中规定的评标方法和标准，</w:t>
      </w:r>
      <w:r>
        <w:rPr>
          <w:rFonts w:hint="eastAsia" w:ascii="宋体" w:hAnsi="宋体"/>
          <w:sz w:val="24"/>
        </w:rPr>
        <w:t>由评标委员会</w:t>
      </w:r>
      <w:r>
        <w:rPr>
          <w:rFonts w:hint="eastAsia" w:ascii="宋体" w:hAnsi="宋体"/>
          <w:bCs/>
          <w:sz w:val="24"/>
        </w:rPr>
        <w:t>进行</w:t>
      </w:r>
      <w:r>
        <w:rPr>
          <w:rFonts w:ascii="宋体" w:hAnsi="宋体"/>
          <w:bCs/>
          <w:sz w:val="24"/>
        </w:rPr>
        <w:t>比较与评价</w:t>
      </w:r>
      <w:r>
        <w:rPr>
          <w:rFonts w:hint="eastAsia" w:ascii="宋体" w:hAnsi="宋体"/>
          <w:bCs/>
          <w:sz w:val="24"/>
        </w:rPr>
        <w:t>。</w:t>
      </w:r>
    </w:p>
    <w:p>
      <w:pPr>
        <w:tabs>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4.4.3技术标和商务标评审全部结束后，由工作人员在公证或监督下，在评标室当场核对汇总各投标供应商商务标和技术标得分，确定各投标供应商总分和最终排序。</w:t>
      </w:r>
    </w:p>
    <w:p>
      <w:pPr>
        <w:tabs>
          <w:tab w:val="left" w:pos="525"/>
          <w:tab w:val="left" w:pos="945"/>
        </w:tabs>
        <w:adjustRightInd w:val="0"/>
        <w:snapToGrid w:val="0"/>
        <w:spacing w:line="360" w:lineRule="auto"/>
        <w:ind w:left="457" w:leftChars="218"/>
        <w:rPr>
          <w:rFonts w:ascii="宋体" w:hAnsi="宋体"/>
          <w:bCs/>
          <w:sz w:val="24"/>
          <w:szCs w:val="24"/>
        </w:rPr>
      </w:pPr>
      <w:r>
        <w:rPr>
          <w:rFonts w:hint="eastAsia" w:ascii="宋体" w:hAnsi="宋体"/>
          <w:bCs/>
          <w:sz w:val="24"/>
          <w:szCs w:val="24"/>
        </w:rPr>
        <w:t>5.评标方法</w:t>
      </w:r>
    </w:p>
    <w:p>
      <w:pPr>
        <w:tabs>
          <w:tab w:val="left" w:pos="945"/>
        </w:tabs>
        <w:adjustRightInd w:val="0"/>
        <w:snapToGrid w:val="0"/>
        <w:spacing w:line="360" w:lineRule="auto"/>
        <w:ind w:firstLine="523" w:firstLineChars="218"/>
        <w:rPr>
          <w:rFonts w:ascii="宋体" w:hAnsi="宋体"/>
          <w:bCs/>
          <w:sz w:val="24"/>
          <w:szCs w:val="24"/>
        </w:rPr>
      </w:pPr>
      <w:r>
        <w:rPr>
          <w:rFonts w:hint="eastAsia" w:ascii="宋体" w:hAnsi="宋体"/>
          <w:bCs/>
          <w:sz w:val="24"/>
          <w:szCs w:val="24"/>
        </w:rPr>
        <w:t>投标供应商通过初审的，方可进入</w:t>
      </w:r>
      <w:r>
        <w:rPr>
          <w:rFonts w:ascii="宋体" w:hAnsi="宋体"/>
          <w:bCs/>
          <w:sz w:val="24"/>
        </w:rPr>
        <w:t>比较与评价</w:t>
      </w:r>
      <w:r>
        <w:rPr>
          <w:rFonts w:hint="eastAsia" w:ascii="宋体" w:hAnsi="宋体"/>
          <w:bCs/>
          <w:sz w:val="24"/>
        </w:rPr>
        <w:t>程序</w:t>
      </w:r>
      <w:r>
        <w:rPr>
          <w:rFonts w:hint="eastAsia" w:ascii="宋体" w:hAnsi="宋体"/>
          <w:bCs/>
          <w:sz w:val="24"/>
          <w:szCs w:val="24"/>
        </w:rPr>
        <w:t>。</w:t>
      </w:r>
    </w:p>
    <w:p>
      <w:pPr>
        <w:tabs>
          <w:tab w:val="left" w:pos="945"/>
        </w:tabs>
        <w:adjustRightInd w:val="0"/>
        <w:snapToGrid w:val="0"/>
        <w:spacing w:line="360" w:lineRule="auto"/>
        <w:ind w:firstLine="523" w:firstLineChars="218"/>
        <w:rPr>
          <w:rFonts w:ascii="宋体" w:hAnsi="宋体"/>
          <w:bCs/>
          <w:sz w:val="24"/>
          <w:szCs w:val="24"/>
        </w:rPr>
      </w:pPr>
      <w:r>
        <w:rPr>
          <w:rFonts w:ascii="宋体" w:hAnsi="宋体"/>
          <w:bCs/>
          <w:sz w:val="24"/>
        </w:rPr>
        <w:t>比较与评价</w:t>
      </w:r>
      <w:r>
        <w:rPr>
          <w:rFonts w:hint="eastAsia" w:ascii="宋体" w:hAnsi="宋体"/>
          <w:bCs/>
          <w:sz w:val="24"/>
          <w:szCs w:val="24"/>
        </w:rPr>
        <w:t>采用综合评分法（计分均保留2位小数）。</w:t>
      </w:r>
    </w:p>
    <w:p>
      <w:pPr>
        <w:tabs>
          <w:tab w:val="left" w:pos="945"/>
        </w:tabs>
        <w:adjustRightInd w:val="0"/>
        <w:snapToGrid w:val="0"/>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评标委员会遵循公平、公正、择优原则，独立按照评分标准分别评定投标供应商的分值；各投标供应商的最终得分为各评委所评定分值的平均值，并按高低顺序排列，确定3家中标候选单位</w:t>
      </w:r>
      <w:r>
        <w:rPr>
          <w:rFonts w:ascii="宋体" w:hAnsi="宋体"/>
          <w:bCs/>
          <w:sz w:val="24"/>
          <w:szCs w:val="24"/>
        </w:rPr>
        <w:t>。</w:t>
      </w:r>
      <w:r>
        <w:rPr>
          <w:rFonts w:hint="eastAsia" w:ascii="宋体" w:hAnsi="宋体"/>
          <w:bCs/>
          <w:sz w:val="24"/>
          <w:szCs w:val="24"/>
        </w:rPr>
        <w:t>若</w:t>
      </w:r>
      <w:r>
        <w:rPr>
          <w:rFonts w:ascii="宋体" w:hAnsi="宋体"/>
          <w:bCs/>
          <w:sz w:val="24"/>
          <w:szCs w:val="24"/>
        </w:rPr>
        <w:t>得分相同，按</w:t>
      </w:r>
      <w:r>
        <w:rPr>
          <w:rFonts w:hint="eastAsia" w:ascii="宋体" w:hAnsi="宋体"/>
          <w:bCs/>
          <w:sz w:val="24"/>
          <w:szCs w:val="24"/>
        </w:rPr>
        <w:t>投标</w:t>
      </w:r>
      <w:r>
        <w:rPr>
          <w:rFonts w:ascii="宋体" w:hAnsi="宋体"/>
          <w:bCs/>
          <w:sz w:val="24"/>
          <w:szCs w:val="24"/>
        </w:rPr>
        <w:t>报价由低到高顺序排列</w:t>
      </w:r>
      <w:r>
        <w:rPr>
          <w:rFonts w:hint="eastAsia" w:ascii="宋体" w:hAnsi="宋体"/>
          <w:bCs/>
          <w:sz w:val="24"/>
          <w:szCs w:val="24"/>
        </w:rPr>
        <w:t>，前述方法不能确定中标候选人排序的，采取随机抽取的方式确定。</w:t>
      </w:r>
    </w:p>
    <w:p>
      <w:pPr>
        <w:tabs>
          <w:tab w:val="left" w:pos="525"/>
          <w:tab w:val="left" w:pos="1155"/>
        </w:tabs>
        <w:adjustRightInd w:val="0"/>
        <w:snapToGrid w:val="0"/>
        <w:spacing w:line="360" w:lineRule="auto"/>
        <w:ind w:firstLine="628" w:firstLineChars="262"/>
        <w:rPr>
          <w:rFonts w:ascii="宋体" w:hAnsi="宋体"/>
          <w:bCs/>
          <w:sz w:val="24"/>
          <w:szCs w:val="24"/>
        </w:rPr>
      </w:pPr>
      <w:r>
        <w:rPr>
          <w:rFonts w:hint="eastAsia" w:ascii="宋体" w:hAnsi="宋体"/>
          <w:bCs/>
          <w:sz w:val="24"/>
          <w:szCs w:val="24"/>
        </w:rPr>
        <w:t>6. 评标标准：</w:t>
      </w:r>
    </w:p>
    <w:p>
      <w:pPr>
        <w:tabs>
          <w:tab w:val="left" w:pos="525"/>
        </w:tabs>
        <w:adjustRightInd w:val="0"/>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一标段</w:t>
      </w:r>
    </w:p>
    <w:p>
      <w:pPr>
        <w:tabs>
          <w:tab w:val="left" w:pos="525"/>
        </w:tabs>
        <w:adjustRightInd w:val="0"/>
        <w:snapToGrid w:val="0"/>
        <w:spacing w:line="360" w:lineRule="auto"/>
        <w:ind w:firstLine="480" w:firstLineChars="200"/>
        <w:rPr>
          <w:rFonts w:ascii="宋体" w:hAnsi="宋体"/>
          <w:b/>
          <w:bCs/>
          <w:sz w:val="24"/>
          <w:szCs w:val="24"/>
        </w:rPr>
      </w:pPr>
      <w:r>
        <w:rPr>
          <w:rFonts w:hint="eastAsia" w:ascii="宋体" w:hAnsi="宋体"/>
          <w:b/>
          <w:color w:val="000000"/>
          <w:sz w:val="24"/>
          <w:szCs w:val="24"/>
        </w:rPr>
        <w:t>明标：</w:t>
      </w:r>
    </w:p>
    <w:p>
      <w:pPr>
        <w:spacing w:line="360" w:lineRule="auto"/>
        <w:ind w:firstLine="480" w:firstLineChars="200"/>
        <w:rPr>
          <w:rFonts w:ascii="宋体" w:hAnsi="宋体"/>
          <w:b/>
          <w:color w:val="000000"/>
          <w:sz w:val="24"/>
          <w:szCs w:val="24"/>
        </w:rPr>
      </w:pPr>
      <w:r>
        <w:rPr>
          <w:rFonts w:hint="eastAsia" w:ascii="宋体" w:hAnsi="宋体"/>
          <w:b/>
          <w:color w:val="000000"/>
          <w:sz w:val="24"/>
          <w:szCs w:val="24"/>
        </w:rPr>
        <w:t>(1)投标报价                                   20分</w:t>
      </w:r>
    </w:p>
    <w:p>
      <w:pPr>
        <w:spacing w:line="360" w:lineRule="auto"/>
        <w:ind w:firstLine="480" w:firstLineChars="200"/>
        <w:jc w:val="left"/>
        <w:rPr>
          <w:rFonts w:ascii="宋体" w:hAnsi="宋体"/>
          <w:b/>
          <w:color w:val="000000"/>
          <w:sz w:val="24"/>
          <w:szCs w:val="24"/>
        </w:rPr>
      </w:pPr>
      <w:r>
        <w:rPr>
          <w:rFonts w:hint="eastAsia" w:ascii="宋体"/>
          <w:b/>
          <w:bCs/>
          <w:color w:val="000000"/>
          <w:sz w:val="24"/>
          <w:szCs w:val="24"/>
        </w:rPr>
        <w:t xml:space="preserve">(2)投标供应商评价                             </w:t>
      </w:r>
      <w:r>
        <w:rPr>
          <w:rFonts w:hint="eastAsia" w:ascii="宋体" w:hAnsi="宋体"/>
          <w:b/>
          <w:color w:val="000000"/>
          <w:sz w:val="24"/>
          <w:szCs w:val="24"/>
        </w:rPr>
        <w:t>26分</w:t>
      </w:r>
    </w:p>
    <w:p>
      <w:pPr>
        <w:tabs>
          <w:tab w:val="left" w:pos="505"/>
        </w:tabs>
        <w:spacing w:line="360" w:lineRule="auto"/>
        <w:ind w:firstLine="480" w:firstLineChars="200"/>
        <w:rPr>
          <w:rFonts w:ascii="宋体" w:hAnsi="宋体"/>
          <w:b/>
          <w:color w:val="000000"/>
          <w:sz w:val="24"/>
          <w:szCs w:val="24"/>
        </w:rPr>
      </w:pPr>
      <w:r>
        <w:rPr>
          <w:rFonts w:hint="eastAsia" w:ascii="宋体" w:hAnsi="宋体"/>
          <w:b/>
          <w:color w:val="000000"/>
          <w:sz w:val="24"/>
          <w:szCs w:val="24"/>
        </w:rPr>
        <w:t>暗标：</w:t>
      </w:r>
    </w:p>
    <w:p>
      <w:pPr>
        <w:tabs>
          <w:tab w:val="left" w:pos="505"/>
        </w:tabs>
        <w:spacing w:line="360" w:lineRule="auto"/>
        <w:ind w:firstLine="480" w:firstLineChars="200"/>
        <w:rPr>
          <w:rFonts w:ascii="宋体" w:hAnsi="宋体"/>
          <w:b/>
          <w:color w:val="000000"/>
          <w:sz w:val="24"/>
          <w:szCs w:val="24"/>
        </w:rPr>
      </w:pPr>
      <w:r>
        <w:rPr>
          <w:rFonts w:hint="eastAsia" w:ascii="宋体" w:hAnsi="宋体"/>
          <w:b/>
          <w:color w:val="000000"/>
          <w:sz w:val="24"/>
          <w:szCs w:val="24"/>
        </w:rPr>
        <w:t>(3)技术方案                                   54分</w:t>
      </w:r>
    </w:p>
    <w:p>
      <w:pPr>
        <w:tabs>
          <w:tab w:val="left" w:pos="525"/>
        </w:tabs>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（1）报价（20分）：</w:t>
      </w:r>
    </w:p>
    <w:p>
      <w:pPr>
        <w:tabs>
          <w:tab w:val="left" w:pos="945"/>
          <w:tab w:val="left" w:pos="1155"/>
        </w:tabs>
        <w:adjustRightInd w:val="0"/>
        <w:snapToGrid w:val="0"/>
        <w:spacing w:line="360" w:lineRule="auto"/>
        <w:ind w:firstLine="480" w:firstLineChars="200"/>
        <w:rPr>
          <w:rFonts w:ascii="宋体"/>
          <w:bCs/>
          <w:color w:val="000000"/>
          <w:sz w:val="24"/>
          <w:szCs w:val="24"/>
        </w:rPr>
      </w:pPr>
      <w:r>
        <w:rPr>
          <w:rFonts w:hint="eastAsia" w:ascii="宋体" w:hAnsi="宋体"/>
          <w:bCs/>
          <w:color w:val="000000"/>
          <w:sz w:val="24"/>
          <w:szCs w:val="24"/>
        </w:rPr>
        <w:t>采用低价优先法计算，即满足招标文件要求且投标价格最低的投标报价为评标基准价，其价格分为满分。其他投标人的价格分统一按照下列公式计算：</w:t>
      </w:r>
    </w:p>
    <w:p>
      <w:pPr>
        <w:tabs>
          <w:tab w:val="left" w:pos="525"/>
        </w:tabs>
        <w:adjustRightInd w:val="0"/>
        <w:snapToGrid w:val="0"/>
        <w:spacing w:line="360" w:lineRule="auto"/>
        <w:ind w:firstLine="480" w:firstLineChars="200"/>
        <w:rPr>
          <w:rFonts w:ascii="宋体" w:hAnsi="宋体" w:cs="宋体"/>
          <w:sz w:val="24"/>
          <w:szCs w:val="24"/>
        </w:rPr>
      </w:pPr>
      <w:r>
        <w:rPr>
          <w:rFonts w:hint="eastAsia" w:ascii="宋体" w:hAnsi="宋体"/>
          <w:bCs/>
          <w:color w:val="000000"/>
          <w:sz w:val="24"/>
          <w:szCs w:val="24"/>
        </w:rPr>
        <w:t>投标报价得分</w:t>
      </w:r>
      <w:r>
        <w:rPr>
          <w:rFonts w:ascii="宋体" w:hAnsi="宋体"/>
          <w:bCs/>
          <w:color w:val="000000"/>
          <w:sz w:val="24"/>
          <w:szCs w:val="24"/>
        </w:rPr>
        <w:t>=(</w:t>
      </w:r>
      <w:r>
        <w:rPr>
          <w:rFonts w:hint="eastAsia" w:ascii="宋体" w:hAnsi="宋体"/>
          <w:bCs/>
          <w:color w:val="000000"/>
          <w:sz w:val="24"/>
          <w:szCs w:val="24"/>
        </w:rPr>
        <w:t>评标基准价／投标报价</w:t>
      </w:r>
      <w:r>
        <w:rPr>
          <w:rFonts w:ascii="宋体" w:hAnsi="宋体"/>
          <w:bCs/>
          <w:color w:val="000000"/>
          <w:sz w:val="24"/>
          <w:szCs w:val="24"/>
        </w:rPr>
        <w:t>)</w:t>
      </w:r>
      <w:r>
        <w:rPr>
          <w:rFonts w:hint="eastAsia" w:ascii="宋体" w:hAnsi="宋体"/>
          <w:bCs/>
          <w:color w:val="000000"/>
          <w:sz w:val="24"/>
          <w:szCs w:val="24"/>
        </w:rPr>
        <w:t>×价格权值×</w:t>
      </w:r>
      <w:r>
        <w:rPr>
          <w:rFonts w:ascii="宋体" w:hAnsi="宋体"/>
          <w:bCs/>
          <w:color w:val="000000"/>
          <w:sz w:val="24"/>
          <w:szCs w:val="24"/>
        </w:rPr>
        <w:t>100</w:t>
      </w:r>
      <w:r>
        <w:rPr>
          <w:rFonts w:hint="eastAsia" w:ascii="宋体" w:hAnsi="宋体"/>
          <w:sz w:val="24"/>
        </w:rPr>
        <w:t>。</w:t>
      </w:r>
    </w:p>
    <w:p>
      <w:pPr>
        <w:adjustRightInd w:val="0"/>
        <w:snapToGrid w:val="0"/>
        <w:spacing w:line="360" w:lineRule="auto"/>
        <w:ind w:firstLine="638" w:firstLineChars="266"/>
        <w:rPr>
          <w:rFonts w:ascii="宋体" w:hAnsi="宋体"/>
          <w:sz w:val="24"/>
        </w:rPr>
      </w:pPr>
      <w:r>
        <w:rPr>
          <w:rFonts w:hint="eastAsia" w:ascii="宋体" w:hAnsi="宋体"/>
          <w:sz w:val="24"/>
        </w:rPr>
        <w:t>采购项目需要落实的政府采购政策及注意事项如下：</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a对小型和微型企业产品、残疾人福利性单位产品、监狱和戒毒企业产品的价格给予10%的扣除，用扣除后的价格计算评标基准价和投标报价。</w:t>
      </w:r>
    </w:p>
    <w:p>
      <w:pPr>
        <w:adjustRightInd w:val="0"/>
        <w:snapToGrid w:val="0"/>
        <w:spacing w:line="360" w:lineRule="auto"/>
        <w:ind w:left="329" w:leftChars="157" w:firstLine="480" w:firstLineChars="200"/>
        <w:rPr>
          <w:rFonts w:ascii="宋体" w:hAnsi="宋体"/>
          <w:sz w:val="24"/>
        </w:rPr>
      </w:pPr>
      <w:r>
        <w:rPr>
          <w:rFonts w:hint="eastAsia" w:ascii="宋体" w:hAnsi="宋体"/>
          <w:bCs/>
          <w:sz w:val="24"/>
          <w:szCs w:val="24"/>
        </w:rPr>
        <w:t>b</w:t>
      </w:r>
      <w:r>
        <w:rPr>
          <w:rFonts w:hint="eastAsia" w:ascii="宋体" w:hAnsi="宋体"/>
          <w:bCs/>
          <w:sz w:val="24"/>
          <w:szCs w:val="22"/>
        </w:rPr>
        <w:t>参加投标（报价）的中小企业，应当按照《政府采购促进中小企业发展管理办法》（财库〔2020〕46号）的规定提供《中小企业声明函》（格式见附件）（中小企业划型标准详见《关于印发中小企业划型标准规定的通知》工信部联企业〔2011〕300号）</w:t>
      </w:r>
      <w:r>
        <w:rPr>
          <w:rFonts w:ascii="宋体" w:hAnsi="宋体"/>
          <w:bCs/>
          <w:sz w:val="24"/>
          <w:szCs w:val="22"/>
        </w:rPr>
        <w:t>。</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c参加投标（报价）的残疾人福利性单位应当按照《关于促进残疾人就业政府采购政策的通知》（财库[2017]141号）的规定，提供《残疾人福利性单位声明函》（格式见附件），并对声明的真实性负责。残疾人福利性单位属于小微企业的，不重复享受政策支持。</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d参加投标（报价）的监狱和戒毒企业应当按照《财政部 司法部关于政府采购支持监狱企业发展有关问题的通知》（财库[2014]68号）的规定，提供由省级以上监狱管理局、戒毒管理局（含新疆生产建设兵团）出具的属于监狱企业的证明文件。</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e如未按前述要求填写和提供有效证明或相关内容表述不清的，不得享受价格扣除。</w:t>
      </w:r>
    </w:p>
    <w:p>
      <w:pPr>
        <w:tabs>
          <w:tab w:val="left" w:pos="525"/>
          <w:tab w:val="left" w:pos="945"/>
          <w:tab w:val="left" w:pos="1155"/>
          <w:tab w:val="left" w:pos="3823"/>
        </w:tabs>
        <w:adjustRightInd w:val="0"/>
        <w:snapToGrid w:val="0"/>
        <w:spacing w:line="360" w:lineRule="auto"/>
        <w:ind w:left="420" w:leftChars="200"/>
        <w:rPr>
          <w:rFonts w:ascii="宋体" w:hAnsi="宋体"/>
          <w:b/>
          <w:bCs/>
          <w:color w:val="000000"/>
          <w:sz w:val="24"/>
          <w:szCs w:val="24"/>
        </w:rPr>
      </w:pPr>
      <w:r>
        <w:rPr>
          <w:rFonts w:hint="eastAsia" w:ascii="宋体" w:hAnsi="宋体"/>
          <w:b/>
          <w:bCs/>
          <w:sz w:val="24"/>
          <w:szCs w:val="24"/>
        </w:rPr>
        <w:t>（2）</w:t>
      </w:r>
      <w:r>
        <w:rPr>
          <w:rFonts w:hint="eastAsia" w:ascii="宋体" w:hAnsi="宋体"/>
          <w:b/>
          <w:bCs/>
          <w:color w:val="000000"/>
          <w:sz w:val="24"/>
          <w:szCs w:val="24"/>
        </w:rPr>
        <w:t>投标供应商评价（26分）</w:t>
      </w:r>
    </w:p>
    <w:p>
      <w:pPr>
        <w:spacing w:line="360" w:lineRule="auto"/>
        <w:ind w:firstLine="480" w:firstLineChars="200"/>
        <w:rPr>
          <w:rFonts w:ascii="宋体" w:hAnsi="宋体" w:cs="宋体"/>
          <w:sz w:val="24"/>
          <w:szCs w:val="24"/>
        </w:rPr>
      </w:pPr>
      <w:r>
        <w:rPr>
          <w:rFonts w:hint="eastAsia" w:ascii="宋体" w:hAnsi="宋体"/>
          <w:color w:val="000000"/>
          <w:sz w:val="24"/>
          <w:szCs w:val="24"/>
        </w:rPr>
        <w:t>1）</w:t>
      </w:r>
      <w:r>
        <w:rPr>
          <w:rFonts w:hint="eastAsia" w:ascii="宋体" w:hAnsi="宋体" w:cs="宋体"/>
          <w:bCs/>
          <w:sz w:val="24"/>
          <w:szCs w:val="24"/>
        </w:rPr>
        <w:t>投</w:t>
      </w:r>
      <w:r>
        <w:rPr>
          <w:rFonts w:hint="eastAsia" w:ascii="宋体" w:hAnsi="宋体" w:cs="宋体"/>
          <w:sz w:val="24"/>
          <w:szCs w:val="24"/>
        </w:rPr>
        <w:t>标供应商具有动物检疫合格证明、肉品品质合格证明、猪肉检测报告、蔬菜水果农药残留检测报告、具有可追溯性证明材料的得5分。本项共5分。（投标文件中提供相关证书及证明材料复印件并加盖公章，未提供或提供不全不得分）</w:t>
      </w:r>
    </w:p>
    <w:p>
      <w:pPr>
        <w:spacing w:line="360" w:lineRule="auto"/>
        <w:ind w:firstLine="480" w:firstLineChars="200"/>
        <w:rPr>
          <w:rFonts w:ascii="宋体" w:hAnsi="宋体" w:cs="宋体"/>
          <w:sz w:val="24"/>
          <w:szCs w:val="24"/>
        </w:rPr>
      </w:pPr>
      <w:r>
        <w:rPr>
          <w:rFonts w:hint="eastAsia" w:ascii="宋体" w:hAnsi="宋体" w:cs="宋体"/>
          <w:sz w:val="24"/>
          <w:szCs w:val="24"/>
        </w:rPr>
        <w:t>2）投标供应商有配送冷链厢式货车的有五辆（含）以上的得0.5分，每增加三辆加0.5分，本项总分不超过2分。（配送车辆为投标供应商自有车辆的，车辆行驶证或登记证所有人名称须与投标供应商一致，投标时需提供车辆行驶证或登记证复印件加盖公章放入补充证明文件中；配送车辆若为投标供应商租赁的，需提供配送车辆的运输或租赁合同复印件加盖公章放入投标文件中，上述资料缺任意一项本项不得分）</w:t>
      </w:r>
    </w:p>
    <w:p>
      <w:pPr>
        <w:spacing w:line="360" w:lineRule="auto"/>
        <w:ind w:firstLine="480" w:firstLineChars="200"/>
        <w:rPr>
          <w:rFonts w:ascii="宋体" w:hAnsi="宋体" w:cs="宋体"/>
          <w:sz w:val="24"/>
          <w:szCs w:val="24"/>
        </w:rPr>
      </w:pPr>
      <w:r>
        <w:rPr>
          <w:rFonts w:hint="eastAsia" w:ascii="宋体" w:hAnsi="宋体" w:cs="宋体"/>
          <w:sz w:val="24"/>
          <w:szCs w:val="24"/>
        </w:rPr>
        <w:t>3）投标供应商2021年1月1日至今具有类似业绩项目的，每提供一个得1分，本项共计4分。（投标文件中提供合同和业绩证明（同一需求单位只按一个业绩计算）复印件并加盖公章，否则不得分）</w:t>
      </w:r>
    </w:p>
    <w:p>
      <w:pPr>
        <w:spacing w:line="360" w:lineRule="auto"/>
        <w:ind w:firstLine="480" w:firstLineChars="200"/>
        <w:rPr>
          <w:rFonts w:ascii="宋体" w:hAnsi="宋体" w:cs="宋体"/>
          <w:sz w:val="24"/>
          <w:szCs w:val="24"/>
        </w:rPr>
      </w:pPr>
      <w:r>
        <w:rPr>
          <w:rFonts w:hint="eastAsia" w:ascii="宋体" w:hAnsi="宋体" w:cs="宋体"/>
          <w:bCs/>
          <w:sz w:val="24"/>
          <w:szCs w:val="24"/>
        </w:rPr>
        <w:t>4）</w:t>
      </w:r>
      <w:r>
        <w:rPr>
          <w:rFonts w:hint="eastAsia" w:ascii="宋体" w:hAnsi="宋体" w:cs="宋体"/>
          <w:sz w:val="24"/>
          <w:szCs w:val="24"/>
        </w:rPr>
        <w:t>投标供应商获得过市级以上荣誉或称号的有一个得1分，最高得3分。（投标文件中提供证书复印件并加盖公章，否则不得分）</w:t>
      </w:r>
    </w:p>
    <w:p>
      <w:pPr>
        <w:spacing w:line="360" w:lineRule="auto"/>
        <w:ind w:firstLine="480" w:firstLineChars="200"/>
        <w:rPr>
          <w:rFonts w:ascii="宋体" w:hAnsi="宋体" w:cs="宋体"/>
          <w:sz w:val="24"/>
          <w:szCs w:val="24"/>
        </w:rPr>
      </w:pPr>
      <w:r>
        <w:rPr>
          <w:rFonts w:hint="eastAsia" w:ascii="宋体" w:hAnsi="宋体" w:cs="宋体"/>
          <w:bCs/>
          <w:sz w:val="24"/>
          <w:szCs w:val="24"/>
        </w:rPr>
        <w:t>5）</w:t>
      </w:r>
      <w:r>
        <w:rPr>
          <w:rFonts w:hint="eastAsia" w:ascii="宋体" w:hAnsi="宋体" w:cs="宋体"/>
          <w:sz w:val="24"/>
          <w:szCs w:val="24"/>
        </w:rPr>
        <w:t>人员配备（3分）</w:t>
      </w:r>
    </w:p>
    <w:p>
      <w:pPr>
        <w:spacing w:line="360" w:lineRule="auto"/>
        <w:ind w:firstLine="480" w:firstLineChars="200"/>
        <w:rPr>
          <w:rFonts w:ascii="宋体" w:hAnsi="宋体" w:cs="宋体"/>
          <w:sz w:val="24"/>
          <w:szCs w:val="24"/>
        </w:rPr>
      </w:pPr>
      <w:r>
        <w:rPr>
          <w:rFonts w:hint="eastAsia" w:ascii="宋体" w:hAnsi="宋体" w:cs="宋体"/>
          <w:sz w:val="24"/>
          <w:szCs w:val="24"/>
        </w:rPr>
        <w:t>① 项目负责人（1分）</w:t>
      </w:r>
    </w:p>
    <w:p>
      <w:pPr>
        <w:spacing w:line="360" w:lineRule="auto"/>
        <w:ind w:firstLine="480" w:firstLineChars="200"/>
        <w:rPr>
          <w:rFonts w:ascii="宋体" w:hAnsi="宋体" w:cs="宋体"/>
          <w:sz w:val="24"/>
          <w:szCs w:val="24"/>
        </w:rPr>
      </w:pPr>
      <w:r>
        <w:rPr>
          <w:rFonts w:hint="eastAsia" w:ascii="宋体" w:hAnsi="宋体" w:cs="宋体"/>
          <w:sz w:val="24"/>
          <w:szCs w:val="24"/>
        </w:rPr>
        <w:t>投标供应商承诺项目负责人在整个配送服务周期内不得更换。满足要求的得1分。（投标文件中提供承诺书复印件并加盖公章，未提供或提供不全不得分）</w:t>
      </w:r>
    </w:p>
    <w:p>
      <w:pPr>
        <w:spacing w:line="360" w:lineRule="auto"/>
        <w:ind w:firstLine="480" w:firstLineChars="200"/>
        <w:rPr>
          <w:rFonts w:ascii="宋体" w:hAnsi="宋体" w:cs="宋体"/>
          <w:sz w:val="24"/>
          <w:szCs w:val="24"/>
        </w:rPr>
      </w:pPr>
      <w:r>
        <w:rPr>
          <w:rFonts w:hint="eastAsia" w:ascii="宋体" w:hAnsi="宋体" w:cs="宋体"/>
          <w:sz w:val="24"/>
          <w:szCs w:val="24"/>
        </w:rPr>
        <w:t>②服务及配送人员（2分）</w:t>
      </w:r>
    </w:p>
    <w:p>
      <w:pPr>
        <w:spacing w:line="360" w:lineRule="auto"/>
        <w:ind w:firstLine="480" w:firstLineChars="200"/>
        <w:rPr>
          <w:rFonts w:ascii="宋体" w:hAnsi="宋体" w:cs="宋体"/>
          <w:sz w:val="24"/>
          <w:szCs w:val="24"/>
        </w:rPr>
      </w:pPr>
      <w:r>
        <w:rPr>
          <w:rFonts w:hint="eastAsia" w:ascii="宋体" w:hAnsi="宋体" w:cs="宋体"/>
          <w:color w:val="000000"/>
          <w:kern w:val="0"/>
          <w:sz w:val="24"/>
          <w:szCs w:val="24"/>
        </w:rPr>
        <w:t>投标供应商针对本项目拟派的服务人员及从事食材配送工作5人及以上的得2分。（提供上述人员属于本单位的简历、近3个月（不含投标当月）社保缴纳证明、人员健康证扫描件加盖公章，提供不全不得分。）</w:t>
      </w:r>
    </w:p>
    <w:p>
      <w:pPr>
        <w:spacing w:line="360" w:lineRule="auto"/>
        <w:ind w:firstLine="480" w:firstLineChars="200"/>
        <w:rPr>
          <w:rFonts w:ascii="宋体" w:hAnsi="宋体" w:cs="宋体"/>
          <w:bCs/>
          <w:sz w:val="24"/>
          <w:szCs w:val="24"/>
        </w:rPr>
      </w:pPr>
      <w:r>
        <w:rPr>
          <w:rFonts w:hint="eastAsia" w:ascii="宋体" w:hAnsi="宋体" w:cs="宋体"/>
          <w:bCs/>
          <w:sz w:val="24"/>
          <w:szCs w:val="24"/>
        </w:rPr>
        <w:t>6）</w:t>
      </w:r>
      <w:r>
        <w:rPr>
          <w:rFonts w:hint="eastAsia" w:ascii="宋体" w:hAnsi="宋体" w:cs="宋体"/>
          <w:sz w:val="24"/>
          <w:szCs w:val="24"/>
        </w:rPr>
        <w:t>投标供应商具备农药残留快速检测仪的得2 分，本项共2分。（购置发票原件扫描件加盖投标人公章，未提供或提供不全不得分）</w:t>
      </w:r>
    </w:p>
    <w:p>
      <w:pPr>
        <w:spacing w:line="360" w:lineRule="auto"/>
        <w:ind w:firstLine="480" w:firstLineChars="200"/>
        <w:rPr>
          <w:rFonts w:ascii="宋体" w:hAnsi="宋体" w:cs="宋体"/>
          <w:bCs/>
          <w:sz w:val="24"/>
          <w:szCs w:val="24"/>
        </w:rPr>
      </w:pPr>
      <w:r>
        <w:rPr>
          <w:rFonts w:hint="eastAsia" w:ascii="宋体" w:hAnsi="宋体" w:cs="宋体"/>
          <w:bCs/>
          <w:sz w:val="24"/>
          <w:szCs w:val="24"/>
        </w:rPr>
        <w:t>7）</w:t>
      </w:r>
      <w:r>
        <w:rPr>
          <w:rFonts w:hint="eastAsia" w:ascii="宋体" w:hAnsi="宋体" w:cs="宋体"/>
          <w:sz w:val="24"/>
          <w:szCs w:val="24"/>
        </w:rPr>
        <w:t>投标供应商具备拥有独立或合作的农产品生产基地，得2分。（提供自主经营权或合租的农产品生产基地的土地产权证明或近租赁（合作）协议复印件装订进入投标文件中，未提供或提供不全不得分）</w:t>
      </w:r>
    </w:p>
    <w:p>
      <w:pPr>
        <w:spacing w:line="360" w:lineRule="auto"/>
        <w:ind w:firstLine="480" w:firstLineChars="200"/>
        <w:rPr>
          <w:rFonts w:ascii="宋体" w:hAnsi="宋体" w:cs="宋体"/>
          <w:sz w:val="24"/>
          <w:szCs w:val="24"/>
        </w:rPr>
      </w:pPr>
      <w:r>
        <w:rPr>
          <w:rFonts w:hint="eastAsia" w:ascii="宋体" w:hAnsi="宋体" w:cs="宋体"/>
          <w:sz w:val="24"/>
          <w:szCs w:val="24"/>
        </w:rPr>
        <w:t>8）投标供应商具有投保有效期内的《食品安全责任保险》或《产品责任保险》的得1分。本项共1分。（投标文件中提供保险单的复印件并加盖公章</w:t>
      </w:r>
      <w:r>
        <w:rPr>
          <w:rFonts w:hint="eastAsia" w:ascii="宋体" w:hAnsi="宋体" w:cs="宋体"/>
          <w:bCs/>
          <w:sz w:val="24"/>
          <w:szCs w:val="24"/>
        </w:rPr>
        <w:t>，否则不得分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bCs/>
          <w:sz w:val="24"/>
          <w:szCs w:val="24"/>
        </w:rPr>
        <w:t>9）</w:t>
      </w:r>
      <w:r>
        <w:rPr>
          <w:rFonts w:hint="eastAsia" w:ascii="宋体" w:hAnsi="宋体" w:cs="宋体"/>
          <w:sz w:val="24"/>
          <w:szCs w:val="24"/>
        </w:rPr>
        <w:t>投标供应商有冷冻库的得2分。本项最多2分。（投标文件中提供不动产权证或房屋租赁协议复印件并加盖公章</w:t>
      </w:r>
      <w:r>
        <w:rPr>
          <w:rFonts w:hint="eastAsia" w:ascii="宋体" w:hAnsi="宋体" w:cs="宋体"/>
          <w:bCs/>
          <w:sz w:val="24"/>
          <w:szCs w:val="24"/>
        </w:rPr>
        <w:t>，否则不得分</w:t>
      </w:r>
      <w:r>
        <w:rPr>
          <w:rFonts w:hint="eastAsia" w:ascii="宋体" w:hAnsi="宋体" w:cs="宋体"/>
          <w:sz w:val="24"/>
          <w:szCs w:val="24"/>
        </w:rPr>
        <w:t>）</w:t>
      </w:r>
    </w:p>
    <w:p>
      <w:pPr>
        <w:tabs>
          <w:tab w:val="left" w:pos="1365"/>
        </w:tabs>
        <w:adjustRightInd w:val="0"/>
        <w:snapToGrid w:val="0"/>
        <w:spacing w:line="360" w:lineRule="auto"/>
        <w:ind w:firstLine="480" w:firstLineChars="200"/>
        <w:rPr>
          <w:rFonts w:ascii="宋体" w:hAnsi="宋体"/>
          <w:sz w:val="24"/>
          <w:lang w:val="en-GB"/>
        </w:rPr>
      </w:pPr>
      <w:r>
        <w:rPr>
          <w:rFonts w:hint="eastAsia" w:ascii="宋体" w:hAnsi="宋体" w:cs="宋体"/>
          <w:bCs/>
          <w:sz w:val="24"/>
          <w:szCs w:val="24"/>
        </w:rPr>
        <w:t>10）</w:t>
      </w:r>
      <w:r>
        <w:rPr>
          <w:rFonts w:hint="eastAsia" w:ascii="宋体" w:hAnsi="宋体" w:cs="宋体"/>
          <w:sz w:val="24"/>
          <w:szCs w:val="24"/>
        </w:rPr>
        <w:t>投标供应商在全市范围内需有应急响应服务点，服务点有1处的得0.5分,本项最多2分。（投标文件中提供不动产权证或房屋租赁协议复印件，若提供房屋租赁协议需同时提供租赁期内的房租缴纳证明材料，未提供或提供不全者不得分）</w:t>
      </w:r>
    </w:p>
    <w:p>
      <w:pPr>
        <w:tabs>
          <w:tab w:val="left" w:pos="945"/>
        </w:tabs>
        <w:adjustRightInd w:val="0"/>
        <w:snapToGrid w:val="0"/>
        <w:spacing w:line="360" w:lineRule="auto"/>
        <w:ind w:firstLine="480" w:firstLineChars="200"/>
        <w:rPr>
          <w:rFonts w:ascii="宋体" w:hAnsi="宋体" w:cs="宋体"/>
          <w:sz w:val="24"/>
          <w:szCs w:val="24"/>
        </w:rPr>
      </w:pPr>
      <w:r>
        <w:rPr>
          <w:rFonts w:hint="eastAsia" w:ascii="宋体" w:hAnsi="宋体"/>
          <w:b/>
          <w:sz w:val="24"/>
        </w:rPr>
        <w:t>（3）技术方案（54分）</w:t>
      </w:r>
    </w:p>
    <w:p>
      <w:pPr>
        <w:spacing w:line="360" w:lineRule="auto"/>
        <w:ind w:firstLine="480" w:firstLineChars="200"/>
        <w:rPr>
          <w:rFonts w:ascii="宋体" w:hAnsi="宋体" w:cs="宋体"/>
          <w:sz w:val="24"/>
          <w:szCs w:val="24"/>
        </w:rPr>
      </w:pPr>
      <w:r>
        <w:rPr>
          <w:rFonts w:hint="eastAsia" w:ascii="宋体" w:hAnsi="宋体" w:cs="宋体"/>
          <w:sz w:val="24"/>
          <w:szCs w:val="24"/>
        </w:rPr>
        <w:t>1）供应商经营管理规范性（15分）</w:t>
      </w:r>
    </w:p>
    <w:p>
      <w:pPr>
        <w:spacing w:line="360" w:lineRule="auto"/>
        <w:ind w:firstLine="480" w:firstLineChars="200"/>
        <w:rPr>
          <w:rFonts w:ascii="宋体" w:hAnsi="宋体" w:cs="宋体"/>
          <w:sz w:val="24"/>
          <w:szCs w:val="24"/>
        </w:rPr>
      </w:pPr>
      <w:r>
        <w:rPr>
          <w:rFonts w:hint="eastAsia" w:ascii="宋体" w:hAnsi="宋体" w:cs="宋体"/>
          <w:sz w:val="24"/>
          <w:szCs w:val="24"/>
        </w:rPr>
        <w:t>①经营管理制度；②日常管理制度；③各岗位操作规范；供应商须针对每条内容进行阐述，阐述内容须满足采购需求。</w:t>
      </w:r>
    </w:p>
    <w:p>
      <w:pPr>
        <w:spacing w:line="360" w:lineRule="auto"/>
        <w:ind w:firstLine="480" w:firstLineChars="200"/>
        <w:rPr>
          <w:rFonts w:ascii="宋体" w:hAnsi="宋体" w:cs="宋体"/>
          <w:sz w:val="24"/>
          <w:szCs w:val="24"/>
        </w:rPr>
      </w:pPr>
      <w:r>
        <w:rPr>
          <w:rFonts w:hint="eastAsia" w:ascii="宋体" w:hAnsi="宋体" w:cs="宋体"/>
          <w:sz w:val="24"/>
          <w:szCs w:val="24"/>
        </w:rPr>
        <w:t>需求贴合度高且内容表达清晰，针对性强，有其独特的能力优势的,</w:t>
      </w:r>
      <w:r>
        <w:rPr>
          <w:rFonts w:hint="eastAsia" w:ascii="宋体" w:hAnsi="宋体" w:cs="宋体"/>
          <w:sz w:val="24"/>
          <w:szCs w:val="28"/>
        </w:rPr>
        <w:t>该条</w:t>
      </w:r>
      <w:r>
        <w:rPr>
          <w:rFonts w:hint="eastAsia" w:ascii="宋体" w:hAnsi="宋体" w:cs="宋体"/>
          <w:sz w:val="24"/>
          <w:szCs w:val="24"/>
        </w:rPr>
        <w:t>得5分；</w:t>
      </w:r>
    </w:p>
    <w:p>
      <w:pPr>
        <w:spacing w:line="360" w:lineRule="auto"/>
        <w:ind w:firstLine="480" w:firstLineChars="200"/>
        <w:rPr>
          <w:rFonts w:ascii="宋体" w:hAnsi="宋体" w:cs="宋体"/>
          <w:sz w:val="24"/>
          <w:szCs w:val="24"/>
        </w:rPr>
      </w:pPr>
      <w:r>
        <w:rPr>
          <w:rFonts w:hint="eastAsia" w:ascii="宋体" w:hAnsi="宋体" w:cs="宋体"/>
          <w:sz w:val="24"/>
          <w:szCs w:val="24"/>
        </w:rPr>
        <w:t>内容较完整、具体，具有一定的针对性，</w:t>
      </w:r>
      <w:r>
        <w:rPr>
          <w:rFonts w:hint="eastAsia" w:ascii="宋体" w:hAnsi="宋体" w:cs="宋体"/>
          <w:sz w:val="24"/>
          <w:szCs w:val="28"/>
        </w:rPr>
        <w:t>该条</w:t>
      </w:r>
      <w:r>
        <w:rPr>
          <w:rFonts w:hint="eastAsia" w:ascii="宋体" w:hAnsi="宋体" w:cs="宋体"/>
          <w:sz w:val="24"/>
          <w:szCs w:val="24"/>
        </w:rPr>
        <w:t>得3分；</w:t>
      </w:r>
    </w:p>
    <w:p>
      <w:pPr>
        <w:spacing w:line="360" w:lineRule="auto"/>
        <w:ind w:firstLine="480" w:firstLineChars="200"/>
        <w:rPr>
          <w:rFonts w:ascii="宋体" w:hAnsi="宋体" w:cs="宋体"/>
          <w:sz w:val="24"/>
          <w:szCs w:val="24"/>
        </w:rPr>
      </w:pPr>
      <w:r>
        <w:rPr>
          <w:rFonts w:hint="eastAsia" w:ascii="宋体" w:hAnsi="宋体" w:cs="宋体"/>
          <w:sz w:val="24"/>
          <w:szCs w:val="24"/>
        </w:rPr>
        <w:t>内容简单，针对性一般，</w:t>
      </w:r>
      <w:r>
        <w:rPr>
          <w:rFonts w:hint="eastAsia" w:ascii="宋体" w:hAnsi="宋体" w:cs="宋体"/>
          <w:sz w:val="24"/>
          <w:szCs w:val="28"/>
        </w:rPr>
        <w:t>该条</w:t>
      </w:r>
      <w:r>
        <w:rPr>
          <w:rFonts w:hint="eastAsia" w:ascii="宋体" w:hAnsi="宋体" w:cs="宋体"/>
          <w:sz w:val="24"/>
          <w:szCs w:val="24"/>
        </w:rPr>
        <w:t>得2分；</w:t>
      </w:r>
    </w:p>
    <w:p>
      <w:pPr>
        <w:spacing w:line="360" w:lineRule="auto"/>
        <w:ind w:firstLine="480" w:firstLineChars="200"/>
        <w:rPr>
          <w:rFonts w:ascii="宋体" w:hAnsi="宋体" w:cs="宋体"/>
          <w:sz w:val="24"/>
          <w:szCs w:val="24"/>
        </w:rPr>
      </w:pPr>
      <w:r>
        <w:rPr>
          <w:rFonts w:hint="eastAsia" w:ascii="宋体" w:hAnsi="宋体" w:cs="宋体"/>
          <w:sz w:val="24"/>
          <w:szCs w:val="24"/>
        </w:rPr>
        <w:t>内容粗糙，针对性不强的，</w:t>
      </w:r>
      <w:r>
        <w:rPr>
          <w:rFonts w:hint="eastAsia" w:ascii="宋体" w:hAnsi="宋体" w:cs="宋体"/>
          <w:sz w:val="24"/>
          <w:szCs w:val="28"/>
        </w:rPr>
        <w:t>该条</w:t>
      </w:r>
      <w:r>
        <w:rPr>
          <w:rFonts w:hint="eastAsia" w:ascii="宋体" w:hAnsi="宋体" w:cs="宋体"/>
          <w:sz w:val="24"/>
          <w:szCs w:val="24"/>
        </w:rPr>
        <w:t>得1分；</w:t>
      </w:r>
    </w:p>
    <w:p>
      <w:pPr>
        <w:spacing w:line="360" w:lineRule="auto"/>
        <w:ind w:firstLine="480" w:firstLineChars="200"/>
        <w:rPr>
          <w:rFonts w:ascii="宋体" w:hAnsi="宋体" w:cs="宋体"/>
          <w:sz w:val="24"/>
          <w:szCs w:val="24"/>
        </w:rPr>
      </w:pPr>
      <w:r>
        <w:rPr>
          <w:rFonts w:hint="eastAsia" w:ascii="宋体" w:hAnsi="宋体" w:cs="宋体"/>
          <w:sz w:val="24"/>
          <w:szCs w:val="24"/>
        </w:rPr>
        <w:t>每缺少一条内容或内容存在不能满足采购需求，或存在逻辑错误、前后矛盾，或存在违反现行相关规范的，该条不得分，本项最高得15分。</w:t>
      </w:r>
    </w:p>
    <w:p>
      <w:pPr>
        <w:spacing w:line="360" w:lineRule="auto"/>
        <w:ind w:firstLine="480" w:firstLineChars="200"/>
        <w:rPr>
          <w:rFonts w:ascii="宋体" w:hAnsi="宋体" w:cs="宋体"/>
          <w:sz w:val="24"/>
          <w:szCs w:val="24"/>
        </w:rPr>
      </w:pPr>
      <w:r>
        <w:rPr>
          <w:rFonts w:hint="eastAsia" w:ascii="宋体" w:hAnsi="宋体" w:cs="宋体"/>
          <w:sz w:val="24"/>
          <w:szCs w:val="24"/>
        </w:rPr>
        <w:t>2）食品保障机制（12分）</w:t>
      </w:r>
    </w:p>
    <w:p>
      <w:pPr>
        <w:spacing w:line="360" w:lineRule="auto"/>
        <w:ind w:firstLine="480" w:firstLineChars="200"/>
        <w:rPr>
          <w:rFonts w:ascii="宋体" w:hAnsi="宋体" w:cs="宋体"/>
          <w:sz w:val="24"/>
          <w:szCs w:val="24"/>
        </w:rPr>
      </w:pPr>
      <w:r>
        <w:rPr>
          <w:rFonts w:hint="eastAsia" w:ascii="宋体" w:hAnsi="宋体" w:cs="宋体"/>
          <w:sz w:val="24"/>
          <w:szCs w:val="24"/>
        </w:rPr>
        <w:t>①食品安全保障机制；②食品质量保障机制；供应商须针对每条内容进行阐述，阐述内容须满足采购需求。</w:t>
      </w:r>
    </w:p>
    <w:p>
      <w:pPr>
        <w:spacing w:line="360" w:lineRule="auto"/>
        <w:ind w:firstLine="480" w:firstLineChars="200"/>
        <w:rPr>
          <w:rFonts w:ascii="宋体" w:hAnsi="宋体" w:cs="宋体"/>
          <w:sz w:val="24"/>
          <w:szCs w:val="24"/>
        </w:rPr>
      </w:pPr>
      <w:r>
        <w:rPr>
          <w:rFonts w:hint="eastAsia" w:ascii="宋体" w:hAnsi="宋体" w:cs="宋体"/>
          <w:sz w:val="24"/>
          <w:szCs w:val="24"/>
        </w:rPr>
        <w:t>需求贴合度高且内容表达清晰，针对性强，有其独特的能力优势的,</w:t>
      </w:r>
      <w:r>
        <w:rPr>
          <w:rFonts w:hint="eastAsia" w:ascii="宋体" w:hAnsi="宋体" w:cs="宋体"/>
          <w:sz w:val="24"/>
          <w:szCs w:val="28"/>
        </w:rPr>
        <w:t>该条</w:t>
      </w:r>
      <w:r>
        <w:rPr>
          <w:rFonts w:hint="eastAsia" w:ascii="宋体" w:hAnsi="宋体" w:cs="宋体"/>
          <w:sz w:val="24"/>
          <w:szCs w:val="24"/>
        </w:rPr>
        <w:t>得6分；</w:t>
      </w:r>
    </w:p>
    <w:p>
      <w:pPr>
        <w:spacing w:line="360" w:lineRule="auto"/>
        <w:ind w:firstLine="480" w:firstLineChars="200"/>
        <w:rPr>
          <w:rFonts w:ascii="宋体" w:hAnsi="宋体" w:cs="宋体"/>
          <w:sz w:val="24"/>
          <w:szCs w:val="24"/>
        </w:rPr>
      </w:pPr>
      <w:r>
        <w:rPr>
          <w:rFonts w:hint="eastAsia" w:ascii="宋体" w:hAnsi="宋体" w:cs="宋体"/>
          <w:sz w:val="24"/>
          <w:szCs w:val="24"/>
        </w:rPr>
        <w:t>内容较完整、具体，具有一定的针对性，</w:t>
      </w:r>
      <w:r>
        <w:rPr>
          <w:rFonts w:hint="eastAsia" w:ascii="宋体" w:hAnsi="宋体" w:cs="宋体"/>
          <w:sz w:val="24"/>
          <w:szCs w:val="28"/>
        </w:rPr>
        <w:t>该条</w:t>
      </w:r>
      <w:r>
        <w:rPr>
          <w:rFonts w:hint="eastAsia" w:ascii="宋体" w:hAnsi="宋体" w:cs="宋体"/>
          <w:sz w:val="24"/>
          <w:szCs w:val="24"/>
        </w:rPr>
        <w:t>得4分；</w:t>
      </w:r>
    </w:p>
    <w:p>
      <w:pPr>
        <w:spacing w:line="360" w:lineRule="auto"/>
        <w:ind w:firstLine="480" w:firstLineChars="200"/>
        <w:rPr>
          <w:rFonts w:ascii="宋体" w:hAnsi="宋体" w:cs="宋体"/>
          <w:sz w:val="24"/>
          <w:szCs w:val="24"/>
        </w:rPr>
      </w:pPr>
      <w:r>
        <w:rPr>
          <w:rFonts w:hint="eastAsia" w:ascii="宋体" w:hAnsi="宋体" w:cs="宋体"/>
          <w:sz w:val="24"/>
          <w:szCs w:val="24"/>
        </w:rPr>
        <w:t>内容简单，针对性一般，</w:t>
      </w:r>
      <w:r>
        <w:rPr>
          <w:rFonts w:hint="eastAsia" w:ascii="宋体" w:hAnsi="宋体" w:cs="宋体"/>
          <w:sz w:val="24"/>
          <w:szCs w:val="28"/>
        </w:rPr>
        <w:t>该条</w:t>
      </w:r>
      <w:r>
        <w:rPr>
          <w:rFonts w:hint="eastAsia" w:ascii="宋体" w:hAnsi="宋体" w:cs="宋体"/>
          <w:sz w:val="24"/>
          <w:szCs w:val="24"/>
        </w:rPr>
        <w:t>得2分；</w:t>
      </w:r>
    </w:p>
    <w:p>
      <w:pPr>
        <w:spacing w:line="360" w:lineRule="auto"/>
        <w:ind w:firstLine="480" w:firstLineChars="200"/>
        <w:rPr>
          <w:rFonts w:ascii="宋体" w:hAnsi="宋体" w:cs="宋体"/>
          <w:sz w:val="24"/>
          <w:szCs w:val="24"/>
        </w:rPr>
      </w:pPr>
      <w:r>
        <w:rPr>
          <w:rFonts w:hint="eastAsia" w:ascii="宋体" w:hAnsi="宋体" w:cs="宋体"/>
          <w:sz w:val="24"/>
          <w:szCs w:val="24"/>
        </w:rPr>
        <w:t>内容粗糙，针对性不强的，</w:t>
      </w:r>
      <w:r>
        <w:rPr>
          <w:rFonts w:hint="eastAsia" w:ascii="宋体" w:hAnsi="宋体" w:cs="宋体"/>
          <w:sz w:val="24"/>
          <w:szCs w:val="28"/>
        </w:rPr>
        <w:t>该条</w:t>
      </w:r>
      <w:r>
        <w:rPr>
          <w:rFonts w:hint="eastAsia" w:ascii="宋体" w:hAnsi="宋体" w:cs="宋体"/>
          <w:sz w:val="24"/>
          <w:szCs w:val="24"/>
        </w:rPr>
        <w:t>得1分；</w:t>
      </w:r>
    </w:p>
    <w:p>
      <w:pPr>
        <w:spacing w:line="360" w:lineRule="auto"/>
        <w:ind w:firstLine="480" w:firstLineChars="200"/>
        <w:rPr>
          <w:rFonts w:ascii="宋体" w:hAnsi="宋体" w:cs="宋体"/>
          <w:sz w:val="24"/>
          <w:szCs w:val="24"/>
        </w:rPr>
      </w:pPr>
      <w:r>
        <w:rPr>
          <w:rFonts w:hint="eastAsia" w:ascii="宋体" w:hAnsi="宋体" w:cs="宋体"/>
          <w:sz w:val="24"/>
          <w:szCs w:val="24"/>
        </w:rPr>
        <w:t>每缺少一条内容或内容存在不能满足采购需求，或存在逻辑错误、前后矛盾，或存在违反现行相关规范的，该条不得分，本项最高得1</w:t>
      </w:r>
      <w:r>
        <w:rPr>
          <w:rFonts w:hint="eastAsia" w:ascii="宋体" w:hAnsi="宋体" w:cs="宋体"/>
          <w:sz w:val="24"/>
          <w:szCs w:val="24"/>
          <w:lang w:val="en-US" w:eastAsia="zh-CN"/>
        </w:rPr>
        <w:t>2</w:t>
      </w:r>
      <w:r>
        <w:rPr>
          <w:rFonts w:hint="eastAsia" w:ascii="宋体" w:hAnsi="宋体" w:cs="宋体"/>
          <w:sz w:val="24"/>
          <w:szCs w:val="24"/>
        </w:rPr>
        <w:t>分。</w:t>
      </w:r>
    </w:p>
    <w:p>
      <w:pPr>
        <w:spacing w:line="360" w:lineRule="auto"/>
        <w:ind w:firstLine="480" w:firstLineChars="200"/>
        <w:rPr>
          <w:rFonts w:ascii="宋体" w:hAnsi="宋体" w:cs="宋体"/>
          <w:sz w:val="24"/>
          <w:szCs w:val="24"/>
        </w:rPr>
      </w:pPr>
      <w:r>
        <w:rPr>
          <w:rFonts w:hint="eastAsia" w:ascii="宋体" w:hAnsi="宋体" w:cs="宋体"/>
          <w:sz w:val="24"/>
          <w:szCs w:val="24"/>
        </w:rPr>
        <w:t>3）供应商应急响应预案（15分）</w:t>
      </w:r>
    </w:p>
    <w:p>
      <w:pPr>
        <w:spacing w:line="360" w:lineRule="auto"/>
        <w:ind w:firstLine="480" w:firstLineChars="200"/>
        <w:rPr>
          <w:rFonts w:ascii="宋体" w:hAnsi="宋体" w:cs="宋体"/>
          <w:sz w:val="24"/>
          <w:szCs w:val="24"/>
        </w:rPr>
      </w:pPr>
      <w:r>
        <w:rPr>
          <w:rFonts w:hint="eastAsia" w:ascii="宋体" w:hAnsi="宋体" w:cs="宋体"/>
          <w:sz w:val="24"/>
          <w:szCs w:val="24"/>
        </w:rPr>
        <w:t>①人员食物中毒的预备方案；②应对紧急供货需求的方案；③针对其他突发事件的应急措施和解决方案；供应商须针对每条内容进行阐述，阐述内容须满足采购需求。</w:t>
      </w:r>
    </w:p>
    <w:p>
      <w:pPr>
        <w:spacing w:line="360" w:lineRule="auto"/>
        <w:ind w:firstLine="480" w:firstLineChars="200"/>
        <w:rPr>
          <w:rFonts w:ascii="宋体" w:hAnsi="宋体" w:cs="宋体"/>
          <w:sz w:val="24"/>
          <w:szCs w:val="24"/>
        </w:rPr>
      </w:pPr>
      <w:r>
        <w:rPr>
          <w:rFonts w:hint="eastAsia" w:ascii="宋体" w:hAnsi="宋体" w:cs="宋体"/>
          <w:sz w:val="24"/>
          <w:szCs w:val="24"/>
        </w:rPr>
        <w:t>需求贴合度高且内容表达清晰，针对性强，有其独特的能力优势的,</w:t>
      </w:r>
      <w:r>
        <w:rPr>
          <w:rFonts w:hint="eastAsia" w:ascii="宋体" w:hAnsi="宋体" w:cs="宋体"/>
          <w:sz w:val="24"/>
          <w:szCs w:val="28"/>
        </w:rPr>
        <w:t>该条</w:t>
      </w:r>
      <w:r>
        <w:rPr>
          <w:rFonts w:hint="eastAsia" w:ascii="宋体" w:hAnsi="宋体" w:cs="宋体"/>
          <w:sz w:val="24"/>
          <w:szCs w:val="24"/>
        </w:rPr>
        <w:t>得5分；</w:t>
      </w:r>
    </w:p>
    <w:p>
      <w:pPr>
        <w:spacing w:line="360" w:lineRule="auto"/>
        <w:ind w:firstLine="480" w:firstLineChars="200"/>
        <w:rPr>
          <w:rFonts w:ascii="宋体" w:hAnsi="宋体" w:cs="宋体"/>
          <w:sz w:val="24"/>
          <w:szCs w:val="24"/>
        </w:rPr>
      </w:pPr>
      <w:r>
        <w:rPr>
          <w:rFonts w:hint="eastAsia" w:ascii="宋体" w:hAnsi="宋体" w:cs="宋体"/>
          <w:sz w:val="24"/>
          <w:szCs w:val="24"/>
        </w:rPr>
        <w:t>内容较完整、具体，具有一定的针对性，</w:t>
      </w:r>
      <w:r>
        <w:rPr>
          <w:rFonts w:hint="eastAsia" w:ascii="宋体" w:hAnsi="宋体" w:cs="宋体"/>
          <w:sz w:val="24"/>
          <w:szCs w:val="28"/>
        </w:rPr>
        <w:t>该条</w:t>
      </w:r>
      <w:r>
        <w:rPr>
          <w:rFonts w:hint="eastAsia" w:ascii="宋体" w:hAnsi="宋体" w:cs="宋体"/>
          <w:sz w:val="24"/>
          <w:szCs w:val="24"/>
        </w:rPr>
        <w:t>得3分；</w:t>
      </w:r>
    </w:p>
    <w:p>
      <w:pPr>
        <w:spacing w:line="360" w:lineRule="auto"/>
        <w:ind w:firstLine="480" w:firstLineChars="200"/>
        <w:rPr>
          <w:rFonts w:ascii="宋体" w:hAnsi="宋体" w:cs="宋体"/>
          <w:sz w:val="24"/>
          <w:szCs w:val="24"/>
        </w:rPr>
      </w:pPr>
      <w:r>
        <w:rPr>
          <w:rFonts w:hint="eastAsia" w:ascii="宋体" w:hAnsi="宋体" w:cs="宋体"/>
          <w:sz w:val="24"/>
          <w:szCs w:val="24"/>
        </w:rPr>
        <w:t>内容简单，针对性一般，</w:t>
      </w:r>
      <w:r>
        <w:rPr>
          <w:rFonts w:hint="eastAsia" w:ascii="宋体" w:hAnsi="宋体" w:cs="宋体"/>
          <w:sz w:val="24"/>
          <w:szCs w:val="28"/>
        </w:rPr>
        <w:t>该条</w:t>
      </w:r>
      <w:r>
        <w:rPr>
          <w:rFonts w:hint="eastAsia" w:ascii="宋体" w:hAnsi="宋体" w:cs="宋体"/>
          <w:sz w:val="24"/>
          <w:szCs w:val="24"/>
        </w:rPr>
        <w:t>得2分；</w:t>
      </w:r>
    </w:p>
    <w:p>
      <w:pPr>
        <w:spacing w:line="360" w:lineRule="auto"/>
        <w:ind w:firstLine="480" w:firstLineChars="200"/>
        <w:rPr>
          <w:rFonts w:ascii="宋体" w:hAnsi="宋体" w:cs="宋体"/>
          <w:sz w:val="24"/>
          <w:szCs w:val="24"/>
        </w:rPr>
      </w:pPr>
      <w:r>
        <w:rPr>
          <w:rFonts w:hint="eastAsia" w:ascii="宋体" w:hAnsi="宋体" w:cs="宋体"/>
          <w:sz w:val="24"/>
          <w:szCs w:val="24"/>
        </w:rPr>
        <w:t>内容粗糙，针对性不强的，</w:t>
      </w:r>
      <w:r>
        <w:rPr>
          <w:rFonts w:hint="eastAsia" w:ascii="宋体" w:hAnsi="宋体" w:cs="宋体"/>
          <w:sz w:val="24"/>
          <w:szCs w:val="28"/>
        </w:rPr>
        <w:t>该条</w:t>
      </w:r>
      <w:r>
        <w:rPr>
          <w:rFonts w:hint="eastAsia" w:ascii="宋体" w:hAnsi="宋体" w:cs="宋体"/>
          <w:sz w:val="24"/>
          <w:szCs w:val="24"/>
        </w:rPr>
        <w:t>得1分；</w:t>
      </w:r>
    </w:p>
    <w:p>
      <w:pPr>
        <w:spacing w:line="360" w:lineRule="auto"/>
        <w:ind w:firstLine="480" w:firstLineChars="200"/>
        <w:rPr>
          <w:rFonts w:ascii="宋体" w:hAnsi="宋体" w:cs="宋体"/>
          <w:sz w:val="24"/>
          <w:szCs w:val="24"/>
        </w:rPr>
      </w:pPr>
      <w:r>
        <w:rPr>
          <w:rFonts w:hint="eastAsia" w:ascii="宋体" w:hAnsi="宋体" w:cs="宋体"/>
          <w:sz w:val="24"/>
          <w:szCs w:val="24"/>
        </w:rPr>
        <w:t>每缺少一条内容或内容存在不能满足采购需求，或存在逻辑错误、前后矛盾，或存在违反现行相关规范的，该条不得分，本项最高得15分。</w:t>
      </w:r>
    </w:p>
    <w:p>
      <w:pPr>
        <w:spacing w:line="360" w:lineRule="auto"/>
        <w:ind w:firstLine="480" w:firstLineChars="200"/>
        <w:rPr>
          <w:rFonts w:ascii="宋体" w:hAnsi="宋体"/>
          <w:sz w:val="24"/>
          <w:szCs w:val="24"/>
        </w:rPr>
      </w:pPr>
      <w:r>
        <w:rPr>
          <w:rFonts w:hint="eastAsia" w:ascii="宋体" w:hAnsi="宋体" w:cs="宋体"/>
          <w:sz w:val="24"/>
          <w:szCs w:val="24"/>
        </w:rPr>
        <w:t>4）本项目的重点和难点及应对措施（12分）</w:t>
      </w:r>
    </w:p>
    <w:p>
      <w:pPr>
        <w:spacing w:line="360" w:lineRule="auto"/>
        <w:ind w:firstLine="480" w:firstLineChars="200"/>
        <w:rPr>
          <w:rFonts w:ascii="宋体" w:hAnsi="宋体" w:cs="宋体"/>
          <w:sz w:val="24"/>
          <w:szCs w:val="24"/>
        </w:rPr>
      </w:pPr>
      <w:r>
        <w:rPr>
          <w:rFonts w:hint="eastAsia" w:ascii="宋体" w:hAnsi="宋体" w:cs="宋体"/>
          <w:sz w:val="24"/>
          <w:szCs w:val="24"/>
        </w:rPr>
        <w:t>①本项目的重点难点；②本项目的重点和难点应对措施；供应商须针对每条内容进行阐述，阐述内容须满足采购需求。</w:t>
      </w:r>
    </w:p>
    <w:p>
      <w:pPr>
        <w:spacing w:line="360" w:lineRule="auto"/>
        <w:ind w:firstLine="480" w:firstLineChars="200"/>
        <w:rPr>
          <w:rFonts w:ascii="宋体" w:hAnsi="宋体" w:cs="宋体"/>
          <w:sz w:val="24"/>
          <w:szCs w:val="24"/>
        </w:rPr>
      </w:pPr>
      <w:r>
        <w:rPr>
          <w:rFonts w:hint="eastAsia" w:ascii="宋体" w:hAnsi="宋体" w:cs="宋体"/>
          <w:sz w:val="24"/>
          <w:szCs w:val="24"/>
        </w:rPr>
        <w:t>需求贴合度高且内容表达清晰，针对性强，有其独特的能力优势的,</w:t>
      </w:r>
      <w:r>
        <w:rPr>
          <w:rFonts w:hint="eastAsia" w:ascii="宋体" w:hAnsi="宋体" w:cs="宋体"/>
          <w:sz w:val="24"/>
          <w:szCs w:val="28"/>
        </w:rPr>
        <w:t>该条</w:t>
      </w:r>
      <w:r>
        <w:rPr>
          <w:rFonts w:hint="eastAsia" w:ascii="宋体" w:hAnsi="宋体" w:cs="宋体"/>
          <w:sz w:val="24"/>
          <w:szCs w:val="24"/>
        </w:rPr>
        <w:t>得6分；</w:t>
      </w:r>
    </w:p>
    <w:p>
      <w:pPr>
        <w:spacing w:line="360" w:lineRule="auto"/>
        <w:ind w:firstLine="480" w:firstLineChars="200"/>
        <w:rPr>
          <w:rFonts w:ascii="宋体" w:hAnsi="宋体" w:cs="宋体"/>
          <w:sz w:val="24"/>
          <w:szCs w:val="24"/>
        </w:rPr>
      </w:pPr>
      <w:r>
        <w:rPr>
          <w:rFonts w:hint="eastAsia" w:ascii="宋体" w:hAnsi="宋体" w:cs="宋体"/>
          <w:sz w:val="24"/>
          <w:szCs w:val="24"/>
        </w:rPr>
        <w:t>内容较完整、具体，具有一定的针对性，</w:t>
      </w:r>
      <w:r>
        <w:rPr>
          <w:rFonts w:hint="eastAsia" w:ascii="宋体" w:hAnsi="宋体" w:cs="宋体"/>
          <w:sz w:val="24"/>
          <w:szCs w:val="28"/>
        </w:rPr>
        <w:t>该条</w:t>
      </w:r>
      <w:r>
        <w:rPr>
          <w:rFonts w:hint="eastAsia" w:ascii="宋体" w:hAnsi="宋体" w:cs="宋体"/>
          <w:sz w:val="24"/>
          <w:szCs w:val="24"/>
        </w:rPr>
        <w:t>得4分；</w:t>
      </w:r>
    </w:p>
    <w:p>
      <w:pPr>
        <w:spacing w:line="360" w:lineRule="auto"/>
        <w:ind w:firstLine="480" w:firstLineChars="200"/>
        <w:rPr>
          <w:rFonts w:ascii="宋体" w:hAnsi="宋体" w:cs="宋体"/>
          <w:sz w:val="24"/>
          <w:szCs w:val="24"/>
        </w:rPr>
      </w:pPr>
      <w:r>
        <w:rPr>
          <w:rFonts w:hint="eastAsia" w:ascii="宋体" w:hAnsi="宋体" w:cs="宋体"/>
          <w:sz w:val="24"/>
          <w:szCs w:val="24"/>
        </w:rPr>
        <w:t>内容简单，针对性一般，</w:t>
      </w:r>
      <w:r>
        <w:rPr>
          <w:rFonts w:hint="eastAsia" w:ascii="宋体" w:hAnsi="宋体" w:cs="宋体"/>
          <w:sz w:val="24"/>
          <w:szCs w:val="28"/>
        </w:rPr>
        <w:t>该条</w:t>
      </w:r>
      <w:r>
        <w:rPr>
          <w:rFonts w:hint="eastAsia" w:ascii="宋体" w:hAnsi="宋体" w:cs="宋体"/>
          <w:sz w:val="24"/>
          <w:szCs w:val="24"/>
        </w:rPr>
        <w:t>得2分；</w:t>
      </w:r>
    </w:p>
    <w:p>
      <w:pPr>
        <w:spacing w:line="360" w:lineRule="auto"/>
        <w:ind w:firstLine="480" w:firstLineChars="200"/>
        <w:rPr>
          <w:rFonts w:ascii="宋体" w:hAnsi="宋体" w:cs="宋体"/>
          <w:sz w:val="24"/>
          <w:szCs w:val="24"/>
        </w:rPr>
      </w:pPr>
      <w:r>
        <w:rPr>
          <w:rFonts w:hint="eastAsia" w:ascii="宋体" w:hAnsi="宋体" w:cs="宋体"/>
          <w:sz w:val="24"/>
          <w:szCs w:val="24"/>
        </w:rPr>
        <w:t>内容粗糙，针对性不强的，</w:t>
      </w:r>
      <w:r>
        <w:rPr>
          <w:rFonts w:hint="eastAsia" w:ascii="宋体" w:hAnsi="宋体" w:cs="宋体"/>
          <w:sz w:val="24"/>
          <w:szCs w:val="28"/>
        </w:rPr>
        <w:t>该条</w:t>
      </w:r>
      <w:r>
        <w:rPr>
          <w:rFonts w:hint="eastAsia" w:ascii="宋体" w:hAnsi="宋体" w:cs="宋体"/>
          <w:sz w:val="24"/>
          <w:szCs w:val="24"/>
        </w:rPr>
        <w:t>得1分；</w:t>
      </w:r>
    </w:p>
    <w:p>
      <w:pPr>
        <w:spacing w:line="360" w:lineRule="auto"/>
        <w:ind w:firstLine="480" w:firstLineChars="200"/>
        <w:rPr>
          <w:rFonts w:ascii="宋体" w:hAnsi="宋体" w:cs="宋体"/>
          <w:sz w:val="24"/>
          <w:szCs w:val="24"/>
        </w:rPr>
      </w:pPr>
      <w:r>
        <w:rPr>
          <w:rFonts w:hint="eastAsia" w:ascii="宋体" w:hAnsi="宋体" w:cs="宋体"/>
          <w:sz w:val="24"/>
          <w:szCs w:val="24"/>
        </w:rPr>
        <w:t>每缺少一条内容或内容存在不能满足采购需求，或存在逻辑错误、前后矛盾，或存在违反现行相关规范的，该条不得分，本项最高得1</w:t>
      </w:r>
      <w:r>
        <w:rPr>
          <w:rFonts w:hint="eastAsia" w:ascii="宋体" w:hAnsi="宋体" w:cs="宋体"/>
          <w:sz w:val="24"/>
          <w:szCs w:val="24"/>
          <w:lang w:val="en-US" w:eastAsia="zh-CN"/>
        </w:rPr>
        <w:t>2</w:t>
      </w:r>
      <w:r>
        <w:rPr>
          <w:rFonts w:hint="eastAsia" w:ascii="宋体" w:hAnsi="宋体" w:cs="宋体"/>
          <w:sz w:val="24"/>
          <w:szCs w:val="24"/>
        </w:rPr>
        <w:t>分。</w:t>
      </w:r>
    </w:p>
    <w:p>
      <w:pPr>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备注：</w:t>
      </w:r>
    </w:p>
    <w:p>
      <w:pPr>
        <w:numPr>
          <w:ilvl w:val="0"/>
          <w:numId w:val="14"/>
        </w:numPr>
        <w:tabs>
          <w:tab w:val="left" w:pos="0"/>
          <w:tab w:val="clear" w:pos="312"/>
        </w:tabs>
        <w:adjustRightInd w:val="0"/>
        <w:snapToGrid w:val="0"/>
        <w:spacing w:line="360" w:lineRule="auto"/>
        <w:ind w:hanging="4"/>
        <w:rPr>
          <w:rFonts w:ascii="宋体" w:hAnsi="宋体" w:cs="宋体"/>
          <w:b/>
          <w:bCs/>
          <w:color w:val="000000"/>
          <w:sz w:val="24"/>
          <w:szCs w:val="24"/>
        </w:rPr>
      </w:pPr>
      <w:r>
        <w:rPr>
          <w:rFonts w:hint="eastAsia" w:ascii="宋体" w:hAnsi="宋体" w:cs="宋体"/>
          <w:b/>
          <w:bCs/>
          <w:sz w:val="24"/>
          <w:szCs w:val="24"/>
        </w:rPr>
        <w:t>针对评分标准中评分的每一条，投标人均应提供相关资料并作相应说明供评委评判，不提供相关资料的视为不具备该项得分的条</w:t>
      </w:r>
      <w:r>
        <w:rPr>
          <w:rFonts w:hint="eastAsia" w:ascii="宋体" w:hAnsi="宋体" w:cs="宋体"/>
          <w:b/>
          <w:bCs/>
          <w:color w:val="000000"/>
          <w:sz w:val="24"/>
          <w:szCs w:val="24"/>
        </w:rPr>
        <w:t>件，资料须编好目录及页码。</w:t>
      </w:r>
    </w:p>
    <w:p>
      <w:pPr>
        <w:tabs>
          <w:tab w:val="left" w:pos="1365"/>
        </w:tabs>
        <w:adjustRightInd w:val="0"/>
        <w:snapToGrid w:val="0"/>
        <w:spacing w:line="360" w:lineRule="auto"/>
        <w:rPr>
          <w:rFonts w:ascii="宋体" w:hAnsi="宋体"/>
          <w:sz w:val="24"/>
        </w:rPr>
      </w:pPr>
      <w:r>
        <w:rPr>
          <w:rFonts w:hint="eastAsia" w:ascii="宋体" w:hAnsi="宋体" w:cs="宋体"/>
          <w:b/>
          <w:bCs/>
          <w:color w:val="000000"/>
          <w:sz w:val="24"/>
          <w:szCs w:val="24"/>
        </w:rPr>
        <w:t>2.所有证明材料做进投标文件，对于有原件备查要求的，同时相关原件（或公证件）必须在投标截止时间前携带至开标现场，由代理机构工作人员转交给评标委员会，以备核实，否则对应评分项不得分。</w:t>
      </w:r>
    </w:p>
    <w:p>
      <w:pPr>
        <w:tabs>
          <w:tab w:val="left" w:pos="525"/>
        </w:tabs>
        <w:adjustRightInd w:val="0"/>
        <w:snapToGrid w:val="0"/>
        <w:spacing w:line="360" w:lineRule="auto"/>
        <w:ind w:firstLine="480" w:firstLineChars="200"/>
        <w:rPr>
          <w:rFonts w:ascii="宋体" w:hAnsi="宋体"/>
          <w:b/>
          <w:color w:val="000000"/>
          <w:sz w:val="24"/>
          <w:szCs w:val="24"/>
        </w:rPr>
      </w:pPr>
    </w:p>
    <w:p>
      <w:pPr>
        <w:tabs>
          <w:tab w:val="left" w:pos="525"/>
        </w:tabs>
        <w:adjustRightInd w:val="0"/>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二标段</w:t>
      </w:r>
    </w:p>
    <w:p>
      <w:pPr>
        <w:tabs>
          <w:tab w:val="left" w:pos="525"/>
        </w:tabs>
        <w:adjustRightInd w:val="0"/>
        <w:snapToGrid w:val="0"/>
        <w:spacing w:line="360" w:lineRule="auto"/>
        <w:ind w:firstLine="480" w:firstLineChars="200"/>
        <w:rPr>
          <w:rFonts w:ascii="宋体" w:hAnsi="宋体"/>
          <w:b/>
          <w:bCs/>
          <w:sz w:val="24"/>
          <w:szCs w:val="24"/>
        </w:rPr>
      </w:pPr>
      <w:r>
        <w:rPr>
          <w:rFonts w:hint="eastAsia" w:ascii="宋体" w:hAnsi="宋体"/>
          <w:b/>
          <w:color w:val="000000"/>
          <w:sz w:val="24"/>
          <w:szCs w:val="24"/>
        </w:rPr>
        <w:t>明标：</w:t>
      </w:r>
    </w:p>
    <w:p>
      <w:pPr>
        <w:spacing w:line="360" w:lineRule="auto"/>
        <w:ind w:firstLine="480" w:firstLineChars="200"/>
        <w:rPr>
          <w:rFonts w:ascii="宋体" w:hAnsi="宋体"/>
          <w:b/>
          <w:color w:val="000000"/>
          <w:sz w:val="24"/>
          <w:szCs w:val="24"/>
        </w:rPr>
      </w:pPr>
      <w:r>
        <w:rPr>
          <w:rFonts w:hint="eastAsia" w:ascii="宋体" w:hAnsi="宋体"/>
          <w:b/>
          <w:color w:val="000000"/>
          <w:sz w:val="24"/>
          <w:szCs w:val="24"/>
        </w:rPr>
        <w:t>(1)投标报价                                   20分</w:t>
      </w:r>
    </w:p>
    <w:p>
      <w:pPr>
        <w:spacing w:line="360" w:lineRule="auto"/>
        <w:ind w:firstLine="480" w:firstLineChars="200"/>
        <w:jc w:val="left"/>
        <w:rPr>
          <w:rFonts w:ascii="宋体" w:hAnsi="宋体"/>
          <w:b/>
          <w:color w:val="000000"/>
          <w:sz w:val="24"/>
          <w:szCs w:val="24"/>
        </w:rPr>
      </w:pPr>
      <w:r>
        <w:rPr>
          <w:rFonts w:hint="eastAsia" w:ascii="宋体"/>
          <w:b/>
          <w:bCs/>
          <w:color w:val="000000"/>
          <w:sz w:val="24"/>
          <w:szCs w:val="24"/>
        </w:rPr>
        <w:t xml:space="preserve">(2)投标供应商评价                             </w:t>
      </w:r>
      <w:r>
        <w:rPr>
          <w:rFonts w:hint="eastAsia" w:ascii="宋体" w:hAnsi="宋体"/>
          <w:b/>
          <w:color w:val="000000"/>
          <w:sz w:val="24"/>
          <w:szCs w:val="24"/>
        </w:rPr>
        <w:t>34分</w:t>
      </w:r>
    </w:p>
    <w:p>
      <w:pPr>
        <w:tabs>
          <w:tab w:val="left" w:pos="505"/>
        </w:tabs>
        <w:spacing w:line="360" w:lineRule="auto"/>
        <w:ind w:firstLine="480" w:firstLineChars="200"/>
        <w:rPr>
          <w:rFonts w:ascii="宋体" w:hAnsi="宋体"/>
          <w:b/>
          <w:color w:val="000000"/>
          <w:sz w:val="24"/>
          <w:szCs w:val="24"/>
        </w:rPr>
      </w:pPr>
      <w:r>
        <w:rPr>
          <w:rFonts w:hint="eastAsia" w:ascii="宋体" w:hAnsi="宋体"/>
          <w:b/>
          <w:color w:val="000000"/>
          <w:sz w:val="24"/>
          <w:szCs w:val="24"/>
        </w:rPr>
        <w:t>暗标：</w:t>
      </w:r>
    </w:p>
    <w:p>
      <w:pPr>
        <w:tabs>
          <w:tab w:val="left" w:pos="505"/>
        </w:tabs>
        <w:spacing w:line="360" w:lineRule="auto"/>
        <w:ind w:firstLine="480" w:firstLineChars="200"/>
        <w:rPr>
          <w:rFonts w:ascii="宋体" w:hAnsi="宋体"/>
          <w:b/>
          <w:color w:val="000000"/>
          <w:sz w:val="24"/>
          <w:szCs w:val="24"/>
        </w:rPr>
      </w:pPr>
      <w:r>
        <w:rPr>
          <w:rFonts w:hint="eastAsia" w:ascii="宋体" w:hAnsi="宋体"/>
          <w:b/>
          <w:color w:val="000000"/>
          <w:sz w:val="24"/>
          <w:szCs w:val="24"/>
        </w:rPr>
        <w:t>(3)技术方案                                   46分</w:t>
      </w:r>
    </w:p>
    <w:p>
      <w:pPr>
        <w:tabs>
          <w:tab w:val="left" w:pos="525"/>
        </w:tabs>
        <w:adjustRightInd w:val="0"/>
        <w:snapToGrid w:val="0"/>
        <w:spacing w:line="360" w:lineRule="auto"/>
        <w:ind w:firstLine="480" w:firstLineChars="200"/>
        <w:rPr>
          <w:rFonts w:ascii="宋体" w:hAnsi="宋体"/>
          <w:b/>
          <w:bCs/>
          <w:sz w:val="24"/>
          <w:szCs w:val="24"/>
        </w:rPr>
      </w:pPr>
      <w:r>
        <w:rPr>
          <w:rFonts w:hint="eastAsia" w:ascii="宋体" w:hAnsi="宋体"/>
          <w:b/>
          <w:bCs/>
          <w:sz w:val="24"/>
          <w:szCs w:val="24"/>
        </w:rPr>
        <w:t>（1）报价（20分）：</w:t>
      </w:r>
    </w:p>
    <w:p>
      <w:pPr>
        <w:tabs>
          <w:tab w:val="left" w:pos="945"/>
          <w:tab w:val="left" w:pos="1155"/>
        </w:tabs>
        <w:adjustRightInd w:val="0"/>
        <w:snapToGrid w:val="0"/>
        <w:spacing w:line="360" w:lineRule="auto"/>
        <w:ind w:firstLine="480" w:firstLineChars="200"/>
        <w:rPr>
          <w:rFonts w:ascii="宋体"/>
          <w:bCs/>
          <w:color w:val="000000"/>
          <w:sz w:val="24"/>
          <w:szCs w:val="24"/>
        </w:rPr>
      </w:pPr>
      <w:r>
        <w:rPr>
          <w:rFonts w:hint="eastAsia" w:ascii="宋体" w:hAnsi="宋体"/>
          <w:bCs/>
          <w:color w:val="000000"/>
          <w:sz w:val="24"/>
          <w:szCs w:val="24"/>
        </w:rPr>
        <w:t>采用低价优先法计算，即满足招标文件要求且投标价格最低的投标报价为评标基准价，其价格分为满分。其他投标人的价格分统一按照下列公式计算：</w:t>
      </w:r>
    </w:p>
    <w:p>
      <w:pPr>
        <w:tabs>
          <w:tab w:val="left" w:pos="525"/>
        </w:tabs>
        <w:adjustRightInd w:val="0"/>
        <w:snapToGrid w:val="0"/>
        <w:spacing w:line="360" w:lineRule="auto"/>
        <w:ind w:firstLine="480" w:firstLineChars="200"/>
        <w:rPr>
          <w:rFonts w:ascii="宋体" w:hAnsi="宋体" w:cs="宋体"/>
          <w:sz w:val="24"/>
          <w:szCs w:val="24"/>
        </w:rPr>
      </w:pPr>
      <w:r>
        <w:rPr>
          <w:rFonts w:hint="eastAsia" w:ascii="宋体" w:hAnsi="宋体"/>
          <w:bCs/>
          <w:color w:val="000000"/>
          <w:sz w:val="24"/>
          <w:szCs w:val="24"/>
        </w:rPr>
        <w:t>投标报价得分</w:t>
      </w:r>
      <w:r>
        <w:rPr>
          <w:rFonts w:ascii="宋体" w:hAnsi="宋体"/>
          <w:bCs/>
          <w:color w:val="000000"/>
          <w:sz w:val="24"/>
          <w:szCs w:val="24"/>
        </w:rPr>
        <w:t>=(</w:t>
      </w:r>
      <w:r>
        <w:rPr>
          <w:rFonts w:hint="eastAsia" w:ascii="宋体" w:hAnsi="宋体"/>
          <w:bCs/>
          <w:color w:val="000000"/>
          <w:sz w:val="24"/>
          <w:szCs w:val="24"/>
        </w:rPr>
        <w:t>评标基准价／投标报价</w:t>
      </w:r>
      <w:r>
        <w:rPr>
          <w:rFonts w:ascii="宋体" w:hAnsi="宋体"/>
          <w:bCs/>
          <w:color w:val="000000"/>
          <w:sz w:val="24"/>
          <w:szCs w:val="24"/>
        </w:rPr>
        <w:t>)</w:t>
      </w:r>
      <w:r>
        <w:rPr>
          <w:rFonts w:hint="eastAsia" w:ascii="宋体" w:hAnsi="宋体"/>
          <w:bCs/>
          <w:color w:val="000000"/>
          <w:sz w:val="24"/>
          <w:szCs w:val="24"/>
        </w:rPr>
        <w:t>×价格权值×</w:t>
      </w:r>
      <w:r>
        <w:rPr>
          <w:rFonts w:ascii="宋体" w:hAnsi="宋体"/>
          <w:bCs/>
          <w:color w:val="000000"/>
          <w:sz w:val="24"/>
          <w:szCs w:val="24"/>
        </w:rPr>
        <w:t>100</w:t>
      </w:r>
      <w:r>
        <w:rPr>
          <w:rFonts w:hint="eastAsia" w:ascii="宋体" w:hAnsi="宋体"/>
          <w:sz w:val="24"/>
        </w:rPr>
        <w:t>。</w:t>
      </w:r>
    </w:p>
    <w:p>
      <w:pPr>
        <w:adjustRightInd w:val="0"/>
        <w:snapToGrid w:val="0"/>
        <w:spacing w:line="360" w:lineRule="auto"/>
        <w:ind w:firstLine="638" w:firstLineChars="266"/>
        <w:rPr>
          <w:rFonts w:ascii="宋体" w:hAnsi="宋体"/>
          <w:sz w:val="24"/>
        </w:rPr>
      </w:pPr>
      <w:r>
        <w:rPr>
          <w:rFonts w:hint="eastAsia" w:ascii="宋体" w:hAnsi="宋体"/>
          <w:sz w:val="24"/>
        </w:rPr>
        <w:t>采购项目需要落实的政府采购政策及注意事项如下：</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a对小型和微型企业产品、残疾人福利性单位产品、监狱和戒毒企业产品的价格给予10%的扣除，用扣除后的价格计算评标基准价和投标报价。</w:t>
      </w:r>
    </w:p>
    <w:p>
      <w:pPr>
        <w:adjustRightInd w:val="0"/>
        <w:snapToGrid w:val="0"/>
        <w:spacing w:line="360" w:lineRule="auto"/>
        <w:ind w:left="329" w:leftChars="157" w:firstLine="480" w:firstLineChars="200"/>
        <w:rPr>
          <w:rFonts w:ascii="宋体" w:hAnsi="宋体"/>
          <w:sz w:val="24"/>
        </w:rPr>
      </w:pPr>
      <w:r>
        <w:rPr>
          <w:rFonts w:hint="eastAsia" w:ascii="宋体" w:hAnsi="宋体"/>
          <w:bCs/>
          <w:sz w:val="24"/>
          <w:szCs w:val="24"/>
        </w:rPr>
        <w:t>b</w:t>
      </w:r>
      <w:r>
        <w:rPr>
          <w:rFonts w:hint="eastAsia" w:ascii="宋体" w:hAnsi="宋体"/>
          <w:bCs/>
          <w:sz w:val="24"/>
          <w:szCs w:val="22"/>
        </w:rPr>
        <w:t>参加投标（报价）的中小企业，应当按照《政府采购促进中小企业发展管理办法》（财库〔2020〕46号）的规定提供《中小企业声明函》（格式见附件）（中小企业划型标准详见《关于印发中小企业划型标准规定的通知》工信部联企业〔2011〕300号）</w:t>
      </w:r>
      <w:r>
        <w:rPr>
          <w:rFonts w:ascii="宋体" w:hAnsi="宋体"/>
          <w:bCs/>
          <w:sz w:val="24"/>
          <w:szCs w:val="22"/>
        </w:rPr>
        <w:t>。</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c参加投标（报价）的残疾人福利性单位应当按照《关于促进残疾人就业政府采购政策的通知》（财库[2017]141号）的规定，提供《残疾人福利性单位声明函》（格式见附件），并对声明的真实性负责。残疾人福利性单位属于小微企业的，不重复享受政策支持。</w:t>
      </w:r>
    </w:p>
    <w:p>
      <w:pPr>
        <w:adjustRightInd w:val="0"/>
        <w:snapToGrid w:val="0"/>
        <w:spacing w:line="360" w:lineRule="auto"/>
        <w:ind w:left="329" w:leftChars="157" w:firstLine="480" w:firstLineChars="200"/>
        <w:rPr>
          <w:rFonts w:ascii="宋体" w:hAnsi="宋体"/>
          <w:sz w:val="24"/>
        </w:rPr>
      </w:pPr>
      <w:r>
        <w:rPr>
          <w:rFonts w:hint="eastAsia" w:ascii="宋体" w:hAnsi="宋体"/>
          <w:sz w:val="24"/>
        </w:rPr>
        <w:t>d参加投标（报价）的监狱和戒毒企业应当按照《财政部 司法部关于政府采购支持监狱企业发展有关问题的通知》（财库[2014]68号）的规定，提供由省级以上监狱管理局、戒毒管理局（含新疆生产建设兵团）出具的属于监狱企业的证明文件。</w:t>
      </w:r>
    </w:p>
    <w:p>
      <w:pPr>
        <w:tabs>
          <w:tab w:val="left" w:pos="1365"/>
        </w:tabs>
        <w:adjustRightInd w:val="0"/>
        <w:snapToGrid w:val="0"/>
        <w:spacing w:line="360" w:lineRule="auto"/>
        <w:ind w:firstLine="480" w:firstLineChars="200"/>
        <w:rPr>
          <w:rFonts w:ascii="宋体" w:hAnsi="宋体"/>
          <w:sz w:val="24"/>
        </w:rPr>
      </w:pPr>
      <w:r>
        <w:rPr>
          <w:rFonts w:hint="eastAsia" w:ascii="宋体" w:hAnsi="宋体"/>
          <w:sz w:val="24"/>
        </w:rPr>
        <w:t>e如未按前述要求填写和提供有效证明或相关内容表述不清的，不得享受价格扣除。</w:t>
      </w:r>
    </w:p>
    <w:p>
      <w:pPr>
        <w:tabs>
          <w:tab w:val="left" w:pos="1365"/>
        </w:tabs>
        <w:adjustRightInd w:val="0"/>
        <w:snapToGrid w:val="0"/>
        <w:spacing w:line="360" w:lineRule="auto"/>
        <w:ind w:firstLine="480" w:firstLineChars="200"/>
        <w:rPr>
          <w:rFonts w:ascii="宋体" w:hAnsi="宋体"/>
          <w:sz w:val="24"/>
        </w:rPr>
      </w:pPr>
      <w:r>
        <w:rPr>
          <w:rFonts w:hint="eastAsia" w:ascii="宋体" w:hAnsi="宋体"/>
          <w:b/>
          <w:bCs/>
          <w:sz w:val="24"/>
          <w:szCs w:val="24"/>
        </w:rPr>
        <w:t>（2）</w:t>
      </w:r>
      <w:r>
        <w:rPr>
          <w:rFonts w:hint="eastAsia" w:ascii="宋体" w:hAnsi="宋体"/>
          <w:b/>
          <w:bCs/>
          <w:color w:val="000000"/>
          <w:sz w:val="24"/>
          <w:szCs w:val="24"/>
        </w:rPr>
        <w:t>投标供应商评价（34分）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1）业绩（5分）：投标供应商自2020年1月1日（含）以来承担过类似项目业绩的，有一个得1分,最高得5分。投标文件中提供合同复印件并加盖投标供应商公章，投标时另需提供原件，不提供或提供不符合要求均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2）各项管理体系认证（4分）：投标人具有有效期内的质量管理体系、食品安全管理体系、环境管理体系认证证书、职业健康安全管理体系证书，有一个得1分，最高得4分</w:t>
      </w:r>
      <w:r>
        <w:rPr>
          <w:rFonts w:hint="eastAsia" w:ascii="宋体" w:hAnsi="宋体"/>
          <w:bCs/>
          <w:sz w:val="24"/>
          <w:szCs w:val="22"/>
          <w:lang w:val="zh-CN"/>
        </w:rPr>
        <w:t>。</w:t>
      </w:r>
      <w:r>
        <w:rPr>
          <w:rFonts w:hint="eastAsia" w:ascii="宋体" w:hAnsi="宋体"/>
          <w:bCs/>
          <w:sz w:val="24"/>
          <w:szCs w:val="22"/>
        </w:rPr>
        <w:t>（提供有效认证证书复印件及在全国认证认可信息公共服务平台查询﹔（http://cx.cnca.cn/CertECloud/index/index/page）截图并加盖投标供应商公章，提供不全或未提供不得分，原件备查；投标供应商具有的认证证书获得时间须在招标公告发布之日前并且在有效期内，否则不予认定）</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3）荣誉证书（3分）：</w:t>
      </w:r>
    </w:p>
    <w:p>
      <w:pPr>
        <w:adjustRightInd w:val="0"/>
        <w:snapToGrid w:val="0"/>
        <w:spacing w:line="360" w:lineRule="auto"/>
        <w:ind w:firstLine="480" w:firstLineChars="200"/>
        <w:rPr>
          <w:rFonts w:ascii="宋体" w:hAnsi="宋体"/>
          <w:bCs/>
          <w:sz w:val="24"/>
          <w:szCs w:val="22"/>
        </w:rPr>
      </w:pPr>
      <w:r>
        <w:rPr>
          <w:rFonts w:hint="eastAsia" w:ascii="宋体" w:hAnsi="宋体" w:cs="宋体"/>
          <w:sz w:val="24"/>
          <w:szCs w:val="24"/>
        </w:rPr>
        <w:t>①</w:t>
      </w:r>
      <w:r>
        <w:rPr>
          <w:rFonts w:hint="eastAsia" w:ascii="宋体" w:hAnsi="宋体"/>
          <w:bCs/>
          <w:sz w:val="24"/>
          <w:szCs w:val="22"/>
        </w:rPr>
        <w:t>投标供应商自2020年1月1日以来荣获全国放心粮油示范企业证书，得3分；省级放心粮油企业证书，得2分；市级放心粮油企业证书，得1分。</w:t>
      </w:r>
    </w:p>
    <w:p>
      <w:pPr>
        <w:adjustRightInd w:val="0"/>
        <w:snapToGrid w:val="0"/>
        <w:spacing w:line="360" w:lineRule="auto"/>
        <w:ind w:firstLine="480" w:firstLineChars="200"/>
        <w:rPr>
          <w:rFonts w:ascii="宋体" w:hAnsi="宋体"/>
          <w:bCs/>
          <w:sz w:val="24"/>
          <w:szCs w:val="22"/>
        </w:rPr>
      </w:pPr>
      <w:r>
        <w:rPr>
          <w:rFonts w:hint="eastAsia" w:ascii="宋体" w:hAnsi="宋体" w:cs="宋体"/>
          <w:sz w:val="24"/>
          <w:szCs w:val="24"/>
        </w:rPr>
        <w:t>②</w:t>
      </w:r>
      <w:r>
        <w:rPr>
          <w:rFonts w:hint="eastAsia" w:ascii="宋体" w:hAnsi="宋体"/>
          <w:bCs/>
          <w:sz w:val="24"/>
          <w:szCs w:val="22"/>
        </w:rPr>
        <w:t>获得市级及以上政府部门、行政主管部门（食品安全委员会、市场监督局、农林局等）在安全、品牌、基地等方面所得荣誉证书，每个得1分，最高得2分。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以上二条不重复计分，投标时提供证书或文件原件，复印件装订进投标文件中，不提供或提供不符合要求均不得分。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（相关证书或文件须在有效期内，投标时必须携带原件，否则不得分）。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4）库房面积种植基地（6分）：</w:t>
      </w:r>
    </w:p>
    <w:p>
      <w:pPr>
        <w:adjustRightInd w:val="0"/>
        <w:snapToGrid w:val="0"/>
        <w:spacing w:line="360" w:lineRule="auto"/>
        <w:ind w:firstLine="480" w:firstLineChars="200"/>
        <w:rPr>
          <w:rFonts w:ascii="宋体" w:hAnsi="宋体"/>
          <w:bCs/>
          <w:sz w:val="24"/>
          <w:szCs w:val="22"/>
        </w:rPr>
      </w:pPr>
      <w:r>
        <w:rPr>
          <w:rFonts w:hint="eastAsia" w:ascii="宋体" w:hAnsi="宋体" w:cs="宋体"/>
          <w:sz w:val="24"/>
          <w:szCs w:val="24"/>
        </w:rPr>
        <w:t>①</w:t>
      </w:r>
      <w:r>
        <w:rPr>
          <w:rFonts w:hint="eastAsia" w:ascii="宋体" w:hAnsi="宋体"/>
          <w:bCs/>
          <w:sz w:val="24"/>
          <w:szCs w:val="22"/>
        </w:rPr>
        <w:t>为更好地服务于本项目，投标供应商需要有一定规模本地专门仓储场地。提供位置图、图片上有明显的单位标识，自有仓库或租赁仓库面积在1000㎡（含）以上得4分；1000㎡－500㎡（含）以内得2分；500㎡以内得1分。（自有仓库提供房产产权证明复印件，租赁的提供租赁合同，投标时提供原件，</w:t>
      </w:r>
      <w:r>
        <w:rPr>
          <w:rFonts w:hint="eastAsia" w:ascii="宋体" w:hAnsi="宋体"/>
          <w:bCs/>
          <w:sz w:val="24"/>
          <w:szCs w:val="22"/>
          <w:lang w:val="zh-CN"/>
        </w:rPr>
        <w:t>不提供或提供不符合要求均不得分）</w:t>
      </w:r>
    </w:p>
    <w:p>
      <w:pPr>
        <w:adjustRightInd w:val="0"/>
        <w:snapToGrid w:val="0"/>
        <w:spacing w:line="360" w:lineRule="auto"/>
        <w:ind w:firstLine="480" w:firstLineChars="200"/>
        <w:rPr>
          <w:rFonts w:ascii="宋体" w:hAnsi="宋体"/>
          <w:bCs/>
          <w:sz w:val="24"/>
          <w:szCs w:val="22"/>
        </w:rPr>
      </w:pPr>
      <w:r>
        <w:rPr>
          <w:rFonts w:hint="eastAsia" w:ascii="宋体" w:hAnsi="宋体" w:cs="宋体"/>
          <w:sz w:val="24"/>
          <w:szCs w:val="24"/>
        </w:rPr>
        <w:t>②</w:t>
      </w:r>
      <w:r>
        <w:rPr>
          <w:rFonts w:hint="eastAsia" w:ascii="宋体" w:hAnsi="宋体"/>
          <w:bCs/>
          <w:sz w:val="24"/>
          <w:szCs w:val="22"/>
        </w:rPr>
        <w:t>粮食种植基地低于250亩不得分，每满250亩加1分，最高加2分。自有种植基地须提供自有土地证复印件；租赁的须提供租赁协议及出租方土地证复印件。</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5）配送车辆（2分）：有厢式运输车辆有1台得1分，最多得2分。</w:t>
      </w:r>
      <w:r>
        <w:rPr>
          <w:rFonts w:hint="eastAsia" w:ascii="宋体" w:hAnsi="宋体" w:cs="宋体"/>
          <w:sz w:val="24"/>
          <w:szCs w:val="24"/>
        </w:rPr>
        <w:t>（配送车辆为投标供应商自有车辆的，车辆行驶证或登记证所有人名称须与投标供应商一致，投标时需提供车辆行驶证或登记证复印件加盖公章放入补充证明文件中；配送车辆若为投标供应商租赁的，需提供配送车辆的运输或租赁合同复印件加盖公章放入投标文件中，上述资料缺任意一项本项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6）人员配置（2分）：投标供应商提供现场配送服务人员有效的健康证明2份及以上的得2分。提供人员名单、健康证明和由社保机构出具的近三个月中任意一个月份(不含投标当月)的社会保险缴纳证明复印件加盖公章放在投标文件中，投标时提供原件，不提供或提供不符合要求均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7）保供能力（4分）：</w:t>
      </w:r>
      <w:r>
        <w:rPr>
          <w:rFonts w:hint="eastAsia" w:ascii="宋体" w:hAnsi="宋体"/>
          <w:bCs/>
          <w:sz w:val="24"/>
          <w:szCs w:val="22"/>
          <w:lang w:val="zh-TW" w:eastAsia="zh-TW"/>
        </w:rPr>
        <w:t>投标</w:t>
      </w:r>
      <w:r>
        <w:rPr>
          <w:rFonts w:hint="eastAsia" w:ascii="宋体" w:hAnsi="宋体"/>
          <w:bCs/>
          <w:sz w:val="24"/>
          <w:szCs w:val="22"/>
          <w:lang w:val="zh-TW"/>
        </w:rPr>
        <w:t>供应商</w:t>
      </w:r>
      <w:r>
        <w:rPr>
          <w:rFonts w:hint="eastAsia" w:ascii="宋体" w:hAnsi="宋体"/>
          <w:bCs/>
          <w:sz w:val="24"/>
          <w:szCs w:val="22"/>
        </w:rPr>
        <w:t>有市级成品粮油应急保供协议的单位，其中有大米应急保供协议的得2分、食用油应急保供协议的得2分</w:t>
      </w:r>
      <w:r>
        <w:rPr>
          <w:rFonts w:hint="eastAsia" w:ascii="宋体" w:hAnsi="宋体"/>
          <w:bCs/>
          <w:sz w:val="24"/>
          <w:szCs w:val="22"/>
          <w:lang w:eastAsia="zh-CN"/>
        </w:rPr>
        <w:t>，</w:t>
      </w:r>
      <w:r>
        <w:rPr>
          <w:rFonts w:hint="eastAsia" w:ascii="宋体" w:hAnsi="宋体"/>
          <w:bCs/>
          <w:sz w:val="24"/>
          <w:szCs w:val="22"/>
        </w:rPr>
        <w:t xml:space="preserve"> 总计4分。以上提供的证明材料复印件并加盖投标供应商公章放在投标文件中，投标时提供保供协议原件，不提供或提供不符合要求均不得分。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8）投保食品安全责任险情况（4分）：投标供应商购买近一年有效的食品安全责任险，总保额在5000万元（含）以上的，得4分；保额在1000万元（含）至5000万元（不含）的，得2分；保额在500万元以下得1分。没有不得分。（购买食品安全责任险必须在招标文件公布前购买的方可有效，提供相关证明材料复印件并加盖投标供应商公章放在投标文件中，投标时提供原件，不提供或提供不符合要求则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9）食材追溯（4分）：投标供应商具有食材追溯体系，米、面、油全部可以追踪溯源得4分。（须提供相关资料，例如:网站查询截图、二维码等），评标时现场可实时扫码查询。</w:t>
      </w:r>
    </w:p>
    <w:p>
      <w:pPr>
        <w:pStyle w:val="47"/>
        <w:adjustRightInd w:val="0"/>
        <w:snapToGrid w:val="0"/>
        <w:spacing w:line="360" w:lineRule="auto"/>
        <w:ind w:firstLine="482"/>
        <w:rPr>
          <w:rFonts w:ascii="宋体" w:hAnsi="宋体"/>
          <w:sz w:val="24"/>
        </w:rPr>
      </w:pPr>
      <w:r>
        <w:rPr>
          <w:rFonts w:hint="eastAsia" w:ascii="宋体" w:hAnsi="宋体"/>
          <w:sz w:val="24"/>
        </w:rPr>
        <w:t>（3）技术方案（46分）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1）服务方案（8分）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根据投标供应商针对本项目提供的服务方案，从服务响应、突发零星采购、运输条件、服务方案、服务承诺及配送时间等方面进行评价。</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能最大程度满足用户需求，方案详细，具有可操作性强，得8分；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可较大程度保证用户需求，方案较详细，可操作性较强，得6分；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能保证用户需求，方案详细性、可操作性一般，得4分；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方案简单，可操作性差，可行性差得2分；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未提供不得分。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2）管理方案（8分）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根据投标供应商针对本项目提供的组织制度健全、岗位职责等内容进行评价。</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制度健全完整、岗位职责合理，可实施性强，得8分；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制度较完整，岗位职责较合理，可实施性较强，得6分；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制度完整性一般，岗位职责合理性一般，可实施性一般，得4分；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制度不全，岗位职责不合理，可实施性差，得2分；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未提供不得分。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3）产品质量控制方案（8分）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根据投标供应商针对本项目提供的产品质量控制方案进行评价。</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方案科学详细，完善可行，得8分；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方案较详细，较完善，可行性较好，得6分；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方案简单，可行性一般，得4分；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方案粗糙，可行性差，得2分；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未提供不得分。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4）食品安全保障方案（8分）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根据投标供应商提供的食品安全保障方案进行评价，包含食材安全、检测、保存管理、卫生管理控制等内容。</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方案科学详细，完善可行，得8分；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方案较详细，较完善，可行性较好，得6分；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方案简单，可行性一般，得4分；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方案粗糙，可行性差，得2分；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未提供不得分。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5）应急预案（7分）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根据投标供应商提供的应急预案进行打分，包含应急服务能力：遇到突发事件（如恶劣天气、公共卫生等）或重大事件的处理等内容进行评价。</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应急措施方案完善、程序规范、操作性强的，得7分；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应急措施方案较完善、程序较为规范、操作性较强的，得5分；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应急措施方案一般、操作性一般，得3分；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应急措施方案不完整、程序不够规范、操作性可行性差，得1分；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未提供的不得分。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6）特色服务（7分）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投标人根据本项目的提供的实质性特色服务以及措施进行评价。</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特色服务方案详细，措施可行，得7分；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特色服务方案较详细，措施可行性较好，得5分；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特色服务方案一般，措施可行性一般，得3分；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特色服务方案粗糙，可行性差，得1分；</w:t>
      </w:r>
    </w:p>
    <w:p>
      <w:pPr>
        <w:adjustRightInd w:val="0"/>
        <w:snapToGrid w:val="0"/>
        <w:spacing w:line="360" w:lineRule="auto"/>
        <w:ind w:firstLine="480" w:firstLineChars="200"/>
        <w:rPr>
          <w:rFonts w:ascii="宋体" w:hAnsi="宋体"/>
          <w:bCs/>
          <w:sz w:val="24"/>
          <w:szCs w:val="22"/>
        </w:rPr>
      </w:pPr>
      <w:r>
        <w:rPr>
          <w:rFonts w:hint="eastAsia" w:ascii="宋体" w:hAnsi="宋体"/>
          <w:bCs/>
          <w:sz w:val="24"/>
          <w:szCs w:val="22"/>
        </w:rPr>
        <w:t>未提供不得分。</w:t>
      </w:r>
    </w:p>
    <w:p>
      <w:pPr>
        <w:tabs>
          <w:tab w:val="left" w:pos="1365"/>
        </w:tabs>
        <w:adjustRightInd w:val="0"/>
        <w:snapToGrid w:val="0"/>
        <w:spacing w:line="360" w:lineRule="auto"/>
        <w:ind w:firstLine="480" w:firstLineChars="200"/>
        <w:rPr>
          <w:rFonts w:ascii="宋体" w:hAnsi="宋体"/>
          <w:sz w:val="24"/>
        </w:rPr>
      </w:pPr>
      <w:r>
        <w:rPr>
          <w:rFonts w:hint="eastAsia" w:ascii="宋体" w:hAnsi="宋体"/>
          <w:sz w:val="24"/>
        </w:rPr>
        <w:t>加分因素（2分）：所选用产品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以加1分（同一产品同时具有节能产品、环境标志产品认证证书的不重复加分）。</w:t>
      </w:r>
    </w:p>
    <w:p>
      <w:pPr>
        <w:adjustRightInd w:val="0"/>
        <w:snapToGrid w:val="0"/>
        <w:spacing w:line="360" w:lineRule="auto"/>
        <w:ind w:firstLine="480" w:firstLineChars="200"/>
        <w:rPr>
          <w:rFonts w:ascii="宋体" w:hAnsi="宋体"/>
          <w:sz w:val="24"/>
        </w:rPr>
      </w:pPr>
      <w:r>
        <w:rPr>
          <w:rFonts w:hint="eastAsia" w:ascii="宋体" w:hAnsi="宋体"/>
          <w:sz w:val="24"/>
        </w:rPr>
        <w:t>评委为5人以上的单数（含5人）时，计算分项得分时取平均值为投标供应商的得分，各分项得分合计即为投标供应商的总得分。投标文件无相应评分内容时，该项目为零分。投标供应商如对采购文件提出的合理要求不作出相应承诺或对采购人提出不合理要求的不予得标。每项评分由评委独立评审。所有评委打分的平均值为各投标供应商最终得分。最终得分最高者将推荐为第一中标候选人，得分第二的供应商将被推荐为第二中标候选人，得分第三的供应商将被推荐为第三中标候选人。</w:t>
      </w:r>
    </w:p>
    <w:p>
      <w:pPr>
        <w:adjustRightInd w:val="0"/>
        <w:snapToGrid w:val="0"/>
        <w:spacing w:line="360" w:lineRule="auto"/>
        <w:ind w:firstLine="480" w:firstLineChars="200"/>
        <w:rPr>
          <w:b/>
          <w:bCs/>
          <w:sz w:val="24"/>
          <w:szCs w:val="24"/>
        </w:rPr>
      </w:pPr>
      <w:r>
        <w:rPr>
          <w:rFonts w:hint="eastAsia"/>
          <w:b/>
          <w:bCs/>
          <w:sz w:val="24"/>
          <w:szCs w:val="24"/>
        </w:rPr>
        <w:t>说明：</w:t>
      </w:r>
    </w:p>
    <w:p>
      <w:pPr>
        <w:numPr>
          <w:ilvl w:val="0"/>
          <w:numId w:val="15"/>
        </w:numPr>
        <w:adjustRightInd w:val="0"/>
        <w:snapToGrid w:val="0"/>
        <w:spacing w:line="360" w:lineRule="auto"/>
        <w:ind w:firstLine="480"/>
        <w:rPr>
          <w:sz w:val="24"/>
          <w:szCs w:val="24"/>
        </w:rPr>
      </w:pPr>
      <w:r>
        <w:rPr>
          <w:rFonts w:hint="eastAsia"/>
          <w:sz w:val="24"/>
          <w:szCs w:val="24"/>
        </w:rPr>
        <w:t>前述评标标准中列明要求提供证书原件的，请投标供应商将复印件编入投标文件中。未按要求同时提供原件和复印件的，视为资料不全，不予计分。</w:t>
      </w:r>
    </w:p>
    <w:p>
      <w:pPr>
        <w:numPr>
          <w:ilvl w:val="0"/>
          <w:numId w:val="15"/>
        </w:numPr>
        <w:adjustRightInd w:val="0"/>
        <w:snapToGrid w:val="0"/>
        <w:spacing w:line="360" w:lineRule="auto"/>
        <w:ind w:firstLine="480"/>
        <w:rPr>
          <w:sz w:val="24"/>
          <w:szCs w:val="24"/>
        </w:rPr>
      </w:pPr>
      <w:r>
        <w:rPr>
          <w:rFonts w:hint="eastAsia"/>
          <w:sz w:val="24"/>
          <w:szCs w:val="24"/>
        </w:rPr>
        <w:t>评分办法及评分细则的解释权属采购人。未列入本评分细则的其他条件不作为评分内容。</w:t>
      </w:r>
    </w:p>
    <w:p>
      <w:pPr>
        <w:widowControl/>
        <w:adjustRightInd w:val="0"/>
        <w:snapToGrid w:val="0"/>
        <w:spacing w:line="360" w:lineRule="auto"/>
        <w:jc w:val="left"/>
        <w:rPr>
          <w:rFonts w:ascii="黑体" w:hAnsi="宋体" w:eastAsia="黑体"/>
          <w:bCs/>
          <w:sz w:val="24"/>
          <w:szCs w:val="24"/>
        </w:rPr>
      </w:pPr>
      <w:r>
        <w:rPr>
          <w:rFonts w:hint="eastAsia" w:ascii="黑体" w:hAnsi="宋体" w:eastAsia="黑体"/>
          <w:bCs/>
          <w:sz w:val="24"/>
          <w:szCs w:val="24"/>
        </w:rPr>
        <w:t>（十） 定标：</w:t>
      </w:r>
    </w:p>
    <w:p>
      <w:pPr>
        <w:numPr>
          <w:ilvl w:val="0"/>
          <w:numId w:val="16"/>
        </w:numPr>
        <w:tabs>
          <w:tab w:val="left" w:pos="525"/>
          <w:tab w:val="left" w:pos="945"/>
          <w:tab w:val="left" w:pos="1155"/>
          <w:tab w:val="clear" w:pos="552"/>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评标委员会根据采购文件规定的评标方法和评标标准进行评审，按采购文件的要求依法确定中标供应商。采购代理机构将在财政部门指定的信息发布媒体（江苏政府采购网、无锡政府采购网）上发布中标公示。</w:t>
      </w:r>
    </w:p>
    <w:p>
      <w:pPr>
        <w:numPr>
          <w:ilvl w:val="0"/>
          <w:numId w:val="16"/>
        </w:numPr>
        <w:tabs>
          <w:tab w:val="left" w:pos="525"/>
          <w:tab w:val="left" w:pos="945"/>
          <w:tab w:val="left" w:pos="1155"/>
          <w:tab w:val="clear" w:pos="552"/>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投标供应商如有质疑，应在</w:t>
      </w:r>
      <w:r>
        <w:rPr>
          <w:rFonts w:hint="eastAsia" w:ascii="宋体" w:hAnsi="宋体"/>
          <w:sz w:val="24"/>
          <w:szCs w:val="24"/>
        </w:rPr>
        <w:t>中标公告</w:t>
      </w:r>
      <w:r>
        <w:rPr>
          <w:rFonts w:hint="eastAsia" w:ascii="宋体" w:hAnsi="宋体"/>
          <w:bCs/>
          <w:sz w:val="24"/>
          <w:szCs w:val="24"/>
        </w:rPr>
        <w:t>发布</w:t>
      </w:r>
      <w:r>
        <w:rPr>
          <w:rFonts w:hint="eastAsia" w:ascii="宋体" w:hAnsi="宋体"/>
          <w:sz w:val="24"/>
          <w:szCs w:val="24"/>
        </w:rPr>
        <w:t>之日起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内，以书面形式一次性向采购代理机构及采购人提出质疑，同时该质疑应由投标供应商法定代表人或参加投标的授权委托人签署和盖公章（原件）。</w:t>
      </w:r>
    </w:p>
    <w:p>
      <w:pPr>
        <w:numPr>
          <w:ilvl w:val="0"/>
          <w:numId w:val="16"/>
        </w:numPr>
        <w:tabs>
          <w:tab w:val="left" w:pos="525"/>
          <w:tab w:val="left" w:pos="945"/>
          <w:tab w:val="left" w:pos="1155"/>
          <w:tab w:val="clear" w:pos="552"/>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提出质疑的供应商应当是参加所质疑项目采购活动的供应商。潜在供应商已依法获取其可质疑的采购文件的，可以对该文件提出质疑。对采购文件提出质疑的，应当在获取采购文件或者采购文件公告期限届满之日起7个工作日内提出。</w:t>
      </w:r>
    </w:p>
    <w:p>
      <w:pPr>
        <w:numPr>
          <w:ilvl w:val="0"/>
          <w:numId w:val="16"/>
        </w:numPr>
        <w:tabs>
          <w:tab w:val="left" w:pos="525"/>
          <w:tab w:val="left" w:pos="945"/>
          <w:tab w:val="left" w:pos="1155"/>
          <w:tab w:val="clear" w:pos="552"/>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供应商提出质疑应当提交质疑函和必要的证明材料。质疑函应当包括下列内容：</w:t>
      </w:r>
    </w:p>
    <w:p>
      <w:pPr>
        <w:tabs>
          <w:tab w:val="left" w:pos="525"/>
          <w:tab w:val="left" w:pos="945"/>
          <w:tab w:val="left" w:pos="1155"/>
        </w:tabs>
        <w:adjustRightInd w:val="0"/>
        <w:snapToGrid w:val="0"/>
        <w:spacing w:line="360" w:lineRule="auto"/>
        <w:ind w:left="457" w:leftChars="218"/>
        <w:rPr>
          <w:rFonts w:ascii="宋体" w:hAnsi="宋体"/>
          <w:bCs/>
          <w:sz w:val="24"/>
          <w:szCs w:val="24"/>
        </w:rPr>
      </w:pPr>
      <w:r>
        <w:rPr>
          <w:rFonts w:hint="eastAsia" w:ascii="宋体" w:hAnsi="宋体"/>
          <w:bCs/>
          <w:sz w:val="24"/>
          <w:szCs w:val="24"/>
        </w:rPr>
        <w:t>①供应商的姓名或者名称、地址、邮编、联系人及联系电话；</w:t>
      </w:r>
    </w:p>
    <w:p>
      <w:pPr>
        <w:tabs>
          <w:tab w:val="left" w:pos="525"/>
          <w:tab w:val="left" w:pos="945"/>
          <w:tab w:val="left" w:pos="1155"/>
        </w:tabs>
        <w:adjustRightInd w:val="0"/>
        <w:snapToGrid w:val="0"/>
        <w:spacing w:line="360" w:lineRule="auto"/>
        <w:ind w:left="457" w:leftChars="218"/>
        <w:rPr>
          <w:rFonts w:ascii="宋体" w:hAnsi="宋体"/>
          <w:bCs/>
          <w:sz w:val="24"/>
          <w:szCs w:val="24"/>
        </w:rPr>
      </w:pPr>
      <w:r>
        <w:rPr>
          <w:rFonts w:hint="eastAsia" w:ascii="宋体" w:hAnsi="宋体"/>
          <w:bCs/>
          <w:sz w:val="24"/>
          <w:szCs w:val="24"/>
        </w:rPr>
        <w:t>②质疑项目的名称、编号；</w:t>
      </w:r>
    </w:p>
    <w:p>
      <w:pPr>
        <w:tabs>
          <w:tab w:val="left" w:pos="525"/>
          <w:tab w:val="left" w:pos="945"/>
          <w:tab w:val="left" w:pos="1155"/>
        </w:tabs>
        <w:adjustRightInd w:val="0"/>
        <w:snapToGrid w:val="0"/>
        <w:spacing w:line="360" w:lineRule="auto"/>
        <w:ind w:left="457" w:leftChars="218"/>
        <w:rPr>
          <w:rFonts w:ascii="宋体" w:hAnsi="宋体"/>
          <w:bCs/>
          <w:sz w:val="24"/>
          <w:szCs w:val="24"/>
        </w:rPr>
      </w:pPr>
      <w:r>
        <w:rPr>
          <w:rFonts w:hint="eastAsia" w:ascii="宋体" w:hAnsi="宋体"/>
          <w:bCs/>
          <w:sz w:val="24"/>
          <w:szCs w:val="24"/>
        </w:rPr>
        <w:t>③具体、明确的质疑事项和与质疑事项相关的请求；</w:t>
      </w:r>
    </w:p>
    <w:p>
      <w:pPr>
        <w:tabs>
          <w:tab w:val="left" w:pos="525"/>
          <w:tab w:val="left" w:pos="945"/>
          <w:tab w:val="left" w:pos="1155"/>
        </w:tabs>
        <w:adjustRightInd w:val="0"/>
        <w:snapToGrid w:val="0"/>
        <w:spacing w:line="360" w:lineRule="auto"/>
        <w:ind w:left="457" w:leftChars="218"/>
        <w:rPr>
          <w:rFonts w:ascii="宋体" w:hAnsi="宋体"/>
          <w:bCs/>
          <w:sz w:val="24"/>
          <w:szCs w:val="24"/>
        </w:rPr>
      </w:pPr>
      <w:r>
        <w:rPr>
          <w:rFonts w:hint="eastAsia" w:ascii="宋体" w:hAnsi="宋体"/>
          <w:bCs/>
          <w:sz w:val="24"/>
          <w:szCs w:val="24"/>
        </w:rPr>
        <w:t>④事实依据；</w:t>
      </w:r>
    </w:p>
    <w:p>
      <w:pPr>
        <w:tabs>
          <w:tab w:val="left" w:pos="525"/>
          <w:tab w:val="left" w:pos="945"/>
          <w:tab w:val="left" w:pos="1155"/>
        </w:tabs>
        <w:adjustRightInd w:val="0"/>
        <w:snapToGrid w:val="0"/>
        <w:spacing w:line="360" w:lineRule="auto"/>
        <w:ind w:left="457" w:leftChars="218"/>
        <w:rPr>
          <w:rFonts w:ascii="宋体" w:hAnsi="宋体"/>
          <w:bCs/>
          <w:sz w:val="24"/>
          <w:szCs w:val="24"/>
        </w:rPr>
      </w:pPr>
      <w:r>
        <w:rPr>
          <w:rFonts w:hint="eastAsia" w:ascii="宋体" w:hAnsi="宋体"/>
          <w:bCs/>
          <w:sz w:val="24"/>
          <w:szCs w:val="24"/>
        </w:rPr>
        <w:t>⑤必要的法律依据；</w:t>
      </w:r>
    </w:p>
    <w:p>
      <w:pPr>
        <w:tabs>
          <w:tab w:val="left" w:pos="525"/>
          <w:tab w:val="left" w:pos="945"/>
          <w:tab w:val="left" w:pos="1155"/>
        </w:tabs>
        <w:adjustRightInd w:val="0"/>
        <w:snapToGrid w:val="0"/>
        <w:spacing w:line="360" w:lineRule="auto"/>
        <w:ind w:left="457" w:leftChars="218"/>
        <w:rPr>
          <w:rFonts w:ascii="宋体" w:hAnsi="宋体"/>
          <w:bCs/>
          <w:sz w:val="24"/>
          <w:szCs w:val="24"/>
        </w:rPr>
      </w:pPr>
      <w:r>
        <w:rPr>
          <w:rFonts w:hint="eastAsia" w:ascii="宋体" w:hAnsi="宋体"/>
          <w:bCs/>
          <w:sz w:val="24"/>
          <w:szCs w:val="24"/>
        </w:rPr>
        <w:t>⑥提出质疑的日期。</w:t>
      </w:r>
    </w:p>
    <w:p>
      <w:pPr>
        <w:tabs>
          <w:tab w:val="left" w:pos="0"/>
          <w:tab w:val="left" w:pos="945"/>
          <w:tab w:val="left" w:pos="1155"/>
        </w:tabs>
        <w:adjustRightInd w:val="0"/>
        <w:snapToGrid w:val="0"/>
        <w:spacing w:line="360" w:lineRule="auto"/>
        <w:ind w:left="16" w:leftChars="8" w:firstLine="439" w:firstLineChars="183"/>
        <w:rPr>
          <w:rFonts w:ascii="宋体" w:hAnsi="宋体"/>
          <w:bCs/>
          <w:sz w:val="24"/>
          <w:szCs w:val="24"/>
        </w:rPr>
      </w:pPr>
      <w:r>
        <w:rPr>
          <w:rFonts w:hint="eastAsia" w:ascii="宋体" w:hAnsi="宋体"/>
          <w:bCs/>
          <w:sz w:val="24"/>
          <w:szCs w:val="24"/>
        </w:rPr>
        <w:t>供应商为自然人的，应当由本人签字；供应商为法人或者其他组织的，应当由法定代表人、主要负责人，或者其授权代表签字或者盖章，并加盖公章。</w:t>
      </w:r>
    </w:p>
    <w:p>
      <w:pPr>
        <w:numPr>
          <w:ilvl w:val="0"/>
          <w:numId w:val="16"/>
        </w:numPr>
        <w:tabs>
          <w:tab w:val="left" w:pos="525"/>
          <w:tab w:val="left" w:pos="945"/>
          <w:tab w:val="left" w:pos="1155"/>
          <w:tab w:val="clear" w:pos="552"/>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采购代理机构及采购人将在收到经投标供应商法定代表人或参加投标的授权委托人签署和盖公章（原件）的书面质疑后七个工作日内，对质疑内容做出答复。如投标供应商在中标公告发布之日起七个工作日后向采购代理机构提出质疑或质疑未经投标供应商法定代表人或参加投标的授权委托人签署和盖公章（原件），采购代理机构有权对该质疑不予答复。</w:t>
      </w:r>
      <w:r>
        <w:rPr>
          <w:rFonts w:hint="eastAsia" w:ascii="宋体" w:hAnsi="宋体"/>
          <w:bCs/>
          <w:sz w:val="24"/>
        </w:rPr>
        <w:t>投标供应商在法定质疑期限外送达的质疑函或法定质疑期限内送达的质疑函不符合上述要求的均为无效质疑，采购代理机构对无效质疑不予受理。如质疑查无实据或投标供应商捏造事实，提供虚假材料进行恶意举报，不配合或采用不正当手段干扰政府采购质疑的，将记入投标供应商在江苏省和无锡市的政府采购“供应商诚信记录”，并按相关规定处理。</w:t>
      </w:r>
    </w:p>
    <w:p>
      <w:pPr>
        <w:numPr>
          <w:ilvl w:val="0"/>
          <w:numId w:val="16"/>
        </w:numPr>
        <w:tabs>
          <w:tab w:val="left" w:pos="525"/>
          <w:tab w:val="left" w:pos="945"/>
          <w:tab w:val="left" w:pos="1155"/>
          <w:tab w:val="clear" w:pos="552"/>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在发布中标公告的同时，江苏智汇锡建工程项目管理有限公司将向中标供应商发出中标通知书。</w:t>
      </w:r>
    </w:p>
    <w:p>
      <w:pPr>
        <w:adjustRightInd w:val="0"/>
        <w:snapToGrid w:val="0"/>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（十一） 废标的确认：</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在招标采购中，出现下列情况之一的，应予废标：</w:t>
      </w:r>
    </w:p>
    <w:p>
      <w:pPr>
        <w:numPr>
          <w:ilvl w:val="0"/>
          <w:numId w:val="17"/>
        </w:numPr>
        <w:tabs>
          <w:tab w:val="left" w:pos="525"/>
          <w:tab w:val="left" w:pos="945"/>
          <w:tab w:val="left" w:pos="1260"/>
          <w:tab w:val="clear" w:pos="570"/>
        </w:tabs>
        <w:adjustRightInd w:val="0"/>
        <w:snapToGrid w:val="0"/>
        <w:spacing w:line="360" w:lineRule="auto"/>
        <w:ind w:left="0" w:firstLine="525"/>
        <w:rPr>
          <w:rFonts w:ascii="宋体" w:hAnsi="宋体"/>
          <w:bCs/>
          <w:sz w:val="24"/>
          <w:szCs w:val="24"/>
        </w:rPr>
      </w:pPr>
      <w:r>
        <w:rPr>
          <w:rFonts w:hint="eastAsia" w:ascii="宋体" w:hAnsi="宋体"/>
          <w:bCs/>
          <w:sz w:val="24"/>
          <w:szCs w:val="24"/>
        </w:rPr>
        <w:t>符合专业条件的投标供应商或者对采购文件作出实质性响应的投标供应商不足三家；</w:t>
      </w:r>
    </w:p>
    <w:p>
      <w:pPr>
        <w:numPr>
          <w:ilvl w:val="0"/>
          <w:numId w:val="17"/>
        </w:numPr>
        <w:tabs>
          <w:tab w:val="left" w:pos="525"/>
          <w:tab w:val="left" w:pos="945"/>
          <w:tab w:val="left" w:pos="1260"/>
          <w:tab w:val="clear" w:pos="570"/>
        </w:tabs>
        <w:adjustRightInd w:val="0"/>
        <w:snapToGrid w:val="0"/>
        <w:spacing w:line="360" w:lineRule="auto"/>
        <w:ind w:left="0" w:firstLine="525"/>
        <w:rPr>
          <w:rFonts w:ascii="宋体" w:hAnsi="宋体"/>
          <w:bCs/>
          <w:sz w:val="24"/>
          <w:szCs w:val="24"/>
        </w:rPr>
      </w:pPr>
      <w:r>
        <w:rPr>
          <w:rFonts w:hint="eastAsia" w:ascii="宋体" w:hAnsi="宋体"/>
          <w:bCs/>
          <w:sz w:val="24"/>
          <w:szCs w:val="24"/>
        </w:rPr>
        <w:t>出现影响采购公正的违法、违规行为；</w:t>
      </w:r>
    </w:p>
    <w:p>
      <w:pPr>
        <w:numPr>
          <w:ilvl w:val="0"/>
          <w:numId w:val="17"/>
        </w:numPr>
        <w:tabs>
          <w:tab w:val="left" w:pos="525"/>
          <w:tab w:val="left" w:pos="945"/>
          <w:tab w:val="left" w:pos="1260"/>
          <w:tab w:val="clear" w:pos="570"/>
        </w:tabs>
        <w:adjustRightInd w:val="0"/>
        <w:snapToGrid w:val="0"/>
        <w:spacing w:line="360" w:lineRule="auto"/>
        <w:ind w:left="0" w:firstLine="525"/>
        <w:rPr>
          <w:rFonts w:ascii="宋体" w:hAnsi="宋体"/>
          <w:bCs/>
          <w:sz w:val="24"/>
          <w:szCs w:val="24"/>
        </w:rPr>
      </w:pPr>
      <w:r>
        <w:rPr>
          <w:rFonts w:hint="eastAsia" w:ascii="宋体" w:hAnsi="宋体"/>
          <w:bCs/>
          <w:sz w:val="24"/>
          <w:szCs w:val="24"/>
        </w:rPr>
        <w:t>投标供应商的报价均超过采购预算，采购人不能支付的；</w:t>
      </w:r>
    </w:p>
    <w:p>
      <w:pPr>
        <w:numPr>
          <w:ilvl w:val="0"/>
          <w:numId w:val="17"/>
        </w:numPr>
        <w:tabs>
          <w:tab w:val="right" w:pos="180"/>
          <w:tab w:val="left" w:pos="525"/>
          <w:tab w:val="left" w:pos="945"/>
          <w:tab w:val="left" w:pos="1260"/>
          <w:tab w:val="clear" w:pos="570"/>
        </w:tabs>
        <w:adjustRightInd w:val="0"/>
        <w:snapToGrid w:val="0"/>
        <w:spacing w:line="360" w:lineRule="auto"/>
        <w:ind w:left="0" w:firstLine="525"/>
        <w:rPr>
          <w:rFonts w:ascii="宋体" w:hAnsi="宋体"/>
          <w:bCs/>
          <w:sz w:val="24"/>
          <w:szCs w:val="24"/>
        </w:rPr>
      </w:pPr>
      <w:r>
        <w:rPr>
          <w:rFonts w:hint="eastAsia" w:ascii="宋体" w:hAnsi="宋体"/>
          <w:bCs/>
          <w:sz w:val="24"/>
          <w:szCs w:val="24"/>
        </w:rPr>
        <w:t>因重大变故，采购任务取消。</w:t>
      </w:r>
    </w:p>
    <w:p>
      <w:pPr>
        <w:numPr>
          <w:ilvl w:val="0"/>
          <w:numId w:val="18"/>
        </w:numPr>
        <w:tabs>
          <w:tab w:val="left" w:pos="945"/>
        </w:tabs>
        <w:adjustRightInd w:val="0"/>
        <w:snapToGrid w:val="0"/>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投标保证金：</w:t>
      </w:r>
    </w:p>
    <w:p>
      <w:pPr>
        <w:tabs>
          <w:tab w:val="left" w:pos="510"/>
          <w:tab w:val="left" w:pos="945"/>
        </w:tabs>
        <w:adjustRightInd w:val="0"/>
        <w:snapToGrid w:val="0"/>
        <w:spacing w:line="360" w:lineRule="auto"/>
        <w:ind w:firstLine="480" w:firstLineChars="200"/>
        <w:outlineLvl w:val="0"/>
        <w:rPr>
          <w:rFonts w:ascii="宋体" w:hAnsi="宋体"/>
          <w:bCs/>
          <w:sz w:val="24"/>
          <w:szCs w:val="24"/>
        </w:rPr>
      </w:pPr>
      <w:r>
        <w:rPr>
          <w:rFonts w:hint="eastAsia" w:ascii="宋体" w:hAnsi="宋体"/>
          <w:bCs/>
          <w:sz w:val="24"/>
          <w:szCs w:val="24"/>
        </w:rPr>
        <w:t>本项目无需缴纳投标保证金。</w:t>
      </w:r>
    </w:p>
    <w:p>
      <w:pPr>
        <w:tabs>
          <w:tab w:val="left" w:pos="945"/>
        </w:tabs>
        <w:adjustRightInd w:val="0"/>
        <w:snapToGrid w:val="0"/>
        <w:spacing w:line="360" w:lineRule="auto"/>
        <w:ind w:firstLine="480" w:firstLineChars="200"/>
        <w:outlineLvl w:val="0"/>
        <w:rPr>
          <w:rFonts w:ascii="黑体" w:hAnsi="宋体" w:eastAsia="黑体"/>
          <w:bCs/>
          <w:sz w:val="24"/>
          <w:szCs w:val="24"/>
        </w:rPr>
      </w:pPr>
      <w:r>
        <w:rPr>
          <w:rFonts w:hint="eastAsia" w:ascii="黑体" w:hAnsi="宋体" w:eastAsia="黑体"/>
          <w:b/>
          <w:sz w:val="24"/>
          <w:szCs w:val="24"/>
        </w:rPr>
        <w:t>（十三）</w:t>
      </w:r>
      <w:r>
        <w:rPr>
          <w:rFonts w:hint="eastAsia" w:ascii="黑体" w:hAnsi="宋体" w:eastAsia="黑体"/>
          <w:bCs/>
          <w:sz w:val="24"/>
          <w:szCs w:val="24"/>
        </w:rPr>
        <w:t>中标无效的确认：</w:t>
      </w:r>
    </w:p>
    <w:p>
      <w:pPr>
        <w:numPr>
          <w:ilvl w:val="0"/>
          <w:numId w:val="19"/>
        </w:numPr>
        <w:tabs>
          <w:tab w:val="left" w:pos="420"/>
          <w:tab w:val="left" w:pos="945"/>
          <w:tab w:val="left" w:pos="1155"/>
          <w:tab w:val="clear" w:pos="1710"/>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提供虚假材料谋取中标的；</w:t>
      </w:r>
    </w:p>
    <w:p>
      <w:pPr>
        <w:numPr>
          <w:ilvl w:val="0"/>
          <w:numId w:val="19"/>
        </w:numPr>
        <w:tabs>
          <w:tab w:val="left" w:pos="420"/>
          <w:tab w:val="left" w:pos="945"/>
          <w:tab w:val="left" w:pos="1155"/>
          <w:tab w:val="clear" w:pos="1710"/>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采取不正当手段诋毁、排挤其他投标供应商的；</w:t>
      </w:r>
    </w:p>
    <w:p>
      <w:pPr>
        <w:numPr>
          <w:ilvl w:val="0"/>
          <w:numId w:val="19"/>
        </w:numPr>
        <w:tabs>
          <w:tab w:val="left" w:pos="420"/>
          <w:tab w:val="left" w:pos="945"/>
          <w:tab w:val="left" w:pos="1155"/>
          <w:tab w:val="clear" w:pos="1710"/>
        </w:tabs>
        <w:adjustRightInd w:val="0"/>
        <w:snapToGrid w:val="0"/>
        <w:spacing w:line="360" w:lineRule="auto"/>
        <w:ind w:left="0" w:firstLine="523" w:firstLineChars="218"/>
        <w:rPr>
          <w:rFonts w:ascii="宋体" w:hAnsi="宋体"/>
          <w:bCs/>
          <w:sz w:val="24"/>
          <w:szCs w:val="24"/>
        </w:rPr>
      </w:pPr>
      <w:r>
        <w:rPr>
          <w:rFonts w:hint="eastAsia" w:ascii="宋体" w:hAnsi="宋体"/>
          <w:bCs/>
          <w:sz w:val="24"/>
          <w:szCs w:val="24"/>
        </w:rPr>
        <w:t>与招标采购单位、其他投标供应商恶意串通的；</w:t>
      </w:r>
    </w:p>
    <w:p>
      <w:pPr>
        <w:tabs>
          <w:tab w:val="left" w:pos="420"/>
          <w:tab w:val="left" w:pos="945"/>
          <w:tab w:val="left" w:pos="1155"/>
        </w:tabs>
        <w:adjustRightInd w:val="0"/>
        <w:snapToGrid w:val="0"/>
        <w:spacing w:line="360" w:lineRule="auto"/>
        <w:ind w:left="420" w:leftChars="200" w:firstLine="120" w:firstLineChars="50"/>
        <w:rPr>
          <w:rFonts w:ascii="宋体" w:hAnsi="宋体"/>
          <w:bCs/>
          <w:sz w:val="24"/>
          <w:szCs w:val="24"/>
        </w:rPr>
      </w:pPr>
      <w:r>
        <w:rPr>
          <w:rFonts w:hint="eastAsia" w:ascii="宋体" w:hAnsi="宋体"/>
          <w:bCs/>
          <w:sz w:val="24"/>
          <w:szCs w:val="24"/>
        </w:rPr>
        <w:t>（4）向招标采购单位行贿或者提供其他不正当利益的；</w:t>
      </w:r>
    </w:p>
    <w:p>
      <w:pPr>
        <w:tabs>
          <w:tab w:val="left" w:pos="420"/>
          <w:tab w:val="left" w:pos="945"/>
          <w:tab w:val="left" w:pos="1155"/>
        </w:tabs>
        <w:adjustRightInd w:val="0"/>
        <w:snapToGrid w:val="0"/>
        <w:spacing w:line="360" w:lineRule="auto"/>
        <w:ind w:left="420" w:leftChars="200" w:firstLine="120" w:firstLineChars="50"/>
        <w:rPr>
          <w:rFonts w:ascii="宋体" w:hAnsi="宋体"/>
          <w:bCs/>
          <w:sz w:val="24"/>
          <w:szCs w:val="24"/>
        </w:rPr>
      </w:pPr>
      <w:r>
        <w:rPr>
          <w:rFonts w:hint="eastAsia" w:ascii="宋体" w:hAnsi="宋体"/>
          <w:bCs/>
          <w:sz w:val="24"/>
          <w:szCs w:val="24"/>
        </w:rPr>
        <w:t>（5）在招标过程中与招标采购单位进行协商谈判、不按照采购文件和中标供应商的投标文件订立合同，或者与采购人另行订立背离合同实质性内容的协议的；</w:t>
      </w:r>
    </w:p>
    <w:p>
      <w:pPr>
        <w:tabs>
          <w:tab w:val="left" w:pos="420"/>
          <w:tab w:val="left" w:pos="945"/>
          <w:tab w:val="left" w:pos="1155"/>
        </w:tabs>
        <w:adjustRightInd w:val="0"/>
        <w:snapToGrid w:val="0"/>
        <w:spacing w:line="360" w:lineRule="auto"/>
        <w:ind w:left="420" w:leftChars="200" w:firstLine="120" w:firstLineChars="50"/>
        <w:rPr>
          <w:rFonts w:ascii="宋体" w:hAnsi="宋体"/>
          <w:bCs/>
          <w:sz w:val="24"/>
          <w:szCs w:val="24"/>
        </w:rPr>
      </w:pPr>
      <w:r>
        <w:rPr>
          <w:rFonts w:hint="eastAsia" w:ascii="宋体" w:hAnsi="宋体"/>
          <w:bCs/>
          <w:sz w:val="24"/>
          <w:szCs w:val="24"/>
        </w:rPr>
        <w:t>（6）拒绝有关部门监督检查或者提供虚假情况的。</w:t>
      </w:r>
    </w:p>
    <w:p>
      <w:pPr>
        <w:tabs>
          <w:tab w:val="left" w:pos="945"/>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adjustRightInd w:val="0"/>
        <w:snapToGrid w:val="0"/>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（十四）签订、履行合同：</w:t>
      </w:r>
    </w:p>
    <w:p>
      <w:pPr>
        <w:tabs>
          <w:tab w:val="left" w:pos="525"/>
          <w:tab w:val="left" w:pos="94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rPr>
        <w:t>1、采购人应当自中标通知书发出之日起15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pPr>
        <w:tabs>
          <w:tab w:val="left" w:pos="525"/>
          <w:tab w:val="left" w:pos="94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2、采购代理机构监督合同的履行。中标供应商非因不可抗力未履行招、投标文件和合同规定的义务，一经查实，采购代理机构将根据具体情况提请政府采购管理部门作出相应处理。</w:t>
      </w:r>
    </w:p>
    <w:p>
      <w:pPr>
        <w:tabs>
          <w:tab w:val="left" w:pos="525"/>
          <w:tab w:val="left" w:pos="945"/>
          <w:tab w:val="left" w:pos="105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3、若由于相应国家法律法规、地方法规、行业规章、政策文件等变动造成项目中止，项目参与各方均不承担违约责任。</w:t>
      </w:r>
    </w:p>
    <w:p>
      <w:pPr>
        <w:numPr>
          <w:ilvl w:val="0"/>
          <w:numId w:val="20"/>
        </w:numPr>
        <w:adjustRightInd w:val="0"/>
        <w:snapToGrid w:val="0"/>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招标代理费：</w:t>
      </w:r>
    </w:p>
    <w:p>
      <w:pPr>
        <w:tabs>
          <w:tab w:val="left" w:pos="220"/>
          <w:tab w:val="left" w:pos="945"/>
          <w:tab w:val="left" w:pos="1050"/>
        </w:tabs>
        <w:adjustRightInd w:val="0"/>
        <w:snapToGrid w:val="0"/>
        <w:spacing w:line="360" w:lineRule="auto"/>
        <w:ind w:left="5" w:firstLine="592" w:firstLineChars="247"/>
        <w:rPr>
          <w:rFonts w:ascii="宋体" w:hAnsi="宋体"/>
          <w:bCs/>
          <w:sz w:val="24"/>
          <w:szCs w:val="24"/>
        </w:rPr>
      </w:pPr>
      <w:r>
        <w:rPr>
          <w:rFonts w:hint="eastAsia" w:ascii="宋体" w:hAnsi="宋体"/>
          <w:bCs/>
          <w:sz w:val="24"/>
          <w:szCs w:val="24"/>
        </w:rPr>
        <w:t>本项目招标代理费由中标供应商支付，费率参照计价格[2002]1980号文（服务类）七折执行。</w:t>
      </w:r>
    </w:p>
    <w:p>
      <w:pPr>
        <w:tabs>
          <w:tab w:val="left" w:pos="220"/>
          <w:tab w:val="left" w:pos="945"/>
          <w:tab w:val="left" w:pos="1050"/>
        </w:tabs>
        <w:adjustRightInd w:val="0"/>
        <w:snapToGrid w:val="0"/>
        <w:spacing w:line="360" w:lineRule="auto"/>
        <w:ind w:left="5" w:firstLine="592" w:firstLineChars="247"/>
        <w:rPr>
          <w:rFonts w:ascii="宋体" w:hAnsi="宋体"/>
          <w:bCs/>
          <w:sz w:val="24"/>
          <w:szCs w:val="24"/>
        </w:rPr>
      </w:pPr>
      <w:r>
        <w:rPr>
          <w:rFonts w:hint="eastAsia" w:ascii="宋体" w:hAnsi="宋体"/>
          <w:bCs/>
          <w:sz w:val="24"/>
          <w:szCs w:val="24"/>
        </w:rPr>
        <w:t>中标供应商在领取中标通知书时一次性结清前述费用。</w:t>
      </w:r>
    </w:p>
    <w:p>
      <w:pPr>
        <w:adjustRightInd w:val="0"/>
        <w:snapToGrid w:val="0"/>
        <w:spacing w:line="360" w:lineRule="auto"/>
        <w:ind w:firstLine="480" w:firstLineChars="200"/>
        <w:outlineLvl w:val="0"/>
        <w:rPr>
          <w:rFonts w:ascii="黑体" w:hAnsi="宋体" w:eastAsia="黑体"/>
          <w:bCs/>
          <w:sz w:val="24"/>
          <w:szCs w:val="24"/>
          <w:lang w:val="zh-CN"/>
        </w:rPr>
      </w:pPr>
      <w:r>
        <w:rPr>
          <w:rFonts w:hint="eastAsia" w:ascii="黑体" w:hAnsi="宋体" w:eastAsia="黑体"/>
          <w:bCs/>
          <w:sz w:val="24"/>
          <w:szCs w:val="24"/>
          <w:lang w:val="zh-CN"/>
        </w:rPr>
        <w:t>（十六）政府采购信用担保：</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政府采购信用担保，是由专业担保机构为供应商向采购人、代理机构、金融机构提供的保证，主要包括：履约担保、</w:t>
      </w:r>
      <w:r>
        <w:rPr>
          <w:rFonts w:hint="eastAsia" w:ascii="宋体" w:hAnsi="宋体"/>
          <w:bCs/>
          <w:sz w:val="24"/>
          <w:szCs w:val="24"/>
        </w:rPr>
        <w:t>合同融资2</w:t>
      </w:r>
      <w:r>
        <w:rPr>
          <w:rFonts w:hint="eastAsia" w:ascii="宋体" w:hAnsi="宋体"/>
          <w:bCs/>
          <w:sz w:val="24"/>
          <w:szCs w:val="24"/>
          <w:lang w:val="zh-CN"/>
        </w:rPr>
        <w:t>种形式。供应商可以根据自身情况，自行决定是否选择采用担保形式。</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1.履约担保</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政府采购履约担保函格式见附件</w:t>
      </w:r>
      <w:r>
        <w:rPr>
          <w:rFonts w:hint="eastAsia" w:ascii="宋体" w:hAnsi="宋体"/>
          <w:bCs/>
          <w:sz w:val="24"/>
          <w:szCs w:val="24"/>
        </w:rPr>
        <w:t>1</w:t>
      </w:r>
      <w:r>
        <w:rPr>
          <w:rFonts w:hint="eastAsia" w:ascii="宋体" w:hAnsi="宋体"/>
          <w:bCs/>
          <w:sz w:val="24"/>
          <w:szCs w:val="24"/>
          <w:lang w:val="zh-CN"/>
        </w:rPr>
        <w:t>。</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bCs/>
          <w:sz w:val="24"/>
          <w:szCs w:val="24"/>
          <w:lang w:val="zh-CN"/>
        </w:rPr>
        <w:t>.</w:t>
      </w:r>
      <w:r>
        <w:rPr>
          <w:rFonts w:hint="eastAsia" w:ascii="宋体" w:hAnsi="宋体"/>
          <w:bCs/>
          <w:sz w:val="24"/>
          <w:szCs w:val="24"/>
        </w:rPr>
        <w:t>合同</w:t>
      </w:r>
      <w:r>
        <w:rPr>
          <w:rFonts w:hint="eastAsia" w:ascii="宋体" w:hAnsi="宋体"/>
          <w:bCs/>
          <w:sz w:val="24"/>
          <w:szCs w:val="24"/>
          <w:lang w:val="zh-CN"/>
        </w:rPr>
        <w:t>融资</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945"/>
          <w:tab w:val="left" w:pos="1050"/>
        </w:tabs>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中标、成交供应商可根据自身情况，自行决定是否选择采用合同融资形式，在无锡政府采购网——政采贷专栏提供的银行名录内自主选择合作银行。</w:t>
      </w:r>
    </w:p>
    <w:p>
      <w:pPr>
        <w:tabs>
          <w:tab w:val="left" w:pos="525"/>
          <w:tab w:val="left" w:pos="945"/>
          <w:tab w:val="left" w:pos="1050"/>
        </w:tabs>
        <w:adjustRightInd w:val="0"/>
        <w:snapToGrid w:val="0"/>
        <w:spacing w:line="360" w:lineRule="auto"/>
        <w:ind w:firstLine="480" w:firstLineChars="200"/>
        <w:rPr>
          <w:rFonts w:ascii="ˎ̥" w:hAnsi="ˎ̥" w:cs="宋体"/>
          <w:sz w:val="24"/>
        </w:rPr>
      </w:pPr>
      <w:r>
        <w:rPr>
          <w:rFonts w:hint="eastAsia" w:ascii="宋体" w:hAnsi="宋体"/>
          <w:bCs/>
          <w:sz w:val="24"/>
          <w:szCs w:val="24"/>
        </w:rPr>
        <w:t>3</w:t>
      </w:r>
      <w:r>
        <w:rPr>
          <w:rFonts w:hint="eastAsia" w:ascii="宋体" w:hAnsi="宋体"/>
          <w:bCs/>
          <w:sz w:val="24"/>
          <w:szCs w:val="24"/>
          <w:lang w:val="zh-CN"/>
        </w:rPr>
        <w:t>.</w:t>
      </w:r>
      <w:r>
        <w:rPr>
          <w:rFonts w:hint="eastAsia" w:ascii="宋体" w:hAnsi="宋体"/>
          <w:bCs/>
          <w:sz w:val="24"/>
        </w:rPr>
        <w:t>合作担保机构及银行出具的履约担保函及银行保函等，均具有《财政部关于开展政府采购信用担保试点工作的通知》中列明的担保效力。</w:t>
      </w:r>
      <w:r>
        <w:rPr>
          <w:rFonts w:ascii="宋体" w:hAnsi="宋体"/>
          <w:bCs/>
          <w:sz w:val="24"/>
        </w:rPr>
        <w:t>除不可抗力外，无论基于何种原因</w:t>
      </w:r>
      <w:r>
        <w:rPr>
          <w:rFonts w:ascii="ˎ̥" w:hAnsi="ˎ̥" w:cs="宋体"/>
          <w:sz w:val="24"/>
        </w:rPr>
        <w:t>，供应商一旦出现违约情形，承担保证责任的专业担保机构应当先行按照政府采购担保函及时进行偿付，偿付完成后，再按与供应商签订的协议约定内容进行追偿。</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rPr>
        <w:t>（十七）其他：</w:t>
      </w:r>
    </w:p>
    <w:p>
      <w:pPr>
        <w:adjustRightInd w:val="0"/>
        <w:snapToGrid w:val="0"/>
        <w:spacing w:line="360" w:lineRule="auto"/>
        <w:ind w:firstLine="480" w:firstLineChars="200"/>
        <w:rPr>
          <w:rFonts w:ascii="宋体" w:hAnsi="宋体"/>
          <w:bCs/>
          <w:sz w:val="24"/>
        </w:rPr>
      </w:pPr>
      <w:r>
        <w:rPr>
          <w:rFonts w:hint="eastAsia" w:ascii="宋体" w:hAnsi="宋体"/>
          <w:bCs/>
          <w:sz w:val="24"/>
        </w:rPr>
        <w:t>采购文件的条款必须认真审阅，投标供应商应自行检查采购文件页数是否齐全。若有遗漏、重复或不清楚，需立刻通知采购人予以更正；凡属对条款的误解所造成的投标价格失误，由投标供应商负责。</w:t>
      </w:r>
    </w:p>
    <w:p>
      <w:pPr>
        <w:spacing w:line="400" w:lineRule="exact"/>
        <w:jc w:val="center"/>
        <w:rPr>
          <w:rFonts w:ascii="黑体" w:eastAsia="黑体"/>
          <w:b/>
          <w:sz w:val="30"/>
          <w:szCs w:val="30"/>
        </w:rPr>
      </w:pPr>
      <w:r>
        <w:rPr>
          <w:rFonts w:hint="eastAsia" w:ascii="黑体" w:eastAsia="黑体"/>
          <w:bCs/>
          <w:sz w:val="30"/>
          <w:szCs w:val="30"/>
        </w:rPr>
        <w:br w:type="page"/>
      </w:r>
      <w:r>
        <w:rPr>
          <w:rFonts w:hint="eastAsia" w:ascii="黑体" w:eastAsia="黑体"/>
          <w:bCs/>
          <w:sz w:val="30"/>
          <w:szCs w:val="30"/>
        </w:rPr>
        <w:t>三．</w:t>
      </w:r>
      <w:r>
        <w:rPr>
          <w:rFonts w:hint="eastAsia" w:ascii="黑体" w:eastAsia="黑体"/>
          <w:b/>
          <w:sz w:val="30"/>
          <w:szCs w:val="30"/>
        </w:rPr>
        <w:t>项目要求和有关说明</w:t>
      </w:r>
    </w:p>
    <w:p>
      <w:pPr>
        <w:spacing w:line="360" w:lineRule="auto"/>
        <w:ind w:firstLine="480" w:firstLineChars="200"/>
        <w:rPr>
          <w:rFonts w:asciiTheme="minorEastAsia" w:hAnsiTheme="minorEastAsia" w:eastAsiaTheme="minorEastAsia" w:cstheme="minorEastAsia"/>
          <w:sz w:val="24"/>
        </w:rPr>
      </w:pPr>
      <w:r>
        <w:rPr>
          <w:rFonts w:hint="eastAsia" w:ascii="宋体" w:hAnsi="宋体" w:cs="宋体"/>
          <w:b/>
          <w:bCs/>
          <w:sz w:val="24"/>
        </w:rPr>
        <w:t>一、</w:t>
      </w:r>
      <w:r>
        <w:rPr>
          <w:rFonts w:hint="eastAsia" w:ascii="宋体" w:hAnsi="宋体" w:cs="仿宋"/>
          <w:b/>
          <w:sz w:val="24"/>
        </w:rPr>
        <w:t>项目概述：</w:t>
      </w:r>
    </w:p>
    <w:p>
      <w:pPr>
        <w:pStyle w:val="132"/>
        <w:widowControl/>
        <w:spacing w:line="360" w:lineRule="auto"/>
        <w:ind w:firstLine="480"/>
        <w:jc w:val="left"/>
        <w:rPr>
          <w:rFonts w:asciiTheme="minorEastAsia" w:hAnsiTheme="minorEastAsia" w:eastAsiaTheme="minorEastAsia" w:cstheme="minorEastAsia"/>
          <w:color w:val="auto"/>
          <w:sz w:val="24"/>
        </w:rPr>
      </w:pPr>
      <w:r>
        <w:rPr>
          <w:rStyle w:val="133"/>
          <w:rFonts w:ascii="宋体" w:hAnsi="宋体" w:eastAsia="宋体" w:cs="宋体"/>
          <w:color w:val="auto"/>
          <w:sz w:val="24"/>
          <w:szCs w:val="24"/>
          <w:lang w:val="zh-TW" w:eastAsia="zh-TW"/>
        </w:rPr>
        <w:t>为切实加强</w:t>
      </w:r>
      <w:r>
        <w:rPr>
          <w:rStyle w:val="133"/>
          <w:rFonts w:hint="eastAsia" w:ascii="宋体" w:hAnsi="宋体" w:eastAsia="宋体" w:cs="宋体"/>
          <w:color w:val="auto"/>
          <w:sz w:val="24"/>
          <w:szCs w:val="24"/>
          <w:lang w:val="zh-TW"/>
        </w:rPr>
        <w:t>江苏省荣军医院</w:t>
      </w:r>
      <w:r>
        <w:rPr>
          <w:rStyle w:val="133"/>
          <w:rFonts w:ascii="宋体" w:hAnsi="宋体" w:eastAsia="宋体" w:cs="宋体"/>
          <w:color w:val="auto"/>
          <w:sz w:val="24"/>
          <w:szCs w:val="24"/>
          <w:lang w:val="zh-TW" w:eastAsia="zh-TW"/>
        </w:rPr>
        <w:t>食品卫生安全管理及物资招标管理，进一步提高</w:t>
      </w:r>
      <w:r>
        <w:rPr>
          <w:rStyle w:val="133"/>
          <w:rFonts w:hint="eastAsia" w:ascii="宋体" w:hAnsi="宋体" w:eastAsia="宋体" w:cs="宋体"/>
          <w:color w:val="auto"/>
          <w:sz w:val="24"/>
          <w:szCs w:val="24"/>
        </w:rPr>
        <w:t>医院</w:t>
      </w:r>
      <w:r>
        <w:rPr>
          <w:rStyle w:val="133"/>
          <w:rFonts w:ascii="宋体" w:hAnsi="宋体" w:eastAsia="宋体" w:cs="宋体"/>
          <w:color w:val="auto"/>
          <w:sz w:val="24"/>
          <w:szCs w:val="24"/>
          <w:lang w:val="zh-TW" w:eastAsia="zh-TW"/>
        </w:rPr>
        <w:t>食堂饭菜质量，确保原材料招标价格公开、透明、合理，推动</w:t>
      </w:r>
      <w:r>
        <w:rPr>
          <w:rStyle w:val="133"/>
          <w:rFonts w:hint="eastAsia" w:ascii="宋体" w:hAnsi="宋体" w:eastAsia="宋体" w:cs="宋体"/>
          <w:color w:val="auto"/>
          <w:sz w:val="24"/>
          <w:szCs w:val="24"/>
        </w:rPr>
        <w:t>医院</w:t>
      </w:r>
      <w:r>
        <w:rPr>
          <w:rStyle w:val="133"/>
          <w:rFonts w:ascii="宋体" w:hAnsi="宋体" w:eastAsia="宋体" w:cs="宋体"/>
          <w:color w:val="auto"/>
          <w:sz w:val="24"/>
          <w:szCs w:val="24"/>
          <w:lang w:val="zh-TW" w:eastAsia="zh-TW"/>
        </w:rPr>
        <w:t>食堂后勤服务的</w:t>
      </w:r>
      <w:r>
        <w:rPr>
          <w:rStyle w:val="134"/>
          <w:color w:val="auto"/>
        </w:rPr>
        <w:t>“</w:t>
      </w:r>
      <w:r>
        <w:rPr>
          <w:rStyle w:val="133"/>
          <w:rFonts w:ascii="宋体" w:hAnsi="宋体" w:eastAsia="宋体" w:cs="宋体"/>
          <w:color w:val="auto"/>
          <w:sz w:val="24"/>
          <w:szCs w:val="24"/>
          <w:lang w:val="zh-TW" w:eastAsia="zh-TW"/>
        </w:rPr>
        <w:t>专业化</w:t>
      </w:r>
      <w:r>
        <w:rPr>
          <w:rStyle w:val="134"/>
          <w:color w:val="auto"/>
        </w:rPr>
        <w:t>”</w:t>
      </w:r>
      <w:r>
        <w:rPr>
          <w:rStyle w:val="133"/>
          <w:rFonts w:ascii="宋体" w:hAnsi="宋体" w:eastAsia="宋体" w:cs="宋体"/>
          <w:color w:val="auto"/>
          <w:sz w:val="24"/>
          <w:szCs w:val="24"/>
          <w:lang w:val="zh-TW" w:eastAsia="zh-TW"/>
        </w:rPr>
        <w:t>和</w:t>
      </w:r>
      <w:r>
        <w:rPr>
          <w:rStyle w:val="134"/>
          <w:color w:val="auto"/>
        </w:rPr>
        <w:t>“</w:t>
      </w:r>
      <w:r>
        <w:rPr>
          <w:rStyle w:val="133"/>
          <w:rFonts w:ascii="宋体" w:hAnsi="宋体" w:eastAsia="宋体" w:cs="宋体"/>
          <w:color w:val="auto"/>
          <w:sz w:val="24"/>
          <w:szCs w:val="24"/>
          <w:lang w:val="zh-TW" w:eastAsia="zh-TW"/>
        </w:rPr>
        <w:t>规范化</w:t>
      </w:r>
      <w:r>
        <w:rPr>
          <w:rStyle w:val="134"/>
          <w:color w:val="auto"/>
        </w:rPr>
        <w:t>”</w:t>
      </w:r>
      <w:r>
        <w:rPr>
          <w:rStyle w:val="133"/>
          <w:rFonts w:ascii="宋体" w:hAnsi="宋体" w:eastAsia="宋体" w:cs="宋体"/>
          <w:color w:val="auto"/>
          <w:sz w:val="24"/>
          <w:szCs w:val="24"/>
          <w:lang w:val="zh-TW" w:eastAsia="zh-TW"/>
        </w:rPr>
        <w:t>，</w:t>
      </w:r>
      <w:r>
        <w:rPr>
          <w:rStyle w:val="133"/>
          <w:rFonts w:hint="eastAsia" w:ascii="宋体" w:hAnsi="宋体" w:eastAsia="宋体" w:cs="宋体"/>
          <w:color w:val="auto"/>
          <w:sz w:val="24"/>
          <w:szCs w:val="24"/>
          <w:lang w:val="zh-TW"/>
        </w:rPr>
        <w:t>江苏省荣军医院</w:t>
      </w:r>
      <w:r>
        <w:rPr>
          <w:rStyle w:val="133"/>
          <w:rFonts w:ascii="宋体" w:hAnsi="宋体" w:eastAsia="宋体" w:cs="宋体"/>
          <w:color w:val="auto"/>
          <w:sz w:val="24"/>
          <w:szCs w:val="24"/>
          <w:lang w:val="zh-TW" w:eastAsia="zh-TW"/>
        </w:rPr>
        <w:t>实施食堂食材</w:t>
      </w:r>
      <w:r>
        <w:rPr>
          <w:rStyle w:val="133"/>
          <w:rFonts w:hint="eastAsia" w:ascii="宋体" w:hAnsi="宋体" w:eastAsia="宋体" w:cs="宋体"/>
          <w:color w:val="auto"/>
          <w:sz w:val="24"/>
          <w:szCs w:val="24"/>
          <w:lang w:val="zh-TW" w:eastAsia="zh-TW"/>
        </w:rPr>
        <w:t>采购</w:t>
      </w:r>
      <w:r>
        <w:rPr>
          <w:rStyle w:val="133"/>
          <w:rFonts w:ascii="宋体" w:hAnsi="宋体" w:eastAsia="宋体" w:cs="宋体"/>
          <w:color w:val="auto"/>
          <w:sz w:val="24"/>
          <w:szCs w:val="24"/>
          <w:lang w:val="zh-TW" w:eastAsia="zh-TW"/>
        </w:rPr>
        <w:t>项目公开招标、定点配送。</w:t>
      </w:r>
    </w:p>
    <w:p>
      <w:pPr>
        <w:shd w:val="clear" w:color="auto" w:fill="FFFFFF"/>
        <w:spacing w:line="360" w:lineRule="auto"/>
        <w:ind w:left="18" w:leftChars="9" w:firstLine="458" w:firstLineChars="19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本项目分两个标段进行采购，</w:t>
      </w:r>
      <w:r>
        <w:rPr>
          <w:rFonts w:hint="eastAsia" w:ascii="宋体" w:hAnsi="宋体" w:cs="宋体"/>
          <w:sz w:val="24"/>
        </w:rPr>
        <w:t>采购预算总额：640万元（最终以实际结算金额为准）。</w:t>
      </w:r>
    </w:p>
    <w:p>
      <w:pPr>
        <w:shd w:val="clear" w:color="auto" w:fill="FFFFFF"/>
        <w:spacing w:line="360" w:lineRule="auto"/>
        <w:ind w:left="18" w:leftChars="9" w:firstLine="458" w:firstLineChars="191"/>
        <w:rPr>
          <w:rFonts w:asciiTheme="minorEastAsia" w:hAnsiTheme="minorEastAsia" w:eastAsiaTheme="minorEastAsia" w:cstheme="minorEastAsia"/>
          <w:sz w:val="24"/>
          <w:lang w:val="zh-TW"/>
        </w:rPr>
      </w:pPr>
      <w:r>
        <w:rPr>
          <w:rFonts w:hint="eastAsia"/>
          <w:sz w:val="24"/>
          <w:lang w:val="zh-TW" w:eastAsia="zh-TW"/>
        </w:rPr>
        <w:t>标段</w:t>
      </w:r>
      <w:r>
        <w:rPr>
          <w:rFonts w:hint="eastAsia"/>
          <w:sz w:val="24"/>
        </w:rPr>
        <w:t>一预</w:t>
      </w:r>
      <w:r>
        <w:rPr>
          <w:rFonts w:hint="eastAsia" w:asciiTheme="minorEastAsia" w:hAnsiTheme="minorEastAsia" w:eastAsiaTheme="minorEastAsia" w:cstheme="minorEastAsia"/>
          <w:sz w:val="24"/>
        </w:rPr>
        <w:t>算440万元/两年</w:t>
      </w:r>
      <w:r>
        <w:rPr>
          <w:rFonts w:hint="eastAsia" w:asciiTheme="minorEastAsia" w:hAnsiTheme="minorEastAsia" w:eastAsiaTheme="minorEastAsia" w:cstheme="minorEastAsia"/>
          <w:sz w:val="24"/>
          <w:lang w:val="zh-TW" w:eastAsia="zh-TW"/>
        </w:rPr>
        <w:t>：</w:t>
      </w:r>
      <w:r>
        <w:rPr>
          <w:rFonts w:hint="eastAsia" w:asciiTheme="minorEastAsia" w:hAnsiTheme="minorEastAsia" w:eastAsiaTheme="minorEastAsia" w:cstheme="minorEastAsia"/>
          <w:sz w:val="24"/>
        </w:rPr>
        <w:t>包含新鲜肉类（含猪牛羊肉等）及其冻品、新鲜禽类及其冻品、速冻面点类、水产品类</w:t>
      </w:r>
      <w:r>
        <w:rPr>
          <w:rFonts w:hint="eastAsia" w:asciiTheme="minorEastAsia" w:hAnsiTheme="minorEastAsia" w:eastAsiaTheme="minorEastAsia" w:cstheme="minorEastAsia"/>
          <w:sz w:val="24"/>
          <w:lang w:val="zh-TW" w:eastAsia="zh-TW"/>
        </w:rPr>
        <w:t>、</w:t>
      </w:r>
      <w:r>
        <w:rPr>
          <w:rFonts w:hint="eastAsia" w:asciiTheme="minorEastAsia" w:hAnsiTheme="minorEastAsia" w:eastAsiaTheme="minorEastAsia" w:cstheme="minorEastAsia"/>
          <w:sz w:val="24"/>
        </w:rPr>
        <w:t>禽</w:t>
      </w:r>
      <w:r>
        <w:rPr>
          <w:rFonts w:hint="eastAsia" w:asciiTheme="minorEastAsia" w:hAnsiTheme="minorEastAsia" w:eastAsiaTheme="minorEastAsia" w:cstheme="minorEastAsia"/>
          <w:sz w:val="24"/>
          <w:lang w:val="zh-TW" w:eastAsia="zh-TW"/>
        </w:rPr>
        <w:t>蛋类</w:t>
      </w:r>
      <w:r>
        <w:rPr>
          <w:rFonts w:hint="eastAsia" w:asciiTheme="minorEastAsia" w:hAnsiTheme="minorEastAsia" w:eastAsiaTheme="minorEastAsia" w:cstheme="minorEastAsia"/>
          <w:sz w:val="24"/>
          <w:lang w:val="zh-TW"/>
        </w:rPr>
        <w:t>、</w:t>
      </w:r>
      <w:r>
        <w:rPr>
          <w:rFonts w:hint="eastAsia" w:asciiTheme="minorEastAsia" w:hAnsiTheme="minorEastAsia" w:eastAsiaTheme="minorEastAsia" w:cstheme="minorEastAsia"/>
          <w:sz w:val="24"/>
          <w:lang w:val="zh-TW" w:eastAsia="zh-TW"/>
        </w:rPr>
        <w:t>蔬菜、水果</w:t>
      </w:r>
      <w:r>
        <w:rPr>
          <w:rFonts w:hint="eastAsia" w:asciiTheme="minorEastAsia" w:hAnsiTheme="minorEastAsia" w:eastAsiaTheme="minorEastAsia" w:cstheme="minorEastAsia"/>
          <w:sz w:val="24"/>
          <w:lang w:val="zh-TW"/>
        </w:rPr>
        <w:t>、</w:t>
      </w:r>
      <w:r>
        <w:rPr>
          <w:rFonts w:hint="eastAsia" w:asciiTheme="minorEastAsia" w:hAnsiTheme="minorEastAsia" w:eastAsiaTheme="minorEastAsia" w:cstheme="minorEastAsia"/>
          <w:sz w:val="24"/>
        </w:rPr>
        <w:t>豆制品、南北货以及应急及零星采购食材任务等等。</w:t>
      </w:r>
    </w:p>
    <w:p>
      <w:pPr>
        <w:shd w:val="clear" w:color="auto" w:fill="FFFFFF"/>
        <w:spacing w:line="360" w:lineRule="auto"/>
        <w:ind w:left="18" w:leftChars="9" w:firstLine="458" w:firstLineChars="191"/>
        <w:rPr>
          <w:sz w:val="24"/>
          <w:lang w:val="zh-TW"/>
        </w:rPr>
      </w:pPr>
      <w:r>
        <w:rPr>
          <w:rFonts w:hint="eastAsia" w:asciiTheme="minorEastAsia" w:hAnsiTheme="minorEastAsia" w:eastAsiaTheme="minorEastAsia" w:cstheme="minorEastAsia"/>
          <w:sz w:val="24"/>
          <w:lang w:val="zh-TW" w:eastAsia="zh-TW"/>
        </w:rPr>
        <w:t>标段</w:t>
      </w:r>
      <w:r>
        <w:rPr>
          <w:rFonts w:hint="eastAsia" w:asciiTheme="minorEastAsia" w:hAnsiTheme="minorEastAsia" w:eastAsiaTheme="minorEastAsia" w:cstheme="minorEastAsia"/>
          <w:sz w:val="24"/>
        </w:rPr>
        <w:t>二预算200万元/</w:t>
      </w:r>
      <w:r>
        <w:rPr>
          <w:rFonts w:hint="eastAsia"/>
          <w:sz w:val="24"/>
        </w:rPr>
        <w:t>两年</w:t>
      </w:r>
      <w:r>
        <w:rPr>
          <w:rFonts w:hint="eastAsia"/>
          <w:sz w:val="24"/>
          <w:lang w:val="zh-TW" w:eastAsia="zh-TW"/>
        </w:rPr>
        <w:t>：</w:t>
      </w:r>
      <w:r>
        <w:rPr>
          <w:rFonts w:hint="eastAsia"/>
          <w:sz w:val="24"/>
        </w:rPr>
        <w:t>包含</w:t>
      </w:r>
      <w:r>
        <w:rPr>
          <w:rFonts w:hint="eastAsia"/>
          <w:sz w:val="24"/>
          <w:lang w:val="zh-TW" w:eastAsia="zh-TW"/>
        </w:rPr>
        <w:t>大米面粉、粮油、调料、</w:t>
      </w:r>
      <w:r>
        <w:rPr>
          <w:rFonts w:hint="eastAsia"/>
          <w:sz w:val="24"/>
        </w:rPr>
        <w:t>奶制品</w:t>
      </w:r>
      <w:r>
        <w:rPr>
          <w:rFonts w:hint="eastAsia"/>
          <w:sz w:val="24"/>
          <w:lang w:val="zh-TW" w:eastAsia="zh-TW"/>
        </w:rPr>
        <w:t>、面包蛋糕、水、饮料等副食品</w:t>
      </w:r>
      <w:r>
        <w:rPr>
          <w:rFonts w:hint="eastAsia"/>
          <w:sz w:val="24"/>
        </w:rPr>
        <w:t>以及一次性易耗品等</w:t>
      </w:r>
      <w:r>
        <w:rPr>
          <w:rFonts w:hint="eastAsia"/>
          <w:sz w:val="24"/>
          <w:lang w:val="zh-TW"/>
        </w:rPr>
        <w:t>。</w:t>
      </w:r>
    </w:p>
    <w:p>
      <w:pPr>
        <w:shd w:val="clear" w:color="auto" w:fill="FFFFFF"/>
        <w:spacing w:line="360" w:lineRule="auto"/>
        <w:ind w:firstLine="480" w:firstLineChars="200"/>
        <w:rPr>
          <w:rFonts w:asciiTheme="minorEastAsia" w:hAnsiTheme="minorEastAsia" w:eastAsiaTheme="minorEastAsia" w:cstheme="minorEastAsia"/>
          <w:sz w:val="24"/>
        </w:rPr>
      </w:pPr>
      <w:r>
        <w:rPr>
          <w:rFonts w:hint="eastAsia"/>
          <w:sz w:val="24"/>
          <w:lang w:val="zh-TW"/>
        </w:rPr>
        <w:t>投标人</w:t>
      </w:r>
      <w:r>
        <w:rPr>
          <w:rFonts w:hint="eastAsia"/>
          <w:sz w:val="24"/>
          <w:lang w:val="zh-TW" w:eastAsia="zh-TW"/>
        </w:rPr>
        <w:t>根据自身情况可以投一个或多个标段，但只能中标其中一个</w:t>
      </w:r>
      <w:r>
        <w:rPr>
          <w:rFonts w:hint="eastAsia"/>
          <w:sz w:val="24"/>
          <w:lang w:val="zh-TW"/>
        </w:rPr>
        <w:t>，</w:t>
      </w:r>
      <w:r>
        <w:rPr>
          <w:rFonts w:hint="eastAsia" w:ascii="宋体" w:hAnsi="宋体"/>
          <w:b/>
          <w:sz w:val="24"/>
          <w:szCs w:val="24"/>
        </w:rPr>
        <w:t>评分排名均第一的情况下由投标单位在投标文件中承诺优先中何标段。如某标段排名第一的供应商已经中了其他标段，则该标段由排名第二的供应商中标，依次类推。</w:t>
      </w:r>
    </w:p>
    <w:p>
      <w:pPr>
        <w:shd w:val="clear" w:color="auto" w:fill="FFFFFF"/>
        <w:spacing w:line="360" w:lineRule="auto"/>
        <w:ind w:left="18" w:leftChars="9" w:firstLine="458" w:firstLineChars="191"/>
        <w:rPr>
          <w:sz w:val="24"/>
        </w:rPr>
      </w:pPr>
      <w:r>
        <w:rPr>
          <w:rFonts w:hint="eastAsia"/>
          <w:sz w:val="24"/>
        </w:rPr>
        <w:t>结算采用以下方式：按无锡市发展和改革委员会官网专题专栏中民生价费近期公示价格的平均价格*中标折扣率*实际数量进行结算，如遇网站上没有该食品，则按无锡市天惠超市的价格*中标折扣率*实际数量结算，如遇无锡市发展和改革委员会官网及无锡市天惠超市均没有该类食品，乙方应提前通知甲方，经双方协商后进行调整确认，原则上按寻找到的其他市场价格*中标折扣率*实际数量结算。</w:t>
      </w:r>
    </w:p>
    <w:p>
      <w:pPr>
        <w:shd w:val="clear" w:color="auto" w:fill="FFFFFF"/>
        <w:spacing w:line="360" w:lineRule="auto"/>
        <w:ind w:left="18" w:leftChars="9" w:firstLine="458" w:firstLineChars="191"/>
        <w:rPr>
          <w:sz w:val="24"/>
        </w:rPr>
      </w:pPr>
      <w:r>
        <w:rPr>
          <w:rFonts w:hint="eastAsia"/>
          <w:sz w:val="24"/>
        </w:rPr>
        <w:t>除中标人在投标文件中明确以外，中标人不得再以任何方式转包或分包本项目。</w:t>
      </w:r>
    </w:p>
    <w:p>
      <w:pPr>
        <w:shd w:val="clear" w:color="auto" w:fill="FFFFFF"/>
        <w:spacing w:line="360" w:lineRule="auto"/>
        <w:ind w:left="18" w:leftChars="9" w:firstLine="458" w:firstLineChars="191"/>
        <w:rPr>
          <w:sz w:val="24"/>
        </w:rPr>
      </w:pPr>
      <w:r>
        <w:rPr>
          <w:rFonts w:hint="eastAsia"/>
          <w:sz w:val="24"/>
        </w:rPr>
        <w:t>最终供货食品及数量以采购人提前通知的数量为准。</w:t>
      </w:r>
    </w:p>
    <w:p>
      <w:pPr>
        <w:pStyle w:val="132"/>
        <w:widowControl/>
        <w:spacing w:line="360" w:lineRule="auto"/>
        <w:ind w:firstLine="480"/>
        <w:jc w:val="left"/>
        <w:rPr>
          <w:rFonts w:asciiTheme="minorEastAsia" w:hAnsiTheme="minorEastAsia" w:cstheme="minorEastAsia"/>
          <w:color w:val="auto"/>
          <w:sz w:val="24"/>
          <w:szCs w:val="24"/>
        </w:rPr>
      </w:pPr>
      <w:r>
        <w:rPr>
          <w:rStyle w:val="133"/>
          <w:rFonts w:ascii="宋体" w:hAnsi="宋体" w:eastAsia="宋体" w:cs="宋体"/>
          <w:color w:val="auto"/>
          <w:sz w:val="24"/>
          <w:szCs w:val="24"/>
          <w:lang w:val="zh-TW" w:eastAsia="zh-TW"/>
        </w:rPr>
        <w:t>中标方配送的原材料如：肉类、禽类、水产品、粮油、调味品、副食品、冷冻制品、豆制品、蔬菜、干货等物资必须到正规商店或生产厂家订购，一旦购入并使用通过非正规渠道招标的原材料，中标方必须承担相应的经济和法律责任，招标方有权根据事件决定是否解除供货配送协议。</w:t>
      </w:r>
    </w:p>
    <w:p>
      <w:pPr>
        <w:spacing w:line="300" w:lineRule="auto"/>
        <w:rPr>
          <w:rFonts w:ascii="宋体" w:hAnsi="宋体" w:cs="宋体"/>
          <w:b/>
          <w:bCs/>
          <w:sz w:val="24"/>
        </w:rPr>
      </w:pPr>
      <w:r>
        <w:rPr>
          <w:rFonts w:hint="eastAsia" w:ascii="宋体" w:hAnsi="宋体" w:cs="宋体"/>
          <w:b/>
          <w:bCs/>
          <w:sz w:val="24"/>
        </w:rPr>
        <w:t>二、项目基本要求：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1、供货期：2年，合同1年一签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2、供货时间：</w:t>
      </w:r>
      <w:r>
        <w:rPr>
          <w:rFonts w:hint="eastAsia" w:asciiTheme="minorEastAsia" w:hAnsiTheme="minorEastAsia" w:eastAsiaTheme="minorEastAsia" w:cstheme="minorEastAsia"/>
          <w:sz w:val="24"/>
          <w:lang w:val="zh-TW" w:eastAsia="zh-TW"/>
        </w:rPr>
        <w:t>合同期内按双方约定准时供货，并能按</w:t>
      </w:r>
      <w:r>
        <w:rPr>
          <w:rFonts w:hint="eastAsia" w:asciiTheme="minorEastAsia" w:hAnsiTheme="minorEastAsia" w:eastAsiaTheme="minorEastAsia" w:cstheme="minorEastAsia"/>
          <w:sz w:val="24"/>
          <w:lang w:val="zh-TW"/>
        </w:rPr>
        <w:t>院方</w:t>
      </w:r>
      <w:r>
        <w:rPr>
          <w:rFonts w:hint="eastAsia" w:asciiTheme="minorEastAsia" w:hAnsiTheme="minorEastAsia" w:eastAsiaTheme="minorEastAsia" w:cstheme="minorEastAsia"/>
          <w:sz w:val="24"/>
          <w:lang w:val="zh-TW" w:eastAsia="zh-TW"/>
        </w:rPr>
        <w:t>要求及时补货</w:t>
      </w:r>
    </w:p>
    <w:p>
      <w:pPr>
        <w:spacing w:line="360" w:lineRule="auto"/>
        <w:ind w:firstLine="480" w:firstLineChars="200"/>
        <w:rPr>
          <w:rFonts w:ascii="宋体" w:hAnsi="宋体" w:cs="宋体"/>
          <w:bCs/>
          <w:sz w:val="24"/>
        </w:rPr>
      </w:pPr>
      <w:r>
        <w:rPr>
          <w:rFonts w:hint="eastAsia" w:asciiTheme="minorEastAsia" w:hAnsiTheme="minorEastAsia" w:eastAsiaTheme="minorEastAsia" w:cstheme="minorEastAsia"/>
          <w:sz w:val="24"/>
        </w:rPr>
        <w:t>3、供货地点：</w:t>
      </w:r>
      <w:r>
        <w:rPr>
          <w:rStyle w:val="133"/>
          <w:rFonts w:ascii="宋体" w:hAnsi="宋体" w:cs="宋体"/>
          <w:sz w:val="24"/>
          <w:lang w:val="zh-TW" w:eastAsia="zh-TW"/>
        </w:rPr>
        <w:t>由供应商负责运送至</w:t>
      </w:r>
      <w:r>
        <w:rPr>
          <w:rStyle w:val="133"/>
          <w:rFonts w:hint="eastAsia" w:ascii="宋体" w:hAnsi="宋体" w:cs="宋体"/>
          <w:sz w:val="24"/>
          <w:lang w:val="zh-TW"/>
        </w:rPr>
        <w:t>江苏省荣军医院</w:t>
      </w:r>
      <w:r>
        <w:rPr>
          <w:rStyle w:val="133"/>
          <w:rFonts w:ascii="宋体" w:hAnsi="宋体" w:cs="宋体"/>
          <w:sz w:val="24"/>
          <w:lang w:val="zh-TW" w:eastAsia="zh-TW"/>
        </w:rPr>
        <w:t>的食堂内</w:t>
      </w:r>
      <w:r>
        <w:rPr>
          <w:rFonts w:hint="eastAsia" w:asciiTheme="minorEastAsia" w:hAnsiTheme="minorEastAsia" w:eastAsiaTheme="minorEastAsia" w:cstheme="minorEastAsia"/>
          <w:sz w:val="24"/>
        </w:rPr>
        <w:t>，甲方指定地点</w:t>
      </w:r>
    </w:p>
    <w:p>
      <w:pPr>
        <w:adjustRightInd w:val="0"/>
        <w:snapToGrid w:val="0"/>
        <w:spacing w:line="360" w:lineRule="auto"/>
        <w:ind w:firstLine="480" w:firstLineChars="200"/>
        <w:jc w:val="left"/>
        <w:rPr>
          <w:rStyle w:val="133"/>
          <w:rFonts w:ascii="宋体" w:hAnsi="宋体" w:cs="宋体"/>
          <w:sz w:val="24"/>
          <w:lang w:val="zh-TW" w:eastAsia="zh-TW"/>
        </w:rPr>
      </w:pPr>
      <w:r>
        <w:rPr>
          <w:rFonts w:hint="eastAsia" w:ascii="宋体" w:hAnsi="宋体" w:cs="宋体"/>
          <w:bCs/>
          <w:sz w:val="24"/>
        </w:rPr>
        <w:t>4、建立供应商供货考核评价与退出机制。医院不保证每家供应商的供货量，需要供应商自身加强管理，在服务、质量、食品安全、价格上提高医院的信任和认可。</w:t>
      </w:r>
    </w:p>
    <w:p>
      <w:pPr>
        <w:pStyle w:val="132"/>
        <w:widowControl/>
        <w:spacing w:line="360" w:lineRule="auto"/>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rPr>
        <w:t>三、</w:t>
      </w:r>
      <w:r>
        <w:rPr>
          <w:rStyle w:val="133"/>
          <w:rFonts w:ascii="宋体" w:hAnsi="宋体" w:eastAsia="宋体" w:cs="宋体"/>
          <w:b/>
          <w:bCs/>
          <w:color w:val="auto"/>
          <w:sz w:val="24"/>
          <w:szCs w:val="24"/>
          <w:lang w:val="zh-TW" w:eastAsia="zh-TW"/>
        </w:rPr>
        <w:t>质量要求</w:t>
      </w:r>
    </w:p>
    <w:p>
      <w:pPr>
        <w:pStyle w:val="132"/>
        <w:widowControl/>
        <w:spacing w:line="360" w:lineRule="auto"/>
        <w:ind w:firstLine="480"/>
        <w:jc w:val="left"/>
        <w:rPr>
          <w:rStyle w:val="54"/>
          <w:color w:val="auto"/>
          <w:lang w:val="zh-TW" w:eastAsia="zh-TW"/>
        </w:rPr>
      </w:pPr>
      <w:r>
        <w:rPr>
          <w:rStyle w:val="133"/>
          <w:rFonts w:ascii="宋体" w:hAnsi="宋体" w:eastAsia="宋体" w:cs="宋体"/>
          <w:color w:val="auto"/>
          <w:sz w:val="24"/>
          <w:szCs w:val="24"/>
          <w:lang w:val="zh-TW" w:eastAsia="zh-TW"/>
        </w:rPr>
        <w:t>为保证</w:t>
      </w:r>
      <w:r>
        <w:rPr>
          <w:rStyle w:val="133"/>
          <w:rFonts w:hint="eastAsia" w:ascii="宋体" w:hAnsi="宋体" w:eastAsia="宋体" w:cs="宋体"/>
          <w:color w:val="auto"/>
          <w:sz w:val="24"/>
          <w:szCs w:val="24"/>
          <w:lang w:val="zh-TW"/>
        </w:rPr>
        <w:t>员工</w:t>
      </w:r>
      <w:r>
        <w:rPr>
          <w:rStyle w:val="133"/>
          <w:rFonts w:ascii="宋体" w:hAnsi="宋体" w:eastAsia="宋体" w:cs="宋体"/>
          <w:color w:val="auto"/>
          <w:sz w:val="24"/>
          <w:szCs w:val="24"/>
          <w:lang w:val="zh-TW" w:eastAsia="zh-TW"/>
        </w:rPr>
        <w:t>身体健康</w:t>
      </w:r>
      <w:r>
        <w:rPr>
          <w:rStyle w:val="133"/>
          <w:rFonts w:hint="eastAsia" w:ascii="宋体" w:hAnsi="宋体" w:eastAsia="宋体" w:cs="宋体"/>
          <w:color w:val="auto"/>
          <w:sz w:val="24"/>
          <w:szCs w:val="24"/>
          <w:lang w:val="zh-TW"/>
        </w:rPr>
        <w:t>安全</w:t>
      </w:r>
      <w:r>
        <w:rPr>
          <w:rStyle w:val="133"/>
          <w:rFonts w:ascii="宋体" w:hAnsi="宋体" w:eastAsia="宋体" w:cs="宋体"/>
          <w:color w:val="auto"/>
          <w:sz w:val="24"/>
          <w:szCs w:val="24"/>
          <w:lang w:val="zh-TW" w:eastAsia="zh-TW"/>
        </w:rPr>
        <w:t>，招标人对所有产品的质量要求为同类产品中综合质量中等及中等偏上的产品。</w:t>
      </w:r>
    </w:p>
    <w:p>
      <w:pPr>
        <w:widowControl/>
        <w:spacing w:line="360" w:lineRule="auto"/>
        <w:ind w:firstLine="480" w:firstLineChars="200"/>
        <w:jc w:val="left"/>
        <w:rPr>
          <w:rStyle w:val="54"/>
          <w:lang w:val="zh-TW" w:eastAsia="zh-TW"/>
        </w:rPr>
      </w:pPr>
      <w:r>
        <w:rPr>
          <w:rStyle w:val="133"/>
          <w:rFonts w:ascii="宋体" w:hAnsi="宋体" w:cs="宋体"/>
          <w:sz w:val="24"/>
          <w:szCs w:val="24"/>
          <w:lang w:val="zh-TW" w:eastAsia="zh-TW"/>
        </w:rPr>
        <w:t>中标单位应严格遵守</w:t>
      </w:r>
      <w:r>
        <w:rPr>
          <w:rFonts w:hint="eastAsia" w:ascii="宋体" w:hAnsi="宋体" w:cs="宋体"/>
          <w:sz w:val="24"/>
        </w:rPr>
        <w:t>《中华人民共和国食品安全法》、《食品生产通用卫生规范》、《餐饮服务食品安全操作规范》、《餐饮业和集体用餐配送单位卫生规范》、《国家食品卫生标准》和《动物检疫法》等其他法律法规以及江苏省和无锡市行业主管部门颁布的相关文件规定，如地方法规与国家法规相抵触，按国家法规执行。</w:t>
      </w:r>
      <w:r>
        <w:rPr>
          <w:rStyle w:val="133"/>
          <w:rFonts w:ascii="宋体" w:hAnsi="宋体" w:cs="宋体"/>
          <w:sz w:val="24"/>
          <w:szCs w:val="24"/>
          <w:lang w:val="zh-TW" w:eastAsia="zh-TW"/>
        </w:rPr>
        <w:t>严格保证食品质量符合国家相关产品质量标准，符合国家各级强制性规范的要求。在中标后如出现因食用其提供的食品导致食物中毒的事故发生，中标人应对此承担一切法律责任。</w:t>
      </w:r>
    </w:p>
    <w:p>
      <w:pPr>
        <w:pStyle w:val="132"/>
        <w:widowControl/>
        <w:spacing w:line="360" w:lineRule="auto"/>
        <w:ind w:firstLine="480"/>
        <w:jc w:val="left"/>
        <w:rPr>
          <w:rStyle w:val="54"/>
          <w:color w:val="auto"/>
          <w:lang w:val="zh-TW" w:eastAsia="zh-TW"/>
        </w:rPr>
      </w:pPr>
      <w:r>
        <w:rPr>
          <w:rStyle w:val="133"/>
          <w:rFonts w:ascii="宋体" w:hAnsi="宋体" w:eastAsia="宋体" w:cs="宋体"/>
          <w:color w:val="auto"/>
          <w:sz w:val="24"/>
          <w:szCs w:val="24"/>
          <w:lang w:val="zh-TW" w:eastAsia="zh-TW"/>
        </w:rPr>
        <w:t xml:space="preserve">一经发现供应以下食品，发标方将立即取消中标人的经营资格，没收全部履约保证金，中标单位并承担由此造成的经济责任和法律责任。 </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腐败变质、油脂酸败、霉变、生虫、污秽不洁、混有异物或者其他感官性状异常，对人体健康有害的转基因油；</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color w:val="auto"/>
          <w:sz w:val="24"/>
          <w:szCs w:val="24"/>
          <w:lang w:val="zh-TW" w:eastAsia="zh-TW"/>
        </w:rPr>
        <w:t xml:space="preserve">含有毒、有害物质或者被有害物质污染，对人体健康有害的； </w:t>
      </w:r>
    </w:p>
    <w:p>
      <w:pPr>
        <w:pStyle w:val="132"/>
        <w:widowControl/>
        <w:spacing w:line="360" w:lineRule="auto"/>
        <w:ind w:firstLine="480"/>
        <w:jc w:val="left"/>
        <w:rPr>
          <w:rStyle w:val="54"/>
          <w:color w:val="auto"/>
        </w:rPr>
      </w:pPr>
      <w:r>
        <w:rPr>
          <w:rStyle w:val="134"/>
          <w:color w:val="auto"/>
        </w:rPr>
        <w:t>3</w:t>
      </w:r>
      <w:r>
        <w:rPr>
          <w:rStyle w:val="134"/>
          <w:rFonts w:hint="eastAsia"/>
          <w:color w:val="auto"/>
        </w:rPr>
        <w:t>、</w:t>
      </w:r>
      <w:r>
        <w:rPr>
          <w:rStyle w:val="133"/>
          <w:rFonts w:ascii="宋体" w:hAnsi="宋体" w:eastAsia="宋体" w:cs="宋体"/>
          <w:color w:val="auto"/>
          <w:sz w:val="24"/>
          <w:szCs w:val="24"/>
          <w:lang w:val="zh-TW" w:eastAsia="zh-TW"/>
        </w:rPr>
        <w:t xml:space="preserve">含有致病性寄生虫、微生物或者微生物含量超过国家限定标准的； </w:t>
      </w:r>
    </w:p>
    <w:p>
      <w:pPr>
        <w:pStyle w:val="132"/>
        <w:widowControl/>
        <w:spacing w:line="360" w:lineRule="auto"/>
        <w:ind w:firstLine="480"/>
        <w:jc w:val="left"/>
        <w:rPr>
          <w:rStyle w:val="54"/>
          <w:color w:val="auto"/>
        </w:rPr>
      </w:pPr>
      <w:r>
        <w:rPr>
          <w:rStyle w:val="134"/>
          <w:color w:val="auto"/>
        </w:rPr>
        <w:t>4</w:t>
      </w:r>
      <w:r>
        <w:rPr>
          <w:rStyle w:val="134"/>
          <w:rFonts w:hint="eastAsia"/>
          <w:color w:val="auto"/>
        </w:rPr>
        <w:t>、</w:t>
      </w:r>
      <w:r>
        <w:rPr>
          <w:rStyle w:val="133"/>
          <w:rFonts w:ascii="宋体" w:hAnsi="宋体" w:eastAsia="宋体" w:cs="宋体"/>
          <w:color w:val="auto"/>
          <w:sz w:val="24"/>
          <w:szCs w:val="24"/>
          <w:lang w:val="zh-TW" w:eastAsia="zh-TW"/>
        </w:rPr>
        <w:t xml:space="preserve">未经动物检疫部门检疫、检验或者检疫、检验不合格的肉类及其制品； </w:t>
      </w:r>
    </w:p>
    <w:p>
      <w:pPr>
        <w:pStyle w:val="132"/>
        <w:widowControl/>
        <w:spacing w:line="360" w:lineRule="auto"/>
        <w:ind w:firstLine="480"/>
        <w:jc w:val="left"/>
        <w:rPr>
          <w:rStyle w:val="54"/>
          <w:color w:val="auto"/>
        </w:rPr>
      </w:pPr>
      <w:r>
        <w:rPr>
          <w:rStyle w:val="134"/>
          <w:color w:val="auto"/>
        </w:rPr>
        <w:t>5</w:t>
      </w:r>
      <w:r>
        <w:rPr>
          <w:rStyle w:val="134"/>
          <w:rFonts w:hint="eastAsia"/>
          <w:color w:val="auto"/>
        </w:rPr>
        <w:t>、</w:t>
      </w:r>
      <w:r>
        <w:rPr>
          <w:rStyle w:val="133"/>
          <w:rFonts w:ascii="宋体" w:hAnsi="宋体" w:eastAsia="宋体" w:cs="宋体"/>
          <w:color w:val="auto"/>
          <w:sz w:val="24"/>
          <w:szCs w:val="24"/>
          <w:lang w:val="zh-TW" w:eastAsia="zh-TW"/>
        </w:rPr>
        <w:t xml:space="preserve">病死、毒死或者死因不明的禽、畜、兽、水产动物等及其制品； </w:t>
      </w:r>
    </w:p>
    <w:p>
      <w:pPr>
        <w:pStyle w:val="132"/>
        <w:widowControl/>
        <w:spacing w:line="360" w:lineRule="auto"/>
        <w:ind w:firstLine="480"/>
        <w:jc w:val="left"/>
        <w:rPr>
          <w:rStyle w:val="54"/>
          <w:color w:val="auto"/>
        </w:rPr>
      </w:pPr>
      <w:r>
        <w:rPr>
          <w:rStyle w:val="134"/>
          <w:color w:val="auto"/>
        </w:rPr>
        <w:t>6</w:t>
      </w:r>
      <w:r>
        <w:rPr>
          <w:rStyle w:val="134"/>
          <w:rFonts w:hint="eastAsia"/>
          <w:color w:val="auto"/>
        </w:rPr>
        <w:t>、</w:t>
      </w:r>
      <w:r>
        <w:rPr>
          <w:rStyle w:val="133"/>
          <w:rFonts w:ascii="宋体" w:hAnsi="宋体" w:eastAsia="宋体" w:cs="宋体"/>
          <w:color w:val="auto"/>
          <w:sz w:val="24"/>
          <w:szCs w:val="24"/>
          <w:lang w:val="zh-TW" w:eastAsia="zh-TW"/>
        </w:rPr>
        <w:t xml:space="preserve">掺假、掺杂、伪造，影响营养、卫生的； </w:t>
      </w:r>
    </w:p>
    <w:p>
      <w:pPr>
        <w:pStyle w:val="132"/>
        <w:widowControl/>
        <w:spacing w:line="360" w:lineRule="auto"/>
        <w:ind w:firstLine="480"/>
        <w:jc w:val="left"/>
        <w:rPr>
          <w:rStyle w:val="54"/>
          <w:color w:val="auto"/>
        </w:rPr>
      </w:pPr>
      <w:r>
        <w:rPr>
          <w:rStyle w:val="134"/>
          <w:color w:val="auto"/>
        </w:rPr>
        <w:t>7</w:t>
      </w:r>
      <w:r>
        <w:rPr>
          <w:rStyle w:val="134"/>
          <w:rFonts w:hint="eastAsia"/>
          <w:color w:val="auto"/>
        </w:rPr>
        <w:t>、</w:t>
      </w:r>
      <w:r>
        <w:rPr>
          <w:rStyle w:val="133"/>
          <w:rFonts w:ascii="宋体" w:hAnsi="宋体" w:eastAsia="宋体" w:cs="宋体"/>
          <w:color w:val="auto"/>
          <w:sz w:val="24"/>
          <w:szCs w:val="24"/>
          <w:lang w:val="zh-TW" w:eastAsia="zh-TW"/>
        </w:rPr>
        <w:t xml:space="preserve">用非食品原料加工的，加入非食品用化学物质或者将非食品当作食品的； </w:t>
      </w:r>
    </w:p>
    <w:p>
      <w:pPr>
        <w:pStyle w:val="132"/>
        <w:widowControl/>
        <w:spacing w:line="360" w:lineRule="auto"/>
        <w:ind w:firstLine="480"/>
        <w:jc w:val="left"/>
        <w:rPr>
          <w:rStyle w:val="54"/>
          <w:color w:val="auto"/>
        </w:rPr>
      </w:pPr>
      <w:r>
        <w:rPr>
          <w:rStyle w:val="134"/>
          <w:color w:val="auto"/>
        </w:rPr>
        <w:t>8</w:t>
      </w:r>
      <w:r>
        <w:rPr>
          <w:rStyle w:val="134"/>
          <w:rFonts w:hint="eastAsia"/>
          <w:color w:val="auto"/>
        </w:rPr>
        <w:t>、</w:t>
      </w:r>
      <w:r>
        <w:rPr>
          <w:rStyle w:val="133"/>
          <w:rFonts w:ascii="宋体" w:hAnsi="宋体" w:eastAsia="宋体" w:cs="宋体"/>
          <w:color w:val="auto"/>
          <w:sz w:val="24"/>
          <w:szCs w:val="24"/>
          <w:lang w:val="zh-TW" w:eastAsia="zh-TW"/>
        </w:rPr>
        <w:t>超过保质期限的。</w:t>
      </w:r>
    </w:p>
    <w:p>
      <w:pPr>
        <w:pStyle w:val="132"/>
        <w:spacing w:line="360" w:lineRule="auto"/>
        <w:ind w:firstLine="361"/>
        <w:rPr>
          <w:rStyle w:val="54"/>
          <w:color w:val="auto"/>
          <w:lang w:val="zh-TW" w:eastAsia="zh-TW"/>
        </w:rPr>
      </w:pPr>
      <w:r>
        <w:rPr>
          <w:rStyle w:val="133"/>
          <w:rFonts w:hint="eastAsia" w:ascii="宋体" w:hAnsi="宋体" w:eastAsia="宋体" w:cs="宋体"/>
          <w:b/>
          <w:bCs/>
          <w:color w:val="auto"/>
          <w:sz w:val="24"/>
          <w:szCs w:val="24"/>
        </w:rPr>
        <w:t>四、</w:t>
      </w:r>
      <w:r>
        <w:rPr>
          <w:rStyle w:val="133"/>
          <w:rFonts w:ascii="宋体" w:hAnsi="宋体" w:eastAsia="宋体" w:cs="宋体"/>
          <w:b/>
          <w:bCs/>
          <w:color w:val="auto"/>
          <w:sz w:val="24"/>
          <w:szCs w:val="24"/>
          <w:lang w:val="zh-TW" w:eastAsia="zh-TW"/>
        </w:rPr>
        <w:t>质量指标</w:t>
      </w:r>
      <w:r>
        <w:rPr>
          <w:rStyle w:val="133"/>
          <w:rFonts w:ascii="宋体" w:hAnsi="宋体" w:eastAsia="宋体" w:cs="宋体"/>
          <w:color w:val="auto"/>
          <w:sz w:val="24"/>
          <w:szCs w:val="24"/>
          <w:lang w:val="zh-TW" w:eastAsia="zh-TW"/>
        </w:rPr>
        <w:t>：</w:t>
      </w:r>
    </w:p>
    <w:p>
      <w:pPr>
        <w:pStyle w:val="132"/>
        <w:widowControl/>
        <w:spacing w:line="360" w:lineRule="auto"/>
        <w:ind w:firstLine="480" w:firstLineChars="200"/>
        <w:jc w:val="left"/>
        <w:rPr>
          <w:rStyle w:val="54"/>
          <w:rFonts w:asciiTheme="minorEastAsia" w:hAnsiTheme="minorEastAsia" w:eastAsiaTheme="minorEastAsia" w:cstheme="minorEastAsia"/>
          <w:color w:val="auto"/>
        </w:rPr>
      </w:pPr>
      <w:r>
        <w:rPr>
          <w:rStyle w:val="133"/>
          <w:rFonts w:hint="eastAsia" w:ascii="宋体" w:hAnsi="宋体" w:eastAsia="宋体" w:cs="宋体"/>
          <w:color w:val="auto"/>
          <w:sz w:val="24"/>
          <w:szCs w:val="24"/>
        </w:rPr>
        <w:t>1、</w:t>
      </w:r>
      <w:r>
        <w:rPr>
          <w:rStyle w:val="133"/>
          <w:rFonts w:ascii="宋体" w:hAnsi="宋体" w:eastAsia="宋体" w:cs="宋体"/>
          <w:color w:val="auto"/>
          <w:sz w:val="24"/>
          <w:szCs w:val="24"/>
          <w:lang w:val="zh-TW" w:eastAsia="zh-TW"/>
        </w:rPr>
        <w:t>猪肉质量要求：使用冷鲜肉，猪肉质量必须符合</w:t>
      </w:r>
      <w:r>
        <w:rPr>
          <w:rStyle w:val="134"/>
          <w:color w:val="auto"/>
        </w:rPr>
        <w:t>GB/</w:t>
      </w:r>
      <w:r>
        <w:rPr>
          <w:rStyle w:val="133"/>
          <w:rFonts w:ascii="宋体" w:hAnsi="宋体" w:eastAsia="宋体" w:cs="宋体"/>
          <w:color w:val="auto"/>
          <w:sz w:val="24"/>
          <w:szCs w:val="24"/>
          <w:lang w:val="zh-TW" w:eastAsia="zh-TW"/>
        </w:rPr>
        <w:t>Ｔ</w:t>
      </w:r>
      <w:r>
        <w:rPr>
          <w:rStyle w:val="134"/>
          <w:color w:val="auto"/>
        </w:rPr>
        <w:t>9959.2-2008</w:t>
      </w:r>
      <w:r>
        <w:rPr>
          <w:rStyle w:val="133"/>
          <w:rFonts w:ascii="宋体" w:hAnsi="宋体" w:eastAsia="宋体" w:cs="宋体"/>
          <w:color w:val="auto"/>
          <w:sz w:val="24"/>
          <w:szCs w:val="24"/>
          <w:lang w:val="zh-TW" w:eastAsia="zh-TW"/>
        </w:rPr>
        <w:t>食品安全国家标准，主要产品包括大排肉、带皮软前段（前夹心）、带皮软白条后段（后夹心）、带皮五花肉、纯精肉、肉丝、肉片、有颈前排、扇骨、猪蹄、猪肝等。要求提供同批次《动物或动物产品分销信息凭证》或《动物检疫合格证》和《肉品品质检验合格证》。配送工具必须符合卫生要求，不得与其他货物混装，防止肉品二次污染。投标时承诺使用双汇、雨润、苏食等品牌冷鲜肉，则在供货时必须供应双</w:t>
      </w:r>
      <w:r>
        <w:rPr>
          <w:rStyle w:val="133"/>
          <w:rFonts w:hint="eastAsia" w:asciiTheme="minorEastAsia" w:hAnsiTheme="minorEastAsia" w:eastAsiaTheme="minorEastAsia" w:cstheme="minorEastAsia"/>
          <w:color w:val="auto"/>
          <w:sz w:val="24"/>
          <w:szCs w:val="24"/>
          <w:lang w:val="zh-TW" w:eastAsia="zh-TW"/>
        </w:rPr>
        <w:t>汇、雨润、苏食等品牌冷鲜肉。</w:t>
      </w:r>
    </w:p>
    <w:p>
      <w:pPr>
        <w:pStyle w:val="132"/>
        <w:widowControl/>
        <w:spacing w:line="360" w:lineRule="auto"/>
        <w:ind w:firstLine="480" w:firstLineChars="200"/>
        <w:jc w:val="left"/>
        <w:rPr>
          <w:rStyle w:val="133"/>
          <w:rFonts w:asciiTheme="minorEastAsia" w:hAnsiTheme="minorEastAsia" w:eastAsiaTheme="minorEastAsia" w:cstheme="minorEastAsia"/>
          <w:b/>
          <w:bCs/>
          <w:color w:val="auto"/>
          <w:sz w:val="24"/>
          <w:szCs w:val="24"/>
        </w:rPr>
      </w:pPr>
      <w:r>
        <w:rPr>
          <w:rStyle w:val="133"/>
          <w:rFonts w:hint="eastAsia" w:asciiTheme="minorEastAsia" w:hAnsiTheme="minorEastAsia" w:eastAsiaTheme="minorEastAsia" w:cstheme="minorEastAsia"/>
          <w:color w:val="auto"/>
          <w:sz w:val="24"/>
          <w:szCs w:val="24"/>
        </w:rPr>
        <w:t>2、</w:t>
      </w:r>
      <w:r>
        <w:rPr>
          <w:rStyle w:val="133"/>
          <w:rFonts w:hint="eastAsia" w:asciiTheme="minorEastAsia" w:hAnsiTheme="minorEastAsia" w:eastAsiaTheme="minorEastAsia" w:cstheme="minorEastAsia"/>
          <w:color w:val="auto"/>
          <w:sz w:val="24"/>
          <w:szCs w:val="24"/>
          <w:lang w:val="zh-TW" w:eastAsia="zh-TW"/>
        </w:rPr>
        <w:t>牛羊鸡肉质量要求：根据《动物防疫法》和《动物检疫管理办法》规定：肉必须经官方兽医检疫合格，取得《动物检疫合格证明》。</w:t>
      </w:r>
    </w:p>
    <w:p>
      <w:pPr>
        <w:pStyle w:val="132"/>
        <w:widowControl/>
        <w:spacing w:line="360" w:lineRule="auto"/>
        <w:ind w:firstLine="480" w:firstLineChars="200"/>
        <w:jc w:val="left"/>
        <w:rPr>
          <w:rStyle w:val="54"/>
          <w:color w:val="auto"/>
        </w:rPr>
      </w:pPr>
      <w:r>
        <w:rPr>
          <w:rStyle w:val="133"/>
          <w:rFonts w:hint="eastAsia" w:asciiTheme="minorEastAsia" w:hAnsiTheme="minorEastAsia" w:eastAsiaTheme="minorEastAsia" w:cstheme="minorEastAsia"/>
          <w:color w:val="auto"/>
          <w:sz w:val="24"/>
          <w:szCs w:val="24"/>
        </w:rPr>
        <w:t>3、</w:t>
      </w:r>
      <w:r>
        <w:rPr>
          <w:rStyle w:val="133"/>
          <w:rFonts w:hint="eastAsia" w:asciiTheme="minorEastAsia" w:hAnsiTheme="minorEastAsia" w:eastAsiaTheme="minorEastAsia" w:cstheme="minorEastAsia"/>
          <w:color w:val="auto"/>
          <w:sz w:val="24"/>
          <w:szCs w:val="24"/>
          <w:lang w:val="zh-TW" w:eastAsia="zh-TW"/>
        </w:rPr>
        <w:t>家禽冻</w:t>
      </w:r>
      <w:r>
        <w:rPr>
          <w:rStyle w:val="133"/>
          <w:rFonts w:ascii="宋体" w:hAnsi="宋体" w:eastAsia="宋体" w:cs="宋体"/>
          <w:color w:val="auto"/>
          <w:sz w:val="24"/>
          <w:szCs w:val="24"/>
          <w:lang w:val="zh-TW" w:eastAsia="zh-TW"/>
        </w:rPr>
        <w:t>品（鸭产品、鹅产品等）质量要求：鲜、冻禽类产品质量必须符合</w:t>
      </w:r>
      <w:r>
        <w:rPr>
          <w:rStyle w:val="134"/>
          <w:color w:val="auto"/>
        </w:rPr>
        <w:t>GB16869-2005</w:t>
      </w:r>
      <w:r>
        <w:rPr>
          <w:rStyle w:val="133"/>
          <w:rFonts w:ascii="宋体" w:hAnsi="宋体" w:eastAsia="宋体" w:cs="宋体"/>
          <w:color w:val="auto"/>
          <w:sz w:val="24"/>
          <w:szCs w:val="24"/>
          <w:lang w:val="zh-TW" w:eastAsia="zh-TW"/>
        </w:rPr>
        <w:t>食品安全国家标准，配送单位要求提供同批次产品合格证明文件，动物产品提供《动物或动物产品分销信息凭证》或《动物检疫合格证》。</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4、</w:t>
      </w:r>
      <w:r>
        <w:rPr>
          <w:rStyle w:val="133"/>
          <w:rFonts w:ascii="宋体" w:hAnsi="宋体" w:eastAsia="宋体" w:cs="宋体"/>
          <w:color w:val="auto"/>
          <w:sz w:val="24"/>
          <w:szCs w:val="24"/>
          <w:lang w:val="zh-TW" w:eastAsia="zh-TW"/>
        </w:rPr>
        <w:t>豆制品质量要求：豆制品质量必须符合</w:t>
      </w:r>
      <w:r>
        <w:rPr>
          <w:rStyle w:val="134"/>
          <w:color w:val="auto"/>
        </w:rPr>
        <w:t>GB2712-2014</w:t>
      </w:r>
      <w:r>
        <w:rPr>
          <w:rStyle w:val="133"/>
          <w:rFonts w:ascii="宋体" w:hAnsi="宋体" w:eastAsia="宋体" w:cs="宋体"/>
          <w:color w:val="auto"/>
          <w:sz w:val="24"/>
          <w:szCs w:val="24"/>
          <w:lang w:val="zh-TW" w:eastAsia="zh-TW"/>
        </w:rPr>
        <w:t>食品安全国家标准，面筋制品质量必须符合</w:t>
      </w:r>
      <w:r>
        <w:rPr>
          <w:rStyle w:val="134"/>
          <w:color w:val="auto"/>
        </w:rPr>
        <w:t>GB2711-2014</w:t>
      </w:r>
      <w:r>
        <w:rPr>
          <w:rStyle w:val="133"/>
          <w:rFonts w:ascii="宋体" w:hAnsi="宋体" w:eastAsia="宋体" w:cs="宋体"/>
          <w:color w:val="auto"/>
          <w:sz w:val="24"/>
          <w:szCs w:val="24"/>
          <w:lang w:val="zh-TW" w:eastAsia="zh-TW"/>
        </w:rPr>
        <w:t>食品安全国家标准，对豆制品的有关安全健康指标符合国家规定，并具有</w:t>
      </w:r>
      <w:r>
        <w:rPr>
          <w:rStyle w:val="134"/>
          <w:color w:val="auto"/>
        </w:rPr>
        <w:t>“QS”</w:t>
      </w:r>
      <w:r>
        <w:rPr>
          <w:rStyle w:val="133"/>
          <w:rFonts w:ascii="宋体" w:hAnsi="宋体" w:eastAsia="宋体" w:cs="宋体"/>
          <w:color w:val="auto"/>
          <w:sz w:val="24"/>
          <w:szCs w:val="24"/>
          <w:lang w:val="zh-TW" w:eastAsia="zh-TW"/>
        </w:rPr>
        <w:t>食品质量安全认证。</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5、</w:t>
      </w:r>
      <w:r>
        <w:rPr>
          <w:rStyle w:val="133"/>
          <w:rFonts w:ascii="宋体" w:hAnsi="宋体" w:eastAsia="宋体" w:cs="宋体"/>
          <w:color w:val="auto"/>
          <w:sz w:val="24"/>
          <w:szCs w:val="24"/>
          <w:lang w:val="zh-TW" w:eastAsia="zh-TW"/>
        </w:rPr>
        <w:t>水产品质量要求：鲜、冻动物性水产品质量必须符合</w:t>
      </w:r>
      <w:r>
        <w:rPr>
          <w:rStyle w:val="134"/>
          <w:color w:val="auto"/>
        </w:rPr>
        <w:t>GB2733-2015</w:t>
      </w:r>
      <w:r>
        <w:rPr>
          <w:rStyle w:val="133"/>
          <w:rFonts w:ascii="宋体" w:hAnsi="宋体" w:eastAsia="宋体" w:cs="宋体"/>
          <w:color w:val="auto"/>
          <w:sz w:val="24"/>
          <w:szCs w:val="24"/>
          <w:lang w:val="zh-TW" w:eastAsia="zh-TW"/>
        </w:rPr>
        <w:t>食品安全国家标准，水产调味品质量必须符合</w:t>
      </w:r>
      <w:r>
        <w:rPr>
          <w:rStyle w:val="134"/>
          <w:color w:val="auto"/>
        </w:rPr>
        <w:t>GB10133-2014</w:t>
      </w:r>
      <w:r>
        <w:rPr>
          <w:rStyle w:val="133"/>
          <w:rFonts w:ascii="宋体" w:hAnsi="宋体" w:eastAsia="宋体" w:cs="宋体"/>
          <w:color w:val="auto"/>
          <w:sz w:val="24"/>
          <w:szCs w:val="24"/>
          <w:lang w:val="zh-TW" w:eastAsia="zh-TW"/>
        </w:rPr>
        <w:t>食品安全国家标准，腌制生食动物性水产品质量必须符合</w:t>
      </w:r>
      <w:r>
        <w:rPr>
          <w:rStyle w:val="134"/>
          <w:color w:val="auto"/>
        </w:rPr>
        <w:t>GB10136-2015</w:t>
      </w:r>
      <w:r>
        <w:rPr>
          <w:rStyle w:val="133"/>
          <w:rFonts w:ascii="宋体" w:hAnsi="宋体" w:eastAsia="宋体" w:cs="宋体"/>
          <w:color w:val="auto"/>
          <w:sz w:val="24"/>
          <w:szCs w:val="24"/>
          <w:lang w:val="zh-TW" w:eastAsia="zh-TW"/>
        </w:rPr>
        <w:t>食品安全国家标准，藻类及其制品质量必须符合</w:t>
      </w:r>
      <w:r>
        <w:rPr>
          <w:rStyle w:val="134"/>
          <w:color w:val="auto"/>
        </w:rPr>
        <w:t>GB19643-2016</w:t>
      </w:r>
      <w:r>
        <w:rPr>
          <w:rStyle w:val="133"/>
          <w:rFonts w:ascii="宋体" w:hAnsi="宋体" w:eastAsia="宋体" w:cs="宋体"/>
          <w:color w:val="auto"/>
          <w:sz w:val="24"/>
          <w:szCs w:val="24"/>
          <w:lang w:val="zh-TW" w:eastAsia="zh-TW"/>
        </w:rPr>
        <w:t>食品安全国家标准。产品的感官性状、安全、稳定性等指标符合相关规定。</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6、</w:t>
      </w:r>
      <w:r>
        <w:rPr>
          <w:rStyle w:val="133"/>
          <w:rFonts w:ascii="宋体" w:hAnsi="宋体" w:eastAsia="宋体" w:cs="宋体"/>
          <w:color w:val="auto"/>
          <w:sz w:val="24"/>
          <w:szCs w:val="24"/>
          <w:lang w:val="zh-TW" w:eastAsia="zh-TW"/>
        </w:rPr>
        <w:t>蔬菜质量要求：新鲜、不腐烂变质，去外层老叶、损伤叶、黄叶，大小均匀，外形完好。提供农药残留检测报告，产地合格证明，且符合《农产品质量安全法》要求。</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7、</w:t>
      </w:r>
      <w:r>
        <w:rPr>
          <w:rStyle w:val="133"/>
          <w:rFonts w:ascii="宋体" w:hAnsi="宋体" w:eastAsia="宋体" w:cs="宋体"/>
          <w:color w:val="auto"/>
          <w:sz w:val="24"/>
          <w:szCs w:val="24"/>
          <w:lang w:val="zh-TW" w:eastAsia="zh-TW"/>
        </w:rPr>
        <w:t>鲜蛋质量要求：蛋及蛋制品质量必须符合</w:t>
      </w:r>
      <w:r>
        <w:rPr>
          <w:rStyle w:val="134"/>
          <w:color w:val="auto"/>
        </w:rPr>
        <w:t>GB2749-2015</w:t>
      </w:r>
      <w:r>
        <w:rPr>
          <w:rStyle w:val="133"/>
          <w:rFonts w:ascii="宋体" w:hAnsi="宋体" w:eastAsia="宋体" w:cs="宋体"/>
          <w:color w:val="auto"/>
          <w:sz w:val="24"/>
          <w:szCs w:val="24"/>
          <w:lang w:val="zh-TW" w:eastAsia="zh-TW"/>
        </w:rPr>
        <w:t>食品安全国家标准。</w:t>
      </w:r>
    </w:p>
    <w:p>
      <w:pPr>
        <w:pStyle w:val="132"/>
        <w:widowControl/>
        <w:spacing w:line="360" w:lineRule="auto"/>
        <w:ind w:firstLine="480" w:firstLineChars="200"/>
        <w:jc w:val="left"/>
        <w:rPr>
          <w:rStyle w:val="133"/>
          <w:rFonts w:ascii="宋体" w:hAnsi="宋体" w:eastAsia="宋体" w:cs="宋体"/>
          <w:color w:val="auto"/>
          <w:sz w:val="24"/>
          <w:szCs w:val="24"/>
          <w:lang w:val="zh-TW" w:eastAsia="zh-TW"/>
        </w:rPr>
      </w:pPr>
      <w:r>
        <w:rPr>
          <w:rStyle w:val="133"/>
          <w:rFonts w:hint="eastAsia" w:ascii="宋体" w:hAnsi="宋体" w:eastAsia="宋体" w:cs="宋体"/>
          <w:color w:val="auto"/>
          <w:sz w:val="24"/>
          <w:szCs w:val="24"/>
        </w:rPr>
        <w:t>8、</w:t>
      </w:r>
      <w:r>
        <w:rPr>
          <w:rStyle w:val="133"/>
          <w:rFonts w:ascii="宋体" w:hAnsi="宋体" w:eastAsia="宋体" w:cs="宋体"/>
          <w:color w:val="auto"/>
          <w:sz w:val="24"/>
          <w:szCs w:val="24"/>
          <w:lang w:val="zh-TW" w:eastAsia="zh-TW"/>
        </w:rPr>
        <w:t>大米质量要求：当年一级粳米，符合</w:t>
      </w:r>
      <w:r>
        <w:rPr>
          <w:rStyle w:val="134"/>
          <w:color w:val="auto"/>
        </w:rPr>
        <w:t>GB1354-2009</w:t>
      </w:r>
      <w:r>
        <w:rPr>
          <w:rStyle w:val="133"/>
          <w:rFonts w:ascii="宋体" w:hAnsi="宋体" w:eastAsia="宋体" w:cs="宋体"/>
          <w:color w:val="auto"/>
          <w:sz w:val="24"/>
          <w:szCs w:val="24"/>
          <w:lang w:val="zh-TW" w:eastAsia="zh-TW"/>
        </w:rPr>
        <w:t>一级标准。供货时的剩余质保期不少于三分之二。</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9、</w:t>
      </w:r>
      <w:r>
        <w:rPr>
          <w:rStyle w:val="133"/>
          <w:rFonts w:ascii="宋体" w:hAnsi="宋体" w:eastAsia="宋体" w:cs="宋体"/>
          <w:color w:val="auto"/>
          <w:sz w:val="24"/>
          <w:szCs w:val="24"/>
          <w:lang w:val="zh-TW" w:eastAsia="zh-TW"/>
        </w:rPr>
        <w:t>食用油质量要求：投标产品必须是非转基因大豆油、花生油，且必须是一级成品油，分别符合</w:t>
      </w:r>
      <w:r>
        <w:rPr>
          <w:rStyle w:val="134"/>
          <w:color w:val="auto"/>
        </w:rPr>
        <w:t>GB1535-2003</w:t>
      </w:r>
      <w:r>
        <w:rPr>
          <w:rStyle w:val="133"/>
          <w:rFonts w:ascii="宋体" w:hAnsi="宋体" w:eastAsia="宋体" w:cs="宋体"/>
          <w:color w:val="auto"/>
          <w:sz w:val="24"/>
          <w:szCs w:val="24"/>
          <w:lang w:val="zh-TW" w:eastAsia="zh-TW"/>
        </w:rPr>
        <w:t>、</w:t>
      </w:r>
      <w:r>
        <w:rPr>
          <w:rStyle w:val="134"/>
          <w:color w:val="auto"/>
        </w:rPr>
        <w:t>GB10464-2003</w:t>
      </w:r>
      <w:r>
        <w:rPr>
          <w:rStyle w:val="133"/>
          <w:rFonts w:ascii="宋体" w:hAnsi="宋体" w:eastAsia="宋体" w:cs="宋体"/>
          <w:color w:val="auto"/>
          <w:sz w:val="24"/>
          <w:szCs w:val="24"/>
          <w:lang w:val="zh-TW" w:eastAsia="zh-TW"/>
        </w:rPr>
        <w:t>、</w:t>
      </w:r>
      <w:r>
        <w:rPr>
          <w:rStyle w:val="134"/>
          <w:color w:val="auto"/>
        </w:rPr>
        <w:t>GB19111-2003</w:t>
      </w:r>
      <w:r>
        <w:rPr>
          <w:rStyle w:val="133"/>
          <w:rFonts w:ascii="宋体" w:hAnsi="宋体" w:eastAsia="宋体" w:cs="宋体"/>
          <w:color w:val="auto"/>
          <w:sz w:val="24"/>
          <w:szCs w:val="24"/>
          <w:lang w:val="zh-TW" w:eastAsia="zh-TW"/>
        </w:rPr>
        <w:t>国家标准。供货时的剩余质保期不少于三分之二。具体品牌要求及规格详见附表。</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10、</w:t>
      </w:r>
      <w:r>
        <w:rPr>
          <w:rStyle w:val="133"/>
          <w:rFonts w:ascii="宋体" w:hAnsi="宋体" w:eastAsia="宋体" w:cs="宋体"/>
          <w:color w:val="auto"/>
          <w:sz w:val="24"/>
          <w:szCs w:val="24"/>
          <w:lang w:val="zh-TW" w:eastAsia="zh-TW"/>
        </w:rPr>
        <w:t>水果质量要求：大小均匀，果面光滑有光泽，具有品种应有的自然色泽；无斑点或极少果锈，不起皱，无裂口，无压痕及其他机械损伤和冻伤黑斑；果身重，硬朗；口感汁液饱满，无苦涩味，无木栓化组织，无农药残留。提供每日水果进货单或产地合格证明。</w:t>
      </w:r>
    </w:p>
    <w:p>
      <w:pPr>
        <w:pStyle w:val="132"/>
        <w:widowControl/>
        <w:spacing w:line="360" w:lineRule="auto"/>
        <w:ind w:firstLine="480" w:firstLineChars="200"/>
        <w:jc w:val="left"/>
        <w:rPr>
          <w:rStyle w:val="54"/>
          <w:color w:val="auto"/>
        </w:rPr>
      </w:pPr>
      <w:r>
        <w:rPr>
          <w:rStyle w:val="133"/>
          <w:rFonts w:hint="eastAsia" w:ascii="宋体" w:hAnsi="宋体" w:eastAsia="宋体" w:cs="宋体"/>
          <w:color w:val="auto"/>
          <w:sz w:val="24"/>
          <w:szCs w:val="24"/>
        </w:rPr>
        <w:t>11、</w:t>
      </w:r>
      <w:r>
        <w:rPr>
          <w:rStyle w:val="133"/>
          <w:rFonts w:hint="eastAsia" w:ascii="宋体" w:hAnsi="宋体" w:eastAsia="宋体" w:cs="宋体"/>
          <w:color w:val="auto"/>
          <w:sz w:val="24"/>
          <w:szCs w:val="24"/>
          <w:lang w:val="zh-TW"/>
        </w:rPr>
        <w:t>调料</w:t>
      </w:r>
      <w:r>
        <w:rPr>
          <w:rStyle w:val="133"/>
          <w:rFonts w:ascii="宋体" w:hAnsi="宋体" w:eastAsia="宋体" w:cs="宋体"/>
          <w:color w:val="auto"/>
          <w:sz w:val="24"/>
          <w:szCs w:val="24"/>
          <w:lang w:val="zh-TW" w:eastAsia="zh-TW"/>
        </w:rPr>
        <w:t xml:space="preserve">： </w:t>
      </w:r>
    </w:p>
    <w:p>
      <w:pPr>
        <w:pStyle w:val="132"/>
        <w:widowControl/>
        <w:spacing w:line="360" w:lineRule="auto"/>
        <w:ind w:firstLine="480" w:firstLineChars="200"/>
        <w:jc w:val="left"/>
        <w:rPr>
          <w:rStyle w:val="54"/>
          <w:color w:val="auto"/>
        </w:rPr>
      </w:pPr>
      <w:r>
        <w:rPr>
          <w:rStyle w:val="133"/>
          <w:rFonts w:ascii="宋体" w:hAnsi="宋体" w:eastAsia="宋体" w:cs="宋体"/>
          <w:color w:val="auto"/>
          <w:sz w:val="24"/>
          <w:szCs w:val="24"/>
          <w:lang w:val="zh-TW" w:eastAsia="zh-TW"/>
        </w:rPr>
        <w:t xml:space="preserve">食用油符合 </w:t>
      </w:r>
      <w:r>
        <w:rPr>
          <w:rStyle w:val="134"/>
          <w:color w:val="auto"/>
        </w:rPr>
        <w:t xml:space="preserve">GB 2716-2005 </w:t>
      </w:r>
      <w:r>
        <w:rPr>
          <w:rStyle w:val="133"/>
          <w:rFonts w:ascii="宋体" w:hAnsi="宋体" w:eastAsia="宋体" w:cs="宋体"/>
          <w:color w:val="auto"/>
          <w:sz w:val="24"/>
          <w:szCs w:val="24"/>
          <w:lang w:val="zh-TW" w:eastAsia="zh-TW"/>
        </w:rPr>
        <w:t>的规定食盐符合</w:t>
      </w:r>
      <w:r>
        <w:rPr>
          <w:rStyle w:val="134"/>
          <w:color w:val="auto"/>
        </w:rPr>
        <w:t>GB 2721-2015</w:t>
      </w:r>
      <w:r>
        <w:rPr>
          <w:rStyle w:val="133"/>
          <w:rFonts w:ascii="宋体" w:hAnsi="宋体" w:eastAsia="宋体" w:cs="宋体"/>
          <w:color w:val="auto"/>
          <w:sz w:val="24"/>
          <w:szCs w:val="24"/>
          <w:lang w:val="zh-TW" w:eastAsia="zh-TW"/>
        </w:rPr>
        <w:t>的规定</w:t>
      </w:r>
    </w:p>
    <w:p>
      <w:pPr>
        <w:pStyle w:val="132"/>
        <w:widowControl/>
        <w:spacing w:line="360" w:lineRule="auto"/>
        <w:ind w:firstLine="480" w:firstLineChars="200"/>
        <w:jc w:val="left"/>
        <w:rPr>
          <w:rStyle w:val="54"/>
          <w:color w:val="auto"/>
        </w:rPr>
      </w:pPr>
      <w:r>
        <w:rPr>
          <w:rStyle w:val="133"/>
          <w:rFonts w:ascii="宋体" w:hAnsi="宋体" w:eastAsia="宋体" w:cs="宋体"/>
          <w:color w:val="auto"/>
          <w:sz w:val="24"/>
          <w:szCs w:val="24"/>
          <w:lang w:val="zh-TW" w:eastAsia="zh-TW"/>
        </w:rPr>
        <w:t xml:space="preserve">酱油符合 </w:t>
      </w:r>
      <w:r>
        <w:rPr>
          <w:rStyle w:val="134"/>
          <w:color w:val="auto"/>
        </w:rPr>
        <w:t xml:space="preserve">GB 18186 </w:t>
      </w:r>
      <w:r>
        <w:rPr>
          <w:rStyle w:val="133"/>
          <w:rFonts w:ascii="宋体" w:hAnsi="宋体" w:eastAsia="宋体" w:cs="宋体"/>
          <w:color w:val="auto"/>
          <w:sz w:val="24"/>
          <w:szCs w:val="24"/>
          <w:lang w:val="zh-TW" w:eastAsia="zh-TW"/>
        </w:rPr>
        <w:t xml:space="preserve">的规定醋符合 </w:t>
      </w:r>
      <w:r>
        <w:rPr>
          <w:rStyle w:val="134"/>
          <w:color w:val="auto"/>
        </w:rPr>
        <w:t xml:space="preserve">GB/T 18187 </w:t>
      </w:r>
      <w:r>
        <w:rPr>
          <w:rStyle w:val="133"/>
          <w:rFonts w:ascii="宋体" w:hAnsi="宋体" w:eastAsia="宋体" w:cs="宋体"/>
          <w:color w:val="auto"/>
          <w:sz w:val="24"/>
          <w:szCs w:val="24"/>
          <w:lang w:val="zh-TW" w:eastAsia="zh-TW"/>
        </w:rPr>
        <w:t>的规定</w:t>
      </w:r>
    </w:p>
    <w:p>
      <w:pPr>
        <w:pStyle w:val="132"/>
        <w:widowControl/>
        <w:spacing w:line="360" w:lineRule="auto"/>
        <w:ind w:firstLine="480" w:firstLineChars="200"/>
        <w:jc w:val="left"/>
        <w:rPr>
          <w:rStyle w:val="54"/>
          <w:color w:val="auto"/>
        </w:rPr>
      </w:pPr>
      <w:r>
        <w:rPr>
          <w:rStyle w:val="133"/>
          <w:rFonts w:ascii="宋体" w:hAnsi="宋体" w:eastAsia="宋体" w:cs="宋体"/>
          <w:color w:val="auto"/>
          <w:sz w:val="24"/>
          <w:szCs w:val="24"/>
          <w:lang w:val="zh-TW" w:eastAsia="zh-TW"/>
        </w:rPr>
        <w:t xml:space="preserve">食糖符合 </w:t>
      </w:r>
      <w:r>
        <w:rPr>
          <w:rStyle w:val="134"/>
          <w:color w:val="auto"/>
        </w:rPr>
        <w:t>GB 13104-2014</w:t>
      </w:r>
      <w:r>
        <w:rPr>
          <w:rStyle w:val="133"/>
          <w:rFonts w:ascii="宋体" w:hAnsi="宋体" w:eastAsia="宋体" w:cs="宋体"/>
          <w:color w:val="auto"/>
          <w:sz w:val="24"/>
          <w:szCs w:val="24"/>
          <w:lang w:val="zh-TW" w:eastAsia="zh-TW"/>
        </w:rPr>
        <w:t xml:space="preserve">规定黄酒符合 </w:t>
      </w:r>
      <w:r>
        <w:rPr>
          <w:rStyle w:val="134"/>
          <w:color w:val="auto"/>
        </w:rPr>
        <w:t xml:space="preserve">GB/T 13662 </w:t>
      </w:r>
      <w:r>
        <w:rPr>
          <w:rStyle w:val="133"/>
          <w:rFonts w:ascii="宋体" w:hAnsi="宋体" w:eastAsia="宋体" w:cs="宋体"/>
          <w:color w:val="auto"/>
          <w:sz w:val="24"/>
          <w:szCs w:val="24"/>
          <w:lang w:val="zh-TW" w:eastAsia="zh-TW"/>
        </w:rPr>
        <w:t>的规定</w:t>
      </w:r>
    </w:p>
    <w:p>
      <w:pPr>
        <w:pStyle w:val="132"/>
        <w:widowControl/>
        <w:spacing w:line="360" w:lineRule="auto"/>
        <w:ind w:firstLine="480" w:firstLineChars="200"/>
        <w:jc w:val="left"/>
        <w:rPr>
          <w:rStyle w:val="133"/>
          <w:rFonts w:ascii="宋体" w:hAnsi="宋体" w:eastAsia="宋体" w:cs="宋体"/>
          <w:color w:val="auto"/>
          <w:sz w:val="24"/>
          <w:szCs w:val="24"/>
          <w:lang w:val="zh-TW"/>
        </w:rPr>
      </w:pPr>
      <w:r>
        <w:rPr>
          <w:rStyle w:val="133"/>
          <w:rFonts w:ascii="宋体" w:hAnsi="宋体" w:eastAsia="宋体" w:cs="宋体"/>
          <w:color w:val="auto"/>
          <w:sz w:val="24"/>
          <w:szCs w:val="24"/>
          <w:lang w:val="zh-TW" w:eastAsia="zh-TW"/>
        </w:rPr>
        <w:t xml:space="preserve">淀粉类符合 </w:t>
      </w:r>
      <w:r>
        <w:rPr>
          <w:rStyle w:val="134"/>
          <w:color w:val="auto"/>
        </w:rPr>
        <w:t xml:space="preserve">GB/T 29343 </w:t>
      </w:r>
      <w:r>
        <w:rPr>
          <w:rStyle w:val="133"/>
          <w:rFonts w:ascii="宋体" w:hAnsi="宋体" w:eastAsia="宋体" w:cs="宋体"/>
          <w:color w:val="auto"/>
          <w:sz w:val="24"/>
          <w:szCs w:val="24"/>
          <w:lang w:val="zh-TW" w:eastAsia="zh-TW"/>
        </w:rPr>
        <w:t xml:space="preserve">的规定麻油符合 </w:t>
      </w:r>
      <w:r>
        <w:rPr>
          <w:rStyle w:val="134"/>
          <w:color w:val="auto"/>
        </w:rPr>
        <w:t xml:space="preserve">GB 8233 </w:t>
      </w:r>
      <w:r>
        <w:rPr>
          <w:rStyle w:val="133"/>
          <w:rFonts w:ascii="宋体" w:hAnsi="宋体" w:eastAsia="宋体" w:cs="宋体"/>
          <w:color w:val="auto"/>
          <w:sz w:val="24"/>
          <w:szCs w:val="24"/>
          <w:lang w:val="zh-TW" w:eastAsia="zh-TW"/>
        </w:rPr>
        <w:t>的规定</w:t>
      </w:r>
    </w:p>
    <w:p>
      <w:pPr>
        <w:pStyle w:val="132"/>
        <w:widowControl/>
        <w:spacing w:line="360" w:lineRule="auto"/>
        <w:ind w:firstLine="482"/>
        <w:jc w:val="left"/>
        <w:rPr>
          <w:rStyle w:val="133"/>
          <w:color w:val="auto"/>
          <w:sz w:val="24"/>
          <w:szCs w:val="24"/>
          <w:lang w:val="zh-TW" w:eastAsia="zh-TW"/>
        </w:rPr>
      </w:pPr>
      <w:r>
        <w:rPr>
          <w:rStyle w:val="133"/>
          <w:rFonts w:hint="eastAsia" w:ascii="宋体" w:hAnsi="宋体" w:eastAsia="宋体" w:cs="宋体"/>
          <w:b/>
          <w:bCs/>
          <w:color w:val="auto"/>
          <w:sz w:val="24"/>
          <w:szCs w:val="24"/>
        </w:rPr>
        <w:t>五、</w:t>
      </w:r>
      <w:r>
        <w:rPr>
          <w:rStyle w:val="133"/>
          <w:rFonts w:ascii="宋体" w:hAnsi="宋体" w:eastAsia="宋体" w:cs="宋体"/>
          <w:b/>
          <w:bCs/>
          <w:color w:val="auto"/>
          <w:sz w:val="24"/>
          <w:szCs w:val="24"/>
          <w:lang w:val="zh-TW" w:eastAsia="zh-TW"/>
        </w:rPr>
        <w:t>品牌及检测报告要求</w:t>
      </w:r>
      <w:r>
        <w:rPr>
          <w:rStyle w:val="133"/>
          <w:rFonts w:ascii="宋体" w:hAnsi="宋体" w:eastAsia="宋体" w:cs="宋体"/>
          <w:color w:val="auto"/>
          <w:sz w:val="24"/>
          <w:szCs w:val="24"/>
          <w:lang w:val="zh-TW" w:eastAsia="zh-TW"/>
        </w:rPr>
        <w:t>：</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肉类（含肉类冷鲜品、禽类冷冻品及鱼、虾等水产品）、豆制品、牛奶必须使用品牌产品，即由所处经营领域中有较高知名度与美誉度的大型企业提供，其产品可以追根溯源。大米、食用油须严格按照国家有关规定提供，并提供相应证明，质量出现问题，供方负责包退、包换，费用由供方承担。</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b/>
          <w:bCs/>
          <w:color w:val="auto"/>
          <w:sz w:val="24"/>
          <w:szCs w:val="24"/>
          <w:lang w:val="zh-TW" w:eastAsia="zh-TW"/>
        </w:rPr>
        <w:t>每次配送均需提供配送食材的检测报告或食材检验合格证</w:t>
      </w:r>
      <w:r>
        <w:rPr>
          <w:rStyle w:val="133"/>
          <w:rFonts w:ascii="宋体" w:hAnsi="宋体" w:eastAsia="宋体" w:cs="宋体"/>
          <w:color w:val="auto"/>
          <w:sz w:val="24"/>
          <w:szCs w:val="24"/>
          <w:lang w:val="zh-TW" w:eastAsia="zh-TW"/>
        </w:rPr>
        <w:t>。</w:t>
      </w:r>
    </w:p>
    <w:p>
      <w:pPr>
        <w:pStyle w:val="132"/>
        <w:widowControl/>
        <w:spacing w:line="360" w:lineRule="auto"/>
        <w:ind w:firstLine="480"/>
        <w:jc w:val="left"/>
        <w:rPr>
          <w:rStyle w:val="54"/>
          <w:color w:val="auto"/>
        </w:rPr>
      </w:pPr>
      <w:r>
        <w:rPr>
          <w:rStyle w:val="134"/>
          <w:color w:val="auto"/>
        </w:rPr>
        <w:t>3</w:t>
      </w:r>
      <w:r>
        <w:rPr>
          <w:rStyle w:val="134"/>
          <w:rFonts w:hint="eastAsia"/>
          <w:color w:val="auto"/>
        </w:rPr>
        <w:t>、</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将委托权威部门定期对配送单位提供的食材进行检测。如检测发现质量问题，由配送单位承担检测费用。</w:t>
      </w:r>
    </w:p>
    <w:p>
      <w:pPr>
        <w:pStyle w:val="132"/>
        <w:spacing w:line="360" w:lineRule="auto"/>
        <w:ind w:firstLine="482"/>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rPr>
        <w:t>六、</w:t>
      </w:r>
      <w:r>
        <w:rPr>
          <w:rStyle w:val="133"/>
          <w:rFonts w:ascii="宋体" w:hAnsi="宋体" w:eastAsia="宋体" w:cs="宋体"/>
          <w:b/>
          <w:bCs/>
          <w:color w:val="auto"/>
          <w:sz w:val="24"/>
          <w:szCs w:val="24"/>
          <w:lang w:val="zh-TW" w:eastAsia="zh-TW"/>
        </w:rPr>
        <w:t>卫生要求：</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中标单位供应的食材必须符合《中华人民共和国食品安全法》标准，并根据协议约定和</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食堂提出的品种、规格、品牌、数量、质量要求在规定的时间内及时送到。如发现食材卫生质量问题或者以次充好，</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可立即无条件退货或换货，并对配送单位扣除进行本次配送货物金额</w:t>
      </w:r>
      <w:r>
        <w:rPr>
          <w:rStyle w:val="134"/>
          <w:color w:val="auto"/>
        </w:rPr>
        <w:t>5-10</w:t>
      </w:r>
      <w:r>
        <w:rPr>
          <w:rStyle w:val="133"/>
          <w:rFonts w:ascii="宋体" w:hAnsi="宋体" w:eastAsia="宋体" w:cs="宋体"/>
          <w:color w:val="auto"/>
          <w:sz w:val="24"/>
          <w:szCs w:val="24"/>
          <w:lang w:val="zh-TW" w:eastAsia="zh-TW"/>
        </w:rPr>
        <w:t>倍的货款作为违约金。</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color w:val="auto"/>
          <w:sz w:val="24"/>
          <w:szCs w:val="24"/>
          <w:lang w:val="zh-TW" w:eastAsia="zh-TW"/>
        </w:rPr>
        <w:t>配送单位严禁提供以下食品：（</w:t>
      </w:r>
      <w:r>
        <w:rPr>
          <w:rStyle w:val="134"/>
          <w:color w:val="auto"/>
        </w:rPr>
        <w:t>1</w:t>
      </w:r>
      <w:r>
        <w:rPr>
          <w:rStyle w:val="133"/>
          <w:rFonts w:ascii="宋体" w:hAnsi="宋体" w:eastAsia="宋体" w:cs="宋体"/>
          <w:color w:val="auto"/>
          <w:sz w:val="24"/>
          <w:szCs w:val="24"/>
          <w:lang w:val="zh-TW" w:eastAsia="zh-TW"/>
        </w:rPr>
        <w:t>）无品名、产地、厂名、生产日期、保质期及中文标识及原料说明的预包装食品（除蔬菜、面点、早点等散装食品）；（</w:t>
      </w:r>
      <w:r>
        <w:rPr>
          <w:rStyle w:val="134"/>
          <w:color w:val="auto"/>
        </w:rPr>
        <w:t>2</w:t>
      </w:r>
      <w:r>
        <w:rPr>
          <w:rStyle w:val="133"/>
          <w:rFonts w:ascii="宋体" w:hAnsi="宋体" w:eastAsia="宋体" w:cs="宋体"/>
          <w:color w:val="auto"/>
          <w:sz w:val="24"/>
          <w:szCs w:val="24"/>
          <w:lang w:val="zh-TW" w:eastAsia="zh-TW"/>
        </w:rPr>
        <w:t>）超过保质期限或不符合食品标签规定的预包装食品；（</w:t>
      </w:r>
      <w:r>
        <w:rPr>
          <w:rStyle w:val="134"/>
          <w:color w:val="auto"/>
        </w:rPr>
        <w:t>3</w:t>
      </w:r>
      <w:r>
        <w:rPr>
          <w:rStyle w:val="133"/>
          <w:rFonts w:ascii="宋体" w:hAnsi="宋体" w:eastAsia="宋体" w:cs="宋体"/>
          <w:color w:val="auto"/>
          <w:sz w:val="24"/>
          <w:szCs w:val="24"/>
          <w:lang w:val="zh-TW" w:eastAsia="zh-TW"/>
        </w:rPr>
        <w:t>）腐败变质、油脂酸败、霉变、生虫、污秽不洁、混有异物或者其他感官性状异常，含有毒、有害物质或者被有毒、有害物质污染，可能对人体健康有害的食品；（</w:t>
      </w:r>
      <w:r>
        <w:rPr>
          <w:rStyle w:val="134"/>
          <w:color w:val="auto"/>
        </w:rPr>
        <w:t>4</w:t>
      </w:r>
      <w:r>
        <w:rPr>
          <w:rStyle w:val="133"/>
          <w:rFonts w:ascii="宋体" w:hAnsi="宋体" w:eastAsia="宋体" w:cs="宋体"/>
          <w:color w:val="auto"/>
          <w:sz w:val="24"/>
          <w:szCs w:val="24"/>
          <w:lang w:val="zh-TW" w:eastAsia="zh-TW"/>
        </w:rPr>
        <w:t>）病死、死因不明或从疫区招标的水产品、畜、禽及其制品，不合格调味品，工业用盐，非食品原料和滥用食品添加剂，农药残留超标的水果、蔬菜等；（</w:t>
      </w:r>
      <w:r>
        <w:rPr>
          <w:rStyle w:val="134"/>
          <w:color w:val="auto"/>
        </w:rPr>
        <w:t>5</w:t>
      </w:r>
      <w:r>
        <w:rPr>
          <w:rStyle w:val="133"/>
          <w:rFonts w:ascii="宋体" w:hAnsi="宋体" w:eastAsia="宋体" w:cs="宋体"/>
          <w:color w:val="auto"/>
          <w:sz w:val="24"/>
          <w:szCs w:val="24"/>
          <w:lang w:val="zh-TW" w:eastAsia="zh-TW"/>
        </w:rPr>
        <w:t>）其他不符合食品卫生标准和要求的食品。如因配送单位所供应食品的质量问题引起</w:t>
      </w:r>
      <w:r>
        <w:rPr>
          <w:rStyle w:val="133"/>
          <w:rFonts w:hint="eastAsia" w:ascii="宋体" w:hAnsi="宋体" w:eastAsia="宋体" w:cs="宋体"/>
          <w:color w:val="auto"/>
          <w:sz w:val="24"/>
          <w:szCs w:val="24"/>
          <w:lang w:val="zh-TW"/>
        </w:rPr>
        <w:t>员工病人</w:t>
      </w:r>
      <w:r>
        <w:rPr>
          <w:rStyle w:val="133"/>
          <w:rFonts w:ascii="宋体" w:hAnsi="宋体" w:eastAsia="宋体" w:cs="宋体"/>
          <w:color w:val="auto"/>
          <w:sz w:val="24"/>
          <w:szCs w:val="24"/>
          <w:lang w:val="zh-TW" w:eastAsia="zh-TW"/>
        </w:rPr>
        <w:t>食物中毒等食源性疾病的发生或其他事故，由配送单位负全部责任，并承担由此而引起的全部经济损失及相关法律责任。情节较为严重的，</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有权立即终止供货协议，并按相关法律处理。</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rPr>
        <w:t>七、</w:t>
      </w:r>
      <w:r>
        <w:rPr>
          <w:rStyle w:val="133"/>
          <w:rFonts w:ascii="宋体" w:hAnsi="宋体" w:eastAsia="宋体" w:cs="宋体"/>
          <w:b/>
          <w:bCs/>
          <w:color w:val="auto"/>
          <w:sz w:val="24"/>
          <w:szCs w:val="24"/>
          <w:lang w:val="zh-TW" w:eastAsia="zh-TW"/>
        </w:rPr>
        <w:t>交货配送要求</w:t>
      </w:r>
    </w:p>
    <w:p>
      <w:pPr>
        <w:spacing w:line="360" w:lineRule="auto"/>
        <w:ind w:firstLine="480" w:firstLineChars="200"/>
        <w:jc w:val="left"/>
        <w:rPr>
          <w:rStyle w:val="54"/>
        </w:rPr>
      </w:pPr>
      <w:r>
        <w:rPr>
          <w:rStyle w:val="134"/>
          <w:rFonts w:hint="eastAsia"/>
        </w:rPr>
        <w:t>1、</w:t>
      </w:r>
      <w:r>
        <w:rPr>
          <w:rStyle w:val="133"/>
          <w:rFonts w:ascii="宋体" w:hAnsi="宋体" w:cs="宋体"/>
          <w:sz w:val="24"/>
          <w:szCs w:val="24"/>
          <w:lang w:val="zh-TW" w:eastAsia="zh-TW"/>
        </w:rPr>
        <w:t>交货方式为定时供货，</w:t>
      </w:r>
      <w:r>
        <w:rPr>
          <w:rFonts w:hint="eastAsia" w:ascii="宋体" w:hAnsi="宋体" w:cs="宋体"/>
          <w:sz w:val="24"/>
        </w:rPr>
        <w:t>采购方在供应日前一天15时之前，通过微信或电话形式向中标单位预定第二天所需的品种、规格、数量等订货信息。如采购方需改变订单内容，须在供应日前一天20时前向中标单位提出（特殊情况除外）。中标单位在每日7时前将货物免费送到采购方指定位置，如遇特殊不可抗拒因素中标单位需提前与采购方沟通并提供备用方案，确保不影响采购方的日常开餐。</w:t>
      </w:r>
      <w:r>
        <w:rPr>
          <w:rStyle w:val="133"/>
          <w:rFonts w:ascii="宋体" w:hAnsi="宋体" w:cs="宋体"/>
          <w:sz w:val="24"/>
          <w:szCs w:val="24"/>
          <w:lang w:val="zh-TW" w:eastAsia="zh-TW"/>
        </w:rPr>
        <w:t>交付地为</w:t>
      </w:r>
      <w:r>
        <w:rPr>
          <w:rStyle w:val="133"/>
          <w:rFonts w:hint="eastAsia" w:ascii="宋体" w:hAnsi="宋体" w:cs="宋体"/>
          <w:sz w:val="24"/>
          <w:szCs w:val="24"/>
          <w:lang w:val="zh-TW"/>
        </w:rPr>
        <w:t>江苏省荣军医院食堂</w:t>
      </w:r>
      <w:r>
        <w:rPr>
          <w:rStyle w:val="133"/>
          <w:rFonts w:ascii="宋体" w:hAnsi="宋体" w:cs="宋体"/>
          <w:sz w:val="24"/>
          <w:szCs w:val="24"/>
          <w:lang w:val="zh-TW" w:eastAsia="zh-TW"/>
        </w:rPr>
        <w:t>。</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rPr>
        <w:t>2、</w:t>
      </w:r>
      <w:r>
        <w:rPr>
          <w:rStyle w:val="133"/>
          <w:rFonts w:ascii="宋体" w:hAnsi="宋体" w:eastAsia="宋体" w:cs="宋体"/>
          <w:color w:val="auto"/>
          <w:sz w:val="24"/>
          <w:szCs w:val="24"/>
          <w:lang w:val="zh-TW" w:eastAsia="zh-TW"/>
        </w:rPr>
        <w:t>供货方应能按</w:t>
      </w:r>
      <w:r>
        <w:rPr>
          <w:rStyle w:val="133"/>
          <w:rFonts w:hint="eastAsia" w:ascii="宋体" w:hAnsi="宋体" w:eastAsia="宋体" w:cs="宋体"/>
          <w:color w:val="auto"/>
          <w:sz w:val="24"/>
          <w:szCs w:val="24"/>
          <w:lang w:val="zh-TW"/>
        </w:rPr>
        <w:t>院</w:t>
      </w:r>
      <w:r>
        <w:rPr>
          <w:rStyle w:val="133"/>
          <w:rFonts w:ascii="宋体" w:hAnsi="宋体" w:eastAsia="宋体" w:cs="宋体"/>
          <w:color w:val="auto"/>
          <w:sz w:val="24"/>
          <w:szCs w:val="24"/>
          <w:lang w:val="zh-TW" w:eastAsia="zh-TW"/>
        </w:rPr>
        <w:t>方要求及时补货。</w:t>
      </w:r>
      <w:r>
        <w:rPr>
          <w:rStyle w:val="133"/>
          <w:rFonts w:hint="eastAsia" w:ascii="宋体" w:hAnsi="宋体" w:eastAsia="宋体" w:cs="宋体"/>
          <w:color w:val="auto"/>
          <w:sz w:val="24"/>
          <w:szCs w:val="24"/>
          <w:lang w:val="zh-TW"/>
        </w:rPr>
        <w:t>货物补送：院方有需临时加送（提前两小时通知供货方），供方必须无条件按时送达。</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rPr>
        <w:t>3、</w:t>
      </w:r>
      <w:r>
        <w:rPr>
          <w:rStyle w:val="133"/>
          <w:rFonts w:ascii="宋体" w:hAnsi="宋体" w:eastAsia="宋体" w:cs="宋体"/>
          <w:color w:val="auto"/>
          <w:sz w:val="24"/>
          <w:szCs w:val="24"/>
          <w:lang w:val="zh-TW" w:eastAsia="zh-TW"/>
        </w:rPr>
        <w:t>提前或推迟送货，需求</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有权拒绝验收签单。</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rPr>
        <w:t>4、</w:t>
      </w:r>
      <w:r>
        <w:rPr>
          <w:rStyle w:val="133"/>
          <w:rFonts w:ascii="宋体" w:hAnsi="宋体" w:eastAsia="宋体" w:cs="宋体"/>
          <w:color w:val="auto"/>
          <w:sz w:val="24"/>
          <w:szCs w:val="24"/>
          <w:lang w:val="zh-TW" w:eastAsia="zh-TW"/>
        </w:rPr>
        <w:t>每日及每批次提供的原料，必须经食堂仓管员或食堂相关的人员验收签单后才能视为有效，否则均视为无效供货。</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rPr>
        <w:t>5、</w:t>
      </w:r>
      <w:r>
        <w:rPr>
          <w:rStyle w:val="133"/>
          <w:rFonts w:ascii="宋体" w:hAnsi="宋体" w:eastAsia="宋体" w:cs="宋体"/>
          <w:color w:val="auto"/>
          <w:sz w:val="24"/>
          <w:szCs w:val="24"/>
          <w:lang w:val="zh-TW" w:eastAsia="zh-TW"/>
        </w:rPr>
        <w:t>供货方必须对每日及每批次提供的食品提供其相关单位的证明，否则需求</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有权拒绝验收签单。</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rPr>
        <w:t>6、</w:t>
      </w:r>
      <w:r>
        <w:rPr>
          <w:rStyle w:val="133"/>
          <w:rFonts w:ascii="宋体" w:hAnsi="宋体" w:eastAsia="宋体" w:cs="宋体"/>
          <w:color w:val="auto"/>
          <w:sz w:val="24"/>
          <w:szCs w:val="24"/>
          <w:lang w:val="zh-TW" w:eastAsia="zh-TW"/>
        </w:rPr>
        <w:t>规格包装的产品交付时，必须原包装完好无损，否则</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有权拒收。</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rPr>
        <w:t>7、</w:t>
      </w:r>
      <w:r>
        <w:rPr>
          <w:rStyle w:val="133"/>
          <w:rFonts w:ascii="宋体" w:hAnsi="宋体" w:eastAsia="宋体" w:cs="宋体"/>
          <w:color w:val="auto"/>
          <w:sz w:val="24"/>
          <w:szCs w:val="24"/>
          <w:lang w:val="zh-TW" w:eastAsia="zh-TW"/>
        </w:rPr>
        <w:t>供货方运输工具进入</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，必须接受</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统一管理，发生任何人员与设施损伤，均由供货方承担责任。</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rPr>
        <w:t>八、</w:t>
      </w:r>
      <w:r>
        <w:rPr>
          <w:rStyle w:val="133"/>
          <w:rFonts w:ascii="宋体" w:hAnsi="宋体" w:eastAsia="宋体" w:cs="宋体"/>
          <w:b/>
          <w:bCs/>
          <w:color w:val="auto"/>
          <w:sz w:val="24"/>
          <w:szCs w:val="24"/>
          <w:lang w:val="zh-TW" w:eastAsia="zh-TW"/>
        </w:rPr>
        <w:t>违约责任</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乙方必须严格按照甲方规定的时间将食材物资原料送达指定食堂。若到货时间因乙方原因延误，迟到</w:t>
      </w:r>
      <w:r>
        <w:rPr>
          <w:rStyle w:val="134"/>
          <w:color w:val="auto"/>
        </w:rPr>
        <w:t>30</w:t>
      </w:r>
      <w:r>
        <w:rPr>
          <w:rStyle w:val="133"/>
          <w:rFonts w:ascii="宋体" w:hAnsi="宋体" w:eastAsia="宋体" w:cs="宋体"/>
          <w:color w:val="auto"/>
          <w:sz w:val="24"/>
          <w:szCs w:val="24"/>
          <w:lang w:val="zh-TW" w:eastAsia="zh-TW"/>
        </w:rPr>
        <w:t>分钟以内的，甲方给予警告处分，半个月内受到警告处分</w:t>
      </w:r>
      <w:r>
        <w:rPr>
          <w:rStyle w:val="134"/>
          <w:color w:val="auto"/>
        </w:rPr>
        <w:t>3</w:t>
      </w:r>
      <w:r>
        <w:rPr>
          <w:rStyle w:val="133"/>
          <w:rFonts w:ascii="宋体" w:hAnsi="宋体" w:eastAsia="宋体" w:cs="宋体"/>
          <w:color w:val="auto"/>
          <w:sz w:val="24"/>
          <w:szCs w:val="24"/>
          <w:lang w:val="zh-TW" w:eastAsia="zh-TW"/>
        </w:rPr>
        <w:t>次或以上的，从乙方的履约保证金中扣罚</w:t>
      </w:r>
      <w:r>
        <w:rPr>
          <w:rStyle w:val="134"/>
          <w:color w:val="auto"/>
        </w:rPr>
        <w:t>1000</w:t>
      </w:r>
      <w:r>
        <w:rPr>
          <w:rStyle w:val="133"/>
          <w:rFonts w:ascii="宋体" w:hAnsi="宋体" w:eastAsia="宋体" w:cs="宋体"/>
          <w:color w:val="auto"/>
          <w:sz w:val="24"/>
          <w:szCs w:val="24"/>
          <w:lang w:val="zh-TW" w:eastAsia="zh-TW"/>
        </w:rPr>
        <w:t>元；迟到</w:t>
      </w:r>
      <w:r>
        <w:rPr>
          <w:rStyle w:val="134"/>
          <w:color w:val="auto"/>
        </w:rPr>
        <w:t>30</w:t>
      </w:r>
      <w:r>
        <w:rPr>
          <w:rStyle w:val="133"/>
          <w:rFonts w:ascii="宋体" w:hAnsi="宋体" w:eastAsia="宋体" w:cs="宋体"/>
          <w:color w:val="auto"/>
          <w:sz w:val="24"/>
          <w:szCs w:val="24"/>
          <w:lang w:val="zh-TW" w:eastAsia="zh-TW"/>
        </w:rPr>
        <w:t>分钟以上</w:t>
      </w:r>
      <w:r>
        <w:rPr>
          <w:rStyle w:val="134"/>
          <w:color w:val="auto"/>
        </w:rPr>
        <w:t>1</w:t>
      </w:r>
      <w:r>
        <w:rPr>
          <w:rStyle w:val="133"/>
          <w:rFonts w:ascii="宋体" w:hAnsi="宋体" w:eastAsia="宋体" w:cs="宋体"/>
          <w:color w:val="auto"/>
          <w:sz w:val="24"/>
          <w:szCs w:val="24"/>
          <w:lang w:val="zh-TW" w:eastAsia="zh-TW"/>
        </w:rPr>
        <w:t>小时以下的，从乙方的履约保证金中扣罚</w:t>
      </w:r>
      <w:r>
        <w:rPr>
          <w:rStyle w:val="134"/>
          <w:color w:val="auto"/>
        </w:rPr>
        <w:t>2000</w:t>
      </w:r>
      <w:r>
        <w:rPr>
          <w:rStyle w:val="133"/>
          <w:rFonts w:ascii="宋体" w:hAnsi="宋体" w:eastAsia="宋体" w:cs="宋体"/>
          <w:color w:val="auto"/>
          <w:sz w:val="24"/>
          <w:szCs w:val="24"/>
          <w:lang w:val="zh-TW" w:eastAsia="zh-TW"/>
        </w:rPr>
        <w:t>元；迟到超过</w:t>
      </w:r>
      <w:r>
        <w:rPr>
          <w:rStyle w:val="134"/>
          <w:color w:val="auto"/>
        </w:rPr>
        <w:t>1</w:t>
      </w:r>
      <w:r>
        <w:rPr>
          <w:rStyle w:val="133"/>
          <w:rFonts w:ascii="宋体" w:hAnsi="宋体" w:eastAsia="宋体" w:cs="宋体"/>
          <w:color w:val="auto"/>
          <w:sz w:val="24"/>
          <w:szCs w:val="24"/>
          <w:lang w:val="zh-TW" w:eastAsia="zh-TW"/>
        </w:rPr>
        <w:t>小时的，甲方有权拒收乙方货物，并从乙方的履约保证金中扣罚</w:t>
      </w:r>
      <w:r>
        <w:rPr>
          <w:rStyle w:val="134"/>
          <w:color w:val="auto"/>
        </w:rPr>
        <w:t>5000</w:t>
      </w:r>
      <w:r>
        <w:rPr>
          <w:rStyle w:val="133"/>
          <w:rFonts w:ascii="宋体" w:hAnsi="宋体" w:eastAsia="宋体" w:cs="宋体"/>
          <w:color w:val="auto"/>
          <w:sz w:val="24"/>
          <w:szCs w:val="24"/>
          <w:lang w:val="zh-TW" w:eastAsia="zh-TW"/>
        </w:rPr>
        <w:t>元。</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color w:val="auto"/>
          <w:sz w:val="24"/>
          <w:szCs w:val="24"/>
          <w:lang w:val="zh-TW" w:eastAsia="zh-TW"/>
        </w:rPr>
        <w:t>乙方所送个别货食材物资原料质不符合本合同验收标准的，甲方有权拒收，乙方应保证在甲方指定的时间内增补送到，退货后乙方不在规定时间内送达增补货物的，从乙方的履约保证金中扣罚</w:t>
      </w:r>
      <w:r>
        <w:rPr>
          <w:rStyle w:val="134"/>
          <w:color w:val="auto"/>
        </w:rPr>
        <w:t>5000</w:t>
      </w:r>
      <w:r>
        <w:rPr>
          <w:rStyle w:val="133"/>
          <w:rFonts w:ascii="宋体" w:hAnsi="宋体" w:eastAsia="宋体" w:cs="宋体"/>
          <w:color w:val="auto"/>
          <w:sz w:val="24"/>
          <w:szCs w:val="24"/>
          <w:lang w:val="zh-TW" w:eastAsia="zh-TW"/>
        </w:rPr>
        <w:t>元；当批不合格货物累计金额达</w:t>
      </w:r>
      <w:r>
        <w:rPr>
          <w:rStyle w:val="134"/>
          <w:color w:val="auto"/>
        </w:rPr>
        <w:t>5000</w:t>
      </w:r>
      <w:r>
        <w:rPr>
          <w:rStyle w:val="133"/>
          <w:rFonts w:ascii="宋体" w:hAnsi="宋体" w:eastAsia="宋体" w:cs="宋体"/>
          <w:color w:val="auto"/>
          <w:sz w:val="24"/>
          <w:szCs w:val="24"/>
          <w:lang w:val="zh-TW" w:eastAsia="zh-TW"/>
        </w:rPr>
        <w:t>元以上的，甲方除退货外，并从乙方的履约保证金中扣罚</w:t>
      </w:r>
      <w:r>
        <w:rPr>
          <w:rStyle w:val="134"/>
          <w:color w:val="auto"/>
        </w:rPr>
        <w:t>5000</w:t>
      </w:r>
      <w:r>
        <w:rPr>
          <w:rStyle w:val="133"/>
          <w:rFonts w:ascii="宋体" w:hAnsi="宋体" w:eastAsia="宋体" w:cs="宋体"/>
          <w:color w:val="auto"/>
          <w:sz w:val="24"/>
          <w:szCs w:val="24"/>
          <w:lang w:val="zh-TW" w:eastAsia="zh-TW"/>
        </w:rPr>
        <w:t>元，此情况在一个月（一个结算周期内）出现</w:t>
      </w:r>
      <w:r>
        <w:rPr>
          <w:rStyle w:val="134"/>
          <w:color w:val="auto"/>
        </w:rPr>
        <w:t>3</w:t>
      </w:r>
      <w:r>
        <w:rPr>
          <w:rStyle w:val="133"/>
          <w:rFonts w:ascii="宋体" w:hAnsi="宋体" w:eastAsia="宋体" w:cs="宋体"/>
          <w:color w:val="auto"/>
          <w:sz w:val="24"/>
          <w:szCs w:val="24"/>
          <w:lang w:val="zh-TW" w:eastAsia="zh-TW"/>
        </w:rPr>
        <w:t>次或以上的，乙方构成违约，甲方有权取消其供货资格（因天气恶劣等客观原因导致食材物资原料整体质量下降的情况除外）。</w:t>
      </w:r>
    </w:p>
    <w:p>
      <w:pPr>
        <w:pStyle w:val="132"/>
        <w:widowControl/>
        <w:spacing w:line="360" w:lineRule="auto"/>
        <w:ind w:firstLine="480"/>
        <w:jc w:val="left"/>
        <w:rPr>
          <w:rStyle w:val="54"/>
          <w:color w:val="auto"/>
        </w:rPr>
      </w:pPr>
      <w:r>
        <w:rPr>
          <w:rStyle w:val="134"/>
          <w:color w:val="auto"/>
        </w:rPr>
        <w:t>3</w:t>
      </w:r>
      <w:r>
        <w:rPr>
          <w:rStyle w:val="134"/>
          <w:rFonts w:hint="eastAsia"/>
          <w:color w:val="auto"/>
        </w:rPr>
        <w:t>、</w:t>
      </w:r>
      <w:r>
        <w:rPr>
          <w:rStyle w:val="133"/>
          <w:rFonts w:ascii="宋体" w:hAnsi="宋体" w:eastAsia="宋体" w:cs="宋体"/>
          <w:color w:val="auto"/>
          <w:sz w:val="24"/>
          <w:szCs w:val="24"/>
          <w:lang w:val="zh-TW" w:eastAsia="zh-TW"/>
        </w:rPr>
        <w:t>由于乙方所供货物的质量问题导致</w:t>
      </w:r>
      <w:r>
        <w:rPr>
          <w:rStyle w:val="133"/>
          <w:rFonts w:hint="eastAsia" w:ascii="宋体" w:hAnsi="宋体" w:eastAsia="宋体" w:cs="宋体"/>
          <w:color w:val="auto"/>
          <w:sz w:val="24"/>
          <w:szCs w:val="24"/>
          <w:lang w:val="zh-TW"/>
        </w:rPr>
        <w:t>江苏省荣军医院</w:t>
      </w:r>
      <w:r>
        <w:rPr>
          <w:rStyle w:val="133"/>
          <w:rFonts w:ascii="宋体" w:hAnsi="宋体" w:eastAsia="宋体" w:cs="宋体"/>
          <w:color w:val="auto"/>
          <w:sz w:val="24"/>
          <w:szCs w:val="24"/>
          <w:lang w:val="zh-TW" w:eastAsia="zh-TW"/>
        </w:rPr>
        <w:t>食堂就餐人员发生食物中毒事件时（以防疫部门鉴定为准），乙方应承担一切责任及医疗费用，并由相关部门追究法律责任，同时，立即终止合同。扣除履约保证金。</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rPr>
        <w:t>九、</w:t>
      </w:r>
      <w:r>
        <w:rPr>
          <w:rStyle w:val="133"/>
          <w:rFonts w:ascii="宋体" w:hAnsi="宋体" w:eastAsia="宋体" w:cs="宋体"/>
          <w:b/>
          <w:bCs/>
          <w:color w:val="auto"/>
          <w:sz w:val="24"/>
          <w:szCs w:val="24"/>
          <w:lang w:val="zh-TW" w:eastAsia="zh-TW"/>
        </w:rPr>
        <w:t>履约保证金</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乙方应在本合同签订时，按采购文件的约定向采购人提供相应的履行保证金（履约保证金金额为</w:t>
      </w:r>
      <w:r>
        <w:rPr>
          <w:rStyle w:val="134"/>
          <w:color w:val="auto"/>
        </w:rPr>
        <w:t>5</w:t>
      </w:r>
      <w:r>
        <w:rPr>
          <w:rStyle w:val="133"/>
          <w:rFonts w:ascii="宋体" w:hAnsi="宋体" w:eastAsia="宋体" w:cs="宋体"/>
          <w:color w:val="auto"/>
          <w:sz w:val="24"/>
          <w:szCs w:val="24"/>
          <w:lang w:val="zh-TW" w:eastAsia="zh-TW"/>
        </w:rPr>
        <w:t>万元整</w:t>
      </w:r>
      <w:r>
        <w:rPr>
          <w:rStyle w:val="133"/>
          <w:rFonts w:hint="eastAsia" w:ascii="宋体" w:hAnsi="宋体" w:eastAsia="宋体" w:cs="宋体"/>
          <w:color w:val="auto"/>
          <w:sz w:val="24"/>
          <w:szCs w:val="24"/>
        </w:rPr>
        <w:t>/标段</w:t>
      </w:r>
      <w:r>
        <w:rPr>
          <w:rStyle w:val="133"/>
          <w:rFonts w:ascii="宋体" w:hAnsi="宋体" w:eastAsia="宋体" w:cs="宋体"/>
          <w:color w:val="auto"/>
          <w:sz w:val="24"/>
          <w:szCs w:val="24"/>
          <w:lang w:val="zh-TW" w:eastAsia="zh-TW"/>
        </w:rPr>
        <w:t>）。</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color w:val="auto"/>
          <w:sz w:val="24"/>
          <w:szCs w:val="24"/>
          <w:lang w:val="zh-TW" w:eastAsia="zh-TW"/>
        </w:rPr>
        <w:t>如果乙方未能履行合同规定的任何义务，甲方有权从履约保证金中取得补偿。</w:t>
      </w:r>
    </w:p>
    <w:p>
      <w:pPr>
        <w:pStyle w:val="132"/>
        <w:widowControl/>
        <w:spacing w:line="360" w:lineRule="auto"/>
        <w:ind w:firstLine="480"/>
        <w:jc w:val="left"/>
        <w:rPr>
          <w:rStyle w:val="54"/>
          <w:color w:val="auto"/>
        </w:rPr>
      </w:pPr>
      <w:r>
        <w:rPr>
          <w:rStyle w:val="134"/>
          <w:color w:val="auto"/>
        </w:rPr>
        <w:t>3</w:t>
      </w:r>
      <w:r>
        <w:rPr>
          <w:rStyle w:val="134"/>
          <w:rFonts w:hint="eastAsia"/>
          <w:color w:val="auto"/>
        </w:rPr>
        <w:t>、</w:t>
      </w:r>
      <w:r>
        <w:rPr>
          <w:rStyle w:val="133"/>
          <w:rFonts w:ascii="宋体" w:hAnsi="宋体" w:eastAsia="宋体" w:cs="宋体"/>
          <w:color w:val="auto"/>
          <w:sz w:val="24"/>
          <w:szCs w:val="24"/>
          <w:lang w:val="zh-TW" w:eastAsia="zh-TW"/>
        </w:rPr>
        <w:t>履约保证金将在合同期满后无息退回。</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lang w:val="zh-TW"/>
        </w:rPr>
        <w:t>十、</w:t>
      </w:r>
      <w:r>
        <w:rPr>
          <w:rStyle w:val="133"/>
          <w:rFonts w:ascii="宋体" w:hAnsi="宋体" w:eastAsia="宋体" w:cs="宋体"/>
          <w:b/>
          <w:bCs/>
          <w:color w:val="auto"/>
          <w:sz w:val="24"/>
          <w:szCs w:val="24"/>
          <w:lang w:val="zh-TW" w:eastAsia="zh-TW"/>
        </w:rPr>
        <w:t>结算方式：</w:t>
      </w:r>
    </w:p>
    <w:p>
      <w:pPr>
        <w:pStyle w:val="132"/>
        <w:widowControl/>
        <w:spacing w:line="360" w:lineRule="auto"/>
        <w:ind w:firstLine="480"/>
        <w:jc w:val="left"/>
        <w:rPr>
          <w:rStyle w:val="133"/>
          <w:rFonts w:eastAsia="宋体"/>
          <w:color w:val="auto"/>
          <w:lang w:val="zh-TW" w:eastAsia="zh-TW"/>
        </w:rPr>
      </w:pPr>
      <w:r>
        <w:rPr>
          <w:rStyle w:val="133"/>
          <w:rFonts w:hint="eastAsia" w:asciiTheme="minorEastAsia" w:hAnsiTheme="minorEastAsia" w:eastAsiaTheme="minorEastAsia" w:cstheme="minorEastAsia"/>
          <w:color w:val="auto"/>
          <w:sz w:val="24"/>
          <w:szCs w:val="24"/>
          <w:lang w:val="zh-TW" w:eastAsia="zh-TW"/>
        </w:rPr>
        <w:t>每月21日凭送货单据</w:t>
      </w:r>
      <w:r>
        <w:rPr>
          <w:rStyle w:val="133"/>
          <w:rFonts w:hint="eastAsia" w:asciiTheme="minorEastAsia" w:hAnsiTheme="minorEastAsia" w:eastAsiaTheme="minorEastAsia" w:cstheme="minorEastAsia"/>
          <w:color w:val="auto"/>
          <w:sz w:val="24"/>
          <w:szCs w:val="24"/>
          <w:lang w:val="zh-TW"/>
        </w:rPr>
        <w:t>（送货单据需经医院验收并签字确认）</w:t>
      </w:r>
      <w:r>
        <w:rPr>
          <w:rStyle w:val="133"/>
          <w:rFonts w:hint="eastAsia" w:asciiTheme="minorEastAsia" w:hAnsiTheme="minorEastAsia" w:eastAsiaTheme="minorEastAsia" w:cstheme="minorEastAsia"/>
          <w:color w:val="auto"/>
          <w:sz w:val="24"/>
          <w:szCs w:val="24"/>
          <w:lang w:val="zh-TW" w:eastAsia="zh-TW"/>
        </w:rPr>
        <w:t>结算一次（节假日顺延），乙方需提供</w:t>
      </w:r>
      <w:r>
        <w:rPr>
          <w:rStyle w:val="133"/>
          <w:rFonts w:ascii="宋体" w:hAnsi="宋体" w:eastAsia="宋体" w:cs="宋体"/>
          <w:color w:val="auto"/>
          <w:sz w:val="24"/>
          <w:szCs w:val="24"/>
          <w:lang w:val="zh-TW" w:eastAsia="zh-TW"/>
        </w:rPr>
        <w:t>与货款等额的正规发票。</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lang w:val="zh-TW"/>
        </w:rPr>
        <w:t>十</w:t>
      </w:r>
      <w:r>
        <w:rPr>
          <w:rStyle w:val="133"/>
          <w:rFonts w:hint="eastAsia" w:ascii="宋体" w:hAnsi="宋体" w:eastAsia="宋体" w:cs="宋体"/>
          <w:b/>
          <w:bCs/>
          <w:color w:val="auto"/>
          <w:sz w:val="24"/>
          <w:szCs w:val="24"/>
        </w:rPr>
        <w:t>一</w:t>
      </w:r>
      <w:r>
        <w:rPr>
          <w:rStyle w:val="133"/>
          <w:rFonts w:hint="eastAsia" w:ascii="宋体" w:hAnsi="宋体" w:eastAsia="宋体" w:cs="宋体"/>
          <w:b/>
          <w:bCs/>
          <w:color w:val="auto"/>
          <w:sz w:val="24"/>
          <w:szCs w:val="24"/>
          <w:lang w:val="zh-TW"/>
        </w:rPr>
        <w:t>、</w:t>
      </w:r>
      <w:r>
        <w:rPr>
          <w:rStyle w:val="133"/>
          <w:rFonts w:ascii="宋体" w:hAnsi="宋体" w:eastAsia="宋体" w:cs="宋体"/>
          <w:b/>
          <w:bCs/>
          <w:color w:val="auto"/>
          <w:sz w:val="24"/>
          <w:szCs w:val="24"/>
          <w:lang w:val="zh-TW" w:eastAsia="zh-TW"/>
        </w:rPr>
        <w:t>考核管理：</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lang w:val="zh-TW"/>
        </w:rPr>
        <w:t>采购人</w:t>
      </w:r>
      <w:r>
        <w:rPr>
          <w:rStyle w:val="133"/>
          <w:rFonts w:ascii="宋体" w:hAnsi="宋体" w:eastAsia="宋体" w:cs="宋体"/>
          <w:color w:val="auto"/>
          <w:sz w:val="24"/>
          <w:szCs w:val="24"/>
          <w:lang w:val="zh-TW" w:eastAsia="zh-TW"/>
        </w:rPr>
        <w:t>根据配送单位的配送情况，每个月对配送单位考核一次。由</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依据《配送工作考核表》，对配送单位的配送情况进行考核。每次考核总分</w:t>
      </w:r>
      <w:r>
        <w:rPr>
          <w:rStyle w:val="134"/>
          <w:color w:val="auto"/>
        </w:rPr>
        <w:t>100</w:t>
      </w:r>
      <w:r>
        <w:rPr>
          <w:rStyle w:val="133"/>
          <w:rFonts w:ascii="宋体" w:hAnsi="宋体" w:eastAsia="宋体" w:cs="宋体"/>
          <w:color w:val="auto"/>
          <w:sz w:val="24"/>
          <w:szCs w:val="24"/>
          <w:lang w:val="zh-TW" w:eastAsia="zh-TW"/>
        </w:rPr>
        <w:t>分，得分</w:t>
      </w:r>
      <w:r>
        <w:rPr>
          <w:rStyle w:val="134"/>
          <w:color w:val="auto"/>
        </w:rPr>
        <w:t>9</w:t>
      </w:r>
      <w:r>
        <w:rPr>
          <w:rStyle w:val="134"/>
          <w:rFonts w:hint="eastAsia"/>
          <w:color w:val="auto"/>
        </w:rPr>
        <w:t>5</w:t>
      </w:r>
      <w:r>
        <w:rPr>
          <w:rStyle w:val="133"/>
          <w:rFonts w:ascii="宋体" w:hAnsi="宋体" w:eastAsia="宋体" w:cs="宋体"/>
          <w:color w:val="auto"/>
          <w:sz w:val="24"/>
          <w:szCs w:val="24"/>
          <w:lang w:val="zh-TW" w:eastAsia="zh-TW"/>
        </w:rPr>
        <w:t>分（含）以上，本次结算按正常结算价格结算；低于</w:t>
      </w:r>
      <w:r>
        <w:rPr>
          <w:rStyle w:val="134"/>
          <w:color w:val="auto"/>
        </w:rPr>
        <w:t>9</w:t>
      </w:r>
      <w:r>
        <w:rPr>
          <w:rStyle w:val="134"/>
          <w:rFonts w:hint="eastAsia"/>
          <w:color w:val="auto"/>
        </w:rPr>
        <w:t>5</w:t>
      </w:r>
      <w:r>
        <w:rPr>
          <w:rStyle w:val="133"/>
          <w:rFonts w:ascii="宋体" w:hAnsi="宋体" w:eastAsia="宋体" w:cs="宋体"/>
          <w:color w:val="auto"/>
          <w:sz w:val="24"/>
          <w:szCs w:val="24"/>
          <w:lang w:val="zh-TW" w:eastAsia="zh-TW"/>
        </w:rPr>
        <w:t>分时，每低</w:t>
      </w:r>
      <w:r>
        <w:rPr>
          <w:rStyle w:val="134"/>
          <w:color w:val="auto"/>
        </w:rPr>
        <w:t>5</w:t>
      </w:r>
      <w:r>
        <w:rPr>
          <w:rStyle w:val="133"/>
          <w:rFonts w:ascii="宋体" w:hAnsi="宋体" w:eastAsia="宋体" w:cs="宋体"/>
          <w:color w:val="auto"/>
          <w:sz w:val="24"/>
          <w:szCs w:val="24"/>
          <w:lang w:val="zh-TW" w:eastAsia="zh-TW"/>
        </w:rPr>
        <w:t>分，本次结算价格按正常结算价格下降</w:t>
      </w:r>
      <w:r>
        <w:rPr>
          <w:rStyle w:val="134"/>
          <w:color w:val="auto"/>
        </w:rPr>
        <w:t>1%</w:t>
      </w:r>
      <w:r>
        <w:rPr>
          <w:rStyle w:val="133"/>
          <w:rFonts w:ascii="宋体" w:hAnsi="宋体" w:eastAsia="宋体" w:cs="宋体"/>
          <w:color w:val="auto"/>
          <w:sz w:val="24"/>
          <w:szCs w:val="24"/>
          <w:lang w:val="zh-TW" w:eastAsia="zh-TW"/>
        </w:rPr>
        <w:t>执行，</w:t>
      </w:r>
      <w:r>
        <w:rPr>
          <w:rStyle w:val="134"/>
          <w:color w:val="auto"/>
        </w:rPr>
        <w:t>3</w:t>
      </w:r>
      <w:r>
        <w:rPr>
          <w:rStyle w:val="133"/>
          <w:rFonts w:ascii="宋体" w:hAnsi="宋体" w:eastAsia="宋体" w:cs="宋体"/>
          <w:color w:val="auto"/>
          <w:sz w:val="24"/>
          <w:szCs w:val="24"/>
          <w:lang w:val="zh-TW" w:eastAsia="zh-TW"/>
        </w:rPr>
        <w:t>次考核得分低于</w:t>
      </w:r>
      <w:r>
        <w:rPr>
          <w:rStyle w:val="134"/>
          <w:color w:val="auto"/>
        </w:rPr>
        <w:t>80</w:t>
      </w:r>
      <w:r>
        <w:rPr>
          <w:rStyle w:val="133"/>
          <w:rFonts w:ascii="宋体" w:hAnsi="宋体" w:eastAsia="宋体" w:cs="宋体"/>
          <w:color w:val="auto"/>
          <w:sz w:val="24"/>
          <w:szCs w:val="24"/>
          <w:lang w:val="zh-TW" w:eastAsia="zh-TW"/>
        </w:rPr>
        <w:t>分时，</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可以提出终止合同并调换配送单位。</w:t>
      </w:r>
      <w:r>
        <w:rPr>
          <w:rFonts w:hint="eastAsia" w:ascii="宋体" w:hAnsi="宋体" w:cs="宋体"/>
          <w:color w:val="auto"/>
          <w:sz w:val="24"/>
        </w:rPr>
        <w:t>扣款金额由甲方根据每月考核结果在乙方食材费用中直接扣除。</w:t>
      </w:r>
    </w:p>
    <w:p>
      <w:pPr>
        <w:pStyle w:val="132"/>
        <w:widowControl/>
        <w:spacing w:line="360" w:lineRule="auto"/>
        <w:ind w:firstLine="480"/>
        <w:jc w:val="left"/>
        <w:rPr>
          <w:rStyle w:val="54"/>
          <w:color w:val="auto"/>
          <w:lang w:val="zh-TW" w:eastAsia="zh-TW"/>
        </w:rPr>
      </w:pPr>
      <w:r>
        <w:rPr>
          <w:rStyle w:val="133"/>
          <w:rFonts w:ascii="宋体" w:hAnsi="宋体" w:eastAsia="宋体" w:cs="宋体"/>
          <w:color w:val="auto"/>
          <w:sz w:val="24"/>
          <w:szCs w:val="24"/>
          <w:lang w:val="zh-TW" w:eastAsia="zh-TW"/>
        </w:rPr>
        <w:t>经考核有下列情形之一者招标方有权立即终止配送单位的配送工作，终止与之签订的食堂配送协议，并取消配送单位参加下一轮</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食堂招标配送招投标资格：</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原材料问题引起</w:t>
      </w:r>
      <w:r>
        <w:rPr>
          <w:rStyle w:val="133"/>
          <w:rFonts w:hint="eastAsia" w:ascii="宋体" w:hAnsi="宋体" w:eastAsia="宋体" w:cs="宋体"/>
          <w:color w:val="auto"/>
          <w:sz w:val="24"/>
          <w:szCs w:val="24"/>
          <w:lang w:val="zh-TW"/>
        </w:rPr>
        <w:t>员工、病人</w:t>
      </w:r>
      <w:r>
        <w:rPr>
          <w:rStyle w:val="133"/>
          <w:rFonts w:ascii="宋体" w:hAnsi="宋体" w:eastAsia="宋体" w:cs="宋体"/>
          <w:color w:val="auto"/>
          <w:sz w:val="24"/>
          <w:szCs w:val="24"/>
          <w:lang w:val="zh-TW" w:eastAsia="zh-TW"/>
        </w:rPr>
        <w:t>食物中毒等食源性疾病发生的；</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color w:val="auto"/>
          <w:sz w:val="24"/>
          <w:szCs w:val="24"/>
          <w:lang w:val="zh-TW" w:eastAsia="zh-TW"/>
        </w:rPr>
        <w:t>配送质量差，有半数</w:t>
      </w:r>
      <w:r>
        <w:rPr>
          <w:rStyle w:val="133"/>
          <w:rFonts w:hint="eastAsia" w:ascii="宋体" w:hAnsi="宋体" w:eastAsia="宋体" w:cs="宋体"/>
          <w:color w:val="auto"/>
          <w:sz w:val="24"/>
          <w:szCs w:val="24"/>
          <w:lang w:val="zh-TW"/>
        </w:rPr>
        <w:t>员工</w:t>
      </w:r>
      <w:r>
        <w:rPr>
          <w:rStyle w:val="133"/>
          <w:rFonts w:ascii="宋体" w:hAnsi="宋体" w:eastAsia="宋体" w:cs="宋体"/>
          <w:color w:val="auto"/>
          <w:sz w:val="24"/>
          <w:szCs w:val="24"/>
          <w:lang w:val="zh-TW" w:eastAsia="zh-TW"/>
        </w:rPr>
        <w:t>及</w:t>
      </w:r>
      <w:r>
        <w:rPr>
          <w:rStyle w:val="133"/>
          <w:rFonts w:hint="eastAsia" w:ascii="宋体" w:hAnsi="宋体" w:eastAsia="宋体" w:cs="宋体"/>
          <w:color w:val="auto"/>
          <w:sz w:val="24"/>
          <w:szCs w:val="24"/>
          <w:lang w:val="zh-TW"/>
        </w:rPr>
        <w:t>病人</w:t>
      </w:r>
      <w:r>
        <w:rPr>
          <w:rStyle w:val="133"/>
          <w:rFonts w:ascii="宋体" w:hAnsi="宋体" w:eastAsia="宋体" w:cs="宋体"/>
          <w:color w:val="auto"/>
          <w:sz w:val="24"/>
          <w:szCs w:val="24"/>
          <w:lang w:val="zh-TW" w:eastAsia="zh-TW"/>
        </w:rPr>
        <w:t>提出调换配送单位的；</w:t>
      </w:r>
    </w:p>
    <w:p>
      <w:pPr>
        <w:pStyle w:val="132"/>
        <w:widowControl/>
        <w:spacing w:line="360" w:lineRule="auto"/>
        <w:ind w:firstLine="480"/>
        <w:jc w:val="left"/>
        <w:rPr>
          <w:rStyle w:val="54"/>
          <w:color w:val="auto"/>
        </w:rPr>
      </w:pPr>
      <w:r>
        <w:rPr>
          <w:rStyle w:val="134"/>
          <w:color w:val="auto"/>
        </w:rPr>
        <w:t>3</w:t>
      </w:r>
      <w:r>
        <w:rPr>
          <w:rStyle w:val="134"/>
          <w:rFonts w:hint="eastAsia"/>
          <w:color w:val="auto"/>
        </w:rPr>
        <w:t>、</w:t>
      </w:r>
      <w:r>
        <w:rPr>
          <w:rStyle w:val="133"/>
          <w:rFonts w:ascii="宋体" w:hAnsi="宋体" w:eastAsia="宋体" w:cs="宋体"/>
          <w:color w:val="auto"/>
          <w:sz w:val="24"/>
          <w:szCs w:val="24"/>
          <w:lang w:val="zh-TW" w:eastAsia="zh-TW"/>
        </w:rPr>
        <w:t>被政府监管部门查到故意向</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销售假冒伪劣商品的；</w:t>
      </w:r>
    </w:p>
    <w:p>
      <w:pPr>
        <w:pStyle w:val="132"/>
        <w:widowControl/>
        <w:spacing w:line="360" w:lineRule="auto"/>
        <w:ind w:firstLine="480"/>
        <w:jc w:val="left"/>
        <w:rPr>
          <w:rStyle w:val="54"/>
          <w:color w:val="auto"/>
        </w:rPr>
      </w:pPr>
      <w:r>
        <w:rPr>
          <w:rStyle w:val="134"/>
          <w:color w:val="auto"/>
        </w:rPr>
        <w:t>4</w:t>
      </w:r>
      <w:r>
        <w:rPr>
          <w:rStyle w:val="134"/>
          <w:rFonts w:hint="eastAsia"/>
          <w:color w:val="auto"/>
        </w:rPr>
        <w:t>、</w:t>
      </w:r>
      <w:r>
        <w:rPr>
          <w:rStyle w:val="133"/>
          <w:rFonts w:ascii="宋体" w:hAnsi="宋体" w:eastAsia="宋体" w:cs="宋体"/>
          <w:color w:val="auto"/>
          <w:sz w:val="24"/>
          <w:szCs w:val="24"/>
          <w:lang w:val="zh-TW" w:eastAsia="zh-TW"/>
        </w:rPr>
        <w:t>经查实，分包或转包给他人或其他单位的；</w:t>
      </w:r>
    </w:p>
    <w:p>
      <w:pPr>
        <w:pStyle w:val="132"/>
        <w:widowControl/>
        <w:spacing w:line="360" w:lineRule="auto"/>
        <w:ind w:firstLine="480"/>
        <w:jc w:val="left"/>
        <w:rPr>
          <w:rFonts w:ascii="宋体" w:hAnsi="宋体" w:eastAsia="宋体" w:cs="宋体"/>
          <w:bCs/>
          <w:color w:val="auto"/>
          <w:sz w:val="24"/>
          <w:szCs w:val="24"/>
        </w:rPr>
      </w:pPr>
      <w:r>
        <w:rPr>
          <w:rStyle w:val="134"/>
          <w:color w:val="auto"/>
        </w:rPr>
        <w:t>5</w:t>
      </w:r>
      <w:r>
        <w:rPr>
          <w:rStyle w:val="134"/>
          <w:rFonts w:hint="eastAsia"/>
          <w:color w:val="auto"/>
        </w:rPr>
        <w:t>、</w:t>
      </w:r>
      <w:r>
        <w:rPr>
          <w:rStyle w:val="133"/>
          <w:rFonts w:ascii="宋体" w:hAnsi="宋体" w:eastAsia="宋体" w:cs="宋体"/>
          <w:color w:val="auto"/>
          <w:sz w:val="24"/>
          <w:szCs w:val="24"/>
          <w:lang w:val="zh-TW" w:eastAsia="zh-TW"/>
        </w:rPr>
        <w:t>在配送工作中弄虚作假，提供伪造检测资料和索证资料的。</w:t>
      </w:r>
    </w:p>
    <w:p>
      <w:pPr>
        <w:spacing w:line="360" w:lineRule="auto"/>
        <w:rPr>
          <w:rFonts w:ascii="宋体" w:hAnsi="宋体" w:cs="宋体"/>
          <w:sz w:val="24"/>
        </w:rPr>
      </w:pPr>
      <w:r>
        <w:rPr>
          <w:rFonts w:hint="eastAsia" w:ascii="宋体" w:hAnsi="宋体" w:cs="宋体"/>
          <w:sz w:val="24"/>
        </w:rPr>
        <w:t>具体考评细则如下表：</w:t>
      </w:r>
    </w:p>
    <w:tbl>
      <w:tblPr>
        <w:tblStyle w:val="4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53"/>
        <w:gridCol w:w="795"/>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360" w:lineRule="auto"/>
              <w:ind w:firstLine="27" w:firstLineChars="13"/>
              <w:jc w:val="center"/>
            </w:pPr>
            <w:r>
              <w:rPr>
                <w:rFonts w:hint="eastAsia"/>
              </w:rPr>
              <w:t>序号</w:t>
            </w:r>
          </w:p>
        </w:tc>
        <w:tc>
          <w:tcPr>
            <w:tcW w:w="1653" w:type="dxa"/>
            <w:vAlign w:val="center"/>
          </w:tcPr>
          <w:p>
            <w:pPr>
              <w:spacing w:line="360" w:lineRule="auto"/>
              <w:ind w:firstLine="33" w:firstLineChars="16"/>
              <w:jc w:val="center"/>
            </w:pPr>
            <w:r>
              <w:rPr>
                <w:rFonts w:hint="eastAsia"/>
              </w:rPr>
              <w:t>项目名称</w:t>
            </w:r>
          </w:p>
        </w:tc>
        <w:tc>
          <w:tcPr>
            <w:tcW w:w="795" w:type="dxa"/>
            <w:vAlign w:val="center"/>
          </w:tcPr>
          <w:p>
            <w:pPr>
              <w:spacing w:line="360" w:lineRule="auto"/>
              <w:ind w:firstLine="27" w:firstLineChars="13"/>
              <w:jc w:val="center"/>
            </w:pPr>
            <w:r>
              <w:rPr>
                <w:rFonts w:hint="eastAsia"/>
              </w:rPr>
              <w:t>分值</w:t>
            </w:r>
          </w:p>
        </w:tc>
        <w:tc>
          <w:tcPr>
            <w:tcW w:w="5216" w:type="dxa"/>
            <w:vAlign w:val="center"/>
          </w:tcPr>
          <w:p>
            <w:pPr>
              <w:spacing w:line="360" w:lineRule="auto"/>
              <w:ind w:firstLine="27" w:firstLineChars="13"/>
              <w:jc w:val="center"/>
            </w:pPr>
            <w:r>
              <w:rPr>
                <w:rFonts w:hint="eastAsia"/>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5" w:type="dxa"/>
            <w:vAlign w:val="center"/>
          </w:tcPr>
          <w:p>
            <w:pPr>
              <w:spacing w:line="360" w:lineRule="auto"/>
              <w:ind w:firstLine="27" w:firstLineChars="13"/>
              <w:jc w:val="center"/>
            </w:pPr>
            <w:r>
              <w:rPr>
                <w:rFonts w:hint="eastAsia"/>
              </w:rPr>
              <w:t>1</w:t>
            </w:r>
          </w:p>
        </w:tc>
        <w:tc>
          <w:tcPr>
            <w:tcW w:w="1653" w:type="dxa"/>
            <w:vAlign w:val="center"/>
          </w:tcPr>
          <w:p>
            <w:pPr>
              <w:spacing w:line="360" w:lineRule="auto"/>
              <w:jc w:val="center"/>
            </w:pPr>
            <w:r>
              <w:t>交货率</w:t>
            </w:r>
          </w:p>
        </w:tc>
        <w:tc>
          <w:tcPr>
            <w:tcW w:w="795" w:type="dxa"/>
            <w:vAlign w:val="center"/>
          </w:tcPr>
          <w:p>
            <w:pPr>
              <w:spacing w:line="360" w:lineRule="auto"/>
              <w:ind w:firstLine="27" w:firstLineChars="13"/>
              <w:jc w:val="center"/>
            </w:pPr>
            <w:r>
              <w:rPr>
                <w:rFonts w:hint="eastAsia"/>
              </w:rPr>
              <w:t>20</w:t>
            </w:r>
          </w:p>
        </w:tc>
        <w:tc>
          <w:tcPr>
            <w:tcW w:w="5216" w:type="dxa"/>
            <w:vAlign w:val="center"/>
          </w:tcPr>
          <w:p>
            <w:pPr>
              <w:ind w:firstLine="27" w:firstLineChars="13"/>
              <w:jc w:val="left"/>
            </w:pPr>
            <w:r>
              <w:t>每</w:t>
            </w:r>
            <w:r>
              <w:rPr>
                <w:rFonts w:hint="eastAsia"/>
              </w:rPr>
              <w:t>天早6：00-7：00，配送产品至指定地点。</w:t>
            </w:r>
          </w:p>
          <w:p>
            <w:pPr>
              <w:ind w:firstLine="27" w:firstLineChars="13"/>
              <w:jc w:val="left"/>
            </w:pPr>
            <w:r>
              <w:rPr>
                <w:rFonts w:hint="eastAsia"/>
              </w:rPr>
              <w:t>每延误一批次，扣分如下：</w:t>
            </w:r>
          </w:p>
          <w:p>
            <w:pPr>
              <w:ind w:firstLine="27" w:firstLineChars="13"/>
              <w:jc w:val="left"/>
            </w:pPr>
            <w:r>
              <w:rPr>
                <w:rFonts w:hint="eastAsia"/>
              </w:rPr>
              <w:t>1）配送时间7：15-7：30，</w:t>
            </w:r>
            <w:r>
              <w:t>扣2分。</w:t>
            </w:r>
          </w:p>
          <w:p>
            <w:pPr>
              <w:ind w:firstLine="27" w:firstLineChars="13"/>
              <w:jc w:val="left"/>
            </w:pPr>
            <w:r>
              <w:rPr>
                <w:rFonts w:hint="eastAsia"/>
              </w:rPr>
              <w:t>2）配送时间7：30-8：00，扣4分。</w:t>
            </w:r>
          </w:p>
          <w:p>
            <w:pPr>
              <w:ind w:firstLine="27" w:firstLineChars="13"/>
              <w:jc w:val="left"/>
            </w:pPr>
            <w:r>
              <w:rPr>
                <w:rFonts w:hint="eastAsia"/>
              </w:rPr>
              <w:t>3）配送时间8：00-9：00，扣</w:t>
            </w:r>
            <w:r>
              <w:t>10</w:t>
            </w:r>
            <w:r>
              <w:rPr>
                <w:rFonts w:hint="eastAsia"/>
              </w:rPr>
              <w:t>分。</w:t>
            </w:r>
          </w:p>
          <w:p>
            <w:pPr>
              <w:ind w:firstLine="27" w:firstLineChars="13"/>
              <w:jc w:val="left"/>
            </w:pPr>
            <w:r>
              <w:t>4</w:t>
            </w:r>
            <w:r>
              <w:rPr>
                <w:rFonts w:hint="eastAsia"/>
              </w:rPr>
              <w:t>）因恶劣天气供货方未做好预案，或由于供货方自身原因，未在9点之前将产品配送到指定地点，严重影响食堂开餐，则一次性扣20分。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 w:type="dxa"/>
            <w:vAlign w:val="center"/>
          </w:tcPr>
          <w:p>
            <w:pPr>
              <w:spacing w:line="360" w:lineRule="auto"/>
              <w:ind w:firstLine="27" w:firstLineChars="13"/>
              <w:jc w:val="center"/>
            </w:pPr>
            <w:r>
              <w:rPr>
                <w:rFonts w:hint="eastAsia"/>
              </w:rPr>
              <w:t>2</w:t>
            </w:r>
          </w:p>
        </w:tc>
        <w:tc>
          <w:tcPr>
            <w:tcW w:w="1653" w:type="dxa"/>
            <w:vAlign w:val="center"/>
          </w:tcPr>
          <w:p>
            <w:pPr>
              <w:spacing w:line="360" w:lineRule="auto"/>
              <w:jc w:val="center"/>
            </w:pPr>
            <w:r>
              <w:t>产品质量</w:t>
            </w:r>
          </w:p>
        </w:tc>
        <w:tc>
          <w:tcPr>
            <w:tcW w:w="795" w:type="dxa"/>
            <w:vAlign w:val="center"/>
          </w:tcPr>
          <w:p>
            <w:pPr>
              <w:spacing w:line="360" w:lineRule="auto"/>
              <w:ind w:firstLine="27" w:firstLineChars="13"/>
              <w:jc w:val="center"/>
            </w:pPr>
            <w:r>
              <w:t>25</w:t>
            </w:r>
          </w:p>
        </w:tc>
        <w:tc>
          <w:tcPr>
            <w:tcW w:w="5216" w:type="dxa"/>
            <w:vAlign w:val="center"/>
          </w:tcPr>
          <w:p>
            <w:pPr>
              <w:ind w:firstLine="27" w:firstLineChars="13"/>
              <w:jc w:val="left"/>
            </w:pPr>
            <w:r>
              <w:rPr>
                <w:rFonts w:hint="eastAsia"/>
              </w:rPr>
              <w:t>1、除产品</w:t>
            </w:r>
            <w:r>
              <w:t>质量不符合</w:t>
            </w:r>
            <w:r>
              <w:rPr>
                <w:rFonts w:hint="eastAsia"/>
              </w:rPr>
              <w:t>食材配送清单中对各类产品的具体</w:t>
            </w:r>
            <w:r>
              <w:t>要求</w:t>
            </w:r>
            <w:r>
              <w:rPr>
                <w:rFonts w:hint="eastAsia"/>
              </w:rPr>
              <w:t>外，还出现诸如牛奶类产品涨包、有沉淀物；粮油类产品封装不完好、有沉淀物；果蔬类产品带有泥沙、腐叶等；肉、畜、禽类产品以次充好等情况。</w:t>
            </w:r>
          </w:p>
          <w:p>
            <w:pPr>
              <w:ind w:firstLine="27" w:firstLineChars="13"/>
              <w:jc w:val="left"/>
            </w:pPr>
            <w:r>
              <w:t>每出现一次，</w:t>
            </w:r>
            <w:r>
              <w:rPr>
                <w:rFonts w:hint="eastAsia"/>
              </w:rPr>
              <w:t>扣分如下：</w:t>
            </w:r>
          </w:p>
          <w:p>
            <w:pPr>
              <w:numPr>
                <w:ilvl w:val="0"/>
                <w:numId w:val="21"/>
              </w:numPr>
              <w:jc w:val="left"/>
            </w:pPr>
            <w:r>
              <w:t>在30分钟</w:t>
            </w:r>
            <w:r>
              <w:rPr>
                <w:rFonts w:hint="eastAsia"/>
              </w:rPr>
              <w:t>内，</w:t>
            </w:r>
            <w:r>
              <w:t>调换合格的，扣2分；</w:t>
            </w:r>
          </w:p>
          <w:p>
            <w:pPr>
              <w:numPr>
                <w:ilvl w:val="0"/>
                <w:numId w:val="21"/>
              </w:numPr>
              <w:jc w:val="left"/>
            </w:pPr>
            <w:r>
              <w:t>在30分钟</w:t>
            </w:r>
            <w:r>
              <w:rPr>
                <w:rFonts w:hint="eastAsia"/>
              </w:rPr>
              <w:t>至6</w:t>
            </w:r>
            <w:r>
              <w:t>0</w:t>
            </w:r>
            <w:r>
              <w:rPr>
                <w:rFonts w:hint="eastAsia"/>
              </w:rPr>
              <w:t>分钟，</w:t>
            </w:r>
            <w:r>
              <w:t>调换合格的，扣3分；</w:t>
            </w:r>
          </w:p>
          <w:p>
            <w:pPr>
              <w:numPr>
                <w:ilvl w:val="0"/>
                <w:numId w:val="21"/>
              </w:numPr>
              <w:ind w:left="27"/>
              <w:jc w:val="left"/>
            </w:pPr>
            <w:r>
              <w:rPr>
                <w:rFonts w:hint="eastAsia"/>
              </w:rPr>
              <w:t>3）若在120分钟内无法更换合格的，扣1</w:t>
            </w:r>
            <w:r>
              <w:t>0</w:t>
            </w:r>
            <w:r>
              <w:rPr>
                <w:rFonts w:hint="eastAsia"/>
              </w:rPr>
              <w:t>分；</w:t>
            </w:r>
          </w:p>
          <w:p>
            <w:pPr>
              <w:ind w:left="-333"/>
              <w:jc w:val="left"/>
            </w:pPr>
            <w:r>
              <w:rPr>
                <w:rFonts w:hint="eastAsia"/>
              </w:rPr>
              <w:t>送 2、送检商品经质检部门判定不合格的，扣10分。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5" w:type="dxa"/>
            <w:vAlign w:val="center"/>
          </w:tcPr>
          <w:p>
            <w:pPr>
              <w:spacing w:line="360" w:lineRule="auto"/>
              <w:ind w:firstLine="27" w:firstLineChars="13"/>
              <w:jc w:val="center"/>
            </w:pPr>
            <w:r>
              <w:rPr>
                <w:rFonts w:hint="eastAsia"/>
              </w:rPr>
              <w:t>3</w:t>
            </w:r>
          </w:p>
        </w:tc>
        <w:tc>
          <w:tcPr>
            <w:tcW w:w="1653" w:type="dxa"/>
            <w:vAlign w:val="center"/>
          </w:tcPr>
          <w:p>
            <w:pPr>
              <w:spacing w:line="360" w:lineRule="auto"/>
              <w:jc w:val="center"/>
            </w:pPr>
            <w:r>
              <w:t>服务质量</w:t>
            </w:r>
          </w:p>
        </w:tc>
        <w:tc>
          <w:tcPr>
            <w:tcW w:w="795" w:type="dxa"/>
            <w:vAlign w:val="center"/>
          </w:tcPr>
          <w:p>
            <w:pPr>
              <w:spacing w:line="360" w:lineRule="auto"/>
              <w:ind w:firstLine="27" w:firstLineChars="13"/>
              <w:jc w:val="center"/>
            </w:pPr>
            <w:r>
              <w:t>25</w:t>
            </w:r>
          </w:p>
        </w:tc>
        <w:tc>
          <w:tcPr>
            <w:tcW w:w="5216" w:type="dxa"/>
            <w:vAlign w:val="center"/>
          </w:tcPr>
          <w:p>
            <w:pPr>
              <w:ind w:firstLine="27" w:firstLineChars="13"/>
              <w:jc w:val="left"/>
            </w:pPr>
            <w:r>
              <w:rPr>
                <w:rFonts w:hint="eastAsia"/>
              </w:rPr>
              <w:t>严格遵守本标书中对供货方的要求，认真履行其服务承诺。能够及时有效的应对临时增加供货量、按要求更换菜品等突发情况，且保证临时采购菜品的质量、送达时间以及价格的合理性；对于采购方提出的改进意见，应及时整改落实。</w:t>
            </w:r>
          </w:p>
          <w:p>
            <w:pPr>
              <w:ind w:firstLine="27" w:firstLineChars="13"/>
              <w:jc w:val="left"/>
            </w:pPr>
            <w:r>
              <w:t>每出现1次不满意</w:t>
            </w:r>
            <w:r>
              <w:rPr>
                <w:rFonts w:hint="eastAsia"/>
              </w:rPr>
              <w:t>，</w:t>
            </w:r>
            <w:r>
              <w:t>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5" w:type="dxa"/>
            <w:vAlign w:val="center"/>
          </w:tcPr>
          <w:p>
            <w:pPr>
              <w:spacing w:line="360" w:lineRule="auto"/>
              <w:ind w:firstLine="27" w:firstLineChars="13"/>
              <w:jc w:val="center"/>
            </w:pPr>
            <w:r>
              <w:rPr>
                <w:rFonts w:hint="eastAsia"/>
              </w:rPr>
              <w:t>4</w:t>
            </w:r>
          </w:p>
        </w:tc>
        <w:tc>
          <w:tcPr>
            <w:tcW w:w="1653" w:type="dxa"/>
            <w:vAlign w:val="center"/>
          </w:tcPr>
          <w:p>
            <w:pPr>
              <w:spacing w:line="360" w:lineRule="auto"/>
              <w:jc w:val="center"/>
            </w:pPr>
            <w:r>
              <w:t>产品供货价格</w:t>
            </w:r>
          </w:p>
        </w:tc>
        <w:tc>
          <w:tcPr>
            <w:tcW w:w="795" w:type="dxa"/>
            <w:vAlign w:val="center"/>
          </w:tcPr>
          <w:p>
            <w:pPr>
              <w:spacing w:line="360" w:lineRule="auto"/>
              <w:ind w:firstLine="27" w:firstLineChars="13"/>
              <w:jc w:val="center"/>
            </w:pPr>
            <w:r>
              <w:rPr>
                <w:rFonts w:hint="eastAsia"/>
              </w:rPr>
              <w:t>30</w:t>
            </w:r>
          </w:p>
        </w:tc>
        <w:tc>
          <w:tcPr>
            <w:tcW w:w="5216" w:type="dxa"/>
            <w:vAlign w:val="center"/>
          </w:tcPr>
          <w:p>
            <w:pPr>
              <w:ind w:firstLine="27" w:firstLineChars="13"/>
              <w:jc w:val="left"/>
            </w:pPr>
            <w:r>
              <w:t>如发生供货价高于报价文件承诺的优惠价，或高于市场一般价格的情况，每出现1次扣</w:t>
            </w:r>
            <w:r>
              <w:rPr>
                <w:rFonts w:hint="eastAsia"/>
              </w:rPr>
              <w:t>3</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338" w:type="dxa"/>
            <w:gridSpan w:val="2"/>
            <w:vAlign w:val="center"/>
          </w:tcPr>
          <w:p>
            <w:pPr>
              <w:spacing w:line="360" w:lineRule="auto"/>
              <w:jc w:val="center"/>
            </w:pPr>
            <w:r>
              <w:t>合计</w:t>
            </w:r>
          </w:p>
        </w:tc>
        <w:tc>
          <w:tcPr>
            <w:tcW w:w="795" w:type="dxa"/>
            <w:vAlign w:val="center"/>
          </w:tcPr>
          <w:p>
            <w:pPr>
              <w:spacing w:line="360" w:lineRule="auto"/>
              <w:ind w:firstLine="27" w:firstLineChars="13"/>
              <w:jc w:val="center"/>
            </w:pPr>
            <w:r>
              <w:t>100分</w:t>
            </w:r>
          </w:p>
        </w:tc>
        <w:tc>
          <w:tcPr>
            <w:tcW w:w="5216" w:type="dxa"/>
            <w:vAlign w:val="center"/>
          </w:tcPr>
          <w:p>
            <w:pPr>
              <w:spacing w:line="360" w:lineRule="auto"/>
              <w:ind w:firstLine="27" w:firstLineChars="13"/>
            </w:pPr>
          </w:p>
        </w:tc>
      </w:tr>
    </w:tbl>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pStyle w:val="132"/>
        <w:widowControl/>
        <w:spacing w:line="360" w:lineRule="auto"/>
        <w:ind w:firstLine="480"/>
        <w:jc w:val="left"/>
        <w:rPr>
          <w:rFonts w:ascii="宋体"/>
          <w:bCs/>
          <w:sz w:val="24"/>
          <w:szCs w:val="24"/>
        </w:rPr>
      </w:pPr>
    </w:p>
    <w:p>
      <w:pPr>
        <w:widowControl/>
        <w:spacing w:line="360" w:lineRule="auto"/>
        <w:ind w:left="280" w:hanging="280" w:hangingChars="100"/>
        <w:jc w:val="center"/>
        <w:rPr>
          <w:rFonts w:ascii="黑体" w:eastAsia="黑体"/>
          <w:bCs/>
          <w:sz w:val="28"/>
          <w:szCs w:val="28"/>
        </w:rPr>
      </w:pPr>
    </w:p>
    <w:p>
      <w:pPr>
        <w:widowControl/>
        <w:spacing w:line="360" w:lineRule="auto"/>
        <w:ind w:left="280" w:hanging="280" w:hangingChars="100"/>
        <w:jc w:val="center"/>
        <w:rPr>
          <w:rFonts w:ascii="黑体" w:hAnsi="宋体" w:eastAsia="黑体"/>
          <w:b/>
          <w:sz w:val="28"/>
          <w:szCs w:val="28"/>
        </w:rPr>
      </w:pPr>
      <w:r>
        <w:rPr>
          <w:rFonts w:hint="eastAsia" w:ascii="黑体" w:eastAsia="黑体"/>
          <w:bCs/>
          <w:sz w:val="28"/>
          <w:szCs w:val="28"/>
        </w:rPr>
        <w:t>四．</w:t>
      </w:r>
      <w:r>
        <w:rPr>
          <w:rFonts w:hint="eastAsia" w:ascii="黑体" w:hAnsi="宋体" w:eastAsia="黑体"/>
          <w:b/>
          <w:sz w:val="28"/>
          <w:szCs w:val="28"/>
        </w:rPr>
        <w:t>合同书</w:t>
      </w:r>
    </w:p>
    <w:p>
      <w:pPr>
        <w:spacing w:line="460" w:lineRule="exact"/>
        <w:jc w:val="left"/>
        <w:rPr>
          <w:rFonts w:ascii="宋体" w:hAnsi="宋体" w:cs="宋体"/>
          <w:sz w:val="24"/>
        </w:rPr>
      </w:pPr>
      <w:r>
        <w:rPr>
          <w:rFonts w:hint="eastAsia" w:ascii="宋体" w:hAnsi="宋体" w:cs="宋体"/>
          <w:sz w:val="24"/>
        </w:rPr>
        <w:t>甲方</w:t>
      </w:r>
      <w:r>
        <w:rPr>
          <w:rFonts w:ascii="宋体" w:hAnsi="宋体" w:cs="宋体"/>
          <w:sz w:val="24"/>
        </w:rPr>
        <w:t xml:space="preserve"> : </w:t>
      </w:r>
    </w:p>
    <w:p>
      <w:pPr>
        <w:spacing w:line="460" w:lineRule="exact"/>
        <w:jc w:val="left"/>
        <w:rPr>
          <w:rFonts w:ascii="宋体" w:hAnsi="宋体" w:cs="宋体"/>
          <w:sz w:val="24"/>
        </w:rPr>
      </w:pPr>
      <w:r>
        <w:rPr>
          <w:rFonts w:hint="eastAsia" w:ascii="宋体" w:hAnsi="宋体" w:cs="宋体"/>
          <w:sz w:val="24"/>
        </w:rPr>
        <w:t xml:space="preserve">地址： </w:t>
      </w:r>
    </w:p>
    <w:p>
      <w:pPr>
        <w:spacing w:line="460" w:lineRule="exact"/>
        <w:jc w:val="left"/>
        <w:rPr>
          <w:rFonts w:ascii="宋体" w:hAnsi="宋体" w:cs="宋体"/>
          <w:sz w:val="24"/>
        </w:rPr>
      </w:pPr>
      <w:r>
        <w:rPr>
          <w:rFonts w:hint="eastAsia" w:ascii="宋体" w:hAnsi="宋体" w:cs="宋体"/>
          <w:sz w:val="24"/>
        </w:rPr>
        <w:t xml:space="preserve">统一社会信用代码： </w:t>
      </w:r>
    </w:p>
    <w:p>
      <w:pPr>
        <w:spacing w:line="460" w:lineRule="exact"/>
        <w:jc w:val="left"/>
        <w:rPr>
          <w:rFonts w:ascii="宋体" w:hAnsi="宋体" w:cs="宋体"/>
          <w:kern w:val="0"/>
          <w:sz w:val="24"/>
        </w:rPr>
      </w:pPr>
      <w:r>
        <w:rPr>
          <w:rFonts w:hint="eastAsia" w:ascii="宋体" w:hAnsi="宋体" w:cs="宋体"/>
          <w:sz w:val="24"/>
        </w:rPr>
        <w:t>乙方</w:t>
      </w:r>
      <w:r>
        <w:rPr>
          <w:rFonts w:ascii="宋体" w:hAnsi="宋体" w:cs="宋体"/>
          <w:sz w:val="24"/>
        </w:rPr>
        <w:t xml:space="preserve"> :</w:t>
      </w:r>
    </w:p>
    <w:p>
      <w:pPr>
        <w:spacing w:line="460" w:lineRule="exact"/>
        <w:jc w:val="left"/>
        <w:rPr>
          <w:rFonts w:ascii="宋体" w:hAnsi="宋体" w:cs="宋体"/>
          <w:sz w:val="24"/>
        </w:rPr>
      </w:pPr>
      <w:r>
        <w:rPr>
          <w:rFonts w:hint="eastAsia" w:ascii="宋体" w:hAnsi="宋体" w:cs="宋体"/>
          <w:sz w:val="24"/>
        </w:rPr>
        <w:t>地址：</w:t>
      </w:r>
    </w:p>
    <w:p>
      <w:pPr>
        <w:spacing w:line="460" w:lineRule="exact"/>
        <w:jc w:val="left"/>
        <w:rPr>
          <w:rFonts w:ascii="宋体"/>
          <w:b/>
          <w:bCs/>
          <w:sz w:val="24"/>
        </w:rPr>
      </w:pPr>
      <w:r>
        <w:rPr>
          <w:rFonts w:hint="eastAsia" w:ascii="宋体" w:hAnsi="宋体" w:cs="宋体"/>
          <w:sz w:val="24"/>
        </w:rPr>
        <w:t>统一社会信用代码：</w:t>
      </w:r>
    </w:p>
    <w:p>
      <w:pPr>
        <w:spacing w:line="360" w:lineRule="auto"/>
        <w:ind w:firstLine="480" w:firstLineChars="200"/>
        <w:jc w:val="left"/>
        <w:rPr>
          <w:rFonts w:ascii="宋体"/>
          <w:sz w:val="24"/>
        </w:rPr>
      </w:pPr>
      <w:r>
        <w:rPr>
          <w:rFonts w:hint="eastAsia" w:ascii="宋体" w:hAnsi="宋体" w:cs="宋体"/>
          <w:sz w:val="24"/>
        </w:rPr>
        <w:t>为确保江苏省荣军医院食堂食材采购项目安全运行，经甲方公开招标，由乙方（中标单位）服务江苏省荣军医院食堂食材采购项目。经双方友好协商，特订立以下合同供双方共同遵照执行。</w:t>
      </w:r>
    </w:p>
    <w:p>
      <w:pPr>
        <w:spacing w:line="360" w:lineRule="auto"/>
        <w:jc w:val="left"/>
        <w:rPr>
          <w:rFonts w:ascii="宋体"/>
          <w:b/>
          <w:bCs/>
          <w:sz w:val="24"/>
        </w:rPr>
      </w:pPr>
      <w:r>
        <w:rPr>
          <w:rFonts w:hint="eastAsia" w:ascii="宋体" w:hAnsi="宋体" w:cs="宋体"/>
          <w:b/>
          <w:bCs/>
          <w:sz w:val="24"/>
        </w:rPr>
        <w:t>一、合同期限：</w:t>
      </w:r>
    </w:p>
    <w:p>
      <w:pPr>
        <w:spacing w:line="360" w:lineRule="auto"/>
        <w:ind w:firstLine="720" w:firstLineChars="300"/>
        <w:jc w:val="left"/>
        <w:rPr>
          <w:rFonts w:ascii="宋体"/>
          <w:sz w:val="24"/>
        </w:rPr>
      </w:pPr>
      <w:r>
        <w:rPr>
          <w:rFonts w:hint="eastAsia" w:ascii="宋体" w:hAnsi="宋体" w:cs="宋体"/>
          <w:sz w:val="24"/>
        </w:rPr>
        <w:t>年月日起至年月日。</w:t>
      </w:r>
    </w:p>
    <w:p>
      <w:pPr>
        <w:spacing w:line="360" w:lineRule="auto"/>
        <w:jc w:val="left"/>
        <w:rPr>
          <w:rFonts w:ascii="宋体"/>
          <w:sz w:val="24"/>
        </w:rPr>
      </w:pPr>
      <w:r>
        <w:rPr>
          <w:rFonts w:hint="eastAsia" w:ascii="宋体" w:hAnsi="宋体" w:cs="宋体"/>
          <w:b/>
          <w:bCs/>
          <w:sz w:val="24"/>
        </w:rPr>
        <w:t>二、费用及支付方式：</w:t>
      </w:r>
    </w:p>
    <w:p>
      <w:pPr>
        <w:spacing w:line="560" w:lineRule="exact"/>
        <w:ind w:firstLine="480" w:firstLineChars="200"/>
        <w:jc w:val="left"/>
        <w:rPr>
          <w:rFonts w:ascii="宋体" w:hAnsi="宋体" w:cs="宋体"/>
          <w:sz w:val="24"/>
        </w:rPr>
      </w:pPr>
      <w:r>
        <w:rPr>
          <w:rFonts w:hint="eastAsia" w:ascii="宋体" w:hAnsi="宋体" w:cs="宋体"/>
          <w:sz w:val="24"/>
        </w:rPr>
        <w:t>中标金额：</w:t>
      </w:r>
    </w:p>
    <w:p>
      <w:pPr>
        <w:spacing w:line="560" w:lineRule="exact"/>
        <w:ind w:firstLine="480" w:firstLineChars="200"/>
        <w:jc w:val="left"/>
        <w:rPr>
          <w:rStyle w:val="133"/>
          <w:rFonts w:ascii="宋体" w:hAnsi="宋体" w:cs="宋体"/>
          <w:sz w:val="24"/>
          <w:szCs w:val="24"/>
          <w:lang w:val="zh-TW" w:eastAsia="zh-TW"/>
        </w:rPr>
      </w:pPr>
      <w:r>
        <w:rPr>
          <w:rFonts w:hint="eastAsia" w:ascii="宋体" w:hAnsi="宋体" w:cs="宋体"/>
          <w:sz w:val="24"/>
        </w:rPr>
        <w:t>付款方式：</w:t>
      </w:r>
      <w:r>
        <w:rPr>
          <w:rStyle w:val="133"/>
          <w:rFonts w:hint="eastAsia" w:asciiTheme="minorEastAsia" w:hAnsiTheme="minorEastAsia" w:eastAsiaTheme="minorEastAsia" w:cstheme="minorEastAsia"/>
          <w:sz w:val="24"/>
          <w:szCs w:val="24"/>
          <w:lang w:val="zh-TW" w:eastAsia="zh-TW"/>
        </w:rPr>
        <w:t>每月21日凭送货单据</w:t>
      </w:r>
      <w:r>
        <w:rPr>
          <w:rStyle w:val="133"/>
          <w:rFonts w:hint="eastAsia" w:asciiTheme="minorEastAsia" w:hAnsiTheme="minorEastAsia" w:eastAsiaTheme="minorEastAsia" w:cstheme="minorEastAsia"/>
          <w:sz w:val="24"/>
          <w:szCs w:val="24"/>
          <w:lang w:val="zh-TW"/>
        </w:rPr>
        <w:t>（送货单据需经医院验收并签字确认）</w:t>
      </w:r>
      <w:r>
        <w:rPr>
          <w:rStyle w:val="133"/>
          <w:rFonts w:hint="eastAsia" w:asciiTheme="minorEastAsia" w:hAnsiTheme="minorEastAsia" w:eastAsiaTheme="minorEastAsia" w:cstheme="minorEastAsia"/>
          <w:sz w:val="24"/>
          <w:szCs w:val="24"/>
          <w:lang w:val="zh-TW" w:eastAsia="zh-TW"/>
        </w:rPr>
        <w:t>结算一次（节假日顺延），乙方需提供</w:t>
      </w:r>
      <w:r>
        <w:rPr>
          <w:rStyle w:val="133"/>
          <w:rFonts w:ascii="宋体" w:hAnsi="宋体" w:cs="宋体"/>
          <w:sz w:val="24"/>
          <w:szCs w:val="24"/>
          <w:lang w:val="zh-TW" w:eastAsia="zh-TW"/>
        </w:rPr>
        <w:t>与货款等额的正规发票。</w:t>
      </w:r>
    </w:p>
    <w:p>
      <w:pPr>
        <w:spacing w:line="560" w:lineRule="exact"/>
        <w:ind w:firstLine="480" w:firstLineChars="200"/>
        <w:jc w:val="left"/>
        <w:rPr>
          <w:rStyle w:val="133"/>
          <w:rFonts w:ascii="宋体" w:hAnsi="宋体" w:cs="宋体"/>
          <w:color w:val="auto"/>
          <w:sz w:val="24"/>
          <w:szCs w:val="24"/>
          <w:lang w:val="zh-TW" w:eastAsia="zh-TW"/>
        </w:rPr>
      </w:pPr>
      <w:r>
        <w:rPr>
          <w:rFonts w:hint="eastAsia" w:ascii="宋体" w:hAnsi="宋体" w:eastAsia="宋体" w:cs="宋体"/>
          <w:color w:val="auto"/>
          <w:sz w:val="24"/>
          <w:szCs w:val="24"/>
          <w:highlight w:val="none"/>
        </w:rPr>
        <w:t>结算采用以下方式：按无锡市发展和改革委员会官网专题专栏中民生价费近期公示价格的平均价格*中标折扣率*实际数量进行结算，如遇网站上没有该食品，则按无锡市天惠超市的价格*中标折扣率*实际数量结算，如遇无锡市发展和改革委员会官网及无锡市天惠超市均没有该类食品，乙方应提前通知甲方，经双方协商后进行调整确认，原则上按寻找到的其他市场价格*中标折扣率*实际数量结算。</w:t>
      </w:r>
    </w:p>
    <w:p>
      <w:pPr>
        <w:spacing w:line="360" w:lineRule="auto"/>
        <w:jc w:val="left"/>
        <w:rPr>
          <w:rFonts w:ascii="宋体"/>
          <w:sz w:val="24"/>
        </w:rPr>
      </w:pPr>
      <w:r>
        <w:rPr>
          <w:rFonts w:hint="eastAsia" w:ascii="宋体" w:hAnsi="宋体" w:cs="宋体"/>
          <w:b/>
          <w:bCs/>
          <w:sz w:val="24"/>
        </w:rPr>
        <w:t>三、质量标准及要求：</w:t>
      </w:r>
    </w:p>
    <w:p>
      <w:pPr>
        <w:pStyle w:val="43"/>
        <w:shd w:val="clear" w:color="auto" w:fill="FFFFFF"/>
        <w:spacing w:before="0" w:beforeAutospacing="0" w:after="0" w:afterAutospacing="0" w:line="360" w:lineRule="auto"/>
        <w:ind w:firstLine="391"/>
        <w:rPr>
          <w:szCs w:val="24"/>
        </w:rPr>
      </w:pPr>
      <w:r>
        <w:rPr>
          <w:rFonts w:hint="eastAsia"/>
          <w:szCs w:val="24"/>
        </w:rPr>
        <w:t>1、供方提供的货物必须符合我国最新颁布的与之相关的技术规范与标准，同时必须满足招标书中所列全部规格、质量要求和供方承诺的其它指标。必须符合国家《食品安全法》品质标准，提供的主要食材均为非转基因产品。食品质量安全认证，有生产日期，保质期，检验报告等。</w:t>
      </w:r>
    </w:p>
    <w:p>
      <w:pPr>
        <w:spacing w:line="360" w:lineRule="auto"/>
        <w:ind w:firstLine="480" w:firstLineChars="200"/>
        <w:rPr>
          <w:rFonts w:ascii="宋体" w:hAnsi="宋体" w:cs="宋体"/>
          <w:sz w:val="24"/>
          <w:szCs w:val="24"/>
        </w:rPr>
      </w:pPr>
      <w:r>
        <w:rPr>
          <w:rFonts w:hint="eastAsia" w:cs="宋体"/>
          <w:sz w:val="24"/>
          <w:szCs w:val="24"/>
        </w:rPr>
        <w:t>2、供</w:t>
      </w:r>
      <w:r>
        <w:rPr>
          <w:rFonts w:hint="eastAsia" w:ascii="宋体" w:hAnsi="宋体" w:cs="宋体"/>
          <w:sz w:val="24"/>
        </w:rPr>
        <w:t>方严禁提供以下食品：1）无品名、产地、厂名、生产日期、保质期及中文标识及原料说明的定型包装食品（除非定型包装食品）；2）超过保质期限或不符合食品标签规定的定型包装食品；3）腐败变质、油脂酸败、霉变、生虫、污秽不洁、混有异物或者其它感官性状异常，含有毒、有害物质或者被有毒、有害物质污染，可能对人体健康有害的食品；4）其它不符合食品卫生标准和要求的食品。</w:t>
      </w:r>
    </w:p>
    <w:p>
      <w:pPr>
        <w:pStyle w:val="47"/>
        <w:spacing w:line="360" w:lineRule="auto"/>
        <w:ind w:firstLine="0" w:firstLineChars="0"/>
        <w:rPr>
          <w:rFonts w:ascii="宋体" w:hAnsi="宋体" w:cs="宋体"/>
          <w:sz w:val="24"/>
          <w:szCs w:val="24"/>
        </w:rPr>
      </w:pPr>
      <w:r>
        <w:rPr>
          <w:rFonts w:hint="eastAsia" w:ascii="宋体" w:hAnsi="宋体" w:cs="宋体"/>
          <w:sz w:val="24"/>
          <w:szCs w:val="24"/>
        </w:rPr>
        <w:t xml:space="preserve"> 3、中标方配送的货物需按照需方要求，进行必要的整理。若验收人员认定商品与甲方要求不相符合的，当即拒收并将不良供货批次进行记录备案。包装食品无法当场验货的，使用时拆封如发现变质，无条件退货。供应商累计三次不能满足食品的质量、数量及售后服务要求、且屡教不改、服务态度差的，立即终止合同。</w:t>
      </w:r>
    </w:p>
    <w:p>
      <w:pPr>
        <w:pStyle w:val="43"/>
        <w:shd w:val="clear" w:color="auto" w:fill="FFFFFF"/>
        <w:spacing w:before="0" w:beforeAutospacing="0" w:after="0" w:afterAutospacing="0" w:line="360" w:lineRule="auto"/>
        <w:ind w:firstLine="480"/>
        <w:rPr>
          <w:szCs w:val="24"/>
        </w:rPr>
      </w:pPr>
      <w:r>
        <w:rPr>
          <w:rFonts w:hint="eastAsia"/>
          <w:szCs w:val="24"/>
        </w:rPr>
        <w:t>4、采购方发现有假冒伪劣商品、以次充好或替代商品，乙方将承担赔偿或其他法律责任，因产品问题发生的食物中毒等事故，由乙方承担经济赔偿责任以及相关法律责任，同时甲方有权单方面终止协议。重大质量问题由国家相关检疫、质检部门认定。</w:t>
      </w:r>
    </w:p>
    <w:p>
      <w:pPr>
        <w:pStyle w:val="43"/>
        <w:shd w:val="clear" w:color="auto" w:fill="FFFFFF"/>
        <w:spacing w:before="0" w:beforeAutospacing="0" w:after="0" w:afterAutospacing="0" w:line="360" w:lineRule="auto"/>
        <w:ind w:firstLine="480"/>
        <w:rPr>
          <w:szCs w:val="24"/>
        </w:rPr>
      </w:pPr>
      <w:r>
        <w:rPr>
          <w:rFonts w:hint="eastAsia"/>
          <w:szCs w:val="24"/>
        </w:rPr>
        <w:t>5、商品经采购方验收人员查验后，乙方不再承担货物的数量、规格等不符甲方要求的责任。</w:t>
      </w:r>
    </w:p>
    <w:p>
      <w:pPr>
        <w:spacing w:line="360" w:lineRule="auto"/>
        <w:jc w:val="left"/>
        <w:rPr>
          <w:rFonts w:ascii="宋体"/>
          <w:b/>
          <w:bCs/>
          <w:sz w:val="24"/>
        </w:rPr>
      </w:pPr>
      <w:r>
        <w:rPr>
          <w:rFonts w:hint="eastAsia" w:ascii="宋体" w:hAnsi="宋体" w:cs="宋体"/>
          <w:b/>
          <w:bCs/>
          <w:sz w:val="24"/>
        </w:rPr>
        <w:t>四、供货价格的核定</w:t>
      </w:r>
    </w:p>
    <w:p>
      <w:pPr>
        <w:pStyle w:val="43"/>
        <w:shd w:val="clear" w:color="auto" w:fill="FFFFFF"/>
        <w:spacing w:before="0" w:beforeAutospacing="0" w:after="0" w:afterAutospacing="0" w:line="360" w:lineRule="auto"/>
        <w:ind w:firstLine="391"/>
      </w:pPr>
      <w:r>
        <w:rPr>
          <w:rFonts w:hint="eastAsia"/>
        </w:rPr>
        <w:t>采购人每月两次对食材单价进行核价。</w:t>
      </w:r>
      <w:r>
        <w:t>如发生供货价高于报价文件承诺的优惠价，</w:t>
      </w:r>
      <w:r>
        <w:rPr>
          <w:rFonts w:hint="eastAsia"/>
        </w:rPr>
        <w:t>按照考评细则进行扣分。</w:t>
      </w:r>
      <w:r>
        <w:rPr>
          <w:rFonts w:hint="eastAsia"/>
          <w:szCs w:val="24"/>
        </w:rPr>
        <w:t>如自行提价被食堂管理及采购人员市场调查发现同品种质量的商品连续2次，每次2个以上品种高于市场价，甲方有权单方立即终止合同。</w:t>
      </w:r>
    </w:p>
    <w:p>
      <w:pPr>
        <w:spacing w:line="360" w:lineRule="auto"/>
        <w:jc w:val="left"/>
        <w:rPr>
          <w:rFonts w:ascii="宋体"/>
          <w:b/>
          <w:bCs/>
          <w:sz w:val="24"/>
        </w:rPr>
      </w:pPr>
      <w:r>
        <w:rPr>
          <w:rFonts w:hint="eastAsia" w:ascii="宋体" w:hAnsi="宋体" w:cs="宋体"/>
          <w:b/>
          <w:bCs/>
          <w:sz w:val="24"/>
        </w:rPr>
        <w:t>五、甲方每日需求的上报方式及流程</w:t>
      </w:r>
    </w:p>
    <w:p>
      <w:pPr>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、甲方在供应日前一天15时之前，通过微信或电话形式向中标单位预定第二天所需的品种、规格、数量等订货信息。</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、乙方收到配送清单后</w:t>
      </w:r>
      <w:r>
        <w:rPr>
          <w:rFonts w:hint="eastAsia" w:ascii="宋体" w:cs="宋体"/>
          <w:sz w:val="24"/>
        </w:rPr>
        <w:t>，</w:t>
      </w:r>
      <w:r>
        <w:rPr>
          <w:rFonts w:hint="eastAsia" w:ascii="宋体" w:hAnsi="宋体" w:cs="宋体"/>
          <w:sz w:val="24"/>
        </w:rPr>
        <w:t>应进行确认。如在收到后一小时内不进行确认也不表示异议的，视为确认。</w:t>
      </w:r>
    </w:p>
    <w:p>
      <w:pPr>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、如采购方需改变订单内容，须在供应日前一天20时前向中标单位提出。如遇特殊不可抗拒因素中标单位需提前与采购方沟通并提供备用方案，确保不影响采购方的日常开餐。</w:t>
      </w:r>
    </w:p>
    <w:p>
      <w:pPr>
        <w:pStyle w:val="47"/>
        <w:spacing w:line="360" w:lineRule="auto"/>
        <w:ind w:firstLineChars="0"/>
      </w:pPr>
      <w:r>
        <w:rPr>
          <w:rFonts w:ascii="宋体" w:hAnsi="宋体" w:cs="宋体"/>
          <w:sz w:val="24"/>
          <w:szCs w:val="24"/>
        </w:rPr>
        <w:t>4</w:t>
      </w:r>
      <w:r>
        <w:rPr>
          <w:rFonts w:ascii="宋体" w:hAnsi="宋体" w:cs="宋体"/>
          <w:sz w:val="24"/>
          <w:szCs w:val="24"/>
          <w:lang w:val="zh-TW" w:eastAsia="zh-TW"/>
        </w:rPr>
        <w:t>、甲方临时要求补货的，乙方除有正当理由外，均应满足甲方的需求，并按要求</w:t>
      </w:r>
      <w:r>
        <w:rPr>
          <w:rFonts w:hint="eastAsia" w:ascii="宋体" w:hAnsi="宋体" w:cs="宋体"/>
          <w:sz w:val="24"/>
          <w:szCs w:val="24"/>
          <w:lang w:val="zh-TW"/>
        </w:rPr>
        <w:t>、</w:t>
      </w:r>
      <w:r>
        <w:rPr>
          <w:rFonts w:ascii="宋体" w:hAnsi="宋体" w:cs="宋体"/>
          <w:sz w:val="24"/>
          <w:szCs w:val="24"/>
          <w:lang w:val="zh-TW" w:eastAsia="zh-TW"/>
        </w:rPr>
        <w:t>按时送</w:t>
      </w:r>
      <w:r>
        <w:rPr>
          <w:rFonts w:hint="eastAsia" w:ascii="宋体" w:hAnsi="宋体" w:cs="宋体"/>
          <w:sz w:val="24"/>
          <w:szCs w:val="24"/>
          <w:lang w:val="zh-TW"/>
        </w:rPr>
        <w:t>达</w:t>
      </w:r>
      <w:r>
        <w:rPr>
          <w:rFonts w:ascii="宋体" w:hAnsi="宋体" w:cs="宋体"/>
          <w:sz w:val="24"/>
          <w:szCs w:val="24"/>
          <w:lang w:val="zh-TW" w:eastAsia="zh-TW"/>
        </w:rPr>
        <w:t>。</w:t>
      </w:r>
    </w:p>
    <w:p>
      <w:pPr>
        <w:spacing w:line="360" w:lineRule="auto"/>
        <w:jc w:val="left"/>
        <w:rPr>
          <w:rFonts w:ascii="宋体"/>
          <w:b/>
          <w:bCs/>
          <w:sz w:val="24"/>
        </w:rPr>
      </w:pPr>
      <w:r>
        <w:rPr>
          <w:rFonts w:hint="eastAsia" w:ascii="宋体" w:hAnsi="宋体" w:cs="宋体"/>
          <w:b/>
          <w:bCs/>
          <w:sz w:val="24"/>
        </w:rPr>
        <w:t>六、产品的包装要求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、乙方应根据甲方的分装要求</w:t>
      </w:r>
      <w:r>
        <w:rPr>
          <w:rFonts w:ascii="宋体" w:hAnsi="宋体" w:cs="宋体"/>
          <w:sz w:val="24"/>
        </w:rPr>
        <w:t>(</w:t>
      </w:r>
      <w:r>
        <w:rPr>
          <w:rFonts w:hint="eastAsia" w:ascii="宋体" w:hAnsi="宋体" w:cs="宋体"/>
          <w:sz w:val="24"/>
        </w:rPr>
        <w:t>地点、品种、数量</w:t>
      </w:r>
      <w:r>
        <w:rPr>
          <w:rFonts w:ascii="宋体" w:hAnsi="宋体" w:cs="宋体"/>
          <w:sz w:val="24"/>
        </w:rPr>
        <w:t>)</w:t>
      </w:r>
      <w:r>
        <w:rPr>
          <w:rFonts w:hint="eastAsia" w:ascii="宋体" w:hAnsi="宋体" w:cs="宋体"/>
          <w:sz w:val="24"/>
        </w:rPr>
        <w:t>进行分装。</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、盛装容器必须使用食品专用袋、白色编织袋、竹筐、塑料筐、网袋、纸箱。</w:t>
      </w:r>
    </w:p>
    <w:p>
      <w:pPr>
        <w:spacing w:line="360" w:lineRule="auto"/>
        <w:jc w:val="left"/>
        <w:rPr>
          <w:rFonts w:ascii="宋体"/>
          <w:b/>
          <w:bCs/>
          <w:sz w:val="24"/>
        </w:rPr>
      </w:pPr>
      <w:r>
        <w:rPr>
          <w:rFonts w:hint="eastAsia" w:ascii="宋体" w:hAnsi="宋体" w:cs="宋体"/>
          <w:b/>
          <w:bCs/>
          <w:sz w:val="24"/>
        </w:rPr>
        <w:t>七、配送时间要求</w:t>
      </w:r>
    </w:p>
    <w:p>
      <w:pPr>
        <w:spacing w:line="360" w:lineRule="auto"/>
        <w:ind w:left="1" w:firstLine="477" w:firstLineChars="199"/>
        <w:jc w:val="left"/>
        <w:rPr>
          <w:rFonts w:ascii="宋体"/>
          <w:sz w:val="24"/>
        </w:rPr>
      </w:pPr>
      <w:r>
        <w:rPr>
          <w:rFonts w:ascii="宋体" w:hAnsi="宋体" w:cs="宋体"/>
          <w:sz w:val="24"/>
        </w:rPr>
        <w:t>1</w:t>
      </w:r>
      <w:r>
        <w:rPr>
          <w:rFonts w:hint="eastAsia" w:ascii="宋体" w:hAnsi="宋体" w:cs="宋体"/>
          <w:sz w:val="24"/>
        </w:rPr>
        <w:t>、乙方应于甲方通知配送的次日上午7点前将甲方所需产品送至甲方的指定地点并完成卸货。</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、如遇特殊情况甲方需调整配送时间</w:t>
      </w:r>
      <w:r>
        <w:rPr>
          <w:rFonts w:hint="eastAsia" w:ascii="宋体" w:cs="宋体"/>
          <w:sz w:val="24"/>
        </w:rPr>
        <w:t>，</w:t>
      </w:r>
      <w:r>
        <w:rPr>
          <w:rFonts w:hint="eastAsia" w:ascii="宋体" w:hAnsi="宋体" w:cs="宋体"/>
          <w:sz w:val="24"/>
        </w:rPr>
        <w:t>乙方应无条件配合。</w:t>
      </w:r>
    </w:p>
    <w:p>
      <w:pPr>
        <w:spacing w:line="360" w:lineRule="auto"/>
        <w:jc w:val="left"/>
        <w:rPr>
          <w:rFonts w:ascii="宋体"/>
          <w:b/>
          <w:bCs/>
          <w:sz w:val="24"/>
        </w:rPr>
      </w:pPr>
      <w:r>
        <w:rPr>
          <w:rFonts w:hint="eastAsia" w:ascii="宋体" w:hAnsi="宋体" w:cs="宋体"/>
          <w:b/>
          <w:bCs/>
          <w:sz w:val="24"/>
        </w:rPr>
        <w:t>八、验收地点、验收方式要求</w:t>
      </w:r>
    </w:p>
    <w:p>
      <w:pPr>
        <w:spacing w:line="360" w:lineRule="auto"/>
        <w:ind w:firstLine="480" w:firstLineChars="200"/>
        <w:jc w:val="left"/>
        <w:rPr>
          <w:rFonts w:ascii="宋体"/>
          <w:sz w:val="24"/>
        </w:rPr>
      </w:pPr>
      <w:r>
        <w:rPr>
          <w:rFonts w:ascii="宋体" w:hAnsi="宋体" w:cs="宋体"/>
          <w:sz w:val="24"/>
        </w:rPr>
        <w:t>1</w:t>
      </w:r>
      <w:r>
        <w:rPr>
          <w:rFonts w:hint="eastAsia" w:ascii="宋体" w:hAnsi="宋体" w:cs="宋体"/>
          <w:sz w:val="24"/>
        </w:rPr>
        <w:t>、验收地点</w:t>
      </w:r>
      <w:r>
        <w:rPr>
          <w:rFonts w:ascii="宋体" w:hAnsi="宋体" w:cs="宋体"/>
          <w:sz w:val="24"/>
        </w:rPr>
        <w:t>:</w:t>
      </w:r>
      <w:r>
        <w:rPr>
          <w:rFonts w:hint="eastAsia" w:ascii="宋体" w:hAnsi="宋体" w:cs="宋体"/>
          <w:sz w:val="24"/>
        </w:rPr>
        <w:t>甲方指定送货地点。</w:t>
      </w:r>
    </w:p>
    <w:p>
      <w:pPr>
        <w:spacing w:line="360" w:lineRule="auto"/>
        <w:ind w:firstLine="480" w:firstLineChars="200"/>
        <w:jc w:val="left"/>
        <w:rPr>
          <w:rFonts w:ascii="宋体"/>
          <w:sz w:val="24"/>
        </w:rPr>
      </w:pPr>
      <w:r>
        <w:rPr>
          <w:rFonts w:ascii="宋体" w:hAnsi="宋体" w:cs="宋体"/>
          <w:sz w:val="24"/>
        </w:rPr>
        <w:t>2</w:t>
      </w:r>
      <w:r>
        <w:rPr>
          <w:rFonts w:hint="eastAsia" w:ascii="宋体" w:hAnsi="宋体" w:cs="宋体"/>
          <w:sz w:val="24"/>
        </w:rPr>
        <w:t>、验收方式</w:t>
      </w:r>
      <w:r>
        <w:rPr>
          <w:rFonts w:ascii="宋体" w:hAnsi="宋体" w:cs="宋体"/>
          <w:sz w:val="24"/>
        </w:rPr>
        <w:t>:</w:t>
      </w:r>
      <w:r>
        <w:rPr>
          <w:rFonts w:hint="eastAsia" w:ascii="宋体" w:hAnsi="宋体" w:cs="宋体"/>
          <w:sz w:val="24"/>
        </w:rPr>
        <w:t>由甲方食堂采购员到场验收。称量、验收后签字确认。</w:t>
      </w:r>
    </w:p>
    <w:p>
      <w:pPr>
        <w:spacing w:line="360" w:lineRule="auto"/>
        <w:ind w:firstLine="480" w:firstLineChars="200"/>
        <w:jc w:val="left"/>
        <w:rPr>
          <w:rFonts w:ascii="宋体"/>
          <w:sz w:val="24"/>
        </w:rPr>
      </w:pPr>
      <w:r>
        <w:rPr>
          <w:rFonts w:ascii="宋体" w:hAnsi="宋体" w:cs="宋体"/>
          <w:sz w:val="24"/>
        </w:rPr>
        <w:t>3</w:t>
      </w:r>
      <w:r>
        <w:rPr>
          <w:rFonts w:hint="eastAsia" w:ascii="宋体" w:hAnsi="宋体" w:cs="宋体"/>
          <w:sz w:val="24"/>
        </w:rPr>
        <w:t>、甲方严格按照《质量标准表》进行品种、质量验收。</w:t>
      </w:r>
    </w:p>
    <w:p>
      <w:pPr>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、产品数量以验收合格的产品的净重为准，并以此作为结算依据。</w:t>
      </w:r>
    </w:p>
    <w:p>
      <w:pPr>
        <w:spacing w:line="360" w:lineRule="auto"/>
        <w:jc w:val="left"/>
        <w:rPr>
          <w:rFonts w:ascii="宋体"/>
          <w:b/>
          <w:bCs/>
          <w:sz w:val="24"/>
        </w:rPr>
      </w:pPr>
      <w:r>
        <w:rPr>
          <w:rFonts w:hint="eastAsia" w:ascii="宋体" w:hAnsi="宋体" w:cs="宋体"/>
          <w:b/>
          <w:bCs/>
          <w:sz w:val="24"/>
        </w:rPr>
        <w:t>九、违约责任</w:t>
      </w:r>
    </w:p>
    <w:p>
      <w:pPr>
        <w:spacing w:line="360" w:lineRule="auto"/>
        <w:ind w:firstLine="480" w:firstLineChars="200"/>
        <w:jc w:val="left"/>
        <w:rPr>
          <w:rFonts w:ascii="宋体" w:hAnsi="宋体" w:cs="宋体"/>
          <w:sz w:val="24"/>
        </w:rPr>
      </w:pPr>
      <w:r>
        <w:rPr>
          <w:rFonts w:hint="eastAsia" w:ascii="宋体" w:hAnsi="宋体" w:cs="宋体"/>
          <w:sz w:val="24"/>
        </w:rPr>
        <w:t>1、甲方临时要求补货</w:t>
      </w:r>
      <w:r>
        <w:rPr>
          <w:rFonts w:hint="eastAsia" w:ascii="宋体" w:cs="宋体"/>
          <w:sz w:val="24"/>
        </w:rPr>
        <w:t>，</w:t>
      </w:r>
      <w:r>
        <w:rPr>
          <w:rFonts w:hint="eastAsia" w:ascii="宋体" w:hAnsi="宋体" w:cs="宋体"/>
          <w:sz w:val="24"/>
        </w:rPr>
        <w:t>乙方无正当理由拒绝甲方的补货要求，或接受了补货要求但未按时送货的，乙方应赔偿甲方因此遭受的所有损失。</w:t>
      </w:r>
    </w:p>
    <w:p>
      <w:pPr>
        <w:spacing w:line="360" w:lineRule="auto"/>
        <w:ind w:firstLine="480" w:firstLineChars="200"/>
        <w:jc w:val="left"/>
        <w:rPr>
          <w:rFonts w:ascii="宋体" w:hAnsi="宋体" w:cs="宋体"/>
          <w:sz w:val="24"/>
        </w:rPr>
      </w:pPr>
      <w:r>
        <w:rPr>
          <w:rFonts w:hint="eastAsia" w:ascii="宋体" w:hAnsi="宋体" w:cs="宋体"/>
          <w:sz w:val="24"/>
        </w:rPr>
        <w:t>2、在本合同履行过程中</w:t>
      </w:r>
      <w:r>
        <w:rPr>
          <w:rFonts w:hint="eastAsia" w:ascii="宋体" w:cs="宋体"/>
          <w:sz w:val="24"/>
        </w:rPr>
        <w:t>，</w:t>
      </w:r>
      <w:r>
        <w:rPr>
          <w:rFonts w:hint="eastAsia" w:ascii="宋体" w:hAnsi="宋体" w:cs="宋体"/>
          <w:sz w:val="24"/>
        </w:rPr>
        <w:t>因不可抗力事件导致其中任何一方不能履行合同</w:t>
      </w:r>
      <w:r>
        <w:rPr>
          <w:rFonts w:hint="eastAsia" w:ascii="宋体" w:cs="宋体"/>
          <w:sz w:val="24"/>
        </w:rPr>
        <w:t>，</w:t>
      </w:r>
      <w:r>
        <w:rPr>
          <w:rFonts w:hint="eastAsia" w:ascii="宋体" w:hAnsi="宋体" w:cs="宋体"/>
          <w:sz w:val="24"/>
        </w:rPr>
        <w:t>应立即通知对方且说明缘由。双方通过友好协商</w:t>
      </w:r>
      <w:r>
        <w:rPr>
          <w:rFonts w:hint="eastAsia" w:ascii="宋体" w:cs="宋体"/>
          <w:sz w:val="24"/>
        </w:rPr>
        <w:t>，</w:t>
      </w:r>
      <w:r>
        <w:rPr>
          <w:rFonts w:hint="eastAsia" w:ascii="宋体" w:hAnsi="宋体" w:cs="宋体"/>
          <w:sz w:val="24"/>
        </w:rPr>
        <w:t>确定是否继续履行合同并根据情况可部分或全部免于承担违约责任。</w:t>
      </w:r>
    </w:p>
    <w:p>
      <w:pPr>
        <w:spacing w:line="360" w:lineRule="auto"/>
        <w:jc w:val="left"/>
        <w:rPr>
          <w:rFonts w:ascii="宋体"/>
          <w:b/>
          <w:bCs/>
          <w:sz w:val="24"/>
        </w:rPr>
      </w:pPr>
      <w:r>
        <w:rPr>
          <w:rFonts w:hint="eastAsia" w:ascii="宋体" w:hAnsi="宋体" w:cs="宋体"/>
          <w:b/>
          <w:bCs/>
          <w:sz w:val="24"/>
        </w:rPr>
        <w:t>十、争议解决方式：</w:t>
      </w:r>
    </w:p>
    <w:p>
      <w:pPr>
        <w:spacing w:line="360" w:lineRule="auto"/>
        <w:ind w:firstLine="480" w:firstLineChars="200"/>
        <w:jc w:val="left"/>
      </w:pPr>
      <w:r>
        <w:rPr>
          <w:rFonts w:hint="eastAsia" w:ascii="宋体" w:hAnsi="宋体" w:cs="宋体"/>
          <w:sz w:val="24"/>
        </w:rPr>
        <w:t>甲乙双方因履行本合同发生纠纷时，应当协商解决；协商不成的，任何一方均有权向甲方所在地人民法院提起诉讼。</w:t>
      </w:r>
    </w:p>
    <w:p>
      <w:pPr>
        <w:pStyle w:val="43"/>
        <w:spacing w:before="0" w:beforeAutospacing="0" w:after="0" w:afterAutospacing="0"/>
        <w:rPr>
          <w:b/>
          <w:bCs/>
          <w:kern w:val="2"/>
        </w:rPr>
      </w:pPr>
      <w:r>
        <w:rPr>
          <w:rFonts w:hint="eastAsia"/>
          <w:b/>
          <w:bCs/>
          <w:kern w:val="2"/>
        </w:rPr>
        <w:t>十一、试供期</w:t>
      </w:r>
    </w:p>
    <w:p>
      <w:pPr>
        <w:pStyle w:val="43"/>
        <w:spacing w:beforeAutospacing="0" w:afterAutospacing="0" w:line="360" w:lineRule="auto"/>
        <w:ind w:firstLine="480" w:firstLineChars="200"/>
        <w:rPr>
          <w:color w:val="000000"/>
        </w:rPr>
      </w:pPr>
      <w:r>
        <w:rPr>
          <w:rFonts w:hint="eastAsia"/>
          <w:color w:val="000000"/>
        </w:rPr>
        <w:t>1、试供期为30天，即试供期从2024年    月    日至2024年   月    日，试供期内甲方主要考察乙方货物质量、服务、信誉等方面。</w:t>
      </w:r>
    </w:p>
    <w:p>
      <w:pPr>
        <w:pStyle w:val="43"/>
        <w:spacing w:beforeAutospacing="0" w:afterAutospacing="0" w:line="360" w:lineRule="auto"/>
        <w:ind w:firstLine="480" w:firstLineChars="200"/>
        <w:rPr>
          <w:b/>
          <w:bCs/>
        </w:rPr>
      </w:pPr>
      <w:r>
        <w:rPr>
          <w:rFonts w:hint="eastAsia"/>
          <w:color w:val="000000"/>
        </w:rPr>
        <w:t>2、试供期满且经甲方综合考察认为合格的，合同继续执行；若试供期间出现质量、服务等难以磨合的问题的，甲乙双方均可终止合同，甲方有权选择本项目下一中标候选人进行替补。</w:t>
      </w:r>
    </w:p>
    <w:p>
      <w:pPr>
        <w:spacing w:line="360" w:lineRule="auto"/>
        <w:jc w:val="left"/>
        <w:rPr>
          <w:rFonts w:ascii="宋体"/>
          <w:b/>
          <w:bCs/>
          <w:sz w:val="24"/>
        </w:rPr>
      </w:pPr>
      <w:r>
        <w:rPr>
          <w:rFonts w:hint="eastAsia" w:ascii="宋体" w:hAnsi="宋体" w:cs="宋体"/>
          <w:b/>
          <w:bCs/>
          <w:sz w:val="24"/>
        </w:rPr>
        <w:t>十二、其他事项：</w:t>
      </w:r>
    </w:p>
    <w:p>
      <w:pPr>
        <w:numPr>
          <w:ilvl w:val="0"/>
          <w:numId w:val="0"/>
        </w:numPr>
        <w:tabs>
          <w:tab w:val="left" w:pos="0"/>
          <w:tab w:val="left" w:pos="1260"/>
        </w:tabs>
        <w:spacing w:line="440" w:lineRule="exact"/>
        <w:ind w:firstLine="420" w:firstLineChars="200"/>
        <w:rPr>
          <w:rStyle w:val="133"/>
          <w:rFonts w:ascii="宋体" w:hAnsi="宋体" w:eastAsia="宋体" w:cs="宋体"/>
          <w:color w:val="auto"/>
          <w:sz w:val="24"/>
          <w:szCs w:val="24"/>
          <w:lang w:val="zh-TW" w:eastAsia="zh-TW"/>
        </w:rPr>
      </w:pPr>
      <w:r>
        <w:rPr>
          <w:rFonts w:hint="eastAsia"/>
          <w:color w:val="auto"/>
          <w:kern w:val="2"/>
          <w:szCs w:val="24"/>
        </w:rPr>
        <w:t xml:space="preserve">  </w:t>
      </w:r>
      <w:r>
        <w:rPr>
          <w:rFonts w:hint="eastAsia"/>
          <w:color w:val="auto"/>
          <w:kern w:val="2"/>
          <w:szCs w:val="24"/>
          <w:lang w:val="en-US" w:eastAsia="zh-CN"/>
        </w:rPr>
        <w:t>1、</w:t>
      </w:r>
      <w:r>
        <w:rPr>
          <w:rStyle w:val="133"/>
          <w:rFonts w:ascii="宋体" w:hAnsi="宋体" w:eastAsia="宋体" w:cs="宋体"/>
          <w:color w:val="auto"/>
          <w:sz w:val="24"/>
          <w:szCs w:val="24"/>
          <w:lang w:val="zh-TW" w:eastAsia="zh-TW"/>
        </w:rPr>
        <w:t>乙方应在本合同签订时，按采购文件的约定向采购人提供相应的履行保证金（履约保证金金额为</w:t>
      </w:r>
      <w:r>
        <w:rPr>
          <w:rStyle w:val="134"/>
          <w:color w:val="auto"/>
        </w:rPr>
        <w:t>5</w:t>
      </w:r>
      <w:r>
        <w:rPr>
          <w:rStyle w:val="133"/>
          <w:rFonts w:ascii="宋体" w:hAnsi="宋体" w:eastAsia="宋体" w:cs="宋体"/>
          <w:color w:val="auto"/>
          <w:sz w:val="24"/>
          <w:szCs w:val="24"/>
          <w:lang w:val="zh-TW" w:eastAsia="zh-TW"/>
        </w:rPr>
        <w:t>万元整</w:t>
      </w:r>
      <w:r>
        <w:rPr>
          <w:rStyle w:val="133"/>
          <w:rFonts w:hint="eastAsia" w:ascii="宋体" w:hAnsi="宋体" w:eastAsia="宋体" w:cs="宋体"/>
          <w:color w:val="auto"/>
          <w:sz w:val="24"/>
          <w:szCs w:val="24"/>
        </w:rPr>
        <w:t>/标段</w:t>
      </w:r>
      <w:r>
        <w:rPr>
          <w:rStyle w:val="133"/>
          <w:rFonts w:ascii="宋体" w:hAnsi="宋体" w:eastAsia="宋体" w:cs="宋体"/>
          <w:color w:val="auto"/>
          <w:sz w:val="24"/>
          <w:szCs w:val="24"/>
          <w:lang w:val="zh-TW" w:eastAsia="zh-TW"/>
        </w:rPr>
        <w:t>）。如果乙方未能履行合同规定的任何义务，甲方有权从履约保证金中取得补偿。履约保证金将在合同期满后无息退回。</w:t>
      </w:r>
    </w:p>
    <w:p>
      <w:pPr>
        <w:pStyle w:val="132"/>
        <w:widowControl/>
        <w:spacing w:line="360" w:lineRule="auto"/>
        <w:ind w:firstLine="480"/>
        <w:jc w:val="left"/>
        <w:rPr>
          <w:rStyle w:val="133"/>
          <w:rFonts w:ascii="宋体" w:hAnsi="宋体" w:eastAsia="宋体" w:cs="宋体"/>
          <w:color w:val="auto"/>
          <w:sz w:val="24"/>
          <w:szCs w:val="24"/>
          <w:lang w:val="zh-TW" w:eastAsia="zh-TW"/>
        </w:rPr>
      </w:pPr>
      <w:r>
        <w:rPr>
          <w:rStyle w:val="133"/>
          <w:rFonts w:hint="eastAsia" w:ascii="宋体" w:hAnsi="宋体" w:eastAsia="宋体" w:cs="宋体"/>
          <w:color w:val="auto"/>
          <w:sz w:val="24"/>
          <w:szCs w:val="24"/>
          <w:lang w:val="en-US" w:eastAsia="zh-CN"/>
        </w:rPr>
        <w:t>2、甲方按上级文件要求需在各类平台采购食堂食材的，按相关文件要求执行，不受本合同约束。</w:t>
      </w:r>
    </w:p>
    <w:p>
      <w:pPr>
        <w:spacing w:line="360" w:lineRule="auto"/>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、甲、乙双方就本采购项目所涉及的招标书、投标书中的相关条款要求和服务承诺内容均视作本合同的一部分，与本合同具有同等法律效力。若该等条款与本合同内容相冲突的，以本合同内容为准。</w:t>
      </w:r>
    </w:p>
    <w:p>
      <w:pPr>
        <w:pStyle w:val="43"/>
        <w:shd w:val="clear" w:color="auto" w:fill="FFFFFF"/>
        <w:spacing w:before="0" w:beforeAutospacing="0" w:after="0" w:afterAutospacing="0" w:line="360" w:lineRule="auto"/>
        <w:rPr>
          <w:kern w:val="2"/>
          <w:szCs w:val="24"/>
        </w:rPr>
      </w:pPr>
      <w:r>
        <w:rPr>
          <w:rFonts w:hint="eastAsia"/>
          <w:kern w:val="2"/>
          <w:szCs w:val="24"/>
          <w:lang w:val="en-US" w:eastAsia="zh-CN"/>
        </w:rPr>
        <w:t>4</w:t>
      </w:r>
      <w:r>
        <w:rPr>
          <w:rFonts w:hint="eastAsia"/>
          <w:kern w:val="2"/>
          <w:szCs w:val="24"/>
        </w:rPr>
        <w:t>、乙方不能满足供货要求，有终止合约意向时，应提前1个月通知甲方，在甲方同意后，双方约定终止合同时间，期间由此产生的不良后果由乙方自行承担。</w:t>
      </w:r>
    </w:p>
    <w:p>
      <w:pPr>
        <w:numPr>
          <w:ilvl w:val="0"/>
          <w:numId w:val="0"/>
        </w:numPr>
        <w:tabs>
          <w:tab w:val="left" w:pos="0"/>
          <w:tab w:val="left" w:pos="1260"/>
        </w:tabs>
        <w:spacing w:line="440" w:lineRule="exact"/>
        <w:ind w:firstLine="420" w:firstLineChars="200"/>
        <w:rPr>
          <w:rFonts w:hint="eastAsia"/>
          <w:kern w:val="2"/>
          <w:szCs w:val="24"/>
        </w:rPr>
      </w:pPr>
      <w:r>
        <w:rPr>
          <w:rFonts w:hint="eastAsia"/>
          <w:kern w:val="2"/>
          <w:szCs w:val="24"/>
          <w:lang w:val="en-US" w:eastAsia="zh-CN"/>
        </w:rPr>
        <w:t>5</w:t>
      </w:r>
      <w:r>
        <w:rPr>
          <w:rFonts w:hint="eastAsia"/>
          <w:kern w:val="2"/>
          <w:szCs w:val="24"/>
        </w:rPr>
        <w:t xml:space="preserve">、甲方将不定期地组织专人对乙方所供货物的质量报送质检部门抽检，若发现货物质量检测结果与招标文件或投标响应文件质量标准不符的，甲方有权在考核中扣分，累计发生2次以上的解除合同。并列入黑名单，并中止合同，五年内不得参与甲方食堂招标项目，乙方须无条件接受  </w:t>
      </w:r>
    </w:p>
    <w:p>
      <w:pPr>
        <w:pStyle w:val="47"/>
        <w:ind w:firstLine="0" w:firstLineChars="0"/>
        <w:rPr>
          <w:rFonts w:ascii="宋体" w:hAnsi="宋体"/>
          <w:color w:val="000000"/>
          <w:kern w:val="0"/>
          <w:sz w:val="24"/>
        </w:rPr>
      </w:pPr>
      <w:r>
        <w:rPr>
          <w:rFonts w:hint="eastAsia" w:ascii="宋体" w:hAnsi="宋体" w:cs="宋体"/>
          <w:sz w:val="24"/>
          <w:szCs w:val="24"/>
        </w:rPr>
        <w:t xml:space="preserve">    </w:t>
      </w:r>
      <w:r>
        <w:rPr>
          <w:rFonts w:hint="eastAsia" w:ascii="宋体" w:hAnsi="宋体" w:cs="宋体"/>
          <w:sz w:val="24"/>
          <w:szCs w:val="24"/>
          <w:lang w:val="en-US" w:eastAsia="zh-CN"/>
        </w:rPr>
        <w:t>6</w:t>
      </w:r>
      <w:r>
        <w:rPr>
          <w:rFonts w:hint="eastAsia" w:ascii="宋体" w:hAnsi="宋体" w:cs="宋体"/>
          <w:sz w:val="24"/>
          <w:szCs w:val="24"/>
        </w:rPr>
        <w:t>、乙方服务人员必须经卫生防疫部门健康检查及卫生知识培训，并持《健</w:t>
      </w:r>
      <w:r>
        <w:rPr>
          <w:rFonts w:hint="eastAsia" w:ascii="宋体" w:hAnsi="宋体"/>
          <w:color w:val="000000"/>
          <w:kern w:val="0"/>
          <w:sz w:val="24"/>
        </w:rPr>
        <w:t>康证》上岗。</w:t>
      </w:r>
    </w:p>
    <w:p>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 本合同未尽事宜，双方协商解决。</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 本合同自甲、乙双方签字（盖章）之日起生效。</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 本合同一式六份，甲方三份、乙方二份、见证方一份，具有同等法律效力。</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lang w:val="zh-TW"/>
        </w:rPr>
        <w:t>十</w:t>
      </w:r>
      <w:r>
        <w:rPr>
          <w:rStyle w:val="133"/>
          <w:rFonts w:hint="eastAsia" w:ascii="宋体" w:hAnsi="宋体" w:eastAsia="宋体" w:cs="宋体"/>
          <w:b/>
          <w:bCs/>
          <w:color w:val="auto"/>
          <w:sz w:val="24"/>
          <w:szCs w:val="24"/>
          <w:lang w:val="en-US" w:eastAsia="zh-CN"/>
        </w:rPr>
        <w:t>三</w:t>
      </w:r>
      <w:r>
        <w:rPr>
          <w:rStyle w:val="133"/>
          <w:rFonts w:hint="eastAsia" w:ascii="宋体" w:hAnsi="宋体" w:eastAsia="宋体" w:cs="宋体"/>
          <w:b/>
          <w:bCs/>
          <w:color w:val="auto"/>
          <w:sz w:val="24"/>
          <w:szCs w:val="24"/>
          <w:lang w:val="zh-TW"/>
        </w:rPr>
        <w:t>、</w:t>
      </w:r>
      <w:r>
        <w:rPr>
          <w:rStyle w:val="133"/>
          <w:rFonts w:ascii="宋体" w:hAnsi="宋体" w:eastAsia="宋体" w:cs="宋体"/>
          <w:b/>
          <w:bCs/>
          <w:color w:val="auto"/>
          <w:sz w:val="24"/>
          <w:szCs w:val="24"/>
          <w:lang w:val="zh-TW" w:eastAsia="zh-TW"/>
        </w:rPr>
        <w:t>结算方式：</w:t>
      </w:r>
    </w:p>
    <w:p>
      <w:pPr>
        <w:pStyle w:val="132"/>
        <w:widowControl/>
        <w:spacing w:line="360" w:lineRule="auto"/>
        <w:ind w:firstLine="480"/>
        <w:jc w:val="left"/>
        <w:rPr>
          <w:rStyle w:val="133"/>
          <w:rFonts w:eastAsia="宋体"/>
          <w:color w:val="auto"/>
          <w:lang w:val="zh-TW" w:eastAsia="zh-TW"/>
        </w:rPr>
      </w:pPr>
      <w:r>
        <w:rPr>
          <w:rStyle w:val="133"/>
          <w:rFonts w:hint="eastAsia" w:asciiTheme="minorEastAsia" w:hAnsiTheme="minorEastAsia" w:eastAsiaTheme="minorEastAsia" w:cstheme="minorEastAsia"/>
          <w:color w:val="auto"/>
          <w:sz w:val="24"/>
          <w:szCs w:val="24"/>
          <w:lang w:val="zh-TW" w:eastAsia="zh-TW"/>
        </w:rPr>
        <w:t>每月21日凭送货单据</w:t>
      </w:r>
      <w:r>
        <w:rPr>
          <w:rStyle w:val="133"/>
          <w:rFonts w:hint="eastAsia" w:asciiTheme="minorEastAsia" w:hAnsiTheme="minorEastAsia" w:eastAsiaTheme="minorEastAsia" w:cstheme="minorEastAsia"/>
          <w:color w:val="auto"/>
          <w:sz w:val="24"/>
          <w:szCs w:val="24"/>
          <w:lang w:val="zh-TW"/>
        </w:rPr>
        <w:t>（送货单据需经医院验收并签字确认）</w:t>
      </w:r>
      <w:r>
        <w:rPr>
          <w:rStyle w:val="133"/>
          <w:rFonts w:hint="eastAsia" w:asciiTheme="minorEastAsia" w:hAnsiTheme="minorEastAsia" w:eastAsiaTheme="minorEastAsia" w:cstheme="minorEastAsia"/>
          <w:color w:val="auto"/>
          <w:sz w:val="24"/>
          <w:szCs w:val="24"/>
          <w:lang w:val="zh-TW" w:eastAsia="zh-TW"/>
        </w:rPr>
        <w:t>结算一次（节假日顺延），乙方需提供</w:t>
      </w:r>
      <w:r>
        <w:rPr>
          <w:rStyle w:val="133"/>
          <w:rFonts w:ascii="宋体" w:hAnsi="宋体" w:eastAsia="宋体" w:cs="宋体"/>
          <w:color w:val="auto"/>
          <w:sz w:val="24"/>
          <w:szCs w:val="24"/>
          <w:lang w:val="zh-TW" w:eastAsia="zh-TW"/>
        </w:rPr>
        <w:t>与货款等额的正规发票。</w:t>
      </w:r>
    </w:p>
    <w:p>
      <w:pPr>
        <w:pStyle w:val="132"/>
        <w:widowControl/>
        <w:spacing w:line="360" w:lineRule="auto"/>
        <w:ind w:firstLine="482"/>
        <w:jc w:val="left"/>
        <w:rPr>
          <w:rStyle w:val="133"/>
          <w:rFonts w:ascii="宋体" w:hAnsi="宋体" w:eastAsia="宋体" w:cs="宋体"/>
          <w:b/>
          <w:bCs/>
          <w:color w:val="auto"/>
          <w:sz w:val="24"/>
          <w:szCs w:val="24"/>
          <w:lang w:val="zh-TW" w:eastAsia="zh-TW"/>
        </w:rPr>
      </w:pPr>
      <w:r>
        <w:rPr>
          <w:rStyle w:val="133"/>
          <w:rFonts w:hint="eastAsia" w:ascii="宋体" w:hAnsi="宋体" w:eastAsia="宋体" w:cs="宋体"/>
          <w:b/>
          <w:bCs/>
          <w:color w:val="auto"/>
          <w:sz w:val="24"/>
          <w:szCs w:val="24"/>
          <w:lang w:val="zh-TW"/>
        </w:rPr>
        <w:t>十</w:t>
      </w:r>
      <w:r>
        <w:rPr>
          <w:rStyle w:val="133"/>
          <w:rFonts w:hint="eastAsia" w:ascii="宋体" w:hAnsi="宋体" w:eastAsia="宋体" w:cs="宋体"/>
          <w:b/>
          <w:bCs/>
          <w:color w:val="auto"/>
          <w:sz w:val="24"/>
          <w:szCs w:val="24"/>
          <w:lang w:val="en-US" w:eastAsia="zh-CN"/>
        </w:rPr>
        <w:t>四</w:t>
      </w:r>
      <w:r>
        <w:rPr>
          <w:rStyle w:val="133"/>
          <w:rFonts w:hint="eastAsia" w:ascii="宋体" w:hAnsi="宋体" w:eastAsia="宋体" w:cs="宋体"/>
          <w:b/>
          <w:bCs/>
          <w:color w:val="auto"/>
          <w:sz w:val="24"/>
          <w:szCs w:val="24"/>
          <w:lang w:val="zh-TW"/>
        </w:rPr>
        <w:t>、</w:t>
      </w:r>
      <w:r>
        <w:rPr>
          <w:rStyle w:val="133"/>
          <w:rFonts w:ascii="宋体" w:hAnsi="宋体" w:eastAsia="宋体" w:cs="宋体"/>
          <w:b/>
          <w:bCs/>
          <w:color w:val="auto"/>
          <w:sz w:val="24"/>
          <w:szCs w:val="24"/>
          <w:lang w:val="zh-TW" w:eastAsia="zh-TW"/>
        </w:rPr>
        <w:t>考核管理：</w:t>
      </w:r>
    </w:p>
    <w:p>
      <w:pPr>
        <w:pStyle w:val="132"/>
        <w:widowControl/>
        <w:spacing w:line="360" w:lineRule="auto"/>
        <w:ind w:firstLine="480"/>
        <w:jc w:val="left"/>
        <w:rPr>
          <w:rStyle w:val="54"/>
          <w:color w:val="auto"/>
        </w:rPr>
      </w:pPr>
      <w:r>
        <w:rPr>
          <w:rStyle w:val="133"/>
          <w:rFonts w:hint="eastAsia" w:ascii="宋体" w:hAnsi="宋体" w:eastAsia="宋体" w:cs="宋体"/>
          <w:color w:val="auto"/>
          <w:sz w:val="24"/>
          <w:szCs w:val="24"/>
          <w:lang w:val="zh-TW"/>
        </w:rPr>
        <w:t>采购人</w:t>
      </w:r>
      <w:r>
        <w:rPr>
          <w:rStyle w:val="133"/>
          <w:rFonts w:ascii="宋体" w:hAnsi="宋体" w:eastAsia="宋体" w:cs="宋体"/>
          <w:color w:val="auto"/>
          <w:sz w:val="24"/>
          <w:szCs w:val="24"/>
          <w:lang w:val="zh-TW" w:eastAsia="zh-TW"/>
        </w:rPr>
        <w:t>根据配送单位的配送情况，每个月对配送单位考核一次。由</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依据《配送工作考核表》，对配送单位的配送情况进行考核。每次考核总分</w:t>
      </w:r>
      <w:r>
        <w:rPr>
          <w:rStyle w:val="134"/>
          <w:color w:val="auto"/>
        </w:rPr>
        <w:t>100</w:t>
      </w:r>
      <w:r>
        <w:rPr>
          <w:rStyle w:val="133"/>
          <w:rFonts w:ascii="宋体" w:hAnsi="宋体" w:eastAsia="宋体" w:cs="宋体"/>
          <w:color w:val="auto"/>
          <w:sz w:val="24"/>
          <w:szCs w:val="24"/>
          <w:lang w:val="zh-TW" w:eastAsia="zh-TW"/>
        </w:rPr>
        <w:t>分，得分</w:t>
      </w:r>
      <w:r>
        <w:rPr>
          <w:rStyle w:val="134"/>
          <w:color w:val="auto"/>
        </w:rPr>
        <w:t>9</w:t>
      </w:r>
      <w:r>
        <w:rPr>
          <w:rStyle w:val="134"/>
          <w:rFonts w:hint="eastAsia"/>
          <w:color w:val="auto"/>
        </w:rPr>
        <w:t>5</w:t>
      </w:r>
      <w:r>
        <w:rPr>
          <w:rStyle w:val="133"/>
          <w:rFonts w:ascii="宋体" w:hAnsi="宋体" w:eastAsia="宋体" w:cs="宋体"/>
          <w:color w:val="auto"/>
          <w:sz w:val="24"/>
          <w:szCs w:val="24"/>
          <w:lang w:val="zh-TW" w:eastAsia="zh-TW"/>
        </w:rPr>
        <w:t>分（含）以上，本次结算按正常结算价格结算；低于</w:t>
      </w:r>
      <w:r>
        <w:rPr>
          <w:rStyle w:val="134"/>
          <w:color w:val="auto"/>
        </w:rPr>
        <w:t>9</w:t>
      </w:r>
      <w:r>
        <w:rPr>
          <w:rStyle w:val="134"/>
          <w:rFonts w:hint="eastAsia"/>
          <w:color w:val="auto"/>
        </w:rPr>
        <w:t>5</w:t>
      </w:r>
      <w:r>
        <w:rPr>
          <w:rStyle w:val="133"/>
          <w:rFonts w:ascii="宋体" w:hAnsi="宋体" w:eastAsia="宋体" w:cs="宋体"/>
          <w:color w:val="auto"/>
          <w:sz w:val="24"/>
          <w:szCs w:val="24"/>
          <w:lang w:val="zh-TW" w:eastAsia="zh-TW"/>
        </w:rPr>
        <w:t>分时，每低</w:t>
      </w:r>
      <w:r>
        <w:rPr>
          <w:rStyle w:val="134"/>
          <w:color w:val="auto"/>
        </w:rPr>
        <w:t>5</w:t>
      </w:r>
      <w:r>
        <w:rPr>
          <w:rStyle w:val="133"/>
          <w:rFonts w:ascii="宋体" w:hAnsi="宋体" w:eastAsia="宋体" w:cs="宋体"/>
          <w:color w:val="auto"/>
          <w:sz w:val="24"/>
          <w:szCs w:val="24"/>
          <w:lang w:val="zh-TW" w:eastAsia="zh-TW"/>
        </w:rPr>
        <w:t>分，本次结算价格按正常结算价格下降</w:t>
      </w:r>
      <w:r>
        <w:rPr>
          <w:rStyle w:val="134"/>
          <w:color w:val="auto"/>
        </w:rPr>
        <w:t>1%</w:t>
      </w:r>
      <w:r>
        <w:rPr>
          <w:rStyle w:val="133"/>
          <w:rFonts w:ascii="宋体" w:hAnsi="宋体" w:eastAsia="宋体" w:cs="宋体"/>
          <w:color w:val="auto"/>
          <w:sz w:val="24"/>
          <w:szCs w:val="24"/>
          <w:lang w:val="zh-TW" w:eastAsia="zh-TW"/>
        </w:rPr>
        <w:t>执行，</w:t>
      </w:r>
      <w:r>
        <w:rPr>
          <w:rStyle w:val="134"/>
          <w:color w:val="auto"/>
        </w:rPr>
        <w:t>3</w:t>
      </w:r>
      <w:r>
        <w:rPr>
          <w:rStyle w:val="133"/>
          <w:rFonts w:ascii="宋体" w:hAnsi="宋体" w:eastAsia="宋体" w:cs="宋体"/>
          <w:color w:val="auto"/>
          <w:sz w:val="24"/>
          <w:szCs w:val="24"/>
          <w:lang w:val="zh-TW" w:eastAsia="zh-TW"/>
        </w:rPr>
        <w:t>次考核得分低于</w:t>
      </w:r>
      <w:r>
        <w:rPr>
          <w:rStyle w:val="134"/>
          <w:color w:val="auto"/>
        </w:rPr>
        <w:t>80</w:t>
      </w:r>
      <w:r>
        <w:rPr>
          <w:rStyle w:val="133"/>
          <w:rFonts w:ascii="宋体" w:hAnsi="宋体" w:eastAsia="宋体" w:cs="宋体"/>
          <w:color w:val="auto"/>
          <w:sz w:val="24"/>
          <w:szCs w:val="24"/>
          <w:lang w:val="zh-TW" w:eastAsia="zh-TW"/>
        </w:rPr>
        <w:t>分时，</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可以提出终止合同并调换配送单位。</w:t>
      </w:r>
      <w:r>
        <w:rPr>
          <w:rFonts w:hint="eastAsia" w:ascii="宋体" w:hAnsi="宋体" w:cs="宋体"/>
          <w:color w:val="auto"/>
          <w:sz w:val="24"/>
        </w:rPr>
        <w:t>扣款金额由甲方根据每月考核结果在乙方食材费用中直接扣除。</w:t>
      </w:r>
    </w:p>
    <w:p>
      <w:pPr>
        <w:pStyle w:val="132"/>
        <w:widowControl/>
        <w:spacing w:line="360" w:lineRule="auto"/>
        <w:ind w:firstLine="480"/>
        <w:jc w:val="left"/>
        <w:rPr>
          <w:rStyle w:val="54"/>
          <w:color w:val="auto"/>
          <w:lang w:val="zh-TW" w:eastAsia="zh-TW"/>
        </w:rPr>
      </w:pPr>
      <w:r>
        <w:rPr>
          <w:rStyle w:val="133"/>
          <w:rFonts w:ascii="宋体" w:hAnsi="宋体" w:eastAsia="宋体" w:cs="宋体"/>
          <w:color w:val="auto"/>
          <w:sz w:val="24"/>
          <w:szCs w:val="24"/>
          <w:lang w:val="zh-TW" w:eastAsia="zh-TW"/>
        </w:rPr>
        <w:t>经考核有下列情形之一者招标方有权立即终止配送单位的配送工作，终止与之签订的食堂配送协议，并取消配送单位参加下一轮</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食堂招标配送招投标资格：</w:t>
      </w:r>
    </w:p>
    <w:p>
      <w:pPr>
        <w:pStyle w:val="132"/>
        <w:widowControl/>
        <w:spacing w:line="360" w:lineRule="auto"/>
        <w:ind w:firstLine="480"/>
        <w:jc w:val="left"/>
        <w:rPr>
          <w:rStyle w:val="54"/>
          <w:color w:val="auto"/>
        </w:rPr>
      </w:pPr>
      <w:r>
        <w:rPr>
          <w:rStyle w:val="134"/>
          <w:color w:val="auto"/>
        </w:rPr>
        <w:t>1</w:t>
      </w:r>
      <w:r>
        <w:rPr>
          <w:rStyle w:val="134"/>
          <w:rFonts w:hint="eastAsia"/>
          <w:color w:val="auto"/>
        </w:rPr>
        <w:t>、</w:t>
      </w:r>
      <w:r>
        <w:rPr>
          <w:rStyle w:val="133"/>
          <w:rFonts w:ascii="宋体" w:hAnsi="宋体" w:eastAsia="宋体" w:cs="宋体"/>
          <w:color w:val="auto"/>
          <w:sz w:val="24"/>
          <w:szCs w:val="24"/>
          <w:lang w:val="zh-TW" w:eastAsia="zh-TW"/>
        </w:rPr>
        <w:t>原材料问题引起</w:t>
      </w:r>
      <w:r>
        <w:rPr>
          <w:rStyle w:val="133"/>
          <w:rFonts w:hint="eastAsia" w:ascii="宋体" w:hAnsi="宋体" w:eastAsia="宋体" w:cs="宋体"/>
          <w:color w:val="auto"/>
          <w:sz w:val="24"/>
          <w:szCs w:val="24"/>
          <w:lang w:val="zh-TW"/>
        </w:rPr>
        <w:t>员工、病人</w:t>
      </w:r>
      <w:r>
        <w:rPr>
          <w:rStyle w:val="133"/>
          <w:rFonts w:ascii="宋体" w:hAnsi="宋体" w:eastAsia="宋体" w:cs="宋体"/>
          <w:color w:val="auto"/>
          <w:sz w:val="24"/>
          <w:szCs w:val="24"/>
          <w:lang w:val="zh-TW" w:eastAsia="zh-TW"/>
        </w:rPr>
        <w:t>食物中毒等食源性疾病发生的；</w:t>
      </w:r>
    </w:p>
    <w:p>
      <w:pPr>
        <w:pStyle w:val="132"/>
        <w:widowControl/>
        <w:spacing w:line="360" w:lineRule="auto"/>
        <w:ind w:firstLine="480"/>
        <w:jc w:val="left"/>
        <w:rPr>
          <w:rStyle w:val="54"/>
          <w:color w:val="auto"/>
        </w:rPr>
      </w:pPr>
      <w:r>
        <w:rPr>
          <w:rStyle w:val="134"/>
          <w:color w:val="auto"/>
        </w:rPr>
        <w:t>2</w:t>
      </w:r>
      <w:r>
        <w:rPr>
          <w:rStyle w:val="134"/>
          <w:rFonts w:hint="eastAsia"/>
          <w:color w:val="auto"/>
        </w:rPr>
        <w:t>、</w:t>
      </w:r>
      <w:r>
        <w:rPr>
          <w:rStyle w:val="133"/>
          <w:rFonts w:ascii="宋体" w:hAnsi="宋体" w:eastAsia="宋体" w:cs="宋体"/>
          <w:color w:val="auto"/>
          <w:sz w:val="24"/>
          <w:szCs w:val="24"/>
          <w:lang w:val="zh-TW" w:eastAsia="zh-TW"/>
        </w:rPr>
        <w:t>配送质量差，有半数</w:t>
      </w:r>
      <w:r>
        <w:rPr>
          <w:rStyle w:val="133"/>
          <w:rFonts w:hint="eastAsia" w:ascii="宋体" w:hAnsi="宋体" w:eastAsia="宋体" w:cs="宋体"/>
          <w:color w:val="auto"/>
          <w:sz w:val="24"/>
          <w:szCs w:val="24"/>
          <w:lang w:val="zh-TW"/>
        </w:rPr>
        <w:t>员工</w:t>
      </w:r>
      <w:r>
        <w:rPr>
          <w:rStyle w:val="133"/>
          <w:rFonts w:ascii="宋体" w:hAnsi="宋体" w:eastAsia="宋体" w:cs="宋体"/>
          <w:color w:val="auto"/>
          <w:sz w:val="24"/>
          <w:szCs w:val="24"/>
          <w:lang w:val="zh-TW" w:eastAsia="zh-TW"/>
        </w:rPr>
        <w:t>及</w:t>
      </w:r>
      <w:r>
        <w:rPr>
          <w:rStyle w:val="133"/>
          <w:rFonts w:hint="eastAsia" w:ascii="宋体" w:hAnsi="宋体" w:eastAsia="宋体" w:cs="宋体"/>
          <w:color w:val="auto"/>
          <w:sz w:val="24"/>
          <w:szCs w:val="24"/>
          <w:lang w:val="zh-TW"/>
        </w:rPr>
        <w:t>病人</w:t>
      </w:r>
      <w:r>
        <w:rPr>
          <w:rStyle w:val="133"/>
          <w:rFonts w:ascii="宋体" w:hAnsi="宋体" w:eastAsia="宋体" w:cs="宋体"/>
          <w:color w:val="auto"/>
          <w:sz w:val="24"/>
          <w:szCs w:val="24"/>
          <w:lang w:val="zh-TW" w:eastAsia="zh-TW"/>
        </w:rPr>
        <w:t>提出调换配送单位的；</w:t>
      </w:r>
    </w:p>
    <w:p>
      <w:pPr>
        <w:pStyle w:val="132"/>
        <w:widowControl/>
        <w:spacing w:line="360" w:lineRule="auto"/>
        <w:ind w:firstLine="480"/>
        <w:jc w:val="left"/>
        <w:rPr>
          <w:rStyle w:val="54"/>
          <w:color w:val="auto"/>
        </w:rPr>
      </w:pPr>
      <w:r>
        <w:rPr>
          <w:rStyle w:val="134"/>
          <w:color w:val="auto"/>
        </w:rPr>
        <w:t>3</w:t>
      </w:r>
      <w:r>
        <w:rPr>
          <w:rStyle w:val="134"/>
          <w:rFonts w:hint="eastAsia"/>
          <w:color w:val="auto"/>
        </w:rPr>
        <w:t>、</w:t>
      </w:r>
      <w:r>
        <w:rPr>
          <w:rStyle w:val="133"/>
          <w:rFonts w:ascii="宋体" w:hAnsi="宋体" w:eastAsia="宋体" w:cs="宋体"/>
          <w:color w:val="auto"/>
          <w:sz w:val="24"/>
          <w:szCs w:val="24"/>
          <w:lang w:val="zh-TW" w:eastAsia="zh-TW"/>
        </w:rPr>
        <w:t>被政府监管部门查到故意向</w:t>
      </w:r>
      <w:r>
        <w:rPr>
          <w:rStyle w:val="133"/>
          <w:rFonts w:hint="eastAsia" w:ascii="宋体" w:hAnsi="宋体" w:eastAsia="宋体" w:cs="宋体"/>
          <w:color w:val="auto"/>
          <w:sz w:val="24"/>
          <w:szCs w:val="24"/>
          <w:lang w:val="zh-TW"/>
        </w:rPr>
        <w:t>医院</w:t>
      </w:r>
      <w:r>
        <w:rPr>
          <w:rStyle w:val="133"/>
          <w:rFonts w:ascii="宋体" w:hAnsi="宋体" w:eastAsia="宋体" w:cs="宋体"/>
          <w:color w:val="auto"/>
          <w:sz w:val="24"/>
          <w:szCs w:val="24"/>
          <w:lang w:val="zh-TW" w:eastAsia="zh-TW"/>
        </w:rPr>
        <w:t>销售假冒伪劣商品的；</w:t>
      </w:r>
    </w:p>
    <w:p>
      <w:pPr>
        <w:pStyle w:val="132"/>
        <w:widowControl/>
        <w:spacing w:line="360" w:lineRule="auto"/>
        <w:ind w:firstLine="480"/>
        <w:jc w:val="left"/>
        <w:rPr>
          <w:rStyle w:val="54"/>
          <w:color w:val="auto"/>
        </w:rPr>
      </w:pPr>
      <w:r>
        <w:rPr>
          <w:rStyle w:val="134"/>
          <w:color w:val="auto"/>
        </w:rPr>
        <w:t>4</w:t>
      </w:r>
      <w:r>
        <w:rPr>
          <w:rStyle w:val="134"/>
          <w:rFonts w:hint="eastAsia"/>
          <w:color w:val="auto"/>
        </w:rPr>
        <w:t>、</w:t>
      </w:r>
      <w:r>
        <w:rPr>
          <w:rStyle w:val="133"/>
          <w:rFonts w:ascii="宋体" w:hAnsi="宋体" w:eastAsia="宋体" w:cs="宋体"/>
          <w:color w:val="auto"/>
          <w:sz w:val="24"/>
          <w:szCs w:val="24"/>
          <w:lang w:val="zh-TW" w:eastAsia="zh-TW"/>
        </w:rPr>
        <w:t>经查实，分包或转包给他人或其他单位的；</w:t>
      </w:r>
    </w:p>
    <w:p>
      <w:pPr>
        <w:pStyle w:val="132"/>
        <w:widowControl/>
        <w:spacing w:line="360" w:lineRule="auto"/>
        <w:ind w:firstLine="480"/>
        <w:jc w:val="left"/>
        <w:rPr>
          <w:rFonts w:ascii="宋体" w:hAnsi="宋体" w:eastAsia="宋体" w:cs="宋体"/>
          <w:bCs/>
          <w:color w:val="auto"/>
          <w:sz w:val="24"/>
          <w:szCs w:val="24"/>
        </w:rPr>
      </w:pPr>
      <w:r>
        <w:rPr>
          <w:rStyle w:val="134"/>
          <w:color w:val="auto"/>
        </w:rPr>
        <w:t>5</w:t>
      </w:r>
      <w:r>
        <w:rPr>
          <w:rStyle w:val="134"/>
          <w:rFonts w:hint="eastAsia"/>
          <w:color w:val="auto"/>
        </w:rPr>
        <w:t>、</w:t>
      </w:r>
      <w:r>
        <w:rPr>
          <w:rStyle w:val="133"/>
          <w:rFonts w:ascii="宋体" w:hAnsi="宋体" w:eastAsia="宋体" w:cs="宋体"/>
          <w:color w:val="auto"/>
          <w:sz w:val="24"/>
          <w:szCs w:val="24"/>
          <w:lang w:val="zh-TW" w:eastAsia="zh-TW"/>
        </w:rPr>
        <w:t>在配送工作中弄虚作假，提供伪造检测资料和索证资料的。</w:t>
      </w:r>
    </w:p>
    <w:p>
      <w:pPr>
        <w:spacing w:line="360" w:lineRule="auto"/>
        <w:rPr>
          <w:rFonts w:ascii="宋体" w:hAnsi="宋体" w:cs="宋体"/>
          <w:color w:val="auto"/>
          <w:sz w:val="24"/>
        </w:rPr>
      </w:pPr>
      <w:r>
        <w:rPr>
          <w:rFonts w:hint="eastAsia" w:ascii="宋体" w:hAnsi="宋体" w:cs="宋体"/>
          <w:color w:val="auto"/>
          <w:sz w:val="24"/>
        </w:rPr>
        <w:t>具体考评细则如下表：</w:t>
      </w:r>
    </w:p>
    <w:tbl>
      <w:tblPr>
        <w:tblStyle w:val="48"/>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53"/>
        <w:gridCol w:w="795"/>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360" w:lineRule="auto"/>
              <w:ind w:firstLine="27" w:firstLineChars="13"/>
              <w:jc w:val="center"/>
              <w:rPr>
                <w:color w:val="auto"/>
              </w:rPr>
            </w:pPr>
            <w:r>
              <w:rPr>
                <w:rFonts w:hint="eastAsia"/>
                <w:color w:val="auto"/>
              </w:rPr>
              <w:t>序号</w:t>
            </w:r>
          </w:p>
        </w:tc>
        <w:tc>
          <w:tcPr>
            <w:tcW w:w="1653" w:type="dxa"/>
            <w:vAlign w:val="center"/>
          </w:tcPr>
          <w:p>
            <w:pPr>
              <w:spacing w:line="360" w:lineRule="auto"/>
              <w:ind w:firstLine="33" w:firstLineChars="16"/>
              <w:jc w:val="center"/>
              <w:rPr>
                <w:color w:val="auto"/>
              </w:rPr>
            </w:pPr>
            <w:r>
              <w:rPr>
                <w:rFonts w:hint="eastAsia"/>
                <w:color w:val="auto"/>
              </w:rPr>
              <w:t>项目名称</w:t>
            </w:r>
          </w:p>
        </w:tc>
        <w:tc>
          <w:tcPr>
            <w:tcW w:w="795" w:type="dxa"/>
            <w:vAlign w:val="center"/>
          </w:tcPr>
          <w:p>
            <w:pPr>
              <w:spacing w:line="360" w:lineRule="auto"/>
              <w:ind w:firstLine="27" w:firstLineChars="13"/>
              <w:jc w:val="center"/>
              <w:rPr>
                <w:color w:val="auto"/>
              </w:rPr>
            </w:pPr>
            <w:r>
              <w:rPr>
                <w:rFonts w:hint="eastAsia"/>
                <w:color w:val="auto"/>
              </w:rPr>
              <w:t>分值</w:t>
            </w:r>
          </w:p>
        </w:tc>
        <w:tc>
          <w:tcPr>
            <w:tcW w:w="5216" w:type="dxa"/>
            <w:vAlign w:val="center"/>
          </w:tcPr>
          <w:p>
            <w:pPr>
              <w:spacing w:line="360" w:lineRule="auto"/>
              <w:ind w:firstLine="27" w:firstLineChars="13"/>
              <w:jc w:val="center"/>
              <w:rPr>
                <w:color w:val="auto"/>
              </w:rPr>
            </w:pPr>
            <w:r>
              <w:rPr>
                <w:rFonts w:hint="eastAsia"/>
                <w:color w:val="auto"/>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5" w:type="dxa"/>
            <w:vAlign w:val="center"/>
          </w:tcPr>
          <w:p>
            <w:pPr>
              <w:spacing w:line="360" w:lineRule="auto"/>
              <w:ind w:firstLine="27" w:firstLineChars="13"/>
              <w:jc w:val="center"/>
              <w:rPr>
                <w:color w:val="auto"/>
              </w:rPr>
            </w:pPr>
            <w:r>
              <w:rPr>
                <w:rFonts w:hint="eastAsia"/>
                <w:color w:val="auto"/>
              </w:rPr>
              <w:t>1</w:t>
            </w:r>
          </w:p>
        </w:tc>
        <w:tc>
          <w:tcPr>
            <w:tcW w:w="1653" w:type="dxa"/>
            <w:vAlign w:val="center"/>
          </w:tcPr>
          <w:p>
            <w:pPr>
              <w:spacing w:line="360" w:lineRule="auto"/>
              <w:jc w:val="center"/>
              <w:rPr>
                <w:color w:val="auto"/>
              </w:rPr>
            </w:pPr>
            <w:r>
              <w:rPr>
                <w:color w:val="auto"/>
              </w:rPr>
              <w:t>交货率</w:t>
            </w:r>
          </w:p>
        </w:tc>
        <w:tc>
          <w:tcPr>
            <w:tcW w:w="795" w:type="dxa"/>
            <w:vAlign w:val="center"/>
          </w:tcPr>
          <w:p>
            <w:pPr>
              <w:spacing w:line="360" w:lineRule="auto"/>
              <w:ind w:firstLine="27" w:firstLineChars="13"/>
              <w:jc w:val="center"/>
              <w:rPr>
                <w:color w:val="auto"/>
              </w:rPr>
            </w:pPr>
            <w:r>
              <w:rPr>
                <w:rFonts w:hint="eastAsia"/>
                <w:color w:val="auto"/>
              </w:rPr>
              <w:t>20</w:t>
            </w:r>
          </w:p>
        </w:tc>
        <w:tc>
          <w:tcPr>
            <w:tcW w:w="5216" w:type="dxa"/>
            <w:vAlign w:val="center"/>
          </w:tcPr>
          <w:p>
            <w:pPr>
              <w:ind w:firstLine="27" w:firstLineChars="13"/>
              <w:jc w:val="left"/>
              <w:rPr>
                <w:color w:val="auto"/>
              </w:rPr>
            </w:pPr>
            <w:r>
              <w:rPr>
                <w:color w:val="auto"/>
              </w:rPr>
              <w:t>每</w:t>
            </w:r>
            <w:r>
              <w:rPr>
                <w:rFonts w:hint="eastAsia"/>
                <w:color w:val="auto"/>
              </w:rPr>
              <w:t>天早6：00-7：00，配送产品至指定地点。</w:t>
            </w:r>
          </w:p>
          <w:p>
            <w:pPr>
              <w:ind w:firstLine="27" w:firstLineChars="13"/>
              <w:jc w:val="left"/>
              <w:rPr>
                <w:color w:val="auto"/>
              </w:rPr>
            </w:pPr>
            <w:r>
              <w:rPr>
                <w:rFonts w:hint="eastAsia"/>
                <w:color w:val="auto"/>
              </w:rPr>
              <w:t>每延误一批次，扣分如下：</w:t>
            </w:r>
          </w:p>
          <w:p>
            <w:pPr>
              <w:ind w:firstLine="27" w:firstLineChars="13"/>
              <w:jc w:val="left"/>
              <w:rPr>
                <w:color w:val="auto"/>
              </w:rPr>
            </w:pPr>
            <w:r>
              <w:rPr>
                <w:rFonts w:hint="eastAsia"/>
                <w:color w:val="auto"/>
              </w:rPr>
              <w:t>1）配送时间7：15-7：30，</w:t>
            </w:r>
            <w:r>
              <w:rPr>
                <w:color w:val="auto"/>
              </w:rPr>
              <w:t>扣2分。</w:t>
            </w:r>
          </w:p>
          <w:p>
            <w:pPr>
              <w:ind w:firstLine="27" w:firstLineChars="13"/>
              <w:jc w:val="left"/>
              <w:rPr>
                <w:color w:val="auto"/>
              </w:rPr>
            </w:pPr>
            <w:r>
              <w:rPr>
                <w:rFonts w:hint="eastAsia"/>
                <w:color w:val="auto"/>
              </w:rPr>
              <w:t>2）配送时间7：30-8：00，扣4分。</w:t>
            </w:r>
          </w:p>
          <w:p>
            <w:pPr>
              <w:ind w:firstLine="27" w:firstLineChars="13"/>
              <w:jc w:val="left"/>
              <w:rPr>
                <w:color w:val="auto"/>
              </w:rPr>
            </w:pPr>
            <w:r>
              <w:rPr>
                <w:rFonts w:hint="eastAsia"/>
                <w:color w:val="auto"/>
              </w:rPr>
              <w:t>3）配送时间8：00-9：00，扣</w:t>
            </w:r>
            <w:r>
              <w:rPr>
                <w:color w:val="auto"/>
              </w:rPr>
              <w:t>10</w:t>
            </w:r>
            <w:r>
              <w:rPr>
                <w:rFonts w:hint="eastAsia"/>
                <w:color w:val="auto"/>
              </w:rPr>
              <w:t>分。</w:t>
            </w:r>
          </w:p>
          <w:p>
            <w:pPr>
              <w:ind w:firstLine="27" w:firstLineChars="13"/>
              <w:jc w:val="left"/>
              <w:rPr>
                <w:color w:val="auto"/>
              </w:rPr>
            </w:pPr>
            <w:r>
              <w:rPr>
                <w:color w:val="auto"/>
              </w:rPr>
              <w:t>4</w:t>
            </w:r>
            <w:r>
              <w:rPr>
                <w:rFonts w:hint="eastAsia"/>
                <w:color w:val="auto"/>
              </w:rPr>
              <w:t>）因恶劣天气供货方未做好预案，或由于供货方自身原因，未在9点之前将产品配送到指定地点，严重影响食堂开餐，则一次性扣20分。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 w:type="dxa"/>
            <w:vAlign w:val="center"/>
          </w:tcPr>
          <w:p>
            <w:pPr>
              <w:spacing w:line="360" w:lineRule="auto"/>
              <w:ind w:firstLine="27" w:firstLineChars="13"/>
              <w:jc w:val="center"/>
              <w:rPr>
                <w:color w:val="auto"/>
              </w:rPr>
            </w:pPr>
            <w:r>
              <w:rPr>
                <w:rFonts w:hint="eastAsia"/>
                <w:color w:val="auto"/>
              </w:rPr>
              <w:t>2</w:t>
            </w:r>
          </w:p>
        </w:tc>
        <w:tc>
          <w:tcPr>
            <w:tcW w:w="1653" w:type="dxa"/>
            <w:vAlign w:val="center"/>
          </w:tcPr>
          <w:p>
            <w:pPr>
              <w:spacing w:line="360" w:lineRule="auto"/>
              <w:jc w:val="center"/>
              <w:rPr>
                <w:color w:val="auto"/>
              </w:rPr>
            </w:pPr>
            <w:r>
              <w:rPr>
                <w:color w:val="auto"/>
              </w:rPr>
              <w:t>产品质量</w:t>
            </w:r>
          </w:p>
        </w:tc>
        <w:tc>
          <w:tcPr>
            <w:tcW w:w="795" w:type="dxa"/>
            <w:vAlign w:val="center"/>
          </w:tcPr>
          <w:p>
            <w:pPr>
              <w:spacing w:line="360" w:lineRule="auto"/>
              <w:ind w:firstLine="27" w:firstLineChars="13"/>
              <w:jc w:val="center"/>
              <w:rPr>
                <w:color w:val="auto"/>
              </w:rPr>
            </w:pPr>
            <w:r>
              <w:rPr>
                <w:color w:val="auto"/>
              </w:rPr>
              <w:t>25</w:t>
            </w:r>
          </w:p>
        </w:tc>
        <w:tc>
          <w:tcPr>
            <w:tcW w:w="5216" w:type="dxa"/>
            <w:vAlign w:val="center"/>
          </w:tcPr>
          <w:p>
            <w:pPr>
              <w:ind w:firstLine="27" w:firstLineChars="13"/>
              <w:jc w:val="left"/>
              <w:rPr>
                <w:color w:val="auto"/>
              </w:rPr>
            </w:pPr>
            <w:r>
              <w:rPr>
                <w:rFonts w:hint="eastAsia"/>
                <w:color w:val="auto"/>
              </w:rPr>
              <w:t>1、除产品</w:t>
            </w:r>
            <w:r>
              <w:rPr>
                <w:color w:val="auto"/>
              </w:rPr>
              <w:t>质量不符合</w:t>
            </w:r>
            <w:r>
              <w:rPr>
                <w:rFonts w:hint="eastAsia"/>
                <w:color w:val="auto"/>
              </w:rPr>
              <w:t>食材配送清单中对各类产品的具体</w:t>
            </w:r>
            <w:r>
              <w:rPr>
                <w:color w:val="auto"/>
              </w:rPr>
              <w:t>要求</w:t>
            </w:r>
            <w:r>
              <w:rPr>
                <w:rFonts w:hint="eastAsia"/>
                <w:color w:val="auto"/>
              </w:rPr>
              <w:t>外，还出现诸如牛奶类产品涨包、有沉淀物；粮油类产品封装不完好、有沉淀物；果蔬类产品带有泥沙、腐叶等；肉、畜、禽类产品以次充好等情况。</w:t>
            </w:r>
          </w:p>
          <w:p>
            <w:pPr>
              <w:ind w:firstLine="27" w:firstLineChars="13"/>
              <w:jc w:val="left"/>
              <w:rPr>
                <w:color w:val="auto"/>
              </w:rPr>
            </w:pPr>
            <w:r>
              <w:rPr>
                <w:color w:val="auto"/>
              </w:rPr>
              <w:t>每出现一次，</w:t>
            </w:r>
            <w:r>
              <w:rPr>
                <w:rFonts w:hint="eastAsia"/>
                <w:color w:val="auto"/>
              </w:rPr>
              <w:t>扣分如下：</w:t>
            </w:r>
          </w:p>
          <w:p>
            <w:pPr>
              <w:numPr>
                <w:ilvl w:val="0"/>
                <w:numId w:val="21"/>
              </w:numPr>
              <w:jc w:val="left"/>
              <w:rPr>
                <w:color w:val="auto"/>
              </w:rPr>
            </w:pPr>
            <w:r>
              <w:rPr>
                <w:color w:val="auto"/>
              </w:rPr>
              <w:t>在30分钟</w:t>
            </w:r>
            <w:r>
              <w:rPr>
                <w:rFonts w:hint="eastAsia"/>
                <w:color w:val="auto"/>
              </w:rPr>
              <w:t>内，</w:t>
            </w:r>
            <w:r>
              <w:rPr>
                <w:color w:val="auto"/>
              </w:rPr>
              <w:t>调换合格的，扣2分；</w:t>
            </w:r>
          </w:p>
          <w:p>
            <w:pPr>
              <w:numPr>
                <w:ilvl w:val="0"/>
                <w:numId w:val="21"/>
              </w:numPr>
              <w:jc w:val="left"/>
              <w:rPr>
                <w:color w:val="auto"/>
              </w:rPr>
            </w:pPr>
            <w:r>
              <w:rPr>
                <w:color w:val="auto"/>
              </w:rPr>
              <w:t>在30分钟</w:t>
            </w:r>
            <w:r>
              <w:rPr>
                <w:rFonts w:hint="eastAsia"/>
                <w:color w:val="auto"/>
              </w:rPr>
              <w:t>至6</w:t>
            </w:r>
            <w:r>
              <w:rPr>
                <w:color w:val="auto"/>
              </w:rPr>
              <w:t>0</w:t>
            </w:r>
            <w:r>
              <w:rPr>
                <w:rFonts w:hint="eastAsia"/>
                <w:color w:val="auto"/>
              </w:rPr>
              <w:t>分钟，</w:t>
            </w:r>
            <w:r>
              <w:rPr>
                <w:color w:val="auto"/>
              </w:rPr>
              <w:t>调换合格的，扣3分；</w:t>
            </w:r>
          </w:p>
          <w:p>
            <w:pPr>
              <w:numPr>
                <w:ilvl w:val="0"/>
                <w:numId w:val="21"/>
              </w:numPr>
              <w:ind w:left="27"/>
              <w:jc w:val="left"/>
              <w:rPr>
                <w:color w:val="auto"/>
              </w:rPr>
            </w:pPr>
            <w:r>
              <w:rPr>
                <w:rFonts w:hint="eastAsia"/>
                <w:color w:val="auto"/>
              </w:rPr>
              <w:t>3）若在120分钟内无法更换合格的，扣1</w:t>
            </w:r>
            <w:r>
              <w:rPr>
                <w:color w:val="auto"/>
              </w:rPr>
              <w:t>0</w:t>
            </w:r>
            <w:r>
              <w:rPr>
                <w:rFonts w:hint="eastAsia"/>
                <w:color w:val="auto"/>
              </w:rPr>
              <w:t>分；</w:t>
            </w:r>
          </w:p>
          <w:p>
            <w:pPr>
              <w:ind w:left="-333"/>
              <w:jc w:val="left"/>
              <w:rPr>
                <w:color w:val="auto"/>
              </w:rPr>
            </w:pPr>
            <w:r>
              <w:rPr>
                <w:rFonts w:hint="eastAsia"/>
                <w:color w:val="auto"/>
              </w:rPr>
              <w:t>送 2、送检商品经质检部门判定不合格的，扣10分。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5" w:type="dxa"/>
            <w:vAlign w:val="center"/>
          </w:tcPr>
          <w:p>
            <w:pPr>
              <w:spacing w:line="360" w:lineRule="auto"/>
              <w:ind w:firstLine="27" w:firstLineChars="13"/>
              <w:jc w:val="center"/>
              <w:rPr>
                <w:color w:val="auto"/>
              </w:rPr>
            </w:pPr>
            <w:r>
              <w:rPr>
                <w:rFonts w:hint="eastAsia"/>
                <w:color w:val="auto"/>
              </w:rPr>
              <w:t>3</w:t>
            </w:r>
          </w:p>
        </w:tc>
        <w:tc>
          <w:tcPr>
            <w:tcW w:w="1653" w:type="dxa"/>
            <w:vAlign w:val="center"/>
          </w:tcPr>
          <w:p>
            <w:pPr>
              <w:spacing w:line="360" w:lineRule="auto"/>
              <w:jc w:val="center"/>
              <w:rPr>
                <w:color w:val="auto"/>
              </w:rPr>
            </w:pPr>
            <w:r>
              <w:rPr>
                <w:color w:val="auto"/>
              </w:rPr>
              <w:t>服务质量</w:t>
            </w:r>
          </w:p>
        </w:tc>
        <w:tc>
          <w:tcPr>
            <w:tcW w:w="795" w:type="dxa"/>
            <w:vAlign w:val="center"/>
          </w:tcPr>
          <w:p>
            <w:pPr>
              <w:spacing w:line="360" w:lineRule="auto"/>
              <w:ind w:firstLine="27" w:firstLineChars="13"/>
              <w:jc w:val="center"/>
              <w:rPr>
                <w:color w:val="auto"/>
              </w:rPr>
            </w:pPr>
            <w:r>
              <w:rPr>
                <w:color w:val="auto"/>
              </w:rPr>
              <w:t>25</w:t>
            </w:r>
          </w:p>
        </w:tc>
        <w:tc>
          <w:tcPr>
            <w:tcW w:w="5216" w:type="dxa"/>
            <w:vAlign w:val="center"/>
          </w:tcPr>
          <w:p>
            <w:pPr>
              <w:ind w:firstLine="27" w:firstLineChars="13"/>
              <w:jc w:val="left"/>
              <w:rPr>
                <w:color w:val="auto"/>
              </w:rPr>
            </w:pPr>
            <w:r>
              <w:rPr>
                <w:rFonts w:hint="eastAsia"/>
                <w:color w:val="auto"/>
              </w:rPr>
              <w:t>严格遵守本标书中对供货方的要求，认真履行其服务承诺。能够及时有效的应对临时增加供货量、按要求更换菜品等突发情况，且保证临时采购菜品的质量、送达时间以及价格的合理性；对于采购方提出的改进意见，应及时整改落实。</w:t>
            </w:r>
          </w:p>
          <w:p>
            <w:pPr>
              <w:ind w:firstLine="27" w:firstLineChars="13"/>
              <w:jc w:val="left"/>
              <w:rPr>
                <w:color w:val="auto"/>
              </w:rPr>
            </w:pPr>
            <w:r>
              <w:rPr>
                <w:color w:val="auto"/>
              </w:rPr>
              <w:t>每出现1次不满意</w:t>
            </w:r>
            <w:r>
              <w:rPr>
                <w:rFonts w:hint="eastAsia"/>
                <w:color w:val="auto"/>
              </w:rPr>
              <w:t>，</w:t>
            </w:r>
            <w:r>
              <w:rPr>
                <w:color w:val="auto"/>
              </w:rPr>
              <w:t>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5" w:type="dxa"/>
            <w:vAlign w:val="center"/>
          </w:tcPr>
          <w:p>
            <w:pPr>
              <w:spacing w:line="360" w:lineRule="auto"/>
              <w:ind w:firstLine="27" w:firstLineChars="13"/>
              <w:jc w:val="center"/>
              <w:rPr>
                <w:color w:val="auto"/>
              </w:rPr>
            </w:pPr>
            <w:r>
              <w:rPr>
                <w:rFonts w:hint="eastAsia"/>
                <w:color w:val="auto"/>
              </w:rPr>
              <w:t>4</w:t>
            </w:r>
          </w:p>
        </w:tc>
        <w:tc>
          <w:tcPr>
            <w:tcW w:w="1653" w:type="dxa"/>
            <w:vAlign w:val="center"/>
          </w:tcPr>
          <w:p>
            <w:pPr>
              <w:spacing w:line="360" w:lineRule="auto"/>
              <w:jc w:val="center"/>
              <w:rPr>
                <w:color w:val="auto"/>
              </w:rPr>
            </w:pPr>
            <w:r>
              <w:rPr>
                <w:color w:val="auto"/>
              </w:rPr>
              <w:t>产品供货价格</w:t>
            </w:r>
          </w:p>
        </w:tc>
        <w:tc>
          <w:tcPr>
            <w:tcW w:w="795" w:type="dxa"/>
            <w:vAlign w:val="center"/>
          </w:tcPr>
          <w:p>
            <w:pPr>
              <w:spacing w:line="360" w:lineRule="auto"/>
              <w:ind w:firstLine="27" w:firstLineChars="13"/>
              <w:jc w:val="center"/>
              <w:rPr>
                <w:color w:val="auto"/>
              </w:rPr>
            </w:pPr>
            <w:r>
              <w:rPr>
                <w:rFonts w:hint="eastAsia"/>
                <w:color w:val="auto"/>
              </w:rPr>
              <w:t>30</w:t>
            </w:r>
          </w:p>
        </w:tc>
        <w:tc>
          <w:tcPr>
            <w:tcW w:w="5216" w:type="dxa"/>
            <w:vAlign w:val="center"/>
          </w:tcPr>
          <w:p>
            <w:pPr>
              <w:ind w:firstLine="27" w:firstLineChars="13"/>
              <w:jc w:val="left"/>
              <w:rPr>
                <w:color w:val="auto"/>
              </w:rPr>
            </w:pPr>
            <w:r>
              <w:rPr>
                <w:color w:val="auto"/>
              </w:rPr>
              <w:t>如发生供货价高于报价文件承诺的优惠价，或高于市场一般价格的情况，每出现1次扣</w:t>
            </w:r>
            <w:r>
              <w:rPr>
                <w:rFonts w:hint="eastAsia"/>
                <w:color w:val="auto"/>
              </w:rPr>
              <w:t>3</w:t>
            </w:r>
            <w:r>
              <w:rPr>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338" w:type="dxa"/>
            <w:gridSpan w:val="2"/>
            <w:vAlign w:val="center"/>
          </w:tcPr>
          <w:p>
            <w:pPr>
              <w:spacing w:line="360" w:lineRule="auto"/>
              <w:jc w:val="center"/>
              <w:rPr>
                <w:color w:val="auto"/>
              </w:rPr>
            </w:pPr>
            <w:r>
              <w:rPr>
                <w:color w:val="auto"/>
              </w:rPr>
              <w:t>合计</w:t>
            </w:r>
          </w:p>
        </w:tc>
        <w:tc>
          <w:tcPr>
            <w:tcW w:w="795" w:type="dxa"/>
            <w:vAlign w:val="center"/>
          </w:tcPr>
          <w:p>
            <w:pPr>
              <w:spacing w:line="360" w:lineRule="auto"/>
              <w:ind w:firstLine="27" w:firstLineChars="13"/>
              <w:jc w:val="center"/>
              <w:rPr>
                <w:color w:val="auto"/>
              </w:rPr>
            </w:pPr>
            <w:r>
              <w:rPr>
                <w:color w:val="auto"/>
              </w:rPr>
              <w:t>100分</w:t>
            </w:r>
          </w:p>
        </w:tc>
        <w:tc>
          <w:tcPr>
            <w:tcW w:w="5216" w:type="dxa"/>
            <w:vAlign w:val="center"/>
          </w:tcPr>
          <w:p>
            <w:pPr>
              <w:spacing w:line="360" w:lineRule="auto"/>
              <w:ind w:firstLine="27" w:firstLineChars="13"/>
              <w:rPr>
                <w:color w:val="auto"/>
              </w:rPr>
            </w:pPr>
          </w:p>
        </w:tc>
      </w:tr>
    </w:tbl>
    <w:p>
      <w:pPr>
        <w:pStyle w:val="132"/>
        <w:widowControl/>
        <w:spacing w:line="360" w:lineRule="auto"/>
        <w:ind w:firstLine="480"/>
        <w:jc w:val="left"/>
        <w:rPr>
          <w:rFonts w:ascii="宋体"/>
          <w:bCs/>
          <w:color w:val="FF0000"/>
          <w:sz w:val="24"/>
          <w:szCs w:val="24"/>
        </w:rPr>
      </w:pPr>
    </w:p>
    <w:p>
      <w:pPr>
        <w:pStyle w:val="132"/>
        <w:widowControl/>
        <w:spacing w:line="360" w:lineRule="auto"/>
        <w:ind w:firstLine="480"/>
        <w:jc w:val="left"/>
        <w:rPr>
          <w:rFonts w:ascii="宋体"/>
          <w:bCs/>
          <w:sz w:val="24"/>
          <w:szCs w:val="24"/>
        </w:rPr>
      </w:pPr>
    </w:p>
    <w:p>
      <w:pPr>
        <w:pStyle w:val="43"/>
        <w:spacing w:beforeAutospacing="0" w:afterAutospacing="0" w:line="360" w:lineRule="auto"/>
        <w:ind w:firstLine="480" w:firstLineChars="200"/>
        <w:rPr>
          <w:color w:val="000000"/>
        </w:rPr>
      </w:pPr>
    </w:p>
    <w:p>
      <w:pPr>
        <w:pStyle w:val="43"/>
        <w:spacing w:beforeAutospacing="0" w:afterAutospacing="0" w:line="360" w:lineRule="auto"/>
        <w:ind w:firstLine="480" w:firstLineChars="200"/>
        <w:rPr>
          <w:color w:val="000000"/>
        </w:rPr>
      </w:pPr>
      <w:r>
        <w:rPr>
          <w:rFonts w:hint="eastAsia"/>
          <w:color w:val="000000"/>
        </w:rPr>
        <w:t xml:space="preserve">甲方（盖章）：                      　    乙方（盖章）： </w:t>
      </w:r>
    </w:p>
    <w:p>
      <w:pPr>
        <w:pStyle w:val="43"/>
        <w:spacing w:beforeAutospacing="0" w:afterAutospacing="0" w:line="360" w:lineRule="auto"/>
        <w:ind w:firstLine="480" w:firstLineChars="200"/>
        <w:rPr>
          <w:color w:val="000000"/>
        </w:rPr>
      </w:pPr>
      <w:r>
        <w:rPr>
          <w:rFonts w:hint="eastAsia"/>
          <w:color w:val="000000"/>
        </w:rPr>
        <w:t xml:space="preserve">甲方代表（签字）：　　　　　   　         乙方代表（签字）： </w:t>
      </w:r>
    </w:p>
    <w:p>
      <w:pPr>
        <w:pStyle w:val="43"/>
        <w:spacing w:beforeAutospacing="0" w:afterAutospacing="0" w:line="360" w:lineRule="auto"/>
        <w:ind w:firstLine="480" w:firstLineChars="200"/>
        <w:rPr>
          <w:color w:val="000000"/>
        </w:rPr>
      </w:pPr>
      <w:r>
        <w:rPr>
          <w:rFonts w:hint="eastAsia"/>
          <w:color w:val="000000"/>
        </w:rPr>
        <w:t>签约时间：  年  月   日　　　        年  月   日</w:t>
      </w:r>
    </w:p>
    <w:p>
      <w:pPr>
        <w:spacing w:line="440" w:lineRule="exact"/>
        <w:rPr>
          <w:rFonts w:ascii="宋体" w:hAnsi="宋体"/>
          <w:bCs/>
          <w:sz w:val="24"/>
          <w:szCs w:val="24"/>
          <w:u w:val="single"/>
        </w:rPr>
      </w:pPr>
      <w:r>
        <w:rPr>
          <w:rFonts w:hint="eastAsia" w:ascii="宋体" w:hAnsi="宋体"/>
          <w:bCs/>
          <w:sz w:val="24"/>
          <w:szCs w:val="24"/>
        </w:rPr>
        <w:t>见证方：（盖章）  乙方户名：</w:t>
      </w:r>
    </w:p>
    <w:p>
      <w:pPr>
        <w:spacing w:line="440" w:lineRule="exact"/>
        <w:rPr>
          <w:rFonts w:ascii="宋体" w:hAnsi="宋体"/>
          <w:bCs/>
          <w:sz w:val="24"/>
          <w:szCs w:val="24"/>
          <w:u w:val="single"/>
        </w:rPr>
      </w:pPr>
      <w:r>
        <w:rPr>
          <w:rFonts w:hint="eastAsia" w:ascii="宋体" w:hAnsi="宋体"/>
          <w:bCs/>
          <w:sz w:val="24"/>
          <w:szCs w:val="24"/>
        </w:rPr>
        <w:t>见证人：乙方开户银行：</w:t>
      </w:r>
    </w:p>
    <w:p>
      <w:pPr>
        <w:spacing w:line="440" w:lineRule="exact"/>
        <w:rPr>
          <w:rFonts w:ascii="宋体" w:hAnsi="宋体"/>
          <w:bCs/>
          <w:sz w:val="24"/>
          <w:szCs w:val="24"/>
        </w:rPr>
      </w:pPr>
      <w:r>
        <w:rPr>
          <w:rFonts w:hint="eastAsia" w:ascii="宋体" w:hAnsi="宋体"/>
          <w:bCs/>
          <w:sz w:val="24"/>
          <w:szCs w:val="24"/>
        </w:rPr>
        <w:t>年月日   乙方帐号：</w:t>
      </w:r>
    </w:p>
    <w:p>
      <w:pPr>
        <w:tabs>
          <w:tab w:val="left" w:pos="0"/>
          <w:tab w:val="left" w:pos="315"/>
          <w:tab w:val="left" w:pos="525"/>
          <w:tab w:val="left" w:pos="945"/>
        </w:tabs>
        <w:spacing w:line="360" w:lineRule="auto"/>
        <w:ind w:firstLine="480" w:firstLineChars="200"/>
        <w:rPr>
          <w:rFonts w:ascii="宋体" w:hAnsi="宋体"/>
          <w:bCs/>
          <w:sz w:val="24"/>
          <w:szCs w:val="24"/>
        </w:rPr>
      </w:pPr>
    </w:p>
    <w:p>
      <w:pPr>
        <w:pStyle w:val="57"/>
        <w:ind w:firstLine="480"/>
        <w:rPr>
          <w:rFonts w:hAnsi="宋体"/>
          <w:bCs/>
          <w:sz w:val="24"/>
          <w:szCs w:val="24"/>
        </w:rPr>
      </w:pPr>
    </w:p>
    <w:p>
      <w:pPr>
        <w:rPr>
          <w:rFonts w:ascii="宋体" w:hAnsi="宋体"/>
          <w:bCs/>
          <w:sz w:val="24"/>
          <w:szCs w:val="24"/>
        </w:rPr>
      </w:pPr>
    </w:p>
    <w:p>
      <w:pPr>
        <w:spacing w:line="440" w:lineRule="exact"/>
        <w:rPr>
          <w:rFonts w:ascii="宋体" w:hAnsi="宋体"/>
          <w:bCs/>
          <w:sz w:val="24"/>
          <w:szCs w:val="24"/>
        </w:rPr>
      </w:pPr>
    </w:p>
    <w:p>
      <w:pPr>
        <w:spacing w:line="440" w:lineRule="exact"/>
        <w:rPr>
          <w:rFonts w:ascii="宋体" w:hAnsi="宋体"/>
          <w:bCs/>
          <w:sz w:val="24"/>
          <w:szCs w:val="24"/>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p>
    <w:p>
      <w:pPr>
        <w:jc w:val="center"/>
        <w:rPr>
          <w:rFonts w:ascii="黑体" w:eastAsia="黑体"/>
          <w:bCs/>
          <w:sz w:val="28"/>
          <w:szCs w:val="28"/>
        </w:rPr>
      </w:pPr>
      <w:r>
        <w:rPr>
          <w:rFonts w:hint="eastAsia" w:ascii="黑体" w:eastAsia="黑体"/>
          <w:bCs/>
          <w:sz w:val="28"/>
          <w:szCs w:val="28"/>
        </w:rPr>
        <w:t>五. 附件（投标文件格式）</w:t>
      </w:r>
    </w:p>
    <w:p>
      <w:pPr>
        <w:rPr>
          <w:rFonts w:ascii="宋体" w:hAnsi="宋体"/>
          <w:b/>
          <w:bCs/>
          <w:sz w:val="24"/>
          <w:szCs w:val="24"/>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ind w:firstLine="2715"/>
        <w:rPr>
          <w:rFonts w:ascii="黑体" w:eastAsia="黑体"/>
          <w:bCs/>
          <w:sz w:val="28"/>
          <w:szCs w:val="28"/>
        </w:rPr>
      </w:pPr>
      <w:r>
        <w:rPr>
          <w:rFonts w:hint="eastAsia" w:ascii="黑体" w:eastAsia="黑体"/>
          <w:bCs/>
          <w:sz w:val="28"/>
          <w:szCs w:val="28"/>
        </w:rPr>
        <w:t xml:space="preserve">政府采购编号：  </w:t>
      </w:r>
    </w:p>
    <w:p>
      <w:pPr>
        <w:ind w:firstLine="2703"/>
        <w:rPr>
          <w:rFonts w:ascii="黑体" w:eastAsia="黑体"/>
          <w:bCs/>
          <w:sz w:val="28"/>
          <w:szCs w:val="28"/>
        </w:rPr>
      </w:pPr>
      <w:r>
        <w:rPr>
          <w:rFonts w:hint="eastAsia" w:ascii="黑体" w:eastAsia="黑体"/>
          <w:bCs/>
          <w:sz w:val="28"/>
          <w:szCs w:val="28"/>
        </w:rPr>
        <w:t>采购项目名称：</w:t>
      </w:r>
    </w:p>
    <w:p>
      <w:pPr>
        <w:ind w:firstLine="2703"/>
        <w:rPr>
          <w:rFonts w:ascii="黑体" w:eastAsia="黑体"/>
          <w:bCs/>
          <w:sz w:val="28"/>
          <w:szCs w:val="28"/>
        </w:rPr>
      </w:pPr>
      <w:r>
        <w:rPr>
          <w:rFonts w:hint="eastAsia" w:ascii="黑体" w:eastAsia="黑体"/>
          <w:bCs/>
          <w:sz w:val="28"/>
          <w:szCs w:val="28"/>
        </w:rPr>
        <w:t>投标供应商：</w:t>
      </w:r>
    </w:p>
    <w:p>
      <w:pPr>
        <w:rPr>
          <w:rFonts w:ascii="黑体" w:eastAsia="黑体"/>
          <w:bCs/>
          <w:sz w:val="32"/>
        </w:rPr>
      </w:pPr>
    </w:p>
    <w:p>
      <w:pPr>
        <w:jc w:val="center"/>
        <w:rPr>
          <w:rFonts w:ascii="黑体" w:eastAsia="黑体"/>
          <w:bCs/>
          <w:sz w:val="36"/>
          <w:szCs w:val="36"/>
        </w:rPr>
      </w:pPr>
      <w:r>
        <w:rPr>
          <w:rFonts w:hint="eastAsia" w:ascii="黑体" w:eastAsia="黑体"/>
          <w:bCs/>
          <w:sz w:val="36"/>
          <w:szCs w:val="36"/>
        </w:rPr>
        <w:t>二○二三年  月  日</w:t>
      </w:r>
    </w:p>
    <w:p>
      <w:pPr>
        <w:outlineLvl w:val="0"/>
        <w:rPr>
          <w:rFonts w:ascii="黑体" w:hAnsi="宋体" w:eastAsia="黑体"/>
          <w:bCs/>
          <w:sz w:val="24"/>
          <w:szCs w:val="24"/>
        </w:rPr>
      </w:pPr>
      <w:bookmarkStart w:id="6" w:name="一．报价函（格式）"/>
      <w:bookmarkEnd w:id="6"/>
    </w:p>
    <w:p>
      <w:pPr>
        <w:pStyle w:val="14"/>
      </w:pPr>
    </w:p>
    <w:p>
      <w:pPr>
        <w:pStyle w:val="40"/>
      </w:pPr>
    </w:p>
    <w:p/>
    <w:p>
      <w:pPr>
        <w:ind w:firstLine="480" w:firstLineChars="200"/>
        <w:outlineLvl w:val="0"/>
        <w:rPr>
          <w:rFonts w:ascii="黑体" w:hAnsi="宋体" w:eastAsia="黑体"/>
          <w:bCs/>
          <w:sz w:val="24"/>
          <w:szCs w:val="24"/>
        </w:rPr>
      </w:pPr>
    </w:p>
    <w:p>
      <w:pPr>
        <w:outlineLvl w:val="0"/>
        <w:rPr>
          <w:rFonts w:ascii="黑体" w:hAnsi="宋体" w:eastAsia="黑体"/>
          <w:bCs/>
          <w:sz w:val="24"/>
          <w:szCs w:val="24"/>
        </w:rPr>
      </w:pPr>
    </w:p>
    <w:p>
      <w:pPr>
        <w:outlineLvl w:val="0"/>
        <w:rPr>
          <w:rFonts w:hint="eastAsia" w:ascii="黑体" w:hAnsi="宋体" w:eastAsia="黑体"/>
          <w:bCs/>
          <w:sz w:val="24"/>
          <w:szCs w:val="24"/>
        </w:rPr>
      </w:pPr>
    </w:p>
    <w:p>
      <w:pPr>
        <w:outlineLvl w:val="0"/>
        <w:rPr>
          <w:rFonts w:hint="eastAsia" w:ascii="黑体" w:hAnsi="宋体" w:eastAsia="黑体"/>
          <w:bCs/>
          <w:sz w:val="24"/>
          <w:szCs w:val="24"/>
        </w:rPr>
      </w:pPr>
    </w:p>
    <w:p>
      <w:pPr>
        <w:outlineLvl w:val="0"/>
        <w:rPr>
          <w:rFonts w:ascii="黑体" w:hAnsi="宋体" w:eastAsia="黑体"/>
          <w:bCs/>
          <w:sz w:val="24"/>
          <w:szCs w:val="24"/>
        </w:rPr>
      </w:pPr>
      <w:r>
        <w:rPr>
          <w:rFonts w:hint="eastAsia" w:ascii="黑体" w:hAnsi="宋体" w:eastAsia="黑体"/>
          <w:bCs/>
          <w:sz w:val="24"/>
          <w:szCs w:val="24"/>
        </w:rPr>
        <w:t>（一）投标函（格式）：</w:t>
      </w:r>
    </w:p>
    <w:p>
      <w:pPr>
        <w:outlineLvl w:val="0"/>
        <w:rPr>
          <w:rFonts w:ascii="宋体" w:hAnsi="宋体"/>
          <w:b/>
          <w:bCs/>
          <w:sz w:val="24"/>
          <w:szCs w:val="24"/>
        </w:rPr>
      </w:pPr>
    </w:p>
    <w:p>
      <w:pPr>
        <w:spacing w:line="360" w:lineRule="auto"/>
        <w:jc w:val="center"/>
        <w:rPr>
          <w:rFonts w:ascii="宋体" w:hAnsi="宋体"/>
          <w:bCs/>
          <w:sz w:val="28"/>
          <w:szCs w:val="28"/>
        </w:rPr>
      </w:pPr>
      <w:r>
        <w:rPr>
          <w:rFonts w:hint="eastAsia" w:ascii="黑体" w:hAnsi="宋体" w:eastAsia="黑体"/>
          <w:bCs/>
          <w:sz w:val="28"/>
          <w:szCs w:val="28"/>
        </w:rPr>
        <w:t>投标</w:t>
      </w:r>
      <w:r>
        <w:rPr>
          <w:rFonts w:hint="eastAsia" w:ascii="黑体" w:eastAsia="黑体"/>
          <w:bCs/>
          <w:sz w:val="28"/>
          <w:szCs w:val="28"/>
        </w:rPr>
        <w:t>函</w:t>
      </w:r>
    </w:p>
    <w:p>
      <w:pPr>
        <w:spacing w:line="360" w:lineRule="auto"/>
        <w:rPr>
          <w:rFonts w:ascii="宋体" w:hAnsi="宋体"/>
          <w:bCs/>
          <w:sz w:val="24"/>
          <w:szCs w:val="24"/>
        </w:rPr>
      </w:pPr>
      <w:r>
        <w:rPr>
          <w:rFonts w:hint="eastAsia" w:ascii="宋体" w:hAnsi="宋体"/>
          <w:bCs/>
          <w:sz w:val="24"/>
          <w:szCs w:val="24"/>
        </w:rPr>
        <w:t>致江苏智汇锡建工程项目管理有限公司：</w:t>
      </w:r>
    </w:p>
    <w:p>
      <w:pPr>
        <w:topLinePunct/>
        <w:spacing w:line="360" w:lineRule="auto"/>
        <w:ind w:firstLine="480" w:firstLineChars="200"/>
        <w:rPr>
          <w:rFonts w:ascii="宋体" w:hAnsi="宋体"/>
          <w:sz w:val="24"/>
        </w:rPr>
      </w:pPr>
      <w:r>
        <w:rPr>
          <w:rFonts w:hint="eastAsia" w:ascii="宋体" w:hAnsi="宋体"/>
          <w:sz w:val="24"/>
        </w:rPr>
        <w:t>一、根据已收到的采购编号为的</w:t>
      </w:r>
      <w:r>
        <w:rPr>
          <w:rFonts w:hint="eastAsia" w:ascii="宋体" w:hAnsi="宋体"/>
          <w:b/>
          <w:sz w:val="24"/>
          <w:u w:val="single"/>
        </w:rPr>
        <w:t xml:space="preserve">    （采购项目名称 ）   </w:t>
      </w:r>
      <w:r>
        <w:rPr>
          <w:rFonts w:hint="eastAsia" w:ascii="宋体" w:hAnsi="宋体"/>
          <w:sz w:val="24"/>
        </w:rPr>
        <w:t>的公开招标采购文件，遵照国家法律、法规和规章的有关规定，我方经过对采购文件等所有文件的研究后，我方愿以人民币(大写)元（RMB</w:t>
      </w:r>
      <w:r>
        <w:rPr>
          <w:rFonts w:hint="eastAsia" w:ascii="宋体" w:hAnsi="宋体"/>
          <w:sz w:val="24"/>
          <w:u w:val="single"/>
        </w:rPr>
        <w:t xml:space="preserve">￥      </w:t>
      </w:r>
      <w:r>
        <w:rPr>
          <w:rFonts w:hint="eastAsia" w:ascii="宋体" w:hAnsi="宋体"/>
          <w:sz w:val="24"/>
        </w:rPr>
        <w:t>元）的投标报价并按上述合同条款的条件要求承包上述项目的服务，并承担任何质量保修责任。</w:t>
      </w:r>
    </w:p>
    <w:p>
      <w:pPr>
        <w:topLinePunct/>
        <w:spacing w:line="360" w:lineRule="auto"/>
        <w:ind w:firstLine="480" w:firstLineChars="200"/>
        <w:rPr>
          <w:rFonts w:ascii="宋体" w:hAnsi="宋体"/>
          <w:sz w:val="24"/>
        </w:rPr>
      </w:pPr>
      <w:r>
        <w:rPr>
          <w:rFonts w:hint="eastAsia" w:ascii="宋体" w:hAnsi="宋体"/>
          <w:sz w:val="24"/>
        </w:rPr>
        <w:t>二、我方已详细审核全部采购文件，包括修改文件（如有时）及有关附件，并响应采购文件各条款。</w:t>
      </w:r>
    </w:p>
    <w:p>
      <w:pPr>
        <w:topLinePunct/>
        <w:spacing w:line="360" w:lineRule="auto"/>
        <w:ind w:firstLine="480" w:firstLineChars="200"/>
        <w:rPr>
          <w:rFonts w:ascii="宋体" w:hAnsi="宋体"/>
          <w:sz w:val="24"/>
        </w:rPr>
      </w:pPr>
      <w:r>
        <w:rPr>
          <w:rFonts w:hint="eastAsia" w:ascii="宋体" w:hAnsi="宋体"/>
          <w:sz w:val="24"/>
        </w:rPr>
        <w:t>三、一旦我方中标，我方保证按合同协议书中规定的履约期内完成全部采购项目，并承担违约责任如下：。</w:t>
      </w:r>
    </w:p>
    <w:p>
      <w:pPr>
        <w:topLinePunct/>
        <w:spacing w:line="360" w:lineRule="auto"/>
        <w:ind w:firstLine="480" w:firstLineChars="200"/>
        <w:rPr>
          <w:rFonts w:ascii="宋体" w:hAnsi="宋体"/>
          <w:sz w:val="24"/>
        </w:rPr>
      </w:pPr>
      <w:r>
        <w:rPr>
          <w:rFonts w:hint="eastAsia" w:ascii="宋体" w:hAnsi="宋体"/>
          <w:sz w:val="24"/>
        </w:rPr>
        <w:t>四、除非另外达成协议并生效，你方的中标通知书和本投标文件将成为约束双方的合同文件的组成部分；</w:t>
      </w:r>
    </w:p>
    <w:p>
      <w:pPr>
        <w:topLinePunct/>
        <w:spacing w:line="360" w:lineRule="auto"/>
        <w:ind w:firstLine="480" w:firstLineChars="200"/>
        <w:rPr>
          <w:rFonts w:ascii="宋体" w:hAnsi="宋体"/>
          <w:b/>
          <w:sz w:val="24"/>
        </w:rPr>
      </w:pPr>
      <w:r>
        <w:rPr>
          <w:rFonts w:hint="eastAsia" w:ascii="宋体" w:hAnsi="宋体"/>
          <w:sz w:val="24"/>
        </w:rPr>
        <w:t>五、我方将采取一切有效技术、管理措施，确保该项目质量达到等级，并承担违约责任如下：</w:t>
      </w:r>
      <w:r>
        <w:rPr>
          <w:rFonts w:hint="eastAsia" w:ascii="宋体" w:hAnsi="宋体"/>
          <w:sz w:val="24"/>
          <w:u w:val="single"/>
        </w:rPr>
        <w:t xml:space="preserve">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六、我方愿意提供江苏智汇锡建工程项目管理有限公司在采购文件中要求的文件、资料如下：</w:t>
      </w:r>
    </w:p>
    <w:p>
      <w:pPr>
        <w:tabs>
          <w:tab w:val="left" w:pos="525"/>
          <w:tab w:val="left" w:pos="1050"/>
        </w:tabs>
        <w:adjustRightInd w:val="0"/>
        <w:snapToGrid w:val="0"/>
        <w:spacing w:line="360" w:lineRule="auto"/>
        <w:ind w:firstLine="480" w:firstLineChars="200"/>
        <w:rPr>
          <w:rFonts w:ascii="宋体" w:hAnsi="宋体"/>
          <w:bCs/>
          <w:sz w:val="24"/>
          <w:szCs w:val="24"/>
        </w:rPr>
      </w:pPr>
      <w:r>
        <w:rPr>
          <w:rFonts w:hint="eastAsia" w:ascii="宋体" w:hAnsi="宋体"/>
          <w:b/>
          <w:sz w:val="24"/>
        </w:rPr>
        <w:t>第一部分 商务标（明标）</w:t>
      </w:r>
    </w:p>
    <w:p>
      <w:pPr>
        <w:tabs>
          <w:tab w:val="left" w:pos="525"/>
          <w:tab w:val="left" w:pos="1050"/>
        </w:tabs>
        <w:adjustRightInd w:val="0"/>
        <w:snapToGrid w:val="0"/>
        <w:spacing w:line="360" w:lineRule="auto"/>
        <w:ind w:left="550" w:leftChars="262"/>
        <w:rPr>
          <w:rFonts w:ascii="宋体" w:hAnsi="宋体"/>
          <w:bCs/>
          <w:sz w:val="24"/>
          <w:szCs w:val="24"/>
        </w:rPr>
      </w:pPr>
      <w:r>
        <w:rPr>
          <w:rFonts w:hint="eastAsia" w:ascii="宋体" w:hAnsi="宋体"/>
          <w:bCs/>
          <w:sz w:val="24"/>
          <w:szCs w:val="24"/>
        </w:rPr>
        <w:t>1、投标函</w:t>
      </w:r>
      <w:r>
        <w:rPr>
          <w:rFonts w:hint="eastAsia" w:ascii="宋体" w:hAnsi="宋体"/>
          <w:bCs/>
          <w:color w:val="000000"/>
          <w:sz w:val="24"/>
          <w:szCs w:val="24"/>
        </w:rPr>
        <w:t>（</w:t>
      </w:r>
      <w:r>
        <w:rPr>
          <w:rFonts w:hint="eastAsia" w:ascii="宋体" w:hAnsi="宋体"/>
          <w:b/>
          <w:bCs/>
          <w:color w:val="000000"/>
          <w:sz w:val="24"/>
          <w:szCs w:val="24"/>
        </w:rPr>
        <w:t>格式见附件）</w:t>
      </w:r>
    </w:p>
    <w:p>
      <w:pPr>
        <w:tabs>
          <w:tab w:val="left" w:pos="525"/>
          <w:tab w:val="left" w:pos="1050"/>
        </w:tabs>
        <w:adjustRightInd w:val="0"/>
        <w:snapToGrid w:val="0"/>
        <w:spacing w:line="360" w:lineRule="auto"/>
        <w:ind w:left="550" w:leftChars="262"/>
        <w:rPr>
          <w:rFonts w:ascii="宋体" w:hAnsi="宋体"/>
          <w:bCs/>
          <w:sz w:val="24"/>
          <w:szCs w:val="24"/>
        </w:rPr>
      </w:pPr>
      <w:r>
        <w:rPr>
          <w:rFonts w:hint="eastAsia" w:ascii="宋体" w:hAnsi="宋体"/>
          <w:bCs/>
          <w:sz w:val="24"/>
          <w:szCs w:val="24"/>
        </w:rPr>
        <w:t>2、资格、资信证明文件：</w:t>
      </w:r>
    </w:p>
    <w:p>
      <w:pPr>
        <w:tabs>
          <w:tab w:val="left" w:pos="1050"/>
        </w:tabs>
        <w:adjustRightInd w:val="0"/>
        <w:snapToGrid w:val="0"/>
        <w:spacing w:line="360" w:lineRule="auto"/>
        <w:ind w:firstLine="480" w:firstLineChars="200"/>
        <w:rPr>
          <w:rFonts w:ascii="宋体" w:hAnsi="宋体"/>
          <w:sz w:val="24"/>
        </w:rPr>
      </w:pPr>
      <w:r>
        <w:rPr>
          <w:rFonts w:hint="eastAsia" w:ascii="宋体" w:hAnsi="宋体" w:cs="宋体"/>
          <w:sz w:val="24"/>
          <w:szCs w:val="24"/>
        </w:rPr>
        <w:t>①</w:t>
      </w:r>
      <w:r>
        <w:rPr>
          <w:rFonts w:hint="eastAsia" w:ascii="宋体" w:hAnsi="宋体"/>
          <w:sz w:val="24"/>
        </w:rPr>
        <w:t>投标供应商有效期内企业法人营业执照副本、</w:t>
      </w:r>
      <w:r>
        <w:rPr>
          <w:rFonts w:hint="eastAsia" w:ascii="宋体" w:hAnsi="宋体" w:cs="宋体"/>
          <w:bCs/>
          <w:sz w:val="24"/>
          <w:szCs w:val="24"/>
        </w:rPr>
        <w:t>税务登记证、组织机构代码证</w:t>
      </w:r>
      <w:r>
        <w:rPr>
          <w:rFonts w:hint="eastAsia" w:ascii="宋体" w:hAnsi="宋体"/>
          <w:sz w:val="24"/>
        </w:rPr>
        <w:t>复印件加盖公章</w:t>
      </w:r>
      <w:r>
        <w:rPr>
          <w:rFonts w:hint="eastAsia" w:ascii="宋体" w:hAnsi="宋体" w:cs="宋体"/>
          <w:bCs/>
          <w:sz w:val="24"/>
          <w:szCs w:val="24"/>
        </w:rPr>
        <w:t>（三证合一的单位只需提供最新营业执照）</w:t>
      </w:r>
      <w:r>
        <w:rPr>
          <w:rFonts w:hint="eastAsia" w:ascii="宋体" w:hAnsi="宋体"/>
          <w:sz w:val="24"/>
        </w:rPr>
        <w:t>；</w:t>
      </w:r>
    </w:p>
    <w:p>
      <w:pPr>
        <w:tabs>
          <w:tab w:val="left" w:pos="1050"/>
        </w:tabs>
        <w:adjustRightInd w:val="0"/>
        <w:snapToGrid w:val="0"/>
        <w:spacing w:line="360" w:lineRule="auto"/>
        <w:ind w:firstLine="480" w:firstLineChars="200"/>
        <w:rPr>
          <w:rFonts w:ascii="宋体" w:hAnsi="宋体"/>
          <w:bCs/>
          <w:sz w:val="24"/>
        </w:rPr>
      </w:pPr>
      <w:r>
        <w:rPr>
          <w:rFonts w:hint="eastAsia" w:ascii="宋体" w:hAnsi="宋体" w:cs="宋体"/>
          <w:sz w:val="24"/>
          <w:szCs w:val="24"/>
        </w:rPr>
        <w:t>②</w:t>
      </w:r>
      <w:r>
        <w:rPr>
          <w:rFonts w:hint="eastAsia" w:ascii="宋体" w:hAnsi="宋体"/>
          <w:bCs/>
          <w:sz w:val="24"/>
        </w:rPr>
        <w:t>法定代表人身份证明书（格式见附件）；</w:t>
      </w:r>
    </w:p>
    <w:p>
      <w:pPr>
        <w:tabs>
          <w:tab w:val="left" w:pos="1050"/>
        </w:tabs>
        <w:adjustRightInd w:val="0"/>
        <w:snapToGrid w:val="0"/>
        <w:spacing w:line="360" w:lineRule="auto"/>
        <w:ind w:firstLine="480" w:firstLineChars="200"/>
        <w:rPr>
          <w:rFonts w:ascii="宋体" w:hAnsi="宋体"/>
          <w:bCs/>
          <w:sz w:val="24"/>
        </w:rPr>
      </w:pPr>
      <w:r>
        <w:rPr>
          <w:rFonts w:hint="eastAsia" w:ascii="宋体" w:hAnsi="宋体" w:cs="宋体"/>
          <w:sz w:val="24"/>
          <w:szCs w:val="24"/>
        </w:rPr>
        <w:t>③</w:t>
      </w:r>
      <w:r>
        <w:rPr>
          <w:rFonts w:hint="eastAsia" w:ascii="宋体" w:hAnsi="宋体"/>
          <w:bCs/>
          <w:sz w:val="24"/>
        </w:rPr>
        <w:t>投标供应商法定代表人授权委托书（法定代表人亲自参与投标的除外，格式见附件）；</w:t>
      </w:r>
    </w:p>
    <w:p>
      <w:pPr>
        <w:tabs>
          <w:tab w:val="left" w:pos="1050"/>
        </w:tabs>
        <w:adjustRightInd w:val="0"/>
        <w:snapToGrid w:val="0"/>
        <w:spacing w:line="360" w:lineRule="auto"/>
        <w:ind w:firstLine="480" w:firstLineChars="200"/>
        <w:rPr>
          <w:rFonts w:ascii="宋体" w:hAnsi="宋体"/>
          <w:sz w:val="24"/>
        </w:rPr>
      </w:pPr>
      <w:r>
        <w:rPr>
          <w:rFonts w:hint="eastAsia" w:ascii="宋体" w:hAnsi="宋体" w:cs="宋体"/>
          <w:sz w:val="24"/>
          <w:szCs w:val="24"/>
        </w:rPr>
        <w:t>④</w:t>
      </w:r>
      <w:r>
        <w:rPr>
          <w:rFonts w:hint="eastAsia" w:ascii="宋体" w:hAnsi="宋体"/>
          <w:bCs/>
          <w:kern w:val="0"/>
          <w:sz w:val="24"/>
        </w:rPr>
        <w:t>投标供应商应具有有效的《食品流通许可证》或《食品经营许可证》或《全国工业产品生产许可证》或《食品生产许可证》</w:t>
      </w:r>
      <w:r>
        <w:rPr>
          <w:rFonts w:hint="eastAsia" w:ascii="宋体" w:hAnsi="宋体"/>
          <w:sz w:val="24"/>
        </w:rPr>
        <w:t>复印件并加盖公章</w:t>
      </w:r>
      <w:r>
        <w:rPr>
          <w:rFonts w:hint="eastAsia" w:ascii="宋体" w:hAnsi="宋体"/>
          <w:kern w:val="0"/>
          <w:sz w:val="24"/>
        </w:rPr>
        <w:t>；</w:t>
      </w:r>
    </w:p>
    <w:p>
      <w:pPr>
        <w:tabs>
          <w:tab w:val="left" w:pos="1050"/>
        </w:tabs>
        <w:adjustRightInd w:val="0"/>
        <w:snapToGrid w:val="0"/>
        <w:spacing w:line="360" w:lineRule="auto"/>
        <w:ind w:firstLine="480" w:firstLineChars="200"/>
        <w:rPr>
          <w:rFonts w:ascii="宋体" w:hAnsi="宋体"/>
          <w:sz w:val="24"/>
        </w:rPr>
      </w:pPr>
      <w:r>
        <w:rPr>
          <w:rFonts w:hint="eastAsia" w:ascii="宋体" w:hAnsi="宋体" w:cs="宋体"/>
          <w:sz w:val="24"/>
        </w:rPr>
        <w:t>⑤</w:t>
      </w:r>
      <w:r>
        <w:rPr>
          <w:rFonts w:hint="eastAsia" w:ascii="宋体" w:hAnsi="宋体"/>
          <w:sz w:val="24"/>
        </w:rPr>
        <w:t>投标供应商近三个月中任意一个月份(不含报价当月) 的财务状况报告（资产负债表和利润表）或由会计师事务所出具的2022年度的审计报告和所附已审财务报告复印件；</w:t>
      </w:r>
    </w:p>
    <w:p>
      <w:pPr>
        <w:tabs>
          <w:tab w:val="left" w:pos="1050"/>
        </w:tabs>
        <w:adjustRightInd w:val="0"/>
        <w:snapToGrid w:val="0"/>
        <w:spacing w:line="360" w:lineRule="auto"/>
        <w:ind w:firstLine="480" w:firstLineChars="200"/>
        <w:rPr>
          <w:rFonts w:ascii="宋体" w:hAnsi="宋体"/>
          <w:sz w:val="24"/>
        </w:rPr>
      </w:pPr>
      <w:r>
        <w:rPr>
          <w:rFonts w:hint="eastAsia" w:ascii="宋体" w:hAnsi="宋体" w:cs="宋体"/>
          <w:sz w:val="24"/>
        </w:rPr>
        <w:t>⑥</w:t>
      </w:r>
      <w:r>
        <w:rPr>
          <w:rFonts w:hint="eastAsia" w:ascii="宋体" w:hAnsi="宋体"/>
          <w:sz w:val="24"/>
        </w:rPr>
        <w:t>投标供应商近三个月中任意一个月份(不含报价当月) 的依法缴纳税收的相关材料（提供相关主管部门证明或银行代扣证明）复印件；</w:t>
      </w:r>
    </w:p>
    <w:p>
      <w:pPr>
        <w:tabs>
          <w:tab w:val="left" w:pos="1050"/>
        </w:tabs>
        <w:adjustRightInd w:val="0"/>
        <w:snapToGrid w:val="0"/>
        <w:spacing w:line="360" w:lineRule="auto"/>
        <w:ind w:firstLine="480" w:firstLineChars="200"/>
        <w:rPr>
          <w:rFonts w:ascii="宋体" w:hAnsi="宋体"/>
          <w:sz w:val="24"/>
        </w:rPr>
      </w:pPr>
      <w:r>
        <w:rPr>
          <w:rFonts w:hint="eastAsia" w:ascii="宋体" w:hAnsi="宋体" w:cs="宋体"/>
          <w:sz w:val="24"/>
        </w:rPr>
        <w:t>⑦</w:t>
      </w:r>
      <w:r>
        <w:rPr>
          <w:rFonts w:hint="eastAsia" w:ascii="宋体" w:hAnsi="宋体"/>
          <w:sz w:val="24"/>
        </w:rPr>
        <w:t>投标供应商近三个月中任意一个月份(不含报价当月)的依法缴纳社会保障资金的相关材料（提供相关主管部门证明或银行代扣证明）复印件；</w:t>
      </w:r>
    </w:p>
    <w:p>
      <w:pPr>
        <w:tabs>
          <w:tab w:val="left" w:pos="1050"/>
          <w:tab w:val="left" w:pos="1575"/>
        </w:tabs>
        <w:adjustRightInd w:val="0"/>
        <w:snapToGrid w:val="0"/>
        <w:spacing w:line="360" w:lineRule="auto"/>
        <w:ind w:firstLine="480" w:firstLineChars="200"/>
        <w:rPr>
          <w:rFonts w:ascii="宋体" w:hAnsi="宋体"/>
          <w:bCs/>
          <w:sz w:val="24"/>
          <w:szCs w:val="24"/>
        </w:rPr>
      </w:pPr>
      <w:r>
        <w:rPr>
          <w:rFonts w:hint="eastAsia" w:ascii="宋体" w:hAnsi="宋体" w:cs="宋体"/>
          <w:sz w:val="24"/>
        </w:rPr>
        <w:t>⑧</w:t>
      </w:r>
      <w:r>
        <w:rPr>
          <w:rFonts w:hint="eastAsia" w:ascii="宋体" w:hAnsi="宋体" w:cs="宋体"/>
          <w:kern w:val="0"/>
          <w:sz w:val="24"/>
        </w:rPr>
        <w:t>授权委托人与供应商企业签订的劳动合同、法定的社保收缴部门出具由供应商本企业为授权委托人依法缴纳的2023年6月-2023年11月的社会保障资金的相关材料（提供相关主管部门证明或银行代扣证明）复印件加盖公章；</w:t>
      </w:r>
    </w:p>
    <w:p>
      <w:pPr>
        <w:tabs>
          <w:tab w:val="left" w:pos="1050"/>
          <w:tab w:val="left" w:pos="1575"/>
        </w:tabs>
        <w:adjustRightInd w:val="0"/>
        <w:snapToGrid w:val="0"/>
        <w:spacing w:line="360" w:lineRule="auto"/>
        <w:ind w:firstLine="480" w:firstLineChars="200"/>
        <w:rPr>
          <w:rFonts w:ascii="宋体" w:hAnsi="宋体"/>
          <w:bCs/>
          <w:sz w:val="24"/>
          <w:szCs w:val="24"/>
        </w:rPr>
      </w:pPr>
      <w:r>
        <w:rPr>
          <w:rFonts w:hint="eastAsia" w:ascii="宋体" w:hAnsi="宋体" w:cs="宋体"/>
          <w:sz w:val="24"/>
        </w:rPr>
        <w:t>⑨</w:t>
      </w:r>
      <w:r>
        <w:rPr>
          <w:rFonts w:hint="eastAsia" w:ascii="宋体" w:hAnsi="宋体"/>
          <w:bCs/>
          <w:sz w:val="24"/>
          <w:szCs w:val="24"/>
        </w:rPr>
        <w:t>承诺书一、二（格式见附件）；</w:t>
      </w:r>
    </w:p>
    <w:p>
      <w:pPr>
        <w:tabs>
          <w:tab w:val="left" w:pos="1050"/>
          <w:tab w:val="left" w:pos="1575"/>
        </w:tabs>
        <w:adjustRightInd w:val="0"/>
        <w:snapToGrid w:val="0"/>
        <w:spacing w:line="360" w:lineRule="auto"/>
        <w:ind w:firstLine="480" w:firstLineChars="200"/>
        <w:rPr>
          <w:rFonts w:ascii="宋体" w:hAnsi="宋体"/>
          <w:bCs/>
          <w:sz w:val="24"/>
          <w:szCs w:val="24"/>
        </w:rPr>
      </w:pPr>
      <w:r>
        <w:rPr>
          <w:rFonts w:hint="eastAsia" w:ascii="宋体" w:hAnsi="宋体" w:cs="宋体"/>
          <w:sz w:val="24"/>
        </w:rPr>
        <w:t>⑩</w:t>
      </w:r>
      <w:r>
        <w:rPr>
          <w:rFonts w:hint="eastAsia" w:ascii="宋体" w:hAnsi="宋体"/>
          <w:bCs/>
          <w:sz w:val="24"/>
          <w:szCs w:val="24"/>
        </w:rPr>
        <w:t>关于资格的声明函（格式见附件）。</w:t>
      </w:r>
    </w:p>
    <w:p>
      <w:p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b/>
          <w:sz w:val="24"/>
          <w:szCs w:val="24"/>
        </w:rPr>
        <w:t>上述证明文件中的资格、资信证明文件必须全部提供，否则将可能影响资格审查结果。</w:t>
      </w:r>
      <w:r>
        <w:rPr>
          <w:rFonts w:hint="eastAsia" w:ascii="宋体" w:hAnsi="宋体"/>
          <w:bCs/>
          <w:sz w:val="24"/>
          <w:szCs w:val="24"/>
        </w:rPr>
        <w:t>其中要求提交的原件或公证件（公证件效力等同于原件）必须与投标文件同时提交，如果原件正在年检（或换证），则必须提供法定年检（或换证）单位出具的有效证明原件。</w:t>
      </w:r>
      <w:r>
        <w:rPr>
          <w:rFonts w:hint="eastAsia" w:ascii="Tahoma" w:hAnsi="Tahoma" w:cs="Tahoma"/>
          <w:sz w:val="24"/>
          <w:szCs w:val="24"/>
        </w:rPr>
        <w:t>如上述资格证明文件第</w:t>
      </w:r>
      <w:r>
        <w:rPr>
          <w:rFonts w:hint="eastAsia" w:ascii="宋体" w:hAnsi="宋体" w:cs="宋体"/>
          <w:sz w:val="24"/>
          <w:szCs w:val="24"/>
        </w:rPr>
        <w:t>⑤</w:t>
      </w:r>
      <w:r>
        <w:rPr>
          <w:rFonts w:hint="eastAsia" w:ascii="Tahoma" w:hAnsi="Tahoma" w:cs="Tahoma"/>
          <w:sz w:val="24"/>
          <w:szCs w:val="24"/>
        </w:rPr>
        <w:t>、</w:t>
      </w:r>
      <w:r>
        <w:rPr>
          <w:rFonts w:hint="eastAsia" w:ascii="宋体" w:hAnsi="宋体"/>
          <w:sz w:val="24"/>
          <w:szCs w:val="24"/>
        </w:rPr>
        <w:t>⑥、⑦、⑧四项</w:t>
      </w:r>
      <w:r>
        <w:rPr>
          <w:rFonts w:hint="eastAsia" w:ascii="Tahoma" w:hAnsi="Tahoma" w:cs="Tahoma"/>
          <w:sz w:val="24"/>
          <w:szCs w:val="24"/>
        </w:rPr>
        <w:t>遇有国家相关政策规定可不具备的，必须提供相关政策规定或相关单位出具的有效证明复印件。</w:t>
      </w:r>
      <w:r>
        <w:rPr>
          <w:rFonts w:hint="eastAsia" w:ascii="宋体" w:hAnsi="宋体"/>
          <w:bCs/>
          <w:sz w:val="24"/>
          <w:szCs w:val="24"/>
        </w:rPr>
        <w:t>投标供应商法定代表人或法定代表人授权代表为外籍、港、澳、台地区人士的，其身份证明须提供有效的护照或港澳同胞来往内地通行证、台湾同胞来往大陆通行证，或其他可在中国大陆有效居留的许可证明。否则必须提供原件或公证件来予以证明。</w:t>
      </w:r>
    </w:p>
    <w:p>
      <w:pPr>
        <w:tabs>
          <w:tab w:val="left" w:pos="525"/>
          <w:tab w:val="left" w:pos="1050"/>
        </w:tabs>
        <w:adjustRightInd w:val="0"/>
        <w:snapToGrid w:val="0"/>
        <w:spacing w:line="360" w:lineRule="auto"/>
        <w:ind w:left="420" w:leftChars="200"/>
        <w:rPr>
          <w:rFonts w:ascii="宋体" w:hAnsi="宋体"/>
          <w:bCs/>
          <w:sz w:val="24"/>
          <w:szCs w:val="24"/>
        </w:rPr>
      </w:pPr>
      <w:r>
        <w:rPr>
          <w:rFonts w:hint="eastAsia" w:ascii="宋体" w:hAnsi="宋体"/>
          <w:bCs/>
          <w:sz w:val="24"/>
        </w:rPr>
        <w:t>3、补充性文件</w:t>
      </w:r>
    </w:p>
    <w:p>
      <w:p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cs="宋体"/>
          <w:sz w:val="24"/>
          <w:szCs w:val="24"/>
        </w:rPr>
        <w:t>①</w:t>
      </w:r>
      <w:r>
        <w:rPr>
          <w:rFonts w:hint="eastAsia" w:ascii="宋体" w:hAnsi="宋体"/>
          <w:bCs/>
          <w:sz w:val="24"/>
          <w:szCs w:val="24"/>
        </w:rPr>
        <w:t>投标供应商简介和经营情况说明；</w:t>
      </w:r>
    </w:p>
    <w:p>
      <w:p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cs="宋体"/>
          <w:sz w:val="24"/>
          <w:szCs w:val="24"/>
        </w:rPr>
        <w:t>②</w:t>
      </w:r>
      <w:r>
        <w:rPr>
          <w:rFonts w:hint="eastAsia" w:ascii="宋体" w:hAnsi="宋体"/>
          <w:bCs/>
          <w:sz w:val="24"/>
          <w:szCs w:val="24"/>
        </w:rPr>
        <w:t>投标供应商认为必须提供的其他证明材料；</w:t>
      </w:r>
    </w:p>
    <w:p>
      <w:pPr>
        <w:tabs>
          <w:tab w:val="left" w:pos="735"/>
          <w:tab w:val="left" w:pos="1050"/>
          <w:tab w:val="left" w:pos="1080"/>
        </w:tabs>
        <w:adjustRightInd w:val="0"/>
        <w:snapToGrid w:val="0"/>
        <w:spacing w:line="360" w:lineRule="auto"/>
        <w:ind w:firstLine="480" w:firstLineChars="200"/>
        <w:rPr>
          <w:rFonts w:ascii="宋体" w:hAnsi="宋体"/>
          <w:bCs/>
          <w:sz w:val="24"/>
          <w:szCs w:val="24"/>
        </w:rPr>
      </w:pPr>
      <w:r>
        <w:rPr>
          <w:rFonts w:hint="eastAsia" w:ascii="宋体" w:hAnsi="宋体" w:cs="宋体"/>
          <w:sz w:val="24"/>
          <w:szCs w:val="24"/>
        </w:rPr>
        <w:t>③</w:t>
      </w:r>
      <w:r>
        <w:rPr>
          <w:rFonts w:hint="eastAsia" w:ascii="宋体" w:hAnsi="宋体"/>
          <w:sz w:val="24"/>
        </w:rPr>
        <w:t>中小企业声明函（不可删除，投标供应商非中小企业，请将空表列入投标文件）；</w:t>
      </w:r>
    </w:p>
    <w:p>
      <w:pPr>
        <w:tabs>
          <w:tab w:val="left" w:pos="735"/>
          <w:tab w:val="left" w:pos="1050"/>
          <w:tab w:val="left" w:pos="1080"/>
        </w:tabs>
        <w:adjustRightInd w:val="0"/>
        <w:snapToGrid w:val="0"/>
        <w:spacing w:line="360" w:lineRule="auto"/>
        <w:ind w:firstLine="480" w:firstLineChars="200"/>
        <w:rPr>
          <w:rFonts w:ascii="宋体" w:hAnsi="宋体"/>
          <w:bCs/>
          <w:sz w:val="24"/>
        </w:rPr>
      </w:pPr>
      <w:r>
        <w:rPr>
          <w:rFonts w:hint="eastAsia" w:ascii="宋体" w:hAnsi="宋体" w:cs="宋体"/>
          <w:sz w:val="24"/>
          <w:szCs w:val="24"/>
        </w:rPr>
        <w:t>④</w:t>
      </w:r>
      <w:r>
        <w:rPr>
          <w:rFonts w:hint="eastAsia" w:hAnsi="宋体"/>
          <w:bCs/>
          <w:sz w:val="24"/>
          <w:lang w:val="zh-CN"/>
        </w:rPr>
        <w:t>中标标段优先顺序承诺函（格式见附件）；</w:t>
      </w:r>
    </w:p>
    <w:p>
      <w:pPr>
        <w:tabs>
          <w:tab w:val="left" w:pos="735"/>
          <w:tab w:val="left" w:pos="1050"/>
          <w:tab w:val="left" w:pos="1080"/>
        </w:tabs>
        <w:adjustRightInd w:val="0"/>
        <w:snapToGrid w:val="0"/>
        <w:spacing w:line="360" w:lineRule="auto"/>
        <w:ind w:firstLine="480" w:firstLineChars="200"/>
        <w:rPr>
          <w:rFonts w:ascii="宋体" w:hAnsi="宋体"/>
          <w:bCs/>
          <w:sz w:val="24"/>
        </w:rPr>
      </w:pPr>
      <w:r>
        <w:rPr>
          <w:rFonts w:hint="eastAsia" w:ascii="宋体" w:hAnsi="宋体" w:cs="宋体"/>
          <w:sz w:val="24"/>
        </w:rPr>
        <w:t>⑤</w:t>
      </w:r>
      <w:r>
        <w:rPr>
          <w:rFonts w:hint="eastAsia" w:ascii="宋体" w:hAnsi="宋体"/>
          <w:sz w:val="24"/>
          <w:szCs w:val="24"/>
        </w:rPr>
        <w:t>投标人认为有必要提供的承诺、声明和资料。</w:t>
      </w:r>
    </w:p>
    <w:p>
      <w:pPr>
        <w:adjustRightInd w:val="0"/>
        <w:snapToGrid w:val="0"/>
        <w:spacing w:line="360" w:lineRule="auto"/>
        <w:ind w:firstLine="480" w:firstLineChars="200"/>
        <w:rPr>
          <w:rFonts w:ascii="宋体" w:hAnsi="宋体"/>
          <w:sz w:val="24"/>
        </w:rPr>
      </w:pPr>
      <w:r>
        <w:rPr>
          <w:rFonts w:hint="eastAsia" w:ascii="宋体" w:hAnsi="宋体"/>
          <w:sz w:val="24"/>
        </w:rPr>
        <w:t>4、报价文件（格式见附件）：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w:t>
      </w:r>
      <w:r>
        <w:rPr>
          <w:rFonts w:hint="eastAsia" w:ascii="宋体" w:hAnsi="宋体"/>
          <w:sz w:val="24"/>
          <w:szCs w:val="24"/>
        </w:rPr>
        <w:t>开标一览表（格式见附件）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②投入本项目的人员汇总表（格式见附件）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③投入本项目的人员简介表（格式见附件）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④其他补充资料</w:t>
      </w:r>
    </w:p>
    <w:p>
      <w:pPr>
        <w:adjustRightInd w:val="0"/>
        <w:snapToGrid w:val="0"/>
        <w:spacing w:line="360" w:lineRule="auto"/>
        <w:ind w:firstLine="480" w:firstLineChars="200"/>
        <w:rPr>
          <w:rFonts w:ascii="宋体" w:hAnsi="宋体"/>
          <w:sz w:val="24"/>
        </w:rPr>
      </w:pPr>
      <w:r>
        <w:rPr>
          <w:rFonts w:hint="eastAsia" w:ascii="宋体" w:hAnsi="宋体"/>
          <w:b/>
          <w:sz w:val="24"/>
        </w:rPr>
        <w:t>第二部分 技术标（暗标）</w:t>
      </w:r>
    </w:p>
    <w:p>
      <w:pPr>
        <w:pStyle w:val="14"/>
        <w:adjustRightInd w:val="0"/>
        <w:snapToGrid w:val="0"/>
        <w:spacing w:line="360" w:lineRule="auto"/>
        <w:ind w:firstLine="480" w:firstLineChars="200"/>
        <w:rPr>
          <w:rFonts w:ascii="宋体" w:hAnsi="宋体" w:eastAsia="宋体"/>
          <w:bCs w:val="0"/>
          <w:sz w:val="24"/>
        </w:rPr>
      </w:pPr>
      <w:r>
        <w:rPr>
          <w:rFonts w:hint="eastAsia" w:ascii="宋体" w:hAnsi="宋体"/>
          <w:sz w:val="24"/>
        </w:rPr>
        <w:t>投标</w:t>
      </w:r>
      <w:r>
        <w:rPr>
          <w:rFonts w:hint="eastAsia" w:ascii="宋体" w:hAnsi="宋体" w:cs="宋体"/>
          <w:sz w:val="24"/>
        </w:rPr>
        <w:t>供应商</w:t>
      </w:r>
      <w:r>
        <w:rPr>
          <w:rFonts w:hint="eastAsia" w:ascii="宋体" w:hAnsi="宋体"/>
          <w:sz w:val="24"/>
        </w:rPr>
        <w:t>根据采购文件要求自行编制</w:t>
      </w:r>
      <w:r>
        <w:rPr>
          <w:rFonts w:hint="eastAsia" w:ascii="宋体"/>
          <w:sz w:val="24"/>
        </w:rPr>
        <w:t>。</w:t>
      </w:r>
    </w:p>
    <w:p>
      <w:pPr>
        <w:tabs>
          <w:tab w:val="left" w:pos="315"/>
          <w:tab w:val="left" w:pos="525"/>
          <w:tab w:val="left" w:pos="840"/>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七、我方同意按采购文件中的规定，本投标文件投标的有效期限为</w:t>
      </w:r>
      <w:r>
        <w:rPr>
          <w:rFonts w:hint="eastAsia" w:ascii="宋体" w:hAnsi="宋体" w:cs="宋体"/>
          <w:bCs/>
          <w:sz w:val="24"/>
          <w:szCs w:val="24"/>
        </w:rPr>
        <w:t>投标截止之日起</w:t>
      </w:r>
      <w:r>
        <w:rPr>
          <w:rFonts w:ascii="宋体" w:hAnsi="宋体" w:cs="宋体"/>
          <w:bCs/>
          <w:sz w:val="24"/>
          <w:szCs w:val="24"/>
        </w:rPr>
        <w:t>90</w:t>
      </w:r>
      <w:r>
        <w:rPr>
          <w:rFonts w:hint="eastAsia" w:ascii="宋体" w:hAnsi="宋体" w:cs="宋体"/>
          <w:bCs/>
          <w:sz w:val="24"/>
          <w:szCs w:val="24"/>
        </w:rPr>
        <w:t>天</w:t>
      </w:r>
      <w:r>
        <w:rPr>
          <w:rFonts w:hint="eastAsia" w:ascii="宋体" w:hAnsi="宋体"/>
          <w:bCs/>
          <w:sz w:val="24"/>
          <w:szCs w:val="24"/>
        </w:rPr>
        <w:t>。</w:t>
      </w:r>
    </w:p>
    <w:p>
      <w:pPr>
        <w:tabs>
          <w:tab w:val="left" w:pos="315"/>
          <w:tab w:val="left" w:pos="525"/>
          <w:tab w:val="left" w:pos="840"/>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八、如果我方的投标文件被接受，我方将履行采购文件中规定的每一项要求，按期、按质、按量，完成履约任务。</w:t>
      </w:r>
    </w:p>
    <w:p>
      <w:pPr>
        <w:tabs>
          <w:tab w:val="left" w:pos="315"/>
          <w:tab w:val="left" w:pos="525"/>
          <w:tab w:val="left" w:pos="840"/>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九、我方认为贵单位有权决定中标者。</w:t>
      </w:r>
    </w:p>
    <w:p>
      <w:pPr>
        <w:tabs>
          <w:tab w:val="left" w:pos="315"/>
          <w:tab w:val="left" w:pos="525"/>
          <w:tab w:val="left" w:pos="840"/>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十、我方愿意遵守《中华人民共和国政府采购法》，并按《中华人民共和国民法典》、财政部《政府采购货物和服务招标投标管理办法》和合同条款履行自己的全部责任。在合同履行过程中，双方如有争议，同意由采购代理机构协调解决，并按相关法规和有关文件规定处理。</w:t>
      </w:r>
    </w:p>
    <w:p>
      <w:pPr>
        <w:tabs>
          <w:tab w:val="left" w:pos="315"/>
          <w:tab w:val="left" w:pos="525"/>
          <w:tab w:val="left" w:pos="840"/>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十一、我方认可并遵守采购文件的所有规定，放弃对采购文件提出质疑的权利。</w:t>
      </w:r>
    </w:p>
    <w:p>
      <w:pPr>
        <w:tabs>
          <w:tab w:val="left" w:pos="315"/>
          <w:tab w:val="left" w:pos="525"/>
          <w:tab w:val="left" w:pos="552"/>
          <w:tab w:val="left" w:pos="840"/>
          <w:tab w:val="left" w:pos="945"/>
          <w:tab w:val="left" w:pos="1050"/>
        </w:tabs>
        <w:spacing w:line="360" w:lineRule="auto"/>
        <w:ind w:firstLine="480" w:firstLineChars="200"/>
        <w:rPr>
          <w:rFonts w:ascii="宋体"/>
          <w:bCs/>
          <w:sz w:val="24"/>
          <w:szCs w:val="24"/>
        </w:rPr>
      </w:pPr>
      <w:r>
        <w:rPr>
          <w:rFonts w:hint="eastAsia" w:ascii="宋体" w:hAnsi="宋体"/>
          <w:bCs/>
          <w:sz w:val="24"/>
          <w:szCs w:val="24"/>
        </w:rPr>
        <w:t>十二、如果我方被确定为中标供应商，我方如无不可抗力，又未履行采购文件、投标文件和合同条款的，一经查实，我方愿意赔偿由此而造成的一切损失，并同意接受按采购文件的相关要求对我方进行的处理。</w:t>
      </w:r>
    </w:p>
    <w:p>
      <w:pPr>
        <w:spacing w:line="360" w:lineRule="auto"/>
        <w:ind w:firstLine="720" w:firstLineChars="300"/>
        <w:rPr>
          <w:rFonts w:ascii="宋体" w:hAnsi="宋体"/>
          <w:bCs/>
          <w:sz w:val="24"/>
          <w:szCs w:val="24"/>
        </w:rPr>
      </w:pPr>
    </w:p>
    <w:p>
      <w:pPr>
        <w:spacing w:line="360" w:lineRule="auto"/>
        <w:ind w:firstLine="720" w:firstLineChars="300"/>
        <w:rPr>
          <w:rFonts w:ascii="宋体" w:hAnsi="宋体"/>
          <w:bCs/>
          <w:sz w:val="24"/>
          <w:szCs w:val="24"/>
        </w:rPr>
      </w:pPr>
    </w:p>
    <w:p>
      <w:pPr>
        <w:spacing w:line="400" w:lineRule="exact"/>
        <w:ind w:firstLine="480" w:firstLineChars="200"/>
        <w:rPr>
          <w:rFonts w:ascii="宋体" w:hAnsi="宋体"/>
          <w:bCs/>
          <w:sz w:val="24"/>
          <w:szCs w:val="24"/>
        </w:rPr>
      </w:pPr>
      <w:r>
        <w:rPr>
          <w:rFonts w:hint="eastAsia" w:ascii="宋体" w:hAnsi="宋体"/>
          <w:bCs/>
          <w:sz w:val="24"/>
          <w:szCs w:val="24"/>
        </w:rPr>
        <w:t xml:space="preserve">投标供应商（盖章）：     </w:t>
      </w:r>
    </w:p>
    <w:p>
      <w:pPr>
        <w:spacing w:line="400" w:lineRule="exact"/>
        <w:ind w:firstLine="480" w:firstLineChars="200"/>
        <w:rPr>
          <w:rFonts w:ascii="宋体" w:hAns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hAns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ind w:firstLine="420" w:firstLineChars="175"/>
        <w:jc w:val="left"/>
        <w:outlineLvl w:val="0"/>
        <w:rPr>
          <w:rFonts w:ascii="黑体" w:hAnsi="宋体" w:eastAsia="黑体"/>
          <w:bCs/>
          <w:sz w:val="24"/>
          <w:szCs w:val="24"/>
        </w:rPr>
      </w:pPr>
    </w:p>
    <w:p>
      <w:pPr>
        <w:jc w:val="left"/>
        <w:outlineLvl w:val="0"/>
        <w:rPr>
          <w:rFonts w:ascii="黑体" w:hAnsi="宋体" w:eastAsia="黑体"/>
          <w:bCs/>
          <w:sz w:val="24"/>
          <w:szCs w:val="24"/>
        </w:rPr>
      </w:pPr>
    </w:p>
    <w:p>
      <w:pPr>
        <w:jc w:val="left"/>
        <w:outlineLvl w:val="0"/>
        <w:rPr>
          <w:rFonts w:ascii="黑体" w:hAnsi="宋体" w:eastAsia="黑体"/>
          <w:bCs/>
          <w:sz w:val="24"/>
          <w:szCs w:val="24"/>
        </w:rPr>
      </w:pPr>
      <w:r>
        <w:rPr>
          <w:rFonts w:hint="eastAsia" w:ascii="黑体" w:hAnsi="宋体" w:eastAsia="黑体"/>
          <w:bCs/>
          <w:sz w:val="24"/>
          <w:szCs w:val="24"/>
        </w:rPr>
        <w:t>（二）开标一览表（格式）：</w:t>
      </w:r>
    </w:p>
    <w:p>
      <w:pPr>
        <w:jc w:val="center"/>
        <w:outlineLvl w:val="0"/>
        <w:rPr>
          <w:rFonts w:ascii="宋体" w:hAnsi="宋体"/>
          <w:b/>
          <w:sz w:val="28"/>
          <w:szCs w:val="24"/>
        </w:rPr>
      </w:pPr>
    </w:p>
    <w:p>
      <w:pPr>
        <w:jc w:val="center"/>
        <w:outlineLvl w:val="0"/>
        <w:rPr>
          <w:rFonts w:ascii="黑体" w:eastAsia="黑体"/>
          <w:b/>
          <w:sz w:val="28"/>
        </w:rPr>
      </w:pPr>
      <w:r>
        <w:rPr>
          <w:rFonts w:hint="eastAsia" w:ascii="宋体" w:hAnsi="宋体"/>
          <w:b/>
          <w:sz w:val="28"/>
          <w:szCs w:val="24"/>
        </w:rPr>
        <w:t>开标一览表</w:t>
      </w:r>
    </w:p>
    <w:p>
      <w:pPr>
        <w:spacing w:line="360" w:lineRule="auto"/>
        <w:rPr>
          <w:rFonts w:ascii="宋体" w:hAnsi="宋体" w:cs="宋体"/>
          <w:sz w:val="24"/>
        </w:rPr>
      </w:pPr>
      <w:r>
        <w:rPr>
          <w:rFonts w:hint="eastAsia" w:ascii="黑体" w:eastAsia="黑体"/>
          <w:bCs/>
          <w:sz w:val="24"/>
          <w:szCs w:val="24"/>
        </w:rPr>
        <w:t xml:space="preserve">投标供应商名称（盖章）                  政府采购编号：  </w:t>
      </w:r>
    </w:p>
    <w:tbl>
      <w:tblPr>
        <w:tblStyle w:val="48"/>
        <w:tblW w:w="10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7"/>
        <w:gridCol w:w="8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jc w:val="center"/>
              <w:rPr>
                <w:rFonts w:ascii="宋体" w:hAnsi="宋体" w:cs="宋体"/>
                <w:sz w:val="24"/>
              </w:rPr>
            </w:pPr>
            <w:r>
              <w:rPr>
                <w:rFonts w:hint="eastAsia" w:ascii="宋体" w:hAnsi="宋体" w:cs="宋体"/>
                <w:sz w:val="24"/>
              </w:rPr>
              <w:t>项目</w:t>
            </w:r>
          </w:p>
        </w:tc>
        <w:tc>
          <w:tcPr>
            <w:tcW w:w="8124" w:type="dxa"/>
            <w:tcBorders>
              <w:top w:val="single" w:color="auto" w:sz="4" w:space="0"/>
              <w:left w:val="single" w:color="auto" w:sz="4" w:space="0"/>
              <w:bottom w:val="single" w:color="auto" w:sz="4" w:space="0"/>
              <w:right w:val="single" w:color="auto" w:sz="4" w:space="0"/>
            </w:tcBorders>
            <w:vAlign w:val="center"/>
          </w:tcPr>
          <w:p>
            <w:pPr>
              <w:pStyle w:val="3"/>
              <w:rPr>
                <w:rFonts w:ascii="宋体" w:hAnsi="宋体" w:eastAsia="宋体" w:cs="宋体"/>
                <w:b w:val="0"/>
                <w:bCs w:val="0"/>
                <w:sz w:val="24"/>
              </w:rPr>
            </w:pPr>
            <w:r>
              <w:rPr>
                <w:rFonts w:hint="eastAsia" w:ascii="宋体" w:hAnsi="宋体" w:eastAsia="宋体" w:cs="宋体"/>
                <w:b w:val="0"/>
                <w:bCs w:val="0"/>
                <w:sz w:val="24"/>
              </w:rPr>
              <w:t>江苏省荣军医院食堂食材采购项目（</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rPr>
              <w:t>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6"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jc w:val="center"/>
              <w:rPr>
                <w:rFonts w:ascii="宋体" w:hAnsi="宋体" w:cs="宋体"/>
                <w:sz w:val="24"/>
              </w:rPr>
            </w:pPr>
            <w:r>
              <w:rPr>
                <w:rFonts w:hint="eastAsia" w:ascii="宋体" w:hAnsi="宋体" w:eastAsia="宋体" w:cs="宋体"/>
                <w:sz w:val="24"/>
              </w:rPr>
              <w:t>折扣率</w:t>
            </w:r>
          </w:p>
        </w:tc>
        <w:tc>
          <w:tcPr>
            <w:tcW w:w="8124" w:type="dxa"/>
            <w:tcBorders>
              <w:top w:val="single" w:color="auto" w:sz="4" w:space="0"/>
              <w:left w:val="single" w:color="auto" w:sz="4" w:space="0"/>
              <w:bottom w:val="single" w:color="auto" w:sz="4" w:space="0"/>
              <w:right w:val="single" w:color="auto" w:sz="4" w:space="0"/>
            </w:tcBorders>
            <w:vAlign w:val="center"/>
          </w:tcPr>
          <w:p>
            <w:pPr>
              <w:pStyle w:val="14"/>
              <w:snapToGrid w:val="0"/>
              <w:spacing w:line="360" w:lineRule="auto"/>
              <w:jc w:val="left"/>
              <w:rPr>
                <w:rFonts w:ascii="宋体" w:hAnsi="宋体" w:cs="宋体"/>
                <w:sz w:val="24"/>
                <w:u w:val="single"/>
              </w:rPr>
            </w:pPr>
            <w:r>
              <w:rPr>
                <w:rFonts w:hint="eastAsia" w:ascii="宋体" w:hAnsi="宋体" w:cs="宋体"/>
                <w:bCs/>
                <w:sz w:val="24"/>
                <w:u w:val="single"/>
                <w:lang w:val="en-US" w:eastAsia="zh-CN"/>
              </w:rPr>
              <w:t xml:space="preserve">         </w:t>
            </w:r>
            <w:r>
              <w:rPr>
                <w:rFonts w:hint="eastAsia" w:ascii="宋体" w:hAnsi="宋体" w:cs="宋体"/>
                <w:bCs/>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投标报价</w:t>
            </w:r>
          </w:p>
        </w:tc>
        <w:tc>
          <w:tcPr>
            <w:tcW w:w="8124"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rPr>
                <w:rFonts w:hint="default" w:ascii="宋体" w:hAnsi="宋体" w:eastAsia="宋体" w:cs="宋体"/>
                <w:bCs/>
                <w:sz w:val="24"/>
                <w:u w:val="none"/>
                <w:lang w:val="en-US" w:eastAsia="zh-CN"/>
              </w:rPr>
            </w:pPr>
            <w:r>
              <w:rPr>
                <w:rFonts w:hint="eastAsia" w:ascii="宋体" w:hAnsi="宋体" w:cs="宋体"/>
                <w:bCs/>
                <w:sz w:val="24"/>
                <w:u w:val="single"/>
                <w:lang w:val="en-US" w:eastAsia="zh-CN"/>
              </w:rPr>
              <w:t xml:space="preserve">         </w:t>
            </w:r>
            <w:r>
              <w:rPr>
                <w:rFonts w:hint="eastAsia" w:ascii="宋体" w:hAnsi="宋体" w:cs="宋体"/>
                <w:bCs/>
                <w:sz w:val="24"/>
                <w:u w:val="none"/>
                <w:lang w:val="en-US" w:eastAsia="zh-CN"/>
              </w:rPr>
              <w:t>万元（本项目最高限价*报价折扣率）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sz w:val="24"/>
              </w:rPr>
              <w:t>服务期限</w:t>
            </w:r>
          </w:p>
        </w:tc>
        <w:tc>
          <w:tcPr>
            <w:tcW w:w="8124" w:type="dxa"/>
            <w:tcBorders>
              <w:top w:val="single" w:color="auto" w:sz="4" w:space="0"/>
              <w:left w:val="single" w:color="auto" w:sz="4" w:space="0"/>
              <w:bottom w:val="single" w:color="auto" w:sz="4" w:space="0"/>
              <w:right w:val="single" w:color="auto" w:sz="4" w:space="0"/>
            </w:tcBorders>
            <w:vAlign w:val="center"/>
          </w:tcPr>
          <w:p>
            <w:pPr>
              <w:widowControl/>
              <w:topLinePunct/>
              <w:spacing w:before="4" w:line="360" w:lineRule="auto"/>
              <w:ind w:firstLine="1680" w:firstLineChars="7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质量标准</w:t>
            </w:r>
          </w:p>
        </w:tc>
        <w:tc>
          <w:tcPr>
            <w:tcW w:w="8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宋体" w:hAnsi="宋体" w:cs="宋体"/>
                <w:bCs/>
                <w:color w:val="000000"/>
                <w:sz w:val="24"/>
                <w:szCs w:val="24"/>
              </w:rPr>
            </w:pPr>
          </w:p>
        </w:tc>
      </w:tr>
    </w:tbl>
    <w:p>
      <w:pPr>
        <w:spacing w:before="5"/>
        <w:rPr>
          <w:b/>
          <w:bCs/>
          <w:sz w:val="24"/>
          <w:szCs w:val="24"/>
        </w:rPr>
      </w:pPr>
    </w:p>
    <w:p>
      <w:pPr>
        <w:spacing w:before="5"/>
        <w:rPr>
          <w:b/>
          <w:bCs/>
          <w:sz w:val="24"/>
          <w:szCs w:val="24"/>
        </w:rPr>
      </w:pPr>
    </w:p>
    <w:p>
      <w:pPr>
        <w:spacing w:before="5"/>
        <w:rPr>
          <w:b/>
          <w:bCs/>
          <w:sz w:val="24"/>
          <w:szCs w:val="24"/>
        </w:rPr>
      </w:pPr>
      <w:r>
        <w:rPr>
          <w:rFonts w:hint="eastAsia"/>
          <w:b/>
          <w:bCs/>
          <w:sz w:val="24"/>
          <w:szCs w:val="24"/>
        </w:rPr>
        <w:t>法定代表人或法定代表人授权代表签字或盖章：</w:t>
      </w: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pStyle w:val="59"/>
        <w:numPr>
          <w:ilvl w:val="0"/>
          <w:numId w:val="0"/>
        </w:numPr>
        <w:ind w:left="51" w:leftChars="-168"/>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pStyle w:val="57"/>
        <w:ind w:firstLine="480"/>
        <w:rPr>
          <w:rFonts w:ascii="黑体" w:hAnsi="宋体" w:eastAsia="黑体"/>
          <w:bCs/>
          <w:sz w:val="24"/>
          <w:szCs w:val="24"/>
        </w:rPr>
      </w:pPr>
    </w:p>
    <w:p/>
    <w:p>
      <w:pPr>
        <w:outlineLvl w:val="0"/>
        <w:rPr>
          <w:rFonts w:ascii="黑体" w:hAnsi="宋体" w:eastAsia="黑体"/>
          <w:bCs/>
          <w:sz w:val="24"/>
          <w:szCs w:val="24"/>
        </w:rPr>
      </w:pPr>
    </w:p>
    <w:p>
      <w:pPr>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eastAsia="黑体"/>
          <w:bCs/>
          <w:sz w:val="28"/>
          <w:szCs w:val="28"/>
        </w:rPr>
      </w:pPr>
      <w:r>
        <w:rPr>
          <w:rFonts w:hint="eastAsia" w:ascii="黑体" w:hAnsi="宋体" w:eastAsia="黑体"/>
          <w:bCs/>
          <w:sz w:val="24"/>
          <w:szCs w:val="24"/>
        </w:rPr>
        <w:t>（三）（投标供应商）法定代表人身份证明书（格式）：</w:t>
      </w:r>
    </w:p>
    <w:p>
      <w:pPr>
        <w:topLinePunct/>
        <w:spacing w:line="600" w:lineRule="exact"/>
        <w:ind w:left="420" w:leftChars="200"/>
        <w:rPr>
          <w:bCs/>
          <w:szCs w:val="21"/>
          <w:u w:val="single"/>
        </w:rPr>
      </w:pPr>
      <w:r>
        <w:rPr>
          <w:rFonts w:hint="eastAsia"/>
          <w:bCs/>
          <w:szCs w:val="21"/>
        </w:rPr>
        <w:t>投标供应商</w:t>
      </w:r>
      <w:r>
        <w:rPr>
          <w:bCs/>
          <w:szCs w:val="21"/>
        </w:rPr>
        <w:t>名称：</w:t>
      </w:r>
    </w:p>
    <w:p>
      <w:pPr>
        <w:topLinePunct/>
        <w:spacing w:line="600" w:lineRule="exact"/>
        <w:ind w:left="420" w:leftChars="200"/>
        <w:rPr>
          <w:bCs/>
          <w:szCs w:val="21"/>
        </w:rPr>
      </w:pPr>
      <w:r>
        <w:rPr>
          <w:bCs/>
          <w:szCs w:val="21"/>
        </w:rPr>
        <w:t>单位性质：</w:t>
      </w:r>
    </w:p>
    <w:p>
      <w:pPr>
        <w:topLinePunct/>
        <w:spacing w:line="600" w:lineRule="exact"/>
        <w:ind w:left="420" w:leftChars="200"/>
        <w:rPr>
          <w:bCs/>
          <w:szCs w:val="21"/>
        </w:rPr>
      </w:pPr>
      <w:r>
        <w:rPr>
          <w:bCs/>
          <w:szCs w:val="21"/>
        </w:rPr>
        <w:t>成立时间：</w:t>
      </w:r>
      <w:r>
        <w:rPr>
          <w:rFonts w:hint="eastAsia"/>
          <w:bCs/>
          <w:szCs w:val="21"/>
          <w:u w:val="single"/>
          <w:lang w:val="en-US" w:eastAsia="zh-CN"/>
        </w:rPr>
        <w:t xml:space="preserve">       </w:t>
      </w:r>
      <w:r>
        <w:rPr>
          <w:bCs/>
          <w:szCs w:val="21"/>
        </w:rPr>
        <w:t>年</w:t>
      </w:r>
      <w:r>
        <w:rPr>
          <w:rFonts w:hint="eastAsia"/>
          <w:bCs/>
          <w:szCs w:val="21"/>
          <w:u w:val="single"/>
          <w:lang w:val="en-US" w:eastAsia="zh-CN"/>
        </w:rPr>
        <w:t xml:space="preserve">   </w:t>
      </w:r>
      <w:r>
        <w:rPr>
          <w:bCs/>
          <w:szCs w:val="21"/>
        </w:rPr>
        <w:t>月</w:t>
      </w:r>
      <w:r>
        <w:rPr>
          <w:rFonts w:hint="eastAsia"/>
          <w:bCs/>
          <w:szCs w:val="21"/>
          <w:u w:val="single"/>
          <w:lang w:val="en-US" w:eastAsia="zh-CN"/>
        </w:rPr>
        <w:t xml:space="preserve">   </w:t>
      </w:r>
      <w:r>
        <w:rPr>
          <w:bCs/>
          <w:szCs w:val="21"/>
        </w:rPr>
        <w:t>日</w:t>
      </w:r>
    </w:p>
    <w:p>
      <w:pPr>
        <w:topLinePunct/>
        <w:spacing w:line="600" w:lineRule="exact"/>
        <w:ind w:left="420" w:leftChars="200"/>
        <w:rPr>
          <w:bCs/>
          <w:szCs w:val="21"/>
        </w:rPr>
      </w:pPr>
      <w:r>
        <w:rPr>
          <w:bCs/>
          <w:szCs w:val="21"/>
        </w:rPr>
        <w:t>经营期限：</w:t>
      </w:r>
    </w:p>
    <w:p>
      <w:pPr>
        <w:topLinePunct/>
        <w:spacing w:line="600" w:lineRule="exact"/>
        <w:ind w:left="420" w:leftChars="200"/>
        <w:rPr>
          <w:bCs/>
          <w:szCs w:val="21"/>
          <w:u w:val="single"/>
        </w:rPr>
      </w:pPr>
      <w:r>
        <w:rPr>
          <w:bCs/>
          <w:szCs w:val="21"/>
        </w:rPr>
        <w:t>姓名：</w:t>
      </w:r>
      <w:r>
        <w:rPr>
          <w:rFonts w:hint="eastAsia"/>
          <w:bCs/>
          <w:szCs w:val="21"/>
          <w:lang w:val="en-US" w:eastAsia="zh-CN"/>
        </w:rPr>
        <w:t xml:space="preserve">        </w:t>
      </w:r>
      <w:r>
        <w:rPr>
          <w:bCs/>
          <w:szCs w:val="21"/>
        </w:rPr>
        <w:t>性别：</w:t>
      </w:r>
      <w:r>
        <w:rPr>
          <w:rFonts w:hint="eastAsia"/>
          <w:bCs/>
          <w:szCs w:val="21"/>
          <w:lang w:val="en-US" w:eastAsia="zh-CN"/>
        </w:rPr>
        <w:t xml:space="preserve">       </w:t>
      </w:r>
      <w:r>
        <w:rPr>
          <w:bCs/>
          <w:szCs w:val="21"/>
        </w:rPr>
        <w:t>年龄：</w:t>
      </w:r>
      <w:r>
        <w:rPr>
          <w:rFonts w:hint="eastAsia"/>
          <w:bCs/>
          <w:szCs w:val="21"/>
          <w:lang w:val="en-US" w:eastAsia="zh-CN"/>
        </w:rPr>
        <w:t xml:space="preserve">       </w:t>
      </w:r>
      <w:r>
        <w:rPr>
          <w:bCs/>
          <w:szCs w:val="21"/>
        </w:rPr>
        <w:t>职务：</w:t>
      </w:r>
    </w:p>
    <w:p>
      <w:pPr>
        <w:topLinePunct/>
        <w:spacing w:line="600" w:lineRule="exact"/>
        <w:ind w:left="420" w:leftChars="200"/>
        <w:rPr>
          <w:bCs/>
          <w:szCs w:val="21"/>
        </w:rPr>
      </w:pPr>
      <w:r>
        <w:rPr>
          <w:bCs/>
          <w:szCs w:val="21"/>
        </w:rPr>
        <w:t>系</w:t>
      </w:r>
      <w:r>
        <w:rPr>
          <w:rFonts w:hint="eastAsia"/>
          <w:bCs/>
          <w:szCs w:val="21"/>
        </w:rPr>
        <w:t>（投标供应商</w:t>
      </w:r>
      <w:r>
        <w:rPr>
          <w:bCs/>
          <w:szCs w:val="21"/>
        </w:rPr>
        <w:t>名称</w:t>
      </w:r>
      <w:r>
        <w:rPr>
          <w:rFonts w:hint="eastAsia"/>
          <w:bCs/>
          <w:szCs w:val="21"/>
        </w:rPr>
        <w:t>）</w:t>
      </w:r>
      <w:r>
        <w:rPr>
          <w:bCs/>
          <w:szCs w:val="21"/>
        </w:rPr>
        <w:t>的法定代表人。</w:t>
      </w:r>
    </w:p>
    <w:p>
      <w:pPr>
        <w:topLinePunct/>
        <w:spacing w:line="600" w:lineRule="exact"/>
        <w:ind w:left="420" w:leftChars="200"/>
        <w:rPr>
          <w:bCs/>
          <w:szCs w:val="21"/>
        </w:rPr>
      </w:pPr>
      <w:r>
        <w:rPr>
          <w:bCs/>
          <w:szCs w:val="21"/>
        </w:rPr>
        <w:t>特此证明。</w:t>
      </w:r>
    </w:p>
    <w:p>
      <w:pPr>
        <w:topLinePunct/>
        <w:spacing w:line="440" w:lineRule="exact"/>
        <w:ind w:left="420" w:leftChars="200"/>
      </w:pPr>
      <w:r>
        <w:t>附：法定代表人身份证复印件</w:t>
      </w:r>
      <w:r>
        <w:rPr>
          <w:rFonts w:hint="eastAsia"/>
        </w:rPr>
        <w:t>（</w:t>
      </w:r>
      <w:r>
        <w:rPr>
          <w:rFonts w:hint="eastAsia" w:ascii="宋体" w:hAnsi="宋体"/>
          <w:szCs w:val="21"/>
        </w:rPr>
        <w:t>需同时提供正面及背面</w:t>
      </w:r>
      <w:r>
        <w:rPr>
          <w:rFonts w:hint="eastAsia"/>
        </w:rPr>
        <w:t>）</w:t>
      </w:r>
    </w:p>
    <w:p>
      <w:pPr>
        <w:spacing w:line="440" w:lineRule="exact"/>
        <w:ind w:left="420" w:leftChars="200"/>
        <w:rPr>
          <w:szCs w:val="21"/>
        </w:rPr>
      </w:pPr>
    </w:p>
    <w:p>
      <w:pPr>
        <w:spacing w:line="500" w:lineRule="exact"/>
        <w:ind w:left="420" w:leftChars="200"/>
        <w:rPr>
          <w:rFonts w:ascii="宋体" w:hAnsi="宋体"/>
          <w:szCs w:val="21"/>
        </w:rPr>
      </w:pPr>
      <w:r>
        <w:rPr>
          <w:szCs w:val="21"/>
        </w:rPr>
        <w:pict>
          <v:shape id="自选图形 2" o:spid="_x0000_s2051" o:spt="176" type="#_x0000_t176" style="position:absolute;left:0pt;margin-left:250.8pt;margin-top:19.65pt;height:166.45pt;width:259.65pt;z-index:251660288;mso-width-relative:page;mso-height-relative:page;" coordsize="21600,21600" o:gfxdata="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pbcNgA&#10;AAALAQAADwAAAAAAAAABACAAAAAiAAAAZHJzL2Rvd25yZXYueG1sUEsBAhQAFAAAAAgAh07iQC1+&#10;YqIfAgAAUwQAAA4AAAAAAAAAAQAgAAAAJwEAAGRycy9lMm9Eb2MueG1sUEsFBgAAAAAGAAYAWQEA&#10;ALgFAAAAAA==&#10;">
            <v:path/>
            <v:fill focussize="0,0"/>
            <v:stroke joinstyle="miter"/>
            <v:imagedata o:title=""/>
            <o:lock v:ext="edit"/>
            <v:textbox>
              <w:txbxContent>
                <w:p>
                  <w:pPr>
                    <w:jc w:val="center"/>
                    <w:rPr>
                      <w:szCs w:val="21"/>
                    </w:rPr>
                  </w:pPr>
                </w:p>
              </w:txbxContent>
            </v:textbox>
          </v:shape>
        </w:pict>
      </w:r>
      <w:r>
        <w:rPr>
          <w:rFonts w:ascii="宋体" w:hAnsi="宋体"/>
          <w:szCs w:val="21"/>
        </w:rPr>
        <w:pict>
          <v:shape id="AutoShape 40" o:spid="_x0000_s2050" o:spt="176" type="#_x0000_t176" style="position:absolute;left:0pt;margin-left:-8.85pt;margin-top:22.15pt;height:166.45pt;width:259.65pt;z-index:251659264;mso-width-relative:page;mso-height-relative:page;" coordsize="21600,21600" o:gfxdata="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8d/y7ZAAAACgEAAA8AAAAAAAAAAQAgAAAA&#10;IgAAAGRycy9kb3ducmV2LnhtbFBLAQIUABQAAAAIAIdO4kAtRXN1CgIAAFEEAAAOAAAAAAAAAAEA&#10;IAAAACgBAABkcnMvZTJvRG9jLnhtbFBLBQYAAAAABgAGAFkBAACkBQAAAAA=&#10;">
            <v:path/>
            <v:fill focussize="0,0"/>
            <v:stroke joinstyle="miter"/>
            <v:imagedata o:title=""/>
            <o:lock v:ext="edit"/>
            <v:textbox>
              <w:txbxContent>
                <w:p>
                  <w:pPr>
                    <w:rPr>
                      <w:szCs w:val="21"/>
                    </w:rPr>
                  </w:pPr>
                </w:p>
              </w:txbxContent>
            </v:textbox>
          </v:shape>
        </w:pict>
      </w:r>
    </w:p>
    <w:p>
      <w:pPr>
        <w:spacing w:line="440" w:lineRule="exact"/>
        <w:ind w:left="420" w:leftChars="200"/>
        <w:rPr>
          <w:szCs w:val="21"/>
        </w:rPr>
      </w:pPr>
    </w:p>
    <w:p>
      <w:pPr>
        <w:spacing w:line="500" w:lineRule="exact"/>
        <w:ind w:left="420" w:leftChars="200"/>
        <w:rPr>
          <w:rFonts w:ascii="宋体" w:hAnsi="宋体"/>
          <w:szCs w:val="21"/>
        </w:rPr>
      </w:pPr>
    </w:p>
    <w:p>
      <w:pPr>
        <w:spacing w:line="440" w:lineRule="exact"/>
        <w:ind w:left="420" w:leftChars="200"/>
        <w:rPr>
          <w:szCs w:val="21"/>
        </w:rPr>
      </w:pPr>
    </w:p>
    <w:p>
      <w:pPr>
        <w:spacing w:line="440" w:lineRule="exact"/>
        <w:ind w:left="420" w:leftChars="200"/>
        <w:rPr>
          <w:szCs w:val="21"/>
        </w:rPr>
      </w:pPr>
    </w:p>
    <w:p>
      <w:pPr>
        <w:spacing w:line="500" w:lineRule="exact"/>
        <w:ind w:left="420" w:leftChars="200"/>
        <w:rPr>
          <w:rFonts w:ascii="宋体" w:hAnsi="宋体"/>
          <w:szCs w:val="21"/>
        </w:rPr>
      </w:pPr>
    </w:p>
    <w:p>
      <w:pPr>
        <w:spacing w:line="440" w:lineRule="exact"/>
        <w:ind w:left="420" w:leftChars="200"/>
        <w:rPr>
          <w:szCs w:val="21"/>
        </w:rPr>
      </w:pPr>
    </w:p>
    <w:p>
      <w:pPr>
        <w:spacing w:line="500" w:lineRule="exact"/>
        <w:ind w:left="420" w:leftChars="200"/>
        <w:rPr>
          <w:rFonts w:ascii="宋体" w:hAnsi="宋体"/>
          <w:szCs w:val="21"/>
        </w:rPr>
      </w:pPr>
    </w:p>
    <w:p>
      <w:pPr>
        <w:spacing w:line="440" w:lineRule="exact"/>
        <w:ind w:left="420" w:leftChars="200"/>
        <w:rPr>
          <w:szCs w:val="21"/>
        </w:rPr>
      </w:pPr>
    </w:p>
    <w:p>
      <w:pPr>
        <w:spacing w:line="440" w:lineRule="exact"/>
        <w:ind w:left="420" w:leftChars="200"/>
        <w:rPr>
          <w:szCs w:val="21"/>
        </w:rPr>
      </w:pPr>
    </w:p>
    <w:p>
      <w:pPr>
        <w:spacing w:line="440" w:lineRule="exact"/>
        <w:ind w:left="420" w:leftChars="200"/>
        <w:rPr>
          <w:szCs w:val="21"/>
        </w:rPr>
      </w:pPr>
    </w:p>
    <w:p>
      <w:pPr>
        <w:spacing w:line="440" w:lineRule="exact"/>
        <w:ind w:left="420" w:leftChars="200"/>
        <w:rPr>
          <w:szCs w:val="21"/>
        </w:rPr>
      </w:pPr>
    </w:p>
    <w:p>
      <w:pPr>
        <w:spacing w:line="440" w:lineRule="exact"/>
        <w:ind w:left="420" w:leftChars="200"/>
        <w:jc w:val="right"/>
        <w:rPr>
          <w:szCs w:val="21"/>
        </w:rPr>
      </w:pPr>
      <w:r>
        <w:rPr>
          <w:rFonts w:hint="eastAsia"/>
          <w:szCs w:val="21"/>
        </w:rPr>
        <w:t>投标供应商</w:t>
      </w:r>
      <w:r>
        <w:rPr>
          <w:szCs w:val="21"/>
        </w:rPr>
        <w:t>：（盖单位公章）</w:t>
      </w:r>
    </w:p>
    <w:p>
      <w:pPr>
        <w:spacing w:line="440" w:lineRule="exact"/>
        <w:ind w:left="420" w:leftChars="200"/>
        <w:jc w:val="right"/>
        <w:rPr>
          <w:szCs w:val="21"/>
        </w:rPr>
      </w:pPr>
      <w:r>
        <w:rPr>
          <w:szCs w:val="21"/>
        </w:rPr>
        <w:t>年月日</w:t>
      </w:r>
    </w:p>
    <w:p>
      <w:pPr>
        <w:ind w:left="420" w:leftChars="200"/>
        <w:outlineLvl w:val="0"/>
        <w:rPr>
          <w:rFonts w:ascii="黑体" w:hAnsi="宋体" w:eastAsia="黑体"/>
          <w:bCs/>
          <w:sz w:val="24"/>
          <w:szCs w:val="24"/>
        </w:rPr>
      </w:pPr>
    </w:p>
    <w:p>
      <w:pPr>
        <w:ind w:left="420" w:leftChars="200"/>
        <w:outlineLvl w:val="0"/>
        <w:rPr>
          <w:rFonts w:ascii="黑体" w:hAnsi="宋体" w:eastAsia="黑体"/>
          <w:bCs/>
          <w:sz w:val="24"/>
          <w:szCs w:val="24"/>
        </w:rPr>
      </w:pPr>
    </w:p>
    <w:p>
      <w:pPr>
        <w:spacing w:line="500" w:lineRule="exact"/>
        <w:rPr>
          <w:sz w:val="28"/>
        </w:rPr>
      </w:pPr>
    </w:p>
    <w:p>
      <w:pPr>
        <w:spacing w:line="500" w:lineRule="exact"/>
        <w:rPr>
          <w:sz w:val="28"/>
        </w:rPr>
      </w:pPr>
    </w:p>
    <w:p>
      <w:pPr>
        <w:spacing w:line="500" w:lineRule="exact"/>
        <w:rPr>
          <w:sz w:val="28"/>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outlineLvl w:val="0"/>
        <w:rPr>
          <w:rFonts w:ascii="黑体" w:eastAsia="黑体"/>
          <w:bCs/>
          <w:sz w:val="28"/>
          <w:szCs w:val="28"/>
        </w:rPr>
      </w:pPr>
      <w:r>
        <w:rPr>
          <w:rFonts w:hint="eastAsia" w:ascii="黑体" w:hAnsi="宋体" w:eastAsia="黑体"/>
          <w:bCs/>
          <w:sz w:val="24"/>
          <w:szCs w:val="24"/>
        </w:rPr>
        <w:t>（四）（投标供应商）法定代表人授权委托书（格式）：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rPr>
          <w:rFonts w:ascii="宋体" w:hAnsi="宋体"/>
          <w:bCs/>
          <w:sz w:val="24"/>
          <w:szCs w:val="24"/>
        </w:rPr>
      </w:pPr>
      <w:r>
        <w:rPr>
          <w:rFonts w:hint="eastAsia" w:ascii="宋体" w:hAnsi="宋体"/>
          <w:bCs/>
          <w:sz w:val="24"/>
          <w:szCs w:val="24"/>
        </w:rPr>
        <w:t>政府采购编号：</w:t>
      </w:r>
    </w:p>
    <w:p>
      <w:pPr>
        <w:spacing w:line="480" w:lineRule="auto"/>
        <w:jc w:val="left"/>
        <w:rPr>
          <w:rFonts w:ascii="宋体" w:hAnsi="宋体"/>
          <w:bCs/>
          <w:sz w:val="24"/>
          <w:szCs w:val="24"/>
        </w:rPr>
      </w:pPr>
      <w:r>
        <w:rPr>
          <w:rFonts w:hint="eastAsia" w:ascii="宋体" w:hAnsi="宋体"/>
          <w:bCs/>
          <w:sz w:val="24"/>
          <w:szCs w:val="24"/>
        </w:rPr>
        <w:t>（采购代理机构）：</w:t>
      </w:r>
    </w:p>
    <w:p>
      <w:pPr>
        <w:spacing w:line="580" w:lineRule="exact"/>
        <w:ind w:firstLine="480" w:firstLineChars="200"/>
        <w:rPr>
          <w:rFonts w:ascii="宋体" w:hAnsi="宋体"/>
          <w:bCs/>
          <w:sz w:val="24"/>
          <w:szCs w:val="24"/>
        </w:rPr>
      </w:pPr>
      <w:r>
        <w:rPr>
          <w:rFonts w:hint="eastAsia" w:ascii="黑体" w:eastAsia="黑体"/>
          <w:bCs/>
          <w:sz w:val="24"/>
          <w:szCs w:val="24"/>
        </w:rPr>
        <w:t>________________</w:t>
      </w:r>
      <w:r>
        <w:rPr>
          <w:rFonts w:hint="eastAsia" w:ascii="宋体" w:hAnsi="宋体"/>
          <w:bCs/>
          <w:sz w:val="24"/>
          <w:szCs w:val="24"/>
        </w:rPr>
        <w:t>系中华人民共和国合法企业，特授权</w:t>
      </w:r>
      <w:r>
        <w:rPr>
          <w:rFonts w:hint="eastAsia" w:ascii="黑体" w:eastAsia="黑体"/>
          <w:bCs/>
          <w:sz w:val="24"/>
          <w:szCs w:val="24"/>
        </w:rPr>
        <w:t>________</w:t>
      </w:r>
      <w:r>
        <w:rPr>
          <w:rFonts w:hint="eastAsia" w:ascii="宋体" w:hAnsi="宋体"/>
          <w:bCs/>
          <w:sz w:val="24"/>
          <w:szCs w:val="24"/>
        </w:rPr>
        <w:t>代表我公司（单位）全权办理针对本项目（</w:t>
      </w:r>
      <w:r>
        <w:rPr>
          <w:rFonts w:hint="eastAsia" w:ascii="宋体" w:hAnsi="宋体" w:cs="宋体"/>
          <w:bCs/>
          <w:sz w:val="24"/>
          <w:szCs w:val="24"/>
        </w:rPr>
        <w:t>编号</w:t>
      </w:r>
      <w:r>
        <w:rPr>
          <w:rFonts w:hint="eastAsia" w:ascii="黑体" w:eastAsia="黑体"/>
          <w:bCs/>
          <w:sz w:val="24"/>
          <w:szCs w:val="24"/>
        </w:rPr>
        <w:t>：________）</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hAns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hAns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hAnsi="宋体"/>
          <w:bCs/>
          <w:sz w:val="24"/>
          <w:szCs w:val="24"/>
        </w:rPr>
      </w:pPr>
      <w:r>
        <w:rPr>
          <w:rFonts w:hint="eastAsia" w:ascii="宋体" w:hAnsi="宋体"/>
          <w:bCs/>
          <w:sz w:val="24"/>
          <w:szCs w:val="24"/>
        </w:rPr>
        <w:t>被授权代表情况：</w:t>
      </w:r>
    </w:p>
    <w:p>
      <w:pPr>
        <w:spacing w:line="580" w:lineRule="exact"/>
        <w:ind w:firstLine="525"/>
        <w:rPr>
          <w:rFonts w:ascii="宋体" w:hAnsi="宋体"/>
          <w:bCs/>
          <w:sz w:val="24"/>
          <w:szCs w:val="24"/>
        </w:rPr>
      </w:pPr>
      <w:r>
        <w:rPr>
          <w:rFonts w:hint="eastAsia" w:ascii="宋体" w:hAnsi="宋体"/>
          <w:bCs/>
          <w:sz w:val="24"/>
          <w:szCs w:val="24"/>
        </w:rPr>
        <w:t>姓名：         性别：       电话：</w:t>
      </w:r>
    </w:p>
    <w:p>
      <w:pPr>
        <w:spacing w:line="580" w:lineRule="exact"/>
        <w:ind w:firstLine="3240" w:firstLineChars="135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后附授权代表身份证复印件（正反面）加盖公章。</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3240" w:firstLineChars="1350"/>
        <w:rPr>
          <w:rFonts w:ascii="宋体" w:hAnsi="宋体"/>
          <w:bCs/>
          <w:sz w:val="24"/>
          <w:szCs w:val="24"/>
        </w:rPr>
      </w:pPr>
      <w:r>
        <w:rPr>
          <w:rFonts w:hint="eastAsia" w:ascii="宋体" w:hAnsi="宋体"/>
          <w:bCs/>
          <w:sz w:val="24"/>
          <w:szCs w:val="24"/>
        </w:rPr>
        <w:t xml:space="preserve">               单位名称（盖章）：</w:t>
      </w:r>
    </w:p>
    <w:p>
      <w:pPr>
        <w:spacing w:line="580" w:lineRule="exact"/>
        <w:ind w:firstLine="4080" w:firstLineChars="1700"/>
        <w:rPr>
          <w:rFonts w:ascii="宋体" w:hAnsi="宋体"/>
          <w:bCs/>
          <w:sz w:val="24"/>
          <w:szCs w:val="24"/>
        </w:rPr>
      </w:pPr>
      <w:r>
        <w:rPr>
          <w:rFonts w:hint="eastAsia" w:ascii="宋体" w:hAnsi="宋体"/>
          <w:bCs/>
          <w:sz w:val="24"/>
          <w:szCs w:val="24"/>
        </w:rPr>
        <w:t>法定代表人（签字或盖章）：</w:t>
      </w:r>
    </w:p>
    <w:p>
      <w:pPr>
        <w:spacing w:line="580" w:lineRule="exact"/>
        <w:ind w:firstLine="420"/>
        <w:jc w:val="center"/>
        <w:rPr>
          <w:rFonts w:ascii="宋体" w:hAnsi="宋体"/>
          <w:bCs/>
          <w:sz w:val="24"/>
          <w:szCs w:val="24"/>
        </w:rPr>
      </w:pPr>
      <w:r>
        <w:rPr>
          <w:rFonts w:hint="eastAsia" w:ascii="宋体" w:hAnsi="宋体"/>
          <w:bCs/>
          <w:sz w:val="24"/>
          <w:szCs w:val="24"/>
        </w:rPr>
        <w:t xml:space="preserve">                            日期：</w:t>
      </w:r>
    </w:p>
    <w:p>
      <w:pPr>
        <w:spacing w:line="580" w:lineRule="exact"/>
        <w:ind w:firstLine="420"/>
        <w:rPr>
          <w:rFonts w:ascii="宋体" w:hAnsi="宋体"/>
          <w:bCs/>
          <w:sz w:val="24"/>
          <w:szCs w:val="24"/>
        </w:rPr>
      </w:pPr>
    </w:p>
    <w:p>
      <w:pPr>
        <w:spacing w:line="580" w:lineRule="exact"/>
        <w:ind w:firstLine="420"/>
        <w:rPr>
          <w:rFonts w:ascii="宋体" w:hAnsi="宋体"/>
          <w:bCs/>
          <w:sz w:val="24"/>
          <w:szCs w:val="24"/>
        </w:rPr>
      </w:pPr>
    </w:p>
    <w:p>
      <w:pPr>
        <w:ind w:firstLine="420" w:firstLineChars="175"/>
        <w:outlineLvl w:val="0"/>
        <w:rPr>
          <w:rFonts w:ascii="黑体" w:hAnsi="宋体" w:eastAsia="黑体"/>
          <w:bCs/>
          <w:sz w:val="24"/>
          <w:szCs w:val="24"/>
        </w:rPr>
      </w:pPr>
    </w:p>
    <w:p>
      <w:pPr>
        <w:ind w:firstLine="420" w:firstLineChars="175"/>
        <w:outlineLvl w:val="0"/>
        <w:rPr>
          <w:rFonts w:ascii="黑体" w:hAnsi="宋体" w:eastAsia="黑体"/>
          <w:bCs/>
          <w:sz w:val="24"/>
          <w:szCs w:val="24"/>
        </w:rPr>
      </w:pPr>
    </w:p>
    <w:p>
      <w:pPr>
        <w:outlineLvl w:val="0"/>
        <w:rPr>
          <w:rFonts w:hint="eastAsia" w:ascii="黑体" w:hAnsi="宋体" w:eastAsia="黑体"/>
          <w:bCs/>
          <w:sz w:val="24"/>
          <w:szCs w:val="24"/>
        </w:rPr>
      </w:pPr>
    </w:p>
    <w:p>
      <w:pPr>
        <w:outlineLvl w:val="0"/>
        <w:rPr>
          <w:rFonts w:ascii="黑体" w:hAnsi="宋体" w:eastAsia="黑体"/>
          <w:bCs/>
          <w:sz w:val="24"/>
          <w:szCs w:val="24"/>
        </w:rPr>
      </w:pPr>
      <w:r>
        <w:rPr>
          <w:rFonts w:hint="eastAsia" w:ascii="黑体" w:hAnsi="宋体" w:eastAsia="黑体"/>
          <w:bCs/>
          <w:sz w:val="24"/>
          <w:szCs w:val="24"/>
        </w:rPr>
        <w:t>（五）（投标供应商）中小企业声明函（格式）：</w:t>
      </w:r>
    </w:p>
    <w:p>
      <w:pPr>
        <w:spacing w:line="480" w:lineRule="auto"/>
        <w:rPr>
          <w:rFonts w:ascii="宋体" w:hAnsi="宋体"/>
          <w:bCs/>
          <w:sz w:val="24"/>
        </w:rPr>
      </w:pPr>
    </w:p>
    <w:p>
      <w:pPr>
        <w:jc w:val="center"/>
        <w:rPr>
          <w:rFonts w:ascii="黑体" w:eastAsia="黑体"/>
          <w:bCs/>
          <w:sz w:val="28"/>
          <w:szCs w:val="28"/>
        </w:rPr>
      </w:pPr>
      <w:r>
        <w:rPr>
          <w:rFonts w:ascii="黑体" w:eastAsia="黑体"/>
          <w:bCs/>
          <w:sz w:val="28"/>
          <w:szCs w:val="28"/>
        </w:rPr>
        <w:t>中小企业声明函（服务）</w:t>
      </w:r>
    </w:p>
    <w:p>
      <w:pPr>
        <w:spacing w:line="580" w:lineRule="exact"/>
        <w:ind w:firstLine="480" w:firstLineChars="20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采购活动，服务全部由符合政策要求的中小企业承接。相关企业（含联合体中的中小企业、签订分包意向协议的中小企业）的具体情况如下：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 承建（承接）企业为</w:t>
      </w:r>
      <w:r>
        <w:rPr>
          <w:rFonts w:ascii="宋体" w:hAnsi="宋体"/>
          <w:bCs/>
          <w:sz w:val="24"/>
          <w:szCs w:val="24"/>
          <w:u w:val="single"/>
        </w:rPr>
        <w:t>（企业名称）</w:t>
      </w:r>
      <w:r>
        <w:rPr>
          <w:rFonts w:ascii="宋体" w:hAnsi="宋体"/>
          <w:bCs/>
          <w:sz w:val="24"/>
          <w:szCs w:val="24"/>
        </w:rPr>
        <w:t>，从业人员人，营业收入为万元，资产总额为万元，属于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567"/>
        <w:rPr>
          <w:rFonts w:ascii="宋体" w:hAnsi="宋体"/>
          <w:bCs/>
          <w:sz w:val="24"/>
        </w:rPr>
      </w:pPr>
      <w:r>
        <w:rPr>
          <w:rFonts w:ascii="宋体" w:hAnsi="宋体"/>
          <w:bCs/>
          <w:sz w:val="24"/>
          <w:szCs w:val="24"/>
        </w:rPr>
        <w:t>以上企业，不属于大企业的分支机构，不存在控股股东为大企业的情形，也不存在与大企业的负责人为同一人的情形。 本企业对上述声明内容的真实性负责。如有虚假，将依 法承担相应责任。</w:t>
      </w:r>
    </w:p>
    <w:p>
      <w:pPr>
        <w:spacing w:line="360" w:lineRule="auto"/>
        <w:ind w:firstLine="194" w:firstLineChars="81"/>
        <w:rPr>
          <w:rFonts w:ascii="宋体" w:hAnsi="宋体"/>
          <w:bCs/>
          <w:sz w:val="24"/>
        </w:rPr>
      </w:pPr>
    </w:p>
    <w:p>
      <w:pPr>
        <w:spacing w:line="360" w:lineRule="auto"/>
        <w:ind w:right="960" w:firstLine="194" w:firstLineChars="81"/>
        <w:jc w:val="center"/>
        <w:rPr>
          <w:rFonts w:ascii="宋体" w:hAnsi="宋体"/>
          <w:bCs/>
          <w:sz w:val="24"/>
        </w:rPr>
      </w:pPr>
      <w:r>
        <w:rPr>
          <w:rFonts w:hint="eastAsia" w:ascii="宋体" w:hAnsi="宋体"/>
          <w:bCs/>
          <w:sz w:val="24"/>
        </w:rPr>
        <w:t>企业名称（盖章）：</w:t>
      </w:r>
    </w:p>
    <w:p>
      <w:pPr>
        <w:spacing w:line="360" w:lineRule="auto"/>
        <w:ind w:firstLine="194" w:firstLineChars="81"/>
        <w:jc w:val="right"/>
        <w:rPr>
          <w:rFonts w:ascii="宋体" w:hAnsi="宋体"/>
          <w:bCs/>
          <w:sz w:val="24"/>
        </w:rPr>
      </w:pPr>
    </w:p>
    <w:p>
      <w:pPr>
        <w:spacing w:line="360" w:lineRule="auto"/>
        <w:ind w:right="960" w:firstLine="5280" w:firstLineChars="2200"/>
        <w:rPr>
          <w:rFonts w:ascii="宋体" w:hAnsi="宋体"/>
          <w:bCs/>
          <w:sz w:val="24"/>
        </w:rPr>
      </w:pPr>
      <w:r>
        <w:rPr>
          <w:rFonts w:hint="eastAsia" w:ascii="宋体" w:hAnsi="宋体"/>
          <w:bCs/>
          <w:sz w:val="24"/>
        </w:rPr>
        <w:t>日期：</w:t>
      </w:r>
    </w:p>
    <w:p>
      <w:pPr>
        <w:rPr>
          <w:sz w:val="24"/>
        </w:rPr>
      </w:pPr>
    </w:p>
    <w:p>
      <w:pPr>
        <w:spacing w:line="360" w:lineRule="auto"/>
      </w:pPr>
      <w:r>
        <w:rPr>
          <w:rFonts w:hint="eastAsia"/>
        </w:rPr>
        <w:t>注：1.</w:t>
      </w:r>
      <w:r>
        <w:t>从业人员、营业收入、资产总额填报上一年度数据，无上一年度数据的新成立企业可不填报。</w:t>
      </w:r>
    </w:p>
    <w:p>
      <w:pPr>
        <w:spacing w:line="360" w:lineRule="auto"/>
      </w:pPr>
      <w:r>
        <w:rPr>
          <w:rFonts w:hint="eastAsia"/>
        </w:rPr>
        <w:t xml:space="preserve">    2. 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pStyle w:val="47"/>
        <w:ind w:firstLine="0" w:firstLineChars="0"/>
        <w:rPr>
          <w:rFonts w:ascii="黑体" w:eastAsia="黑体"/>
          <w:b w:val="0"/>
          <w:bCs/>
          <w:sz w:val="28"/>
          <w:szCs w:val="28"/>
        </w:rPr>
      </w:pPr>
      <w:r>
        <w:rPr>
          <w:rFonts w:hint="eastAsia" w:ascii="黑体" w:eastAsia="黑体"/>
          <w:b w:val="0"/>
          <w:bCs/>
          <w:sz w:val="28"/>
          <w:szCs w:val="28"/>
        </w:rPr>
        <w:br w:type="page"/>
      </w:r>
    </w:p>
    <w:p>
      <w:pPr>
        <w:pStyle w:val="47"/>
        <w:ind w:firstLine="0" w:firstLineChars="0"/>
        <w:rPr>
          <w:rFonts w:hint="eastAsia" w:ascii="黑体" w:hAnsi="宋体" w:eastAsia="黑体"/>
          <w:bCs/>
          <w:sz w:val="24"/>
          <w:szCs w:val="24"/>
        </w:rPr>
      </w:pPr>
    </w:p>
    <w:p>
      <w:pPr>
        <w:pStyle w:val="47"/>
        <w:ind w:firstLine="0" w:firstLineChars="0"/>
        <w:rPr>
          <w:rFonts w:ascii="黑体" w:hAnsi="宋体" w:eastAsia="黑体"/>
          <w:bCs/>
          <w:sz w:val="24"/>
          <w:szCs w:val="24"/>
        </w:rPr>
      </w:pPr>
      <w:r>
        <w:rPr>
          <w:rFonts w:hint="eastAsia" w:ascii="黑体" w:hAnsi="宋体" w:eastAsia="黑体"/>
          <w:b w:val="0"/>
          <w:bCs w:val="0"/>
          <w:sz w:val="24"/>
          <w:szCs w:val="24"/>
        </w:rPr>
        <w:t>（六）残疾人福利性单位声明函</w:t>
      </w:r>
    </w:p>
    <w:p>
      <w:pPr>
        <w:spacing w:line="588" w:lineRule="exact"/>
        <w:jc w:val="center"/>
        <w:rPr>
          <w:rFonts w:ascii="宋体" w:hAnsi="宋体" w:cs="宋体"/>
          <w:b/>
          <w:spacing w:val="6"/>
          <w:sz w:val="24"/>
          <w:szCs w:val="24"/>
        </w:rPr>
      </w:pPr>
      <w:bookmarkStart w:id="7" w:name="OLE_LINK14"/>
      <w:bookmarkStart w:id="8" w:name="OLE_LINK13"/>
      <w:r>
        <w:rPr>
          <w:rFonts w:hint="eastAsia" w:ascii="宋体" w:hAnsi="宋体" w:cs="宋体"/>
          <w:b/>
          <w:spacing w:val="6"/>
          <w:sz w:val="24"/>
          <w:szCs w:val="24"/>
        </w:rPr>
        <w:t>残疾人福利性单位声明函</w:t>
      </w:r>
    </w:p>
    <w:bookmarkEnd w:id="7"/>
    <w:bookmarkEnd w:id="8"/>
    <w:p>
      <w:pPr>
        <w:spacing w:line="588" w:lineRule="exact"/>
        <w:rPr>
          <w:rFonts w:ascii="宋体" w:hAnsi="宋体" w:cs="宋体"/>
          <w:b/>
          <w:spacing w:val="6"/>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outlineLvl w:val="0"/>
        <w:rPr>
          <w:rFonts w:ascii="黑体" w:eastAsia="黑体"/>
          <w:bCs/>
          <w:sz w:val="28"/>
          <w:szCs w:val="28"/>
        </w:rPr>
      </w:pPr>
    </w:p>
    <w:p>
      <w:pPr>
        <w:jc w:val="center"/>
        <w:outlineLvl w:val="0"/>
        <w:rPr>
          <w:rFonts w:ascii="黑体" w:eastAsia="黑体"/>
          <w:bCs/>
          <w:sz w:val="28"/>
          <w:szCs w:val="28"/>
        </w:rPr>
      </w:pPr>
    </w:p>
    <w:p>
      <w:pPr>
        <w:jc w:val="center"/>
        <w:outlineLvl w:val="0"/>
        <w:rPr>
          <w:rFonts w:ascii="黑体" w:eastAsia="黑体"/>
          <w:bCs/>
          <w:sz w:val="28"/>
          <w:szCs w:val="28"/>
        </w:rPr>
      </w:pPr>
    </w:p>
    <w:p>
      <w:pPr>
        <w:spacing w:line="588" w:lineRule="exact"/>
        <w:rPr>
          <w:rFonts w:ascii="宋体" w:hAnsi="宋体" w:cs="宋体"/>
          <w:bCs/>
          <w:sz w:val="24"/>
          <w:szCs w:val="24"/>
        </w:rPr>
      </w:pPr>
      <w:r>
        <w:rPr>
          <w:rFonts w:hint="eastAsia" w:ascii="宋体" w:hAnsi="宋体" w:cs="宋体"/>
          <w:bCs/>
          <w:sz w:val="24"/>
          <w:szCs w:val="24"/>
        </w:rPr>
        <w:t>如投标供应商不符合相关标准，本表可删除，无需列入投标文件。</w:t>
      </w: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hAnsi="宋体" w:eastAsia="黑体"/>
          <w:bCs/>
          <w:sz w:val="24"/>
          <w:szCs w:val="24"/>
        </w:rPr>
      </w:pPr>
    </w:p>
    <w:p>
      <w:pPr>
        <w:outlineLvl w:val="0"/>
        <w:rPr>
          <w:rFonts w:ascii="黑体" w:eastAsia="黑体"/>
          <w:bCs/>
          <w:sz w:val="28"/>
          <w:szCs w:val="28"/>
        </w:rPr>
      </w:pPr>
      <w:r>
        <w:rPr>
          <w:rFonts w:hint="eastAsia" w:ascii="黑体" w:hAnsi="宋体" w:eastAsia="黑体"/>
          <w:bCs/>
          <w:sz w:val="24"/>
          <w:szCs w:val="24"/>
        </w:rPr>
        <w:t>（七）承诺书（格式）</w:t>
      </w:r>
    </w:p>
    <w:p>
      <w:pPr>
        <w:jc w:val="center"/>
        <w:outlineLvl w:val="0"/>
        <w:rPr>
          <w:rFonts w:ascii="黑体" w:eastAsia="黑体"/>
          <w:bCs/>
          <w:sz w:val="28"/>
          <w:szCs w:val="28"/>
        </w:rPr>
      </w:pPr>
      <w:r>
        <w:rPr>
          <w:rFonts w:hint="eastAsia" w:ascii="黑体" w:eastAsia="黑体"/>
          <w:bCs/>
          <w:sz w:val="28"/>
          <w:szCs w:val="28"/>
        </w:rPr>
        <w:t>承诺书一</w:t>
      </w:r>
    </w:p>
    <w:p>
      <w:pPr>
        <w:spacing w:line="480" w:lineRule="auto"/>
        <w:rPr>
          <w:rFonts w:ascii="宋体"/>
          <w:sz w:val="24"/>
          <w:szCs w:val="24"/>
        </w:rPr>
      </w:pPr>
      <w:r>
        <w:rPr>
          <w:rFonts w:hint="eastAsia" w:ascii="宋体" w:hAnsi="宋体"/>
          <w:sz w:val="24"/>
          <w:szCs w:val="24"/>
        </w:rPr>
        <w:t>（</w:t>
      </w:r>
      <w:r>
        <w:rPr>
          <w:rFonts w:hint="eastAsia" w:ascii="宋体" w:hAnsi="宋体"/>
          <w:sz w:val="24"/>
        </w:rPr>
        <w:t>投标供应商</w:t>
      </w:r>
      <w:r>
        <w:rPr>
          <w:rFonts w:hint="eastAsia" w:ascii="宋体" w:hAnsi="宋体"/>
          <w:sz w:val="24"/>
          <w:szCs w:val="24"/>
        </w:rPr>
        <w:t>名称）在此承诺：</w:t>
      </w:r>
    </w:p>
    <w:p>
      <w:pPr>
        <w:spacing w:line="480" w:lineRule="auto"/>
        <w:ind w:firstLine="480" w:firstLineChars="200"/>
        <w:rPr>
          <w:rFonts w:ascii="宋体"/>
          <w:sz w:val="24"/>
          <w:szCs w:val="24"/>
        </w:rPr>
      </w:pPr>
    </w:p>
    <w:p>
      <w:pPr>
        <w:spacing w:line="480" w:lineRule="auto"/>
        <w:ind w:firstLine="480" w:firstLineChars="200"/>
        <w:rPr>
          <w:rFonts w:ascii="宋体"/>
          <w:bCs/>
          <w:sz w:val="24"/>
          <w:szCs w:val="24"/>
        </w:rPr>
      </w:pPr>
      <w:r>
        <w:rPr>
          <w:rFonts w:ascii="宋体" w:hAnsi="宋体"/>
          <w:sz w:val="24"/>
          <w:szCs w:val="24"/>
        </w:rPr>
        <w:t>1</w:t>
      </w:r>
      <w:r>
        <w:rPr>
          <w:rFonts w:hint="eastAsia" w:ascii="宋体" w:hAnsi="宋体"/>
          <w:sz w:val="24"/>
          <w:szCs w:val="24"/>
        </w:rPr>
        <w:t>．</w:t>
      </w:r>
      <w:r>
        <w:rPr>
          <w:rFonts w:hint="eastAsia" w:ascii="宋体" w:hAnsi="宋体" w:cs="宋体"/>
          <w:sz w:val="24"/>
        </w:rPr>
        <w:t>本公司（单位）对本项目提供符合招标要求的货物和服务；</w:t>
      </w:r>
    </w:p>
    <w:p>
      <w:pPr>
        <w:spacing w:line="48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列入失信执行人、重大税收违法案件当事人名单、政府采购严重违法失信行为记录名单。</w:t>
      </w:r>
    </w:p>
    <w:p>
      <w:pPr>
        <w:spacing w:line="480" w:lineRule="auto"/>
        <w:ind w:firstLine="480" w:firstLineChars="200"/>
        <w:rPr>
          <w:rFonts w:ascii="宋体" w:hAnsi="宋体"/>
          <w:sz w:val="24"/>
          <w:szCs w:val="24"/>
        </w:rPr>
      </w:pPr>
    </w:p>
    <w:p>
      <w:pPr>
        <w:spacing w:line="480" w:lineRule="auto"/>
        <w:ind w:firstLine="480" w:firstLineChars="200"/>
        <w:rPr>
          <w:rFonts w:asci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before="240" w:line="360" w:lineRule="auto"/>
        <w:ind w:firstLine="480"/>
        <w:rPr>
          <w:rFonts w:ascii="宋体" w:hAnsi="宋体"/>
          <w:sz w:val="24"/>
        </w:rPr>
      </w:pPr>
    </w:p>
    <w:p>
      <w:pPr>
        <w:spacing w:before="240" w:line="360" w:lineRule="auto"/>
        <w:ind w:right="480" w:firstLine="3480" w:firstLineChars="1450"/>
        <w:rPr>
          <w:rFonts w:ascii="宋体" w:hAnsi="宋体"/>
          <w:sz w:val="24"/>
        </w:rPr>
      </w:pPr>
      <w:r>
        <w:rPr>
          <w:rFonts w:hint="eastAsia" w:ascii="宋体" w:hAnsi="宋体"/>
          <w:sz w:val="24"/>
        </w:rPr>
        <w:t>投标供应商：（公章）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或其授权代理人</w:t>
      </w:r>
      <w:r>
        <w:rPr>
          <w:rFonts w:ascii="宋体" w:hAnsi="宋体"/>
          <w:sz w:val="24"/>
        </w:rPr>
        <w:t>：   （签字</w:t>
      </w:r>
      <w:r>
        <w:rPr>
          <w:rFonts w:hint="eastAsia" w:ascii="宋体" w:hAnsi="宋体"/>
          <w:sz w:val="24"/>
        </w:rPr>
        <w:t>或盖章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spacing w:before="240" w:line="360" w:lineRule="auto"/>
        <w:ind w:firstLine="480"/>
        <w:jc w:val="right"/>
        <w:rPr>
          <w:rFonts w:ascii="宋体" w:hAnsi="宋体"/>
          <w:sz w:val="24"/>
        </w:rPr>
      </w:pPr>
    </w:p>
    <w:p>
      <w:pPr>
        <w:spacing w:before="240" w:line="360" w:lineRule="auto"/>
        <w:ind w:firstLine="480"/>
        <w:jc w:val="right"/>
        <w:rPr>
          <w:rFonts w:ascii="宋体" w:hAnsi="宋体"/>
          <w:sz w:val="24"/>
        </w:rPr>
      </w:pPr>
    </w:p>
    <w:p>
      <w:pPr>
        <w:spacing w:before="240" w:line="360" w:lineRule="auto"/>
        <w:ind w:firstLine="480"/>
        <w:jc w:val="right"/>
        <w:rPr>
          <w:rFonts w:ascii="宋体" w:hAnsi="宋体"/>
          <w:sz w:val="24"/>
        </w:rPr>
      </w:pPr>
    </w:p>
    <w:p>
      <w:pPr>
        <w:pStyle w:val="47"/>
        <w:ind w:firstLine="482"/>
        <w:rPr>
          <w:rFonts w:ascii="宋体" w:hAnsi="宋体"/>
          <w:sz w:val="24"/>
        </w:rPr>
      </w:pPr>
    </w:p>
    <w:p>
      <w:pPr>
        <w:pStyle w:val="47"/>
        <w:ind w:firstLine="482"/>
        <w:rPr>
          <w:rFonts w:ascii="宋体" w:hAnsi="宋体"/>
          <w:sz w:val="24"/>
        </w:rPr>
      </w:pPr>
    </w:p>
    <w:p>
      <w:pPr>
        <w:pStyle w:val="47"/>
        <w:ind w:firstLine="482"/>
        <w:rPr>
          <w:rFonts w:ascii="宋体" w:hAnsi="宋体"/>
          <w:sz w:val="24"/>
        </w:rPr>
      </w:pPr>
    </w:p>
    <w:p>
      <w:pPr>
        <w:pStyle w:val="47"/>
        <w:ind w:firstLine="482"/>
        <w:rPr>
          <w:rFonts w:ascii="宋体" w:hAnsi="宋体"/>
          <w:sz w:val="24"/>
        </w:rPr>
      </w:pPr>
    </w:p>
    <w:p>
      <w:pPr>
        <w:pStyle w:val="47"/>
        <w:ind w:firstLine="482"/>
        <w:rPr>
          <w:rFonts w:ascii="宋体" w:hAnsi="宋体"/>
          <w:sz w:val="24"/>
        </w:rPr>
      </w:pPr>
    </w:p>
    <w:p>
      <w:pPr>
        <w:spacing w:before="240" w:line="360" w:lineRule="auto"/>
        <w:ind w:firstLine="480"/>
        <w:jc w:val="right"/>
        <w:rPr>
          <w:rFonts w:ascii="宋体" w:hAnsi="宋体"/>
          <w:sz w:val="24"/>
        </w:rPr>
      </w:pPr>
    </w:p>
    <w:p>
      <w:pPr>
        <w:pStyle w:val="4"/>
        <w:rPr>
          <w:rFonts w:ascii="宋体" w:hAnsi="宋体" w:eastAsia="宋体"/>
          <w:bCs w:val="0"/>
          <w:sz w:val="28"/>
          <w:szCs w:val="28"/>
        </w:rPr>
      </w:pPr>
    </w:p>
    <w:p>
      <w:pPr>
        <w:pStyle w:val="4"/>
        <w:rPr>
          <w:rFonts w:ascii="宋体" w:hAnsi="宋体" w:eastAsia="宋体"/>
          <w:sz w:val="28"/>
          <w:szCs w:val="28"/>
        </w:rPr>
      </w:pPr>
      <w:r>
        <w:rPr>
          <w:rFonts w:hint="eastAsia" w:ascii="宋体" w:hAnsi="宋体" w:eastAsia="宋体"/>
          <w:bCs w:val="0"/>
          <w:sz w:val="28"/>
          <w:szCs w:val="28"/>
        </w:rPr>
        <w:t>承诺书二</w:t>
      </w:r>
    </w:p>
    <w:p>
      <w:pPr>
        <w:spacing w:line="520" w:lineRule="exact"/>
        <w:ind w:firstLine="480" w:firstLineChars="200"/>
        <w:rPr>
          <w:rFonts w:ascii="宋体" w:hAnsi="宋体"/>
          <w:sz w:val="24"/>
        </w:rPr>
      </w:pPr>
      <w:r>
        <w:rPr>
          <w:rFonts w:hint="eastAsia" w:ascii="宋体" w:hAnsi="宋体"/>
          <w:sz w:val="24"/>
        </w:rPr>
        <w:t>为了积极配合贵单位的招标工作，有效遏制不公平竞争和违规违纪问题的发生，确保招标工作的公平、公正、公开，我们保证认真贯彻《招投标法》等相关规定以及相关廉洁要求，特向贵单位承诺如下事项：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sz w:val="24"/>
        </w:rPr>
      </w:pPr>
      <w:r>
        <w:rPr>
          <w:rFonts w:hint="eastAsia" w:ascii="宋体" w:hAnsi="宋体"/>
          <w:sz w:val="24"/>
        </w:rPr>
        <w:t>1、自觉遵守国家法律法规及有关廉政建设制度。</w:t>
      </w:r>
    </w:p>
    <w:p>
      <w:pPr>
        <w:spacing w:line="520" w:lineRule="exact"/>
        <w:ind w:firstLine="480" w:firstLineChars="200"/>
        <w:rPr>
          <w:rFonts w:ascii="宋体" w:hAnsi="宋体"/>
          <w:sz w:val="24"/>
        </w:rPr>
      </w:pPr>
      <w:r>
        <w:rPr>
          <w:rFonts w:hint="eastAsia" w:ascii="宋体" w:hAnsi="宋体"/>
          <w:sz w:val="24"/>
        </w:rPr>
        <w:t>2、主动了解贵单位招投标纪律，积极配合贵单位执行招投标廉政建设的有关规定。</w:t>
      </w:r>
    </w:p>
    <w:p>
      <w:pPr>
        <w:spacing w:line="520" w:lineRule="exact"/>
        <w:ind w:firstLine="480" w:firstLineChars="200"/>
        <w:rPr>
          <w:rFonts w:ascii="宋体" w:hAnsi="宋体"/>
          <w:sz w:val="24"/>
        </w:rPr>
      </w:pPr>
      <w:r>
        <w:rPr>
          <w:rFonts w:hint="eastAsia" w:ascii="宋体" w:hAnsi="宋体"/>
          <w:sz w:val="24"/>
        </w:rPr>
        <w:t>3、不使用不正当手段妨碍、排挤其他投标供应商或串通投标。</w:t>
      </w:r>
    </w:p>
    <w:p>
      <w:pPr>
        <w:spacing w:line="520" w:lineRule="exact"/>
        <w:ind w:firstLine="480" w:firstLineChars="200"/>
        <w:rPr>
          <w:rFonts w:ascii="宋体" w:hAnsi="宋体"/>
          <w:sz w:val="24"/>
        </w:rPr>
      </w:pPr>
      <w:r>
        <w:rPr>
          <w:rFonts w:hint="eastAsia" w:ascii="宋体" w:hAnsi="宋体"/>
          <w:sz w:val="24"/>
        </w:rPr>
        <w:t>4、按照采购文件规定的方式进行投标，不隐瞒本单位投标资质的真实情况，投标资质符合规定。</w:t>
      </w:r>
    </w:p>
    <w:p>
      <w:pPr>
        <w:spacing w:line="520" w:lineRule="exact"/>
        <w:ind w:firstLine="480" w:firstLineChars="200"/>
        <w:rPr>
          <w:rFonts w:ascii="宋体" w:hAnsi="宋体"/>
          <w:sz w:val="24"/>
        </w:rPr>
      </w:pPr>
      <w:r>
        <w:rPr>
          <w:rFonts w:hint="eastAsia" w:ascii="宋体" w:hAnsi="宋体"/>
          <w:sz w:val="24"/>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20" w:lineRule="exact"/>
        <w:ind w:firstLine="480" w:firstLineChars="200"/>
        <w:rPr>
          <w:rFonts w:ascii="宋体" w:hAnsi="宋体"/>
          <w:sz w:val="24"/>
        </w:rPr>
      </w:pPr>
      <w:r>
        <w:rPr>
          <w:rFonts w:hint="eastAsia" w:ascii="宋体" w:hAnsi="宋体"/>
          <w:sz w:val="24"/>
        </w:rPr>
        <w:t>6、不向涉及招标的单位及个人购置或提供通讯工具、交通工具和高档办公用品等。</w:t>
      </w:r>
    </w:p>
    <w:p>
      <w:pPr>
        <w:spacing w:line="520" w:lineRule="exact"/>
        <w:ind w:firstLine="480" w:firstLineChars="200"/>
        <w:rPr>
          <w:rFonts w:ascii="宋体" w:hAnsi="宋体"/>
          <w:sz w:val="24"/>
        </w:rPr>
      </w:pPr>
      <w:r>
        <w:rPr>
          <w:rFonts w:hint="eastAsia" w:ascii="宋体" w:hAnsi="宋体"/>
          <w:sz w:val="24"/>
        </w:rPr>
        <w:t>7、不向涉及招标的单位及个人的配偶、子女、亲属分包此次招标项目。</w:t>
      </w:r>
    </w:p>
    <w:p>
      <w:pPr>
        <w:spacing w:line="520" w:lineRule="exact"/>
        <w:ind w:firstLine="480" w:firstLineChars="200"/>
        <w:rPr>
          <w:rFonts w:ascii="宋体" w:hAnsi="宋体"/>
          <w:sz w:val="24"/>
        </w:rPr>
      </w:pPr>
      <w:r>
        <w:rPr>
          <w:rFonts w:hint="eastAsia" w:ascii="宋体" w:hAnsi="宋体"/>
          <w:sz w:val="24"/>
        </w:rPr>
        <w:t>8、不向涉及招标的单位及个人支付好处费、介绍费。</w:t>
      </w:r>
    </w:p>
    <w:p>
      <w:pPr>
        <w:spacing w:line="520" w:lineRule="exact"/>
        <w:ind w:firstLine="480" w:firstLineChars="200"/>
        <w:rPr>
          <w:rFonts w:ascii="宋体" w:hAnsi="宋体"/>
          <w:sz w:val="24"/>
        </w:rPr>
      </w:pPr>
      <w:r>
        <w:rPr>
          <w:rFonts w:hint="eastAsia" w:ascii="宋体" w:hAnsi="宋体"/>
          <w:sz w:val="24"/>
        </w:rPr>
        <w:t>9、一旦发现相关人员在招标过程中有索要财物等不廉洁行为，坚决予以抵制，并及时向贵单位纪检监察室举报。</w:t>
      </w:r>
    </w:p>
    <w:p>
      <w:pPr>
        <w:spacing w:line="520" w:lineRule="exact"/>
        <w:ind w:firstLine="480" w:firstLineChars="200"/>
        <w:rPr>
          <w:rFonts w:ascii="宋体" w:hAnsi="宋体"/>
          <w:sz w:val="24"/>
        </w:rPr>
      </w:pPr>
      <w:r>
        <w:rPr>
          <w:rFonts w:hint="eastAsia" w:ascii="宋体" w:hAnsi="宋体"/>
          <w:sz w:val="24"/>
        </w:rPr>
        <w:t>我们若违反上述承诺，愿接收取消投标资格及其他任何形式的处理。</w:t>
      </w:r>
    </w:p>
    <w:p>
      <w:pPr>
        <w:spacing w:before="240" w:line="360" w:lineRule="auto"/>
        <w:ind w:right="480" w:firstLine="3480" w:firstLineChars="1450"/>
        <w:rPr>
          <w:rFonts w:ascii="宋体" w:hAnsi="宋体"/>
          <w:sz w:val="24"/>
        </w:rPr>
      </w:pPr>
      <w:r>
        <w:rPr>
          <w:rFonts w:hint="eastAsia" w:ascii="宋体" w:hAnsi="宋体"/>
          <w:sz w:val="24"/>
        </w:rPr>
        <w:t>投标供应商：（公章）</w:t>
      </w:r>
    </w:p>
    <w:p>
      <w:pPr>
        <w:wordWrap w:val="0"/>
        <w:spacing w:before="240" w:line="360" w:lineRule="auto"/>
        <w:ind w:firstLine="480"/>
        <w:jc w:val="right"/>
        <w:rPr>
          <w:sz w:val="24"/>
        </w:rPr>
      </w:pPr>
      <w:r>
        <w:rPr>
          <w:rFonts w:ascii="宋体" w:hAnsi="宋体"/>
          <w:sz w:val="24"/>
        </w:rPr>
        <w:t>法定代表人</w:t>
      </w:r>
      <w:r>
        <w:rPr>
          <w:rFonts w:hint="eastAsia" w:ascii="宋体" w:hAnsi="宋体"/>
          <w:sz w:val="24"/>
        </w:rPr>
        <w:t>或其授权代理人</w:t>
      </w:r>
      <w:r>
        <w:rPr>
          <w:rFonts w:ascii="宋体" w:hAnsi="宋体"/>
          <w:sz w:val="24"/>
        </w:rPr>
        <w:t>：   （签字</w:t>
      </w:r>
      <w:r>
        <w:rPr>
          <w:rFonts w:hint="eastAsia" w:ascii="宋体" w:hAnsi="宋体"/>
          <w:sz w:val="24"/>
        </w:rPr>
        <w:t>或盖章</w:t>
      </w:r>
      <w:r>
        <w:rPr>
          <w:rFonts w:ascii="宋体" w:hAnsi="宋体"/>
          <w:sz w:val="24"/>
        </w:rPr>
        <w:t>）</w:t>
      </w:r>
    </w:p>
    <w:p>
      <w:pPr>
        <w:spacing w:before="240" w:line="360" w:lineRule="auto"/>
        <w:ind w:right="480" w:firstLine="480"/>
        <w:jc w:val="center"/>
        <w:rPr>
          <w:rFonts w:ascii="宋体" w:hAnsi="宋体"/>
          <w:sz w:val="24"/>
        </w:rPr>
      </w:pPr>
      <w:r>
        <w:rPr>
          <w:rFonts w:hint="eastAsia" w:ascii="宋体" w:hAnsi="宋体"/>
          <w:sz w:val="24"/>
        </w:rPr>
        <w:t xml:space="preserve">                                              年    月    日</w:t>
      </w:r>
      <w:r>
        <w:rPr>
          <w:rFonts w:ascii="宋体" w:hAnsi="宋体"/>
          <w:sz w:val="24"/>
        </w:rPr>
        <w:t xml:space="preserve">   </w:t>
      </w:r>
    </w:p>
    <w:p>
      <w:pPr>
        <w:pStyle w:val="17"/>
        <w:spacing w:line="360" w:lineRule="auto"/>
        <w:ind w:left="0" w:right="34"/>
        <w:rPr>
          <w:rFonts w:ascii="宋体" w:hAnsi="宋体"/>
          <w:szCs w:val="24"/>
        </w:rPr>
      </w:pPr>
    </w:p>
    <w:p>
      <w:pPr>
        <w:pStyle w:val="17"/>
        <w:spacing w:line="360" w:lineRule="auto"/>
        <w:ind w:left="0" w:right="34"/>
        <w:rPr>
          <w:rFonts w:ascii="宋体" w:hAnsi="宋体"/>
          <w:szCs w:val="24"/>
        </w:rPr>
      </w:pPr>
    </w:p>
    <w:p>
      <w:pPr>
        <w:pStyle w:val="17"/>
        <w:spacing w:line="360" w:lineRule="auto"/>
        <w:ind w:left="0" w:right="34"/>
        <w:rPr>
          <w:rFonts w:ascii="宋体" w:hAnsi="宋体"/>
          <w:szCs w:val="24"/>
        </w:rPr>
      </w:pPr>
    </w:p>
    <w:p>
      <w:pPr>
        <w:pStyle w:val="17"/>
        <w:spacing w:line="360" w:lineRule="auto"/>
        <w:ind w:left="0" w:right="34"/>
        <w:rPr>
          <w:rFonts w:ascii="宋体" w:hAnsi="宋体"/>
          <w:szCs w:val="24"/>
        </w:rPr>
      </w:pPr>
    </w:p>
    <w:p>
      <w:pPr>
        <w:pStyle w:val="17"/>
        <w:spacing w:line="360" w:lineRule="auto"/>
        <w:ind w:left="0" w:right="34"/>
        <w:rPr>
          <w:rFonts w:ascii="宋体" w:hAnsi="宋体"/>
          <w:szCs w:val="24"/>
        </w:rPr>
      </w:pPr>
    </w:p>
    <w:p>
      <w:pPr>
        <w:pStyle w:val="17"/>
        <w:spacing w:line="360" w:lineRule="auto"/>
        <w:ind w:left="0" w:right="34"/>
        <w:rPr>
          <w:rFonts w:ascii="宋体" w:hAnsi="宋体"/>
          <w:szCs w:val="24"/>
        </w:rPr>
      </w:pPr>
    </w:p>
    <w:p>
      <w:pPr>
        <w:outlineLvl w:val="0"/>
        <w:rPr>
          <w:rFonts w:ascii="黑体" w:eastAsia="黑体"/>
          <w:bCs/>
          <w:sz w:val="28"/>
          <w:szCs w:val="28"/>
        </w:rPr>
      </w:pPr>
      <w:r>
        <w:rPr>
          <w:rFonts w:hint="eastAsia" w:ascii="黑体" w:hAnsi="宋体" w:eastAsia="黑体"/>
          <w:bCs/>
          <w:sz w:val="24"/>
          <w:szCs w:val="24"/>
        </w:rPr>
        <w:t>（八）（投标供应商）关于资格的声明函（格式）：</w:t>
      </w:r>
    </w:p>
    <w:p>
      <w:pPr>
        <w:spacing w:line="360" w:lineRule="auto"/>
        <w:rPr>
          <w:rFonts w:ascii="黑体" w:eastAsia="黑体"/>
          <w:bCs/>
          <w:sz w:val="36"/>
        </w:rPr>
      </w:pPr>
    </w:p>
    <w:p>
      <w:pPr>
        <w:jc w:val="center"/>
        <w:outlineLvl w:val="0"/>
        <w:rPr>
          <w:rFonts w:ascii="黑体" w:eastAsia="黑体"/>
          <w:bCs/>
          <w:sz w:val="28"/>
          <w:szCs w:val="28"/>
        </w:rPr>
      </w:pPr>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hAnsi="宋体"/>
          <w:bCs/>
          <w:sz w:val="24"/>
          <w:szCs w:val="24"/>
        </w:rPr>
      </w:pPr>
      <w:r>
        <w:rPr>
          <w:rFonts w:hint="eastAsia" w:ascii="宋体" w:hAnsi="宋体"/>
          <w:bCs/>
          <w:sz w:val="24"/>
          <w:szCs w:val="24"/>
        </w:rPr>
        <w:t xml:space="preserve"> 政府采购编号：</w:t>
      </w:r>
    </w:p>
    <w:p>
      <w:pPr>
        <w:tabs>
          <w:tab w:val="left" w:pos="6300"/>
        </w:tabs>
        <w:spacing w:line="480" w:lineRule="auto"/>
        <w:jc w:val="center"/>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（采购代理机构）：</w:t>
      </w:r>
    </w:p>
    <w:p>
      <w:pPr>
        <w:spacing w:line="480" w:lineRule="auto"/>
        <w:rPr>
          <w:rFonts w:ascii="宋体" w:hAnsi="宋体"/>
          <w:bCs/>
          <w:sz w:val="24"/>
          <w:szCs w:val="24"/>
        </w:rPr>
      </w:pPr>
    </w:p>
    <w:p>
      <w:pPr>
        <w:spacing w:line="480" w:lineRule="auto"/>
        <w:ind w:firstLine="480"/>
        <w:rPr>
          <w:rFonts w:ascii="宋体" w:hAnsi="宋体"/>
          <w:bCs/>
          <w:sz w:val="24"/>
          <w:szCs w:val="24"/>
        </w:rPr>
      </w:pPr>
      <w:r>
        <w:rPr>
          <w:rFonts w:hint="eastAsia" w:ascii="宋体" w:hAnsi="宋体"/>
          <w:bCs/>
          <w:sz w:val="24"/>
          <w:szCs w:val="24"/>
        </w:rPr>
        <w:t>我公司（单位）参加本次项目（编号：</w:t>
      </w:r>
      <w:r>
        <w:rPr>
          <w:rFonts w:hint="eastAsia" w:ascii="黑体" w:eastAsia="黑体"/>
          <w:bCs/>
          <w:sz w:val="24"/>
          <w:szCs w:val="24"/>
        </w:rPr>
        <w:t>________）</w:t>
      </w:r>
      <w:r>
        <w:rPr>
          <w:rFonts w:hint="eastAsia" w:ascii="宋体" w:hAnsi="宋体"/>
          <w:bCs/>
          <w:sz w:val="24"/>
          <w:szCs w:val="24"/>
        </w:rPr>
        <w:t>政府采购活动前三年内，在经营活动中没有重大违法记录。</w:t>
      </w:r>
    </w:p>
    <w:p>
      <w:pPr>
        <w:spacing w:line="480" w:lineRule="auto"/>
        <w:ind w:firstLine="480"/>
        <w:rPr>
          <w:rFonts w:ascii="宋体" w:hAnsi="宋体"/>
          <w:bCs/>
          <w:sz w:val="24"/>
          <w:szCs w:val="24"/>
        </w:rPr>
      </w:pPr>
      <w:r>
        <w:rPr>
          <w:rFonts w:hint="eastAsia" w:ascii="宋体" w:hAnsi="宋体"/>
          <w:bCs/>
          <w:sz w:val="24"/>
          <w:szCs w:val="24"/>
        </w:rPr>
        <w:t>我公司（单位）愿针对本次项目（编号：</w:t>
      </w:r>
      <w:r>
        <w:rPr>
          <w:rFonts w:hint="eastAsia" w:ascii="黑体" w:eastAsia="黑体"/>
          <w:bCs/>
          <w:sz w:val="24"/>
          <w:szCs w:val="24"/>
        </w:rPr>
        <w:t>________）</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hAnsi="宋体"/>
          <w:bCs/>
          <w:sz w:val="24"/>
          <w:szCs w:val="24"/>
        </w:rPr>
      </w:pPr>
    </w:p>
    <w:p>
      <w:pPr>
        <w:spacing w:line="480" w:lineRule="auto"/>
        <w:rPr>
          <w:rFonts w:ascii="宋体" w:hAnsi="宋体"/>
          <w:bCs/>
          <w:sz w:val="24"/>
          <w:szCs w:val="24"/>
        </w:rPr>
      </w:pPr>
      <w:r>
        <w:rPr>
          <w:rFonts w:hint="eastAsia" w:ascii="宋体" w:hAnsi="宋体"/>
          <w:bCs/>
          <w:sz w:val="24"/>
          <w:szCs w:val="24"/>
        </w:rPr>
        <w:t xml:space="preserve">                                     投标供应商（盖章）：</w:t>
      </w:r>
    </w:p>
    <w:p>
      <w:pPr>
        <w:spacing w:line="480" w:lineRule="auto"/>
        <w:rPr>
          <w:rFonts w:ascii="宋体" w:hAnsi="宋体"/>
          <w:bCs/>
          <w:sz w:val="24"/>
          <w:szCs w:val="24"/>
        </w:rPr>
      </w:pPr>
      <w:r>
        <w:rPr>
          <w:rFonts w:hint="eastAsia" w:ascii="宋体" w:hAnsi="宋体"/>
          <w:bCs/>
          <w:sz w:val="24"/>
          <w:szCs w:val="24"/>
        </w:rPr>
        <w:t xml:space="preserve">                           法定代表人（签字或盖章）：</w:t>
      </w:r>
    </w:p>
    <w:p>
      <w:pPr>
        <w:tabs>
          <w:tab w:val="left" w:pos="6300"/>
        </w:tabs>
        <w:spacing w:line="480" w:lineRule="auto"/>
        <w:jc w:val="center"/>
        <w:rPr>
          <w:rFonts w:ascii="宋体" w:hAnsi="宋体"/>
          <w:bCs/>
          <w:sz w:val="24"/>
          <w:szCs w:val="24"/>
        </w:rPr>
      </w:pPr>
      <w:r>
        <w:rPr>
          <w:rFonts w:hint="eastAsia" w:ascii="宋体" w:hAnsi="宋体"/>
          <w:bCs/>
          <w:sz w:val="24"/>
          <w:szCs w:val="24"/>
        </w:rPr>
        <w:t xml:space="preserve">                  日期：</w:t>
      </w:r>
    </w:p>
    <w:p>
      <w:pPr>
        <w:jc w:val="center"/>
      </w:pPr>
    </w:p>
    <w:p>
      <w:pPr>
        <w:tabs>
          <w:tab w:val="left" w:pos="2629"/>
        </w:tabs>
        <w:spacing w:line="360" w:lineRule="auto"/>
        <w:jc w:val="left"/>
        <w:rPr>
          <w:sz w:val="24"/>
          <w:szCs w:val="24"/>
        </w:rPr>
      </w:pPr>
    </w:p>
    <w:p>
      <w:pPr>
        <w:tabs>
          <w:tab w:val="left" w:pos="2629"/>
        </w:tabs>
        <w:spacing w:line="360" w:lineRule="auto"/>
        <w:jc w:val="left"/>
        <w:rPr>
          <w:sz w:val="24"/>
          <w:szCs w:val="24"/>
        </w:rPr>
      </w:pPr>
    </w:p>
    <w:p>
      <w:pPr>
        <w:tabs>
          <w:tab w:val="left" w:pos="2629"/>
        </w:tabs>
        <w:spacing w:line="360" w:lineRule="auto"/>
        <w:jc w:val="left"/>
        <w:rPr>
          <w:sz w:val="24"/>
          <w:szCs w:val="24"/>
        </w:rPr>
      </w:pPr>
    </w:p>
    <w:p>
      <w:pPr>
        <w:tabs>
          <w:tab w:val="left" w:pos="2629"/>
        </w:tabs>
        <w:spacing w:line="360" w:lineRule="auto"/>
        <w:jc w:val="left"/>
        <w:rPr>
          <w:sz w:val="24"/>
          <w:szCs w:val="24"/>
        </w:rPr>
      </w:pPr>
    </w:p>
    <w:p>
      <w:pPr>
        <w:tabs>
          <w:tab w:val="left" w:pos="2629"/>
        </w:tabs>
        <w:spacing w:line="360" w:lineRule="auto"/>
        <w:jc w:val="left"/>
        <w:rPr>
          <w:sz w:val="24"/>
          <w:szCs w:val="24"/>
        </w:rPr>
      </w:pPr>
    </w:p>
    <w:p>
      <w:pPr>
        <w:tabs>
          <w:tab w:val="left" w:pos="2629"/>
        </w:tabs>
        <w:spacing w:line="360" w:lineRule="auto"/>
        <w:jc w:val="left"/>
        <w:rPr>
          <w:sz w:val="24"/>
          <w:szCs w:val="24"/>
        </w:rPr>
      </w:pPr>
    </w:p>
    <w:p>
      <w:pPr>
        <w:tabs>
          <w:tab w:val="left" w:pos="2629"/>
        </w:tabs>
        <w:spacing w:line="360" w:lineRule="auto"/>
        <w:jc w:val="left"/>
        <w:rPr>
          <w:sz w:val="24"/>
          <w:szCs w:val="24"/>
        </w:rPr>
      </w:pPr>
    </w:p>
    <w:p>
      <w:pPr>
        <w:pStyle w:val="14"/>
      </w:pPr>
    </w:p>
    <w:p>
      <w:pPr>
        <w:tabs>
          <w:tab w:val="left" w:pos="2629"/>
        </w:tabs>
        <w:spacing w:line="360" w:lineRule="auto"/>
        <w:jc w:val="left"/>
        <w:rPr>
          <w:sz w:val="24"/>
          <w:szCs w:val="24"/>
        </w:rPr>
      </w:pPr>
    </w:p>
    <w:p>
      <w:pPr>
        <w:outlineLvl w:val="0"/>
        <w:rPr>
          <w:rFonts w:ascii="宋体" w:hAnsi="宋体" w:cs="宋体"/>
          <w:b/>
          <w:sz w:val="28"/>
          <w:szCs w:val="28"/>
        </w:rPr>
      </w:pPr>
      <w:r>
        <w:rPr>
          <w:rFonts w:hint="eastAsia" w:ascii="黑体" w:hAnsi="宋体" w:eastAsia="黑体"/>
          <w:bCs/>
          <w:sz w:val="24"/>
          <w:szCs w:val="24"/>
        </w:rPr>
        <w:t>（九）投标偏离表（格式）：</w:t>
      </w:r>
    </w:p>
    <w:p>
      <w:pPr>
        <w:jc w:val="center"/>
        <w:outlineLvl w:val="0"/>
        <w:rPr>
          <w:rFonts w:ascii="宋体" w:hAnsi="宋体" w:cs="宋体"/>
          <w:b/>
          <w:sz w:val="28"/>
          <w:szCs w:val="28"/>
        </w:rPr>
      </w:pPr>
      <w:r>
        <w:rPr>
          <w:rFonts w:hint="eastAsia" w:ascii="黑体" w:eastAsia="黑体"/>
          <w:bCs/>
          <w:sz w:val="28"/>
          <w:szCs w:val="28"/>
        </w:rPr>
        <w:t>服务偏离表</w:t>
      </w:r>
    </w:p>
    <w:p>
      <w:pPr>
        <w:spacing w:line="400" w:lineRule="exact"/>
        <w:jc w:val="center"/>
        <w:outlineLvl w:val="0"/>
        <w:rPr>
          <w:rFonts w:ascii="宋体" w:hAnsi="宋体" w:cs="宋体"/>
          <w:bCs/>
          <w:sz w:val="28"/>
          <w:szCs w:val="28"/>
        </w:rPr>
      </w:pPr>
    </w:p>
    <w:p>
      <w:pPr>
        <w:spacing w:line="400" w:lineRule="exact"/>
        <w:rPr>
          <w:rFonts w:ascii="宋体" w:hAnsi="宋体" w:cs="宋体"/>
          <w:bCs/>
          <w:sz w:val="24"/>
        </w:rPr>
      </w:pPr>
      <w:r>
        <w:rPr>
          <w:rFonts w:hint="eastAsia" w:ascii="宋体" w:hAnsi="宋体" w:cs="宋体"/>
          <w:bCs/>
          <w:sz w:val="24"/>
        </w:rPr>
        <w:t>投标人名称（盖章）                                政府采购编号：</w:t>
      </w:r>
    </w:p>
    <w:tbl>
      <w:tblPr>
        <w:tblStyle w:val="48"/>
        <w:tblW w:w="0" w:type="auto"/>
        <w:tblInd w:w="-279" w:type="dxa"/>
        <w:tblLayout w:type="fixed"/>
        <w:tblCellMar>
          <w:top w:w="0" w:type="dxa"/>
          <w:left w:w="0" w:type="dxa"/>
          <w:bottom w:w="0" w:type="dxa"/>
          <w:right w:w="0" w:type="dxa"/>
        </w:tblCellMar>
      </w:tblPr>
      <w:tblGrid>
        <w:gridCol w:w="993"/>
        <w:gridCol w:w="1418"/>
        <w:gridCol w:w="2976"/>
        <w:gridCol w:w="2127"/>
        <w:gridCol w:w="2628"/>
      </w:tblGrid>
      <w:tr>
        <w:tblPrEx>
          <w:tblCellMar>
            <w:top w:w="0" w:type="dxa"/>
            <w:left w:w="0" w:type="dxa"/>
            <w:bottom w:w="0" w:type="dxa"/>
            <w:right w:w="0" w:type="dxa"/>
          </w:tblCellMar>
        </w:tblPrEx>
        <w:trPr>
          <w:cantSplit/>
          <w:trHeight w:val="555"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序号</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sz w:val="24"/>
              </w:rPr>
            </w:pPr>
            <w:r>
              <w:rPr>
                <w:rFonts w:hint="eastAsia" w:ascii="宋体" w:hAnsi="宋体" w:cs="宋体"/>
                <w:b/>
                <w:bCs/>
                <w:sz w:val="24"/>
              </w:rPr>
              <w:t>项目</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对应采购要求描述</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偏离说明</w:t>
            </w:r>
          </w:p>
          <w:p>
            <w:pPr>
              <w:jc w:val="center"/>
              <w:rPr>
                <w:rFonts w:ascii="宋体" w:hAnsi="宋体" w:cs="宋体"/>
                <w:b/>
                <w:bCs/>
                <w:sz w:val="24"/>
              </w:rPr>
            </w:pPr>
            <w:r>
              <w:rPr>
                <w:rFonts w:hint="eastAsia" w:ascii="宋体" w:hAnsi="宋体" w:cs="宋体"/>
                <w:b/>
                <w:bCs/>
                <w:sz w:val="24"/>
              </w:rPr>
              <w:t>（响应/正偏离）</w:t>
            </w: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正偏离内容及指标</w:t>
            </w: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bCs/>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2</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3</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4</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5</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6</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7</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8</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9</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10</w:t>
            </w: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r>
        <w:tblPrEx>
          <w:tblCellMar>
            <w:top w:w="0" w:type="dxa"/>
            <w:left w:w="0" w:type="dxa"/>
            <w:bottom w:w="0" w:type="dxa"/>
            <w:right w:w="0" w:type="dxa"/>
          </w:tblCellMar>
        </w:tblPrEx>
        <w:trPr>
          <w:cantSplit/>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rPr>
            </w:pP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p>
        </w:tc>
      </w:tr>
    </w:tbl>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sz w:val="24"/>
        </w:rPr>
      </w:pPr>
      <w:r>
        <w:rPr>
          <w:rFonts w:hint="eastAsia" w:ascii="宋体" w:hAnsi="宋体" w:cs="宋体"/>
          <w:b/>
          <w:bCs/>
          <w:sz w:val="24"/>
        </w:rPr>
        <w:t>法定代表人或被授权代表签字或盖章：</w:t>
      </w:r>
    </w:p>
    <w:p>
      <w:pPr>
        <w:rPr>
          <w:rFonts w:ascii="宋体" w:hAnsi="宋体" w:cs="宋体"/>
          <w:b/>
          <w:bCs/>
          <w:sz w:val="24"/>
        </w:rPr>
      </w:pPr>
    </w:p>
    <w:p>
      <w:pPr>
        <w:rPr>
          <w:rFonts w:ascii="宋体" w:hAnsi="宋体" w:cs="宋体"/>
          <w:bCs/>
          <w:sz w:val="30"/>
        </w:rPr>
      </w:pPr>
      <w:r>
        <w:rPr>
          <w:rFonts w:hint="eastAsia" w:ascii="宋体" w:hAnsi="宋体" w:cs="宋体"/>
          <w:b/>
          <w:bCs/>
          <w:sz w:val="24"/>
        </w:rPr>
        <w:t>日期：</w:t>
      </w:r>
    </w:p>
    <w:p>
      <w:pPr>
        <w:outlineLvl w:val="0"/>
        <w:rPr>
          <w:rFonts w:ascii="宋体" w:hAnsi="宋体" w:cs="宋体"/>
          <w:bCs/>
          <w:sz w:val="28"/>
          <w:szCs w:val="28"/>
        </w:rPr>
      </w:pPr>
    </w:p>
    <w:p>
      <w:pPr>
        <w:spacing w:line="400" w:lineRule="exact"/>
        <w:ind w:firstLine="360" w:firstLineChars="150"/>
        <w:outlineLvl w:val="0"/>
        <w:rPr>
          <w:rFonts w:ascii="黑体" w:hAnsi="宋体" w:eastAsia="黑体"/>
          <w:bCs/>
          <w:sz w:val="24"/>
          <w:szCs w:val="24"/>
        </w:rPr>
      </w:pPr>
      <w:r>
        <w:rPr>
          <w:rFonts w:hint="eastAsia" w:ascii="宋体" w:hAnsi="宋体" w:cs="宋体"/>
          <w:bCs/>
          <w:sz w:val="24"/>
          <w:szCs w:val="24"/>
        </w:rPr>
        <w:t>注：上表如需要自行延长。</w:t>
      </w:r>
    </w:p>
    <w:p>
      <w:pPr>
        <w:tabs>
          <w:tab w:val="left" w:pos="2629"/>
        </w:tabs>
        <w:spacing w:line="360" w:lineRule="auto"/>
        <w:jc w:val="left"/>
        <w:rPr>
          <w:sz w:val="24"/>
          <w:szCs w:val="24"/>
        </w:rPr>
      </w:pPr>
    </w:p>
    <w:p>
      <w:pPr>
        <w:tabs>
          <w:tab w:val="left" w:pos="2629"/>
        </w:tabs>
        <w:spacing w:line="360" w:lineRule="auto"/>
        <w:jc w:val="left"/>
        <w:rPr>
          <w:sz w:val="24"/>
          <w:szCs w:val="24"/>
        </w:rPr>
      </w:pPr>
    </w:p>
    <w:p>
      <w:pPr>
        <w:tabs>
          <w:tab w:val="left" w:pos="2629"/>
        </w:tabs>
        <w:spacing w:line="360" w:lineRule="auto"/>
        <w:jc w:val="left"/>
        <w:rPr>
          <w:sz w:val="24"/>
          <w:szCs w:val="24"/>
        </w:rPr>
      </w:pPr>
    </w:p>
    <w:p>
      <w:pPr>
        <w:rPr>
          <w:sz w:val="24"/>
          <w:szCs w:val="24"/>
        </w:rPr>
      </w:pPr>
      <w:r>
        <w:rPr>
          <w:rFonts w:hint="eastAsia"/>
          <w:sz w:val="24"/>
          <w:szCs w:val="24"/>
        </w:rPr>
        <w:br w:type="page"/>
      </w:r>
    </w:p>
    <w:p>
      <w:pPr>
        <w:pStyle w:val="18"/>
        <w:ind w:left="0"/>
        <w:jc w:val="left"/>
        <w:rPr>
          <w:rFonts w:ascii="黑体" w:hAnsi="黑体" w:eastAsia="黑体"/>
          <w:bCs/>
          <w:color w:val="000000"/>
          <w:sz w:val="24"/>
          <w:szCs w:val="28"/>
        </w:rPr>
      </w:pPr>
    </w:p>
    <w:p>
      <w:pPr>
        <w:pStyle w:val="18"/>
        <w:ind w:left="0"/>
        <w:jc w:val="left"/>
        <w:rPr>
          <w:rFonts w:ascii="黑体" w:hAnsi="黑体" w:eastAsia="黑体"/>
          <w:bCs/>
          <w:color w:val="000000"/>
          <w:sz w:val="24"/>
          <w:szCs w:val="28"/>
        </w:rPr>
      </w:pPr>
      <w:r>
        <w:rPr>
          <w:rFonts w:hint="eastAsia" w:ascii="黑体" w:hAnsi="黑体" w:eastAsia="黑体"/>
          <w:bCs/>
          <w:color w:val="000000"/>
          <w:sz w:val="24"/>
          <w:szCs w:val="28"/>
        </w:rPr>
        <w:t>（十）投入本项目的人员汇总表（格式）</w:t>
      </w:r>
    </w:p>
    <w:p>
      <w:pPr>
        <w:jc w:val="center"/>
        <w:rPr>
          <w:rFonts w:ascii="黑体" w:hAnsi="黑体" w:eastAsia="黑体"/>
          <w:bCs/>
          <w:color w:val="000000"/>
          <w:sz w:val="24"/>
          <w:szCs w:val="28"/>
        </w:rPr>
      </w:pPr>
    </w:p>
    <w:p>
      <w:pPr>
        <w:jc w:val="center"/>
      </w:pPr>
      <w:r>
        <w:rPr>
          <w:rFonts w:hint="eastAsia" w:ascii="黑体" w:hAnsi="黑体" w:eastAsia="黑体"/>
          <w:bCs/>
          <w:color w:val="000000"/>
          <w:sz w:val="24"/>
          <w:szCs w:val="28"/>
        </w:rPr>
        <w:t>投入本项目的人员汇总表</w:t>
      </w:r>
    </w:p>
    <w:p>
      <w:r>
        <w:rPr>
          <w:rFonts w:hint="eastAsia" w:ascii="宋体" w:hAnsi="宋体"/>
          <w:bCs/>
          <w:color w:val="000000"/>
          <w:sz w:val="24"/>
          <w:szCs w:val="24"/>
        </w:rPr>
        <w:t>投标人名称（盖章）政府采购编号：</w:t>
      </w:r>
    </w:p>
    <w:tbl>
      <w:tblPr>
        <w:tblStyle w:val="4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4"/>
        <w:gridCol w:w="1693"/>
        <w:gridCol w:w="1417"/>
        <w:gridCol w:w="1242"/>
        <w:gridCol w:w="3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1" w:hRule="atLeast"/>
        </w:trPr>
        <w:tc>
          <w:tcPr>
            <w:tcW w:w="1534" w:type="dxa"/>
            <w:tcBorders>
              <w:bottom w:val="single" w:color="auto" w:sz="2" w:space="0"/>
              <w:right w:val="single" w:color="auto" w:sz="2" w:space="0"/>
            </w:tcBorders>
            <w:noWrap/>
            <w:vAlign w:val="center"/>
          </w:tcPr>
          <w:p>
            <w:pPr>
              <w:spacing w:line="360" w:lineRule="auto"/>
              <w:jc w:val="center"/>
              <w:rPr>
                <w:rFonts w:ascii="宋体" w:hAnsi="宋体" w:cs="宋体"/>
                <w:sz w:val="24"/>
              </w:rPr>
            </w:pPr>
            <w:r>
              <w:rPr>
                <w:rFonts w:hint="eastAsia" w:ascii="宋体" w:hAnsi="宋体" w:cs="宋体"/>
                <w:sz w:val="24"/>
              </w:rPr>
              <w:t>序</w:t>
            </w:r>
          </w:p>
          <w:p>
            <w:pPr>
              <w:spacing w:line="360" w:lineRule="auto"/>
              <w:jc w:val="center"/>
              <w:rPr>
                <w:rFonts w:ascii="宋体" w:hAnsi="宋体" w:cs="宋体"/>
                <w:sz w:val="24"/>
              </w:rPr>
            </w:pPr>
            <w:r>
              <w:rPr>
                <w:rFonts w:hint="eastAsia" w:ascii="宋体" w:hAnsi="宋体" w:cs="宋体"/>
                <w:sz w:val="24"/>
              </w:rPr>
              <w:t>号</w:t>
            </w:r>
          </w:p>
        </w:tc>
        <w:tc>
          <w:tcPr>
            <w:tcW w:w="1693" w:type="dxa"/>
            <w:tcBorders>
              <w:left w:val="single" w:color="auto" w:sz="2" w:space="0"/>
              <w:bottom w:val="single" w:color="auto" w:sz="2" w:space="0"/>
              <w:right w:val="single" w:color="auto" w:sz="2" w:space="0"/>
            </w:tcBorders>
            <w:noWrap/>
            <w:vAlign w:val="center"/>
          </w:tcPr>
          <w:p>
            <w:pPr>
              <w:spacing w:line="360" w:lineRule="auto"/>
              <w:jc w:val="center"/>
              <w:rPr>
                <w:rFonts w:ascii="宋体" w:hAnsi="宋体" w:cs="宋体"/>
                <w:sz w:val="24"/>
              </w:rPr>
            </w:pPr>
            <w:r>
              <w:rPr>
                <w:rFonts w:hint="eastAsia" w:ascii="宋体" w:hAnsi="宋体" w:cs="宋体"/>
                <w:sz w:val="24"/>
              </w:rPr>
              <w:t>姓  名</w:t>
            </w:r>
          </w:p>
        </w:tc>
        <w:tc>
          <w:tcPr>
            <w:tcW w:w="1417" w:type="dxa"/>
            <w:tcBorders>
              <w:left w:val="single" w:color="auto" w:sz="2" w:space="0"/>
              <w:bottom w:val="single" w:color="auto" w:sz="2" w:space="0"/>
              <w:right w:val="single" w:color="auto" w:sz="2" w:space="0"/>
            </w:tcBorders>
            <w:noWrap/>
            <w:vAlign w:val="center"/>
          </w:tcPr>
          <w:p>
            <w:pPr>
              <w:spacing w:line="360" w:lineRule="auto"/>
              <w:jc w:val="center"/>
              <w:rPr>
                <w:rFonts w:ascii="宋体" w:hAnsi="宋体" w:cs="宋体"/>
                <w:sz w:val="24"/>
              </w:rPr>
            </w:pPr>
            <w:r>
              <w:rPr>
                <w:rFonts w:hint="eastAsia" w:ascii="宋体" w:hAnsi="宋体" w:cs="宋体"/>
                <w:sz w:val="24"/>
              </w:rPr>
              <w:t>性别</w:t>
            </w:r>
          </w:p>
        </w:tc>
        <w:tc>
          <w:tcPr>
            <w:tcW w:w="1242" w:type="dxa"/>
            <w:tcBorders>
              <w:left w:val="single" w:color="auto" w:sz="2" w:space="0"/>
              <w:bottom w:val="single" w:color="auto" w:sz="2" w:space="0"/>
              <w:right w:val="single" w:color="auto" w:sz="2" w:space="0"/>
            </w:tcBorders>
            <w:noWrap/>
            <w:vAlign w:val="center"/>
          </w:tcPr>
          <w:p>
            <w:pPr>
              <w:spacing w:line="360" w:lineRule="auto"/>
              <w:jc w:val="center"/>
              <w:rPr>
                <w:rFonts w:ascii="宋体" w:hAnsi="宋体" w:cs="宋体"/>
                <w:sz w:val="24"/>
              </w:rPr>
            </w:pPr>
            <w:r>
              <w:rPr>
                <w:rFonts w:hint="eastAsia" w:ascii="宋体" w:hAnsi="宋体" w:cs="宋体"/>
                <w:sz w:val="24"/>
              </w:rPr>
              <w:t>年龄</w:t>
            </w:r>
          </w:p>
        </w:tc>
        <w:tc>
          <w:tcPr>
            <w:tcW w:w="3720" w:type="dxa"/>
            <w:tcBorders>
              <w:left w:val="single" w:color="auto" w:sz="2" w:space="0"/>
              <w:bottom w:val="single" w:color="auto" w:sz="2" w:space="0"/>
              <w:right w:val="single" w:color="auto" w:sz="12" w:space="0"/>
            </w:tcBorders>
            <w:noWrap/>
            <w:vAlign w:val="center"/>
          </w:tcPr>
          <w:p>
            <w:pPr>
              <w:spacing w:line="360" w:lineRule="auto"/>
              <w:jc w:val="center"/>
              <w:rPr>
                <w:rFonts w:ascii="宋体" w:hAnsi="宋体" w:cs="宋体"/>
                <w:sz w:val="24"/>
              </w:rPr>
            </w:pPr>
            <w:r>
              <w:rPr>
                <w:rFonts w:hint="eastAsia" w:ascii="宋体" w:hAnsi="宋体" w:cs="宋体"/>
                <w:sz w:val="24"/>
              </w:rPr>
              <w:t>拟担任的职务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tabs>
                <w:tab w:val="left" w:pos="0"/>
              </w:tabs>
              <w:autoSpaceDE w:val="0"/>
              <w:autoSpaceDN w:val="0"/>
              <w:adjustRightInd w:val="0"/>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trPr>
        <w:tc>
          <w:tcPr>
            <w:tcW w:w="1534" w:type="dxa"/>
            <w:tcBorders>
              <w:top w:val="single" w:color="auto" w:sz="2" w:space="0"/>
              <w:left w:val="single" w:color="auto" w:sz="1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2" w:space="0"/>
              <w:right w:val="single" w:color="auto" w:sz="12" w:space="0"/>
            </w:tcBorders>
            <w:noWrap/>
            <w:vAlign w:val="center"/>
          </w:tcPr>
          <w:p>
            <w:pPr>
              <w:spacing w:line="360" w:lineRule="auto"/>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2" w:hRule="atLeast"/>
        </w:trPr>
        <w:tc>
          <w:tcPr>
            <w:tcW w:w="1534" w:type="dxa"/>
            <w:tcBorders>
              <w:top w:val="single" w:color="auto" w:sz="2" w:space="0"/>
              <w:left w:val="single" w:color="auto" w:sz="12" w:space="0"/>
              <w:bottom w:val="single" w:color="auto" w:sz="12" w:space="0"/>
              <w:right w:val="single" w:color="auto" w:sz="2" w:space="0"/>
            </w:tcBorders>
            <w:noWrap/>
            <w:vAlign w:val="center"/>
          </w:tcPr>
          <w:p>
            <w:pPr>
              <w:spacing w:line="360" w:lineRule="auto"/>
              <w:jc w:val="center"/>
              <w:rPr>
                <w:rFonts w:ascii="宋体" w:hAnsi="宋体" w:cs="宋体"/>
                <w:kern w:val="0"/>
                <w:szCs w:val="21"/>
              </w:rPr>
            </w:pPr>
          </w:p>
        </w:tc>
        <w:tc>
          <w:tcPr>
            <w:tcW w:w="1693" w:type="dxa"/>
            <w:tcBorders>
              <w:top w:val="single" w:color="auto" w:sz="2" w:space="0"/>
              <w:left w:val="single" w:color="auto" w:sz="2" w:space="0"/>
              <w:bottom w:val="single" w:color="auto" w:sz="12" w:space="0"/>
              <w:right w:val="single" w:color="auto" w:sz="2" w:space="0"/>
            </w:tcBorders>
            <w:noWrap/>
            <w:vAlign w:val="center"/>
          </w:tcPr>
          <w:p>
            <w:pPr>
              <w:spacing w:line="360" w:lineRule="auto"/>
              <w:jc w:val="center"/>
              <w:rPr>
                <w:rFonts w:ascii="宋体" w:hAnsi="宋体" w:cs="宋体"/>
                <w:kern w:val="0"/>
                <w:szCs w:val="21"/>
              </w:rPr>
            </w:pPr>
          </w:p>
        </w:tc>
        <w:tc>
          <w:tcPr>
            <w:tcW w:w="1417" w:type="dxa"/>
            <w:tcBorders>
              <w:top w:val="single" w:color="auto" w:sz="2" w:space="0"/>
              <w:left w:val="single" w:color="auto" w:sz="2" w:space="0"/>
              <w:bottom w:val="single" w:color="auto" w:sz="12" w:space="0"/>
              <w:right w:val="single" w:color="auto" w:sz="2" w:space="0"/>
            </w:tcBorders>
            <w:noWrap/>
            <w:vAlign w:val="center"/>
          </w:tcPr>
          <w:p>
            <w:pPr>
              <w:spacing w:line="360" w:lineRule="auto"/>
              <w:jc w:val="center"/>
              <w:rPr>
                <w:rFonts w:ascii="宋体" w:hAnsi="宋体" w:cs="宋体"/>
                <w:kern w:val="0"/>
                <w:szCs w:val="21"/>
              </w:rPr>
            </w:pPr>
          </w:p>
        </w:tc>
        <w:tc>
          <w:tcPr>
            <w:tcW w:w="1242" w:type="dxa"/>
            <w:tcBorders>
              <w:top w:val="single" w:color="auto" w:sz="2" w:space="0"/>
              <w:left w:val="single" w:color="auto" w:sz="2" w:space="0"/>
              <w:bottom w:val="single" w:color="auto" w:sz="12" w:space="0"/>
              <w:right w:val="single" w:color="auto" w:sz="2" w:space="0"/>
            </w:tcBorders>
            <w:noWrap/>
            <w:vAlign w:val="center"/>
          </w:tcPr>
          <w:p>
            <w:pPr>
              <w:spacing w:line="360" w:lineRule="auto"/>
              <w:jc w:val="center"/>
              <w:rPr>
                <w:rFonts w:ascii="宋体" w:hAnsi="宋体" w:cs="宋体"/>
                <w:kern w:val="0"/>
                <w:szCs w:val="21"/>
              </w:rPr>
            </w:pPr>
          </w:p>
        </w:tc>
        <w:tc>
          <w:tcPr>
            <w:tcW w:w="3720" w:type="dxa"/>
            <w:tcBorders>
              <w:top w:val="single" w:color="auto" w:sz="2" w:space="0"/>
              <w:left w:val="single" w:color="auto" w:sz="2" w:space="0"/>
              <w:bottom w:val="single" w:color="auto" w:sz="12" w:space="0"/>
              <w:right w:val="single" w:color="auto" w:sz="12" w:space="0"/>
            </w:tcBorders>
            <w:noWrap/>
            <w:vAlign w:val="center"/>
          </w:tcPr>
          <w:p>
            <w:pPr>
              <w:spacing w:line="360" w:lineRule="auto"/>
              <w:jc w:val="center"/>
              <w:rPr>
                <w:rFonts w:ascii="宋体" w:hAnsi="宋体" w:cs="宋体"/>
                <w:kern w:val="0"/>
                <w:szCs w:val="21"/>
              </w:rPr>
            </w:pPr>
          </w:p>
        </w:tc>
      </w:tr>
    </w:tbl>
    <w:p>
      <w:pPr>
        <w:tabs>
          <w:tab w:val="left" w:pos="525"/>
        </w:tabs>
        <w:spacing w:line="360" w:lineRule="auto"/>
        <w:ind w:left="630"/>
        <w:rPr>
          <w:rFonts w:ascii="宋体" w:hAnsi="宋体" w:cs="宋体"/>
          <w:bCs/>
          <w:sz w:val="24"/>
        </w:rPr>
      </w:pPr>
      <w:r>
        <w:rPr>
          <w:rFonts w:hint="eastAsia" w:ascii="宋体" w:hAnsi="宋体" w:cs="宋体"/>
          <w:bCs/>
          <w:sz w:val="24"/>
        </w:rPr>
        <w:t>注：投入本项目的人员需为投标供应商在职职工。</w:t>
      </w:r>
    </w:p>
    <w:p>
      <w:pPr>
        <w:wordWrap w:val="0"/>
        <w:spacing w:before="240" w:line="360" w:lineRule="auto"/>
        <w:ind w:right="960"/>
        <w:rPr>
          <w:rFonts w:ascii="宋体" w:hAnsi="宋体" w:cs="宋体"/>
          <w:sz w:val="24"/>
        </w:rPr>
      </w:pPr>
      <w:r>
        <w:rPr>
          <w:rFonts w:hint="eastAsia" w:ascii="宋体" w:hAnsi="宋体"/>
          <w:color w:val="000000"/>
          <w:sz w:val="24"/>
          <w:szCs w:val="24"/>
        </w:rPr>
        <w:t xml:space="preserve">法定代表人或被授权代表签字或盖章：  </w:t>
      </w:r>
    </w:p>
    <w:p>
      <w:pPr>
        <w:rPr>
          <w:rFonts w:ascii="黑体" w:hAnsi="宋体" w:eastAsia="黑体"/>
          <w:bCs/>
          <w:sz w:val="24"/>
          <w:szCs w:val="24"/>
        </w:rPr>
      </w:pPr>
      <w:r>
        <w:rPr>
          <w:rFonts w:hint="eastAsia" w:ascii="宋体" w:hAnsi="宋体" w:cs="宋体"/>
          <w:sz w:val="24"/>
        </w:rPr>
        <w:t>年    月    日</w:t>
      </w: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tabs>
          <w:tab w:val="left" w:pos="525"/>
        </w:tabs>
        <w:spacing w:line="360" w:lineRule="auto"/>
        <w:jc w:val="left"/>
        <w:outlineLvl w:val="1"/>
        <w:rPr>
          <w:rFonts w:ascii="黑体" w:hAnsi="黑体" w:eastAsia="黑体"/>
          <w:bCs/>
          <w:color w:val="000000"/>
          <w:sz w:val="24"/>
          <w:szCs w:val="28"/>
        </w:rPr>
      </w:pPr>
      <w:r>
        <w:rPr>
          <w:rFonts w:hint="eastAsia" w:ascii="黑体" w:hAnsi="黑体" w:eastAsia="黑体"/>
          <w:bCs/>
          <w:color w:val="000000"/>
          <w:sz w:val="24"/>
          <w:szCs w:val="28"/>
        </w:rPr>
        <w:t>（十一）投入本项目的人员简介表（格式）</w:t>
      </w:r>
    </w:p>
    <w:p>
      <w:pPr>
        <w:pStyle w:val="84"/>
        <w:ind w:firstLine="0" w:firstLineChars="0"/>
        <w:jc w:val="center"/>
        <w:rPr>
          <w:rFonts w:ascii="黑体" w:hAnsi="黑体" w:eastAsia="黑体"/>
          <w:bCs/>
          <w:color w:val="000000"/>
          <w:sz w:val="24"/>
          <w:szCs w:val="28"/>
        </w:rPr>
      </w:pPr>
    </w:p>
    <w:p>
      <w:pPr>
        <w:pStyle w:val="84"/>
        <w:ind w:firstLine="0" w:firstLineChars="0"/>
        <w:jc w:val="center"/>
      </w:pPr>
      <w:r>
        <w:rPr>
          <w:rFonts w:hint="eastAsia" w:ascii="黑体" w:hAnsi="黑体" w:eastAsia="黑体"/>
          <w:bCs/>
          <w:color w:val="000000"/>
          <w:sz w:val="24"/>
          <w:szCs w:val="28"/>
        </w:rPr>
        <w:t>投入本项目的人员简介表</w:t>
      </w:r>
    </w:p>
    <w:p>
      <w:pPr>
        <w:rPr>
          <w:rFonts w:ascii="宋体" w:hAnsi="宋体" w:cs="宋体"/>
          <w:sz w:val="24"/>
          <w:u w:val="single"/>
        </w:rPr>
      </w:pPr>
      <w:r>
        <w:rPr>
          <w:rFonts w:hint="eastAsia" w:ascii="宋体" w:hAnsi="宋体"/>
          <w:bCs/>
          <w:color w:val="000000"/>
          <w:sz w:val="24"/>
          <w:szCs w:val="24"/>
        </w:rPr>
        <w:t>投标人名称（盖章）政府采购编号：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67"/>
        <w:gridCol w:w="999"/>
        <w:gridCol w:w="1560"/>
        <w:gridCol w:w="1700"/>
        <w:gridCol w:w="15"/>
        <w:gridCol w:w="406"/>
        <w:gridCol w:w="1279"/>
        <w:gridCol w:w="42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6" w:type="dxa"/>
            <w:gridSpan w:val="10"/>
            <w:noWrap/>
            <w:vAlign w:val="center"/>
          </w:tcPr>
          <w:p>
            <w:pPr>
              <w:spacing w:line="360" w:lineRule="auto"/>
              <w:jc w:val="center"/>
              <w:rPr>
                <w:rFonts w:ascii="宋体" w:hAnsi="宋体" w:cs="宋体"/>
                <w:bCs/>
                <w:sz w:val="24"/>
              </w:rPr>
            </w:pPr>
            <w:r>
              <w:rPr>
                <w:rFonts w:hint="eastAsia" w:ascii="宋体" w:hAnsi="宋体" w:cs="宋体"/>
                <w:bCs/>
                <w:sz w:val="24"/>
              </w:rPr>
              <w:t>1.一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ign w:val="center"/>
          </w:tcPr>
          <w:p>
            <w:pPr>
              <w:spacing w:line="360" w:lineRule="auto"/>
              <w:jc w:val="center"/>
              <w:rPr>
                <w:rFonts w:ascii="宋体" w:hAnsi="宋体" w:cs="宋体"/>
                <w:bCs/>
                <w:sz w:val="24"/>
              </w:rPr>
            </w:pPr>
            <w:r>
              <w:rPr>
                <w:rFonts w:hint="eastAsia" w:ascii="宋体" w:hAnsi="宋体" w:cs="宋体"/>
                <w:bCs/>
                <w:sz w:val="24"/>
              </w:rPr>
              <w:t>姓名</w:t>
            </w:r>
          </w:p>
        </w:tc>
        <w:tc>
          <w:tcPr>
            <w:tcW w:w="2266" w:type="dxa"/>
            <w:gridSpan w:val="2"/>
            <w:noWrap/>
            <w:vAlign w:val="center"/>
          </w:tcPr>
          <w:p>
            <w:pPr>
              <w:spacing w:line="360" w:lineRule="auto"/>
              <w:jc w:val="center"/>
              <w:rPr>
                <w:rFonts w:ascii="宋体" w:hAnsi="宋体" w:cs="宋体"/>
                <w:bCs/>
                <w:sz w:val="24"/>
              </w:rPr>
            </w:pPr>
          </w:p>
        </w:tc>
        <w:tc>
          <w:tcPr>
            <w:tcW w:w="1560" w:type="dxa"/>
            <w:noWrap/>
            <w:vAlign w:val="center"/>
          </w:tcPr>
          <w:p>
            <w:pPr>
              <w:spacing w:line="360" w:lineRule="auto"/>
              <w:jc w:val="center"/>
              <w:rPr>
                <w:rFonts w:ascii="宋体" w:hAnsi="宋体" w:cs="宋体"/>
                <w:bCs/>
                <w:sz w:val="24"/>
              </w:rPr>
            </w:pPr>
            <w:r>
              <w:rPr>
                <w:rFonts w:hint="eastAsia" w:ascii="宋体" w:hAnsi="宋体" w:cs="宋体"/>
                <w:bCs/>
                <w:sz w:val="24"/>
              </w:rPr>
              <w:t>性别</w:t>
            </w:r>
          </w:p>
        </w:tc>
        <w:tc>
          <w:tcPr>
            <w:tcW w:w="1700" w:type="dxa"/>
            <w:noWrap/>
            <w:vAlign w:val="center"/>
          </w:tcPr>
          <w:p>
            <w:pPr>
              <w:spacing w:line="360" w:lineRule="auto"/>
              <w:jc w:val="center"/>
              <w:rPr>
                <w:rFonts w:ascii="宋体" w:hAnsi="宋体" w:cs="宋体"/>
                <w:bCs/>
                <w:sz w:val="24"/>
              </w:rPr>
            </w:pPr>
          </w:p>
        </w:tc>
        <w:tc>
          <w:tcPr>
            <w:tcW w:w="1700" w:type="dxa"/>
            <w:gridSpan w:val="3"/>
            <w:noWrap/>
            <w:vAlign w:val="center"/>
          </w:tcPr>
          <w:p>
            <w:pPr>
              <w:spacing w:line="360" w:lineRule="auto"/>
              <w:jc w:val="center"/>
              <w:rPr>
                <w:rFonts w:ascii="宋体" w:hAnsi="宋体" w:cs="宋体"/>
                <w:bCs/>
                <w:sz w:val="24"/>
              </w:rPr>
            </w:pPr>
            <w:r>
              <w:rPr>
                <w:rFonts w:hint="eastAsia" w:ascii="宋体" w:hAnsi="宋体" w:cs="宋体"/>
                <w:bCs/>
                <w:sz w:val="24"/>
              </w:rPr>
              <w:t>年龄</w:t>
            </w:r>
          </w:p>
        </w:tc>
        <w:tc>
          <w:tcPr>
            <w:tcW w:w="1564" w:type="dxa"/>
            <w:gridSpan w:val="2"/>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ign w:val="center"/>
          </w:tcPr>
          <w:p>
            <w:pPr>
              <w:spacing w:line="360" w:lineRule="auto"/>
              <w:jc w:val="center"/>
              <w:rPr>
                <w:rFonts w:ascii="宋体" w:hAnsi="宋体" w:cs="宋体"/>
                <w:bCs/>
                <w:sz w:val="24"/>
              </w:rPr>
            </w:pPr>
            <w:r>
              <w:rPr>
                <w:rFonts w:hint="eastAsia" w:ascii="宋体" w:hAnsi="宋体" w:cs="宋体"/>
                <w:bCs/>
                <w:sz w:val="24"/>
              </w:rPr>
              <w:t>学位</w:t>
            </w:r>
          </w:p>
        </w:tc>
        <w:tc>
          <w:tcPr>
            <w:tcW w:w="2266" w:type="dxa"/>
            <w:gridSpan w:val="2"/>
            <w:noWrap/>
            <w:vAlign w:val="center"/>
          </w:tcPr>
          <w:p>
            <w:pPr>
              <w:spacing w:line="360" w:lineRule="auto"/>
              <w:jc w:val="center"/>
              <w:rPr>
                <w:rFonts w:ascii="宋体" w:hAnsi="宋体" w:cs="宋体"/>
                <w:bCs/>
                <w:sz w:val="24"/>
              </w:rPr>
            </w:pPr>
          </w:p>
        </w:tc>
        <w:tc>
          <w:tcPr>
            <w:tcW w:w="3260" w:type="dxa"/>
            <w:gridSpan w:val="2"/>
            <w:noWrap/>
            <w:vAlign w:val="center"/>
          </w:tcPr>
          <w:p>
            <w:pPr>
              <w:spacing w:line="360" w:lineRule="auto"/>
              <w:jc w:val="center"/>
              <w:rPr>
                <w:rFonts w:ascii="宋体" w:hAnsi="宋体" w:cs="宋体"/>
                <w:bCs/>
                <w:sz w:val="24"/>
              </w:rPr>
            </w:pPr>
            <w:r>
              <w:rPr>
                <w:rFonts w:hint="eastAsia" w:ascii="宋体" w:hAnsi="宋体" w:cs="宋体"/>
                <w:bCs/>
                <w:sz w:val="24"/>
              </w:rPr>
              <w:t>身份证号码</w:t>
            </w:r>
          </w:p>
        </w:tc>
        <w:tc>
          <w:tcPr>
            <w:tcW w:w="3264" w:type="dxa"/>
            <w:gridSpan w:val="5"/>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82" w:type="dxa"/>
            <w:gridSpan w:val="3"/>
            <w:noWrap/>
            <w:vAlign w:val="center"/>
          </w:tcPr>
          <w:p>
            <w:pPr>
              <w:spacing w:line="360" w:lineRule="auto"/>
              <w:rPr>
                <w:rFonts w:ascii="宋体" w:hAnsi="宋体" w:cs="宋体"/>
                <w:bCs/>
                <w:sz w:val="24"/>
              </w:rPr>
            </w:pPr>
            <w:r>
              <w:rPr>
                <w:rFonts w:hint="eastAsia" w:ascii="宋体" w:hAnsi="宋体" w:cs="宋体"/>
                <w:bCs/>
                <w:sz w:val="24"/>
              </w:rPr>
              <w:t>在本项目中拟任职</w:t>
            </w:r>
          </w:p>
        </w:tc>
        <w:tc>
          <w:tcPr>
            <w:tcW w:w="3275" w:type="dxa"/>
            <w:gridSpan w:val="3"/>
            <w:noWrap/>
            <w:vAlign w:val="center"/>
          </w:tcPr>
          <w:p>
            <w:pPr>
              <w:spacing w:line="360" w:lineRule="auto"/>
              <w:jc w:val="center"/>
              <w:rPr>
                <w:rFonts w:ascii="宋体" w:hAnsi="宋体" w:cs="宋体"/>
                <w:bCs/>
                <w:sz w:val="24"/>
              </w:rPr>
            </w:pPr>
          </w:p>
        </w:tc>
        <w:tc>
          <w:tcPr>
            <w:tcW w:w="1685" w:type="dxa"/>
            <w:gridSpan w:val="2"/>
            <w:noWrap/>
            <w:vAlign w:val="center"/>
          </w:tcPr>
          <w:p>
            <w:pPr>
              <w:spacing w:line="360" w:lineRule="auto"/>
              <w:jc w:val="center"/>
              <w:rPr>
                <w:rFonts w:ascii="宋体" w:hAnsi="宋体" w:cs="宋体"/>
                <w:bCs/>
                <w:sz w:val="24"/>
              </w:rPr>
            </w:pPr>
            <w:r>
              <w:rPr>
                <w:rFonts w:hint="eastAsia" w:ascii="宋体" w:hAnsi="宋体" w:cs="宋体"/>
                <w:bCs/>
                <w:sz w:val="24"/>
              </w:rPr>
              <w:t>专业</w:t>
            </w:r>
          </w:p>
        </w:tc>
        <w:tc>
          <w:tcPr>
            <w:tcW w:w="1564" w:type="dxa"/>
            <w:gridSpan w:val="2"/>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6" w:type="dxa"/>
            <w:noWrap/>
            <w:vAlign w:val="center"/>
          </w:tcPr>
          <w:p>
            <w:pPr>
              <w:spacing w:line="360" w:lineRule="auto"/>
              <w:jc w:val="center"/>
              <w:rPr>
                <w:rFonts w:ascii="宋体" w:hAnsi="宋体" w:cs="宋体"/>
                <w:bCs/>
                <w:sz w:val="24"/>
              </w:rPr>
            </w:pPr>
            <w:r>
              <w:rPr>
                <w:rFonts w:hint="eastAsia" w:ascii="宋体" w:hAnsi="宋体" w:cs="宋体"/>
                <w:bCs/>
                <w:sz w:val="24"/>
              </w:rPr>
              <w:t>学历</w:t>
            </w:r>
          </w:p>
        </w:tc>
        <w:tc>
          <w:tcPr>
            <w:tcW w:w="8790" w:type="dxa"/>
            <w:gridSpan w:val="9"/>
            <w:noWrap/>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6" w:type="dxa"/>
            <w:gridSpan w:val="10"/>
            <w:noWrap/>
            <w:vAlign w:val="center"/>
          </w:tcPr>
          <w:p>
            <w:pPr>
              <w:spacing w:line="360" w:lineRule="auto"/>
              <w:jc w:val="center"/>
              <w:rPr>
                <w:rFonts w:ascii="宋体" w:hAnsi="宋体" w:cs="宋体"/>
                <w:bCs/>
                <w:sz w:val="24"/>
              </w:rPr>
            </w:pPr>
            <w:r>
              <w:rPr>
                <w:rFonts w:hint="eastAsia" w:ascii="宋体" w:hAnsi="宋体" w:cs="宋体"/>
                <w:bCs/>
                <w:sz w:val="24"/>
              </w:rPr>
              <w:t>2. 曾负责或参加完成的项目概况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83" w:type="dxa"/>
            <w:gridSpan w:val="2"/>
            <w:noWrap/>
            <w:vAlign w:val="center"/>
          </w:tcPr>
          <w:p>
            <w:pPr>
              <w:spacing w:line="360" w:lineRule="auto"/>
              <w:jc w:val="center"/>
              <w:rPr>
                <w:rFonts w:ascii="宋体" w:hAnsi="宋体" w:cs="宋体"/>
                <w:bCs/>
                <w:sz w:val="24"/>
              </w:rPr>
            </w:pPr>
            <w:r>
              <w:rPr>
                <w:rFonts w:hint="eastAsia" w:ascii="宋体" w:hAnsi="宋体" w:cs="宋体"/>
                <w:bCs/>
                <w:sz w:val="24"/>
              </w:rPr>
              <w:t>时间</w:t>
            </w:r>
          </w:p>
        </w:tc>
        <w:tc>
          <w:tcPr>
            <w:tcW w:w="4680" w:type="dxa"/>
            <w:gridSpan w:val="5"/>
            <w:noWrap/>
            <w:vAlign w:val="center"/>
          </w:tcPr>
          <w:p>
            <w:pPr>
              <w:spacing w:line="360" w:lineRule="auto"/>
              <w:jc w:val="center"/>
              <w:rPr>
                <w:rFonts w:ascii="宋体" w:hAnsi="宋体" w:cs="宋体"/>
                <w:bCs/>
                <w:sz w:val="24"/>
              </w:rPr>
            </w:pPr>
            <w:r>
              <w:rPr>
                <w:rFonts w:hint="eastAsia" w:ascii="宋体" w:hAnsi="宋体" w:cs="宋体"/>
                <w:bCs/>
                <w:sz w:val="24"/>
              </w:rPr>
              <w:t>负责过的主要项目</w:t>
            </w:r>
          </w:p>
        </w:tc>
        <w:tc>
          <w:tcPr>
            <w:tcW w:w="1702" w:type="dxa"/>
            <w:gridSpan w:val="2"/>
            <w:noWrap/>
            <w:vAlign w:val="center"/>
          </w:tcPr>
          <w:p>
            <w:pPr>
              <w:spacing w:line="360" w:lineRule="auto"/>
              <w:jc w:val="center"/>
              <w:rPr>
                <w:rFonts w:ascii="宋体" w:hAnsi="宋体" w:cs="宋体"/>
                <w:bCs/>
                <w:sz w:val="24"/>
              </w:rPr>
            </w:pPr>
            <w:r>
              <w:rPr>
                <w:rFonts w:hint="eastAsia" w:ascii="宋体" w:hAnsi="宋体" w:cs="宋体"/>
                <w:bCs/>
                <w:sz w:val="24"/>
              </w:rPr>
              <w:t>该项目中任职</w:t>
            </w:r>
          </w:p>
        </w:tc>
        <w:tc>
          <w:tcPr>
            <w:tcW w:w="1141" w:type="dxa"/>
            <w:noWrap/>
            <w:vAlign w:val="center"/>
          </w:tcPr>
          <w:p>
            <w:pPr>
              <w:spacing w:line="360" w:lineRule="auto"/>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83" w:type="dxa"/>
            <w:gridSpan w:val="2"/>
            <w:noWrap/>
            <w:vAlign w:val="center"/>
          </w:tcPr>
          <w:p>
            <w:pPr>
              <w:spacing w:line="360" w:lineRule="auto"/>
              <w:jc w:val="center"/>
              <w:rPr>
                <w:rFonts w:ascii="宋体" w:hAnsi="宋体" w:cs="宋体"/>
                <w:bCs/>
                <w:sz w:val="24"/>
              </w:rPr>
            </w:pPr>
          </w:p>
        </w:tc>
        <w:tc>
          <w:tcPr>
            <w:tcW w:w="4680" w:type="dxa"/>
            <w:gridSpan w:val="5"/>
            <w:noWrap/>
            <w:vAlign w:val="center"/>
          </w:tcPr>
          <w:p>
            <w:pPr>
              <w:autoSpaceDN w:val="0"/>
              <w:spacing w:line="360" w:lineRule="auto"/>
              <w:jc w:val="center"/>
              <w:textAlignment w:val="center"/>
              <w:rPr>
                <w:rFonts w:ascii="宋体" w:hAnsi="宋体" w:cs="宋体"/>
                <w:bCs/>
                <w:sz w:val="24"/>
              </w:rPr>
            </w:pPr>
          </w:p>
        </w:tc>
        <w:tc>
          <w:tcPr>
            <w:tcW w:w="1702" w:type="dxa"/>
            <w:gridSpan w:val="2"/>
            <w:noWrap/>
            <w:vAlign w:val="center"/>
          </w:tcPr>
          <w:p>
            <w:pPr>
              <w:spacing w:line="360" w:lineRule="auto"/>
              <w:jc w:val="center"/>
              <w:rPr>
                <w:rFonts w:ascii="宋体" w:hAnsi="宋体" w:cs="宋体"/>
                <w:bCs/>
                <w:sz w:val="24"/>
              </w:rPr>
            </w:pPr>
          </w:p>
        </w:tc>
        <w:tc>
          <w:tcPr>
            <w:tcW w:w="1141" w:type="dxa"/>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083" w:type="dxa"/>
            <w:gridSpan w:val="2"/>
            <w:noWrap/>
            <w:vAlign w:val="center"/>
          </w:tcPr>
          <w:p>
            <w:pPr>
              <w:spacing w:line="360" w:lineRule="auto"/>
              <w:jc w:val="center"/>
              <w:rPr>
                <w:rFonts w:ascii="宋体" w:hAnsi="宋体" w:cs="宋体"/>
                <w:bCs/>
                <w:sz w:val="24"/>
              </w:rPr>
            </w:pPr>
          </w:p>
        </w:tc>
        <w:tc>
          <w:tcPr>
            <w:tcW w:w="4680" w:type="dxa"/>
            <w:gridSpan w:val="5"/>
            <w:noWrap/>
            <w:vAlign w:val="center"/>
          </w:tcPr>
          <w:p>
            <w:pPr>
              <w:spacing w:line="360" w:lineRule="auto"/>
              <w:jc w:val="center"/>
              <w:rPr>
                <w:rFonts w:ascii="宋体" w:hAnsi="宋体" w:cs="宋体"/>
                <w:bCs/>
                <w:sz w:val="24"/>
              </w:rPr>
            </w:pPr>
          </w:p>
        </w:tc>
        <w:tc>
          <w:tcPr>
            <w:tcW w:w="1702" w:type="dxa"/>
            <w:gridSpan w:val="2"/>
            <w:noWrap/>
            <w:vAlign w:val="center"/>
          </w:tcPr>
          <w:p>
            <w:pPr>
              <w:spacing w:line="360" w:lineRule="auto"/>
              <w:jc w:val="center"/>
              <w:rPr>
                <w:rFonts w:ascii="宋体" w:hAnsi="宋体" w:cs="宋体"/>
                <w:bCs/>
                <w:sz w:val="24"/>
              </w:rPr>
            </w:pPr>
          </w:p>
        </w:tc>
        <w:tc>
          <w:tcPr>
            <w:tcW w:w="1141" w:type="dxa"/>
            <w:noWrap/>
            <w:vAlign w:val="center"/>
          </w:tcPr>
          <w:p>
            <w:pPr>
              <w:autoSpaceDN w:val="0"/>
              <w:spacing w:line="360" w:lineRule="auto"/>
              <w:jc w:val="center"/>
              <w:textAlignment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83" w:type="dxa"/>
            <w:gridSpan w:val="2"/>
            <w:noWrap/>
            <w:vAlign w:val="center"/>
          </w:tcPr>
          <w:p>
            <w:pPr>
              <w:spacing w:line="360" w:lineRule="auto"/>
              <w:jc w:val="center"/>
              <w:rPr>
                <w:rFonts w:ascii="宋体" w:hAnsi="宋体" w:cs="宋体"/>
                <w:bCs/>
                <w:sz w:val="24"/>
              </w:rPr>
            </w:pPr>
          </w:p>
        </w:tc>
        <w:tc>
          <w:tcPr>
            <w:tcW w:w="4680" w:type="dxa"/>
            <w:gridSpan w:val="5"/>
            <w:noWrap/>
            <w:vAlign w:val="center"/>
          </w:tcPr>
          <w:p>
            <w:pPr>
              <w:autoSpaceDN w:val="0"/>
              <w:spacing w:line="360" w:lineRule="auto"/>
              <w:jc w:val="center"/>
              <w:textAlignment w:val="center"/>
              <w:rPr>
                <w:rFonts w:ascii="宋体" w:hAnsi="宋体" w:cs="宋体"/>
                <w:bCs/>
                <w:sz w:val="24"/>
              </w:rPr>
            </w:pPr>
          </w:p>
        </w:tc>
        <w:tc>
          <w:tcPr>
            <w:tcW w:w="1702" w:type="dxa"/>
            <w:gridSpan w:val="2"/>
            <w:noWrap/>
            <w:vAlign w:val="center"/>
          </w:tcPr>
          <w:p>
            <w:pPr>
              <w:spacing w:line="360" w:lineRule="auto"/>
              <w:jc w:val="center"/>
              <w:rPr>
                <w:rFonts w:ascii="宋体" w:hAnsi="宋体" w:cs="宋体"/>
                <w:bCs/>
                <w:sz w:val="24"/>
              </w:rPr>
            </w:pPr>
          </w:p>
        </w:tc>
        <w:tc>
          <w:tcPr>
            <w:tcW w:w="1141" w:type="dxa"/>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3" w:type="dxa"/>
            <w:gridSpan w:val="2"/>
            <w:noWrap/>
            <w:vAlign w:val="center"/>
          </w:tcPr>
          <w:p>
            <w:pPr>
              <w:spacing w:line="360" w:lineRule="auto"/>
              <w:jc w:val="center"/>
              <w:rPr>
                <w:rFonts w:ascii="宋体" w:hAnsi="宋体" w:cs="宋体"/>
                <w:bCs/>
                <w:sz w:val="24"/>
              </w:rPr>
            </w:pPr>
          </w:p>
        </w:tc>
        <w:tc>
          <w:tcPr>
            <w:tcW w:w="4680" w:type="dxa"/>
            <w:gridSpan w:val="5"/>
            <w:noWrap/>
            <w:vAlign w:val="center"/>
          </w:tcPr>
          <w:p>
            <w:pPr>
              <w:spacing w:line="360" w:lineRule="auto"/>
              <w:jc w:val="center"/>
              <w:rPr>
                <w:rFonts w:ascii="宋体" w:hAnsi="宋体" w:cs="宋体"/>
                <w:bCs/>
                <w:sz w:val="24"/>
              </w:rPr>
            </w:pPr>
          </w:p>
        </w:tc>
        <w:tc>
          <w:tcPr>
            <w:tcW w:w="1702" w:type="dxa"/>
            <w:gridSpan w:val="2"/>
            <w:noWrap/>
            <w:vAlign w:val="center"/>
          </w:tcPr>
          <w:p>
            <w:pPr>
              <w:spacing w:line="360" w:lineRule="auto"/>
              <w:jc w:val="center"/>
              <w:rPr>
                <w:rFonts w:ascii="宋体" w:hAnsi="宋体" w:cs="宋体"/>
                <w:bCs/>
                <w:sz w:val="24"/>
              </w:rPr>
            </w:pPr>
          </w:p>
        </w:tc>
        <w:tc>
          <w:tcPr>
            <w:tcW w:w="1141" w:type="dxa"/>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83" w:type="dxa"/>
            <w:gridSpan w:val="2"/>
            <w:noWrap/>
            <w:vAlign w:val="center"/>
          </w:tcPr>
          <w:p>
            <w:pPr>
              <w:spacing w:line="360" w:lineRule="auto"/>
              <w:jc w:val="center"/>
              <w:rPr>
                <w:rFonts w:ascii="宋体" w:hAnsi="宋体" w:cs="宋体"/>
                <w:bCs/>
                <w:sz w:val="24"/>
              </w:rPr>
            </w:pPr>
          </w:p>
        </w:tc>
        <w:tc>
          <w:tcPr>
            <w:tcW w:w="4680" w:type="dxa"/>
            <w:gridSpan w:val="5"/>
            <w:noWrap/>
            <w:vAlign w:val="center"/>
          </w:tcPr>
          <w:p>
            <w:pPr>
              <w:spacing w:line="360" w:lineRule="auto"/>
              <w:jc w:val="center"/>
              <w:rPr>
                <w:rFonts w:ascii="宋体" w:hAnsi="宋体" w:cs="宋体"/>
                <w:bCs/>
                <w:sz w:val="24"/>
              </w:rPr>
            </w:pPr>
          </w:p>
        </w:tc>
        <w:tc>
          <w:tcPr>
            <w:tcW w:w="1702" w:type="dxa"/>
            <w:gridSpan w:val="2"/>
            <w:noWrap/>
            <w:vAlign w:val="center"/>
          </w:tcPr>
          <w:p>
            <w:pPr>
              <w:spacing w:line="360" w:lineRule="auto"/>
              <w:jc w:val="center"/>
              <w:rPr>
                <w:rFonts w:ascii="宋体" w:hAnsi="宋体" w:cs="宋体"/>
                <w:bCs/>
                <w:sz w:val="24"/>
              </w:rPr>
            </w:pPr>
          </w:p>
        </w:tc>
        <w:tc>
          <w:tcPr>
            <w:tcW w:w="1141" w:type="dxa"/>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6" w:type="dxa"/>
            <w:gridSpan w:val="10"/>
            <w:noWrap/>
            <w:vAlign w:val="center"/>
          </w:tcPr>
          <w:p>
            <w:pPr>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6" w:type="dxa"/>
            <w:gridSpan w:val="10"/>
            <w:noWrap/>
            <w:vAlign w:val="center"/>
          </w:tcPr>
          <w:p>
            <w:pPr>
              <w:spacing w:line="360" w:lineRule="auto"/>
              <w:jc w:val="center"/>
              <w:rPr>
                <w:rFonts w:ascii="宋体" w:hAnsi="宋体" w:cs="宋体"/>
                <w:bCs/>
                <w:sz w:val="24"/>
              </w:rPr>
            </w:pPr>
            <w:r>
              <w:rPr>
                <w:rFonts w:hint="eastAsia" w:ascii="宋体" w:hAnsi="宋体" w:cs="宋体"/>
                <w:bCs/>
                <w:sz w:val="24"/>
              </w:rPr>
              <w:t>3.目前担任的职务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06" w:type="dxa"/>
            <w:gridSpan w:val="10"/>
            <w:noWrap/>
            <w:vAlign w:val="center"/>
          </w:tcPr>
          <w:p>
            <w:pPr>
              <w:spacing w:line="360" w:lineRule="auto"/>
              <w:jc w:val="center"/>
              <w:rPr>
                <w:rFonts w:ascii="宋体" w:hAnsi="宋体" w:cs="宋体"/>
                <w:bCs/>
                <w:sz w:val="24"/>
              </w:rPr>
            </w:pPr>
          </w:p>
        </w:tc>
      </w:tr>
    </w:tbl>
    <w:p>
      <w:pPr>
        <w:wordWrap w:val="0"/>
        <w:spacing w:before="240" w:line="360" w:lineRule="auto"/>
        <w:ind w:right="960"/>
        <w:rPr>
          <w:rFonts w:ascii="宋体" w:hAnsi="宋体" w:cs="宋体"/>
          <w:sz w:val="24"/>
        </w:rPr>
      </w:pPr>
      <w:r>
        <w:rPr>
          <w:rFonts w:hint="eastAsia" w:ascii="宋体" w:hAnsi="宋体"/>
          <w:color w:val="000000"/>
          <w:sz w:val="24"/>
          <w:szCs w:val="24"/>
        </w:rPr>
        <w:t xml:space="preserve">法定代表人或被授权代表签字或盖章：  </w:t>
      </w:r>
    </w:p>
    <w:p>
      <w:pPr>
        <w:rPr>
          <w:rFonts w:ascii="宋体" w:hAnsi="宋体" w:cs="宋体"/>
          <w:sz w:val="24"/>
        </w:rPr>
      </w:pPr>
      <w:r>
        <w:rPr>
          <w:rFonts w:hint="eastAsia" w:ascii="宋体" w:hAnsi="宋体" w:cs="宋体"/>
          <w:sz w:val="24"/>
        </w:rPr>
        <w:t>年    月    日</w:t>
      </w:r>
    </w:p>
    <w:p>
      <w:pPr>
        <w:jc w:val="center"/>
        <w:rPr>
          <w:rFonts w:ascii="宋体" w:hAnsi="宋体" w:cs="宋体"/>
          <w:b/>
          <w:bCs/>
          <w:sz w:val="32"/>
          <w:szCs w:val="32"/>
        </w:rPr>
      </w:pPr>
    </w:p>
    <w:p>
      <w:pPr>
        <w:spacing w:line="360" w:lineRule="auto"/>
        <w:rPr>
          <w:rFonts w:ascii="宋体" w:hAnsi="宋体"/>
          <w:sz w:val="24"/>
          <w:szCs w:val="24"/>
        </w:rPr>
      </w:pPr>
    </w:p>
    <w:p>
      <w:pPr>
        <w:pStyle w:val="4"/>
        <w:jc w:val="left"/>
        <w:rPr>
          <w:rFonts w:ascii="黑体" w:hAnsi="黑体" w:eastAsia="黑体"/>
          <w:b w:val="0"/>
          <w:color w:val="000000"/>
          <w:sz w:val="24"/>
          <w:szCs w:val="28"/>
        </w:rPr>
      </w:pPr>
    </w:p>
    <w:p>
      <w:pPr>
        <w:pStyle w:val="4"/>
        <w:jc w:val="left"/>
        <w:rPr>
          <w:rFonts w:ascii="黑体" w:hAnsi="黑体" w:eastAsia="黑体"/>
          <w:b w:val="0"/>
          <w:color w:val="000000"/>
          <w:sz w:val="24"/>
          <w:szCs w:val="28"/>
        </w:rPr>
      </w:pPr>
      <w:r>
        <w:rPr>
          <w:rFonts w:hint="eastAsia" w:ascii="黑体" w:hAnsi="黑体" w:eastAsia="黑体"/>
          <w:b w:val="0"/>
          <w:color w:val="000000"/>
          <w:sz w:val="24"/>
          <w:szCs w:val="28"/>
        </w:rPr>
        <w:t>（十二）中标标段优先顺序承诺函（格式）</w:t>
      </w:r>
    </w:p>
    <w:p>
      <w:pPr>
        <w:pStyle w:val="14"/>
        <w:rPr>
          <w:rFonts w:ascii="宋体" w:hAnsi="宋体"/>
          <w:sz w:val="24"/>
          <w:szCs w:val="24"/>
        </w:rPr>
      </w:pPr>
    </w:p>
    <w:p>
      <w:pPr>
        <w:rPr>
          <w:rFonts w:ascii="宋体" w:hAnsi="宋体"/>
          <w:sz w:val="24"/>
          <w:szCs w:val="24"/>
        </w:rPr>
      </w:pPr>
    </w:p>
    <w:p>
      <w:pPr>
        <w:pStyle w:val="14"/>
        <w:jc w:val="center"/>
      </w:pPr>
      <w:r>
        <w:rPr>
          <w:rFonts w:hint="eastAsia" w:ascii="黑体" w:hAnsi="黑体" w:eastAsia="黑体"/>
          <w:color w:val="000000"/>
          <w:sz w:val="24"/>
          <w:szCs w:val="28"/>
        </w:rPr>
        <w:t>中标标段优先顺序承诺函</w:t>
      </w:r>
    </w:p>
    <w:p>
      <w:pPr>
        <w:rPr>
          <w:rFonts w:ascii="宋体" w:hAnsi="宋体" w:cs="宋体"/>
          <w:bCs/>
          <w:color w:val="000000"/>
          <w:sz w:val="24"/>
        </w:rPr>
      </w:pPr>
    </w:p>
    <w:p>
      <w:pPr>
        <w:rPr>
          <w:rFonts w:ascii="宋体" w:hAnsi="宋体" w:cs="宋体"/>
          <w:bCs/>
          <w:color w:val="000000"/>
          <w:sz w:val="24"/>
        </w:rPr>
      </w:pPr>
    </w:p>
    <w:p>
      <w:pPr>
        <w:rPr>
          <w:rFonts w:ascii="宋体" w:hAnsi="宋体" w:cs="宋体"/>
          <w:b/>
          <w:bCs/>
          <w:color w:val="000000"/>
          <w:sz w:val="24"/>
          <w:u w:val="single"/>
        </w:rPr>
      </w:pPr>
      <w:r>
        <w:rPr>
          <w:rFonts w:hint="eastAsia" w:ascii="宋体" w:hAnsi="宋体" w:cs="宋体"/>
          <w:bCs/>
          <w:color w:val="000000"/>
          <w:sz w:val="24"/>
        </w:rPr>
        <w:t>致：</w:t>
      </w:r>
      <w:r>
        <w:rPr>
          <w:rFonts w:hint="eastAsia" w:ascii="宋体" w:hAnsi="宋体" w:cs="宋体"/>
          <w:b/>
          <w:bCs/>
          <w:color w:val="000000"/>
          <w:sz w:val="24"/>
          <w:u w:val="single"/>
        </w:rPr>
        <w:t xml:space="preserve">                               ：</w:t>
      </w:r>
    </w:p>
    <w:p>
      <w:pPr>
        <w:widowControl/>
        <w:numPr>
          <w:ilvl w:val="0"/>
          <w:numId w:val="22"/>
        </w:numPr>
        <w:shd w:val="clear" w:color="auto" w:fill="FFFFFF"/>
        <w:tabs>
          <w:tab w:val="left" w:pos="360"/>
        </w:tabs>
        <w:spacing w:beforeLines="30" w:afterLines="30" w:line="312" w:lineRule="auto"/>
        <w:ind w:firstLine="480" w:firstLineChars="200"/>
      </w:pPr>
      <w:r>
        <w:rPr>
          <w:rFonts w:hint="eastAsia" w:ascii="宋体" w:hAnsi="宋体" w:cs="宋体"/>
          <w:b/>
          <w:bCs/>
          <w:color w:val="000000"/>
          <w:kern w:val="0"/>
          <w:sz w:val="24"/>
        </w:rPr>
        <w:t>我公司充分理解本次招标共2个标段，投标供应商对2个标段均可投标，但最多只能中1个标段的要求，将按照投标供应商承诺的中标标段优先顺序确定中标标段，并放弃对这方面有不明或误解的权利。</w:t>
      </w:r>
    </w:p>
    <w:p>
      <w:pPr>
        <w:widowControl/>
        <w:numPr>
          <w:ilvl w:val="0"/>
          <w:numId w:val="22"/>
        </w:numPr>
        <w:shd w:val="clear" w:color="auto" w:fill="FFFFFF"/>
        <w:tabs>
          <w:tab w:val="left" w:pos="360"/>
        </w:tabs>
        <w:spacing w:beforeLines="30" w:afterLines="30" w:line="312" w:lineRule="auto"/>
        <w:ind w:firstLine="480" w:firstLineChars="200"/>
      </w:pPr>
      <w:r>
        <w:rPr>
          <w:rFonts w:hint="eastAsia" w:ascii="宋体" w:hAnsi="宋体" w:cs="宋体"/>
          <w:b/>
          <w:bCs/>
          <w:color w:val="000000"/>
          <w:kern w:val="0"/>
          <w:sz w:val="24"/>
        </w:rPr>
        <w:t>如所有开标标段经评审均为第1名时，按投标供应商承诺的优先顺序，选择排列于前的标段中标，其余标段无条件放弃中标权。放弃中标权的标段按经评审排序名次顺延中标候选人。</w:t>
      </w:r>
    </w:p>
    <w:tbl>
      <w:tblPr>
        <w:tblStyle w:val="4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035"/>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728" w:type="dxa"/>
            <w:noWrap/>
            <w:vAlign w:val="center"/>
          </w:tcPr>
          <w:p>
            <w:pPr>
              <w:jc w:val="center"/>
              <w:rPr>
                <w:rFonts w:ascii="宋体" w:hAnsi="宋体" w:cs="宋体"/>
                <w:bCs/>
                <w:color w:val="000000"/>
                <w:sz w:val="24"/>
              </w:rPr>
            </w:pPr>
            <w:r>
              <w:rPr>
                <w:rFonts w:hint="eastAsia" w:ascii="宋体" w:hAnsi="宋体" w:cs="宋体"/>
                <w:bCs/>
                <w:color w:val="000000"/>
                <w:sz w:val="24"/>
              </w:rPr>
              <w:t>中标优先顺序</w:t>
            </w:r>
          </w:p>
        </w:tc>
        <w:tc>
          <w:tcPr>
            <w:tcW w:w="4035" w:type="dxa"/>
            <w:noWrap/>
            <w:vAlign w:val="center"/>
          </w:tcPr>
          <w:p>
            <w:pPr>
              <w:jc w:val="center"/>
              <w:rPr>
                <w:rFonts w:ascii="宋体" w:hAnsi="宋体" w:cs="宋体"/>
                <w:bCs/>
                <w:color w:val="000000"/>
                <w:sz w:val="24"/>
              </w:rPr>
            </w:pPr>
            <w:r>
              <w:rPr>
                <w:rFonts w:hint="eastAsia" w:ascii="宋体" w:hAnsi="宋体" w:cs="宋体"/>
                <w:bCs/>
                <w:color w:val="000000"/>
                <w:sz w:val="24"/>
              </w:rPr>
              <w:t>标段</w:t>
            </w:r>
          </w:p>
        </w:tc>
        <w:tc>
          <w:tcPr>
            <w:tcW w:w="3637" w:type="dxa"/>
            <w:noWrap/>
            <w:vAlign w:val="center"/>
          </w:tcPr>
          <w:p>
            <w:pPr>
              <w:jc w:val="center"/>
              <w:rPr>
                <w:rFonts w:ascii="宋体" w:hAnsi="宋体" w:cs="宋体"/>
                <w:bCs/>
                <w:color w:val="000000"/>
                <w:sz w:val="24"/>
              </w:rPr>
            </w:pPr>
            <w:r>
              <w:rPr>
                <w:rFonts w:hint="eastAsia" w:ascii="宋体" w:hAnsi="宋体" w:cs="宋体"/>
                <w:bCs/>
                <w:color w:val="000000"/>
                <w:sz w:val="24"/>
              </w:rPr>
              <w:t>标段内容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728" w:type="dxa"/>
            <w:noWrap/>
            <w:vAlign w:val="center"/>
          </w:tcPr>
          <w:p>
            <w:pPr>
              <w:jc w:val="center"/>
              <w:rPr>
                <w:rFonts w:ascii="宋体" w:hAnsi="宋体" w:cs="宋体"/>
                <w:bCs/>
                <w:color w:val="000000"/>
                <w:sz w:val="24"/>
              </w:rPr>
            </w:pPr>
            <w:r>
              <w:rPr>
                <w:rFonts w:hint="eastAsia" w:ascii="宋体" w:hAnsi="宋体" w:cs="宋体"/>
                <w:bCs/>
                <w:color w:val="000000"/>
                <w:sz w:val="24"/>
              </w:rPr>
              <w:t>1</w:t>
            </w:r>
          </w:p>
        </w:tc>
        <w:tc>
          <w:tcPr>
            <w:tcW w:w="4035" w:type="dxa"/>
            <w:noWrap/>
            <w:vAlign w:val="center"/>
          </w:tcPr>
          <w:p>
            <w:pPr>
              <w:ind w:firstLine="560"/>
              <w:jc w:val="center"/>
              <w:rPr>
                <w:rFonts w:ascii="宋体" w:hAnsi="宋体" w:cs="宋体"/>
                <w:bCs/>
                <w:color w:val="000000"/>
                <w:sz w:val="24"/>
              </w:rPr>
            </w:pPr>
          </w:p>
        </w:tc>
        <w:tc>
          <w:tcPr>
            <w:tcW w:w="3637" w:type="dxa"/>
            <w:noWrap/>
            <w:vAlign w:val="center"/>
          </w:tcPr>
          <w:p>
            <w:pPr>
              <w:ind w:firstLine="560"/>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noWrap/>
            <w:vAlign w:val="center"/>
          </w:tcPr>
          <w:p>
            <w:pPr>
              <w:jc w:val="center"/>
              <w:rPr>
                <w:rFonts w:ascii="宋体" w:hAnsi="宋体" w:cs="宋体"/>
                <w:bCs/>
                <w:color w:val="000000"/>
                <w:sz w:val="24"/>
              </w:rPr>
            </w:pPr>
            <w:r>
              <w:rPr>
                <w:rFonts w:hint="eastAsia" w:ascii="宋体" w:hAnsi="宋体" w:cs="宋体"/>
                <w:bCs/>
                <w:color w:val="000000"/>
                <w:sz w:val="24"/>
              </w:rPr>
              <w:t>2</w:t>
            </w:r>
          </w:p>
        </w:tc>
        <w:tc>
          <w:tcPr>
            <w:tcW w:w="4035" w:type="dxa"/>
            <w:noWrap/>
            <w:vAlign w:val="center"/>
          </w:tcPr>
          <w:p>
            <w:pPr>
              <w:ind w:firstLine="560"/>
              <w:jc w:val="center"/>
              <w:rPr>
                <w:rFonts w:ascii="宋体" w:hAnsi="宋体" w:cs="宋体"/>
                <w:bCs/>
                <w:color w:val="000000"/>
                <w:sz w:val="24"/>
              </w:rPr>
            </w:pPr>
          </w:p>
        </w:tc>
        <w:tc>
          <w:tcPr>
            <w:tcW w:w="3637" w:type="dxa"/>
            <w:noWrap/>
            <w:vAlign w:val="center"/>
          </w:tcPr>
          <w:p>
            <w:pPr>
              <w:ind w:firstLine="560"/>
              <w:jc w:val="center"/>
              <w:rPr>
                <w:rFonts w:ascii="宋体" w:hAnsi="宋体" w:cs="宋体"/>
                <w:bCs/>
                <w:color w:val="000000"/>
                <w:sz w:val="24"/>
              </w:rPr>
            </w:pPr>
          </w:p>
        </w:tc>
      </w:tr>
    </w:tbl>
    <w:p>
      <w:pPr>
        <w:rPr>
          <w:rFonts w:ascii="宋体" w:hAnsi="宋体" w:cs="宋体"/>
          <w:b/>
          <w:bCs/>
          <w:sz w:val="32"/>
          <w:szCs w:val="32"/>
        </w:rPr>
      </w:pPr>
    </w:p>
    <w:p>
      <w:pPr>
        <w:wordWrap w:val="0"/>
        <w:spacing w:before="240" w:line="360" w:lineRule="auto"/>
        <w:ind w:right="960"/>
        <w:rPr>
          <w:rFonts w:ascii="宋体" w:hAnsi="宋体"/>
          <w:bCs/>
          <w:color w:val="000000"/>
          <w:sz w:val="24"/>
          <w:szCs w:val="24"/>
        </w:rPr>
      </w:pPr>
      <w:r>
        <w:rPr>
          <w:rFonts w:hint="eastAsia" w:ascii="宋体" w:hAnsi="宋体"/>
          <w:bCs/>
          <w:color w:val="000000"/>
          <w:sz w:val="24"/>
          <w:szCs w:val="24"/>
        </w:rPr>
        <w:t>投标人名称（盖章）</w:t>
      </w:r>
    </w:p>
    <w:p>
      <w:pPr>
        <w:wordWrap w:val="0"/>
        <w:spacing w:before="240" w:line="360" w:lineRule="auto"/>
        <w:ind w:right="960"/>
        <w:rPr>
          <w:rFonts w:ascii="宋体" w:hAnsi="宋体" w:cs="宋体"/>
          <w:sz w:val="24"/>
        </w:rPr>
      </w:pPr>
      <w:r>
        <w:rPr>
          <w:rFonts w:hint="eastAsia" w:ascii="宋体" w:hAnsi="宋体"/>
          <w:color w:val="000000"/>
          <w:sz w:val="24"/>
          <w:szCs w:val="24"/>
        </w:rPr>
        <w:t xml:space="preserve">法定代表人或被授权代表签字或盖章：  </w:t>
      </w:r>
    </w:p>
    <w:p>
      <w:pPr>
        <w:rPr>
          <w:rFonts w:ascii="黑体" w:hAnsi="宋体" w:eastAsia="黑体"/>
          <w:bCs/>
          <w:sz w:val="24"/>
          <w:szCs w:val="24"/>
        </w:rPr>
      </w:pPr>
      <w:r>
        <w:rPr>
          <w:rFonts w:hint="eastAsia" w:ascii="宋体" w:hAnsi="宋体" w:cs="宋体"/>
          <w:sz w:val="24"/>
        </w:rPr>
        <w:t>年    月    日</w:t>
      </w: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hint="eastAsia" w:ascii="黑体" w:hAnsi="宋体" w:eastAsia="黑体"/>
          <w:bCs/>
          <w:sz w:val="24"/>
          <w:szCs w:val="24"/>
        </w:rPr>
      </w:pPr>
    </w:p>
    <w:p>
      <w:pPr>
        <w:rPr>
          <w:rFonts w:ascii="黑体" w:hAnsi="宋体" w:eastAsia="黑体"/>
          <w:bCs/>
          <w:sz w:val="24"/>
          <w:szCs w:val="24"/>
        </w:rPr>
      </w:pPr>
      <w:r>
        <w:rPr>
          <w:rFonts w:hint="eastAsia" w:ascii="黑体" w:hAnsi="宋体" w:eastAsia="黑体"/>
          <w:bCs/>
          <w:sz w:val="24"/>
          <w:szCs w:val="24"/>
        </w:rPr>
        <w:t>（十三）技术标部分：</w:t>
      </w:r>
    </w:p>
    <w:p>
      <w:pPr>
        <w:pStyle w:val="14"/>
      </w:pPr>
    </w:p>
    <w:p>
      <w:pPr>
        <w:pStyle w:val="14"/>
      </w:pPr>
    </w:p>
    <w:p>
      <w:pPr>
        <w:ind w:firstLine="1638" w:firstLineChars="546"/>
        <w:rPr>
          <w:sz w:val="24"/>
          <w:szCs w:val="24"/>
        </w:rPr>
      </w:pPr>
      <w:r>
        <w:rPr>
          <w:rFonts w:hint="eastAsia" w:ascii="宋体" w:hAnsi="宋体"/>
          <w:b/>
          <w:sz w:val="30"/>
          <w:szCs w:val="30"/>
        </w:rPr>
        <w:t>技术标部分由投标供应商根据招标文件要求自行编制。</w:t>
      </w:r>
    </w:p>
    <w:p>
      <w:pPr>
        <w:rPr>
          <w:sz w:val="24"/>
          <w:szCs w:val="24"/>
        </w:rPr>
      </w:pPr>
    </w:p>
    <w:p>
      <w:pPr>
        <w:rPr>
          <w:sz w:val="24"/>
          <w:szCs w:val="24"/>
        </w:rPr>
      </w:pPr>
    </w:p>
    <w:p>
      <w:pPr>
        <w:rPr>
          <w:sz w:val="24"/>
          <w:szCs w:val="24"/>
        </w:rPr>
      </w:pPr>
    </w:p>
    <w:p>
      <w:pPr>
        <w:rPr>
          <w:sz w:val="24"/>
          <w:szCs w:val="24"/>
        </w:rPr>
      </w:pPr>
      <w:bookmarkStart w:id="9" w:name="_Hlk43478297"/>
      <w:r>
        <w:rPr>
          <w:rFonts w:hint="eastAsia" w:ascii="宋体" w:hAnsi="宋体" w:cs="宋体"/>
          <w:b/>
          <w:sz w:val="24"/>
        </w:rPr>
        <w:t>技术文件为暗标，格式要求详见本招标文件“投标文件的制作”</w:t>
      </w:r>
      <w:bookmarkEnd w:id="9"/>
      <w:r>
        <w:rPr>
          <w:rFonts w:hint="eastAsia" w:ascii="宋体" w:hAnsi="宋体"/>
          <w:b/>
          <w:sz w:val="24"/>
        </w:rPr>
        <w:t>9</w:t>
      </w:r>
      <w:r>
        <w:rPr>
          <w:rFonts w:ascii="宋体" w:hAnsi="宋体"/>
          <w:b/>
          <w:sz w:val="24"/>
        </w:rPr>
        <w:t>.</w:t>
      </w:r>
      <w:r>
        <w:rPr>
          <w:rFonts w:hint="eastAsia" w:ascii="宋体" w:hAnsi="宋体"/>
          <w:b/>
          <w:sz w:val="24"/>
        </w:rPr>
        <w:t>暗标编制、装订要求。”暗标封面、装订夹由采购代理机构统一提供。</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
      <w:pPr>
        <w:pStyle w:val="59"/>
        <w:numPr>
          <w:ilvl w:val="0"/>
          <w:numId w:val="0"/>
        </w:numPr>
        <w:ind w:left="403" w:hanging="403"/>
      </w:pPr>
    </w:p>
    <w:p/>
    <w:p>
      <w:pPr>
        <w:pStyle w:val="57"/>
        <w:ind w:firstLine="420"/>
      </w:pPr>
    </w:p>
    <w:p/>
    <w:p>
      <w:pPr>
        <w:pStyle w:val="58"/>
      </w:pPr>
    </w:p>
    <w:p>
      <w:pPr>
        <w:pStyle w:val="58"/>
      </w:pPr>
    </w:p>
    <w:p>
      <w:pPr>
        <w:pStyle w:val="58"/>
      </w:pPr>
    </w:p>
    <w:p>
      <w:pPr>
        <w:rPr>
          <w:rFonts w:ascii="黑体" w:hAnsi="华文中宋" w:eastAsia="黑体"/>
          <w:sz w:val="30"/>
          <w:szCs w:val="30"/>
        </w:rPr>
      </w:pPr>
      <w:r>
        <w:rPr>
          <w:rFonts w:hint="eastAsia" w:ascii="黑体" w:hAnsi="华文中宋" w:eastAsia="黑体"/>
          <w:sz w:val="30"/>
          <w:szCs w:val="30"/>
        </w:rPr>
        <w:t>附1：</w:t>
      </w:r>
    </w:p>
    <w:p>
      <w:pPr>
        <w:jc w:val="center"/>
        <w:rPr>
          <w:rFonts w:ascii="华文中宋" w:hAnsi="华文中宋" w:eastAsia="华文中宋"/>
          <w:b/>
          <w:sz w:val="36"/>
          <w:szCs w:val="36"/>
        </w:rPr>
      </w:pPr>
      <w:r>
        <w:rPr>
          <w:rFonts w:hint="eastAsia" w:ascii="华文中宋" w:hAnsi="华文中宋" w:eastAsia="华文中宋"/>
          <w:b/>
          <w:sz w:val="36"/>
          <w:szCs w:val="36"/>
        </w:rPr>
        <w:t>政府采购履约担保函 （项目用）</w:t>
      </w:r>
    </w:p>
    <w:p>
      <w:pPr>
        <w:ind w:firstLine="6720" w:firstLineChars="3200"/>
      </w:pPr>
      <w:r>
        <w:rPr>
          <w:rFonts w:hint="eastAsia"/>
        </w:rPr>
        <w:t>编号：</w:t>
      </w:r>
    </w:p>
    <w:p/>
    <w:p>
      <w:r>
        <w:rPr>
          <w:rFonts w:hint="eastAsia"/>
        </w:rPr>
        <w:t>（采购人）：</w:t>
      </w:r>
    </w:p>
    <w:p/>
    <w:p>
      <w:pPr>
        <w:ind w:firstLine="420" w:firstLineChars="200"/>
      </w:pPr>
      <w:r>
        <w:rPr>
          <w:rFonts w:hint="eastAsia"/>
        </w:rPr>
        <w:t>鉴于你方与（以下简称供应商）于年月日签定编号为   的《政府采购合同》（以下简称主合同），且依据该合同的约定，供应商应在年</w:t>
      </w:r>
    </w:p>
    <w:p>
      <w:r>
        <w:rPr>
          <w:rFonts w:hint="eastAsia"/>
        </w:rPr>
        <w:t>月日前向你方交纳履约保证金，且可以履约担保函的形式交纳履约保证金。应供应商的申请，我方以保证的方式向你方提供如下履约保证金担保：</w:t>
      </w:r>
    </w:p>
    <w:p>
      <w:pPr>
        <w:ind w:firstLine="420" w:firstLineChars="200"/>
      </w:pPr>
      <w:r>
        <w:rPr>
          <w:rFonts w:hint="eastAsia"/>
        </w:rPr>
        <w:t>一、保证责任的情形及保证金额</w:t>
      </w:r>
    </w:p>
    <w:p>
      <w:pPr>
        <w:ind w:firstLine="420" w:firstLineChars="200"/>
      </w:pPr>
      <w:r>
        <w:rPr>
          <w:rFonts w:hint="eastAsia"/>
        </w:rPr>
        <w:t>（一）在供应商出现下列情形之一时，我方承担保证责任：</w:t>
      </w:r>
    </w:p>
    <w:p>
      <w:pPr>
        <w:ind w:firstLine="420" w:firstLineChars="200"/>
      </w:pPr>
      <w:r>
        <w:rPr>
          <w:rFonts w:hint="eastAsia"/>
        </w:rPr>
        <w:t>1．将中标项目转让给他人，或者在投标文件中未说明，且未经采购招标机构人同意，将中标项目分包给他人的；</w:t>
      </w:r>
    </w:p>
    <w:p>
      <w:r>
        <w:rPr>
          <w:rFonts w:hint="eastAsia"/>
        </w:rPr>
        <w:t xml:space="preserve">　　2．主合同约定的应当缴纳履约保证金的情形: </w:t>
      </w:r>
    </w:p>
    <w:p>
      <w:pPr>
        <w:ind w:firstLine="420" w:firstLineChars="200"/>
      </w:pPr>
      <w:r>
        <w:rPr>
          <w:rFonts w:hint="eastAsia"/>
        </w:rPr>
        <w:t>（1）未按主合同约定的质量、数量和期限供应货物/提供服务/完成工程的；</w:t>
      </w:r>
    </w:p>
    <w:p>
      <w:pPr>
        <w:ind w:firstLine="420" w:firstLineChars="200"/>
      </w:pPr>
      <w:r>
        <w:rPr>
          <w:rFonts w:hint="eastAsia"/>
        </w:rPr>
        <w:t>（2）。</w:t>
      </w:r>
    </w:p>
    <w:p>
      <w:pPr>
        <w:ind w:firstLine="420" w:firstLineChars="200"/>
      </w:pPr>
      <w:r>
        <w:rPr>
          <w:rFonts w:hint="eastAsia"/>
        </w:rPr>
        <w:t>（二）我方的保证范围是主合同约定的合同价款总额的%数额为元（大写），币种为。（即主合同履约保证金金额）</w:t>
      </w:r>
    </w:p>
    <w:p>
      <w:pPr>
        <w:ind w:firstLine="420" w:firstLineChars="200"/>
      </w:pPr>
      <w:r>
        <w:rPr>
          <w:rFonts w:hint="eastAsia"/>
        </w:rPr>
        <w:t>二、保证的方式及保证期间</w:t>
      </w:r>
    </w:p>
    <w:p>
      <w:pPr>
        <w:ind w:firstLine="420" w:firstLineChars="200"/>
      </w:pPr>
      <w:r>
        <w:rPr>
          <w:rFonts w:hint="eastAsia"/>
        </w:rPr>
        <w:t>我方保证的方式为：连带责任保证。</w:t>
      </w:r>
    </w:p>
    <w:p>
      <w:pPr>
        <w:ind w:firstLine="420" w:firstLineChars="200"/>
      </w:pPr>
      <w:r>
        <w:rPr>
          <w:rFonts w:hint="eastAsia"/>
        </w:rPr>
        <w:t>我方保证的期间为：自本合同生效之日起至供应商按照主合同约定的供货/完工期限届满后日内。</w:t>
      </w:r>
    </w:p>
    <w:p>
      <w:pPr>
        <w:ind w:firstLine="420" w:firstLineChars="200"/>
      </w:pPr>
      <w:r>
        <w:rPr>
          <w:rFonts w:hint="eastAsia"/>
        </w:rPr>
        <w:t>如果供应商未按主合同约定向贵方供应货物/提供服务/完成工程的，由我方在保证金额内向你方支付上述款项。</w:t>
      </w:r>
    </w:p>
    <w:p>
      <w:pPr>
        <w:ind w:firstLine="420" w:firstLineChars="200"/>
      </w:pPr>
      <w:r>
        <w:rPr>
          <w:rFonts w:hint="eastAsia"/>
        </w:rPr>
        <w:t>三、承担保证责任的程序</w:t>
      </w:r>
    </w:p>
    <w:p>
      <w:pPr>
        <w:ind w:firstLine="420" w:firstLineChars="200"/>
      </w:pPr>
      <w:r>
        <w:rPr>
          <w:rFonts w:hint="eastAsia"/>
        </w:rPr>
        <w:t>1．你方要求我方承担保证责任的，应在本保函保证期间内向我方发出书面索赔通知。索赔通知应写明要求索赔的金额，支付款项应到达的账号。并附有证明供应商违约事实的证明材料。</w:t>
      </w:r>
    </w:p>
    <w:p>
      <w:pPr>
        <w:ind w:firstLine="420" w:firstLineChars="200"/>
      </w:pPr>
      <w:r>
        <w:rPr>
          <w:rFonts w:hint="eastAsia"/>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20" w:firstLineChars="200"/>
      </w:pPr>
      <w:r>
        <w:rPr>
          <w:rFonts w:hint="eastAsia"/>
        </w:rPr>
        <w:t>2． 我方收到你方的书面索赔通知及相应证明材料，在工作日内进行核定后按照本保函的承诺承担保证责任。</w:t>
      </w:r>
    </w:p>
    <w:p>
      <w:pPr>
        <w:ind w:firstLine="420" w:firstLineChars="200"/>
      </w:pPr>
      <w:r>
        <w:rPr>
          <w:rFonts w:hint="eastAsia"/>
        </w:rPr>
        <w:t>四、保证责任的终止</w:t>
      </w:r>
    </w:p>
    <w:p>
      <w:pPr>
        <w:ind w:firstLine="420" w:firstLineChars="200"/>
      </w:pPr>
      <w:r>
        <w:rPr>
          <w:rFonts w:hint="eastAsia"/>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20" w:firstLineChars="200"/>
      </w:pPr>
      <w:r>
        <w:rPr>
          <w:rFonts w:hint="eastAsia"/>
        </w:rPr>
        <w:t>2．我方按照本保函向你方履行了保证责任后，自我方向你方支付款项（支付款项从我方账户划出）之日起，保证责任即终止。</w:t>
      </w:r>
    </w:p>
    <w:p>
      <w:pPr>
        <w:ind w:firstLine="420" w:firstLineChars="200"/>
      </w:pPr>
      <w:r>
        <w:rPr>
          <w:rFonts w:hint="eastAsia"/>
        </w:rPr>
        <w:t>3．按照法律法规的规定或出现应终止我方保证责任的其他情形的，我方在本保函项下的保证责任亦终止。</w:t>
      </w:r>
    </w:p>
    <w:p>
      <w:pPr>
        <w:ind w:firstLine="420" w:firstLineChars="200"/>
      </w:pPr>
      <w:r>
        <w:rPr>
          <w:rFonts w:hint="eastAsia"/>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0" w:firstLineChars="200"/>
      </w:pPr>
      <w:r>
        <w:rPr>
          <w:rFonts w:hint="eastAsia"/>
        </w:rPr>
        <w:t>五、免责条款</w:t>
      </w:r>
    </w:p>
    <w:p>
      <w:pPr>
        <w:ind w:firstLine="420" w:firstLineChars="200"/>
      </w:pPr>
      <w:r>
        <w:rPr>
          <w:rFonts w:hint="eastAsia"/>
        </w:rPr>
        <w:t>1．因你方违反主合同约定致使供应商不能履行义务的，我方不承担保证责任。</w:t>
      </w:r>
    </w:p>
    <w:p>
      <w:pPr>
        <w:ind w:firstLine="420" w:firstLineChars="200"/>
      </w:pPr>
      <w:r>
        <w:rPr>
          <w:rFonts w:hint="eastAsia"/>
        </w:rPr>
        <w:t>2．依照法律法规的规定或你方与供应商的另行约定，全部或者部分免除供应商应缴纳的保证金义务的，我方亦免除相应的保证责任。</w:t>
      </w:r>
    </w:p>
    <w:p>
      <w:pPr>
        <w:ind w:firstLine="420" w:firstLineChars="200"/>
      </w:pPr>
      <w:r>
        <w:rPr>
          <w:rFonts w:hint="eastAsia"/>
        </w:rPr>
        <w:t>3．因不可抗力造成供应商不能履行供货义务的，我方不承担保证责任。</w:t>
      </w:r>
    </w:p>
    <w:p>
      <w:pPr>
        <w:ind w:firstLine="420" w:firstLineChars="200"/>
      </w:pPr>
      <w:r>
        <w:rPr>
          <w:rFonts w:hint="eastAsia"/>
        </w:rPr>
        <w:t>六、争议的解决</w:t>
      </w:r>
    </w:p>
    <w:p>
      <w:pPr>
        <w:ind w:firstLine="420" w:firstLineChars="200"/>
      </w:pPr>
      <w:r>
        <w:rPr>
          <w:rFonts w:hint="eastAsia"/>
        </w:rPr>
        <w:t>因本保函发生的纠纷，由你我双方协商解决，协商不成的，通过诉讼程序解决，诉讼管辖地法院为法院。</w:t>
      </w:r>
    </w:p>
    <w:p>
      <w:pPr>
        <w:ind w:firstLine="420" w:firstLineChars="200"/>
      </w:pPr>
      <w:r>
        <w:rPr>
          <w:rFonts w:hint="eastAsia"/>
        </w:rPr>
        <w:t>七、保函的生效</w:t>
      </w:r>
    </w:p>
    <w:p>
      <w:pPr>
        <w:ind w:firstLine="420" w:firstLineChars="200"/>
      </w:pPr>
      <w:r>
        <w:rPr>
          <w:rFonts w:hint="eastAsia"/>
        </w:rPr>
        <w:t>本保函自我方加盖公章之日起生效。</w:t>
      </w:r>
    </w:p>
    <w:p/>
    <w:p/>
    <w:p>
      <w:pPr>
        <w:ind w:firstLine="6090" w:firstLineChars="2900"/>
      </w:pPr>
      <w:r>
        <w:rPr>
          <w:rFonts w:hint="eastAsia"/>
        </w:rPr>
        <w:t>保证人：（公章）</w:t>
      </w:r>
    </w:p>
    <w:p/>
    <w:p>
      <w:r>
        <w:rPr>
          <w:rFonts w:hint="eastAsia"/>
        </w:rPr>
        <w:t xml:space="preserve">                                                          年     月      日</w:t>
      </w:r>
    </w:p>
    <w:p/>
    <w:p>
      <w:pPr>
        <w:tabs>
          <w:tab w:val="left" w:pos="2629"/>
        </w:tabs>
        <w:spacing w:line="360" w:lineRule="auto"/>
        <w:jc w:val="left"/>
        <w:rPr>
          <w:sz w:val="24"/>
          <w:szCs w:val="24"/>
        </w:rPr>
      </w:pPr>
    </w:p>
    <w:p>
      <w:pPr>
        <w:tabs>
          <w:tab w:val="left" w:pos="3937"/>
        </w:tabs>
        <w:jc w:val="left"/>
        <w:rPr>
          <w:rFonts w:ascii="宋体" w:hAnsi="宋体" w:cs="宋体"/>
          <w:sz w:val="24"/>
          <w:szCs w:val="24"/>
        </w:rPr>
      </w:pPr>
    </w:p>
    <w:sectPr>
      <w:footerReference r:id="rId8" w:type="first"/>
      <w:headerReference r:id="rId6" w:type="default"/>
      <w:footerReference r:id="rId7" w:type="default"/>
      <w:pgSz w:w="11906" w:h="16838"/>
      <w:pgMar w:top="787" w:right="851" w:bottom="567" w:left="1134" w:header="624" w:footer="90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6" o:spid="_x0000_s1026" o:spt="202" type="#_x0000_t202" style="position:absolute;left:0pt;margin-top:0pt;height:10.35pt;width:4.55pt;mso-position-horizontal:left;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Wp/caMwBAACYAwAADgAAAAAAAAABACAAAAAfAQAAZHJzL2Uy&#10;b0RvYy54bWxQSwUGAAAAAAYABgBZAQAAX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11"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VjtUGxgEAAJwDAAAOAAAAAAAAAAEAIAAAAB4BAABkcnMvZTJvRG9jLnht&#10;bFBLBQYAAAAABgAGAFkBAABWBQ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pict>
        <v:shape id="文本框 8" o:spid="_x0000_s3074"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i91E0AAAAAIBAAAPAAAAAAAAAAEAIAAAACIAAABkcnMvZG93bnJl&#10;di54bWxQSwECFAAUAAAACACHTuJATNO74cwBAACYAwAADgAAAAAAAAABACAAAAAfAQAAZHJzL2Uy&#10;b0RvYy54bWxQSwUGAAAAAAYABgBZAQAAX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06BB"/>
    <w:multiLevelType w:val="singleLevel"/>
    <w:tmpl w:val="90E206BB"/>
    <w:lvl w:ilvl="0" w:tentative="0">
      <w:start w:val="12"/>
      <w:numFmt w:val="chineseCounting"/>
      <w:suff w:val="nothing"/>
      <w:lvlText w:val="（%1）"/>
      <w:lvlJc w:val="left"/>
      <w:rPr>
        <w:rFonts w:hint="eastAsia"/>
      </w:rPr>
    </w:lvl>
  </w:abstractNum>
  <w:abstractNum w:abstractNumId="1">
    <w:nsid w:val="C93ECFA4"/>
    <w:multiLevelType w:val="singleLevel"/>
    <w:tmpl w:val="C93ECFA4"/>
    <w:lvl w:ilvl="0" w:tentative="0">
      <w:start w:val="15"/>
      <w:numFmt w:val="chineseCounting"/>
      <w:suff w:val="nothing"/>
      <w:lvlText w:val="（%1）"/>
      <w:lvlJc w:val="left"/>
      <w:rPr>
        <w:rFonts w:hint="eastAsia"/>
      </w:rPr>
    </w:lvl>
  </w:abstractNum>
  <w:abstractNum w:abstractNumId="2">
    <w:nsid w:val="D1F09FE1"/>
    <w:multiLevelType w:val="singleLevel"/>
    <w:tmpl w:val="D1F09FE1"/>
    <w:lvl w:ilvl="0" w:tentative="0">
      <w:start w:val="1"/>
      <w:numFmt w:val="decimal"/>
      <w:suff w:val="nothing"/>
      <w:lvlText w:val="%1、"/>
      <w:lvlJc w:val="left"/>
      <w:pPr>
        <w:ind w:left="-60"/>
      </w:pPr>
    </w:lvl>
  </w:abstractNum>
  <w:abstractNum w:abstractNumId="3">
    <w:nsid w:val="EAAED051"/>
    <w:multiLevelType w:val="singleLevel"/>
    <w:tmpl w:val="EAAED051"/>
    <w:lvl w:ilvl="0" w:tentative="0">
      <w:start w:val="1"/>
      <w:numFmt w:val="decimal"/>
      <w:lvlText w:val="%1."/>
      <w:lvlJc w:val="left"/>
      <w:pPr>
        <w:tabs>
          <w:tab w:val="left" w:pos="312"/>
        </w:tabs>
      </w:pPr>
    </w:lvl>
  </w:abstractNum>
  <w:abstractNum w:abstractNumId="4">
    <w:nsid w:val="00000002"/>
    <w:multiLevelType w:val="multilevel"/>
    <w:tmpl w:val="00000002"/>
    <w:lvl w:ilvl="0" w:tentative="0">
      <w:start w:val="1"/>
      <w:numFmt w:val="decimal"/>
      <w:pStyle w:val="87"/>
      <w:lvlText w:val="%1."/>
      <w:lvlJc w:val="left"/>
      <w:pPr>
        <w:tabs>
          <w:tab w:val="left" w:pos="2205"/>
        </w:tabs>
        <w:ind w:left="2205" w:hanging="420"/>
      </w:pPr>
    </w:lvl>
    <w:lvl w:ilvl="1" w:tentative="0">
      <w:start w:val="1"/>
      <w:numFmt w:val="lowerLetter"/>
      <w:lvlText w:val="%2)"/>
      <w:lvlJc w:val="left"/>
      <w:pPr>
        <w:tabs>
          <w:tab w:val="left" w:pos="1574"/>
        </w:tabs>
        <w:ind w:left="1574" w:hanging="420"/>
      </w:pPr>
    </w:lvl>
    <w:lvl w:ilvl="2" w:tentative="0">
      <w:start w:val="1"/>
      <w:numFmt w:val="lowerRoman"/>
      <w:lvlText w:val="%3."/>
      <w:lvlJc w:val="right"/>
      <w:pPr>
        <w:tabs>
          <w:tab w:val="left" w:pos="1994"/>
        </w:tabs>
        <w:ind w:left="1994" w:hanging="420"/>
      </w:pPr>
    </w:lvl>
    <w:lvl w:ilvl="3" w:tentative="0">
      <w:start w:val="1"/>
      <w:numFmt w:val="decimal"/>
      <w:lvlText w:val="%4."/>
      <w:lvlJc w:val="left"/>
      <w:pPr>
        <w:tabs>
          <w:tab w:val="left" w:pos="2414"/>
        </w:tabs>
        <w:ind w:left="2414" w:hanging="420"/>
      </w:pPr>
    </w:lvl>
    <w:lvl w:ilvl="4" w:tentative="0">
      <w:start w:val="1"/>
      <w:numFmt w:val="lowerLetter"/>
      <w:lvlText w:val="%5)"/>
      <w:lvlJc w:val="left"/>
      <w:pPr>
        <w:tabs>
          <w:tab w:val="left" w:pos="2834"/>
        </w:tabs>
        <w:ind w:left="2834" w:hanging="420"/>
      </w:pPr>
    </w:lvl>
    <w:lvl w:ilvl="5" w:tentative="0">
      <w:start w:val="1"/>
      <w:numFmt w:val="lowerRoman"/>
      <w:lvlText w:val="%6."/>
      <w:lvlJc w:val="right"/>
      <w:pPr>
        <w:tabs>
          <w:tab w:val="left" w:pos="3254"/>
        </w:tabs>
        <w:ind w:left="3254" w:hanging="420"/>
      </w:pPr>
    </w:lvl>
    <w:lvl w:ilvl="6" w:tentative="0">
      <w:start w:val="1"/>
      <w:numFmt w:val="decimal"/>
      <w:lvlText w:val="%7."/>
      <w:lvlJc w:val="left"/>
      <w:pPr>
        <w:tabs>
          <w:tab w:val="left" w:pos="3674"/>
        </w:tabs>
        <w:ind w:left="3674" w:hanging="420"/>
      </w:pPr>
    </w:lvl>
    <w:lvl w:ilvl="7" w:tentative="0">
      <w:start w:val="1"/>
      <w:numFmt w:val="lowerLetter"/>
      <w:lvlText w:val="%8)"/>
      <w:lvlJc w:val="left"/>
      <w:pPr>
        <w:tabs>
          <w:tab w:val="left" w:pos="4094"/>
        </w:tabs>
        <w:ind w:left="4094" w:hanging="420"/>
      </w:pPr>
    </w:lvl>
    <w:lvl w:ilvl="8" w:tentative="0">
      <w:start w:val="1"/>
      <w:numFmt w:val="lowerRoman"/>
      <w:lvlText w:val="%9."/>
      <w:lvlJc w:val="right"/>
      <w:pPr>
        <w:tabs>
          <w:tab w:val="left" w:pos="4514"/>
        </w:tabs>
        <w:ind w:left="4514" w:hanging="420"/>
      </w:pPr>
    </w:lvl>
  </w:abstractNum>
  <w:abstractNum w:abstractNumId="5">
    <w:nsid w:val="00000004"/>
    <w:multiLevelType w:val="multilevel"/>
    <w:tmpl w:val="00000004"/>
    <w:lvl w:ilvl="0" w:tentative="0">
      <w:start w:val="1"/>
      <w:numFmt w:val="upperLetter"/>
      <w:pStyle w:val="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1111"/>
        </w:tabs>
        <w:ind w:left="1111" w:hanging="420"/>
      </w:pPr>
      <w:rPr>
        <w:rFonts w:hint="eastAsia"/>
      </w:rPr>
    </w:lvl>
    <w:lvl w:ilvl="1" w:tentative="0">
      <w:start w:val="1"/>
      <w:numFmt w:val="decimalEnclosedCircle"/>
      <w:lvlText w:val="%2"/>
      <w:lvlJc w:val="right"/>
      <w:pPr>
        <w:tabs>
          <w:tab w:val="left" w:pos="1321"/>
        </w:tabs>
        <w:ind w:left="1321" w:hanging="420"/>
      </w:pPr>
      <w:rPr>
        <w:rFonts w:hint="eastAsia" w:ascii="Times New Roman" w:hAnsi="Times New Roman" w:eastAsia="Times New Roman" w:cs="Times New Roman"/>
        <w:color w:val="auto"/>
      </w:rPr>
    </w:lvl>
    <w:lvl w:ilvl="2" w:tentative="0">
      <w:start w:val="1"/>
      <w:numFmt w:val="lowerRoman"/>
      <w:lvlText w:val="%3."/>
      <w:lvlJc w:val="right"/>
      <w:pPr>
        <w:tabs>
          <w:tab w:val="left" w:pos="1741"/>
        </w:tabs>
        <w:ind w:left="1741" w:hanging="420"/>
      </w:pPr>
    </w:lvl>
    <w:lvl w:ilvl="3" w:tentative="0">
      <w:start w:val="1"/>
      <w:numFmt w:val="decimal"/>
      <w:lvlText w:val="%4."/>
      <w:lvlJc w:val="left"/>
      <w:pPr>
        <w:tabs>
          <w:tab w:val="left" w:pos="2161"/>
        </w:tabs>
        <w:ind w:left="2161" w:hanging="420"/>
      </w:pPr>
    </w:lvl>
    <w:lvl w:ilvl="4" w:tentative="0">
      <w:start w:val="1"/>
      <w:numFmt w:val="lowerLetter"/>
      <w:lvlText w:val="%5)"/>
      <w:lvlJc w:val="left"/>
      <w:pPr>
        <w:tabs>
          <w:tab w:val="left" w:pos="2581"/>
        </w:tabs>
        <w:ind w:left="2581" w:hanging="420"/>
      </w:pPr>
    </w:lvl>
    <w:lvl w:ilvl="5" w:tentative="0">
      <w:start w:val="1"/>
      <w:numFmt w:val="lowerRoman"/>
      <w:lvlText w:val="%6."/>
      <w:lvlJc w:val="right"/>
      <w:pPr>
        <w:tabs>
          <w:tab w:val="left" w:pos="3001"/>
        </w:tabs>
        <w:ind w:left="3001" w:hanging="420"/>
      </w:pPr>
    </w:lvl>
    <w:lvl w:ilvl="6" w:tentative="0">
      <w:start w:val="1"/>
      <w:numFmt w:val="decimal"/>
      <w:lvlText w:val="%7."/>
      <w:lvlJc w:val="left"/>
      <w:pPr>
        <w:tabs>
          <w:tab w:val="left" w:pos="3421"/>
        </w:tabs>
        <w:ind w:left="3421" w:hanging="420"/>
      </w:pPr>
    </w:lvl>
    <w:lvl w:ilvl="7" w:tentative="0">
      <w:start w:val="1"/>
      <w:numFmt w:val="lowerLetter"/>
      <w:lvlText w:val="%8)"/>
      <w:lvlJc w:val="left"/>
      <w:pPr>
        <w:tabs>
          <w:tab w:val="left" w:pos="3841"/>
        </w:tabs>
        <w:ind w:left="3841" w:hanging="420"/>
      </w:pPr>
    </w:lvl>
    <w:lvl w:ilvl="8" w:tentative="0">
      <w:start w:val="1"/>
      <w:numFmt w:val="lowerRoman"/>
      <w:lvlText w:val="%9."/>
      <w:lvlJc w:val="right"/>
      <w:pPr>
        <w:tabs>
          <w:tab w:val="left" w:pos="4261"/>
        </w:tabs>
        <w:ind w:left="4261" w:hanging="420"/>
      </w:pPr>
    </w:lvl>
  </w:abstractNum>
  <w:abstractNum w:abstractNumId="7">
    <w:nsid w:val="00000020"/>
    <w:multiLevelType w:val="multilevel"/>
    <w:tmpl w:val="00000020"/>
    <w:lvl w:ilvl="0" w:tentative="0">
      <w:start w:val="1"/>
      <w:numFmt w:val="japaneseCounting"/>
      <w:pStyle w:val="59"/>
      <w:lvlText w:val="（%1）"/>
      <w:lvlJc w:val="left"/>
      <w:pPr>
        <w:tabs>
          <w:tab w:val="left" w:pos="1380"/>
        </w:tabs>
        <w:ind w:left="1380" w:hanging="855"/>
      </w:pPr>
      <w:rPr>
        <w:rFonts w:hint="eastAsia"/>
      </w:rPr>
    </w:lvl>
    <w:lvl w:ilvl="1" w:tentative="0">
      <w:start w:val="3"/>
      <w:numFmt w:val="decimal"/>
      <w:lvlText w:val="%2."/>
      <w:lvlJc w:val="left"/>
      <w:pPr>
        <w:tabs>
          <w:tab w:val="left" w:pos="1650"/>
        </w:tabs>
        <w:ind w:left="1650" w:hanging="705"/>
      </w:pPr>
      <w:rPr>
        <w:rFonts w:hint="default"/>
      </w:rPr>
    </w:lvl>
    <w:lvl w:ilvl="2" w:tentative="0">
      <w:start w:val="1"/>
      <w:numFmt w:val="decimal"/>
      <w:lvlText w:val="%3."/>
      <w:lvlJc w:val="left"/>
      <w:pPr>
        <w:tabs>
          <w:tab w:val="left" w:pos="2265"/>
        </w:tabs>
        <w:ind w:left="2265" w:hanging="900"/>
      </w:pPr>
      <w:rPr>
        <w:rFonts w:hint="eastAsia"/>
      </w:rPr>
    </w:lvl>
    <w:lvl w:ilvl="3" w:tentative="0">
      <w:start w:val="1"/>
      <w:numFmt w:val="decimal"/>
      <w:lvlText w:val="（%4）"/>
      <w:lvlJc w:val="left"/>
      <w:pPr>
        <w:tabs>
          <w:tab w:val="left" w:pos="2505"/>
        </w:tabs>
        <w:ind w:left="2505" w:hanging="720"/>
      </w:pPr>
      <w:rPr>
        <w:rFonts w:hint="eastAsia" w:ascii="宋体" w:hAnsi="宋体" w:eastAsia="宋体"/>
        <w:sz w:val="24"/>
        <w:szCs w:val="24"/>
      </w:rPr>
    </w:lvl>
    <w:lvl w:ilvl="4" w:tentative="0">
      <w:start w:val="1"/>
      <w:numFmt w:val="lowerLetter"/>
      <w:lvlText w:val="%5."/>
      <w:lvlJc w:val="left"/>
      <w:pPr>
        <w:tabs>
          <w:tab w:val="left" w:pos="2565"/>
        </w:tabs>
        <w:ind w:left="2565" w:hanging="360"/>
      </w:pPr>
      <w:rPr>
        <w:rFonts w:hint="eastAsia"/>
      </w:rPr>
    </w:lvl>
    <w:lvl w:ilvl="5" w:tentative="0">
      <w:start w:val="1"/>
      <w:numFmt w:val="decimal"/>
      <w:lvlText w:val="%6．"/>
      <w:lvlJc w:val="left"/>
      <w:pPr>
        <w:tabs>
          <w:tab w:val="left" w:pos="3345"/>
        </w:tabs>
        <w:ind w:left="3345" w:hanging="720"/>
      </w:pPr>
      <w:rPr>
        <w:rFonts w:hint="eastAsia"/>
      </w:r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8">
    <w:nsid w:val="00000022"/>
    <w:multiLevelType w:val="singleLevel"/>
    <w:tmpl w:val="00000022"/>
    <w:lvl w:ilvl="0" w:tentative="0">
      <w:start w:val="1"/>
      <w:numFmt w:val="decimal"/>
      <w:pStyle w:val="94"/>
      <w:lvlText w:val="%1．"/>
      <w:lvlJc w:val="left"/>
      <w:pPr>
        <w:tabs>
          <w:tab w:val="left" w:pos="552"/>
        </w:tabs>
        <w:ind w:left="552" w:hanging="420"/>
      </w:pPr>
      <w:rPr>
        <w:rFonts w:hint="eastAsia"/>
      </w:rPr>
    </w:lvl>
  </w:abstractNum>
  <w:abstractNum w:abstractNumId="9">
    <w:nsid w:val="0366223E"/>
    <w:multiLevelType w:val="singleLevel"/>
    <w:tmpl w:val="0366223E"/>
    <w:lvl w:ilvl="0" w:tentative="0">
      <w:start w:val="1"/>
      <w:numFmt w:val="decimal"/>
      <w:suff w:val="nothing"/>
      <w:lvlText w:val="%1、"/>
      <w:lvlJc w:val="left"/>
    </w:lvl>
  </w:abstractNum>
  <w:abstractNum w:abstractNumId="10">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11">
    <w:nsid w:val="41DC48F5"/>
    <w:multiLevelType w:val="multilevel"/>
    <w:tmpl w:val="41DC48F5"/>
    <w:lvl w:ilvl="0" w:tentative="0">
      <w:start w:val="1"/>
      <w:numFmt w:val="decimal"/>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FF0000"/>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2">
    <w:nsid w:val="42C54FDC"/>
    <w:multiLevelType w:val="multilevel"/>
    <w:tmpl w:val="42C54FDC"/>
    <w:lvl w:ilvl="0" w:tentative="0">
      <w:start w:val="1"/>
      <w:numFmt w:val="decimal"/>
      <w:lvlText w:val="%1）"/>
      <w:lvlJc w:val="left"/>
      <w:pPr>
        <w:ind w:left="387" w:hanging="360"/>
      </w:pPr>
      <w:rPr>
        <w:rFonts w:hint="default"/>
      </w:rPr>
    </w:lvl>
    <w:lvl w:ilvl="1" w:tentative="0">
      <w:start w:val="1"/>
      <w:numFmt w:val="lowerLetter"/>
      <w:lvlText w:val="%2)"/>
      <w:lvlJc w:val="left"/>
      <w:pPr>
        <w:ind w:left="867" w:hanging="420"/>
      </w:pPr>
    </w:lvl>
    <w:lvl w:ilvl="2" w:tentative="0">
      <w:start w:val="1"/>
      <w:numFmt w:val="lowerRoman"/>
      <w:lvlText w:val="%3."/>
      <w:lvlJc w:val="right"/>
      <w:pPr>
        <w:ind w:left="1287" w:hanging="420"/>
      </w:pPr>
    </w:lvl>
    <w:lvl w:ilvl="3" w:tentative="0">
      <w:start w:val="1"/>
      <w:numFmt w:val="decimal"/>
      <w:lvlText w:val="%4."/>
      <w:lvlJc w:val="left"/>
      <w:pPr>
        <w:ind w:left="1707" w:hanging="420"/>
      </w:pPr>
    </w:lvl>
    <w:lvl w:ilvl="4" w:tentative="0">
      <w:start w:val="1"/>
      <w:numFmt w:val="lowerLetter"/>
      <w:lvlText w:val="%5)"/>
      <w:lvlJc w:val="left"/>
      <w:pPr>
        <w:ind w:left="2127" w:hanging="420"/>
      </w:pPr>
    </w:lvl>
    <w:lvl w:ilvl="5" w:tentative="0">
      <w:start w:val="1"/>
      <w:numFmt w:val="lowerRoman"/>
      <w:lvlText w:val="%6."/>
      <w:lvlJc w:val="right"/>
      <w:pPr>
        <w:ind w:left="2547" w:hanging="420"/>
      </w:pPr>
    </w:lvl>
    <w:lvl w:ilvl="6" w:tentative="0">
      <w:start w:val="1"/>
      <w:numFmt w:val="decimal"/>
      <w:lvlText w:val="%7."/>
      <w:lvlJc w:val="left"/>
      <w:pPr>
        <w:ind w:left="2967" w:hanging="420"/>
      </w:pPr>
    </w:lvl>
    <w:lvl w:ilvl="7" w:tentative="0">
      <w:start w:val="1"/>
      <w:numFmt w:val="lowerLetter"/>
      <w:lvlText w:val="%8)"/>
      <w:lvlJc w:val="left"/>
      <w:pPr>
        <w:ind w:left="3387" w:hanging="420"/>
      </w:pPr>
    </w:lvl>
    <w:lvl w:ilvl="8" w:tentative="0">
      <w:start w:val="1"/>
      <w:numFmt w:val="lowerRoman"/>
      <w:lvlText w:val="%9."/>
      <w:lvlJc w:val="right"/>
      <w:pPr>
        <w:ind w:left="3807" w:hanging="420"/>
      </w:pPr>
    </w:lvl>
  </w:abstractNum>
  <w:abstractNum w:abstractNumId="13">
    <w:nsid w:val="477F1D9D"/>
    <w:multiLevelType w:val="multilevel"/>
    <w:tmpl w:val="477F1D9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4B61533"/>
    <w:multiLevelType w:val="singleLevel"/>
    <w:tmpl w:val="54B61533"/>
    <w:lvl w:ilvl="0" w:tentative="0">
      <w:start w:val="1"/>
      <w:numFmt w:val="decimal"/>
      <w:lvlText w:val="%1."/>
      <w:lvlJc w:val="left"/>
      <w:pPr>
        <w:tabs>
          <w:tab w:val="left" w:pos="425"/>
        </w:tabs>
        <w:ind w:left="425" w:hanging="425"/>
      </w:pPr>
      <w:rPr>
        <w:rFonts w:hint="default"/>
      </w:rPr>
    </w:lvl>
  </w:abstractNum>
  <w:abstractNum w:abstractNumId="15">
    <w:nsid w:val="59BF364E"/>
    <w:multiLevelType w:val="singleLevel"/>
    <w:tmpl w:val="59BF364E"/>
    <w:lvl w:ilvl="0" w:tentative="0">
      <w:start w:val="5"/>
      <w:numFmt w:val="chineseCounting"/>
      <w:suff w:val="space"/>
      <w:lvlText w:val="（%1）"/>
      <w:lvlJc w:val="left"/>
    </w:lvl>
  </w:abstractNum>
  <w:abstractNum w:abstractNumId="16">
    <w:nsid w:val="59DB091A"/>
    <w:multiLevelType w:val="singleLevel"/>
    <w:tmpl w:val="59DB091A"/>
    <w:lvl w:ilvl="0" w:tentative="0">
      <w:start w:val="4"/>
      <w:numFmt w:val="chineseCounting"/>
      <w:suff w:val="space"/>
      <w:lvlText w:val="（%1）"/>
      <w:lvlJc w:val="left"/>
    </w:lvl>
  </w:abstractNum>
  <w:abstractNum w:abstractNumId="17">
    <w:nsid w:val="59F047E4"/>
    <w:multiLevelType w:val="singleLevel"/>
    <w:tmpl w:val="59F047E4"/>
    <w:lvl w:ilvl="0" w:tentative="0">
      <w:start w:val="1"/>
      <w:numFmt w:val="decimalEnclosedCircleChinese"/>
      <w:suff w:val="nothing"/>
      <w:lvlText w:val="%1　"/>
      <w:lvlJc w:val="left"/>
      <w:pPr>
        <w:ind w:left="0" w:firstLine="400"/>
      </w:pPr>
      <w:rPr>
        <w:rFonts w:hint="eastAsia"/>
      </w:rPr>
    </w:lvl>
  </w:abstractNum>
  <w:abstractNum w:abstractNumId="18">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19">
    <w:nsid w:val="666030AB"/>
    <w:multiLevelType w:val="multilevel"/>
    <w:tmpl w:val="666030AB"/>
    <w:lvl w:ilvl="0" w:tentative="0">
      <w:start w:val="1"/>
      <w:numFmt w:val="decimal"/>
      <w:lvlText w:val="（%1）"/>
      <w:lvlJc w:val="left"/>
      <w:pPr>
        <w:tabs>
          <w:tab w:val="left" w:pos="1710"/>
        </w:tabs>
        <w:ind w:left="1710" w:hanging="720"/>
      </w:pPr>
      <w:rPr>
        <w:rFonts w:hint="eastAsia"/>
      </w:rPr>
    </w:lvl>
    <w:lvl w:ilvl="1" w:tentative="0">
      <w:start w:val="2"/>
      <w:numFmt w:val="decimal"/>
      <w:lvlText w:val="%2."/>
      <w:lvlJc w:val="left"/>
      <w:pPr>
        <w:tabs>
          <w:tab w:val="left" w:pos="1770"/>
        </w:tabs>
        <w:ind w:left="1770" w:hanging="360"/>
      </w:pPr>
      <w:rPr>
        <w:rFonts w:hint="default"/>
      </w:r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20">
    <w:nsid w:val="6EB5C977"/>
    <w:multiLevelType w:val="singleLevel"/>
    <w:tmpl w:val="6EB5C977"/>
    <w:lvl w:ilvl="0" w:tentative="0">
      <w:start w:val="1"/>
      <w:numFmt w:val="decimalEnclosedCircleChinese"/>
      <w:suff w:val="nothing"/>
      <w:lvlText w:val="%1　"/>
      <w:lvlJc w:val="left"/>
      <w:pPr>
        <w:ind w:left="0" w:firstLine="400"/>
      </w:pPr>
      <w:rPr>
        <w:rFonts w:hint="eastAsia"/>
      </w:rPr>
    </w:lvl>
  </w:abstractNum>
  <w:abstractNum w:abstractNumId="21">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num w:numId="1">
    <w:abstractNumId w:val="5"/>
  </w:num>
  <w:num w:numId="2">
    <w:abstractNumId w:val="7"/>
  </w:num>
  <w:num w:numId="3">
    <w:abstractNumId w:val="4"/>
  </w:num>
  <w:num w:numId="4">
    <w:abstractNumId w:val="8"/>
  </w:num>
  <w:num w:numId="5">
    <w:abstractNumId w:val="9"/>
  </w:num>
  <w:num w:numId="6">
    <w:abstractNumId w:val="16"/>
  </w:num>
  <w:num w:numId="7">
    <w:abstractNumId w:val="11"/>
  </w:num>
  <w:num w:numId="8">
    <w:abstractNumId w:val="15"/>
  </w:num>
  <w:num w:numId="9">
    <w:abstractNumId w:val="6"/>
  </w:num>
  <w:num w:numId="10">
    <w:abstractNumId w:val="17"/>
  </w:num>
  <w:num w:numId="11">
    <w:abstractNumId w:val="13"/>
  </w:num>
  <w:num w:numId="12">
    <w:abstractNumId w:val="14"/>
  </w:num>
  <w:num w:numId="13">
    <w:abstractNumId w:val="18"/>
  </w:num>
  <w:num w:numId="14">
    <w:abstractNumId w:val="3"/>
  </w:num>
  <w:num w:numId="15">
    <w:abstractNumId w:val="2"/>
  </w:num>
  <w:num w:numId="16">
    <w:abstractNumId w:val="10"/>
  </w:num>
  <w:num w:numId="17">
    <w:abstractNumId w:val="21"/>
  </w:num>
  <w:num w:numId="18">
    <w:abstractNumId w:val="0"/>
  </w:num>
  <w:num w:numId="19">
    <w:abstractNumId w:val="19"/>
  </w:num>
  <w:num w:numId="20">
    <w:abstractNumId w:val="1"/>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useFELayout/>
    <w:compatSetting w:name="compatibilityMode" w:uri="http://schemas.microsoft.com/office/word" w:val="12"/>
  </w:compat>
  <w:docVars>
    <w:docVar w:name="commondata" w:val="eyJoZGlkIjoiZjEzOGQxZjI3Yzg2MjkyZjEyNzQyM2Y1MGU1N2JjYmEifQ=="/>
  </w:docVars>
  <w:rsids>
    <w:rsidRoot w:val="00172A27"/>
    <w:rsid w:val="00027D4B"/>
    <w:rsid w:val="00055F0C"/>
    <w:rsid w:val="00062317"/>
    <w:rsid w:val="00083C44"/>
    <w:rsid w:val="000D559D"/>
    <w:rsid w:val="00141F90"/>
    <w:rsid w:val="00172A27"/>
    <w:rsid w:val="001B5CE2"/>
    <w:rsid w:val="001C67D6"/>
    <w:rsid w:val="001C6A05"/>
    <w:rsid w:val="001E3224"/>
    <w:rsid w:val="00211D04"/>
    <w:rsid w:val="002146B9"/>
    <w:rsid w:val="00214D35"/>
    <w:rsid w:val="0025399A"/>
    <w:rsid w:val="00292AE3"/>
    <w:rsid w:val="002A0C24"/>
    <w:rsid w:val="002B0398"/>
    <w:rsid w:val="002C58E2"/>
    <w:rsid w:val="002F4A8A"/>
    <w:rsid w:val="0030210A"/>
    <w:rsid w:val="00355B5F"/>
    <w:rsid w:val="0038692D"/>
    <w:rsid w:val="00391086"/>
    <w:rsid w:val="00393DD8"/>
    <w:rsid w:val="003C473C"/>
    <w:rsid w:val="004046F3"/>
    <w:rsid w:val="00422E3E"/>
    <w:rsid w:val="00431441"/>
    <w:rsid w:val="00472AFA"/>
    <w:rsid w:val="004C090C"/>
    <w:rsid w:val="004C0F3F"/>
    <w:rsid w:val="004E3977"/>
    <w:rsid w:val="00503807"/>
    <w:rsid w:val="00521FD7"/>
    <w:rsid w:val="00533B03"/>
    <w:rsid w:val="00533F45"/>
    <w:rsid w:val="00545920"/>
    <w:rsid w:val="00592298"/>
    <w:rsid w:val="005D72C0"/>
    <w:rsid w:val="00611A16"/>
    <w:rsid w:val="00626CF5"/>
    <w:rsid w:val="00642260"/>
    <w:rsid w:val="00662D23"/>
    <w:rsid w:val="006739D8"/>
    <w:rsid w:val="006A14EB"/>
    <w:rsid w:val="006D34AE"/>
    <w:rsid w:val="006E1198"/>
    <w:rsid w:val="006F7E3D"/>
    <w:rsid w:val="0073021B"/>
    <w:rsid w:val="0073333E"/>
    <w:rsid w:val="00735605"/>
    <w:rsid w:val="00740213"/>
    <w:rsid w:val="00770BBF"/>
    <w:rsid w:val="007B3409"/>
    <w:rsid w:val="007B5CB2"/>
    <w:rsid w:val="00835D2D"/>
    <w:rsid w:val="008818F2"/>
    <w:rsid w:val="00881F9C"/>
    <w:rsid w:val="008971CF"/>
    <w:rsid w:val="008A00E4"/>
    <w:rsid w:val="008A5C10"/>
    <w:rsid w:val="008D09B6"/>
    <w:rsid w:val="008D0C07"/>
    <w:rsid w:val="008E0F08"/>
    <w:rsid w:val="00903195"/>
    <w:rsid w:val="00911282"/>
    <w:rsid w:val="0092247F"/>
    <w:rsid w:val="00925B5A"/>
    <w:rsid w:val="009A4C7F"/>
    <w:rsid w:val="009C5D11"/>
    <w:rsid w:val="009F7281"/>
    <w:rsid w:val="00A42F8B"/>
    <w:rsid w:val="00A508D3"/>
    <w:rsid w:val="00A57291"/>
    <w:rsid w:val="00A87DED"/>
    <w:rsid w:val="00A906CE"/>
    <w:rsid w:val="00AB761A"/>
    <w:rsid w:val="00AC209F"/>
    <w:rsid w:val="00AD788C"/>
    <w:rsid w:val="00AE3FC4"/>
    <w:rsid w:val="00B06AF9"/>
    <w:rsid w:val="00B47436"/>
    <w:rsid w:val="00B64F7A"/>
    <w:rsid w:val="00B77EDF"/>
    <w:rsid w:val="00B813B6"/>
    <w:rsid w:val="00B931AC"/>
    <w:rsid w:val="00BB1E63"/>
    <w:rsid w:val="00BB701A"/>
    <w:rsid w:val="00BB7F93"/>
    <w:rsid w:val="00BC11F3"/>
    <w:rsid w:val="00BD26DA"/>
    <w:rsid w:val="00C076D1"/>
    <w:rsid w:val="00C27BC2"/>
    <w:rsid w:val="00C43C8B"/>
    <w:rsid w:val="00C51372"/>
    <w:rsid w:val="00C534BD"/>
    <w:rsid w:val="00C60CD2"/>
    <w:rsid w:val="00C613F2"/>
    <w:rsid w:val="00C75DC8"/>
    <w:rsid w:val="00C775EB"/>
    <w:rsid w:val="00C93CC0"/>
    <w:rsid w:val="00CA08BF"/>
    <w:rsid w:val="00CC1A67"/>
    <w:rsid w:val="00CD3DC3"/>
    <w:rsid w:val="00CE0FB6"/>
    <w:rsid w:val="00CE4C1B"/>
    <w:rsid w:val="00D00C81"/>
    <w:rsid w:val="00D03EB4"/>
    <w:rsid w:val="00D76FC0"/>
    <w:rsid w:val="00D77BF4"/>
    <w:rsid w:val="00DA66DF"/>
    <w:rsid w:val="00DC4E03"/>
    <w:rsid w:val="00DD26AE"/>
    <w:rsid w:val="00DE58F4"/>
    <w:rsid w:val="00DF297F"/>
    <w:rsid w:val="00DF3153"/>
    <w:rsid w:val="00E166D0"/>
    <w:rsid w:val="00E24DFA"/>
    <w:rsid w:val="00E36C27"/>
    <w:rsid w:val="00E82F1F"/>
    <w:rsid w:val="00E94253"/>
    <w:rsid w:val="00EC1375"/>
    <w:rsid w:val="00EC7529"/>
    <w:rsid w:val="00EE40C3"/>
    <w:rsid w:val="00F1744D"/>
    <w:rsid w:val="00F24FC1"/>
    <w:rsid w:val="00F571DC"/>
    <w:rsid w:val="00F81CB6"/>
    <w:rsid w:val="00FB6A1F"/>
    <w:rsid w:val="00FC2288"/>
    <w:rsid w:val="00FC40B2"/>
    <w:rsid w:val="00FE4815"/>
    <w:rsid w:val="010F43C4"/>
    <w:rsid w:val="01441973"/>
    <w:rsid w:val="01533729"/>
    <w:rsid w:val="017E7AED"/>
    <w:rsid w:val="01C269FA"/>
    <w:rsid w:val="01CC40A1"/>
    <w:rsid w:val="01D724AE"/>
    <w:rsid w:val="01ED1FE2"/>
    <w:rsid w:val="0223170B"/>
    <w:rsid w:val="022A4570"/>
    <w:rsid w:val="022E058A"/>
    <w:rsid w:val="025F3E40"/>
    <w:rsid w:val="0292194B"/>
    <w:rsid w:val="02B979E7"/>
    <w:rsid w:val="02F90189"/>
    <w:rsid w:val="032522A9"/>
    <w:rsid w:val="035E74F4"/>
    <w:rsid w:val="03846343"/>
    <w:rsid w:val="038906B4"/>
    <w:rsid w:val="03904EC9"/>
    <w:rsid w:val="039474D0"/>
    <w:rsid w:val="039A03AA"/>
    <w:rsid w:val="03C02F0A"/>
    <w:rsid w:val="03C034B4"/>
    <w:rsid w:val="03E3584F"/>
    <w:rsid w:val="041168F1"/>
    <w:rsid w:val="0413736D"/>
    <w:rsid w:val="041C47D7"/>
    <w:rsid w:val="04255CAA"/>
    <w:rsid w:val="0464384B"/>
    <w:rsid w:val="049F7D03"/>
    <w:rsid w:val="04D253F8"/>
    <w:rsid w:val="05280C5A"/>
    <w:rsid w:val="054825D3"/>
    <w:rsid w:val="05673597"/>
    <w:rsid w:val="059538A6"/>
    <w:rsid w:val="05D20859"/>
    <w:rsid w:val="063D5E02"/>
    <w:rsid w:val="064444EB"/>
    <w:rsid w:val="065963A6"/>
    <w:rsid w:val="06CA1861"/>
    <w:rsid w:val="06DE700D"/>
    <w:rsid w:val="06E1750F"/>
    <w:rsid w:val="06E8676E"/>
    <w:rsid w:val="071015B9"/>
    <w:rsid w:val="07206977"/>
    <w:rsid w:val="073C5AF2"/>
    <w:rsid w:val="074E4CB2"/>
    <w:rsid w:val="07EF602D"/>
    <w:rsid w:val="08027B8F"/>
    <w:rsid w:val="08094DAA"/>
    <w:rsid w:val="080B30E3"/>
    <w:rsid w:val="0858564B"/>
    <w:rsid w:val="087812FE"/>
    <w:rsid w:val="08A37BA6"/>
    <w:rsid w:val="08A44DAE"/>
    <w:rsid w:val="08F923D9"/>
    <w:rsid w:val="09252E7C"/>
    <w:rsid w:val="09441F3E"/>
    <w:rsid w:val="09761A81"/>
    <w:rsid w:val="09917BC5"/>
    <w:rsid w:val="09BB7869"/>
    <w:rsid w:val="09D80E55"/>
    <w:rsid w:val="0A547F87"/>
    <w:rsid w:val="0A922E10"/>
    <w:rsid w:val="0B0B111C"/>
    <w:rsid w:val="0B94081F"/>
    <w:rsid w:val="0BBA1F44"/>
    <w:rsid w:val="0BC0200E"/>
    <w:rsid w:val="0BDA5DC4"/>
    <w:rsid w:val="0BEB6C61"/>
    <w:rsid w:val="0C331E92"/>
    <w:rsid w:val="0C3735CB"/>
    <w:rsid w:val="0C491147"/>
    <w:rsid w:val="0C822C64"/>
    <w:rsid w:val="0CE723A9"/>
    <w:rsid w:val="0D3E6727"/>
    <w:rsid w:val="0D4140E5"/>
    <w:rsid w:val="0D47212F"/>
    <w:rsid w:val="0D4B2912"/>
    <w:rsid w:val="0D525FEA"/>
    <w:rsid w:val="0D935C0E"/>
    <w:rsid w:val="0D977DFD"/>
    <w:rsid w:val="0DA246D3"/>
    <w:rsid w:val="0DC14915"/>
    <w:rsid w:val="0DED5218"/>
    <w:rsid w:val="0DFD478E"/>
    <w:rsid w:val="0E4669F1"/>
    <w:rsid w:val="0E6671BB"/>
    <w:rsid w:val="0E9835C7"/>
    <w:rsid w:val="0EBC69A1"/>
    <w:rsid w:val="0EC6324D"/>
    <w:rsid w:val="0EDD379B"/>
    <w:rsid w:val="0F026306"/>
    <w:rsid w:val="0F0C54AF"/>
    <w:rsid w:val="0F244023"/>
    <w:rsid w:val="0F2F1720"/>
    <w:rsid w:val="0F316DBE"/>
    <w:rsid w:val="0F5D7593"/>
    <w:rsid w:val="0F862824"/>
    <w:rsid w:val="0F8D6288"/>
    <w:rsid w:val="0FA87D03"/>
    <w:rsid w:val="0FE971F9"/>
    <w:rsid w:val="10085C67"/>
    <w:rsid w:val="10340B8A"/>
    <w:rsid w:val="104051E1"/>
    <w:rsid w:val="10537D31"/>
    <w:rsid w:val="10581107"/>
    <w:rsid w:val="10D81A65"/>
    <w:rsid w:val="10EF7473"/>
    <w:rsid w:val="10F03E4B"/>
    <w:rsid w:val="10F51387"/>
    <w:rsid w:val="112D50FD"/>
    <w:rsid w:val="116F2C6E"/>
    <w:rsid w:val="119C08A3"/>
    <w:rsid w:val="11C631D9"/>
    <w:rsid w:val="11DB0635"/>
    <w:rsid w:val="11F27544"/>
    <w:rsid w:val="11F71BB5"/>
    <w:rsid w:val="11FF337A"/>
    <w:rsid w:val="122D4797"/>
    <w:rsid w:val="12795949"/>
    <w:rsid w:val="127A6140"/>
    <w:rsid w:val="12B048F0"/>
    <w:rsid w:val="12B81101"/>
    <w:rsid w:val="12BF4813"/>
    <w:rsid w:val="12C37A89"/>
    <w:rsid w:val="12D53CA2"/>
    <w:rsid w:val="12E06AAD"/>
    <w:rsid w:val="13296226"/>
    <w:rsid w:val="1333175D"/>
    <w:rsid w:val="13597124"/>
    <w:rsid w:val="1373063D"/>
    <w:rsid w:val="1374652D"/>
    <w:rsid w:val="138F6DB1"/>
    <w:rsid w:val="138F7485"/>
    <w:rsid w:val="13D06C28"/>
    <w:rsid w:val="13E3632C"/>
    <w:rsid w:val="13E45C09"/>
    <w:rsid w:val="13E70921"/>
    <w:rsid w:val="13F138BC"/>
    <w:rsid w:val="142C282B"/>
    <w:rsid w:val="143139B9"/>
    <w:rsid w:val="14472165"/>
    <w:rsid w:val="145B6347"/>
    <w:rsid w:val="14785F60"/>
    <w:rsid w:val="148313CD"/>
    <w:rsid w:val="1496268C"/>
    <w:rsid w:val="14C31CFA"/>
    <w:rsid w:val="150F5831"/>
    <w:rsid w:val="15137FEE"/>
    <w:rsid w:val="152A3197"/>
    <w:rsid w:val="15497F8F"/>
    <w:rsid w:val="156A77DC"/>
    <w:rsid w:val="157B203C"/>
    <w:rsid w:val="15945BF6"/>
    <w:rsid w:val="15CC7615"/>
    <w:rsid w:val="16281E61"/>
    <w:rsid w:val="163C25CF"/>
    <w:rsid w:val="167B2CA0"/>
    <w:rsid w:val="16806CC0"/>
    <w:rsid w:val="16F45606"/>
    <w:rsid w:val="170E3400"/>
    <w:rsid w:val="17350BCF"/>
    <w:rsid w:val="17412ED2"/>
    <w:rsid w:val="17525F36"/>
    <w:rsid w:val="17655C4F"/>
    <w:rsid w:val="17693989"/>
    <w:rsid w:val="17866907"/>
    <w:rsid w:val="17AC322D"/>
    <w:rsid w:val="18113748"/>
    <w:rsid w:val="181F07C6"/>
    <w:rsid w:val="187867DB"/>
    <w:rsid w:val="189952B4"/>
    <w:rsid w:val="18D06668"/>
    <w:rsid w:val="18E06640"/>
    <w:rsid w:val="18E202C3"/>
    <w:rsid w:val="18FE2D86"/>
    <w:rsid w:val="1930043B"/>
    <w:rsid w:val="198F4D0A"/>
    <w:rsid w:val="19B85E00"/>
    <w:rsid w:val="1A3079A7"/>
    <w:rsid w:val="1A390AD3"/>
    <w:rsid w:val="1A41047A"/>
    <w:rsid w:val="1A7411B7"/>
    <w:rsid w:val="1A753CF0"/>
    <w:rsid w:val="1ABA0996"/>
    <w:rsid w:val="1ABD17D9"/>
    <w:rsid w:val="1AD11A1D"/>
    <w:rsid w:val="1AE64134"/>
    <w:rsid w:val="1AF47E1D"/>
    <w:rsid w:val="1AFD4E1C"/>
    <w:rsid w:val="1B080ED5"/>
    <w:rsid w:val="1B503E3D"/>
    <w:rsid w:val="1B5F6515"/>
    <w:rsid w:val="1B5F6674"/>
    <w:rsid w:val="1BA16512"/>
    <w:rsid w:val="1BC22218"/>
    <w:rsid w:val="1BE8056B"/>
    <w:rsid w:val="1BFA2960"/>
    <w:rsid w:val="1BFC76F2"/>
    <w:rsid w:val="1C4E5A1B"/>
    <w:rsid w:val="1C59234E"/>
    <w:rsid w:val="1C6341E6"/>
    <w:rsid w:val="1CA76C91"/>
    <w:rsid w:val="1CB04F8F"/>
    <w:rsid w:val="1CB65148"/>
    <w:rsid w:val="1D3D5CAB"/>
    <w:rsid w:val="1D3D761D"/>
    <w:rsid w:val="1D714852"/>
    <w:rsid w:val="1D76522A"/>
    <w:rsid w:val="1D7B5E55"/>
    <w:rsid w:val="1D810186"/>
    <w:rsid w:val="1D914EDB"/>
    <w:rsid w:val="1DAE1323"/>
    <w:rsid w:val="1DE223EA"/>
    <w:rsid w:val="1DED45F3"/>
    <w:rsid w:val="1E1644A7"/>
    <w:rsid w:val="1E221617"/>
    <w:rsid w:val="1E2307E2"/>
    <w:rsid w:val="1E3E13C8"/>
    <w:rsid w:val="1E6D7319"/>
    <w:rsid w:val="1E930296"/>
    <w:rsid w:val="1E9527A8"/>
    <w:rsid w:val="1E961635"/>
    <w:rsid w:val="1E9C4EDD"/>
    <w:rsid w:val="1EE02BB6"/>
    <w:rsid w:val="1EFF5CDA"/>
    <w:rsid w:val="1F115D9B"/>
    <w:rsid w:val="1F325C74"/>
    <w:rsid w:val="1F353339"/>
    <w:rsid w:val="1F722265"/>
    <w:rsid w:val="1FB26E3A"/>
    <w:rsid w:val="1FDE3E7D"/>
    <w:rsid w:val="1FFD0DD7"/>
    <w:rsid w:val="20071F3A"/>
    <w:rsid w:val="200A5C45"/>
    <w:rsid w:val="200A797F"/>
    <w:rsid w:val="202726EE"/>
    <w:rsid w:val="205E4433"/>
    <w:rsid w:val="205F5131"/>
    <w:rsid w:val="209323FB"/>
    <w:rsid w:val="20941C24"/>
    <w:rsid w:val="209D6D72"/>
    <w:rsid w:val="20A42E82"/>
    <w:rsid w:val="20B22D91"/>
    <w:rsid w:val="20BE1DE8"/>
    <w:rsid w:val="20C60B1C"/>
    <w:rsid w:val="20E85301"/>
    <w:rsid w:val="21142B8E"/>
    <w:rsid w:val="212D7A60"/>
    <w:rsid w:val="212E59D6"/>
    <w:rsid w:val="21652ED7"/>
    <w:rsid w:val="21961994"/>
    <w:rsid w:val="21994B88"/>
    <w:rsid w:val="220779C5"/>
    <w:rsid w:val="221700ED"/>
    <w:rsid w:val="225130BA"/>
    <w:rsid w:val="225B0C5B"/>
    <w:rsid w:val="2294398D"/>
    <w:rsid w:val="22B5663A"/>
    <w:rsid w:val="22CC622C"/>
    <w:rsid w:val="22D25D5A"/>
    <w:rsid w:val="22FC3EA2"/>
    <w:rsid w:val="22FF2CC7"/>
    <w:rsid w:val="23080F2A"/>
    <w:rsid w:val="230B53B6"/>
    <w:rsid w:val="231C0E37"/>
    <w:rsid w:val="235B2A50"/>
    <w:rsid w:val="23B7280F"/>
    <w:rsid w:val="23FC2C9B"/>
    <w:rsid w:val="23FC76CC"/>
    <w:rsid w:val="23FF2803"/>
    <w:rsid w:val="24152BF0"/>
    <w:rsid w:val="242C5E8A"/>
    <w:rsid w:val="2445138C"/>
    <w:rsid w:val="244C342F"/>
    <w:rsid w:val="24DC7C8B"/>
    <w:rsid w:val="25091905"/>
    <w:rsid w:val="25152520"/>
    <w:rsid w:val="25446878"/>
    <w:rsid w:val="25994E4B"/>
    <w:rsid w:val="25BA148D"/>
    <w:rsid w:val="25D12580"/>
    <w:rsid w:val="25DD1920"/>
    <w:rsid w:val="25E21D70"/>
    <w:rsid w:val="26453916"/>
    <w:rsid w:val="26697F2A"/>
    <w:rsid w:val="268E519D"/>
    <w:rsid w:val="26A24C35"/>
    <w:rsid w:val="26E877D4"/>
    <w:rsid w:val="274D001A"/>
    <w:rsid w:val="27550E43"/>
    <w:rsid w:val="27661726"/>
    <w:rsid w:val="27821784"/>
    <w:rsid w:val="278506A8"/>
    <w:rsid w:val="27973102"/>
    <w:rsid w:val="27A864C3"/>
    <w:rsid w:val="27BC1941"/>
    <w:rsid w:val="27C35EA4"/>
    <w:rsid w:val="27D265A3"/>
    <w:rsid w:val="280848D5"/>
    <w:rsid w:val="280D5274"/>
    <w:rsid w:val="28105E1F"/>
    <w:rsid w:val="28195995"/>
    <w:rsid w:val="281C7D37"/>
    <w:rsid w:val="28524DF7"/>
    <w:rsid w:val="286E3FDC"/>
    <w:rsid w:val="287C7F12"/>
    <w:rsid w:val="28C1715B"/>
    <w:rsid w:val="28FF05E2"/>
    <w:rsid w:val="295A44B9"/>
    <w:rsid w:val="295E1504"/>
    <w:rsid w:val="295E5F2A"/>
    <w:rsid w:val="29854222"/>
    <w:rsid w:val="298758C7"/>
    <w:rsid w:val="29BD61C1"/>
    <w:rsid w:val="29C835A0"/>
    <w:rsid w:val="29CD5226"/>
    <w:rsid w:val="2A2560BA"/>
    <w:rsid w:val="2A294CFE"/>
    <w:rsid w:val="2A601228"/>
    <w:rsid w:val="2A7728E4"/>
    <w:rsid w:val="2A8B2C09"/>
    <w:rsid w:val="2A8D5CB8"/>
    <w:rsid w:val="2ABC6BB6"/>
    <w:rsid w:val="2AF80BFB"/>
    <w:rsid w:val="2B3F3D7B"/>
    <w:rsid w:val="2B4F430E"/>
    <w:rsid w:val="2B7A6716"/>
    <w:rsid w:val="2B8E3E8A"/>
    <w:rsid w:val="2BA214F4"/>
    <w:rsid w:val="2BF645D6"/>
    <w:rsid w:val="2C632439"/>
    <w:rsid w:val="2C8573BB"/>
    <w:rsid w:val="2C9748F6"/>
    <w:rsid w:val="2C984925"/>
    <w:rsid w:val="2CEB0631"/>
    <w:rsid w:val="2D15673E"/>
    <w:rsid w:val="2D467434"/>
    <w:rsid w:val="2D893CAE"/>
    <w:rsid w:val="2D966AD0"/>
    <w:rsid w:val="2D984BAB"/>
    <w:rsid w:val="2DEC7876"/>
    <w:rsid w:val="2DFD2786"/>
    <w:rsid w:val="2E003FE4"/>
    <w:rsid w:val="2E28056F"/>
    <w:rsid w:val="2E4118FC"/>
    <w:rsid w:val="2E7D5D72"/>
    <w:rsid w:val="2E895E13"/>
    <w:rsid w:val="2EB05F31"/>
    <w:rsid w:val="2EF82B2B"/>
    <w:rsid w:val="2F0A2BC0"/>
    <w:rsid w:val="2F1241A1"/>
    <w:rsid w:val="2F1750C2"/>
    <w:rsid w:val="2F1977C2"/>
    <w:rsid w:val="2F1E7BE2"/>
    <w:rsid w:val="2F403ACF"/>
    <w:rsid w:val="2F737925"/>
    <w:rsid w:val="2F76357D"/>
    <w:rsid w:val="2FA35B56"/>
    <w:rsid w:val="2FBF1AFE"/>
    <w:rsid w:val="2FF53930"/>
    <w:rsid w:val="30065B15"/>
    <w:rsid w:val="300D3773"/>
    <w:rsid w:val="304940D8"/>
    <w:rsid w:val="304F2EAE"/>
    <w:rsid w:val="307630EF"/>
    <w:rsid w:val="3092603D"/>
    <w:rsid w:val="309E3DE9"/>
    <w:rsid w:val="30B22F0E"/>
    <w:rsid w:val="30BC300A"/>
    <w:rsid w:val="31D4724F"/>
    <w:rsid w:val="31D52265"/>
    <w:rsid w:val="31D836AA"/>
    <w:rsid w:val="31E5147E"/>
    <w:rsid w:val="31F7669D"/>
    <w:rsid w:val="320B539B"/>
    <w:rsid w:val="32104301"/>
    <w:rsid w:val="32161E04"/>
    <w:rsid w:val="321D4989"/>
    <w:rsid w:val="32520BA6"/>
    <w:rsid w:val="329A2DAF"/>
    <w:rsid w:val="329E7F72"/>
    <w:rsid w:val="32AE308E"/>
    <w:rsid w:val="32C26D71"/>
    <w:rsid w:val="331A0A30"/>
    <w:rsid w:val="334039C9"/>
    <w:rsid w:val="336550CB"/>
    <w:rsid w:val="33B53F47"/>
    <w:rsid w:val="33D21464"/>
    <w:rsid w:val="33E25712"/>
    <w:rsid w:val="33ED0DA0"/>
    <w:rsid w:val="344B33E3"/>
    <w:rsid w:val="344E1473"/>
    <w:rsid w:val="346B4EB9"/>
    <w:rsid w:val="34770C25"/>
    <w:rsid w:val="3493161A"/>
    <w:rsid w:val="34AC398B"/>
    <w:rsid w:val="34BC0BA0"/>
    <w:rsid w:val="351F7A40"/>
    <w:rsid w:val="35472400"/>
    <w:rsid w:val="357A7C65"/>
    <w:rsid w:val="35877FBE"/>
    <w:rsid w:val="35A875C3"/>
    <w:rsid w:val="35B77C3A"/>
    <w:rsid w:val="35C73364"/>
    <w:rsid w:val="35DD5F5E"/>
    <w:rsid w:val="35E2015B"/>
    <w:rsid w:val="35E90BB4"/>
    <w:rsid w:val="361F64B9"/>
    <w:rsid w:val="365301FC"/>
    <w:rsid w:val="366810ED"/>
    <w:rsid w:val="367B0993"/>
    <w:rsid w:val="36843EE0"/>
    <w:rsid w:val="36973DE7"/>
    <w:rsid w:val="369D5F49"/>
    <w:rsid w:val="369D7470"/>
    <w:rsid w:val="36D36F2E"/>
    <w:rsid w:val="36D92ECA"/>
    <w:rsid w:val="36DD7799"/>
    <w:rsid w:val="36E45DD1"/>
    <w:rsid w:val="36F36B9B"/>
    <w:rsid w:val="370B3A59"/>
    <w:rsid w:val="372608F7"/>
    <w:rsid w:val="37316CA5"/>
    <w:rsid w:val="373F0CBC"/>
    <w:rsid w:val="374D21E2"/>
    <w:rsid w:val="37591ED0"/>
    <w:rsid w:val="37C8739E"/>
    <w:rsid w:val="37CD7B34"/>
    <w:rsid w:val="37E30EA0"/>
    <w:rsid w:val="37F611AF"/>
    <w:rsid w:val="384B3CEF"/>
    <w:rsid w:val="385C1A25"/>
    <w:rsid w:val="388A6952"/>
    <w:rsid w:val="389A4FB2"/>
    <w:rsid w:val="390D3F57"/>
    <w:rsid w:val="39261400"/>
    <w:rsid w:val="3929756D"/>
    <w:rsid w:val="392E0EF9"/>
    <w:rsid w:val="396B5685"/>
    <w:rsid w:val="39773D0A"/>
    <w:rsid w:val="398039EF"/>
    <w:rsid w:val="39A42532"/>
    <w:rsid w:val="3A0332B6"/>
    <w:rsid w:val="3A223666"/>
    <w:rsid w:val="3A344189"/>
    <w:rsid w:val="3A6B080B"/>
    <w:rsid w:val="3A976998"/>
    <w:rsid w:val="3A9D6458"/>
    <w:rsid w:val="3ABB21B5"/>
    <w:rsid w:val="3AED3825"/>
    <w:rsid w:val="3B180D16"/>
    <w:rsid w:val="3B196EF6"/>
    <w:rsid w:val="3B1E5B0E"/>
    <w:rsid w:val="3B23326D"/>
    <w:rsid w:val="3B3E4BE8"/>
    <w:rsid w:val="3BA828F0"/>
    <w:rsid w:val="3BB74321"/>
    <w:rsid w:val="3BD0740B"/>
    <w:rsid w:val="3C070D6F"/>
    <w:rsid w:val="3C0C6638"/>
    <w:rsid w:val="3C2E15C1"/>
    <w:rsid w:val="3C6168F5"/>
    <w:rsid w:val="3C777BEB"/>
    <w:rsid w:val="3D4E0B8F"/>
    <w:rsid w:val="3DD57B56"/>
    <w:rsid w:val="3DDE319E"/>
    <w:rsid w:val="3E661592"/>
    <w:rsid w:val="3E712A7A"/>
    <w:rsid w:val="3E822C8A"/>
    <w:rsid w:val="3E9F0101"/>
    <w:rsid w:val="3EE311F8"/>
    <w:rsid w:val="3F1C3D80"/>
    <w:rsid w:val="3F5610A3"/>
    <w:rsid w:val="3F982F28"/>
    <w:rsid w:val="3FA04A8D"/>
    <w:rsid w:val="3FA21ADD"/>
    <w:rsid w:val="3FC16747"/>
    <w:rsid w:val="3FEF19AA"/>
    <w:rsid w:val="408A3BDE"/>
    <w:rsid w:val="40A11D0E"/>
    <w:rsid w:val="40AF15F1"/>
    <w:rsid w:val="40C54A90"/>
    <w:rsid w:val="411B32DE"/>
    <w:rsid w:val="411E201C"/>
    <w:rsid w:val="412339C7"/>
    <w:rsid w:val="416A0BD6"/>
    <w:rsid w:val="416E13B5"/>
    <w:rsid w:val="41863A1B"/>
    <w:rsid w:val="419C095D"/>
    <w:rsid w:val="41BD658E"/>
    <w:rsid w:val="41CA599A"/>
    <w:rsid w:val="41CC69D4"/>
    <w:rsid w:val="42010EF2"/>
    <w:rsid w:val="420A3F30"/>
    <w:rsid w:val="425B39DA"/>
    <w:rsid w:val="426D642F"/>
    <w:rsid w:val="42893EE3"/>
    <w:rsid w:val="42922692"/>
    <w:rsid w:val="42BB1844"/>
    <w:rsid w:val="42E2169D"/>
    <w:rsid w:val="42F442A4"/>
    <w:rsid w:val="430F3D01"/>
    <w:rsid w:val="432E0FD5"/>
    <w:rsid w:val="43892CBB"/>
    <w:rsid w:val="43AC5D9F"/>
    <w:rsid w:val="43F67CC5"/>
    <w:rsid w:val="442442DF"/>
    <w:rsid w:val="4425434E"/>
    <w:rsid w:val="446D5DB5"/>
    <w:rsid w:val="44AA095C"/>
    <w:rsid w:val="44C51CEB"/>
    <w:rsid w:val="44CF321D"/>
    <w:rsid w:val="44D52B5E"/>
    <w:rsid w:val="44FA5401"/>
    <w:rsid w:val="44FE4CBA"/>
    <w:rsid w:val="451A1087"/>
    <w:rsid w:val="45216051"/>
    <w:rsid w:val="45256265"/>
    <w:rsid w:val="45B128D9"/>
    <w:rsid w:val="46094231"/>
    <w:rsid w:val="461A3C3F"/>
    <w:rsid w:val="462A5B41"/>
    <w:rsid w:val="46320DCB"/>
    <w:rsid w:val="465A2150"/>
    <w:rsid w:val="470206B7"/>
    <w:rsid w:val="470F3527"/>
    <w:rsid w:val="471132B6"/>
    <w:rsid w:val="47251AC5"/>
    <w:rsid w:val="475046D3"/>
    <w:rsid w:val="4784512B"/>
    <w:rsid w:val="47DA3118"/>
    <w:rsid w:val="4856329F"/>
    <w:rsid w:val="487307F8"/>
    <w:rsid w:val="488B32CB"/>
    <w:rsid w:val="489202A0"/>
    <w:rsid w:val="48CA0F6D"/>
    <w:rsid w:val="492571E6"/>
    <w:rsid w:val="492F2022"/>
    <w:rsid w:val="4931337D"/>
    <w:rsid w:val="49380049"/>
    <w:rsid w:val="493E35F7"/>
    <w:rsid w:val="494B532F"/>
    <w:rsid w:val="49587EAC"/>
    <w:rsid w:val="49AF36E3"/>
    <w:rsid w:val="49F15B76"/>
    <w:rsid w:val="4A4E34BC"/>
    <w:rsid w:val="4ACB7F82"/>
    <w:rsid w:val="4AD32629"/>
    <w:rsid w:val="4AE70104"/>
    <w:rsid w:val="4AF97BD7"/>
    <w:rsid w:val="4AFA6034"/>
    <w:rsid w:val="4B3F29AB"/>
    <w:rsid w:val="4B494AF5"/>
    <w:rsid w:val="4B51591F"/>
    <w:rsid w:val="4BAE4D5E"/>
    <w:rsid w:val="4BD03583"/>
    <w:rsid w:val="4C493D02"/>
    <w:rsid w:val="4C6D52AB"/>
    <w:rsid w:val="4C716A38"/>
    <w:rsid w:val="4C742398"/>
    <w:rsid w:val="4C74403C"/>
    <w:rsid w:val="4CB42550"/>
    <w:rsid w:val="4CB4295D"/>
    <w:rsid w:val="4CCE26A9"/>
    <w:rsid w:val="4CD05672"/>
    <w:rsid w:val="4CDF1E85"/>
    <w:rsid w:val="4CEA0114"/>
    <w:rsid w:val="4D0B33D9"/>
    <w:rsid w:val="4D196A1E"/>
    <w:rsid w:val="4D4F12FB"/>
    <w:rsid w:val="4D547EEA"/>
    <w:rsid w:val="4D7365A9"/>
    <w:rsid w:val="4D9C49E7"/>
    <w:rsid w:val="4DD501FB"/>
    <w:rsid w:val="4E060835"/>
    <w:rsid w:val="4E244783"/>
    <w:rsid w:val="4E287A7F"/>
    <w:rsid w:val="4E3303BB"/>
    <w:rsid w:val="4E3F699B"/>
    <w:rsid w:val="4E45545C"/>
    <w:rsid w:val="4E6E1E7B"/>
    <w:rsid w:val="4E857C20"/>
    <w:rsid w:val="4EAD6B2A"/>
    <w:rsid w:val="4EC35730"/>
    <w:rsid w:val="4EC94DFF"/>
    <w:rsid w:val="4EFD1CB0"/>
    <w:rsid w:val="4F213182"/>
    <w:rsid w:val="4F3A2D78"/>
    <w:rsid w:val="4F594BC6"/>
    <w:rsid w:val="4F9C50D0"/>
    <w:rsid w:val="4FB859E8"/>
    <w:rsid w:val="4FBF1AF2"/>
    <w:rsid w:val="4FC32194"/>
    <w:rsid w:val="500C1710"/>
    <w:rsid w:val="50126728"/>
    <w:rsid w:val="50186E1E"/>
    <w:rsid w:val="50294CDF"/>
    <w:rsid w:val="503453A2"/>
    <w:rsid w:val="504B69FD"/>
    <w:rsid w:val="50557369"/>
    <w:rsid w:val="50F357C9"/>
    <w:rsid w:val="51514206"/>
    <w:rsid w:val="51A16801"/>
    <w:rsid w:val="51E3367F"/>
    <w:rsid w:val="51E37DB7"/>
    <w:rsid w:val="521501D8"/>
    <w:rsid w:val="52341C08"/>
    <w:rsid w:val="52782B9B"/>
    <w:rsid w:val="52796C48"/>
    <w:rsid w:val="52AB0CB0"/>
    <w:rsid w:val="52B938DD"/>
    <w:rsid w:val="531C576F"/>
    <w:rsid w:val="534C7C49"/>
    <w:rsid w:val="535B309D"/>
    <w:rsid w:val="53A1703D"/>
    <w:rsid w:val="53C0432A"/>
    <w:rsid w:val="54035502"/>
    <w:rsid w:val="54196CEC"/>
    <w:rsid w:val="542F1A43"/>
    <w:rsid w:val="54417994"/>
    <w:rsid w:val="54783F99"/>
    <w:rsid w:val="55500BC1"/>
    <w:rsid w:val="55541EA0"/>
    <w:rsid w:val="55682A58"/>
    <w:rsid w:val="557E2593"/>
    <w:rsid w:val="55EF0E83"/>
    <w:rsid w:val="56063398"/>
    <w:rsid w:val="56181465"/>
    <w:rsid w:val="56445FD9"/>
    <w:rsid w:val="564D32FC"/>
    <w:rsid w:val="566C3E67"/>
    <w:rsid w:val="569078C9"/>
    <w:rsid w:val="569A51D8"/>
    <w:rsid w:val="56AB2FAC"/>
    <w:rsid w:val="56AD55CE"/>
    <w:rsid w:val="56BE4836"/>
    <w:rsid w:val="56EC3584"/>
    <w:rsid w:val="56ED03DB"/>
    <w:rsid w:val="56EE066E"/>
    <w:rsid w:val="570A296E"/>
    <w:rsid w:val="571B1AE6"/>
    <w:rsid w:val="57412833"/>
    <w:rsid w:val="574C04D9"/>
    <w:rsid w:val="576D26C0"/>
    <w:rsid w:val="578605B5"/>
    <w:rsid w:val="57C2025B"/>
    <w:rsid w:val="57C27616"/>
    <w:rsid w:val="57E31D78"/>
    <w:rsid w:val="58220550"/>
    <w:rsid w:val="585A0112"/>
    <w:rsid w:val="588A0A33"/>
    <w:rsid w:val="58BD5803"/>
    <w:rsid w:val="58C3334F"/>
    <w:rsid w:val="58DF2000"/>
    <w:rsid w:val="59656B7B"/>
    <w:rsid w:val="598D0426"/>
    <w:rsid w:val="5A4E0FB3"/>
    <w:rsid w:val="5A4E549D"/>
    <w:rsid w:val="5AA13646"/>
    <w:rsid w:val="5ABA7177"/>
    <w:rsid w:val="5AD7310B"/>
    <w:rsid w:val="5ADE6CF3"/>
    <w:rsid w:val="5AE155B3"/>
    <w:rsid w:val="5AE37BDD"/>
    <w:rsid w:val="5B0C363B"/>
    <w:rsid w:val="5B1B2457"/>
    <w:rsid w:val="5B1E7F22"/>
    <w:rsid w:val="5B274F29"/>
    <w:rsid w:val="5B4B033B"/>
    <w:rsid w:val="5B6A4CCE"/>
    <w:rsid w:val="5BA67C1F"/>
    <w:rsid w:val="5C2E1A11"/>
    <w:rsid w:val="5C9A7139"/>
    <w:rsid w:val="5CAC3633"/>
    <w:rsid w:val="5D493849"/>
    <w:rsid w:val="5D4D214F"/>
    <w:rsid w:val="5D740774"/>
    <w:rsid w:val="5D7F48F1"/>
    <w:rsid w:val="5D931A09"/>
    <w:rsid w:val="5DBB35DE"/>
    <w:rsid w:val="5DD64A6E"/>
    <w:rsid w:val="5E35281F"/>
    <w:rsid w:val="5E3B0F88"/>
    <w:rsid w:val="5E4B37EE"/>
    <w:rsid w:val="5E78212E"/>
    <w:rsid w:val="5ECF2253"/>
    <w:rsid w:val="5EEA00F7"/>
    <w:rsid w:val="5F502432"/>
    <w:rsid w:val="5F9F5A13"/>
    <w:rsid w:val="5FAD4F24"/>
    <w:rsid w:val="5FB24DDA"/>
    <w:rsid w:val="5FE01FFF"/>
    <w:rsid w:val="60465384"/>
    <w:rsid w:val="606E7C49"/>
    <w:rsid w:val="60A921B8"/>
    <w:rsid w:val="60B07F7D"/>
    <w:rsid w:val="60B53050"/>
    <w:rsid w:val="610B57F9"/>
    <w:rsid w:val="615E4A8D"/>
    <w:rsid w:val="615E617F"/>
    <w:rsid w:val="61772A94"/>
    <w:rsid w:val="61882FCB"/>
    <w:rsid w:val="61AC339F"/>
    <w:rsid w:val="61B27FF1"/>
    <w:rsid w:val="61DC3FE3"/>
    <w:rsid w:val="61E66FF5"/>
    <w:rsid w:val="622707CB"/>
    <w:rsid w:val="62361F55"/>
    <w:rsid w:val="62364DF8"/>
    <w:rsid w:val="62582D23"/>
    <w:rsid w:val="62FD1BA4"/>
    <w:rsid w:val="632859A3"/>
    <w:rsid w:val="633A2454"/>
    <w:rsid w:val="633B4238"/>
    <w:rsid w:val="6369360A"/>
    <w:rsid w:val="63775F96"/>
    <w:rsid w:val="637B66D3"/>
    <w:rsid w:val="637F6DBB"/>
    <w:rsid w:val="63D745D3"/>
    <w:rsid w:val="64363E4B"/>
    <w:rsid w:val="644B7771"/>
    <w:rsid w:val="64A70429"/>
    <w:rsid w:val="64AE786C"/>
    <w:rsid w:val="64E8261C"/>
    <w:rsid w:val="654B082D"/>
    <w:rsid w:val="654C7569"/>
    <w:rsid w:val="657C0906"/>
    <w:rsid w:val="65C179E3"/>
    <w:rsid w:val="668C7840"/>
    <w:rsid w:val="66A337D0"/>
    <w:rsid w:val="66B0749A"/>
    <w:rsid w:val="66D9656E"/>
    <w:rsid w:val="66EA4633"/>
    <w:rsid w:val="67074415"/>
    <w:rsid w:val="67297867"/>
    <w:rsid w:val="673B43C2"/>
    <w:rsid w:val="675D6C92"/>
    <w:rsid w:val="676E20F6"/>
    <w:rsid w:val="6777319D"/>
    <w:rsid w:val="677C75E6"/>
    <w:rsid w:val="67C153B3"/>
    <w:rsid w:val="67CF7350"/>
    <w:rsid w:val="67DE3425"/>
    <w:rsid w:val="67F166EF"/>
    <w:rsid w:val="681E5B8F"/>
    <w:rsid w:val="682A681B"/>
    <w:rsid w:val="68567E0F"/>
    <w:rsid w:val="68724539"/>
    <w:rsid w:val="687D5CC7"/>
    <w:rsid w:val="688148BE"/>
    <w:rsid w:val="68C8243A"/>
    <w:rsid w:val="68E612C5"/>
    <w:rsid w:val="68F54AAA"/>
    <w:rsid w:val="69056A8A"/>
    <w:rsid w:val="692168D1"/>
    <w:rsid w:val="69A27F88"/>
    <w:rsid w:val="69C97DA3"/>
    <w:rsid w:val="69F508B9"/>
    <w:rsid w:val="6A031508"/>
    <w:rsid w:val="6A162C24"/>
    <w:rsid w:val="6A354DDE"/>
    <w:rsid w:val="6A370309"/>
    <w:rsid w:val="6A43466A"/>
    <w:rsid w:val="6A53262E"/>
    <w:rsid w:val="6A5E29F2"/>
    <w:rsid w:val="6A847708"/>
    <w:rsid w:val="6ABF7DA9"/>
    <w:rsid w:val="6AFA3850"/>
    <w:rsid w:val="6B0353F0"/>
    <w:rsid w:val="6B184FB4"/>
    <w:rsid w:val="6B2F57A7"/>
    <w:rsid w:val="6B624A13"/>
    <w:rsid w:val="6C3F6BFA"/>
    <w:rsid w:val="6C912D28"/>
    <w:rsid w:val="6CA3087A"/>
    <w:rsid w:val="6CE645BD"/>
    <w:rsid w:val="6D0755BD"/>
    <w:rsid w:val="6D563CA6"/>
    <w:rsid w:val="6D666CA0"/>
    <w:rsid w:val="6DDD5790"/>
    <w:rsid w:val="6E273E44"/>
    <w:rsid w:val="6E3C39B9"/>
    <w:rsid w:val="6E450ACD"/>
    <w:rsid w:val="6E546E04"/>
    <w:rsid w:val="6E5C62D5"/>
    <w:rsid w:val="6EB10E24"/>
    <w:rsid w:val="6EDE4D3B"/>
    <w:rsid w:val="6EEF6058"/>
    <w:rsid w:val="6F016C00"/>
    <w:rsid w:val="6F686493"/>
    <w:rsid w:val="6FB67872"/>
    <w:rsid w:val="6FC40D84"/>
    <w:rsid w:val="6FDE2021"/>
    <w:rsid w:val="6FE06109"/>
    <w:rsid w:val="703D20DB"/>
    <w:rsid w:val="704A61C3"/>
    <w:rsid w:val="704E642B"/>
    <w:rsid w:val="706E3CF6"/>
    <w:rsid w:val="7079165D"/>
    <w:rsid w:val="70795CA7"/>
    <w:rsid w:val="70922E8B"/>
    <w:rsid w:val="709D070C"/>
    <w:rsid w:val="70B600E1"/>
    <w:rsid w:val="70C1225A"/>
    <w:rsid w:val="70E30D5A"/>
    <w:rsid w:val="70F14551"/>
    <w:rsid w:val="70F91467"/>
    <w:rsid w:val="7168555F"/>
    <w:rsid w:val="71B44AF4"/>
    <w:rsid w:val="72690B80"/>
    <w:rsid w:val="727B0F24"/>
    <w:rsid w:val="72896681"/>
    <w:rsid w:val="7293121E"/>
    <w:rsid w:val="72AC3A77"/>
    <w:rsid w:val="72ED3BE1"/>
    <w:rsid w:val="72F04F7B"/>
    <w:rsid w:val="72F64B87"/>
    <w:rsid w:val="734B1FB7"/>
    <w:rsid w:val="7355711D"/>
    <w:rsid w:val="735E5496"/>
    <w:rsid w:val="73883123"/>
    <w:rsid w:val="739A06D2"/>
    <w:rsid w:val="73DA13D2"/>
    <w:rsid w:val="73E33842"/>
    <w:rsid w:val="742F6ECA"/>
    <w:rsid w:val="74320FA4"/>
    <w:rsid w:val="74A420B0"/>
    <w:rsid w:val="74AC04AA"/>
    <w:rsid w:val="74E534AE"/>
    <w:rsid w:val="74F34C50"/>
    <w:rsid w:val="75406F3F"/>
    <w:rsid w:val="759769FD"/>
    <w:rsid w:val="75A20531"/>
    <w:rsid w:val="75C07953"/>
    <w:rsid w:val="75E07AB8"/>
    <w:rsid w:val="76321B0A"/>
    <w:rsid w:val="763C79F1"/>
    <w:rsid w:val="763E308B"/>
    <w:rsid w:val="764B78D9"/>
    <w:rsid w:val="769636C5"/>
    <w:rsid w:val="769B6EA4"/>
    <w:rsid w:val="76D74A09"/>
    <w:rsid w:val="76EF53B4"/>
    <w:rsid w:val="77C20255"/>
    <w:rsid w:val="77C36F9C"/>
    <w:rsid w:val="77C44AD7"/>
    <w:rsid w:val="77CD2D12"/>
    <w:rsid w:val="77EE304D"/>
    <w:rsid w:val="78217555"/>
    <w:rsid w:val="78256785"/>
    <w:rsid w:val="783442F8"/>
    <w:rsid w:val="790F6C7F"/>
    <w:rsid w:val="792078A9"/>
    <w:rsid w:val="796B5668"/>
    <w:rsid w:val="79A543FC"/>
    <w:rsid w:val="7A0B6DAF"/>
    <w:rsid w:val="7A327A11"/>
    <w:rsid w:val="7A4B2BAF"/>
    <w:rsid w:val="7A5A58E6"/>
    <w:rsid w:val="7A712187"/>
    <w:rsid w:val="7ADC2867"/>
    <w:rsid w:val="7B4C1D4A"/>
    <w:rsid w:val="7B8818D4"/>
    <w:rsid w:val="7B8D3A12"/>
    <w:rsid w:val="7B9469AA"/>
    <w:rsid w:val="7BBD6A93"/>
    <w:rsid w:val="7BCD764D"/>
    <w:rsid w:val="7BD81DE7"/>
    <w:rsid w:val="7BFC5378"/>
    <w:rsid w:val="7C5F276B"/>
    <w:rsid w:val="7C752A22"/>
    <w:rsid w:val="7C7778A9"/>
    <w:rsid w:val="7C881504"/>
    <w:rsid w:val="7C906873"/>
    <w:rsid w:val="7CD50C73"/>
    <w:rsid w:val="7CE52A06"/>
    <w:rsid w:val="7CF0526A"/>
    <w:rsid w:val="7CFF437D"/>
    <w:rsid w:val="7D1A5020"/>
    <w:rsid w:val="7D1D3145"/>
    <w:rsid w:val="7D474B89"/>
    <w:rsid w:val="7DCB71A1"/>
    <w:rsid w:val="7DEA0703"/>
    <w:rsid w:val="7E694578"/>
    <w:rsid w:val="7E6C1231"/>
    <w:rsid w:val="7E6C4F1A"/>
    <w:rsid w:val="7E87529C"/>
    <w:rsid w:val="7E95560C"/>
    <w:rsid w:val="7E967C31"/>
    <w:rsid w:val="7EE62892"/>
    <w:rsid w:val="7EF74819"/>
    <w:rsid w:val="7F106F0B"/>
    <w:rsid w:val="7F11080B"/>
    <w:rsid w:val="7F1B2F50"/>
    <w:rsid w:val="7F213FCB"/>
    <w:rsid w:val="7F427FD4"/>
    <w:rsid w:val="7F5C5EBA"/>
    <w:rsid w:val="7FA01E5A"/>
    <w:rsid w:val="7FB17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autoRedefine/>
    <w:qFormat/>
    <w:uiPriority w:val="99"/>
    <w:pPr>
      <w:keepNext/>
      <w:jc w:val="center"/>
      <w:outlineLvl w:val="0"/>
    </w:pPr>
    <w:rPr>
      <w:rFonts w:ascii="楷体_GB2312" w:eastAsia="楷体_GB2312"/>
      <w:b/>
      <w:sz w:val="28"/>
    </w:rPr>
  </w:style>
  <w:style w:type="paragraph" w:styleId="3">
    <w:name w:val="heading 2"/>
    <w:basedOn w:val="1"/>
    <w:next w:val="1"/>
    <w:autoRedefine/>
    <w:qFormat/>
    <w:uiPriority w:val="0"/>
    <w:pPr>
      <w:keepNext/>
      <w:jc w:val="center"/>
      <w:outlineLvl w:val="1"/>
    </w:pPr>
    <w:rPr>
      <w:rFonts w:ascii="楷体_GB2312" w:eastAsia="楷体_GB2312"/>
      <w:b/>
      <w:bCs/>
      <w:sz w:val="18"/>
    </w:rPr>
  </w:style>
  <w:style w:type="paragraph" w:styleId="4">
    <w:name w:val="heading 3"/>
    <w:basedOn w:val="1"/>
    <w:next w:val="1"/>
    <w:autoRedefine/>
    <w:qFormat/>
    <w:uiPriority w:val="0"/>
    <w:pPr>
      <w:keepNext/>
      <w:jc w:val="center"/>
      <w:outlineLvl w:val="2"/>
    </w:pPr>
    <w:rPr>
      <w:rFonts w:eastAsia="楷体_GB2312"/>
      <w:b/>
      <w:bCs/>
      <w:sz w:val="15"/>
    </w:rPr>
  </w:style>
  <w:style w:type="paragraph" w:styleId="5">
    <w:name w:val="heading 4"/>
    <w:basedOn w:val="1"/>
    <w:next w:val="1"/>
    <w:autoRedefine/>
    <w:qFormat/>
    <w:uiPriority w:val="0"/>
    <w:pPr>
      <w:keepNext/>
      <w:jc w:val="center"/>
      <w:outlineLvl w:val="3"/>
    </w:pPr>
    <w:rPr>
      <w:rFonts w:eastAsia="楷体_GB2312"/>
      <w:b/>
      <w:bCs/>
      <w:sz w:val="13"/>
    </w:rPr>
  </w:style>
  <w:style w:type="paragraph" w:styleId="6">
    <w:name w:val="heading 5"/>
    <w:basedOn w:val="1"/>
    <w:next w:val="1"/>
    <w:autoRedefine/>
    <w:qFormat/>
    <w:uiPriority w:val="0"/>
    <w:pPr>
      <w:keepNext/>
      <w:numPr>
        <w:ilvl w:val="0"/>
        <w:numId w:val="1"/>
      </w:numPr>
      <w:outlineLvl w:val="4"/>
    </w:pPr>
    <w:rPr>
      <w:rFonts w:ascii="楷体_GB2312" w:eastAsia="楷体_GB2312"/>
      <w:bCs/>
      <w:sz w:val="28"/>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2520"/>
    </w:pPr>
    <w:rPr>
      <w:rFonts w:eastAsia="楷体_GB2312"/>
      <w:sz w:val="26"/>
    </w:rPr>
  </w:style>
  <w:style w:type="paragraph" w:styleId="8">
    <w:name w:val="index 8"/>
    <w:basedOn w:val="1"/>
    <w:next w:val="1"/>
    <w:autoRedefine/>
    <w:qFormat/>
    <w:uiPriority w:val="0"/>
    <w:pPr>
      <w:ind w:left="2940"/>
    </w:pPr>
    <w:rPr>
      <w:rFonts w:eastAsia="楷体_GB2312"/>
      <w:sz w:val="26"/>
    </w:rPr>
  </w:style>
  <w:style w:type="paragraph" w:styleId="9">
    <w:name w:val="Normal Indent"/>
    <w:basedOn w:val="1"/>
    <w:autoRedefine/>
    <w:qFormat/>
    <w:uiPriority w:val="0"/>
    <w:pPr>
      <w:ind w:firstLine="420"/>
    </w:pPr>
  </w:style>
  <w:style w:type="paragraph" w:styleId="10">
    <w:name w:val="index 5"/>
    <w:basedOn w:val="1"/>
    <w:next w:val="1"/>
    <w:autoRedefine/>
    <w:qFormat/>
    <w:uiPriority w:val="0"/>
    <w:pPr>
      <w:ind w:left="1680"/>
    </w:pPr>
    <w:rPr>
      <w:rFonts w:eastAsia="楷体_GB2312"/>
      <w:sz w:val="26"/>
    </w:rPr>
  </w:style>
  <w:style w:type="paragraph" w:styleId="11">
    <w:name w:val="Document Map"/>
    <w:basedOn w:val="1"/>
    <w:autoRedefine/>
    <w:qFormat/>
    <w:uiPriority w:val="0"/>
    <w:pPr>
      <w:shd w:val="clear" w:color="auto" w:fill="000080"/>
    </w:pPr>
  </w:style>
  <w:style w:type="paragraph" w:styleId="12">
    <w:name w:val="annotation text"/>
    <w:basedOn w:val="1"/>
    <w:link w:val="61"/>
    <w:autoRedefine/>
    <w:qFormat/>
    <w:uiPriority w:val="0"/>
    <w:pPr>
      <w:jc w:val="left"/>
    </w:pPr>
  </w:style>
  <w:style w:type="paragraph" w:styleId="13">
    <w:name w:val="index 6"/>
    <w:basedOn w:val="1"/>
    <w:next w:val="1"/>
    <w:autoRedefine/>
    <w:qFormat/>
    <w:uiPriority w:val="0"/>
    <w:pPr>
      <w:ind w:left="2100"/>
    </w:pPr>
    <w:rPr>
      <w:rFonts w:eastAsia="楷体_GB2312"/>
      <w:sz w:val="26"/>
    </w:rPr>
  </w:style>
  <w:style w:type="paragraph" w:styleId="14">
    <w:name w:val="Body Text"/>
    <w:basedOn w:val="1"/>
    <w:next w:val="1"/>
    <w:autoRedefine/>
    <w:qFormat/>
    <w:uiPriority w:val="0"/>
    <w:rPr>
      <w:rFonts w:ascii="华文中宋" w:eastAsia="华文中宋"/>
      <w:bCs/>
      <w:sz w:val="28"/>
    </w:rPr>
  </w:style>
  <w:style w:type="paragraph" w:styleId="15">
    <w:name w:val="Body Text Indent"/>
    <w:basedOn w:val="1"/>
    <w:next w:val="16"/>
    <w:autoRedefine/>
    <w:qFormat/>
    <w:uiPriority w:val="0"/>
    <w:pPr>
      <w:ind w:firstLine="576"/>
    </w:pPr>
    <w:rPr>
      <w:b/>
      <w:sz w:val="30"/>
    </w:rPr>
  </w:style>
  <w:style w:type="paragraph" w:styleId="16">
    <w:name w:val="envelope return"/>
    <w:basedOn w:val="1"/>
    <w:autoRedefine/>
    <w:qFormat/>
    <w:uiPriority w:val="0"/>
    <w:pPr>
      <w:snapToGrid w:val="0"/>
    </w:pPr>
    <w:rPr>
      <w:rFonts w:ascii="Arial" w:hAnsi="Arial"/>
    </w:rPr>
  </w:style>
  <w:style w:type="paragraph" w:styleId="17">
    <w:name w:val="Block Text"/>
    <w:basedOn w:val="1"/>
    <w:autoRedefine/>
    <w:qFormat/>
    <w:uiPriority w:val="0"/>
    <w:pPr>
      <w:adjustRightInd w:val="0"/>
      <w:ind w:left="420" w:right="33"/>
      <w:jc w:val="left"/>
      <w:textAlignment w:val="baseline"/>
    </w:pPr>
    <w:rPr>
      <w:kern w:val="0"/>
      <w:sz w:val="24"/>
    </w:rPr>
  </w:style>
  <w:style w:type="paragraph" w:styleId="18">
    <w:name w:val="index 4"/>
    <w:basedOn w:val="1"/>
    <w:next w:val="1"/>
    <w:autoRedefine/>
    <w:qFormat/>
    <w:uiPriority w:val="0"/>
    <w:pPr>
      <w:ind w:left="1260"/>
    </w:pPr>
    <w:rPr>
      <w:rFonts w:eastAsia="楷体_GB2312"/>
      <w:sz w:val="26"/>
    </w:rPr>
  </w:style>
  <w:style w:type="paragraph" w:styleId="19">
    <w:name w:val="toc 5"/>
    <w:basedOn w:val="1"/>
    <w:next w:val="1"/>
    <w:autoRedefine/>
    <w:qFormat/>
    <w:uiPriority w:val="0"/>
    <w:pPr>
      <w:ind w:left="1680"/>
    </w:pPr>
    <w:rPr>
      <w:rFonts w:eastAsia="楷体_GB2312"/>
      <w:sz w:val="26"/>
    </w:rPr>
  </w:style>
  <w:style w:type="paragraph" w:styleId="20">
    <w:name w:val="toc 3"/>
    <w:basedOn w:val="1"/>
    <w:next w:val="1"/>
    <w:autoRedefine/>
    <w:qFormat/>
    <w:uiPriority w:val="0"/>
    <w:pPr>
      <w:ind w:left="840"/>
    </w:pPr>
    <w:rPr>
      <w:rFonts w:eastAsia="楷体_GB2312"/>
      <w:sz w:val="26"/>
    </w:rPr>
  </w:style>
  <w:style w:type="paragraph" w:styleId="21">
    <w:name w:val="Plain Text"/>
    <w:basedOn w:val="1"/>
    <w:autoRedefine/>
    <w:qFormat/>
    <w:uiPriority w:val="0"/>
    <w:rPr>
      <w:rFonts w:ascii="宋体" w:hAnsi="Courier New" w:eastAsia="楷体_GB2312"/>
      <w:sz w:val="26"/>
    </w:rPr>
  </w:style>
  <w:style w:type="paragraph" w:styleId="22">
    <w:name w:val="toc 8"/>
    <w:basedOn w:val="1"/>
    <w:next w:val="1"/>
    <w:autoRedefine/>
    <w:qFormat/>
    <w:uiPriority w:val="0"/>
    <w:pPr>
      <w:ind w:left="2940"/>
    </w:pPr>
    <w:rPr>
      <w:rFonts w:eastAsia="楷体_GB2312"/>
      <w:sz w:val="26"/>
    </w:rPr>
  </w:style>
  <w:style w:type="paragraph" w:styleId="23">
    <w:name w:val="index 3"/>
    <w:basedOn w:val="1"/>
    <w:next w:val="1"/>
    <w:autoRedefine/>
    <w:qFormat/>
    <w:uiPriority w:val="0"/>
    <w:pPr>
      <w:ind w:left="840"/>
    </w:pPr>
    <w:rPr>
      <w:rFonts w:eastAsia="楷体_GB2312"/>
      <w:sz w:val="26"/>
    </w:rPr>
  </w:style>
  <w:style w:type="paragraph" w:styleId="24">
    <w:name w:val="Date"/>
    <w:basedOn w:val="1"/>
    <w:next w:val="1"/>
    <w:autoRedefine/>
    <w:qFormat/>
    <w:uiPriority w:val="0"/>
    <w:rPr>
      <w:rFonts w:eastAsia="黑体"/>
      <w:b/>
      <w:sz w:val="36"/>
    </w:rPr>
  </w:style>
  <w:style w:type="paragraph" w:styleId="25">
    <w:name w:val="Body Text Indent 2"/>
    <w:basedOn w:val="1"/>
    <w:autoRedefine/>
    <w:qFormat/>
    <w:uiPriority w:val="0"/>
    <w:pPr>
      <w:ind w:left="900"/>
    </w:pPr>
    <w:rPr>
      <w:rFonts w:ascii="楷体_GB2312" w:eastAsia="楷体_GB2312"/>
      <w:b/>
      <w:sz w:val="28"/>
    </w:rPr>
  </w:style>
  <w:style w:type="paragraph" w:styleId="26">
    <w:name w:val="Balloon Text"/>
    <w:basedOn w:val="1"/>
    <w:autoRedefine/>
    <w:semiHidden/>
    <w:qFormat/>
    <w:uiPriority w:val="0"/>
    <w:rPr>
      <w:sz w:val="18"/>
      <w:szCs w:val="18"/>
    </w:rPr>
  </w:style>
  <w:style w:type="paragraph" w:styleId="27">
    <w:name w:val="footer"/>
    <w:basedOn w:val="1"/>
    <w:autoRedefine/>
    <w:qFormat/>
    <w:uiPriority w:val="0"/>
    <w:pPr>
      <w:tabs>
        <w:tab w:val="center" w:pos="4153"/>
        <w:tab w:val="right" w:pos="8306"/>
      </w:tabs>
      <w:snapToGrid w:val="0"/>
      <w:jc w:val="left"/>
    </w:pPr>
    <w:rPr>
      <w:sz w:val="18"/>
    </w:rPr>
  </w:style>
  <w:style w:type="paragraph" w:styleId="2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0"/>
    <w:pPr>
      <w:adjustRightInd w:val="0"/>
      <w:jc w:val="left"/>
      <w:textAlignment w:val="baseline"/>
    </w:pPr>
    <w:rPr>
      <w:rFonts w:eastAsia="楷体_GB2312"/>
      <w:sz w:val="24"/>
    </w:rPr>
  </w:style>
  <w:style w:type="paragraph" w:styleId="30">
    <w:name w:val="toc 4"/>
    <w:basedOn w:val="1"/>
    <w:next w:val="1"/>
    <w:autoRedefine/>
    <w:qFormat/>
    <w:uiPriority w:val="0"/>
    <w:pPr>
      <w:ind w:left="1260"/>
    </w:pPr>
    <w:rPr>
      <w:rFonts w:eastAsia="楷体_GB2312"/>
      <w:sz w:val="26"/>
    </w:rPr>
  </w:style>
  <w:style w:type="paragraph" w:styleId="31">
    <w:name w:val="index heading"/>
    <w:basedOn w:val="1"/>
    <w:next w:val="32"/>
    <w:autoRedefine/>
    <w:qFormat/>
    <w:uiPriority w:val="0"/>
    <w:rPr>
      <w:rFonts w:eastAsia="楷体_GB2312"/>
      <w:sz w:val="26"/>
    </w:rPr>
  </w:style>
  <w:style w:type="paragraph" w:styleId="32">
    <w:name w:val="index 1"/>
    <w:basedOn w:val="1"/>
    <w:next w:val="1"/>
    <w:autoRedefine/>
    <w:qFormat/>
    <w:uiPriority w:val="0"/>
    <w:rPr>
      <w:rFonts w:eastAsia="楷体_GB2312"/>
      <w:sz w:val="26"/>
    </w:rPr>
  </w:style>
  <w:style w:type="paragraph" w:styleId="33">
    <w:name w:val="footnote text"/>
    <w:basedOn w:val="1"/>
    <w:autoRedefine/>
    <w:qFormat/>
    <w:uiPriority w:val="0"/>
    <w:pPr>
      <w:snapToGrid w:val="0"/>
      <w:jc w:val="left"/>
    </w:pPr>
    <w:rPr>
      <w:rFonts w:eastAsia="楷体_GB2312"/>
      <w:sz w:val="18"/>
    </w:rPr>
  </w:style>
  <w:style w:type="paragraph" w:styleId="34">
    <w:name w:val="toc 6"/>
    <w:basedOn w:val="1"/>
    <w:next w:val="1"/>
    <w:autoRedefine/>
    <w:qFormat/>
    <w:uiPriority w:val="0"/>
    <w:pPr>
      <w:ind w:left="2100"/>
    </w:pPr>
    <w:rPr>
      <w:rFonts w:eastAsia="楷体_GB2312"/>
      <w:sz w:val="26"/>
    </w:rPr>
  </w:style>
  <w:style w:type="paragraph" w:styleId="35">
    <w:name w:val="Body Text Indent 3"/>
    <w:basedOn w:val="1"/>
    <w:autoRedefine/>
    <w:qFormat/>
    <w:uiPriority w:val="0"/>
    <w:pPr>
      <w:ind w:left="359" w:leftChars="171" w:firstLine="359" w:firstLineChars="171"/>
    </w:pPr>
  </w:style>
  <w:style w:type="paragraph" w:styleId="36">
    <w:name w:val="index 7"/>
    <w:basedOn w:val="1"/>
    <w:next w:val="1"/>
    <w:autoRedefine/>
    <w:qFormat/>
    <w:uiPriority w:val="0"/>
    <w:pPr>
      <w:ind w:left="2520"/>
    </w:pPr>
    <w:rPr>
      <w:rFonts w:eastAsia="楷体_GB2312"/>
      <w:sz w:val="26"/>
    </w:rPr>
  </w:style>
  <w:style w:type="paragraph" w:styleId="37">
    <w:name w:val="index 9"/>
    <w:basedOn w:val="1"/>
    <w:next w:val="1"/>
    <w:autoRedefine/>
    <w:qFormat/>
    <w:uiPriority w:val="0"/>
    <w:pPr>
      <w:ind w:left="3360"/>
    </w:pPr>
    <w:rPr>
      <w:rFonts w:eastAsia="楷体_GB2312"/>
      <w:sz w:val="26"/>
    </w:rPr>
  </w:style>
  <w:style w:type="paragraph" w:styleId="38">
    <w:name w:val="table of figures"/>
    <w:basedOn w:val="1"/>
    <w:next w:val="1"/>
    <w:autoRedefine/>
    <w:qFormat/>
    <w:uiPriority w:val="0"/>
    <w:pPr>
      <w:adjustRightInd w:val="0"/>
      <w:ind w:left="420" w:hanging="420"/>
      <w:jc w:val="left"/>
      <w:textAlignment w:val="baseline"/>
    </w:pPr>
    <w:rPr>
      <w:rFonts w:eastAsia="楷体_GB2312"/>
      <w:smallCaps/>
      <w:sz w:val="24"/>
    </w:rPr>
  </w:style>
  <w:style w:type="paragraph" w:styleId="39">
    <w:name w:val="toc 2"/>
    <w:basedOn w:val="1"/>
    <w:next w:val="1"/>
    <w:autoRedefine/>
    <w:qFormat/>
    <w:uiPriority w:val="0"/>
    <w:pPr>
      <w:ind w:left="420"/>
    </w:pPr>
    <w:rPr>
      <w:rFonts w:eastAsia="楷体_GB2312"/>
      <w:sz w:val="26"/>
    </w:rPr>
  </w:style>
  <w:style w:type="paragraph" w:styleId="40">
    <w:name w:val="toc 9"/>
    <w:basedOn w:val="1"/>
    <w:next w:val="1"/>
    <w:autoRedefine/>
    <w:qFormat/>
    <w:uiPriority w:val="0"/>
    <w:pPr>
      <w:ind w:left="3360"/>
    </w:pPr>
    <w:rPr>
      <w:rFonts w:eastAsia="楷体_GB2312"/>
      <w:sz w:val="26"/>
    </w:rPr>
  </w:style>
  <w:style w:type="paragraph" w:styleId="41">
    <w:name w:val="Body Text 2"/>
    <w:basedOn w:val="1"/>
    <w:autoRedefine/>
    <w:qFormat/>
    <w:uiPriority w:val="0"/>
    <w:pPr>
      <w:spacing w:after="120" w:line="480" w:lineRule="auto"/>
    </w:pPr>
  </w:style>
  <w:style w:type="paragraph" w:styleId="4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4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4">
    <w:name w:val="index 2"/>
    <w:basedOn w:val="1"/>
    <w:next w:val="1"/>
    <w:autoRedefine/>
    <w:qFormat/>
    <w:uiPriority w:val="0"/>
    <w:pPr>
      <w:ind w:left="420"/>
    </w:pPr>
    <w:rPr>
      <w:rFonts w:eastAsia="楷体_GB2312"/>
      <w:sz w:val="26"/>
    </w:rPr>
  </w:style>
  <w:style w:type="paragraph" w:styleId="45">
    <w:name w:val="annotation subject"/>
    <w:basedOn w:val="12"/>
    <w:next w:val="12"/>
    <w:link w:val="62"/>
    <w:autoRedefine/>
    <w:qFormat/>
    <w:uiPriority w:val="0"/>
    <w:rPr>
      <w:b/>
      <w:bCs/>
    </w:rPr>
  </w:style>
  <w:style w:type="paragraph" w:styleId="46">
    <w:name w:val="Body Text First Indent"/>
    <w:basedOn w:val="14"/>
    <w:autoRedefine/>
    <w:qFormat/>
    <w:uiPriority w:val="0"/>
    <w:pPr>
      <w:spacing w:after="120" w:line="440" w:lineRule="exact"/>
      <w:ind w:firstLine="420" w:firstLineChars="100"/>
    </w:pPr>
    <w:rPr>
      <w:rFonts w:ascii="宋体" w:eastAsia="宋体"/>
      <w:sz w:val="24"/>
      <w:szCs w:val="28"/>
    </w:rPr>
  </w:style>
  <w:style w:type="paragraph" w:styleId="47">
    <w:name w:val="Body Text First Indent 2"/>
    <w:basedOn w:val="15"/>
    <w:next w:val="1"/>
    <w:autoRedefine/>
    <w:unhideWhenUsed/>
    <w:qFormat/>
    <w:uiPriority w:val="99"/>
    <w:pPr>
      <w:ind w:firstLine="420" w:firstLineChars="200"/>
    </w:pPr>
  </w:style>
  <w:style w:type="table" w:styleId="49">
    <w:name w:val="Table Grid"/>
    <w:basedOn w:val="4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0"/>
    <w:rPr>
      <w:color w:val="auto"/>
      <w:u w:val="none"/>
    </w:rPr>
  </w:style>
  <w:style w:type="character" w:styleId="54">
    <w:name w:val="HTML Typewriter"/>
    <w:basedOn w:val="50"/>
    <w:autoRedefine/>
    <w:qFormat/>
    <w:uiPriority w:val="0"/>
    <w:rPr>
      <w:rFonts w:ascii="宋体" w:hAnsi="宋体" w:eastAsia="宋体" w:cs="宋体"/>
      <w:sz w:val="24"/>
      <w:szCs w:val="24"/>
    </w:rPr>
  </w:style>
  <w:style w:type="character" w:styleId="55">
    <w:name w:val="Hyperlink"/>
    <w:autoRedefine/>
    <w:qFormat/>
    <w:uiPriority w:val="0"/>
    <w:rPr>
      <w:color w:val="auto"/>
      <w:u w:val="none"/>
    </w:rPr>
  </w:style>
  <w:style w:type="character" w:styleId="56">
    <w:name w:val="annotation reference"/>
    <w:autoRedefine/>
    <w:qFormat/>
    <w:uiPriority w:val="0"/>
    <w:rPr>
      <w:sz w:val="21"/>
      <w:szCs w:val="21"/>
    </w:rPr>
  </w:style>
  <w:style w:type="paragraph" w:customStyle="1" w:styleId="57">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59">
    <w:name w:val="正文1"/>
    <w:basedOn w:val="1"/>
    <w:next w:val="1"/>
    <w:autoRedefine/>
    <w:qFormat/>
    <w:uiPriority w:val="99"/>
    <w:pPr>
      <w:numPr>
        <w:ilvl w:val="0"/>
        <w:numId w:val="2"/>
      </w:numPr>
      <w:tabs>
        <w:tab w:val="left" w:pos="360"/>
        <w:tab w:val="left" w:pos="1800"/>
        <w:tab w:val="left" w:pos="2220"/>
      </w:tabs>
      <w:spacing w:line="360" w:lineRule="auto"/>
      <w:ind w:left="403" w:hanging="403" w:hangingChars="168"/>
      <w:jc w:val="left"/>
    </w:pPr>
    <w:rPr>
      <w:rFonts w:ascii="仿宋_GB2312" w:hAnsi="宋体" w:eastAsia="仿宋_GB2312" w:cs="仿宋_GB2312"/>
      <w:sz w:val="24"/>
      <w:szCs w:val="24"/>
    </w:rPr>
  </w:style>
  <w:style w:type="character" w:customStyle="1" w:styleId="60">
    <w:name w:val="标题 1 Char"/>
    <w:link w:val="2"/>
    <w:autoRedefine/>
    <w:qFormat/>
    <w:uiPriority w:val="99"/>
    <w:rPr>
      <w:rFonts w:ascii="楷体_GB2312" w:eastAsia="楷体_GB2312"/>
      <w:b/>
      <w:kern w:val="2"/>
      <w:sz w:val="28"/>
    </w:rPr>
  </w:style>
  <w:style w:type="character" w:customStyle="1" w:styleId="61">
    <w:name w:val="批注文字 Char"/>
    <w:link w:val="12"/>
    <w:autoRedefine/>
    <w:qFormat/>
    <w:uiPriority w:val="0"/>
    <w:rPr>
      <w:kern w:val="2"/>
      <w:sz w:val="21"/>
    </w:rPr>
  </w:style>
  <w:style w:type="character" w:customStyle="1" w:styleId="62">
    <w:name w:val="批注主题 Char"/>
    <w:link w:val="45"/>
    <w:autoRedefine/>
    <w:qFormat/>
    <w:uiPriority w:val="0"/>
  </w:style>
  <w:style w:type="character" w:customStyle="1" w:styleId="63">
    <w:name w:val="case31"/>
    <w:autoRedefine/>
    <w:qFormat/>
    <w:uiPriority w:val="0"/>
    <w:rPr>
      <w:rFonts w:hint="default" w:ascii="_x000B__x000C_" w:hAnsi="_x000B__x000C_"/>
      <w:sz w:val="21"/>
      <w:szCs w:val="21"/>
    </w:rPr>
  </w:style>
  <w:style w:type="paragraph" w:customStyle="1" w:styleId="64">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6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6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68">
    <w:name w:val="纯文本1"/>
    <w:basedOn w:val="1"/>
    <w:autoRedefine/>
    <w:qFormat/>
    <w:uiPriority w:val="0"/>
    <w:pPr>
      <w:adjustRightInd w:val="0"/>
      <w:textAlignment w:val="baseline"/>
    </w:pPr>
    <w:rPr>
      <w:rFonts w:ascii="宋体" w:hAnsi="Courier New" w:eastAsia="楷体_GB2312"/>
      <w:sz w:val="26"/>
    </w:rPr>
  </w:style>
  <w:style w:type="paragraph" w:customStyle="1" w:styleId="6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7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1">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72">
    <w:name w:val="普通文字"/>
    <w:basedOn w:val="1"/>
    <w:next w:val="1"/>
    <w:autoRedefine/>
    <w:qFormat/>
    <w:uiPriority w:val="0"/>
    <w:rPr>
      <w:rFonts w:ascii="宋体"/>
      <w:kern w:val="0"/>
      <w:sz w:val="24"/>
      <w:u w:color="000000"/>
    </w:rPr>
  </w:style>
  <w:style w:type="paragraph" w:customStyle="1" w:styleId="73">
    <w:name w:val="font14"/>
    <w:basedOn w:val="1"/>
    <w:autoRedefine/>
    <w:qFormat/>
    <w:uiPriority w:val="0"/>
    <w:pPr>
      <w:widowControl/>
      <w:spacing w:before="100" w:beforeAutospacing="1" w:after="100" w:afterAutospacing="1"/>
      <w:jc w:val="left"/>
    </w:pPr>
    <w:rPr>
      <w:kern w:val="0"/>
      <w:sz w:val="36"/>
      <w:szCs w:val="36"/>
    </w:rPr>
  </w:style>
  <w:style w:type="paragraph" w:customStyle="1" w:styleId="74">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75">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76">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7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2">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styleId="84">
    <w:name w:val="List Paragraph"/>
    <w:basedOn w:val="1"/>
    <w:autoRedefine/>
    <w:qFormat/>
    <w:uiPriority w:val="34"/>
    <w:pPr>
      <w:ind w:firstLine="420" w:firstLineChars="200"/>
    </w:pPr>
  </w:style>
  <w:style w:type="paragraph" w:customStyle="1" w:styleId="85">
    <w:name w:val="font8"/>
    <w:basedOn w:val="1"/>
    <w:autoRedefine/>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8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87">
    <w:name w:val="Char Char Char Char Char Char Char Char Char Char"/>
    <w:basedOn w:val="1"/>
    <w:autoRedefine/>
    <w:qFormat/>
    <w:uiPriority w:val="0"/>
    <w:pPr>
      <w:numPr>
        <w:ilvl w:val="0"/>
        <w:numId w:val="3"/>
      </w:numPr>
      <w:tabs>
        <w:tab w:val="left" w:pos="432"/>
        <w:tab w:val="clear" w:pos="2205"/>
      </w:tabs>
    </w:pPr>
  </w:style>
  <w:style w:type="paragraph" w:customStyle="1" w:styleId="8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89">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0">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1">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92">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94">
    <w:name w:val="默认段落字体 Para Char"/>
    <w:basedOn w:val="1"/>
    <w:autoRedefine/>
    <w:qFormat/>
    <w:uiPriority w:val="0"/>
    <w:pPr>
      <w:numPr>
        <w:ilvl w:val="0"/>
        <w:numId w:val="4"/>
      </w:numPr>
    </w:pPr>
    <w:rPr>
      <w:sz w:val="24"/>
      <w:szCs w:val="24"/>
    </w:rPr>
  </w:style>
  <w:style w:type="paragraph" w:customStyle="1" w:styleId="95">
    <w:name w:val="font7"/>
    <w:basedOn w:val="1"/>
    <w:autoRedefine/>
    <w:qFormat/>
    <w:uiPriority w:val="0"/>
    <w:pPr>
      <w:widowControl/>
      <w:spacing w:before="100" w:beforeAutospacing="1" w:after="100" w:afterAutospacing="1"/>
      <w:jc w:val="left"/>
    </w:pPr>
    <w:rPr>
      <w:b/>
      <w:bCs/>
      <w:i/>
      <w:iCs/>
      <w:kern w:val="0"/>
      <w:sz w:val="20"/>
    </w:rPr>
  </w:style>
  <w:style w:type="paragraph" w:customStyle="1" w:styleId="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97">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9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00">
    <w:name w:val="Char1 Char Char Char"/>
    <w:basedOn w:val="1"/>
    <w:autoRedefine/>
    <w:qFormat/>
    <w:uiPriority w:val="0"/>
    <w:rPr>
      <w:rFonts w:ascii="Tahoma" w:hAnsi="Tahoma"/>
      <w:sz w:val="24"/>
    </w:rPr>
  </w:style>
  <w:style w:type="paragraph" w:customStyle="1" w:styleId="101">
    <w:name w:val="列出段落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02">
    <w:name w:val="无间隔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3">
    <w:name w:val="_Style 1"/>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0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0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6">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0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08">
    <w:name w:val="font10"/>
    <w:basedOn w:val="1"/>
    <w:autoRedefine/>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109">
    <w:name w:val="font6"/>
    <w:basedOn w:val="1"/>
    <w:autoRedefine/>
    <w:qFormat/>
    <w:uiPriority w:val="0"/>
    <w:pPr>
      <w:widowControl/>
      <w:spacing w:before="100" w:beforeAutospacing="1" w:after="100" w:afterAutospacing="1"/>
      <w:jc w:val="left"/>
    </w:pPr>
    <w:rPr>
      <w:rFonts w:hint="eastAsia" w:ascii="宋体" w:hAnsi="宋体"/>
      <w:b/>
      <w:bCs/>
      <w:kern w:val="0"/>
      <w:sz w:val="20"/>
    </w:rPr>
  </w:style>
  <w:style w:type="paragraph" w:customStyle="1" w:styleId="11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1">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1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13">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4">
    <w:name w:val="font9"/>
    <w:basedOn w:val="1"/>
    <w:autoRedefine/>
    <w:qFormat/>
    <w:uiPriority w:val="0"/>
    <w:pPr>
      <w:widowControl/>
      <w:spacing w:before="100" w:beforeAutospacing="1" w:after="100" w:afterAutospacing="1"/>
      <w:jc w:val="left"/>
    </w:pPr>
    <w:rPr>
      <w:b/>
      <w:bCs/>
      <w:kern w:val="0"/>
      <w:sz w:val="20"/>
    </w:rPr>
  </w:style>
  <w:style w:type="paragraph" w:customStyle="1" w:styleId="115">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6">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18">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11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20">
    <w:name w:val="Char Char Char Char"/>
    <w:basedOn w:val="11"/>
    <w:autoRedefine/>
    <w:qFormat/>
    <w:uiPriority w:val="0"/>
    <w:pPr>
      <w:adjustRightInd w:val="0"/>
      <w:snapToGrid w:val="0"/>
      <w:spacing w:line="360" w:lineRule="auto"/>
    </w:pPr>
  </w:style>
  <w:style w:type="paragraph" w:customStyle="1" w:styleId="121">
    <w:name w:val="font12"/>
    <w:basedOn w:val="1"/>
    <w:autoRedefine/>
    <w:qFormat/>
    <w:uiPriority w:val="0"/>
    <w:pPr>
      <w:widowControl/>
      <w:spacing w:before="100" w:beforeAutospacing="1" w:after="100" w:afterAutospacing="1"/>
      <w:jc w:val="left"/>
    </w:pPr>
    <w:rPr>
      <w:rFonts w:hint="eastAsia" w:ascii="宋体" w:hAnsi="宋体"/>
      <w:kern w:val="0"/>
      <w:sz w:val="36"/>
      <w:szCs w:val="36"/>
    </w:rPr>
  </w:style>
  <w:style w:type="paragraph" w:customStyle="1" w:styleId="122">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2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25">
    <w:name w:val="List Paragraph1"/>
    <w:basedOn w:val="1"/>
    <w:autoRedefine/>
    <w:qFormat/>
    <w:uiPriority w:val="34"/>
    <w:pPr>
      <w:ind w:firstLine="420" w:firstLineChars="200"/>
    </w:pPr>
    <w:rPr>
      <w:rFonts w:ascii="Calibri" w:hAnsi="Calibri"/>
      <w:szCs w:val="22"/>
    </w:rPr>
  </w:style>
  <w:style w:type="character" w:customStyle="1" w:styleId="126">
    <w:name w:val="grame"/>
    <w:autoRedefine/>
    <w:qFormat/>
    <w:uiPriority w:val="0"/>
  </w:style>
  <w:style w:type="paragraph" w:customStyle="1" w:styleId="127">
    <w:name w:val="纯文本11"/>
    <w:basedOn w:val="1"/>
    <w:autoRedefine/>
    <w:qFormat/>
    <w:uiPriority w:val="0"/>
    <w:pPr>
      <w:adjustRightInd w:val="0"/>
    </w:pPr>
    <w:rPr>
      <w:rFonts w:hint="eastAsia" w:hAnsi="Courier New" w:eastAsia="楷体_GB2312"/>
      <w:sz w:val="28"/>
    </w:rPr>
  </w:style>
  <w:style w:type="paragraph" w:customStyle="1" w:styleId="128">
    <w:name w:val="正文文本（HA）"/>
    <w:basedOn w:val="14"/>
    <w:autoRedefine/>
    <w:qFormat/>
    <w:uiPriority w:val="0"/>
    <w:pPr>
      <w:spacing w:beforeLines="50" w:line="360" w:lineRule="auto"/>
      <w:ind w:firstLine="200" w:firstLineChars="200"/>
    </w:pPr>
    <w:rPr>
      <w:rFonts w:hint="eastAsia" w:ascii="宋体" w:hAnsi="宋体" w:eastAsia="宋体"/>
      <w:kern w:val="0"/>
      <w:sz w:val="24"/>
    </w:rPr>
  </w:style>
  <w:style w:type="paragraph" w:customStyle="1" w:styleId="129">
    <w:name w:val="正文文本缩进 31"/>
    <w:basedOn w:val="1"/>
    <w:autoRedefine/>
    <w:qFormat/>
    <w:uiPriority w:val="0"/>
    <w:pPr>
      <w:spacing w:before="120" w:after="120" w:line="360" w:lineRule="auto"/>
      <w:ind w:left="420" w:firstLine="540"/>
    </w:pPr>
    <w:rPr>
      <w:rFonts w:ascii="Arial" w:hAnsi="Arial"/>
      <w:sz w:val="24"/>
    </w:rPr>
  </w:style>
  <w:style w:type="paragraph" w:customStyle="1" w:styleId="130">
    <w:name w:val="Table Paragraph"/>
    <w:basedOn w:val="1"/>
    <w:autoRedefine/>
    <w:qFormat/>
    <w:uiPriority w:val="1"/>
    <w:rPr>
      <w:rFonts w:ascii="宋体" w:hAnsi="宋体" w:cs="宋体"/>
      <w:lang w:val="zh-CN" w:bidi="zh-CN"/>
    </w:rPr>
  </w:style>
  <w:style w:type="paragraph" w:customStyle="1" w:styleId="131">
    <w:name w:val="首行缩进"/>
    <w:autoRedefine/>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 w:type="paragraph" w:customStyle="1" w:styleId="132">
    <w:name w:val="正文 A"/>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33">
    <w:name w:val="无"/>
    <w:autoRedefine/>
    <w:qFormat/>
    <w:uiPriority w:val="0"/>
  </w:style>
  <w:style w:type="character" w:customStyle="1" w:styleId="134">
    <w:name w:val="Hyperlink.0"/>
    <w:basedOn w:val="133"/>
    <w:autoRedefine/>
    <w:qFormat/>
    <w:uiPriority w:val="0"/>
    <w:rPr>
      <w:rFonts w:ascii="宋体" w:hAnsi="宋体" w:eastAsia="宋体" w:cs="宋体"/>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Info spid="_x0000_s307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ist</Company>
  <Pages>54</Pages>
  <Words>31879</Words>
  <Characters>3620</Characters>
  <Lines>30</Lines>
  <Paragraphs>70</Paragraphs>
  <TotalTime>2</TotalTime>
  <ScaleCrop>false</ScaleCrop>
  <LinksUpToDate>false</LinksUpToDate>
  <CharactersWithSpaces>35429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2023-05-17T02:03:00Z</dcterms:created>
  <dc:creator>FtpDown</dc:creator>
  <cp:lastModifiedBy>荷塘月色</cp:lastModifiedBy>
  <cp:lastPrinted>2022-11-02T01:15:00Z</cp:lastPrinted>
  <dcterms:modified xsi:type="dcterms:W3CDTF">2023-12-26T10:37:32Z</dcterms:modified>
  <dc:title>无锡市政府采购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6F10426031044C02AC3BFB9776712613</vt:lpwstr>
  </property>
</Properties>
</file>