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jc w:val="center"/>
        <w:rPr>
          <w:rFonts w:ascii="宋体" w:hAnsi="宋体" w:cs="宋体"/>
          <w:b/>
          <w:color w:val="auto"/>
          <w:sz w:val="52"/>
          <w:szCs w:val="52"/>
          <w:highlight w:val="none"/>
        </w:rPr>
      </w:pPr>
    </w:p>
    <w:p>
      <w:pPr>
        <w:topLinePunct/>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无锡市政府采购</w:t>
      </w:r>
    </w:p>
    <w:p>
      <w:pPr>
        <w:topLinePunct/>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竞争性磋商文件</w:t>
      </w:r>
    </w:p>
    <w:p>
      <w:pPr>
        <w:topLinePunct/>
        <w:spacing w:line="360" w:lineRule="auto"/>
        <w:jc w:val="center"/>
        <w:rPr>
          <w:rFonts w:ascii="宋体" w:hAnsi="宋体" w:cs="宋体"/>
          <w:b/>
          <w:color w:val="auto"/>
          <w:sz w:val="24"/>
          <w:highlight w:val="none"/>
        </w:rPr>
      </w:pPr>
    </w:p>
    <w:p>
      <w:pPr>
        <w:topLinePunct/>
        <w:spacing w:line="360" w:lineRule="auto"/>
        <w:jc w:val="center"/>
        <w:rPr>
          <w:rFonts w:ascii="宋体" w:hAnsi="宋体" w:cs="宋体"/>
          <w:b/>
          <w:color w:val="auto"/>
          <w:sz w:val="24"/>
          <w:highlight w:val="none"/>
        </w:rPr>
      </w:pPr>
    </w:p>
    <w:p>
      <w:pPr>
        <w:topLinePunct/>
        <w:spacing w:line="360" w:lineRule="auto"/>
        <w:jc w:val="center"/>
        <w:rPr>
          <w:rFonts w:ascii="宋体" w:hAnsi="宋体" w:cs="宋体"/>
          <w:b/>
          <w:color w:val="auto"/>
          <w:sz w:val="24"/>
          <w:highlight w:val="none"/>
        </w:rPr>
      </w:pPr>
    </w:p>
    <w:p>
      <w:pPr>
        <w:topLinePunct/>
        <w:spacing w:line="360" w:lineRule="auto"/>
        <w:jc w:val="center"/>
        <w:rPr>
          <w:rFonts w:ascii="宋体" w:hAnsi="宋体" w:cs="宋体"/>
          <w:b/>
          <w:color w:val="auto"/>
          <w:sz w:val="24"/>
          <w:highlight w:val="none"/>
        </w:rPr>
      </w:pPr>
    </w:p>
    <w:p>
      <w:pPr>
        <w:topLinePunct/>
        <w:spacing w:line="360" w:lineRule="auto"/>
        <w:jc w:val="center"/>
        <w:rPr>
          <w:rFonts w:ascii="宋体" w:hAnsi="宋体" w:cs="宋体"/>
          <w:b/>
          <w:color w:val="auto"/>
          <w:sz w:val="24"/>
          <w:highlight w:val="none"/>
        </w:rPr>
      </w:pPr>
    </w:p>
    <w:p>
      <w:pPr>
        <w:ind w:left="3036" w:hanging="3036" w:hangingChars="945"/>
        <w:rPr>
          <w:rFonts w:ascii="宋体" w:hAnsi="宋体" w:cs="宋体"/>
          <w:b/>
          <w:color w:val="auto"/>
          <w:sz w:val="32"/>
          <w:szCs w:val="32"/>
          <w:highlight w:val="none"/>
        </w:rPr>
      </w:pPr>
    </w:p>
    <w:p>
      <w:pPr>
        <w:topLinePunct/>
        <w:spacing w:line="360" w:lineRule="auto"/>
        <w:ind w:firstLine="321" w:firstLineChars="1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 xml:space="preserve">政府采购编号： </w:t>
      </w:r>
      <w:r>
        <w:rPr>
          <w:rFonts w:hint="eastAsia" w:ascii="宋体" w:hAnsi="宋体" w:cs="宋体"/>
          <w:b/>
          <w:color w:val="auto"/>
          <w:sz w:val="32"/>
          <w:szCs w:val="32"/>
          <w:highlight w:val="none"/>
          <w:lang w:eastAsia="zh-CN"/>
        </w:rPr>
        <w:t>WXCJCG2022141</w:t>
      </w:r>
    </w:p>
    <w:p>
      <w:pPr>
        <w:topLinePunct/>
        <w:spacing w:line="360" w:lineRule="auto"/>
        <w:ind w:firstLine="321" w:firstLineChars="100"/>
        <w:rPr>
          <w:rFonts w:ascii="宋体" w:hAnsi="宋体" w:cs="宋体"/>
          <w:b/>
          <w:color w:val="auto"/>
          <w:sz w:val="32"/>
          <w:szCs w:val="32"/>
          <w:highlight w:val="none"/>
        </w:rPr>
      </w:pPr>
    </w:p>
    <w:p>
      <w:pPr>
        <w:topLinePunct/>
        <w:ind w:firstLine="321" w:firstLineChars="1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采购项目名称：</w:t>
      </w:r>
      <w:r>
        <w:rPr>
          <w:rFonts w:hint="eastAsia" w:ascii="宋体" w:hAnsi="宋体" w:cs="宋体"/>
          <w:b/>
          <w:color w:val="auto"/>
          <w:sz w:val="32"/>
          <w:szCs w:val="32"/>
          <w:highlight w:val="none"/>
          <w:lang w:eastAsia="zh-CN"/>
        </w:rPr>
        <w:t>2022年度清名桥街道老旧小区改造工程市政、绿化景观</w:t>
      </w:r>
    </w:p>
    <w:p>
      <w:pPr>
        <w:topLinePunct/>
        <w:jc w:val="center"/>
        <w:rPr>
          <w:rFonts w:ascii="宋体" w:hAnsi="宋体" w:cs="宋体"/>
          <w:b/>
          <w:color w:val="auto"/>
          <w:sz w:val="32"/>
          <w:szCs w:val="32"/>
          <w:highlight w:val="none"/>
        </w:rPr>
      </w:pPr>
    </w:p>
    <w:p>
      <w:pPr>
        <w:topLinePunct/>
        <w:ind w:firstLine="321" w:firstLineChars="1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采购人：</w:t>
      </w:r>
      <w:r>
        <w:rPr>
          <w:rFonts w:hint="eastAsia" w:ascii="宋体" w:hAnsi="宋体" w:cs="宋体"/>
          <w:b/>
          <w:color w:val="auto"/>
          <w:sz w:val="32"/>
          <w:szCs w:val="32"/>
          <w:highlight w:val="none"/>
          <w:lang w:eastAsia="zh-CN"/>
        </w:rPr>
        <w:t>无锡市梁溪区清名桥街道办事处</w:t>
      </w:r>
    </w:p>
    <w:p>
      <w:pPr>
        <w:topLinePunct/>
        <w:spacing w:line="360" w:lineRule="auto"/>
        <w:rPr>
          <w:rFonts w:ascii="宋体" w:hAnsi="宋体" w:cs="宋体"/>
          <w:b/>
          <w:color w:val="auto"/>
          <w:sz w:val="32"/>
          <w:szCs w:val="32"/>
          <w:highlight w:val="none"/>
        </w:rPr>
      </w:pPr>
    </w:p>
    <w:p>
      <w:pPr>
        <w:topLinePunct/>
        <w:spacing w:line="360" w:lineRule="auto"/>
        <w:ind w:firstLine="321" w:firstLineChars="1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采购代理机构：</w:t>
      </w:r>
      <w:r>
        <w:rPr>
          <w:rFonts w:hint="eastAsia" w:ascii="宋体" w:hAnsi="宋体" w:cs="宋体"/>
          <w:b/>
          <w:color w:val="auto"/>
          <w:sz w:val="32"/>
          <w:szCs w:val="32"/>
          <w:highlight w:val="none"/>
          <w:lang w:eastAsia="zh-CN"/>
        </w:rPr>
        <w:t>江苏成建项目管理有限公司</w:t>
      </w:r>
    </w:p>
    <w:p>
      <w:pPr>
        <w:topLinePunct/>
        <w:spacing w:line="360" w:lineRule="auto"/>
        <w:rPr>
          <w:rFonts w:ascii="宋体" w:hAnsi="宋体" w:cs="宋体"/>
          <w:b/>
          <w:color w:val="auto"/>
          <w:sz w:val="24"/>
          <w:highlight w:val="none"/>
        </w:rPr>
      </w:pPr>
    </w:p>
    <w:p>
      <w:pPr>
        <w:topLinePunct/>
        <w:spacing w:line="360" w:lineRule="auto"/>
        <w:jc w:val="center"/>
        <w:rPr>
          <w:rFonts w:ascii="宋体" w:hAnsi="宋体" w:cs="宋体"/>
          <w:b/>
          <w:color w:val="auto"/>
          <w:sz w:val="32"/>
          <w:szCs w:val="32"/>
          <w:highlight w:val="none"/>
        </w:rPr>
      </w:pPr>
    </w:p>
    <w:p>
      <w:pPr>
        <w:topLinePunct/>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二〇二二年八月</w:t>
      </w:r>
    </w:p>
    <w:p>
      <w:pPr>
        <w:topLinePunct/>
        <w:snapToGrid w:val="0"/>
        <w:spacing w:line="360" w:lineRule="auto"/>
        <w:jc w:val="center"/>
        <w:rPr>
          <w:rFonts w:ascii="宋体" w:hAnsi="宋体" w:cs="宋体"/>
          <w:b/>
          <w:color w:val="auto"/>
          <w:sz w:val="44"/>
          <w:szCs w:val="44"/>
          <w:highlight w:val="none"/>
        </w:rPr>
      </w:pPr>
    </w:p>
    <w:p>
      <w:pPr>
        <w:topLinePunct/>
        <w:snapToGrid w:val="0"/>
        <w:spacing w:line="360" w:lineRule="auto"/>
        <w:rPr>
          <w:rFonts w:ascii="宋体" w:hAnsi="宋体" w:cs="宋体"/>
          <w:b/>
          <w:color w:val="auto"/>
          <w:sz w:val="44"/>
          <w:szCs w:val="44"/>
          <w:highlight w:val="none"/>
        </w:rPr>
      </w:pPr>
    </w:p>
    <w:p>
      <w:pPr>
        <w:topLinePunct/>
        <w:snapToGrid w:val="0"/>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topLinePunct/>
        <w:snapToGrid w:val="0"/>
        <w:spacing w:line="360" w:lineRule="auto"/>
        <w:jc w:val="center"/>
        <w:rPr>
          <w:rFonts w:ascii="宋体" w:hAnsi="宋体" w:cs="宋体"/>
          <w:b/>
          <w:color w:val="auto"/>
          <w:sz w:val="30"/>
          <w:szCs w:val="30"/>
          <w:highlight w:val="none"/>
        </w:rPr>
      </w:pPr>
    </w:p>
    <w:p>
      <w:pPr>
        <w:tabs>
          <w:tab w:val="left" w:pos="8000"/>
        </w:tabs>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第一部分   磋商须知前附表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第二部分   磋商须知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第三部分   采购需求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第四部分   合同条款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第五部分   附件 </w:t>
      </w:r>
    </w:p>
    <w:p>
      <w:pPr>
        <w:widowControl/>
        <w:topLinePunct/>
        <w:snapToGrid w:val="0"/>
        <w:spacing w:line="360" w:lineRule="auto"/>
        <w:rPr>
          <w:rFonts w:ascii="宋体" w:hAnsi="宋体" w:cs="宋体"/>
          <w:b/>
          <w:color w:val="auto"/>
          <w:sz w:val="30"/>
          <w:szCs w:val="30"/>
          <w:highlight w:val="none"/>
        </w:rPr>
      </w:pPr>
    </w:p>
    <w:p>
      <w:pPr>
        <w:widowControl/>
        <w:topLinePunct/>
        <w:snapToGrid w:val="0"/>
        <w:spacing w:line="360" w:lineRule="auto"/>
        <w:rPr>
          <w:rFonts w:ascii="宋体" w:hAnsi="宋体" w:cs="宋体"/>
          <w:b/>
          <w:color w:val="auto"/>
          <w:sz w:val="24"/>
          <w:highlight w:val="none"/>
        </w:rPr>
      </w:pPr>
    </w:p>
    <w:p>
      <w:pPr>
        <w:widowControl/>
        <w:topLinePunct/>
        <w:snapToGrid w:val="0"/>
        <w:spacing w:line="360" w:lineRule="auto"/>
        <w:rPr>
          <w:rFonts w:ascii="宋体" w:hAnsi="宋体" w:cs="宋体"/>
          <w:b/>
          <w:color w:val="auto"/>
          <w:sz w:val="24"/>
          <w:highlight w:val="none"/>
        </w:rPr>
      </w:pPr>
    </w:p>
    <w:p>
      <w:pPr>
        <w:widowControl/>
        <w:topLinePunct/>
        <w:snapToGrid w:val="0"/>
        <w:spacing w:line="360" w:lineRule="auto"/>
        <w:rPr>
          <w:rFonts w:ascii="宋体" w:hAnsi="宋体" w:cs="宋体"/>
          <w:b/>
          <w:color w:val="auto"/>
          <w:sz w:val="24"/>
          <w:highlight w:val="none"/>
        </w:rPr>
      </w:pPr>
    </w:p>
    <w:p>
      <w:pPr>
        <w:widowControl/>
        <w:topLinePunct/>
        <w:spacing w:before="470"/>
        <w:rPr>
          <w:rFonts w:ascii="宋体" w:hAnsi="宋体" w:cs="宋体"/>
          <w:b/>
          <w:color w:val="auto"/>
          <w:sz w:val="24"/>
          <w:highlight w:val="none"/>
        </w:rPr>
      </w:pPr>
    </w:p>
    <w:p>
      <w:pPr>
        <w:widowControl/>
        <w:topLinePunct/>
        <w:spacing w:before="470"/>
        <w:rPr>
          <w:rFonts w:ascii="宋体" w:hAnsi="宋体" w:cs="宋体"/>
          <w:b/>
          <w:color w:val="auto"/>
          <w:sz w:val="24"/>
          <w:highlight w:val="none"/>
        </w:rPr>
      </w:pPr>
    </w:p>
    <w:p>
      <w:pPr>
        <w:widowControl/>
        <w:topLinePunct/>
        <w:spacing w:before="470"/>
        <w:jc w:val="center"/>
        <w:rPr>
          <w:rFonts w:ascii="宋体" w:hAnsi="宋体" w:cs="宋体"/>
          <w:b/>
          <w:color w:val="auto"/>
          <w:sz w:val="44"/>
          <w:szCs w:val="44"/>
          <w:highlight w:val="none"/>
        </w:rPr>
        <w:sectPr>
          <w:footerReference r:id="rId3" w:type="first"/>
          <w:pgSz w:w="11906" w:h="16838"/>
          <w:pgMar w:top="1418" w:right="1555" w:bottom="1418" w:left="1531" w:header="851" w:footer="992" w:gutter="0"/>
          <w:pgNumType w:start="1"/>
          <w:cols w:space="720" w:num="1"/>
          <w:docGrid w:type="lines" w:linePitch="312" w:charSpace="0"/>
        </w:sectPr>
      </w:pPr>
    </w:p>
    <w:p>
      <w:pPr>
        <w:widowControl/>
        <w:topLinePunct/>
        <w:spacing w:before="470"/>
        <w:jc w:val="center"/>
        <w:rPr>
          <w:rFonts w:ascii="宋体" w:hAnsi="宋体" w:cs="宋体"/>
          <w:b/>
          <w:color w:val="auto"/>
          <w:sz w:val="44"/>
          <w:szCs w:val="44"/>
          <w:highlight w:val="none"/>
        </w:rPr>
      </w:pPr>
      <w:r>
        <w:rPr>
          <w:rFonts w:hint="eastAsia" w:ascii="宋体" w:hAnsi="宋体" w:cs="宋体"/>
          <w:b/>
          <w:color w:val="auto"/>
          <w:sz w:val="44"/>
          <w:szCs w:val="44"/>
          <w:highlight w:val="none"/>
        </w:rPr>
        <w:t>第一部分.磋商须知前附表</w:t>
      </w:r>
    </w:p>
    <w:tbl>
      <w:tblPr>
        <w:tblStyle w:val="1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7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96"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896" w:type="dxa"/>
            <w:vAlign w:val="center"/>
          </w:tcPr>
          <w:p>
            <w:pPr>
              <w:spacing w:line="44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项目名称：</w:t>
            </w:r>
            <w:r>
              <w:rPr>
                <w:rFonts w:hint="eastAsia" w:ascii="宋体" w:hAnsi="宋体" w:cs="宋体"/>
                <w:color w:val="auto"/>
                <w:kern w:val="0"/>
                <w:sz w:val="24"/>
                <w:highlight w:val="none"/>
                <w:lang w:eastAsia="zh-CN"/>
              </w:rPr>
              <w:t>2022年度清名桥街道老旧小区改造工程市政、绿化景观</w:t>
            </w:r>
          </w:p>
          <w:p>
            <w:pPr>
              <w:widowControl/>
              <w:spacing w:line="44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WXCJCG2022141</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widowControl/>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896" w:type="dxa"/>
            <w:vAlign w:val="center"/>
          </w:tcPr>
          <w:p>
            <w:pPr>
              <w:widowControl/>
              <w:spacing w:line="440" w:lineRule="exact"/>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eastAsia="zh-CN"/>
              </w:rPr>
              <w:t>无锡市梁溪区清名桥街道办事处</w:t>
            </w:r>
          </w:p>
          <w:p>
            <w:pPr>
              <w:widowControl/>
              <w:spacing w:line="440" w:lineRule="exact"/>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采购人地址：</w:t>
            </w:r>
            <w:r>
              <w:rPr>
                <w:rFonts w:hint="eastAsia" w:ascii="宋体" w:hAnsi="宋体" w:cs="宋体"/>
                <w:color w:val="auto"/>
                <w:kern w:val="0"/>
                <w:sz w:val="24"/>
                <w:highlight w:val="none"/>
                <w:lang w:eastAsia="zh-CN"/>
              </w:rPr>
              <w:t xml:space="preserve"> 无锡市清扬路189号</w:t>
            </w:r>
          </w:p>
          <w:p>
            <w:pPr>
              <w:widowControl/>
              <w:spacing w:line="440" w:lineRule="exact"/>
              <w:jc w:val="left"/>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采购代理机构：</w:t>
            </w:r>
            <w:r>
              <w:rPr>
                <w:rFonts w:hint="eastAsia" w:ascii="宋体" w:hAnsi="宋体" w:cs="宋体"/>
                <w:color w:val="auto"/>
                <w:kern w:val="0"/>
                <w:sz w:val="24"/>
                <w:highlight w:val="none"/>
                <w:lang w:eastAsia="zh-CN"/>
              </w:rPr>
              <w:t>江苏成建项目管理有限公司</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采购机构地址：</w:t>
            </w:r>
            <w:r>
              <w:rPr>
                <w:rFonts w:hint="eastAsia" w:ascii="宋体" w:hAnsi="宋体" w:cs="宋体"/>
                <w:color w:val="auto"/>
                <w:kern w:val="0"/>
                <w:sz w:val="24"/>
                <w:highlight w:val="none"/>
                <w:lang w:eastAsia="zh-CN"/>
              </w:rPr>
              <w:t>无锡市人民东路311号崇文大厦19楼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7896" w:type="dxa"/>
            <w:vAlign w:val="center"/>
          </w:tcPr>
          <w:p>
            <w:pPr>
              <w:spacing w:line="440" w:lineRule="exact"/>
              <w:rPr>
                <w:rFonts w:ascii="宋体" w:hAnsi="宋体" w:cs="宋体"/>
                <w:color w:val="auto"/>
                <w:sz w:val="24"/>
                <w:highlight w:val="none"/>
              </w:rPr>
            </w:pPr>
            <w:r>
              <w:rPr>
                <w:rFonts w:hint="eastAsia" w:ascii="宋体" w:hAnsi="宋体" w:cs="宋体"/>
                <w:color w:val="auto"/>
                <w:sz w:val="24"/>
                <w:highlight w:val="none"/>
              </w:rPr>
              <w:t>项目基本概况：</w:t>
            </w:r>
            <w:r>
              <w:rPr>
                <w:rFonts w:hint="eastAsia" w:ascii="宋体" w:hAnsi="宋体" w:cs="宋体"/>
                <w:color w:val="auto"/>
                <w:sz w:val="24"/>
                <w:highlight w:val="none"/>
                <w:lang w:eastAsia="zh-CN"/>
              </w:rPr>
              <w:t>2022年度清名桥街道老旧小区改造工程市政、绿化景观</w:t>
            </w:r>
            <w:r>
              <w:rPr>
                <w:rFonts w:hint="eastAsia" w:ascii="宋体" w:hAnsi="宋体" w:cs="宋体"/>
                <w:color w:val="auto"/>
                <w:sz w:val="24"/>
                <w:highlight w:val="none"/>
              </w:rPr>
              <w:t>所涉标段如下：</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一标段：槐古二村（除1-17#），改造面积约15.04万平方米；</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二标段：槐古一村、槐古路、槐古桥、顺兴弄、风光里二期、大竹园新村，改造面积约10.25万平方米；</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三标段：耕读桥30-32、耕渎桥街（21-29）、水仙里、永胜新村30号-94号，改造面积约12.67万平方米；</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四标段：柴机新村（除53-65#），改造面积约14.3万平方米；</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五标段：永泰二村（1-12号），永泰二村（13-25号，27-36号）、清名二村、清扬一社区（塘泾路以北），改造面积约16.755万平方米；</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六标段：塘泾新村、清扬二社区（塘泾路以南），改造面积约14.135万平方米。</w:t>
            </w:r>
          </w:p>
          <w:p>
            <w:pPr>
              <w:spacing w:line="440" w:lineRule="exact"/>
              <w:ind w:left="480" w:hanging="480" w:hanging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color w:val="0000FF"/>
                <w:sz w:val="24"/>
                <w:szCs w:val="24"/>
                <w:highlight w:val="none"/>
                <w:lang w:val="en-US" w:eastAsia="zh-CN"/>
              </w:rPr>
              <w:t>最高限价</w:t>
            </w:r>
            <w:r>
              <w:rPr>
                <w:rFonts w:hint="eastAsia" w:ascii="宋体" w:hAnsi="宋体" w:eastAsia="宋体" w:cs="宋体"/>
                <w:b w:val="0"/>
                <w:bCs w:val="0"/>
                <w:color w:val="0000FF"/>
                <w:sz w:val="24"/>
                <w:szCs w:val="24"/>
                <w:highlight w:val="none"/>
              </w:rPr>
              <w:t>：一标段：</w:t>
            </w:r>
            <w:r>
              <w:rPr>
                <w:rFonts w:hint="eastAsia" w:ascii="宋体" w:hAnsi="宋体" w:eastAsia="宋体" w:cs="宋体"/>
                <w:b w:val="0"/>
                <w:bCs w:val="0"/>
                <w:color w:val="0000FF"/>
                <w:sz w:val="24"/>
                <w:szCs w:val="24"/>
                <w:highlight w:val="none"/>
                <w:lang w:val="en-US" w:eastAsia="zh-CN"/>
              </w:rPr>
              <w:t>7439940.58</w:t>
            </w:r>
            <w:r>
              <w:rPr>
                <w:rFonts w:hint="eastAsia" w:ascii="宋体" w:hAnsi="宋体" w:eastAsia="宋体" w:cs="宋体"/>
                <w:b w:val="0"/>
                <w:bCs w:val="0"/>
                <w:color w:val="0000FF"/>
                <w:sz w:val="24"/>
                <w:szCs w:val="24"/>
                <w:highlight w:val="none"/>
              </w:rPr>
              <w:t>元；二标段</w:t>
            </w:r>
            <w:r>
              <w:rPr>
                <w:rFonts w:hint="eastAsia" w:ascii="宋体" w:hAnsi="宋体" w:cs="宋体"/>
                <w:b w:val="0"/>
                <w:bCs w:val="0"/>
                <w:color w:val="0000FF"/>
                <w:sz w:val="24"/>
                <w:szCs w:val="24"/>
                <w:highlight w:val="none"/>
                <w:lang w:eastAsia="zh-CN"/>
              </w:rPr>
              <w:t>：</w:t>
            </w:r>
            <w:r>
              <w:rPr>
                <w:rFonts w:hint="eastAsia" w:ascii="宋体" w:hAnsi="宋体" w:eastAsia="宋体" w:cs="宋体"/>
                <w:b w:val="0"/>
                <w:bCs w:val="0"/>
                <w:color w:val="0000FF"/>
                <w:sz w:val="24"/>
                <w:szCs w:val="24"/>
                <w:highlight w:val="none"/>
                <w:lang w:val="en-US" w:eastAsia="zh-CN"/>
              </w:rPr>
              <w:t>10964124.72</w:t>
            </w:r>
            <w:r>
              <w:rPr>
                <w:rFonts w:hint="eastAsia" w:ascii="宋体" w:hAnsi="宋体" w:eastAsia="宋体" w:cs="宋体"/>
                <w:b w:val="0"/>
                <w:bCs w:val="0"/>
                <w:color w:val="0000FF"/>
                <w:sz w:val="24"/>
                <w:szCs w:val="24"/>
                <w:highlight w:val="none"/>
              </w:rPr>
              <w:t>元；三标段：</w:t>
            </w:r>
            <w:r>
              <w:rPr>
                <w:rFonts w:hint="eastAsia" w:ascii="宋体" w:hAnsi="宋体" w:eastAsia="宋体" w:cs="宋体"/>
                <w:b w:val="0"/>
                <w:bCs w:val="0"/>
                <w:color w:val="0000FF"/>
                <w:sz w:val="24"/>
                <w:szCs w:val="24"/>
                <w:highlight w:val="none"/>
                <w:lang w:val="en-US" w:eastAsia="zh-CN"/>
              </w:rPr>
              <w:t xml:space="preserve">   14104027.04</w:t>
            </w:r>
            <w:r>
              <w:rPr>
                <w:rFonts w:hint="eastAsia" w:ascii="宋体" w:hAnsi="宋体" w:eastAsia="宋体" w:cs="宋体"/>
                <w:b w:val="0"/>
                <w:bCs w:val="0"/>
                <w:color w:val="0000FF"/>
                <w:sz w:val="24"/>
                <w:szCs w:val="24"/>
                <w:highlight w:val="none"/>
              </w:rPr>
              <w:t>元；四标段：</w:t>
            </w:r>
            <w:r>
              <w:rPr>
                <w:rFonts w:hint="eastAsia" w:ascii="宋体" w:hAnsi="宋体" w:eastAsia="宋体" w:cs="宋体"/>
                <w:b w:val="0"/>
                <w:bCs w:val="0"/>
                <w:color w:val="0000FF"/>
                <w:sz w:val="24"/>
                <w:szCs w:val="24"/>
                <w:highlight w:val="none"/>
                <w:lang w:val="en-US" w:eastAsia="zh-CN"/>
              </w:rPr>
              <w:t>8630772.98</w:t>
            </w:r>
            <w:r>
              <w:rPr>
                <w:rFonts w:hint="eastAsia" w:ascii="宋体" w:hAnsi="宋体" w:eastAsia="宋体" w:cs="宋体"/>
                <w:b w:val="0"/>
                <w:bCs w:val="0"/>
                <w:color w:val="0000FF"/>
                <w:sz w:val="24"/>
                <w:szCs w:val="24"/>
                <w:highlight w:val="none"/>
              </w:rPr>
              <w:t>元；五标段：</w:t>
            </w:r>
            <w:r>
              <w:rPr>
                <w:rFonts w:hint="eastAsia" w:ascii="宋体" w:hAnsi="宋体" w:eastAsia="宋体" w:cs="宋体"/>
                <w:b w:val="0"/>
                <w:bCs w:val="0"/>
                <w:color w:val="0000FF"/>
                <w:sz w:val="24"/>
                <w:szCs w:val="24"/>
                <w:highlight w:val="none"/>
                <w:lang w:val="en-US" w:eastAsia="zh-CN"/>
              </w:rPr>
              <w:t xml:space="preserve"> 27827331.51</w:t>
            </w:r>
            <w:r>
              <w:rPr>
                <w:rFonts w:hint="eastAsia" w:ascii="宋体" w:hAnsi="宋体" w:eastAsia="宋体" w:cs="宋体"/>
                <w:b w:val="0"/>
                <w:bCs w:val="0"/>
                <w:color w:val="0000FF"/>
                <w:sz w:val="24"/>
                <w:szCs w:val="24"/>
                <w:highlight w:val="none"/>
              </w:rPr>
              <w:t>元；六标段：24130219.25元</w:t>
            </w:r>
            <w:r>
              <w:rPr>
                <w:rFonts w:hint="eastAsia" w:ascii="宋体" w:hAnsi="宋体" w:eastAsia="宋体" w:cs="宋体"/>
                <w:b w:val="0"/>
                <w:bCs w:val="0"/>
                <w:color w:val="0000FF"/>
                <w:sz w:val="24"/>
                <w:szCs w:val="24"/>
                <w:highlight w:val="none"/>
                <w:lang w:eastAsia="zh-CN"/>
              </w:rPr>
              <w:t>。</w:t>
            </w:r>
          </w:p>
          <w:p>
            <w:pPr>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工期：</w:t>
            </w:r>
            <w:r>
              <w:rPr>
                <w:rFonts w:hint="eastAsia" w:ascii="宋体" w:hAnsi="宋体" w:cs="宋体"/>
                <w:color w:val="0000FF"/>
                <w:sz w:val="24"/>
                <w:highlight w:val="none"/>
                <w:lang w:eastAsia="zh-CN"/>
              </w:rPr>
              <w:t>100日历天</w:t>
            </w:r>
          </w:p>
          <w:p>
            <w:pPr>
              <w:spacing w:line="440" w:lineRule="exact"/>
              <w:rPr>
                <w:rFonts w:ascii="宋体" w:hAnsi="宋体" w:cs="宋体"/>
                <w:color w:val="auto"/>
                <w:sz w:val="24"/>
                <w:highlight w:val="none"/>
              </w:rPr>
            </w:pPr>
            <w:r>
              <w:rPr>
                <w:rFonts w:hint="eastAsia" w:ascii="宋体" w:hAnsi="宋体" w:cs="宋体"/>
                <w:color w:val="auto"/>
                <w:sz w:val="24"/>
                <w:highlight w:val="none"/>
              </w:rPr>
              <w:t>误期违约金：5000元/天；</w:t>
            </w:r>
          </w:p>
          <w:p>
            <w:pPr>
              <w:spacing w:line="440" w:lineRule="exact"/>
              <w:rPr>
                <w:rFonts w:ascii="宋体" w:hAnsi="宋体" w:cs="宋体"/>
                <w:color w:val="auto"/>
                <w:sz w:val="24"/>
                <w:highlight w:val="none"/>
              </w:rPr>
            </w:pPr>
            <w:r>
              <w:rPr>
                <w:rFonts w:hint="eastAsia" w:ascii="宋体" w:hAnsi="宋体" w:cs="宋体"/>
                <w:color w:val="auto"/>
                <w:sz w:val="24"/>
                <w:highlight w:val="none"/>
              </w:rPr>
              <w:t>本工程质量标准：一次性验收通过，100%合格；</w:t>
            </w:r>
          </w:p>
          <w:p>
            <w:pPr>
              <w:spacing w:line="440" w:lineRule="exact"/>
              <w:rPr>
                <w:rFonts w:ascii="宋体" w:hAnsi="宋体" w:cs="宋体"/>
                <w:color w:val="auto"/>
                <w:sz w:val="24"/>
                <w:highlight w:val="none"/>
              </w:rPr>
            </w:pPr>
            <w:r>
              <w:rPr>
                <w:rFonts w:hint="eastAsia" w:ascii="宋体" w:hAnsi="宋体" w:cs="宋体"/>
                <w:color w:val="auto"/>
                <w:sz w:val="24"/>
                <w:highlight w:val="none"/>
              </w:rPr>
              <w:t>质量违约金：合同价款的3%；</w:t>
            </w:r>
          </w:p>
          <w:p>
            <w:pPr>
              <w:spacing w:line="440" w:lineRule="exact"/>
              <w:rPr>
                <w:rFonts w:ascii="宋体" w:hAnsi="宋体" w:cs="宋体"/>
                <w:color w:val="auto"/>
                <w:sz w:val="24"/>
                <w:highlight w:val="none"/>
              </w:rPr>
            </w:pPr>
            <w:r>
              <w:rPr>
                <w:rFonts w:hint="eastAsia" w:ascii="宋体" w:hAnsi="宋体" w:cs="宋体"/>
                <w:color w:val="auto"/>
                <w:sz w:val="24"/>
                <w:highlight w:val="none"/>
              </w:rPr>
              <w:t>根据《中小企业划型标准规定》工信部联企业[2011]300号，本项目所属行业为：建筑业。</w:t>
            </w:r>
          </w:p>
          <w:p>
            <w:pPr>
              <w:spacing w:line="440" w:lineRule="exact"/>
              <w:rPr>
                <w:rFonts w:hint="eastAsia" w:ascii="宋体" w:hAnsi="宋体" w:cs="宋体"/>
                <w:color w:val="auto"/>
                <w:sz w:val="24"/>
                <w:highlight w:val="none"/>
              </w:rPr>
            </w:pPr>
            <w:r>
              <w:rPr>
                <w:rFonts w:hint="eastAsia" w:ascii="宋体" w:hAnsi="宋体" w:cs="宋体"/>
                <w:color w:val="auto"/>
                <w:sz w:val="24"/>
                <w:highlight w:val="none"/>
              </w:rPr>
              <w:t>根据《中小企业划型标准规定》工信部联企业[2011]300号，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本采购文件涉及标段为一~六标段，其名称及编号如下：</w:t>
            </w:r>
          </w:p>
          <w:p>
            <w:pPr>
              <w:widowControl w:val="0"/>
              <w:numPr>
                <w:ilvl w:val="0"/>
                <w:numId w:val="0"/>
              </w:numPr>
              <w:autoSpaceDE w:val="0"/>
              <w:autoSpaceDN w:val="0"/>
              <w:adjustRightInd w:val="0"/>
              <w:spacing w:line="360" w:lineRule="auto"/>
              <w:jc w:val="left"/>
              <w:rPr>
                <w:rFonts w:hint="eastAsia" w:ascii="宋体" w:hAnsi="宋体" w:eastAsia="宋体" w:cs="宋体"/>
                <w:b/>
                <w:bCs/>
                <w:color w:val="0000FF"/>
                <w:kern w:val="2"/>
                <w:sz w:val="24"/>
                <w:szCs w:val="24"/>
                <w:highlight w:val="none"/>
                <w:lang w:val="en-US" w:eastAsia="zh-CN" w:bidi="ar-SA"/>
              </w:rPr>
            </w:pPr>
            <w:r>
              <w:rPr>
                <w:rFonts w:hint="eastAsia" w:ascii="宋体" w:hAnsi="宋体" w:eastAsia="宋体" w:cs="宋体"/>
                <w:b/>
                <w:bCs/>
                <w:color w:val="0000FF"/>
                <w:kern w:val="2"/>
                <w:sz w:val="24"/>
                <w:szCs w:val="24"/>
                <w:highlight w:val="none"/>
                <w:lang w:val="en-US" w:eastAsia="zh-CN" w:bidi="ar-SA"/>
              </w:rPr>
              <w:t>2022年度清名桥街道老旧小区改造工程市政、绿化景观（一标段）：WXCJCG2022141-1</w:t>
            </w:r>
          </w:p>
          <w:p>
            <w:pPr>
              <w:widowControl w:val="0"/>
              <w:numPr>
                <w:ilvl w:val="0"/>
                <w:numId w:val="0"/>
              </w:numPr>
              <w:autoSpaceDE w:val="0"/>
              <w:autoSpaceDN w:val="0"/>
              <w:adjustRightInd w:val="0"/>
              <w:spacing w:line="360" w:lineRule="auto"/>
              <w:jc w:val="left"/>
              <w:rPr>
                <w:rFonts w:hint="eastAsia" w:ascii="宋体" w:hAnsi="宋体" w:eastAsia="宋体" w:cs="宋体"/>
                <w:b/>
                <w:bCs/>
                <w:color w:val="0000FF"/>
                <w:kern w:val="2"/>
                <w:sz w:val="24"/>
                <w:szCs w:val="24"/>
                <w:highlight w:val="none"/>
                <w:lang w:val="en-US" w:eastAsia="zh-CN" w:bidi="ar-SA"/>
              </w:rPr>
            </w:pPr>
            <w:r>
              <w:rPr>
                <w:rFonts w:hint="eastAsia" w:ascii="宋体" w:hAnsi="宋体" w:eastAsia="宋体" w:cs="宋体"/>
                <w:b/>
                <w:bCs/>
                <w:color w:val="0000FF"/>
                <w:kern w:val="2"/>
                <w:sz w:val="24"/>
                <w:szCs w:val="24"/>
                <w:highlight w:val="none"/>
                <w:lang w:val="en-US" w:eastAsia="zh-CN" w:bidi="ar-SA"/>
              </w:rPr>
              <w:t>2022年度清名桥街道老旧小区改造工程市政、绿化景观（二标段）：WXCJCG2022141-2</w:t>
            </w:r>
          </w:p>
          <w:p>
            <w:pPr>
              <w:numPr>
                <w:ilvl w:val="0"/>
                <w:numId w:val="0"/>
              </w:numPr>
              <w:rPr>
                <w:rFonts w:hint="eastAsia" w:ascii="宋体" w:hAnsi="宋体" w:eastAsia="宋体" w:cs="宋体"/>
                <w:b/>
                <w:bCs/>
                <w:color w:val="0000FF"/>
                <w:kern w:val="2"/>
                <w:sz w:val="24"/>
                <w:szCs w:val="24"/>
                <w:highlight w:val="none"/>
                <w:lang w:val="en-US" w:eastAsia="zh-CN" w:bidi="ar-SA"/>
              </w:rPr>
            </w:pPr>
            <w:r>
              <w:rPr>
                <w:rFonts w:hint="eastAsia" w:ascii="宋体" w:hAnsi="宋体" w:eastAsia="宋体" w:cs="宋体"/>
                <w:b/>
                <w:bCs/>
                <w:color w:val="0000FF"/>
                <w:kern w:val="2"/>
                <w:sz w:val="24"/>
                <w:szCs w:val="24"/>
                <w:highlight w:val="none"/>
                <w:lang w:val="en-US" w:eastAsia="zh-CN" w:bidi="ar-SA"/>
              </w:rPr>
              <w:t>2022年度清名桥街道老旧小区改造工程市政、绿化景观（三标段）：WXCJCG2022141-3</w:t>
            </w:r>
          </w:p>
          <w:p>
            <w:pPr>
              <w:widowControl w:val="0"/>
              <w:numPr>
                <w:ilvl w:val="0"/>
                <w:numId w:val="0"/>
              </w:numPr>
              <w:autoSpaceDE w:val="0"/>
              <w:autoSpaceDN w:val="0"/>
              <w:adjustRightInd w:val="0"/>
              <w:spacing w:line="360" w:lineRule="auto"/>
              <w:jc w:val="left"/>
              <w:rPr>
                <w:rFonts w:hint="eastAsia" w:ascii="宋体" w:hAnsi="宋体" w:eastAsia="宋体" w:cs="宋体"/>
                <w:b/>
                <w:bCs/>
                <w:color w:val="0000FF"/>
                <w:kern w:val="2"/>
                <w:sz w:val="24"/>
                <w:szCs w:val="24"/>
                <w:highlight w:val="none"/>
                <w:lang w:val="en-US" w:eastAsia="zh-CN" w:bidi="ar-SA"/>
              </w:rPr>
            </w:pPr>
            <w:r>
              <w:rPr>
                <w:rFonts w:hint="eastAsia" w:ascii="宋体" w:hAnsi="宋体" w:eastAsia="宋体" w:cs="宋体"/>
                <w:b/>
                <w:bCs/>
                <w:color w:val="0000FF"/>
                <w:kern w:val="2"/>
                <w:sz w:val="24"/>
                <w:szCs w:val="24"/>
                <w:highlight w:val="none"/>
                <w:lang w:val="en-US" w:eastAsia="zh-CN" w:bidi="ar-SA"/>
              </w:rPr>
              <w:t>2022年度清名桥街道老旧小区改造工程市政、绿化景观（四标段）：WXCJCG2022141-4</w:t>
            </w:r>
          </w:p>
          <w:p>
            <w:pPr>
              <w:widowControl w:val="0"/>
              <w:numPr>
                <w:ilvl w:val="0"/>
                <w:numId w:val="0"/>
              </w:numPr>
              <w:autoSpaceDE w:val="0"/>
              <w:autoSpaceDN w:val="0"/>
              <w:adjustRightInd w:val="0"/>
              <w:spacing w:line="360" w:lineRule="auto"/>
              <w:jc w:val="left"/>
              <w:rPr>
                <w:rFonts w:hint="eastAsia" w:ascii="宋体" w:hAnsi="宋体" w:eastAsia="宋体" w:cs="宋体"/>
                <w:b/>
                <w:bCs/>
                <w:color w:val="0000FF"/>
                <w:kern w:val="2"/>
                <w:sz w:val="24"/>
                <w:szCs w:val="24"/>
                <w:highlight w:val="none"/>
                <w:lang w:val="en-US" w:eastAsia="zh-CN" w:bidi="ar-SA"/>
              </w:rPr>
            </w:pPr>
            <w:r>
              <w:rPr>
                <w:rFonts w:hint="eastAsia" w:ascii="宋体" w:hAnsi="宋体" w:eastAsia="宋体" w:cs="宋体"/>
                <w:b/>
                <w:bCs/>
                <w:color w:val="0000FF"/>
                <w:kern w:val="2"/>
                <w:sz w:val="24"/>
                <w:szCs w:val="24"/>
                <w:highlight w:val="none"/>
                <w:lang w:val="en-US" w:eastAsia="zh-CN" w:bidi="ar-SA"/>
              </w:rPr>
              <w:t>2022年度清名桥街道老旧小区改造工程市政、绿化景观（五标段）：WXCJCG2022141-5</w:t>
            </w:r>
          </w:p>
          <w:p>
            <w:pPr>
              <w:pStyle w:val="2"/>
              <w:jc w:val="both"/>
              <w:rPr>
                <w:b/>
                <w:bCs/>
                <w:color w:val="0000FF"/>
              </w:rPr>
            </w:pPr>
            <w:r>
              <w:rPr>
                <w:rFonts w:hint="eastAsia" w:ascii="宋体" w:hAnsi="宋体" w:eastAsia="宋体" w:cs="宋体"/>
                <w:b/>
                <w:bCs/>
                <w:color w:val="0000FF"/>
                <w:kern w:val="2"/>
                <w:sz w:val="24"/>
                <w:szCs w:val="24"/>
                <w:highlight w:val="none"/>
                <w:lang w:val="en-US" w:eastAsia="zh-CN" w:bidi="ar-SA"/>
              </w:rPr>
              <w:t>2022年度清名桥街道老旧小区改造工程市政、绿化景观（六标段）：WXCJCG2022141-6</w:t>
            </w:r>
          </w:p>
          <w:p>
            <w:pPr>
              <w:spacing w:line="440" w:lineRule="exact"/>
              <w:rPr>
                <w:rFonts w:ascii="宋体" w:hAnsi="宋体" w:cs="宋体"/>
                <w:color w:val="auto"/>
                <w:sz w:val="24"/>
                <w:highlight w:val="none"/>
              </w:rPr>
            </w:pPr>
            <w:r>
              <w:rPr>
                <w:rFonts w:hint="eastAsia" w:ascii="宋体" w:hAnsi="宋体" w:cs="宋体"/>
                <w:color w:val="auto"/>
                <w:sz w:val="24"/>
                <w:highlight w:val="none"/>
              </w:rPr>
              <w:t>本项目是否专门面向中小企业：是。</w:t>
            </w:r>
          </w:p>
          <w:p>
            <w:pPr>
              <w:spacing w:line="440" w:lineRule="exact"/>
              <w:rPr>
                <w:rFonts w:ascii="宋体" w:hAnsi="宋体" w:cs="宋体"/>
                <w:color w:val="auto"/>
                <w:sz w:val="24"/>
                <w:highlight w:val="none"/>
              </w:rPr>
            </w:pPr>
            <w:r>
              <w:rPr>
                <w:rFonts w:hint="eastAsia" w:ascii="宋体" w:hAnsi="宋体" w:cs="宋体"/>
                <w:color w:val="auto"/>
                <w:sz w:val="24"/>
                <w:highlight w:val="none"/>
              </w:rPr>
              <w:t>注：（1）</w:t>
            </w:r>
            <w:r>
              <w:rPr>
                <w:rFonts w:hint="eastAsia" w:ascii="宋体" w:hAnsi="宋体" w:cs="宋体"/>
                <w:color w:val="auto"/>
                <w:sz w:val="24"/>
                <w:highlight w:val="none"/>
                <w:lang w:eastAsia="zh-CN"/>
              </w:rPr>
              <w:t>2022年度清名桥街道老旧小区改造工程市政、绿化景观</w:t>
            </w:r>
            <w:r>
              <w:rPr>
                <w:rFonts w:hint="eastAsia" w:ascii="宋体" w:hAnsi="宋体" w:cs="宋体"/>
                <w:color w:val="auto"/>
                <w:sz w:val="24"/>
                <w:highlight w:val="none"/>
              </w:rPr>
              <w:t>共</w:t>
            </w:r>
            <w:r>
              <w:rPr>
                <w:rFonts w:hint="eastAsia" w:ascii="宋体" w:hAnsi="宋体" w:cs="宋体"/>
                <w:color w:val="auto"/>
                <w:sz w:val="24"/>
                <w:highlight w:val="none"/>
                <w:lang w:eastAsia="zh-CN"/>
              </w:rPr>
              <w:t>6个标段</w:t>
            </w:r>
            <w:r>
              <w:rPr>
                <w:rFonts w:hint="eastAsia" w:ascii="宋体" w:hAnsi="宋体" w:cs="宋体"/>
                <w:color w:val="auto"/>
                <w:sz w:val="24"/>
                <w:highlight w:val="none"/>
              </w:rPr>
              <w:t>，供应商对</w:t>
            </w:r>
            <w:r>
              <w:rPr>
                <w:rFonts w:hint="eastAsia" w:ascii="宋体" w:hAnsi="宋体" w:cs="宋体"/>
                <w:color w:val="auto"/>
                <w:sz w:val="24"/>
                <w:highlight w:val="none"/>
                <w:lang w:eastAsia="zh-CN"/>
              </w:rPr>
              <w:t>6个标段</w:t>
            </w:r>
            <w:r>
              <w:rPr>
                <w:rFonts w:hint="eastAsia" w:ascii="宋体" w:hAnsi="宋体" w:cs="宋体"/>
                <w:color w:val="auto"/>
                <w:sz w:val="24"/>
                <w:highlight w:val="none"/>
              </w:rPr>
              <w:t>均可报价，但最多只能中1个标段，由经评审排名第一的为成交供应商。多个标段经评审排名均第一的情况下，按供应商在响应文件中承诺的成交优先顺序确定成交标段。如某标段排名第一的供应商已经成交了其他标段，则该标段由排名第二的供应商成交，依次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7896" w:type="dxa"/>
            <w:vAlign w:val="center"/>
          </w:tcPr>
          <w:p>
            <w:pPr>
              <w:tabs>
                <w:tab w:val="left" w:pos="0"/>
              </w:tabs>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供应商参加本次政府采购活动除应当符合《中华人民共和国政府采购法》第二十二条的规定外，还须具备以下条件：</w:t>
            </w:r>
          </w:p>
          <w:p>
            <w:pPr>
              <w:tabs>
                <w:tab w:val="left" w:pos="0"/>
              </w:tabs>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（1）报价供应商应为中华人民共和国境内注册；</w:t>
            </w:r>
          </w:p>
          <w:p>
            <w:pPr>
              <w:tabs>
                <w:tab w:val="left" w:pos="0"/>
              </w:tabs>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（2）报价供应商必须具有</w:t>
            </w:r>
            <w:r>
              <w:rPr>
                <w:rFonts w:hint="eastAsia" w:ascii="宋体" w:hAnsi="宋体" w:cs="宋体"/>
                <w:color w:val="0000FF"/>
                <w:kern w:val="0"/>
                <w:sz w:val="24"/>
                <w:highlight w:val="none"/>
                <w:lang w:val="zh-CN"/>
              </w:rPr>
              <w:t>【市政公用工程施工总承包叁级】（含）以上资质和安全生产许可证（有效期内）</w:t>
            </w:r>
            <w:r>
              <w:rPr>
                <w:rFonts w:hint="eastAsia" w:ascii="宋体" w:hAnsi="宋体" w:cs="宋体"/>
                <w:color w:val="auto"/>
                <w:kern w:val="0"/>
                <w:sz w:val="24"/>
                <w:highlight w:val="none"/>
                <w:lang w:val="zh-CN"/>
              </w:rPr>
              <w:t>；</w:t>
            </w:r>
          </w:p>
          <w:p>
            <w:pPr>
              <w:tabs>
                <w:tab w:val="left" w:pos="0"/>
              </w:tabs>
              <w:snapToGrid w:val="0"/>
              <w:spacing w:line="360" w:lineRule="auto"/>
              <w:rPr>
                <w:rFonts w:ascii="宋体" w:hAnsi="宋体" w:cs="宋体"/>
                <w:color w:val="0000FF"/>
                <w:kern w:val="0"/>
                <w:sz w:val="24"/>
                <w:highlight w:val="none"/>
                <w:lang w:val="zh-CN"/>
              </w:rPr>
            </w:pPr>
            <w:r>
              <w:rPr>
                <w:rFonts w:hint="eastAsia" w:ascii="宋体" w:hAnsi="宋体" w:cs="宋体"/>
                <w:color w:val="auto"/>
                <w:kern w:val="0"/>
                <w:sz w:val="24"/>
                <w:highlight w:val="none"/>
                <w:lang w:val="zh-CN"/>
              </w:rPr>
              <w:t>（3）报价供应商需配备项目负责人一名，</w:t>
            </w:r>
            <w:r>
              <w:rPr>
                <w:rFonts w:hint="eastAsia" w:ascii="宋体" w:hAnsi="宋体" w:cs="宋体"/>
                <w:color w:val="0000FF"/>
                <w:kern w:val="0"/>
                <w:sz w:val="24"/>
                <w:highlight w:val="none"/>
                <w:lang w:val="zh-CN"/>
              </w:rPr>
              <w:t>项目负责人必须具备二级及以上注册建造师资质（市政公用工程专业）和有效的《建筑施工企业项目负责人安全生产考核合格证书》（B证）；</w:t>
            </w:r>
          </w:p>
          <w:p>
            <w:pPr>
              <w:tabs>
                <w:tab w:val="left" w:pos="0"/>
              </w:tabs>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（4）被授权委托人、项目负责人应为报价供应商在职员工；</w:t>
            </w:r>
          </w:p>
          <w:p>
            <w:pPr>
              <w:tabs>
                <w:tab w:val="left" w:pos="0"/>
              </w:tabs>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5</w:t>
            </w:r>
            <w:r>
              <w:rPr>
                <w:rFonts w:hint="eastAsia" w:ascii="宋体" w:hAnsi="宋体" w:cs="宋体"/>
                <w:color w:val="auto"/>
                <w:kern w:val="0"/>
                <w:sz w:val="24"/>
                <w:highlight w:val="none"/>
                <w:lang w:val="zh-CN"/>
              </w:rPr>
              <w:t>）</w:t>
            </w:r>
            <w:r>
              <w:rPr>
                <w:rFonts w:hint="eastAsia" w:ascii="宋体" w:hAnsi="宋体" w:cs="宋体"/>
                <w:color w:val="0000FF"/>
                <w:kern w:val="0"/>
                <w:sz w:val="24"/>
                <w:highlight w:val="none"/>
                <w:lang w:val="zh-CN"/>
              </w:rPr>
              <w:t>项目负责人</w:t>
            </w:r>
            <w:r>
              <w:rPr>
                <w:rFonts w:hint="eastAsia" w:ascii="宋体" w:hAnsi="宋体" w:cs="宋体"/>
                <w:color w:val="0000FF"/>
                <w:kern w:val="0"/>
                <w:sz w:val="24"/>
                <w:highlight w:val="none"/>
              </w:rPr>
              <w:t>不得有在建</w:t>
            </w:r>
          </w:p>
          <w:p>
            <w:pPr>
              <w:tabs>
                <w:tab w:val="left" w:pos="0"/>
              </w:tabs>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（6）本项目不接受联合体磋商。</w:t>
            </w:r>
          </w:p>
          <w:p>
            <w:pPr>
              <w:tabs>
                <w:tab w:val="left" w:pos="0"/>
              </w:tabs>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olor w:val="auto"/>
                <w:sz w:val="24"/>
                <w:highlight w:val="none"/>
              </w:rPr>
              <w:t>落实政府采购政策需满足的资格要求：供应商应为中小微企业、监狱企业、残疾人福利性单位：报价供应商如为中小微企业的提供《中小企业声明函》；如为监狱和戒毒企业的，按照财政部《司法部关于政府采购支持监狱企业发展有关问题》（财库〔2014〕68号）的规定提供由省级以上监狱管理局、戒毒管理局（含新疆生产建设兵团）出具的属于监狱企业的证明文件复印件；如为残疾人福利性单位的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7896" w:type="dxa"/>
            <w:vAlign w:val="center"/>
          </w:tcPr>
          <w:p>
            <w:pPr>
              <w:widowControl/>
              <w:topLinePunct/>
              <w:spacing w:line="440" w:lineRule="exact"/>
              <w:rPr>
                <w:rFonts w:ascii="宋体" w:hAnsi="宋体" w:cs="宋体"/>
                <w:color w:val="auto"/>
                <w:sz w:val="24"/>
                <w:highlight w:val="none"/>
              </w:rPr>
            </w:pPr>
            <w:r>
              <w:rPr>
                <w:rFonts w:hint="eastAsia" w:ascii="宋体" w:hAnsi="宋体" w:cs="宋体"/>
                <w:color w:val="auto"/>
                <w:sz w:val="24"/>
                <w:highlight w:val="none"/>
              </w:rPr>
              <w:t>提供磋商文件时间：</w:t>
            </w:r>
            <w:r>
              <w:rPr>
                <w:rFonts w:hint="eastAsia" w:ascii="宋体" w:hAnsi="宋体" w:cs="宋体"/>
                <w:color w:val="auto"/>
                <w:kern w:val="0"/>
                <w:sz w:val="24"/>
                <w:highlight w:val="none"/>
              </w:rPr>
              <w:t>本项目竞争性磋商公告发布之日起五个工作日内（法定假日除外）</w:t>
            </w:r>
            <w:r>
              <w:rPr>
                <w:rFonts w:hint="eastAsia" w:ascii="宋体" w:hAnsi="宋体" w:cs="宋体"/>
                <w:color w:val="auto"/>
                <w:sz w:val="24"/>
                <w:highlight w:val="none"/>
                <w:lang w:val="zh-CN"/>
              </w:rPr>
              <w:t>，每天上午9:00-11:30，下午13:30-16：00。</w:t>
            </w:r>
            <w:r>
              <w:rPr>
                <w:rFonts w:hint="eastAsia" w:ascii="宋体" w:hAnsi="宋体" w:cs="宋体"/>
                <w:color w:val="auto"/>
                <w:sz w:val="24"/>
                <w:highlight w:val="none"/>
              </w:rPr>
              <w:t>售价：</w:t>
            </w:r>
            <w:r>
              <w:rPr>
                <w:rFonts w:hint="eastAsia" w:ascii="宋体" w:hAnsi="宋体" w:cs="宋体"/>
                <w:color w:val="auto"/>
                <w:sz w:val="24"/>
                <w:highlight w:val="none"/>
                <w:lang w:val="zh-CN"/>
              </w:rPr>
              <w:t>捌佰元</w:t>
            </w:r>
            <w:r>
              <w:rPr>
                <w:rFonts w:hint="eastAsia" w:ascii="宋体" w:hAnsi="宋体" w:cs="宋体"/>
                <w:color w:val="auto"/>
                <w:sz w:val="24"/>
                <w:highlight w:val="none"/>
              </w:rPr>
              <w:t>/标段，现金支付，磋商文件售后不退。</w:t>
            </w:r>
          </w:p>
          <w:p>
            <w:pPr>
              <w:widowControl/>
              <w:topLinePunct/>
              <w:spacing w:line="440" w:lineRule="exact"/>
              <w:rPr>
                <w:rFonts w:ascii="宋体" w:hAnsi="宋体" w:cs="宋体"/>
                <w:b/>
                <w:color w:val="auto"/>
                <w:sz w:val="24"/>
                <w:highlight w:val="none"/>
              </w:rPr>
            </w:pPr>
            <w:r>
              <w:rPr>
                <w:rFonts w:hint="eastAsia" w:ascii="宋体" w:hAnsi="宋体" w:cs="宋体"/>
                <w:color w:val="auto"/>
                <w:sz w:val="24"/>
                <w:highlight w:val="none"/>
              </w:rPr>
              <w:t>提供磋商文件地点：</w:t>
            </w:r>
            <w:r>
              <w:rPr>
                <w:rFonts w:hint="eastAsia" w:ascii="宋体" w:hAnsi="宋体" w:cs="宋体"/>
                <w:b/>
                <w:color w:val="auto"/>
                <w:sz w:val="24"/>
                <w:highlight w:val="none"/>
                <w:lang w:eastAsia="zh-CN"/>
              </w:rPr>
              <w:t>江苏成建项目管理有限公司（无锡市人民东路311号崇文大厦19楼1909室）</w:t>
            </w:r>
          </w:p>
          <w:p>
            <w:pPr>
              <w:widowControl/>
              <w:topLinePunct/>
              <w:spacing w:line="440" w:lineRule="exact"/>
              <w:rPr>
                <w:rFonts w:ascii="宋体" w:hAnsi="宋体" w:cs="宋体"/>
                <w:color w:val="auto"/>
                <w:sz w:val="24"/>
                <w:highlight w:val="none"/>
              </w:rPr>
            </w:pPr>
            <w:r>
              <w:rPr>
                <w:rFonts w:hint="eastAsia" w:ascii="宋体" w:hAnsi="宋体" w:cs="宋体"/>
                <w:color w:val="auto"/>
                <w:sz w:val="24"/>
                <w:highlight w:val="none"/>
              </w:rPr>
              <w:t>供应商应承担其编制响应文件以及递交响应文件所涉及的一切费用。无论结果如何，采购人对上述费用不负任何责任。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7896" w:type="dxa"/>
            <w:vAlign w:val="center"/>
          </w:tcPr>
          <w:p>
            <w:pPr>
              <w:widowControl/>
              <w:topLinePunct/>
              <w:spacing w:line="440" w:lineRule="exact"/>
              <w:jc w:val="left"/>
              <w:rPr>
                <w:rFonts w:ascii="宋体" w:hAnsi="宋体"/>
                <w:color w:val="auto"/>
                <w:sz w:val="24"/>
                <w:highlight w:val="none"/>
              </w:rPr>
            </w:pPr>
            <w:r>
              <w:rPr>
                <w:rFonts w:hint="eastAsia" w:ascii="宋体" w:hAnsi="宋体"/>
                <w:color w:val="auto"/>
                <w:sz w:val="24"/>
                <w:highlight w:val="none"/>
              </w:rPr>
              <w:t>提疑截止时间：</w:t>
            </w:r>
            <w:r>
              <w:rPr>
                <w:rFonts w:hint="eastAsia" w:ascii="宋体" w:hAnsi="宋体"/>
                <w:color w:val="0000FF"/>
                <w:sz w:val="24"/>
                <w:highlight w:val="none"/>
              </w:rPr>
              <w:t>2022年</w:t>
            </w:r>
            <w:r>
              <w:rPr>
                <w:rFonts w:hint="eastAsia" w:ascii="宋体" w:hAnsi="宋体"/>
                <w:color w:val="0000FF"/>
                <w:sz w:val="24"/>
                <w:highlight w:val="none"/>
                <w:lang w:val="en-US" w:eastAsia="zh-CN"/>
              </w:rPr>
              <w:t>8</w:t>
            </w:r>
            <w:r>
              <w:rPr>
                <w:rFonts w:hint="eastAsia" w:ascii="宋体" w:hAnsi="宋体"/>
                <w:color w:val="0000FF"/>
                <w:sz w:val="24"/>
                <w:highlight w:val="none"/>
              </w:rPr>
              <w:t>月</w:t>
            </w:r>
            <w:r>
              <w:rPr>
                <w:rFonts w:hint="eastAsia" w:ascii="宋体" w:hAnsi="宋体"/>
                <w:color w:val="0000FF"/>
                <w:sz w:val="24"/>
                <w:highlight w:val="none"/>
                <w:lang w:val="en-US" w:eastAsia="zh-CN"/>
              </w:rPr>
              <w:t>26</w:t>
            </w:r>
            <w:r>
              <w:rPr>
                <w:rFonts w:hint="eastAsia" w:ascii="宋体" w:hAnsi="宋体"/>
                <w:color w:val="0000FF"/>
                <w:sz w:val="24"/>
                <w:highlight w:val="none"/>
              </w:rPr>
              <w:t>日10时</w:t>
            </w:r>
            <w:r>
              <w:rPr>
                <w:rFonts w:hint="eastAsia" w:ascii="宋体" w:hAnsi="宋体"/>
                <w:color w:val="auto"/>
                <w:sz w:val="24"/>
                <w:highlight w:val="none"/>
              </w:rPr>
              <w:t>，以书面形式（含电子邮件）发送给采购代理机构。</w:t>
            </w:r>
          </w:p>
          <w:p>
            <w:pPr>
              <w:widowControl/>
              <w:topLinePunct/>
              <w:spacing w:line="440" w:lineRule="exact"/>
              <w:jc w:val="left"/>
              <w:rPr>
                <w:rFonts w:ascii="宋体" w:hAnsi="宋体" w:cs="宋体"/>
                <w:color w:val="auto"/>
                <w:sz w:val="24"/>
                <w:highlight w:val="none"/>
              </w:rPr>
            </w:pPr>
            <w:r>
              <w:rPr>
                <w:rFonts w:hint="eastAsia" w:ascii="宋体" w:hAnsi="宋体" w:cs="宋体"/>
                <w:color w:val="auto"/>
                <w:sz w:val="24"/>
                <w:highlight w:val="none"/>
              </w:rPr>
              <w:t>采购人对竞争性磋商文件澄清修改的时间：磋商截止前5天；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7896" w:type="dxa"/>
            <w:vAlign w:val="center"/>
          </w:tcPr>
          <w:p>
            <w:pPr>
              <w:widowControl/>
              <w:topLinePunct/>
              <w:spacing w:line="360" w:lineRule="auto"/>
              <w:rPr>
                <w:rFonts w:ascii="宋体" w:hAnsi="宋体" w:cs="宋体"/>
                <w:color w:val="auto"/>
                <w:sz w:val="24"/>
                <w:highlight w:val="none"/>
              </w:rPr>
            </w:pPr>
            <w:r>
              <w:rPr>
                <w:rFonts w:hint="eastAsia" w:ascii="宋体" w:hAnsi="宋体" w:cs="宋体"/>
                <w:color w:val="auto"/>
                <w:sz w:val="24"/>
                <w:highlight w:val="none"/>
              </w:rPr>
              <w:t>本项目不需缴纳磋商保证金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7896" w:type="dxa"/>
            <w:vAlign w:val="center"/>
          </w:tcPr>
          <w:p>
            <w:pPr>
              <w:widowControl/>
              <w:topLinePunct/>
              <w:spacing w:line="440" w:lineRule="exact"/>
              <w:jc w:val="left"/>
              <w:rPr>
                <w:rFonts w:ascii="宋体" w:hAnsi="宋体" w:cs="宋体"/>
                <w:color w:val="auto"/>
                <w:sz w:val="24"/>
                <w:highlight w:val="none"/>
              </w:rPr>
            </w:pPr>
            <w:r>
              <w:rPr>
                <w:rFonts w:hint="eastAsia" w:ascii="宋体" w:hAnsi="宋体" w:cs="宋体"/>
                <w:color w:val="auto"/>
                <w:sz w:val="24"/>
                <w:highlight w:val="none"/>
              </w:rPr>
              <w:t>磋商有效期：磋商截止时间起90天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7896" w:type="dxa"/>
            <w:vAlign w:val="center"/>
          </w:tcPr>
          <w:p>
            <w:pPr>
              <w:tabs>
                <w:tab w:val="left" w:pos="0"/>
              </w:tabs>
              <w:autoSpaceDE w:val="0"/>
              <w:autoSpaceDN w:val="0"/>
              <w:adjustRightInd w:val="0"/>
              <w:spacing w:line="440" w:lineRule="exact"/>
              <w:rPr>
                <w:rFonts w:ascii="宋体" w:hAnsi="宋体" w:cs="宋体"/>
                <w:color w:val="0000FF"/>
                <w:sz w:val="24"/>
                <w:highlight w:val="none"/>
              </w:rPr>
            </w:pPr>
            <w:r>
              <w:rPr>
                <w:rFonts w:hint="eastAsia" w:ascii="宋体" w:hAnsi="宋体" w:cs="宋体"/>
                <w:color w:val="auto"/>
                <w:sz w:val="24"/>
                <w:highlight w:val="none"/>
                <w:lang w:val="zh-CN"/>
              </w:rPr>
              <w:t>响应文件开始接收时间</w:t>
            </w:r>
            <w:r>
              <w:rPr>
                <w:rFonts w:hint="eastAsia" w:ascii="宋体" w:hAnsi="宋体" w:cs="宋体"/>
                <w:b/>
                <w:color w:val="auto"/>
                <w:sz w:val="24"/>
                <w:highlight w:val="none"/>
              </w:rPr>
              <w:t>：</w:t>
            </w:r>
            <w:r>
              <w:rPr>
                <w:rFonts w:hint="eastAsia" w:ascii="宋体" w:hAnsi="宋体" w:cs="宋体"/>
                <w:b/>
                <w:color w:val="0000FF"/>
                <w:sz w:val="24"/>
                <w:highlight w:val="none"/>
                <w:lang w:eastAsia="zh-CN"/>
              </w:rPr>
              <w:t>2022年 9月7日</w:t>
            </w:r>
            <w:r>
              <w:rPr>
                <w:rFonts w:hint="eastAsia" w:ascii="宋体" w:hAnsi="宋体" w:cs="宋体"/>
                <w:b/>
                <w:color w:val="0000FF"/>
                <w:sz w:val="24"/>
                <w:highlight w:val="none"/>
              </w:rPr>
              <w:t>8：30时始</w:t>
            </w:r>
          </w:p>
          <w:p>
            <w:pPr>
              <w:widowControl/>
              <w:topLinePunct/>
              <w:spacing w:line="440" w:lineRule="exact"/>
              <w:rPr>
                <w:rFonts w:ascii="宋体" w:hAnsi="宋体" w:cs="宋体"/>
                <w:b/>
                <w:color w:val="auto"/>
                <w:sz w:val="24"/>
                <w:highlight w:val="none"/>
              </w:rPr>
            </w:pPr>
            <w:r>
              <w:rPr>
                <w:rFonts w:hint="eastAsia" w:ascii="宋体" w:hAnsi="宋体" w:cs="宋体"/>
                <w:color w:val="auto"/>
                <w:sz w:val="24"/>
                <w:highlight w:val="none"/>
              </w:rPr>
              <w:t>响应文件接收截止时间</w:t>
            </w:r>
            <w:r>
              <w:rPr>
                <w:rFonts w:hint="eastAsia" w:ascii="宋体" w:hAnsi="宋体" w:cs="宋体"/>
                <w:b/>
                <w:color w:val="auto"/>
                <w:sz w:val="24"/>
                <w:highlight w:val="none"/>
              </w:rPr>
              <w:t>：</w:t>
            </w:r>
            <w:r>
              <w:rPr>
                <w:rFonts w:hint="eastAsia" w:ascii="宋体" w:hAnsi="宋体" w:cs="宋体"/>
                <w:b/>
                <w:color w:val="0000FF"/>
                <w:sz w:val="24"/>
                <w:highlight w:val="none"/>
                <w:lang w:eastAsia="zh-CN"/>
              </w:rPr>
              <w:t>2022年 9月7日</w:t>
            </w:r>
            <w:r>
              <w:rPr>
                <w:rFonts w:hint="eastAsia" w:ascii="宋体" w:hAnsi="宋体" w:cs="宋体"/>
                <w:b/>
                <w:color w:val="0000FF"/>
                <w:sz w:val="24"/>
                <w:highlight w:val="none"/>
              </w:rPr>
              <w:t>9：30截止，</w:t>
            </w:r>
            <w:r>
              <w:rPr>
                <w:rFonts w:hint="eastAsia" w:ascii="宋体" w:hAnsi="宋体" w:cs="宋体"/>
                <w:color w:val="auto"/>
                <w:sz w:val="24"/>
                <w:highlight w:val="none"/>
              </w:rPr>
              <w:t xml:space="preserve"> 截止期后的响应文件恕不接受。</w:t>
            </w:r>
          </w:p>
          <w:p>
            <w:pPr>
              <w:widowControl/>
              <w:topLinePunct/>
              <w:spacing w:line="440" w:lineRule="exact"/>
              <w:rPr>
                <w:rFonts w:ascii="宋体" w:hAnsi="宋体" w:cs="宋体"/>
                <w:color w:val="auto"/>
                <w:sz w:val="24"/>
                <w:highlight w:val="none"/>
              </w:rPr>
            </w:pPr>
            <w:r>
              <w:rPr>
                <w:rFonts w:hint="eastAsia" w:ascii="宋体" w:hAnsi="宋体" w:cs="宋体"/>
                <w:color w:val="auto"/>
                <w:sz w:val="24"/>
                <w:highlight w:val="none"/>
              </w:rPr>
              <w:t>响应文件接受地点：</w:t>
            </w:r>
            <w:r>
              <w:rPr>
                <w:rFonts w:hint="eastAsia" w:ascii="宋体" w:hAnsi="宋体" w:cs="宋体"/>
                <w:color w:val="auto"/>
                <w:kern w:val="0"/>
                <w:sz w:val="24"/>
                <w:highlight w:val="none"/>
                <w:lang w:eastAsia="zh-CN"/>
              </w:rPr>
              <w:t>无锡市公共资源交易中心梁溪分中心（无锡市清名东路380号 6楼）开标</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eastAsia="zh-CN"/>
              </w:rPr>
              <w:t xml:space="preserve">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7896" w:type="dxa"/>
            <w:vAlign w:val="center"/>
          </w:tcPr>
          <w:p>
            <w:pPr>
              <w:widowControl/>
              <w:topLinePunct/>
              <w:spacing w:line="440" w:lineRule="exact"/>
              <w:rPr>
                <w:rFonts w:ascii="宋体" w:hAnsi="宋体" w:cs="宋体"/>
                <w:b/>
                <w:color w:val="auto"/>
                <w:sz w:val="24"/>
                <w:highlight w:val="none"/>
              </w:rPr>
            </w:pPr>
            <w:r>
              <w:rPr>
                <w:rFonts w:hint="eastAsia" w:ascii="宋体" w:hAnsi="宋体" w:cs="宋体"/>
                <w:color w:val="auto"/>
                <w:sz w:val="24"/>
                <w:highlight w:val="none"/>
              </w:rPr>
              <w:t>磋商开始时间：</w:t>
            </w:r>
            <w:r>
              <w:rPr>
                <w:rFonts w:hint="eastAsia" w:ascii="宋体" w:hAnsi="宋体" w:cs="宋体"/>
                <w:b/>
                <w:color w:val="0000FF"/>
                <w:sz w:val="24"/>
                <w:highlight w:val="none"/>
                <w:lang w:eastAsia="zh-CN"/>
              </w:rPr>
              <w:t>2022年 9月7日</w:t>
            </w:r>
            <w:r>
              <w:rPr>
                <w:rFonts w:hint="eastAsia" w:ascii="宋体" w:hAnsi="宋体" w:cs="宋体"/>
                <w:b/>
                <w:color w:val="0000FF"/>
                <w:sz w:val="24"/>
                <w:highlight w:val="none"/>
              </w:rPr>
              <w:t>9:30</w:t>
            </w:r>
          </w:p>
          <w:p>
            <w:pPr>
              <w:widowControl/>
              <w:topLinePunct/>
              <w:spacing w:line="440" w:lineRule="exact"/>
              <w:rPr>
                <w:rFonts w:ascii="宋体" w:hAnsi="宋体" w:cs="宋体"/>
                <w:color w:val="auto"/>
                <w:sz w:val="24"/>
                <w:highlight w:val="none"/>
              </w:rPr>
            </w:pPr>
            <w:r>
              <w:rPr>
                <w:rFonts w:hint="eastAsia" w:ascii="宋体" w:hAnsi="宋体" w:cs="宋体"/>
                <w:color w:val="auto"/>
                <w:sz w:val="24"/>
                <w:highlight w:val="none"/>
              </w:rPr>
              <w:t>磋商地点：</w:t>
            </w:r>
            <w:r>
              <w:rPr>
                <w:rFonts w:hint="eastAsia" w:ascii="宋体" w:hAnsi="宋体" w:cs="宋体"/>
                <w:color w:val="auto"/>
                <w:kern w:val="0"/>
                <w:sz w:val="24"/>
                <w:highlight w:val="none"/>
                <w:lang w:eastAsia="zh-CN"/>
              </w:rPr>
              <w:t>无锡市公共资源交易中心梁溪分中心（无锡市清名东路380号 6楼）开标</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eastAsia="zh-CN"/>
              </w:rPr>
              <w:t xml:space="preserve">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7896" w:type="dxa"/>
            <w:vAlign w:val="center"/>
          </w:tcPr>
          <w:p>
            <w:pPr>
              <w:widowControl/>
              <w:topLinePunct/>
              <w:spacing w:line="440" w:lineRule="exact"/>
              <w:rPr>
                <w:rFonts w:ascii="宋体" w:hAnsi="宋体" w:cs="宋体"/>
                <w:color w:val="auto"/>
                <w:sz w:val="24"/>
                <w:highlight w:val="none"/>
              </w:rPr>
            </w:pPr>
            <w:r>
              <w:rPr>
                <w:rFonts w:hint="eastAsia" w:ascii="宋体" w:hAnsi="宋体" w:cs="宋体"/>
                <w:color w:val="auto"/>
                <w:sz w:val="24"/>
                <w:highlight w:val="none"/>
              </w:rPr>
              <w:t>确定成交单位时间：</w:t>
            </w:r>
            <w:r>
              <w:rPr>
                <w:rFonts w:hint="eastAsia" w:ascii="宋体" w:hAnsi="宋体" w:cs="宋体"/>
                <w:b/>
                <w:color w:val="0000FF"/>
                <w:sz w:val="24"/>
                <w:highlight w:val="none"/>
              </w:rPr>
              <w:t>2022年</w:t>
            </w:r>
            <w:r>
              <w:rPr>
                <w:rFonts w:hint="eastAsia" w:ascii="宋体" w:hAnsi="宋体" w:cs="宋体"/>
                <w:b/>
                <w:color w:val="0000FF"/>
                <w:sz w:val="24"/>
                <w:highlight w:val="none"/>
                <w:lang w:val="en-US" w:eastAsia="zh-CN"/>
              </w:rPr>
              <w:t>9</w:t>
            </w:r>
            <w:r>
              <w:rPr>
                <w:rFonts w:hint="eastAsia" w:ascii="宋体" w:hAnsi="宋体" w:cs="宋体"/>
                <w:b/>
                <w:color w:val="0000FF"/>
                <w:sz w:val="24"/>
                <w:highlight w:val="none"/>
              </w:rPr>
              <w:t>月</w:t>
            </w:r>
            <w:r>
              <w:rPr>
                <w:rFonts w:hint="eastAsia" w:ascii="宋体" w:hAnsi="宋体" w:cs="宋体"/>
                <w:b/>
                <w:color w:val="0000FF"/>
                <w:sz w:val="24"/>
                <w:highlight w:val="none"/>
                <w:lang w:val="en-US" w:eastAsia="zh-CN"/>
              </w:rPr>
              <w:t xml:space="preserve"> 7</w:t>
            </w:r>
            <w:r>
              <w:rPr>
                <w:rFonts w:hint="eastAsia" w:ascii="宋体" w:hAnsi="宋体" w:cs="宋体"/>
                <w:b/>
                <w:color w:val="0000FF"/>
                <w:sz w:val="24"/>
                <w:highlight w:val="none"/>
              </w:rPr>
              <w:t>日</w:t>
            </w:r>
            <w:r>
              <w:rPr>
                <w:rFonts w:hint="eastAsia" w:ascii="宋体" w:hAnsi="宋体" w:cs="宋体"/>
                <w:color w:val="auto"/>
                <w:sz w:val="24"/>
                <w:highlight w:val="none"/>
              </w:rPr>
              <w:t>评审结束</w:t>
            </w:r>
          </w:p>
          <w:p>
            <w:pPr>
              <w:widowControl/>
              <w:topLinePunct/>
              <w:spacing w:line="440" w:lineRule="exact"/>
              <w:rPr>
                <w:rFonts w:ascii="宋体" w:hAnsi="宋体" w:cs="宋体"/>
                <w:b/>
                <w:color w:val="auto"/>
                <w:sz w:val="24"/>
                <w:highlight w:val="none"/>
              </w:rPr>
            </w:pPr>
            <w:r>
              <w:rPr>
                <w:rFonts w:hint="eastAsia" w:ascii="宋体" w:hAnsi="宋体" w:cs="宋体"/>
                <w:color w:val="auto"/>
                <w:sz w:val="24"/>
                <w:highlight w:val="none"/>
              </w:rPr>
              <w:t>确定成交单位地点：</w:t>
            </w:r>
            <w:r>
              <w:rPr>
                <w:rFonts w:hint="eastAsia" w:ascii="宋体" w:hAnsi="宋体" w:cs="宋体"/>
                <w:color w:val="auto"/>
                <w:kern w:val="0"/>
                <w:sz w:val="24"/>
                <w:highlight w:val="none"/>
                <w:lang w:eastAsia="zh-CN"/>
              </w:rPr>
              <w:t>无锡市公共资源交易中心梁溪分中心（无锡市清名东路380号 6楼）开标</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eastAsia="zh-CN"/>
              </w:rPr>
              <w:t xml:space="preserve">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7896" w:type="dxa"/>
            <w:vAlign w:val="center"/>
          </w:tcPr>
          <w:p>
            <w:pPr>
              <w:widowControl/>
              <w:topLinePunct/>
              <w:spacing w:line="440" w:lineRule="exact"/>
              <w:rPr>
                <w:rFonts w:ascii="宋体" w:hAnsi="宋体" w:cs="宋体"/>
                <w:color w:val="auto"/>
                <w:sz w:val="24"/>
                <w:highlight w:val="none"/>
              </w:rPr>
            </w:pPr>
            <w:r>
              <w:rPr>
                <w:rFonts w:hint="eastAsia" w:ascii="宋体" w:hAnsi="宋体" w:cs="宋体"/>
                <w:color w:val="auto"/>
                <w:sz w:val="24"/>
                <w:highlight w:val="none"/>
              </w:rPr>
              <w:t>响应文件份数：明标部分正本1份，副本</w:t>
            </w:r>
            <w:r>
              <w:rPr>
                <w:rFonts w:ascii="宋体" w:hAnsi="宋体" w:cs="宋体"/>
                <w:color w:val="auto"/>
                <w:sz w:val="24"/>
                <w:highlight w:val="none"/>
              </w:rPr>
              <w:t>3</w:t>
            </w:r>
            <w:r>
              <w:rPr>
                <w:rFonts w:hint="eastAsia" w:ascii="宋体" w:hAnsi="宋体" w:cs="宋体"/>
                <w:color w:val="auto"/>
                <w:sz w:val="24"/>
                <w:highlight w:val="none"/>
              </w:rPr>
              <w:t>份；暗标部分正本1份，副本5份</w:t>
            </w:r>
            <w:r>
              <w:rPr>
                <w:rFonts w:hint="eastAsia" w:ascii="宋体" w:hAnsi="宋体" w:cs="宋体"/>
                <w:color w:val="0000FF"/>
                <w:sz w:val="24"/>
                <w:highlight w:val="none"/>
              </w:rPr>
              <w:t>。</w:t>
            </w:r>
            <w:r>
              <w:rPr>
                <w:rFonts w:hint="eastAsia" w:ascii="宋体" w:hAnsi="宋体"/>
                <w:color w:val="auto"/>
                <w:sz w:val="24"/>
                <w:highlight w:val="none"/>
              </w:rPr>
              <w:t>响应文件电子光盘（不可擦写光盘）二张（报价部分单独一张光盘以备清标，其他内容一张光盘，并在光盘上清楚的标明报价供应商名称、工程名称、光盘内容名称、标段）</w:t>
            </w:r>
          </w:p>
          <w:p>
            <w:pPr>
              <w:widowControl/>
              <w:topLinePunct/>
              <w:spacing w:line="440" w:lineRule="exact"/>
              <w:rPr>
                <w:rFonts w:ascii="宋体" w:hAnsi="宋体" w:cs="宋体"/>
                <w:color w:val="auto"/>
                <w:sz w:val="24"/>
                <w:highlight w:val="none"/>
              </w:rPr>
            </w:pPr>
            <w:r>
              <w:rPr>
                <w:rFonts w:hint="eastAsia" w:ascii="宋体" w:hAnsi="宋体"/>
                <w:b/>
                <w:color w:val="auto"/>
                <w:sz w:val="24"/>
                <w:highlight w:val="none"/>
              </w:rPr>
              <w:t>注：报价供应商参加本次磋商多个标段的，响应文件应按所报价的标段，每标段分别制作。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7896" w:type="dxa"/>
            <w:vAlign w:val="center"/>
          </w:tcPr>
          <w:p>
            <w:pPr>
              <w:widowControl/>
              <w:topLinePunct/>
              <w:spacing w:line="440" w:lineRule="exact"/>
              <w:rPr>
                <w:rFonts w:hint="eastAsia" w:ascii="宋体" w:hAnsi="宋体" w:cs="宋体"/>
                <w:b w:val="0"/>
                <w:bCs/>
                <w:color w:val="auto"/>
                <w:sz w:val="24"/>
                <w:highlight w:val="none"/>
              </w:rPr>
            </w:pPr>
            <w:r>
              <w:rPr>
                <w:rFonts w:hint="eastAsia" w:ascii="宋体" w:hAnsi="宋体" w:cs="宋体"/>
                <w:b w:val="0"/>
                <w:bCs/>
                <w:color w:val="auto"/>
                <w:sz w:val="24"/>
                <w:highlight w:val="none"/>
              </w:rPr>
              <w:t>凡对本次采购提出询问，请按以下方式联系：</w:t>
            </w:r>
          </w:p>
          <w:p>
            <w:pPr>
              <w:widowControl/>
              <w:topLinePunct/>
              <w:spacing w:line="440" w:lineRule="exact"/>
              <w:rPr>
                <w:rFonts w:hint="eastAsia" w:ascii="宋体" w:hAnsi="宋体" w:cs="宋体"/>
                <w:b w:val="0"/>
                <w:bCs/>
                <w:color w:val="auto"/>
                <w:sz w:val="24"/>
                <w:highlight w:val="none"/>
              </w:rPr>
            </w:pPr>
            <w:r>
              <w:rPr>
                <w:rFonts w:hint="eastAsia" w:ascii="宋体" w:hAnsi="宋体" w:cs="宋体"/>
                <w:b w:val="0"/>
                <w:bCs/>
                <w:color w:val="auto"/>
                <w:sz w:val="24"/>
                <w:highlight w:val="none"/>
              </w:rPr>
              <w:t>1.采购单位名称：无锡市梁溪区清名桥街道办事处</w:t>
            </w:r>
          </w:p>
          <w:p>
            <w:pPr>
              <w:widowControl/>
              <w:topLinePunct/>
              <w:spacing w:line="440" w:lineRule="exact"/>
              <w:rPr>
                <w:rFonts w:hint="eastAsia" w:ascii="宋体" w:hAnsi="宋体" w:cs="宋体"/>
                <w:b w:val="0"/>
                <w:bCs/>
                <w:color w:val="auto"/>
                <w:sz w:val="24"/>
                <w:highlight w:val="none"/>
              </w:rPr>
            </w:pPr>
            <w:r>
              <w:rPr>
                <w:rFonts w:hint="eastAsia" w:ascii="宋体" w:hAnsi="宋体" w:cs="宋体"/>
                <w:b w:val="0"/>
                <w:bCs/>
                <w:color w:val="auto"/>
                <w:sz w:val="24"/>
                <w:highlight w:val="none"/>
              </w:rPr>
              <w:t>统一社会信用代码：11320213014018973D</w:t>
            </w:r>
          </w:p>
          <w:p>
            <w:pPr>
              <w:widowControl/>
              <w:topLinePunct/>
              <w:spacing w:line="440" w:lineRule="exact"/>
              <w:rPr>
                <w:rFonts w:hint="eastAsia" w:ascii="宋体" w:hAnsi="宋体" w:cs="宋体"/>
                <w:b w:val="0"/>
                <w:bCs/>
                <w:color w:val="auto"/>
                <w:sz w:val="24"/>
                <w:highlight w:val="none"/>
              </w:rPr>
            </w:pPr>
            <w:r>
              <w:rPr>
                <w:rFonts w:hint="eastAsia" w:ascii="宋体" w:hAnsi="宋体" w:cs="宋体"/>
                <w:b w:val="0"/>
                <w:bCs/>
                <w:color w:val="auto"/>
                <w:sz w:val="24"/>
                <w:highlight w:val="none"/>
              </w:rPr>
              <w:t>采购单位联系人：仓清桂</w:t>
            </w:r>
          </w:p>
          <w:p>
            <w:pPr>
              <w:widowControl/>
              <w:topLinePunct/>
              <w:spacing w:line="440" w:lineRule="exact"/>
              <w:rPr>
                <w:rFonts w:hint="eastAsia" w:ascii="宋体" w:hAnsi="宋体" w:cs="宋体"/>
                <w:b w:val="0"/>
                <w:bCs/>
                <w:color w:val="auto"/>
                <w:sz w:val="24"/>
                <w:highlight w:val="none"/>
              </w:rPr>
            </w:pPr>
            <w:r>
              <w:rPr>
                <w:rFonts w:hint="eastAsia" w:ascii="宋体" w:hAnsi="宋体" w:cs="宋体"/>
                <w:b w:val="0"/>
                <w:bCs/>
                <w:color w:val="auto"/>
                <w:sz w:val="24"/>
                <w:highlight w:val="none"/>
              </w:rPr>
              <w:t>采购单位联系地址：无锡市清扬路189号</w:t>
            </w:r>
          </w:p>
          <w:p>
            <w:pPr>
              <w:widowControl/>
              <w:topLinePunct/>
              <w:spacing w:line="440" w:lineRule="exact"/>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联系电话：0510-8</w:t>
            </w:r>
            <w:r>
              <w:rPr>
                <w:rFonts w:hint="eastAsia" w:ascii="宋体" w:hAnsi="宋体" w:cs="宋体"/>
                <w:b w:val="0"/>
                <w:bCs/>
                <w:color w:val="auto"/>
                <w:sz w:val="24"/>
                <w:highlight w:val="none"/>
                <w:lang w:val="en-US" w:eastAsia="zh-CN"/>
              </w:rPr>
              <w:t>5027321</w:t>
            </w:r>
          </w:p>
          <w:p>
            <w:pPr>
              <w:widowControl/>
              <w:topLinePunct/>
              <w:spacing w:line="440" w:lineRule="exact"/>
              <w:rPr>
                <w:rFonts w:hint="eastAsia" w:ascii="宋体" w:hAnsi="宋体" w:cs="宋体"/>
                <w:b w:val="0"/>
                <w:bCs/>
                <w:color w:val="auto"/>
                <w:sz w:val="24"/>
                <w:highlight w:val="none"/>
              </w:rPr>
            </w:pPr>
            <w:r>
              <w:rPr>
                <w:rFonts w:hint="eastAsia" w:ascii="宋体" w:hAnsi="宋体" w:cs="宋体"/>
                <w:b w:val="0"/>
                <w:bCs/>
                <w:color w:val="auto"/>
                <w:sz w:val="24"/>
                <w:highlight w:val="none"/>
              </w:rPr>
              <w:t>2.采购代理机构：江苏成建项目管理有限公司</w:t>
            </w:r>
          </w:p>
          <w:p>
            <w:pPr>
              <w:widowControl/>
              <w:topLinePunct/>
              <w:spacing w:line="440" w:lineRule="exact"/>
              <w:rPr>
                <w:rFonts w:hint="eastAsia" w:ascii="宋体" w:hAnsi="宋体" w:cs="宋体"/>
                <w:b w:val="0"/>
                <w:bCs/>
                <w:color w:val="auto"/>
                <w:sz w:val="24"/>
                <w:highlight w:val="none"/>
              </w:rPr>
            </w:pPr>
            <w:r>
              <w:rPr>
                <w:rFonts w:hint="eastAsia" w:ascii="宋体" w:hAnsi="宋体" w:cs="宋体"/>
                <w:b w:val="0"/>
                <w:bCs/>
                <w:color w:val="auto"/>
                <w:sz w:val="24"/>
                <w:highlight w:val="none"/>
              </w:rPr>
              <w:t>统一社会信用代码：91320202786301082R</w:t>
            </w:r>
          </w:p>
          <w:p>
            <w:pPr>
              <w:widowControl/>
              <w:topLinePunct/>
              <w:spacing w:line="440" w:lineRule="exact"/>
              <w:rPr>
                <w:rFonts w:hint="eastAsia" w:ascii="宋体" w:hAnsi="宋体" w:cs="宋体"/>
                <w:b w:val="0"/>
                <w:bCs/>
                <w:color w:val="auto"/>
                <w:sz w:val="24"/>
                <w:highlight w:val="none"/>
              </w:rPr>
            </w:pPr>
            <w:r>
              <w:rPr>
                <w:rFonts w:hint="eastAsia" w:ascii="宋体" w:hAnsi="宋体" w:cs="宋体"/>
                <w:b w:val="0"/>
                <w:bCs/>
                <w:color w:val="auto"/>
                <w:sz w:val="24"/>
                <w:highlight w:val="none"/>
              </w:rPr>
              <w:t>联系人：丁霞 、卢玮</w:t>
            </w:r>
          </w:p>
          <w:p>
            <w:pPr>
              <w:widowControl/>
              <w:topLinePunct/>
              <w:spacing w:line="440" w:lineRule="exact"/>
              <w:rPr>
                <w:rFonts w:hint="eastAsia" w:ascii="宋体" w:hAnsi="宋体" w:cs="宋体"/>
                <w:b w:val="0"/>
                <w:bCs/>
                <w:color w:val="auto"/>
                <w:sz w:val="24"/>
                <w:highlight w:val="none"/>
              </w:rPr>
            </w:pPr>
            <w:r>
              <w:rPr>
                <w:rFonts w:hint="eastAsia" w:ascii="宋体" w:hAnsi="宋体" w:cs="宋体"/>
                <w:b w:val="0"/>
                <w:bCs/>
                <w:color w:val="auto"/>
                <w:sz w:val="24"/>
                <w:highlight w:val="none"/>
              </w:rPr>
              <w:t>联系地址：无锡市人民东路311号崇文大厦19楼</w:t>
            </w:r>
          </w:p>
          <w:p>
            <w:pPr>
              <w:widowControl/>
              <w:topLinePunct/>
              <w:spacing w:line="440" w:lineRule="exact"/>
              <w:rPr>
                <w:rFonts w:hint="eastAsia" w:ascii="宋体" w:hAnsi="宋体" w:cs="宋体"/>
                <w:b w:val="0"/>
                <w:bCs/>
                <w:color w:val="auto"/>
                <w:sz w:val="24"/>
                <w:highlight w:val="none"/>
              </w:rPr>
            </w:pPr>
            <w:r>
              <w:rPr>
                <w:rFonts w:hint="eastAsia" w:ascii="宋体" w:hAnsi="宋体" w:cs="宋体"/>
                <w:b w:val="0"/>
                <w:bCs/>
                <w:color w:val="auto"/>
                <w:sz w:val="24"/>
                <w:highlight w:val="none"/>
              </w:rPr>
              <w:t>联系电话：0510-82713928-8010传真：0510-82713945</w:t>
            </w:r>
          </w:p>
          <w:p>
            <w:pPr>
              <w:widowControl/>
              <w:topLinePunct/>
              <w:spacing w:line="440" w:lineRule="exact"/>
              <w:rPr>
                <w:rFonts w:ascii="宋体" w:hAnsi="宋体" w:cs="宋体"/>
                <w:b/>
                <w:color w:val="auto"/>
                <w:sz w:val="24"/>
                <w:highlight w:val="none"/>
              </w:rPr>
            </w:pPr>
            <w:r>
              <w:rPr>
                <w:rFonts w:hint="eastAsia" w:ascii="宋体" w:hAnsi="宋体" w:cs="宋体"/>
                <w:b w:val="0"/>
                <w:bCs/>
                <w:color w:val="auto"/>
                <w:sz w:val="24"/>
                <w:highlight w:val="none"/>
              </w:rPr>
              <w:t xml:space="preserve">电子邮件地址：wxcjzbb2017@163.com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392" w:type="dxa"/>
            <w:vAlign w:val="center"/>
          </w:tcPr>
          <w:p>
            <w:pPr>
              <w:widowControl/>
              <w:topLinePunct/>
              <w:spacing w:line="44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7896" w:type="dxa"/>
            <w:vAlign w:val="center"/>
          </w:tcPr>
          <w:p>
            <w:pPr>
              <w:widowControl/>
              <w:topLinePunct/>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1）根据疫情防控要求，为减少人群聚集，按照无锡市财政局《关于近期政府采购领域疫情防控有关要求的通知》（锡财购函【2021】3号）等规定，投标（报价）供应商进入开标现场人数只允许1人，开标当日投标（报价）供应商代表必须携带本人身份证、戴口罩并出示 “苏康码”、“行程码”， 接受本项目采购代理机构 “测温+扫码”并登记，“苏康码”、“行程码”验证结果为黄色或红色、体温≥37.3℃的，严禁进场。“苏康码”、“行程码”为绿码，但行程中有涉及中高风险地区的（中高风险地区根据“国务院客户端”APP对全国疫情中高风险地区目录调整的情况更新查询）的，应持48小时内核酸检测阴性证明进场。进场后请保持安全距离，分散等候，不得扎堆聚集，不配合工作人员管理的，工作人员有权拒绝其入场。（“苏康码”可通过江苏政务服务APP或在支付宝首页搜索“江苏政务服务（官方）”申报获取。行程码可通过微信小程序“通信行程卡”获取。）</w:t>
            </w:r>
          </w:p>
          <w:p>
            <w:pPr>
              <w:widowControl/>
              <w:topLinePunct/>
              <w:spacing w:line="440" w:lineRule="exact"/>
              <w:rPr>
                <w:rFonts w:ascii="宋体" w:hAnsi="宋体" w:cs="宋体"/>
                <w:color w:val="auto"/>
                <w:sz w:val="24"/>
                <w:highlight w:val="none"/>
              </w:rPr>
            </w:pPr>
            <w:r>
              <w:rPr>
                <w:rFonts w:hint="eastAsia" w:ascii="宋体" w:hAnsi="宋体" w:cs="宋体"/>
                <w:color w:val="auto"/>
                <w:kern w:val="0"/>
                <w:sz w:val="24"/>
                <w:highlight w:val="none"/>
              </w:rPr>
              <w:t>（2）请各投标（报价）供应商位按照上述要求提前做好投标准备，未按上述要求而影响投标的，责任由投标（报价）供应商自行承担。新冠肺炎疫情防控政策如有变化的，以最新通知为准。</w:t>
            </w:r>
          </w:p>
        </w:tc>
      </w:tr>
    </w:tbl>
    <w:p>
      <w:pPr>
        <w:spacing w:line="360" w:lineRule="auto"/>
        <w:jc w:val="center"/>
        <w:rPr>
          <w:rFonts w:ascii="宋体" w:hAnsi="宋体" w:cs="宋体"/>
          <w:b/>
          <w:color w:val="auto"/>
          <w:sz w:val="44"/>
          <w:szCs w:val="44"/>
          <w:highlight w:val="none"/>
        </w:rPr>
      </w:pPr>
      <w:r>
        <w:rPr>
          <w:rFonts w:hint="eastAsia" w:ascii="宋体" w:hAnsi="宋体" w:cs="宋体"/>
          <w:b/>
          <w:color w:val="auto"/>
          <w:sz w:val="24"/>
          <w:highlight w:val="none"/>
        </w:rPr>
        <w:br w:type="page"/>
      </w:r>
      <w:r>
        <w:rPr>
          <w:rFonts w:hint="eastAsia" w:ascii="宋体" w:hAnsi="宋体" w:cs="宋体"/>
          <w:b/>
          <w:color w:val="auto"/>
          <w:sz w:val="44"/>
          <w:szCs w:val="44"/>
          <w:highlight w:val="none"/>
        </w:rPr>
        <w:t>第二部分. 磋商须知</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（一）遵循原则：</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公开透明原则、公平竞争原则、公正原则和诚实信用原则。</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（二）磋商文件：</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1．磋商文件包括文件目录所列全部内容，供应商应仔细阅读，并响应文件中充分反映磋商文件的所有要求。</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2．供应商应向</w:t>
      </w:r>
      <w:r>
        <w:rPr>
          <w:rFonts w:hint="eastAsia" w:ascii="宋体" w:hAnsi="宋体" w:cs="宋体"/>
          <w:color w:val="auto"/>
          <w:sz w:val="24"/>
          <w:highlight w:val="none"/>
          <w:lang w:eastAsia="zh-CN"/>
        </w:rPr>
        <w:t>江苏成建项目管理有限公司</w:t>
      </w:r>
      <w:r>
        <w:rPr>
          <w:rFonts w:hint="eastAsia" w:ascii="宋体" w:hAnsi="宋体" w:cs="宋体"/>
          <w:color w:val="auto"/>
          <w:sz w:val="24"/>
          <w:highlight w:val="none"/>
        </w:rPr>
        <w:t>购买文件及有关资料，按磋商文件要求提交全部资料并对磋商文件各项内容做出实质性响应，否则响应文件无效。</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3．供应商一旦参加本项目竞争性磋商，即表明承诺接受了本磋商文件中所有条件和规定。</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4．磋商文件一经售出、一律不退，且仅作为本次竞争性磋商使用。</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（三）磋商文件的解释：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1．供应商如有需要对磋商文件要求澄清的问题，请以书面（含电子邮件）提出，并按“磋商须知前附表”第6项规定的时间将电子邮件及书面传真（两种形式均须发送）至</w:t>
      </w:r>
      <w:r>
        <w:rPr>
          <w:rFonts w:hint="eastAsia" w:ascii="宋体" w:hAnsi="宋体" w:cs="宋体"/>
          <w:color w:val="auto"/>
          <w:sz w:val="24"/>
          <w:highlight w:val="none"/>
          <w:lang w:eastAsia="zh-CN"/>
        </w:rPr>
        <w:t>江苏成建项目管理有限公司</w:t>
      </w:r>
      <w:r>
        <w:rPr>
          <w:rFonts w:hint="eastAsia" w:ascii="宋体" w:hAnsi="宋体" w:cs="宋体"/>
          <w:color w:val="auto"/>
          <w:sz w:val="24"/>
          <w:highlight w:val="none"/>
        </w:rPr>
        <w:t>，联系方式详见磋商须知前附表第13项。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w:t>
      </w:r>
      <w:r>
        <w:rPr>
          <w:rFonts w:hint="eastAsia" w:ascii="宋体" w:hAnsi="宋体" w:cs="宋体"/>
          <w:color w:val="auto"/>
          <w:sz w:val="24"/>
          <w:highlight w:val="none"/>
          <w:lang w:eastAsia="zh-CN"/>
        </w:rPr>
        <w:t>江苏成建项目管理有限公司</w:t>
      </w:r>
      <w:r>
        <w:rPr>
          <w:rFonts w:hint="eastAsia" w:ascii="宋体" w:hAnsi="宋体" w:cs="宋体"/>
          <w:color w:val="auto"/>
          <w:sz w:val="24"/>
          <w:highlight w:val="none"/>
        </w:rPr>
        <w:t>将按“磋商须知前附表”第6项规定的时间对供应商针对磋商文件书面（含电子邮件）提出的要求澄清的问题进行书面（含电子邮件）答疑。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3．本文件的最终解释权归采购人。</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（四）磋商文件的补充或修正：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1．磋商截止时间五日前</w:t>
      </w:r>
      <w:r>
        <w:rPr>
          <w:rFonts w:hint="eastAsia" w:ascii="宋体" w:hAnsi="宋体" w:cs="宋体"/>
          <w:color w:val="auto"/>
          <w:sz w:val="24"/>
          <w:highlight w:val="none"/>
          <w:lang w:eastAsia="zh-CN"/>
        </w:rPr>
        <w:t>江苏成建项目管理有限公司</w:t>
      </w:r>
      <w:r>
        <w:rPr>
          <w:rFonts w:hint="eastAsia" w:ascii="宋体" w:hAnsi="宋体" w:cs="宋体"/>
          <w:color w:val="auto"/>
          <w:sz w:val="24"/>
          <w:highlight w:val="none"/>
        </w:rPr>
        <w:t>可对磋商文件进行必要的澄清或者修改，并视具体情况，延长磋商时间。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2．如需对磋商文件进行补充或修正，</w:t>
      </w:r>
      <w:r>
        <w:rPr>
          <w:rFonts w:hint="eastAsia" w:ascii="宋体" w:hAnsi="宋体" w:cs="宋体"/>
          <w:color w:val="auto"/>
          <w:sz w:val="24"/>
          <w:highlight w:val="none"/>
          <w:lang w:eastAsia="zh-CN"/>
        </w:rPr>
        <w:t>江苏成建项目管理有限公司</w:t>
      </w:r>
      <w:r>
        <w:rPr>
          <w:rFonts w:hint="eastAsia" w:ascii="宋体" w:hAnsi="宋体" w:cs="宋体"/>
          <w:color w:val="auto"/>
          <w:sz w:val="24"/>
          <w:highlight w:val="none"/>
        </w:rPr>
        <w:t>将在</w:t>
      </w:r>
      <w:r>
        <w:rPr>
          <w:rFonts w:hint="eastAsia" w:ascii="宋体" w:hAnsi="宋体" w:cs="宋体"/>
          <w:b/>
          <w:bCs/>
          <w:color w:val="auto"/>
          <w:sz w:val="24"/>
          <w:highlight w:val="none"/>
        </w:rPr>
        <w:t>江苏政府采购网、无锡政府采购网</w:t>
      </w:r>
      <w:r>
        <w:rPr>
          <w:rFonts w:hint="eastAsia" w:ascii="宋体" w:hAnsi="宋体" w:cs="宋体"/>
          <w:color w:val="auto"/>
          <w:sz w:val="24"/>
          <w:highlight w:val="none"/>
        </w:rPr>
        <w:t>发布更正公告，并用书面（含电子邮件）形式通知所有供应商，其作为磋商文件的一部分，与磋商文件具有同等约束力，供应商应立即以书面（含电子邮件）形式回复</w:t>
      </w:r>
      <w:r>
        <w:rPr>
          <w:rFonts w:hint="eastAsia" w:ascii="宋体" w:hAnsi="宋体" w:cs="宋体"/>
          <w:bCs/>
          <w:color w:val="auto"/>
          <w:sz w:val="24"/>
          <w:highlight w:val="none"/>
          <w:lang w:eastAsia="zh-CN"/>
        </w:rPr>
        <w:t>江苏成建项目管理有限公司</w:t>
      </w:r>
      <w:r>
        <w:rPr>
          <w:rFonts w:hint="eastAsia" w:ascii="宋体" w:hAnsi="宋体" w:cs="宋体"/>
          <w:color w:val="auto"/>
          <w:sz w:val="24"/>
          <w:highlight w:val="none"/>
        </w:rPr>
        <w:t>，确认已收到修改文件。</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（五）响应文件的组成：</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响应文件分为明标和暗标两部分，明标由证明文件部分、响应函部分、报价部分三部分组成，暗标为技术文件部分（单独成册）。</w:t>
      </w:r>
      <w:r>
        <w:rPr>
          <w:rFonts w:hint="eastAsia" w:ascii="宋体" w:hAnsi="宋体"/>
          <w:b/>
          <w:bCs/>
          <w:color w:val="auto"/>
          <w:sz w:val="24"/>
          <w:highlight w:val="none"/>
        </w:rPr>
        <w:t>另附电子光盘两张，报价部分一张光盘，其他部分一张光盘。</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明标部分：</w:t>
      </w:r>
    </w:p>
    <w:p>
      <w:pPr>
        <w:spacing w:line="360" w:lineRule="auto"/>
        <w:ind w:firstLine="480" w:firstLineChars="200"/>
        <w:rPr>
          <w:rFonts w:ascii="宋体" w:hAnsi="宋体"/>
          <w:b/>
          <w:bCs/>
          <w:color w:val="auto"/>
          <w:sz w:val="24"/>
          <w:highlight w:val="none"/>
        </w:rPr>
      </w:pPr>
      <w:r>
        <w:rPr>
          <w:rFonts w:hint="eastAsia" w:ascii="宋体" w:hAnsi="宋体"/>
          <w:color w:val="auto"/>
          <w:sz w:val="24"/>
          <w:highlight w:val="none"/>
        </w:rPr>
        <w:t>1.</w:t>
      </w:r>
      <w:r>
        <w:rPr>
          <w:rFonts w:hint="eastAsia" w:ascii="宋体" w:hAnsi="宋体"/>
          <w:color w:val="auto"/>
          <w:sz w:val="24"/>
          <w:highlight w:val="none"/>
        </w:rPr>
        <w:tab/>
      </w:r>
      <w:r>
        <w:rPr>
          <w:rFonts w:hint="eastAsia" w:ascii="宋体" w:hAnsi="宋体"/>
          <w:color w:val="auto"/>
          <w:sz w:val="24"/>
          <w:highlight w:val="none"/>
        </w:rPr>
        <w:t>证明文件部分：</w:t>
      </w:r>
    </w:p>
    <w:p>
      <w:pPr>
        <w:tabs>
          <w:tab w:val="left" w:pos="0"/>
        </w:tabs>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1.1资格、资信证明文件</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（1）关于资格的声明函（格式见附件）；</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（2）报价供应商法定代表人授权委托书（</w:t>
      </w:r>
      <w:r>
        <w:rPr>
          <w:rFonts w:hint="eastAsia" w:ascii="宋体" w:hAnsi="宋体"/>
          <w:bCs/>
          <w:color w:val="auto"/>
          <w:sz w:val="24"/>
          <w:highlight w:val="none"/>
        </w:rPr>
        <w:t>法定代表人亲自参与报价的除外，</w:t>
      </w:r>
      <w:r>
        <w:rPr>
          <w:rFonts w:hint="eastAsia" w:ascii="宋体" w:hAnsi="宋体" w:cs="宋体"/>
          <w:color w:val="auto"/>
          <w:sz w:val="24"/>
          <w:highlight w:val="none"/>
        </w:rPr>
        <w:t>格式见附件）；</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（3）报价供应商法定代表人身份证复印件及法定代表人授权代表身份证复印件（磋商时必须携带参加开标会议的法定代表人或法定代表人授权代表有效身份证明原件）； </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（4）报价供应商营业执照或相关部门的登记证明文件复印件并加盖公章；（磋商时需提供原件或公证件）</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bCs/>
          <w:color w:val="auto"/>
          <w:sz w:val="24"/>
          <w:highlight w:val="none"/>
        </w:rPr>
        <w:t>供应商有效的资质证书</w:t>
      </w:r>
      <w:r>
        <w:rPr>
          <w:rFonts w:hint="eastAsia" w:ascii="宋体" w:hAnsi="宋体"/>
          <w:color w:val="auto"/>
          <w:sz w:val="24"/>
          <w:highlight w:val="none"/>
        </w:rPr>
        <w:t>复印件加盖公章</w:t>
      </w:r>
      <w:r>
        <w:rPr>
          <w:rFonts w:hint="eastAsia" w:ascii="宋体" w:hAnsi="宋体" w:cs="宋体"/>
          <w:color w:val="auto"/>
          <w:sz w:val="24"/>
          <w:highlight w:val="none"/>
          <w:lang w:val="zh-CN"/>
        </w:rPr>
        <w:t>；</w:t>
      </w:r>
      <w:r>
        <w:rPr>
          <w:rFonts w:hint="eastAsia" w:ascii="宋体" w:hAnsi="宋体" w:cs="宋体"/>
          <w:color w:val="auto"/>
          <w:sz w:val="24"/>
          <w:highlight w:val="none"/>
        </w:rPr>
        <w:t>（磋商时必须提交原件或公证件）</w:t>
      </w:r>
    </w:p>
    <w:p>
      <w:pPr>
        <w:tabs>
          <w:tab w:val="left" w:pos="0"/>
        </w:tabs>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（6）</w:t>
      </w:r>
      <w:r>
        <w:rPr>
          <w:rFonts w:hint="eastAsia" w:ascii="宋体" w:hAnsi="宋体"/>
          <w:color w:val="auto"/>
          <w:sz w:val="24"/>
          <w:highlight w:val="none"/>
        </w:rPr>
        <w:t>供应商有效的安全生产许可证复印件并加盖公章</w:t>
      </w:r>
      <w:r>
        <w:rPr>
          <w:rFonts w:hint="eastAsia" w:ascii="宋体" w:hAnsi="宋体"/>
          <w:bCs/>
          <w:color w:val="auto"/>
          <w:sz w:val="24"/>
          <w:highlight w:val="none"/>
        </w:rPr>
        <w:t>（磋商时提供原件或公证件）；</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项目负责人的</w:t>
      </w:r>
      <w:r>
        <w:rPr>
          <w:rFonts w:hint="eastAsia" w:ascii="宋体" w:hAnsi="宋体" w:cs="宋体"/>
          <w:color w:val="auto"/>
          <w:kern w:val="0"/>
          <w:sz w:val="24"/>
          <w:highlight w:val="none"/>
        </w:rPr>
        <w:t>二级及以上注册建造师资质（市政公用工程专业）</w:t>
      </w:r>
      <w:r>
        <w:rPr>
          <w:rFonts w:hint="eastAsia" w:ascii="宋体" w:hAnsi="宋体" w:cs="宋体"/>
          <w:color w:val="auto"/>
          <w:kern w:val="0"/>
          <w:sz w:val="24"/>
          <w:highlight w:val="none"/>
          <w:lang w:val="zh-CN"/>
        </w:rPr>
        <w:t>和有效的《建筑施工企业项目负责人安全生产考核合格证书》（B证）</w:t>
      </w:r>
      <w:r>
        <w:rPr>
          <w:rFonts w:hint="eastAsia" w:ascii="宋体" w:hAnsi="宋体" w:cs="宋体"/>
          <w:color w:val="auto"/>
          <w:kern w:val="0"/>
          <w:sz w:val="24"/>
          <w:highlight w:val="none"/>
        </w:rPr>
        <w:t>复印件加盖公章</w:t>
      </w:r>
      <w:r>
        <w:rPr>
          <w:rFonts w:hint="eastAsia" w:ascii="宋体" w:hAnsi="宋体" w:cs="宋体"/>
          <w:color w:val="auto"/>
          <w:sz w:val="24"/>
          <w:highlight w:val="none"/>
        </w:rPr>
        <w:t>（磋商时提供原件或公证件）；</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（8）被授权代表、项目负责人为报价供应商本单位在职员工（提供被授权代表、项目负责人与企业签订的劳动合同复印件并加盖公章，被授权代表、项目负责人由社保机构出具的</w:t>
      </w:r>
      <w:r>
        <w:rPr>
          <w:rFonts w:hint="eastAsia" w:ascii="宋体" w:hAnsi="宋体" w:cs="宋体"/>
          <w:color w:val="0000FF"/>
          <w:sz w:val="24"/>
          <w:highlight w:val="none"/>
          <w:lang w:eastAsia="zh-CN"/>
        </w:rPr>
        <w:t>2022年2月-2022年7月</w:t>
      </w:r>
      <w:r>
        <w:rPr>
          <w:rFonts w:hint="eastAsia" w:ascii="宋体" w:hAnsi="宋体" w:cs="宋体"/>
          <w:color w:val="auto"/>
          <w:sz w:val="24"/>
          <w:highlight w:val="none"/>
        </w:rPr>
        <w:t>的缴费证明）复印件并加盖公章</w:t>
      </w:r>
      <w:r>
        <w:rPr>
          <w:rFonts w:hint="eastAsia" w:ascii="宋体" w:cs="宋体"/>
          <w:color w:val="auto"/>
          <w:sz w:val="24"/>
          <w:highlight w:val="none"/>
          <w:lang w:val="zh-CN"/>
        </w:rPr>
        <w:t>（</w:t>
      </w:r>
      <w:r>
        <w:rPr>
          <w:rFonts w:hint="eastAsia" w:ascii="宋体" w:hAnsi="宋体" w:cs="宋体"/>
          <w:color w:val="auto"/>
          <w:sz w:val="24"/>
          <w:highlight w:val="none"/>
          <w:lang w:val="zh-CN"/>
        </w:rPr>
        <w:t>如果企业成立不满6个月，则提供成立时间以来的社保缴费证明</w:t>
      </w:r>
      <w:r>
        <w:rPr>
          <w:rFonts w:hint="eastAsia" w:ascii="宋体" w:cs="宋体"/>
          <w:color w:val="auto"/>
          <w:sz w:val="24"/>
          <w:highlight w:val="none"/>
          <w:lang w:val="zh-CN"/>
        </w:rPr>
        <w:t>）</w:t>
      </w:r>
      <w:r>
        <w:rPr>
          <w:rFonts w:hint="eastAsia" w:ascii="宋体" w:hAnsi="宋体" w:cs="宋体"/>
          <w:color w:val="auto"/>
          <w:sz w:val="24"/>
          <w:highlight w:val="none"/>
        </w:rPr>
        <w:t>；</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（9）供应商近三个月中任意一个月份(不含磋商当月)的财务状况报告（资产负债表和利润表）或由会计师事务所出具的近两年中任意一年度的审计报告和所附已审财务报告复印件并加盖公章（磋商时提供原件）；</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（10）供应商近三个月中任意一个月份(不含磋商当月)的依法缴纳税收的相关材料（提供相关主管部门证明或银行代扣证明）复印件加盖公章；</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（11）供应商近三个月中任意一个月份(不含磋商当月)的依法缴纳社会保障资金的相关材料（提供相关主管部门证明或银行代扣证明）复印件加盖公章；</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（12）成交标段优先顺序承诺函（格式见附件）；</w:t>
      </w:r>
    </w:p>
    <w:p>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（13）承诺书（格式见附件）。</w:t>
      </w:r>
    </w:p>
    <w:p>
      <w:pPr>
        <w:tabs>
          <w:tab w:val="left" w:pos="0"/>
        </w:tabs>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（14）</w:t>
      </w:r>
      <w:r>
        <w:rPr>
          <w:rFonts w:hint="eastAsia" w:ascii="宋体" w:cs="宋体"/>
          <w:b/>
          <w:bCs/>
          <w:color w:val="auto"/>
          <w:sz w:val="24"/>
          <w:highlight w:val="none"/>
          <w:lang w:val="zh-CN"/>
        </w:rPr>
        <w:t>报价供应商如为中小微企业的提供《中小企业声明函》；如为监狱和戒毒企业的，按照财政部《司法部关于政府采购支持监狱企业发展有关问题》（财库〔2014〕68号）的规定提供由省级以上监狱管理局、戒毒管理局（含新疆生产建设兵团）出具的属于监狱企业的证明文件复印件；如为残疾人福利性单位的提供《残疾人福利性单位声明函》（格式见附件）。</w:t>
      </w:r>
    </w:p>
    <w:p>
      <w:pPr>
        <w:wordWrap w:val="0"/>
        <w:spacing w:line="360" w:lineRule="auto"/>
        <w:ind w:firstLine="564" w:firstLineChars="235"/>
        <w:rPr>
          <w:rFonts w:ascii="宋体" w:hAnsi="宋体" w:cs="宋体"/>
          <w:bCs/>
          <w:color w:val="auto"/>
          <w:sz w:val="24"/>
          <w:highlight w:val="none"/>
        </w:rPr>
      </w:pPr>
      <w:r>
        <w:rPr>
          <w:rFonts w:hint="eastAsia" w:ascii="宋体" w:hAnsi="宋体" w:cs="宋体"/>
          <w:bCs/>
          <w:color w:val="auto"/>
          <w:sz w:val="24"/>
          <w:highlight w:val="none"/>
        </w:rPr>
        <w:t>*注：报价供应商如已按《关于启用无锡市政府采购交易管理一体化系统供应商注册登记模块的通知》、《无锡市政府采购供应商注册登记管理办法》（锡财购〔2012〕3号）要求加入供应商库的，可注册入库成功后，从网上下载打印《无锡市政府采购注册供应商资格信息登记表》（以下简称信息登记表），并经法定代表人签字和加盖公章后,可作为供应商响应文件的有效组成部分提交采购代理机构。信息登记表所记录的信息如能反映报价供应商具备对应资格条件项的，在本项目评审时，可凭该信息登记表免于提供相应的资格证明材料的原件或公证件，否则必须按要求提供相应的资格证明材料原件或公证件。</w:t>
      </w:r>
    </w:p>
    <w:p>
      <w:pPr>
        <w:spacing w:line="360" w:lineRule="auto"/>
        <w:ind w:firstLine="564" w:firstLineChars="235"/>
        <w:rPr>
          <w:rFonts w:ascii="宋体" w:hAnsi="宋体" w:cs="宋体"/>
          <w:bCs/>
          <w:color w:val="auto"/>
          <w:sz w:val="24"/>
          <w:highlight w:val="none"/>
        </w:rPr>
      </w:pPr>
      <w:r>
        <w:rPr>
          <w:rFonts w:hint="eastAsia" w:ascii="宋体" w:hAnsi="宋体" w:cs="宋体"/>
          <w:bCs/>
          <w:color w:val="auto"/>
          <w:sz w:val="24"/>
          <w:highlight w:val="none"/>
        </w:rPr>
        <w:t>上述资格、资信证明文件供应商必须按要求全部提供，要求提交的原件或公证件必须与响应文件同时提交，如果原件正在年检（或换证），则必须提供法定年检（或换证）单位出具的有效证明原件，否则响应文件无效。如上述资格、资信证明文件遇有国家相关政策规定可不具备的，必须提供相关政策规定或相关单位出具的有效证明复印件。供应商法定代表人或法定代表人授权代表为外籍、港、澳、台地区人士的，其身份证明须提供有效的护照或港澳同胞来往内地通行证、台湾同胞来往大陆通行证，或其他可在中国大陆有效居留的许可证明。</w:t>
      </w:r>
    </w:p>
    <w:p>
      <w:pPr>
        <w:widowControl/>
        <w:tabs>
          <w:tab w:val="left" w:pos="0"/>
        </w:tabs>
        <w:spacing w:line="360" w:lineRule="auto"/>
        <w:ind w:firstLine="424" w:firstLineChars="177"/>
        <w:jc w:val="left"/>
        <w:rPr>
          <w:rFonts w:ascii="宋体" w:hAnsi="宋体" w:cs="宋体"/>
          <w:color w:val="auto"/>
          <w:kern w:val="0"/>
          <w:sz w:val="24"/>
          <w:highlight w:val="none"/>
        </w:rPr>
      </w:pPr>
      <w:r>
        <w:rPr>
          <w:rFonts w:hint="eastAsia" w:ascii="宋体" w:hAnsi="宋体" w:cs="宋体"/>
          <w:color w:val="auto"/>
          <w:sz w:val="24"/>
          <w:highlight w:val="none"/>
        </w:rPr>
        <w:t>1.2</w:t>
      </w:r>
      <w:r>
        <w:rPr>
          <w:rFonts w:hint="eastAsia" w:ascii="宋体" w:hAnsi="宋体" w:cs="宋体"/>
          <w:color w:val="auto"/>
          <w:kern w:val="0"/>
          <w:sz w:val="24"/>
          <w:highlight w:val="none"/>
        </w:rPr>
        <w:t>补充证明文件：</w:t>
      </w:r>
    </w:p>
    <w:p>
      <w:pPr>
        <w:widowControl/>
        <w:tabs>
          <w:tab w:val="left" w:pos="0"/>
        </w:tabs>
        <w:spacing w:line="360" w:lineRule="auto"/>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（1）供应商简介和经营情况说明；</w:t>
      </w:r>
    </w:p>
    <w:p>
      <w:pPr>
        <w:widowControl/>
        <w:tabs>
          <w:tab w:val="left" w:pos="0"/>
        </w:tabs>
        <w:spacing w:line="360" w:lineRule="auto"/>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（2）供应商认为必须提供的其他证明材料。</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2．响应函部分（格式见附件）：</w:t>
      </w:r>
    </w:p>
    <w:p>
      <w:pPr>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（1）响应函；</w:t>
      </w:r>
    </w:p>
    <w:p>
      <w:pPr>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（2）开标一览表；</w:t>
      </w:r>
    </w:p>
    <w:p>
      <w:pPr>
        <w:spacing w:line="36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（3）项目管理机构配备情况；</w:t>
      </w:r>
    </w:p>
    <w:p>
      <w:pPr>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1）项目管理机构配备情况表；</w:t>
      </w:r>
    </w:p>
    <w:p>
      <w:pPr>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2）项目负责人简历表；</w:t>
      </w:r>
    </w:p>
    <w:p>
      <w:pPr>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3）项目技术负责人简历表；</w:t>
      </w:r>
    </w:p>
    <w:p>
      <w:pPr>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4）项目管理机构配备情况辅助说明资料；</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3.报价部分（格式见附件）；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一、投标总价                                     表1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color w:val="auto"/>
          <w:kern w:val="0"/>
          <w:sz w:val="24"/>
          <w:highlight w:val="none"/>
        </w:rPr>
        <w:t>建设项目投标报价汇总表</w:t>
      </w:r>
      <w:r>
        <w:rPr>
          <w:rFonts w:hint="eastAsia" w:ascii="宋体" w:hAnsi="宋体" w:cs="宋体"/>
          <w:color w:val="auto"/>
          <w:sz w:val="24"/>
          <w:highlight w:val="none"/>
        </w:rPr>
        <w:t xml:space="preserve">                       表2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w:t>
      </w:r>
      <w:r>
        <w:rPr>
          <w:rFonts w:hint="eastAsia" w:ascii="宋体" w:hAnsi="宋体" w:cs="宋体"/>
          <w:color w:val="auto"/>
          <w:kern w:val="0"/>
          <w:sz w:val="24"/>
          <w:highlight w:val="none"/>
        </w:rPr>
        <w:t>单项工程投标报价汇总表</w:t>
      </w:r>
      <w:r>
        <w:rPr>
          <w:rFonts w:hint="eastAsia" w:ascii="宋体" w:hAnsi="宋体" w:cs="宋体"/>
          <w:color w:val="auto"/>
          <w:sz w:val="24"/>
          <w:highlight w:val="none"/>
        </w:rPr>
        <w:t xml:space="preserve">                       表3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w:t>
      </w:r>
      <w:r>
        <w:rPr>
          <w:rFonts w:hint="eastAsia" w:ascii="宋体" w:hAnsi="宋体" w:cs="宋体"/>
          <w:color w:val="auto"/>
          <w:kern w:val="0"/>
          <w:sz w:val="24"/>
          <w:highlight w:val="none"/>
        </w:rPr>
        <w:t>单位工程投标报价汇总表</w:t>
      </w:r>
      <w:r>
        <w:rPr>
          <w:rFonts w:hint="eastAsia" w:ascii="宋体" w:hAnsi="宋体" w:cs="宋体"/>
          <w:color w:val="auto"/>
          <w:sz w:val="24"/>
          <w:highlight w:val="none"/>
        </w:rPr>
        <w:t xml:space="preserve">                       表4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五、分部分项工程和单价措施项目清单与计价表       表5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w:t>
      </w:r>
      <w:r>
        <w:rPr>
          <w:rFonts w:hint="eastAsia" w:ascii="宋体" w:hAnsi="宋体" w:cs="宋体"/>
          <w:color w:val="auto"/>
          <w:kern w:val="0"/>
          <w:sz w:val="24"/>
          <w:highlight w:val="none"/>
        </w:rPr>
        <w:t xml:space="preserve">综合单价分析表 </w:t>
      </w:r>
      <w:r>
        <w:rPr>
          <w:rFonts w:hint="eastAsia" w:ascii="宋体" w:hAnsi="宋体" w:cs="宋体"/>
          <w:color w:val="auto"/>
          <w:sz w:val="24"/>
          <w:highlight w:val="none"/>
        </w:rPr>
        <w:t xml:space="preserve">                              表6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w:t>
      </w:r>
      <w:r>
        <w:rPr>
          <w:rFonts w:hint="eastAsia" w:ascii="宋体" w:hAnsi="宋体" w:cs="宋体"/>
          <w:color w:val="auto"/>
          <w:kern w:val="0"/>
          <w:sz w:val="24"/>
          <w:highlight w:val="none"/>
        </w:rPr>
        <w:t xml:space="preserve">总价措施项目清单与计价表 </w:t>
      </w:r>
      <w:r>
        <w:rPr>
          <w:rFonts w:hint="eastAsia" w:ascii="宋体" w:hAnsi="宋体" w:cs="宋体"/>
          <w:color w:val="auto"/>
          <w:sz w:val="24"/>
          <w:highlight w:val="none"/>
        </w:rPr>
        <w:t xml:space="preserve">                    表7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w:t>
      </w:r>
      <w:r>
        <w:rPr>
          <w:rFonts w:hint="eastAsia" w:ascii="宋体" w:hAnsi="宋体" w:cs="宋体"/>
          <w:color w:val="auto"/>
          <w:kern w:val="0"/>
          <w:sz w:val="24"/>
          <w:highlight w:val="none"/>
        </w:rPr>
        <w:t xml:space="preserve">其他项目清单与计价汇总表  </w:t>
      </w:r>
      <w:r>
        <w:rPr>
          <w:rFonts w:hint="eastAsia" w:ascii="宋体" w:hAnsi="宋体" w:cs="宋体"/>
          <w:color w:val="auto"/>
          <w:sz w:val="24"/>
          <w:highlight w:val="none"/>
        </w:rPr>
        <w:t xml:space="preserve">                   表8</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w:t>
      </w:r>
      <w:r>
        <w:rPr>
          <w:rFonts w:hint="eastAsia" w:ascii="宋体" w:hAnsi="宋体" w:cs="宋体"/>
          <w:color w:val="auto"/>
          <w:kern w:val="0"/>
          <w:sz w:val="24"/>
          <w:highlight w:val="none"/>
        </w:rPr>
        <w:t>暂列金额明细表</w:t>
      </w:r>
      <w:r>
        <w:rPr>
          <w:rFonts w:hint="eastAsia" w:ascii="宋体" w:hAnsi="宋体" w:cs="宋体"/>
          <w:color w:val="auto"/>
          <w:sz w:val="24"/>
          <w:highlight w:val="none"/>
        </w:rPr>
        <w:t xml:space="preserve">                               表9</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kern w:val="0"/>
          <w:sz w:val="24"/>
          <w:highlight w:val="none"/>
        </w:rPr>
        <w:t xml:space="preserve">材料（工程设备）暂估单价及调整表          </w:t>
      </w:r>
      <w:r>
        <w:rPr>
          <w:rFonts w:hint="eastAsia" w:ascii="宋体" w:hAnsi="宋体" w:cs="宋体"/>
          <w:color w:val="auto"/>
          <w:sz w:val="24"/>
          <w:highlight w:val="none"/>
        </w:rPr>
        <w:t xml:space="preserve">   表10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w:t>
      </w:r>
      <w:r>
        <w:rPr>
          <w:rFonts w:hint="eastAsia" w:ascii="宋体" w:hAnsi="宋体" w:cs="宋体"/>
          <w:color w:val="auto"/>
          <w:kern w:val="0"/>
          <w:sz w:val="24"/>
          <w:highlight w:val="none"/>
        </w:rPr>
        <w:t xml:space="preserve">专业工程暂估价及结算价表 </w:t>
      </w:r>
      <w:r>
        <w:rPr>
          <w:rFonts w:hint="eastAsia" w:ascii="宋体" w:hAnsi="宋体" w:cs="宋体"/>
          <w:color w:val="auto"/>
          <w:sz w:val="24"/>
          <w:highlight w:val="none"/>
        </w:rPr>
        <w:t xml:space="preserve">                  表11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十二、</w:t>
      </w:r>
      <w:r>
        <w:rPr>
          <w:rFonts w:hint="eastAsia" w:ascii="宋体" w:hAnsi="宋体" w:cs="宋体"/>
          <w:color w:val="auto"/>
          <w:kern w:val="0"/>
          <w:sz w:val="24"/>
          <w:highlight w:val="none"/>
        </w:rPr>
        <w:t>计日工表</w:t>
      </w:r>
      <w:r>
        <w:rPr>
          <w:rFonts w:hint="eastAsia" w:ascii="宋体" w:hAnsi="宋体" w:cs="宋体"/>
          <w:color w:val="auto"/>
          <w:sz w:val="24"/>
          <w:highlight w:val="none"/>
        </w:rPr>
        <w:t xml:space="preserve">                                   表12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十三、</w:t>
      </w:r>
      <w:r>
        <w:rPr>
          <w:rFonts w:hint="eastAsia" w:ascii="宋体" w:hAnsi="宋体" w:cs="宋体"/>
          <w:color w:val="auto"/>
          <w:kern w:val="0"/>
          <w:sz w:val="24"/>
          <w:highlight w:val="none"/>
        </w:rPr>
        <w:t>总承包服务费计价表</w:t>
      </w:r>
      <w:r>
        <w:rPr>
          <w:rFonts w:hint="eastAsia" w:ascii="宋体" w:hAnsi="宋体" w:cs="宋体"/>
          <w:color w:val="auto"/>
          <w:sz w:val="24"/>
          <w:highlight w:val="none"/>
        </w:rPr>
        <w:t xml:space="preserve">                         表13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十四、</w:t>
      </w:r>
      <w:r>
        <w:rPr>
          <w:rFonts w:hint="eastAsia" w:ascii="宋体" w:hAnsi="宋体" w:cs="宋体"/>
          <w:color w:val="auto"/>
          <w:kern w:val="0"/>
          <w:sz w:val="24"/>
          <w:highlight w:val="none"/>
        </w:rPr>
        <w:t xml:space="preserve">规费、税金项目计价表    </w:t>
      </w:r>
      <w:r>
        <w:rPr>
          <w:rFonts w:hint="eastAsia" w:ascii="宋体" w:hAnsi="宋体" w:cs="宋体"/>
          <w:color w:val="auto"/>
          <w:sz w:val="24"/>
          <w:highlight w:val="none"/>
        </w:rPr>
        <w:t xml:space="preserve">                   表14</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十五、</w:t>
      </w:r>
      <w:r>
        <w:rPr>
          <w:rFonts w:hint="eastAsia" w:ascii="宋体" w:hAnsi="宋体" w:cs="宋体"/>
          <w:color w:val="auto"/>
          <w:kern w:val="0"/>
          <w:sz w:val="24"/>
          <w:highlight w:val="none"/>
        </w:rPr>
        <w:t>总价项目进度款支付分解表</w:t>
      </w:r>
      <w:r>
        <w:rPr>
          <w:rFonts w:hint="eastAsia" w:ascii="宋体" w:hAnsi="宋体" w:cs="宋体"/>
          <w:color w:val="auto"/>
          <w:sz w:val="24"/>
          <w:highlight w:val="none"/>
        </w:rPr>
        <w:t xml:space="preserve">                   表15</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 xml:space="preserve">十六、发包人提供材料和工程设备一览表             </w:t>
      </w:r>
      <w:r>
        <w:rPr>
          <w:rFonts w:hint="eastAsia" w:ascii="宋体" w:hAnsi="宋体" w:cs="宋体"/>
          <w:color w:val="auto"/>
          <w:sz w:val="24"/>
          <w:highlight w:val="none"/>
        </w:rPr>
        <w:t>表16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十七、承包人提供主要材料和工程设备一览表（适用造价信息差额调整法）表17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十八、承包人提供主要材料和工程设备一览表（适用于价格指数差额调整法）  表18</w:t>
      </w:r>
    </w:p>
    <w:p>
      <w:pPr>
        <w:spacing w:line="360" w:lineRule="auto"/>
        <w:ind w:firstLine="480" w:firstLineChars="200"/>
        <w:rPr>
          <w:color w:val="auto"/>
          <w:sz w:val="24"/>
          <w:highlight w:val="none"/>
        </w:rPr>
      </w:pPr>
      <w:r>
        <w:rPr>
          <w:rFonts w:hint="eastAsia"/>
          <w:color w:val="auto"/>
          <w:sz w:val="24"/>
          <w:highlight w:val="none"/>
        </w:rPr>
        <w:t>十九、供应商选定品牌表                           表19</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暗标部分：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4.技术文件</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（1）总体概述：施工组织总体设想、方案针对性及施工段划分； </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（2）施工现场平面布置和临时设施、临时道路布置；  </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（3）施工进度计划和各阶段进度的保证措施；  </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（4）各分部分项工程的施工方案及质量保证措施； </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（5）安全文明施工及环境保护措施；</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（6）劳动力、机械设备和材料投入计划；</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（六）磋商报价说明：  </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（1）本工程的报价应采用《建设工程工程量清单计价规范》(GB50500-2013)及其9本工程量计算规范规定的工程量清单计价格式。</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供应商的报价的总额应是报价供应商在响应文件中提出的各项支付金额的总和，也应是完成磋商文件工程量清单计价所列项目的全部费用。包括分部分项工程费、措施项目费、其他项目费、规费和税金。综合单价包括完成工程量清单中一个规定计量单位项目所需的人工、材料费、机械使用费，管理费和利润并考虑风险因素。总之投标报价应为完成该项目的全部费用。包括工完清场、移交竣工验收、保修期满。</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本工程磋商文件所提供的工程量清单是按照《建设工程工程量清单计价规范》(GB50500-2013)及其9本工程量计算规范和施工图设计计算确定。对于工程量清单中未提供齐全，而本磋商文件中所确定的招标范围所提供的全套设计图中已明确包含的工程内容，报价供应商可以按统一的工程量计算规则计算后，在发标后3天内以书面形式提供给采购人，采购人在收到书面资料后2天内将可以增列的项目或修改的数量以修正文件形式书面通知报价供应商。但是不论工程量清单数量与设计图数量是否一致，报价供应商只能以采购人发放的工程量清单及修正文件进行投标报价。工程数量与实际施工量不一致时，工程数量可按实调整。</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除非采购人对磋商文件予以修改，报价供应商应按采购人提供的工程量清单及其计价格式，填报单价和合价。报价供应商未填单价或合价的工程项目，视为该项目费用已包括在其他有价款的单价或合价内，在实施后，采购人将不另行支付。如实际施工的工程量与采购人提供的工程量清单中的数量不一致时，量差部分结算时可按实调整，每一项目只允许有一个报价。任何有选择的报价将不予接受。</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5）所有的施工方案的费用以及按国家标准或施工验收规范要求对材料、构件进行质量检测或检测所需的试验、检测费用应列入投标单位认为合适的细目中，在工程量清单分析中反映出来。工程量清单分析中未列细目的，其施工方案费用及试验、检测费用应被视为已分摊在投标单位认为合适的细目报价中。</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报价供应商应结合本企业的技术水平，管理水平和拟定的施工方案自主报价，人工、材料、机械台班单价，管理费、利润措施费都可以自主确定。消耗用量也可适当调正，但定额编号、子目工作内容、工程量计算规则、措施费划分以及规费、税金的计取应按规定执行。</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（7）报价供应商不得改变不可竞争费用标准收取：现场安全文明施工措施费、规费、税金、磋商文件中已明确的材料设备及暂定费用、其他法律法规规定不可竞争的费用。如改变不可竞争费用的按无效标处理。</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8）各种材料的价格当采购人未提供价格时，由报价供应商自行进行市场调查后决定报投标价，但各报价供应商应充分考虑在工程建设周期内市场价格的波动风险，一经报价确认，结算时涨跌不超过5%部分将不作调整，超过部分根据相关约定执行。当采购人对部分材料提供暂定价格时，报价供应商投标报价时不得以任何理由更改暂定价格，否则作无效标处理。</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9）报价供应商应根据施工现场的实际情况、本磋商文件中载明的施工组织要求、现场的交通管制条件、文明施工要求和各自的施工经验确定合理的施工组织方案，自主合理报价。各报价供应商应认真踏勘现场，充分考虑临时用地(采购人无偿提供定点线内土地可供临时使用)、临时通道、临时排水、临时路灯等因素，并对工程车辆行驶线路认真踏勘，预计可能发生的费用，均可列入，凡未列的一旦发生，将视为由报价的成交供应商自理。</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（10）报价时各单位工程中同一清单子目对应的综合单价报价应保持一致，如不一致，成交单位今后结算审计时以所报综合单价中最低的作为结算依据。</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经磋商小组认定供应商的投标报价明显低于其他通过符合性审查报价供应商的报价，有可能影响产品质量或者不能诚信履约的，供应商报价不得低于成本价，供应商必须在一小时内提供书面说明，必要时提交相关证明材料以证明其报价合理性。供应商不能证明其报价合理性的，磋商小组应当将其作为无效投标处理。</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（12）本项目计税方法为营改增后的一般计税方法。</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（七）响应文件的要求：</w:t>
      </w:r>
    </w:p>
    <w:p>
      <w:pPr>
        <w:spacing w:line="360" w:lineRule="auto"/>
        <w:ind w:firstLine="482" w:firstLineChars="200"/>
        <w:rPr>
          <w:rFonts w:ascii="宋体" w:hAnsi="宋体"/>
          <w:bCs/>
          <w:color w:val="auto"/>
          <w:sz w:val="24"/>
          <w:highlight w:val="none"/>
        </w:rPr>
      </w:pPr>
      <w:r>
        <w:rPr>
          <w:rFonts w:hint="eastAsia" w:ascii="宋体" w:hAnsi="宋体"/>
          <w:b/>
          <w:bCs/>
          <w:color w:val="auto"/>
          <w:sz w:val="24"/>
          <w:highlight w:val="none"/>
        </w:rPr>
        <w:t>1.明标部分响应文件的要求</w:t>
      </w:r>
      <w:r>
        <w:rPr>
          <w:rFonts w:hint="eastAsia" w:ascii="宋体" w:hAnsi="宋体"/>
          <w:bCs/>
          <w:color w:val="auto"/>
          <w:sz w:val="24"/>
          <w:highlight w:val="none"/>
        </w:rPr>
        <w:t>：</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1.1明标部分响应文件应为纸质文件,所有文件、往来函件均应使用简体中文（规格、型号辅助符号例外）。</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1.2明标部分响应文件由报价供应商按给定格式如实填写（编写），须有法人（盖章）、法定代表人或被授权代表签字或盖章，方为有效，未尽事宜可自行补充。明标部分响应文件正文打印一律使用普白办公用纸,A4，竖排版面。</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1.3明标部分响应文件的格式部分，应由报价供应商按磋商文件给定格式制作。</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1.4明标部分响应文件应打印或使用不褪色的黑色墨水书写。</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1.5明标部分响应文件统一按照响应文件组成格式中的顺序制作，并请编制目录及页码。</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1.6 明标部分响应文件份数为正本壹份，副本叁份，共肆份。须各自装订成册。</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报价供应商应分标段将明标部分正本、电子光盘【报价部分：清单部分刻盘格式为江苏省格式（13JSTB/光盘）,汇总表及品牌表以word格式】密封在一个封袋中并在封袋上清楚地标明“明标正本”，将明标部分所有副本密封在另一个封袋中并在密封袋上清楚地标明</w:t>
      </w:r>
      <w:r>
        <w:rPr>
          <w:rFonts w:ascii="宋体" w:hAnsi="宋体"/>
          <w:b/>
          <w:bCs/>
          <w:color w:val="auto"/>
          <w:sz w:val="24"/>
          <w:highlight w:val="none"/>
        </w:rPr>
        <w:t xml:space="preserve"> “</w:t>
      </w:r>
      <w:r>
        <w:rPr>
          <w:rFonts w:hint="eastAsia" w:ascii="宋体" w:hAnsi="宋体"/>
          <w:b/>
          <w:bCs/>
          <w:color w:val="auto"/>
          <w:sz w:val="24"/>
          <w:highlight w:val="none"/>
        </w:rPr>
        <w:t>明标副本</w:t>
      </w:r>
      <w:r>
        <w:rPr>
          <w:rFonts w:ascii="宋体" w:hAnsi="宋体"/>
          <w:b/>
          <w:bCs/>
          <w:color w:val="auto"/>
          <w:sz w:val="24"/>
          <w:highlight w:val="none"/>
        </w:rPr>
        <w:t>”</w:t>
      </w:r>
      <w:r>
        <w:rPr>
          <w:rFonts w:hint="eastAsia" w:ascii="宋体" w:hAnsi="宋体"/>
          <w:b/>
          <w:bCs/>
          <w:color w:val="auto"/>
          <w:sz w:val="24"/>
          <w:highlight w:val="none"/>
        </w:rPr>
        <w:t>。</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1.7报价</w:t>
      </w:r>
      <w:r>
        <w:rPr>
          <w:rFonts w:hint="eastAsia" w:ascii="宋体" w:hAnsi="宋体"/>
          <w:color w:val="auto"/>
          <w:sz w:val="24"/>
          <w:highlight w:val="none"/>
        </w:rPr>
        <w:t>供应商报价一律以人民币为报价结算货币，结算单位为“元”。</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1.8上述明标部分响应文件封袋的封口处应加盖报价供应商印章。密封袋上还均应注明采购编号、项目名称、</w:t>
      </w:r>
      <w:r>
        <w:rPr>
          <w:rFonts w:hint="eastAsia" w:ascii="宋体" w:hAnsi="宋体"/>
          <w:color w:val="auto"/>
          <w:sz w:val="24"/>
          <w:highlight w:val="none"/>
        </w:rPr>
        <w:t>报价供应商</w:t>
      </w:r>
      <w:r>
        <w:rPr>
          <w:rFonts w:hint="eastAsia" w:ascii="宋体" w:hAnsi="宋体"/>
          <w:bCs/>
          <w:color w:val="auto"/>
          <w:sz w:val="24"/>
          <w:highlight w:val="none"/>
        </w:rPr>
        <w:t>名称、标段。</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1.9响应文件不应有涂改、增删和潦草之处，如有必须修改时，修改处必须有法定代表人或被授权代表的签字或盖章。</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 暗标部分响应文件的要求：</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2.1暗标部分响应文件为纸质文件。</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2.2暗标部分纸质的响应文件由报价供应商按给定格式如实编写，应使用简体中文（辅助符号例外）。</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2.3暗标部分纸质的响应文件应单面打印，不得双面打印及手工书写。</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2.4暗标部分纸质的响应文件按照暗标部分的组成规定的顺序制作，并编制目录及页码，装订成册。暗标编制、装订要求规定如下（给定格式除外）：</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2.4.1 暗标需单独成册，不得有分册。暗标的封面、封底及目录由采购代理机构提供统一格式（PDF版），纸张要求：普白办公用纸。暗标装订夹采用采购代理机构提供的统一样品（铁皮盖板式装订夹）</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 xml:space="preserve">2.4.2暗标中不得出现报价供应商名称、人员姓名；要求版面整洁、字迹清楚、不许涂改，不得出现能显示企业特征或其他提示性的标记或标识，也不得采用任何不符合常规、有别于其他报价供应商的特殊做法。 </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2.4.3排版要求：使用word文件形式，A4白色复印纸单面黑色打印，字体为小四号宋体，不得出现手写，单倍行间距，不得有任何加粗、斜体、下划线、边框、底纹、阴影等标记，不得设置页眉，页脚只准出现页码，采用小5号阿拉伯数字格式，设在页脚对中位置，页码应当连续，不得有空白页，装订必须在左侧装订。</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2.4.4网络图、平面图、进度表用A3纸单面黑色打印，图表中字体用宋体字，字号不作限制。</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2.5 技术文件（暗标）正本、电子光盘（其他内容）密封在一个封袋中并在密封袋上清楚地标明“技术文件正本”，将技术文件（暗标）所有副本密封在另一个封袋中并在密封袋上清楚地标明“技术文件副本”；</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上述暗标部分响应文件封袋的封口处应加盖报价供应商印章。密封袋上还均应注明采购编号、项目名称、报价供应商名称。</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 xml:space="preserve">3. </w:t>
      </w:r>
      <w:r>
        <w:rPr>
          <w:rFonts w:hint="eastAsia" w:ascii="宋体" w:hAnsi="宋体"/>
          <w:b/>
          <w:color w:val="auto"/>
          <w:sz w:val="24"/>
          <w:highlight w:val="none"/>
        </w:rPr>
        <w:t>磋商文件中证明文件部分及评标办法中所需提供的原件资料需单独密封在封袋中，并在密封袋上清楚地标明“原件资料”；被授权代表身份证随身携带，不放入原件密封袋。</w:t>
      </w:r>
    </w:p>
    <w:p>
      <w:pPr>
        <w:tabs>
          <w:tab w:val="left" w:pos="0"/>
        </w:tabs>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注：1.封袋：包含档案袋、封盒、牛皮纸等密封形式。</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磋商费用自理。</w:t>
      </w:r>
    </w:p>
    <w:p>
      <w:pPr>
        <w:tabs>
          <w:tab w:val="left" w:pos="945"/>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（八） 无效响应文件的确认：</w:t>
      </w:r>
    </w:p>
    <w:p>
      <w:pPr>
        <w:tabs>
          <w:tab w:val="left" w:pos="945"/>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报价供应商有下列情况之一者，响应文件无效：</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响应文件未按规定的期限、地点送达的；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响应文件未按要求密封、签署、盖章的；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报价供应商的法定代表人或法定代表人授权代表，未准时参加磋商会议的；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报价供应商的法定代表人授权代表，无法定代表人授权委托书的；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不具备磋商文件中规定的资格要求及未按磋商文件规定的要求提供资格证明文件的；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响应文件含有采购人不能接受的附加条件的；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响应文件未按磋商文件规定的格式、内容和要求填写、制作的；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响应文件书写潦草、字迹模糊不清、无法辨认的；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响应文件中有磋商文件未允许提供的选择性内容的；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恶意串通其他报价供应商，故意哄抬价格或压价的；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提供虚假材料的（包括工商营业执照、财务报表、资格证明文件等）；</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商务标（明标）和技术标（暗标）未分别制作、装订、密封包装的；</w:t>
      </w:r>
    </w:p>
    <w:p>
      <w:pPr>
        <w:numPr>
          <w:ilvl w:val="0"/>
          <w:numId w:val="2"/>
        </w:numPr>
        <w:spacing w:line="360" w:lineRule="auto"/>
        <w:ind w:left="0" w:firstLine="480" w:firstLineChars="200"/>
        <w:rPr>
          <w:color w:val="auto"/>
          <w:sz w:val="24"/>
          <w:highlight w:val="none"/>
        </w:rPr>
      </w:pPr>
      <w:r>
        <w:rPr>
          <w:rFonts w:hint="eastAsia" w:ascii="宋体" w:hAnsi="宋体"/>
          <w:color w:val="auto"/>
          <w:sz w:val="24"/>
          <w:highlight w:val="none"/>
        </w:rPr>
        <w:t>响应文件商务标（明标）未加盖报价供应商公章及法定代表人或授权代表签字和盖章的；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不同报价供应商响应文件相互混装的；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不同报价供应商响应文件中的项目相关人员出现同一人的；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不同报价供应商聘请同一人为其报价提供技术或经济咨询服务的；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不同报价供应商的单位负责人为同一人或者存在直接控股、管理关系的；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报价供应商为本项目提供整体设计、规范编制或者项目管理、监理、检测等服务的；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不同报价供应商的响应文件异常一致或者投标报价呈规律性差异；</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响应文件商务标（明标）中同一方案有选择性报价且未声明以哪一个为准的；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技术标（暗标）中出现该报价供应商单位名称、简称、人员姓名、Logo、商标、电话号码等任何标识标记及其他暗示性标志的；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 xml:space="preserve"> 改变磋商文件规定的暂定价格或不可竞争费用的；改变磋商文件规定的工期、误期违约金 、质量标准及质量违约金的；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商务标（明标）和技术标（暗标），其中某一标被本项目磋商小组确认为无效响应文件的；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改变磋商文件提供的工程量清单中的清单编码、计量单位、工程数量、项目特征；</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未按要求提供技术文件的；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未按要求提供电子版或电子版内容不全、格式不符要求的；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项目负责人有在建的；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响应文件报价出现前后不一致，报价供应商拒不确认修正后的报价的；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超过磋商文件规定的最高限价的；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磋商小组认为报价供应商的报价明显低于其他通过符合性审查报价供应商的报价，有可能影响产品质量或者不能诚信履约的或者低于成本价的，要求其在评标现场一小时内提供书面说明，必要时提交相关证明材料；报价供应商不能证明其报价合理性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未通过初步资格性审查、响应文件资格性检查、 响应文件符合性检查的；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列入失信被执行人、重大税收违法案件当事人名单、政府采购严重违法失信行为记录名单及其他不符合《中华人民共和国政府采购法》第二十二条规定条件的；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bCs/>
          <w:color w:val="auto"/>
          <w:sz w:val="24"/>
          <w:highlight w:val="none"/>
        </w:rPr>
        <w:t>未按要求提供技术文件，技术文件编制粗糙、缺漏项、格式混乱、条例不清的</w:t>
      </w:r>
      <w:r>
        <w:rPr>
          <w:rFonts w:hint="eastAsia" w:ascii="宋体" w:hAnsi="宋体"/>
          <w:color w:val="auto"/>
          <w:sz w:val="24"/>
          <w:highlight w:val="none"/>
        </w:rPr>
        <w:t>；</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报价供应商的报价畸高或畸低，在询标时没有合理的解释或者不能提供计算依据和报价依据的；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不同报价供应商的响应文件的装订形式、纸张情况、目录序号、排版格式、文字风格等存在明显的相似性或一致性，特征显示由同一单位或者同一个人编制的；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不同报价供应商响应文件内容存在非正常一致、项目组成员或者联系人员出现同一人、响应文件中错误（或异常）一致或雷同、电子文档信息一致或雷同的；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不同报价供应商的委托代理人、项目负责人以及其他相关人员有在同一个单位缴纳社会保险的；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同一响应文件中单位名称落款与公章不是同一单位的；</w:t>
      </w:r>
    </w:p>
    <w:p>
      <w:pPr>
        <w:numPr>
          <w:ilvl w:val="0"/>
          <w:numId w:val="2"/>
        </w:numPr>
        <w:spacing w:line="360" w:lineRule="auto"/>
        <w:ind w:left="0" w:firstLine="480" w:firstLineChars="200"/>
        <w:rPr>
          <w:rFonts w:ascii="宋体" w:hAnsi="宋体"/>
          <w:color w:val="auto"/>
          <w:sz w:val="24"/>
          <w:highlight w:val="none"/>
        </w:rPr>
      </w:pPr>
      <w:r>
        <w:rPr>
          <w:rFonts w:hint="eastAsia" w:ascii="宋体" w:hAnsi="宋体"/>
          <w:color w:val="auto"/>
          <w:sz w:val="24"/>
          <w:highlight w:val="none"/>
        </w:rPr>
        <w:t>不同报价供应商委托同一单位或者个人办理报价事宜的；</w:t>
      </w:r>
    </w:p>
    <w:p>
      <w:pPr>
        <w:numPr>
          <w:ilvl w:val="0"/>
          <w:numId w:val="2"/>
        </w:numPr>
        <w:tabs>
          <w:tab w:val="left" w:pos="945"/>
          <w:tab w:val="clear" w:pos="900"/>
        </w:tabs>
        <w:spacing w:line="360" w:lineRule="auto"/>
        <w:ind w:left="0" w:firstLine="480" w:firstLineChars="200"/>
        <w:rPr>
          <w:rFonts w:ascii="宋体" w:hAnsi="宋体"/>
          <w:color w:val="auto"/>
          <w:sz w:val="24"/>
          <w:szCs w:val="22"/>
          <w:highlight w:val="none"/>
        </w:rPr>
      </w:pPr>
      <w:r>
        <w:rPr>
          <w:rFonts w:hint="eastAsia" w:ascii="宋体" w:hAnsi="宋体"/>
          <w:color w:val="auto"/>
          <w:sz w:val="24"/>
          <w:szCs w:val="22"/>
          <w:highlight w:val="none"/>
        </w:rPr>
        <w:t>响应文件内容不全或不符合法律法规和磋商文件中规定的其他实质性要求的。</w:t>
      </w:r>
    </w:p>
    <w:p>
      <w:pPr>
        <w:numPr>
          <w:ilvl w:val="0"/>
          <w:numId w:val="2"/>
        </w:numPr>
        <w:tabs>
          <w:tab w:val="left" w:pos="945"/>
          <w:tab w:val="clear" w:pos="900"/>
        </w:tabs>
        <w:spacing w:line="360" w:lineRule="auto"/>
        <w:ind w:left="0" w:firstLine="480" w:firstLineChars="200"/>
        <w:rPr>
          <w:rFonts w:ascii="宋体" w:hAnsi="宋体"/>
          <w:color w:val="auto"/>
          <w:sz w:val="24"/>
          <w:szCs w:val="22"/>
          <w:highlight w:val="none"/>
        </w:rPr>
      </w:pPr>
      <w:r>
        <w:rPr>
          <w:rFonts w:hint="eastAsia" w:ascii="宋体" w:hAnsi="宋体"/>
          <w:color w:val="auto"/>
          <w:sz w:val="24"/>
          <w:highlight w:val="none"/>
        </w:rPr>
        <w:t>供应商参加本项目多个标段磋商而提供的《成交标段优先顺序承诺函》内容不完全一致的</w:t>
      </w:r>
      <w:r>
        <w:rPr>
          <w:rFonts w:hint="eastAsia" w:ascii="宋体" w:hAnsi="宋体"/>
          <w:color w:val="auto"/>
          <w:sz w:val="24"/>
          <w:szCs w:val="22"/>
          <w:highlight w:val="none"/>
        </w:rPr>
        <w:t>。</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（九）评审程序、方法和标准：</w:t>
      </w:r>
    </w:p>
    <w:p>
      <w:pPr>
        <w:numPr>
          <w:ilvl w:val="1"/>
          <w:numId w:val="3"/>
        </w:numPr>
        <w:tabs>
          <w:tab w:val="left" w:pos="525"/>
          <w:tab w:val="left" w:pos="1050"/>
          <w:tab w:val="clear" w:pos="1290"/>
        </w:tabs>
        <w:spacing w:line="360" w:lineRule="auto"/>
        <w:ind w:left="0" w:firstLine="480" w:firstLineChars="200"/>
        <w:rPr>
          <w:rFonts w:ascii="宋体" w:hAnsi="宋体"/>
          <w:bCs/>
          <w:color w:val="auto"/>
          <w:sz w:val="24"/>
          <w:highlight w:val="none"/>
        </w:rPr>
      </w:pPr>
      <w:r>
        <w:rPr>
          <w:rFonts w:hint="eastAsia" w:ascii="宋体" w:hAnsi="宋体"/>
          <w:bCs/>
          <w:color w:val="auto"/>
          <w:sz w:val="24"/>
          <w:highlight w:val="none"/>
        </w:rPr>
        <w:t>由专家及采购人代表组成磋商小组，并实行回避制度。</w:t>
      </w:r>
    </w:p>
    <w:p>
      <w:pPr>
        <w:numPr>
          <w:ilvl w:val="1"/>
          <w:numId w:val="3"/>
        </w:numPr>
        <w:tabs>
          <w:tab w:val="left" w:pos="525"/>
          <w:tab w:val="left" w:pos="1050"/>
          <w:tab w:val="clear" w:pos="1290"/>
        </w:tabs>
        <w:spacing w:line="360" w:lineRule="auto"/>
        <w:ind w:left="0" w:firstLine="480" w:firstLineChars="200"/>
        <w:rPr>
          <w:rFonts w:ascii="宋体" w:hAnsi="宋体"/>
          <w:bCs/>
          <w:color w:val="auto"/>
          <w:sz w:val="24"/>
          <w:highlight w:val="none"/>
        </w:rPr>
      </w:pPr>
      <w:r>
        <w:rPr>
          <w:rFonts w:hint="eastAsia" w:ascii="宋体" w:hAnsi="宋体"/>
          <w:bCs/>
          <w:color w:val="auto"/>
          <w:sz w:val="24"/>
          <w:highlight w:val="none"/>
        </w:rPr>
        <w:t>响应文件的评审依据：</w:t>
      </w:r>
    </w:p>
    <w:p>
      <w:pPr>
        <w:tabs>
          <w:tab w:val="left" w:pos="630"/>
          <w:tab w:val="left" w:pos="1155"/>
          <w:tab w:val="left" w:pos="1320"/>
          <w:tab w:val="left" w:pos="1365"/>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2.1响应文件的纸质文件,正本与副本不符，以正本为准；</w:t>
      </w:r>
    </w:p>
    <w:p>
      <w:pPr>
        <w:tabs>
          <w:tab w:val="left" w:pos="630"/>
          <w:tab w:val="left" w:pos="1155"/>
          <w:tab w:val="left" w:pos="1320"/>
          <w:tab w:val="left" w:pos="1365"/>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2.2响应文件报价出现前后不一致的，除磋商文件另有规定外，按照下列规定修正：</w:t>
      </w:r>
    </w:p>
    <w:p>
      <w:pPr>
        <w:tabs>
          <w:tab w:val="left" w:pos="630"/>
          <w:tab w:val="left" w:pos="1155"/>
          <w:tab w:val="left" w:pos="1320"/>
          <w:tab w:val="left" w:pos="1365"/>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2.2.1响应文件中开标一览表（报价表）内容与响应文件中相应内容不一致的，以开标一览表（报价表）为准；</w:t>
      </w:r>
    </w:p>
    <w:p>
      <w:pPr>
        <w:tabs>
          <w:tab w:val="left" w:pos="630"/>
          <w:tab w:val="left" w:pos="1155"/>
          <w:tab w:val="left" w:pos="1320"/>
          <w:tab w:val="left" w:pos="1365"/>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2.2.2大写金额和小写金额不一致的，以大写金额为准；</w:t>
      </w:r>
    </w:p>
    <w:p>
      <w:pPr>
        <w:tabs>
          <w:tab w:val="left" w:pos="630"/>
          <w:tab w:val="left" w:pos="1155"/>
          <w:tab w:val="left" w:pos="1320"/>
          <w:tab w:val="left" w:pos="1365"/>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2.2.3商务标（明标）和技术标（暗标）的纸质文件,正本与副本不符，以正本为准</w:t>
      </w:r>
    </w:p>
    <w:p>
      <w:pPr>
        <w:tabs>
          <w:tab w:val="left" w:pos="630"/>
          <w:tab w:val="left" w:pos="1155"/>
          <w:tab w:val="left" w:pos="1320"/>
          <w:tab w:val="left" w:pos="1365"/>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2.2.4单价金额小数点或者百分比有明显错位的，以开标一览表的总价为准，并修改单价；</w:t>
      </w:r>
    </w:p>
    <w:p>
      <w:pPr>
        <w:tabs>
          <w:tab w:val="left" w:pos="630"/>
          <w:tab w:val="left" w:pos="1155"/>
          <w:tab w:val="left" w:pos="1320"/>
          <w:tab w:val="left" w:pos="1365"/>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2.2.5总价金额与按单价汇总金额不一致的，以单价金额计算结果为准。</w:t>
      </w:r>
    </w:p>
    <w:p>
      <w:pPr>
        <w:tabs>
          <w:tab w:val="left" w:pos="630"/>
          <w:tab w:val="left" w:pos="1155"/>
          <w:tab w:val="left" w:pos="1320"/>
          <w:tab w:val="left" w:pos="1365"/>
        </w:tabs>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同时出现两种以上不一致的，按照前款规定的顺序修正。修正后的报价参照《财政部关于印发《政府采购竞争性磋商采购方式管理暂行办法》的通知》第十八条第二款的规定经报价人确认后产生约束力，报价人不确认的，其投标无效。</w:t>
      </w:r>
    </w:p>
    <w:p>
      <w:pPr>
        <w:numPr>
          <w:ilvl w:val="1"/>
          <w:numId w:val="3"/>
        </w:numPr>
        <w:tabs>
          <w:tab w:val="left" w:pos="525"/>
          <w:tab w:val="left" w:pos="840"/>
          <w:tab w:val="left" w:pos="1050"/>
          <w:tab w:val="clear" w:pos="1290"/>
        </w:tabs>
        <w:spacing w:line="360" w:lineRule="auto"/>
        <w:ind w:left="0" w:firstLine="480" w:firstLineChars="200"/>
        <w:rPr>
          <w:rFonts w:ascii="宋体" w:hAnsi="宋体"/>
          <w:bCs/>
          <w:color w:val="auto"/>
          <w:sz w:val="24"/>
          <w:highlight w:val="none"/>
        </w:rPr>
      </w:pPr>
      <w:r>
        <w:rPr>
          <w:rFonts w:hint="eastAsia" w:ascii="宋体" w:hAnsi="宋体"/>
          <w:bCs/>
          <w:color w:val="auto"/>
          <w:sz w:val="24"/>
          <w:highlight w:val="none"/>
        </w:rPr>
        <w:t>开标工作程序</w:t>
      </w:r>
    </w:p>
    <w:p>
      <w:pPr>
        <w:tabs>
          <w:tab w:val="left" w:pos="840"/>
          <w:tab w:val="left" w:pos="1050"/>
        </w:tabs>
        <w:spacing w:line="360" w:lineRule="auto"/>
        <w:ind w:firstLine="480" w:firstLineChars="200"/>
        <w:rPr>
          <w:rFonts w:ascii="宋体" w:hAnsi="宋体"/>
          <w:color w:val="auto"/>
          <w:sz w:val="24"/>
          <w:szCs w:val="20"/>
          <w:highlight w:val="none"/>
        </w:rPr>
      </w:pPr>
      <w:r>
        <w:rPr>
          <w:rFonts w:hint="eastAsia" w:ascii="宋体" w:hAnsi="宋体"/>
          <w:color w:val="auto"/>
          <w:sz w:val="24"/>
          <w:szCs w:val="20"/>
          <w:highlight w:val="none"/>
        </w:rPr>
        <w:t>3.1磋商由采购人或者代理机构主持，邀请报价供应商参加。</w:t>
      </w:r>
    </w:p>
    <w:p>
      <w:pPr>
        <w:tabs>
          <w:tab w:val="left" w:pos="525"/>
          <w:tab w:val="left" w:pos="1050"/>
          <w:tab w:val="left" w:pos="1146"/>
          <w:tab w:val="left" w:pos="1288"/>
          <w:tab w:val="left" w:pos="177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凡进入开评标会议室现场的人员，参与采购活动的相关人员，应当预留进场核验时间，自觉服从采购人、采购代理机构现场安排，如实提供相关信息，自觉遵守会场纪律。进场人员应当自觉做好个人防护，自行戴好口罩、做好手部卫生消毒等。</w:t>
      </w:r>
    </w:p>
    <w:p>
      <w:pPr>
        <w:tabs>
          <w:tab w:val="left" w:pos="840"/>
          <w:tab w:val="left" w:pos="105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3.2 密封性审查：</w:t>
      </w:r>
    </w:p>
    <w:p>
      <w:pPr>
        <w:tabs>
          <w:tab w:val="left" w:pos="840"/>
          <w:tab w:val="left" w:pos="105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由报价供应商或其推选的代表检查响应文件的密封、签署、盖章情况，也可以由公证人员检查并公证；</w:t>
      </w:r>
    </w:p>
    <w:p>
      <w:pPr>
        <w:tabs>
          <w:tab w:val="left" w:pos="840"/>
          <w:tab w:val="left" w:pos="105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3.3初步资格性审查：</w:t>
      </w:r>
    </w:p>
    <w:p>
      <w:pPr>
        <w:tabs>
          <w:tab w:val="left" w:pos="840"/>
          <w:tab w:val="left" w:pos="105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由工作人员在公证或监督下，按照报价供应商签到时间顺序进行。审查内容有：</w:t>
      </w:r>
    </w:p>
    <w:p>
      <w:pPr>
        <w:tabs>
          <w:tab w:val="left" w:pos="840"/>
          <w:tab w:val="left" w:pos="105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3.3.1 报价供应商的响应文件是否规定的期限、地点送达；</w:t>
      </w:r>
    </w:p>
    <w:p>
      <w:pPr>
        <w:tabs>
          <w:tab w:val="left" w:pos="840"/>
          <w:tab w:val="left" w:pos="105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3.3.2报价供应商的法定代表人或负责人或授权代表是否准时参加开标会议。</w:t>
      </w:r>
    </w:p>
    <w:p>
      <w:pPr>
        <w:tabs>
          <w:tab w:val="left" w:pos="840"/>
          <w:tab w:val="left" w:pos="105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3.3.3 报价供应商的法定代表人授权代表是否提供有效的身份证明和法定代表人授权委托书。</w:t>
      </w:r>
    </w:p>
    <w:p>
      <w:pPr>
        <w:tabs>
          <w:tab w:val="left" w:pos="840"/>
          <w:tab w:val="left" w:pos="105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3.4编制报价供应商暗标编号</w:t>
      </w:r>
    </w:p>
    <w:p>
      <w:pPr>
        <w:tabs>
          <w:tab w:val="left" w:pos="840"/>
          <w:tab w:val="left" w:pos="1050"/>
        </w:tabs>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3.4.1由采购方人员随机编制暗标编号，并记录在暗标编号汇总表上，同时将对应的技术标（暗标正本）封存（不拆封）。技术标（暗标副本）封面上进行编号。暗标编号汇总表当场封存、专人保管，直至技术标（暗标）和商务标（明标）评审全部结束才予打开。</w:t>
      </w:r>
    </w:p>
    <w:p>
      <w:pPr>
        <w:tabs>
          <w:tab w:val="left" w:pos="840"/>
          <w:tab w:val="left" w:pos="1050"/>
        </w:tabs>
        <w:spacing w:line="360" w:lineRule="auto"/>
        <w:ind w:firstLine="480" w:firstLineChars="200"/>
        <w:rPr>
          <w:rFonts w:ascii="宋体" w:hAnsi="宋体"/>
          <w:color w:val="auto"/>
          <w:sz w:val="24"/>
          <w:highlight w:val="none"/>
        </w:rPr>
      </w:pPr>
      <w:bookmarkStart w:id="0" w:name="OLE_LINK9"/>
      <w:r>
        <w:rPr>
          <w:rFonts w:hint="eastAsia" w:ascii="宋体" w:hAnsi="宋体"/>
          <w:color w:val="auto"/>
          <w:sz w:val="24"/>
          <w:highlight w:val="none"/>
        </w:rPr>
        <w:t>3.5对响应文件进行基础性数据分析和整理工作(清标)</w:t>
      </w:r>
    </w:p>
    <w:p>
      <w:pPr>
        <w:tabs>
          <w:tab w:val="left" w:pos="840"/>
          <w:tab w:val="left" w:pos="105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3.5.1在不改变报价供应商响应文件实质性内容的前提下，磋商小组应当对响应文件进行基础性数据分析和整理(简称为“清标”)，从而发现并提取其中可能存在的对招标范围理解的偏差、磋商报价的算术性错误、错漏项、磋商报价构成不合理、不平衡报价等存在明显异常的问题，并就这些问题整理形成清标成果。磋商小组对清标成果审议后，决定需要报价供应商进行澄清、说明或补正的问题，形成质疑问卷，向报价供应商发出问题澄清通知(包括质疑问卷)。</w:t>
      </w:r>
    </w:p>
    <w:p>
      <w:pPr>
        <w:tabs>
          <w:tab w:val="left" w:pos="840"/>
          <w:tab w:val="left" w:pos="1050"/>
        </w:tabs>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3.5.2报价供应商接到磋商小组发出的问题澄清通知后，应按磋商小组的要求提供澄清资料并在规定的时间递交。否则视为“不按磋商小组要求澄清、说明或补正”，按无效响应文件处理。</w:t>
      </w:r>
      <w:bookmarkEnd w:id="0"/>
    </w:p>
    <w:p>
      <w:pPr>
        <w:tabs>
          <w:tab w:val="left" w:pos="840"/>
          <w:tab w:val="left" w:pos="1050"/>
        </w:tabs>
        <w:spacing w:line="360" w:lineRule="auto"/>
        <w:ind w:firstLine="424" w:firstLineChars="177"/>
        <w:rPr>
          <w:rFonts w:ascii="宋体" w:hAnsi="宋体" w:cs="宋体"/>
          <w:color w:val="auto"/>
          <w:sz w:val="24"/>
          <w:highlight w:val="none"/>
        </w:rPr>
      </w:pPr>
      <w:r>
        <w:rPr>
          <w:rFonts w:hint="eastAsia" w:ascii="宋体" w:hAnsi="宋体" w:cs="宋体"/>
          <w:color w:val="auto"/>
          <w:sz w:val="24"/>
          <w:szCs w:val="20"/>
          <w:highlight w:val="none"/>
        </w:rPr>
        <w:t>4.</w:t>
      </w:r>
      <w:r>
        <w:rPr>
          <w:rFonts w:hint="eastAsia" w:ascii="宋体" w:hAnsi="宋体" w:cs="宋体"/>
          <w:color w:val="auto"/>
          <w:sz w:val="24"/>
          <w:highlight w:val="none"/>
        </w:rPr>
        <w:t>信用信息查询</w:t>
      </w:r>
    </w:p>
    <w:p>
      <w:pPr>
        <w:tabs>
          <w:tab w:val="left" w:pos="840"/>
          <w:tab w:val="left" w:pos="1050"/>
        </w:tabs>
        <w:wordWrap w:val="0"/>
        <w:spacing w:line="420" w:lineRule="exact"/>
        <w:ind w:firstLine="426" w:firstLineChars="177"/>
        <w:rPr>
          <w:rFonts w:ascii="宋体" w:hAnsi="宋体" w:cs="宋体"/>
          <w:b/>
          <w:color w:val="auto"/>
          <w:sz w:val="24"/>
          <w:highlight w:val="none"/>
        </w:rPr>
      </w:pPr>
      <w:r>
        <w:rPr>
          <w:rFonts w:hint="eastAsia" w:ascii="宋体" w:hAnsi="宋体" w:cs="宋体"/>
          <w:b/>
          <w:color w:val="auto"/>
          <w:sz w:val="24"/>
          <w:highlight w:val="none"/>
        </w:rPr>
        <w:t>4.1采购人或采购代理机构在磋商截止时间前通过“信用中国”网站(https://www.creditchina.gov.cn/)、中国政府采购网(http://www.ccgp.gov.cn/)、““信用江苏”（http://credit.jiangsu.gov.cn/）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840"/>
          <w:tab w:val="left" w:pos="1050"/>
        </w:tabs>
        <w:spacing w:line="420" w:lineRule="exact"/>
        <w:ind w:firstLine="426" w:firstLineChars="177"/>
        <w:rPr>
          <w:rFonts w:ascii="宋体" w:hAnsi="宋体" w:cs="宋体"/>
          <w:b/>
          <w:color w:val="auto"/>
          <w:sz w:val="24"/>
          <w:highlight w:val="none"/>
        </w:rPr>
      </w:pPr>
      <w:r>
        <w:rPr>
          <w:rFonts w:hint="eastAsia" w:ascii="宋体" w:hAnsi="宋体" w:cs="宋体"/>
          <w:b/>
          <w:color w:val="auto"/>
          <w:sz w:val="24"/>
          <w:highlight w:val="none"/>
        </w:rPr>
        <w:t>4.2采购人或采购代理机构通过相关渠道查询的供应商主体信用记录，与项目其他采购资料一并保存。</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 磋商、评审程序</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5.1 商务标（明标）响应文件资格性检查。</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5.1.1资格性检查。依据法律法规和磋商文件的规定，对响应文件中的资格证明等进行审查，以确定报价供应商是否具备报价资格。</w:t>
      </w:r>
    </w:p>
    <w:p>
      <w:pPr>
        <w:tabs>
          <w:tab w:val="left" w:pos="1365"/>
        </w:tabs>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5.1.2依据法律法规和磋商文件的规定，对商务标（明标）响应文件中的资格、资信证明等进行审查，以确定报价供应商提供资格、资信证明材料的合法性、真实性，是否具备报价资格。</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5.2响应文件符合性检查。</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5.2.1磋商小组应当对符合资格的报价供应商的响应文件进行符合性审查，以确定其是否满足磋商文件的实质性要求。</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5.2.2商务标（明标）响应文件的符合性检查由磋商小组明标评审小组负责。</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5.2.3技术标（暗标）响应文件的符合性检查由磋商小组暗标评审小组负责。</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澄清有关问题。磋商小组认为响应文件中有含义不明确、同类问题表述不一致或者有明显文字和计算错误的，应以书面形式提出询标内容，由招标工作人员传递给报价供应商授权代表。报价供应商授权代表应当以书面形式作出澄清、说明或者补正。明标部分由报价供应商加盖公章，或者由法定代表人或其授权的代表签字确认；暗标部分由法定代表人或其授权的代表按手印代替签字确认。在暗标评审小组确认签字时，签署“×（技术标编号）号供应商”。 报价供应商的澄清、说明或者补正不得超出响应文件的范围或者改变响应文件的实质性内容。</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5.4磋商小组讨论、确定磋商程序和磋商内容。</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5.5磋商小组集中与单一供应商分别进行磋商。磋商轮次由磋商小组视情况决定。</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5.6在磋商过程中，磋商小组可以根据磋商文件和磋商情况实质性变动采购需求中的技术、服务要求以及合同草案条款，但不得变动磋商文件中的其他内容。对磋商文件作出的实质性变动是磋商文件的有效组成部分。如有实质性变动，磋商小组将以书面形式通知所有参加磋商的供应商。供应商应当按照磋商文件的变动情况和磋商小组的要求在规定的时间内重新提交响应文件，并由其法定代表人或授权代表签字或者加盖公章。如有负偏离，将作为无效标处理。</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5.7 比较与评价</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5.7.1 商务标（明标）响应文件资格性检查和响应文件的符合性检查结束后，凡属于“（八）无效响应文件的确认”的响应文件不进入比较与评价程序。</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5.7.2 本项目对磋商小组对确定最终采购需求和提交最后报价的报价供应商采用综合评分法进行比较与评价。经评审有效的响应文件按磋商文件中规定的评标方法和标准，由磋商小组进行比较与评价。</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5.7.3 明标评审小组负责对磋商文件评分标准中涉及的报价供应商磋商价格、业绩、答辩等明标部分内容进行评审；</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5.7.4 暗标评审小组负责对磋商文件评分标准中涉及的技术方案等暗标部分内容进行评审。</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评审中，暗标评审小组成员不接触明标商务标文本。需要对照、查阅明标商务标有关内容的，由工作人员在公证或监督下查阅告知。</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5.7.5 技术标（暗标）和商务标（明标）评审全部结束后，由工作人员在公证或监督下，在评标室当场核对、公布各报价供应商技术标编号，汇总各报价供应商商务标和技术标得分，确定各报价供应商总分和最终排序。</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5.7.6 评标方法和主要因素：</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评标采用综合评分法，即在最大限度地满足磋商文件实质性要求前提下，按照磋商文件中规定的各项因素进行综合评审后，按评审后得分由高到低顺序排列。得分相同的，按磋商报价由低到高顺序排列。得分且磋商报价相同的，按技术标（暗标）指标优劣顺序排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5.7.7评标标准和主要因素：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综合评分法满分为100分，计分均保留2位小数。</w:t>
      </w: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（一）评分项目及总分（总分100分）</w:t>
      </w: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明标：</w:t>
      </w: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（1）报价                                    30分</w:t>
      </w: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（2）报价供应商评价                          22分</w:t>
      </w: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暗标：</w:t>
      </w: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（3）技术文件部分                            48分</w:t>
      </w: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（二）各项目评分标准：</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明标部分：</w:t>
      </w:r>
    </w:p>
    <w:p>
      <w:pPr>
        <w:tabs>
          <w:tab w:val="left" w:pos="426"/>
        </w:tabs>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（1）报价（30分）</w:t>
      </w:r>
    </w:p>
    <w:p>
      <w:pPr>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 xml:space="preserve"> 价格分采用低价优先法计算，即满足磋商文件要求且最后报价最低的供应商的价格为磋商基准价，其价格分为满分。其他供应商的价格分统一按照下列公式计算：</w:t>
      </w:r>
    </w:p>
    <w:p>
      <w:pPr>
        <w:spacing w:line="360" w:lineRule="auto"/>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磋商报价得分=（磋商基准价/最后磋商报价）×价格权值×100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8"/>
          <w:highlight w:val="none"/>
        </w:rPr>
        <w:t>项目评审过程中，不得去掉最后报价中的最高报价和最低报价。</w:t>
      </w:r>
    </w:p>
    <w:p>
      <w:pPr>
        <w:tabs>
          <w:tab w:val="left" w:pos="945"/>
          <w:tab w:val="left" w:pos="115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（2）报价供应商评价（最高得 22分）</w:t>
      </w:r>
    </w:p>
    <w:p>
      <w:pPr>
        <w:tabs>
          <w:tab w:val="left" w:pos="945"/>
          <w:tab w:val="left" w:pos="115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报价供应商具备有效期内的质量管理体系认证、职业健康安全管理体系认证、环境管理体系认证的，且在有效期内，有一项得1分，本项最高得3分。（报价时提供证书原件，不提供原件不得分，复印件装订进补充证明文件中）。</w:t>
      </w:r>
    </w:p>
    <w:p>
      <w:pPr>
        <w:tabs>
          <w:tab w:val="left" w:pos="945"/>
          <w:tab w:val="left" w:pos="115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2）报价供应商信用等级为AA的得2分；等级为AAA的得3分，本项最高得3分。（报价时提供证书原件，不提供原件不得分，复印件装订进补充证明文件中）</w:t>
      </w:r>
    </w:p>
    <w:p>
      <w:pPr>
        <w:tabs>
          <w:tab w:val="left" w:pos="945"/>
          <w:tab w:val="left" w:pos="115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3）项目配备机械设备(</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p>
      <w:pPr>
        <w:tabs>
          <w:tab w:val="left" w:pos="945"/>
          <w:tab w:val="left" w:pos="115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报价供应商具有压路机的得1分、沥青摊铺机的得1分、铣刨机的得1分、雾炮式设备的得1分</w:t>
      </w:r>
      <w:r>
        <w:rPr>
          <w:rFonts w:hint="eastAsia" w:ascii="宋体" w:hAnsi="宋体" w:cs="宋体"/>
          <w:color w:val="auto"/>
          <w:sz w:val="24"/>
          <w:highlight w:val="none"/>
          <w:lang w:eastAsia="zh-CN"/>
        </w:rPr>
        <w:t>、</w:t>
      </w:r>
      <w:r>
        <w:rPr>
          <w:rFonts w:hint="eastAsia" w:ascii="宋体" w:hAnsi="宋体" w:cs="宋体"/>
          <w:color w:val="auto"/>
          <w:sz w:val="24"/>
          <w:highlight w:val="none"/>
        </w:rPr>
        <w:t>吊机的得1分</w:t>
      </w:r>
      <w:r>
        <w:rPr>
          <w:rFonts w:hint="eastAsia" w:ascii="宋体" w:hAnsi="宋体" w:cs="宋体"/>
          <w:color w:val="auto"/>
          <w:sz w:val="24"/>
          <w:highlight w:val="none"/>
          <w:lang w:eastAsia="zh-CN"/>
        </w:rPr>
        <w:t>、</w:t>
      </w:r>
      <w:r>
        <w:rPr>
          <w:rFonts w:hint="eastAsia" w:ascii="宋体" w:hAnsi="宋体" w:cs="宋体"/>
          <w:color w:val="auto"/>
          <w:sz w:val="24"/>
          <w:highlight w:val="none"/>
        </w:rPr>
        <w:t>水车的得1分</w:t>
      </w:r>
      <w:r>
        <w:rPr>
          <w:rFonts w:hint="eastAsia" w:ascii="宋体" w:hAnsi="宋体" w:cs="宋体"/>
          <w:color w:val="auto"/>
          <w:sz w:val="24"/>
          <w:highlight w:val="none"/>
          <w:lang w:eastAsia="zh-CN"/>
        </w:rPr>
        <w:t>，</w:t>
      </w:r>
      <w:r>
        <w:rPr>
          <w:rFonts w:hint="eastAsia" w:ascii="宋体" w:hAnsi="宋体" w:cs="宋体"/>
          <w:color w:val="auto"/>
          <w:sz w:val="24"/>
          <w:highlight w:val="none"/>
        </w:rPr>
        <w:t>本项最高得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分。（如是自有设备报价时提供发票（发票台头必须与报价供应商名称一致）、图片、行驶证复印件加盖公章装订进入补充证明文件部分，报价时提供发票原件核查，不提供或提供不全者本项不得分；如是</w:t>
      </w:r>
      <w:r>
        <w:rPr>
          <w:rFonts w:hint="eastAsia" w:ascii="宋体" w:hAnsi="宋体" w:cs="宋体"/>
          <w:color w:val="0000FF"/>
          <w:sz w:val="24"/>
          <w:highlight w:val="none"/>
        </w:rPr>
        <w:t>租赁设备，报价时提供租赁协议</w:t>
      </w:r>
      <w:r>
        <w:rPr>
          <w:rFonts w:hint="eastAsia" w:ascii="宋体" w:hAnsi="宋体" w:cs="宋体"/>
          <w:color w:val="auto"/>
          <w:sz w:val="24"/>
          <w:highlight w:val="none"/>
        </w:rPr>
        <w:t>，图片、行驶证复印件加盖公章装订进入补充证明文件部分，报价时提供租赁协议原件核查，不提供或提供不全者本项不得分）</w:t>
      </w:r>
    </w:p>
    <w:p>
      <w:pPr>
        <w:tabs>
          <w:tab w:val="left" w:pos="945"/>
          <w:tab w:val="left" w:pos="115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4）报价供应商自201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年1月1日以来，承担过</w:t>
      </w:r>
      <w:r>
        <w:rPr>
          <w:rFonts w:hint="eastAsia" w:ascii="宋体" w:hAnsi="宋体" w:cs="宋体"/>
          <w:color w:val="0000FF"/>
          <w:sz w:val="24"/>
          <w:highlight w:val="none"/>
        </w:rPr>
        <w:t>市政改造类工程业绩</w:t>
      </w:r>
      <w:r>
        <w:rPr>
          <w:rFonts w:hint="eastAsia" w:ascii="宋体" w:hAnsi="宋体" w:cs="宋体"/>
          <w:color w:val="auto"/>
          <w:sz w:val="24"/>
          <w:highlight w:val="none"/>
        </w:rPr>
        <w:t>，有1个得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类似工程业绩要求提供，有效的中标通知书（成交通知书）或直接发包备案证明复印件、施工合同复印件、竣工验收证明复印件，复印件均须加盖报价供应商公章，并装订入响应文件补充证明文件部分，报价时提供中标通知书（成交通知书）或直接发包备案证明原件、施工合同原件或公证书、竣工验收证明原件核查，不提供或缺任意一项不得分，类似工程业绩时间以中标通知书（成交通知书）签发时间为准）。</w:t>
      </w:r>
    </w:p>
    <w:p>
      <w:pPr>
        <w:tabs>
          <w:tab w:val="left" w:pos="945"/>
          <w:tab w:val="left" w:pos="115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5）项目管理班子的人员配备、素质及管理经验 （3分）        </w:t>
      </w:r>
    </w:p>
    <w:p>
      <w:pPr>
        <w:tabs>
          <w:tab w:val="left" w:pos="945"/>
          <w:tab w:val="left" w:pos="115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管理班子人员配备要求：配备技术负责人、施工员、质检员、安全员的得2分，本项最多得2分，缺任意一项扣0.5分，扣完为止；其中技术负责人具备高级及以上职称的得1分。提供资料：技术负责人提供职称证书；其他人员提供岗位证书、项目管理班子所有人员与本企业签订的劳动合同和由法定的社保收缴部门出具的</w:t>
      </w:r>
      <w:r>
        <w:rPr>
          <w:rFonts w:hint="eastAsia" w:ascii="宋体" w:hAnsi="宋体" w:cs="宋体"/>
          <w:color w:val="0000FF"/>
          <w:sz w:val="24"/>
          <w:highlight w:val="none"/>
          <w:lang w:eastAsia="zh-CN"/>
        </w:rPr>
        <w:t>2022年5月-2022年7月</w:t>
      </w:r>
      <w:r>
        <w:rPr>
          <w:rFonts w:hint="eastAsia" w:ascii="宋体" w:hAnsi="宋体" w:cs="宋体"/>
          <w:color w:val="auto"/>
          <w:sz w:val="24"/>
          <w:highlight w:val="none"/>
        </w:rPr>
        <w:t>的报价供应商依法为其缴纳社会保障资金的相关材料（提供相关主管部门证明或银行代扣证明）（以上资料的复印件装订进入响应文件补充证明文件部分，磋商时另提供资料原件或公证件，不提供或缺任意一项不得分）。</w:t>
      </w:r>
    </w:p>
    <w:p>
      <w:pPr>
        <w:tabs>
          <w:tab w:val="left" w:pos="945"/>
          <w:tab w:val="left" w:pos="1155"/>
        </w:tabs>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6）项目负责人答辩(5分)</w:t>
      </w:r>
    </w:p>
    <w:p>
      <w:pPr>
        <w:tabs>
          <w:tab w:val="left" w:pos="945"/>
          <w:tab w:val="left" w:pos="115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项目负责人答辩，由磋商小组成员现场以书面形式出题（2题，每题2.5分），项目负责人携带身份证原件，检查确认后以书面形式作答（20分钟），磋商小组按照项目负责人答辩内容酌情评分。</w:t>
      </w:r>
    </w:p>
    <w:p>
      <w:pPr>
        <w:spacing w:line="360" w:lineRule="auto"/>
        <w:ind w:firstLine="482" w:firstLineChars="200"/>
        <w:rPr>
          <w:rFonts w:ascii="宋体" w:hAnsi="宋体"/>
          <w:b/>
          <w:color w:val="auto"/>
          <w:sz w:val="24"/>
          <w:highlight w:val="none"/>
        </w:rPr>
      </w:pPr>
      <w:r>
        <w:rPr>
          <w:rFonts w:hint="eastAsia" w:ascii="宋体" w:hAnsi="宋体" w:cs="宋体"/>
          <w:b/>
          <w:color w:val="auto"/>
          <w:sz w:val="24"/>
          <w:szCs w:val="22"/>
          <w:highlight w:val="none"/>
        </w:rPr>
        <w:t>注：因疫情防控，参加政府采购活动的供应商代表（委派人数为1人），若参与答辩，项目</w:t>
      </w:r>
      <w:r>
        <w:rPr>
          <w:rFonts w:hint="eastAsia" w:ascii="宋体" w:hAnsi="宋体" w:cs="宋体"/>
          <w:b/>
          <w:color w:val="auto"/>
          <w:sz w:val="24"/>
          <w:szCs w:val="22"/>
          <w:highlight w:val="none"/>
          <w:lang w:val="en-US" w:eastAsia="zh-CN"/>
        </w:rPr>
        <w:t>负责人</w:t>
      </w:r>
      <w:r>
        <w:rPr>
          <w:rFonts w:hint="eastAsia" w:ascii="宋体" w:hAnsi="宋体" w:cs="宋体"/>
          <w:b/>
          <w:color w:val="auto"/>
          <w:sz w:val="24"/>
          <w:szCs w:val="22"/>
          <w:highlight w:val="none"/>
        </w:rPr>
        <w:t>与授权委托人必须为同一人。</w:t>
      </w:r>
    </w:p>
    <w:p>
      <w:pPr>
        <w:spacing w:line="360" w:lineRule="auto"/>
        <w:ind w:firstLine="424" w:firstLineChars="177"/>
        <w:rPr>
          <w:rFonts w:ascii="宋体" w:hAnsi="宋体"/>
          <w:color w:val="auto"/>
          <w:sz w:val="24"/>
          <w:highlight w:val="none"/>
        </w:rPr>
      </w:pPr>
      <w:r>
        <w:rPr>
          <w:rFonts w:ascii="宋体" w:hAnsi="宋体"/>
          <w:color w:val="auto"/>
          <w:sz w:val="24"/>
          <w:highlight w:val="none"/>
        </w:rPr>
        <w:t>暗标部分：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（3）技术文件 （48分）</w:t>
      </w:r>
    </w:p>
    <w:p>
      <w:pPr>
        <w:tabs>
          <w:tab w:val="left" w:pos="945"/>
        </w:tabs>
        <w:adjustRightInd w:val="0"/>
        <w:snapToGrid w:val="0"/>
        <w:spacing w:line="360" w:lineRule="auto"/>
        <w:ind w:firstLine="523" w:firstLineChars="217"/>
        <w:jc w:val="left"/>
        <w:outlineLvl w:val="0"/>
        <w:rPr>
          <w:rFonts w:ascii="宋体" w:hAnsi="宋体"/>
          <w:color w:val="auto"/>
          <w:sz w:val="24"/>
          <w:highlight w:val="none"/>
        </w:rPr>
      </w:pPr>
      <w:r>
        <w:rPr>
          <w:rFonts w:hint="eastAsia" w:ascii="宋体" w:hAnsi="宋体"/>
          <w:b/>
          <w:bCs/>
          <w:color w:val="auto"/>
          <w:sz w:val="24"/>
          <w:highlight w:val="none"/>
        </w:rPr>
        <w:t>1）总体概述：施工组织总体设想、方案针对性及施工段划分（8分）：</w:t>
      </w:r>
      <w:r>
        <w:rPr>
          <w:rFonts w:hint="eastAsia" w:ascii="宋体" w:hAnsi="宋体"/>
          <w:color w:val="auto"/>
          <w:sz w:val="24"/>
          <w:highlight w:val="none"/>
        </w:rPr>
        <w:t>内容详实、需求贴合度高且条理清晰的该条得8分；内容较为简单、可行、细节待完善的该条得6分；内容粗略、无针对性、基本满足采购需求的该条得3分。本项最高得8分，每缺少一条内容或内容存在不能满足采购需求，或存在逻辑错误、前后矛盾，或存在违反现行相关规范的，该条不得分。</w:t>
      </w:r>
    </w:p>
    <w:p>
      <w:pPr>
        <w:tabs>
          <w:tab w:val="left" w:pos="945"/>
        </w:tabs>
        <w:adjustRightInd w:val="0"/>
        <w:snapToGrid w:val="0"/>
        <w:spacing w:line="360" w:lineRule="auto"/>
        <w:ind w:firstLine="523" w:firstLineChars="217"/>
        <w:outlineLvl w:val="0"/>
        <w:rPr>
          <w:rFonts w:ascii="宋体" w:hAnsi="宋体"/>
          <w:color w:val="auto"/>
          <w:sz w:val="24"/>
          <w:highlight w:val="none"/>
        </w:rPr>
      </w:pPr>
      <w:r>
        <w:rPr>
          <w:rFonts w:hint="eastAsia" w:ascii="宋体" w:hAnsi="宋体"/>
          <w:b/>
          <w:bCs/>
          <w:color w:val="auto"/>
          <w:sz w:val="24"/>
          <w:highlight w:val="none"/>
        </w:rPr>
        <w:t>2）施工现场平面布置和临时设施、临时道路布置（8分）：</w:t>
      </w:r>
      <w:bookmarkStart w:id="1" w:name="_Hlk101303176"/>
      <w:r>
        <w:rPr>
          <w:rFonts w:hint="eastAsia" w:ascii="宋体" w:hAnsi="宋体"/>
          <w:color w:val="auto"/>
          <w:sz w:val="24"/>
          <w:highlight w:val="none"/>
        </w:rPr>
        <w:t>内容详实、需求贴合度高且条理清晰的该条得8分；内容较为简单、可行、细节待完善的该条得6分；内容粗略、无针对性、基本满足采购需求的该条得3分。本项最高得8分，每缺少一条内容或内容存在不能满足采购需求，或存在逻辑错误、前后矛盾，或存在违反现行相关规范的，该条不得分。</w:t>
      </w:r>
      <w:bookmarkEnd w:id="1"/>
    </w:p>
    <w:p>
      <w:pPr>
        <w:tabs>
          <w:tab w:val="left" w:pos="945"/>
        </w:tabs>
        <w:adjustRightInd w:val="0"/>
        <w:snapToGrid w:val="0"/>
        <w:spacing w:line="360" w:lineRule="auto"/>
        <w:ind w:firstLine="523" w:firstLineChars="217"/>
        <w:outlineLvl w:val="0"/>
        <w:rPr>
          <w:rFonts w:ascii="宋体" w:hAnsi="宋体"/>
          <w:color w:val="auto"/>
          <w:sz w:val="24"/>
          <w:highlight w:val="none"/>
        </w:rPr>
      </w:pPr>
      <w:r>
        <w:rPr>
          <w:rFonts w:hint="eastAsia" w:ascii="宋体" w:hAnsi="宋体"/>
          <w:b/>
          <w:bCs/>
          <w:color w:val="auto"/>
          <w:sz w:val="24"/>
          <w:highlight w:val="none"/>
        </w:rPr>
        <w:t>3）施工进度计划和各阶段进度的保证措施（8分）：</w:t>
      </w:r>
      <w:r>
        <w:rPr>
          <w:rFonts w:hint="eastAsia" w:ascii="宋体" w:hAnsi="宋体"/>
          <w:color w:val="auto"/>
          <w:sz w:val="24"/>
          <w:highlight w:val="none"/>
        </w:rPr>
        <w:t>内容详实、需求贴合度高且条理清晰的该条得8分；内容较为简单、可行、细节待完善的该条得6分；内容粗略、无针对性、基本满足采购需求的该条得3分。本项最高得8分，每缺少一条内容或内容存在不能满足采购需求，或存在逻辑错误、前后矛盾，或存在违反现行相关规范的，该条不得分。</w:t>
      </w:r>
    </w:p>
    <w:p>
      <w:pPr>
        <w:tabs>
          <w:tab w:val="left" w:pos="945"/>
        </w:tabs>
        <w:adjustRightInd w:val="0"/>
        <w:snapToGrid w:val="0"/>
        <w:spacing w:line="360" w:lineRule="auto"/>
        <w:ind w:firstLine="523" w:firstLineChars="217"/>
        <w:outlineLvl w:val="0"/>
        <w:rPr>
          <w:rFonts w:ascii="宋体" w:hAnsi="宋体"/>
          <w:color w:val="auto"/>
          <w:sz w:val="24"/>
          <w:highlight w:val="none"/>
        </w:rPr>
      </w:pPr>
      <w:r>
        <w:rPr>
          <w:rFonts w:hint="eastAsia" w:ascii="宋体" w:hAnsi="宋体"/>
          <w:b/>
          <w:bCs/>
          <w:color w:val="auto"/>
          <w:sz w:val="24"/>
          <w:highlight w:val="none"/>
        </w:rPr>
        <w:t>4）各分部分项工程的施工方案及质量保证措施（8分）：</w:t>
      </w:r>
      <w:r>
        <w:rPr>
          <w:rFonts w:hint="eastAsia" w:ascii="宋体" w:hAnsi="宋体"/>
          <w:color w:val="auto"/>
          <w:sz w:val="24"/>
          <w:highlight w:val="none"/>
        </w:rPr>
        <w:t>内容详实、需求贴合度高且条理清晰的该条得8分；内容较为简单、可行、细节待完善的该条得6分；内容粗略、无针对性、基本满足采购需求的该条得3分。本项最高得8分，每缺少一条内容或内容存在不能满足采购需求，或存在逻辑错误、前后矛盾，或存在违反现行相关规范的，该条不得分。</w:t>
      </w:r>
    </w:p>
    <w:p>
      <w:pPr>
        <w:spacing w:before="100" w:beforeAutospacing="1" w:after="100" w:afterAutospacing="1" w:line="360" w:lineRule="auto"/>
        <w:ind w:firstLine="481"/>
        <w:rPr>
          <w:rFonts w:ascii="宋体" w:hAnsi="宋体"/>
          <w:color w:val="auto"/>
          <w:sz w:val="24"/>
          <w:highlight w:val="none"/>
        </w:rPr>
      </w:pPr>
      <w:r>
        <w:rPr>
          <w:rFonts w:ascii="宋体" w:hAnsi="宋体"/>
          <w:b/>
          <w:bCs/>
          <w:color w:val="auto"/>
          <w:sz w:val="24"/>
          <w:highlight w:val="none"/>
        </w:rPr>
        <w:t>5</w:t>
      </w:r>
      <w:r>
        <w:rPr>
          <w:rFonts w:hint="eastAsia" w:ascii="宋体" w:hAnsi="宋体"/>
          <w:b/>
          <w:bCs/>
          <w:color w:val="auto"/>
          <w:sz w:val="24"/>
          <w:highlight w:val="none"/>
        </w:rPr>
        <w:t>）安全文明施工及环境保护措施（8分）：</w:t>
      </w:r>
      <w:r>
        <w:rPr>
          <w:rFonts w:hint="eastAsia" w:ascii="宋体" w:hAnsi="宋体"/>
          <w:color w:val="auto"/>
          <w:sz w:val="24"/>
          <w:highlight w:val="none"/>
        </w:rPr>
        <w:t>内容详实、需求贴合度高且条理清晰的该条得8分；内容较为简单、可行、细节待完善的该条得6分；内容粗略、无针对性、基本满足采购需求的该条得3分。本项最高得8分，每缺少一条内容或内容存在不能满足采购需求，或存在逻辑错误、前后矛盾，或存在违反现行相关规范的，该条不得分。</w:t>
      </w:r>
    </w:p>
    <w:p>
      <w:pPr>
        <w:spacing w:before="100" w:beforeAutospacing="1" w:after="100" w:afterAutospacing="1" w:line="360" w:lineRule="auto"/>
        <w:ind w:firstLine="481"/>
        <w:rPr>
          <w:rFonts w:ascii="宋体" w:hAnsi="宋体" w:cs="宋体"/>
          <w:color w:val="auto"/>
          <w:sz w:val="24"/>
          <w:highlight w:val="none"/>
        </w:rPr>
      </w:pPr>
      <w:r>
        <w:rPr>
          <w:rFonts w:hint="eastAsia" w:ascii="宋体" w:hAnsi="宋体"/>
          <w:b/>
          <w:bCs/>
          <w:color w:val="auto"/>
          <w:sz w:val="24"/>
          <w:highlight w:val="none"/>
        </w:rPr>
        <w:t>6）劳动力、机械设备和材料投入计划（8分）：</w:t>
      </w:r>
      <w:r>
        <w:rPr>
          <w:rFonts w:hint="eastAsia" w:ascii="宋体" w:hAnsi="宋体"/>
          <w:color w:val="auto"/>
          <w:sz w:val="24"/>
          <w:highlight w:val="none"/>
        </w:rPr>
        <w:t>内容详实、需求贴合度高且条理清晰的该条得8分；内容较为简单、可行、细节待完善的该条得6分；内容粗略、无针对性、基本满足采购需求的该条得3分。本项最高得8分，每缺少一条内容或内容存在不能满足采购需求，或存在逻辑错误、前后矛盾，或存在违反现行相关规范的，该条不得分。</w:t>
      </w:r>
    </w:p>
    <w:p>
      <w:pPr>
        <w:spacing w:line="360" w:lineRule="auto"/>
        <w:ind w:firstLine="422" w:firstLineChars="176"/>
        <w:rPr>
          <w:rFonts w:ascii="宋体" w:hAnsi="宋体" w:cs="宋体"/>
          <w:color w:val="auto"/>
          <w:sz w:val="24"/>
          <w:highlight w:val="none"/>
        </w:rPr>
      </w:pPr>
      <w:r>
        <w:rPr>
          <w:rFonts w:hint="eastAsia" w:ascii="宋体" w:hAnsi="宋体" w:cs="宋体"/>
          <w:color w:val="auto"/>
          <w:sz w:val="24"/>
          <w:highlight w:val="none"/>
        </w:rPr>
        <w:t>加分因素（2分）：依据财政部、发展改革委发布的《节能产品政府采购品目清单》和财政部、生态环境部发布的《环境标志产品政府采购品目清单》，磋商产品为政府采购节能（政府强制采购节能产品除外）、环保产品分别加1分（磋商时须提供所投产品由国家确定的认证机构出具的、处于有效期之内的节能产品认证证书复印件、环境标志产品认证证书复印件，否则不得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未列入本评分细则的其他条件不作为评分内容。</w:t>
      </w:r>
    </w:p>
    <w:p>
      <w:pPr>
        <w:spacing w:line="360" w:lineRule="auto"/>
        <w:ind w:left="240"/>
        <w:outlineLvl w:val="0"/>
        <w:rPr>
          <w:rFonts w:ascii="宋体" w:hAnsi="宋体" w:cs="宋体"/>
          <w:color w:val="auto"/>
          <w:sz w:val="24"/>
          <w:highlight w:val="none"/>
        </w:rPr>
      </w:pPr>
      <w:r>
        <w:rPr>
          <w:rFonts w:hint="eastAsia" w:ascii="宋体" w:hAnsi="宋体" w:cs="宋体"/>
          <w:color w:val="auto"/>
          <w:sz w:val="24"/>
          <w:highlight w:val="none"/>
        </w:rPr>
        <w:t>（十）确定成交供应商：</w:t>
      </w:r>
    </w:p>
    <w:p>
      <w:pPr>
        <w:tabs>
          <w:tab w:val="left" w:pos="525"/>
          <w:tab w:val="left" w:pos="94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2022年度清名桥街道老旧小区改造工程市政、绿化景观</w:t>
      </w:r>
      <w:r>
        <w:rPr>
          <w:rFonts w:hint="eastAsia" w:ascii="宋体" w:hAnsi="宋体"/>
          <w:color w:val="auto"/>
          <w:sz w:val="24"/>
          <w:highlight w:val="none"/>
        </w:rPr>
        <w:t>共</w:t>
      </w:r>
      <w:r>
        <w:rPr>
          <w:rFonts w:hint="eastAsia" w:ascii="宋体" w:hAnsi="宋体"/>
          <w:color w:val="auto"/>
          <w:sz w:val="24"/>
          <w:highlight w:val="none"/>
          <w:lang w:eastAsia="zh-CN"/>
        </w:rPr>
        <w:t>6个标段</w:t>
      </w:r>
      <w:r>
        <w:rPr>
          <w:rFonts w:hint="eastAsia" w:ascii="宋体" w:hAnsi="宋体"/>
          <w:color w:val="auto"/>
          <w:sz w:val="24"/>
          <w:highlight w:val="none"/>
        </w:rPr>
        <w:t>，供应商对</w:t>
      </w:r>
      <w:r>
        <w:rPr>
          <w:rFonts w:hint="eastAsia" w:ascii="宋体" w:hAnsi="宋体"/>
          <w:color w:val="auto"/>
          <w:sz w:val="24"/>
          <w:highlight w:val="none"/>
          <w:lang w:eastAsia="zh-CN"/>
        </w:rPr>
        <w:t>6个标段</w:t>
      </w:r>
      <w:r>
        <w:rPr>
          <w:rFonts w:hint="eastAsia" w:ascii="宋体" w:hAnsi="宋体"/>
          <w:color w:val="auto"/>
          <w:sz w:val="24"/>
          <w:highlight w:val="none"/>
        </w:rPr>
        <w:t>均可报价，但最多只能中1个标段，由经评审排名第一的为成交供应商。多个标段经评审排名均第一的情况下，按供应商在响应文件中承诺的成交优先顺序确定成交标段。如某标段排名第一的供应商已经成交了其他标段，则该标段由排名第二的供应商成交，依次类推。</w:t>
      </w:r>
    </w:p>
    <w:p>
      <w:pPr>
        <w:tabs>
          <w:tab w:val="left" w:pos="525"/>
          <w:tab w:val="left" w:pos="94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2.磋商小组根据竞争性磋商文件规定的评标方法和评标标准进行评审，并推荐每标段成交候选单位，在所有标段全部开标评审结束后，再按竞争性磋商文件要求确定成交单位。</w:t>
      </w:r>
      <w:r>
        <w:rPr>
          <w:rFonts w:hint="eastAsia" w:ascii="宋体" w:hAnsi="宋体" w:cs="宋体"/>
          <w:color w:val="auto"/>
          <w:sz w:val="24"/>
          <w:highlight w:val="none"/>
          <w:lang w:eastAsia="zh-CN"/>
        </w:rPr>
        <w:t>江苏成建项目管理有限公司</w:t>
      </w:r>
      <w:r>
        <w:rPr>
          <w:rFonts w:hint="eastAsia" w:ascii="宋体" w:hAnsi="宋体" w:cs="宋体"/>
          <w:color w:val="auto"/>
          <w:sz w:val="24"/>
          <w:highlight w:val="none"/>
        </w:rPr>
        <w:t>将在江苏政府采购网、无锡政府采购网发布成交公告。如有质疑，供应商按中华人民共和国财政部令【第94号】《政府采购质疑和投诉办法》第十二条：供应商提出质疑应当提交质疑函和必要的证明材料。质疑函应当包括下列内容: (一)供应商的姓名或者名称、地址、邮编、联系人及联系电话；(二)质疑项目的名称、编号； (三)具体、明确的质疑事项和与质疑事项相关的请求；(四)事实依据；(五)必要的法律依据；(六)提出质疑的日期。 供应商为自然人的，应当由本人签字；供应商为法人或者其他组织的，应当由法定代表人、主要负责人，或者其授权代表签字或者盖章，并加盖公章。规定提交资料；按《中华人民共和国政府采购法》等有关法规处理。评审、开标及定标的整个过程均由采购人或纪律监察部门全程监督。</w:t>
      </w:r>
    </w:p>
    <w:p>
      <w:pPr>
        <w:tabs>
          <w:tab w:val="left" w:pos="525"/>
          <w:tab w:val="left" w:pos="115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3.定标后，采购人将向成交供应商发出成交通知书。</w:t>
      </w:r>
    </w:p>
    <w:p>
      <w:pPr>
        <w:tabs>
          <w:tab w:val="left" w:pos="525"/>
          <w:tab w:val="left" w:pos="988"/>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4.未成交供应商的响应文件正本、成交供应商的响应文件正本及副本（肆份）留存，其余响应文件副本和原件退还各供应商。</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（十一）采购项目的终止：</w:t>
      </w:r>
    </w:p>
    <w:p>
      <w:pPr>
        <w:widowControl/>
        <w:numPr>
          <w:ilvl w:val="0"/>
          <w:numId w:val="4"/>
        </w:numPr>
        <w:tabs>
          <w:tab w:val="left" w:pos="0"/>
          <w:tab w:val="clear" w:pos="570"/>
        </w:tabs>
        <w:spacing w:line="360" w:lineRule="auto"/>
        <w:ind w:left="0"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出现下列情形之一的，采购人或者采购代理机构应当终止竞争性磋商采购活动，发布项目终止公告并说明原因，重新开展采购活动：</w:t>
      </w:r>
    </w:p>
    <w:p>
      <w:pPr>
        <w:widowControl/>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（一）因情况变化，不再符合规定的竞争性磋商采购方式适用情形的；</w:t>
      </w:r>
    </w:p>
    <w:p>
      <w:pPr>
        <w:widowControl/>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（二）出现影响采购公正的违法、违规行为的；</w:t>
      </w:r>
    </w:p>
    <w:p>
      <w:pPr>
        <w:widowControl/>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（三）除《政府采购竞争性磋商采购方式管理暂行办法》第二十一条第三款规定的情形外，在采购过程中符合要求的供应商或者报价未超过采购预算的供应商不足3家的。</w:t>
      </w:r>
    </w:p>
    <w:p>
      <w:pPr>
        <w:spacing w:line="360" w:lineRule="auto"/>
        <w:ind w:left="-2" w:leftChars="-1"/>
        <w:outlineLvl w:val="0"/>
        <w:rPr>
          <w:rFonts w:ascii="宋体" w:hAnsi="宋体" w:cs="宋体"/>
          <w:bCs/>
          <w:color w:val="auto"/>
          <w:sz w:val="24"/>
          <w:highlight w:val="none"/>
        </w:rPr>
      </w:pPr>
      <w:r>
        <w:rPr>
          <w:rFonts w:hint="eastAsia" w:ascii="宋体" w:hAnsi="宋体" w:cs="宋体"/>
          <w:bCs/>
          <w:color w:val="auto"/>
          <w:sz w:val="24"/>
          <w:highlight w:val="none"/>
        </w:rPr>
        <w:t>（十二） 废标的确认：</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在磋商中，出现下列情况之一的，应予废标：</w:t>
      </w:r>
    </w:p>
    <w:p>
      <w:pPr>
        <w:tabs>
          <w:tab w:val="left" w:pos="510"/>
          <w:tab w:val="left" w:pos="1155"/>
          <w:tab w:val="left" w:pos="1260"/>
        </w:tabs>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1.符合专业条件的供应商或者对竞争性磋商文件作出实质性响应的供应商不足三家；</w:t>
      </w:r>
    </w:p>
    <w:p>
      <w:pPr>
        <w:tabs>
          <w:tab w:val="left" w:pos="510"/>
          <w:tab w:val="left" w:pos="1155"/>
          <w:tab w:val="left" w:pos="1260"/>
        </w:tabs>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2.出现影响采购公正的违法、违规行为；</w:t>
      </w:r>
    </w:p>
    <w:p>
      <w:pPr>
        <w:tabs>
          <w:tab w:val="left" w:pos="510"/>
          <w:tab w:val="left" w:pos="1155"/>
          <w:tab w:val="left" w:pos="1260"/>
        </w:tabs>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3.供应商的报价均超过采购预算，采购人不能支付的；</w:t>
      </w:r>
    </w:p>
    <w:p>
      <w:pPr>
        <w:tabs>
          <w:tab w:val="right" w:pos="180"/>
          <w:tab w:val="left" w:pos="510"/>
          <w:tab w:val="left" w:pos="1155"/>
          <w:tab w:val="left" w:pos="1260"/>
        </w:tabs>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4.因重大变故，采购任务取消。</w:t>
      </w:r>
    </w:p>
    <w:p>
      <w:pPr>
        <w:spacing w:line="360" w:lineRule="auto"/>
        <w:ind w:left="-2" w:leftChars="-1" w:firstLine="422" w:firstLineChars="175"/>
        <w:outlineLvl w:val="0"/>
        <w:rPr>
          <w:rFonts w:ascii="宋体" w:hAnsi="宋体" w:cs="宋体"/>
          <w:bCs/>
          <w:color w:val="auto"/>
          <w:sz w:val="24"/>
          <w:highlight w:val="none"/>
        </w:rPr>
      </w:pPr>
      <w:r>
        <w:rPr>
          <w:rFonts w:hint="eastAsia" w:ascii="宋体" w:hAnsi="宋体" w:cs="宋体"/>
          <w:b/>
          <w:color w:val="auto"/>
          <w:sz w:val="24"/>
          <w:highlight w:val="none"/>
        </w:rPr>
        <w:t>（十三）</w:t>
      </w:r>
      <w:r>
        <w:rPr>
          <w:rFonts w:hint="eastAsia" w:ascii="宋体" w:hAnsi="宋体" w:cs="宋体"/>
          <w:bCs/>
          <w:color w:val="auto"/>
          <w:sz w:val="24"/>
          <w:highlight w:val="none"/>
        </w:rPr>
        <w:t>成交无效的确认：</w:t>
      </w:r>
    </w:p>
    <w:p>
      <w:pPr>
        <w:spacing w:line="360" w:lineRule="auto"/>
        <w:ind w:left="629"/>
        <w:rPr>
          <w:rFonts w:ascii="宋体" w:hAnsi="宋体" w:cs="宋体"/>
          <w:bCs/>
          <w:color w:val="auto"/>
          <w:sz w:val="24"/>
          <w:highlight w:val="none"/>
        </w:rPr>
      </w:pPr>
      <w:r>
        <w:rPr>
          <w:rFonts w:hint="eastAsia" w:ascii="宋体" w:hAnsi="宋体" w:cs="宋体"/>
          <w:bCs/>
          <w:color w:val="auto"/>
          <w:sz w:val="24"/>
          <w:highlight w:val="none"/>
        </w:rPr>
        <w:t>1.提供虚假材料谋取成交的；</w:t>
      </w:r>
    </w:p>
    <w:p>
      <w:pPr>
        <w:spacing w:line="360" w:lineRule="auto"/>
        <w:ind w:left="629"/>
        <w:rPr>
          <w:rFonts w:ascii="宋体" w:hAnsi="宋体" w:cs="宋体"/>
          <w:bCs/>
          <w:color w:val="auto"/>
          <w:sz w:val="24"/>
          <w:highlight w:val="none"/>
        </w:rPr>
      </w:pPr>
      <w:r>
        <w:rPr>
          <w:rFonts w:hint="eastAsia" w:ascii="宋体" w:hAnsi="宋体" w:cs="宋体"/>
          <w:bCs/>
          <w:color w:val="auto"/>
          <w:sz w:val="24"/>
          <w:highlight w:val="none"/>
        </w:rPr>
        <w:t>2.采取不正当手段诋毁、排挤其他供应商的；</w:t>
      </w:r>
    </w:p>
    <w:p>
      <w:pPr>
        <w:spacing w:line="360" w:lineRule="auto"/>
        <w:ind w:left="629"/>
        <w:rPr>
          <w:rFonts w:ascii="宋体" w:hAnsi="宋体" w:cs="宋体"/>
          <w:bCs/>
          <w:color w:val="auto"/>
          <w:sz w:val="24"/>
          <w:highlight w:val="none"/>
        </w:rPr>
      </w:pPr>
      <w:r>
        <w:rPr>
          <w:rFonts w:hint="eastAsia" w:ascii="宋体" w:hAnsi="宋体" w:cs="宋体"/>
          <w:bCs/>
          <w:color w:val="auto"/>
          <w:sz w:val="24"/>
          <w:highlight w:val="none"/>
        </w:rPr>
        <w:t>3.与采购人、其他供应商或者采购代理机构恶意串通的；</w:t>
      </w:r>
    </w:p>
    <w:p>
      <w:pPr>
        <w:tabs>
          <w:tab w:val="left" w:pos="1140"/>
        </w:tabs>
        <w:spacing w:line="360" w:lineRule="auto"/>
        <w:ind w:left="629"/>
        <w:rPr>
          <w:rFonts w:ascii="宋体" w:hAnsi="宋体" w:cs="宋体"/>
          <w:bCs/>
          <w:color w:val="auto"/>
          <w:sz w:val="24"/>
          <w:highlight w:val="none"/>
        </w:rPr>
      </w:pPr>
      <w:r>
        <w:rPr>
          <w:rFonts w:hint="eastAsia" w:ascii="宋体" w:hAnsi="宋体" w:cs="宋体"/>
          <w:bCs/>
          <w:color w:val="auto"/>
          <w:sz w:val="24"/>
          <w:highlight w:val="none"/>
        </w:rPr>
        <w:t>4.向采购人、采购代理机构行贿或者提供其他不正当利益的；</w:t>
      </w:r>
    </w:p>
    <w:p>
      <w:pPr>
        <w:tabs>
          <w:tab w:val="left" w:pos="1140"/>
        </w:tabs>
        <w:spacing w:line="360" w:lineRule="auto"/>
        <w:ind w:left="629"/>
        <w:rPr>
          <w:rFonts w:ascii="宋体" w:hAnsi="宋体" w:cs="宋体"/>
          <w:bCs/>
          <w:color w:val="auto"/>
          <w:sz w:val="24"/>
          <w:highlight w:val="none"/>
        </w:rPr>
      </w:pPr>
      <w:r>
        <w:rPr>
          <w:rFonts w:hint="eastAsia" w:ascii="宋体" w:hAnsi="宋体" w:cs="宋体"/>
          <w:bCs/>
          <w:color w:val="auto"/>
          <w:sz w:val="24"/>
          <w:highlight w:val="none"/>
        </w:rPr>
        <w:t>5.拒绝有关部门监督检查或者提供虚假情况的；</w:t>
      </w:r>
    </w:p>
    <w:p>
      <w:pPr>
        <w:tabs>
          <w:tab w:val="left" w:pos="1140"/>
        </w:tabs>
        <w:spacing w:line="360" w:lineRule="auto"/>
        <w:ind w:left="629"/>
        <w:rPr>
          <w:rFonts w:ascii="宋体" w:hAnsi="宋体" w:cs="宋体"/>
          <w:bCs/>
          <w:color w:val="auto"/>
          <w:sz w:val="24"/>
          <w:highlight w:val="none"/>
        </w:rPr>
      </w:pPr>
      <w:r>
        <w:rPr>
          <w:rFonts w:hint="eastAsia" w:ascii="宋体" w:hAnsi="宋体" w:cs="宋体"/>
          <w:bCs/>
          <w:color w:val="auto"/>
          <w:sz w:val="24"/>
          <w:highlight w:val="none"/>
        </w:rPr>
        <w:t>6.采购人、采购代理机构发现磋商小组未按照磋商文件规定的评审标准进行评审的；</w:t>
      </w:r>
    </w:p>
    <w:p>
      <w:pPr>
        <w:tabs>
          <w:tab w:val="left" w:pos="1140"/>
        </w:tabs>
        <w:spacing w:line="360" w:lineRule="auto"/>
        <w:ind w:left="629"/>
        <w:rPr>
          <w:rFonts w:ascii="宋体" w:hAnsi="宋体" w:cs="宋体"/>
          <w:bCs/>
          <w:color w:val="auto"/>
          <w:sz w:val="24"/>
          <w:highlight w:val="none"/>
        </w:rPr>
      </w:pPr>
      <w:r>
        <w:rPr>
          <w:rFonts w:hint="eastAsia" w:ascii="宋体" w:hAnsi="宋体" w:cs="宋体"/>
          <w:bCs/>
          <w:color w:val="auto"/>
          <w:sz w:val="24"/>
          <w:highlight w:val="none"/>
        </w:rPr>
        <w:t>7.成交供应商拒绝签订政府采购合同的。</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 xml:space="preserve">     供应商有上述（1）至（5）项情形之一的，处以政府采购项目采购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left="-2" w:leftChars="-1" w:firstLine="420" w:firstLineChars="175"/>
        <w:outlineLvl w:val="0"/>
        <w:rPr>
          <w:rFonts w:ascii="宋体" w:hAnsi="宋体" w:cs="宋体"/>
          <w:bCs/>
          <w:color w:val="auto"/>
          <w:sz w:val="24"/>
          <w:highlight w:val="none"/>
        </w:rPr>
      </w:pPr>
      <w:r>
        <w:rPr>
          <w:rFonts w:hint="eastAsia" w:ascii="宋体" w:hAnsi="宋体" w:cs="宋体"/>
          <w:bCs/>
          <w:color w:val="auto"/>
          <w:sz w:val="24"/>
          <w:highlight w:val="none"/>
        </w:rPr>
        <w:t>（十四）签订、履行合同：</w:t>
      </w:r>
    </w:p>
    <w:p>
      <w:pPr>
        <w:tabs>
          <w:tab w:val="left" w:pos="780"/>
          <w:tab w:val="left" w:pos="1050"/>
          <w:tab w:val="left" w:pos="114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w:t>
      </w:r>
      <w:bookmarkStart w:id="2" w:name="_Hlk62564219"/>
      <w:r>
        <w:rPr>
          <w:rFonts w:hint="eastAsia" w:ascii="宋体" w:hAnsi="宋体" w:cs="宋体"/>
          <w:bCs/>
          <w:color w:val="auto"/>
          <w:sz w:val="24"/>
          <w:highlight w:val="none"/>
        </w:rPr>
        <w:t>采购人应当自成交通知书发出之日起十五日内，按照磋商文件和成交供应商响应文件的约定，与成交供应商签订书面合同。所签订的合同不得对磋商文件和成交供应商响应文件作实质性修改。采购人不得向成交供应商提出任何不合理的要求，作为签订合同的条件，不得与成交供应商私下订立背离合同实质性内容的协议。</w:t>
      </w:r>
      <w:bookmarkEnd w:id="2"/>
      <w:r>
        <w:rPr>
          <w:rFonts w:hint="eastAsia" w:ascii="宋体" w:hAnsi="宋体" w:cs="宋体"/>
          <w:bCs/>
          <w:color w:val="auto"/>
          <w:sz w:val="24"/>
          <w:highlight w:val="none"/>
        </w:rPr>
        <w:t>合同经</w:t>
      </w:r>
      <w:r>
        <w:rPr>
          <w:rFonts w:hint="eastAsia" w:ascii="宋体" w:hAnsi="宋体" w:cs="宋体"/>
          <w:bCs/>
          <w:color w:val="auto"/>
          <w:sz w:val="24"/>
          <w:highlight w:val="none"/>
          <w:lang w:eastAsia="zh-CN"/>
        </w:rPr>
        <w:t>江苏成建项目管理有限公司</w:t>
      </w:r>
      <w:r>
        <w:rPr>
          <w:rFonts w:hint="eastAsia" w:ascii="宋体" w:hAnsi="宋体" w:cs="宋体"/>
          <w:bCs/>
          <w:color w:val="auto"/>
          <w:sz w:val="24"/>
          <w:highlight w:val="none"/>
        </w:rPr>
        <w:t>见证后生效。</w:t>
      </w:r>
    </w:p>
    <w:p>
      <w:pPr>
        <w:spacing w:line="360" w:lineRule="auto"/>
        <w:ind w:firstLine="480" w:firstLineChars="200"/>
        <w:rPr>
          <w:color w:val="auto"/>
          <w:highlight w:val="none"/>
        </w:rPr>
      </w:pPr>
      <w:r>
        <w:rPr>
          <w:rFonts w:hint="eastAsia" w:ascii="宋体" w:hAnsi="宋体"/>
          <w:bCs/>
          <w:color w:val="auto"/>
          <w:sz w:val="24"/>
          <w:highlight w:val="none"/>
        </w:rPr>
        <w:t>2. 签订合同时，成交供应商须向采购人交纳中标合同总金额10%的履约保证金。履约保证金在本项目验收合格后退还，不计利息。履约保证金的形式：支票、汇票、本票或者金融机构、担保机构出具的保函等非现金形式提交。</w:t>
      </w:r>
    </w:p>
    <w:p>
      <w:pPr>
        <w:tabs>
          <w:tab w:val="left" w:pos="525"/>
          <w:tab w:val="left" w:pos="1050"/>
        </w:tabs>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3、</w:t>
      </w:r>
      <w:r>
        <w:rPr>
          <w:rFonts w:hint="eastAsia" w:ascii="宋体" w:hAnsi="宋体" w:cs="宋体"/>
          <w:bCs/>
          <w:color w:val="auto"/>
          <w:sz w:val="24"/>
          <w:highlight w:val="none"/>
          <w:lang w:eastAsia="zh-CN"/>
        </w:rPr>
        <w:t>江苏成建项目管理有限公司</w:t>
      </w:r>
      <w:r>
        <w:rPr>
          <w:rFonts w:hint="eastAsia" w:ascii="宋体" w:hAnsi="宋体" w:cs="宋体"/>
          <w:bCs/>
          <w:color w:val="auto"/>
          <w:sz w:val="24"/>
          <w:highlight w:val="none"/>
        </w:rPr>
        <w:t>监督合同的履行。成交方非因不可抗力未履行招、响应文件和合同规定的义务，一经查实，招标代理机构将根据具体情况提请政府采购管理部门作出相应处理。</w:t>
      </w:r>
    </w:p>
    <w:p>
      <w:pPr>
        <w:spacing w:line="360" w:lineRule="auto"/>
        <w:ind w:firstLine="480" w:firstLineChars="200"/>
        <w:rPr>
          <w:color w:val="auto"/>
          <w:highlight w:val="none"/>
        </w:rPr>
      </w:pPr>
      <w:r>
        <w:rPr>
          <w:rFonts w:hint="eastAsia" w:ascii="宋体" w:hAnsi="宋体"/>
          <w:bCs/>
          <w:color w:val="auto"/>
          <w:sz w:val="24"/>
          <w:highlight w:val="none"/>
        </w:rPr>
        <w:t>4. 若由于相应国家法律法规、地方法规、行业规章、政策文件等变动造成项目中止，项目参与各方均不承担违约责任。</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（十五）成交服务费：</w:t>
      </w:r>
    </w:p>
    <w:p>
      <w:pPr>
        <w:tabs>
          <w:tab w:val="left" w:pos="525"/>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本项目采购代理服务费由采购人支付。①招标代理服务费参照国家计委计价格[2002]1980号《招标代理服务收费管理暂行办法》收费标准规定的70%计取，以成交价为计算基数计算；②清单预算编制费参照苏价服（2014)）383号文收费标准规定的70%计取，以审定的最高限价作为计算基数计算。</w:t>
      </w:r>
    </w:p>
    <w:p>
      <w:pPr>
        <w:tabs>
          <w:tab w:val="left" w:pos="600"/>
        </w:tabs>
        <w:spacing w:line="360" w:lineRule="auto"/>
        <w:ind w:firstLine="360" w:firstLineChars="150"/>
        <w:outlineLvl w:val="0"/>
        <w:rPr>
          <w:rFonts w:ascii="宋体" w:hAnsi="宋体" w:cs="宋体"/>
          <w:color w:val="auto"/>
          <w:sz w:val="24"/>
          <w:highlight w:val="none"/>
        </w:rPr>
      </w:pPr>
      <w:r>
        <w:rPr>
          <w:rFonts w:hint="eastAsia" w:ascii="宋体" w:hAnsi="宋体" w:cs="宋体"/>
          <w:color w:val="auto"/>
          <w:sz w:val="24"/>
          <w:highlight w:val="none"/>
        </w:rPr>
        <w:t>（十六）其他：</w:t>
      </w:r>
      <w:r>
        <w:rPr>
          <w:rFonts w:hint="eastAsia" w:ascii="宋体" w:hAnsi="宋体" w:cs="宋体"/>
          <w:bCs/>
          <w:color w:val="auto"/>
          <w:sz w:val="24"/>
          <w:highlight w:val="none"/>
        </w:rPr>
        <w:t>磋商文件的条款必须认真审阅，供应商应自行检查磋商文件页数是否齐全。若有遗漏、重复或不清楚，需立刻通知采购人予以更正；凡属对条款的误解所造成的磋商价格失误，由供应商负责。</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（十七）政府采购信用担保</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 </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 和中信银行南京分行、浙商银行无锡分行可以在无锡市范围内开展政府采购履约担保业务。政府采购履约担保函格式见附件1。</w:t>
      </w:r>
    </w:p>
    <w:p>
      <w:pPr>
        <w:spacing w:line="360" w:lineRule="auto"/>
        <w:ind w:firstLine="482" w:firstLineChars="200"/>
        <w:rPr>
          <w:rFonts w:ascii="宋体" w:hAnsi="宋体" w:cs="宋体"/>
          <w:b/>
          <w:color w:val="auto"/>
          <w:sz w:val="24"/>
          <w:highlight w:val="none"/>
          <w:shd w:val="clear" w:color="auto" w:fill="FFFFFF"/>
        </w:rPr>
      </w:pPr>
      <w:r>
        <w:rPr>
          <w:rFonts w:hint="eastAsia" w:ascii="宋体" w:hAnsi="宋体" w:cs="宋体"/>
          <w:b/>
          <w:color w:val="auto"/>
          <w:sz w:val="24"/>
          <w:highlight w:val="none"/>
          <w:shd w:val="clear" w:color="auto" w:fill="FFFFFF"/>
        </w:rPr>
        <w:t>（十八）　政府采购合同融资：</w:t>
      </w:r>
    </w:p>
    <w:p>
      <w:pPr>
        <w:spacing w:line="360" w:lineRule="auto"/>
        <w:ind w:firstLine="482" w:firstLineChars="200"/>
        <w:rPr>
          <w:rFonts w:ascii="宋体" w:hAnsi="宋体" w:cs="宋体"/>
          <w:b/>
          <w:color w:val="auto"/>
          <w:sz w:val="24"/>
          <w:highlight w:val="none"/>
          <w:shd w:val="clear" w:color="auto" w:fill="FFFFFF"/>
        </w:rPr>
      </w:pPr>
      <w:r>
        <w:rPr>
          <w:rFonts w:hint="eastAsia" w:ascii="宋体" w:hAnsi="宋体" w:cs="宋体"/>
          <w:b/>
          <w:color w:val="auto"/>
          <w:sz w:val="24"/>
          <w:highlight w:val="none"/>
          <w:shd w:val="clear" w:color="auto" w:fill="FFFFFF"/>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spacing w:line="360" w:lineRule="auto"/>
        <w:ind w:firstLine="482" w:firstLineChars="200"/>
        <w:rPr>
          <w:rFonts w:ascii="宋体" w:hAnsi="宋体" w:cs="宋体"/>
          <w:b/>
          <w:color w:val="auto"/>
          <w:sz w:val="24"/>
          <w:highlight w:val="none"/>
          <w:shd w:val="clear" w:color="auto" w:fill="FFFFFF"/>
        </w:rPr>
      </w:pPr>
      <w:r>
        <w:rPr>
          <w:rFonts w:hint="eastAsia" w:ascii="宋体" w:hAnsi="宋体" w:cs="宋体"/>
          <w:b/>
          <w:color w:val="auto"/>
          <w:sz w:val="24"/>
          <w:highlight w:val="none"/>
          <w:shd w:val="clear" w:color="auto" w:fill="FFFFFF"/>
        </w:rPr>
        <w:t xml:space="preserve"> 中标、成交供应商可根据自身情况，自行决定是否选择采用合同融资形式，在无锡政府采购网——政采贷专栏提供的银行名录内自主选择合作银行。</w:t>
      </w:r>
    </w:p>
    <w:p>
      <w:pPr>
        <w:spacing w:line="360" w:lineRule="auto"/>
        <w:ind w:firstLine="482" w:firstLineChars="200"/>
        <w:rPr>
          <w:rFonts w:ascii="宋体" w:hAnsi="宋体" w:cs="宋体"/>
          <w:b/>
          <w:color w:val="auto"/>
          <w:sz w:val="24"/>
          <w:highlight w:val="none"/>
          <w:shd w:val="clear" w:color="auto" w:fill="FFFFFF"/>
        </w:rPr>
      </w:pPr>
      <w:r>
        <w:rPr>
          <w:rFonts w:hint="eastAsia" w:ascii="宋体" w:hAnsi="宋体" w:cs="宋体"/>
          <w:b/>
          <w:color w:val="auto"/>
          <w:sz w:val="24"/>
          <w:highlight w:val="none"/>
          <w:shd w:val="clear" w:color="auto" w:fill="FFFFFF"/>
        </w:rPr>
        <w:t>附：无锡市政府采购合同融资政策告知函</w:t>
      </w:r>
    </w:p>
    <w:p>
      <w:pPr>
        <w:spacing w:line="360" w:lineRule="auto"/>
        <w:ind w:firstLine="482" w:firstLineChars="200"/>
        <w:rPr>
          <w:rFonts w:ascii="宋体" w:hAnsi="宋体" w:cs="宋体"/>
          <w:b/>
          <w:color w:val="auto"/>
          <w:sz w:val="24"/>
          <w:highlight w:val="none"/>
          <w:shd w:val="clear" w:color="auto" w:fill="FFFFFF"/>
        </w:rPr>
      </w:pPr>
      <w:r>
        <w:rPr>
          <w:rFonts w:hint="eastAsia" w:ascii="宋体" w:hAnsi="宋体" w:cs="宋体"/>
          <w:b/>
          <w:color w:val="auto"/>
          <w:sz w:val="24"/>
          <w:highlight w:val="none"/>
          <w:shd w:val="clear" w:color="auto" w:fill="FFFFFF"/>
        </w:rPr>
        <w:t>各供应商：</w:t>
      </w:r>
    </w:p>
    <w:p>
      <w:pPr>
        <w:spacing w:line="360" w:lineRule="auto"/>
        <w:ind w:firstLine="482" w:firstLineChars="200"/>
        <w:rPr>
          <w:rFonts w:ascii="宋体" w:hAnsi="宋体" w:cs="宋体"/>
          <w:b/>
          <w:color w:val="auto"/>
          <w:sz w:val="24"/>
          <w:highlight w:val="none"/>
          <w:shd w:val="clear" w:color="auto" w:fill="FFFFFF"/>
        </w:rPr>
      </w:pPr>
      <w:r>
        <w:rPr>
          <w:rFonts w:hint="eastAsia" w:ascii="宋体" w:hAnsi="宋体" w:cs="宋体"/>
          <w:b/>
          <w:color w:val="auto"/>
          <w:sz w:val="24"/>
          <w:highlight w:val="none"/>
          <w:shd w:val="clear" w:color="auto" w:fill="FFFFFF"/>
        </w:rPr>
        <w:t>欢迎贵公司参与无锡市政府采购活动！</w:t>
      </w:r>
    </w:p>
    <w:p>
      <w:pPr>
        <w:spacing w:line="360" w:lineRule="auto"/>
        <w:ind w:firstLine="482" w:firstLineChars="200"/>
        <w:rPr>
          <w:rFonts w:ascii="宋体" w:hAnsi="宋体" w:cs="宋体"/>
          <w:b/>
          <w:color w:val="auto"/>
          <w:sz w:val="24"/>
          <w:highlight w:val="none"/>
          <w:shd w:val="clear" w:color="auto" w:fill="FFFFFF"/>
        </w:rPr>
      </w:pPr>
      <w:r>
        <w:rPr>
          <w:rFonts w:hint="eastAsia" w:ascii="宋体" w:hAnsi="宋体" w:cs="宋体"/>
          <w:b/>
          <w:color w:val="auto"/>
          <w:sz w:val="24"/>
          <w:highlight w:val="none"/>
          <w:shd w:val="clear" w:color="auto" w:fill="FFFFFF"/>
        </w:rPr>
        <w:t>政府采购合同融资是无锡市财政局和中国人民银行无锡市中心支行共同支持企业发展，针对参与政府采购活动的企业融资难、融资贵、融资慢、融资繁问题推出的一项融资政策。贵公司若成为本次政府采购项目的中标成交供应商，可持政府采购合同在线向金融机构申请贷款，无需抵押、担保，融资机构将根据《关于开展政府采购合同融资工作的通知》（锡财购〔2020〕17号），按照双方自愿的原则提供便捷、优惠的贷款服务。</w:t>
      </w:r>
    </w:p>
    <w:p>
      <w:pPr>
        <w:spacing w:line="500" w:lineRule="exact"/>
        <w:ind w:firstLine="482" w:firstLineChars="200"/>
        <w:rPr>
          <w:rFonts w:ascii="宋体" w:hAnsi="宋体" w:cs="宋体"/>
          <w:b/>
          <w:color w:val="auto"/>
          <w:sz w:val="24"/>
          <w:highlight w:val="none"/>
          <w:shd w:val="clear" w:color="auto" w:fill="FFFFFF"/>
        </w:rPr>
      </w:pPr>
      <w:r>
        <w:rPr>
          <w:rFonts w:hint="eastAsia" w:ascii="宋体" w:hAnsi="宋体" w:cs="宋体"/>
          <w:b/>
          <w:color w:val="auto"/>
          <w:sz w:val="24"/>
          <w:highlight w:val="none"/>
          <w:shd w:val="clear" w:color="auto" w:fill="FFFFFF"/>
        </w:rPr>
        <w:t>贷款渠道和提供贷款的金融机构，可在无锡政府采购网无锡市政府采购交易管理一体化系统查询联系。</w:t>
      </w:r>
    </w:p>
    <w:p>
      <w:pPr>
        <w:spacing w:line="540" w:lineRule="exact"/>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br w:type="page"/>
      </w:r>
      <w:r>
        <w:rPr>
          <w:rFonts w:hint="eastAsia" w:ascii="宋体" w:hAnsi="宋体" w:cs="宋体"/>
          <w:color w:val="auto"/>
          <w:sz w:val="24"/>
          <w:highlight w:val="none"/>
          <w:shd w:val="clear" w:color="auto" w:fill="FFFFFF"/>
        </w:rPr>
        <w:t>附件1.                             政府采购履约担保函（项目用）</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编号：</w:t>
      </w:r>
    </w:p>
    <w:p>
      <w:pPr>
        <w:widowControl/>
        <w:tabs>
          <w:tab w:val="left" w:pos="360"/>
          <w:tab w:val="left" w:pos="960"/>
        </w:tabs>
        <w:spacing w:line="440" w:lineRule="exact"/>
        <w:jc w:val="left"/>
        <w:rPr>
          <w:rFonts w:ascii="宋体" w:hAnsi="宋体" w:cs="宋体"/>
          <w:color w:val="auto"/>
          <w:sz w:val="24"/>
          <w:highlight w:val="none"/>
          <w:u w:val="single"/>
        </w:rPr>
      </w:pPr>
      <w:r>
        <w:rPr>
          <w:rFonts w:hint="eastAsia" w:ascii="宋体" w:hAnsi="宋体" w:cs="宋体"/>
          <w:color w:val="auto"/>
          <w:sz w:val="24"/>
          <w:highlight w:val="none"/>
          <w:u w:val="single"/>
        </w:rPr>
        <w:t>（采购人）：</w:t>
      </w:r>
    </w:p>
    <w:p>
      <w:pPr>
        <w:widowControl/>
        <w:tabs>
          <w:tab w:val="left" w:pos="360"/>
          <w:tab w:val="left" w:pos="960"/>
        </w:tabs>
        <w:spacing w:line="440" w:lineRule="exact"/>
        <w:ind w:firstLine="360" w:firstLineChars="150"/>
        <w:jc w:val="left"/>
        <w:rPr>
          <w:rFonts w:ascii="宋体" w:hAnsi="宋体" w:cs="宋体"/>
          <w:color w:val="auto"/>
          <w:sz w:val="24"/>
          <w:highlight w:val="none"/>
        </w:rPr>
      </w:pP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鉴于你方与</w:t>
      </w:r>
      <w:r>
        <w:rPr>
          <w:rFonts w:hint="eastAsia" w:ascii="宋体" w:hAnsi="宋体" w:cs="宋体"/>
          <w:color w:val="auto"/>
          <w:sz w:val="24"/>
          <w:highlight w:val="none"/>
          <w:u w:val="single"/>
        </w:rPr>
        <w:t xml:space="preserve">                    （以下简称供应商）</w:t>
      </w:r>
      <w:r>
        <w:rPr>
          <w:rFonts w:hint="eastAsia" w:ascii="宋体" w:hAnsi="宋体" w:cs="宋体"/>
          <w:color w:val="auto"/>
          <w:sz w:val="24"/>
          <w:highlight w:val="none"/>
        </w:rPr>
        <w:t>于年月日签定编号为   的《政府采购合同》（以下简称主合同），且依据该合同的约定，供应商应在</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年月日前向你方交纳履约保证金，且可以履约担保函的形式交纳履约保证金。应供应商的申请，我方以保证的方式向你方提供如下履约保证金担保：</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一、保证责任的情形及保证金额</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（一）在供应商出现下列情形之一时，我方承担保证责任：</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1．将中标项目转让给他人，或者在磋商文件中未说明，且未经采购招标机构人同意，将中标项目分包给他人的；</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　　2．主合同约定的应当缴纳履约保证金的情形: </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（1）未按主合同约定的质量、数量和期限供应货物/提供服务/完成工程的；</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（2）                                                           。</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（二）我方的保证范围是主合同约定的合同价款总额的%数额为元（大写），币种为 。（即主合同履约保证金金额）</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二、保证的方式及保证期间</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我方保证的方式为：连带责任保证。</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我方保证的期间为：自本合同生效之日起至供应商按照主合同约定的供货/完工期限届满后日内。</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如果供应商未按主合同约定向贵方供应货物/提供服务/完成工程的，由我方在保证金额内向你方支付上述款项。</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三、承担保证责任的程序</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1．你方要求我方承担保证责任的，应在本保函保证期间内向我方发出书面索赔通知。索赔通知应写明要求索赔的金额，支付款项应到达的账号。并附有证明供应商违约事实的证明材料。</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如果你方与供应商因货物质量问题产生争议，你方还需同时提供        部门出具的质量检测报告，或经诉讼（仲裁）程序裁决后的裁决书、调解书，本保证人即按照检测结果或裁决书、调解书决定是否承担保证责任。</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2． 我方收到你方的书面索赔通知及相应证明材料，在工作日内进行核定后按照本保函的承诺承担保证责任。</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四、保证责任的终止</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2．我方按照本保函向你方履行了保证责任后，自我方向你方支付款项（支付款项从我方账户划出）之日起，保证责任即终止。</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3．按照法律法规的规定或出现应终止我方保证责任的其他情形的，我方在本保函项下的保证责任亦终止。</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五、免责条款</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1．因你方违反主合同约定致使供应商不能履行义务的，我方不承担保证责任。</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2．依照法律法规的规定或你方与供应商的另行约定，全部或者部分免除供应商应缴纳的保证金义务的，我方亦免除相应的保证责任。</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3．因不可抗力造成供应商不能履行供货义务的，我方不承担保证责任。</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六、争议的解决</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因本保函发生的纠纷，由你我双方协商解决，协商不成的，通过诉讼程序解决，诉讼管辖地法院为法院。</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七、保函的生效</w:t>
      </w: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本保函自我方加盖公章之日起生效。</w:t>
      </w:r>
    </w:p>
    <w:p>
      <w:pPr>
        <w:widowControl/>
        <w:tabs>
          <w:tab w:val="left" w:pos="360"/>
          <w:tab w:val="left" w:pos="960"/>
        </w:tabs>
        <w:spacing w:line="440" w:lineRule="exact"/>
        <w:jc w:val="left"/>
        <w:rPr>
          <w:rFonts w:ascii="宋体" w:hAnsi="宋体" w:cs="宋体"/>
          <w:color w:val="auto"/>
          <w:sz w:val="24"/>
          <w:highlight w:val="none"/>
        </w:rPr>
      </w:pP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保证人：（公章）</w:t>
      </w:r>
    </w:p>
    <w:p>
      <w:pPr>
        <w:widowControl/>
        <w:tabs>
          <w:tab w:val="left" w:pos="360"/>
          <w:tab w:val="left" w:pos="960"/>
        </w:tabs>
        <w:spacing w:line="440" w:lineRule="exact"/>
        <w:ind w:firstLine="360" w:firstLineChars="150"/>
        <w:jc w:val="left"/>
        <w:rPr>
          <w:rFonts w:ascii="宋体" w:hAnsi="宋体" w:cs="宋体"/>
          <w:color w:val="auto"/>
          <w:sz w:val="24"/>
          <w:highlight w:val="none"/>
        </w:rPr>
      </w:pPr>
    </w:p>
    <w:p>
      <w:pPr>
        <w:widowControl/>
        <w:tabs>
          <w:tab w:val="left" w:pos="360"/>
          <w:tab w:val="left" w:pos="960"/>
        </w:tabs>
        <w:spacing w:line="44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 年     月      日</w:t>
      </w:r>
    </w:p>
    <w:p>
      <w:pPr>
        <w:widowControl/>
        <w:tabs>
          <w:tab w:val="left" w:pos="360"/>
          <w:tab w:val="left" w:pos="960"/>
        </w:tabs>
        <w:spacing w:line="440" w:lineRule="exact"/>
        <w:jc w:val="left"/>
        <w:rPr>
          <w:rFonts w:ascii="宋体" w:hAnsi="宋体" w:cs="宋体"/>
          <w:color w:val="auto"/>
          <w:sz w:val="24"/>
          <w:highlight w:val="none"/>
        </w:rPr>
      </w:pPr>
    </w:p>
    <w:p>
      <w:pPr>
        <w:rPr>
          <w:rFonts w:ascii="宋体" w:hAnsi="宋体" w:cs="宋体"/>
          <w:color w:val="auto"/>
          <w:highlight w:val="none"/>
        </w:rPr>
      </w:pPr>
    </w:p>
    <w:p>
      <w:pPr>
        <w:numPr>
          <w:ilvl w:val="0"/>
          <w:numId w:val="5"/>
        </w:numPr>
        <w:spacing w:line="520" w:lineRule="exact"/>
        <w:jc w:val="center"/>
        <w:rPr>
          <w:rFonts w:ascii="宋体" w:hAnsi="宋体" w:cs="宋体"/>
          <w:b/>
          <w:color w:val="auto"/>
          <w:sz w:val="44"/>
          <w:szCs w:val="44"/>
          <w:highlight w:val="none"/>
        </w:rPr>
        <w:sectPr>
          <w:footerReference r:id="rId4" w:type="default"/>
          <w:pgSz w:w="11906" w:h="16838"/>
          <w:pgMar w:top="1418" w:right="1555" w:bottom="1418" w:left="1531" w:header="851" w:footer="992" w:gutter="0"/>
          <w:pgNumType w:start="1"/>
          <w:cols w:space="720" w:num="1"/>
          <w:docGrid w:type="lines" w:linePitch="312" w:charSpace="0"/>
        </w:sectPr>
      </w:pPr>
    </w:p>
    <w:p>
      <w:pPr>
        <w:numPr>
          <w:ilvl w:val="0"/>
          <w:numId w:val="5"/>
        </w:numPr>
        <w:spacing w:line="520" w:lineRule="exact"/>
        <w:jc w:val="center"/>
        <w:rPr>
          <w:rFonts w:ascii="宋体" w:hAnsi="宋体" w:cs="宋体"/>
          <w:b/>
          <w:color w:val="auto"/>
          <w:sz w:val="44"/>
          <w:szCs w:val="44"/>
          <w:highlight w:val="none"/>
        </w:rPr>
        <w:sectPr>
          <w:footerReference r:id="rId5" w:type="default"/>
          <w:type w:val="continuous"/>
          <w:pgSz w:w="11906" w:h="16838"/>
          <w:pgMar w:top="1418" w:right="1555" w:bottom="1418" w:left="1531" w:header="851" w:footer="992" w:gutter="0"/>
          <w:cols w:space="720" w:num="1"/>
          <w:titlePg/>
          <w:docGrid w:type="lines" w:linePitch="312" w:charSpace="0"/>
        </w:sectPr>
      </w:pPr>
    </w:p>
    <w:p>
      <w:pPr>
        <w:numPr>
          <w:ilvl w:val="0"/>
          <w:numId w:val="5"/>
        </w:numPr>
        <w:spacing w:line="52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采购需求</w:t>
      </w:r>
    </w:p>
    <w:p>
      <w:pPr>
        <w:pStyle w:val="14"/>
        <w:shd w:val="clear" w:color="auto" w:fill="FFFFFF"/>
        <w:spacing w:before="90" w:beforeAutospacing="0" w:after="90" w:afterAutospacing="0" w:line="360" w:lineRule="atLeast"/>
        <w:ind w:firstLine="480"/>
        <w:rPr>
          <w:rFonts w:cs="宋体"/>
          <w:b/>
          <w:color w:val="auto"/>
          <w:highlight w:val="none"/>
        </w:rPr>
      </w:pPr>
      <w:r>
        <w:rPr>
          <w:rFonts w:hint="eastAsia" w:cs="宋体"/>
          <w:b/>
          <w:color w:val="auto"/>
          <w:highlight w:val="none"/>
        </w:rPr>
        <w:t>一、项目概况</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2022年度清名桥街道老旧小区的</w:t>
      </w:r>
      <w:r>
        <w:rPr>
          <w:rFonts w:hint="eastAsia" w:ascii="宋体" w:hAnsi="宋体"/>
          <w:color w:val="auto"/>
          <w:sz w:val="24"/>
          <w:highlight w:val="none"/>
        </w:rPr>
        <w:t>市政、环卫</w:t>
      </w:r>
      <w:r>
        <w:rPr>
          <w:rFonts w:hint="eastAsia" w:ascii="宋体" w:hAnsi="宋体" w:cs="宋体"/>
          <w:color w:val="auto"/>
          <w:kern w:val="0"/>
          <w:sz w:val="24"/>
          <w:highlight w:val="none"/>
        </w:rPr>
        <w:t>、绿化、景观工程改造</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项目交付或执行的地点：无锡市梁溪区 </w:t>
      </w:r>
    </w:p>
    <w:p>
      <w:pPr>
        <w:spacing w:line="44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工期：</w:t>
      </w:r>
      <w:r>
        <w:rPr>
          <w:rFonts w:hint="eastAsia" w:ascii="宋体" w:hAnsi="宋体" w:cs="宋体"/>
          <w:color w:val="0000FF"/>
          <w:sz w:val="24"/>
          <w:highlight w:val="none"/>
          <w:lang w:eastAsia="zh-CN"/>
        </w:rPr>
        <w:t>100日历天</w:t>
      </w:r>
      <w:r>
        <w:rPr>
          <w:rFonts w:hint="eastAsia" w:ascii="宋体" w:hAnsi="宋体" w:cs="宋体"/>
          <w:color w:val="0000FF"/>
          <w:sz w:val="24"/>
          <w:highlight w:val="none"/>
          <w:lang w:val="zh-CN"/>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误期违约金：5000元/天。</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本工程质量标准：</w:t>
      </w:r>
      <w:r>
        <w:rPr>
          <w:rFonts w:hint="eastAsia" w:ascii="宋体" w:hAnsi="宋体"/>
          <w:color w:val="auto"/>
          <w:sz w:val="24"/>
          <w:highlight w:val="none"/>
        </w:rPr>
        <w:t>一次性验收通过，100%合格</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质量违约金：合同价款的3%。</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关于付款周期：</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(1)签订合同后，预付签约合同价的10%;</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(2)施工进度款：按照跟踪审计审核后的工程量付至65%。</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(3)项目竣工后验收前，以跟踪审计结果为依据，原则上不超过合同价的75%进行拨付。整个项目竣工决算审计结束后，根据审计结果支付至审定价的97%。</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(4)余款视保修情况在质保期满后一个月内支付，上述款项均不另计利息。</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(5)每次支付工程款时，承包人均需提交相应金额的正式税务发票，所有款项在提供发票后15日内付清。</w:t>
      </w:r>
    </w:p>
    <w:p>
      <w:pPr>
        <w:pStyle w:val="2"/>
      </w:pPr>
    </w:p>
    <w:p>
      <w:pPr>
        <w:pStyle w:val="14"/>
        <w:shd w:val="clear" w:color="auto" w:fill="FFFFFF"/>
        <w:spacing w:before="90" w:beforeAutospacing="0" w:after="90" w:afterAutospacing="0" w:line="360" w:lineRule="atLeast"/>
        <w:ind w:firstLine="480"/>
        <w:rPr>
          <w:rFonts w:cs="宋体"/>
          <w:b/>
          <w:color w:val="auto"/>
          <w:highlight w:val="none"/>
        </w:rPr>
      </w:pPr>
      <w:r>
        <w:rPr>
          <w:rFonts w:hint="eastAsia" w:cs="宋体"/>
          <w:b/>
          <w:color w:val="auto"/>
          <w:highlight w:val="none"/>
        </w:rPr>
        <w:t>二、工程量清单详见附件。</w:t>
      </w:r>
    </w:p>
    <w:p>
      <w:pPr>
        <w:pStyle w:val="14"/>
        <w:shd w:val="clear" w:color="auto" w:fill="FFFFFF"/>
        <w:spacing w:before="90" w:beforeAutospacing="0" w:after="90" w:afterAutospacing="0" w:line="360" w:lineRule="atLeast"/>
        <w:ind w:firstLine="480"/>
        <w:rPr>
          <w:rFonts w:cs="宋体"/>
          <w:color w:val="auto"/>
          <w:highlight w:val="none"/>
        </w:rPr>
      </w:pPr>
    </w:p>
    <w:p>
      <w:pPr>
        <w:pStyle w:val="3"/>
        <w:numPr>
          <w:ilvl w:val="0"/>
          <w:numId w:val="0"/>
        </w:numPr>
        <w:rPr>
          <w:rFonts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第四部分．合同条款</w:t>
      </w:r>
      <w:r>
        <w:rPr>
          <w:rFonts w:hint="eastAsia" w:ascii="宋体" w:hAnsi="宋体" w:eastAsia="宋体" w:cs="宋体"/>
          <w:color w:val="auto"/>
          <w:sz w:val="24"/>
          <w:szCs w:val="24"/>
          <w:highlight w:val="none"/>
        </w:rPr>
        <w:t>(格式,报价时不需填写）</w:t>
      </w:r>
    </w:p>
    <w:p>
      <w:pPr>
        <w:jc w:val="center"/>
        <w:rPr>
          <w:rFonts w:ascii="宋体" w:hAnsi="宋体" w:cs="宋体"/>
          <w:b/>
          <w:color w:val="auto"/>
          <w:sz w:val="52"/>
          <w:szCs w:val="52"/>
          <w:highlight w:val="none"/>
        </w:rPr>
      </w:pPr>
    </w:p>
    <w:p>
      <w:pPr>
        <w:pStyle w:val="21"/>
        <w:jc w:val="center"/>
        <w:rPr>
          <w:rFonts w:ascii="Times New Roman" w:hAnsi="Times New Roman" w:eastAsia="华文中宋"/>
          <w:b/>
          <w:color w:val="auto"/>
          <w:sz w:val="52"/>
          <w:szCs w:val="52"/>
          <w:highlight w:val="none"/>
        </w:rPr>
      </w:pPr>
      <w:r>
        <w:rPr>
          <w:rFonts w:ascii="Times New Roman" w:hAnsi="Times New Roman" w:eastAsia="华文中宋"/>
          <w:b/>
          <w:color w:val="auto"/>
          <w:sz w:val="72"/>
          <w:szCs w:val="52"/>
          <w:highlight w:val="none"/>
        </w:rPr>
        <w:t>建设工程施工合同</w:t>
      </w:r>
      <w:r>
        <w:rPr>
          <w:rFonts w:ascii="Times New Roman" w:hAnsi="Times New Roman" w:eastAsia="华文中宋"/>
          <w:b/>
          <w:color w:val="auto"/>
          <w:sz w:val="52"/>
          <w:szCs w:val="52"/>
          <w:highlight w:val="none"/>
        </w:rPr>
        <w:br w:type="textWrapping"/>
      </w:r>
      <w:r>
        <w:rPr>
          <w:rFonts w:ascii="Times New Roman" w:hAnsi="Times New Roman" w:eastAsia="华文中宋"/>
          <w:b/>
          <w:color w:val="auto"/>
          <w:sz w:val="52"/>
          <w:szCs w:val="52"/>
          <w:highlight w:val="none"/>
        </w:rPr>
        <w:t>（示范文本）</w:t>
      </w:r>
    </w:p>
    <w:p>
      <w:pPr>
        <w:jc w:val="center"/>
        <w:rPr>
          <w:rFonts w:ascii="宋体" w:hAnsi="宋体"/>
          <w:b/>
          <w:color w:val="auto"/>
          <w:sz w:val="52"/>
          <w:szCs w:val="52"/>
          <w:highlight w:val="none"/>
        </w:rPr>
      </w:pPr>
    </w:p>
    <w:p>
      <w:pPr>
        <w:jc w:val="center"/>
        <w:rPr>
          <w:rFonts w:ascii="宋体" w:hAnsi="宋体"/>
          <w:b/>
          <w:color w:val="auto"/>
          <w:sz w:val="44"/>
          <w:szCs w:val="44"/>
          <w:highlight w:val="none"/>
        </w:rPr>
      </w:pPr>
    </w:p>
    <w:p>
      <w:pPr>
        <w:rPr>
          <w:rFonts w:ascii="宋体" w:hAnsi="宋体"/>
          <w:b/>
          <w:color w:val="auto"/>
          <w:sz w:val="44"/>
          <w:szCs w:val="44"/>
          <w:highlight w:val="none"/>
        </w:rPr>
      </w:pPr>
    </w:p>
    <w:p>
      <w:pPr>
        <w:rPr>
          <w:rFonts w:ascii="宋体" w:hAnsi="宋体"/>
          <w:b/>
          <w:color w:val="auto"/>
          <w:sz w:val="44"/>
          <w:szCs w:val="44"/>
          <w:highlight w:val="none"/>
        </w:rPr>
      </w:pPr>
    </w:p>
    <w:p>
      <w:pPr>
        <w:rPr>
          <w:rFonts w:ascii="宋体" w:hAnsi="宋体"/>
          <w:b/>
          <w:color w:val="auto"/>
          <w:sz w:val="44"/>
          <w:szCs w:val="44"/>
          <w:highlight w:val="none"/>
        </w:rPr>
      </w:pPr>
    </w:p>
    <w:p>
      <w:pPr>
        <w:rPr>
          <w:rFonts w:ascii="宋体" w:hAnsi="宋体"/>
          <w:b/>
          <w:color w:val="auto"/>
          <w:sz w:val="44"/>
          <w:szCs w:val="44"/>
          <w:highlight w:val="none"/>
        </w:rPr>
      </w:pPr>
    </w:p>
    <w:p>
      <w:pPr>
        <w:rPr>
          <w:rFonts w:ascii="宋体" w:hAnsi="宋体"/>
          <w:b/>
          <w:color w:val="auto"/>
          <w:sz w:val="44"/>
          <w:szCs w:val="44"/>
          <w:highlight w:val="none"/>
        </w:rPr>
      </w:pPr>
    </w:p>
    <w:p>
      <w:pPr>
        <w:ind w:right="2719" w:rightChars="1295" w:firstLine="2738" w:firstLineChars="1304"/>
        <w:jc w:val="distribute"/>
        <w:rPr>
          <w:rFonts w:ascii="宋体" w:hAnsi="宋体"/>
          <w:b/>
          <w:color w:val="auto"/>
          <w:sz w:val="32"/>
          <w:szCs w:val="28"/>
          <w:highlight w:val="none"/>
        </w:rPr>
      </w:pPr>
      <w:r>
        <w:rPr>
          <w:rFonts w:ascii="宋体" w:hAnsi="宋体"/>
          <w:color w:val="auto"/>
          <w:highlight w:val="none"/>
        </w:rPr>
        <w:pict>
          <v:shape id="_x0000_s1026" o:spid="_x0000_s1026" o:spt="202" type="#_x0000_t202" style="position:absolute;left:0pt;margin-left:312.6pt;margin-top:9.45pt;height:46.85pt;width:38.15pt;z-index:251660288;mso-width-relative:page;mso-height-relative:page;" filled="f" stroked="t" coordsize="21600,21600" o:gfxdata="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iLZ+2AAAAAoBAAAPAAAAAAAAAAEAIAAAACIA&#10;AABkcnMvZG93bnJldi54bWxQSwECFAAUAAAACACHTuJAKYiqmgkCAAAaBAAADgAAAAAAAAABACAA&#10;AAAnAQAAZHJzL2Uyb0RvYy54bWxQSwUGAAAAAAYABgBZAQAAogU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ascii="宋体" w:hAnsi="宋体"/>
          <w:b/>
          <w:color w:val="auto"/>
          <w:sz w:val="32"/>
          <w:szCs w:val="28"/>
          <w:highlight w:val="none"/>
        </w:rPr>
        <w:t>住房和城乡建设部</w:t>
      </w:r>
    </w:p>
    <w:p>
      <w:pPr>
        <w:ind w:right="2719" w:rightChars="1295" w:firstLine="2750" w:firstLineChars="856"/>
        <w:jc w:val="distribute"/>
        <w:rPr>
          <w:rFonts w:ascii="宋体" w:hAnsi="宋体"/>
          <w:b/>
          <w:color w:val="auto"/>
          <w:sz w:val="32"/>
          <w:szCs w:val="28"/>
          <w:highlight w:val="none"/>
        </w:rPr>
      </w:pPr>
      <w:r>
        <w:rPr>
          <w:rFonts w:ascii="宋体" w:hAnsi="宋体"/>
          <w:b/>
          <w:color w:val="auto"/>
          <w:sz w:val="32"/>
          <w:szCs w:val="28"/>
          <w:highlight w:val="none"/>
        </w:rPr>
        <w:t>国家工商行政管理总局</w:t>
      </w:r>
    </w:p>
    <w:p>
      <w:pPr>
        <w:pStyle w:val="25"/>
        <w:spacing w:before="0" w:after="0" w:line="240" w:lineRule="auto"/>
        <w:jc w:val="center"/>
        <w:outlineLvl w:val="0"/>
        <w:rPr>
          <w:rFonts w:ascii="宋体" w:hAnsi="宋体"/>
          <w:color w:val="auto"/>
          <w:sz w:val="32"/>
          <w:szCs w:val="32"/>
          <w:highlight w:val="none"/>
          <w:lang w:val="zh-CN"/>
        </w:rPr>
      </w:pPr>
      <w:r>
        <w:rPr>
          <w:rFonts w:ascii="宋体" w:hAnsi="宋体"/>
          <w:b w:val="0"/>
          <w:color w:val="auto"/>
          <w:sz w:val="24"/>
          <w:szCs w:val="24"/>
          <w:highlight w:val="none"/>
        </w:rPr>
        <w:br w:type="page"/>
      </w:r>
      <w:r>
        <w:rPr>
          <w:rFonts w:hint="eastAsia" w:ascii="宋体" w:hAnsi="宋体"/>
          <w:color w:val="auto"/>
          <w:sz w:val="32"/>
          <w:szCs w:val="32"/>
          <w:highlight w:val="none"/>
          <w:lang w:val="zh-CN"/>
        </w:rPr>
        <w:t>说  明</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为了指导建设工程施工合同当事人的签约行为，维护合同当事人的合法权益，依据《中华人民共和国合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spacing w:line="360" w:lineRule="auto"/>
        <w:ind w:firstLine="480" w:firstLineChars="200"/>
        <w:outlineLvl w:val="0"/>
        <w:rPr>
          <w:rFonts w:ascii="宋体" w:hAnsi="宋体"/>
          <w:bCs/>
          <w:color w:val="auto"/>
          <w:sz w:val="24"/>
          <w:highlight w:val="none"/>
        </w:rPr>
      </w:pPr>
      <w:r>
        <w:rPr>
          <w:rFonts w:hint="eastAsia" w:ascii="宋体" w:hAnsi="宋体"/>
          <w:bCs/>
          <w:color w:val="auto"/>
          <w:sz w:val="24"/>
          <w:highlight w:val="none"/>
        </w:rPr>
        <w:t>一、《示范文本》的组成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《示范文本》由合同协议书、通用合同条款和专用合同条款三部分组成。</w:t>
      </w:r>
    </w:p>
    <w:p>
      <w:pPr>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（一）合同协议书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（二）通用合同条款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通用合同条款是合同当事人根据《中华人民共和国建筑法》、《中华人民共和国合民法典》等法律法规的规定，就工程建设的实施及相关事项，对合同当事人的权利义务作出的原则性约定。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spacing w:line="360" w:lineRule="auto"/>
        <w:ind w:firstLine="480" w:firstLineChars="200"/>
        <w:outlineLvl w:val="0"/>
        <w:rPr>
          <w:rFonts w:ascii="宋体" w:hAnsi="宋体"/>
          <w:color w:val="auto"/>
          <w:sz w:val="24"/>
          <w:highlight w:val="none"/>
        </w:rPr>
      </w:pPr>
      <w:r>
        <w:rPr>
          <w:rFonts w:hint="eastAsia" w:ascii="宋体" w:hAnsi="宋体"/>
          <w:color w:val="auto"/>
          <w:sz w:val="24"/>
          <w:highlight w:val="none"/>
        </w:rPr>
        <w:t>（三）专用合同条款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pacing w:line="360" w:lineRule="auto"/>
        <w:ind w:right="25" w:rightChars="12" w:firstLine="480" w:firstLineChars="200"/>
        <w:rPr>
          <w:rFonts w:ascii="宋体" w:hAnsi="宋体"/>
          <w:color w:val="auto"/>
          <w:sz w:val="24"/>
          <w:highlight w:val="none"/>
        </w:rPr>
      </w:pPr>
      <w:r>
        <w:rPr>
          <w:rFonts w:hint="eastAsia" w:ascii="宋体" w:hAnsi="宋体"/>
          <w:color w:val="auto"/>
          <w:sz w:val="24"/>
          <w:highlight w:val="none"/>
        </w:rPr>
        <w:t>1.专用合同条款的编号应与相应的通用合同条款的编号一致；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2.合同当事人可以通过对专用合同条款的修改，满足具体建设工程的特殊要求，避免直接修改通用合同条款；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3.在专用合同条款中有横道线的地方，合同当事人可针对相应的通用合同条款进行细化、完善、补充、修改或另行约定；如无细化、完善、补充、修改或另行约定，则填写“无”或划“/”。</w:t>
      </w:r>
    </w:p>
    <w:p>
      <w:pPr>
        <w:spacing w:line="360" w:lineRule="auto"/>
        <w:ind w:firstLine="480" w:firstLineChars="200"/>
        <w:outlineLvl w:val="0"/>
        <w:rPr>
          <w:rFonts w:ascii="宋体" w:hAnsi="宋体"/>
          <w:b/>
          <w:color w:val="auto"/>
          <w:sz w:val="24"/>
          <w:highlight w:val="none"/>
        </w:rPr>
      </w:pPr>
      <w:r>
        <w:rPr>
          <w:rFonts w:hint="eastAsia" w:ascii="宋体" w:hAnsi="宋体"/>
          <w:bCs/>
          <w:color w:val="auto"/>
          <w:sz w:val="24"/>
          <w:highlight w:val="none"/>
        </w:rPr>
        <w:t>二、《示范文本》的性质和适用范围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pStyle w:val="5"/>
        <w:rPr>
          <w:rFonts w:ascii="宋体" w:hAnsi="宋体" w:eastAsia="宋体" w:cs="宋体"/>
          <w:b w:val="0"/>
          <w:color w:val="auto"/>
          <w:sz w:val="24"/>
          <w:szCs w:val="24"/>
          <w:highlight w:val="none"/>
        </w:rPr>
      </w:pPr>
      <w:bookmarkStart w:id="3" w:name="_Toc351203480"/>
      <w:r>
        <w:rPr>
          <w:rFonts w:ascii="宋体" w:hAnsi="宋体"/>
          <w:color w:val="auto"/>
          <w:sz w:val="24"/>
          <w:szCs w:val="24"/>
          <w:highlight w:val="none"/>
        </w:rPr>
        <w:br w:type="page"/>
      </w:r>
      <w:r>
        <w:rPr>
          <w:rFonts w:hint="eastAsia" w:ascii="宋体" w:hAnsi="宋体" w:eastAsia="宋体" w:cs="宋体"/>
          <w:color w:val="auto"/>
          <w:sz w:val="24"/>
          <w:szCs w:val="24"/>
          <w:highlight w:val="none"/>
        </w:rPr>
        <w:t>第一部分 合同协议书</w:t>
      </w:r>
      <w:bookmarkEnd w:id="3"/>
    </w:p>
    <w:p>
      <w:pPr>
        <w:spacing w:line="360" w:lineRule="auto"/>
        <w:rPr>
          <w:rFonts w:ascii="宋体" w:hAnsi="宋体" w:cs="宋体"/>
          <w:b/>
          <w:color w:val="auto"/>
          <w:sz w:val="24"/>
          <w:highlight w:val="none"/>
          <w:u w:val="single"/>
        </w:rPr>
      </w:pPr>
      <w:r>
        <w:rPr>
          <w:rFonts w:hint="eastAsia" w:ascii="宋体" w:hAnsi="宋体" w:cs="宋体"/>
          <w:b/>
          <w:color w:val="auto"/>
          <w:sz w:val="24"/>
          <w:highlight w:val="none"/>
        </w:rPr>
        <w:t>发包人（全称）：</w:t>
      </w:r>
      <w:r>
        <w:rPr>
          <w:rFonts w:hint="eastAsia" w:ascii="宋体" w:hAnsi="宋体" w:cs="宋体"/>
          <w:b/>
          <w:color w:val="auto"/>
          <w:sz w:val="24"/>
          <w:highlight w:val="none"/>
          <w:u w:val="single"/>
          <w:lang w:eastAsia="zh-CN"/>
        </w:rPr>
        <w:t>无锡市梁溪区清名桥街道办事处</w:t>
      </w:r>
      <w:r>
        <w:rPr>
          <w:rFonts w:hint="eastAsia" w:ascii="宋体" w:hAnsi="宋体" w:cs="宋体"/>
          <w:b/>
          <w:color w:val="auto"/>
          <w:sz w:val="24"/>
          <w:highlight w:val="none"/>
          <w:u w:val="single"/>
        </w:rPr>
        <w:t xml:space="preserve">      </w:t>
      </w:r>
    </w:p>
    <w:p>
      <w:pPr>
        <w:spacing w:line="360" w:lineRule="auto"/>
        <w:rPr>
          <w:rFonts w:ascii="宋体" w:hAnsi="宋体" w:cs="宋体"/>
          <w:b/>
          <w:color w:val="auto"/>
          <w:sz w:val="24"/>
          <w:highlight w:val="none"/>
          <w:u w:val="single"/>
        </w:rPr>
      </w:pPr>
      <w:r>
        <w:rPr>
          <w:rFonts w:hint="eastAsia" w:ascii="宋体" w:hAnsi="宋体" w:cs="宋体"/>
          <w:b/>
          <w:color w:val="auto"/>
          <w:sz w:val="24"/>
          <w:highlight w:val="none"/>
        </w:rPr>
        <w:t>承包人（全称）：</w:t>
      </w:r>
      <w:r>
        <w:rPr>
          <w:rFonts w:hint="eastAsia" w:ascii="宋体" w:hAnsi="宋体" w:cs="宋体"/>
          <w:b/>
          <w:color w:val="auto"/>
          <w:sz w:val="24"/>
          <w:highlight w:val="none"/>
          <w:u w:val="single"/>
        </w:rPr>
        <w:t>                    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根据《中华人民共和国合民法典》、《中华人民共和国建筑法》及有关法律规定，遵循平等、自愿、公平和诚实信用的原则，双方就工程施工及有关事项协商一致，共同达成如下协议：</w:t>
      </w:r>
      <w:bookmarkStart w:id="4" w:name="_Toc351203481"/>
    </w:p>
    <w:p>
      <w:pPr>
        <w:spacing w:line="360" w:lineRule="auto"/>
        <w:rPr>
          <w:rFonts w:ascii="宋体" w:hAnsi="宋体" w:cs="宋体"/>
          <w:color w:val="auto"/>
          <w:sz w:val="24"/>
          <w:highlight w:val="none"/>
        </w:rPr>
      </w:pPr>
      <w:r>
        <w:rPr>
          <w:rFonts w:hint="eastAsia" w:ascii="宋体" w:hAnsi="宋体" w:cs="宋体"/>
          <w:b/>
          <w:color w:val="auto"/>
          <w:sz w:val="24"/>
          <w:highlight w:val="none"/>
        </w:rPr>
        <w:t>一、工程概况</w:t>
      </w:r>
      <w:bookmarkEnd w:id="4"/>
    </w:p>
    <w:p>
      <w:pPr>
        <w:spacing w:line="360" w:lineRule="auto"/>
        <w:ind w:firstLine="470" w:firstLineChars="196"/>
        <w:rPr>
          <w:rFonts w:ascii="宋体" w:hAnsi="宋体" w:cs="宋体"/>
          <w:color w:val="auto"/>
          <w:sz w:val="24"/>
          <w:highlight w:val="none"/>
          <w:u w:val="single"/>
        </w:rPr>
      </w:pPr>
      <w:r>
        <w:rPr>
          <w:rFonts w:hint="eastAsia" w:ascii="宋体" w:hAnsi="宋体" w:cs="宋体"/>
          <w:bCs/>
          <w:color w:val="auto"/>
          <w:sz w:val="24"/>
          <w:highlight w:val="none"/>
        </w:rPr>
        <w:t>1.工程名称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2.工程地点：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3.工程立项批准文号：</w:t>
      </w:r>
      <w:r>
        <w:rPr>
          <w:rFonts w:hint="eastAsia" w:ascii="宋体" w:hAnsi="宋体" w:cs="宋体"/>
          <w:color w:val="auto"/>
          <w:sz w:val="24"/>
          <w:highlight w:val="none"/>
          <w:u w:val="single"/>
        </w:rPr>
        <w:t xml:space="preserve">           </w:t>
      </w:r>
      <w:r>
        <w:rPr>
          <w:rFonts w:hint="eastAsia" w:ascii="宋体" w:hAnsi="宋体" w:cs="宋体"/>
          <w:bCs/>
          <w:color w:val="auto"/>
          <w:sz w:val="24"/>
          <w:highlight w:val="none"/>
        </w:rPr>
        <w:t>。</w:t>
      </w:r>
    </w:p>
    <w:p>
      <w:pPr>
        <w:spacing w:line="360" w:lineRule="auto"/>
        <w:ind w:firstLine="470" w:firstLineChars="196"/>
        <w:rPr>
          <w:rFonts w:ascii="宋体" w:hAnsi="宋体" w:cs="宋体"/>
          <w:bCs/>
          <w:color w:val="auto"/>
          <w:sz w:val="24"/>
          <w:highlight w:val="none"/>
        </w:rPr>
      </w:pPr>
      <w:r>
        <w:rPr>
          <w:rFonts w:hint="eastAsia" w:ascii="宋体" w:hAnsi="宋体" w:cs="宋体"/>
          <w:bCs/>
          <w:color w:val="auto"/>
          <w:sz w:val="24"/>
          <w:highlight w:val="none"/>
        </w:rPr>
        <w:t>4.资金来源：</w:t>
      </w:r>
      <w:r>
        <w:rPr>
          <w:rFonts w:hint="eastAsia" w:ascii="宋体" w:hAnsi="宋体" w:cs="宋体"/>
          <w:color w:val="auto"/>
          <w:sz w:val="24"/>
          <w:highlight w:val="none"/>
          <w:u w:val="single"/>
        </w:rPr>
        <w:t xml:space="preserve">           </w:t>
      </w:r>
      <w:r>
        <w:rPr>
          <w:rFonts w:hint="eastAsia" w:ascii="宋体" w:hAnsi="宋体" w:cs="宋体"/>
          <w:bCs/>
          <w:color w:val="auto"/>
          <w:sz w:val="24"/>
          <w:highlight w:val="none"/>
        </w:rPr>
        <w:t>。</w:t>
      </w:r>
    </w:p>
    <w:p>
      <w:pPr>
        <w:spacing w:line="360" w:lineRule="auto"/>
        <w:ind w:firstLine="470" w:firstLineChars="196"/>
        <w:rPr>
          <w:rFonts w:ascii="宋体" w:hAnsi="宋体" w:cs="宋体"/>
          <w:bCs/>
          <w:color w:val="auto"/>
          <w:sz w:val="24"/>
          <w:highlight w:val="none"/>
          <w:u w:val="single"/>
        </w:rPr>
      </w:pPr>
      <w:r>
        <w:rPr>
          <w:rFonts w:hint="eastAsia" w:ascii="宋体" w:hAnsi="宋体" w:cs="宋体"/>
          <w:bCs/>
          <w:color w:val="auto"/>
          <w:sz w:val="24"/>
          <w:highlight w:val="none"/>
        </w:rPr>
        <w:t>5.工程内容：</w:t>
      </w:r>
      <w:r>
        <w:rPr>
          <w:rFonts w:hint="eastAsia" w:ascii="宋体" w:hAnsi="宋体" w:cs="宋体"/>
          <w:bCs/>
          <w:color w:val="auto"/>
          <w:sz w:val="24"/>
          <w:highlight w:val="none"/>
          <w:u w:val="single"/>
        </w:rPr>
        <w:t xml:space="preserve">                                        。</w:t>
      </w:r>
    </w:p>
    <w:p>
      <w:pPr>
        <w:spacing w:line="360" w:lineRule="auto"/>
        <w:ind w:firstLine="470" w:firstLineChars="196"/>
        <w:rPr>
          <w:rFonts w:ascii="宋体" w:hAnsi="宋体" w:cs="宋体"/>
          <w:bCs/>
          <w:color w:val="auto"/>
          <w:sz w:val="24"/>
          <w:highlight w:val="none"/>
        </w:rPr>
      </w:pPr>
      <w:r>
        <w:rPr>
          <w:rFonts w:hint="eastAsia" w:ascii="宋体" w:hAnsi="宋体" w:cs="宋体"/>
          <w:color w:val="auto"/>
          <w:sz w:val="24"/>
          <w:highlight w:val="none"/>
        </w:rPr>
        <w:t>群体工程应附《承包人承揽工程项目一览表》（附件1）。</w:t>
      </w:r>
    </w:p>
    <w:p>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6.工程承包范围：</w:t>
      </w:r>
      <w:r>
        <w:rPr>
          <w:rFonts w:hint="eastAsia" w:ascii="宋体" w:hAnsi="宋体" w:cs="宋体"/>
          <w:color w:val="auto"/>
          <w:sz w:val="24"/>
          <w:highlight w:val="none"/>
        </w:rPr>
        <w:t>。</w:t>
      </w:r>
      <w:bookmarkStart w:id="5" w:name="_Toc351203482"/>
    </w:p>
    <w:p>
      <w:pPr>
        <w:spacing w:line="360" w:lineRule="auto"/>
        <w:rPr>
          <w:rFonts w:ascii="宋体" w:hAnsi="宋体" w:cs="宋体"/>
          <w:color w:val="auto"/>
          <w:sz w:val="24"/>
          <w:highlight w:val="none"/>
        </w:rPr>
      </w:pPr>
      <w:r>
        <w:rPr>
          <w:rFonts w:hint="eastAsia" w:ascii="宋体" w:hAnsi="宋体" w:cs="宋体"/>
          <w:b/>
          <w:color w:val="auto"/>
          <w:sz w:val="24"/>
          <w:highlight w:val="none"/>
        </w:rPr>
        <w:t>二、合同工期</w:t>
      </w:r>
      <w:bookmarkEnd w:id="5"/>
    </w:p>
    <w:p>
      <w:pPr>
        <w:spacing w:line="360" w:lineRule="auto"/>
        <w:ind w:firstLine="459"/>
        <w:rPr>
          <w:rFonts w:ascii="宋体" w:hAnsi="宋体" w:cs="宋体"/>
          <w:color w:val="auto"/>
          <w:sz w:val="24"/>
          <w:highlight w:val="none"/>
        </w:rPr>
      </w:pPr>
      <w:r>
        <w:rPr>
          <w:rFonts w:hint="eastAsia" w:ascii="宋体" w:hAnsi="宋体" w:cs="宋体"/>
          <w:color w:val="auto"/>
          <w:sz w:val="24"/>
          <w:highlight w:val="none"/>
        </w:rPr>
        <w:t>计划开工日期：</w:t>
      </w:r>
      <w:r>
        <w:rPr>
          <w:rFonts w:hint="eastAsia" w:ascii="宋体" w:hAnsi="宋体" w:cs="宋体"/>
          <w:color w:val="auto"/>
          <w:sz w:val="24"/>
          <w:highlight w:val="none"/>
          <w:u w:val="single"/>
        </w:rPr>
        <w:t></w:t>
      </w:r>
      <w:r>
        <w:rPr>
          <w:rFonts w:hint="eastAsia" w:ascii="宋体" w:hAnsi="宋体" w:cs="宋体"/>
          <w:color w:val="auto"/>
          <w:sz w:val="24"/>
          <w:highlight w:val="none"/>
        </w:rPr>
        <w:t>年</w:t>
      </w:r>
      <w:r>
        <w:rPr>
          <w:rFonts w:hint="eastAsia" w:ascii="宋体" w:hAnsi="宋体" w:cs="宋体"/>
          <w:color w:val="auto"/>
          <w:sz w:val="24"/>
          <w:highlight w:val="none"/>
          <w:u w:val="single"/>
        </w:rPr>
        <w:t></w:t>
      </w:r>
      <w:r>
        <w:rPr>
          <w:rFonts w:hint="eastAsia" w:ascii="宋体" w:hAnsi="宋体" w:cs="宋体"/>
          <w:color w:val="auto"/>
          <w:sz w:val="24"/>
          <w:highlight w:val="none"/>
        </w:rPr>
        <w:t>月</w:t>
      </w:r>
      <w:r>
        <w:rPr>
          <w:rFonts w:hint="eastAsia" w:ascii="宋体" w:hAnsi="宋体" w:cs="宋体"/>
          <w:color w:val="auto"/>
          <w:sz w:val="24"/>
          <w:highlight w:val="none"/>
          <w:u w:val="single"/>
        </w:rPr>
        <w:t></w:t>
      </w:r>
      <w:r>
        <w:rPr>
          <w:rFonts w:hint="eastAsia" w:ascii="宋体" w:hAnsi="宋体" w:cs="宋体"/>
          <w:color w:val="auto"/>
          <w:sz w:val="24"/>
          <w:highlight w:val="none"/>
        </w:rPr>
        <w:t>日。</w:t>
      </w:r>
    </w:p>
    <w:p>
      <w:pPr>
        <w:spacing w:line="360" w:lineRule="auto"/>
        <w:ind w:firstLine="459"/>
        <w:rPr>
          <w:rFonts w:ascii="宋体" w:hAnsi="宋体" w:cs="宋体"/>
          <w:color w:val="auto"/>
          <w:sz w:val="24"/>
          <w:highlight w:val="non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w:t>
      </w:r>
      <w:r>
        <w:rPr>
          <w:rFonts w:hint="eastAsia" w:ascii="宋体" w:hAnsi="宋体" w:cs="宋体"/>
          <w:color w:val="auto"/>
          <w:sz w:val="24"/>
          <w:highlight w:val="none"/>
        </w:rPr>
        <w:t>年</w:t>
      </w:r>
      <w:r>
        <w:rPr>
          <w:rFonts w:hint="eastAsia" w:ascii="宋体" w:hAnsi="宋体" w:cs="宋体"/>
          <w:color w:val="auto"/>
          <w:sz w:val="24"/>
          <w:highlight w:val="none"/>
          <w:u w:val="single"/>
        </w:rPr>
        <w:t></w:t>
      </w:r>
      <w:r>
        <w:rPr>
          <w:rFonts w:hint="eastAsia" w:ascii="宋体" w:hAnsi="宋体" w:cs="宋体"/>
          <w:color w:val="auto"/>
          <w:sz w:val="24"/>
          <w:highlight w:val="none"/>
        </w:rPr>
        <w:t>月</w:t>
      </w:r>
      <w:r>
        <w:rPr>
          <w:rFonts w:hint="eastAsia" w:ascii="宋体" w:hAnsi="宋体" w:cs="宋体"/>
          <w:color w:val="auto"/>
          <w:sz w:val="24"/>
          <w:highlight w:val="none"/>
          <w:u w:val="single"/>
        </w:rPr>
        <w:t></w:t>
      </w:r>
      <w:r>
        <w:rPr>
          <w:rFonts w:hint="eastAsia" w:ascii="宋体" w:hAnsi="宋体" w:cs="宋体"/>
          <w:color w:val="auto"/>
          <w:sz w:val="24"/>
          <w:highlight w:val="none"/>
        </w:rPr>
        <w:t>日。</w:t>
      </w:r>
    </w:p>
    <w:p>
      <w:pPr>
        <w:spacing w:line="360" w:lineRule="auto"/>
        <w:ind w:firstLine="459"/>
        <w:rPr>
          <w:rFonts w:ascii="宋体" w:hAnsi="宋体" w:cs="宋体"/>
          <w:color w:val="auto"/>
          <w:sz w:val="24"/>
          <w:highlight w:val="none"/>
        </w:rPr>
      </w:pPr>
      <w:r>
        <w:rPr>
          <w:rFonts w:hint="eastAsia" w:ascii="宋体" w:hAnsi="宋体" w:cs="宋体"/>
          <w:color w:val="auto"/>
          <w:sz w:val="24"/>
          <w:highlight w:val="none"/>
        </w:rPr>
        <w:t>工期总日历天数：天。工期总日历天数与根据前述计划开竣工日期计算的工期天数不一致的，以工期总日历天数为准。</w:t>
      </w:r>
      <w:bookmarkStart w:id="6" w:name="_Toc351203483"/>
    </w:p>
    <w:p>
      <w:pPr>
        <w:spacing w:line="360" w:lineRule="auto"/>
        <w:rPr>
          <w:rFonts w:ascii="宋体" w:hAnsi="宋体" w:cs="宋体"/>
          <w:color w:val="auto"/>
          <w:sz w:val="24"/>
          <w:highlight w:val="none"/>
        </w:rPr>
      </w:pPr>
      <w:r>
        <w:rPr>
          <w:rFonts w:hint="eastAsia" w:ascii="宋体" w:hAnsi="宋体" w:cs="宋体"/>
          <w:b/>
          <w:color w:val="auto"/>
          <w:sz w:val="24"/>
          <w:highlight w:val="none"/>
        </w:rPr>
        <w:t>三、质量标准</w:t>
      </w:r>
      <w:bookmarkEnd w:id="6"/>
    </w:p>
    <w:p>
      <w:pPr>
        <w:spacing w:line="360" w:lineRule="auto"/>
        <w:ind w:firstLine="459"/>
        <w:rPr>
          <w:rFonts w:ascii="宋体" w:hAnsi="宋体" w:cs="宋体"/>
          <w:color w:val="auto"/>
          <w:sz w:val="24"/>
          <w:highlight w:val="none"/>
        </w:rPr>
      </w:pPr>
      <w:r>
        <w:rPr>
          <w:rFonts w:hint="eastAsia" w:ascii="宋体" w:hAnsi="宋体" w:cs="宋体"/>
          <w:color w:val="auto"/>
          <w:sz w:val="24"/>
          <w:highlight w:val="none"/>
        </w:rPr>
        <w:t>工程质量符合</w:t>
      </w:r>
      <w:r>
        <w:rPr>
          <w:rFonts w:hint="eastAsia" w:ascii="宋体" w:hAnsi="宋体" w:cs="宋体"/>
          <w:color w:val="auto"/>
          <w:sz w:val="24"/>
          <w:highlight w:val="none"/>
          <w:u w:val="single"/>
        </w:rPr>
        <w:t xml:space="preserve"> 一次性验收通过，100%合格。</w:t>
      </w:r>
      <w:bookmarkStart w:id="7" w:name="_Toc351203484"/>
    </w:p>
    <w:p>
      <w:pPr>
        <w:spacing w:line="360" w:lineRule="auto"/>
        <w:rPr>
          <w:rFonts w:ascii="宋体" w:hAnsi="宋体" w:cs="宋体"/>
          <w:color w:val="auto"/>
          <w:sz w:val="24"/>
          <w:highlight w:val="none"/>
        </w:rPr>
      </w:pPr>
      <w:r>
        <w:rPr>
          <w:rFonts w:hint="eastAsia" w:ascii="宋体" w:hAnsi="宋体" w:cs="宋体"/>
          <w:b/>
          <w:color w:val="auto"/>
          <w:sz w:val="24"/>
          <w:highlight w:val="none"/>
        </w:rPr>
        <w:t>四、签约合同价与合同价格形式</w:t>
      </w:r>
      <w:bookmarkEnd w:id="7"/>
      <w:r>
        <w:rPr>
          <w:rFonts w:hint="eastAsia" w:ascii="宋体" w:hAnsi="宋体" w:cs="宋体"/>
          <w:b/>
          <w:color w:val="auto"/>
          <w:sz w:val="24"/>
          <w:highlight w:val="none"/>
        </w:rPr>
        <w:tab/>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1.签约合同价为：</w:t>
      </w:r>
    </w:p>
    <w:p>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人民币（大写）(¥元)；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（1）安全文明施工费：</w:t>
      </w:r>
    </w:p>
    <w:p>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人民币（大写） (¥元)；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（2）材料和工程设备暂估价金额：</w:t>
      </w:r>
    </w:p>
    <w:p>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人民币（大写） (¥元)；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（3）专业工程暂估价金额：</w:t>
      </w:r>
    </w:p>
    <w:p>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人民币（大写） (¥元)；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（4）暂列金额：</w:t>
      </w:r>
    </w:p>
    <w:p>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人民币（大写） (¥元)。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2.合同价格形式：固定单价合同。</w:t>
      </w:r>
      <w:bookmarkStart w:id="8" w:name="_Toc351203485"/>
    </w:p>
    <w:p>
      <w:pPr>
        <w:spacing w:line="360" w:lineRule="auto"/>
        <w:rPr>
          <w:rFonts w:ascii="宋体" w:hAnsi="宋体" w:cs="宋体"/>
          <w:color w:val="auto"/>
          <w:sz w:val="24"/>
          <w:highlight w:val="none"/>
        </w:rPr>
      </w:pPr>
      <w:r>
        <w:rPr>
          <w:rFonts w:hint="eastAsia" w:ascii="宋体" w:hAnsi="宋体" w:cs="宋体"/>
          <w:b/>
          <w:color w:val="auto"/>
          <w:sz w:val="24"/>
          <w:highlight w:val="none"/>
        </w:rPr>
        <w:t>五、</w:t>
      </w:r>
      <w:bookmarkEnd w:id="8"/>
      <w:r>
        <w:rPr>
          <w:rFonts w:hint="eastAsia" w:ascii="宋体" w:hAnsi="宋体" w:cs="宋体"/>
          <w:b/>
          <w:color w:val="auto"/>
          <w:sz w:val="24"/>
          <w:highlight w:val="none"/>
        </w:rPr>
        <w:t>项目经理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承包人项目经理：。</w:t>
      </w:r>
      <w:bookmarkStart w:id="9" w:name="_Toc351203486"/>
    </w:p>
    <w:p>
      <w:pPr>
        <w:spacing w:line="360" w:lineRule="auto"/>
        <w:rPr>
          <w:rFonts w:ascii="宋体" w:hAnsi="宋体" w:cs="宋体"/>
          <w:color w:val="auto"/>
          <w:sz w:val="24"/>
          <w:highlight w:val="none"/>
        </w:rPr>
      </w:pPr>
      <w:r>
        <w:rPr>
          <w:rFonts w:hint="eastAsia" w:ascii="宋体" w:hAnsi="宋体" w:cs="宋体"/>
          <w:b/>
          <w:color w:val="auto"/>
          <w:sz w:val="24"/>
          <w:highlight w:val="none"/>
        </w:rPr>
        <w:t>六、合同文件构成</w:t>
      </w:r>
      <w:bookmarkEnd w:id="9"/>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本协议书与下列文件一起构成合同文件：</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（1）中标通知书（如果有）；</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（2）响应函及其附录（如果有）； </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（3）专用合同条款及其附件；</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（4）通用合同条款；</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（5）技术标准和要求；</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（6）图纸；</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（7）已标价工程量清单或预算书；</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（8）其他合同文件。</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bookmarkStart w:id="10" w:name="_Toc351203487"/>
    </w:p>
    <w:p>
      <w:pPr>
        <w:autoSpaceDE w:val="0"/>
        <w:autoSpaceDN w:val="0"/>
        <w:adjustRightInd w:val="0"/>
        <w:spacing w:line="360" w:lineRule="auto"/>
        <w:jc w:val="left"/>
        <w:rPr>
          <w:rFonts w:ascii="宋体" w:hAnsi="宋体" w:cs="宋体"/>
          <w:color w:val="auto"/>
          <w:sz w:val="24"/>
          <w:highlight w:val="none"/>
        </w:rPr>
      </w:pPr>
      <w:r>
        <w:rPr>
          <w:rFonts w:hint="eastAsia" w:ascii="宋体" w:hAnsi="宋体" w:cs="宋体"/>
          <w:b/>
          <w:color w:val="auto"/>
          <w:sz w:val="24"/>
          <w:highlight w:val="none"/>
        </w:rPr>
        <w:t>七、承诺</w:t>
      </w:r>
      <w:bookmarkEnd w:id="10"/>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1.发包人承诺按照法律规定履行项目审批手续、筹集工程建设资金并按照合同约定的期限和方式支付合同价款。</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3.发包人和承包人通过招投标形式签订合同的，双方理解并承诺不再就同一工程另行签订与合同实质性内容相背离的协议。</w:t>
      </w:r>
    </w:p>
    <w:p>
      <w:pPr>
        <w:spacing w:line="360" w:lineRule="auto"/>
        <w:rPr>
          <w:rFonts w:ascii="宋体" w:hAnsi="宋体" w:cs="宋体"/>
          <w:bCs/>
          <w:color w:val="auto"/>
          <w:sz w:val="24"/>
          <w:highlight w:val="none"/>
        </w:rPr>
      </w:pPr>
      <w:bookmarkStart w:id="11" w:name="_Toc351203488"/>
      <w:r>
        <w:rPr>
          <w:rFonts w:hint="eastAsia" w:ascii="宋体" w:hAnsi="宋体" w:cs="宋体"/>
          <w:b/>
          <w:color w:val="auto"/>
          <w:sz w:val="24"/>
          <w:highlight w:val="none"/>
        </w:rPr>
        <w:t>八、词语含义</w:t>
      </w:r>
      <w:bookmarkEnd w:id="11"/>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本协议书中词语含义与第二部分通用合同条款中赋予的含义相同。</w:t>
      </w:r>
      <w:bookmarkStart w:id="12" w:name="_Toc351203489"/>
    </w:p>
    <w:p>
      <w:pPr>
        <w:spacing w:line="360" w:lineRule="auto"/>
        <w:rPr>
          <w:rFonts w:ascii="宋体" w:hAnsi="宋体" w:cs="宋体"/>
          <w:bCs/>
          <w:color w:val="auto"/>
          <w:sz w:val="24"/>
          <w:highlight w:val="none"/>
        </w:rPr>
      </w:pPr>
      <w:r>
        <w:rPr>
          <w:rFonts w:hint="eastAsia" w:ascii="宋体" w:hAnsi="宋体" w:cs="宋体"/>
          <w:b/>
          <w:color w:val="auto"/>
          <w:sz w:val="24"/>
          <w:highlight w:val="none"/>
        </w:rPr>
        <w:t>九、签订时间</w:t>
      </w:r>
      <w:bookmarkEnd w:id="1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本合同于年月日签订。</w:t>
      </w:r>
      <w:bookmarkStart w:id="13" w:name="_Toc351203490"/>
    </w:p>
    <w:p>
      <w:pPr>
        <w:spacing w:line="360" w:lineRule="auto"/>
        <w:rPr>
          <w:rFonts w:ascii="宋体" w:hAnsi="宋体" w:cs="宋体"/>
          <w:bCs/>
          <w:color w:val="auto"/>
          <w:sz w:val="24"/>
          <w:highlight w:val="none"/>
        </w:rPr>
      </w:pPr>
      <w:r>
        <w:rPr>
          <w:rFonts w:hint="eastAsia" w:ascii="宋体" w:hAnsi="宋体" w:cs="宋体"/>
          <w:b/>
          <w:color w:val="auto"/>
          <w:sz w:val="24"/>
          <w:highlight w:val="none"/>
        </w:rPr>
        <w:t>十、签订地点</w:t>
      </w:r>
      <w:bookmarkEnd w:id="1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本合同在    </w:t>
      </w:r>
      <w:r>
        <w:rPr>
          <w:rFonts w:hint="eastAsia" w:ascii="宋体" w:hAnsi="宋体" w:cs="宋体"/>
          <w:color w:val="auto"/>
          <w:sz w:val="24"/>
          <w:highlight w:val="none"/>
          <w:lang w:eastAsia="zh-CN"/>
        </w:rPr>
        <w:t>无锡市梁溪区清名桥街道办事处</w:t>
      </w:r>
      <w:r>
        <w:rPr>
          <w:rFonts w:hint="eastAsia" w:ascii="宋体" w:hAnsi="宋体" w:cs="宋体"/>
          <w:color w:val="auto"/>
          <w:sz w:val="24"/>
          <w:highlight w:val="none"/>
        </w:rPr>
        <w:t xml:space="preserve">       签订。</w:t>
      </w:r>
      <w:bookmarkStart w:id="14" w:name="_Toc351203491"/>
    </w:p>
    <w:p>
      <w:pPr>
        <w:spacing w:line="360" w:lineRule="auto"/>
        <w:rPr>
          <w:rFonts w:ascii="宋体" w:hAnsi="宋体" w:cs="宋体"/>
          <w:bCs/>
          <w:color w:val="auto"/>
          <w:sz w:val="24"/>
          <w:highlight w:val="none"/>
        </w:rPr>
      </w:pPr>
      <w:r>
        <w:rPr>
          <w:rFonts w:hint="eastAsia" w:ascii="宋体" w:hAnsi="宋体" w:cs="宋体"/>
          <w:b/>
          <w:color w:val="auto"/>
          <w:sz w:val="24"/>
          <w:highlight w:val="none"/>
        </w:rPr>
        <w:t>十一、补充协议</w:t>
      </w:r>
      <w:bookmarkEnd w:id="14"/>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合同未尽事宜，合同当事人另行签订补充协议，补充协议是合同的组成部分。</w:t>
      </w:r>
      <w:bookmarkStart w:id="15" w:name="_Toc351203492"/>
    </w:p>
    <w:p>
      <w:pPr>
        <w:spacing w:line="360" w:lineRule="auto"/>
        <w:rPr>
          <w:rFonts w:ascii="宋体" w:hAnsi="宋体" w:cs="宋体"/>
          <w:b/>
          <w:bCs/>
          <w:color w:val="auto"/>
          <w:sz w:val="24"/>
          <w:highlight w:val="none"/>
        </w:rPr>
      </w:pPr>
      <w:r>
        <w:rPr>
          <w:rFonts w:hint="eastAsia" w:ascii="宋体" w:hAnsi="宋体" w:cs="宋体"/>
          <w:b/>
          <w:color w:val="auto"/>
          <w:sz w:val="24"/>
          <w:highlight w:val="none"/>
        </w:rPr>
        <w:t>十二、合同生效</w:t>
      </w:r>
      <w:bookmarkEnd w:id="15"/>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本合同自</w:t>
      </w:r>
      <w:r>
        <w:rPr>
          <w:rFonts w:hint="eastAsia" w:ascii="宋体" w:hAnsi="宋体" w:cs="宋体"/>
          <w:color w:val="auto"/>
          <w:sz w:val="24"/>
          <w:highlight w:val="none"/>
          <w:u w:val="single"/>
        </w:rPr>
        <w:t xml:space="preserve">    双方签字盖章并经见证后</w:t>
      </w:r>
      <w:r>
        <w:rPr>
          <w:rFonts w:hint="eastAsia" w:ascii="宋体" w:hAnsi="宋体" w:cs="宋体"/>
          <w:color w:val="auto"/>
          <w:sz w:val="24"/>
          <w:highlight w:val="none"/>
        </w:rPr>
        <w:t>生效。</w:t>
      </w:r>
      <w:bookmarkStart w:id="16" w:name="_Toc351203493"/>
    </w:p>
    <w:p>
      <w:pPr>
        <w:spacing w:line="360" w:lineRule="auto"/>
        <w:rPr>
          <w:rFonts w:ascii="宋体" w:hAnsi="宋体" w:cs="宋体"/>
          <w:bCs/>
          <w:color w:val="auto"/>
          <w:sz w:val="24"/>
          <w:highlight w:val="none"/>
        </w:rPr>
      </w:pPr>
      <w:r>
        <w:rPr>
          <w:rFonts w:hint="eastAsia" w:ascii="宋体" w:hAnsi="宋体" w:cs="宋体"/>
          <w:b/>
          <w:color w:val="auto"/>
          <w:sz w:val="24"/>
          <w:highlight w:val="none"/>
        </w:rPr>
        <w:t>十三、合同份数</w:t>
      </w:r>
      <w:bookmarkEnd w:id="16"/>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本合同一式份，均具有同等法律效力，发包人执份，承包人执份，见证方执份。</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发包人：  (公章)                            承包人：  (公章)</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法定代表人或其委托代理人：                  法定代表人或其委托代理人：</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（签字）                                   （签字）</w:t>
      </w:r>
    </w:p>
    <w:p>
      <w:pPr>
        <w:tabs>
          <w:tab w:val="left" w:pos="4410"/>
        </w:tabs>
        <w:spacing w:line="360" w:lineRule="auto"/>
        <w:rPr>
          <w:rFonts w:ascii="宋体" w:hAnsi="宋体" w:cs="宋体"/>
          <w:color w:val="auto"/>
          <w:sz w:val="24"/>
          <w:highlight w:val="none"/>
        </w:rPr>
      </w:pPr>
      <w:r>
        <w:rPr>
          <w:rFonts w:hint="eastAsia" w:ascii="宋体" w:hAnsi="宋体" w:cs="宋体"/>
          <w:color w:val="auto"/>
          <w:sz w:val="24"/>
          <w:highlight w:val="none"/>
        </w:rPr>
        <w:t>组织机构代码：</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组织机构代码：</w:t>
      </w:r>
      <w:r>
        <w:rPr>
          <w:rFonts w:hint="eastAsia" w:ascii="宋体" w:hAnsi="宋体" w:cs="宋体"/>
          <w:color w:val="auto"/>
          <w:sz w:val="24"/>
          <w:highlight w:val="none"/>
          <w:u w:val="single"/>
        </w:rPr>
        <w:t xml:space="preserve">          </w:t>
      </w:r>
    </w:p>
    <w:p>
      <w:pPr>
        <w:spacing w:line="360" w:lineRule="auto"/>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地  址：</w:t>
      </w:r>
      <w:r>
        <w:rPr>
          <w:rFonts w:hint="eastAsia" w:ascii="宋体" w:hAnsi="宋体" w:cs="宋体"/>
          <w:color w:val="auto"/>
          <w:sz w:val="24"/>
          <w:highlight w:val="none"/>
          <w:u w:val="single"/>
        </w:rPr>
        <w:t xml:space="preserve">        </w:t>
      </w:r>
    </w:p>
    <w:p>
      <w:pPr>
        <w:spacing w:line="360" w:lineRule="auto"/>
        <w:rPr>
          <w:rFonts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 xml:space="preserve">                邮政编码：</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法定代表人：</w:t>
      </w:r>
      <w:r>
        <w:rPr>
          <w:rFonts w:hint="eastAsia" w:ascii="宋体" w:hAnsi="宋体" w:cs="宋体"/>
          <w:color w:val="auto"/>
          <w:sz w:val="24"/>
          <w:highlight w:val="none"/>
          <w:u w:val="single"/>
        </w:rPr>
        <w:t xml:space="preserve">             </w:t>
      </w:r>
    </w:p>
    <w:p>
      <w:pPr>
        <w:spacing w:line="360" w:lineRule="auto"/>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委托代理人：</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电  话：</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传  真：</w:t>
      </w:r>
      <w:r>
        <w:rPr>
          <w:rFonts w:hint="eastAsia" w:ascii="宋体" w:hAnsi="宋体" w:cs="宋体"/>
          <w:color w:val="auto"/>
          <w:sz w:val="24"/>
          <w:highlight w:val="none"/>
          <w:u w:val="single"/>
        </w:rPr>
        <w:t xml:space="preserve">     </w:t>
      </w:r>
    </w:p>
    <w:p>
      <w:pPr>
        <w:spacing w:line="360" w:lineRule="auto"/>
        <w:rPr>
          <w:rFonts w:ascii="宋体" w:hAnsi="宋体" w:cs="宋体"/>
          <w:color w:val="auto"/>
          <w:sz w:val="24"/>
          <w:highlight w:val="none"/>
        </w:rPr>
      </w:pPr>
      <w:r>
        <w:rPr>
          <w:rFonts w:hint="eastAsia" w:ascii="宋体" w:hAnsi="宋体" w:cs="宋体"/>
          <w:color w:val="auto"/>
          <w:sz w:val="24"/>
          <w:highlight w:val="none"/>
        </w:rPr>
        <w:t>电子信箱：                                  电子信箱：</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开户银行：</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账  号：</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账  号：</w:t>
      </w:r>
      <w:r>
        <w:rPr>
          <w:rFonts w:hint="eastAsia" w:ascii="宋体" w:hAnsi="宋体" w:cs="宋体"/>
          <w:color w:val="auto"/>
          <w:sz w:val="24"/>
          <w:highlight w:val="none"/>
          <w:u w:val="single"/>
        </w:rPr>
        <w:t xml:space="preserve">  </w:t>
      </w:r>
    </w:p>
    <w:p>
      <w:pPr>
        <w:pStyle w:val="5"/>
        <w:spacing w:line="360" w:lineRule="auto"/>
        <w:jc w:val="left"/>
        <w:rPr>
          <w:rFonts w:asciiTheme="minorEastAsia" w:hAnsiTheme="minorEastAsia" w:eastAsiaTheme="minorEastAsia"/>
          <w:b w:val="0"/>
          <w:color w:val="auto"/>
          <w:sz w:val="24"/>
          <w:szCs w:val="24"/>
          <w:highlight w:val="none"/>
        </w:rPr>
      </w:pPr>
    </w:p>
    <w:p>
      <w:pPr>
        <w:pStyle w:val="5"/>
        <w:spacing w:line="360" w:lineRule="auto"/>
        <w:jc w:val="left"/>
        <w:rPr>
          <w:rFonts w:asciiTheme="minorEastAsia" w:hAnsiTheme="minorEastAsia" w:eastAsiaTheme="minorEastAsia"/>
          <w:b w:val="0"/>
          <w:color w:val="auto"/>
          <w:sz w:val="24"/>
          <w:szCs w:val="24"/>
          <w:highlight w:val="none"/>
        </w:rPr>
      </w:pPr>
      <w:r>
        <w:rPr>
          <w:rFonts w:hint="eastAsia" w:asciiTheme="minorEastAsia" w:hAnsiTheme="minorEastAsia" w:eastAsiaTheme="minorEastAsia"/>
          <w:b w:val="0"/>
          <w:color w:val="auto"/>
          <w:sz w:val="24"/>
          <w:szCs w:val="24"/>
          <w:highlight w:val="none"/>
        </w:rPr>
        <w:t>见证方：</w:t>
      </w:r>
      <w:r>
        <w:rPr>
          <w:rFonts w:hint="eastAsia" w:ascii="宋体" w:hAnsi="宋体" w:cs="宋体"/>
          <w:color w:val="auto"/>
          <w:sz w:val="24"/>
          <w:szCs w:val="24"/>
          <w:highlight w:val="none"/>
          <w:u w:val="single"/>
        </w:rPr>
        <w:t xml:space="preserve">                    </w:t>
      </w:r>
    </w:p>
    <w:p>
      <w:pPr>
        <w:pStyle w:val="5"/>
        <w:spacing w:line="360" w:lineRule="auto"/>
        <w:jc w:val="left"/>
        <w:rPr>
          <w:rFonts w:ascii="宋体" w:hAnsi="宋体" w:eastAsia="宋体" w:cs="宋体"/>
          <w:color w:val="auto"/>
          <w:sz w:val="24"/>
          <w:szCs w:val="24"/>
          <w:highlight w:val="none"/>
        </w:rPr>
      </w:pPr>
      <w:r>
        <w:rPr>
          <w:rFonts w:ascii="宋体" w:hAnsi="宋体"/>
          <w:color w:val="auto"/>
          <w:sz w:val="24"/>
          <w:szCs w:val="24"/>
          <w:highlight w:val="none"/>
        </w:rPr>
        <w:br w:type="page"/>
      </w:r>
      <w:bookmarkStart w:id="17" w:name="_Toc351203494"/>
      <w:r>
        <w:rPr>
          <w:rFonts w:hint="eastAsia" w:ascii="宋体" w:hAnsi="宋体" w:eastAsia="宋体" w:cs="宋体"/>
          <w:color w:val="auto"/>
          <w:sz w:val="24"/>
          <w:szCs w:val="24"/>
          <w:highlight w:val="none"/>
        </w:rPr>
        <w:t>第二部分 通用合同条款</w:t>
      </w:r>
      <w:bookmarkEnd w:id="17"/>
      <w:bookmarkStart w:id="18" w:name="_Toc337558727"/>
    </w:p>
    <w:bookmarkEnd w:id="18"/>
    <w:p>
      <w:pPr>
        <w:spacing w:line="360" w:lineRule="auto"/>
        <w:ind w:firstLine="480" w:firstLineChars="200"/>
        <w:rPr>
          <w:rFonts w:ascii="宋体" w:hAnsi="宋体"/>
          <w:color w:val="auto"/>
          <w:sz w:val="24"/>
          <w:highlight w:val="none"/>
        </w:rPr>
      </w:pPr>
      <w:bookmarkStart w:id="19" w:name="_Toc296503027"/>
      <w:bookmarkEnd w:id="19"/>
      <w:bookmarkStart w:id="20" w:name="_Toc303538974"/>
      <w:bookmarkEnd w:id="20"/>
      <w:bookmarkStart w:id="21" w:name="_Toc296346528"/>
      <w:bookmarkEnd w:id="21"/>
      <w:bookmarkStart w:id="22" w:name="_Toc303538972"/>
      <w:bookmarkEnd w:id="22"/>
      <w:bookmarkStart w:id="23" w:name="_Toc303538973"/>
      <w:bookmarkEnd w:id="23"/>
      <w:bookmarkStart w:id="24" w:name="_Toc303538976"/>
      <w:bookmarkEnd w:id="24"/>
      <w:bookmarkStart w:id="25" w:name="_Toc303538975"/>
      <w:bookmarkEnd w:id="25"/>
      <w:bookmarkStart w:id="26" w:name="_Toc351203495"/>
      <w:bookmarkEnd w:id="26"/>
      <w:bookmarkStart w:id="27" w:name="_Toc351203632"/>
      <w:r>
        <w:rPr>
          <w:rFonts w:hint="eastAsia" w:ascii="宋体" w:hAnsi="宋体"/>
          <w:color w:val="auto"/>
          <w:sz w:val="24"/>
          <w:highlight w:val="none"/>
        </w:rPr>
        <w:t>按照</w:t>
      </w:r>
      <w:r>
        <w:rPr>
          <w:rFonts w:ascii="宋体" w:hAnsi="宋体"/>
          <w:color w:val="auto"/>
          <w:sz w:val="24"/>
          <w:highlight w:val="none"/>
        </w:rPr>
        <w:t>住房和城乡建设部</w:t>
      </w:r>
      <w:r>
        <w:rPr>
          <w:rFonts w:hint="eastAsia" w:ascii="宋体" w:hAnsi="宋体"/>
          <w:color w:val="auto"/>
          <w:sz w:val="24"/>
          <w:highlight w:val="none"/>
        </w:rPr>
        <w:t>、</w:t>
      </w:r>
      <w:r>
        <w:rPr>
          <w:rFonts w:ascii="宋体" w:hAnsi="宋体"/>
          <w:color w:val="auto"/>
          <w:sz w:val="24"/>
          <w:highlight w:val="none"/>
        </w:rPr>
        <w:t>国家工商行政管理总局</w:t>
      </w:r>
      <w:r>
        <w:rPr>
          <w:rFonts w:hint="eastAsia" w:ascii="宋体" w:hAnsi="宋体"/>
          <w:color w:val="auto"/>
          <w:sz w:val="24"/>
          <w:highlight w:val="none"/>
        </w:rPr>
        <w:t>制定的《建设工程施工合同（示范文本）》（GF-2017-0201）</w:t>
      </w:r>
      <w:r>
        <w:rPr>
          <w:rFonts w:ascii="宋体" w:hAnsi="宋体"/>
          <w:color w:val="auto"/>
          <w:sz w:val="24"/>
          <w:highlight w:val="none"/>
        </w:rPr>
        <w:t>第二部分 通用合同条款</w:t>
      </w:r>
      <w:r>
        <w:rPr>
          <w:rFonts w:hint="eastAsia" w:ascii="宋体" w:hAnsi="宋体"/>
          <w:color w:val="auto"/>
          <w:sz w:val="24"/>
          <w:highlight w:val="none"/>
        </w:rPr>
        <w:t>执行。</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jc w:val="center"/>
        <w:rPr>
          <w:rFonts w:ascii="宋体" w:hAnsi="宋体"/>
          <w:color w:val="auto"/>
          <w:szCs w:val="21"/>
          <w:highlight w:val="none"/>
        </w:rPr>
      </w:pPr>
      <w:r>
        <w:rPr>
          <w:color w:val="auto"/>
          <w:szCs w:val="21"/>
          <w:highlight w:val="none"/>
        </w:rPr>
        <w:br w:type="page"/>
      </w:r>
      <w:bookmarkEnd w:id="27"/>
      <w:r>
        <w:rPr>
          <w:rFonts w:ascii="宋体" w:hAnsi="宋体" w:eastAsia="黑体"/>
          <w:b/>
          <w:bCs/>
          <w:color w:val="auto"/>
          <w:sz w:val="24"/>
          <w:highlight w:val="none"/>
        </w:rPr>
        <w:t xml:space="preserve">第三部分 </w:t>
      </w:r>
      <w:r>
        <w:rPr>
          <w:rFonts w:hint="eastAsia" w:ascii="宋体" w:hAnsi="宋体" w:eastAsia="黑体"/>
          <w:b/>
          <w:bCs/>
          <w:color w:val="auto"/>
          <w:sz w:val="24"/>
          <w:highlight w:val="none"/>
        </w:rPr>
        <w:t>专用合同条款</w:t>
      </w:r>
    </w:p>
    <w:p>
      <w:pPr>
        <w:pStyle w:val="2"/>
        <w:spacing w:line="360" w:lineRule="auto"/>
        <w:rPr>
          <w:rFonts w:ascii="宋体" w:hAnsi="宋体"/>
          <w:b w:val="0"/>
          <w:color w:val="auto"/>
          <w:sz w:val="21"/>
          <w:highlight w:val="none"/>
        </w:rPr>
      </w:pPr>
      <w:bookmarkStart w:id="28" w:name="_Toc351203633"/>
      <w:bookmarkStart w:id="29" w:name="_Toc296347155"/>
      <w:bookmarkStart w:id="30" w:name="_Toc296503156"/>
      <w:bookmarkStart w:id="31" w:name="_Toc297120456"/>
      <w:bookmarkStart w:id="32" w:name="_Toc296944495"/>
      <w:bookmarkStart w:id="33" w:name="_Toc292559866"/>
      <w:bookmarkStart w:id="34" w:name="_Toc296891196"/>
      <w:bookmarkStart w:id="35" w:name="_Toc297048342"/>
      <w:bookmarkStart w:id="36" w:name="_Toc292559361"/>
      <w:bookmarkStart w:id="37" w:name="_Toc296890984"/>
      <w:bookmarkStart w:id="38" w:name="_Toc296346657"/>
      <w:r>
        <w:rPr>
          <w:rFonts w:ascii="宋体" w:hAnsi="宋体"/>
          <w:b w:val="0"/>
          <w:color w:val="auto"/>
          <w:sz w:val="21"/>
          <w:highlight w:val="none"/>
        </w:rPr>
        <w:t>一般约定</w:t>
      </w:r>
      <w:bookmarkEnd w:id="28"/>
    </w:p>
    <w:bookmarkEnd w:id="29"/>
    <w:bookmarkEnd w:id="30"/>
    <w:bookmarkEnd w:id="31"/>
    <w:bookmarkEnd w:id="32"/>
    <w:bookmarkEnd w:id="33"/>
    <w:bookmarkEnd w:id="34"/>
    <w:bookmarkEnd w:id="35"/>
    <w:bookmarkEnd w:id="36"/>
    <w:bookmarkEnd w:id="37"/>
    <w:bookmarkEnd w:id="38"/>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1.1 词语定义</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1.1.1合同</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1.1.1.10其他合同文件包括：</w:t>
      </w:r>
      <w:bookmarkStart w:id="39" w:name="OLE_LINK5"/>
      <w:r>
        <w:rPr>
          <w:rFonts w:hint="eastAsia" w:ascii="宋体" w:hAnsi="宋体" w:cs="宋体"/>
          <w:bCs/>
          <w:color w:val="auto"/>
          <w:kern w:val="0"/>
          <w:sz w:val="24"/>
          <w:highlight w:val="none"/>
          <w:u w:val="single"/>
        </w:rPr>
        <w:t>（1）成交通知书；（2）施工过程中签订的补充协议；（3）竞争性磋商文件澄清答疑、招标文件；（4）响应函及其附录；（5）专用合同条款及其附件；（6）通用合同条款；（7）技术标准和要求；（8）图纸；（9）已标价工程量清单或预算书；（10）其他合同文件。</w:t>
      </w:r>
      <w:bookmarkEnd w:id="3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合同当事人及其他相关方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1.1.2.4监理人：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1.1.2.5 设计人：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资质类别和等级：</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工程和设备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1.1.3.7 作为施工现场组成部分的其他场所包括：</w:t>
      </w:r>
      <w:r>
        <w:rPr>
          <w:rFonts w:hint="eastAsia" w:ascii="宋体" w:hAnsi="宋体" w:cs="宋体"/>
          <w:color w:val="auto"/>
          <w:sz w:val="24"/>
          <w:highlight w:val="none"/>
          <w:u w:val="single"/>
        </w:rPr>
        <w:t xml:space="preserve">   执行通用条款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1.1.3.9 永久占地包括：</w:t>
      </w:r>
      <w:r>
        <w:rPr>
          <w:rFonts w:hint="eastAsia" w:ascii="宋体" w:hAnsi="宋体" w:cs="宋体"/>
          <w:color w:val="auto"/>
          <w:sz w:val="24"/>
          <w:highlight w:val="none"/>
          <w:u w:val="single"/>
        </w:rPr>
        <w:t xml:space="preserve">  为实施工程需永久占用的土地，永久占地范围与工程规划红线范围一致，永久占地手续由发包人负责办理 </w:t>
      </w:r>
      <w:r>
        <w:rPr>
          <w:rFonts w:hint="eastAsia" w:ascii="宋体" w:hAnsi="宋体" w:cs="宋体"/>
          <w:color w:val="auto"/>
          <w:kern w:val="0"/>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1.1.3.10 临时占地包括：</w:t>
      </w:r>
      <w:r>
        <w:rPr>
          <w:rFonts w:hint="eastAsia" w:ascii="宋体" w:hAnsi="宋体" w:cs="宋体"/>
          <w:color w:val="auto"/>
          <w:sz w:val="24"/>
          <w:highlight w:val="none"/>
          <w:u w:val="single"/>
        </w:rPr>
        <w:t xml:space="preserve">  临时用地、仓储用地、装配加工用地、临时道路、施工围挡用地等为实施工程需要临时占用的土地。发包人委托承包人办理临时用地手续，相关费用已包含在投标报价中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1.3法律 </w:t>
      </w:r>
    </w:p>
    <w:p>
      <w:pPr>
        <w:autoSpaceDE w:val="0"/>
        <w:autoSpaceDN w:val="0"/>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适用于合同的其他规范性文件：</w:t>
      </w:r>
      <w:r>
        <w:rPr>
          <w:rFonts w:hint="eastAsia" w:ascii="宋体" w:hAnsi="宋体" w:cs="宋体"/>
          <w:color w:val="auto"/>
          <w:sz w:val="24"/>
          <w:highlight w:val="none"/>
          <w:u w:val="single"/>
        </w:rPr>
        <w:t>《中华人民共和国民法典》、《中华人民共和国建筑法》、《建设工程质量管理条例》、《中华人民共和国招标投标法》、《中华人民共和国招标投标法实施条例》、《工程建设项目施工招标投标办法》（七部委30号令）、《江苏省工程建设管理条例》、《建设工程施工发包与承包价格管理暂行规定》、《工程量清单计价规范》、其他法律法规以及江苏省和无锡市行业主管部门颁布的相关文件规定，如地方法规与国家法规相抵触，按国家法规执行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标准和规范</w:t>
      </w:r>
    </w:p>
    <w:p>
      <w:pPr>
        <w:pStyle w:val="13"/>
        <w:spacing w:before="150" w:after="150" w:line="435" w:lineRule="atLeast"/>
        <w:ind w:firstLine="480" w:firstLineChars="200"/>
        <w:rPr>
          <w:rFonts w:ascii="宋体" w:hAnsi="宋体" w:eastAsia="宋体" w:cs="宋体"/>
          <w:color w:val="auto"/>
          <w:sz w:val="24"/>
          <w:highlight w:val="none"/>
        </w:rPr>
      </w:pPr>
      <w:r>
        <w:rPr>
          <w:rFonts w:hint="eastAsia" w:ascii="宋体" w:hAnsi="宋体" w:eastAsia="宋体" w:cs="宋体"/>
          <w:color w:val="auto"/>
          <w:kern w:val="2"/>
          <w:sz w:val="24"/>
          <w:highlight w:val="none"/>
        </w:rPr>
        <w:t>1.4.1适用于工程的标准规范包括：</w:t>
      </w:r>
      <w:r>
        <w:rPr>
          <w:rFonts w:hint="eastAsia" w:ascii="宋体" w:hAnsi="宋体" w:eastAsia="宋体" w:cs="宋体"/>
          <w:color w:val="auto"/>
          <w:kern w:val="2"/>
          <w:sz w:val="24"/>
          <w:highlight w:val="none"/>
          <w:u w:val="single"/>
        </w:rPr>
        <w:t>本工程应按以下规范与标准执行（包括并不限于）：《工程建设标准强制性条文》（城镇建设部分）、</w:t>
      </w:r>
      <w:r>
        <w:rPr>
          <w:color w:val="auto"/>
          <w:highlight w:val="none"/>
        </w:rPr>
        <w:fldChar w:fldCharType="begin"/>
      </w:r>
      <w:r>
        <w:rPr>
          <w:color w:val="auto"/>
          <w:highlight w:val="none"/>
        </w:rPr>
        <w:instrText xml:space="preserve"> HYPERLINK "http://www.baidu.com/s?wd=%E3%80%8A%E5%9B%AD%E6%9E%97%E7%BB%BF%E5%8C%96%E5%B7%A5%E7%A8%8B%E6%96%BD%E5%B7%A5%E5%8F%8A%E9%AA%8C%E6%94%B6%E8%A7%84%E8%8C%83%E3%80%8B&amp;from=1012015a&amp;fenlei=mv6quAkxTZn0IZRqIHckPjm4nH00T1dBuAD3PjuBPHbvm1NBmHn40ZwV5Hcvrjm3rH6sPfKWUMw85HfYnjn4nH6sgvPsT6KdThsqpZwYTjCEQLGCpyw9Uz4Bmy-bIi4WUvYETgN-TLwGUv3EnW6vrj64rHck" \t "_blank" </w:instrText>
      </w:r>
      <w:r>
        <w:rPr>
          <w:color w:val="auto"/>
          <w:highlight w:val="none"/>
        </w:rPr>
        <w:fldChar w:fldCharType="separate"/>
      </w:r>
      <w:r>
        <w:rPr>
          <w:rFonts w:hint="eastAsia" w:ascii="宋体" w:hAnsi="宋体" w:eastAsia="宋体" w:cs="宋体"/>
          <w:color w:val="auto"/>
          <w:kern w:val="2"/>
          <w:sz w:val="24"/>
          <w:highlight w:val="none"/>
          <w:u w:val="single"/>
        </w:rPr>
        <w:t>《建筑设计防火规范》</w:t>
      </w:r>
      <w:r>
        <w:rPr>
          <w:rFonts w:hint="eastAsia" w:ascii="宋体" w:hAnsi="宋体" w:eastAsia="宋体" w:cs="宋体"/>
          <w:color w:val="auto"/>
          <w:kern w:val="2"/>
          <w:sz w:val="24"/>
          <w:highlight w:val="none"/>
          <w:u w:val="single"/>
        </w:rPr>
        <w:fldChar w:fldCharType="end"/>
      </w:r>
      <w:r>
        <w:rPr>
          <w:rFonts w:hint="eastAsia" w:ascii="宋体" w:hAnsi="宋体" w:eastAsia="宋体" w:cs="宋体"/>
          <w:color w:val="auto"/>
          <w:kern w:val="2"/>
          <w:sz w:val="24"/>
          <w:highlight w:val="none"/>
          <w:u w:val="single"/>
        </w:rPr>
        <w:t>（GB50016—2014）、《建筑工程施工质量验收统一标准》等现行规范、标准及设计要求进行检查验收。当标准互相矛盾时，以最新和最严格的为准</w:t>
      </w:r>
      <w:r>
        <w:rPr>
          <w:rFonts w:hint="eastAsia" w:ascii="宋体" w:hAnsi="宋体" w:eastAsia="宋体" w:cs="宋体"/>
          <w:color w:val="auto"/>
          <w:sz w:val="24"/>
          <w:highlight w:val="none"/>
        </w:rPr>
        <w:t>。</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 发包人提供国外标准、规范的名称：</w:t>
      </w:r>
      <w:r>
        <w:rPr>
          <w:rFonts w:hint="eastAsia" w:ascii="宋体" w:hAnsi="宋体" w:cs="宋体"/>
          <w:color w:val="auto"/>
          <w:kern w:val="0"/>
          <w:sz w:val="24"/>
          <w:highlight w:val="none"/>
          <w:u w:val="single"/>
        </w:rPr>
        <w:t xml:space="preserve">  如有涉及，双方另行协商约定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发包人提供国外标准、规范的份数：</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发包人提供国外标准、规范的名称：</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1.4.3发包人对工程的技术标准和功能要求的特殊要求：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 合同文件的优先顺序</w:t>
      </w:r>
    </w:p>
    <w:p>
      <w:pPr>
        <w:autoSpaceDE w:val="0"/>
        <w:autoSpaceDN w:val="0"/>
        <w:adjustRightIn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合同文件组成及优先顺序为：</w:t>
      </w:r>
      <w:r>
        <w:rPr>
          <w:rFonts w:hint="eastAsia" w:ascii="宋体" w:hAnsi="宋体" w:cs="宋体"/>
          <w:color w:val="auto"/>
          <w:sz w:val="24"/>
          <w:highlight w:val="none"/>
          <w:u w:val="single"/>
        </w:rPr>
        <w:t>(1)合同协议书及补充协议；（2）成交通知书；（3）响应函及其附录； （4）专用合同条款及其附件；（5）通用合同条款；（6）技术标准和要求；（7）图纸；（8）已标价工程量清单或预算书；（9）其他合同文件。各方有关工程的洽商、变更等书面协议或文件视为本合同协议条款的组成部分。组成本合同的文件均为本合同不可分割的组成部分，与本合同具有同等法律效力。</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 图纸和承包人文件</w:t>
      </w:r>
      <w:r>
        <w:rPr>
          <w:rFonts w:hint="eastAsia" w:ascii="宋体" w:hAnsi="宋体" w:cs="宋体"/>
          <w:color w:val="auto"/>
          <w:sz w:val="24"/>
          <w:highlight w:val="none"/>
        </w:rPr>
        <w:tab/>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 图纸的提供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发包人向承包人提供图纸的期限：</w:t>
      </w:r>
      <w:r>
        <w:rPr>
          <w:rFonts w:hint="eastAsia" w:ascii="宋体" w:hAnsi="宋体" w:cs="宋体"/>
          <w:color w:val="auto"/>
          <w:sz w:val="24"/>
          <w:highlight w:val="none"/>
          <w:u w:val="single"/>
        </w:rPr>
        <w:t xml:space="preserve"> 进场施工前10天内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发包人向承包人提供图纸的数量：</w:t>
      </w:r>
      <w:r>
        <w:rPr>
          <w:rFonts w:hint="eastAsia" w:ascii="宋体" w:hAnsi="宋体" w:cs="宋体"/>
          <w:color w:val="auto"/>
          <w:sz w:val="24"/>
          <w:highlight w:val="none"/>
          <w:u w:val="single"/>
        </w:rPr>
        <w:t>3份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发包人向承包人提供图纸的内容：</w:t>
      </w:r>
      <w:r>
        <w:rPr>
          <w:rFonts w:hint="eastAsia" w:ascii="宋体" w:hAnsi="宋体" w:cs="宋体"/>
          <w:color w:val="auto"/>
          <w:sz w:val="24"/>
          <w:highlight w:val="none"/>
          <w:u w:val="single"/>
        </w:rPr>
        <w:t>    全套图纸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 承包人文件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需要由承包人提供的文件，包括：</w:t>
      </w:r>
      <w:r>
        <w:rPr>
          <w:rFonts w:hint="eastAsia" w:ascii="宋体" w:hAnsi="宋体" w:cs="宋体"/>
          <w:color w:val="auto"/>
          <w:sz w:val="24"/>
          <w:highlight w:val="none"/>
          <w:u w:val="single"/>
        </w:rPr>
        <w:t xml:space="preserve">开工前3天内提交施工组织设计，每月25日向发包人提供当月工程建设报表及下月进度计划各一式两份，其他报表及计划按发包人现场管理要求提供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承包人提供的文件的期限为：</w:t>
      </w:r>
      <w:r>
        <w:rPr>
          <w:rFonts w:hint="eastAsia" w:ascii="宋体" w:hAnsi="宋体" w:cs="宋体"/>
          <w:color w:val="auto"/>
          <w:sz w:val="24"/>
          <w:highlight w:val="none"/>
          <w:u w:val="single"/>
        </w:rPr>
        <w:t></w:t>
      </w:r>
      <w:bookmarkStart w:id="40" w:name="_Hlk509521007"/>
      <w:r>
        <w:rPr>
          <w:rFonts w:hint="eastAsia" w:ascii="宋体" w:hAnsi="宋体" w:cs="宋体"/>
          <w:color w:val="auto"/>
          <w:sz w:val="24"/>
          <w:highlight w:val="none"/>
          <w:u w:val="single"/>
        </w:rPr>
        <w:t>按发包人需求</w:t>
      </w:r>
      <w:bookmarkEnd w:id="40"/>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承包人提供的文件的数量为：</w:t>
      </w:r>
      <w:r>
        <w:rPr>
          <w:rFonts w:hint="eastAsia" w:ascii="宋体" w:hAnsi="宋体" w:cs="宋体"/>
          <w:color w:val="auto"/>
          <w:sz w:val="24"/>
          <w:highlight w:val="none"/>
          <w:u w:val="single"/>
        </w:rPr>
        <w:t>按发包人需求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承包人提供的文件的形式为：</w:t>
      </w:r>
      <w:r>
        <w:rPr>
          <w:rFonts w:hint="eastAsia" w:ascii="宋体" w:hAnsi="宋体" w:cs="宋体"/>
          <w:color w:val="auto"/>
          <w:sz w:val="24"/>
          <w:highlight w:val="none"/>
          <w:u w:val="single"/>
        </w:rPr>
        <w:t>按发包人需求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发包人审批承包人文件的期限：</w:t>
      </w:r>
      <w:r>
        <w:rPr>
          <w:rFonts w:hint="eastAsia" w:ascii="宋体" w:hAnsi="宋体" w:cs="宋体"/>
          <w:color w:val="auto"/>
          <w:sz w:val="24"/>
          <w:highlight w:val="none"/>
          <w:u w:val="single"/>
        </w:rPr>
        <w:t>收到相关文件后7天内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 现场图纸准备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关于现场图纸准备的约定：</w:t>
      </w:r>
      <w:r>
        <w:rPr>
          <w:rFonts w:hint="eastAsia" w:ascii="宋体" w:hAnsi="宋体" w:cs="宋体"/>
          <w:color w:val="auto"/>
          <w:sz w:val="24"/>
          <w:highlight w:val="none"/>
          <w:u w:val="single"/>
        </w:rPr>
        <w:t xml:space="preserve">      执行通用条款      </w:t>
      </w:r>
      <w:r>
        <w:rPr>
          <w:rFonts w:hint="eastAsia" w:ascii="宋体" w:hAnsi="宋体" w:cs="宋体"/>
          <w:color w:val="auto"/>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1.7 联络</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1.7.1发包人和承包人应当在</w:t>
      </w:r>
      <w:r>
        <w:rPr>
          <w:rFonts w:hint="eastAsia" w:ascii="宋体" w:hAnsi="宋体" w:cs="宋体"/>
          <w:color w:val="auto"/>
          <w:sz w:val="24"/>
          <w:highlight w:val="none"/>
          <w:u w:val="single"/>
        </w:rPr>
        <w:t xml:space="preserve"> 3   </w:t>
      </w:r>
      <w:r>
        <w:rPr>
          <w:rFonts w:hint="eastAsia" w:ascii="宋体" w:hAnsi="宋体" w:cs="宋体"/>
          <w:color w:val="auto"/>
          <w:kern w:val="0"/>
          <w:sz w:val="24"/>
          <w:highlight w:val="none"/>
        </w:rPr>
        <w:t>天内将与合同有关的通知、批准、证明、证书、指示、指令、要求、请求、同意、意见、确定和决定等书面函件送达对方当事人。</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1.7.2 发包人接收文件的地点：</w:t>
      </w:r>
      <w:r>
        <w:rPr>
          <w:rFonts w:hint="eastAsia" w:ascii="宋体" w:hAnsi="宋体" w:cs="宋体"/>
          <w:color w:val="auto"/>
          <w:sz w:val="24"/>
          <w:highlight w:val="none"/>
          <w:u w:val="single"/>
        </w:rPr>
        <w:t> 工地现场办公室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发包人指定的接收人为：</w:t>
      </w:r>
      <w:r>
        <w:rPr>
          <w:rFonts w:hint="eastAsia" w:ascii="宋体" w:hAnsi="宋体" w:cs="宋体"/>
          <w:color w:val="auto"/>
          <w:sz w:val="24"/>
          <w:highlight w:val="none"/>
          <w:u w:val="single"/>
        </w:rPr>
        <w:t>    /     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承包人接收文件的地点：</w:t>
      </w:r>
      <w:r>
        <w:rPr>
          <w:rFonts w:hint="eastAsia" w:ascii="宋体" w:hAnsi="宋体" w:cs="宋体"/>
          <w:color w:val="auto"/>
          <w:sz w:val="24"/>
          <w:highlight w:val="none"/>
          <w:u w:val="single"/>
        </w:rPr>
        <w:t>  /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承包人指定的接收人为：</w:t>
      </w:r>
      <w:r>
        <w:rPr>
          <w:rFonts w:hint="eastAsia" w:ascii="宋体" w:hAnsi="宋体" w:cs="宋体"/>
          <w:color w:val="auto"/>
          <w:sz w:val="24"/>
          <w:highlight w:val="none"/>
          <w:u w:val="single"/>
        </w:rPr>
        <w:t>  /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监理人接收文件的地点：</w:t>
      </w:r>
      <w:r>
        <w:rPr>
          <w:rFonts w:hint="eastAsia" w:ascii="宋体" w:hAnsi="宋体" w:cs="宋体"/>
          <w:color w:val="auto"/>
          <w:sz w:val="24"/>
          <w:highlight w:val="none"/>
          <w:u w:val="single"/>
        </w:rPr>
        <w:t>   工地现场办公室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监理人指定的接收人为：</w:t>
      </w:r>
      <w:r>
        <w:rPr>
          <w:rFonts w:hint="eastAsia" w:ascii="宋体" w:hAnsi="宋体" w:cs="宋体"/>
          <w:color w:val="auto"/>
          <w:sz w:val="24"/>
          <w:highlight w:val="none"/>
          <w:u w:val="single"/>
        </w:rPr>
        <w:t>  /           </w:t>
      </w:r>
      <w:r>
        <w:rPr>
          <w:rFonts w:hint="eastAsia" w:ascii="宋体" w:hAnsi="宋体" w:cs="宋体"/>
          <w:color w:val="auto"/>
          <w:kern w:val="0"/>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1.10 交通运输</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w:t>
      </w:r>
      <w:bookmarkStart w:id="41" w:name="_Toc303539100"/>
      <w:bookmarkStart w:id="42" w:name="_Toc304295521"/>
      <w:bookmarkStart w:id="43" w:name="_Toc312677986"/>
      <w:bookmarkStart w:id="44" w:name="_Toc318581155"/>
      <w:bookmarkStart w:id="45" w:name="_Toc300934943"/>
      <w:r>
        <w:rPr>
          <w:rFonts w:hint="eastAsia" w:ascii="宋体" w:hAnsi="宋体" w:cs="宋体"/>
          <w:color w:val="auto"/>
          <w:sz w:val="24"/>
          <w:highlight w:val="none"/>
        </w:rPr>
        <w:t>.10.1 出入现场的权利</w:t>
      </w:r>
    </w:p>
    <w:p>
      <w:pPr>
        <w:spacing w:line="360" w:lineRule="auto"/>
        <w:ind w:left="596" w:leftChars="284"/>
        <w:rPr>
          <w:rFonts w:ascii="宋体" w:hAnsi="宋体" w:cs="宋体"/>
          <w:color w:val="auto"/>
          <w:sz w:val="24"/>
          <w:highlight w:val="none"/>
        </w:rPr>
      </w:pPr>
      <w:r>
        <w:rPr>
          <w:rFonts w:hint="eastAsia" w:ascii="宋体" w:hAnsi="宋体" w:cs="宋体"/>
          <w:color w:val="auto"/>
          <w:sz w:val="24"/>
          <w:highlight w:val="none"/>
        </w:rPr>
        <w:t>关于出入现场的权利的约定：</w:t>
      </w:r>
      <w:r>
        <w:rPr>
          <w:rFonts w:hint="eastAsia" w:ascii="宋体" w:hAnsi="宋体" w:cs="宋体"/>
          <w:color w:val="auto"/>
          <w:sz w:val="24"/>
          <w:highlight w:val="none"/>
          <w:u w:val="single"/>
        </w:rPr>
        <w:t>       /       </w:t>
      </w:r>
      <w:r>
        <w:rPr>
          <w:rFonts w:hint="eastAsia" w:ascii="宋体" w:hAnsi="宋体" w:cs="宋体"/>
          <w:color w:val="auto"/>
          <w:sz w:val="24"/>
          <w:highlight w:val="none"/>
        </w:rPr>
        <w:t>。</w:t>
      </w:r>
    </w:p>
    <w:bookmarkEnd w:id="41"/>
    <w:bookmarkEnd w:id="42"/>
    <w:bookmarkEnd w:id="43"/>
    <w:bookmarkEnd w:id="44"/>
    <w:bookmarkEnd w:id="45"/>
    <w:p>
      <w:pPr>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1</w:t>
      </w:r>
      <w:bookmarkStart w:id="46" w:name="_Toc303539101"/>
      <w:bookmarkStart w:id="47" w:name="_Toc304295522"/>
      <w:bookmarkStart w:id="48" w:name="_Toc300934944"/>
      <w:bookmarkStart w:id="49" w:name="_Toc318581156"/>
      <w:bookmarkStart w:id="50" w:name="_Toc312677987"/>
      <w:r>
        <w:rPr>
          <w:rFonts w:hint="eastAsia" w:ascii="宋体" w:hAnsi="宋体" w:cs="宋体"/>
          <w:color w:val="auto"/>
          <w:sz w:val="24"/>
          <w:highlight w:val="none"/>
        </w:rPr>
        <w:t>.10.3 场内交通</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关于场外交通和场内交通的边界的约定：</w:t>
      </w:r>
      <w:r>
        <w:rPr>
          <w:rFonts w:hint="eastAsia" w:ascii="宋体" w:hAnsi="宋体" w:cs="宋体"/>
          <w:color w:val="auto"/>
          <w:sz w:val="24"/>
          <w:highlight w:val="none"/>
          <w:u w:val="single"/>
        </w:rPr>
        <w:t> 以工程永久占地和临时占地范围为边界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关于发包人向承包人免费提供满足工程施工需要的场内道路和交通设施的约定：</w:t>
      </w:r>
      <w:r>
        <w:rPr>
          <w:rFonts w:hint="eastAsia" w:ascii="宋体" w:hAnsi="宋体" w:cs="宋体"/>
          <w:color w:val="auto"/>
          <w:sz w:val="24"/>
          <w:highlight w:val="none"/>
          <w:u w:val="single"/>
        </w:rPr>
        <w:t>由承包人负责实施并承担相关费用</w:t>
      </w:r>
      <w:r>
        <w:rPr>
          <w:rFonts w:hint="eastAsia" w:ascii="宋体" w:hAnsi="宋体" w:cs="宋体"/>
          <w:color w:val="auto"/>
          <w:sz w:val="24"/>
          <w:highlight w:val="none"/>
        </w:rPr>
        <w:t>。</w:t>
      </w:r>
      <w:bookmarkEnd w:id="46"/>
      <w:bookmarkEnd w:id="47"/>
      <w:bookmarkEnd w:id="48"/>
      <w:bookmarkEnd w:id="49"/>
      <w:bookmarkEnd w:id="50"/>
      <w:bookmarkStart w:id="51" w:name="_Toc318581157"/>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1.10.4超大件和超重件的运输</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运输超大件或超重件所需的道路和桥梁临时加固改造费用和其他有关费用由</w:t>
      </w:r>
      <w:r>
        <w:rPr>
          <w:rFonts w:hint="eastAsia" w:ascii="宋体" w:hAnsi="宋体" w:cs="宋体"/>
          <w:color w:val="auto"/>
          <w:sz w:val="24"/>
          <w:highlight w:val="none"/>
          <w:u w:val="single"/>
        </w:rPr>
        <w:t xml:space="preserve">   承包人   </w:t>
      </w:r>
      <w:r>
        <w:rPr>
          <w:rFonts w:hint="eastAsia" w:ascii="宋体" w:hAnsi="宋体" w:cs="宋体"/>
          <w:color w:val="auto"/>
          <w:sz w:val="24"/>
          <w:highlight w:val="none"/>
        </w:rPr>
        <w:t>承担。</w:t>
      </w:r>
    </w:p>
    <w:bookmarkEnd w:id="51"/>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1.11 知识产权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 w:val="24"/>
          <w:highlight w:val="none"/>
          <w:u w:val="single"/>
        </w:rPr>
        <w:t xml:space="preserve">著作权归发包人所有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关于发包人提供的上述文件的使用限制的要求：</w:t>
      </w:r>
      <w:r>
        <w:rPr>
          <w:rFonts w:hint="eastAsia" w:ascii="宋体" w:hAnsi="宋体" w:cs="宋体"/>
          <w:color w:val="auto"/>
          <w:sz w:val="24"/>
          <w:highlight w:val="none"/>
          <w:u w:val="single"/>
        </w:rPr>
        <w:t xml:space="preserve">    执行通用条款      </w:t>
      </w:r>
      <w:r>
        <w:rPr>
          <w:rFonts w:hint="eastAsia" w:ascii="宋体" w:hAnsi="宋体" w:cs="宋体"/>
          <w:color w:val="auto"/>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1.11.2 关于承包人为实施工程所编制文件的著作权的归属：</w:t>
      </w:r>
      <w:r>
        <w:rPr>
          <w:rFonts w:hint="eastAsia" w:ascii="宋体" w:hAnsi="宋体" w:cs="宋体"/>
          <w:color w:val="auto"/>
          <w:sz w:val="24"/>
          <w:highlight w:val="none"/>
          <w:u w:val="single"/>
        </w:rPr>
        <w:t xml:space="preserve">   著作权归发包人所有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关于承包人提供的上述文件的使用限制的要求：</w:t>
      </w:r>
      <w:r>
        <w:rPr>
          <w:rFonts w:hint="eastAsia" w:ascii="宋体" w:hAnsi="宋体" w:cs="宋体"/>
          <w:color w:val="auto"/>
          <w:sz w:val="24"/>
          <w:highlight w:val="none"/>
          <w:u w:val="single"/>
        </w:rPr>
        <w:t xml:space="preserve"> 执行通用条款    </w:t>
      </w:r>
      <w:r>
        <w:rPr>
          <w:rFonts w:hint="eastAsia" w:ascii="宋体" w:hAnsi="宋体" w:cs="宋体"/>
          <w:color w:val="auto"/>
          <w:sz w:val="24"/>
          <w:highlight w:val="none"/>
        </w:rPr>
        <w:t>。</w:t>
      </w:r>
    </w:p>
    <w:p>
      <w:pPr>
        <w:spacing w:line="360" w:lineRule="auto"/>
        <w:ind w:firstLine="480" w:firstLineChars="200"/>
        <w:outlineLvl w:val="0"/>
        <w:rPr>
          <w:rFonts w:ascii="宋体" w:hAnsi="宋体" w:cs="宋体"/>
          <w:color w:val="auto"/>
          <w:kern w:val="0"/>
          <w:sz w:val="24"/>
          <w:highlight w:val="none"/>
        </w:rPr>
      </w:pPr>
      <w:r>
        <w:rPr>
          <w:rFonts w:hint="eastAsia" w:ascii="宋体" w:hAnsi="宋体" w:cs="宋体"/>
          <w:color w:val="auto"/>
          <w:sz w:val="24"/>
          <w:highlight w:val="none"/>
        </w:rPr>
        <w:t>1.11.4 承包人在施工过程中所采用的专利、专有技术、技术秘密的使用费的承担方式：</w:t>
      </w:r>
      <w:r>
        <w:rPr>
          <w:rFonts w:hint="eastAsia" w:ascii="宋体" w:hAnsi="宋体" w:cs="宋体"/>
          <w:color w:val="auto"/>
          <w:sz w:val="24"/>
          <w:highlight w:val="none"/>
          <w:u w:val="single"/>
        </w:rPr>
        <w:t xml:space="preserve">由承包人承担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1.13工程量清单错误的修正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出现工程量清单错误时，是否调整合同价格：</w:t>
      </w:r>
      <w:r>
        <w:rPr>
          <w:rFonts w:hint="eastAsia" w:ascii="宋体" w:hAnsi="宋体" w:cs="宋体"/>
          <w:color w:val="auto"/>
          <w:sz w:val="24"/>
          <w:highlight w:val="none"/>
          <w:u w:val="single"/>
        </w:rPr>
        <w:t xml:space="preserve">     /     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允许调整合同价格的工程量偏差范围：</w:t>
      </w:r>
      <w:r>
        <w:rPr>
          <w:rFonts w:hint="eastAsia" w:ascii="宋体" w:hAnsi="宋体" w:cs="宋体"/>
          <w:color w:val="auto"/>
          <w:sz w:val="24"/>
          <w:highlight w:val="none"/>
          <w:u w:val="single"/>
        </w:rPr>
        <w:t xml:space="preserve">       /     </w:t>
      </w:r>
      <w:r>
        <w:rPr>
          <w:rFonts w:hint="eastAsia" w:ascii="宋体" w:hAnsi="宋体" w:cs="宋体"/>
          <w:color w:val="auto"/>
          <w:kern w:val="0"/>
          <w:sz w:val="24"/>
          <w:highlight w:val="none"/>
        </w:rPr>
        <w:t>。</w:t>
      </w:r>
    </w:p>
    <w:p>
      <w:pPr>
        <w:pStyle w:val="2"/>
        <w:spacing w:line="360" w:lineRule="auto"/>
        <w:rPr>
          <w:rFonts w:ascii="宋体" w:hAnsi="宋体" w:eastAsia="宋体" w:cs="宋体"/>
          <w:b w:val="0"/>
          <w:color w:val="auto"/>
          <w:sz w:val="24"/>
          <w:highlight w:val="none"/>
        </w:rPr>
      </w:pPr>
      <w:bookmarkStart w:id="52" w:name="_Toc351203634"/>
      <w:r>
        <w:rPr>
          <w:rFonts w:hint="eastAsia" w:ascii="宋体" w:hAnsi="宋体" w:eastAsia="宋体" w:cs="宋体"/>
          <w:b w:val="0"/>
          <w:color w:val="auto"/>
          <w:sz w:val="24"/>
          <w:highlight w:val="none"/>
        </w:rPr>
        <w:t>2</w:t>
      </w:r>
      <w:bookmarkStart w:id="53" w:name="_Toc296346658"/>
      <w:bookmarkStart w:id="54" w:name="_Toc296944496"/>
      <w:bookmarkStart w:id="55" w:name="_Toc296890985"/>
      <w:bookmarkStart w:id="56" w:name="_Toc296891197"/>
      <w:bookmarkStart w:id="57" w:name="_Toc292559362"/>
      <w:bookmarkStart w:id="58" w:name="_Toc296347156"/>
      <w:bookmarkStart w:id="59" w:name="_Toc297048343"/>
      <w:bookmarkStart w:id="60" w:name="_Toc297120457"/>
      <w:bookmarkStart w:id="61" w:name="_Toc292559867"/>
      <w:bookmarkStart w:id="62" w:name="_Toc296503157"/>
      <w:r>
        <w:rPr>
          <w:rFonts w:hint="eastAsia" w:ascii="宋体" w:hAnsi="宋体" w:eastAsia="宋体" w:cs="宋体"/>
          <w:b w:val="0"/>
          <w:color w:val="auto"/>
          <w:sz w:val="24"/>
          <w:highlight w:val="none"/>
        </w:rPr>
        <w:t>. 发包人</w:t>
      </w:r>
      <w:bookmarkEnd w:id="52"/>
    </w:p>
    <w:bookmarkEnd w:id="53"/>
    <w:bookmarkEnd w:id="54"/>
    <w:bookmarkEnd w:id="55"/>
    <w:bookmarkEnd w:id="56"/>
    <w:bookmarkEnd w:id="57"/>
    <w:bookmarkEnd w:id="58"/>
    <w:bookmarkEnd w:id="59"/>
    <w:bookmarkEnd w:id="60"/>
    <w:bookmarkEnd w:id="61"/>
    <w:bookmarkEnd w:id="62"/>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2.2 发包人代表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发包人代表：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 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 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发包人对发包人代表的授权范围如下：</w:t>
      </w:r>
      <w:r>
        <w:rPr>
          <w:rFonts w:hint="eastAsia" w:ascii="宋体" w:hAnsi="宋体" w:cs="宋体"/>
          <w:color w:val="auto"/>
          <w:sz w:val="24"/>
          <w:highlight w:val="none"/>
          <w:u w:val="single"/>
        </w:rPr>
        <w:t xml:space="preserve">经发包人授权并在授权范围内代表发包人行使发包人权利，全面负责本工程的组织、协调和管理，签发或签署各种相关指令，报表及支付凭证，处理施工过程中的各有关事宜 </w:t>
      </w:r>
      <w:r>
        <w:rPr>
          <w:rFonts w:hint="eastAsia" w:ascii="宋体" w:hAnsi="宋体" w:cs="宋体"/>
          <w:color w:val="auto"/>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2.4 施工现场、施工条件和基础资料的提供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 提供施工现场</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关于发包人移交施工现场的期限要求：</w:t>
      </w:r>
      <w:r>
        <w:rPr>
          <w:rFonts w:hint="eastAsia" w:ascii="宋体" w:hAnsi="宋体" w:cs="宋体"/>
          <w:color w:val="auto"/>
          <w:sz w:val="24"/>
          <w:highlight w:val="none"/>
          <w:u w:val="single"/>
        </w:rPr>
        <w:t xml:space="preserve">开工日期前 7天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 提供施工条件</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关于发包人应负责提供施工所需要的条件，包括：</w:t>
      </w:r>
      <w:r>
        <w:rPr>
          <w:rFonts w:hint="eastAsia" w:ascii="宋体" w:hAnsi="宋体" w:cs="宋体"/>
          <w:color w:val="auto"/>
          <w:sz w:val="24"/>
          <w:highlight w:val="none"/>
          <w:u w:val="single"/>
        </w:rPr>
        <w:t xml:space="preserve">开工前7天提供临时水电接驳点，施工场内临时水管、电线电缆等铺设费用及施工过程中的施工用水、用电费用由承包人自行承担解决，费用已经含在合同价中，发包人不另行支付。承包人须自备发电机组设备（费用已经包括在合同价中），以保证偶然停电情况下正常施工所需用电以及为满足合同工期要求赶工所需用电，自行发电所产生的费用由承包人承担，已包含在合同价中。发包人不提供电讯线路接驳点，承包人负责接驳到现场的工作，相关一切费用已包含在承包人合同价中，发包人不另行支付 </w:t>
      </w:r>
      <w:r>
        <w:rPr>
          <w:rFonts w:hint="eastAsia" w:ascii="宋体" w:hAnsi="宋体" w:cs="宋体"/>
          <w:color w:val="auto"/>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2.5 资金来源证明及支付担保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发包人提供资金来源证明的期限要求：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发包人是否提供支付担保：</w:t>
      </w:r>
      <w:r>
        <w:rPr>
          <w:rFonts w:hint="eastAsia" w:ascii="宋体" w:hAnsi="宋体" w:cs="宋体"/>
          <w:color w:val="auto"/>
          <w:sz w:val="24"/>
          <w:highlight w:val="none"/>
          <w:u w:val="single"/>
        </w:rPr>
        <w:t xml:space="preserve">         /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发包人提供支付担保的形式：</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pStyle w:val="2"/>
        <w:spacing w:line="360" w:lineRule="auto"/>
        <w:rPr>
          <w:rFonts w:ascii="宋体" w:hAnsi="宋体" w:eastAsia="宋体" w:cs="宋体"/>
          <w:b w:val="0"/>
          <w:color w:val="auto"/>
          <w:sz w:val="24"/>
          <w:highlight w:val="none"/>
        </w:rPr>
      </w:pPr>
      <w:bookmarkStart w:id="63" w:name="_Toc351203635"/>
      <w:r>
        <w:rPr>
          <w:rFonts w:hint="eastAsia" w:ascii="宋体" w:hAnsi="宋体" w:eastAsia="宋体" w:cs="宋体"/>
          <w:b w:val="0"/>
          <w:color w:val="auto"/>
          <w:sz w:val="24"/>
          <w:highlight w:val="none"/>
        </w:rPr>
        <w:t>3</w:t>
      </w:r>
      <w:bookmarkStart w:id="64" w:name="_Toc297048344"/>
      <w:bookmarkStart w:id="65" w:name="_Toc297120458"/>
      <w:bookmarkStart w:id="66" w:name="_Toc296347157"/>
      <w:bookmarkStart w:id="67" w:name="_Toc296944497"/>
      <w:bookmarkStart w:id="68" w:name="_Toc296503158"/>
      <w:bookmarkStart w:id="69" w:name="_Toc296891198"/>
      <w:bookmarkStart w:id="70" w:name="_Toc296346659"/>
      <w:bookmarkStart w:id="71" w:name="_Toc292559868"/>
      <w:bookmarkStart w:id="72" w:name="_Toc292559363"/>
      <w:bookmarkStart w:id="73" w:name="_Toc296890986"/>
      <w:r>
        <w:rPr>
          <w:rFonts w:hint="eastAsia" w:ascii="宋体" w:hAnsi="宋体" w:eastAsia="宋体" w:cs="宋体"/>
          <w:b w:val="0"/>
          <w:color w:val="auto"/>
          <w:sz w:val="24"/>
          <w:highlight w:val="none"/>
        </w:rPr>
        <w:t>. 承包人</w:t>
      </w:r>
      <w:bookmarkEnd w:id="63"/>
    </w:p>
    <w:bookmarkEnd w:id="64"/>
    <w:bookmarkEnd w:id="65"/>
    <w:bookmarkEnd w:id="66"/>
    <w:bookmarkEnd w:id="67"/>
    <w:bookmarkEnd w:id="68"/>
    <w:bookmarkEnd w:id="69"/>
    <w:bookmarkEnd w:id="70"/>
    <w:bookmarkEnd w:id="71"/>
    <w:bookmarkEnd w:id="72"/>
    <w:bookmarkEnd w:id="73"/>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承包人的一般义务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（9）</w:t>
      </w:r>
      <w:r>
        <w:rPr>
          <w:rFonts w:hint="eastAsia" w:ascii="宋体" w:hAnsi="宋体" w:cs="宋体"/>
          <w:color w:val="auto"/>
          <w:sz w:val="24"/>
          <w:highlight w:val="none"/>
        </w:rPr>
        <w:t>承包人提交的竣工资料的内容：</w:t>
      </w:r>
      <w:r>
        <w:rPr>
          <w:rFonts w:hint="eastAsia" w:ascii="宋体" w:hAnsi="宋体" w:cs="宋体"/>
          <w:color w:val="auto"/>
          <w:sz w:val="24"/>
          <w:highlight w:val="none"/>
          <w:u w:val="single"/>
        </w:rPr>
        <w:t xml:space="preserve">  提供符合无锡市建设工程档案归档规范要求及无锡市城建档案馆要求的竣工图纸及资料，并向发包人提供竣工图及资料的电子版  </w:t>
      </w:r>
      <w:r>
        <w:rPr>
          <w:rFonts w:hint="eastAsia" w:ascii="宋体" w:hAnsi="宋体" w:cs="宋体"/>
          <w:color w:val="auto"/>
          <w:sz w:val="24"/>
          <w:highlight w:val="none"/>
        </w:rPr>
        <w:t>。</w:t>
      </w:r>
    </w:p>
    <w:p>
      <w:pPr>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承包人需要提交的竣工资料套数：</w:t>
      </w:r>
      <w:r>
        <w:rPr>
          <w:rFonts w:hint="eastAsia" w:ascii="宋体" w:hAnsi="宋体" w:cs="宋体"/>
          <w:color w:val="auto"/>
          <w:sz w:val="24"/>
          <w:highlight w:val="none"/>
          <w:u w:val="single"/>
        </w:rPr>
        <w:t xml:space="preserve">       3套        </w:t>
      </w:r>
      <w:r>
        <w:rPr>
          <w:rFonts w:hint="eastAsia" w:ascii="宋体" w:hAnsi="宋体" w:cs="宋体"/>
          <w:color w:val="auto"/>
          <w:sz w:val="24"/>
          <w:highlight w:val="none"/>
        </w:rPr>
        <w:t>。</w:t>
      </w:r>
    </w:p>
    <w:p>
      <w:pPr>
        <w:spacing w:line="360" w:lineRule="auto"/>
        <w:ind w:left="638" w:leftChars="304"/>
        <w:jc w:val="left"/>
        <w:rPr>
          <w:rFonts w:ascii="宋体" w:hAnsi="宋体" w:cs="宋体"/>
          <w:color w:val="auto"/>
          <w:sz w:val="24"/>
          <w:highlight w:val="none"/>
        </w:rPr>
      </w:pPr>
      <w:r>
        <w:rPr>
          <w:rFonts w:hint="eastAsia" w:ascii="宋体" w:hAnsi="宋体" w:cs="宋体"/>
          <w:color w:val="auto"/>
          <w:sz w:val="24"/>
          <w:highlight w:val="none"/>
        </w:rPr>
        <w:t>承包人提交的竣工资料的费用承担：</w:t>
      </w:r>
      <w:r>
        <w:rPr>
          <w:rFonts w:hint="eastAsia" w:ascii="宋体" w:hAnsi="宋体" w:cs="宋体"/>
          <w:color w:val="auto"/>
          <w:sz w:val="24"/>
          <w:highlight w:val="none"/>
          <w:u w:val="single"/>
        </w:rPr>
        <w:t xml:space="preserve">     承包人承担     </w:t>
      </w:r>
      <w:r>
        <w:rPr>
          <w:rFonts w:hint="eastAsia" w:ascii="宋体" w:hAnsi="宋体" w:cs="宋体"/>
          <w:color w:val="auto"/>
          <w:sz w:val="24"/>
          <w:highlight w:val="none"/>
        </w:rPr>
        <w:t>。</w:t>
      </w:r>
    </w:p>
    <w:p>
      <w:pPr>
        <w:spacing w:line="360" w:lineRule="auto"/>
        <w:ind w:left="638" w:leftChars="304"/>
        <w:jc w:val="left"/>
        <w:rPr>
          <w:rFonts w:ascii="宋体" w:hAnsi="宋体" w:cs="宋体"/>
          <w:color w:val="auto"/>
          <w:sz w:val="24"/>
          <w:highlight w:val="none"/>
        </w:rPr>
      </w:pPr>
      <w:r>
        <w:rPr>
          <w:rFonts w:hint="eastAsia" w:ascii="宋体" w:hAnsi="宋体" w:cs="宋体"/>
          <w:color w:val="auto"/>
          <w:sz w:val="24"/>
          <w:highlight w:val="none"/>
        </w:rPr>
        <w:t>承包人提交的竣工资料移交时间：</w:t>
      </w:r>
      <w:r>
        <w:rPr>
          <w:rFonts w:hint="eastAsia" w:ascii="宋体" w:hAnsi="宋体" w:cs="宋体"/>
          <w:color w:val="auto"/>
          <w:sz w:val="24"/>
          <w:highlight w:val="none"/>
          <w:u w:val="single"/>
        </w:rPr>
        <w:t xml:space="preserve">     竣工验收合格后 30 日内     </w:t>
      </w:r>
      <w:r>
        <w:rPr>
          <w:rFonts w:hint="eastAsia" w:ascii="宋体" w:hAnsi="宋体" w:cs="宋体"/>
          <w:color w:val="auto"/>
          <w:sz w:val="24"/>
          <w:highlight w:val="none"/>
        </w:rPr>
        <w:t>。</w:t>
      </w:r>
    </w:p>
    <w:p>
      <w:pPr>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承包人提交的竣工资料形式要求：</w:t>
      </w:r>
      <w:r>
        <w:rPr>
          <w:rFonts w:hint="eastAsia" w:ascii="宋体" w:hAnsi="宋体" w:cs="宋体"/>
          <w:color w:val="auto"/>
          <w:sz w:val="24"/>
          <w:highlight w:val="none"/>
          <w:u w:val="single"/>
        </w:rPr>
        <w:t xml:space="preserve">    书面及电子       </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（10）承包人应履行的其他义务：</w:t>
      </w:r>
    </w:p>
    <w:p>
      <w:pPr>
        <w:tabs>
          <w:tab w:val="left" w:pos="8280"/>
        </w:tabs>
        <w:snapToGrid w:val="0"/>
        <w:spacing w:line="440" w:lineRule="exact"/>
        <w:ind w:firstLine="720" w:firstLineChars="300"/>
        <w:rPr>
          <w:rFonts w:ascii="宋体" w:hAnsi="宋体" w:cs="宋体"/>
          <w:color w:val="auto"/>
          <w:sz w:val="24"/>
          <w:highlight w:val="none"/>
          <w:u w:val="single"/>
        </w:rPr>
      </w:pPr>
      <w:r>
        <w:rPr>
          <w:rFonts w:hint="eastAsia" w:ascii="宋体" w:hAnsi="宋体" w:cs="宋体"/>
          <w:color w:val="auto"/>
          <w:sz w:val="24"/>
          <w:highlight w:val="none"/>
          <w:u w:val="single"/>
        </w:rPr>
        <w:t>1）承包人宗旨：保证与发包人密切配合，服从统一指挥、统一安排，高标准、严要求、安全优质、快速地完成该合同工程的施工建设，确保发包人满意。</w:t>
      </w:r>
    </w:p>
    <w:p>
      <w:pPr>
        <w:spacing w:line="440" w:lineRule="exact"/>
        <w:ind w:firstLine="720" w:firstLineChars="300"/>
        <w:rPr>
          <w:rFonts w:ascii="宋体" w:hAnsi="宋体" w:cs="宋体"/>
          <w:color w:val="auto"/>
          <w:sz w:val="24"/>
          <w:highlight w:val="none"/>
          <w:u w:val="single"/>
        </w:rPr>
      </w:pPr>
      <w:r>
        <w:rPr>
          <w:rFonts w:hint="eastAsia" w:ascii="宋体" w:hAnsi="宋体" w:cs="宋体"/>
          <w:color w:val="auto"/>
          <w:sz w:val="24"/>
          <w:highlight w:val="none"/>
          <w:u w:val="single"/>
        </w:rPr>
        <w:t>2）本工程确保一次验收100％达到合格标准，如因承包方原因一次验收达不到合格工程标准，则承包方必须返修整改达到合格标准为止，才能交付发包方，其返修费用均由承包方自行承担。返修工期计入总工期考核，并支付发包方质量违约金。</w:t>
      </w:r>
    </w:p>
    <w:p>
      <w:pPr>
        <w:snapToGrid w:val="0"/>
        <w:spacing w:line="430" w:lineRule="exact"/>
        <w:ind w:firstLine="720" w:firstLineChars="300"/>
        <w:rPr>
          <w:rFonts w:ascii="宋体" w:hAnsi="宋体" w:cs="宋体"/>
          <w:color w:val="auto"/>
          <w:sz w:val="24"/>
          <w:highlight w:val="none"/>
          <w:u w:val="single"/>
        </w:rPr>
      </w:pPr>
      <w:r>
        <w:rPr>
          <w:rFonts w:hint="eastAsia" w:ascii="宋体" w:hAnsi="宋体" w:cs="宋体"/>
          <w:color w:val="auto"/>
          <w:sz w:val="24"/>
          <w:highlight w:val="none"/>
          <w:u w:val="single"/>
        </w:rPr>
        <w:t>3）工程竣工验收通过后，承包方在60天内提供全部结算资料，由发包方委托具备相应资质的第三方咨询机构进行项目结算审核。</w:t>
      </w:r>
    </w:p>
    <w:p>
      <w:pPr>
        <w:spacing w:line="440" w:lineRule="exact"/>
        <w:ind w:firstLine="720" w:firstLineChars="300"/>
        <w:rPr>
          <w:rFonts w:ascii="宋体" w:hAnsi="宋体" w:cs="宋体"/>
          <w:color w:val="auto"/>
          <w:sz w:val="24"/>
          <w:highlight w:val="none"/>
          <w:u w:val="single"/>
        </w:rPr>
      </w:pPr>
      <w:r>
        <w:rPr>
          <w:rFonts w:hint="eastAsia" w:ascii="宋体" w:hAnsi="宋体" w:cs="宋体"/>
          <w:color w:val="auto"/>
          <w:sz w:val="24"/>
          <w:highlight w:val="none"/>
          <w:u w:val="single"/>
        </w:rPr>
        <w:t>4）涉及到工程价款的签证，应由监理方审核签署、跟踪审计复核、发包方确认作为结算依据 。所有签证承包方必须在事件发生后3天内报出签证申请，逾期作为让利。超出规定额度的还需由建设行政主管部门审核确认后方可作为结算依据。</w:t>
      </w:r>
    </w:p>
    <w:p>
      <w:pPr>
        <w:tabs>
          <w:tab w:val="left" w:pos="8280"/>
        </w:tabs>
        <w:spacing w:line="440" w:lineRule="exact"/>
        <w:ind w:firstLine="720" w:firstLineChars="300"/>
        <w:rPr>
          <w:rFonts w:ascii="宋体" w:hAnsi="宋体" w:cs="宋体"/>
          <w:color w:val="auto"/>
          <w:sz w:val="24"/>
          <w:highlight w:val="none"/>
          <w:u w:val="single"/>
        </w:rPr>
      </w:pPr>
      <w:r>
        <w:rPr>
          <w:rFonts w:hint="eastAsia" w:ascii="宋体" w:hAnsi="宋体" w:cs="宋体"/>
          <w:color w:val="auto"/>
          <w:sz w:val="24"/>
          <w:highlight w:val="none"/>
          <w:u w:val="single"/>
        </w:rPr>
        <w:t>5）施工期间，承包方要做到文明施工，并符合市创建卫生城市的要求，材料堆放整齐，做好工地文明创建工作，在施工过程中如受到有关部门的通报批评，则每次按该工程总建筑面积0.5元／M2扣款。工程车辆上路行驶时抛、洒、滴、漏，涉及环卫方面的问题，由承包人负责解决及承担可能出现的费用。</w:t>
      </w:r>
    </w:p>
    <w:p>
      <w:pPr>
        <w:tabs>
          <w:tab w:val="left" w:pos="8280"/>
        </w:tabs>
        <w:spacing w:line="440" w:lineRule="exact"/>
        <w:ind w:firstLine="720" w:firstLineChars="300"/>
        <w:rPr>
          <w:rFonts w:ascii="宋体" w:hAnsi="宋体" w:cs="宋体"/>
          <w:color w:val="auto"/>
          <w:sz w:val="24"/>
          <w:highlight w:val="none"/>
          <w:u w:val="single"/>
        </w:rPr>
      </w:pPr>
      <w:r>
        <w:rPr>
          <w:rFonts w:hint="eastAsia" w:ascii="宋体" w:hAnsi="宋体" w:cs="宋体"/>
          <w:color w:val="auto"/>
          <w:sz w:val="24"/>
          <w:highlight w:val="none"/>
          <w:u w:val="single"/>
        </w:rPr>
        <w:t>6）严格施工安全，承包人应对施工人员进行安全教育，避免发生人身伤亡事故和火灾事故，并应参加建筑、安装工程保险，施工中发生的质量、安全事故及责任和经济损失均由承包人负责，并按相关管理部门论定的责任相应处理。</w:t>
      </w:r>
    </w:p>
    <w:p>
      <w:pPr>
        <w:tabs>
          <w:tab w:val="left" w:pos="8280"/>
        </w:tabs>
        <w:spacing w:line="440" w:lineRule="exact"/>
        <w:ind w:firstLine="720" w:firstLineChars="300"/>
        <w:rPr>
          <w:rFonts w:ascii="宋体" w:hAnsi="宋体" w:cs="宋体"/>
          <w:color w:val="auto"/>
          <w:sz w:val="24"/>
          <w:highlight w:val="none"/>
          <w:u w:val="single"/>
        </w:rPr>
      </w:pPr>
      <w:r>
        <w:rPr>
          <w:rFonts w:hint="eastAsia" w:ascii="宋体" w:hAnsi="宋体" w:cs="宋体"/>
          <w:color w:val="auto"/>
          <w:sz w:val="24"/>
          <w:highlight w:val="none"/>
          <w:u w:val="single"/>
        </w:rPr>
        <w:t>7）一旦中标项目负责人和专职安全员不得更换，必须全过程管理直至工程竣工，否则作违约处理，施工单位清理出场，承担一切直接、间接的经济损失并没收履约担保金。项目负责人必须保证每周有40小时在施工现场，专职安全员必须与施工同步在岗，由总监和甲方代表考核，缺勤乙方支付违约金1000元/小时给甲方，如有事应征得总监或业主同意。</w:t>
      </w:r>
    </w:p>
    <w:p>
      <w:pPr>
        <w:tabs>
          <w:tab w:val="left" w:pos="8280"/>
        </w:tabs>
        <w:snapToGrid w:val="0"/>
        <w:spacing w:line="440" w:lineRule="exact"/>
        <w:ind w:firstLine="720" w:firstLineChars="300"/>
        <w:rPr>
          <w:rFonts w:ascii="宋体" w:hAnsi="宋体" w:cs="宋体"/>
          <w:color w:val="auto"/>
          <w:sz w:val="24"/>
          <w:highlight w:val="none"/>
          <w:u w:val="single"/>
        </w:rPr>
      </w:pPr>
      <w:r>
        <w:rPr>
          <w:rFonts w:hint="eastAsia" w:ascii="宋体" w:hAnsi="宋体" w:cs="宋体"/>
          <w:color w:val="auto"/>
          <w:sz w:val="24"/>
          <w:highlight w:val="none"/>
          <w:u w:val="single"/>
        </w:rPr>
        <w:t>8）工期：  日历天；计划开工时间以甲方开工令为准。延误工期承包方应按照5000元/天支付违约金给发包方，误期赔偿费不设上限。</w:t>
      </w:r>
    </w:p>
    <w:p>
      <w:pPr>
        <w:tabs>
          <w:tab w:val="left" w:pos="8280"/>
        </w:tabs>
        <w:snapToGrid w:val="0"/>
        <w:spacing w:line="440" w:lineRule="exact"/>
        <w:ind w:firstLine="720" w:firstLineChars="300"/>
        <w:rPr>
          <w:rFonts w:ascii="宋体" w:hAnsi="宋体" w:cs="宋体"/>
          <w:color w:val="auto"/>
          <w:sz w:val="24"/>
          <w:highlight w:val="none"/>
          <w:u w:val="single"/>
        </w:rPr>
      </w:pPr>
      <w:r>
        <w:rPr>
          <w:rFonts w:hint="eastAsia" w:ascii="宋体" w:hAnsi="宋体" w:cs="宋体"/>
          <w:color w:val="auto"/>
          <w:sz w:val="24"/>
          <w:highlight w:val="none"/>
          <w:u w:val="single"/>
        </w:rPr>
        <w:t>9）除通用条款约定的不可抗力外，另要约定的不可抗力由发包方、承包方及监理视事件情况共同论定。</w:t>
      </w:r>
    </w:p>
    <w:p>
      <w:pPr>
        <w:tabs>
          <w:tab w:val="left" w:pos="8280"/>
        </w:tabs>
        <w:snapToGrid w:val="0"/>
        <w:spacing w:line="440" w:lineRule="exact"/>
        <w:ind w:firstLine="720" w:firstLineChars="300"/>
        <w:rPr>
          <w:rFonts w:ascii="宋体" w:hAnsi="宋体" w:cs="宋体"/>
          <w:color w:val="auto"/>
          <w:sz w:val="24"/>
          <w:highlight w:val="none"/>
          <w:u w:val="single"/>
        </w:rPr>
      </w:pPr>
      <w:r>
        <w:rPr>
          <w:rFonts w:hint="eastAsia" w:ascii="宋体" w:hAnsi="宋体" w:cs="宋体"/>
          <w:color w:val="auto"/>
          <w:sz w:val="24"/>
          <w:highlight w:val="none"/>
          <w:u w:val="single"/>
        </w:rPr>
        <w:t>10）承包人采购或发包人供应的建筑材料，必须符合现行国家质量标准的要求。材料进场时必须附有出厂合格证，并按规定会同发包人（监理）工地代表共同抽样，送质检部门认可有效的检测单位复验，当发包人或质检部门按高于规范和规定的要求另行要求检验试验所发生的复验费以及新材料、新工艺、新设备的试验费，其费用按江苏省物价局、江苏省建设厅苏价物（2001）113号关于核定《江苏省建设工程质量检测和建筑材料试验收费标准》的通知规定由发包人承担费用；其余根据有关国家标准或验收规范要求的检验项目的试验费用由承包人承担。经复验合格后的材料，并对该进场后的复验材料进行实物检查，与复验结果相符的才能使用。遵循谁采购谁负责的原则，不合格的材料、设备由材料来源的采购方组织处理、清出现场。</w:t>
      </w:r>
    </w:p>
    <w:p>
      <w:pPr>
        <w:tabs>
          <w:tab w:val="left" w:pos="8280"/>
        </w:tabs>
        <w:snapToGrid w:val="0"/>
        <w:spacing w:line="440" w:lineRule="exact"/>
        <w:rPr>
          <w:rFonts w:ascii="宋体" w:hAnsi="宋体" w:cs="宋体"/>
          <w:color w:val="auto"/>
          <w:sz w:val="24"/>
          <w:highlight w:val="none"/>
          <w:u w:val="single"/>
        </w:rPr>
      </w:pPr>
      <w:r>
        <w:rPr>
          <w:rFonts w:hint="eastAsia" w:ascii="宋体" w:hAnsi="宋体" w:cs="宋体"/>
          <w:color w:val="auto"/>
          <w:sz w:val="24"/>
          <w:highlight w:val="none"/>
          <w:u w:val="single"/>
        </w:rPr>
        <w:t>11）对施工过程中的主要质量控制的主要要求：施工方法、施工顺序承包人必须严格按发包人（监理）工地代表批准的施工组织设计（施工方案）组织施工，并由发包人（监理）工地代表监督实施。</w:t>
      </w:r>
    </w:p>
    <w:p>
      <w:pPr>
        <w:tabs>
          <w:tab w:val="left" w:pos="8280"/>
        </w:tabs>
        <w:snapToGrid w:val="0"/>
        <w:spacing w:line="440" w:lineRule="exact"/>
        <w:ind w:firstLine="720" w:firstLineChars="300"/>
        <w:rPr>
          <w:rFonts w:ascii="宋体" w:hAnsi="宋体" w:cs="宋体"/>
          <w:color w:val="auto"/>
          <w:sz w:val="24"/>
          <w:highlight w:val="none"/>
          <w:u w:val="single"/>
        </w:rPr>
      </w:pPr>
      <w:r>
        <w:rPr>
          <w:rFonts w:hint="eastAsia" w:ascii="宋体" w:hAnsi="宋体" w:cs="宋体"/>
          <w:color w:val="auto"/>
          <w:sz w:val="24"/>
          <w:highlight w:val="none"/>
          <w:u w:val="single"/>
        </w:rPr>
        <w:t>12）工程竣工后承包人逾期（60天）提交合同范围内的工程竣工结算时，发包人可相应延期支付承包人的工程款。</w:t>
      </w:r>
    </w:p>
    <w:p>
      <w:pPr>
        <w:tabs>
          <w:tab w:val="left" w:pos="8280"/>
        </w:tabs>
        <w:snapToGrid w:val="0"/>
        <w:spacing w:line="440" w:lineRule="exact"/>
        <w:ind w:firstLine="720" w:firstLineChars="300"/>
        <w:rPr>
          <w:rFonts w:ascii="宋体" w:hAnsi="宋体" w:cs="宋体"/>
          <w:color w:val="auto"/>
          <w:sz w:val="24"/>
          <w:highlight w:val="none"/>
          <w:u w:val="single"/>
        </w:rPr>
      </w:pPr>
      <w:r>
        <w:rPr>
          <w:rFonts w:hint="eastAsia" w:ascii="宋体" w:hAnsi="宋体" w:cs="宋体"/>
          <w:color w:val="auto"/>
          <w:sz w:val="24"/>
          <w:highlight w:val="none"/>
          <w:u w:val="single"/>
        </w:rPr>
        <w:t>13）有暂估价的材料按暂估价报价，中标后由发包方、承包方双方共同看样定货,发包方以确认单的形式明确材料的结算价格。</w:t>
      </w:r>
    </w:p>
    <w:p>
      <w:pPr>
        <w:tabs>
          <w:tab w:val="left" w:pos="8280"/>
        </w:tabs>
        <w:spacing w:line="440" w:lineRule="exact"/>
        <w:ind w:firstLine="720" w:firstLineChars="300"/>
        <w:rPr>
          <w:rFonts w:ascii="宋体" w:hAnsi="宋体" w:cs="宋体"/>
          <w:color w:val="auto"/>
          <w:sz w:val="24"/>
          <w:highlight w:val="none"/>
        </w:rPr>
      </w:pPr>
      <w:r>
        <w:rPr>
          <w:rFonts w:hint="eastAsia" w:ascii="宋体" w:hAnsi="宋体" w:cs="宋体"/>
          <w:color w:val="auto"/>
          <w:sz w:val="24"/>
          <w:highlight w:val="none"/>
          <w:u w:val="single"/>
        </w:rPr>
        <w:t>14）合同中未明确的，可参照“关于加强市区旧住宅区整治改造工程跟踪审核及资金拨付管理的通知”（锡财建【2013】47号）、“关于明确市区旧住宅区整治改造项目跟踪审核管理要求的通知”（锡财建（2015）13号）等文件相关规定执行。</w:t>
      </w:r>
    </w:p>
    <w:p>
      <w:pPr>
        <w:tabs>
          <w:tab w:val="left" w:pos="8280"/>
        </w:tabs>
        <w:spacing w:line="440" w:lineRule="exact"/>
        <w:ind w:firstLine="720" w:firstLineChars="300"/>
        <w:rPr>
          <w:rFonts w:ascii="宋体" w:hAnsi="宋体" w:cs="宋体"/>
          <w:color w:val="auto"/>
          <w:sz w:val="24"/>
          <w:highlight w:val="none"/>
          <w:u w:val="single"/>
        </w:rPr>
      </w:pPr>
      <w:r>
        <w:rPr>
          <w:rFonts w:hint="eastAsia" w:ascii="宋体" w:hAnsi="宋体" w:cs="宋体"/>
          <w:color w:val="auto"/>
          <w:sz w:val="24"/>
          <w:highlight w:val="none"/>
          <w:u w:val="single"/>
        </w:rPr>
        <w:t>15）关于农民工工资事项合同条款：a.承包人是本工程农民工管理的责任人，全面负责施工过程中农民工的管理、用工合同管理和民工工资发放等工作；b.承包人在施工过程中，必须确保按规定、按时支付农民工工资，民工工资必须直接发放到民工本人手中；c.发包人按合同约定支付工程款的，因承包人拖欠农民工工资而发生民工上诉、上访情况，由发包人先行垫付农民工工资及相关费用，垫付费用由发包人按垫付总额乘以N（具体数额见《系数N取值表》）系数向承包人收回，从工程款中直接扣除；d.发包人未按《合同》约定按时支付工程款，造成承包人拖欠农民工工资的，由发包人无条件支付农民工工资及相关费用，并支付承包人直接经济损失，且不得向承包人追讨，不得从工程款中扣除。</w:t>
      </w:r>
    </w:p>
    <w:p>
      <w:pPr>
        <w:tabs>
          <w:tab w:val="left" w:pos="8280"/>
        </w:tabs>
        <w:ind w:firstLine="612" w:firstLineChars="255"/>
        <w:rPr>
          <w:rFonts w:ascii="宋体" w:hAnsi="宋体" w:cs="宋体"/>
          <w:color w:val="auto"/>
          <w:sz w:val="24"/>
          <w:highlight w:val="none"/>
          <w:u w:val="single"/>
        </w:rPr>
      </w:pPr>
      <w:r>
        <w:rPr>
          <w:rFonts w:hint="eastAsia" w:ascii="宋体" w:hAnsi="宋体" w:cs="宋体"/>
          <w:color w:val="auto"/>
          <w:sz w:val="24"/>
          <w:highlight w:val="none"/>
          <w:u w:val="single"/>
        </w:rPr>
        <w:t>系数N取值表</w:t>
      </w:r>
    </w:p>
    <w:tbl>
      <w:tblPr>
        <w:tblStyle w:val="17"/>
        <w:tblW w:w="7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324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color w:val="auto"/>
                <w:sz w:val="24"/>
                <w:highlight w:val="none"/>
                <w:u w:val="single"/>
              </w:rPr>
            </w:pPr>
            <w:r>
              <w:rPr>
                <w:rFonts w:hint="eastAsia" w:ascii="宋体" w:hAnsi="宋体" w:cs="宋体"/>
                <w:color w:val="auto"/>
                <w:sz w:val="24"/>
                <w:highlight w:val="none"/>
                <w:u w:val="single"/>
              </w:rPr>
              <w:t>序号</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auto"/>
              <w:ind w:firstLine="390"/>
              <w:rPr>
                <w:rFonts w:ascii="宋体" w:hAnsi="宋体" w:cs="宋体"/>
                <w:color w:val="auto"/>
                <w:sz w:val="24"/>
                <w:highlight w:val="none"/>
                <w:u w:val="single"/>
              </w:rPr>
            </w:pPr>
            <w:r>
              <w:rPr>
                <w:rFonts w:hint="eastAsia" w:ascii="宋体" w:hAnsi="宋体" w:cs="宋体"/>
                <w:color w:val="auto"/>
                <w:sz w:val="24"/>
                <w:highlight w:val="none"/>
                <w:u w:val="single"/>
              </w:rPr>
              <w:t>工程合同造价M</w:t>
            </w:r>
          </w:p>
          <w:p>
            <w:pPr>
              <w:spacing w:line="300" w:lineRule="auto"/>
              <w:ind w:firstLine="390"/>
              <w:rPr>
                <w:rFonts w:ascii="宋体" w:hAnsi="宋体" w:cs="宋体"/>
                <w:color w:val="auto"/>
                <w:sz w:val="24"/>
                <w:highlight w:val="none"/>
                <w:u w:val="single"/>
              </w:rPr>
            </w:pPr>
            <w:r>
              <w:rPr>
                <w:rFonts w:hint="eastAsia" w:ascii="宋体" w:hAnsi="宋体" w:cs="宋体"/>
                <w:color w:val="auto"/>
                <w:sz w:val="24"/>
                <w:highlight w:val="none"/>
                <w:u w:val="single"/>
              </w:rPr>
              <w:t>（万元）</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auto"/>
              <w:ind w:firstLine="390"/>
              <w:rPr>
                <w:rFonts w:ascii="宋体" w:hAnsi="宋体" w:cs="宋体"/>
                <w:color w:val="auto"/>
                <w:sz w:val="24"/>
                <w:highlight w:val="none"/>
                <w:u w:val="single"/>
              </w:rPr>
            </w:pPr>
            <w:r>
              <w:rPr>
                <w:rFonts w:hint="eastAsia" w:ascii="宋体" w:hAnsi="宋体" w:cs="宋体"/>
                <w:color w:val="auto"/>
                <w:sz w:val="24"/>
                <w:highlight w:val="none"/>
                <w:u w:val="single"/>
              </w:rPr>
              <w:t>系数N取值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pPr>
              <w:spacing w:line="300" w:lineRule="auto"/>
              <w:ind w:firstLine="390"/>
              <w:rPr>
                <w:rFonts w:ascii="宋体" w:hAnsi="宋体" w:cs="宋体"/>
                <w:color w:val="auto"/>
                <w:sz w:val="24"/>
                <w:highlight w:val="none"/>
                <w:u w:val="single"/>
              </w:rPr>
            </w:pPr>
            <w:r>
              <w:rPr>
                <w:rFonts w:hint="eastAsia" w:ascii="宋体" w:hAnsi="宋体" w:cs="宋体"/>
                <w:color w:val="auto"/>
                <w:sz w:val="24"/>
                <w:highlight w:val="none"/>
                <w:u w:val="single"/>
              </w:rPr>
              <w:t>1</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auto"/>
              <w:ind w:firstLine="390"/>
              <w:rPr>
                <w:rFonts w:ascii="宋体" w:hAnsi="宋体" w:cs="宋体"/>
                <w:color w:val="auto"/>
                <w:sz w:val="24"/>
                <w:highlight w:val="none"/>
                <w:u w:val="single"/>
              </w:rPr>
            </w:pPr>
            <w:r>
              <w:rPr>
                <w:rFonts w:hint="eastAsia" w:ascii="宋体" w:hAnsi="宋体" w:cs="宋体"/>
                <w:color w:val="auto"/>
                <w:sz w:val="24"/>
                <w:highlight w:val="none"/>
                <w:u w:val="single"/>
              </w:rPr>
              <w:t>M＜500</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auto"/>
              <w:ind w:firstLine="390"/>
              <w:rPr>
                <w:rFonts w:ascii="宋体" w:hAnsi="宋体" w:cs="宋体"/>
                <w:color w:val="auto"/>
                <w:sz w:val="24"/>
                <w:highlight w:val="none"/>
                <w:u w:val="single"/>
              </w:rPr>
            </w:pPr>
            <w:r>
              <w:rPr>
                <w:rFonts w:hint="eastAsia" w:ascii="宋体" w:hAnsi="宋体" w:cs="宋体"/>
                <w:color w:val="auto"/>
                <w:sz w:val="24"/>
                <w:highlight w:val="none"/>
                <w:u w:val="singl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pPr>
              <w:spacing w:line="300" w:lineRule="auto"/>
              <w:ind w:firstLine="390"/>
              <w:rPr>
                <w:rFonts w:ascii="宋体" w:hAnsi="宋体" w:cs="宋体"/>
                <w:color w:val="auto"/>
                <w:sz w:val="24"/>
                <w:highlight w:val="none"/>
                <w:u w:val="single"/>
              </w:rPr>
            </w:pPr>
            <w:r>
              <w:rPr>
                <w:rFonts w:hint="eastAsia" w:ascii="宋体" w:hAnsi="宋体" w:cs="宋体"/>
                <w:color w:val="auto"/>
                <w:sz w:val="24"/>
                <w:highlight w:val="none"/>
                <w:u w:val="single"/>
              </w:rPr>
              <w:t>2</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auto"/>
              <w:ind w:firstLine="390"/>
              <w:rPr>
                <w:rFonts w:ascii="宋体" w:hAnsi="宋体" w:cs="宋体"/>
                <w:color w:val="auto"/>
                <w:sz w:val="24"/>
                <w:highlight w:val="none"/>
                <w:u w:val="single"/>
              </w:rPr>
            </w:pPr>
            <w:r>
              <w:rPr>
                <w:rFonts w:hint="eastAsia" w:ascii="宋体" w:hAnsi="宋体" w:cs="宋体"/>
                <w:color w:val="auto"/>
                <w:sz w:val="24"/>
                <w:highlight w:val="none"/>
                <w:u w:val="single"/>
              </w:rPr>
              <w:t>500≤M＜1000</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auto"/>
              <w:ind w:firstLine="390"/>
              <w:rPr>
                <w:rFonts w:ascii="宋体" w:hAnsi="宋体" w:cs="宋体"/>
                <w:color w:val="auto"/>
                <w:sz w:val="24"/>
                <w:highlight w:val="none"/>
                <w:u w:val="single"/>
              </w:rPr>
            </w:pPr>
            <w:r>
              <w:rPr>
                <w:rFonts w:hint="eastAsia" w:ascii="宋体" w:hAnsi="宋体" w:cs="宋体"/>
                <w:color w:val="auto"/>
                <w:sz w:val="24"/>
                <w:highlight w:val="none"/>
                <w:u w:val="singl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pPr>
              <w:spacing w:line="300" w:lineRule="auto"/>
              <w:ind w:firstLine="390"/>
              <w:rPr>
                <w:rFonts w:ascii="宋体" w:hAnsi="宋体" w:cs="宋体"/>
                <w:color w:val="auto"/>
                <w:sz w:val="24"/>
                <w:highlight w:val="none"/>
                <w:u w:val="single"/>
              </w:rPr>
            </w:pPr>
            <w:r>
              <w:rPr>
                <w:rFonts w:hint="eastAsia" w:ascii="宋体" w:hAnsi="宋体" w:cs="宋体"/>
                <w:color w:val="auto"/>
                <w:sz w:val="24"/>
                <w:highlight w:val="none"/>
                <w:u w:val="single"/>
              </w:rPr>
              <w:t>3</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auto"/>
              <w:ind w:firstLine="390"/>
              <w:rPr>
                <w:rFonts w:ascii="宋体" w:hAnsi="宋体" w:cs="宋体"/>
                <w:color w:val="auto"/>
                <w:sz w:val="24"/>
                <w:highlight w:val="none"/>
                <w:u w:val="single"/>
              </w:rPr>
            </w:pPr>
            <w:r>
              <w:rPr>
                <w:rFonts w:hint="eastAsia" w:ascii="宋体" w:hAnsi="宋体" w:cs="宋体"/>
                <w:color w:val="auto"/>
                <w:sz w:val="24"/>
                <w:highlight w:val="none"/>
                <w:u w:val="single"/>
              </w:rPr>
              <w:t>1000≤M＜5000</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auto"/>
              <w:ind w:firstLine="390"/>
              <w:rPr>
                <w:rFonts w:ascii="宋体" w:hAnsi="宋体" w:cs="宋体"/>
                <w:color w:val="auto"/>
                <w:sz w:val="24"/>
                <w:highlight w:val="none"/>
                <w:u w:val="single"/>
              </w:rPr>
            </w:pPr>
            <w:r>
              <w:rPr>
                <w:rFonts w:hint="eastAsia" w:ascii="宋体" w:hAnsi="宋体" w:cs="宋体"/>
                <w:color w:val="auto"/>
                <w:sz w:val="24"/>
                <w:highlight w:val="none"/>
                <w:u w:val="singl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1" w:type="dxa"/>
            <w:tcBorders>
              <w:top w:val="single" w:color="auto" w:sz="4" w:space="0"/>
              <w:left w:val="single" w:color="auto" w:sz="4" w:space="0"/>
              <w:bottom w:val="single" w:color="auto" w:sz="4" w:space="0"/>
              <w:right w:val="single" w:color="auto" w:sz="4" w:space="0"/>
            </w:tcBorders>
            <w:vAlign w:val="center"/>
          </w:tcPr>
          <w:p>
            <w:pPr>
              <w:spacing w:line="300" w:lineRule="auto"/>
              <w:ind w:firstLine="390"/>
              <w:rPr>
                <w:rFonts w:ascii="宋体" w:hAnsi="宋体" w:cs="宋体"/>
                <w:color w:val="auto"/>
                <w:sz w:val="24"/>
                <w:highlight w:val="none"/>
                <w:u w:val="single"/>
              </w:rPr>
            </w:pPr>
            <w:r>
              <w:rPr>
                <w:rFonts w:hint="eastAsia" w:ascii="宋体" w:hAnsi="宋体" w:cs="宋体"/>
                <w:color w:val="auto"/>
                <w:sz w:val="24"/>
                <w:highlight w:val="none"/>
                <w:u w:val="single"/>
              </w:rPr>
              <w:t>4</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auto"/>
              <w:ind w:firstLine="390"/>
              <w:rPr>
                <w:rFonts w:ascii="宋体" w:hAnsi="宋体" w:cs="宋体"/>
                <w:color w:val="auto"/>
                <w:sz w:val="24"/>
                <w:highlight w:val="none"/>
                <w:u w:val="single"/>
              </w:rPr>
            </w:pPr>
            <w:r>
              <w:rPr>
                <w:rFonts w:hint="eastAsia" w:ascii="宋体" w:hAnsi="宋体" w:cs="宋体"/>
                <w:color w:val="auto"/>
                <w:sz w:val="24"/>
                <w:highlight w:val="none"/>
                <w:u w:val="single"/>
              </w:rPr>
              <w:t>M≥5000</w:t>
            </w:r>
          </w:p>
        </w:tc>
        <w:tc>
          <w:tcPr>
            <w:tcW w:w="3240" w:type="dxa"/>
            <w:tcBorders>
              <w:top w:val="single" w:color="auto" w:sz="4" w:space="0"/>
              <w:left w:val="single" w:color="auto" w:sz="4" w:space="0"/>
              <w:bottom w:val="single" w:color="auto" w:sz="4" w:space="0"/>
              <w:right w:val="single" w:color="auto" w:sz="4" w:space="0"/>
            </w:tcBorders>
            <w:vAlign w:val="center"/>
          </w:tcPr>
          <w:p>
            <w:pPr>
              <w:spacing w:line="300" w:lineRule="auto"/>
              <w:ind w:firstLine="390"/>
              <w:rPr>
                <w:rFonts w:ascii="宋体" w:hAnsi="宋体" w:cs="宋体"/>
                <w:color w:val="auto"/>
                <w:sz w:val="24"/>
                <w:highlight w:val="none"/>
                <w:u w:val="single"/>
              </w:rPr>
            </w:pPr>
            <w:r>
              <w:rPr>
                <w:rFonts w:hint="eastAsia" w:ascii="宋体" w:hAnsi="宋体" w:cs="宋体"/>
                <w:color w:val="auto"/>
                <w:sz w:val="24"/>
                <w:highlight w:val="none"/>
                <w:u w:val="single"/>
              </w:rPr>
              <w:t>1.1</w:t>
            </w:r>
          </w:p>
        </w:tc>
      </w:tr>
    </w:tbl>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16)承包人接收定位或放线后应及时组织复验，如发现问题应立即提出矫正，不及时提出矫正的视为已确认该放线定位成果的正确性，因此产生的后果由承包人负责，交付后的现场成果保管由承包人负责。</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17）承包人可先到工地踏勘以充分了解工地的位置、交通、情况、道路、存储空间、装卸限制及任何其他足以影响承包价的情况，任何因忽视或误解工地情况而导致的索赔或工期延长申请将不被批准。设计单位在设计文件中所介绍的施工方案仅作为参考，承包人应根据施工现场的实际情况、本招标文件中载明的施工组织要求、现场的交通管制条件、文明施工要求和各自的施工经验确定合理的施工组织方案，自主合理报价。</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18）自进场之日起，承包人应全面负责照管、维护本工程和用于本工程的材料、设备以及工地范围内既有市政设施，直至工程竣工验收通过，移交手续完备。照管期间，如发生损失，应由承包人自理。为进一步落实工地的安全文明措施，避免遭受意外毁损或盗窃，造成不必要的人身伤害与财产损失，承包人应与工程所在地公安部门办理工地治安、管理手续并支付相应费用。</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19）对施工过程中出现的工程渣土、建筑、装修垃圾等，承包人将优先考虑采用湿化装卸，使用符合密闭条件的工具，按照核定的载重量，在指定的时间、线路行驶，由此增加的费用承包人应考虑在投标报价中。承包人进场后开工前必须完成对本标段原地面地形的复测工作，并经监理人、发包人抽测确认，结果作为土石方工作量的计算依据。此后，承包人负责保管工地现场，外人倾倒的建筑、生活垃圾等均由承包人清运，费用自理。</w:t>
      </w:r>
    </w:p>
    <w:p>
      <w:pPr>
        <w:tabs>
          <w:tab w:val="left" w:pos="8280"/>
        </w:tabs>
        <w:spacing w:line="44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20）如施工及运输过程中，造成原有建筑、室外工程损坏修复或老百姓投诉等费用由承包人承担。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项目经理</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 xml:space="preserve">3.2.1 </w:t>
      </w:r>
      <w:r>
        <w:rPr>
          <w:rFonts w:hint="eastAsia" w:ascii="宋体" w:hAnsi="宋体" w:cs="宋体"/>
          <w:color w:val="auto"/>
          <w:sz w:val="24"/>
          <w:highlight w:val="none"/>
        </w:rPr>
        <w:t>项目经理：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身份证号：</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建造师执业资格等级：</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建造师注册证书号：</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建造师执业印章号：</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安全生产考核合格证书号：</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承包人对项目经理的授权范围如下：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关于项目经理每月在施工现场的时间要求：</w:t>
      </w:r>
      <w:r>
        <w:rPr>
          <w:rFonts w:hint="eastAsia" w:ascii="宋体" w:hAnsi="宋体" w:cs="宋体"/>
          <w:color w:val="auto"/>
          <w:sz w:val="24"/>
          <w:highlight w:val="none"/>
          <w:u w:val="single"/>
        </w:rPr>
        <w:t xml:space="preserve">  每月不得少于80%的天数，有事临时离开需提前向发包人代表请假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承包人未提交劳动合同，以及没有为项目经理缴纳社会保险证明的违约责任：</w:t>
      </w:r>
      <w:r>
        <w:rPr>
          <w:rFonts w:hint="eastAsia" w:ascii="宋体" w:hAnsi="宋体" w:cs="宋体"/>
          <w:color w:val="auto"/>
          <w:sz w:val="24"/>
          <w:highlight w:val="none"/>
          <w:u w:val="single"/>
        </w:rPr>
        <w:t xml:space="preserve">   处以2万元违约金，责令限期提交劳动合同并补缴社会保险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kern w:val="0"/>
          <w:sz w:val="24"/>
          <w:highlight w:val="none"/>
        </w:rPr>
        <w:t>项目经理未经批准，擅自离开施工现场的违约责任：</w:t>
      </w:r>
      <w:r>
        <w:rPr>
          <w:rFonts w:hint="eastAsia" w:ascii="宋体" w:hAnsi="宋体" w:cs="宋体"/>
          <w:color w:val="auto"/>
          <w:sz w:val="24"/>
          <w:highlight w:val="none"/>
          <w:u w:val="single"/>
        </w:rPr>
        <w:t xml:space="preserve">   若项目经理未获发包人同意擅自离职，按 2000 元/天向发包人支付违约金，由发包人直接在工程款中扣除。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承包人擅自更换项目经理的违约责任：</w:t>
      </w:r>
      <w:r>
        <w:rPr>
          <w:rFonts w:hint="eastAsia" w:ascii="宋体" w:hAnsi="宋体" w:cs="宋体"/>
          <w:color w:val="auto"/>
          <w:sz w:val="24"/>
          <w:highlight w:val="none"/>
          <w:u w:val="single"/>
        </w:rPr>
        <w:t xml:space="preserve">  处以10万元违约金直至终止施工合同。</w:t>
      </w:r>
      <w:r>
        <w:rPr>
          <w:rFonts w:hint="eastAsia" w:ascii="宋体" w:hAnsi="宋体" w:cs="宋体"/>
          <w:color w:val="auto"/>
          <w:sz w:val="24"/>
          <w:highlight w:val="none"/>
        </w:rPr>
        <w:t>。</w:t>
      </w:r>
    </w:p>
    <w:p>
      <w:pPr>
        <w:spacing w:line="360" w:lineRule="auto"/>
        <w:outlineLvl w:val="0"/>
        <w:rPr>
          <w:rFonts w:ascii="宋体" w:hAnsi="宋体" w:cs="宋体"/>
          <w:color w:val="auto"/>
          <w:sz w:val="24"/>
          <w:highlight w:val="none"/>
        </w:rPr>
      </w:pPr>
      <w:r>
        <w:rPr>
          <w:rFonts w:hint="eastAsia" w:ascii="宋体" w:hAnsi="宋体" w:cs="宋体"/>
          <w:color w:val="auto"/>
          <w:sz w:val="24"/>
          <w:highlight w:val="none"/>
        </w:rPr>
        <w:t xml:space="preserve">    3.2.4 承包人无正当理由拒绝更换项目经理的违约责任：</w:t>
      </w:r>
      <w:r>
        <w:rPr>
          <w:rFonts w:hint="eastAsia" w:ascii="宋体" w:hAnsi="宋体" w:cs="宋体"/>
          <w:color w:val="auto"/>
          <w:sz w:val="24"/>
          <w:highlight w:val="none"/>
          <w:u w:val="single"/>
        </w:rPr>
        <w:t xml:space="preserve">  处以10万元违约金直至终止施工合同。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承包人人员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 承包人提交项目管理机构及施工现场管理人员安排报告的期限：</w:t>
      </w:r>
      <w:r>
        <w:rPr>
          <w:rFonts w:hint="eastAsia" w:ascii="宋体" w:hAnsi="宋体" w:cs="宋体"/>
          <w:color w:val="auto"/>
          <w:sz w:val="24"/>
          <w:highlight w:val="none"/>
          <w:u w:val="single"/>
        </w:rPr>
        <w:t xml:space="preserve"> 开工前7天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 承包人无正当理由拒绝撤换主要施工管理人员的违约责任：</w:t>
      </w:r>
      <w:r>
        <w:rPr>
          <w:rFonts w:hint="eastAsia" w:ascii="宋体" w:hAnsi="宋体" w:cs="宋体"/>
          <w:color w:val="auto"/>
          <w:sz w:val="24"/>
          <w:highlight w:val="none"/>
          <w:u w:val="single"/>
        </w:rPr>
        <w:t xml:space="preserve">  处以5000元/人次罚款直至终止施工合同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3.3.4 承包人主要施工管理人员离开施工现场的批准要求：</w:t>
      </w:r>
      <w:r>
        <w:rPr>
          <w:rFonts w:hint="eastAsia" w:ascii="宋体" w:hAnsi="宋体" w:cs="宋体"/>
          <w:color w:val="auto"/>
          <w:sz w:val="24"/>
          <w:highlight w:val="none"/>
          <w:u w:val="single"/>
        </w:rPr>
        <w:t xml:space="preserve">  发包人和监理人双方批准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3.3.5承包人擅自更换主要施工管理人员的违约责任：</w:t>
      </w:r>
      <w:r>
        <w:rPr>
          <w:rFonts w:hint="eastAsia" w:ascii="宋体" w:hAnsi="宋体" w:cs="宋体"/>
          <w:color w:val="auto"/>
          <w:sz w:val="24"/>
          <w:highlight w:val="none"/>
          <w:u w:val="single"/>
        </w:rPr>
        <w:t xml:space="preserve"> 处以5000元/人次罚款直至终止施工合同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承包人主要施工管理人员擅自离开施工现场的违约责任：</w:t>
      </w:r>
      <w:r>
        <w:rPr>
          <w:rFonts w:hint="eastAsia" w:ascii="宋体" w:hAnsi="宋体" w:cs="宋体"/>
          <w:color w:val="auto"/>
          <w:sz w:val="24"/>
          <w:highlight w:val="none"/>
          <w:u w:val="single"/>
        </w:rPr>
        <w:t xml:space="preserve"> 处以5000元/人次罚款直至终止施工合同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Start w:id="74" w:name="_Toc297048345"/>
      <w:bookmarkStart w:id="75" w:name="_Toc303539102"/>
      <w:bookmarkStart w:id="76" w:name="_Toc292559869"/>
      <w:bookmarkStart w:id="77" w:name="_Toc304295523"/>
      <w:bookmarkStart w:id="78" w:name="_Toc296346660"/>
      <w:bookmarkStart w:id="79" w:name="_Toc292559364"/>
      <w:bookmarkStart w:id="80" w:name="_Toc296891199"/>
      <w:bookmarkStart w:id="81" w:name="_Toc296890987"/>
      <w:bookmarkStart w:id="82" w:name="_Toc296503159"/>
      <w:bookmarkStart w:id="83" w:name="_Toc296347158"/>
      <w:bookmarkStart w:id="84" w:name="_Toc297120459"/>
      <w:bookmarkStart w:id="85" w:name="_Toc297123492"/>
      <w:bookmarkStart w:id="86" w:name="_Toc296944498"/>
      <w:bookmarkStart w:id="87" w:name="_Toc312677988"/>
      <w:bookmarkStart w:id="88" w:name="_Toc297216151"/>
      <w:bookmarkStart w:id="89" w:name="_Toc300934945"/>
      <w:r>
        <w:rPr>
          <w:rFonts w:hint="eastAsia" w:ascii="宋体" w:hAnsi="宋体" w:cs="宋体"/>
          <w:color w:val="auto"/>
          <w:sz w:val="24"/>
          <w:highlight w:val="none"/>
        </w:rPr>
        <w:t>.4 分包</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Start w:id="90" w:name="_Toc297120460"/>
      <w:bookmarkStart w:id="91" w:name="_Toc296503160"/>
      <w:bookmarkStart w:id="92" w:name="_Toc292559365"/>
      <w:bookmarkStart w:id="93" w:name="_Toc296891200"/>
      <w:bookmarkStart w:id="94" w:name="_Toc304295524"/>
      <w:bookmarkStart w:id="95" w:name="_Toc296346661"/>
      <w:bookmarkStart w:id="96" w:name="_Toc297048346"/>
      <w:bookmarkStart w:id="97" w:name="_Toc296944499"/>
      <w:bookmarkStart w:id="98" w:name="_Toc303539103"/>
      <w:bookmarkStart w:id="99" w:name="_Toc300934946"/>
      <w:bookmarkStart w:id="100" w:name="_Toc292559870"/>
      <w:bookmarkStart w:id="101" w:name="_Toc297123493"/>
      <w:bookmarkStart w:id="102" w:name="_Toc297216152"/>
      <w:bookmarkStart w:id="103" w:name="_Toc296347159"/>
      <w:bookmarkStart w:id="104" w:name="_Toc296890988"/>
      <w:bookmarkStart w:id="105" w:name="_Toc318581158"/>
      <w:bookmarkStart w:id="106" w:name="_Toc312677989"/>
      <w:r>
        <w:rPr>
          <w:rFonts w:hint="eastAsia" w:ascii="宋体" w:hAnsi="宋体" w:cs="宋体"/>
          <w:color w:val="auto"/>
          <w:sz w:val="24"/>
          <w:highlight w:val="none"/>
        </w:rPr>
        <w:t>.4.1 分包的一般约定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禁止分包的工程包括：</w:t>
      </w:r>
      <w:r>
        <w:rPr>
          <w:rFonts w:hint="eastAsia" w:ascii="宋体" w:hAnsi="宋体" w:cs="宋体"/>
          <w:color w:val="auto"/>
          <w:sz w:val="24"/>
          <w:highlight w:val="none"/>
          <w:u w:val="single"/>
        </w:rPr>
        <w:t xml:space="preserve">    不允许分包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主体结构、关键性工作的范围：</w:t>
      </w:r>
      <w:r>
        <w:rPr>
          <w:rFonts w:hint="eastAsia" w:ascii="宋体" w:hAnsi="宋体" w:cs="宋体"/>
          <w:color w:val="auto"/>
          <w:sz w:val="24"/>
          <w:highlight w:val="none"/>
          <w:u w:val="single"/>
        </w:rPr>
        <w:t xml:space="preserve">   不允许分包         </w:t>
      </w:r>
      <w:r>
        <w:rPr>
          <w:rFonts w:hint="eastAsia" w:ascii="宋体" w:hAnsi="宋体" w:cs="宋体"/>
          <w:color w:val="auto"/>
          <w:sz w:val="24"/>
          <w:highlight w:val="none"/>
        </w:rPr>
        <w: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Start w:id="107" w:name="_Toc296346662"/>
      <w:bookmarkStart w:id="108" w:name="_Toc296890989"/>
      <w:bookmarkStart w:id="109" w:name="_Toc304295525"/>
      <w:bookmarkStart w:id="110" w:name="_Toc303539104"/>
      <w:bookmarkStart w:id="111" w:name="_Toc296944500"/>
      <w:bookmarkStart w:id="112" w:name="_Toc300934947"/>
      <w:bookmarkStart w:id="113" w:name="_Toc296891201"/>
      <w:bookmarkStart w:id="114" w:name="_Toc297048347"/>
      <w:bookmarkStart w:id="115" w:name="_Toc297123494"/>
      <w:bookmarkStart w:id="116" w:name="_Toc297216153"/>
      <w:bookmarkStart w:id="117" w:name="_Toc296347160"/>
      <w:bookmarkStart w:id="118" w:name="_Toc297120461"/>
      <w:bookmarkStart w:id="119" w:name="_Toc296503161"/>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bookmarkStart w:id="120" w:name="_Toc318581159"/>
      <w:bookmarkStart w:id="121" w:name="_Toc312677990"/>
      <w:r>
        <w:rPr>
          <w:rFonts w:hint="eastAsia" w:ascii="宋体" w:hAnsi="宋体" w:cs="宋体"/>
          <w:color w:val="auto"/>
          <w:sz w:val="24"/>
          <w:highlight w:val="none"/>
        </w:rPr>
        <w:t>.4.2分包的确定</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允许分包的专业工程包括：</w:t>
      </w:r>
      <w:r>
        <w:rPr>
          <w:rFonts w:hint="eastAsia" w:ascii="宋体" w:hAnsi="宋体" w:cs="宋体"/>
          <w:color w:val="auto"/>
          <w:sz w:val="24"/>
          <w:highlight w:val="none"/>
          <w:u w:val="single"/>
        </w:rPr>
        <w:t xml:space="preserve">     不允许分包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其他关于分包的约定：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3.4.4 分包合同价款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关于分包合同价款支付的约定：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bookmarkEnd w:id="120"/>
    <w:bookmarkEnd w:id="121"/>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工程照管与成品、半成品保护</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承包人负责照管工程及工程相关的材料、工程设备的起始时间：</w:t>
      </w:r>
      <w:r>
        <w:rPr>
          <w:rFonts w:hint="eastAsia" w:ascii="宋体" w:hAnsi="宋体" w:cs="宋体"/>
          <w:color w:val="auto"/>
          <w:kern w:val="0"/>
          <w:sz w:val="24"/>
          <w:highlight w:val="none"/>
          <w:u w:val="single"/>
        </w:rPr>
        <w:t xml:space="preserve">  设备、人员进场至验收交付使用前由承包人负责保修，无其他特殊要求的，费用由承包人承担    </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 履约担保</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承包人是否提供履约担保：</w:t>
      </w:r>
      <w:r>
        <w:rPr>
          <w:rFonts w:hint="eastAsia" w:ascii="宋体" w:hAnsi="宋体" w:cs="宋体"/>
          <w:color w:val="auto"/>
          <w:sz w:val="24"/>
          <w:highlight w:val="none"/>
          <w:u w:val="single"/>
        </w:rPr>
        <w:t>否</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承包人提供履约担保的形式、金额及期限的：</w:t>
      </w:r>
      <w:r>
        <w:rPr>
          <w:rFonts w:hint="eastAsia" w:ascii="宋体" w:hAnsi="宋体" w:cs="宋体"/>
          <w:color w:val="auto"/>
          <w:sz w:val="24"/>
          <w:highlight w:val="none"/>
          <w:u w:val="single"/>
        </w:rPr>
        <w:t>/</w:t>
      </w:r>
      <w:r>
        <w:rPr>
          <w:rFonts w:hint="eastAsia" w:ascii="宋体" w:hAnsi="宋体" w:cs="宋体"/>
          <w:color w:val="auto"/>
          <w:sz w:val="24"/>
          <w:highlight w:val="none"/>
        </w:rPr>
        <w:t>。</w:t>
      </w:r>
    </w:p>
    <w:p>
      <w:pPr>
        <w:pStyle w:val="2"/>
        <w:spacing w:line="360" w:lineRule="auto"/>
        <w:rPr>
          <w:rFonts w:ascii="宋体" w:hAnsi="宋体" w:eastAsia="宋体" w:cs="宋体"/>
          <w:b w:val="0"/>
          <w:color w:val="auto"/>
          <w:sz w:val="24"/>
          <w:highlight w:val="none"/>
        </w:rPr>
      </w:pPr>
      <w:bookmarkStart w:id="122" w:name="_Toc351203636"/>
      <w:bookmarkStart w:id="123" w:name="_Toc297120511"/>
      <w:bookmarkStart w:id="124" w:name="_Toc297123556"/>
      <w:bookmarkStart w:id="125" w:name="_Toc297048397"/>
      <w:bookmarkStart w:id="126" w:name="_Toc296347210"/>
      <w:bookmarkStart w:id="127" w:name="_Toc296346712"/>
      <w:bookmarkStart w:id="128" w:name="_Toc296891039"/>
      <w:bookmarkStart w:id="129" w:name="_Toc297216215"/>
      <w:bookmarkStart w:id="130" w:name="_Toc303539163"/>
      <w:bookmarkStart w:id="131" w:name="_Toc296503211"/>
      <w:bookmarkStart w:id="132" w:name="_Toc292559416"/>
      <w:bookmarkStart w:id="133" w:name="_Toc296891251"/>
      <w:bookmarkStart w:id="134" w:name="_Toc300935006"/>
      <w:bookmarkStart w:id="135" w:name="_Toc292559921"/>
      <w:bookmarkStart w:id="136" w:name="_Toc296944550"/>
      <w:bookmarkStart w:id="137" w:name="_Toc267251442"/>
      <w:r>
        <w:rPr>
          <w:rFonts w:hint="eastAsia" w:ascii="宋体" w:hAnsi="宋体" w:eastAsia="宋体" w:cs="宋体"/>
          <w:b w:val="0"/>
          <w:color w:val="auto"/>
          <w:sz w:val="24"/>
          <w:highlight w:val="none"/>
        </w:rPr>
        <w:t>4</w:t>
      </w:r>
      <w:bookmarkStart w:id="138" w:name="_Toc296503162"/>
      <w:bookmarkStart w:id="139" w:name="_Toc296347161"/>
      <w:bookmarkStart w:id="140" w:name="_Toc267251413"/>
      <w:bookmarkStart w:id="141" w:name="_Toc296891202"/>
      <w:bookmarkStart w:id="142" w:name="_Toc296944501"/>
      <w:bookmarkStart w:id="143" w:name="_Toc292559871"/>
      <w:bookmarkStart w:id="144" w:name="_Toc297048348"/>
      <w:bookmarkStart w:id="145" w:name="_Toc297120462"/>
      <w:bookmarkStart w:id="146" w:name="_Toc296890990"/>
      <w:bookmarkStart w:id="147" w:name="_Toc296346663"/>
      <w:bookmarkStart w:id="148" w:name="_Toc292559366"/>
      <w:r>
        <w:rPr>
          <w:rFonts w:hint="eastAsia" w:ascii="宋体" w:hAnsi="宋体" w:eastAsia="宋体" w:cs="宋体"/>
          <w:b w:val="0"/>
          <w:color w:val="auto"/>
          <w:sz w:val="24"/>
          <w:highlight w:val="none"/>
        </w:rPr>
        <w:t>. 监</w:t>
      </w:r>
      <w:bookmarkEnd w:id="138"/>
      <w:bookmarkEnd w:id="139"/>
      <w:bookmarkEnd w:id="140"/>
      <w:bookmarkEnd w:id="141"/>
      <w:bookmarkEnd w:id="142"/>
      <w:bookmarkEnd w:id="143"/>
      <w:bookmarkEnd w:id="144"/>
      <w:bookmarkEnd w:id="145"/>
      <w:bookmarkEnd w:id="146"/>
      <w:bookmarkEnd w:id="147"/>
      <w:bookmarkEnd w:id="148"/>
      <w:r>
        <w:rPr>
          <w:rFonts w:hint="eastAsia" w:ascii="宋体" w:hAnsi="宋体" w:eastAsia="宋体" w:cs="宋体"/>
          <w:b w:val="0"/>
          <w:color w:val="auto"/>
          <w:sz w:val="24"/>
          <w:highlight w:val="none"/>
        </w:rPr>
        <w:t>理人</w:t>
      </w:r>
      <w:bookmarkEnd w:id="12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4.1监理人的一般规定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关于监理人的监理内容：</w:t>
      </w:r>
      <w:r>
        <w:rPr>
          <w:rFonts w:hint="eastAsia" w:ascii="宋体" w:hAnsi="宋体" w:cs="宋体"/>
          <w:color w:val="auto"/>
          <w:sz w:val="24"/>
          <w:highlight w:val="none"/>
          <w:u w:val="single"/>
        </w:rPr>
        <w:t xml:space="preserve">      详见本项目监理合同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关于监理人的监理权限：</w:t>
      </w:r>
      <w:r>
        <w:rPr>
          <w:rFonts w:hint="eastAsia" w:ascii="宋体" w:hAnsi="宋体" w:cs="宋体"/>
          <w:color w:val="auto"/>
          <w:sz w:val="24"/>
          <w:highlight w:val="none"/>
          <w:u w:val="single"/>
        </w:rPr>
        <w:t xml:space="preserve">      详见本项目监理合同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关于监理人在施工现场的办公场所、生活场所的提供和费用承担的约定：</w:t>
      </w:r>
      <w:r>
        <w:rPr>
          <w:rFonts w:hint="eastAsia" w:ascii="宋体" w:hAnsi="宋体" w:cs="宋体"/>
          <w:color w:val="auto"/>
          <w:sz w:val="24"/>
          <w:highlight w:val="none"/>
          <w:u w:val="single"/>
        </w:rPr>
        <w:t xml:space="preserve">    详见本项目监理合同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监理人员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总监理工程师：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职    务：</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监理工程师执业资格证书号：</w:t>
      </w:r>
      <w:r>
        <w:rPr>
          <w:rFonts w:hint="eastAsia" w:ascii="宋体" w:hAnsi="宋体" w:cs="宋体"/>
          <w:color w:val="auto"/>
          <w:sz w:val="24"/>
          <w:highlight w:val="none"/>
          <w:u w:val="single"/>
        </w:rPr>
        <w:t>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电子信箱：</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通信地址：</w:t>
      </w:r>
      <w:r>
        <w:rPr>
          <w:rFonts w:hint="eastAsia" w:ascii="宋体" w:hAnsi="宋体" w:cs="宋体"/>
          <w:color w:val="auto"/>
          <w:sz w:val="24"/>
          <w:highlight w:val="none"/>
          <w:u w:val="single"/>
        </w:rPr>
        <w:t>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关于监理人的其他约定：</w:t>
      </w:r>
      <w:r>
        <w:rPr>
          <w:rFonts w:hint="eastAsia" w:ascii="宋体" w:hAnsi="宋体" w:cs="宋体"/>
          <w:color w:val="auto"/>
          <w:sz w:val="24"/>
          <w:highlight w:val="none"/>
          <w:u w:val="single"/>
        </w:rPr>
        <w:t>详见本项目监理合同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 商定或确定</w:t>
      </w:r>
    </w:p>
    <w:p>
      <w:pPr>
        <w:spacing w:line="360" w:lineRule="auto"/>
        <w:ind w:firstLine="480" w:firstLineChars="200"/>
        <w:rPr>
          <w:rFonts w:ascii="宋体" w:hAnsi="宋体" w:cs="宋体"/>
          <w:color w:val="auto"/>
          <w:sz w:val="24"/>
          <w:highlight w:val="none"/>
        </w:rPr>
      </w:pPr>
      <w:bookmarkStart w:id="149" w:name="_Toc267251418"/>
      <w:r>
        <w:rPr>
          <w:rFonts w:hint="eastAsia" w:ascii="宋体" w:hAnsi="宋体" w:cs="宋体"/>
          <w:color w:val="auto"/>
          <w:sz w:val="24"/>
          <w:highlight w:val="none"/>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sz w:val="24"/>
          <w:highlight w:val="none"/>
        </w:rPr>
        <w:t>。</w:t>
      </w:r>
    </w:p>
    <w:p>
      <w:pPr>
        <w:pStyle w:val="2"/>
        <w:spacing w:line="360" w:lineRule="auto"/>
        <w:rPr>
          <w:rFonts w:ascii="宋体" w:hAnsi="宋体" w:eastAsia="宋体" w:cs="宋体"/>
          <w:b w:val="0"/>
          <w:color w:val="auto"/>
          <w:sz w:val="24"/>
          <w:highlight w:val="none"/>
        </w:rPr>
      </w:pPr>
      <w:bookmarkStart w:id="150" w:name="_Toc351203637"/>
      <w:r>
        <w:rPr>
          <w:rFonts w:hint="eastAsia" w:ascii="宋体" w:hAnsi="宋体" w:eastAsia="宋体" w:cs="宋体"/>
          <w:b w:val="0"/>
          <w:color w:val="auto"/>
          <w:sz w:val="24"/>
          <w:highlight w:val="none"/>
        </w:rPr>
        <w:t>5</w:t>
      </w:r>
      <w:bookmarkEnd w:id="149"/>
      <w:bookmarkStart w:id="151" w:name="_Toc297120463"/>
      <w:bookmarkStart w:id="152" w:name="_Toc292559872"/>
      <w:bookmarkStart w:id="153" w:name="_Toc296503163"/>
      <w:bookmarkStart w:id="154" w:name="_Toc296944502"/>
      <w:bookmarkStart w:id="155" w:name="_Toc296890991"/>
      <w:bookmarkStart w:id="156" w:name="_Toc297048349"/>
      <w:bookmarkStart w:id="157" w:name="_Toc296347162"/>
      <w:bookmarkStart w:id="158" w:name="_Toc292559367"/>
      <w:bookmarkStart w:id="159" w:name="_Toc296891203"/>
      <w:bookmarkStart w:id="160" w:name="_Toc296346664"/>
      <w:r>
        <w:rPr>
          <w:rFonts w:hint="eastAsia" w:ascii="宋体" w:hAnsi="宋体" w:eastAsia="宋体" w:cs="宋体"/>
          <w:b w:val="0"/>
          <w:color w:val="auto"/>
          <w:sz w:val="24"/>
          <w:highlight w:val="none"/>
        </w:rPr>
        <w:t>. 工程质量</w:t>
      </w:r>
      <w:bookmarkEnd w:id="150"/>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5.1 质量要求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w:t>
      </w:r>
      <w:bookmarkStart w:id="161" w:name="_Toc312677997"/>
      <w:bookmarkStart w:id="162" w:name="_Toc297216155"/>
      <w:bookmarkStart w:id="163" w:name="_Toc297123496"/>
      <w:bookmarkStart w:id="164" w:name="_Toc318581164"/>
      <w:bookmarkStart w:id="165" w:name="_Toc303539106"/>
      <w:bookmarkStart w:id="166" w:name="_Toc304295527"/>
      <w:bookmarkStart w:id="167" w:name="_Toc300934949"/>
      <w:r>
        <w:rPr>
          <w:rFonts w:hint="eastAsia" w:ascii="宋体" w:hAnsi="宋体" w:cs="宋体"/>
          <w:color w:val="auto"/>
          <w:sz w:val="24"/>
          <w:highlight w:val="none"/>
        </w:rPr>
        <w:t>.1.1 特殊质量标准和要求：</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关于工程奖项的约定：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5.2 隐蔽工程检查</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5.2.1承包人提前通知监理人隐蔽工程检查的期限的约定：</w:t>
      </w:r>
      <w:r>
        <w:rPr>
          <w:rFonts w:hint="eastAsia" w:ascii="宋体" w:hAnsi="宋体" w:cs="宋体"/>
          <w:color w:val="auto"/>
          <w:sz w:val="24"/>
          <w:highlight w:val="none"/>
          <w:u w:val="single"/>
        </w:rPr>
        <w:t xml:space="preserve">  共同检查前48小时书面通知监理人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监理人不能按时进行检查时，应提前</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小时提交书面延期要求。</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    48     </w:t>
      </w:r>
      <w:r>
        <w:rPr>
          <w:rFonts w:hint="eastAsia" w:ascii="宋体" w:hAnsi="宋体" w:cs="宋体"/>
          <w:color w:val="auto"/>
          <w:sz w:val="24"/>
          <w:highlight w:val="none"/>
        </w:rPr>
        <w:t>小时。</w:t>
      </w:r>
    </w:p>
    <w:p>
      <w:pPr>
        <w:pStyle w:val="2"/>
        <w:jc w:val="both"/>
        <w:rPr>
          <w:rFonts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   5.3 其他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无条件接受甲方安全、文明施工、质量、进度等检查，具体检查内容见附件4“2022年梁溪区老旧小区改造工程施工单位综合考核评分表”，考核结果作为资金拨付进度和今后宜居住区建设的依据。</w:t>
      </w:r>
    </w:p>
    <w:p>
      <w:pPr>
        <w:pStyle w:val="2"/>
        <w:jc w:val="both"/>
        <w:rPr>
          <w:rFonts w:ascii="宋体" w:hAnsi="宋体" w:eastAsia="宋体" w:cs="宋体"/>
          <w:color w:val="auto"/>
          <w:sz w:val="24"/>
          <w:highlight w:val="none"/>
        </w:rPr>
      </w:pPr>
    </w:p>
    <w:p>
      <w:pPr>
        <w:pStyle w:val="2"/>
        <w:spacing w:line="360" w:lineRule="auto"/>
        <w:rPr>
          <w:rFonts w:ascii="宋体" w:hAnsi="宋体" w:eastAsia="宋体" w:cs="宋体"/>
          <w:b w:val="0"/>
          <w:color w:val="auto"/>
          <w:sz w:val="24"/>
          <w:highlight w:val="none"/>
        </w:rPr>
      </w:pPr>
      <w:bookmarkStart w:id="168" w:name="_Toc351203638"/>
      <w:r>
        <w:rPr>
          <w:rFonts w:hint="eastAsia" w:ascii="宋体" w:hAnsi="宋体" w:eastAsia="宋体" w:cs="宋体"/>
          <w:b w:val="0"/>
          <w:color w:val="auto"/>
          <w:sz w:val="24"/>
          <w:highlight w:val="none"/>
        </w:rPr>
        <w:t>6. 安全文明施工与环境保护</w:t>
      </w:r>
      <w:bookmarkEnd w:id="168"/>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6.1安全文明施工</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6.1.1 项目安全生产的达标目标及相应事项的约定：</w:t>
      </w:r>
      <w:r>
        <w:rPr>
          <w:rFonts w:hint="eastAsia" w:ascii="宋体" w:hAnsi="宋体" w:cs="宋体"/>
          <w:color w:val="auto"/>
          <w:sz w:val="24"/>
          <w:highlight w:val="none"/>
          <w:u w:val="single"/>
        </w:rPr>
        <w:t xml:space="preserve">   按建设部现行的《建设工程安全生产管理条例》的有关规定、《无锡市建设工程文明施工管理办法》（市人民政府令第 120 号）和《市政府办公室关于印发无锡市企业安全生产风险抵押金管理暂行办法的通知》（锡政办发【2014】2 号）的有关条款以及招标文件中技术标准和要求规定执行，由承包人负责管理，监理和发包人监督执行，安全事故由责任方承担一切后果。环境保护按苏建招[2010]10 号文：关于在建设工程招标文件和施工合同中增加防止扬尘等要求的通知。由承包人负责承担施工范围内的一切安全责任。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6.1.4 关于治安保卫的特别约定：</w:t>
      </w:r>
      <w:r>
        <w:rPr>
          <w:rFonts w:hint="eastAsia" w:ascii="宋体" w:hAnsi="宋体" w:cs="宋体"/>
          <w:color w:val="auto"/>
          <w:sz w:val="24"/>
          <w:highlight w:val="none"/>
          <w:u w:val="single"/>
        </w:rPr>
        <w:t xml:space="preserve">     安全事故由承包人承担一切后果。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关于编制施工场地治安管理计划的约定：</w:t>
      </w:r>
      <w:r>
        <w:rPr>
          <w:rFonts w:hint="eastAsia" w:ascii="宋体" w:hAnsi="宋体" w:cs="宋体"/>
          <w:color w:val="auto"/>
          <w:sz w:val="24"/>
          <w:highlight w:val="none"/>
          <w:u w:val="single"/>
        </w:rPr>
        <w:t xml:space="preserve">   开工前3天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6.1.5 文明施工</w:t>
      </w:r>
    </w:p>
    <w:p>
      <w:pPr>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合同当事人对文明施工的要求：</w:t>
      </w:r>
      <w:r>
        <w:rPr>
          <w:rFonts w:hint="eastAsia" w:ascii="宋体" w:hAnsi="宋体" w:cs="宋体"/>
          <w:color w:val="auto"/>
          <w:sz w:val="24"/>
          <w:highlight w:val="none"/>
          <w:u w:val="single"/>
        </w:rPr>
        <w:t xml:space="preserve">按建设行政主管部门的有关规定执行,无条件接受甲方建设工程项目的关于安全、质量、文明施工等方面的监督检查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6.1.6 关于安全文明施工费支付比例和支付期限的约定：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bookmarkEnd w:id="161"/>
    <w:bookmarkEnd w:id="162"/>
    <w:bookmarkEnd w:id="163"/>
    <w:bookmarkEnd w:id="164"/>
    <w:bookmarkEnd w:id="165"/>
    <w:bookmarkEnd w:id="166"/>
    <w:bookmarkEnd w:id="167"/>
    <w:p>
      <w:pPr>
        <w:pStyle w:val="2"/>
        <w:spacing w:line="360" w:lineRule="auto"/>
        <w:rPr>
          <w:rFonts w:ascii="宋体" w:hAnsi="宋体" w:eastAsia="宋体" w:cs="宋体"/>
          <w:b w:val="0"/>
          <w:color w:val="auto"/>
          <w:sz w:val="24"/>
          <w:highlight w:val="none"/>
        </w:rPr>
      </w:pPr>
      <w:bookmarkStart w:id="169" w:name="_Toc351203639"/>
      <w:r>
        <w:rPr>
          <w:rFonts w:hint="eastAsia" w:ascii="宋体" w:hAnsi="宋体" w:eastAsia="宋体" w:cs="宋体"/>
          <w:b w:val="0"/>
          <w:color w:val="auto"/>
          <w:sz w:val="24"/>
          <w:highlight w:val="none"/>
        </w:rPr>
        <w:t>7. 工期和进度</w:t>
      </w:r>
      <w:bookmarkEnd w:id="16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 施工组织设计</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7.1.1 合</w:t>
      </w:r>
      <w:r>
        <w:rPr>
          <w:rFonts w:hint="eastAsia" w:ascii="宋体" w:hAnsi="宋体" w:cs="宋体"/>
          <w:color w:val="auto"/>
          <w:kern w:val="0"/>
          <w:sz w:val="24"/>
          <w:highlight w:val="none"/>
        </w:rPr>
        <w:t>同当事人约定的施工组织设计应包括的其他内容：</w:t>
      </w:r>
      <w:r>
        <w:rPr>
          <w:rFonts w:hint="eastAsia" w:ascii="宋体" w:hAnsi="宋体" w:cs="宋体"/>
          <w:color w:val="auto"/>
          <w:sz w:val="24"/>
          <w:highlight w:val="none"/>
          <w:u w:val="single"/>
        </w:rPr>
        <w:t xml:space="preserve">开工前3天内提交施工组织设计。计划应有横道网络图。施工组织设计及进度计划须报发包人及发包人委派的监理工程师审查。承包人向发包人及监理工程师提交符合工程实际情况的施工组织设计和工程进度计划，并得到监理工程师的认可。施工组织设计应详细说明整个工程进度计划、劳动力计划、机械设备进场计划、材料计划、安全文明施工措施费使用计划、需要配合的事项、可能遇到的不利因素及相应的措施，承包人必须按监理工程师确认的进度计划组织施工，接受监理工程师对进度的检查和监督。每月25日前报下月施工进度计划，每周例会前2日历天报下周进度计划。在施工过程中，工程实际进度与经确认的施工组织设计和工程进度不符时，承包人应按现场监理工程师的要求提出改进措施，经监理工程师确认后执行，因承包人的原因导致实际进度与进度计划不符，承包人无权就改进措施提出追加合同价款。   </w:t>
      </w:r>
      <w:r>
        <w:rPr>
          <w:rFonts w:hint="eastAsia" w:ascii="宋体" w:hAnsi="宋体" w:cs="宋体"/>
          <w:color w:val="auto"/>
          <w:sz w:val="24"/>
          <w:highlight w:val="none"/>
        </w:rPr>
        <w:t>。</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承包人提交详细施工组织设计的期限的约定：</w:t>
      </w:r>
      <w:r>
        <w:rPr>
          <w:rFonts w:hint="eastAsia" w:ascii="宋体" w:hAnsi="宋体" w:cs="宋体"/>
          <w:color w:val="auto"/>
          <w:sz w:val="24"/>
          <w:highlight w:val="none"/>
          <w:u w:val="single"/>
        </w:rPr>
        <w:t xml:space="preserve">   开工前3天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发包人和监理人在收到详细的施工组织设计后确认或提出修改意见的期限：</w:t>
      </w:r>
      <w:r>
        <w:rPr>
          <w:rFonts w:hint="eastAsia" w:ascii="宋体" w:hAnsi="宋体" w:cs="宋体"/>
          <w:color w:val="auto"/>
          <w:sz w:val="24"/>
          <w:highlight w:val="none"/>
          <w:u w:val="single"/>
        </w:rPr>
        <w:t xml:space="preserve">  合同签订 7 天内。发包人和监理人对承包人提交的施工组织设计（包括修改后的施工组织设计）的确认，不能减轻或免除承包人根据法律规定和合同约定应承担的任何责任或义务。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170" w:name="_Toc297216173"/>
      <w:bookmarkStart w:id="171" w:name="_Toc297123514"/>
      <w:bookmarkStart w:id="172" w:name="_Toc300934966"/>
      <w:bookmarkStart w:id="173" w:name="_Toc303539123"/>
      <w:bookmarkStart w:id="174" w:name="_Toc304295541"/>
      <w:bookmarkStart w:id="175" w:name="_Toc312677479"/>
      <w:bookmarkStart w:id="176" w:name="_Toc312678005"/>
      <w:r>
        <w:rPr>
          <w:rFonts w:hint="eastAsia" w:ascii="宋体" w:hAnsi="宋体" w:cs="宋体"/>
          <w:color w:val="auto"/>
          <w:sz w:val="24"/>
          <w:highlight w:val="none"/>
        </w:rPr>
        <w:t>.2 施工进度计划</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7.2.2 施工进度计划的修订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发包人和监理人在收到修订的施工进度计划后确认或提出修改意见的期限：</w:t>
      </w:r>
      <w:r>
        <w:rPr>
          <w:rFonts w:hint="eastAsia" w:ascii="宋体" w:hAnsi="宋体" w:cs="宋体"/>
          <w:color w:val="auto"/>
          <w:sz w:val="24"/>
          <w:highlight w:val="none"/>
          <w:u w:val="single"/>
        </w:rPr>
        <w:t xml:space="preserve"> 收到后5天内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7.3 开工</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7.3.1 开工准备</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关于承包人提交</w:t>
      </w:r>
      <w:r>
        <w:rPr>
          <w:rFonts w:hint="eastAsia" w:ascii="宋体" w:hAnsi="宋体" w:cs="宋体"/>
          <w:color w:val="auto"/>
          <w:kern w:val="0"/>
          <w:sz w:val="24"/>
          <w:highlight w:val="none"/>
        </w:rPr>
        <w:t>工程开工报审表的期限：</w:t>
      </w:r>
      <w:r>
        <w:rPr>
          <w:rFonts w:hint="eastAsia" w:ascii="宋体" w:hAnsi="宋体" w:cs="宋体"/>
          <w:color w:val="auto"/>
          <w:sz w:val="24"/>
          <w:highlight w:val="none"/>
          <w:u w:val="single"/>
        </w:rPr>
        <w:t xml:space="preserve"> 合同签订后、开工前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关于发包人应完成的其他开工准备工作及期限：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关于承包人应完成的其他开工准备工作及期限：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7.3.2开工通知</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因发包人原因造成监理人未能在计划开工日期之日起</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天内发出开工通知的，承包人有权提出价格调整要求，或者解除合同。</w:t>
      </w:r>
    </w:p>
    <w:bookmarkEnd w:id="170"/>
    <w:bookmarkEnd w:id="171"/>
    <w:bookmarkEnd w:id="172"/>
    <w:bookmarkEnd w:id="173"/>
    <w:bookmarkEnd w:id="174"/>
    <w:bookmarkEnd w:id="175"/>
    <w:bookmarkEnd w:id="176"/>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7.4 测量放线</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7.4.1发包人通过监理人向承包人提供测量基准点、基准线和水准点及其书面资料的期限：</w:t>
      </w:r>
      <w:r>
        <w:rPr>
          <w:rFonts w:hint="eastAsia" w:ascii="宋体" w:hAnsi="宋体" w:cs="宋体"/>
          <w:color w:val="auto"/>
          <w:sz w:val="24"/>
          <w:highlight w:val="none"/>
          <w:u w:val="single"/>
        </w:rPr>
        <w:t xml:space="preserve">  开工前3天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177" w:name="_Toc297123516"/>
      <w:bookmarkStart w:id="178" w:name="_Toc312678010"/>
      <w:bookmarkStart w:id="179" w:name="_Toc304295546"/>
      <w:bookmarkStart w:id="180" w:name="_Toc300934968"/>
      <w:bookmarkStart w:id="181" w:name="_Toc297216175"/>
      <w:bookmarkStart w:id="182" w:name="_Toc303539125"/>
      <w:bookmarkStart w:id="183" w:name="_Toc312677484"/>
      <w:r>
        <w:rPr>
          <w:rFonts w:hint="eastAsia" w:ascii="宋体" w:hAnsi="宋体" w:cs="宋体"/>
          <w:color w:val="auto"/>
          <w:sz w:val="24"/>
          <w:highlight w:val="none"/>
        </w:rPr>
        <w:t>.5 工期延误</w:t>
      </w:r>
    </w:p>
    <w:bookmarkEnd w:id="177"/>
    <w:bookmarkEnd w:id="178"/>
    <w:bookmarkEnd w:id="179"/>
    <w:bookmarkEnd w:id="180"/>
    <w:bookmarkEnd w:id="181"/>
    <w:bookmarkEnd w:id="182"/>
    <w:bookmarkEnd w:id="183"/>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7.5.1 因发包人原因导致工期延误</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（7）因发包人原因导致工期延误的其他情形：</w:t>
      </w:r>
      <w:r>
        <w:rPr>
          <w:rFonts w:hint="eastAsia" w:ascii="宋体" w:hAnsi="宋体" w:cs="宋体"/>
          <w:color w:val="auto"/>
          <w:sz w:val="24"/>
          <w:highlight w:val="none"/>
          <w:u w:val="single"/>
        </w:rPr>
        <w:t xml:space="preserve">  ①重大设计变更而影响施工进度②不可抗力，此延误工期须在发现后七天内办理签证，逾期不予认可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w:t>
      </w:r>
      <w:bookmarkStart w:id="184" w:name="_Toc312677486"/>
      <w:bookmarkStart w:id="185" w:name="_Toc312678012"/>
      <w:bookmarkStart w:id="186" w:name="_Toc318581169"/>
      <w:bookmarkStart w:id="187" w:name="_Toc304295548"/>
      <w:bookmarkStart w:id="188" w:name="_Toc297216177"/>
      <w:bookmarkStart w:id="189" w:name="_Toc303539127"/>
      <w:bookmarkStart w:id="190" w:name="_Toc300934970"/>
      <w:bookmarkStart w:id="191" w:name="_Toc297123518"/>
      <w:r>
        <w:rPr>
          <w:rFonts w:hint="eastAsia" w:ascii="宋体" w:hAnsi="宋体" w:cs="宋体"/>
          <w:color w:val="auto"/>
          <w:sz w:val="24"/>
          <w:highlight w:val="none"/>
        </w:rPr>
        <w:t>.5.2 因承包人原因导致工期延误</w:t>
      </w:r>
    </w:p>
    <w:bookmarkEnd w:id="184"/>
    <w:bookmarkEnd w:id="185"/>
    <w:bookmarkEnd w:id="186"/>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w:t>
      </w:r>
      <w:bookmarkStart w:id="192" w:name="_Toc312677487"/>
      <w:bookmarkStart w:id="193" w:name="_Toc312678013"/>
      <w:bookmarkStart w:id="194" w:name="_Toc318581170"/>
      <w:r>
        <w:rPr>
          <w:rFonts w:hint="eastAsia" w:ascii="宋体" w:hAnsi="宋体" w:cs="宋体"/>
          <w:color w:val="auto"/>
          <w:sz w:val="24"/>
          <w:highlight w:val="none"/>
        </w:rPr>
        <w:t>承包人原因造成工期延误，逾期竣工违约金的计算方法为：</w:t>
      </w:r>
      <w:r>
        <w:rPr>
          <w:rFonts w:hint="eastAsia" w:ascii="宋体" w:hAnsi="宋体" w:cs="宋体"/>
          <w:color w:val="auto"/>
          <w:sz w:val="24"/>
          <w:highlight w:val="none"/>
          <w:u w:val="single"/>
        </w:rPr>
        <w:t xml:space="preserve"> 应按每拖延一天承包人需按5000元/天支付违约金  </w:t>
      </w:r>
      <w:r>
        <w:rPr>
          <w:rFonts w:hint="eastAsia" w:ascii="宋体" w:hAnsi="宋体" w:cs="宋体"/>
          <w:color w:val="auto"/>
          <w:sz w:val="24"/>
          <w:highlight w:val="none"/>
        </w:rPr>
        <w:t>。</w:t>
      </w:r>
      <w:bookmarkEnd w:id="187"/>
      <w:bookmarkEnd w:id="188"/>
      <w:bookmarkEnd w:id="189"/>
      <w:bookmarkEnd w:id="190"/>
      <w:bookmarkEnd w:id="191"/>
      <w:bookmarkEnd w:id="192"/>
      <w:bookmarkEnd w:id="193"/>
    </w:p>
    <w:bookmarkEnd w:id="194"/>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因承包人原因造成工期延误，逾</w:t>
      </w:r>
      <w:bookmarkStart w:id="195" w:name="_Toc318581171"/>
      <w:bookmarkStart w:id="196" w:name="_Toc312678014"/>
      <w:r>
        <w:rPr>
          <w:rFonts w:hint="eastAsia" w:ascii="宋体" w:hAnsi="宋体" w:cs="宋体"/>
          <w:color w:val="auto"/>
          <w:sz w:val="24"/>
          <w:highlight w:val="none"/>
        </w:rPr>
        <w:t>期竣工违约金的上限：</w:t>
      </w:r>
      <w:r>
        <w:rPr>
          <w:rFonts w:hint="eastAsia" w:ascii="宋体" w:hAnsi="宋体" w:cs="宋体"/>
          <w:color w:val="auto"/>
          <w:sz w:val="24"/>
          <w:highlight w:val="none"/>
          <w:u w:val="single"/>
        </w:rPr>
        <w:t xml:space="preserve">   误期赔偿费不设上限   </w:t>
      </w:r>
      <w:r>
        <w:rPr>
          <w:rFonts w:hint="eastAsia" w:ascii="宋体" w:hAnsi="宋体" w:cs="宋体"/>
          <w:color w:val="auto"/>
          <w:sz w:val="24"/>
          <w:highlight w:val="none"/>
        </w:rPr>
        <w:t>。</w:t>
      </w:r>
    </w:p>
    <w:bookmarkEnd w:id="195"/>
    <w:bookmarkEnd w:id="196"/>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197" w:name="_Toc300934971"/>
      <w:bookmarkStart w:id="198" w:name="_Toc312678015"/>
      <w:bookmarkStart w:id="199" w:name="_Toc297216178"/>
      <w:bookmarkStart w:id="200" w:name="_Toc304295549"/>
      <w:bookmarkStart w:id="201" w:name="_Toc303539128"/>
      <w:bookmarkStart w:id="202" w:name="_Toc297123519"/>
      <w:r>
        <w:rPr>
          <w:rFonts w:hint="eastAsia" w:ascii="宋体" w:hAnsi="宋体" w:cs="宋体"/>
          <w:color w:val="auto"/>
          <w:sz w:val="24"/>
          <w:highlight w:val="none"/>
        </w:rPr>
        <w:t>.6 不</w:t>
      </w:r>
      <w:bookmarkEnd w:id="197"/>
      <w:bookmarkEnd w:id="198"/>
      <w:bookmarkEnd w:id="199"/>
      <w:bookmarkEnd w:id="200"/>
      <w:bookmarkEnd w:id="201"/>
      <w:bookmarkEnd w:id="202"/>
      <w:r>
        <w:rPr>
          <w:rFonts w:hint="eastAsia" w:ascii="宋体" w:hAnsi="宋体" w:cs="宋体"/>
          <w:color w:val="auto"/>
          <w:sz w:val="24"/>
          <w:highlight w:val="none"/>
        </w:rPr>
        <w:t>利物质条件</w:t>
      </w:r>
    </w:p>
    <w:p>
      <w:pPr>
        <w:spacing w:line="360" w:lineRule="auto"/>
        <w:ind w:firstLine="480" w:firstLineChars="200"/>
        <w:jc w:val="left"/>
        <w:rPr>
          <w:rFonts w:ascii="宋体" w:hAnsi="宋体" w:cs="宋体"/>
          <w:color w:val="auto"/>
          <w:sz w:val="24"/>
          <w:highlight w:val="none"/>
        </w:rPr>
      </w:pPr>
      <w:bookmarkStart w:id="203" w:name="_Toc304295550"/>
      <w:bookmarkStart w:id="204" w:name="_Toc312678016"/>
      <w:bookmarkStart w:id="205" w:name="_Toc318581172"/>
      <w:bookmarkStart w:id="206" w:name="_Toc297123520"/>
      <w:bookmarkStart w:id="207" w:name="_Toc303539129"/>
      <w:bookmarkStart w:id="208" w:name="_Toc297216179"/>
      <w:bookmarkStart w:id="209" w:name="_Toc300934972"/>
      <w:r>
        <w:rPr>
          <w:rFonts w:hint="eastAsia" w:ascii="宋体" w:hAnsi="宋体" w:cs="宋体"/>
          <w:color w:val="auto"/>
          <w:sz w:val="24"/>
          <w:highlight w:val="none"/>
        </w:rPr>
        <w:t>不利物质条件的其他情形和有关约定：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bookmarkEnd w:id="203"/>
    <w:bookmarkEnd w:id="204"/>
    <w:bookmarkEnd w:id="205"/>
    <w:bookmarkEnd w:id="206"/>
    <w:bookmarkEnd w:id="207"/>
    <w:bookmarkEnd w:id="208"/>
    <w:bookmarkEnd w:id="209"/>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w:t>
      </w:r>
      <w:bookmarkStart w:id="210" w:name="_Toc303539130"/>
      <w:bookmarkStart w:id="211" w:name="_Toc300934973"/>
      <w:bookmarkStart w:id="212" w:name="_Toc312678017"/>
      <w:bookmarkStart w:id="213" w:name="_Toc304295551"/>
      <w:bookmarkStart w:id="214" w:name="_Toc297123521"/>
      <w:bookmarkStart w:id="215" w:name="_Toc297216180"/>
      <w:r>
        <w:rPr>
          <w:rFonts w:hint="eastAsia" w:ascii="宋体" w:hAnsi="宋体" w:cs="宋体"/>
          <w:color w:val="auto"/>
          <w:sz w:val="24"/>
          <w:highlight w:val="none"/>
        </w:rPr>
        <w:t>.7异常恶劣的气候条件</w:t>
      </w:r>
    </w:p>
    <w:bookmarkEnd w:id="210"/>
    <w:bookmarkEnd w:id="211"/>
    <w:bookmarkEnd w:id="212"/>
    <w:bookmarkEnd w:id="213"/>
    <w:bookmarkEnd w:id="214"/>
    <w:bookmarkEnd w:id="215"/>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发包人和承包人同意以下情形视为异常恶劣的气候条件：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双方另行协商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7.9 提前竣工的奖励</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7.9.2提前竣工的奖励：</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pStyle w:val="2"/>
        <w:spacing w:line="360" w:lineRule="auto"/>
        <w:rPr>
          <w:rFonts w:ascii="宋体" w:hAnsi="宋体" w:eastAsia="宋体" w:cs="宋体"/>
          <w:b w:val="0"/>
          <w:color w:val="auto"/>
          <w:sz w:val="24"/>
          <w:highlight w:val="none"/>
        </w:rPr>
      </w:pPr>
      <w:bookmarkStart w:id="216" w:name="_Toc351203640"/>
      <w:r>
        <w:rPr>
          <w:rFonts w:hint="eastAsia" w:ascii="宋体" w:hAnsi="宋体" w:eastAsia="宋体" w:cs="宋体"/>
          <w:b w:val="0"/>
          <w:color w:val="auto"/>
          <w:sz w:val="24"/>
          <w:highlight w:val="none"/>
        </w:rPr>
        <w:t>8. 材料与设备</w:t>
      </w:r>
      <w:bookmarkEnd w:id="216"/>
    </w:p>
    <w:bookmarkEnd w:id="151"/>
    <w:bookmarkEnd w:id="152"/>
    <w:bookmarkEnd w:id="153"/>
    <w:bookmarkEnd w:id="154"/>
    <w:bookmarkEnd w:id="155"/>
    <w:bookmarkEnd w:id="156"/>
    <w:bookmarkEnd w:id="157"/>
    <w:bookmarkEnd w:id="158"/>
    <w:bookmarkEnd w:id="159"/>
    <w:bookmarkEnd w:id="160"/>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bookmarkStart w:id="217" w:name="_Toc296891207"/>
      <w:bookmarkStart w:id="218" w:name="_Toc296346668"/>
      <w:bookmarkStart w:id="219" w:name="_Toc296944506"/>
      <w:bookmarkStart w:id="220" w:name="_Toc296890995"/>
      <w:bookmarkStart w:id="221" w:name="_Toc303539136"/>
      <w:bookmarkStart w:id="222" w:name="_Toc312677493"/>
      <w:bookmarkStart w:id="223" w:name="_Toc280868654"/>
      <w:bookmarkStart w:id="224" w:name="_Toc296347166"/>
      <w:bookmarkStart w:id="225" w:name="_Toc297048353"/>
      <w:bookmarkStart w:id="226" w:name="_Toc300934979"/>
      <w:bookmarkStart w:id="227" w:name="_Toc296503167"/>
      <w:bookmarkStart w:id="228" w:name="_Toc312678019"/>
      <w:bookmarkStart w:id="229" w:name="_Toc297123527"/>
      <w:bookmarkStart w:id="230" w:name="_Toc292559877"/>
      <w:bookmarkStart w:id="231" w:name="_Toc304295556"/>
      <w:bookmarkStart w:id="232" w:name="_Toc297120467"/>
      <w:bookmarkStart w:id="233" w:name="_Toc292559372"/>
      <w:bookmarkStart w:id="234" w:name="_Toc297216186"/>
      <w:bookmarkStart w:id="235" w:name="_Toc280868655"/>
      <w:bookmarkStart w:id="236" w:name="_Toc280868656"/>
      <w:bookmarkStart w:id="237" w:name="_Toc267251424"/>
      <w:r>
        <w:rPr>
          <w:rFonts w:hint="eastAsia" w:ascii="宋体" w:hAnsi="宋体" w:cs="宋体"/>
          <w:color w:val="auto"/>
          <w:sz w:val="24"/>
          <w:highlight w:val="none"/>
        </w:rPr>
        <w:t>.4材料与工程设备的保管与使用</w:t>
      </w:r>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w:t>
      </w:r>
      <w:bookmarkStart w:id="238" w:name="_Toc292559373"/>
      <w:bookmarkStart w:id="239" w:name="_Toc292559878"/>
      <w:bookmarkStart w:id="240" w:name="_Toc296890996"/>
      <w:bookmarkStart w:id="241" w:name="_Toc297216187"/>
      <w:bookmarkStart w:id="242" w:name="_Toc296346669"/>
      <w:bookmarkStart w:id="243" w:name="_Toc297120468"/>
      <w:bookmarkStart w:id="244" w:name="_Toc297123528"/>
      <w:bookmarkStart w:id="245" w:name="_Toc300934980"/>
      <w:bookmarkStart w:id="246" w:name="_Toc303539137"/>
      <w:bookmarkStart w:id="247" w:name="_Toc318581173"/>
      <w:bookmarkStart w:id="248" w:name="_Toc297048354"/>
      <w:bookmarkStart w:id="249" w:name="_Toc312678020"/>
      <w:bookmarkStart w:id="250" w:name="_Toc296944507"/>
      <w:bookmarkStart w:id="251" w:name="_Toc296503168"/>
      <w:bookmarkStart w:id="252" w:name="_Toc296891208"/>
      <w:bookmarkStart w:id="253" w:name="_Toc296347167"/>
      <w:bookmarkStart w:id="254" w:name="_Toc312677494"/>
      <w:bookmarkStart w:id="255" w:name="_Toc304295557"/>
      <w:r>
        <w:rPr>
          <w:rFonts w:hint="eastAsia" w:ascii="宋体" w:hAnsi="宋体" w:cs="宋体"/>
          <w:color w:val="auto"/>
          <w:sz w:val="24"/>
          <w:highlight w:val="none"/>
        </w:rPr>
        <w:t>.4.1发包人供应的材料设备的保管费用的承担：</w:t>
      </w:r>
      <w:r>
        <w:rPr>
          <w:rFonts w:hint="eastAsia" w:ascii="宋体" w:hAnsi="宋体" w:cs="宋体"/>
          <w:color w:val="auto"/>
          <w:sz w:val="24"/>
          <w:highlight w:val="none"/>
          <w:u w:val="single"/>
        </w:rPr>
        <w:t xml:space="preserve">    由承包人承担      </w:t>
      </w:r>
      <w:r>
        <w:rPr>
          <w:rFonts w:hint="eastAsia" w:ascii="宋体" w:hAnsi="宋体" w:cs="宋体"/>
          <w:color w:val="auto"/>
          <w:sz w:val="24"/>
          <w:highlight w:val="none"/>
        </w:rPr>
        <w:t>。</w:t>
      </w:r>
      <w:bookmarkEnd w:id="238"/>
      <w:bookmarkEnd w:id="239"/>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8.6 样品</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8.6.1样品的报送与封存</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需要承包人报送样品的材料或工程设备，样品的种类、名称、规格、数量要求：</w:t>
      </w:r>
      <w:r>
        <w:rPr>
          <w:rFonts w:hint="eastAsia" w:ascii="宋体" w:hAnsi="宋体" w:cs="宋体"/>
          <w:color w:val="auto"/>
          <w:sz w:val="24"/>
          <w:highlight w:val="none"/>
          <w:u w:val="single"/>
        </w:rPr>
        <w:t xml:space="preserve">  按发包人要求提供    </w:t>
      </w:r>
      <w:r>
        <w:rPr>
          <w:rFonts w:hint="eastAsia" w:ascii="宋体" w:hAnsi="宋体" w:cs="宋体"/>
          <w:color w:val="auto"/>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8.8 施工设备和临时设施</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8.8.1 承包人提供的施工设备和临时设施</w:t>
      </w: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关于修建临时设施费用承担的约定：</w:t>
      </w:r>
      <w:r>
        <w:rPr>
          <w:rFonts w:hint="eastAsia" w:ascii="宋体" w:hAnsi="宋体" w:cs="宋体"/>
          <w:color w:val="auto"/>
          <w:sz w:val="24"/>
          <w:highlight w:val="none"/>
          <w:u w:val="single"/>
        </w:rPr>
        <w:t xml:space="preserve">   由承包人承担，所需费用已含在投标报价中。    </w:t>
      </w:r>
      <w:r>
        <w:rPr>
          <w:rFonts w:hint="eastAsia" w:ascii="宋体" w:hAnsi="宋体" w:cs="宋体"/>
          <w:color w:val="auto"/>
          <w:sz w:val="24"/>
          <w:highlight w:val="none"/>
        </w:rPr>
        <w:t>。</w:t>
      </w:r>
    </w:p>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Pr>
        <w:pStyle w:val="2"/>
        <w:spacing w:line="360" w:lineRule="auto"/>
        <w:rPr>
          <w:rFonts w:ascii="宋体" w:hAnsi="宋体" w:eastAsia="宋体" w:cs="宋体"/>
          <w:b w:val="0"/>
          <w:color w:val="auto"/>
          <w:sz w:val="24"/>
          <w:highlight w:val="none"/>
        </w:rPr>
      </w:pPr>
      <w:bookmarkStart w:id="256" w:name="_Toc351203641"/>
      <w:r>
        <w:rPr>
          <w:rFonts w:hint="eastAsia" w:ascii="宋体" w:hAnsi="宋体" w:eastAsia="宋体" w:cs="宋体"/>
          <w:b w:val="0"/>
          <w:color w:val="auto"/>
          <w:sz w:val="24"/>
          <w:highlight w:val="none"/>
        </w:rPr>
        <w:t>9</w:t>
      </w:r>
      <w:bookmarkEnd w:id="235"/>
      <w:bookmarkEnd w:id="236"/>
      <w:bookmarkEnd w:id="237"/>
      <w:bookmarkStart w:id="257" w:name="_Toc312678021"/>
      <w:bookmarkStart w:id="258" w:name="_Toc297123533"/>
      <w:bookmarkStart w:id="259" w:name="_Toc300934982"/>
      <w:bookmarkStart w:id="260" w:name="_Toc303539139"/>
      <w:bookmarkStart w:id="261" w:name="_Toc312677495"/>
      <w:bookmarkStart w:id="262" w:name="_Toc297216192"/>
      <w:bookmarkStart w:id="263" w:name="_Toc304295559"/>
      <w:bookmarkStart w:id="264" w:name="_Toc297048359"/>
      <w:bookmarkStart w:id="265" w:name="_Toc296346674"/>
      <w:bookmarkStart w:id="266" w:name="_Toc292559883"/>
      <w:bookmarkStart w:id="267" w:name="_Toc296347172"/>
      <w:bookmarkStart w:id="268" w:name="_Toc296891213"/>
      <w:bookmarkStart w:id="269" w:name="_Toc292559378"/>
      <w:bookmarkStart w:id="270" w:name="_Toc267251428"/>
      <w:bookmarkStart w:id="271" w:name="_Toc297120473"/>
      <w:bookmarkStart w:id="272" w:name="_Toc296891001"/>
      <w:bookmarkStart w:id="273" w:name="_Toc296503173"/>
      <w:bookmarkStart w:id="274" w:name="_Toc296944512"/>
      <w:bookmarkStart w:id="275" w:name="_Toc267251427"/>
      <w:r>
        <w:rPr>
          <w:rFonts w:hint="eastAsia" w:ascii="宋体" w:hAnsi="宋体" w:eastAsia="宋体" w:cs="宋体"/>
          <w:b w:val="0"/>
          <w:color w:val="auto"/>
          <w:sz w:val="24"/>
          <w:highlight w:val="none"/>
        </w:rPr>
        <w:t>. 试验与检验</w:t>
      </w:r>
      <w:bookmarkEnd w:id="256"/>
    </w:p>
    <w:bookmarkEnd w:id="257"/>
    <w:bookmarkEnd w:id="258"/>
    <w:bookmarkEnd w:id="259"/>
    <w:bookmarkEnd w:id="260"/>
    <w:bookmarkEnd w:id="261"/>
    <w:bookmarkEnd w:id="262"/>
    <w:bookmarkEnd w:id="263"/>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w:t>
      </w:r>
      <w:bookmarkStart w:id="276" w:name="_Toc304295560"/>
      <w:bookmarkStart w:id="277" w:name="_Toc297123534"/>
      <w:bookmarkStart w:id="278" w:name="_Toc312677496"/>
      <w:bookmarkStart w:id="279" w:name="_Toc297216193"/>
      <w:bookmarkStart w:id="280" w:name="_Toc300934983"/>
      <w:bookmarkStart w:id="281" w:name="_Toc303539140"/>
      <w:bookmarkStart w:id="282" w:name="_Toc312678022"/>
      <w:r>
        <w:rPr>
          <w:rFonts w:hint="eastAsia" w:ascii="宋体" w:hAnsi="宋体" w:cs="宋体"/>
          <w:color w:val="auto"/>
          <w:sz w:val="24"/>
          <w:highlight w:val="none"/>
        </w:rPr>
        <w:t>.1试验设备与试验人员</w:t>
      </w:r>
    </w:p>
    <w:bookmarkEnd w:id="276"/>
    <w:bookmarkEnd w:id="277"/>
    <w:bookmarkEnd w:id="278"/>
    <w:bookmarkEnd w:id="279"/>
    <w:bookmarkEnd w:id="280"/>
    <w:bookmarkEnd w:id="281"/>
    <w:bookmarkEnd w:id="282"/>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9</w:t>
      </w:r>
      <w:bookmarkStart w:id="283" w:name="_Toc303539141"/>
      <w:bookmarkStart w:id="284" w:name="_Toc312678023"/>
      <w:bookmarkStart w:id="285" w:name="_Toc297123535"/>
      <w:bookmarkStart w:id="286" w:name="_Toc297216194"/>
      <w:bookmarkStart w:id="287" w:name="_Toc300934984"/>
      <w:bookmarkStart w:id="288" w:name="_Toc312677497"/>
      <w:bookmarkStart w:id="289" w:name="_Toc304295561"/>
      <w:bookmarkStart w:id="290" w:name="_Toc318581174"/>
      <w:r>
        <w:rPr>
          <w:rFonts w:hint="eastAsia" w:ascii="宋体" w:hAnsi="宋体" w:cs="宋体"/>
          <w:color w:val="auto"/>
          <w:sz w:val="24"/>
          <w:highlight w:val="none"/>
        </w:rPr>
        <w:t>.1.2 试验设备</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施工现场需要配置的试验场所：</w:t>
      </w:r>
      <w:bookmarkEnd w:id="283"/>
      <w:bookmarkEnd w:id="284"/>
      <w:bookmarkEnd w:id="285"/>
      <w:bookmarkEnd w:id="286"/>
      <w:bookmarkEnd w:id="287"/>
      <w:bookmarkEnd w:id="288"/>
      <w:bookmarkEnd w:id="289"/>
      <w:bookmarkStart w:id="291" w:name="_Toc300934985"/>
      <w:bookmarkStart w:id="292" w:name="_Toc297216195"/>
      <w:bookmarkStart w:id="293" w:name="_Toc304295562"/>
      <w:bookmarkStart w:id="294" w:name="_Toc303539142"/>
      <w:bookmarkStart w:id="295" w:name="_Toc297123536"/>
      <w:bookmarkStart w:id="296" w:name="_Toc312677498"/>
      <w:bookmarkStart w:id="297" w:name="_Toc312678024"/>
      <w:r>
        <w:rPr>
          <w:rFonts w:hint="eastAsia" w:ascii="宋体" w:hAnsi="宋体" w:cs="宋体"/>
          <w:color w:val="auto"/>
          <w:sz w:val="24"/>
          <w:highlight w:val="none"/>
          <w:u w:val="single"/>
        </w:rPr>
        <w:t xml:space="preserve">     按有关规定执行   </w:t>
      </w:r>
      <w:r>
        <w:rPr>
          <w:rFonts w:hint="eastAsia" w:ascii="宋体" w:hAnsi="宋体" w:cs="宋体"/>
          <w:color w:val="auto"/>
          <w:sz w:val="24"/>
          <w:highlight w:val="none"/>
        </w:rPr>
        <w:t xml:space="preserve">。 </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施工现场需要配备的试验设备：</w:t>
      </w:r>
      <w:r>
        <w:rPr>
          <w:rFonts w:hint="eastAsia" w:ascii="宋体" w:hAnsi="宋体" w:cs="宋体"/>
          <w:color w:val="auto"/>
          <w:sz w:val="24"/>
          <w:highlight w:val="none"/>
          <w:u w:val="single"/>
        </w:rPr>
        <w:t xml:space="preserve">     按有关规定执行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施工现场需要具备的其他试验条件：</w:t>
      </w:r>
      <w:r>
        <w:rPr>
          <w:rFonts w:hint="eastAsia" w:ascii="宋体" w:hAnsi="宋体" w:cs="宋体"/>
          <w:color w:val="auto"/>
          <w:sz w:val="24"/>
          <w:highlight w:val="none"/>
          <w:u w:val="single"/>
        </w:rPr>
        <w:t xml:space="preserve">   按有关规定执行    </w:t>
      </w:r>
      <w:r>
        <w:rPr>
          <w:rFonts w:hint="eastAsia" w:ascii="宋体" w:hAnsi="宋体" w:cs="宋体"/>
          <w:color w:val="auto"/>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9.2现场工艺试验 </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现场工艺试验的有关约定：</w:t>
      </w:r>
      <w:r>
        <w:rPr>
          <w:rFonts w:hint="eastAsia" w:ascii="宋体" w:hAnsi="宋体" w:cs="宋体"/>
          <w:color w:val="auto"/>
          <w:sz w:val="24"/>
          <w:highlight w:val="none"/>
          <w:u w:val="single"/>
        </w:rPr>
        <w:t xml:space="preserve">     按有关规定执行     </w:t>
      </w:r>
      <w:r>
        <w:rPr>
          <w:rFonts w:hint="eastAsia" w:ascii="宋体" w:hAnsi="宋体" w:cs="宋体"/>
          <w:color w:val="auto"/>
          <w:sz w:val="24"/>
          <w:highlight w:val="none"/>
        </w:rPr>
        <w:t>。</w:t>
      </w:r>
    </w:p>
    <w:bookmarkEnd w:id="290"/>
    <w:bookmarkEnd w:id="291"/>
    <w:bookmarkEnd w:id="292"/>
    <w:bookmarkEnd w:id="293"/>
    <w:bookmarkEnd w:id="294"/>
    <w:bookmarkEnd w:id="295"/>
    <w:bookmarkEnd w:id="296"/>
    <w:bookmarkEnd w:id="297"/>
    <w:p>
      <w:pPr>
        <w:pStyle w:val="2"/>
        <w:spacing w:line="360" w:lineRule="auto"/>
        <w:rPr>
          <w:rFonts w:ascii="宋体" w:hAnsi="宋体" w:eastAsia="宋体" w:cs="宋体"/>
          <w:b w:val="0"/>
          <w:color w:val="auto"/>
          <w:sz w:val="24"/>
          <w:highlight w:val="none"/>
        </w:rPr>
      </w:pPr>
      <w:bookmarkStart w:id="298" w:name="_Toc351203642"/>
      <w:r>
        <w:rPr>
          <w:rFonts w:hint="eastAsia" w:ascii="宋体" w:hAnsi="宋体" w:eastAsia="宋体" w:cs="宋体"/>
          <w:b w:val="0"/>
          <w:color w:val="auto"/>
          <w:sz w:val="24"/>
          <w:highlight w:val="none"/>
        </w:rPr>
        <w:t>1</w:t>
      </w:r>
      <w:bookmarkEnd w:id="264"/>
      <w:bookmarkEnd w:id="265"/>
      <w:bookmarkEnd w:id="266"/>
      <w:bookmarkEnd w:id="267"/>
      <w:bookmarkEnd w:id="268"/>
      <w:bookmarkEnd w:id="269"/>
      <w:bookmarkEnd w:id="270"/>
      <w:bookmarkEnd w:id="271"/>
      <w:bookmarkEnd w:id="272"/>
      <w:bookmarkEnd w:id="273"/>
      <w:bookmarkEnd w:id="274"/>
      <w:bookmarkEnd w:id="275"/>
      <w:bookmarkStart w:id="299" w:name="_Toc297123540"/>
      <w:bookmarkStart w:id="300" w:name="_Toc297048379"/>
      <w:bookmarkStart w:id="301" w:name="_Toc297120493"/>
      <w:bookmarkStart w:id="302" w:name="_Toc303539146"/>
      <w:bookmarkStart w:id="303" w:name="_Toc292559903"/>
      <w:bookmarkStart w:id="304" w:name="_Toc296346694"/>
      <w:bookmarkStart w:id="305" w:name="_Toc296347192"/>
      <w:bookmarkStart w:id="306" w:name="_Toc297216199"/>
      <w:bookmarkStart w:id="307" w:name="_Toc296891021"/>
      <w:bookmarkStart w:id="308" w:name="_Toc300934989"/>
      <w:bookmarkStart w:id="309" w:name="_Toc296503193"/>
      <w:bookmarkStart w:id="310" w:name="_Toc292559398"/>
      <w:bookmarkStart w:id="311" w:name="_Toc296944532"/>
      <w:bookmarkStart w:id="312" w:name="_Toc296891233"/>
      <w:bookmarkStart w:id="313" w:name="_Toc304295566"/>
      <w:bookmarkStart w:id="314" w:name="_Toc312677499"/>
      <w:bookmarkStart w:id="315" w:name="_Toc312678025"/>
      <w:bookmarkStart w:id="316" w:name="_Toc267251439"/>
      <w:bookmarkStart w:id="317" w:name="_Toc267251440"/>
      <w:bookmarkStart w:id="318" w:name="_Toc267251433"/>
      <w:bookmarkStart w:id="319" w:name="_Toc267251441"/>
      <w:bookmarkStart w:id="320" w:name="_Toc267251437"/>
      <w:bookmarkStart w:id="321" w:name="_Toc267251435"/>
      <w:r>
        <w:rPr>
          <w:rFonts w:hint="eastAsia" w:ascii="宋体" w:hAnsi="宋体" w:eastAsia="宋体" w:cs="宋体"/>
          <w:b w:val="0"/>
          <w:color w:val="auto"/>
          <w:sz w:val="24"/>
          <w:highlight w:val="none"/>
        </w:rPr>
        <w:t>0. 变更</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bookmarkEnd w:id="314"/>
    <w:bookmarkEnd w:id="315"/>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Start w:id="322" w:name="_Toc296891234"/>
      <w:bookmarkStart w:id="323" w:name="_Toc297120494"/>
      <w:bookmarkStart w:id="324" w:name="_Toc296346695"/>
      <w:bookmarkStart w:id="325" w:name="_Toc304295567"/>
      <w:bookmarkStart w:id="326" w:name="_Toc297048380"/>
      <w:bookmarkStart w:id="327" w:name="_Toc296347193"/>
      <w:bookmarkStart w:id="328" w:name="_Toc292559904"/>
      <w:bookmarkStart w:id="329" w:name="_Toc303539147"/>
      <w:bookmarkStart w:id="330" w:name="_Toc296944533"/>
      <w:bookmarkStart w:id="331" w:name="_Toc312677500"/>
      <w:bookmarkStart w:id="332" w:name="_Toc312678026"/>
      <w:bookmarkStart w:id="333" w:name="_Toc300934990"/>
      <w:bookmarkStart w:id="334" w:name="_Toc297216200"/>
      <w:bookmarkStart w:id="335" w:name="_Toc292559399"/>
      <w:bookmarkStart w:id="336" w:name="_Toc296503194"/>
      <w:bookmarkStart w:id="337" w:name="_Toc296891022"/>
      <w:bookmarkStart w:id="338" w:name="_Toc297123541"/>
      <w:r>
        <w:rPr>
          <w:rFonts w:hint="eastAsia" w:ascii="宋体" w:hAnsi="宋体" w:cs="宋体"/>
          <w:color w:val="auto"/>
          <w:sz w:val="24"/>
          <w:highlight w:val="none"/>
        </w:rPr>
        <w:t>0.1变更的范围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关于变更的范围的约定：</w:t>
      </w:r>
      <w:r>
        <w:rPr>
          <w:rFonts w:hint="eastAsia" w:ascii="宋体" w:hAnsi="宋体" w:cs="宋体"/>
          <w:color w:val="auto"/>
          <w:sz w:val="24"/>
          <w:highlight w:val="none"/>
          <w:u w:val="single"/>
        </w:rPr>
        <w:t xml:space="preserve">（1）在工程实施过程中，发包人发出的设计变更、签证、增减或调整工作内容及施工进度、变更材料、材质的指令等，是合同的一部分，承包人须无条件按发包人的要求实施并承担合同义务，否则视作违约。（2）发生变更、施工条件变化等，要由监理工程师、发包人、跟踪审计同时确认方为有效；由于设计变更、现场签证等引起的新的工程量清单项目或清单项目工程数量的增减，其综合单价由承包人提出，经发包人及跟踪审计单位确认后，作为竣工结算依据   </w:t>
      </w:r>
      <w:r>
        <w:rPr>
          <w:rFonts w:hint="eastAsia" w:ascii="宋体" w:hAnsi="宋体" w:cs="宋体"/>
          <w:color w:val="auto"/>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10.2 变更估价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10.2.1 变更估价原则</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 xml:space="preserve">关于变更估价的约定: </w:t>
      </w:r>
      <w:r>
        <w:rPr>
          <w:rFonts w:hint="eastAsia" w:ascii="宋体" w:hAnsi="宋体" w:cs="宋体"/>
          <w:color w:val="auto"/>
          <w:sz w:val="24"/>
          <w:highlight w:val="none"/>
          <w:u w:val="single"/>
        </w:rPr>
        <w:t xml:space="preserve">     见本合同条款第12条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Start w:id="339" w:name="_Toc292559907"/>
      <w:bookmarkStart w:id="340" w:name="_Toc296503197"/>
      <w:bookmarkStart w:id="341" w:name="_Toc303539150"/>
      <w:bookmarkStart w:id="342" w:name="_Toc296891025"/>
      <w:bookmarkStart w:id="343" w:name="_Toc297048383"/>
      <w:bookmarkStart w:id="344" w:name="_Toc292559402"/>
      <w:bookmarkStart w:id="345" w:name="_Toc297120497"/>
      <w:bookmarkStart w:id="346" w:name="_Toc297216203"/>
      <w:bookmarkStart w:id="347" w:name="_Toc296347196"/>
      <w:bookmarkStart w:id="348" w:name="_Toc296944536"/>
      <w:bookmarkStart w:id="349" w:name="_Toc296346698"/>
      <w:bookmarkStart w:id="350" w:name="_Toc300934993"/>
      <w:bookmarkStart w:id="351" w:name="_Toc297123544"/>
      <w:bookmarkStart w:id="352" w:name="_Toc296891237"/>
      <w:bookmarkStart w:id="353" w:name="_Toc312677503"/>
      <w:bookmarkStart w:id="354" w:name="_Toc312678029"/>
      <w:bookmarkStart w:id="355" w:name="_Toc304295570"/>
      <w:r>
        <w:rPr>
          <w:rFonts w:hint="eastAsia" w:ascii="宋体" w:hAnsi="宋体" w:cs="宋体"/>
          <w:color w:val="auto"/>
          <w:sz w:val="24"/>
          <w:highlight w:val="none"/>
        </w:rPr>
        <w:t>0.3承</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Start w:id="356" w:name="_Toc296346704"/>
      <w:bookmarkStart w:id="357" w:name="_Toc297048389"/>
      <w:bookmarkStart w:id="358" w:name="_Toc296944542"/>
      <w:bookmarkStart w:id="359" w:name="_Toc296891031"/>
      <w:bookmarkStart w:id="360" w:name="_Toc297216204"/>
      <w:bookmarkStart w:id="361" w:name="_Toc296891243"/>
      <w:bookmarkStart w:id="362" w:name="_Toc292559408"/>
      <w:bookmarkStart w:id="363" w:name="_Toc296347202"/>
      <w:bookmarkStart w:id="364" w:name="_Toc303539151"/>
      <w:bookmarkStart w:id="365" w:name="_Toc297120503"/>
      <w:bookmarkStart w:id="366" w:name="_Toc297123545"/>
      <w:bookmarkStart w:id="367" w:name="_Toc292559913"/>
      <w:bookmarkStart w:id="368" w:name="_Toc296503203"/>
      <w:bookmarkStart w:id="369" w:name="_Toc300934994"/>
      <w:r>
        <w:rPr>
          <w:rFonts w:hint="eastAsia" w:ascii="宋体" w:hAnsi="宋体" w:cs="宋体"/>
          <w:color w:val="auto"/>
          <w:sz w:val="24"/>
          <w:highlight w:val="none"/>
        </w:rPr>
        <w:t>包人的合理化建议</w:t>
      </w:r>
    </w:p>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监理人审查承包人合理化建议的期限：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发包人审批承包人合理化建议的期限：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承</w:t>
      </w:r>
      <w:bookmarkStart w:id="370" w:name="_Toc312678030"/>
      <w:bookmarkStart w:id="371" w:name="_Toc318581175"/>
      <w:bookmarkStart w:id="372" w:name="_Toc297120504"/>
      <w:bookmarkStart w:id="373" w:name="_Toc300934995"/>
      <w:bookmarkStart w:id="374" w:name="_Toc304295571"/>
      <w:bookmarkStart w:id="375" w:name="_Toc292559914"/>
      <w:bookmarkStart w:id="376" w:name="_Toc312677504"/>
      <w:bookmarkStart w:id="377" w:name="_Toc297216205"/>
      <w:bookmarkStart w:id="378" w:name="_Toc296347203"/>
      <w:bookmarkStart w:id="379" w:name="_Toc296503204"/>
      <w:bookmarkStart w:id="380" w:name="_Toc303539152"/>
      <w:bookmarkStart w:id="381" w:name="_Toc292559409"/>
      <w:bookmarkStart w:id="382" w:name="_Toc296891032"/>
      <w:bookmarkStart w:id="383" w:name="_Toc296944543"/>
      <w:bookmarkStart w:id="384" w:name="_Toc297123546"/>
      <w:bookmarkStart w:id="385" w:name="_Toc297048390"/>
      <w:bookmarkStart w:id="386" w:name="_Toc296891244"/>
      <w:bookmarkStart w:id="387" w:name="_Toc296346705"/>
      <w:r>
        <w:rPr>
          <w:rFonts w:hint="eastAsia" w:ascii="宋体" w:hAnsi="宋体" w:cs="宋体"/>
          <w:color w:val="auto"/>
          <w:sz w:val="24"/>
          <w:highlight w:val="none"/>
        </w:rPr>
        <w:t>包人提出的合理化建议降低了合同价格或者提高了工程经济效益的奖励的方法和金额为：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w:t>
      </w:r>
      <w:bookmarkStart w:id="388" w:name="_Toc296347198"/>
      <w:bookmarkStart w:id="389" w:name="_Toc297048385"/>
      <w:bookmarkStart w:id="390" w:name="_Toc297216207"/>
      <w:bookmarkStart w:id="391" w:name="_Toc292559909"/>
      <w:bookmarkStart w:id="392" w:name="_Toc292559404"/>
      <w:bookmarkStart w:id="393" w:name="_Toc296944538"/>
      <w:bookmarkStart w:id="394" w:name="_Toc296346700"/>
      <w:bookmarkStart w:id="395" w:name="_Toc297120499"/>
      <w:bookmarkStart w:id="396" w:name="_Toc303539154"/>
      <w:bookmarkStart w:id="397" w:name="_Toc297123548"/>
      <w:bookmarkStart w:id="398" w:name="_Toc304295574"/>
      <w:bookmarkStart w:id="399" w:name="_Toc300934997"/>
      <w:bookmarkStart w:id="400" w:name="_Toc296891027"/>
      <w:bookmarkStart w:id="401" w:name="_Toc296891239"/>
      <w:bookmarkStart w:id="402" w:name="_Toc296503199"/>
      <w:bookmarkStart w:id="403" w:name="_Toc312678033"/>
      <w:bookmarkStart w:id="404" w:name="_Toc312677507"/>
      <w:r>
        <w:rPr>
          <w:rFonts w:hint="eastAsia" w:ascii="宋体" w:hAnsi="宋体" w:cs="宋体"/>
          <w:color w:val="auto"/>
          <w:sz w:val="24"/>
          <w:highlight w:val="none"/>
        </w:rPr>
        <w:t>0.4 暂估价</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暂</w:t>
      </w:r>
      <w:bookmarkStart w:id="405" w:name="_Toc312677508"/>
      <w:bookmarkStart w:id="406" w:name="_Toc318581176"/>
      <w:bookmarkStart w:id="407" w:name="_Toc312678034"/>
      <w:r>
        <w:rPr>
          <w:rFonts w:hint="eastAsia" w:ascii="宋体" w:hAnsi="宋体" w:cs="宋体"/>
          <w:color w:val="auto"/>
          <w:kern w:val="0"/>
          <w:sz w:val="24"/>
          <w:highlight w:val="none"/>
        </w:rPr>
        <w:t>估价材料和工程设备的明细详见附件11：《</w:t>
      </w:r>
      <w:r>
        <w:rPr>
          <w:rFonts w:hint="eastAsia" w:ascii="宋体" w:hAnsi="宋体" w:cs="宋体"/>
          <w:color w:val="auto"/>
          <w:sz w:val="24"/>
          <w:highlight w:val="none"/>
        </w:rPr>
        <w:t>暂估价一览表》</w:t>
      </w:r>
      <w:r>
        <w:rPr>
          <w:rFonts w:hint="eastAsia" w:ascii="宋体" w:hAnsi="宋体" w:cs="宋体"/>
          <w:color w:val="auto"/>
          <w:kern w:val="0"/>
          <w:sz w:val="24"/>
          <w:highlight w:val="none"/>
        </w:rPr>
        <w:t>。</w:t>
      </w:r>
    </w:p>
    <w:bookmarkEnd w:id="405"/>
    <w:bookmarkEnd w:id="406"/>
    <w:bookmarkEnd w:id="407"/>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bookmarkStart w:id="408" w:name="_Toc312678035"/>
      <w:bookmarkStart w:id="409" w:name="_Toc312677509"/>
      <w:bookmarkStart w:id="410" w:name="_Toc318581177"/>
      <w:r>
        <w:rPr>
          <w:rFonts w:hint="eastAsia" w:ascii="宋体" w:hAnsi="宋体" w:cs="宋体"/>
          <w:color w:val="auto"/>
          <w:sz w:val="24"/>
          <w:highlight w:val="none"/>
        </w:rPr>
        <w:t>0.4.1 依法必须招标的暂估价项目</w:t>
      </w:r>
    </w:p>
    <w:bookmarkEnd w:id="408"/>
    <w:bookmarkEnd w:id="409"/>
    <w:bookmarkEnd w:id="410"/>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对于依法必须招标的暂估价项目的确认和批准采取第</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种方式确定。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10.4.2 不属于依法必须招标的暂估价项目</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对于不属于依法必须招标的暂估价项目的确认和批准采取第</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 xml:space="preserve"> 种方式确定。</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第3种方式：</w:t>
      </w:r>
      <w:r>
        <w:rPr>
          <w:rFonts w:hint="eastAsia" w:ascii="宋体" w:hAnsi="宋体" w:cs="宋体"/>
          <w:color w:val="auto"/>
          <w:kern w:val="0"/>
          <w:sz w:val="24"/>
          <w:highlight w:val="none"/>
        </w:rPr>
        <w:t>承包人直接实施的暂估价项目</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承包人直接实施的暂估价项目的约定：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10.5 暂列金额</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合同当事人关于暂列金额使用的约定：</w:t>
      </w:r>
      <w:r>
        <w:rPr>
          <w:rFonts w:hint="eastAsia" w:ascii="宋体" w:hAnsi="宋体" w:cs="宋体"/>
          <w:color w:val="auto"/>
          <w:sz w:val="24"/>
          <w:highlight w:val="none"/>
          <w:u w:val="single"/>
        </w:rPr>
        <w:t xml:space="preserve">       经发包人同意        </w:t>
      </w:r>
      <w:r>
        <w:rPr>
          <w:rFonts w:hint="eastAsia" w:ascii="宋体" w:hAnsi="宋体" w:cs="宋体"/>
          <w:color w:val="auto"/>
          <w:kern w:val="0"/>
          <w:sz w:val="24"/>
          <w:highlight w:val="none"/>
        </w:rPr>
        <w:t>。</w:t>
      </w:r>
    </w:p>
    <w:p>
      <w:pPr>
        <w:pStyle w:val="2"/>
        <w:spacing w:line="360" w:lineRule="auto"/>
        <w:rPr>
          <w:rFonts w:ascii="宋体" w:hAnsi="宋体" w:eastAsia="宋体" w:cs="宋体"/>
          <w:b w:val="0"/>
          <w:color w:val="auto"/>
          <w:sz w:val="24"/>
          <w:highlight w:val="none"/>
        </w:rPr>
      </w:pPr>
      <w:bookmarkStart w:id="411" w:name="_Toc351203643"/>
      <w:r>
        <w:rPr>
          <w:rFonts w:hint="eastAsia" w:ascii="宋体" w:hAnsi="宋体" w:eastAsia="宋体" w:cs="宋体"/>
          <w:b w:val="0"/>
          <w:color w:val="auto"/>
          <w:sz w:val="24"/>
          <w:highlight w:val="none"/>
        </w:rPr>
        <w:t>11. 价格调整</w:t>
      </w:r>
      <w:bookmarkEnd w:id="411"/>
    </w:p>
    <w:p>
      <w:pPr>
        <w:spacing w:line="360" w:lineRule="auto"/>
        <w:ind w:firstLine="480" w:firstLineChars="200"/>
        <w:rPr>
          <w:rFonts w:ascii="宋体" w:hAnsi="宋体" w:cs="宋体"/>
          <w:color w:val="auto"/>
          <w:sz w:val="24"/>
          <w:highlight w:val="none"/>
        </w:rPr>
      </w:pPr>
      <w:bookmarkStart w:id="412" w:name="_Toc303539157"/>
      <w:bookmarkStart w:id="413" w:name="_Toc300935000"/>
      <w:bookmarkStart w:id="414" w:name="_Toc292559406"/>
      <w:bookmarkStart w:id="415" w:name="_Toc296891029"/>
      <w:bookmarkStart w:id="416" w:name="_Toc296347200"/>
      <w:bookmarkStart w:id="417" w:name="_Toc304295577"/>
      <w:bookmarkStart w:id="418" w:name="_Toc296503201"/>
      <w:bookmarkStart w:id="419" w:name="_Toc297048387"/>
      <w:bookmarkStart w:id="420" w:name="_Toc296891241"/>
      <w:bookmarkStart w:id="421" w:name="_Toc312678039"/>
      <w:bookmarkStart w:id="422" w:name="_Toc297123550"/>
      <w:bookmarkStart w:id="423" w:name="_Toc297120501"/>
      <w:bookmarkStart w:id="424" w:name="_Toc296346702"/>
      <w:bookmarkStart w:id="425" w:name="_Toc297216209"/>
      <w:bookmarkStart w:id="426" w:name="_Toc296944540"/>
      <w:bookmarkStart w:id="427" w:name="_Toc292559911"/>
      <w:r>
        <w:rPr>
          <w:rFonts w:hint="eastAsia" w:ascii="宋体" w:hAnsi="宋体" w:cs="宋体"/>
          <w:color w:val="auto"/>
          <w:sz w:val="24"/>
          <w:highlight w:val="none"/>
        </w:rPr>
        <w:t>11.1 市场价格波动引起的调整</w:t>
      </w: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Pr>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市场价格波动是否调整合同价格的约定：</w:t>
      </w:r>
      <w:r>
        <w:rPr>
          <w:rFonts w:hint="eastAsia" w:ascii="宋体" w:hAnsi="宋体" w:cs="宋体"/>
          <w:color w:val="auto"/>
          <w:sz w:val="24"/>
          <w:highlight w:val="none"/>
          <w:u w:val="single"/>
        </w:rPr>
        <w:t>按12.1中“风险范围以外合同价格的调整方法”。</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因市场价格波动调整合同价格，采用以下第</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种方式对合同价格进行调整：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第1种方式：采用价格指数进行价格调整。</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 xml:space="preserve">关于各可调因子、定值和变值权重，以及基本价格指数及其来源的约定：；  </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第2种方式：采用造价信息进行价格调整。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（2）关于基准价格的约定：。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③承包人在已标价工程量清单或预算书中载明的材料单价等于基准单价的：专用合同条款合同履行期间材料单价涨跌幅以基准单价为基础超过±%时，其超过部分据实调整。</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第3种方式：其他价格调整方式：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bookmarkEnd w:id="316"/>
    <w:bookmarkEnd w:id="317"/>
    <w:bookmarkEnd w:id="318"/>
    <w:bookmarkEnd w:id="319"/>
    <w:bookmarkEnd w:id="320"/>
    <w:bookmarkEnd w:id="321"/>
    <w:p>
      <w:pPr>
        <w:pStyle w:val="2"/>
        <w:spacing w:line="360" w:lineRule="auto"/>
        <w:rPr>
          <w:rFonts w:ascii="宋体" w:hAnsi="宋体" w:eastAsia="宋体" w:cs="宋体"/>
          <w:b w:val="0"/>
          <w:color w:val="auto"/>
          <w:sz w:val="24"/>
          <w:highlight w:val="none"/>
        </w:rPr>
      </w:pPr>
      <w:bookmarkStart w:id="428" w:name="_Toc297048391"/>
      <w:bookmarkStart w:id="429" w:name="_Toc296346706"/>
      <w:bookmarkStart w:id="430" w:name="_Toc296891245"/>
      <w:bookmarkStart w:id="431" w:name="_Toc296347204"/>
      <w:bookmarkStart w:id="432" w:name="_Toc296944544"/>
      <w:bookmarkStart w:id="433" w:name="_Toc292559915"/>
      <w:bookmarkStart w:id="434" w:name="_Toc297120505"/>
      <w:bookmarkStart w:id="435" w:name="_Toc296503205"/>
      <w:bookmarkStart w:id="436" w:name="_Toc292559410"/>
      <w:bookmarkStart w:id="437" w:name="_Toc296891033"/>
      <w:bookmarkStart w:id="438" w:name="_Toc351203644"/>
      <w:bookmarkStart w:id="439" w:name="_Toc312678040"/>
      <w:bookmarkStart w:id="440" w:name="_Toc303539159"/>
      <w:bookmarkStart w:id="441" w:name="_Toc297123552"/>
      <w:bookmarkStart w:id="442" w:name="_Toc300935002"/>
      <w:bookmarkStart w:id="443" w:name="_Toc304295579"/>
      <w:bookmarkStart w:id="444" w:name="_Toc297216211"/>
      <w:r>
        <w:rPr>
          <w:rFonts w:hint="eastAsia" w:ascii="宋体" w:hAnsi="宋体" w:eastAsia="宋体" w:cs="宋体"/>
          <w:b w:val="0"/>
          <w:color w:val="auto"/>
          <w:sz w:val="24"/>
          <w:highlight w:val="none"/>
        </w:rPr>
        <w:t xml:space="preserve">12. </w:t>
      </w:r>
      <w:bookmarkEnd w:id="428"/>
      <w:bookmarkEnd w:id="429"/>
      <w:bookmarkEnd w:id="430"/>
      <w:bookmarkEnd w:id="431"/>
      <w:bookmarkEnd w:id="432"/>
      <w:bookmarkEnd w:id="433"/>
      <w:bookmarkEnd w:id="434"/>
      <w:bookmarkEnd w:id="435"/>
      <w:bookmarkEnd w:id="436"/>
      <w:bookmarkEnd w:id="437"/>
      <w:r>
        <w:rPr>
          <w:rFonts w:hint="eastAsia" w:ascii="宋体" w:hAnsi="宋体" w:eastAsia="宋体" w:cs="宋体"/>
          <w:b w:val="0"/>
          <w:color w:val="auto"/>
          <w:sz w:val="24"/>
          <w:highlight w:val="none"/>
        </w:rPr>
        <w:t>合同价格、计量与支付</w:t>
      </w:r>
      <w:bookmarkEnd w:id="438"/>
    </w:p>
    <w:bookmarkEnd w:id="439"/>
    <w:bookmarkEnd w:id="440"/>
    <w:bookmarkEnd w:id="441"/>
    <w:bookmarkEnd w:id="442"/>
    <w:bookmarkEnd w:id="443"/>
    <w:bookmarkEnd w:id="444"/>
    <w:p>
      <w:pPr>
        <w:spacing w:line="360" w:lineRule="auto"/>
        <w:ind w:firstLine="480" w:firstLineChars="200"/>
        <w:rPr>
          <w:rFonts w:ascii="宋体" w:hAnsi="宋体" w:cs="宋体"/>
          <w:color w:val="auto"/>
          <w:sz w:val="24"/>
          <w:highlight w:val="none"/>
        </w:rPr>
      </w:pPr>
      <w:bookmarkStart w:id="445" w:name="_Toc292559916"/>
      <w:bookmarkStart w:id="446" w:name="_Toc267251461"/>
      <w:bookmarkStart w:id="447" w:name="_Toc292559411"/>
      <w:bookmarkStart w:id="448" w:name="_Toc297120506"/>
      <w:bookmarkStart w:id="449" w:name="_Toc297048392"/>
      <w:bookmarkStart w:id="450" w:name="_Toc296891034"/>
      <w:bookmarkStart w:id="451" w:name="_Toc296346707"/>
      <w:bookmarkStart w:id="452" w:name="_Toc296944545"/>
      <w:bookmarkStart w:id="453" w:name="_Toc296347205"/>
      <w:bookmarkStart w:id="454" w:name="_Toc296891246"/>
      <w:bookmarkStart w:id="455" w:name="_Toc296503206"/>
      <w:bookmarkStart w:id="456" w:name="_Toc300935003"/>
      <w:bookmarkStart w:id="457" w:name="_Toc297123553"/>
      <w:bookmarkStart w:id="458" w:name="_Toc304295580"/>
      <w:bookmarkStart w:id="459" w:name="_Toc312678041"/>
      <w:bookmarkStart w:id="460" w:name="_Toc297216212"/>
      <w:bookmarkStart w:id="461" w:name="_Toc303539160"/>
      <w:r>
        <w:rPr>
          <w:rFonts w:hint="eastAsia" w:ascii="宋体" w:hAnsi="宋体" w:cs="宋体"/>
          <w:color w:val="auto"/>
          <w:sz w:val="24"/>
          <w:highlight w:val="none"/>
        </w:rPr>
        <w:t>12.1 合</w:t>
      </w:r>
      <w:bookmarkEnd w:id="445"/>
      <w:bookmarkEnd w:id="446"/>
      <w:bookmarkEnd w:id="447"/>
      <w:r>
        <w:rPr>
          <w:rFonts w:hint="eastAsia" w:ascii="宋体" w:hAnsi="宋体" w:cs="宋体"/>
          <w:color w:val="auto"/>
          <w:sz w:val="24"/>
          <w:highlight w:val="none"/>
        </w:rPr>
        <w:t>同价</w:t>
      </w:r>
      <w:bookmarkEnd w:id="448"/>
      <w:bookmarkEnd w:id="449"/>
      <w:bookmarkEnd w:id="450"/>
      <w:bookmarkEnd w:id="451"/>
      <w:bookmarkEnd w:id="452"/>
      <w:bookmarkEnd w:id="453"/>
      <w:bookmarkEnd w:id="454"/>
      <w:bookmarkEnd w:id="455"/>
      <w:r>
        <w:rPr>
          <w:rFonts w:hint="eastAsia" w:ascii="宋体" w:hAnsi="宋体" w:cs="宋体"/>
          <w:color w:val="auto"/>
          <w:sz w:val="24"/>
          <w:highlight w:val="none"/>
        </w:rPr>
        <w:t>格形式</w:t>
      </w:r>
    </w:p>
    <w:bookmarkEnd w:id="456"/>
    <w:bookmarkEnd w:id="457"/>
    <w:bookmarkEnd w:id="458"/>
    <w:bookmarkEnd w:id="459"/>
    <w:bookmarkEnd w:id="460"/>
    <w:bookmarkEnd w:id="461"/>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1、单价合同。</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标内结算价以响应文件单价计算后让利，让利系数为【1-（磋商最终报价-暂列金额-暂估价）/（响应文件报价-暂列金额-暂估价）×100%】</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综合单价包含的风险范围：</w:t>
      </w:r>
      <w:r>
        <w:rPr>
          <w:rFonts w:hint="eastAsia" w:ascii="宋体" w:hAnsi="宋体" w:cs="宋体"/>
          <w:color w:val="auto"/>
          <w:sz w:val="24"/>
          <w:highlight w:val="none"/>
          <w:u w:val="single"/>
        </w:rPr>
        <w:t>除本条“</w:t>
      </w:r>
      <w:r>
        <w:rPr>
          <w:rFonts w:hint="eastAsia" w:ascii="宋体" w:hAnsi="宋体"/>
          <w:color w:val="auto"/>
          <w:sz w:val="24"/>
          <w:highlight w:val="none"/>
          <w:u w:val="single"/>
        </w:rPr>
        <w:t>风险范围以外合同价格的调整方法</w:t>
      </w:r>
      <w:r>
        <w:rPr>
          <w:rFonts w:hint="eastAsia" w:ascii="宋体" w:hAnsi="宋体" w:cs="宋体"/>
          <w:color w:val="auto"/>
          <w:sz w:val="24"/>
          <w:highlight w:val="none"/>
          <w:u w:val="single"/>
        </w:rPr>
        <w:t>”约定的合同价款的调整因素外，合同价格不调整</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风险费用的计算方法：</w:t>
      </w:r>
      <w:r>
        <w:rPr>
          <w:rFonts w:hint="eastAsia" w:ascii="宋体" w:hAnsi="宋体" w:cs="宋体"/>
          <w:color w:val="auto"/>
          <w:sz w:val="24"/>
          <w:highlight w:val="none"/>
          <w:u w:val="single"/>
        </w:rPr>
        <w:t>按无锡市建设行政主管部门的相关规定计取，报价供应商应充分考虑工程建设周期内市场价格等因素的波动风险，风险费用由报价供应商自主报价</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风险范围以外合同价格的调整方法：</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未发生工程变更的计价：报价时的总价措施费费率不调整，分部分项和单价措施项目综合单价均不调整（无论工程量变更作多大增减），工程数量以监理工程师、跟踪审计人员及发包人签证作为付款的依据，并按实调整。</w:t>
      </w:r>
    </w:p>
    <w:p>
      <w:pPr>
        <w:spacing w:line="360" w:lineRule="auto"/>
        <w:ind w:firstLine="480" w:firstLineChars="200"/>
        <w:rPr>
          <w:rFonts w:ascii="宋体" w:hAnsi="宋体" w:cs="宋体"/>
          <w:color w:val="auto"/>
          <w:sz w:val="24"/>
          <w:highlight w:val="none"/>
          <w:u w:val="single"/>
        </w:rPr>
      </w:pPr>
      <w:bookmarkStart w:id="462" w:name="OLE_LINK11"/>
      <w:r>
        <w:rPr>
          <w:rFonts w:hint="eastAsia" w:ascii="宋体" w:hAnsi="宋体" w:cs="宋体"/>
          <w:color w:val="auto"/>
          <w:sz w:val="24"/>
          <w:highlight w:val="none"/>
          <w:u w:val="single"/>
        </w:rPr>
        <w:t>（2）工程量清单中未包含的综合单价、发包人指令或经发包人同意的设计变更引起新的工程量项目，其相应综合单价由承包人按以下规定提出，经发包人确认后作为结算依据：①已定规格、型号、厂家、品牌的材料如材料品种发生更换的，则只调整材料价差，其他不变。②因设计变更、施工条件引起变更或减少工程，报价中有的按报价中的综合单价执行；无报价时，按下列方式确定综合单价：材料价格按无锡市造价部门公布的</w:t>
      </w:r>
      <w:r>
        <w:rPr>
          <w:rFonts w:hint="eastAsia" w:ascii="宋体" w:hAnsi="宋体" w:cs="宋体"/>
          <w:color w:val="0000FF"/>
          <w:sz w:val="24"/>
          <w:highlight w:val="none"/>
          <w:u w:val="single"/>
        </w:rPr>
        <w:t>2022年第</w:t>
      </w:r>
      <w:r>
        <w:rPr>
          <w:rFonts w:hint="eastAsia" w:ascii="宋体" w:hAnsi="宋体" w:cs="宋体"/>
          <w:color w:val="0000FF"/>
          <w:sz w:val="24"/>
          <w:highlight w:val="none"/>
          <w:u w:val="single"/>
          <w:lang w:val="en-US" w:eastAsia="zh-CN"/>
        </w:rPr>
        <w:t>7</w:t>
      </w:r>
      <w:r>
        <w:rPr>
          <w:rFonts w:hint="eastAsia" w:ascii="宋体" w:hAnsi="宋体" w:cs="宋体"/>
          <w:color w:val="0000FF"/>
          <w:sz w:val="24"/>
          <w:highlight w:val="none"/>
          <w:u w:val="single"/>
        </w:rPr>
        <w:t>期（苗木价格参考2022年第</w:t>
      </w:r>
      <w:r>
        <w:rPr>
          <w:rFonts w:hint="eastAsia" w:ascii="宋体" w:hAnsi="宋体" w:cs="宋体"/>
          <w:color w:val="0000FF"/>
          <w:sz w:val="24"/>
          <w:highlight w:val="none"/>
          <w:u w:val="single"/>
          <w:lang w:val="en-US" w:eastAsia="zh-CN"/>
        </w:rPr>
        <w:t>3</w:t>
      </w:r>
      <w:r>
        <w:rPr>
          <w:rFonts w:hint="eastAsia" w:ascii="宋体" w:hAnsi="宋体" w:cs="宋体"/>
          <w:color w:val="0000FF"/>
          <w:sz w:val="24"/>
          <w:highlight w:val="none"/>
          <w:u w:val="single"/>
        </w:rPr>
        <w:t>期</w:t>
      </w:r>
      <w:r>
        <w:rPr>
          <w:rFonts w:hint="eastAsia" w:ascii="宋体" w:hAnsi="宋体" w:cs="宋体"/>
          <w:color w:val="auto"/>
          <w:sz w:val="24"/>
          <w:highlight w:val="none"/>
          <w:u w:val="single"/>
        </w:rPr>
        <w:t>）除税指导价，无指导价的按施工期间承发包人双方确认的市场除税价，套用</w:t>
      </w:r>
      <w:bookmarkStart w:id="463" w:name="_Hlk512155163"/>
      <w:r>
        <w:rPr>
          <w:rFonts w:hint="eastAsia" w:ascii="宋体" w:hAnsi="宋体" w:cs="宋体"/>
          <w:color w:val="auto"/>
          <w:sz w:val="24"/>
          <w:highlight w:val="none"/>
          <w:u w:val="single"/>
        </w:rPr>
        <w:t>《江苏省市政工程计价定额》（2014年）</w:t>
      </w:r>
      <w:bookmarkEnd w:id="463"/>
      <w:r>
        <w:rPr>
          <w:rFonts w:hint="eastAsia" w:ascii="宋体" w:hAnsi="宋体" w:cs="宋体"/>
          <w:color w:val="auto"/>
          <w:sz w:val="24"/>
          <w:highlight w:val="none"/>
          <w:u w:val="single"/>
        </w:rPr>
        <w:t>、《江苏省仿古建筑与园林工程计价表》(2007版）、《江苏省建设工程费用定额》（2014版）、《省住房城乡建设厅关于建筑业实施营改增后江苏建设工程计价依据调整内容》（苏建价[2016]154号）、苏建函价（2019）178号文、《省住房城乡建设厅关于调整建设工程安质论价等费用计取方法的公告（2018）第24号、《省住房城乡建设厅关于明确城镇老旧小区改造工程计价有关问题的公告（2020）第224号及江苏省及无锡市有关规定×让利系数 %结算（该让利系数为=成交价/招标控制价（即最高限价）×100%，保留小数点后两位）。在清单中以暂估价和预留金形式列入的项目对造价作调整时均按乘以让利系数  %（该让利系数为同上文规定）后进行结算。</w:t>
      </w:r>
      <w:r>
        <w:rPr>
          <w:rFonts w:hint="eastAsia" w:ascii="宋体" w:hAnsi="宋体" w:cs="宋体"/>
          <w:color w:val="auto"/>
          <w:sz w:val="24"/>
          <w:highlight w:val="none"/>
          <w:u w:val="single"/>
          <w:lang w:val="zh-CN"/>
        </w:rPr>
        <w:t>(让利系数计算公式中均不包括</w:t>
      </w:r>
      <w:r>
        <w:rPr>
          <w:rFonts w:hint="eastAsia" w:ascii="宋体" w:hAnsi="宋体" w:cs="宋体"/>
          <w:b/>
          <w:color w:val="auto"/>
          <w:sz w:val="24"/>
          <w:highlight w:val="none"/>
          <w:u w:val="single"/>
        </w:rPr>
        <w:t>甲供材、暂列金</w:t>
      </w:r>
      <w:r>
        <w:rPr>
          <w:rFonts w:hint="eastAsia" w:ascii="宋体" w:hAnsi="宋体" w:cs="宋体"/>
          <w:b/>
          <w:color w:val="auto"/>
          <w:sz w:val="24"/>
          <w:highlight w:val="none"/>
          <w:u w:val="single"/>
          <w:lang w:val="zh-CN"/>
        </w:rPr>
        <w:t>、暂估价</w:t>
      </w:r>
      <w:r>
        <w:rPr>
          <w:rFonts w:hint="eastAsia" w:ascii="宋体" w:hAnsi="宋体" w:cs="宋体"/>
          <w:color w:val="auto"/>
          <w:sz w:val="24"/>
          <w:highlight w:val="none"/>
          <w:u w:val="single"/>
          <w:lang w:val="zh-CN"/>
        </w:rPr>
        <w:t>)</w:t>
      </w:r>
      <w:r>
        <w:rPr>
          <w:rFonts w:hint="eastAsia" w:ascii="宋体" w:hAnsi="宋体" w:cs="宋体"/>
          <w:color w:val="auto"/>
          <w:sz w:val="24"/>
          <w:highlight w:val="none"/>
          <w:u w:val="single"/>
        </w:rPr>
        <w:t>。③因采取新工艺、新方法施工组织有变动引起造价调整的，须经监理、业主同意后才可调整，否则不予调整。④人工工资如有调整，按政策性文件执行。</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（3）在施工期间，当主要材料价格波动产生差价时，仅钢材、砼、预拌砂浆、沥青价格可调，其他材料均不得调整。施工期间《无锡工程造价信息》公布指导价的平均价波动超过无锡市造价部门公布的2022年第</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期（苗木价格参考2022年第</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期）除税指导价±5%以上时，调整方法为：</w:t>
      </w:r>
      <w:r>
        <w:rPr>
          <w:rFonts w:hint="eastAsia" w:ascii="宋体" w:hAnsi="宋体"/>
          <w:color w:val="auto"/>
          <w:kern w:val="0"/>
          <w:sz w:val="24"/>
          <w:highlight w:val="none"/>
          <w:u w:val="single"/>
        </w:rPr>
        <w:t>材料差价=施工期材料平均信息价-基准期信息价*（1±5%）。人工费调整：根据政策性文件，按施工期内各期平均指导价调整。因发包人原因造成工期延误的，延误期间发生的人工、材料价格上涨差额由发包人承担，材料价格下降差额由承包人收益；因承包人原因造成工期延误的，延误期间发生的人工、材料价格上涨差额由承包人承担，材料价格下降差额由发包人收益。</w:t>
      </w:r>
    </w:p>
    <w:p>
      <w:pPr>
        <w:spacing w:line="360" w:lineRule="auto"/>
        <w:ind w:firstLine="480" w:firstLineChars="200"/>
        <w:jc w:val="left"/>
        <w:rPr>
          <w:rFonts w:ascii="宋体" w:hAnsi="宋体" w:cs="宋体"/>
          <w:color w:val="auto"/>
          <w:sz w:val="24"/>
          <w:highlight w:val="none"/>
          <w:u w:val="single"/>
          <w:lang w:val="zh-CN"/>
        </w:rPr>
      </w:pPr>
      <w:r>
        <w:rPr>
          <w:rFonts w:hint="eastAsia" w:ascii="宋体" w:hAnsi="宋体" w:cs="宋体"/>
          <w:color w:val="auto"/>
          <w:sz w:val="24"/>
          <w:highlight w:val="none"/>
          <w:u w:val="single"/>
          <w:lang w:val="zh-CN"/>
        </w:rPr>
        <w:t>（</w:t>
      </w:r>
      <w:r>
        <w:rPr>
          <w:rFonts w:hint="eastAsia" w:ascii="宋体" w:hAnsi="宋体" w:cs="宋体"/>
          <w:color w:val="auto"/>
          <w:sz w:val="24"/>
          <w:highlight w:val="none"/>
          <w:u w:val="single"/>
        </w:rPr>
        <w:t>4</w:t>
      </w:r>
      <w:r>
        <w:rPr>
          <w:rFonts w:hint="eastAsia" w:ascii="宋体" w:hAnsi="宋体" w:cs="宋体"/>
          <w:color w:val="auto"/>
          <w:sz w:val="24"/>
          <w:highlight w:val="none"/>
          <w:u w:val="single"/>
          <w:lang w:val="zh-CN"/>
        </w:rPr>
        <w:t>）本工程若发生不合理报价，则按以下方式调整：如果报价高于市场价或套用定额（材料按信息价、市场价）*K1%（K1值取定范围：土建100%，装饰95%，安装95%，绿化92%，市政90%，古建90%）的综合单价，或报价低于市场价或套用定额（材料按信息价、市场价）*K2%（K2值取定范围：土建85%，装饰80%，安装80%，绿化80%，市政75%，古建75%）可界定为不平衡报价。如果报价高于市场价或套用定额（材料按信息价、市场价）*K1%的综合单价，则相关子目涉及实际工程量比原清单工程量增加部分超过15%及以上，超出原工程量清单15%部分的工程量执行变更计价原则重新组价后结算。如果报价低于市场价或套用定额（材料按信息价、市场价）* K2%的综合单价，则相关子目涉及工程量比原工程量清单减少15%及以上，减少部分的工程量按变更计价原则组价扣除。</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single"/>
        </w:rPr>
        <w:t>（5）</w:t>
      </w:r>
      <w:r>
        <w:rPr>
          <w:rFonts w:hint="eastAsia" w:ascii="宋体" w:hAnsi="宋体" w:cs="宋体"/>
          <w:bCs/>
          <w:color w:val="auto"/>
          <w:sz w:val="24"/>
          <w:highlight w:val="none"/>
          <w:u w:val="single"/>
        </w:rPr>
        <w:t>磋商时各单位工程中同一清单子目对应的综合单价报价应保持一致，如不一致，结算审计时以所报综合单价中最低的作为结算依据。</w:t>
      </w:r>
      <w:bookmarkEnd w:id="462"/>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（6）不可抗力因素所造成的损失经发包人审核及无锡市有关部门认定后可列入结算</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（7）工程变更：施工过程中，若发包人有工程变更，以书面形式通知承包人并由承包人负责编制预算，经审核单位审核确认后，按代建协议约定办理相关变更手续。</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（8）承包人无条件接受财政或上级部门组织的审核，审核结果作为竣工结算最终依据。</w:t>
      </w:r>
    </w:p>
    <w:p>
      <w:pPr>
        <w:spacing w:line="360" w:lineRule="auto"/>
        <w:ind w:firstLine="480" w:firstLineChars="200"/>
        <w:jc w:val="left"/>
        <w:rPr>
          <w:rFonts w:ascii="宋体" w:hAnsi="宋体" w:cs="宋体"/>
          <w:color w:val="auto"/>
          <w:sz w:val="24"/>
          <w:highlight w:val="none"/>
          <w:u w:val="single"/>
        </w:rPr>
      </w:pPr>
      <w:bookmarkStart w:id="464" w:name="OLE_LINK6"/>
      <w:r>
        <w:rPr>
          <w:rFonts w:hint="eastAsia" w:ascii="宋体" w:hAnsi="宋体" w:cs="宋体"/>
          <w:color w:val="auto"/>
          <w:sz w:val="24"/>
          <w:highlight w:val="none"/>
          <w:u w:val="single"/>
        </w:rPr>
        <w:t>（9）承包方提供的结算审减率≤5%由建设方支付审计费，5%＜结算审减率＜8%双方各承担一半审计费，结算审减率≥8%由施工方支付审计费。如果经审计后的审计核减率在15%（含 15%）－20%之间，施工单位将工程审定金额的 1%作为让利；如果经审计后的审计核减率大于 20%（含 20%）的，施工单位将工程审定金额的 2%作为让利。</w:t>
      </w:r>
    </w:p>
    <w:bookmarkEnd w:id="464"/>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2、总价合同。</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总价包含的风险范围：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风险费用的计算方法：</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风险范围以外合同价格的调整方法：</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3、其他价格方式：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bookmarkStart w:id="465" w:name="_Toc300935004"/>
      <w:bookmarkStart w:id="466" w:name="_Toc303539161"/>
      <w:bookmarkStart w:id="467" w:name="_Toc297123554"/>
      <w:bookmarkStart w:id="468" w:name="_Toc304295581"/>
      <w:bookmarkStart w:id="469" w:name="_Toc297216213"/>
      <w:bookmarkStart w:id="470" w:name="_Toc312678042"/>
      <w:bookmarkStart w:id="471" w:name="_Toc296346708"/>
      <w:bookmarkStart w:id="472" w:name="_Toc296891247"/>
      <w:bookmarkStart w:id="473" w:name="_Toc297120507"/>
      <w:bookmarkStart w:id="474" w:name="_Toc292559412"/>
      <w:bookmarkStart w:id="475" w:name="_Toc296944546"/>
      <w:bookmarkStart w:id="476" w:name="_Toc296347206"/>
      <w:bookmarkStart w:id="477" w:name="_Toc296891035"/>
      <w:bookmarkStart w:id="478" w:name="_Toc292559917"/>
      <w:bookmarkStart w:id="479" w:name="_Toc296503207"/>
      <w:bookmarkStart w:id="480" w:name="_Toc297048393"/>
      <w:r>
        <w:rPr>
          <w:rFonts w:hint="eastAsia" w:ascii="宋体" w:hAnsi="宋体" w:cs="宋体"/>
          <w:color w:val="auto"/>
          <w:sz w:val="24"/>
          <w:highlight w:val="none"/>
        </w:rPr>
        <w:t>12.2 预付款</w:t>
      </w:r>
    </w:p>
    <w:bookmarkEnd w:id="465"/>
    <w:bookmarkEnd w:id="466"/>
    <w:bookmarkEnd w:id="467"/>
    <w:bookmarkEnd w:id="468"/>
    <w:bookmarkEnd w:id="469"/>
    <w:bookmarkEnd w:id="470"/>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12.2.1 预付款的支付</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预付款支付比例或金额：</w:t>
      </w:r>
      <w:r>
        <w:rPr>
          <w:rFonts w:hint="eastAsia" w:ascii="宋体" w:hAnsi="宋体" w:cs="宋体"/>
          <w:color w:val="auto"/>
          <w:sz w:val="24"/>
          <w:highlight w:val="none"/>
          <w:u w:val="single"/>
        </w:rPr>
        <w:t xml:space="preserve">     10%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预付款支付期限：</w:t>
      </w:r>
      <w:r>
        <w:rPr>
          <w:rFonts w:hint="eastAsia" w:ascii="宋体" w:hAnsi="宋体" w:cs="宋体"/>
          <w:color w:val="auto"/>
          <w:sz w:val="24"/>
          <w:highlight w:val="none"/>
          <w:u w:val="single"/>
        </w:rPr>
        <w:t xml:space="preserve">  签订合同后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预付款扣回的方式：</w:t>
      </w:r>
      <w:r>
        <w:rPr>
          <w:rFonts w:hint="eastAsia" w:ascii="宋体" w:hAnsi="宋体" w:cs="宋体"/>
          <w:color w:val="auto"/>
          <w:sz w:val="24"/>
          <w:highlight w:val="none"/>
          <w:u w:val="single"/>
        </w:rPr>
        <w:t xml:space="preserve">   预付款在支付第一笔进度款时予以扣回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12.2.2 履约保证金</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签订合同时，成交供应商需向采购人交纳成交合同总金额10%的履约保证金，履约保证金在本项目验收合格后退还，不计利息。履约保证金的形式：支票、汇票、本票或者金融机构、担保机构出具的保函等非现金形式提交。</w:t>
      </w:r>
    </w:p>
    <w:bookmarkEnd w:id="471"/>
    <w:bookmarkEnd w:id="472"/>
    <w:bookmarkEnd w:id="473"/>
    <w:bookmarkEnd w:id="474"/>
    <w:bookmarkEnd w:id="475"/>
    <w:bookmarkEnd w:id="476"/>
    <w:bookmarkEnd w:id="477"/>
    <w:bookmarkEnd w:id="478"/>
    <w:bookmarkEnd w:id="479"/>
    <w:bookmarkEnd w:id="480"/>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 计量</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12.3.1 计量原则</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工程量计算规则：</w:t>
      </w:r>
      <w:r>
        <w:rPr>
          <w:rFonts w:hint="eastAsia" w:ascii="宋体" w:hAnsi="宋体" w:cs="宋体"/>
          <w:color w:val="auto"/>
          <w:sz w:val="24"/>
          <w:highlight w:val="none"/>
          <w:u w:val="single"/>
        </w:rPr>
        <w:t xml:space="preserve"> 《建设工程工程量清单计价规范》(GB50500-2013)及其9本工程量计算规范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12.3.2 计量周期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关于计量周期的约定：</w:t>
      </w:r>
      <w:r>
        <w:rPr>
          <w:rFonts w:hint="eastAsia" w:ascii="宋体" w:hAnsi="宋体" w:cs="宋体"/>
          <w:color w:val="auto"/>
          <w:sz w:val="24"/>
          <w:highlight w:val="none"/>
          <w:u w:val="single"/>
        </w:rPr>
        <w:t xml:space="preserve">     按月计量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12.3.3 单价合同的计量</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关于单价合同计量的约定：</w:t>
      </w:r>
      <w:r>
        <w:rPr>
          <w:rFonts w:hint="eastAsia" w:ascii="宋体" w:hAnsi="宋体" w:cs="宋体"/>
          <w:color w:val="auto"/>
          <w:sz w:val="24"/>
          <w:highlight w:val="none"/>
          <w:u w:val="single"/>
        </w:rPr>
        <w:t xml:space="preserve">   按月计量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12.3.4 总价合同的计量</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关于总价合同计量的约定：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12.3.5总价合同采用支付分解表计量支付的，是否适用第</w:t>
      </w:r>
      <w:r>
        <w:rPr>
          <w:rFonts w:hint="eastAsia" w:ascii="宋体" w:hAnsi="宋体" w:cs="宋体"/>
          <w:color w:val="auto"/>
          <w:kern w:val="0"/>
          <w:sz w:val="24"/>
          <w:highlight w:val="none"/>
        </w:rPr>
        <w:t xml:space="preserve">12.3.4 </w:t>
      </w:r>
      <w:r>
        <w:rPr>
          <w:rFonts w:hint="eastAsia" w:ascii="宋体" w:hAnsi="宋体" w:cs="宋体"/>
          <w:color w:val="auto"/>
          <w:sz w:val="24"/>
          <w:highlight w:val="none"/>
        </w:rPr>
        <w:t>项</w:t>
      </w:r>
      <w:r>
        <w:rPr>
          <w:rFonts w:hint="eastAsia" w:ascii="宋体" w:hAnsi="宋体" w:cs="宋体"/>
          <w:color w:val="auto"/>
          <w:kern w:val="0"/>
          <w:sz w:val="24"/>
          <w:highlight w:val="none"/>
        </w:rPr>
        <w:t>〔总价合同的计量〕</w:t>
      </w:r>
      <w:r>
        <w:rPr>
          <w:rFonts w:hint="eastAsia" w:ascii="宋体" w:hAnsi="宋体" w:cs="宋体"/>
          <w:color w:val="auto"/>
          <w:sz w:val="24"/>
          <w:highlight w:val="none"/>
        </w:rPr>
        <w:t>约定进行计量：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12.3.6 其他价格形式合同的计量</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其他价格形式的计量方式和程序：。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 工程进度款支付</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12.4.1 付款周期</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关于付款周期的约定：。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12.4.2 进度付款申请单的编制</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关于进度付款申请单编制的约定：</w:t>
      </w:r>
      <w:r>
        <w:rPr>
          <w:rFonts w:hint="eastAsia" w:ascii="宋体" w:hAnsi="宋体" w:cs="宋体"/>
          <w:color w:val="auto"/>
          <w:sz w:val="24"/>
          <w:highlight w:val="none"/>
          <w:u w:val="single"/>
        </w:rPr>
        <w:t>(1)签订合同后，预付签约合同价的10%;</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(2)施工进度款：按照跟踪审计审核后的工程量付至65%。</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(3)项目竣工后验收前，以跟踪审计结果为依据，原则上不超过合同价的75%进行拨付。整个项目竣工决算审计结束后，根据审计结果支付至审定价的97%。</w:t>
      </w:r>
    </w:p>
    <w:p>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(4)余款视保修情况在质保期满后一个月内支付，上述款项均不另计利息。</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(5)</w:t>
      </w:r>
      <w:bookmarkStart w:id="569" w:name="_GoBack"/>
      <w:bookmarkEnd w:id="569"/>
      <w:r>
        <w:rPr>
          <w:rFonts w:hint="eastAsia" w:ascii="宋体" w:hAnsi="宋体" w:cs="宋体"/>
          <w:color w:val="auto"/>
          <w:sz w:val="24"/>
          <w:highlight w:val="none"/>
          <w:u w:val="single"/>
        </w:rPr>
        <w:t>每次支付工程款时，承包人均需提交相应金额的正式税务发票，所有款项在提供发票后15日内付清。</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ascii="宋体" w:hAnsi="宋体" w:cs="宋体"/>
          <w:color w:val="auto"/>
          <w:sz w:val="24"/>
          <w:highlight w:val="none"/>
        </w:rPr>
        <w:t>2.4.3 进度付款申请单的提交</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（1）单价合同进度付款申请单提交的约定：</w:t>
      </w:r>
      <w:r>
        <w:rPr>
          <w:rFonts w:hint="eastAsia" w:ascii="宋体" w:hAnsi="宋体" w:cs="宋体"/>
          <w:color w:val="auto"/>
          <w:sz w:val="24"/>
          <w:highlight w:val="none"/>
          <w:u w:val="single"/>
        </w:rPr>
        <w:t xml:space="preserve">   承包人每月20日提交工程量计量报告，由监理工程师、发包人代表和跟踪审计三方进行审核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（2）总价合同进度付款申请单提交的约定：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（3）其他价格形式合同进度付款申请单提交的约定：。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12.4.4 进度款审核和支付</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（1）监理人审查并报送发包人的期限：</w:t>
      </w:r>
      <w:r>
        <w:rPr>
          <w:rFonts w:hint="eastAsia" w:ascii="宋体" w:hAnsi="宋体" w:cs="宋体"/>
          <w:color w:val="auto"/>
          <w:sz w:val="24"/>
          <w:highlight w:val="none"/>
          <w:u w:val="single"/>
        </w:rPr>
        <w:t xml:space="preserve">   收到申请后7天内     </w:t>
      </w:r>
      <w:r>
        <w:rPr>
          <w:rFonts w:hint="eastAsia" w:ascii="宋体" w:hAnsi="宋体" w:cs="宋体"/>
          <w:color w:val="auto"/>
          <w:sz w:val="24"/>
          <w:highlight w:val="none"/>
        </w:rPr>
        <w:t>。</w:t>
      </w:r>
    </w:p>
    <w:p>
      <w:pPr>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发包人完成审批并签发进度款支付证书的期限：。</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（2）发包人支付进度款的期限：。</w:t>
      </w:r>
    </w:p>
    <w:p>
      <w:pPr>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rPr>
        <w:t>发包人逾期支付进度款的违约金的计算方式：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12.4.6 支付分解表的编制</w:t>
      </w:r>
    </w:p>
    <w:p>
      <w:pPr>
        <w:spacing w:line="360" w:lineRule="auto"/>
        <w:ind w:left="4740" w:leftChars="200" w:hanging="4320" w:hangingChars="1800"/>
        <w:jc w:val="left"/>
        <w:rPr>
          <w:rFonts w:ascii="宋体" w:hAnsi="宋体" w:cs="宋体"/>
          <w:color w:val="auto"/>
          <w:sz w:val="24"/>
          <w:highlight w:val="none"/>
        </w:rPr>
      </w:pPr>
      <w:r>
        <w:rPr>
          <w:rFonts w:hint="eastAsia" w:ascii="宋体" w:hAnsi="宋体" w:cs="宋体"/>
          <w:color w:val="auto"/>
          <w:sz w:val="24"/>
          <w:highlight w:val="none"/>
        </w:rPr>
        <w:t>2、总价合同支付分解表的编制与审批：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3、单价合同的总价项目支付分解表的编制与审批：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bookmarkEnd w:id="137"/>
    <w:p>
      <w:pPr>
        <w:pStyle w:val="2"/>
        <w:spacing w:line="360" w:lineRule="auto"/>
        <w:rPr>
          <w:rFonts w:ascii="宋体" w:hAnsi="宋体" w:eastAsia="宋体" w:cs="宋体"/>
          <w:b w:val="0"/>
          <w:color w:val="auto"/>
          <w:sz w:val="24"/>
          <w:highlight w:val="none"/>
        </w:rPr>
      </w:pPr>
      <w:bookmarkStart w:id="481" w:name="_Toc351203645"/>
      <w:bookmarkStart w:id="482" w:name="_Toc297048405"/>
      <w:bookmarkStart w:id="483" w:name="_Toc296346720"/>
      <w:bookmarkStart w:id="484" w:name="_Toc292559929"/>
      <w:bookmarkStart w:id="485" w:name="_Toc304295593"/>
      <w:bookmarkStart w:id="486" w:name="_Toc312678053"/>
      <w:bookmarkStart w:id="487" w:name="_Toc296347218"/>
      <w:bookmarkStart w:id="488" w:name="_Toc297216223"/>
      <w:bookmarkStart w:id="489" w:name="_Toc296944558"/>
      <w:bookmarkStart w:id="490" w:name="_Toc296503219"/>
      <w:bookmarkStart w:id="491" w:name="_Toc300935015"/>
      <w:bookmarkStart w:id="492" w:name="_Toc303539172"/>
      <w:bookmarkStart w:id="493" w:name="_Toc296891047"/>
      <w:bookmarkStart w:id="494" w:name="_Toc297120519"/>
      <w:bookmarkStart w:id="495" w:name="_Toc296891259"/>
      <w:bookmarkStart w:id="496" w:name="_Toc297123564"/>
      <w:bookmarkStart w:id="497" w:name="_Toc292559424"/>
      <w:r>
        <w:rPr>
          <w:rFonts w:hint="eastAsia" w:ascii="宋体" w:hAnsi="宋体" w:eastAsia="宋体" w:cs="宋体"/>
          <w:b w:val="0"/>
          <w:color w:val="auto"/>
          <w:sz w:val="24"/>
          <w:highlight w:val="none"/>
        </w:rPr>
        <w:t>13. 验收和工程试车</w:t>
      </w:r>
      <w:bookmarkEnd w:id="481"/>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 分部分项工程验收</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13.1.2监理人不能按时进行验收时，应提前</w:t>
      </w:r>
      <w:r>
        <w:rPr>
          <w:rFonts w:hint="eastAsia" w:ascii="宋体" w:hAnsi="宋体" w:cs="宋体"/>
          <w:color w:val="auto"/>
          <w:sz w:val="24"/>
          <w:highlight w:val="none"/>
          <w:u w:val="single"/>
        </w:rPr>
        <w:t xml:space="preserve">    24    </w:t>
      </w:r>
      <w:r>
        <w:rPr>
          <w:rFonts w:hint="eastAsia" w:ascii="宋体" w:hAnsi="宋体" w:cs="宋体"/>
          <w:color w:val="auto"/>
          <w:sz w:val="24"/>
          <w:highlight w:val="none"/>
        </w:rPr>
        <w:t>小时提交书面延期要求。</w:t>
      </w:r>
    </w:p>
    <w:p>
      <w:pPr>
        <w:spacing w:line="360" w:lineRule="auto"/>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关于延期最长不得超过：</w:t>
      </w:r>
      <w:r>
        <w:rPr>
          <w:rFonts w:hint="eastAsia" w:ascii="宋体" w:hAnsi="宋体" w:cs="宋体"/>
          <w:color w:val="auto"/>
          <w:sz w:val="24"/>
          <w:highlight w:val="none"/>
          <w:u w:val="single"/>
        </w:rPr>
        <w:t xml:space="preserve">    48     </w:t>
      </w:r>
      <w:r>
        <w:rPr>
          <w:rFonts w:hint="eastAsia" w:ascii="宋体" w:hAnsi="宋体" w:cs="宋体"/>
          <w:color w:val="auto"/>
          <w:sz w:val="24"/>
          <w:highlight w:val="none"/>
        </w:rPr>
        <w:t>小时。</w:t>
      </w:r>
    </w:p>
    <w:p>
      <w:pPr>
        <w:spacing w:line="360" w:lineRule="auto"/>
        <w:ind w:firstLine="480" w:firstLineChars="200"/>
        <w:rPr>
          <w:rFonts w:ascii="宋体" w:hAnsi="宋体" w:cs="宋体"/>
          <w:color w:val="auto"/>
          <w:sz w:val="24"/>
          <w:highlight w:val="none"/>
        </w:rPr>
      </w:pPr>
      <w:bookmarkStart w:id="498" w:name="_Toc297120523"/>
      <w:bookmarkStart w:id="499" w:name="_Toc296944562"/>
      <w:bookmarkStart w:id="500" w:name="_Toc296347222"/>
      <w:bookmarkStart w:id="501" w:name="_Toc312678056"/>
      <w:bookmarkStart w:id="502" w:name="_Toc303539173"/>
      <w:bookmarkStart w:id="503" w:name="_Toc300935016"/>
      <w:bookmarkStart w:id="504" w:name="_Toc304295596"/>
      <w:bookmarkStart w:id="505" w:name="_Toc297048409"/>
      <w:bookmarkStart w:id="506" w:name="_Toc296891263"/>
      <w:bookmarkStart w:id="507" w:name="_Toc296503223"/>
      <w:bookmarkStart w:id="508" w:name="_Toc296891051"/>
      <w:bookmarkStart w:id="509" w:name="_Toc296346724"/>
      <w:bookmarkStart w:id="510" w:name="_Toc297216224"/>
      <w:bookmarkStart w:id="511" w:name="_Toc292559428"/>
      <w:bookmarkStart w:id="512" w:name="_Toc292559933"/>
      <w:bookmarkStart w:id="513" w:name="_Toc297123565"/>
      <w:bookmarkStart w:id="514" w:name="_Toc267251474"/>
      <w:bookmarkStart w:id="515" w:name="_Toc267251476"/>
      <w:bookmarkStart w:id="516" w:name="_Toc267251471"/>
      <w:bookmarkStart w:id="517" w:name="_Toc267251470"/>
      <w:bookmarkStart w:id="518" w:name="_Toc267251475"/>
      <w:bookmarkStart w:id="519" w:name="_Toc267251472"/>
      <w:bookmarkStart w:id="520" w:name="_Toc267251473"/>
      <w:r>
        <w:rPr>
          <w:rFonts w:hint="eastAsia" w:ascii="宋体" w:hAnsi="宋体" w:cs="宋体"/>
          <w:color w:val="auto"/>
          <w:sz w:val="24"/>
          <w:highlight w:val="none"/>
        </w:rPr>
        <w:t>13.2 竣工验收</w:t>
      </w:r>
    </w:p>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Pr>
        <w:spacing w:line="360" w:lineRule="auto"/>
        <w:ind w:firstLine="480" w:firstLineChars="200"/>
        <w:jc w:val="left"/>
        <w:rPr>
          <w:rFonts w:ascii="宋体" w:hAnsi="宋体" w:cs="宋体"/>
          <w:color w:val="auto"/>
          <w:sz w:val="24"/>
          <w:highlight w:val="none"/>
        </w:rPr>
      </w:pPr>
      <w:bookmarkStart w:id="521" w:name="_Toc280868704"/>
      <w:bookmarkStart w:id="522" w:name="_Toc280868705"/>
      <w:bookmarkStart w:id="523" w:name="_Toc280868706"/>
      <w:bookmarkStart w:id="524" w:name="_Toc280868707"/>
      <w:bookmarkStart w:id="525" w:name="_Toc280868708"/>
      <w:bookmarkStart w:id="526" w:name="_Toc280868709"/>
      <w:r>
        <w:rPr>
          <w:rFonts w:hint="eastAsia" w:ascii="宋体" w:hAnsi="宋体" w:cs="宋体"/>
          <w:color w:val="auto"/>
          <w:sz w:val="24"/>
          <w:highlight w:val="none"/>
        </w:rPr>
        <w:t>13.2.2竣工验收程序</w:t>
      </w:r>
    </w:p>
    <w:bookmarkEnd w:id="521"/>
    <w:p>
      <w:pPr>
        <w:spacing w:line="360" w:lineRule="auto"/>
        <w:ind w:left="4740" w:leftChars="200" w:hanging="4320" w:hangingChars="1800"/>
        <w:jc w:val="left"/>
        <w:rPr>
          <w:rFonts w:ascii="宋体" w:hAnsi="宋体" w:cs="宋体"/>
          <w:color w:val="auto"/>
          <w:sz w:val="24"/>
          <w:highlight w:val="none"/>
        </w:rPr>
      </w:pPr>
      <w:r>
        <w:rPr>
          <w:rFonts w:hint="eastAsia" w:ascii="宋体" w:hAnsi="宋体" w:cs="宋体"/>
          <w:color w:val="auto"/>
          <w:kern w:val="0"/>
          <w:sz w:val="24"/>
          <w:highlight w:val="none"/>
        </w:rPr>
        <w:t>关于竣工验收程序的约定：</w:t>
      </w:r>
      <w:r>
        <w:rPr>
          <w:rFonts w:hint="eastAsia" w:ascii="宋体" w:hAnsi="宋体" w:cs="宋体"/>
          <w:color w:val="auto"/>
          <w:sz w:val="24"/>
          <w:highlight w:val="none"/>
          <w:u w:val="single"/>
        </w:rPr>
        <w:t xml:space="preserve">    执行通用条款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发包人不按照本项约定组织竣工验收、颁发工程接收证书的违约金的计算方法：</w:t>
      </w:r>
      <w:r>
        <w:rPr>
          <w:rFonts w:hint="eastAsia" w:ascii="宋体" w:hAnsi="宋体" w:cs="宋体"/>
          <w:color w:val="auto"/>
          <w:sz w:val="24"/>
          <w:highlight w:val="none"/>
          <w:u w:val="single"/>
        </w:rPr>
        <w:t xml:space="preserve">   执行通用条款     </w:t>
      </w:r>
      <w:r>
        <w:rPr>
          <w:rFonts w:hint="eastAsia" w:ascii="宋体" w:hAnsi="宋体" w:cs="宋体"/>
          <w:color w:val="auto"/>
          <w:sz w:val="24"/>
          <w:highlight w:val="none"/>
        </w:rPr>
        <w:t>。</w:t>
      </w:r>
    </w:p>
    <w:bookmarkEnd w:id="522"/>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13.2.5移交、接收全部与部分工程</w:t>
      </w:r>
    </w:p>
    <w:bookmarkEnd w:id="523"/>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承包人向发包人移交工程的期限：</w:t>
      </w:r>
      <w:r>
        <w:rPr>
          <w:rFonts w:hint="eastAsia" w:ascii="宋体" w:hAnsi="宋体" w:cs="宋体"/>
          <w:color w:val="auto"/>
          <w:sz w:val="24"/>
          <w:highlight w:val="none"/>
          <w:u w:val="single"/>
        </w:rPr>
        <w:t xml:space="preserve">   颁发工程接收证书后7天内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kern w:val="0"/>
          <w:sz w:val="24"/>
          <w:highlight w:val="none"/>
        </w:rPr>
        <w:t>发包人未按本合同约定接收全部或部分工程的，违约金的计算方法为：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bookmarkEnd w:id="524"/>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承包人未按时移交工程的，违约金的计算方法为：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 工程试车</w:t>
      </w:r>
    </w:p>
    <w:bookmarkEnd w:id="525"/>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13.3.1 试车程序</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工程试车内容：</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（1）单机无负荷试车费用由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承担；</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（2）无负荷联动试车费用由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承担。</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13.3.3 投料试车</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关于投料试车相关事项的约定：</w:t>
      </w:r>
      <w:r>
        <w:rPr>
          <w:rFonts w:hint="eastAsia" w:ascii="宋体" w:hAnsi="宋体" w:cs="宋体"/>
          <w:color w:val="auto"/>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13.6 竣工退场</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13.6.1 竣工退场</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承包人完成竣工退场的期限：</w:t>
      </w:r>
      <w:r>
        <w:rPr>
          <w:rFonts w:hint="eastAsia" w:ascii="宋体" w:hAnsi="宋体" w:cs="宋体"/>
          <w:color w:val="auto"/>
          <w:sz w:val="24"/>
          <w:highlight w:val="none"/>
          <w:u w:val="single"/>
        </w:rPr>
        <w:t xml:space="preserve">   颁发工程接收证书后3天内     </w:t>
      </w:r>
      <w:r>
        <w:rPr>
          <w:rFonts w:hint="eastAsia" w:ascii="宋体" w:hAnsi="宋体" w:cs="宋体"/>
          <w:color w:val="auto"/>
          <w:kern w:val="0"/>
          <w:sz w:val="24"/>
          <w:highlight w:val="none"/>
        </w:rPr>
        <w:t>。</w:t>
      </w:r>
    </w:p>
    <w:p>
      <w:pPr>
        <w:pStyle w:val="2"/>
        <w:spacing w:line="360" w:lineRule="auto"/>
        <w:rPr>
          <w:rFonts w:ascii="宋体" w:hAnsi="宋体" w:eastAsia="宋体" w:cs="宋体"/>
          <w:b w:val="0"/>
          <w:color w:val="auto"/>
          <w:sz w:val="24"/>
          <w:highlight w:val="none"/>
        </w:rPr>
      </w:pPr>
      <w:bookmarkStart w:id="527" w:name="_Toc351203646"/>
      <w:r>
        <w:rPr>
          <w:rFonts w:hint="eastAsia" w:ascii="宋体" w:hAnsi="宋体" w:eastAsia="宋体" w:cs="宋体"/>
          <w:b w:val="0"/>
          <w:color w:val="auto"/>
          <w:sz w:val="24"/>
          <w:highlight w:val="none"/>
        </w:rPr>
        <w:t>14. 竣工结算</w:t>
      </w:r>
      <w:bookmarkEnd w:id="527"/>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竣工结算申请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承包人提交竣工结算申请单的期限：</w:t>
      </w:r>
      <w:r>
        <w:rPr>
          <w:rFonts w:hint="eastAsia" w:ascii="宋体" w:hAnsi="宋体" w:cs="宋体"/>
          <w:color w:val="auto"/>
          <w:sz w:val="24"/>
          <w:highlight w:val="none"/>
          <w:u w:val="single"/>
        </w:rPr>
        <w:t xml:space="preserve">    工程竣工验收合格后28天内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竣工结算申请单应包括的内容：</w:t>
      </w:r>
      <w:bookmarkStart w:id="528" w:name="_Hlk509560753"/>
      <w:r>
        <w:rPr>
          <w:rFonts w:hint="eastAsia" w:ascii="宋体" w:hAnsi="宋体" w:cs="宋体"/>
          <w:color w:val="auto"/>
          <w:sz w:val="24"/>
          <w:highlight w:val="none"/>
          <w:u w:val="single"/>
        </w:rPr>
        <w:t>执行通用条款</w:t>
      </w:r>
      <w:bookmarkEnd w:id="528"/>
      <w:r>
        <w:rPr>
          <w:rFonts w:hint="eastAsia" w:ascii="宋体" w:hAnsi="宋体" w:cs="宋体"/>
          <w:color w:val="auto"/>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14.2 竣工结算审核</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发包人审批竣工付款申请单的期限：</w:t>
      </w:r>
      <w:r>
        <w:rPr>
          <w:rFonts w:hint="eastAsia" w:ascii="宋体" w:hAnsi="宋体" w:cs="宋体"/>
          <w:color w:val="auto"/>
          <w:sz w:val="24"/>
          <w:highlight w:val="none"/>
          <w:u w:val="single"/>
        </w:rPr>
        <w:t xml:space="preserve">   收到竣工付款申请单28天内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发包人完成竣工付款的期限：</w:t>
      </w:r>
      <w:r>
        <w:rPr>
          <w:rFonts w:hint="eastAsia" w:ascii="宋体" w:hAnsi="宋体" w:cs="宋体"/>
          <w:color w:val="auto"/>
          <w:sz w:val="24"/>
          <w:highlight w:val="none"/>
          <w:u w:val="single"/>
        </w:rPr>
        <w:t xml:space="preserve">     签发竣工付款申请单28天内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关于竣工付款证书异议部分复核的方式和程序：</w:t>
      </w:r>
      <w:r>
        <w:rPr>
          <w:rFonts w:hint="eastAsia" w:ascii="宋体" w:hAnsi="宋体" w:cs="宋体"/>
          <w:color w:val="auto"/>
          <w:sz w:val="24"/>
          <w:highlight w:val="none"/>
          <w:u w:val="single"/>
        </w:rPr>
        <w:t xml:space="preserve">    执行通用条款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 最终结清</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14.4.1 最终结清申请单</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承包人提交最终结清申请单的份数：</w:t>
      </w:r>
      <w:r>
        <w:rPr>
          <w:rFonts w:hint="eastAsia" w:ascii="宋体" w:hAnsi="宋体" w:cs="宋体"/>
          <w:color w:val="auto"/>
          <w:sz w:val="24"/>
          <w:highlight w:val="none"/>
          <w:u w:val="single"/>
        </w:rPr>
        <w:t xml:space="preserve">     四份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承包人提交最终结算申请单的期限：</w:t>
      </w:r>
      <w:r>
        <w:rPr>
          <w:rFonts w:hint="eastAsia" w:ascii="宋体" w:hAnsi="宋体" w:cs="宋体"/>
          <w:color w:val="auto"/>
          <w:sz w:val="24"/>
          <w:highlight w:val="none"/>
          <w:u w:val="single"/>
        </w:rPr>
        <w:t xml:space="preserve">   缺陷期满7天内    </w:t>
      </w:r>
      <w:r>
        <w:rPr>
          <w:rFonts w:hint="eastAsia" w:ascii="宋体" w:hAnsi="宋体" w:cs="宋体"/>
          <w:color w:val="auto"/>
          <w:sz w:val="24"/>
          <w:highlight w:val="none"/>
        </w:rPr>
        <w:t xml:space="preserve">。 </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14.4.2 最终结清证书和支付</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（1）发包人完成最终结清申请单的审批并颁发最终结清证书的期限：</w:t>
      </w:r>
      <w:r>
        <w:rPr>
          <w:rFonts w:hint="eastAsia" w:ascii="宋体" w:hAnsi="宋体" w:cs="宋体"/>
          <w:color w:val="auto"/>
          <w:sz w:val="24"/>
          <w:highlight w:val="none"/>
          <w:u w:val="single"/>
        </w:rPr>
        <w:t xml:space="preserve">   收到申请28天内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（2）发包人完成支付的期限：</w:t>
      </w:r>
      <w:r>
        <w:rPr>
          <w:rFonts w:hint="eastAsia" w:ascii="宋体" w:hAnsi="宋体" w:cs="宋体"/>
          <w:color w:val="auto"/>
          <w:sz w:val="24"/>
          <w:highlight w:val="none"/>
          <w:u w:val="single"/>
        </w:rPr>
        <w:t xml:space="preserve">    申请签发后14天内     </w:t>
      </w:r>
      <w:r>
        <w:rPr>
          <w:rFonts w:hint="eastAsia" w:ascii="宋体" w:hAnsi="宋体" w:cs="宋体"/>
          <w:color w:val="auto"/>
          <w:sz w:val="24"/>
          <w:highlight w:val="none"/>
        </w:rPr>
        <w:t>。</w:t>
      </w:r>
    </w:p>
    <w:bookmarkEnd w:id="514"/>
    <w:bookmarkEnd w:id="515"/>
    <w:bookmarkEnd w:id="516"/>
    <w:bookmarkEnd w:id="517"/>
    <w:bookmarkEnd w:id="518"/>
    <w:bookmarkEnd w:id="519"/>
    <w:bookmarkEnd w:id="520"/>
    <w:bookmarkEnd w:id="526"/>
    <w:p>
      <w:pPr>
        <w:pStyle w:val="2"/>
        <w:spacing w:line="360" w:lineRule="auto"/>
        <w:rPr>
          <w:rFonts w:ascii="宋体" w:hAnsi="宋体" w:eastAsia="宋体" w:cs="宋体"/>
          <w:b w:val="0"/>
          <w:color w:val="auto"/>
          <w:sz w:val="24"/>
          <w:highlight w:val="none"/>
        </w:rPr>
      </w:pPr>
      <w:bookmarkStart w:id="529" w:name="_Toc351203647"/>
      <w:bookmarkStart w:id="530" w:name="_Toc267251483"/>
      <w:bookmarkStart w:id="531" w:name="_Toc267251484"/>
      <w:bookmarkStart w:id="532" w:name="_Toc267251482"/>
      <w:bookmarkStart w:id="533" w:name="_Toc267251485"/>
      <w:bookmarkStart w:id="534" w:name="_Toc267251489"/>
      <w:bookmarkStart w:id="535" w:name="_Toc267251490"/>
      <w:bookmarkStart w:id="536" w:name="_Toc267251488"/>
      <w:bookmarkStart w:id="537" w:name="_Toc267251486"/>
      <w:bookmarkStart w:id="538" w:name="_Toc267251498"/>
      <w:bookmarkStart w:id="539" w:name="_Toc267251497"/>
      <w:bookmarkStart w:id="540" w:name="_Toc267251503"/>
      <w:bookmarkStart w:id="541" w:name="_Toc267251492"/>
      <w:bookmarkStart w:id="542" w:name="_Toc267251496"/>
      <w:bookmarkStart w:id="543" w:name="_Toc267251495"/>
      <w:bookmarkStart w:id="544" w:name="_Toc267251491"/>
      <w:bookmarkStart w:id="545" w:name="_Toc267251501"/>
      <w:bookmarkStart w:id="546" w:name="_Toc267251494"/>
      <w:bookmarkStart w:id="547" w:name="_Toc267251499"/>
      <w:bookmarkStart w:id="548" w:name="_Toc267251502"/>
      <w:bookmarkStart w:id="549" w:name="_Toc267251493"/>
      <w:bookmarkStart w:id="550" w:name="_Toc267251504"/>
      <w:bookmarkStart w:id="551" w:name="_Toc267251506"/>
      <w:bookmarkStart w:id="552" w:name="_Toc267251507"/>
      <w:bookmarkStart w:id="553" w:name="_Toc267251508"/>
      <w:bookmarkStart w:id="554" w:name="_Toc267251514"/>
      <w:bookmarkStart w:id="555" w:name="_Toc267251511"/>
      <w:bookmarkStart w:id="556" w:name="_Toc267251515"/>
      <w:bookmarkStart w:id="557" w:name="_Toc267251509"/>
      <w:bookmarkStart w:id="558" w:name="_Toc267251513"/>
      <w:bookmarkStart w:id="559" w:name="_Toc267251510"/>
      <w:r>
        <w:rPr>
          <w:rFonts w:hint="eastAsia" w:ascii="宋体" w:hAnsi="宋体" w:eastAsia="宋体" w:cs="宋体"/>
          <w:b w:val="0"/>
          <w:color w:val="auto"/>
          <w:sz w:val="24"/>
          <w:highlight w:val="none"/>
        </w:rPr>
        <w:t>15. 缺陷责任期与保修</w:t>
      </w:r>
      <w:bookmarkEnd w:id="529"/>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15.2缺陷责任期</w:t>
      </w:r>
      <w:bookmarkEnd w:id="530"/>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缺陷责任期的具体期限：</w:t>
      </w:r>
      <w:r>
        <w:rPr>
          <w:rFonts w:hint="eastAsia" w:ascii="宋体" w:hAnsi="宋体" w:cs="宋体"/>
          <w:color w:val="auto"/>
          <w:sz w:val="24"/>
          <w:highlight w:val="none"/>
          <w:u w:val="single"/>
        </w:rPr>
        <w:t xml:space="preserve">     24个月     </w:t>
      </w:r>
      <w:r>
        <w:rPr>
          <w:rFonts w:hint="eastAsia" w:ascii="宋体" w:hAnsi="宋体" w:cs="宋体"/>
          <w:color w:val="auto"/>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15.3 质量保证金</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关于是否扣留质量保证金的约定：</w:t>
      </w:r>
      <w:r>
        <w:rPr>
          <w:rFonts w:hint="eastAsia" w:ascii="宋体" w:hAnsi="宋体" w:cs="宋体"/>
          <w:color w:val="auto"/>
          <w:sz w:val="24"/>
          <w:highlight w:val="none"/>
          <w:u w:val="single"/>
        </w:rPr>
        <w:t xml:space="preserve">     扣留    </w:t>
      </w:r>
      <w:r>
        <w:rPr>
          <w:rFonts w:hint="eastAsia" w:ascii="宋体" w:hAnsi="宋体" w:cs="宋体"/>
          <w:color w:val="auto"/>
          <w:sz w:val="24"/>
          <w:highlight w:val="none"/>
        </w:rPr>
        <w:t>。在工程项目竣工前，承包人按专用合同条款第3.7条提供履约担保的，发包人不得同时预留工程质量保证金。</w:t>
      </w:r>
    </w:p>
    <w:p>
      <w:pPr>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15.3.1 承包人提供质量保证金的方式</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质量保证金采用以下第</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种方式：</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（1）质量保证金保函，保证金额为：； </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color w:val="auto"/>
          <w:kern w:val="0"/>
          <w:sz w:val="24"/>
          <w:highlight w:val="none"/>
          <w:u w:val="single"/>
        </w:rPr>
        <w:t xml:space="preserve">  3  </w:t>
      </w:r>
      <w:r>
        <w:rPr>
          <w:rFonts w:hint="eastAsia" w:ascii="宋体" w:hAnsi="宋体" w:cs="宋体"/>
          <w:color w:val="auto"/>
          <w:kern w:val="0"/>
          <w:sz w:val="24"/>
          <w:highlight w:val="none"/>
        </w:rPr>
        <w:t>%的工程款；</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pPr>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 xml:space="preserve">15.3.2 质量保证金的扣留 </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质量保证金的扣留采取以下第</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种方式：</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ascii="宋体" w:hAnsi="宋体" w:cs="宋体"/>
          <w:color w:val="auto"/>
          <w:kern w:val="0"/>
          <w:sz w:val="24"/>
          <w:highlight w:val="none"/>
        </w:rPr>
      </w:pPr>
      <w:r>
        <w:rPr>
          <w:rFonts w:hint="eastAsia" w:ascii="宋体" w:hAnsi="宋体" w:cs="宋体"/>
          <w:color w:val="auto"/>
          <w:kern w:val="0"/>
          <w:sz w:val="24"/>
          <w:highlight w:val="none"/>
        </w:rPr>
        <w:t>（2）工程竣工结算时一次性扣留质量保证金；</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（3）其他扣留方式:。</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关于质量保证金的补充约定：</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bookmarkEnd w:id="531"/>
    <w:bookmarkEnd w:id="532"/>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15.4保修</w:t>
      </w:r>
    </w:p>
    <w:bookmarkEnd w:id="533"/>
    <w:p>
      <w:pPr>
        <w:spacing w:line="360" w:lineRule="auto"/>
        <w:ind w:firstLine="468" w:firstLineChars="195"/>
        <w:jc w:val="left"/>
        <w:rPr>
          <w:rFonts w:ascii="宋体" w:hAnsi="宋体" w:cs="宋体"/>
          <w:color w:val="auto"/>
          <w:sz w:val="24"/>
          <w:highlight w:val="none"/>
        </w:rPr>
      </w:pPr>
      <w:r>
        <w:rPr>
          <w:rFonts w:hint="eastAsia" w:ascii="宋体" w:hAnsi="宋体" w:cs="宋体"/>
          <w:color w:val="auto"/>
          <w:sz w:val="24"/>
          <w:highlight w:val="none"/>
        </w:rPr>
        <w:t>15.4.1 保修责任</w:t>
      </w:r>
    </w:p>
    <w:p>
      <w:pPr>
        <w:spacing w:line="360" w:lineRule="auto"/>
        <w:ind w:firstLine="468" w:firstLineChars="195"/>
        <w:jc w:val="left"/>
        <w:rPr>
          <w:rFonts w:ascii="宋体" w:hAnsi="宋体" w:cs="宋体"/>
          <w:color w:val="auto"/>
          <w:kern w:val="0"/>
          <w:sz w:val="24"/>
          <w:highlight w:val="none"/>
        </w:rPr>
      </w:pPr>
      <w:r>
        <w:rPr>
          <w:rFonts w:hint="eastAsia" w:ascii="宋体" w:hAnsi="宋体" w:cs="宋体"/>
          <w:color w:val="auto"/>
          <w:sz w:val="24"/>
          <w:highlight w:val="none"/>
        </w:rPr>
        <w:t>工程保修期为：</w:t>
      </w:r>
      <w:r>
        <w:rPr>
          <w:rFonts w:hint="eastAsia" w:ascii="宋体" w:hAnsi="宋体" w:cs="宋体"/>
          <w:color w:val="auto"/>
          <w:kern w:val="0"/>
          <w:sz w:val="24"/>
          <w:highlight w:val="none"/>
          <w:u w:val="single"/>
        </w:rPr>
        <w:t xml:space="preserve">   详见合同附件《工程质量保修书》     </w:t>
      </w:r>
      <w:r>
        <w:rPr>
          <w:rFonts w:hint="eastAsia" w:ascii="宋体" w:hAnsi="宋体" w:cs="宋体"/>
          <w:color w:val="auto"/>
          <w:kern w:val="0"/>
          <w:sz w:val="24"/>
          <w:highlight w:val="none"/>
        </w:rPr>
        <w:t>。</w:t>
      </w:r>
    </w:p>
    <w:p>
      <w:pPr>
        <w:spacing w:line="360" w:lineRule="auto"/>
        <w:ind w:firstLine="468" w:firstLineChars="195"/>
        <w:jc w:val="left"/>
        <w:rPr>
          <w:rFonts w:ascii="宋体" w:hAnsi="宋体" w:cs="宋体"/>
          <w:color w:val="auto"/>
          <w:sz w:val="24"/>
          <w:highlight w:val="none"/>
        </w:rPr>
      </w:pPr>
      <w:r>
        <w:rPr>
          <w:rFonts w:hint="eastAsia" w:ascii="宋体" w:hAnsi="宋体" w:cs="宋体"/>
          <w:color w:val="auto"/>
          <w:sz w:val="24"/>
          <w:highlight w:val="none"/>
        </w:rPr>
        <w:t>15.4.3 修复通知</w:t>
      </w:r>
    </w:p>
    <w:p>
      <w:pPr>
        <w:spacing w:line="360" w:lineRule="auto"/>
        <w:ind w:firstLine="468" w:firstLineChars="195"/>
        <w:jc w:val="left"/>
        <w:rPr>
          <w:rFonts w:ascii="宋体" w:hAnsi="宋体" w:cs="宋体"/>
          <w:color w:val="auto"/>
          <w:kern w:val="0"/>
          <w:sz w:val="24"/>
          <w:highlight w:val="none"/>
        </w:rPr>
      </w:pPr>
      <w:r>
        <w:rPr>
          <w:rFonts w:hint="eastAsia" w:ascii="宋体" w:hAnsi="宋体" w:cs="宋体"/>
          <w:color w:val="auto"/>
          <w:kern w:val="0"/>
          <w:sz w:val="24"/>
          <w:highlight w:val="none"/>
        </w:rPr>
        <w:t>承包人收到保修通知并到达工程现场的合理时间：</w:t>
      </w:r>
      <w:r>
        <w:rPr>
          <w:rFonts w:hint="eastAsia" w:ascii="宋体" w:hAnsi="宋体" w:cs="宋体"/>
          <w:color w:val="auto"/>
          <w:kern w:val="0"/>
          <w:sz w:val="24"/>
          <w:highlight w:val="none"/>
          <w:u w:val="single"/>
        </w:rPr>
        <w:t xml:space="preserve">  影响居民正常生活的要求24小时内到场并修理（时间以电话通知为准），如在48小时内未到场解决问题，甲方有权另行安排施工队伍进行修理，其修理费用甲方有权直接在工程款里扣除     </w:t>
      </w:r>
      <w:r>
        <w:rPr>
          <w:rFonts w:hint="eastAsia" w:ascii="宋体" w:hAnsi="宋体" w:cs="宋体"/>
          <w:color w:val="auto"/>
          <w:kern w:val="0"/>
          <w:sz w:val="24"/>
          <w:highlight w:val="none"/>
        </w:rPr>
        <w:t>。</w:t>
      </w:r>
    </w:p>
    <w:bookmarkEnd w:id="534"/>
    <w:bookmarkEnd w:id="535"/>
    <w:bookmarkEnd w:id="536"/>
    <w:bookmarkEnd w:id="537"/>
    <w:p>
      <w:pPr>
        <w:pStyle w:val="2"/>
        <w:spacing w:line="360" w:lineRule="auto"/>
        <w:rPr>
          <w:rFonts w:ascii="宋体" w:hAnsi="宋体" w:eastAsia="宋体" w:cs="宋体"/>
          <w:b w:val="0"/>
          <w:color w:val="auto"/>
          <w:sz w:val="24"/>
          <w:highlight w:val="none"/>
        </w:rPr>
      </w:pPr>
      <w:bookmarkStart w:id="560" w:name="_Toc351203648"/>
      <w:bookmarkStart w:id="561" w:name="_Toc280868717"/>
      <w:bookmarkStart w:id="562" w:name="_Toc280868718"/>
      <w:r>
        <w:rPr>
          <w:rFonts w:hint="eastAsia" w:ascii="宋体" w:hAnsi="宋体" w:eastAsia="宋体" w:cs="宋体"/>
          <w:b w:val="0"/>
          <w:color w:val="auto"/>
          <w:sz w:val="24"/>
          <w:highlight w:val="none"/>
        </w:rPr>
        <w:t>16. 违约</w:t>
      </w:r>
      <w:bookmarkEnd w:id="560"/>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16.1 发包人违约</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16.1.1发包人违约的情形</w:t>
      </w:r>
    </w:p>
    <w:p>
      <w:pPr>
        <w:spacing w:line="360" w:lineRule="auto"/>
        <w:ind w:left="1200" w:hanging="1200" w:hangingChars="500"/>
        <w:jc w:val="left"/>
        <w:rPr>
          <w:rFonts w:ascii="宋体" w:hAnsi="宋体" w:cs="宋体"/>
          <w:color w:val="auto"/>
          <w:kern w:val="0"/>
          <w:sz w:val="24"/>
          <w:highlight w:val="none"/>
        </w:rPr>
      </w:pPr>
      <w:r>
        <w:rPr>
          <w:rFonts w:hint="eastAsia" w:ascii="宋体" w:hAnsi="宋体" w:cs="宋体"/>
          <w:color w:val="auto"/>
          <w:kern w:val="0"/>
          <w:sz w:val="24"/>
          <w:highlight w:val="none"/>
        </w:rPr>
        <w:t>发包人违约的其他情形：</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pPr>
        <w:spacing w:line="360" w:lineRule="auto"/>
        <w:ind w:left="1200" w:hanging="1200" w:hangingChars="5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16.1.2 发包人违约的责任</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发包人违约责任的承担方式和计算方法：</w:t>
      </w:r>
    </w:p>
    <w:p>
      <w:pPr>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（1）因发包人原因未能在计划开工日期前7天内下达开工通知的违约责任：</w:t>
      </w:r>
      <w:r>
        <w:rPr>
          <w:rFonts w:hint="eastAsia" w:ascii="宋体" w:hAnsi="宋体" w:cs="宋体"/>
          <w:color w:val="auto"/>
          <w:kern w:val="0"/>
          <w:sz w:val="24"/>
          <w:highlight w:val="none"/>
          <w:u w:val="single"/>
        </w:rPr>
        <w:t xml:space="preserve">  双方另行商定   </w:t>
      </w:r>
      <w:r>
        <w:rPr>
          <w:rFonts w:hint="eastAsia" w:ascii="宋体" w:hAnsi="宋体" w:cs="宋体"/>
          <w:color w:val="auto"/>
          <w:kern w:val="0"/>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（2）因发包人原因未能按合同约定支付合同价款的违约责任：</w:t>
      </w:r>
      <w:r>
        <w:rPr>
          <w:rFonts w:hint="eastAsia" w:ascii="宋体" w:hAnsi="宋体" w:cs="宋体"/>
          <w:color w:val="auto"/>
          <w:kern w:val="0"/>
          <w:sz w:val="24"/>
          <w:highlight w:val="none"/>
          <w:u w:val="single"/>
        </w:rPr>
        <w:t xml:space="preserve">     双方另行商定      </w:t>
      </w:r>
      <w:r>
        <w:rPr>
          <w:rFonts w:hint="eastAsia" w:ascii="宋体" w:hAnsi="宋体" w:cs="宋体"/>
          <w:color w:val="auto"/>
          <w:kern w:val="0"/>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（3）发包人违反第10.1款〔变更的范围〕第（2）项约定，自行实施被取消的工作或转由他人实施的违约责任：</w:t>
      </w:r>
      <w:r>
        <w:rPr>
          <w:rFonts w:hint="eastAsia" w:ascii="宋体" w:hAnsi="宋体" w:cs="宋体"/>
          <w:color w:val="auto"/>
          <w:kern w:val="0"/>
          <w:sz w:val="24"/>
          <w:highlight w:val="none"/>
          <w:u w:val="single"/>
        </w:rPr>
        <w:t xml:space="preserve">           双方另行商定        </w:t>
      </w:r>
      <w:r>
        <w:rPr>
          <w:rFonts w:hint="eastAsia" w:ascii="宋体" w:hAnsi="宋体" w:cs="宋体"/>
          <w:color w:val="auto"/>
          <w:kern w:val="0"/>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 w:val="24"/>
          <w:highlight w:val="none"/>
          <w:u w:val="single"/>
        </w:rPr>
        <w:t xml:space="preserve">   双方另行商定     </w:t>
      </w:r>
      <w:r>
        <w:rPr>
          <w:rFonts w:hint="eastAsia" w:ascii="宋体" w:hAnsi="宋体" w:cs="宋体"/>
          <w:color w:val="auto"/>
          <w:kern w:val="0"/>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（5）因发包人违反合同约定造成暂停施工的违约责任：</w:t>
      </w:r>
      <w:r>
        <w:rPr>
          <w:rFonts w:hint="eastAsia" w:ascii="宋体" w:hAnsi="宋体" w:cs="宋体"/>
          <w:color w:val="auto"/>
          <w:kern w:val="0"/>
          <w:sz w:val="24"/>
          <w:highlight w:val="none"/>
          <w:u w:val="single"/>
        </w:rPr>
        <w:t xml:space="preserve">   双方另行商定  </w:t>
      </w:r>
      <w:r>
        <w:rPr>
          <w:rFonts w:hint="eastAsia" w:ascii="宋体" w:hAnsi="宋体" w:cs="宋体"/>
          <w:color w:val="auto"/>
          <w:kern w:val="0"/>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（6）发包人无正当理由没有在约定期限内发出复工指示，导致承包人无法复工的违约责任：</w:t>
      </w:r>
      <w:r>
        <w:rPr>
          <w:rFonts w:hint="eastAsia" w:ascii="宋体" w:hAnsi="宋体" w:cs="宋体"/>
          <w:color w:val="auto"/>
          <w:kern w:val="0"/>
          <w:sz w:val="24"/>
          <w:highlight w:val="none"/>
          <w:u w:val="single"/>
        </w:rPr>
        <w:t xml:space="preserve">   双方另行商定 </w:t>
      </w:r>
      <w:r>
        <w:rPr>
          <w:rFonts w:hint="eastAsia" w:ascii="宋体" w:hAnsi="宋体" w:cs="宋体"/>
          <w:color w:val="auto"/>
          <w:kern w:val="0"/>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（7）其他：。</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16.1.3 因发包人违约解除合同</w:t>
      </w:r>
    </w:p>
    <w:p>
      <w:pPr>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承包人按16.1.1项〔发包人违约的情形〕约定暂停施工满天后发包人仍不纠正其违约行为并致使合同目的不能实现的，承包人有权解除合同。</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 承包人违约</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16.2.1 承包人违约的情形</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承包人违约的其他情形：。</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16.2.2承包人违约的责任</w:t>
      </w:r>
    </w:p>
    <w:p>
      <w:pPr>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承包人违约责任的承担方式和计算方法：</w:t>
      </w:r>
      <w:r>
        <w:rPr>
          <w:rFonts w:hint="eastAsia" w:ascii="宋体" w:hAnsi="宋体" w:cs="宋体"/>
          <w:color w:val="auto"/>
          <w:kern w:val="0"/>
          <w:sz w:val="24"/>
          <w:highlight w:val="none"/>
          <w:u w:val="single"/>
        </w:rPr>
        <w:t xml:space="preserve">   由承包人承担全部费用并承担相关法律责任   </w:t>
      </w:r>
      <w:r>
        <w:rPr>
          <w:rFonts w:hint="eastAsia" w:ascii="宋体" w:hAnsi="宋体" w:cs="宋体"/>
          <w:color w:val="auto"/>
          <w:kern w:val="0"/>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16.2.3 因承包人违约解除合同</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关于承包人违约解除合同的特别约定：</w:t>
      </w:r>
      <w:r>
        <w:rPr>
          <w:rFonts w:hint="eastAsia" w:ascii="宋体" w:hAnsi="宋体" w:cs="宋体"/>
          <w:color w:val="auto"/>
          <w:sz w:val="24"/>
          <w:highlight w:val="none"/>
          <w:u w:val="single"/>
        </w:rPr>
        <w:t>执行通用条款</w:t>
      </w:r>
      <w:r>
        <w:rPr>
          <w:rFonts w:hint="eastAsia" w:ascii="宋体" w:hAnsi="宋体" w:cs="宋体"/>
          <w:color w:val="auto"/>
          <w:kern w:val="0"/>
          <w:sz w:val="24"/>
          <w:highlight w:val="none"/>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 w:val="24"/>
          <w:highlight w:val="none"/>
          <w:u w:val="single"/>
        </w:rPr>
        <w:t xml:space="preserve">   双方另行商定     </w:t>
      </w:r>
      <w:r>
        <w:rPr>
          <w:rFonts w:hint="eastAsia" w:ascii="宋体" w:hAnsi="宋体" w:cs="宋体"/>
          <w:color w:val="auto"/>
          <w:kern w:val="0"/>
          <w:sz w:val="24"/>
          <w:highlight w:val="none"/>
        </w:rPr>
        <w:t>。</w:t>
      </w:r>
    </w:p>
    <w:p>
      <w:pPr>
        <w:pStyle w:val="2"/>
        <w:spacing w:line="360" w:lineRule="auto"/>
        <w:rPr>
          <w:rFonts w:ascii="宋体" w:hAnsi="宋体" w:eastAsia="宋体" w:cs="宋体"/>
          <w:b w:val="0"/>
          <w:color w:val="auto"/>
          <w:sz w:val="24"/>
          <w:highlight w:val="none"/>
        </w:rPr>
      </w:pPr>
      <w:bookmarkStart w:id="563" w:name="_Toc351203649"/>
      <w:r>
        <w:rPr>
          <w:rFonts w:hint="eastAsia" w:ascii="宋体" w:hAnsi="宋体" w:eastAsia="宋体" w:cs="宋体"/>
          <w:b w:val="0"/>
          <w:color w:val="auto"/>
          <w:sz w:val="24"/>
          <w:highlight w:val="none"/>
        </w:rPr>
        <w:t>17. 不可抗力</w:t>
      </w:r>
      <w:bookmarkEnd w:id="561"/>
      <w:bookmarkEnd w:id="56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 不可抗力的确认</w:t>
      </w:r>
    </w:p>
    <w:p>
      <w:pPr>
        <w:spacing w:line="360" w:lineRule="auto"/>
        <w:ind w:firstLine="480" w:firstLineChars="200"/>
        <w:jc w:val="left"/>
        <w:rPr>
          <w:rFonts w:ascii="宋体" w:hAnsi="宋体" w:cs="宋体"/>
          <w:color w:val="auto"/>
          <w:kern w:val="0"/>
          <w:sz w:val="24"/>
          <w:highlight w:val="none"/>
          <w:u w:val="single"/>
        </w:rPr>
      </w:pPr>
      <w:r>
        <w:rPr>
          <w:rFonts w:hint="eastAsia" w:ascii="宋体" w:hAnsi="宋体" w:cs="宋体"/>
          <w:color w:val="auto"/>
          <w:sz w:val="24"/>
          <w:highlight w:val="none"/>
        </w:rPr>
        <w:t xml:space="preserve">除通用合同条款约定的不可抗力事件之外，视为不可抗力的其他情形： </w:t>
      </w:r>
      <w:r>
        <w:rPr>
          <w:rFonts w:hint="eastAsia" w:ascii="宋体" w:hAnsi="宋体" w:cs="宋体"/>
          <w:color w:val="auto"/>
          <w:kern w:val="0"/>
          <w:sz w:val="24"/>
          <w:highlight w:val="none"/>
          <w:u w:val="single"/>
        </w:rPr>
        <w:t xml:space="preserve">  按保险合同解释   </w:t>
      </w:r>
      <w:r>
        <w:rPr>
          <w:rFonts w:hint="eastAsia" w:ascii="宋体" w:hAnsi="宋体" w:cs="宋体"/>
          <w:color w:val="auto"/>
          <w:kern w:val="0"/>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17.4 因不可抗力解除合同</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合同解除后，发包人应在商定或确定发包人应支付款项后</w:t>
      </w:r>
      <w:r>
        <w:rPr>
          <w:rFonts w:hint="eastAsia" w:ascii="宋体" w:hAnsi="宋体" w:cs="宋体"/>
          <w:color w:val="auto"/>
          <w:sz w:val="24"/>
          <w:highlight w:val="none"/>
          <w:u w:val="single"/>
        </w:rPr>
        <w:t xml:space="preserve">  60  </w:t>
      </w:r>
      <w:r>
        <w:rPr>
          <w:rFonts w:hint="eastAsia" w:ascii="宋体" w:hAnsi="宋体" w:cs="宋体"/>
          <w:color w:val="auto"/>
          <w:sz w:val="24"/>
          <w:highlight w:val="none"/>
        </w:rPr>
        <w:t>天内完成款项的支付。</w:t>
      </w:r>
    </w:p>
    <w:p>
      <w:pPr>
        <w:pStyle w:val="2"/>
        <w:spacing w:line="360" w:lineRule="auto"/>
        <w:rPr>
          <w:rFonts w:ascii="宋体" w:hAnsi="宋体" w:eastAsia="宋体" w:cs="宋体"/>
          <w:b w:val="0"/>
          <w:color w:val="auto"/>
          <w:sz w:val="24"/>
          <w:highlight w:val="none"/>
        </w:rPr>
      </w:pPr>
      <w:bookmarkStart w:id="564" w:name="_Toc351203650"/>
      <w:r>
        <w:rPr>
          <w:rFonts w:hint="eastAsia" w:ascii="宋体" w:hAnsi="宋体" w:eastAsia="宋体" w:cs="宋体"/>
          <w:b w:val="0"/>
          <w:color w:val="auto"/>
          <w:sz w:val="24"/>
          <w:highlight w:val="none"/>
        </w:rPr>
        <w:t>18. 保险</w:t>
      </w:r>
      <w:bookmarkEnd w:id="564"/>
    </w:p>
    <w:bookmarkEnd w:id="562"/>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 工程保险</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关于工程保险的特别约定：</w:t>
      </w:r>
      <w:r>
        <w:rPr>
          <w:rFonts w:hint="eastAsia" w:ascii="宋体" w:hAnsi="宋体" w:cs="宋体"/>
          <w:color w:val="auto"/>
          <w:sz w:val="24"/>
          <w:highlight w:val="none"/>
          <w:u w:val="single"/>
        </w:rPr>
        <w:t>承包人必须为从事危险作业的人员办理意外伤害保险，并为施工场地内自有人员生命财产和施工机械设备办理保险</w:t>
      </w:r>
      <w:r>
        <w:rPr>
          <w:rFonts w:hint="eastAsia" w:ascii="宋体" w:hAnsi="宋体" w:cs="宋体"/>
          <w:color w:val="auto"/>
          <w:kern w:val="0"/>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18.3 其他保险</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关于其他保险的约定：</w:t>
      </w:r>
      <w:r>
        <w:rPr>
          <w:rFonts w:hint="eastAsia" w:ascii="宋体" w:hAnsi="宋体" w:cs="宋体"/>
          <w:color w:val="auto"/>
          <w:sz w:val="24"/>
          <w:highlight w:val="none"/>
          <w:u w:val="single"/>
        </w:rPr>
        <w:t>执行通用条款</w:t>
      </w:r>
      <w:r>
        <w:rPr>
          <w:rFonts w:hint="eastAsia" w:ascii="宋体" w:hAnsi="宋体" w:cs="宋体"/>
          <w:color w:val="auto"/>
          <w:kern w:val="0"/>
          <w:sz w:val="24"/>
          <w:highlight w:val="none"/>
        </w:rPr>
        <w:t>。</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承包人是否应为其施工设备等办理财产保险：</w:t>
      </w:r>
      <w:r>
        <w:rPr>
          <w:rFonts w:hint="eastAsia" w:ascii="宋体" w:hAnsi="宋体" w:cs="宋体"/>
          <w:color w:val="auto"/>
          <w:sz w:val="24"/>
          <w:highlight w:val="none"/>
          <w:u w:val="single"/>
        </w:rPr>
        <w:t xml:space="preserve">    执行通用条款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18.7 通知义务</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关于变更保险合同时的通知义务的约定：</w:t>
      </w:r>
      <w:r>
        <w:rPr>
          <w:rFonts w:hint="eastAsia" w:ascii="宋体" w:hAnsi="宋体" w:cs="宋体"/>
          <w:color w:val="auto"/>
          <w:sz w:val="24"/>
          <w:highlight w:val="none"/>
          <w:u w:val="single"/>
        </w:rPr>
        <w:t xml:space="preserve">   执行通用条款     </w:t>
      </w:r>
      <w:r>
        <w:rPr>
          <w:rFonts w:hint="eastAsia" w:ascii="宋体" w:hAnsi="宋体" w:cs="宋体"/>
          <w:color w:val="auto"/>
          <w:sz w:val="24"/>
          <w:highlight w:val="none"/>
        </w:rPr>
        <w:t>。</w:t>
      </w:r>
    </w:p>
    <w:bookmarkEnd w:id="538"/>
    <w:bookmarkEnd w:id="539"/>
    <w:bookmarkEnd w:id="540"/>
    <w:bookmarkEnd w:id="541"/>
    <w:bookmarkEnd w:id="542"/>
    <w:bookmarkEnd w:id="543"/>
    <w:bookmarkEnd w:id="544"/>
    <w:bookmarkEnd w:id="545"/>
    <w:bookmarkEnd w:id="546"/>
    <w:bookmarkEnd w:id="547"/>
    <w:bookmarkEnd w:id="548"/>
    <w:bookmarkEnd w:id="549"/>
    <w:p>
      <w:pPr>
        <w:pStyle w:val="2"/>
        <w:spacing w:line="360" w:lineRule="auto"/>
        <w:rPr>
          <w:rFonts w:ascii="宋体" w:hAnsi="宋体" w:eastAsia="宋体" w:cs="宋体"/>
          <w:b w:val="0"/>
          <w:color w:val="auto"/>
          <w:sz w:val="24"/>
          <w:highlight w:val="none"/>
        </w:rPr>
      </w:pPr>
      <w:bookmarkStart w:id="565" w:name="_Toc351203651"/>
      <w:r>
        <w:rPr>
          <w:rFonts w:hint="eastAsia" w:ascii="宋体" w:hAnsi="宋体" w:eastAsia="宋体" w:cs="宋体"/>
          <w:b w:val="0"/>
          <w:color w:val="auto"/>
          <w:sz w:val="24"/>
          <w:highlight w:val="none"/>
        </w:rPr>
        <w:t>20. 争议解决</w:t>
      </w:r>
      <w:bookmarkEnd w:id="565"/>
    </w:p>
    <w:bookmarkEnd w:id="550"/>
    <w:bookmarkEnd w:id="551"/>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20.3 争</w:t>
      </w:r>
      <w:bookmarkEnd w:id="552"/>
      <w:r>
        <w:rPr>
          <w:rFonts w:hint="eastAsia" w:ascii="宋体" w:hAnsi="宋体" w:cs="宋体"/>
          <w:color w:val="auto"/>
          <w:sz w:val="24"/>
          <w:highlight w:val="none"/>
        </w:rPr>
        <w:t>议评审</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合同当事人是否同意将工程争议提交争议评审小组决定：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 xml:space="preserve">。  </w:t>
      </w:r>
    </w:p>
    <w:p>
      <w:pPr>
        <w:spacing w:line="360" w:lineRule="auto"/>
        <w:ind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20.3.1 争议评审小组的确定</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争议评审小组成员的确定：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选定争议评审员的期限：</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争议评审小组成员的报酬承担方式：</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其他事项的约定：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autoSpaceDE w:val="0"/>
        <w:autoSpaceDN w:val="0"/>
        <w:adjustRightInd w:val="0"/>
        <w:spacing w:line="360" w:lineRule="auto"/>
        <w:ind w:firstLine="480" w:firstLineChars="200"/>
        <w:jc w:val="left"/>
        <w:outlineLvl w:val="0"/>
        <w:rPr>
          <w:rFonts w:ascii="宋体" w:hAnsi="宋体" w:cs="宋体"/>
          <w:color w:val="auto"/>
          <w:kern w:val="0"/>
          <w:sz w:val="24"/>
          <w:highlight w:val="none"/>
        </w:rPr>
      </w:pPr>
      <w:r>
        <w:rPr>
          <w:rFonts w:hint="eastAsia" w:ascii="宋体" w:hAnsi="宋体" w:cs="宋体"/>
          <w:color w:val="auto"/>
          <w:kern w:val="0"/>
          <w:sz w:val="24"/>
          <w:highlight w:val="none"/>
        </w:rPr>
        <w:t>20.3.2 争议评审小组的决定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合同当事人关于本项的约定：</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20.4仲裁或诉讼</w:t>
      </w:r>
      <w:bookmarkEnd w:id="55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因合同及合同有关事项发生的争议，按下列第</w:t>
      </w:r>
      <w:r>
        <w:rPr>
          <w:rFonts w:hint="eastAsia" w:ascii="宋体" w:hAnsi="宋体" w:cs="宋体"/>
          <w:color w:val="auto"/>
          <w:sz w:val="24"/>
          <w:highlight w:val="none"/>
          <w:u w:val="single"/>
        </w:rPr>
        <w:t xml:space="preserve">  2   </w:t>
      </w:r>
      <w:r>
        <w:rPr>
          <w:rFonts w:hint="eastAsia" w:ascii="宋体" w:hAnsi="宋体" w:cs="宋体"/>
          <w:color w:val="auto"/>
          <w:sz w:val="24"/>
          <w:highlight w:val="none"/>
        </w:rPr>
        <w:t>种方式解决：</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（1）向</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仲裁委员会申请仲裁；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（2）向</w:t>
      </w:r>
      <w:r>
        <w:rPr>
          <w:rFonts w:hint="eastAsia" w:ascii="宋体" w:hAnsi="宋体" w:cs="宋体"/>
          <w:color w:val="auto"/>
          <w:sz w:val="24"/>
          <w:highlight w:val="none"/>
          <w:u w:val="single"/>
        </w:rPr>
        <w:t xml:space="preserve">    本工程所在地    </w:t>
      </w:r>
      <w:r>
        <w:rPr>
          <w:rFonts w:hint="eastAsia" w:ascii="宋体" w:hAnsi="宋体" w:cs="宋体"/>
          <w:color w:val="auto"/>
          <w:sz w:val="24"/>
          <w:highlight w:val="none"/>
        </w:rPr>
        <w:t>人民法院起诉。</w:t>
      </w:r>
      <w:bookmarkEnd w:id="554"/>
      <w:bookmarkEnd w:id="555"/>
      <w:bookmarkEnd w:id="556"/>
      <w:bookmarkEnd w:id="557"/>
      <w:bookmarkEnd w:id="558"/>
      <w:bookmarkEnd w:id="559"/>
    </w:p>
    <w:p>
      <w:pPr>
        <w:pStyle w:val="2"/>
        <w:rPr>
          <w:color w:val="auto"/>
          <w:highlight w:val="none"/>
        </w:rPr>
      </w:pPr>
    </w:p>
    <w:p>
      <w:pPr>
        <w:spacing w:line="360" w:lineRule="auto"/>
        <w:jc w:val="left"/>
        <w:rPr>
          <w:rFonts w:asciiTheme="majorEastAsia" w:hAnsiTheme="majorEastAsia" w:eastAsiaTheme="majorEastAsia"/>
          <w:b/>
          <w:color w:val="auto"/>
          <w:sz w:val="24"/>
          <w:highlight w:val="none"/>
        </w:rPr>
      </w:pPr>
      <w:r>
        <w:rPr>
          <w:rFonts w:asciiTheme="majorEastAsia" w:hAnsiTheme="majorEastAsia" w:eastAsiaTheme="majorEastAsia"/>
          <w:b/>
          <w:color w:val="auto"/>
          <w:sz w:val="24"/>
          <w:highlight w:val="none"/>
        </w:rPr>
        <w:t>附件</w:t>
      </w:r>
    </w:p>
    <w:p>
      <w:pPr>
        <w:spacing w:line="360" w:lineRule="auto"/>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协议书附件：</w:t>
      </w:r>
    </w:p>
    <w:p>
      <w:pPr>
        <w:spacing w:line="360" w:lineRule="auto"/>
        <w:jc w:val="lef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附件1：承包人承揽工程项目一览表</w:t>
      </w:r>
    </w:p>
    <w:p>
      <w:pPr>
        <w:spacing w:line="360" w:lineRule="auto"/>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专用合同条款附件：</w:t>
      </w:r>
    </w:p>
    <w:p>
      <w:pPr>
        <w:spacing w:line="360" w:lineRule="auto"/>
        <w:jc w:val="lef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附件2：发包人供应材料设备一览表</w:t>
      </w:r>
    </w:p>
    <w:p>
      <w:pPr>
        <w:spacing w:line="360" w:lineRule="auto"/>
        <w:jc w:val="lef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附件3：工程质量保修书</w:t>
      </w:r>
    </w:p>
    <w:p>
      <w:pPr>
        <w:spacing w:line="360" w:lineRule="auto"/>
        <w:jc w:val="left"/>
        <w:rPr>
          <w:rFonts w:eastAsia="楷体_GB2312"/>
          <w:color w:val="auto"/>
          <w:highlight w:val="none"/>
        </w:rPr>
      </w:pPr>
      <w:r>
        <w:rPr>
          <w:rFonts w:hint="eastAsia" w:asciiTheme="majorEastAsia" w:hAnsiTheme="majorEastAsia" w:eastAsiaTheme="majorEastAsia"/>
          <w:color w:val="auto"/>
          <w:sz w:val="24"/>
          <w:highlight w:val="none"/>
        </w:rPr>
        <w:t>附加4：2022年梁溪区老旧小区改造工程施工单位综合考核评分表</w:t>
      </w:r>
    </w:p>
    <w:p>
      <w:pPr>
        <w:spacing w:line="360" w:lineRule="auto"/>
        <w:jc w:val="lef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附件</w:t>
      </w:r>
      <w:r>
        <w:rPr>
          <w:rFonts w:hint="eastAsia" w:asciiTheme="majorEastAsia" w:hAnsiTheme="majorEastAsia" w:eastAsiaTheme="majorEastAsia"/>
          <w:color w:val="auto"/>
          <w:sz w:val="24"/>
          <w:highlight w:val="none"/>
        </w:rPr>
        <w:t>5</w:t>
      </w:r>
      <w:r>
        <w:rPr>
          <w:rFonts w:asciiTheme="majorEastAsia" w:hAnsiTheme="majorEastAsia" w:eastAsiaTheme="majorEastAsia"/>
          <w:color w:val="auto"/>
          <w:sz w:val="24"/>
          <w:highlight w:val="none"/>
        </w:rPr>
        <w:t>：主要建设工程文件目录</w:t>
      </w:r>
    </w:p>
    <w:p>
      <w:pPr>
        <w:spacing w:line="360" w:lineRule="auto"/>
        <w:jc w:val="lef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附件</w:t>
      </w:r>
      <w:r>
        <w:rPr>
          <w:rFonts w:hint="eastAsia" w:asciiTheme="majorEastAsia" w:hAnsiTheme="majorEastAsia" w:eastAsiaTheme="majorEastAsia"/>
          <w:color w:val="auto"/>
          <w:sz w:val="24"/>
          <w:highlight w:val="none"/>
        </w:rPr>
        <w:t>6</w:t>
      </w:r>
      <w:r>
        <w:rPr>
          <w:rFonts w:asciiTheme="majorEastAsia" w:hAnsiTheme="majorEastAsia" w:eastAsiaTheme="majorEastAsia"/>
          <w:color w:val="auto"/>
          <w:sz w:val="24"/>
          <w:highlight w:val="none"/>
        </w:rPr>
        <w:t>：承包人用于本工程施工的机械设备表</w:t>
      </w:r>
    </w:p>
    <w:p>
      <w:pPr>
        <w:spacing w:line="360" w:lineRule="auto"/>
        <w:jc w:val="lef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附件</w:t>
      </w:r>
      <w:r>
        <w:rPr>
          <w:rFonts w:hint="eastAsia" w:asciiTheme="majorEastAsia" w:hAnsiTheme="majorEastAsia" w:eastAsiaTheme="majorEastAsia"/>
          <w:color w:val="auto"/>
          <w:sz w:val="24"/>
          <w:highlight w:val="none"/>
        </w:rPr>
        <w:t>7</w:t>
      </w:r>
      <w:r>
        <w:rPr>
          <w:rFonts w:asciiTheme="majorEastAsia" w:hAnsiTheme="majorEastAsia" w:eastAsiaTheme="majorEastAsia"/>
          <w:color w:val="auto"/>
          <w:sz w:val="24"/>
          <w:highlight w:val="none"/>
        </w:rPr>
        <w:t>：承包人主要施工管理人员表</w:t>
      </w:r>
    </w:p>
    <w:p>
      <w:pPr>
        <w:spacing w:line="360" w:lineRule="auto"/>
        <w:jc w:val="lef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附件</w:t>
      </w:r>
      <w:r>
        <w:rPr>
          <w:rFonts w:hint="eastAsia" w:asciiTheme="majorEastAsia" w:hAnsiTheme="majorEastAsia" w:eastAsiaTheme="majorEastAsia"/>
          <w:color w:val="auto"/>
          <w:sz w:val="24"/>
          <w:highlight w:val="none"/>
        </w:rPr>
        <w:t>8</w:t>
      </w:r>
      <w:r>
        <w:rPr>
          <w:rFonts w:asciiTheme="majorEastAsia" w:hAnsiTheme="majorEastAsia" w:eastAsiaTheme="majorEastAsia"/>
          <w:color w:val="auto"/>
          <w:sz w:val="24"/>
          <w:highlight w:val="none"/>
        </w:rPr>
        <w:t>：分包人主要施工管理人员表</w:t>
      </w:r>
    </w:p>
    <w:p>
      <w:pPr>
        <w:spacing w:line="360" w:lineRule="auto"/>
        <w:jc w:val="lef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附件</w:t>
      </w:r>
      <w:r>
        <w:rPr>
          <w:rFonts w:hint="eastAsia" w:asciiTheme="majorEastAsia" w:hAnsiTheme="majorEastAsia" w:eastAsiaTheme="majorEastAsia"/>
          <w:color w:val="auto"/>
          <w:sz w:val="24"/>
          <w:highlight w:val="none"/>
        </w:rPr>
        <w:t>9</w:t>
      </w:r>
      <w:r>
        <w:rPr>
          <w:rFonts w:asciiTheme="majorEastAsia" w:hAnsiTheme="majorEastAsia" w:eastAsiaTheme="majorEastAsia"/>
          <w:color w:val="auto"/>
          <w:sz w:val="24"/>
          <w:highlight w:val="none"/>
        </w:rPr>
        <w:t>：预付款担保格式</w:t>
      </w:r>
    </w:p>
    <w:p>
      <w:pPr>
        <w:spacing w:line="360" w:lineRule="auto"/>
        <w:jc w:val="lef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附件1</w:t>
      </w:r>
      <w:r>
        <w:rPr>
          <w:rFonts w:hint="eastAsia" w:asciiTheme="majorEastAsia" w:hAnsiTheme="majorEastAsia" w:eastAsiaTheme="majorEastAsia"/>
          <w:color w:val="auto"/>
          <w:sz w:val="24"/>
          <w:highlight w:val="none"/>
        </w:rPr>
        <w:t>0</w:t>
      </w:r>
      <w:r>
        <w:rPr>
          <w:rFonts w:asciiTheme="majorEastAsia" w:hAnsiTheme="majorEastAsia" w:eastAsiaTheme="majorEastAsia"/>
          <w:color w:val="auto"/>
          <w:sz w:val="24"/>
          <w:highlight w:val="none"/>
        </w:rPr>
        <w:t>：暂估价一览表</w:t>
      </w:r>
    </w:p>
    <w:p>
      <w:pPr>
        <w:spacing w:line="360" w:lineRule="auto"/>
        <w:jc w:val="left"/>
        <w:rPr>
          <w:rFonts w:asciiTheme="majorEastAsia" w:hAnsiTheme="majorEastAsia" w:eastAsiaTheme="majorEastAsia"/>
          <w:color w:val="auto"/>
          <w:sz w:val="24"/>
          <w:highlight w:val="none"/>
        </w:rPr>
        <w:sectPr>
          <w:pgSz w:w="11906" w:h="16838"/>
          <w:pgMar w:top="1418" w:right="1555" w:bottom="1418" w:left="1531" w:header="851" w:footer="992" w:gutter="0"/>
          <w:cols w:space="720" w:num="1"/>
          <w:titlePg/>
          <w:docGrid w:type="lines" w:linePitch="312" w:charSpace="0"/>
        </w:sectPr>
      </w:pPr>
      <w:r>
        <w:rPr>
          <w:rFonts w:hint="eastAsia" w:asciiTheme="majorEastAsia" w:hAnsiTheme="majorEastAsia" w:eastAsiaTheme="majorEastAsia"/>
          <w:color w:val="auto"/>
          <w:sz w:val="24"/>
          <w:highlight w:val="none"/>
        </w:rPr>
        <w:t>附件11：2022年梁溪区老旧小区改造工程管理协议</w:t>
      </w:r>
    </w:p>
    <w:p>
      <w:pPr>
        <w:spacing w:beforeLines="50" w:afterLines="50" w:line="440" w:lineRule="exact"/>
        <w:jc w:val="left"/>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附件1：</w:t>
      </w:r>
    </w:p>
    <w:p>
      <w:pPr>
        <w:spacing w:beforeLines="50" w:afterLines="50" w:line="440" w:lineRule="exact"/>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承包人承揽工程项目一览表</w:t>
      </w:r>
    </w:p>
    <w:tbl>
      <w:tblPr>
        <w:tblStyle w:val="17"/>
        <w:tblW w:w="146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单位工程名称</w:t>
            </w:r>
          </w:p>
        </w:tc>
        <w:tc>
          <w:tcPr>
            <w:tcW w:w="1843"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建设规模</w:t>
            </w:r>
          </w:p>
        </w:tc>
        <w:tc>
          <w:tcPr>
            <w:tcW w:w="1417"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建筑面积(平方米)</w:t>
            </w:r>
          </w:p>
        </w:tc>
        <w:tc>
          <w:tcPr>
            <w:tcW w:w="2410"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结构</w:t>
            </w:r>
            <w:r>
              <w:rPr>
                <w:rFonts w:hint="eastAsia" w:asciiTheme="majorEastAsia" w:hAnsiTheme="majorEastAsia" w:eastAsiaTheme="majorEastAsia"/>
                <w:color w:val="auto"/>
                <w:sz w:val="24"/>
                <w:highlight w:val="none"/>
              </w:rPr>
              <w:t>形式</w:t>
            </w:r>
          </w:p>
        </w:tc>
        <w:tc>
          <w:tcPr>
            <w:tcW w:w="850"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层数</w:t>
            </w:r>
          </w:p>
        </w:tc>
        <w:tc>
          <w:tcPr>
            <w:tcW w:w="1560"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生产能力</w:t>
            </w:r>
          </w:p>
        </w:tc>
        <w:tc>
          <w:tcPr>
            <w:tcW w:w="2126"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设备安装内容</w:t>
            </w:r>
          </w:p>
        </w:tc>
        <w:tc>
          <w:tcPr>
            <w:tcW w:w="1417"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合同价格（元）</w:t>
            </w:r>
          </w:p>
        </w:tc>
        <w:tc>
          <w:tcPr>
            <w:tcW w:w="851"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开工日期</w:t>
            </w:r>
          </w:p>
        </w:tc>
        <w:tc>
          <w:tcPr>
            <w:tcW w:w="850"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843"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410"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560"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126"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843"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41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56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126"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843"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41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56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126"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84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41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56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12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843"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41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56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126"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84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41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56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12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843"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41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56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126"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843"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41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56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126"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84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41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56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12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843"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41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56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126"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84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41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56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212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bl>
    <w:p>
      <w:pPr>
        <w:spacing w:line="440" w:lineRule="exact"/>
        <w:rPr>
          <w:rFonts w:asciiTheme="majorEastAsia" w:hAnsiTheme="majorEastAsia" w:eastAsiaTheme="majorEastAsia"/>
          <w:b/>
          <w:color w:val="auto"/>
          <w:sz w:val="24"/>
          <w:highlight w:val="none"/>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附件2：</w:t>
      </w:r>
    </w:p>
    <w:p>
      <w:pPr>
        <w:spacing w:beforeLines="50" w:afterLines="50" w:line="440" w:lineRule="exact"/>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发包人供应材料设备一览表</w:t>
      </w:r>
    </w:p>
    <w:tbl>
      <w:tblPr>
        <w:tblStyle w:val="17"/>
        <w:tblW w:w="103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322"/>
        <w:gridCol w:w="7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序号</w:t>
            </w:r>
          </w:p>
        </w:tc>
        <w:tc>
          <w:tcPr>
            <w:tcW w:w="1276"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材料、</w:t>
            </w:r>
          </w:p>
          <w:p>
            <w:pPr>
              <w:keepNext/>
              <w:autoSpaceDE w:val="0"/>
              <w:autoSpaceDN w:val="0"/>
              <w:adjustRightInd w:val="0"/>
              <w:spacing w:line="440" w:lineRule="exact"/>
              <w:ind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设备品种</w:t>
            </w:r>
          </w:p>
        </w:tc>
        <w:tc>
          <w:tcPr>
            <w:tcW w:w="1418"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规格型号</w:t>
            </w:r>
          </w:p>
        </w:tc>
        <w:tc>
          <w:tcPr>
            <w:tcW w:w="940"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单位</w:t>
            </w:r>
          </w:p>
        </w:tc>
        <w:tc>
          <w:tcPr>
            <w:tcW w:w="851"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数量</w:t>
            </w:r>
          </w:p>
        </w:tc>
        <w:tc>
          <w:tcPr>
            <w:tcW w:w="1044"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单价</w:t>
            </w:r>
            <w:r>
              <w:rPr>
                <w:rFonts w:hint="eastAsia" w:asciiTheme="majorEastAsia" w:hAnsiTheme="majorEastAsia" w:eastAsiaTheme="majorEastAsia"/>
                <w:color w:val="auto"/>
                <w:sz w:val="24"/>
                <w:highlight w:val="none"/>
              </w:rPr>
              <w:t>（元）</w:t>
            </w:r>
          </w:p>
        </w:tc>
        <w:tc>
          <w:tcPr>
            <w:tcW w:w="992"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质量等级</w:t>
            </w:r>
          </w:p>
        </w:tc>
        <w:tc>
          <w:tcPr>
            <w:tcW w:w="851"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供应时间</w:t>
            </w:r>
          </w:p>
        </w:tc>
        <w:tc>
          <w:tcPr>
            <w:tcW w:w="1322"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送达地点</w:t>
            </w:r>
          </w:p>
        </w:tc>
        <w:tc>
          <w:tcPr>
            <w:tcW w:w="764"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8"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40"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044"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92"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322"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764"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8"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4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044"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92"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322"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764"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8"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4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044"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92"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322"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764"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8"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4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044"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92"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322"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764"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8"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4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044"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92"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322"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764"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8"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4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044"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92"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322"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764"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8"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4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044"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92"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322"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764"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8"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4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044"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92"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322"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764"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ajorEastAsia" w:hAnsiTheme="majorEastAsia" w:eastAsiaTheme="majorEastAsia"/>
                <w:color w:val="auto"/>
                <w:sz w:val="24"/>
                <w:highlight w:val="none"/>
              </w:rPr>
            </w:pPr>
          </w:p>
        </w:tc>
        <w:tc>
          <w:tcPr>
            <w:tcW w:w="1276" w:type="dxa"/>
            <w:vAlign w:val="center"/>
          </w:tcPr>
          <w:p>
            <w:pPr>
              <w:jc w:val="center"/>
              <w:rPr>
                <w:rFonts w:asciiTheme="majorEastAsia" w:hAnsiTheme="majorEastAsia" w:eastAsiaTheme="majorEastAsia"/>
                <w:color w:val="auto"/>
                <w:sz w:val="24"/>
                <w:highlight w:val="none"/>
              </w:rPr>
            </w:pPr>
          </w:p>
        </w:tc>
        <w:tc>
          <w:tcPr>
            <w:tcW w:w="1418" w:type="dxa"/>
            <w:vAlign w:val="center"/>
          </w:tcPr>
          <w:p>
            <w:pPr>
              <w:jc w:val="center"/>
              <w:rPr>
                <w:rFonts w:asciiTheme="majorEastAsia" w:hAnsiTheme="majorEastAsia" w:eastAsiaTheme="majorEastAsia"/>
                <w:color w:val="auto"/>
                <w:sz w:val="24"/>
                <w:highlight w:val="none"/>
              </w:rPr>
            </w:pPr>
          </w:p>
        </w:tc>
        <w:tc>
          <w:tcPr>
            <w:tcW w:w="940"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044" w:type="dxa"/>
            <w:vAlign w:val="center"/>
          </w:tcPr>
          <w:p>
            <w:pPr>
              <w:jc w:val="center"/>
              <w:rPr>
                <w:rFonts w:asciiTheme="majorEastAsia" w:hAnsiTheme="majorEastAsia" w:eastAsiaTheme="majorEastAsia"/>
                <w:color w:val="auto"/>
                <w:sz w:val="24"/>
                <w:highlight w:val="none"/>
              </w:rPr>
            </w:pPr>
          </w:p>
        </w:tc>
        <w:tc>
          <w:tcPr>
            <w:tcW w:w="992"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322" w:type="dxa"/>
            <w:vAlign w:val="center"/>
          </w:tcPr>
          <w:p>
            <w:pPr>
              <w:jc w:val="center"/>
              <w:rPr>
                <w:rFonts w:asciiTheme="majorEastAsia" w:hAnsiTheme="majorEastAsia" w:eastAsiaTheme="majorEastAsia"/>
                <w:color w:val="auto"/>
                <w:sz w:val="24"/>
                <w:highlight w:val="none"/>
              </w:rPr>
            </w:pPr>
          </w:p>
        </w:tc>
        <w:tc>
          <w:tcPr>
            <w:tcW w:w="764" w:type="dxa"/>
            <w:vAlign w:val="center"/>
          </w:tcPr>
          <w:p>
            <w:pPr>
              <w:jc w:val="center"/>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18"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4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044"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992"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851"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322"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764"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ajorEastAsia" w:hAnsiTheme="majorEastAsia" w:eastAsiaTheme="majorEastAsia"/>
                <w:color w:val="auto"/>
                <w:sz w:val="24"/>
                <w:highlight w:val="none"/>
              </w:rPr>
            </w:pPr>
          </w:p>
        </w:tc>
        <w:tc>
          <w:tcPr>
            <w:tcW w:w="1276" w:type="dxa"/>
            <w:vAlign w:val="center"/>
          </w:tcPr>
          <w:p>
            <w:pPr>
              <w:jc w:val="center"/>
              <w:rPr>
                <w:rFonts w:asciiTheme="majorEastAsia" w:hAnsiTheme="majorEastAsia" w:eastAsiaTheme="majorEastAsia"/>
                <w:color w:val="auto"/>
                <w:sz w:val="24"/>
                <w:highlight w:val="none"/>
              </w:rPr>
            </w:pPr>
          </w:p>
        </w:tc>
        <w:tc>
          <w:tcPr>
            <w:tcW w:w="1418" w:type="dxa"/>
            <w:vAlign w:val="center"/>
          </w:tcPr>
          <w:p>
            <w:pPr>
              <w:jc w:val="center"/>
              <w:rPr>
                <w:rFonts w:asciiTheme="majorEastAsia" w:hAnsiTheme="majorEastAsia" w:eastAsiaTheme="majorEastAsia"/>
                <w:color w:val="auto"/>
                <w:sz w:val="24"/>
                <w:highlight w:val="none"/>
              </w:rPr>
            </w:pPr>
          </w:p>
        </w:tc>
        <w:tc>
          <w:tcPr>
            <w:tcW w:w="940"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044" w:type="dxa"/>
            <w:vAlign w:val="center"/>
          </w:tcPr>
          <w:p>
            <w:pPr>
              <w:jc w:val="center"/>
              <w:rPr>
                <w:rFonts w:asciiTheme="majorEastAsia" w:hAnsiTheme="majorEastAsia" w:eastAsiaTheme="majorEastAsia"/>
                <w:color w:val="auto"/>
                <w:sz w:val="24"/>
                <w:highlight w:val="none"/>
              </w:rPr>
            </w:pPr>
          </w:p>
        </w:tc>
        <w:tc>
          <w:tcPr>
            <w:tcW w:w="992"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322" w:type="dxa"/>
            <w:vAlign w:val="center"/>
          </w:tcPr>
          <w:p>
            <w:pPr>
              <w:jc w:val="center"/>
              <w:rPr>
                <w:rFonts w:asciiTheme="majorEastAsia" w:hAnsiTheme="majorEastAsia" w:eastAsiaTheme="majorEastAsia"/>
                <w:color w:val="auto"/>
                <w:sz w:val="24"/>
                <w:highlight w:val="none"/>
              </w:rPr>
            </w:pPr>
          </w:p>
        </w:tc>
        <w:tc>
          <w:tcPr>
            <w:tcW w:w="764" w:type="dxa"/>
            <w:vAlign w:val="center"/>
          </w:tcPr>
          <w:p>
            <w:pPr>
              <w:jc w:val="center"/>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ajorEastAsia" w:hAnsiTheme="majorEastAsia" w:eastAsiaTheme="majorEastAsia"/>
                <w:color w:val="auto"/>
                <w:sz w:val="24"/>
                <w:highlight w:val="none"/>
              </w:rPr>
            </w:pPr>
          </w:p>
        </w:tc>
        <w:tc>
          <w:tcPr>
            <w:tcW w:w="1276" w:type="dxa"/>
            <w:vAlign w:val="center"/>
          </w:tcPr>
          <w:p>
            <w:pPr>
              <w:jc w:val="center"/>
              <w:rPr>
                <w:rFonts w:asciiTheme="majorEastAsia" w:hAnsiTheme="majorEastAsia" w:eastAsiaTheme="majorEastAsia"/>
                <w:color w:val="auto"/>
                <w:sz w:val="24"/>
                <w:highlight w:val="none"/>
              </w:rPr>
            </w:pPr>
          </w:p>
        </w:tc>
        <w:tc>
          <w:tcPr>
            <w:tcW w:w="1418" w:type="dxa"/>
            <w:vAlign w:val="center"/>
          </w:tcPr>
          <w:p>
            <w:pPr>
              <w:jc w:val="center"/>
              <w:rPr>
                <w:rFonts w:asciiTheme="majorEastAsia" w:hAnsiTheme="majorEastAsia" w:eastAsiaTheme="majorEastAsia"/>
                <w:color w:val="auto"/>
                <w:sz w:val="24"/>
                <w:highlight w:val="none"/>
              </w:rPr>
            </w:pPr>
          </w:p>
        </w:tc>
        <w:tc>
          <w:tcPr>
            <w:tcW w:w="940"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044" w:type="dxa"/>
            <w:vAlign w:val="center"/>
          </w:tcPr>
          <w:p>
            <w:pPr>
              <w:jc w:val="center"/>
              <w:rPr>
                <w:rFonts w:asciiTheme="majorEastAsia" w:hAnsiTheme="majorEastAsia" w:eastAsiaTheme="majorEastAsia"/>
                <w:color w:val="auto"/>
                <w:sz w:val="24"/>
                <w:highlight w:val="none"/>
              </w:rPr>
            </w:pPr>
          </w:p>
        </w:tc>
        <w:tc>
          <w:tcPr>
            <w:tcW w:w="992"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322" w:type="dxa"/>
            <w:vAlign w:val="center"/>
          </w:tcPr>
          <w:p>
            <w:pPr>
              <w:jc w:val="center"/>
              <w:rPr>
                <w:rFonts w:asciiTheme="majorEastAsia" w:hAnsiTheme="majorEastAsia" w:eastAsiaTheme="majorEastAsia"/>
                <w:color w:val="auto"/>
                <w:sz w:val="24"/>
                <w:highlight w:val="none"/>
              </w:rPr>
            </w:pPr>
          </w:p>
        </w:tc>
        <w:tc>
          <w:tcPr>
            <w:tcW w:w="764" w:type="dxa"/>
            <w:vAlign w:val="center"/>
          </w:tcPr>
          <w:p>
            <w:pPr>
              <w:jc w:val="center"/>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ajorEastAsia" w:hAnsiTheme="majorEastAsia" w:eastAsiaTheme="majorEastAsia"/>
                <w:color w:val="auto"/>
                <w:sz w:val="24"/>
                <w:highlight w:val="none"/>
              </w:rPr>
            </w:pPr>
          </w:p>
        </w:tc>
        <w:tc>
          <w:tcPr>
            <w:tcW w:w="1276" w:type="dxa"/>
            <w:vAlign w:val="center"/>
          </w:tcPr>
          <w:p>
            <w:pPr>
              <w:jc w:val="center"/>
              <w:rPr>
                <w:rFonts w:asciiTheme="majorEastAsia" w:hAnsiTheme="majorEastAsia" w:eastAsiaTheme="majorEastAsia"/>
                <w:color w:val="auto"/>
                <w:sz w:val="24"/>
                <w:highlight w:val="none"/>
              </w:rPr>
            </w:pPr>
          </w:p>
        </w:tc>
        <w:tc>
          <w:tcPr>
            <w:tcW w:w="1418" w:type="dxa"/>
            <w:vAlign w:val="center"/>
          </w:tcPr>
          <w:p>
            <w:pPr>
              <w:jc w:val="center"/>
              <w:rPr>
                <w:rFonts w:asciiTheme="majorEastAsia" w:hAnsiTheme="majorEastAsia" w:eastAsiaTheme="majorEastAsia"/>
                <w:color w:val="auto"/>
                <w:sz w:val="24"/>
                <w:highlight w:val="none"/>
              </w:rPr>
            </w:pPr>
          </w:p>
        </w:tc>
        <w:tc>
          <w:tcPr>
            <w:tcW w:w="940"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044" w:type="dxa"/>
            <w:vAlign w:val="center"/>
          </w:tcPr>
          <w:p>
            <w:pPr>
              <w:jc w:val="center"/>
              <w:rPr>
                <w:rFonts w:asciiTheme="majorEastAsia" w:hAnsiTheme="majorEastAsia" w:eastAsiaTheme="majorEastAsia"/>
                <w:color w:val="auto"/>
                <w:sz w:val="24"/>
                <w:highlight w:val="none"/>
              </w:rPr>
            </w:pPr>
          </w:p>
        </w:tc>
        <w:tc>
          <w:tcPr>
            <w:tcW w:w="992"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322" w:type="dxa"/>
            <w:vAlign w:val="center"/>
          </w:tcPr>
          <w:p>
            <w:pPr>
              <w:jc w:val="center"/>
              <w:rPr>
                <w:rFonts w:asciiTheme="majorEastAsia" w:hAnsiTheme="majorEastAsia" w:eastAsiaTheme="majorEastAsia"/>
                <w:color w:val="auto"/>
                <w:sz w:val="24"/>
                <w:highlight w:val="none"/>
              </w:rPr>
            </w:pPr>
          </w:p>
        </w:tc>
        <w:tc>
          <w:tcPr>
            <w:tcW w:w="764" w:type="dxa"/>
            <w:vAlign w:val="center"/>
          </w:tcPr>
          <w:p>
            <w:pPr>
              <w:jc w:val="center"/>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ajorEastAsia" w:hAnsiTheme="majorEastAsia" w:eastAsiaTheme="majorEastAsia"/>
                <w:color w:val="auto"/>
                <w:sz w:val="24"/>
                <w:highlight w:val="none"/>
              </w:rPr>
            </w:pPr>
          </w:p>
        </w:tc>
        <w:tc>
          <w:tcPr>
            <w:tcW w:w="1276" w:type="dxa"/>
            <w:vAlign w:val="center"/>
          </w:tcPr>
          <w:p>
            <w:pPr>
              <w:jc w:val="center"/>
              <w:rPr>
                <w:rFonts w:asciiTheme="majorEastAsia" w:hAnsiTheme="majorEastAsia" w:eastAsiaTheme="majorEastAsia"/>
                <w:color w:val="auto"/>
                <w:sz w:val="24"/>
                <w:highlight w:val="none"/>
              </w:rPr>
            </w:pPr>
          </w:p>
        </w:tc>
        <w:tc>
          <w:tcPr>
            <w:tcW w:w="1418" w:type="dxa"/>
            <w:vAlign w:val="center"/>
          </w:tcPr>
          <w:p>
            <w:pPr>
              <w:jc w:val="center"/>
              <w:rPr>
                <w:rFonts w:asciiTheme="majorEastAsia" w:hAnsiTheme="majorEastAsia" w:eastAsiaTheme="majorEastAsia"/>
                <w:color w:val="auto"/>
                <w:sz w:val="24"/>
                <w:highlight w:val="none"/>
              </w:rPr>
            </w:pPr>
          </w:p>
        </w:tc>
        <w:tc>
          <w:tcPr>
            <w:tcW w:w="940"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044" w:type="dxa"/>
            <w:vAlign w:val="center"/>
          </w:tcPr>
          <w:p>
            <w:pPr>
              <w:jc w:val="center"/>
              <w:rPr>
                <w:rFonts w:asciiTheme="majorEastAsia" w:hAnsiTheme="majorEastAsia" w:eastAsiaTheme="majorEastAsia"/>
                <w:color w:val="auto"/>
                <w:sz w:val="24"/>
                <w:highlight w:val="none"/>
              </w:rPr>
            </w:pPr>
          </w:p>
        </w:tc>
        <w:tc>
          <w:tcPr>
            <w:tcW w:w="992"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322" w:type="dxa"/>
            <w:vAlign w:val="center"/>
          </w:tcPr>
          <w:p>
            <w:pPr>
              <w:jc w:val="center"/>
              <w:rPr>
                <w:rFonts w:asciiTheme="majorEastAsia" w:hAnsiTheme="majorEastAsia" w:eastAsiaTheme="majorEastAsia"/>
                <w:color w:val="auto"/>
                <w:sz w:val="24"/>
                <w:highlight w:val="none"/>
              </w:rPr>
            </w:pPr>
          </w:p>
        </w:tc>
        <w:tc>
          <w:tcPr>
            <w:tcW w:w="764" w:type="dxa"/>
            <w:vAlign w:val="center"/>
          </w:tcPr>
          <w:p>
            <w:pPr>
              <w:jc w:val="center"/>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ajorEastAsia" w:hAnsiTheme="majorEastAsia" w:eastAsiaTheme="majorEastAsia"/>
                <w:color w:val="auto"/>
                <w:sz w:val="24"/>
                <w:highlight w:val="none"/>
              </w:rPr>
            </w:pPr>
          </w:p>
        </w:tc>
        <w:tc>
          <w:tcPr>
            <w:tcW w:w="1276" w:type="dxa"/>
            <w:vAlign w:val="center"/>
          </w:tcPr>
          <w:p>
            <w:pPr>
              <w:jc w:val="center"/>
              <w:rPr>
                <w:rFonts w:asciiTheme="majorEastAsia" w:hAnsiTheme="majorEastAsia" w:eastAsiaTheme="majorEastAsia"/>
                <w:color w:val="auto"/>
                <w:sz w:val="24"/>
                <w:highlight w:val="none"/>
              </w:rPr>
            </w:pPr>
          </w:p>
        </w:tc>
        <w:tc>
          <w:tcPr>
            <w:tcW w:w="1418" w:type="dxa"/>
            <w:vAlign w:val="center"/>
          </w:tcPr>
          <w:p>
            <w:pPr>
              <w:jc w:val="center"/>
              <w:rPr>
                <w:rFonts w:asciiTheme="majorEastAsia" w:hAnsiTheme="majorEastAsia" w:eastAsiaTheme="majorEastAsia"/>
                <w:color w:val="auto"/>
                <w:sz w:val="24"/>
                <w:highlight w:val="none"/>
              </w:rPr>
            </w:pPr>
          </w:p>
        </w:tc>
        <w:tc>
          <w:tcPr>
            <w:tcW w:w="940"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044" w:type="dxa"/>
            <w:vAlign w:val="center"/>
          </w:tcPr>
          <w:p>
            <w:pPr>
              <w:jc w:val="center"/>
              <w:rPr>
                <w:rFonts w:asciiTheme="majorEastAsia" w:hAnsiTheme="majorEastAsia" w:eastAsiaTheme="majorEastAsia"/>
                <w:color w:val="auto"/>
                <w:sz w:val="24"/>
                <w:highlight w:val="none"/>
              </w:rPr>
            </w:pPr>
          </w:p>
        </w:tc>
        <w:tc>
          <w:tcPr>
            <w:tcW w:w="992"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322" w:type="dxa"/>
            <w:vAlign w:val="center"/>
          </w:tcPr>
          <w:p>
            <w:pPr>
              <w:jc w:val="center"/>
              <w:rPr>
                <w:rFonts w:asciiTheme="majorEastAsia" w:hAnsiTheme="majorEastAsia" w:eastAsiaTheme="majorEastAsia"/>
                <w:color w:val="auto"/>
                <w:sz w:val="24"/>
                <w:highlight w:val="none"/>
              </w:rPr>
            </w:pPr>
          </w:p>
        </w:tc>
        <w:tc>
          <w:tcPr>
            <w:tcW w:w="764" w:type="dxa"/>
            <w:vAlign w:val="center"/>
          </w:tcPr>
          <w:p>
            <w:pPr>
              <w:jc w:val="center"/>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ajorEastAsia" w:hAnsiTheme="majorEastAsia" w:eastAsiaTheme="majorEastAsia"/>
                <w:color w:val="auto"/>
                <w:sz w:val="24"/>
                <w:highlight w:val="none"/>
              </w:rPr>
            </w:pPr>
          </w:p>
        </w:tc>
        <w:tc>
          <w:tcPr>
            <w:tcW w:w="1276" w:type="dxa"/>
            <w:vAlign w:val="center"/>
          </w:tcPr>
          <w:p>
            <w:pPr>
              <w:jc w:val="center"/>
              <w:rPr>
                <w:rFonts w:asciiTheme="majorEastAsia" w:hAnsiTheme="majorEastAsia" w:eastAsiaTheme="majorEastAsia"/>
                <w:color w:val="auto"/>
                <w:sz w:val="24"/>
                <w:highlight w:val="none"/>
              </w:rPr>
            </w:pPr>
          </w:p>
        </w:tc>
        <w:tc>
          <w:tcPr>
            <w:tcW w:w="1418" w:type="dxa"/>
            <w:vAlign w:val="center"/>
          </w:tcPr>
          <w:p>
            <w:pPr>
              <w:jc w:val="center"/>
              <w:rPr>
                <w:rFonts w:asciiTheme="majorEastAsia" w:hAnsiTheme="majorEastAsia" w:eastAsiaTheme="majorEastAsia"/>
                <w:color w:val="auto"/>
                <w:sz w:val="24"/>
                <w:highlight w:val="none"/>
              </w:rPr>
            </w:pPr>
          </w:p>
        </w:tc>
        <w:tc>
          <w:tcPr>
            <w:tcW w:w="940"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044" w:type="dxa"/>
            <w:vAlign w:val="center"/>
          </w:tcPr>
          <w:p>
            <w:pPr>
              <w:jc w:val="center"/>
              <w:rPr>
                <w:rFonts w:asciiTheme="majorEastAsia" w:hAnsiTheme="majorEastAsia" w:eastAsiaTheme="majorEastAsia"/>
                <w:color w:val="auto"/>
                <w:sz w:val="24"/>
                <w:highlight w:val="none"/>
              </w:rPr>
            </w:pPr>
          </w:p>
        </w:tc>
        <w:tc>
          <w:tcPr>
            <w:tcW w:w="992"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322" w:type="dxa"/>
            <w:vAlign w:val="center"/>
          </w:tcPr>
          <w:p>
            <w:pPr>
              <w:jc w:val="center"/>
              <w:rPr>
                <w:rFonts w:asciiTheme="majorEastAsia" w:hAnsiTheme="majorEastAsia" w:eastAsiaTheme="majorEastAsia"/>
                <w:color w:val="auto"/>
                <w:sz w:val="24"/>
                <w:highlight w:val="none"/>
              </w:rPr>
            </w:pPr>
          </w:p>
        </w:tc>
        <w:tc>
          <w:tcPr>
            <w:tcW w:w="764" w:type="dxa"/>
            <w:vAlign w:val="center"/>
          </w:tcPr>
          <w:p>
            <w:pPr>
              <w:jc w:val="center"/>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ajorEastAsia" w:hAnsiTheme="majorEastAsia" w:eastAsiaTheme="majorEastAsia"/>
                <w:color w:val="auto"/>
                <w:sz w:val="24"/>
                <w:highlight w:val="none"/>
              </w:rPr>
            </w:pPr>
          </w:p>
        </w:tc>
        <w:tc>
          <w:tcPr>
            <w:tcW w:w="1276" w:type="dxa"/>
            <w:vAlign w:val="center"/>
          </w:tcPr>
          <w:p>
            <w:pPr>
              <w:jc w:val="center"/>
              <w:rPr>
                <w:rFonts w:asciiTheme="majorEastAsia" w:hAnsiTheme="majorEastAsia" w:eastAsiaTheme="majorEastAsia"/>
                <w:color w:val="auto"/>
                <w:sz w:val="24"/>
                <w:highlight w:val="none"/>
              </w:rPr>
            </w:pPr>
          </w:p>
        </w:tc>
        <w:tc>
          <w:tcPr>
            <w:tcW w:w="1418" w:type="dxa"/>
            <w:vAlign w:val="center"/>
          </w:tcPr>
          <w:p>
            <w:pPr>
              <w:jc w:val="center"/>
              <w:rPr>
                <w:rFonts w:asciiTheme="majorEastAsia" w:hAnsiTheme="majorEastAsia" w:eastAsiaTheme="majorEastAsia"/>
                <w:color w:val="auto"/>
                <w:sz w:val="24"/>
                <w:highlight w:val="none"/>
              </w:rPr>
            </w:pPr>
          </w:p>
        </w:tc>
        <w:tc>
          <w:tcPr>
            <w:tcW w:w="940"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044" w:type="dxa"/>
            <w:vAlign w:val="center"/>
          </w:tcPr>
          <w:p>
            <w:pPr>
              <w:jc w:val="center"/>
              <w:rPr>
                <w:rFonts w:asciiTheme="majorEastAsia" w:hAnsiTheme="majorEastAsia" w:eastAsiaTheme="majorEastAsia"/>
                <w:color w:val="auto"/>
                <w:sz w:val="24"/>
                <w:highlight w:val="none"/>
              </w:rPr>
            </w:pPr>
          </w:p>
        </w:tc>
        <w:tc>
          <w:tcPr>
            <w:tcW w:w="992"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322" w:type="dxa"/>
            <w:vAlign w:val="center"/>
          </w:tcPr>
          <w:p>
            <w:pPr>
              <w:jc w:val="center"/>
              <w:rPr>
                <w:rFonts w:asciiTheme="majorEastAsia" w:hAnsiTheme="majorEastAsia" w:eastAsiaTheme="majorEastAsia"/>
                <w:color w:val="auto"/>
                <w:sz w:val="24"/>
                <w:highlight w:val="none"/>
              </w:rPr>
            </w:pPr>
          </w:p>
        </w:tc>
        <w:tc>
          <w:tcPr>
            <w:tcW w:w="764" w:type="dxa"/>
            <w:vAlign w:val="center"/>
          </w:tcPr>
          <w:p>
            <w:pPr>
              <w:jc w:val="center"/>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Theme="majorEastAsia" w:hAnsiTheme="majorEastAsia" w:eastAsiaTheme="majorEastAsia"/>
                <w:color w:val="auto"/>
                <w:sz w:val="24"/>
                <w:highlight w:val="none"/>
              </w:rPr>
            </w:pPr>
          </w:p>
        </w:tc>
        <w:tc>
          <w:tcPr>
            <w:tcW w:w="1276" w:type="dxa"/>
            <w:vAlign w:val="center"/>
          </w:tcPr>
          <w:p>
            <w:pPr>
              <w:jc w:val="center"/>
              <w:rPr>
                <w:rFonts w:asciiTheme="majorEastAsia" w:hAnsiTheme="majorEastAsia" w:eastAsiaTheme="majorEastAsia"/>
                <w:color w:val="auto"/>
                <w:sz w:val="24"/>
                <w:highlight w:val="none"/>
              </w:rPr>
            </w:pPr>
          </w:p>
        </w:tc>
        <w:tc>
          <w:tcPr>
            <w:tcW w:w="1418" w:type="dxa"/>
            <w:vAlign w:val="center"/>
          </w:tcPr>
          <w:p>
            <w:pPr>
              <w:jc w:val="center"/>
              <w:rPr>
                <w:rFonts w:asciiTheme="majorEastAsia" w:hAnsiTheme="majorEastAsia" w:eastAsiaTheme="majorEastAsia"/>
                <w:color w:val="auto"/>
                <w:sz w:val="24"/>
                <w:highlight w:val="none"/>
              </w:rPr>
            </w:pPr>
          </w:p>
        </w:tc>
        <w:tc>
          <w:tcPr>
            <w:tcW w:w="940"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044" w:type="dxa"/>
            <w:vAlign w:val="center"/>
          </w:tcPr>
          <w:p>
            <w:pPr>
              <w:jc w:val="center"/>
              <w:rPr>
                <w:rFonts w:asciiTheme="majorEastAsia" w:hAnsiTheme="majorEastAsia" w:eastAsiaTheme="majorEastAsia"/>
                <w:color w:val="auto"/>
                <w:sz w:val="24"/>
                <w:highlight w:val="none"/>
              </w:rPr>
            </w:pPr>
          </w:p>
        </w:tc>
        <w:tc>
          <w:tcPr>
            <w:tcW w:w="992" w:type="dxa"/>
            <w:vAlign w:val="center"/>
          </w:tcPr>
          <w:p>
            <w:pPr>
              <w:jc w:val="center"/>
              <w:rPr>
                <w:rFonts w:asciiTheme="majorEastAsia" w:hAnsiTheme="majorEastAsia" w:eastAsiaTheme="majorEastAsia"/>
                <w:color w:val="auto"/>
                <w:sz w:val="24"/>
                <w:highlight w:val="none"/>
              </w:rPr>
            </w:pPr>
          </w:p>
        </w:tc>
        <w:tc>
          <w:tcPr>
            <w:tcW w:w="851" w:type="dxa"/>
            <w:vAlign w:val="center"/>
          </w:tcPr>
          <w:p>
            <w:pPr>
              <w:jc w:val="center"/>
              <w:rPr>
                <w:rFonts w:asciiTheme="majorEastAsia" w:hAnsiTheme="majorEastAsia" w:eastAsiaTheme="majorEastAsia"/>
                <w:color w:val="auto"/>
                <w:sz w:val="24"/>
                <w:highlight w:val="none"/>
              </w:rPr>
            </w:pPr>
          </w:p>
        </w:tc>
        <w:tc>
          <w:tcPr>
            <w:tcW w:w="1322" w:type="dxa"/>
            <w:vAlign w:val="center"/>
          </w:tcPr>
          <w:p>
            <w:pPr>
              <w:jc w:val="center"/>
              <w:rPr>
                <w:rFonts w:asciiTheme="majorEastAsia" w:hAnsiTheme="majorEastAsia" w:eastAsiaTheme="majorEastAsia"/>
                <w:color w:val="auto"/>
                <w:sz w:val="24"/>
                <w:highlight w:val="none"/>
              </w:rPr>
            </w:pPr>
          </w:p>
        </w:tc>
        <w:tc>
          <w:tcPr>
            <w:tcW w:w="764" w:type="dxa"/>
            <w:vAlign w:val="center"/>
          </w:tcPr>
          <w:p>
            <w:pPr>
              <w:jc w:val="center"/>
              <w:rPr>
                <w:rFonts w:asciiTheme="majorEastAsia" w:hAnsiTheme="majorEastAsia" w:eastAsiaTheme="majorEastAsia"/>
                <w:color w:val="auto"/>
                <w:sz w:val="24"/>
                <w:highlight w:val="none"/>
              </w:rPr>
            </w:pPr>
          </w:p>
        </w:tc>
      </w:tr>
    </w:tbl>
    <w:p>
      <w:pPr>
        <w:spacing w:line="440" w:lineRule="exact"/>
        <w:rPr>
          <w:rFonts w:asciiTheme="majorEastAsia" w:hAnsiTheme="majorEastAsia" w:eastAsiaTheme="majorEastAsia"/>
          <w:color w:val="auto"/>
          <w:sz w:val="24"/>
          <w:highlight w:val="none"/>
        </w:rPr>
      </w:pPr>
    </w:p>
    <w:p>
      <w:pPr>
        <w:spacing w:line="440" w:lineRule="exact"/>
        <w:rPr>
          <w:rFonts w:asciiTheme="majorEastAsia" w:hAnsiTheme="majorEastAsia" w:eastAsiaTheme="majorEastAsia"/>
          <w:color w:val="auto"/>
          <w:sz w:val="24"/>
          <w:highlight w:val="none"/>
        </w:rPr>
      </w:pPr>
    </w:p>
    <w:p>
      <w:pPr>
        <w:spacing w:line="440" w:lineRule="exac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br w:type="page"/>
      </w:r>
      <w:r>
        <w:rPr>
          <w:rFonts w:asciiTheme="majorEastAsia" w:hAnsiTheme="majorEastAsia" w:eastAsiaTheme="majorEastAsia"/>
          <w:color w:val="auto"/>
          <w:sz w:val="24"/>
          <w:highlight w:val="none"/>
        </w:rPr>
        <w:t>附件3：</w:t>
      </w:r>
    </w:p>
    <w:p>
      <w:pPr>
        <w:spacing w:beforeLines="50" w:afterLines="50" w:line="440" w:lineRule="exact"/>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工程质量保修书</w:t>
      </w:r>
    </w:p>
    <w:p>
      <w:pPr>
        <w:spacing w:line="440" w:lineRule="exact"/>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发包人（全称）：</w:t>
      </w:r>
    </w:p>
    <w:p>
      <w:pPr>
        <w:spacing w:line="440" w:lineRule="exac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承包人（全称）：</w:t>
      </w:r>
    </w:p>
    <w:p>
      <w:pPr>
        <w:spacing w:line="440" w:lineRule="exact"/>
        <w:rPr>
          <w:rFonts w:asciiTheme="majorEastAsia" w:hAnsiTheme="majorEastAsia" w:eastAsiaTheme="majorEastAsia"/>
          <w:color w:val="auto"/>
          <w:sz w:val="24"/>
          <w:highlight w:val="none"/>
        </w:rPr>
      </w:pPr>
    </w:p>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发包人和承包人根据《中华人民共和国建筑法》和《建设工程质量管理条例》，经协商一致就（工程全称）签订工程质量保修书。</w:t>
      </w:r>
    </w:p>
    <w:p>
      <w:pPr>
        <w:spacing w:line="360" w:lineRule="auto"/>
        <w:outlineLvl w:val="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一、工程质量保修范围和内容</w:t>
      </w:r>
    </w:p>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承包人在质量保修期内，按照有关法律规定和合同约定，承担工程质量保修责任。</w:t>
      </w:r>
    </w:p>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outlineLvl w:val="0"/>
        <w:rPr>
          <w:rFonts w:asciiTheme="majorEastAsia" w:hAnsiTheme="majorEastAsia" w:eastAsiaTheme="majorEastAsia"/>
          <w:color w:val="auto"/>
          <w:sz w:val="24"/>
          <w:highlight w:val="none"/>
        </w:rPr>
      </w:pPr>
      <w:r>
        <w:rPr>
          <w:rFonts w:asciiTheme="majorEastAsia" w:hAnsiTheme="majorEastAsia" w:eastAsiaTheme="majorEastAsia"/>
          <w:b/>
          <w:color w:val="auto"/>
          <w:sz w:val="24"/>
          <w:highlight w:val="none"/>
        </w:rPr>
        <w:t>　　</w:t>
      </w:r>
      <w:r>
        <w:rPr>
          <w:rFonts w:asciiTheme="majorEastAsia" w:hAnsiTheme="majorEastAsia" w:eastAsiaTheme="majorEastAsia"/>
          <w:color w:val="auto"/>
          <w:sz w:val="24"/>
          <w:highlight w:val="none"/>
        </w:rPr>
        <w:t>二、质量保修期</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根据《建设工程质量管理条例》及有关规定，工程的质量保修期如下：</w:t>
      </w:r>
    </w:p>
    <w:p>
      <w:pPr>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1．地基基础工程和主体结构工程为设计文件规定的工程合理使用年限；</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w:t>
      </w:r>
      <w:r>
        <w:rPr>
          <w:rFonts w:asciiTheme="majorEastAsia" w:hAnsiTheme="majorEastAsia" w:eastAsiaTheme="majorEastAsia"/>
          <w:color w:val="auto"/>
          <w:sz w:val="24"/>
          <w:highlight w:val="none"/>
        </w:rPr>
        <w:t>屋面防水工程、有防水要求的卫生间、房间和外墙面的防渗</w:t>
      </w:r>
      <w:r>
        <w:rPr>
          <w:rFonts w:hint="eastAsia" w:asciiTheme="majorEastAsia" w:hAnsiTheme="majorEastAsia" w:eastAsiaTheme="majorEastAsia"/>
          <w:color w:val="auto"/>
          <w:sz w:val="24"/>
          <w:highlight w:val="none"/>
        </w:rPr>
        <w:t>为</w:t>
      </w:r>
      <w:r>
        <w:rPr>
          <w:rFonts w:hint="eastAsia" w:asciiTheme="majorEastAsia" w:hAnsiTheme="majorEastAsia" w:eastAsiaTheme="majorEastAsia"/>
          <w:color w:val="auto"/>
          <w:sz w:val="24"/>
          <w:highlight w:val="none"/>
          <w:u w:val="single"/>
        </w:rPr>
        <w:t xml:space="preserve">    5    </w:t>
      </w:r>
      <w:r>
        <w:rPr>
          <w:rFonts w:asciiTheme="majorEastAsia" w:hAnsiTheme="majorEastAsia" w:eastAsiaTheme="majorEastAsia"/>
          <w:color w:val="auto"/>
          <w:sz w:val="24"/>
          <w:highlight w:val="none"/>
        </w:rPr>
        <w:t>年；</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w:t>
      </w:r>
      <w:r>
        <w:rPr>
          <w:rFonts w:asciiTheme="majorEastAsia" w:hAnsiTheme="majorEastAsia" w:eastAsiaTheme="majorEastAsia"/>
          <w:color w:val="auto"/>
          <w:sz w:val="24"/>
          <w:highlight w:val="none"/>
        </w:rPr>
        <w:t>装修工程为</w:t>
      </w:r>
      <w:r>
        <w:rPr>
          <w:rFonts w:hint="eastAsia" w:asciiTheme="majorEastAsia" w:hAnsiTheme="majorEastAsia" w:eastAsiaTheme="majorEastAsia"/>
          <w:color w:val="auto"/>
          <w:sz w:val="24"/>
          <w:highlight w:val="none"/>
          <w:u w:val="single"/>
        </w:rPr>
        <w:t>2</w:t>
      </w:r>
      <w:r>
        <w:rPr>
          <w:rFonts w:asciiTheme="majorEastAsia" w:hAnsiTheme="majorEastAsia" w:eastAsiaTheme="majorEastAsia"/>
          <w:color w:val="auto"/>
          <w:sz w:val="24"/>
          <w:highlight w:val="none"/>
        </w:rPr>
        <w:t>年；</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电气管线、给排水管道、设备安装工程为</w:t>
      </w:r>
      <w:r>
        <w:rPr>
          <w:rFonts w:hint="eastAsia" w:asciiTheme="majorEastAsia" w:hAnsiTheme="majorEastAsia" w:eastAsiaTheme="majorEastAsia"/>
          <w:color w:val="auto"/>
          <w:sz w:val="24"/>
          <w:highlight w:val="none"/>
          <w:u w:val="single"/>
        </w:rPr>
        <w:t>2</w:t>
      </w:r>
      <w:r>
        <w:rPr>
          <w:rFonts w:asciiTheme="majorEastAsia" w:hAnsiTheme="majorEastAsia" w:eastAsiaTheme="majorEastAsia"/>
          <w:color w:val="auto"/>
          <w:sz w:val="24"/>
          <w:highlight w:val="none"/>
        </w:rPr>
        <w:t>年；</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5．</w:t>
      </w:r>
      <w:r>
        <w:rPr>
          <w:rFonts w:asciiTheme="majorEastAsia" w:hAnsiTheme="majorEastAsia" w:eastAsiaTheme="majorEastAsia"/>
          <w:color w:val="auto"/>
          <w:sz w:val="24"/>
          <w:highlight w:val="none"/>
        </w:rPr>
        <w:t>供热与供冷系统为</w:t>
      </w:r>
      <w:r>
        <w:rPr>
          <w:rFonts w:hint="eastAsia" w:asciiTheme="majorEastAsia" w:hAnsiTheme="majorEastAsia" w:eastAsiaTheme="majorEastAsia"/>
          <w:color w:val="auto"/>
          <w:sz w:val="24"/>
          <w:highlight w:val="none"/>
          <w:u w:val="single"/>
        </w:rPr>
        <w:t>2</w:t>
      </w:r>
      <w:r>
        <w:rPr>
          <w:rFonts w:asciiTheme="majorEastAsia" w:hAnsiTheme="majorEastAsia" w:eastAsiaTheme="majorEastAsia"/>
          <w:color w:val="auto"/>
          <w:sz w:val="24"/>
          <w:highlight w:val="none"/>
        </w:rPr>
        <w:t>个采暖期、供冷期；</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6．</w:t>
      </w:r>
      <w:r>
        <w:rPr>
          <w:rFonts w:asciiTheme="majorEastAsia" w:hAnsiTheme="majorEastAsia" w:eastAsiaTheme="majorEastAsia"/>
          <w:color w:val="auto"/>
          <w:sz w:val="24"/>
          <w:highlight w:val="none"/>
        </w:rPr>
        <w:t>住宅小区内的给排水设施、道路等配套工程为</w:t>
      </w:r>
      <w:r>
        <w:rPr>
          <w:rFonts w:hint="eastAsia" w:asciiTheme="majorEastAsia" w:hAnsiTheme="majorEastAsia" w:eastAsiaTheme="majorEastAsia"/>
          <w:color w:val="auto"/>
          <w:sz w:val="24"/>
          <w:highlight w:val="none"/>
          <w:u w:val="single"/>
        </w:rPr>
        <w:t>2</w:t>
      </w:r>
      <w:r>
        <w:rPr>
          <w:rFonts w:asciiTheme="majorEastAsia" w:hAnsiTheme="majorEastAsia" w:eastAsiaTheme="majorEastAsia"/>
          <w:color w:val="auto"/>
          <w:sz w:val="24"/>
          <w:highlight w:val="none"/>
        </w:rPr>
        <w:t>年；</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7．</w:t>
      </w:r>
      <w:r>
        <w:rPr>
          <w:rFonts w:asciiTheme="majorEastAsia" w:hAnsiTheme="majorEastAsia" w:eastAsiaTheme="majorEastAsia"/>
          <w:color w:val="auto"/>
          <w:sz w:val="24"/>
          <w:highlight w:val="none"/>
        </w:rPr>
        <w:t>其他项目保修期限约定如下：</w:t>
      </w:r>
    </w:p>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质量保修期自工程竣工验收合格之日起计算。</w:t>
      </w:r>
    </w:p>
    <w:p>
      <w:pPr>
        <w:spacing w:line="360" w:lineRule="auto"/>
        <w:ind w:firstLine="480" w:firstLineChars="200"/>
        <w:outlineLvl w:val="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三、缺陷责任期</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工程缺陷责任期为</w:t>
      </w:r>
      <w:r>
        <w:rPr>
          <w:rFonts w:hint="eastAsia" w:asciiTheme="majorEastAsia" w:hAnsiTheme="majorEastAsia" w:eastAsiaTheme="majorEastAsia"/>
          <w:color w:val="auto"/>
          <w:sz w:val="24"/>
          <w:highlight w:val="none"/>
          <w:u w:val="single"/>
        </w:rPr>
        <w:t>24</w:t>
      </w:r>
      <w:r>
        <w:rPr>
          <w:rFonts w:asciiTheme="majorEastAsia" w:hAnsiTheme="majorEastAsia" w:eastAsiaTheme="majorEastAsia"/>
          <w:color w:val="auto"/>
          <w:sz w:val="24"/>
          <w:highlight w:val="none"/>
        </w:rPr>
        <w:t>个月，缺陷责任期自工程</w:t>
      </w:r>
      <w:r>
        <w:rPr>
          <w:rFonts w:hint="eastAsia" w:asciiTheme="majorEastAsia" w:hAnsiTheme="majorEastAsia" w:eastAsiaTheme="majorEastAsia"/>
          <w:color w:val="auto"/>
          <w:sz w:val="24"/>
          <w:highlight w:val="none"/>
        </w:rPr>
        <w:t>通过竣工验收</w:t>
      </w:r>
      <w:r>
        <w:rPr>
          <w:rFonts w:asciiTheme="majorEastAsia" w:hAnsiTheme="majorEastAsia" w:eastAsiaTheme="majorEastAsia"/>
          <w:color w:val="auto"/>
          <w:sz w:val="24"/>
          <w:highlight w:val="none"/>
        </w:rPr>
        <w:t>之日起计算。单位工程先于全部工程进行验收，单位工程缺陷责任期自单位工程验收合格之日起算。</w:t>
      </w:r>
    </w:p>
    <w:p>
      <w:pPr>
        <w:spacing w:line="360" w:lineRule="auto"/>
        <w:ind w:firstLine="480" w:firstLineChars="20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缺陷责任期终止后，发包人应退还剩余的质量保证金。</w:t>
      </w:r>
    </w:p>
    <w:p>
      <w:pPr>
        <w:spacing w:line="360" w:lineRule="auto"/>
        <w:ind w:firstLine="480" w:firstLineChars="200"/>
        <w:outlineLvl w:val="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四、质量保修责任</w:t>
      </w:r>
    </w:p>
    <w:p>
      <w:pPr>
        <w:spacing w:line="360" w:lineRule="auto"/>
        <w:ind w:left="105" w:leftChars="5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1．</w:t>
      </w:r>
      <w:r>
        <w:rPr>
          <w:rFonts w:asciiTheme="majorEastAsia" w:hAnsiTheme="majorEastAsia" w:eastAsiaTheme="majorEastAsia"/>
          <w:color w:val="auto"/>
          <w:sz w:val="24"/>
          <w:highlight w:val="none"/>
        </w:rPr>
        <w:t>属于保修范围、内容的项目，承包人应当在接到保修通知之日起7天内派人保修。承包人不在约定期限内派人保修的，发包人可以委托他人修理。</w:t>
      </w:r>
    </w:p>
    <w:p>
      <w:pPr>
        <w:spacing w:line="360" w:lineRule="auto"/>
        <w:ind w:left="105" w:leftChars="5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w:t>
      </w:r>
      <w:r>
        <w:rPr>
          <w:rFonts w:asciiTheme="majorEastAsia" w:hAnsiTheme="majorEastAsia" w:eastAsiaTheme="majorEastAsia"/>
          <w:color w:val="auto"/>
          <w:sz w:val="24"/>
          <w:highlight w:val="none"/>
        </w:rPr>
        <w:t>发生紧急事故需抢修的，承包人在接到事故通知后，应当立即到达事故现场抢修。</w:t>
      </w:r>
    </w:p>
    <w:p>
      <w:pPr>
        <w:spacing w:line="360" w:lineRule="auto"/>
        <w:ind w:left="105" w:leftChars="50"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3．</w:t>
      </w:r>
      <w:r>
        <w:rPr>
          <w:rFonts w:asciiTheme="majorEastAsia" w:hAnsiTheme="majorEastAsia" w:eastAsiaTheme="majorEastAsia"/>
          <w:color w:val="auto"/>
          <w:sz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4．</w:t>
      </w:r>
      <w:r>
        <w:rPr>
          <w:rFonts w:asciiTheme="majorEastAsia" w:hAnsiTheme="majorEastAsia" w:eastAsiaTheme="majorEastAsia"/>
          <w:color w:val="auto"/>
          <w:sz w:val="24"/>
          <w:highlight w:val="none"/>
        </w:rPr>
        <w:t>质量保修完成后，由发包人组织验收。</w:t>
      </w:r>
    </w:p>
    <w:p>
      <w:pPr>
        <w:spacing w:line="360" w:lineRule="auto"/>
        <w:outlineLvl w:val="0"/>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五、保修费用</w:t>
      </w:r>
    </w:p>
    <w:p>
      <w:pPr>
        <w:spacing w:line="360" w:lineRule="auto"/>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　　保修费用由造成质量缺陷的责任方承担。</w:t>
      </w:r>
    </w:p>
    <w:p>
      <w:pPr>
        <w:spacing w:line="360" w:lineRule="auto"/>
        <w:ind w:firstLine="472" w:firstLineChars="196"/>
        <w:jc w:val="left"/>
        <w:outlineLvl w:val="0"/>
        <w:rPr>
          <w:rFonts w:asciiTheme="majorEastAsia" w:hAnsiTheme="majorEastAsia" w:eastAsiaTheme="majorEastAsia"/>
          <w:color w:val="auto"/>
          <w:sz w:val="24"/>
          <w:highlight w:val="none"/>
          <w:u w:val="single"/>
        </w:rPr>
      </w:pPr>
      <w:r>
        <w:rPr>
          <w:rFonts w:asciiTheme="majorEastAsia" w:hAnsiTheme="majorEastAsia" w:eastAsiaTheme="majorEastAsia"/>
          <w:b/>
          <w:color w:val="auto"/>
          <w:sz w:val="24"/>
          <w:highlight w:val="none"/>
        </w:rPr>
        <w:t>六</w:t>
      </w:r>
      <w:r>
        <w:rPr>
          <w:rFonts w:asciiTheme="majorEastAsia" w:hAnsiTheme="majorEastAsia" w:eastAsiaTheme="majorEastAsia"/>
          <w:color w:val="auto"/>
          <w:sz w:val="24"/>
          <w:highlight w:val="none"/>
        </w:rPr>
        <w:t>、双方约定的其他工程质量保修事项：</w:t>
      </w:r>
    </w:p>
    <w:p>
      <w:pPr>
        <w:spacing w:line="360" w:lineRule="auto"/>
        <w:ind w:firstLine="456" w:firstLineChars="19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工程质量保修书由发包人</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承包人在工程竣工验收前共同签署，作为施工合同附件，其有效期限至保修期满。</w:t>
      </w:r>
    </w:p>
    <w:p>
      <w:pPr>
        <w:spacing w:line="360" w:lineRule="auto"/>
        <w:rPr>
          <w:rFonts w:asciiTheme="minorEastAsia" w:hAnsiTheme="minorEastAsia" w:eastAsiaTheme="minorEastAsia"/>
          <w:color w:val="auto"/>
          <w:sz w:val="24"/>
          <w:highlight w:val="none"/>
        </w:rPr>
      </w:pP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发包人(公章)：</w:t>
      </w:r>
      <w:r>
        <w:rPr>
          <w:rFonts w:hint="eastAsia" w:cs="MingLiU_HKSCS"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 xml:space="preserve">              承包人(公章)：</w:t>
      </w:r>
      <w:r>
        <w:rPr>
          <w:rFonts w:hint="eastAsia" w:cs="MingLiU_HKSCS" w:asciiTheme="minorEastAsia" w:hAnsiTheme="minorEastAsia" w:eastAsiaTheme="minorEastAsia"/>
          <w:color w:val="auto"/>
          <w:sz w:val="24"/>
          <w:highlight w:val="none"/>
          <w:u w:val="single"/>
        </w:rPr>
        <w:t></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地  址：</w:t>
      </w:r>
      <w:r>
        <w:rPr>
          <w:rFonts w:hint="eastAsia" w:cs="MingLiU_HKSCS"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 xml:space="preserve">            地  址：</w:t>
      </w:r>
      <w:r>
        <w:rPr>
          <w:rFonts w:hint="eastAsia" w:cs="MingLiU_HKSCS" w:asciiTheme="minorEastAsia" w:hAnsiTheme="minorEastAsia" w:eastAsiaTheme="minorEastAsia"/>
          <w:color w:val="auto"/>
          <w:sz w:val="24"/>
          <w:highlight w:val="none"/>
          <w:u w:val="single"/>
        </w:rPr>
        <w:t></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法定代表人(签字)：</w:t>
      </w:r>
      <w:r>
        <w:rPr>
          <w:rFonts w:hint="eastAsia" w:cs="MingLiU_HKSCS"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 xml:space="preserve">            法定代表人(签字)：</w:t>
      </w:r>
      <w:r>
        <w:rPr>
          <w:rFonts w:hint="eastAsia" w:cs="MingLiU_HKSCS" w:asciiTheme="minorEastAsia" w:hAnsiTheme="minorEastAsia" w:eastAsiaTheme="minorEastAsia"/>
          <w:color w:val="auto"/>
          <w:sz w:val="24"/>
          <w:highlight w:val="none"/>
          <w:u w:val="single"/>
        </w:rPr>
        <w:t></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委托代理人(签字)：</w:t>
      </w:r>
      <w:r>
        <w:rPr>
          <w:rFonts w:hint="eastAsia" w:cs="MingLiU_HKSCS"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 xml:space="preserve">            委托代理人(签字)：</w:t>
      </w:r>
      <w:r>
        <w:rPr>
          <w:rFonts w:hint="eastAsia" w:cs="MingLiU_HKSCS" w:asciiTheme="minorEastAsia" w:hAnsiTheme="minorEastAsia" w:eastAsiaTheme="minorEastAsia"/>
          <w:color w:val="auto"/>
          <w:sz w:val="24"/>
          <w:highlight w:val="none"/>
          <w:u w:val="single"/>
        </w:rPr>
        <w:t></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电  话：</w:t>
      </w:r>
      <w:r>
        <w:rPr>
          <w:rFonts w:hint="eastAsia" w:cs="MingLiU_HKSCS"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 xml:space="preserve">          电  话：</w:t>
      </w:r>
      <w:r>
        <w:rPr>
          <w:rFonts w:hint="eastAsia" w:cs="MingLiU_HKSCS" w:asciiTheme="minorEastAsia" w:hAnsiTheme="minorEastAsia" w:eastAsiaTheme="minorEastAsia"/>
          <w:color w:val="auto"/>
          <w:sz w:val="24"/>
          <w:highlight w:val="none"/>
          <w:u w:val="single"/>
        </w:rPr>
        <w:t></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传  真：</w:t>
      </w:r>
      <w:r>
        <w:rPr>
          <w:rFonts w:hint="eastAsia" w:cs="MingLiU_HKSCS"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 xml:space="preserve">           传  真：</w:t>
      </w:r>
      <w:r>
        <w:rPr>
          <w:rFonts w:hint="eastAsia" w:cs="MingLiU_HKSCS" w:asciiTheme="minorEastAsia" w:hAnsiTheme="minorEastAsia" w:eastAsiaTheme="minorEastAsia"/>
          <w:color w:val="auto"/>
          <w:sz w:val="24"/>
          <w:highlight w:val="none"/>
          <w:u w:val="single"/>
        </w:rPr>
        <w:t></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开户银行：</w:t>
      </w:r>
      <w:r>
        <w:rPr>
          <w:rFonts w:hint="eastAsia" w:cs="MingLiU_HKSCS"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 xml:space="preserve">           开户银行：</w:t>
      </w:r>
      <w:r>
        <w:rPr>
          <w:rFonts w:hint="eastAsia" w:cs="MingLiU_HKSCS" w:asciiTheme="minorEastAsia" w:hAnsiTheme="minorEastAsia" w:eastAsiaTheme="minorEastAsia"/>
          <w:color w:val="auto"/>
          <w:sz w:val="24"/>
          <w:highlight w:val="none"/>
          <w:u w:val="single"/>
        </w:rPr>
        <w:t></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账  号：</w:t>
      </w:r>
      <w:r>
        <w:rPr>
          <w:rFonts w:hint="eastAsia" w:cs="MingLiU_HKSCS"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 xml:space="preserve">               账 号：</w:t>
      </w:r>
      <w:r>
        <w:rPr>
          <w:rFonts w:hint="eastAsia" w:cs="MingLiU_HKSCS" w:asciiTheme="minorEastAsia" w:hAnsiTheme="minorEastAsia" w:eastAsiaTheme="minorEastAsia"/>
          <w:color w:val="auto"/>
          <w:sz w:val="24"/>
          <w:highlight w:val="none"/>
          <w:u w:val="single"/>
        </w:rPr>
        <w:t></w:t>
      </w:r>
    </w:p>
    <w:p>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邮政编码：</w:t>
      </w:r>
      <w:r>
        <w:rPr>
          <w:rFonts w:hint="eastAsia" w:cs="MingLiU_HKSCS" w:asciiTheme="minorEastAsia" w:hAnsiTheme="minorEastAsia" w:eastAsiaTheme="minorEastAsia"/>
          <w:color w:val="auto"/>
          <w:sz w:val="24"/>
          <w:highlight w:val="none"/>
          <w:u w:val="single"/>
        </w:rPr>
        <w:t></w:t>
      </w:r>
      <w:r>
        <w:rPr>
          <w:rFonts w:asciiTheme="minorEastAsia" w:hAnsiTheme="minorEastAsia" w:eastAsiaTheme="minorEastAsia"/>
          <w:color w:val="auto"/>
          <w:sz w:val="24"/>
          <w:highlight w:val="none"/>
        </w:rPr>
        <w:t xml:space="preserve">             邮政编码：</w:t>
      </w:r>
      <w:r>
        <w:rPr>
          <w:rFonts w:hint="eastAsia" w:cs="MingLiU_HKSCS" w:asciiTheme="minorEastAsia" w:hAnsiTheme="minorEastAsia" w:eastAsiaTheme="minorEastAsia"/>
          <w:color w:val="auto"/>
          <w:sz w:val="24"/>
          <w:highlight w:val="none"/>
          <w:u w:val="single"/>
        </w:rPr>
        <w:t></w:t>
      </w:r>
    </w:p>
    <w:p>
      <w:pPr>
        <w:spacing w:line="440" w:lineRule="exact"/>
        <w:rPr>
          <w:rFonts w:asciiTheme="majorEastAsia" w:hAnsiTheme="majorEastAsia" w:eastAsiaTheme="majorEastAsia"/>
          <w:color w:val="auto"/>
          <w:sz w:val="24"/>
          <w:highlight w:val="none"/>
        </w:rPr>
      </w:pPr>
    </w:p>
    <w:p>
      <w:pPr>
        <w:spacing w:line="440" w:lineRule="exact"/>
        <w:rPr>
          <w:rFonts w:asciiTheme="majorEastAsia" w:hAnsiTheme="majorEastAsia" w:eastAsiaTheme="majorEastAsia"/>
          <w:color w:val="auto"/>
          <w:sz w:val="24"/>
          <w:highlight w:val="none"/>
        </w:rPr>
      </w:pPr>
    </w:p>
    <w:p>
      <w:pPr>
        <w:spacing w:line="440" w:lineRule="exact"/>
        <w:rPr>
          <w:rFonts w:asciiTheme="majorEastAsia" w:hAnsiTheme="majorEastAsia" w:eastAsiaTheme="majorEastAsia"/>
          <w:color w:val="auto"/>
          <w:sz w:val="24"/>
          <w:highlight w:val="none"/>
        </w:rPr>
      </w:pPr>
    </w:p>
    <w:p>
      <w:pPr>
        <w:spacing w:line="440" w:lineRule="exact"/>
        <w:rPr>
          <w:rFonts w:asciiTheme="majorEastAsia" w:hAnsiTheme="majorEastAsia" w:eastAsiaTheme="majorEastAsia"/>
          <w:color w:val="auto"/>
          <w:sz w:val="24"/>
          <w:highlight w:val="none"/>
        </w:rPr>
      </w:pPr>
    </w:p>
    <w:p>
      <w:pPr>
        <w:widowControl/>
        <w:jc w:val="left"/>
        <w:rPr>
          <w:rFonts w:ascii="黑体" w:hAnsi="黑体" w:eastAsia="黑体" w:cs="黑体"/>
          <w:color w:val="auto"/>
          <w:sz w:val="32"/>
          <w:szCs w:val="32"/>
          <w:highlight w:val="none"/>
        </w:rPr>
        <w:sectPr>
          <w:pgSz w:w="11906" w:h="16838"/>
          <w:pgMar w:top="567" w:right="851" w:bottom="567" w:left="1134" w:header="851" w:footer="992" w:gutter="0"/>
          <w:pgNumType w:fmt="numberInDash"/>
          <w:cols w:space="720" w:num="1"/>
          <w:docGrid w:type="lines" w:linePitch="312" w:charSpace="0"/>
        </w:sectPr>
      </w:pPr>
    </w:p>
    <w:p>
      <w:pPr>
        <w:widowControl/>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附件4</w:t>
      </w:r>
    </w:p>
    <w:p>
      <w:pPr>
        <w:widowControl/>
        <w:adjustRightInd w:val="0"/>
        <w:snapToGrid w:val="0"/>
        <w:spacing w:line="580" w:lineRule="exact"/>
        <w:jc w:val="center"/>
        <w:rPr>
          <w:rFonts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color w:val="auto"/>
          <w:kern w:val="0"/>
          <w:sz w:val="44"/>
          <w:szCs w:val="44"/>
          <w:highlight w:val="none"/>
        </w:rPr>
        <w:t>2022年梁溪区老旧小区改造工程施工单位综合考核评分表</w:t>
      </w:r>
    </w:p>
    <w:p>
      <w:pPr>
        <w:widowControl/>
        <w:rPr>
          <w:rFonts w:ascii="仿宋_GB2312" w:hAnsi="仿宋_GB2312" w:eastAsia="仿宋_GB2312" w:cs="仿宋_GB2312"/>
          <w:color w:val="auto"/>
          <w:kern w:val="0"/>
          <w:sz w:val="24"/>
          <w:highlight w:val="none"/>
        </w:rPr>
      </w:pPr>
    </w:p>
    <w:p>
      <w:pPr>
        <w:widowControl/>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项目及标段：</w:t>
      </w:r>
      <w:r>
        <w:rPr>
          <w:rFonts w:hint="eastAsia" w:ascii="仿宋_GB2312" w:hAnsi="仿宋_GB2312" w:eastAsia="仿宋_GB2312" w:cs="仿宋_GB2312"/>
          <w:color w:val="auto"/>
          <w:kern w:val="0"/>
          <w:sz w:val="24"/>
          <w:highlight w:val="none"/>
        </w:rPr>
        <w:tab/>
      </w:r>
      <w:r>
        <w:rPr>
          <w:rFonts w:hint="eastAsia" w:ascii="仿宋_GB2312" w:hAnsi="仿宋_GB2312" w:eastAsia="仿宋_GB2312" w:cs="仿宋_GB2312"/>
          <w:color w:val="auto"/>
          <w:kern w:val="0"/>
          <w:sz w:val="24"/>
          <w:highlight w:val="none"/>
        </w:rPr>
        <w:tab/>
      </w:r>
      <w:r>
        <w:rPr>
          <w:rFonts w:hint="eastAsia" w:ascii="仿宋_GB2312" w:hAnsi="仿宋_GB2312" w:eastAsia="仿宋_GB2312" w:cs="仿宋_GB2312"/>
          <w:color w:val="auto"/>
          <w:kern w:val="0"/>
          <w:sz w:val="24"/>
          <w:highlight w:val="none"/>
        </w:rPr>
        <w:tab/>
      </w:r>
      <w:r>
        <w:rPr>
          <w:rFonts w:hint="eastAsia" w:ascii="仿宋_GB2312" w:hAnsi="仿宋_GB2312" w:eastAsia="仿宋_GB2312" w:cs="仿宋_GB2312"/>
          <w:color w:val="auto"/>
          <w:kern w:val="0"/>
          <w:sz w:val="24"/>
          <w:highlight w:val="none"/>
        </w:rPr>
        <w:tab/>
      </w:r>
      <w:r>
        <w:rPr>
          <w:rFonts w:hint="eastAsia" w:ascii="仿宋_GB2312" w:hAnsi="仿宋_GB2312" w:eastAsia="仿宋_GB2312" w:cs="仿宋_GB2312"/>
          <w:color w:val="auto"/>
          <w:kern w:val="0"/>
          <w:sz w:val="24"/>
          <w:highlight w:val="none"/>
        </w:rPr>
        <w:tab/>
      </w:r>
      <w:r>
        <w:rPr>
          <w:rFonts w:hint="eastAsia" w:ascii="仿宋_GB2312" w:hAnsi="仿宋_GB2312" w:eastAsia="仿宋_GB2312" w:cs="仿宋_GB2312"/>
          <w:color w:val="auto"/>
          <w:kern w:val="0"/>
          <w:sz w:val="24"/>
          <w:highlight w:val="none"/>
        </w:rPr>
        <w:tab/>
      </w:r>
      <w:r>
        <w:rPr>
          <w:rFonts w:hint="eastAsia" w:ascii="仿宋_GB2312" w:hAnsi="仿宋_GB2312" w:eastAsia="仿宋_GB2312" w:cs="仿宋_GB2312"/>
          <w:color w:val="auto"/>
          <w:kern w:val="0"/>
          <w:sz w:val="24"/>
          <w:highlight w:val="none"/>
        </w:rPr>
        <w:tab/>
      </w:r>
      <w:r>
        <w:rPr>
          <w:rFonts w:hint="eastAsia" w:ascii="仿宋_GB2312" w:hAnsi="仿宋_GB2312" w:eastAsia="仿宋_GB2312" w:cs="仿宋_GB2312"/>
          <w:color w:val="auto"/>
          <w:kern w:val="0"/>
          <w:sz w:val="24"/>
          <w:highlight w:val="none"/>
        </w:rPr>
        <w:tab/>
      </w:r>
      <w:r>
        <w:rPr>
          <w:rFonts w:hint="eastAsia" w:ascii="仿宋_GB2312" w:hAnsi="仿宋_GB2312" w:eastAsia="仿宋_GB2312" w:cs="仿宋_GB2312"/>
          <w:color w:val="auto"/>
          <w:kern w:val="0"/>
          <w:sz w:val="24"/>
          <w:highlight w:val="none"/>
        </w:rPr>
        <w:tab/>
      </w:r>
      <w:r>
        <w:rPr>
          <w:rFonts w:hint="eastAsia" w:ascii="仿宋_GB2312" w:hAnsi="仿宋_GB2312" w:eastAsia="仿宋_GB2312" w:cs="仿宋_GB2312"/>
          <w:color w:val="auto"/>
          <w:kern w:val="0"/>
          <w:sz w:val="24"/>
          <w:highlight w:val="none"/>
        </w:rPr>
        <w:tab/>
      </w:r>
      <w:r>
        <w:rPr>
          <w:rFonts w:hint="eastAsia" w:ascii="仿宋_GB2312" w:hAnsi="仿宋_GB2312" w:eastAsia="仿宋_GB2312" w:cs="仿宋_GB2312"/>
          <w:color w:val="auto"/>
          <w:kern w:val="0"/>
          <w:sz w:val="24"/>
          <w:highlight w:val="none"/>
        </w:rPr>
        <w:tab/>
      </w:r>
      <w:r>
        <w:rPr>
          <w:rFonts w:hint="eastAsia" w:ascii="仿宋_GB2312" w:hAnsi="仿宋_GB2312" w:eastAsia="仿宋_GB2312" w:cs="仿宋_GB2312"/>
          <w:color w:val="auto"/>
          <w:kern w:val="0"/>
          <w:sz w:val="24"/>
          <w:highlight w:val="none"/>
        </w:rPr>
        <w:tab/>
      </w:r>
      <w:r>
        <w:rPr>
          <w:rFonts w:hint="eastAsia" w:ascii="仿宋_GB2312" w:hAnsi="仿宋_GB2312" w:eastAsia="仿宋_GB2312" w:cs="仿宋_GB2312"/>
          <w:color w:val="auto"/>
          <w:kern w:val="0"/>
          <w:sz w:val="24"/>
          <w:highlight w:val="none"/>
        </w:rPr>
        <w:t>施工单位：</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5025"/>
        <w:gridCol w:w="1830"/>
        <w:gridCol w:w="675"/>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919" w:type="dxa"/>
            <w:noWrap/>
            <w:vAlign w:val="center"/>
          </w:tcPr>
          <w:p>
            <w:pPr>
              <w:widowControl/>
              <w:jc w:val="center"/>
              <w:rPr>
                <w:rFonts w:ascii="黑体" w:hAnsi="黑体" w:eastAsia="黑体" w:cs="黑体"/>
                <w:color w:val="auto"/>
                <w:kern w:val="0"/>
                <w:sz w:val="24"/>
                <w:highlight w:val="none"/>
              </w:rPr>
            </w:pPr>
            <w:r>
              <w:rPr>
                <w:rFonts w:hint="eastAsia" w:ascii="黑体" w:hAnsi="黑体" w:eastAsia="黑体" w:cs="黑体"/>
                <w:color w:val="auto"/>
                <w:kern w:val="0"/>
                <w:sz w:val="24"/>
                <w:highlight w:val="none"/>
              </w:rPr>
              <w:t>考核单位</w:t>
            </w:r>
          </w:p>
        </w:tc>
        <w:tc>
          <w:tcPr>
            <w:tcW w:w="5025" w:type="dxa"/>
            <w:vAlign w:val="center"/>
          </w:tcPr>
          <w:p>
            <w:pPr>
              <w:widowControl/>
              <w:jc w:val="center"/>
              <w:rPr>
                <w:rFonts w:ascii="黑体" w:hAnsi="黑体" w:eastAsia="黑体" w:cs="黑体"/>
                <w:color w:val="auto"/>
                <w:kern w:val="0"/>
                <w:sz w:val="24"/>
                <w:highlight w:val="none"/>
              </w:rPr>
            </w:pPr>
            <w:r>
              <w:rPr>
                <w:rFonts w:hint="eastAsia" w:ascii="黑体" w:hAnsi="黑体" w:eastAsia="黑体" w:cs="黑体"/>
                <w:color w:val="auto"/>
                <w:kern w:val="0"/>
                <w:sz w:val="24"/>
                <w:highlight w:val="none"/>
              </w:rPr>
              <w:t>考核内容</w:t>
            </w:r>
          </w:p>
        </w:tc>
        <w:tc>
          <w:tcPr>
            <w:tcW w:w="1830" w:type="dxa"/>
            <w:vAlign w:val="center"/>
          </w:tcPr>
          <w:p>
            <w:pPr>
              <w:widowControl/>
              <w:jc w:val="center"/>
              <w:rPr>
                <w:rFonts w:ascii="黑体" w:hAnsi="黑体" w:eastAsia="黑体" w:cs="黑体"/>
                <w:color w:val="auto"/>
                <w:kern w:val="0"/>
                <w:sz w:val="24"/>
                <w:highlight w:val="none"/>
              </w:rPr>
            </w:pPr>
            <w:r>
              <w:rPr>
                <w:rFonts w:hint="eastAsia" w:ascii="黑体" w:hAnsi="黑体" w:eastAsia="黑体" w:cs="黑体"/>
                <w:color w:val="auto"/>
                <w:kern w:val="0"/>
                <w:sz w:val="24"/>
                <w:highlight w:val="none"/>
              </w:rPr>
              <w:t>得分标准</w:t>
            </w:r>
          </w:p>
        </w:tc>
        <w:tc>
          <w:tcPr>
            <w:tcW w:w="675" w:type="dxa"/>
            <w:vAlign w:val="center"/>
          </w:tcPr>
          <w:p>
            <w:pPr>
              <w:widowControl/>
              <w:jc w:val="center"/>
              <w:rPr>
                <w:rFonts w:ascii="黑体" w:hAnsi="黑体" w:eastAsia="黑体" w:cs="黑体"/>
                <w:color w:val="auto"/>
                <w:kern w:val="0"/>
                <w:sz w:val="24"/>
                <w:highlight w:val="none"/>
              </w:rPr>
            </w:pPr>
            <w:r>
              <w:rPr>
                <w:rFonts w:hint="eastAsia" w:ascii="黑体" w:hAnsi="黑体" w:eastAsia="黑体" w:cs="黑体"/>
                <w:color w:val="auto"/>
                <w:kern w:val="0"/>
                <w:sz w:val="24"/>
                <w:highlight w:val="none"/>
              </w:rPr>
              <w:t>标准分</w:t>
            </w:r>
          </w:p>
        </w:tc>
        <w:tc>
          <w:tcPr>
            <w:tcW w:w="612" w:type="dxa"/>
            <w:vAlign w:val="center"/>
          </w:tcPr>
          <w:p>
            <w:pPr>
              <w:widowControl/>
              <w:jc w:val="center"/>
              <w:rPr>
                <w:rFonts w:ascii="黑体" w:hAnsi="黑体" w:eastAsia="黑体" w:cs="黑体"/>
                <w:color w:val="auto"/>
                <w:kern w:val="0"/>
                <w:sz w:val="24"/>
                <w:highlight w:val="none"/>
              </w:rPr>
            </w:pPr>
            <w:r>
              <w:rPr>
                <w:rFonts w:hint="eastAsia" w:ascii="黑体" w:hAnsi="黑体" w:eastAsia="黑体" w:cs="黑体"/>
                <w:color w:val="auto"/>
                <w:kern w:val="0"/>
                <w:sz w:val="24"/>
                <w:highlight w:val="none"/>
              </w:rPr>
              <w:t>考核分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9" w:type="dxa"/>
            <w:vMerge w:val="restart"/>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区住建局</w:t>
            </w:r>
          </w:p>
        </w:tc>
        <w:tc>
          <w:tcPr>
            <w:tcW w:w="5025"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建立施工质量、安全、文明保证体系，制定岗位质量安全规范、质量安全责任、文明施工措施和考核办法，有各类安全生产事故和事件应急预案。</w:t>
            </w:r>
          </w:p>
        </w:tc>
        <w:tc>
          <w:tcPr>
            <w:tcW w:w="1830"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缺少一项扣1分</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9" w:type="dxa"/>
            <w:vMerge w:val="continue"/>
            <w:vAlign w:val="center"/>
          </w:tcPr>
          <w:p>
            <w:pPr>
              <w:widowControl/>
              <w:jc w:val="center"/>
              <w:rPr>
                <w:rFonts w:ascii="仿宋_GB2312" w:hAnsi="仿宋_GB2312" w:eastAsia="仿宋_GB2312" w:cs="仿宋_GB2312"/>
                <w:color w:val="auto"/>
                <w:kern w:val="0"/>
                <w:sz w:val="24"/>
                <w:highlight w:val="none"/>
              </w:rPr>
            </w:pPr>
          </w:p>
        </w:tc>
        <w:tc>
          <w:tcPr>
            <w:tcW w:w="5025"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配备相应资格和合同文件规定的管理人员，包括项目经理、技术负责人、施工员、质检员、专职安全员，同时各类人员都有相应的上岗证并持证上岗。</w:t>
            </w:r>
          </w:p>
        </w:tc>
        <w:tc>
          <w:tcPr>
            <w:tcW w:w="1830"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缺少一项扣1分</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9" w:type="dxa"/>
            <w:vMerge w:val="continue"/>
            <w:vAlign w:val="center"/>
          </w:tcPr>
          <w:p>
            <w:pPr>
              <w:widowControl/>
              <w:jc w:val="center"/>
              <w:rPr>
                <w:rFonts w:ascii="仿宋_GB2312" w:hAnsi="仿宋_GB2312" w:eastAsia="仿宋_GB2312" w:cs="仿宋_GB2312"/>
                <w:color w:val="auto"/>
                <w:kern w:val="0"/>
                <w:sz w:val="24"/>
                <w:highlight w:val="none"/>
              </w:rPr>
            </w:pPr>
          </w:p>
        </w:tc>
        <w:tc>
          <w:tcPr>
            <w:tcW w:w="5025"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按设计方案、施工图排出详尽的施工组织计划，在合同工期的约定期限内完成。</w:t>
            </w:r>
          </w:p>
        </w:tc>
        <w:tc>
          <w:tcPr>
            <w:tcW w:w="1830"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没完成不得分</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9" w:type="dxa"/>
            <w:vMerge w:val="continue"/>
            <w:vAlign w:val="center"/>
          </w:tcPr>
          <w:p>
            <w:pPr>
              <w:widowControl/>
              <w:jc w:val="center"/>
              <w:rPr>
                <w:rFonts w:ascii="仿宋_GB2312" w:hAnsi="仿宋_GB2312" w:eastAsia="仿宋_GB2312" w:cs="仿宋_GB2312"/>
                <w:color w:val="auto"/>
                <w:kern w:val="0"/>
                <w:sz w:val="24"/>
                <w:highlight w:val="none"/>
              </w:rPr>
            </w:pPr>
          </w:p>
        </w:tc>
        <w:tc>
          <w:tcPr>
            <w:tcW w:w="5025"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各类材料先检后用，主要材料样品在小区内进行公示，不得使用不合格材料。</w:t>
            </w:r>
          </w:p>
        </w:tc>
        <w:tc>
          <w:tcPr>
            <w:tcW w:w="1830"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发现一类不合格扣1分</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9" w:type="dxa"/>
            <w:vMerge w:val="restart"/>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区住建局</w:t>
            </w:r>
          </w:p>
        </w:tc>
        <w:tc>
          <w:tcPr>
            <w:tcW w:w="5025"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建立工程质量保修制度，保修期内出现质量问题，应及时无偿进行维修。</w:t>
            </w:r>
          </w:p>
        </w:tc>
        <w:tc>
          <w:tcPr>
            <w:tcW w:w="1830" w:type="dxa"/>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不及时一次扣1分</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9" w:type="dxa"/>
            <w:vMerge w:val="continue"/>
            <w:vAlign w:val="center"/>
          </w:tcPr>
          <w:p>
            <w:pPr>
              <w:widowControl/>
              <w:jc w:val="center"/>
              <w:rPr>
                <w:rFonts w:ascii="仿宋_GB2312" w:hAnsi="仿宋_GB2312" w:eastAsia="仿宋_GB2312" w:cs="仿宋_GB2312"/>
                <w:color w:val="auto"/>
                <w:kern w:val="0"/>
                <w:sz w:val="24"/>
                <w:highlight w:val="none"/>
              </w:rPr>
            </w:pPr>
          </w:p>
        </w:tc>
        <w:tc>
          <w:tcPr>
            <w:tcW w:w="5025"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施工现场材料堆放整齐，施工中垃圾清运及时，扬尘和噪音控制得当，对居民投诉及反映的问题处理及时，未造成居民财产重大损失。</w:t>
            </w:r>
          </w:p>
        </w:tc>
        <w:tc>
          <w:tcPr>
            <w:tcW w:w="1830"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发现一次扣1分</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9" w:type="dxa"/>
            <w:vMerge w:val="continue"/>
            <w:vAlign w:val="center"/>
          </w:tcPr>
          <w:p>
            <w:pPr>
              <w:widowControl/>
              <w:jc w:val="center"/>
              <w:rPr>
                <w:rFonts w:ascii="仿宋_GB2312" w:hAnsi="仿宋_GB2312" w:eastAsia="仿宋_GB2312" w:cs="仿宋_GB2312"/>
                <w:color w:val="auto"/>
                <w:kern w:val="0"/>
                <w:sz w:val="24"/>
                <w:highlight w:val="none"/>
              </w:rPr>
            </w:pPr>
          </w:p>
        </w:tc>
        <w:tc>
          <w:tcPr>
            <w:tcW w:w="5025"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按规定做好各类资料，质量评定、隐蔽工程、关键部位检查等施工记录资料完整，签证和决算资料及时完成。</w:t>
            </w:r>
          </w:p>
        </w:tc>
        <w:tc>
          <w:tcPr>
            <w:tcW w:w="1830"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不到位不得分</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44" w:type="dxa"/>
            <w:gridSpan w:val="2"/>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小计</w:t>
            </w:r>
          </w:p>
        </w:tc>
        <w:tc>
          <w:tcPr>
            <w:tcW w:w="1830" w:type="dxa"/>
            <w:noWrap/>
            <w:vAlign w:val="center"/>
          </w:tcPr>
          <w:p>
            <w:pPr>
              <w:widowControl/>
              <w:jc w:val="left"/>
              <w:rPr>
                <w:rFonts w:ascii="仿宋_GB2312" w:hAnsi="仿宋_GB2312" w:eastAsia="仿宋_GB2312" w:cs="仿宋_GB2312"/>
                <w:color w:val="auto"/>
                <w:kern w:val="0"/>
                <w:sz w:val="24"/>
                <w:highlight w:val="none"/>
              </w:rPr>
            </w:pP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45</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9" w:type="dxa"/>
            <w:vMerge w:val="restart"/>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区住建局</w:t>
            </w:r>
          </w:p>
        </w:tc>
        <w:tc>
          <w:tcPr>
            <w:tcW w:w="5025"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工程建设期间，巡查未发现有重大质量、安全、文明施工问题，各类台账资料齐全。</w:t>
            </w:r>
          </w:p>
        </w:tc>
        <w:tc>
          <w:tcPr>
            <w:tcW w:w="1830"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发现问题一次扣1分</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9" w:type="dxa"/>
            <w:vMerge w:val="continue"/>
            <w:vAlign w:val="center"/>
          </w:tcPr>
          <w:p>
            <w:pPr>
              <w:widowControl/>
              <w:jc w:val="center"/>
              <w:rPr>
                <w:rFonts w:ascii="仿宋_GB2312" w:hAnsi="仿宋_GB2312" w:eastAsia="仿宋_GB2312" w:cs="仿宋_GB2312"/>
                <w:color w:val="auto"/>
                <w:kern w:val="0"/>
                <w:sz w:val="24"/>
                <w:highlight w:val="none"/>
              </w:rPr>
            </w:pPr>
          </w:p>
        </w:tc>
        <w:tc>
          <w:tcPr>
            <w:tcW w:w="5025"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对查出的质量、安全、文明施工问题，及时处理，复查结果手续完整。</w:t>
            </w:r>
          </w:p>
        </w:tc>
        <w:tc>
          <w:tcPr>
            <w:tcW w:w="1830"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不及时不完整的扣1分</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9" w:type="dxa"/>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区住建局</w:t>
            </w:r>
          </w:p>
        </w:tc>
        <w:tc>
          <w:tcPr>
            <w:tcW w:w="5025"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未有重大投诉影响事件发生，对居民投诉及反映的问题处置及时。</w:t>
            </w:r>
          </w:p>
        </w:tc>
        <w:tc>
          <w:tcPr>
            <w:tcW w:w="1830" w:type="dxa"/>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发生一次扣1分，出现市级及以上部门投诉不得分</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7</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44" w:type="dxa"/>
            <w:gridSpan w:val="2"/>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小计</w:t>
            </w:r>
          </w:p>
        </w:tc>
        <w:tc>
          <w:tcPr>
            <w:tcW w:w="1830" w:type="dxa"/>
            <w:noWrap/>
            <w:vAlign w:val="center"/>
          </w:tcPr>
          <w:p>
            <w:pPr>
              <w:widowControl/>
              <w:jc w:val="left"/>
              <w:rPr>
                <w:rFonts w:ascii="仿宋_GB2312" w:hAnsi="仿宋_GB2312" w:eastAsia="仿宋_GB2312" w:cs="仿宋_GB2312"/>
                <w:color w:val="auto"/>
                <w:kern w:val="0"/>
                <w:sz w:val="24"/>
                <w:highlight w:val="none"/>
              </w:rPr>
            </w:pP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25</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9" w:type="dxa"/>
            <w:vMerge w:val="restart"/>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街道</w:t>
            </w:r>
          </w:p>
        </w:tc>
        <w:tc>
          <w:tcPr>
            <w:tcW w:w="5025"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施工单位进场前至属地社区报备，就改造内容、改造时间等基本信息向社区交底，并留下施工现场负责人姓名和联系方式。同时，施工现场负责人姓名和联系方式在小区显著位置进行公示。</w:t>
            </w:r>
          </w:p>
        </w:tc>
        <w:tc>
          <w:tcPr>
            <w:tcW w:w="1830"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未报备交底扣3分，未提供负责人姓名及联系方式并公示扣2分</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9" w:type="dxa"/>
            <w:vMerge w:val="continue"/>
            <w:vAlign w:val="center"/>
          </w:tcPr>
          <w:p>
            <w:pPr>
              <w:widowControl/>
              <w:jc w:val="center"/>
              <w:rPr>
                <w:rFonts w:ascii="仿宋_GB2312" w:hAnsi="仿宋_GB2312" w:eastAsia="仿宋_GB2312" w:cs="仿宋_GB2312"/>
                <w:color w:val="auto"/>
                <w:kern w:val="0"/>
                <w:sz w:val="24"/>
                <w:highlight w:val="none"/>
              </w:rPr>
            </w:pPr>
          </w:p>
        </w:tc>
        <w:tc>
          <w:tcPr>
            <w:tcW w:w="5025"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施工现场做好各类保障措施和防护措施，不对居民日常生活和出行造成严重影响。进行会对居民生活出行产生较大影响的工序前，及时与社区对接，做好通知工作。</w:t>
            </w:r>
          </w:p>
        </w:tc>
        <w:tc>
          <w:tcPr>
            <w:tcW w:w="1830" w:type="dxa"/>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发现或收到投诉一次扣1分</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9" w:type="dxa"/>
            <w:vMerge w:val="continue"/>
            <w:vAlign w:val="center"/>
          </w:tcPr>
          <w:p>
            <w:pPr>
              <w:widowControl/>
              <w:jc w:val="center"/>
              <w:rPr>
                <w:rFonts w:ascii="仿宋_GB2312" w:hAnsi="仿宋_GB2312" w:eastAsia="仿宋_GB2312" w:cs="仿宋_GB2312"/>
                <w:color w:val="auto"/>
                <w:kern w:val="0"/>
                <w:sz w:val="24"/>
                <w:highlight w:val="none"/>
              </w:rPr>
            </w:pPr>
          </w:p>
        </w:tc>
        <w:tc>
          <w:tcPr>
            <w:tcW w:w="5025"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对居民投诉和反映的问题及时进行处理。</w:t>
            </w:r>
          </w:p>
        </w:tc>
        <w:tc>
          <w:tcPr>
            <w:tcW w:w="1830"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处理不及时一次扣1分</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9" w:type="dxa"/>
            <w:vMerge w:val="restart"/>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街道</w:t>
            </w:r>
          </w:p>
        </w:tc>
        <w:tc>
          <w:tcPr>
            <w:tcW w:w="5025"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小区改造结束后，做好相应收尾工作，不留垃圾、建筑材料，不留未解决的遗留问题，借用的小区配套用房及时清理干净并归还。</w:t>
            </w:r>
          </w:p>
        </w:tc>
        <w:tc>
          <w:tcPr>
            <w:tcW w:w="1830" w:type="dxa"/>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发现一样收尾工作不到位扣1分</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5</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9" w:type="dxa"/>
            <w:vMerge w:val="continue"/>
            <w:vAlign w:val="center"/>
          </w:tcPr>
          <w:p>
            <w:pPr>
              <w:widowControl/>
              <w:jc w:val="center"/>
              <w:rPr>
                <w:rFonts w:ascii="仿宋_GB2312" w:hAnsi="仿宋_GB2312" w:eastAsia="仿宋_GB2312" w:cs="仿宋_GB2312"/>
                <w:color w:val="auto"/>
                <w:kern w:val="0"/>
                <w:sz w:val="24"/>
                <w:highlight w:val="none"/>
              </w:rPr>
            </w:pPr>
          </w:p>
        </w:tc>
        <w:tc>
          <w:tcPr>
            <w:tcW w:w="5025" w:type="dxa"/>
            <w:vAlign w:val="center"/>
          </w:tcPr>
          <w:p>
            <w:pPr>
              <w:widowControl/>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改造期间和改造后各小区的居民满意度情况。</w:t>
            </w:r>
          </w:p>
        </w:tc>
        <w:tc>
          <w:tcPr>
            <w:tcW w:w="1830" w:type="dxa"/>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满意率80%以下不得分，80%-85%得4分，85%-90%得6分，90%-95%得8分，95%-100%得10分</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44" w:type="dxa"/>
            <w:gridSpan w:val="2"/>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小计</w:t>
            </w:r>
          </w:p>
        </w:tc>
        <w:tc>
          <w:tcPr>
            <w:tcW w:w="1830" w:type="dxa"/>
            <w:noWrap/>
            <w:vAlign w:val="center"/>
          </w:tcPr>
          <w:p>
            <w:pPr>
              <w:widowControl/>
              <w:jc w:val="left"/>
              <w:rPr>
                <w:rFonts w:ascii="仿宋_GB2312" w:hAnsi="仿宋_GB2312" w:eastAsia="仿宋_GB2312" w:cs="仿宋_GB2312"/>
                <w:color w:val="auto"/>
                <w:kern w:val="0"/>
                <w:sz w:val="24"/>
                <w:highlight w:val="none"/>
              </w:rPr>
            </w:pP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30</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4" w:type="dxa"/>
            <w:gridSpan w:val="3"/>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总计</w:t>
            </w:r>
          </w:p>
        </w:tc>
        <w:tc>
          <w:tcPr>
            <w:tcW w:w="675" w:type="dxa"/>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100</w:t>
            </w:r>
          </w:p>
        </w:tc>
        <w:tc>
          <w:tcPr>
            <w:tcW w:w="612" w:type="dxa"/>
            <w:noWrap/>
            <w:vAlign w:val="center"/>
          </w:tcPr>
          <w:p>
            <w:pPr>
              <w:widowControl/>
              <w:jc w:val="center"/>
              <w:rPr>
                <w:rFonts w:ascii="仿宋_GB2312" w:hAnsi="仿宋_GB2312" w:eastAsia="仿宋_GB2312" w:cs="仿宋_GB2312"/>
                <w:color w:val="auto"/>
                <w:kern w:val="0"/>
                <w:sz w:val="24"/>
                <w:highlight w:val="none"/>
              </w:rPr>
            </w:pPr>
          </w:p>
        </w:tc>
      </w:tr>
    </w:tbl>
    <w:p>
      <w:pPr>
        <w:widowControl/>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说明：考核结果作为资金拨付进度和2022年梁溪区老旧小区改造工程建设的依据</w:t>
      </w:r>
    </w:p>
    <w:p>
      <w:pPr>
        <w:spacing w:line="440" w:lineRule="exact"/>
        <w:rPr>
          <w:rFonts w:asciiTheme="majorEastAsia" w:hAnsiTheme="majorEastAsia" w:eastAsiaTheme="majorEastAsia"/>
          <w:color w:val="auto"/>
          <w:sz w:val="24"/>
          <w:highlight w:val="none"/>
        </w:rPr>
      </w:pPr>
    </w:p>
    <w:p>
      <w:pPr>
        <w:spacing w:line="440" w:lineRule="exact"/>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br w:type="page"/>
      </w:r>
      <w:r>
        <w:rPr>
          <w:rFonts w:asciiTheme="majorEastAsia" w:hAnsiTheme="majorEastAsia" w:eastAsiaTheme="majorEastAsia"/>
          <w:color w:val="auto"/>
          <w:sz w:val="24"/>
          <w:highlight w:val="none"/>
        </w:rPr>
        <w:t>附件</w:t>
      </w:r>
      <w:r>
        <w:rPr>
          <w:rFonts w:hint="eastAsia" w:asciiTheme="majorEastAsia" w:hAnsiTheme="majorEastAsia" w:eastAsiaTheme="majorEastAsia"/>
          <w:color w:val="auto"/>
          <w:sz w:val="24"/>
          <w:highlight w:val="none"/>
        </w:rPr>
        <w:t>5</w:t>
      </w:r>
      <w:r>
        <w:rPr>
          <w:rFonts w:asciiTheme="majorEastAsia" w:hAnsiTheme="majorEastAsia" w:eastAsiaTheme="majorEastAsia"/>
          <w:color w:val="auto"/>
          <w:sz w:val="24"/>
          <w:highlight w:val="none"/>
        </w:rPr>
        <w:t>：</w:t>
      </w:r>
    </w:p>
    <w:p>
      <w:pPr>
        <w:spacing w:beforeLines="50" w:afterLines="50" w:line="440" w:lineRule="exact"/>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主要建设工程文件目录</w:t>
      </w:r>
    </w:p>
    <w:tbl>
      <w:tblPr>
        <w:tblStyle w:val="17"/>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文件名称</w:t>
            </w:r>
          </w:p>
        </w:tc>
        <w:tc>
          <w:tcPr>
            <w:tcW w:w="1276"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套数</w:t>
            </w:r>
          </w:p>
        </w:tc>
        <w:tc>
          <w:tcPr>
            <w:tcW w:w="1450"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费用</w:t>
            </w:r>
            <w:r>
              <w:rPr>
                <w:rFonts w:hint="eastAsia" w:asciiTheme="majorEastAsia" w:hAnsiTheme="majorEastAsia" w:eastAsiaTheme="majorEastAsia"/>
                <w:color w:val="auto"/>
                <w:sz w:val="24"/>
                <w:highlight w:val="none"/>
              </w:rPr>
              <w:t>（元）</w:t>
            </w:r>
          </w:p>
        </w:tc>
        <w:tc>
          <w:tcPr>
            <w:tcW w:w="1243"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质量</w:t>
            </w:r>
          </w:p>
        </w:tc>
        <w:tc>
          <w:tcPr>
            <w:tcW w:w="1450" w:type="dxa"/>
            <w:tcBorders>
              <w:top w:val="single" w:color="auto" w:sz="12" w:space="0"/>
              <w:bottom w:val="double" w:color="auto" w:sz="6" w:space="0"/>
            </w:tcBorders>
          </w:tcPr>
          <w:p>
            <w:pPr>
              <w:spacing w:line="440" w:lineRule="exact"/>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移交时间</w:t>
            </w:r>
          </w:p>
        </w:tc>
        <w:tc>
          <w:tcPr>
            <w:tcW w:w="1667" w:type="dxa"/>
            <w:tcBorders>
              <w:top w:val="single" w:color="auto" w:sz="12" w:space="0"/>
              <w:bottom w:val="double" w:color="auto" w:sz="6" w:space="0"/>
            </w:tcBorders>
          </w:tcPr>
          <w:p>
            <w:pPr>
              <w:spacing w:line="440" w:lineRule="exact"/>
              <w:jc w:val="center"/>
              <w:rPr>
                <w:rFonts w:asciiTheme="majorEastAsia" w:hAnsiTheme="majorEastAsia" w:eastAsiaTheme="majorEastAsia"/>
                <w:color w:val="auto"/>
                <w:sz w:val="24"/>
                <w:highlight w:val="none"/>
              </w:rPr>
            </w:pPr>
            <w:r>
              <w:rPr>
                <w:rFonts w:asciiTheme="majorEastAsia" w:hAnsiTheme="majorEastAsia" w:eastAsiaTheme="majorEastAsia"/>
                <w:color w:val="auto"/>
                <w:sz w:val="24"/>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43"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667"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43"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667" w:type="dxa"/>
            <w:tcBorders>
              <w:top w:val="nil"/>
            </w:tcBorders>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4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66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4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66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4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66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4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66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4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66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76"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243"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450"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c>
          <w:tcPr>
            <w:tcW w:w="1667" w:type="dxa"/>
            <w:vAlign w:val="center"/>
          </w:tcPr>
          <w:p>
            <w:pPr>
              <w:keepNext/>
              <w:autoSpaceDE w:val="0"/>
              <w:autoSpaceDN w:val="0"/>
              <w:adjustRightInd w:val="0"/>
              <w:spacing w:line="440" w:lineRule="exact"/>
              <w:ind w:left="63" w:right="63"/>
              <w:rPr>
                <w:rFonts w:asciiTheme="majorEastAsia" w:hAnsiTheme="majorEastAsia" w:eastAsiaTheme="majorEastAsia"/>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 w:val="24"/>
                <w:highlight w:val="none"/>
              </w:rPr>
            </w:pPr>
          </w:p>
        </w:tc>
        <w:tc>
          <w:tcPr>
            <w:tcW w:w="1276"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243"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667"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5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43"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5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667"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 w:val="24"/>
                <w:highlight w:val="none"/>
              </w:rPr>
            </w:pPr>
          </w:p>
        </w:tc>
        <w:tc>
          <w:tcPr>
            <w:tcW w:w="1276"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243"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667"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 w:val="24"/>
                <w:highlight w:val="none"/>
              </w:rPr>
            </w:pPr>
          </w:p>
        </w:tc>
        <w:tc>
          <w:tcPr>
            <w:tcW w:w="1276"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243"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667"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 w:val="24"/>
                <w:highlight w:val="none"/>
              </w:rPr>
            </w:pPr>
          </w:p>
        </w:tc>
        <w:tc>
          <w:tcPr>
            <w:tcW w:w="1276"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243"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667"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 w:val="24"/>
                <w:highlight w:val="none"/>
              </w:rPr>
            </w:pPr>
          </w:p>
        </w:tc>
        <w:tc>
          <w:tcPr>
            <w:tcW w:w="1276"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243"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667"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 w:val="24"/>
                <w:highlight w:val="none"/>
              </w:rPr>
            </w:pPr>
          </w:p>
        </w:tc>
        <w:tc>
          <w:tcPr>
            <w:tcW w:w="1276"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243"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667"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 w:val="24"/>
                <w:highlight w:val="none"/>
              </w:rPr>
            </w:pPr>
          </w:p>
        </w:tc>
        <w:tc>
          <w:tcPr>
            <w:tcW w:w="1276"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243"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667"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 w:val="24"/>
                <w:highlight w:val="none"/>
              </w:rPr>
            </w:pPr>
          </w:p>
        </w:tc>
        <w:tc>
          <w:tcPr>
            <w:tcW w:w="1276"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243"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667"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 w:val="24"/>
                <w:highlight w:val="none"/>
              </w:rPr>
            </w:pPr>
          </w:p>
        </w:tc>
        <w:tc>
          <w:tcPr>
            <w:tcW w:w="1276"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243"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667"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color w:val="auto"/>
                <w:sz w:val="24"/>
                <w:highlight w:val="none"/>
              </w:rPr>
            </w:pPr>
          </w:p>
        </w:tc>
        <w:tc>
          <w:tcPr>
            <w:tcW w:w="1276"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243" w:type="dxa"/>
          </w:tcPr>
          <w:p>
            <w:pPr>
              <w:rPr>
                <w:rFonts w:ascii="宋体" w:hAnsi="宋体"/>
                <w:color w:val="auto"/>
                <w:sz w:val="24"/>
                <w:highlight w:val="none"/>
              </w:rPr>
            </w:pPr>
          </w:p>
        </w:tc>
        <w:tc>
          <w:tcPr>
            <w:tcW w:w="1450" w:type="dxa"/>
          </w:tcPr>
          <w:p>
            <w:pPr>
              <w:rPr>
                <w:rFonts w:ascii="宋体" w:hAnsi="宋体"/>
                <w:color w:val="auto"/>
                <w:sz w:val="24"/>
                <w:highlight w:val="none"/>
              </w:rPr>
            </w:pPr>
          </w:p>
        </w:tc>
        <w:tc>
          <w:tcPr>
            <w:tcW w:w="1667" w:type="dxa"/>
          </w:tcPr>
          <w:p>
            <w:pPr>
              <w:rPr>
                <w:rFonts w:ascii="宋体" w:hAnsi="宋体"/>
                <w:color w:val="auto"/>
                <w:sz w:val="24"/>
                <w:highlight w:val="none"/>
              </w:rPr>
            </w:pPr>
          </w:p>
        </w:tc>
      </w:tr>
    </w:tbl>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附件</w:t>
      </w:r>
      <w:r>
        <w:rPr>
          <w:rFonts w:hint="eastAsia" w:ascii="宋体" w:hAnsi="宋体"/>
          <w:color w:val="auto"/>
          <w:sz w:val="24"/>
          <w:highlight w:val="none"/>
        </w:rPr>
        <w:t>6</w:t>
      </w:r>
      <w:r>
        <w:rPr>
          <w:rFonts w:ascii="宋体" w:hAnsi="宋体"/>
          <w:color w:val="auto"/>
          <w:sz w:val="24"/>
          <w:highlight w:val="none"/>
        </w:rPr>
        <w:t>：</w:t>
      </w:r>
    </w:p>
    <w:p>
      <w:pPr>
        <w:spacing w:beforeLines="50" w:afterLines="50" w:line="440" w:lineRule="exact"/>
        <w:jc w:val="center"/>
        <w:rPr>
          <w:rFonts w:ascii="宋体" w:hAnsi="宋体"/>
          <w:color w:val="auto"/>
          <w:sz w:val="24"/>
          <w:highlight w:val="none"/>
        </w:rPr>
      </w:pPr>
      <w:r>
        <w:rPr>
          <w:rFonts w:ascii="宋体" w:hAnsi="宋体"/>
          <w:color w:val="auto"/>
          <w:sz w:val="24"/>
          <w:highlight w:val="none"/>
        </w:rPr>
        <w:t>承包人用于本工程施工的机械设备表</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序号</w:t>
            </w:r>
          </w:p>
        </w:tc>
        <w:tc>
          <w:tcPr>
            <w:tcW w:w="1418"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机械或设备名称</w:t>
            </w:r>
          </w:p>
        </w:tc>
        <w:tc>
          <w:tcPr>
            <w:tcW w:w="850"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规格型号</w:t>
            </w:r>
          </w:p>
        </w:tc>
        <w:tc>
          <w:tcPr>
            <w:tcW w:w="1058"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数量</w:t>
            </w:r>
          </w:p>
        </w:tc>
        <w:tc>
          <w:tcPr>
            <w:tcW w:w="880"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产地</w:t>
            </w:r>
          </w:p>
        </w:tc>
        <w:tc>
          <w:tcPr>
            <w:tcW w:w="1020"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制造年份</w:t>
            </w:r>
          </w:p>
        </w:tc>
        <w:tc>
          <w:tcPr>
            <w:tcW w:w="1480"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额定功率(kW)</w:t>
            </w:r>
          </w:p>
        </w:tc>
        <w:tc>
          <w:tcPr>
            <w:tcW w:w="1020"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生产能力</w:t>
            </w:r>
          </w:p>
        </w:tc>
        <w:tc>
          <w:tcPr>
            <w:tcW w:w="921"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0"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58"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80"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80"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921" w:type="dxa"/>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0"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58"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80"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80"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921"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5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8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8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921"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5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8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8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921"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5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8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8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921"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5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8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8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921"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5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8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8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921"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5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8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8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921"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highlight w:val="none"/>
              </w:rPr>
            </w:pPr>
          </w:p>
        </w:tc>
        <w:tc>
          <w:tcPr>
            <w:tcW w:w="1418" w:type="dxa"/>
          </w:tcPr>
          <w:p>
            <w:pPr>
              <w:rPr>
                <w:rFonts w:ascii="宋体" w:hAnsi="宋体"/>
                <w:color w:val="auto"/>
                <w:sz w:val="24"/>
                <w:highlight w:val="none"/>
              </w:rPr>
            </w:pPr>
          </w:p>
        </w:tc>
        <w:tc>
          <w:tcPr>
            <w:tcW w:w="850" w:type="dxa"/>
          </w:tcPr>
          <w:p>
            <w:pPr>
              <w:rPr>
                <w:rFonts w:ascii="宋体" w:hAnsi="宋体"/>
                <w:color w:val="auto"/>
                <w:sz w:val="24"/>
                <w:highlight w:val="none"/>
              </w:rPr>
            </w:pPr>
          </w:p>
        </w:tc>
        <w:tc>
          <w:tcPr>
            <w:tcW w:w="1058" w:type="dxa"/>
          </w:tcPr>
          <w:p>
            <w:pPr>
              <w:rPr>
                <w:rFonts w:ascii="宋体" w:hAnsi="宋体"/>
                <w:color w:val="auto"/>
                <w:sz w:val="24"/>
                <w:highlight w:val="none"/>
              </w:rPr>
            </w:pPr>
          </w:p>
        </w:tc>
        <w:tc>
          <w:tcPr>
            <w:tcW w:w="8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14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921"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5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8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8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020"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921"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highlight w:val="none"/>
              </w:rPr>
            </w:pPr>
          </w:p>
        </w:tc>
        <w:tc>
          <w:tcPr>
            <w:tcW w:w="1418" w:type="dxa"/>
          </w:tcPr>
          <w:p>
            <w:pPr>
              <w:rPr>
                <w:rFonts w:ascii="宋体" w:hAnsi="宋体"/>
                <w:color w:val="auto"/>
                <w:sz w:val="24"/>
                <w:highlight w:val="none"/>
              </w:rPr>
            </w:pPr>
          </w:p>
        </w:tc>
        <w:tc>
          <w:tcPr>
            <w:tcW w:w="850" w:type="dxa"/>
          </w:tcPr>
          <w:p>
            <w:pPr>
              <w:rPr>
                <w:rFonts w:ascii="宋体" w:hAnsi="宋体"/>
                <w:color w:val="auto"/>
                <w:sz w:val="24"/>
                <w:highlight w:val="none"/>
              </w:rPr>
            </w:pPr>
          </w:p>
        </w:tc>
        <w:tc>
          <w:tcPr>
            <w:tcW w:w="1058" w:type="dxa"/>
          </w:tcPr>
          <w:p>
            <w:pPr>
              <w:rPr>
                <w:rFonts w:ascii="宋体" w:hAnsi="宋体"/>
                <w:color w:val="auto"/>
                <w:sz w:val="24"/>
                <w:highlight w:val="none"/>
              </w:rPr>
            </w:pPr>
          </w:p>
        </w:tc>
        <w:tc>
          <w:tcPr>
            <w:tcW w:w="8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14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921"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highlight w:val="none"/>
              </w:rPr>
            </w:pPr>
          </w:p>
        </w:tc>
        <w:tc>
          <w:tcPr>
            <w:tcW w:w="1418" w:type="dxa"/>
          </w:tcPr>
          <w:p>
            <w:pPr>
              <w:rPr>
                <w:rFonts w:ascii="宋体" w:hAnsi="宋体"/>
                <w:color w:val="auto"/>
                <w:sz w:val="24"/>
                <w:highlight w:val="none"/>
              </w:rPr>
            </w:pPr>
          </w:p>
        </w:tc>
        <w:tc>
          <w:tcPr>
            <w:tcW w:w="850" w:type="dxa"/>
          </w:tcPr>
          <w:p>
            <w:pPr>
              <w:rPr>
                <w:rFonts w:ascii="宋体" w:hAnsi="宋体"/>
                <w:color w:val="auto"/>
                <w:sz w:val="24"/>
                <w:highlight w:val="none"/>
              </w:rPr>
            </w:pPr>
          </w:p>
        </w:tc>
        <w:tc>
          <w:tcPr>
            <w:tcW w:w="1058" w:type="dxa"/>
          </w:tcPr>
          <w:p>
            <w:pPr>
              <w:rPr>
                <w:rFonts w:ascii="宋体" w:hAnsi="宋体"/>
                <w:color w:val="auto"/>
                <w:sz w:val="24"/>
                <w:highlight w:val="none"/>
              </w:rPr>
            </w:pPr>
          </w:p>
        </w:tc>
        <w:tc>
          <w:tcPr>
            <w:tcW w:w="8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14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921"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highlight w:val="none"/>
              </w:rPr>
            </w:pPr>
          </w:p>
        </w:tc>
        <w:tc>
          <w:tcPr>
            <w:tcW w:w="1418" w:type="dxa"/>
          </w:tcPr>
          <w:p>
            <w:pPr>
              <w:rPr>
                <w:rFonts w:ascii="宋体" w:hAnsi="宋体"/>
                <w:color w:val="auto"/>
                <w:sz w:val="24"/>
                <w:highlight w:val="none"/>
              </w:rPr>
            </w:pPr>
          </w:p>
        </w:tc>
        <w:tc>
          <w:tcPr>
            <w:tcW w:w="850" w:type="dxa"/>
          </w:tcPr>
          <w:p>
            <w:pPr>
              <w:rPr>
                <w:rFonts w:ascii="宋体" w:hAnsi="宋体"/>
                <w:color w:val="auto"/>
                <w:sz w:val="24"/>
                <w:highlight w:val="none"/>
              </w:rPr>
            </w:pPr>
          </w:p>
        </w:tc>
        <w:tc>
          <w:tcPr>
            <w:tcW w:w="1058" w:type="dxa"/>
          </w:tcPr>
          <w:p>
            <w:pPr>
              <w:rPr>
                <w:rFonts w:ascii="宋体" w:hAnsi="宋体"/>
                <w:color w:val="auto"/>
                <w:sz w:val="24"/>
                <w:highlight w:val="none"/>
              </w:rPr>
            </w:pPr>
          </w:p>
        </w:tc>
        <w:tc>
          <w:tcPr>
            <w:tcW w:w="8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14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921"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highlight w:val="none"/>
              </w:rPr>
            </w:pPr>
          </w:p>
        </w:tc>
        <w:tc>
          <w:tcPr>
            <w:tcW w:w="1418" w:type="dxa"/>
          </w:tcPr>
          <w:p>
            <w:pPr>
              <w:rPr>
                <w:rFonts w:ascii="宋体" w:hAnsi="宋体"/>
                <w:color w:val="auto"/>
                <w:sz w:val="24"/>
                <w:highlight w:val="none"/>
              </w:rPr>
            </w:pPr>
          </w:p>
        </w:tc>
        <w:tc>
          <w:tcPr>
            <w:tcW w:w="850" w:type="dxa"/>
          </w:tcPr>
          <w:p>
            <w:pPr>
              <w:rPr>
                <w:rFonts w:ascii="宋体" w:hAnsi="宋体"/>
                <w:color w:val="auto"/>
                <w:sz w:val="24"/>
                <w:highlight w:val="none"/>
              </w:rPr>
            </w:pPr>
          </w:p>
        </w:tc>
        <w:tc>
          <w:tcPr>
            <w:tcW w:w="1058" w:type="dxa"/>
          </w:tcPr>
          <w:p>
            <w:pPr>
              <w:rPr>
                <w:rFonts w:ascii="宋体" w:hAnsi="宋体"/>
                <w:color w:val="auto"/>
                <w:sz w:val="24"/>
                <w:highlight w:val="none"/>
              </w:rPr>
            </w:pPr>
          </w:p>
        </w:tc>
        <w:tc>
          <w:tcPr>
            <w:tcW w:w="8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14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921"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highlight w:val="none"/>
              </w:rPr>
            </w:pPr>
          </w:p>
        </w:tc>
        <w:tc>
          <w:tcPr>
            <w:tcW w:w="1418" w:type="dxa"/>
          </w:tcPr>
          <w:p>
            <w:pPr>
              <w:rPr>
                <w:rFonts w:ascii="宋体" w:hAnsi="宋体"/>
                <w:color w:val="auto"/>
                <w:sz w:val="24"/>
                <w:highlight w:val="none"/>
              </w:rPr>
            </w:pPr>
          </w:p>
        </w:tc>
        <w:tc>
          <w:tcPr>
            <w:tcW w:w="850" w:type="dxa"/>
          </w:tcPr>
          <w:p>
            <w:pPr>
              <w:rPr>
                <w:rFonts w:ascii="宋体" w:hAnsi="宋体"/>
                <w:color w:val="auto"/>
                <w:sz w:val="24"/>
                <w:highlight w:val="none"/>
              </w:rPr>
            </w:pPr>
          </w:p>
        </w:tc>
        <w:tc>
          <w:tcPr>
            <w:tcW w:w="1058" w:type="dxa"/>
          </w:tcPr>
          <w:p>
            <w:pPr>
              <w:rPr>
                <w:rFonts w:ascii="宋体" w:hAnsi="宋体"/>
                <w:color w:val="auto"/>
                <w:sz w:val="24"/>
                <w:highlight w:val="none"/>
              </w:rPr>
            </w:pPr>
          </w:p>
        </w:tc>
        <w:tc>
          <w:tcPr>
            <w:tcW w:w="8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14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921"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highlight w:val="none"/>
              </w:rPr>
            </w:pPr>
          </w:p>
        </w:tc>
        <w:tc>
          <w:tcPr>
            <w:tcW w:w="1418" w:type="dxa"/>
          </w:tcPr>
          <w:p>
            <w:pPr>
              <w:rPr>
                <w:rFonts w:ascii="宋体" w:hAnsi="宋体"/>
                <w:color w:val="auto"/>
                <w:sz w:val="24"/>
                <w:highlight w:val="none"/>
              </w:rPr>
            </w:pPr>
          </w:p>
        </w:tc>
        <w:tc>
          <w:tcPr>
            <w:tcW w:w="850" w:type="dxa"/>
          </w:tcPr>
          <w:p>
            <w:pPr>
              <w:rPr>
                <w:rFonts w:ascii="宋体" w:hAnsi="宋体"/>
                <w:color w:val="auto"/>
                <w:sz w:val="24"/>
                <w:highlight w:val="none"/>
              </w:rPr>
            </w:pPr>
          </w:p>
        </w:tc>
        <w:tc>
          <w:tcPr>
            <w:tcW w:w="1058" w:type="dxa"/>
          </w:tcPr>
          <w:p>
            <w:pPr>
              <w:rPr>
                <w:rFonts w:ascii="宋体" w:hAnsi="宋体"/>
                <w:color w:val="auto"/>
                <w:sz w:val="24"/>
                <w:highlight w:val="none"/>
              </w:rPr>
            </w:pPr>
          </w:p>
        </w:tc>
        <w:tc>
          <w:tcPr>
            <w:tcW w:w="8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14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921"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highlight w:val="none"/>
              </w:rPr>
            </w:pPr>
          </w:p>
        </w:tc>
        <w:tc>
          <w:tcPr>
            <w:tcW w:w="1418" w:type="dxa"/>
          </w:tcPr>
          <w:p>
            <w:pPr>
              <w:rPr>
                <w:rFonts w:ascii="宋体" w:hAnsi="宋体"/>
                <w:color w:val="auto"/>
                <w:sz w:val="24"/>
                <w:highlight w:val="none"/>
              </w:rPr>
            </w:pPr>
          </w:p>
        </w:tc>
        <w:tc>
          <w:tcPr>
            <w:tcW w:w="850" w:type="dxa"/>
          </w:tcPr>
          <w:p>
            <w:pPr>
              <w:rPr>
                <w:rFonts w:ascii="宋体" w:hAnsi="宋体"/>
                <w:color w:val="auto"/>
                <w:sz w:val="24"/>
                <w:highlight w:val="none"/>
              </w:rPr>
            </w:pPr>
          </w:p>
        </w:tc>
        <w:tc>
          <w:tcPr>
            <w:tcW w:w="1058" w:type="dxa"/>
          </w:tcPr>
          <w:p>
            <w:pPr>
              <w:rPr>
                <w:rFonts w:ascii="宋体" w:hAnsi="宋体"/>
                <w:color w:val="auto"/>
                <w:sz w:val="24"/>
                <w:highlight w:val="none"/>
              </w:rPr>
            </w:pPr>
          </w:p>
        </w:tc>
        <w:tc>
          <w:tcPr>
            <w:tcW w:w="8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14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921"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highlight w:val="none"/>
              </w:rPr>
            </w:pPr>
          </w:p>
        </w:tc>
        <w:tc>
          <w:tcPr>
            <w:tcW w:w="1418" w:type="dxa"/>
          </w:tcPr>
          <w:p>
            <w:pPr>
              <w:rPr>
                <w:rFonts w:ascii="宋体" w:hAnsi="宋体"/>
                <w:color w:val="auto"/>
                <w:sz w:val="24"/>
                <w:highlight w:val="none"/>
              </w:rPr>
            </w:pPr>
          </w:p>
        </w:tc>
        <w:tc>
          <w:tcPr>
            <w:tcW w:w="850" w:type="dxa"/>
          </w:tcPr>
          <w:p>
            <w:pPr>
              <w:rPr>
                <w:rFonts w:ascii="宋体" w:hAnsi="宋体"/>
                <w:color w:val="auto"/>
                <w:sz w:val="24"/>
                <w:highlight w:val="none"/>
              </w:rPr>
            </w:pPr>
          </w:p>
        </w:tc>
        <w:tc>
          <w:tcPr>
            <w:tcW w:w="1058" w:type="dxa"/>
          </w:tcPr>
          <w:p>
            <w:pPr>
              <w:rPr>
                <w:rFonts w:ascii="宋体" w:hAnsi="宋体"/>
                <w:color w:val="auto"/>
                <w:sz w:val="24"/>
                <w:highlight w:val="none"/>
              </w:rPr>
            </w:pPr>
          </w:p>
        </w:tc>
        <w:tc>
          <w:tcPr>
            <w:tcW w:w="8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14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921" w:type="dxa"/>
          </w:tcPr>
          <w:p>
            <w:pP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olor w:val="auto"/>
                <w:sz w:val="24"/>
                <w:highlight w:val="none"/>
              </w:rPr>
            </w:pPr>
          </w:p>
        </w:tc>
        <w:tc>
          <w:tcPr>
            <w:tcW w:w="1418" w:type="dxa"/>
          </w:tcPr>
          <w:p>
            <w:pPr>
              <w:rPr>
                <w:rFonts w:ascii="宋体" w:hAnsi="宋体"/>
                <w:color w:val="auto"/>
                <w:sz w:val="24"/>
                <w:highlight w:val="none"/>
              </w:rPr>
            </w:pPr>
          </w:p>
        </w:tc>
        <w:tc>
          <w:tcPr>
            <w:tcW w:w="850" w:type="dxa"/>
          </w:tcPr>
          <w:p>
            <w:pPr>
              <w:rPr>
                <w:rFonts w:ascii="宋体" w:hAnsi="宋体"/>
                <w:color w:val="auto"/>
                <w:sz w:val="24"/>
                <w:highlight w:val="none"/>
              </w:rPr>
            </w:pPr>
          </w:p>
        </w:tc>
        <w:tc>
          <w:tcPr>
            <w:tcW w:w="1058" w:type="dxa"/>
          </w:tcPr>
          <w:p>
            <w:pPr>
              <w:rPr>
                <w:rFonts w:ascii="宋体" w:hAnsi="宋体"/>
                <w:color w:val="auto"/>
                <w:sz w:val="24"/>
                <w:highlight w:val="none"/>
              </w:rPr>
            </w:pPr>
          </w:p>
        </w:tc>
        <w:tc>
          <w:tcPr>
            <w:tcW w:w="8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1480" w:type="dxa"/>
          </w:tcPr>
          <w:p>
            <w:pPr>
              <w:rPr>
                <w:rFonts w:ascii="宋体" w:hAnsi="宋体"/>
                <w:color w:val="auto"/>
                <w:sz w:val="24"/>
                <w:highlight w:val="none"/>
              </w:rPr>
            </w:pPr>
          </w:p>
        </w:tc>
        <w:tc>
          <w:tcPr>
            <w:tcW w:w="1020" w:type="dxa"/>
          </w:tcPr>
          <w:p>
            <w:pPr>
              <w:rPr>
                <w:rFonts w:ascii="宋体" w:hAnsi="宋体"/>
                <w:color w:val="auto"/>
                <w:sz w:val="24"/>
                <w:highlight w:val="none"/>
              </w:rPr>
            </w:pPr>
          </w:p>
        </w:tc>
        <w:tc>
          <w:tcPr>
            <w:tcW w:w="921" w:type="dxa"/>
          </w:tcPr>
          <w:p>
            <w:pPr>
              <w:rPr>
                <w:rFonts w:ascii="宋体" w:hAnsi="宋体"/>
                <w:color w:val="auto"/>
                <w:sz w:val="24"/>
                <w:highlight w:val="none"/>
              </w:rPr>
            </w:pPr>
          </w:p>
        </w:tc>
      </w:tr>
    </w:tbl>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附件</w:t>
      </w:r>
      <w:r>
        <w:rPr>
          <w:rFonts w:hint="eastAsia" w:ascii="宋体" w:hAnsi="宋体"/>
          <w:color w:val="auto"/>
          <w:sz w:val="24"/>
          <w:highlight w:val="none"/>
        </w:rPr>
        <w:t>7</w:t>
      </w:r>
      <w:r>
        <w:rPr>
          <w:rFonts w:ascii="宋体" w:hAnsi="宋体"/>
          <w:color w:val="auto"/>
          <w:sz w:val="24"/>
          <w:highlight w:val="none"/>
        </w:rPr>
        <w:t>：</w:t>
      </w:r>
    </w:p>
    <w:p>
      <w:pPr>
        <w:spacing w:beforeLines="50" w:afterLines="50" w:line="440" w:lineRule="exact"/>
        <w:jc w:val="center"/>
        <w:rPr>
          <w:rFonts w:ascii="宋体" w:hAnsi="宋体"/>
          <w:color w:val="auto"/>
          <w:sz w:val="24"/>
          <w:highlight w:val="none"/>
        </w:rPr>
      </w:pPr>
      <w:r>
        <w:rPr>
          <w:rFonts w:ascii="宋体" w:hAnsi="宋体"/>
          <w:color w:val="auto"/>
          <w:sz w:val="24"/>
          <w:highlight w:val="none"/>
        </w:rPr>
        <w:t>承包人主要施工管理人员表</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名    称</w:t>
            </w:r>
          </w:p>
        </w:tc>
        <w:tc>
          <w:tcPr>
            <w:tcW w:w="1418"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姓名</w:t>
            </w:r>
          </w:p>
        </w:tc>
        <w:tc>
          <w:tcPr>
            <w:tcW w:w="1134"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职务</w:t>
            </w:r>
          </w:p>
        </w:tc>
        <w:tc>
          <w:tcPr>
            <w:tcW w:w="1134"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职称</w:t>
            </w:r>
          </w:p>
        </w:tc>
        <w:tc>
          <w:tcPr>
            <w:tcW w:w="4252"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项目主管</w:t>
            </w:r>
          </w:p>
        </w:tc>
        <w:tc>
          <w:tcPr>
            <w:tcW w:w="1418"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其他人员</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项目经理</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项目副经理</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技术负责人</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造价管理</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质量管理</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材料管理</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计划管理</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安全管理</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其他人员</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Borders>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tcBorders>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tcBorders>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tcBorders>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Borders>
              <w:bottom w:val="single" w:color="auto" w:sz="12"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tcBorders>
              <w:bottom w:val="single" w:color="auto" w:sz="12"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tcBorders>
              <w:bottom w:val="single" w:color="auto" w:sz="12"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tcBorders>
              <w:bottom w:val="single" w:color="auto" w:sz="12"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bl>
    <w:p>
      <w:pPr>
        <w:spacing w:line="440" w:lineRule="exact"/>
        <w:rPr>
          <w:rFonts w:ascii="宋体" w:hAnsi="宋体"/>
          <w:color w:val="auto"/>
          <w:sz w:val="24"/>
          <w:highlight w:val="none"/>
        </w:rPr>
      </w:pPr>
    </w:p>
    <w:p>
      <w:pPr>
        <w:spacing w:line="440" w:lineRule="exact"/>
        <w:rPr>
          <w:rFonts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附件</w:t>
      </w:r>
      <w:r>
        <w:rPr>
          <w:rFonts w:hint="eastAsia" w:ascii="宋体" w:hAnsi="宋体"/>
          <w:color w:val="auto"/>
          <w:sz w:val="24"/>
          <w:highlight w:val="none"/>
        </w:rPr>
        <w:t>8</w:t>
      </w:r>
      <w:r>
        <w:rPr>
          <w:rFonts w:ascii="宋体" w:hAnsi="宋体"/>
          <w:color w:val="auto"/>
          <w:sz w:val="24"/>
          <w:highlight w:val="none"/>
        </w:rPr>
        <w:t>：</w:t>
      </w:r>
    </w:p>
    <w:p>
      <w:pPr>
        <w:spacing w:beforeLines="50" w:afterLines="50" w:line="440" w:lineRule="exact"/>
        <w:jc w:val="center"/>
        <w:rPr>
          <w:rFonts w:ascii="宋体" w:hAnsi="宋体"/>
          <w:color w:val="auto"/>
          <w:sz w:val="24"/>
          <w:highlight w:val="none"/>
        </w:rPr>
      </w:pPr>
      <w:r>
        <w:rPr>
          <w:rFonts w:ascii="宋体" w:hAnsi="宋体"/>
          <w:color w:val="auto"/>
          <w:sz w:val="24"/>
          <w:highlight w:val="none"/>
        </w:rPr>
        <w:t>分包人主要施工管理人员表</w:t>
      </w:r>
    </w:p>
    <w:tbl>
      <w:tblPr>
        <w:tblStyle w:val="1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名    称</w:t>
            </w:r>
          </w:p>
        </w:tc>
        <w:tc>
          <w:tcPr>
            <w:tcW w:w="1418"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姓名</w:t>
            </w:r>
          </w:p>
        </w:tc>
        <w:tc>
          <w:tcPr>
            <w:tcW w:w="1134"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职务</w:t>
            </w:r>
          </w:p>
        </w:tc>
        <w:tc>
          <w:tcPr>
            <w:tcW w:w="1134"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职称</w:t>
            </w:r>
          </w:p>
        </w:tc>
        <w:tc>
          <w:tcPr>
            <w:tcW w:w="4252" w:type="dxa"/>
            <w:tcBorders>
              <w:top w:val="single" w:color="auto" w:sz="12" w:space="0"/>
              <w:bottom w:val="doub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项目主管</w:t>
            </w:r>
          </w:p>
        </w:tc>
        <w:tc>
          <w:tcPr>
            <w:tcW w:w="1418"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tcBorders>
              <w:top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其他人员</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项目经理</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项目副经理</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技术负责人</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造价管理</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质量管理</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材料管理</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计划管理</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安全管理</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其他人员</w:t>
            </w: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Borders>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tcBorders>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tcBorders>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tcBorders>
              <w:bottom w:val="nil"/>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Borders>
              <w:bottom w:val="single" w:color="auto" w:sz="12"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tcBorders>
              <w:bottom w:val="single" w:color="auto" w:sz="12"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134" w:type="dxa"/>
            <w:tcBorders>
              <w:bottom w:val="single" w:color="auto" w:sz="12"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252" w:type="dxa"/>
            <w:tcBorders>
              <w:bottom w:val="single" w:color="auto" w:sz="12" w:space="0"/>
            </w:tcBorders>
            <w:vAlign w:val="center"/>
          </w:tcPr>
          <w:p>
            <w:pPr>
              <w:keepNext/>
              <w:autoSpaceDE w:val="0"/>
              <w:autoSpaceDN w:val="0"/>
              <w:adjustRightInd w:val="0"/>
              <w:spacing w:line="440" w:lineRule="exact"/>
              <w:ind w:left="63" w:right="63"/>
              <w:rPr>
                <w:rFonts w:ascii="宋体" w:hAnsi="宋体" w:eastAsia="仿宋_GB2312"/>
                <w:color w:val="auto"/>
                <w:sz w:val="24"/>
                <w:highlight w:val="none"/>
              </w:rPr>
            </w:pPr>
          </w:p>
        </w:tc>
      </w:tr>
    </w:tbl>
    <w:p>
      <w:pPr>
        <w:spacing w:line="440" w:lineRule="exact"/>
        <w:rPr>
          <w:rFonts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附件</w:t>
      </w:r>
      <w:r>
        <w:rPr>
          <w:rFonts w:hint="eastAsia" w:ascii="宋体" w:hAnsi="宋体"/>
          <w:color w:val="auto"/>
          <w:sz w:val="24"/>
          <w:highlight w:val="none"/>
        </w:rPr>
        <w:t>9</w:t>
      </w:r>
      <w:r>
        <w:rPr>
          <w:rFonts w:ascii="宋体" w:hAnsi="宋体"/>
          <w:color w:val="auto"/>
          <w:sz w:val="24"/>
          <w:highlight w:val="none"/>
        </w:rPr>
        <w:t>：</w:t>
      </w:r>
    </w:p>
    <w:p>
      <w:pPr>
        <w:spacing w:beforeLines="50" w:afterLines="50" w:line="440" w:lineRule="exact"/>
        <w:jc w:val="center"/>
        <w:rPr>
          <w:rFonts w:ascii="宋体" w:hAnsi="宋体"/>
          <w:color w:val="auto"/>
          <w:sz w:val="24"/>
          <w:highlight w:val="none"/>
        </w:rPr>
      </w:pPr>
      <w:r>
        <w:rPr>
          <w:rFonts w:ascii="宋体" w:hAnsi="宋体"/>
          <w:color w:val="auto"/>
          <w:sz w:val="24"/>
          <w:highlight w:val="none"/>
        </w:rPr>
        <w:t>预付款担保</w:t>
      </w:r>
    </w:p>
    <w:p>
      <w:pPr>
        <w:spacing w:line="360" w:lineRule="auto"/>
        <w:rPr>
          <w:rFonts w:ascii="宋体" w:hAnsi="宋体"/>
          <w:color w:val="auto"/>
          <w:sz w:val="24"/>
          <w:highlight w:val="none"/>
        </w:rPr>
      </w:pP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rPr>
        <w:t xml:space="preserve"> （发包人名称）：</w:t>
      </w:r>
    </w:p>
    <w:p>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根据（承包人名称）（以下称</w:t>
      </w:r>
      <w:r>
        <w:rPr>
          <w:rFonts w:hint="eastAsia" w:ascii="宋体" w:hAnsi="宋体"/>
          <w:color w:val="auto"/>
          <w:sz w:val="24"/>
          <w:highlight w:val="none"/>
        </w:rPr>
        <w:t>“</w:t>
      </w:r>
      <w:r>
        <w:rPr>
          <w:rFonts w:ascii="宋体" w:hAnsi="宋体"/>
          <w:color w:val="auto"/>
          <w:sz w:val="24"/>
          <w:highlight w:val="none"/>
        </w:rPr>
        <w:t>承包人</w:t>
      </w:r>
      <w:r>
        <w:rPr>
          <w:rFonts w:hint="eastAsia" w:ascii="宋体" w:hAnsi="宋体"/>
          <w:color w:val="auto"/>
          <w:sz w:val="24"/>
          <w:highlight w:val="none"/>
        </w:rPr>
        <w:t>”</w:t>
      </w:r>
      <w:r>
        <w:rPr>
          <w:rFonts w:ascii="宋体" w:hAnsi="宋体"/>
          <w:color w:val="auto"/>
          <w:sz w:val="24"/>
          <w:highlight w:val="none"/>
        </w:rPr>
        <w:t>）与</w:t>
      </w:r>
    </w:p>
    <w:p>
      <w:pPr>
        <w:spacing w:line="360" w:lineRule="auto"/>
        <w:outlineLvl w:val="0"/>
        <w:rPr>
          <w:rFonts w:ascii="宋体" w:hAnsi="宋体"/>
          <w:color w:val="auto"/>
          <w:sz w:val="24"/>
          <w:highlight w:val="none"/>
        </w:rPr>
      </w:pPr>
      <w:r>
        <w:rPr>
          <w:rFonts w:ascii="宋体" w:hAnsi="宋体"/>
          <w:color w:val="auto"/>
          <w:sz w:val="24"/>
          <w:highlight w:val="none"/>
        </w:rPr>
        <w:t>（发包人名称）（以下简称</w:t>
      </w:r>
      <w:r>
        <w:rPr>
          <w:rFonts w:hint="eastAsia" w:ascii="宋体" w:hAnsi="宋体"/>
          <w:color w:val="auto"/>
          <w:sz w:val="24"/>
          <w:highlight w:val="none"/>
        </w:rPr>
        <w:t>“</w:t>
      </w:r>
      <w:r>
        <w:rPr>
          <w:rFonts w:ascii="宋体" w:hAnsi="宋体"/>
          <w:color w:val="auto"/>
          <w:sz w:val="24"/>
          <w:highlight w:val="none"/>
        </w:rPr>
        <w:t>发包人</w:t>
      </w:r>
      <w:r>
        <w:rPr>
          <w:rFonts w:hint="eastAsia" w:ascii="宋体" w:hAnsi="宋体"/>
          <w:color w:val="auto"/>
          <w:sz w:val="24"/>
          <w:highlight w:val="none"/>
        </w:rPr>
        <w:t>”</w:t>
      </w:r>
      <w:r>
        <w:rPr>
          <w:rFonts w:ascii="宋体" w:hAnsi="宋体"/>
          <w:color w:val="auto"/>
          <w:sz w:val="24"/>
          <w:highlight w:val="none"/>
        </w:rPr>
        <w:t>）于年月日签订的（工程名称）《建设工程施工合同》，承包人按约定的金额向</w:t>
      </w:r>
      <w:r>
        <w:rPr>
          <w:rFonts w:hint="eastAsia" w:ascii="宋体" w:hAnsi="宋体"/>
          <w:color w:val="auto"/>
          <w:sz w:val="24"/>
          <w:highlight w:val="none"/>
        </w:rPr>
        <w:t>你方</w:t>
      </w:r>
      <w:r>
        <w:rPr>
          <w:rFonts w:ascii="宋体" w:hAnsi="宋体"/>
          <w:color w:val="auto"/>
          <w:sz w:val="24"/>
          <w:highlight w:val="none"/>
        </w:rPr>
        <w:t>提交一份预付款担保，即有权得到</w:t>
      </w:r>
      <w:r>
        <w:rPr>
          <w:rFonts w:hint="eastAsia" w:ascii="宋体" w:hAnsi="宋体"/>
          <w:color w:val="auto"/>
          <w:sz w:val="24"/>
          <w:highlight w:val="none"/>
        </w:rPr>
        <w:t>你方</w:t>
      </w:r>
      <w:r>
        <w:rPr>
          <w:rFonts w:ascii="宋体" w:hAnsi="宋体"/>
          <w:color w:val="auto"/>
          <w:sz w:val="24"/>
          <w:highlight w:val="none"/>
        </w:rPr>
        <w:t>支付相等金额的预付款。我方愿意就你方提供给承包人的预付款</w:t>
      </w:r>
      <w:r>
        <w:rPr>
          <w:rFonts w:hint="eastAsia" w:ascii="宋体" w:hAnsi="宋体"/>
          <w:color w:val="auto"/>
          <w:sz w:val="24"/>
          <w:highlight w:val="none"/>
        </w:rPr>
        <w:t>为承包人</w:t>
      </w:r>
      <w:r>
        <w:rPr>
          <w:rFonts w:ascii="宋体" w:hAnsi="宋体"/>
          <w:color w:val="auto"/>
          <w:sz w:val="24"/>
          <w:highlight w:val="none"/>
        </w:rPr>
        <w:t>提供连带责任担保。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 </w:t>
      </w:r>
      <w:r>
        <w:rPr>
          <w:rFonts w:ascii="宋体" w:hAnsi="宋体"/>
          <w:color w:val="auto"/>
          <w:sz w:val="24"/>
          <w:highlight w:val="none"/>
        </w:rPr>
        <w:t>担保金额人民币（大写）</w:t>
      </w:r>
      <w:r>
        <w:rPr>
          <w:rFonts w:hint="eastAsia" w:ascii="宋体" w:hAnsi="宋体"/>
          <w:color w:val="auto"/>
          <w:sz w:val="24"/>
          <w:highlight w:val="none"/>
        </w:rPr>
        <w:t>元</w:t>
      </w:r>
      <w:r>
        <w:rPr>
          <w:rFonts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 </w:t>
      </w:r>
      <w:r>
        <w:rPr>
          <w:rFonts w:ascii="宋体" w:hAnsi="宋体"/>
          <w:color w:val="auto"/>
          <w:sz w:val="24"/>
          <w:highlight w:val="none"/>
        </w:rPr>
        <w:t>担保有效期自预付款支付给承包人起生效，至</w:t>
      </w:r>
      <w:r>
        <w:rPr>
          <w:rFonts w:hint="eastAsia" w:ascii="宋体" w:hAnsi="宋体"/>
          <w:color w:val="auto"/>
          <w:sz w:val="24"/>
          <w:highlight w:val="none"/>
        </w:rPr>
        <w:t>你方</w:t>
      </w:r>
      <w:r>
        <w:rPr>
          <w:rFonts w:ascii="宋体" w:hAnsi="宋体"/>
          <w:color w:val="auto"/>
          <w:sz w:val="24"/>
          <w:highlight w:val="none"/>
        </w:rPr>
        <w:t>签发的</w:t>
      </w:r>
      <w:r>
        <w:rPr>
          <w:rFonts w:hint="eastAsia" w:ascii="宋体" w:hAnsi="宋体"/>
          <w:color w:val="auto"/>
          <w:sz w:val="24"/>
          <w:highlight w:val="none"/>
        </w:rPr>
        <w:t>进</w:t>
      </w:r>
      <w:r>
        <w:rPr>
          <w:rFonts w:ascii="宋体" w:hAnsi="宋体"/>
          <w:color w:val="auto"/>
          <w:sz w:val="24"/>
          <w:highlight w:val="none"/>
        </w:rPr>
        <w:t>度款支付证书说明已完全扣清止。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 </w:t>
      </w:r>
      <w:r>
        <w:rPr>
          <w:rFonts w:ascii="宋体" w:hAnsi="宋体"/>
          <w:color w:val="auto"/>
          <w:sz w:val="24"/>
          <w:highlight w:val="none"/>
        </w:rPr>
        <w:t>在本保函有效期内，因承包人违反合同约定的义务而要求</w:t>
      </w:r>
      <w:r>
        <w:rPr>
          <w:rFonts w:hint="eastAsia" w:ascii="宋体" w:hAnsi="宋体"/>
          <w:color w:val="auto"/>
          <w:sz w:val="24"/>
          <w:highlight w:val="none"/>
        </w:rPr>
        <w:t>收</w:t>
      </w:r>
      <w:r>
        <w:rPr>
          <w:rFonts w:ascii="宋体" w:hAnsi="宋体"/>
          <w:color w:val="auto"/>
          <w:sz w:val="24"/>
          <w:highlight w:val="none"/>
        </w:rPr>
        <w:t>回预付款时，我方在收到你方的书面通知后，在７天内无条件支付。但本保函的担保金额，在任何时候不应超过预付款金额减去</w:t>
      </w:r>
      <w:r>
        <w:rPr>
          <w:rFonts w:hint="eastAsia" w:ascii="宋体" w:hAnsi="宋体"/>
          <w:color w:val="auto"/>
          <w:sz w:val="24"/>
          <w:highlight w:val="none"/>
        </w:rPr>
        <w:t>你方</w:t>
      </w:r>
      <w:r>
        <w:rPr>
          <w:rFonts w:ascii="宋体" w:hAnsi="宋体"/>
          <w:color w:val="auto"/>
          <w:sz w:val="24"/>
          <w:highlight w:val="none"/>
        </w:rPr>
        <w:t>按合同约定在向承包人签发的进度款支付证书中扣除的金额。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 你方</w:t>
      </w:r>
      <w:r>
        <w:rPr>
          <w:rFonts w:ascii="宋体" w:hAnsi="宋体"/>
          <w:color w:val="auto"/>
          <w:sz w:val="24"/>
          <w:highlight w:val="none"/>
        </w:rPr>
        <w:t>和承包人按合同约定变更合同时，我方承担本保函规定的义务不变。</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5. </w:t>
      </w:r>
      <w:r>
        <w:rPr>
          <w:rFonts w:ascii="宋体" w:hAnsi="宋体"/>
          <w:color w:val="auto"/>
          <w:sz w:val="24"/>
          <w:highlight w:val="none"/>
        </w:rPr>
        <w:t>因本保函发生的纠纷，可由双方协商解决，协商不成的，任何一方均可提请仲裁委员会仲裁。</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6. </w:t>
      </w:r>
      <w:r>
        <w:rPr>
          <w:rFonts w:ascii="宋体" w:hAnsi="宋体"/>
          <w:color w:val="auto"/>
          <w:sz w:val="24"/>
          <w:highlight w:val="none"/>
        </w:rPr>
        <w:t>本保函自我方法定代表人（或其授权代理人）签字并加盖公章之日起生效。</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担保人：（盖单位章）</w:t>
      </w:r>
    </w:p>
    <w:p>
      <w:pPr>
        <w:spacing w:line="360" w:lineRule="auto"/>
        <w:rPr>
          <w:rFonts w:ascii="宋体" w:hAnsi="宋体"/>
          <w:color w:val="auto"/>
          <w:sz w:val="24"/>
          <w:highlight w:val="none"/>
        </w:rPr>
      </w:pPr>
      <w:r>
        <w:rPr>
          <w:rFonts w:ascii="宋体" w:hAnsi="宋体"/>
          <w:color w:val="auto"/>
          <w:sz w:val="24"/>
          <w:highlight w:val="none"/>
        </w:rPr>
        <w:t>法定代表人或其委托代理人：（签字）</w:t>
      </w:r>
    </w:p>
    <w:p>
      <w:pPr>
        <w:spacing w:line="360" w:lineRule="auto"/>
        <w:rPr>
          <w:rFonts w:ascii="宋体" w:hAnsi="宋体"/>
          <w:color w:val="auto"/>
          <w:sz w:val="24"/>
          <w:highlight w:val="none"/>
        </w:rPr>
      </w:pPr>
      <w:r>
        <w:rPr>
          <w:rFonts w:ascii="宋体" w:hAnsi="宋体"/>
          <w:color w:val="auto"/>
          <w:sz w:val="24"/>
          <w:highlight w:val="none"/>
        </w:rPr>
        <w:t>地    址：</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p>
    <w:p>
      <w:pPr>
        <w:spacing w:line="360" w:lineRule="auto"/>
        <w:rPr>
          <w:rFonts w:ascii="宋体" w:hAnsi="宋体"/>
          <w:color w:val="auto"/>
          <w:sz w:val="24"/>
          <w:highlight w:val="none"/>
          <w:u w:val="single"/>
        </w:rPr>
      </w:pPr>
      <w:r>
        <w:rPr>
          <w:rFonts w:ascii="宋体" w:hAnsi="宋体"/>
          <w:color w:val="auto"/>
          <w:sz w:val="24"/>
          <w:highlight w:val="none"/>
        </w:rPr>
        <w:t>邮政编码：</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p>
    <w:p>
      <w:pPr>
        <w:spacing w:line="360" w:lineRule="auto"/>
        <w:rPr>
          <w:rFonts w:ascii="宋体" w:hAnsi="宋体"/>
          <w:color w:val="auto"/>
          <w:sz w:val="24"/>
          <w:highlight w:val="none"/>
          <w:u w:val="single"/>
        </w:rPr>
      </w:pPr>
      <w:r>
        <w:rPr>
          <w:rFonts w:ascii="宋体" w:hAnsi="宋体"/>
          <w:color w:val="auto"/>
          <w:sz w:val="24"/>
          <w:highlight w:val="none"/>
        </w:rPr>
        <w:t>电    话：</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p>
    <w:p>
      <w:pPr>
        <w:spacing w:line="360" w:lineRule="auto"/>
        <w:rPr>
          <w:rFonts w:ascii="宋体" w:hAnsi="宋体"/>
          <w:color w:val="auto"/>
          <w:sz w:val="24"/>
          <w:highlight w:val="none"/>
        </w:rPr>
      </w:pPr>
      <w:r>
        <w:rPr>
          <w:rFonts w:ascii="宋体" w:hAnsi="宋体"/>
          <w:color w:val="auto"/>
          <w:sz w:val="24"/>
          <w:highlight w:val="none"/>
        </w:rPr>
        <w:t>传    真：</w:t>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r>
        <w:rPr>
          <w:rFonts w:ascii="宋体" w:hAnsi="宋体"/>
          <w:color w:val="auto"/>
          <w:sz w:val="24"/>
          <w:highlight w:val="none"/>
          <w:u w:val="single"/>
        </w:rPr>
        <w:tab/>
      </w:r>
    </w:p>
    <w:p>
      <w:pPr>
        <w:spacing w:line="360" w:lineRule="auto"/>
        <w:rPr>
          <w:rFonts w:ascii="宋体" w:hAnsi="宋体"/>
          <w:color w:val="auto"/>
          <w:sz w:val="24"/>
          <w:highlight w:val="none"/>
          <w:u w:val="single"/>
        </w:rPr>
      </w:pPr>
    </w:p>
    <w:p>
      <w:pPr>
        <w:spacing w:line="360" w:lineRule="auto"/>
        <w:rPr>
          <w:rFonts w:ascii="宋体" w:hAnsi="宋体"/>
          <w:color w:val="auto"/>
          <w:sz w:val="24"/>
          <w:highlight w:val="none"/>
        </w:rPr>
      </w:pPr>
      <w:r>
        <w:rPr>
          <w:rFonts w:ascii="宋体" w:hAnsi="宋体"/>
          <w:color w:val="auto"/>
          <w:sz w:val="24"/>
          <w:highlight w:val="none"/>
        </w:rPr>
        <w:t>年月日</w:t>
      </w:r>
    </w:p>
    <w:p>
      <w:pPr>
        <w:spacing w:line="440" w:lineRule="exact"/>
        <w:rPr>
          <w:rFonts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附件</w:t>
      </w:r>
      <w:r>
        <w:rPr>
          <w:rFonts w:hint="eastAsia" w:ascii="宋体" w:hAnsi="宋体"/>
          <w:color w:val="auto"/>
          <w:sz w:val="24"/>
          <w:highlight w:val="none"/>
        </w:rPr>
        <w:t>10</w:t>
      </w:r>
      <w:r>
        <w:rPr>
          <w:rFonts w:ascii="宋体" w:hAnsi="宋体"/>
          <w:color w:val="auto"/>
          <w:sz w:val="24"/>
          <w:highlight w:val="none"/>
        </w:rPr>
        <w:t>：</w:t>
      </w:r>
    </w:p>
    <w:p>
      <w:pPr>
        <w:spacing w:beforeLines="50" w:afterLines="50" w:line="440" w:lineRule="exact"/>
        <w:jc w:val="center"/>
        <w:outlineLvl w:val="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-1：材料暂估价表</w:t>
      </w:r>
    </w:p>
    <w:tbl>
      <w:tblPr>
        <w:tblStyle w:val="1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序号</w:t>
            </w:r>
          </w:p>
        </w:tc>
        <w:tc>
          <w:tcPr>
            <w:tcW w:w="1984"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名称</w:t>
            </w:r>
          </w:p>
        </w:tc>
        <w:tc>
          <w:tcPr>
            <w:tcW w:w="851"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单位</w:t>
            </w:r>
          </w:p>
        </w:tc>
        <w:tc>
          <w:tcPr>
            <w:tcW w:w="774"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数量</w:t>
            </w:r>
          </w:p>
        </w:tc>
        <w:tc>
          <w:tcPr>
            <w:tcW w:w="1352"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单价</w:t>
            </w:r>
            <w:r>
              <w:rPr>
                <w:rFonts w:hint="eastAsia" w:ascii="宋体" w:hAnsi="宋体" w:eastAsia="仿宋_GB2312"/>
                <w:color w:val="auto"/>
                <w:sz w:val="24"/>
                <w:highlight w:val="none"/>
              </w:rPr>
              <w:t>（元）</w:t>
            </w:r>
          </w:p>
        </w:tc>
        <w:tc>
          <w:tcPr>
            <w:tcW w:w="1418"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合价</w:t>
            </w:r>
            <w:r>
              <w:rPr>
                <w:rFonts w:hint="eastAsia" w:ascii="宋体" w:hAnsi="宋体" w:eastAsia="仿宋_GB2312"/>
                <w:color w:val="auto"/>
                <w:sz w:val="24"/>
                <w:highlight w:val="none"/>
              </w:rPr>
              <w:t>（元）</w:t>
            </w:r>
          </w:p>
        </w:tc>
        <w:tc>
          <w:tcPr>
            <w:tcW w:w="1701"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bl>
    <w:p>
      <w:pPr>
        <w:rPr>
          <w:color w:val="auto"/>
          <w:highlight w:val="none"/>
        </w:rPr>
      </w:pPr>
    </w:p>
    <w:p>
      <w:pPr>
        <w:spacing w:beforeLines="50" w:afterLines="50" w:line="440" w:lineRule="exact"/>
        <w:jc w:val="center"/>
        <w:rPr>
          <w:rFonts w:ascii="宋体" w:hAnsi="宋体"/>
          <w:color w:val="auto"/>
          <w:sz w:val="24"/>
          <w:highlight w:val="none"/>
        </w:rPr>
      </w:pPr>
      <w:r>
        <w:rPr>
          <w:color w:val="auto"/>
          <w:highlight w:val="none"/>
        </w:rPr>
        <w:br w:type="page"/>
      </w: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-2：工程设备暂估价表</w:t>
      </w:r>
    </w:p>
    <w:tbl>
      <w:tblPr>
        <w:tblStyle w:val="1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序号</w:t>
            </w:r>
          </w:p>
        </w:tc>
        <w:tc>
          <w:tcPr>
            <w:tcW w:w="1984"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名称</w:t>
            </w:r>
          </w:p>
        </w:tc>
        <w:tc>
          <w:tcPr>
            <w:tcW w:w="851"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单位</w:t>
            </w:r>
          </w:p>
        </w:tc>
        <w:tc>
          <w:tcPr>
            <w:tcW w:w="774"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数量</w:t>
            </w:r>
          </w:p>
        </w:tc>
        <w:tc>
          <w:tcPr>
            <w:tcW w:w="1352"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单价</w:t>
            </w:r>
            <w:r>
              <w:rPr>
                <w:rFonts w:hint="eastAsia" w:ascii="宋体" w:hAnsi="宋体" w:eastAsia="仿宋_GB2312"/>
                <w:color w:val="auto"/>
                <w:sz w:val="24"/>
                <w:highlight w:val="none"/>
              </w:rPr>
              <w:t>（元）</w:t>
            </w:r>
          </w:p>
        </w:tc>
        <w:tc>
          <w:tcPr>
            <w:tcW w:w="1418"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合价</w:t>
            </w:r>
            <w:r>
              <w:rPr>
                <w:rFonts w:hint="eastAsia" w:ascii="宋体" w:hAnsi="宋体" w:eastAsia="仿宋_GB2312"/>
                <w:color w:val="auto"/>
                <w:sz w:val="24"/>
                <w:highlight w:val="none"/>
              </w:rPr>
              <w:t>（元）</w:t>
            </w:r>
          </w:p>
        </w:tc>
        <w:tc>
          <w:tcPr>
            <w:tcW w:w="1701"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851"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77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352"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41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701"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bl>
    <w:p>
      <w:pPr>
        <w:spacing w:line="440" w:lineRule="exact"/>
        <w:rPr>
          <w:rFonts w:ascii="宋体" w:hAnsi="宋体"/>
          <w:color w:val="auto"/>
          <w:sz w:val="24"/>
          <w:highlight w:val="none"/>
        </w:rPr>
      </w:pPr>
    </w:p>
    <w:p>
      <w:pPr>
        <w:spacing w:beforeLines="50" w:afterLines="50" w:line="440" w:lineRule="exact"/>
        <w:jc w:val="center"/>
        <w:rPr>
          <w:rFonts w:ascii="宋体" w:hAnsi="宋体"/>
          <w:color w:val="auto"/>
          <w:sz w:val="24"/>
          <w:highlight w:val="none"/>
        </w:rPr>
      </w:pPr>
      <w:r>
        <w:rPr>
          <w:rFonts w:ascii="宋体" w:hAnsi="宋体"/>
          <w:color w:val="auto"/>
          <w:sz w:val="24"/>
          <w:highlight w:val="none"/>
        </w:rPr>
        <w:br w:type="page"/>
      </w: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-3：专业工程暂估价表</w:t>
      </w:r>
    </w:p>
    <w:tbl>
      <w:tblPr>
        <w:tblStyle w:val="17"/>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序号</w:t>
            </w:r>
          </w:p>
        </w:tc>
        <w:tc>
          <w:tcPr>
            <w:tcW w:w="1984"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专业工程名称</w:t>
            </w:r>
          </w:p>
        </w:tc>
        <w:tc>
          <w:tcPr>
            <w:tcW w:w="4678"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工程内容</w:t>
            </w:r>
          </w:p>
        </w:tc>
        <w:tc>
          <w:tcPr>
            <w:tcW w:w="1276" w:type="dxa"/>
            <w:tcBorders>
              <w:top w:val="single" w:color="auto" w:sz="12" w:space="0"/>
              <w:bottom w:val="doub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Borders>
              <w:top w:val="double" w:color="auto" w:sz="6" w:space="0"/>
              <w:bottom w:val="single" w:color="auto" w:sz="6" w:space="0"/>
            </w:tcBorders>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Borders>
              <w:top w:val="nil"/>
            </w:tcBorders>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984"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4678" w:type="dxa"/>
          </w:tcPr>
          <w:p>
            <w:pPr>
              <w:keepNext/>
              <w:autoSpaceDE w:val="0"/>
              <w:autoSpaceDN w:val="0"/>
              <w:adjustRightInd w:val="0"/>
              <w:spacing w:line="440" w:lineRule="exact"/>
              <w:ind w:left="63" w:right="63"/>
              <w:rPr>
                <w:rFonts w:ascii="宋体" w:hAnsi="宋体" w:eastAsia="仿宋_GB2312"/>
                <w:color w:val="auto"/>
                <w:sz w:val="24"/>
                <w:highlight w:val="none"/>
              </w:rPr>
            </w:pPr>
          </w:p>
        </w:tc>
        <w:tc>
          <w:tcPr>
            <w:tcW w:w="1276" w:type="dxa"/>
          </w:tcPr>
          <w:p>
            <w:pPr>
              <w:keepNext/>
              <w:autoSpaceDE w:val="0"/>
              <w:autoSpaceDN w:val="0"/>
              <w:adjustRightInd w:val="0"/>
              <w:spacing w:line="440" w:lineRule="exact"/>
              <w:ind w:left="63" w:right="63"/>
              <w:rPr>
                <w:rFonts w:ascii="宋体" w:hAnsi="宋体"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pPr>
              <w:keepNext/>
              <w:autoSpaceDE w:val="0"/>
              <w:autoSpaceDN w:val="0"/>
              <w:adjustRightInd w:val="0"/>
              <w:spacing w:line="440" w:lineRule="exact"/>
              <w:ind w:left="63" w:right="63"/>
              <w:rPr>
                <w:rFonts w:ascii="宋体" w:hAnsi="宋体" w:eastAsia="仿宋_GB2312"/>
                <w:color w:val="auto"/>
                <w:sz w:val="24"/>
                <w:highlight w:val="none"/>
              </w:rPr>
            </w:pPr>
            <w:r>
              <w:rPr>
                <w:rFonts w:ascii="宋体" w:hAnsi="宋体" w:eastAsia="仿宋_GB2312"/>
                <w:color w:val="auto"/>
                <w:sz w:val="24"/>
                <w:highlight w:val="none"/>
              </w:rPr>
              <w:t>小计：</w:t>
            </w:r>
          </w:p>
        </w:tc>
      </w:tr>
    </w:tbl>
    <w:p>
      <w:pPr>
        <w:spacing w:line="360" w:lineRule="auto"/>
        <w:jc w:val="center"/>
        <w:rPr>
          <w:rFonts w:ascii="宋体" w:hAnsi="宋体" w:cs="宋体"/>
          <w:b/>
          <w:bCs/>
          <w:color w:val="auto"/>
          <w:sz w:val="32"/>
          <w:szCs w:val="32"/>
          <w:highlight w:val="none"/>
        </w:rPr>
        <w:sectPr>
          <w:pgSz w:w="11906" w:h="16838"/>
          <w:pgMar w:top="567" w:right="851" w:bottom="567" w:left="1134" w:header="851" w:footer="992" w:gutter="0"/>
          <w:pgNumType w:fmt="numberInDash"/>
          <w:cols w:space="720" w:num="1"/>
          <w:docGrid w:type="lines" w:linePitch="312" w:charSpace="0"/>
        </w:sect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hint="eastAsia" w:ascii="Arial" w:hAnsi="Arial" w:eastAsia="宋体"/>
          <w:b/>
          <w:bCs/>
          <w:color w:val="auto"/>
          <w:sz w:val="36"/>
          <w:szCs w:val="36"/>
          <w:highlight w:val="none"/>
          <w:lang w:eastAsia="zh-CN"/>
        </w:rPr>
      </w:pPr>
      <w:r>
        <w:rPr>
          <w:rFonts w:hint="eastAsia" w:ascii="宋体" w:hAnsi="宋体" w:cs="宋体"/>
          <w:b/>
          <w:color w:val="auto"/>
          <w:sz w:val="32"/>
          <w:szCs w:val="32"/>
          <w:highlight w:val="none"/>
          <w:lang w:eastAsia="zh-CN"/>
        </w:rPr>
        <w:t>2022年度清名桥街道老旧小区改造工程市政、绿化景观</w:t>
      </w:r>
    </w:p>
    <w:p>
      <w:pPr>
        <w:spacing w:line="360" w:lineRule="auto"/>
        <w:jc w:val="center"/>
        <w:rPr>
          <w:rFonts w:ascii="Arial" w:hAnsi="Arial"/>
          <w:b/>
          <w:bCs/>
          <w:color w:val="auto"/>
          <w:sz w:val="36"/>
          <w:szCs w:val="36"/>
          <w:highlight w:val="none"/>
        </w:rPr>
      </w:pPr>
    </w:p>
    <w:p>
      <w:pPr>
        <w:spacing w:line="360" w:lineRule="auto"/>
        <w:jc w:val="center"/>
        <w:rPr>
          <w:rFonts w:ascii="Arial" w:hAnsi="Arial"/>
          <w:b/>
          <w:bCs/>
          <w:color w:val="auto"/>
          <w:sz w:val="36"/>
          <w:szCs w:val="36"/>
          <w:highlight w:val="none"/>
        </w:rPr>
      </w:pPr>
    </w:p>
    <w:p>
      <w:pPr>
        <w:spacing w:line="360" w:lineRule="auto"/>
        <w:jc w:val="center"/>
        <w:rPr>
          <w:rFonts w:ascii="Arial" w:hAnsi="Arial"/>
          <w:b/>
          <w:bCs/>
          <w:color w:val="auto"/>
          <w:sz w:val="36"/>
          <w:szCs w:val="36"/>
          <w:highlight w:val="none"/>
        </w:rPr>
      </w:pPr>
    </w:p>
    <w:p>
      <w:pPr>
        <w:spacing w:line="360" w:lineRule="auto"/>
        <w:jc w:val="center"/>
        <w:rPr>
          <w:rFonts w:ascii="Arial" w:hAnsi="Arial"/>
          <w:b/>
          <w:bCs/>
          <w:color w:val="auto"/>
          <w:spacing w:val="100"/>
          <w:sz w:val="36"/>
          <w:szCs w:val="36"/>
          <w:highlight w:val="none"/>
        </w:rPr>
      </w:pPr>
      <w:r>
        <w:rPr>
          <w:rFonts w:hint="eastAsia" w:ascii="Arial" w:hAnsi="Arial"/>
          <w:b/>
          <w:bCs/>
          <w:color w:val="auto"/>
          <w:spacing w:val="100"/>
          <w:sz w:val="36"/>
          <w:szCs w:val="36"/>
          <w:highlight w:val="none"/>
        </w:rPr>
        <w:t>廉政合同书</w:t>
      </w:r>
    </w:p>
    <w:p>
      <w:pPr>
        <w:spacing w:line="360" w:lineRule="auto"/>
        <w:ind w:left="323" w:leftChars="154" w:firstLine="901"/>
        <w:rPr>
          <w:rFonts w:ascii="Arial" w:hAnsi="Arial"/>
          <w:b/>
          <w:bCs/>
          <w:color w:val="auto"/>
          <w:sz w:val="36"/>
          <w:szCs w:val="36"/>
          <w:highlight w:val="none"/>
        </w:rPr>
      </w:pPr>
    </w:p>
    <w:p>
      <w:pPr>
        <w:spacing w:line="360" w:lineRule="auto"/>
        <w:ind w:left="323" w:leftChars="154" w:firstLine="901"/>
        <w:rPr>
          <w:rFonts w:ascii="Arial" w:hAnsi="Arial"/>
          <w:b/>
          <w:bCs/>
          <w:color w:val="auto"/>
          <w:sz w:val="36"/>
          <w:szCs w:val="36"/>
          <w:highlight w:val="none"/>
        </w:rPr>
      </w:pPr>
    </w:p>
    <w:p>
      <w:pPr>
        <w:spacing w:line="360" w:lineRule="auto"/>
        <w:ind w:left="323" w:leftChars="154" w:firstLine="901"/>
        <w:rPr>
          <w:rFonts w:ascii="Arial" w:hAnsi="Arial"/>
          <w:b/>
          <w:bCs/>
          <w:color w:val="auto"/>
          <w:sz w:val="36"/>
          <w:szCs w:val="36"/>
          <w:highlight w:val="none"/>
        </w:rPr>
      </w:pPr>
    </w:p>
    <w:p>
      <w:pPr>
        <w:spacing w:line="360" w:lineRule="auto"/>
        <w:rPr>
          <w:rFonts w:ascii="Arial" w:hAnsi="Arial"/>
          <w:b/>
          <w:bCs/>
          <w:color w:val="auto"/>
          <w:sz w:val="30"/>
          <w:szCs w:val="30"/>
          <w:highlight w:val="none"/>
        </w:rPr>
      </w:pPr>
    </w:p>
    <w:p>
      <w:pPr>
        <w:spacing w:line="360" w:lineRule="auto"/>
        <w:ind w:firstLine="630" w:firstLineChars="196"/>
        <w:rPr>
          <w:rFonts w:ascii="Arial" w:hAnsi="宋体"/>
          <w:b/>
          <w:bCs/>
          <w:color w:val="auto"/>
          <w:sz w:val="32"/>
          <w:szCs w:val="32"/>
          <w:highlight w:val="none"/>
        </w:rPr>
      </w:pPr>
      <w:r>
        <w:rPr>
          <w:rFonts w:hint="eastAsia" w:ascii="Arial" w:hAnsi="宋体"/>
          <w:b/>
          <w:bCs/>
          <w:color w:val="auto"/>
          <w:sz w:val="32"/>
          <w:szCs w:val="32"/>
          <w:highlight w:val="none"/>
        </w:rPr>
        <w:t>采购人：</w:t>
      </w:r>
    </w:p>
    <w:p>
      <w:pPr>
        <w:spacing w:line="360" w:lineRule="auto"/>
        <w:ind w:firstLine="630" w:firstLineChars="196"/>
        <w:rPr>
          <w:rFonts w:ascii="Arial" w:hAnsi="宋体"/>
          <w:b/>
          <w:bCs/>
          <w:color w:val="auto"/>
          <w:sz w:val="32"/>
          <w:szCs w:val="32"/>
          <w:highlight w:val="none"/>
        </w:rPr>
      </w:pPr>
    </w:p>
    <w:p>
      <w:pPr>
        <w:spacing w:line="360" w:lineRule="auto"/>
        <w:rPr>
          <w:rFonts w:ascii="Arial" w:hAnsi="宋体"/>
          <w:b/>
          <w:color w:val="auto"/>
          <w:sz w:val="32"/>
          <w:szCs w:val="32"/>
          <w:highlight w:val="none"/>
        </w:rPr>
      </w:pPr>
    </w:p>
    <w:p>
      <w:pPr>
        <w:spacing w:line="360" w:lineRule="auto"/>
        <w:ind w:firstLine="630" w:firstLineChars="196"/>
        <w:rPr>
          <w:rFonts w:ascii="Arial" w:hAnsi="宋体"/>
          <w:b/>
          <w:color w:val="auto"/>
          <w:sz w:val="32"/>
          <w:szCs w:val="32"/>
          <w:highlight w:val="none"/>
          <w:u w:val="single"/>
        </w:rPr>
      </w:pPr>
      <w:r>
        <w:rPr>
          <w:rFonts w:hint="eastAsia" w:ascii="Arial" w:hAnsi="宋体"/>
          <w:b/>
          <w:color w:val="auto"/>
          <w:sz w:val="32"/>
          <w:szCs w:val="32"/>
          <w:highlight w:val="none"/>
        </w:rPr>
        <w:t>施工单位：</w:t>
      </w:r>
    </w:p>
    <w:p>
      <w:pPr>
        <w:spacing w:line="360" w:lineRule="auto"/>
        <w:rPr>
          <w:rFonts w:ascii="Calibri" w:hAnsi="Calibri"/>
          <w:color w:val="auto"/>
          <w:sz w:val="24"/>
          <w:highlight w:val="none"/>
        </w:rPr>
      </w:pPr>
    </w:p>
    <w:p>
      <w:pPr>
        <w:spacing w:line="360" w:lineRule="auto"/>
        <w:rPr>
          <w:rFonts w:ascii="Calibri" w:hAnsi="Calibri"/>
          <w:color w:val="auto"/>
          <w:sz w:val="24"/>
          <w:highlight w:val="none"/>
        </w:rPr>
      </w:pPr>
    </w:p>
    <w:p>
      <w:pPr>
        <w:spacing w:line="360" w:lineRule="auto"/>
        <w:rPr>
          <w:rFonts w:ascii="Calibri" w:hAnsi="Calibri"/>
          <w:color w:val="auto"/>
          <w:sz w:val="24"/>
          <w:highlight w:val="none"/>
        </w:rPr>
      </w:pPr>
    </w:p>
    <w:p>
      <w:pPr>
        <w:spacing w:line="360" w:lineRule="auto"/>
        <w:rPr>
          <w:rFonts w:ascii="Calibri" w:hAnsi="Calibri"/>
          <w:color w:val="auto"/>
          <w:sz w:val="24"/>
          <w:highlight w:val="none"/>
        </w:rPr>
      </w:pPr>
    </w:p>
    <w:p>
      <w:pPr>
        <w:spacing w:line="360" w:lineRule="auto"/>
        <w:rPr>
          <w:rFonts w:ascii="Calibri" w:hAnsi="Calibri"/>
          <w:color w:val="auto"/>
          <w:sz w:val="24"/>
          <w:highlight w:val="none"/>
        </w:rPr>
      </w:pPr>
    </w:p>
    <w:p>
      <w:pPr>
        <w:pStyle w:val="15"/>
        <w:ind w:firstLine="0" w:firstLineChars="0"/>
        <w:rPr>
          <w:rFonts w:ascii="宋体" w:hAnsi="宋体"/>
          <w:color w:val="auto"/>
          <w:sz w:val="24"/>
          <w:szCs w:val="24"/>
          <w:highlight w:val="none"/>
        </w:rPr>
        <w:sectPr>
          <w:pgSz w:w="11906" w:h="16838"/>
          <w:pgMar w:top="567" w:right="851" w:bottom="567" w:left="1134" w:header="851" w:footer="992" w:gutter="0"/>
          <w:pgNumType w:fmt="numberInDash"/>
          <w:cols w:space="720" w:num="1"/>
          <w:docGrid w:type="lines" w:linePitch="312" w:charSpace="0"/>
        </w:sectPr>
      </w:pPr>
    </w:p>
    <w:p>
      <w:pPr>
        <w:adjustRightInd w:val="0"/>
        <w:snapToGrid w:val="0"/>
        <w:spacing w:line="360" w:lineRule="auto"/>
        <w:jc w:val="center"/>
        <w:rPr>
          <w:rFonts w:ascii="黑体" w:hAnsi="Calibri" w:eastAsia="黑体"/>
          <w:color w:val="auto"/>
          <w:sz w:val="36"/>
          <w:highlight w:val="none"/>
        </w:rPr>
      </w:pPr>
      <w:r>
        <w:rPr>
          <w:rFonts w:hint="eastAsia" w:ascii="黑体" w:hAnsi="Calibri" w:eastAsia="黑体"/>
          <w:color w:val="auto"/>
          <w:sz w:val="36"/>
          <w:highlight w:val="none"/>
        </w:rPr>
        <w:t>工程建设廉政合同书</w:t>
      </w:r>
    </w:p>
    <w:p>
      <w:pPr>
        <w:spacing w:line="360" w:lineRule="auto"/>
        <w:ind w:firstLine="711" w:firstLineChars="295"/>
        <w:rPr>
          <w:rFonts w:ascii="宋体" w:hAnsi="Calibri"/>
          <w:bCs/>
          <w:color w:val="auto"/>
          <w:sz w:val="24"/>
          <w:highlight w:val="none"/>
        </w:rPr>
      </w:pPr>
      <w:r>
        <w:rPr>
          <w:rFonts w:hint="eastAsia" w:ascii="宋体" w:hAnsi="宋体" w:cs="宋体"/>
          <w:b/>
          <w:bCs/>
          <w:color w:val="auto"/>
          <w:sz w:val="24"/>
          <w:highlight w:val="none"/>
          <w:u w:val="single"/>
        </w:rPr>
        <w:t>项目</w:t>
      </w:r>
      <w:r>
        <w:rPr>
          <w:rFonts w:hint="eastAsia" w:ascii="宋体" w:hAnsi="宋体"/>
          <w:color w:val="auto"/>
          <w:sz w:val="24"/>
          <w:highlight w:val="none"/>
        </w:rPr>
        <w:t>（合同定价人民币（大写）</w:t>
      </w:r>
      <w:r>
        <w:rPr>
          <w:rFonts w:hint="eastAsia" w:ascii="宋体" w:hAnsi="宋体"/>
          <w:b/>
          <w:color w:val="auto"/>
          <w:sz w:val="24"/>
          <w:highlight w:val="none"/>
        </w:rPr>
        <w:t>万元（</w:t>
      </w:r>
      <w:r>
        <w:rPr>
          <w:rFonts w:hint="eastAsia" w:ascii="宋体" w:hAnsi="Calibri"/>
          <w:b/>
          <w:color w:val="auto"/>
          <w:sz w:val="24"/>
          <w:highlight w:val="none"/>
          <w:u w:val="single"/>
        </w:rPr>
        <w:t>¥</w:t>
      </w:r>
      <w:r>
        <w:rPr>
          <w:rFonts w:hint="eastAsia" w:ascii="宋体" w:hAnsi="宋体"/>
          <w:b/>
          <w:color w:val="auto"/>
          <w:sz w:val="24"/>
          <w:highlight w:val="none"/>
        </w:rPr>
        <w:t>元）。</w:t>
      </w:r>
      <w:r>
        <w:rPr>
          <w:rFonts w:hint="eastAsia" w:ascii="宋体" w:hAnsi="宋体"/>
          <w:color w:val="auto"/>
          <w:sz w:val="24"/>
          <w:highlight w:val="none"/>
        </w:rPr>
        <w:t>由建设单位</w:t>
      </w:r>
      <w:r>
        <w:rPr>
          <w:rFonts w:ascii="宋体" w:hAnsi="宋体"/>
          <w:color w:val="auto"/>
          <w:sz w:val="24"/>
          <w:highlight w:val="none"/>
        </w:rPr>
        <w:t>(</w:t>
      </w:r>
      <w:r>
        <w:rPr>
          <w:rFonts w:hint="eastAsia" w:ascii="宋体" w:hAnsi="宋体"/>
          <w:color w:val="auto"/>
          <w:sz w:val="24"/>
          <w:highlight w:val="none"/>
        </w:rPr>
        <w:t>以下简称甲方</w:t>
      </w:r>
      <w:r>
        <w:rPr>
          <w:rFonts w:ascii="宋体" w:hAnsi="宋体"/>
          <w:color w:val="auto"/>
          <w:sz w:val="24"/>
          <w:highlight w:val="none"/>
        </w:rPr>
        <w:t>)</w:t>
      </w:r>
      <w:r>
        <w:rPr>
          <w:rFonts w:hint="eastAsia" w:ascii="宋体" w:hAnsi="宋体"/>
          <w:color w:val="auto"/>
          <w:sz w:val="24"/>
          <w:highlight w:val="none"/>
        </w:rPr>
        <w:t>负责建设，经招标，确定由施工单位（以下简称乙方）承担任务。根据党和国家关于工程建设领域党风廉政建设和反腐败工作的有关要求，为避免和杜绝各种不廉洁现象的发生，维护好国家、集体的合法权益，确保工程建设高效、优质，特订立如下工程建设廉政合同书，供双方共同遵守执行：</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1</w:t>
      </w:r>
      <w:r>
        <w:rPr>
          <w:rFonts w:hint="eastAsia" w:ascii="宋体" w:hAnsi="宋体"/>
          <w:color w:val="auto"/>
          <w:sz w:val="24"/>
          <w:highlight w:val="none"/>
        </w:rPr>
        <w:t>、双方人员应认真学习和严格遵守中央、省、市有关廉政建设和反腐败工作的一系列规定，不断增强廉洁自律意识和自觉性。</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2</w:t>
      </w:r>
      <w:r>
        <w:rPr>
          <w:rFonts w:hint="eastAsia" w:ascii="宋体" w:hAnsi="宋体"/>
          <w:color w:val="auto"/>
          <w:sz w:val="24"/>
          <w:highlight w:val="none"/>
        </w:rPr>
        <w:t>、双方应建立健全各项廉政制度，开展廉政教育，设立廉政告示牌，公布举报电话和电子邮箱。</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3</w:t>
      </w:r>
      <w:r>
        <w:rPr>
          <w:rFonts w:hint="eastAsia" w:ascii="宋体" w:hAnsi="宋体"/>
          <w:color w:val="auto"/>
          <w:sz w:val="24"/>
          <w:highlight w:val="none"/>
        </w:rPr>
        <w:t>、在工程建设中，双方人员应以推动工程建设为中心，与拆迁、施工、设计等相关业务单位密切合作，相互协调，发现对方在业务活动中有违规、违纪、违法行为，应及时提醒，并及时向其上级主管部门和纪检监察部门、司法机关等有关部门举报。</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4</w:t>
      </w:r>
      <w:r>
        <w:rPr>
          <w:rFonts w:hint="eastAsia" w:ascii="宋体" w:hAnsi="宋体"/>
          <w:color w:val="auto"/>
          <w:sz w:val="24"/>
          <w:highlight w:val="none"/>
        </w:rPr>
        <w:t>、甲方人员不准暗示、索要或接受乙方单位任何形式的回扣、礼金、有价证券、支付凭证、股票、股权、贵重物品和好处费、感谢费、各种奖励和赞助等。</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5</w:t>
      </w:r>
      <w:r>
        <w:rPr>
          <w:rFonts w:hint="eastAsia" w:ascii="宋体" w:hAnsi="宋体"/>
          <w:color w:val="auto"/>
          <w:sz w:val="24"/>
          <w:highlight w:val="none"/>
        </w:rPr>
        <w:t>、甲方人员不准以任何理由向乙方单位介绍推荐其配偶、子女、亲属、熟人等参与本合同有关的经济活动。</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6</w:t>
      </w:r>
      <w:r>
        <w:rPr>
          <w:rFonts w:hint="eastAsia" w:ascii="宋体" w:hAnsi="宋体"/>
          <w:color w:val="auto"/>
          <w:sz w:val="24"/>
          <w:highlight w:val="none"/>
        </w:rPr>
        <w:t>、甲方人员不准在乙方单位报销任何应由个人支付的费用。</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7</w:t>
      </w:r>
      <w:r>
        <w:rPr>
          <w:rFonts w:hint="eastAsia" w:ascii="宋体" w:hAnsi="宋体"/>
          <w:color w:val="auto"/>
          <w:sz w:val="24"/>
          <w:highlight w:val="none"/>
        </w:rPr>
        <w:t>、甲方人员不准参加有可能影响其公正执行公务的乙方单位的宴请和健身、娱乐、观光旅游等活动。</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8</w:t>
      </w:r>
      <w:r>
        <w:rPr>
          <w:rFonts w:hint="eastAsia" w:ascii="宋体" w:hAnsi="宋体"/>
          <w:color w:val="auto"/>
          <w:sz w:val="24"/>
          <w:highlight w:val="none"/>
        </w:rPr>
        <w:t>、乙方人员不准以任何形式向甲方人员馈赠回扣、礼金、有价证券、支付凭证、股票、股权、贵重物品和好处费、感谢费等；不准向甲方人员发放任何形式奖励和提供任何形式赞助。</w:t>
      </w:r>
    </w:p>
    <w:p>
      <w:pPr>
        <w:adjustRightInd w:val="0"/>
        <w:snapToGrid w:val="0"/>
        <w:spacing w:line="360" w:lineRule="auto"/>
        <w:ind w:firstLine="600" w:firstLineChars="250"/>
        <w:rPr>
          <w:rFonts w:ascii="宋体" w:hAnsi="Calibri"/>
          <w:color w:val="auto"/>
          <w:sz w:val="24"/>
          <w:highlight w:val="none"/>
        </w:rPr>
      </w:pPr>
      <w:r>
        <w:rPr>
          <w:rFonts w:ascii="宋体" w:hAnsi="宋体"/>
          <w:color w:val="auto"/>
          <w:sz w:val="24"/>
          <w:highlight w:val="none"/>
        </w:rPr>
        <w:t>9</w:t>
      </w:r>
      <w:r>
        <w:rPr>
          <w:rFonts w:hint="eastAsia" w:ascii="宋体" w:hAnsi="宋体"/>
          <w:color w:val="auto"/>
          <w:sz w:val="24"/>
          <w:highlight w:val="none"/>
        </w:rPr>
        <w:t>、乙方人员不准以任何理由接受甲方人员配偶、子女、亲属、熟人等参与本检测合同有关的经济活动。</w:t>
      </w:r>
    </w:p>
    <w:p>
      <w:pPr>
        <w:adjustRightInd w:val="0"/>
        <w:snapToGrid w:val="0"/>
        <w:spacing w:line="360" w:lineRule="auto"/>
        <w:ind w:firstLine="480" w:firstLineChars="200"/>
        <w:rPr>
          <w:rFonts w:ascii="宋体" w:hAnsi="Calibri"/>
          <w:color w:val="auto"/>
          <w:sz w:val="24"/>
          <w:highlight w:val="none"/>
        </w:rPr>
      </w:pPr>
      <w:r>
        <w:rPr>
          <w:rFonts w:ascii="宋体" w:hAnsi="宋体"/>
          <w:color w:val="auto"/>
          <w:sz w:val="24"/>
          <w:highlight w:val="none"/>
        </w:rPr>
        <w:t>10</w:t>
      </w:r>
      <w:r>
        <w:rPr>
          <w:rFonts w:hint="eastAsia" w:ascii="宋体" w:hAnsi="宋体"/>
          <w:color w:val="auto"/>
          <w:sz w:val="24"/>
          <w:highlight w:val="none"/>
        </w:rPr>
        <w:t>、乙方人员不准报销任何应由甲方人员个人支付的费用。</w:t>
      </w:r>
    </w:p>
    <w:p>
      <w:pPr>
        <w:adjustRightInd w:val="0"/>
        <w:snapToGrid w:val="0"/>
        <w:spacing w:line="360" w:lineRule="auto"/>
        <w:ind w:firstLine="480" w:firstLineChars="200"/>
        <w:rPr>
          <w:rFonts w:ascii="宋体" w:hAnsi="Calibri"/>
          <w:color w:val="auto"/>
          <w:sz w:val="24"/>
          <w:highlight w:val="none"/>
        </w:rPr>
      </w:pPr>
      <w:r>
        <w:rPr>
          <w:rFonts w:ascii="宋体" w:hAnsi="宋体"/>
          <w:color w:val="auto"/>
          <w:sz w:val="24"/>
          <w:highlight w:val="none"/>
        </w:rPr>
        <w:t>11</w:t>
      </w:r>
      <w:r>
        <w:rPr>
          <w:rFonts w:hint="eastAsia" w:ascii="宋体" w:hAnsi="宋体"/>
          <w:color w:val="auto"/>
          <w:sz w:val="24"/>
          <w:highlight w:val="none"/>
        </w:rPr>
        <w:t>、乙方人员不准邀请甲方人员参加有可能影响其公正执行</w:t>
      </w:r>
      <w:r>
        <w:rPr>
          <w:rFonts w:hint="eastAsia" w:ascii="宋体" w:hAnsi="宋体"/>
          <w:color w:val="auto"/>
          <w:sz w:val="24"/>
          <w:highlight w:val="none"/>
          <w:lang w:val="en-GB"/>
        </w:rPr>
        <w:t>公务</w:t>
      </w:r>
      <w:r>
        <w:rPr>
          <w:rFonts w:hint="eastAsia" w:ascii="宋体" w:hAnsi="宋体"/>
          <w:color w:val="auto"/>
          <w:sz w:val="24"/>
          <w:highlight w:val="none"/>
        </w:rPr>
        <w:t>的宴请和健身、娱乐、观光旅游等活动。</w:t>
      </w:r>
    </w:p>
    <w:p>
      <w:pPr>
        <w:adjustRightInd w:val="0"/>
        <w:snapToGrid w:val="0"/>
        <w:spacing w:line="360" w:lineRule="auto"/>
        <w:ind w:firstLine="480" w:firstLineChars="200"/>
        <w:rPr>
          <w:rFonts w:ascii="宋体" w:hAnsi="Calibri"/>
          <w:color w:val="auto"/>
          <w:sz w:val="24"/>
          <w:highlight w:val="none"/>
        </w:rPr>
      </w:pPr>
      <w:r>
        <w:rPr>
          <w:rFonts w:ascii="宋体" w:hAnsi="宋体"/>
          <w:color w:val="auto"/>
          <w:sz w:val="24"/>
          <w:highlight w:val="none"/>
        </w:rPr>
        <w:t>12</w:t>
      </w:r>
      <w:r>
        <w:rPr>
          <w:rFonts w:hint="eastAsia" w:ascii="宋体" w:hAnsi="宋体"/>
          <w:color w:val="auto"/>
          <w:sz w:val="24"/>
          <w:highlight w:val="none"/>
        </w:rPr>
        <w:t>、甲乙双方应对廉政合同的落实情况进行动态管理</w:t>
      </w:r>
      <w:r>
        <w:rPr>
          <w:rFonts w:ascii="宋体" w:hAnsi="Calibri"/>
          <w:color w:val="auto"/>
          <w:sz w:val="24"/>
          <w:highlight w:val="none"/>
        </w:rPr>
        <w:t>,</w:t>
      </w:r>
      <w:r>
        <w:rPr>
          <w:rFonts w:hint="eastAsia" w:ascii="宋体" w:hAnsi="宋体"/>
          <w:color w:val="auto"/>
          <w:sz w:val="24"/>
          <w:highlight w:val="none"/>
        </w:rPr>
        <w:t>由双方上级纪检监察机关负责监督。发生违反党风廉政建设和反腐败工作有关规定，以及公开、公平、公正、诚信等有关原则的，双方单位要依据有关法规对其行为进行严肃查处，触犯党纪政纪的，要给予党纪政纪处分，触犯刑律的，要移交司法机关处理。</w:t>
      </w:r>
    </w:p>
    <w:p>
      <w:pPr>
        <w:adjustRightInd w:val="0"/>
        <w:snapToGrid w:val="0"/>
        <w:spacing w:line="360" w:lineRule="auto"/>
        <w:ind w:firstLine="480" w:firstLineChars="200"/>
        <w:rPr>
          <w:rFonts w:ascii="宋体" w:hAnsi="Calibri"/>
          <w:color w:val="auto"/>
          <w:sz w:val="24"/>
          <w:highlight w:val="none"/>
        </w:rPr>
      </w:pPr>
      <w:r>
        <w:rPr>
          <w:rFonts w:ascii="宋体" w:hAnsi="宋体"/>
          <w:color w:val="auto"/>
          <w:sz w:val="24"/>
          <w:highlight w:val="none"/>
        </w:rPr>
        <w:t>13</w:t>
      </w:r>
      <w:r>
        <w:rPr>
          <w:rFonts w:hint="eastAsia" w:ascii="宋体" w:hAnsi="宋体"/>
          <w:color w:val="auto"/>
          <w:sz w:val="24"/>
          <w:highlight w:val="none"/>
        </w:rPr>
        <w:t>、本合同作为施工（检测）合同的附件，与施工（检测）合同同时签订，具有同等法律效力，经双方签字盖章后生效。本合同有效期同该工程建设时间。</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14</w:t>
      </w:r>
      <w:r>
        <w:rPr>
          <w:rFonts w:hint="eastAsia" w:ascii="宋体" w:hAnsi="宋体"/>
          <w:color w:val="auto"/>
          <w:sz w:val="24"/>
          <w:highlight w:val="none"/>
        </w:rPr>
        <w:t>、本合同一式多份，供甲乙双方留存，并报双方上级主管部门和纪检监察部门备案。</w:t>
      </w:r>
    </w:p>
    <w:p>
      <w:pPr>
        <w:pStyle w:val="15"/>
        <w:ind w:firstLine="240"/>
        <w:rPr>
          <w:rFonts w:ascii="宋体" w:hAnsi="宋体"/>
          <w:color w:val="auto"/>
          <w:sz w:val="24"/>
          <w:highlight w:val="none"/>
        </w:rPr>
      </w:pPr>
    </w:p>
    <w:p>
      <w:pPr>
        <w:pStyle w:val="15"/>
        <w:ind w:firstLine="240"/>
        <w:rPr>
          <w:rFonts w:ascii="宋体" w:hAnsi="宋体"/>
          <w:color w:val="auto"/>
          <w:sz w:val="24"/>
          <w:highlight w:val="none"/>
        </w:rPr>
      </w:pPr>
    </w:p>
    <w:p>
      <w:pPr>
        <w:pStyle w:val="15"/>
        <w:ind w:firstLine="240"/>
        <w:rPr>
          <w:rFonts w:ascii="宋体" w:hAnsi="宋体"/>
          <w:color w:val="auto"/>
          <w:sz w:val="24"/>
          <w:highlight w:val="none"/>
        </w:rPr>
      </w:pPr>
    </w:p>
    <w:p>
      <w:pPr>
        <w:pStyle w:val="15"/>
        <w:ind w:firstLine="240"/>
        <w:rPr>
          <w:rFonts w:ascii="宋体" w:hAnsi="宋体"/>
          <w:color w:val="auto"/>
          <w:sz w:val="24"/>
          <w:highlight w:val="none"/>
        </w:rPr>
      </w:pPr>
    </w:p>
    <w:p>
      <w:pPr>
        <w:adjustRightInd w:val="0"/>
        <w:snapToGrid w:val="0"/>
        <w:spacing w:line="360" w:lineRule="auto"/>
        <w:rPr>
          <w:rFonts w:ascii="宋体" w:hAnsi="Calibri"/>
          <w:color w:val="auto"/>
          <w:sz w:val="24"/>
          <w:highlight w:val="none"/>
        </w:rPr>
      </w:pPr>
    </w:p>
    <w:p>
      <w:pPr>
        <w:adjustRightInd w:val="0"/>
        <w:snapToGrid w:val="0"/>
        <w:spacing w:line="360" w:lineRule="auto"/>
        <w:ind w:firstLine="480" w:firstLineChars="200"/>
        <w:rPr>
          <w:rFonts w:ascii="宋体" w:hAnsi="Calibri"/>
          <w:color w:val="auto"/>
          <w:sz w:val="24"/>
          <w:highlight w:val="none"/>
        </w:rPr>
      </w:pPr>
      <w:r>
        <w:rPr>
          <w:rFonts w:hint="eastAsia" w:ascii="宋体" w:hAnsi="宋体"/>
          <w:color w:val="auto"/>
          <w:sz w:val="24"/>
          <w:highlight w:val="none"/>
        </w:rPr>
        <w:t>甲方单位：（盖章）乙方单位：（盖章）</w:t>
      </w:r>
    </w:p>
    <w:p>
      <w:pPr>
        <w:adjustRightInd w:val="0"/>
        <w:snapToGrid w:val="0"/>
        <w:spacing w:line="360" w:lineRule="auto"/>
        <w:rPr>
          <w:rFonts w:ascii="宋体" w:hAnsi="Calibri"/>
          <w:color w:val="auto"/>
          <w:sz w:val="24"/>
          <w:highlight w:val="none"/>
        </w:rPr>
      </w:pPr>
      <w:r>
        <w:rPr>
          <w:rFonts w:hint="eastAsia" w:ascii="宋体" w:hAnsi="宋体"/>
          <w:color w:val="auto"/>
          <w:sz w:val="24"/>
          <w:highlight w:val="none"/>
        </w:rPr>
        <w:t>法定代表人         法定代表人</w:t>
      </w:r>
    </w:p>
    <w:p>
      <w:pPr>
        <w:adjustRightInd w:val="0"/>
        <w:snapToGrid w:val="0"/>
        <w:spacing w:line="360" w:lineRule="auto"/>
        <w:ind w:firstLine="480" w:firstLineChars="200"/>
        <w:rPr>
          <w:rFonts w:ascii="宋体" w:hAnsi="Calibri"/>
          <w:color w:val="auto"/>
          <w:sz w:val="24"/>
          <w:highlight w:val="none"/>
        </w:rPr>
      </w:pPr>
      <w:r>
        <w:rPr>
          <w:rFonts w:hint="eastAsia" w:ascii="宋体" w:hAnsi="宋体"/>
          <w:color w:val="auto"/>
          <w:sz w:val="24"/>
          <w:highlight w:val="none"/>
        </w:rPr>
        <w:t>或授权代理人：       或授权代理人：</w:t>
      </w:r>
    </w:p>
    <w:p>
      <w:pPr>
        <w:adjustRightInd w:val="0"/>
        <w:snapToGrid w:val="0"/>
        <w:spacing w:line="360" w:lineRule="auto"/>
        <w:ind w:firstLine="2880" w:firstLineChars="1200"/>
        <w:rPr>
          <w:rFonts w:ascii="宋体" w:hAnsi="Calibri"/>
          <w:color w:val="auto"/>
          <w:sz w:val="24"/>
          <w:highlight w:val="none"/>
        </w:rPr>
      </w:pPr>
      <w:r>
        <w:rPr>
          <w:rFonts w:hint="eastAsia" w:ascii="宋体" w:hAnsi="宋体"/>
          <w:color w:val="auto"/>
          <w:sz w:val="24"/>
          <w:highlight w:val="none"/>
        </w:rPr>
        <w:t xml:space="preserve">  廉政建设负责人：</w:t>
      </w:r>
    </w:p>
    <w:p>
      <w:pPr>
        <w:adjustRightInd w:val="0"/>
        <w:snapToGrid w:val="0"/>
        <w:spacing w:line="360" w:lineRule="auto"/>
        <w:rPr>
          <w:rFonts w:ascii="宋体" w:hAnsi="Calibri"/>
          <w:color w:val="auto"/>
          <w:sz w:val="24"/>
          <w:highlight w:val="none"/>
        </w:rPr>
      </w:pPr>
      <w:r>
        <w:rPr>
          <w:rFonts w:hint="eastAsia" w:ascii="宋体" w:hAnsi="宋体"/>
          <w:color w:val="auto"/>
          <w:sz w:val="24"/>
          <w:highlight w:val="none"/>
        </w:rPr>
        <w:t>联系电话：</w:t>
      </w:r>
    </w:p>
    <w:p>
      <w:pPr>
        <w:spacing w:line="360" w:lineRule="auto"/>
        <w:rPr>
          <w:rFonts w:ascii="宋体" w:hAnsi="宋体" w:cs="宋体"/>
          <w:b/>
          <w:color w:val="auto"/>
          <w:spacing w:val="-4"/>
          <w:kern w:val="0"/>
          <w:sz w:val="24"/>
          <w:highlight w:val="none"/>
        </w:rPr>
      </w:pPr>
      <w:r>
        <w:rPr>
          <w:rFonts w:hint="eastAsia" w:ascii="宋体" w:hAnsi="宋体"/>
          <w:color w:val="auto"/>
          <w:sz w:val="24"/>
          <w:highlight w:val="none"/>
        </w:rPr>
        <w:t>年月日                 年月日</w:t>
      </w: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spacing w:val="-4"/>
          <w:kern w:val="0"/>
          <w:sz w:val="36"/>
          <w:szCs w:val="36"/>
          <w:highlight w:val="none"/>
        </w:rPr>
      </w:pPr>
    </w:p>
    <w:p>
      <w:pPr>
        <w:widowControl/>
        <w:spacing w:line="384" w:lineRule="auto"/>
        <w:jc w:val="center"/>
        <w:rPr>
          <w:rFonts w:ascii="黑体" w:hAnsi="黑体" w:eastAsia="黑体" w:cs="宋体"/>
          <w:b/>
          <w:color w:val="auto"/>
          <w:kern w:val="0"/>
          <w:sz w:val="36"/>
          <w:szCs w:val="36"/>
          <w:highlight w:val="none"/>
        </w:rPr>
      </w:pPr>
      <w:r>
        <w:rPr>
          <w:rFonts w:hint="eastAsia" w:ascii="黑体" w:hAnsi="黑体" w:eastAsia="黑体" w:cs="宋体"/>
          <w:b/>
          <w:color w:val="auto"/>
          <w:spacing w:val="-4"/>
          <w:kern w:val="0"/>
          <w:sz w:val="36"/>
          <w:szCs w:val="36"/>
          <w:highlight w:val="none"/>
        </w:rPr>
        <w:t>安全生产协议</w:t>
      </w:r>
    </w:p>
    <w:p>
      <w:pPr>
        <w:widowControl/>
        <w:spacing w:line="460" w:lineRule="exact"/>
        <w:ind w:firstLine="480" w:firstLineChars="200"/>
        <w:rPr>
          <w:rFonts w:ascii="宋体" w:hAnsi="宋体" w:cs="宋体"/>
          <w:color w:val="auto"/>
          <w:kern w:val="0"/>
          <w:sz w:val="24"/>
          <w:highlight w:val="none"/>
        </w:rPr>
      </w:pPr>
    </w:p>
    <w:p>
      <w:pPr>
        <w:widowControl/>
        <w:spacing w:line="360" w:lineRule="auto"/>
        <w:ind w:firstLine="480" w:firstLineChars="200"/>
        <w:rPr>
          <w:rFonts w:ascii="宋体" w:hAnsi="宋体"/>
          <w:color w:val="auto"/>
          <w:sz w:val="24"/>
          <w:highlight w:val="none"/>
          <w:u w:val="single"/>
        </w:rPr>
      </w:pPr>
      <w:r>
        <w:rPr>
          <w:rFonts w:hint="eastAsia" w:ascii="宋体" w:hAnsi="宋体" w:cs="宋体"/>
          <w:color w:val="auto"/>
          <w:kern w:val="0"/>
          <w:sz w:val="24"/>
          <w:highlight w:val="none"/>
        </w:rPr>
        <w:t>采购人（全称）：</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承包人（全称）：</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为认真贯彻“安全第一，预防为主”的方针，加强建设工程施工现场安全生产管理，确保不发生伤亡事故及双方的利益不受损害，依照《中华人民共和国安全法》、《中华人民共和国劳动法》、《建设工程安全生产管理条例》、《江苏省建设工程施工现场管理办法》等有关规定，双方本着平等、自愿的原则，在安全生产委员会的指导下，签订本协议。</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一、目标和任务</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坚决杜绝较大以上安全事故，不发生死亡事故，有效减少一般安全事故。</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二、采购人权利义务</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（一）采购人有权审查承包人施工资质、安全生产资质及安全生产信誉度。</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采购人有权对承包人进行随时和不定期的安全生产监督检查，对发现的问题和存在的隐患有权要求承包人限期整改和消除隐患；对逾期不整改或整改不到位不彻底的，采购人有权责令承包人停止一切施工并限期整改到位。对拒不履行整改意见或再次逾期整改的，采购人有权单方面终止与承包人的工程合同，一切责任均由承包人自负。</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（三）采购人有义务对承包人进行安全生产职责告知。</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（四）采购人设立安全生产管理办公室，负责公司安全生产日常事务。</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三、承包人权利义务</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（一）严格遵守国家安全生产的法律法规，贯彻执行国家相关方针政策及采购人各项安全管理制度，依法履行本建设工程安全生产主体责任。</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切实加强安全管理，建立健全以安全生产责任制为中心的各项安全生产管理制度和安全操作规程，严格执行有关安全生产的国家标准和行业标准，完善安全生产条件，自觉接受并配合有关部门的监督管理，确保安全生产。</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（三）加强安全生产管理机构和队伍建设，定期召开安全生产会议，及时解决安全生产的重大问题，加强施工现场安全生产管理。</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（四）承包人有义务在入场一周前上报该工程项目劳务人员花名册及其管理人员分工情况。</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（五）承包人指派为现场安全员，负责本工程安全生产的现场管理工作。</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六）单位主要负责人、分管安全的负责人和安全管理人员必须依法通过相关有资质单位组织的安全生产知识和管理能力的培训考核后方可任职。加强对从业人员的安全生产教育和培训，保证其具备并掌握必要的安全生产知识和安全操作技能。特种作业人员必须经专门培训，取得岗位操作证书后方能上岗作业。对进入施工现场所有施工单位工作人员，做好安全教育、安全技术交底。</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（七）保证对安全生产的有效投入，积极推广和应用安全生产先进技术，不使用国家明令淘汰、禁止使用的危及安全生产的工艺、设备，提高安全生产水平。</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（八）建立应急救援体系，定期组织演练。切实加强重大危险源监测预警，进行定期检测、评估、监控。</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九）加强工作场所以及发包项目的安全生产管理，凡安全措施不到位，员工对岗位安全知识不熟知的，不准进行生产或进行相应的施工作业。对涉及安全生产必须取得行政许可的有关事项，必须依法取得行政许可。</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（十）健全并落实安全生产检查制度，定期组织安全生产检查活动，对发现的事故隐患，及时组织并落实整改，确保安全生产。</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（十一）落实安全生产工作定期履职报告制度，每季度填写《安全生产工作履职报告书》，由单位主要负责人签名后于下季度第一个月2日前报送采购人安全生产管理办公室。</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二）接到有关安全生产事故报告后，项目负责人应及时赶到事故现场，组织事故抢救和善后处理，防止事故扩大，并按照《生产安全事故报告和调查处理条例》（国务院第493号令）的有关规定，如实报告，同时负责事故现场的保护。</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承包人负责施工的工程项目及设施在施工期发生对第三方或采购人的人身财产损害的，由承包人承担一切赔偿责任。</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三）承包人承建的项目，禁止再行转包。非主体工程需要分包的，必须报采购人工程项目主管部门批准。承包人必须对分包方进行安全管理与监督，分包工程发生安全事故时，承包人与分包单位承担全部责任（包括连带责任）。</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四）承包人根据安全生产管理目标，制定安全管理计划和安全施工方案，并在采购人安全生产管理办公室同意后实施。承包人在工人进场一周内，要填写三级教育卡，不得缺人漏人，三级教育卡由承包人保存并备查，经常教育由承包人负责。</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（十五）承包人须建立安全生产管理台账，接受采购人及上级有关部门检查。</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（十六）做好安全生产法律法规规定的其他工作。</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四、对本协议所确定安全生产职责双方均应严格遵守和履行，对发生在各自职责范围内的安全生产事故由责任方承担全部责任，因此而给对方造成损失的，由责任方负责赔偿。</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五、本协议作为工程合同的附件，与主合同具有同等的法律效力。</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六、本协议有效期为双方签署之日起至该工程项目全部结算完毕时止。</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本协议一式叁份，甲乙双方各执一份。</w:t>
      </w:r>
    </w:p>
    <w:p>
      <w:pPr>
        <w:pStyle w:val="15"/>
        <w:ind w:firstLine="240"/>
        <w:rPr>
          <w:rFonts w:ascii="宋体" w:hAnsi="宋体" w:cs="宋体"/>
          <w:color w:val="auto"/>
          <w:sz w:val="24"/>
          <w:highlight w:val="none"/>
        </w:rPr>
      </w:pPr>
    </w:p>
    <w:p>
      <w:pPr>
        <w:pStyle w:val="15"/>
        <w:ind w:firstLine="240"/>
        <w:rPr>
          <w:rFonts w:ascii="宋体" w:hAnsi="宋体" w:cs="宋体"/>
          <w:color w:val="auto"/>
          <w:sz w:val="24"/>
          <w:highlight w:val="none"/>
        </w:rPr>
      </w:pPr>
    </w:p>
    <w:p>
      <w:pPr>
        <w:pStyle w:val="15"/>
        <w:ind w:firstLine="240"/>
        <w:rPr>
          <w:rFonts w:ascii="宋体" w:hAnsi="宋体" w:cs="宋体"/>
          <w:color w:val="auto"/>
          <w:sz w:val="24"/>
          <w:highlight w:val="none"/>
        </w:rPr>
      </w:pPr>
    </w:p>
    <w:p>
      <w:pPr>
        <w:widowControl/>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采购人单位：                              承包人单位：</w:t>
      </w:r>
    </w:p>
    <w:p>
      <w:pPr>
        <w:widowControl/>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（盖章）                                    （盖章）</w:t>
      </w:r>
    </w:p>
    <w:p>
      <w:pPr>
        <w:widowControl/>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法定代表人：                              法定代表人：</w:t>
      </w:r>
    </w:p>
    <w:p>
      <w:pPr>
        <w:widowControl/>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（或授权委托人）                        （或授权委托人）</w:t>
      </w:r>
    </w:p>
    <w:p>
      <w:pPr>
        <w:widowControl/>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地址：                                     地址：</w:t>
      </w:r>
    </w:p>
    <w:p>
      <w:pPr>
        <w:widowControl/>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电话：                                     电话：</w:t>
      </w:r>
    </w:p>
    <w:p>
      <w:pPr>
        <w:rPr>
          <w:rFonts w:ascii="宋体" w:hAnsi="宋体" w:cs="宋体"/>
          <w:b/>
          <w:color w:val="auto"/>
          <w:sz w:val="52"/>
          <w:szCs w:val="52"/>
          <w:highlight w:val="none"/>
        </w:rPr>
      </w:pPr>
      <w:r>
        <w:rPr>
          <w:rFonts w:hint="eastAsia" w:ascii="宋体" w:hAnsi="宋体" w:cs="宋体"/>
          <w:color w:val="auto"/>
          <w:kern w:val="0"/>
          <w:sz w:val="24"/>
          <w:highlight w:val="none"/>
        </w:rPr>
        <w:t>年  月   日                               年   月   日</w:t>
      </w:r>
    </w:p>
    <w:p>
      <w:pPr>
        <w:rPr>
          <w:rFonts w:ascii="宋体" w:hAnsi="宋体" w:cs="宋体"/>
          <w:color w:val="auto"/>
          <w:sz w:val="18"/>
          <w:szCs w:val="18"/>
          <w:highlight w:val="none"/>
        </w:rPr>
      </w:pPr>
    </w:p>
    <w:p>
      <w:pPr>
        <w:ind w:firstLine="440" w:firstLineChars="100"/>
        <w:jc w:val="center"/>
        <w:rPr>
          <w:rFonts w:ascii="宋体" w:hAnsi="宋体" w:cs="宋体"/>
          <w:bCs/>
          <w:color w:val="auto"/>
          <w:sz w:val="44"/>
          <w:szCs w:val="44"/>
          <w:highlight w:val="none"/>
        </w:rPr>
      </w:pPr>
    </w:p>
    <w:p>
      <w:pPr>
        <w:pStyle w:val="8"/>
        <w:rPr>
          <w:rFonts w:ascii="宋体" w:hAnsi="宋体" w:cs="宋体"/>
          <w:bCs/>
          <w:color w:val="auto"/>
          <w:sz w:val="44"/>
          <w:szCs w:val="44"/>
          <w:highlight w:val="none"/>
        </w:rPr>
      </w:pPr>
    </w:p>
    <w:p>
      <w:pPr>
        <w:spacing w:line="560" w:lineRule="exact"/>
        <w:jc w:val="center"/>
        <w:rPr>
          <w:b/>
          <w:color w:val="auto"/>
          <w:sz w:val="36"/>
          <w:szCs w:val="36"/>
          <w:highlight w:val="none"/>
        </w:rPr>
        <w:sectPr>
          <w:headerReference r:id="rId6" w:type="default"/>
          <w:footerReference r:id="rId7" w:type="default"/>
          <w:footerReference r:id="rId8" w:type="even"/>
          <w:pgSz w:w="11906" w:h="16838"/>
          <w:pgMar w:top="1440" w:right="1287" w:bottom="1440" w:left="1440" w:header="851" w:footer="992" w:gutter="0"/>
          <w:cols w:space="720" w:num="1"/>
          <w:docGrid w:type="lines" w:linePitch="312" w:charSpace="0"/>
        </w:sectPr>
      </w:pPr>
      <w:bookmarkStart w:id="566" w:name="_Hlk82453493"/>
    </w:p>
    <w:p>
      <w:pPr>
        <w:spacing w:line="560" w:lineRule="exact"/>
        <w:jc w:val="left"/>
        <w:rPr>
          <w:bCs/>
          <w:color w:val="auto"/>
          <w:sz w:val="22"/>
          <w:szCs w:val="22"/>
          <w:highlight w:val="none"/>
        </w:rPr>
      </w:pPr>
      <w:r>
        <w:rPr>
          <w:rFonts w:hint="eastAsia"/>
          <w:bCs/>
          <w:color w:val="auto"/>
          <w:sz w:val="22"/>
          <w:szCs w:val="22"/>
          <w:highlight w:val="none"/>
        </w:rPr>
        <w:t>附件11</w:t>
      </w:r>
    </w:p>
    <w:p>
      <w:pPr>
        <w:spacing w:line="560" w:lineRule="exact"/>
        <w:jc w:val="center"/>
        <w:rPr>
          <w:b/>
          <w:color w:val="auto"/>
          <w:sz w:val="36"/>
          <w:szCs w:val="36"/>
          <w:highlight w:val="none"/>
        </w:rPr>
      </w:pPr>
      <w:r>
        <w:rPr>
          <w:rFonts w:hint="eastAsia"/>
          <w:b/>
          <w:color w:val="auto"/>
          <w:sz w:val="36"/>
          <w:szCs w:val="36"/>
          <w:highlight w:val="none"/>
        </w:rPr>
        <w:t>2022年梁溪区老旧小区改造工程管理协议</w:t>
      </w:r>
    </w:p>
    <w:p>
      <w:pPr>
        <w:pStyle w:val="2"/>
        <w:rPr>
          <w:b w:val="0"/>
          <w:color w:val="auto"/>
          <w:sz w:val="24"/>
          <w:highlight w:val="none"/>
        </w:rPr>
      </w:pPr>
    </w:p>
    <w:p>
      <w:pPr>
        <w:rPr>
          <w:color w:val="auto"/>
          <w:highlight w:val="none"/>
        </w:rPr>
      </w:pPr>
    </w:p>
    <w:bookmarkEnd w:id="566"/>
    <w:p>
      <w:pPr>
        <w:pStyle w:val="2"/>
        <w:spacing w:line="540" w:lineRule="exact"/>
        <w:jc w:val="both"/>
        <w:rPr>
          <w:rFonts w:ascii="宋体" w:hAnsi="宋体" w:eastAsia="宋体" w:cs="宋体"/>
          <w:bCs w:val="0"/>
          <w:color w:val="auto"/>
          <w:sz w:val="24"/>
          <w:highlight w:val="none"/>
          <w:u w:val="single"/>
        </w:rPr>
      </w:pPr>
      <w:r>
        <w:rPr>
          <w:rFonts w:hint="eastAsia" w:ascii="宋体" w:hAnsi="宋体" w:eastAsia="宋体" w:cs="宋体"/>
          <w:color w:val="auto"/>
          <w:sz w:val="24"/>
          <w:highlight w:val="none"/>
        </w:rPr>
        <w:t>发包人（全称）：</w:t>
      </w:r>
    </w:p>
    <w:p>
      <w:pPr>
        <w:spacing w:line="540" w:lineRule="exact"/>
        <w:rPr>
          <w:rFonts w:ascii="宋体" w:hAnsi="宋体" w:cs="宋体"/>
          <w:b/>
          <w:color w:val="auto"/>
          <w:sz w:val="24"/>
          <w:highlight w:val="none"/>
        </w:rPr>
      </w:pPr>
      <w:r>
        <w:rPr>
          <w:rFonts w:hint="eastAsia" w:ascii="宋体" w:hAnsi="宋体" w:cs="宋体"/>
          <w:b/>
          <w:color w:val="auto"/>
          <w:sz w:val="24"/>
          <w:highlight w:val="none"/>
        </w:rPr>
        <w:t>监理方（全称）：</w:t>
      </w:r>
    </w:p>
    <w:p>
      <w:pPr>
        <w:spacing w:line="540" w:lineRule="exact"/>
        <w:rPr>
          <w:rFonts w:ascii="宋体" w:hAnsi="宋体" w:cs="宋体"/>
          <w:bCs/>
          <w:color w:val="auto"/>
          <w:sz w:val="24"/>
          <w:highlight w:val="none"/>
        </w:rPr>
      </w:pPr>
      <w:r>
        <w:rPr>
          <w:rFonts w:hint="eastAsia" w:ascii="宋体" w:hAnsi="宋体" w:cs="宋体"/>
          <w:b/>
          <w:color w:val="auto"/>
          <w:sz w:val="24"/>
          <w:highlight w:val="none"/>
        </w:rPr>
        <w:t>承包人（全称）：</w:t>
      </w:r>
    </w:p>
    <w:p>
      <w:pPr>
        <w:spacing w:line="540" w:lineRule="exact"/>
        <w:ind w:firstLine="480" w:firstLineChars="200"/>
        <w:rPr>
          <w:bCs/>
          <w:color w:val="auto"/>
          <w:sz w:val="24"/>
          <w:highlight w:val="none"/>
        </w:rPr>
      </w:pPr>
      <w:r>
        <w:rPr>
          <w:bCs/>
          <w:color w:val="auto"/>
          <w:sz w:val="24"/>
          <w:highlight w:val="none"/>
        </w:rPr>
        <w:t>为了加强2022年梁溪区老旧小区改造施工现场的安全、质量、进度、投资及文明施工管理，根据有关规定并结合项目现场实际情况，现场各参建单位签订《2022年梁溪区老旧小区改造工程管理</w:t>
      </w:r>
      <w:r>
        <w:rPr>
          <w:rFonts w:hint="eastAsia"/>
          <w:bCs/>
          <w:color w:val="auto"/>
          <w:sz w:val="24"/>
          <w:highlight w:val="none"/>
        </w:rPr>
        <w:t>管理协议</w:t>
      </w:r>
      <w:r>
        <w:rPr>
          <w:bCs/>
          <w:color w:val="auto"/>
          <w:sz w:val="24"/>
          <w:highlight w:val="none"/>
        </w:rPr>
        <w:t>》（以下简称《</w:t>
      </w:r>
      <w:r>
        <w:rPr>
          <w:rFonts w:hint="eastAsia"/>
          <w:bCs/>
          <w:color w:val="auto"/>
          <w:sz w:val="24"/>
          <w:highlight w:val="none"/>
        </w:rPr>
        <w:t>管理协议</w:t>
      </w:r>
      <w:r>
        <w:rPr>
          <w:bCs/>
          <w:color w:val="auto"/>
          <w:sz w:val="24"/>
          <w:highlight w:val="none"/>
        </w:rPr>
        <w:t>》）。</w:t>
      </w:r>
    </w:p>
    <w:p>
      <w:pPr>
        <w:spacing w:line="540" w:lineRule="exact"/>
        <w:ind w:firstLine="480" w:firstLineChars="200"/>
        <w:rPr>
          <w:bCs/>
          <w:color w:val="auto"/>
          <w:sz w:val="24"/>
          <w:highlight w:val="none"/>
        </w:rPr>
      </w:pPr>
      <w:r>
        <w:rPr>
          <w:bCs/>
          <w:color w:val="auto"/>
          <w:sz w:val="24"/>
          <w:highlight w:val="none"/>
        </w:rPr>
        <w:t>1.工程名称：</w:t>
      </w:r>
    </w:p>
    <w:p>
      <w:pPr>
        <w:spacing w:line="540" w:lineRule="exact"/>
        <w:ind w:firstLine="480" w:firstLineChars="200"/>
        <w:rPr>
          <w:bCs/>
          <w:color w:val="auto"/>
          <w:sz w:val="24"/>
          <w:highlight w:val="none"/>
          <w:u w:val="single"/>
        </w:rPr>
      </w:pPr>
      <w:r>
        <w:rPr>
          <w:bCs/>
          <w:color w:val="auto"/>
          <w:sz w:val="24"/>
          <w:highlight w:val="none"/>
        </w:rPr>
        <w:t>2.工程地点：</w:t>
      </w:r>
    </w:p>
    <w:p>
      <w:pPr>
        <w:spacing w:line="540" w:lineRule="exact"/>
        <w:ind w:firstLine="480" w:firstLineChars="200"/>
        <w:rPr>
          <w:color w:val="auto"/>
          <w:highlight w:val="none"/>
        </w:rPr>
      </w:pPr>
      <w:r>
        <w:rPr>
          <w:bCs/>
          <w:color w:val="auto"/>
          <w:sz w:val="24"/>
          <w:highlight w:val="none"/>
        </w:rPr>
        <w:t>3.工程内容：。</w:t>
      </w:r>
    </w:p>
    <w:p>
      <w:pPr>
        <w:spacing w:line="540" w:lineRule="exact"/>
        <w:ind w:firstLine="480" w:firstLineChars="200"/>
        <w:rPr>
          <w:bCs/>
          <w:color w:val="auto"/>
          <w:sz w:val="24"/>
          <w:highlight w:val="none"/>
        </w:rPr>
      </w:pPr>
      <w:r>
        <w:rPr>
          <w:bCs/>
          <w:color w:val="auto"/>
          <w:sz w:val="24"/>
          <w:highlight w:val="none"/>
        </w:rPr>
        <w:t>本《</w:t>
      </w:r>
      <w:r>
        <w:rPr>
          <w:rFonts w:hint="eastAsia"/>
          <w:bCs/>
          <w:color w:val="auto"/>
          <w:sz w:val="24"/>
          <w:highlight w:val="none"/>
        </w:rPr>
        <w:t>管理协议</w:t>
      </w:r>
      <w:r>
        <w:rPr>
          <w:bCs/>
          <w:color w:val="auto"/>
          <w:sz w:val="24"/>
          <w:highlight w:val="none"/>
        </w:rPr>
        <w:t>》各项条款的执行以《建设工程施工合同》及有关国家法律法规为前提。</w:t>
      </w:r>
    </w:p>
    <w:p>
      <w:pPr>
        <w:spacing w:line="540" w:lineRule="exact"/>
        <w:rPr>
          <w:bCs/>
          <w:color w:val="auto"/>
          <w:sz w:val="24"/>
          <w:highlight w:val="none"/>
        </w:rPr>
      </w:pPr>
      <w:r>
        <w:rPr>
          <w:bCs/>
          <w:color w:val="auto"/>
          <w:sz w:val="24"/>
          <w:highlight w:val="none"/>
        </w:rPr>
        <w:t>本《</w:t>
      </w:r>
      <w:r>
        <w:rPr>
          <w:rFonts w:hint="eastAsia"/>
          <w:bCs/>
          <w:color w:val="auto"/>
          <w:sz w:val="24"/>
          <w:highlight w:val="none"/>
        </w:rPr>
        <w:t>管理协议</w:t>
      </w:r>
      <w:r>
        <w:rPr>
          <w:bCs/>
          <w:color w:val="auto"/>
          <w:sz w:val="24"/>
          <w:highlight w:val="none"/>
        </w:rPr>
        <w:t>》所指的扣款针对施工单位、监理单位现场管理机构的管理行为，扣款金额以违约扣款通知单形式，其金额在工程结算时汇总扣除，违约扣款通知单一式三联。</w:t>
      </w:r>
    </w:p>
    <w:p>
      <w:pPr>
        <w:spacing w:line="540" w:lineRule="exact"/>
        <w:rPr>
          <w:b/>
          <w:color w:val="auto"/>
          <w:sz w:val="24"/>
          <w:highlight w:val="none"/>
        </w:rPr>
      </w:pPr>
      <w:r>
        <w:rPr>
          <w:b/>
          <w:color w:val="auto"/>
          <w:sz w:val="24"/>
          <w:highlight w:val="none"/>
        </w:rPr>
        <w:t>一、进场须知</w:t>
      </w:r>
    </w:p>
    <w:p>
      <w:pPr>
        <w:spacing w:line="540" w:lineRule="exact"/>
        <w:ind w:firstLine="480" w:firstLineChars="200"/>
        <w:rPr>
          <w:bCs/>
          <w:color w:val="auto"/>
          <w:sz w:val="24"/>
          <w:highlight w:val="none"/>
        </w:rPr>
      </w:pPr>
      <w:r>
        <w:rPr>
          <w:bCs/>
          <w:color w:val="auto"/>
          <w:sz w:val="24"/>
          <w:highlight w:val="none"/>
        </w:rPr>
        <w:t>1. 施工单位必须将本单位相关资料、符合本工程的施工组织设计、管理人员名单（联系电话）、专项施工方案报建设、监理单位（加盖公司印章）审批后方可进场施工。</w:t>
      </w:r>
    </w:p>
    <w:p>
      <w:pPr>
        <w:spacing w:line="540" w:lineRule="exact"/>
        <w:ind w:firstLine="480" w:firstLineChars="200"/>
        <w:rPr>
          <w:bCs/>
          <w:color w:val="auto"/>
          <w:sz w:val="24"/>
          <w:highlight w:val="none"/>
        </w:rPr>
      </w:pPr>
      <w:r>
        <w:rPr>
          <w:bCs/>
          <w:color w:val="auto"/>
          <w:sz w:val="24"/>
          <w:highlight w:val="none"/>
        </w:rPr>
        <w:t>2. 施工单位在进场开工前一周内必须编制符合合同要求的总进度计划，报建设单位和监理单位</w:t>
      </w:r>
      <w:r>
        <w:rPr>
          <w:rFonts w:hint="eastAsia"/>
          <w:bCs/>
          <w:color w:val="auto"/>
          <w:sz w:val="24"/>
          <w:highlight w:val="none"/>
        </w:rPr>
        <w:t>.</w:t>
      </w:r>
    </w:p>
    <w:p>
      <w:pPr>
        <w:spacing w:line="540" w:lineRule="exact"/>
        <w:ind w:firstLine="480" w:firstLineChars="200"/>
        <w:rPr>
          <w:color w:val="auto"/>
          <w:highlight w:val="none"/>
        </w:rPr>
      </w:pPr>
      <w:r>
        <w:rPr>
          <w:rFonts w:hint="eastAsia"/>
          <w:bCs/>
          <w:color w:val="auto"/>
          <w:sz w:val="24"/>
          <w:highlight w:val="none"/>
        </w:rPr>
        <w:t>3.监理单位负责购买具备联网功能的考勤系统，并按《关于优化实名制管理系统加强建筑工地关键岗位人员到岗履职核查工作的通知》锡建建市〔2020〕23号文的要求考勤。</w:t>
      </w:r>
    </w:p>
    <w:p>
      <w:pPr>
        <w:spacing w:line="540" w:lineRule="exact"/>
        <w:rPr>
          <w:b/>
          <w:color w:val="auto"/>
          <w:sz w:val="24"/>
          <w:highlight w:val="none"/>
        </w:rPr>
      </w:pPr>
      <w:r>
        <w:rPr>
          <w:b/>
          <w:color w:val="auto"/>
          <w:sz w:val="24"/>
          <w:highlight w:val="none"/>
        </w:rPr>
        <w:t>二、现场安全文明管理</w:t>
      </w:r>
    </w:p>
    <w:p>
      <w:pPr>
        <w:spacing w:line="540" w:lineRule="exact"/>
        <w:ind w:firstLine="480" w:firstLineChars="200"/>
        <w:rPr>
          <w:bCs/>
          <w:color w:val="auto"/>
          <w:sz w:val="24"/>
          <w:highlight w:val="none"/>
        </w:rPr>
      </w:pPr>
      <w:r>
        <w:rPr>
          <w:bCs/>
          <w:color w:val="auto"/>
          <w:sz w:val="24"/>
          <w:highlight w:val="none"/>
        </w:rPr>
        <w:t>1. 施工单位要服从建设单位、监理单位的安全文明施工管理。施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spacing w:line="540" w:lineRule="exact"/>
        <w:ind w:firstLine="480" w:firstLineChars="200"/>
        <w:rPr>
          <w:color w:val="auto"/>
          <w:highlight w:val="none"/>
        </w:rPr>
      </w:pPr>
      <w:r>
        <w:rPr>
          <w:bCs/>
          <w:color w:val="auto"/>
          <w:sz w:val="24"/>
          <w:highlight w:val="none"/>
        </w:rPr>
        <w:t>2. 自建设单位相关责任人接到居民或者12345反馈对于同一个小区改造中的同一质量问题或者安全文明施工引起的（如扰民等）投诉2起的，对相关施工单位违约金额为4000元，投诉3起的（含3起）对施工单位违约金额为8000元，投诉4起的（含4起）对施工单位违约金额为16000元，按比类推。</w:t>
      </w:r>
    </w:p>
    <w:p>
      <w:pPr>
        <w:spacing w:line="540" w:lineRule="exact"/>
        <w:ind w:firstLine="480" w:firstLineChars="200"/>
        <w:rPr>
          <w:bCs/>
          <w:color w:val="auto"/>
          <w:sz w:val="24"/>
          <w:highlight w:val="none"/>
        </w:rPr>
      </w:pPr>
      <w:r>
        <w:rPr>
          <w:bCs/>
          <w:color w:val="auto"/>
          <w:sz w:val="24"/>
          <w:highlight w:val="none"/>
        </w:rPr>
        <w:t xml:space="preserve">3.对于现场文明施工费、临设、材料检测费的投入进行考核，未按相关文件及规定要求实施的部分，在施工过程中由监理及跟踪审计进行考核，对于没投入到位部分在结算中以扣除。 </w:t>
      </w:r>
    </w:p>
    <w:p>
      <w:pPr>
        <w:spacing w:line="540" w:lineRule="exact"/>
        <w:ind w:firstLine="480" w:firstLineChars="200"/>
        <w:rPr>
          <w:bCs/>
          <w:color w:val="auto"/>
          <w:sz w:val="24"/>
          <w:highlight w:val="none"/>
        </w:rPr>
      </w:pPr>
      <w:r>
        <w:rPr>
          <w:bCs/>
          <w:color w:val="auto"/>
          <w:sz w:val="24"/>
          <w:highlight w:val="none"/>
        </w:rPr>
        <w:t>4.施工单位的项目经理应对所属施工区域的施工安全、文明施工等各方面工作全面负责。项目经理不得擅自离开现场，如有特殊情况需向街道请假获准后方能离开，另外必须同时安排具有相当能力和资质的替代人员管理现场；施工单位项目经理及主要管理人员，监理单位总监、专监、监理员必须按《关于优化实名制管理系统加强建筑工地关键岗位人员到岗履职核查工作的通知》锡建建市〔2020〕23号文件要求现场打卡考勤，住建局及各街道定期抽查的考勤情况，对考勤不符合要求的单位按合同条款及</w:t>
      </w:r>
      <w:r>
        <w:rPr>
          <w:rFonts w:hint="eastAsia"/>
          <w:bCs/>
          <w:color w:val="auto"/>
          <w:sz w:val="24"/>
          <w:highlight w:val="none"/>
        </w:rPr>
        <w:t>管理协议</w:t>
      </w:r>
      <w:r>
        <w:rPr>
          <w:bCs/>
          <w:color w:val="auto"/>
          <w:sz w:val="24"/>
          <w:highlight w:val="none"/>
        </w:rPr>
        <w:t>扣款。施工单位项目经理和被委托负责管理的人员，应经常检查、督促本单位人员自觉做好各方面工作，如违反以下规定将处以相应的扣款：</w:t>
      </w:r>
    </w:p>
    <w:tbl>
      <w:tblPr>
        <w:tblStyle w:val="17"/>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40"/>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20" w:type="dxa"/>
            <w:vAlign w:val="center"/>
          </w:tcPr>
          <w:p>
            <w:pPr>
              <w:ind w:right="34" w:rightChars="16"/>
              <w:jc w:val="center"/>
              <w:rPr>
                <w:b/>
                <w:color w:val="auto"/>
                <w:szCs w:val="21"/>
                <w:highlight w:val="none"/>
              </w:rPr>
            </w:pPr>
            <w:r>
              <w:rPr>
                <w:b/>
                <w:color w:val="auto"/>
                <w:szCs w:val="21"/>
                <w:highlight w:val="none"/>
              </w:rPr>
              <w:t>1</w:t>
            </w:r>
          </w:p>
        </w:tc>
        <w:tc>
          <w:tcPr>
            <w:tcW w:w="4140" w:type="dxa"/>
            <w:vAlign w:val="center"/>
          </w:tcPr>
          <w:p>
            <w:pPr>
              <w:ind w:left="13" w:leftChars="6" w:right="34" w:rightChars="16"/>
              <w:rPr>
                <w:color w:val="auto"/>
                <w:szCs w:val="21"/>
                <w:highlight w:val="none"/>
              </w:rPr>
            </w:pPr>
            <w:r>
              <w:rPr>
                <w:color w:val="auto"/>
                <w:szCs w:val="21"/>
                <w:highlight w:val="none"/>
              </w:rPr>
              <w:t>承包人应建立健全安全生产责任体系，按规定建立安全生产管理机构，并按规定配备满足要求的专职安全生产管理人员，项目负责人、专职安全生产管理人员是否取得安全生产考核合格证书，并在有效期内；</w:t>
            </w:r>
          </w:p>
        </w:tc>
        <w:tc>
          <w:tcPr>
            <w:tcW w:w="2700" w:type="dxa"/>
            <w:vAlign w:val="center"/>
          </w:tcPr>
          <w:p>
            <w:pPr>
              <w:ind w:left="13" w:leftChars="6" w:right="34" w:rightChars="16"/>
              <w:rPr>
                <w:color w:val="auto"/>
                <w:szCs w:val="21"/>
                <w:highlight w:val="none"/>
              </w:rPr>
            </w:pPr>
            <w:r>
              <w:rPr>
                <w:color w:val="auto"/>
                <w:szCs w:val="21"/>
                <w:highlight w:val="none"/>
              </w:rPr>
              <w:t>如有违反，发现一次，扣款5000元；</w:t>
            </w:r>
          </w:p>
        </w:tc>
        <w:tc>
          <w:tcPr>
            <w:tcW w:w="2700" w:type="dxa"/>
            <w:vAlign w:val="center"/>
          </w:tcPr>
          <w:p>
            <w:pPr>
              <w:ind w:left="13" w:leftChars="6" w:right="34" w:rightChars="16"/>
              <w:rPr>
                <w:color w:val="auto"/>
                <w:szCs w:val="21"/>
                <w:highlight w:val="none"/>
              </w:rPr>
            </w:pPr>
            <w:r>
              <w:rPr>
                <w:color w:val="auto"/>
                <w:szCs w:val="21"/>
                <w:highlight w:val="none"/>
              </w:rPr>
              <w:t>拒不改正的，责令停工。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20" w:type="dxa"/>
            <w:vAlign w:val="center"/>
          </w:tcPr>
          <w:p>
            <w:pPr>
              <w:ind w:right="34" w:rightChars="16"/>
              <w:jc w:val="center"/>
              <w:rPr>
                <w:b/>
                <w:color w:val="auto"/>
                <w:szCs w:val="21"/>
                <w:highlight w:val="none"/>
              </w:rPr>
            </w:pPr>
            <w:r>
              <w:rPr>
                <w:b/>
                <w:color w:val="auto"/>
                <w:szCs w:val="21"/>
                <w:highlight w:val="none"/>
              </w:rPr>
              <w:t>2</w:t>
            </w:r>
          </w:p>
        </w:tc>
        <w:tc>
          <w:tcPr>
            <w:tcW w:w="4140" w:type="dxa"/>
            <w:vAlign w:val="center"/>
          </w:tcPr>
          <w:p>
            <w:pPr>
              <w:ind w:left="13" w:leftChars="6" w:right="34" w:rightChars="16"/>
              <w:rPr>
                <w:color w:val="auto"/>
                <w:szCs w:val="21"/>
                <w:highlight w:val="none"/>
              </w:rPr>
            </w:pPr>
            <w:r>
              <w:rPr>
                <w:color w:val="auto"/>
                <w:szCs w:val="21"/>
                <w:highlight w:val="none"/>
              </w:rPr>
              <w:t>管理人员、作业人员三级教育、安全交底是否到位；</w:t>
            </w:r>
          </w:p>
        </w:tc>
        <w:tc>
          <w:tcPr>
            <w:tcW w:w="2700" w:type="dxa"/>
            <w:vAlign w:val="center"/>
          </w:tcPr>
          <w:p>
            <w:pPr>
              <w:ind w:left="13" w:leftChars="6" w:right="34" w:rightChars="16"/>
              <w:rPr>
                <w:color w:val="auto"/>
                <w:szCs w:val="21"/>
                <w:highlight w:val="none"/>
              </w:rPr>
            </w:pPr>
            <w:r>
              <w:rPr>
                <w:color w:val="auto"/>
                <w:szCs w:val="21"/>
                <w:highlight w:val="none"/>
              </w:rPr>
              <w:t>如有违反，发现一次，扣款2000元；</w:t>
            </w:r>
          </w:p>
        </w:tc>
        <w:tc>
          <w:tcPr>
            <w:tcW w:w="2700" w:type="dxa"/>
            <w:vAlign w:val="center"/>
          </w:tcPr>
          <w:p>
            <w:pPr>
              <w:ind w:left="13" w:leftChars="6" w:right="34" w:rightChars="16"/>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20" w:type="dxa"/>
            <w:vAlign w:val="center"/>
          </w:tcPr>
          <w:p>
            <w:pPr>
              <w:ind w:right="34" w:rightChars="16"/>
              <w:jc w:val="center"/>
              <w:rPr>
                <w:b/>
                <w:color w:val="auto"/>
                <w:szCs w:val="21"/>
                <w:highlight w:val="none"/>
              </w:rPr>
            </w:pPr>
            <w:r>
              <w:rPr>
                <w:b/>
                <w:color w:val="auto"/>
                <w:szCs w:val="21"/>
                <w:highlight w:val="none"/>
              </w:rPr>
              <w:t>3</w:t>
            </w:r>
          </w:p>
        </w:tc>
        <w:tc>
          <w:tcPr>
            <w:tcW w:w="4140" w:type="dxa"/>
            <w:vAlign w:val="center"/>
          </w:tcPr>
          <w:p>
            <w:pPr>
              <w:ind w:left="13" w:leftChars="6" w:right="34" w:rightChars="16"/>
              <w:rPr>
                <w:color w:val="auto"/>
                <w:szCs w:val="21"/>
                <w:highlight w:val="none"/>
              </w:rPr>
            </w:pPr>
            <w:r>
              <w:rPr>
                <w:color w:val="auto"/>
                <w:szCs w:val="21"/>
                <w:highlight w:val="none"/>
              </w:rPr>
              <w:t>特殊工种操作人员必须持证上岗，上岗前必须报监理审查证件（无效证件视为无证上岗）；</w:t>
            </w:r>
          </w:p>
        </w:tc>
        <w:tc>
          <w:tcPr>
            <w:tcW w:w="2700" w:type="dxa"/>
            <w:vAlign w:val="center"/>
          </w:tcPr>
          <w:p>
            <w:pPr>
              <w:ind w:left="13" w:leftChars="6" w:right="34" w:rightChars="16"/>
              <w:rPr>
                <w:color w:val="auto"/>
                <w:szCs w:val="21"/>
                <w:highlight w:val="none"/>
              </w:rPr>
            </w:pPr>
            <w:r>
              <w:rPr>
                <w:color w:val="auto"/>
                <w:szCs w:val="21"/>
                <w:highlight w:val="none"/>
              </w:rPr>
              <w:t>无证上岗者一经发现，分别扣款承包人、监理方2000元每人次，并清除出场；</w:t>
            </w:r>
          </w:p>
        </w:tc>
        <w:tc>
          <w:tcPr>
            <w:tcW w:w="2700" w:type="dxa"/>
            <w:vAlign w:val="center"/>
          </w:tcPr>
          <w:p>
            <w:pPr>
              <w:ind w:left="13" w:leftChars="6" w:right="34" w:rightChars="16"/>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20" w:type="dxa"/>
            <w:vAlign w:val="center"/>
          </w:tcPr>
          <w:p>
            <w:pPr>
              <w:ind w:right="34" w:rightChars="16"/>
              <w:jc w:val="center"/>
              <w:rPr>
                <w:b/>
                <w:color w:val="auto"/>
                <w:szCs w:val="21"/>
                <w:highlight w:val="none"/>
              </w:rPr>
            </w:pPr>
            <w:r>
              <w:rPr>
                <w:b/>
                <w:color w:val="auto"/>
                <w:szCs w:val="21"/>
                <w:highlight w:val="none"/>
              </w:rPr>
              <w:t>4</w:t>
            </w:r>
          </w:p>
        </w:tc>
        <w:tc>
          <w:tcPr>
            <w:tcW w:w="4140" w:type="dxa"/>
            <w:vAlign w:val="center"/>
          </w:tcPr>
          <w:p>
            <w:pPr>
              <w:ind w:left="13" w:leftChars="6" w:right="34" w:rightChars="16"/>
              <w:rPr>
                <w:color w:val="auto"/>
                <w:szCs w:val="21"/>
                <w:highlight w:val="none"/>
              </w:rPr>
            </w:pPr>
            <w:r>
              <w:rPr>
                <w:color w:val="auto"/>
                <w:szCs w:val="21"/>
                <w:highlight w:val="none"/>
              </w:rPr>
              <w:t>承包人应按时支付农民工工资，承诺若拖欠民工工资引起民工上访事件；</w:t>
            </w:r>
          </w:p>
        </w:tc>
        <w:tc>
          <w:tcPr>
            <w:tcW w:w="2700" w:type="dxa"/>
            <w:vAlign w:val="center"/>
          </w:tcPr>
          <w:p>
            <w:pPr>
              <w:ind w:left="13" w:leftChars="6" w:right="34" w:rightChars="16"/>
              <w:rPr>
                <w:color w:val="auto"/>
                <w:szCs w:val="21"/>
                <w:highlight w:val="none"/>
              </w:rPr>
            </w:pPr>
            <w:r>
              <w:rPr>
                <w:color w:val="auto"/>
                <w:szCs w:val="21"/>
                <w:highlight w:val="none"/>
              </w:rPr>
              <w:t>经核查属实，发包人将扣除承包人承诺工程款用于支付民工工资，扣款1万元/次；</w:t>
            </w:r>
          </w:p>
        </w:tc>
        <w:tc>
          <w:tcPr>
            <w:tcW w:w="2700" w:type="dxa"/>
            <w:vAlign w:val="center"/>
          </w:tcPr>
          <w:p>
            <w:pPr>
              <w:ind w:left="13" w:leftChars="6" w:right="34" w:rightChars="16"/>
              <w:rPr>
                <w:color w:val="auto"/>
                <w:szCs w:val="21"/>
                <w:highlight w:val="none"/>
              </w:rPr>
            </w:pPr>
            <w:r>
              <w:rPr>
                <w:color w:val="auto"/>
                <w:szCs w:val="21"/>
                <w:highlight w:val="none"/>
              </w:rPr>
              <w:t>同一事件，二次发生，扣除翻倍，以此类推。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20" w:type="dxa"/>
            <w:vAlign w:val="center"/>
          </w:tcPr>
          <w:p>
            <w:pPr>
              <w:ind w:right="34" w:rightChars="16"/>
              <w:jc w:val="center"/>
              <w:rPr>
                <w:b/>
                <w:color w:val="auto"/>
                <w:szCs w:val="21"/>
                <w:highlight w:val="none"/>
              </w:rPr>
            </w:pPr>
            <w:r>
              <w:rPr>
                <w:b/>
                <w:color w:val="auto"/>
                <w:szCs w:val="21"/>
                <w:highlight w:val="none"/>
              </w:rPr>
              <w:t>5</w:t>
            </w:r>
          </w:p>
        </w:tc>
        <w:tc>
          <w:tcPr>
            <w:tcW w:w="4140" w:type="dxa"/>
            <w:vAlign w:val="center"/>
          </w:tcPr>
          <w:p>
            <w:pPr>
              <w:ind w:left="13" w:leftChars="6" w:right="34" w:rightChars="16"/>
              <w:rPr>
                <w:color w:val="auto"/>
                <w:szCs w:val="21"/>
                <w:highlight w:val="none"/>
              </w:rPr>
            </w:pPr>
            <w:r>
              <w:rPr>
                <w:color w:val="auto"/>
                <w:szCs w:val="21"/>
                <w:highlight w:val="none"/>
              </w:rPr>
              <w:t xml:space="preserve">疫情防控措施汇报、响应不及时，落实不 </w:t>
            </w:r>
          </w:p>
          <w:p>
            <w:pPr>
              <w:ind w:left="13" w:leftChars="6" w:right="34" w:rightChars="16"/>
              <w:rPr>
                <w:color w:val="auto"/>
                <w:szCs w:val="21"/>
                <w:highlight w:val="none"/>
              </w:rPr>
            </w:pPr>
            <w:r>
              <w:rPr>
                <w:color w:val="auto"/>
                <w:szCs w:val="21"/>
                <w:highlight w:val="none"/>
              </w:rPr>
              <w:t>到位；</w:t>
            </w:r>
          </w:p>
          <w:p>
            <w:pPr>
              <w:ind w:left="13" w:leftChars="6" w:right="34" w:rightChars="16"/>
              <w:rPr>
                <w:color w:val="auto"/>
                <w:szCs w:val="21"/>
                <w:highlight w:val="none"/>
              </w:rPr>
            </w:pPr>
          </w:p>
        </w:tc>
        <w:tc>
          <w:tcPr>
            <w:tcW w:w="2700" w:type="dxa"/>
            <w:vAlign w:val="center"/>
          </w:tcPr>
          <w:p>
            <w:pPr>
              <w:ind w:left="13" w:leftChars="6" w:right="34" w:rightChars="16"/>
              <w:rPr>
                <w:color w:val="auto"/>
                <w:szCs w:val="21"/>
                <w:highlight w:val="none"/>
              </w:rPr>
            </w:pPr>
            <w:r>
              <w:rPr>
                <w:color w:val="auto"/>
                <w:szCs w:val="21"/>
                <w:highlight w:val="none"/>
              </w:rPr>
              <w:t xml:space="preserve">因疫情防控不力受到区级（含区级）以上通报，扣款10000 元/ </w:t>
            </w:r>
          </w:p>
          <w:p>
            <w:pPr>
              <w:ind w:left="13" w:leftChars="6" w:right="34" w:rightChars="16"/>
              <w:rPr>
                <w:color w:val="auto"/>
                <w:szCs w:val="21"/>
                <w:highlight w:val="none"/>
              </w:rPr>
            </w:pPr>
            <w:r>
              <w:rPr>
                <w:color w:val="auto"/>
                <w:szCs w:val="21"/>
                <w:highlight w:val="none"/>
              </w:rPr>
              <w:t>次；</w:t>
            </w:r>
          </w:p>
          <w:p>
            <w:pPr>
              <w:ind w:left="13" w:leftChars="6" w:right="34" w:rightChars="16"/>
              <w:rPr>
                <w:color w:val="auto"/>
                <w:szCs w:val="21"/>
                <w:highlight w:val="none"/>
              </w:rPr>
            </w:pPr>
          </w:p>
        </w:tc>
        <w:tc>
          <w:tcPr>
            <w:tcW w:w="2700" w:type="dxa"/>
            <w:vAlign w:val="center"/>
          </w:tcPr>
          <w:p>
            <w:pPr>
              <w:ind w:left="13" w:leftChars="6" w:right="34" w:rightChars="16"/>
              <w:rPr>
                <w:color w:val="auto"/>
                <w:szCs w:val="21"/>
                <w:highlight w:val="none"/>
              </w:rPr>
            </w:pPr>
            <w:r>
              <w:rPr>
                <w:color w:val="auto"/>
                <w:szCs w:val="21"/>
                <w:highlight w:val="none"/>
              </w:rPr>
              <w:t xml:space="preserve">情节严重的上报疫情指挥 </w:t>
            </w:r>
          </w:p>
          <w:p>
            <w:pPr>
              <w:ind w:left="13" w:leftChars="6" w:right="34" w:rightChars="16"/>
              <w:rPr>
                <w:color w:val="auto"/>
                <w:szCs w:val="21"/>
                <w:highlight w:val="none"/>
              </w:rPr>
            </w:pPr>
            <w:r>
              <w:rPr>
                <w:color w:val="auto"/>
                <w:szCs w:val="21"/>
                <w:highlight w:val="none"/>
              </w:rPr>
              <w:t xml:space="preserve">部，同时责令相关人员清 </w:t>
            </w:r>
          </w:p>
          <w:p>
            <w:pPr>
              <w:ind w:left="13" w:leftChars="6" w:right="34" w:rightChars="16"/>
              <w:rPr>
                <w:color w:val="auto"/>
                <w:szCs w:val="21"/>
                <w:highlight w:val="none"/>
              </w:rPr>
            </w:pPr>
            <w:r>
              <w:rPr>
                <w:color w:val="auto"/>
                <w:szCs w:val="21"/>
                <w:highlight w:val="none"/>
              </w:rPr>
              <w:t>退。</w:t>
            </w:r>
          </w:p>
          <w:p>
            <w:pPr>
              <w:ind w:left="13" w:leftChars="6" w:right="34" w:rightChars="16"/>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20" w:type="dxa"/>
            <w:vAlign w:val="center"/>
          </w:tcPr>
          <w:p>
            <w:pPr>
              <w:ind w:right="34" w:rightChars="16"/>
              <w:jc w:val="center"/>
              <w:rPr>
                <w:b/>
                <w:color w:val="auto"/>
                <w:szCs w:val="21"/>
                <w:highlight w:val="none"/>
              </w:rPr>
            </w:pPr>
            <w:r>
              <w:rPr>
                <w:b/>
                <w:color w:val="auto"/>
                <w:szCs w:val="21"/>
                <w:highlight w:val="none"/>
              </w:rPr>
              <w:t>6</w:t>
            </w:r>
          </w:p>
        </w:tc>
        <w:tc>
          <w:tcPr>
            <w:tcW w:w="4140" w:type="dxa"/>
            <w:vAlign w:val="center"/>
          </w:tcPr>
          <w:p>
            <w:pPr>
              <w:ind w:left="13" w:leftChars="6" w:right="34" w:rightChars="16"/>
              <w:rPr>
                <w:color w:val="auto"/>
                <w:szCs w:val="21"/>
                <w:highlight w:val="none"/>
              </w:rPr>
            </w:pPr>
            <w:r>
              <w:rPr>
                <w:color w:val="auto"/>
                <w:szCs w:val="21"/>
                <w:highlight w:val="none"/>
              </w:rPr>
              <w:t>施工现场围挡、施工标识标牌、施工告知书、临时设施等是否符合规定要求；</w:t>
            </w:r>
          </w:p>
        </w:tc>
        <w:tc>
          <w:tcPr>
            <w:tcW w:w="2700" w:type="dxa"/>
            <w:vAlign w:val="center"/>
          </w:tcPr>
          <w:p>
            <w:pPr>
              <w:ind w:left="13" w:leftChars="6" w:right="34" w:rightChars="16"/>
              <w:rPr>
                <w:color w:val="auto"/>
                <w:szCs w:val="21"/>
                <w:highlight w:val="none"/>
              </w:rPr>
            </w:pPr>
            <w:r>
              <w:rPr>
                <w:color w:val="auto"/>
                <w:szCs w:val="21"/>
                <w:highlight w:val="none"/>
              </w:rPr>
              <w:t>如有违反，发现一次，扣款2000元；</w:t>
            </w:r>
          </w:p>
        </w:tc>
        <w:tc>
          <w:tcPr>
            <w:tcW w:w="2700" w:type="dxa"/>
            <w:vAlign w:val="center"/>
          </w:tcPr>
          <w:p>
            <w:pPr>
              <w:ind w:left="13" w:leftChars="6" w:right="34" w:rightChars="16"/>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20" w:type="dxa"/>
            <w:vAlign w:val="center"/>
          </w:tcPr>
          <w:p>
            <w:pPr>
              <w:ind w:right="34" w:rightChars="16"/>
              <w:jc w:val="center"/>
              <w:rPr>
                <w:b/>
                <w:color w:val="auto"/>
                <w:szCs w:val="21"/>
                <w:highlight w:val="none"/>
              </w:rPr>
            </w:pPr>
            <w:r>
              <w:rPr>
                <w:b/>
                <w:color w:val="auto"/>
                <w:szCs w:val="21"/>
                <w:highlight w:val="none"/>
              </w:rPr>
              <w:t>7</w:t>
            </w:r>
          </w:p>
        </w:tc>
        <w:tc>
          <w:tcPr>
            <w:tcW w:w="4140" w:type="dxa"/>
            <w:vAlign w:val="center"/>
          </w:tcPr>
          <w:p>
            <w:pPr>
              <w:ind w:left="13" w:leftChars="6" w:right="34" w:rightChars="16"/>
              <w:rPr>
                <w:color w:val="auto"/>
                <w:szCs w:val="21"/>
                <w:highlight w:val="none"/>
              </w:rPr>
            </w:pPr>
            <w:r>
              <w:rPr>
                <w:color w:val="auto"/>
                <w:szCs w:val="21"/>
                <w:highlight w:val="none"/>
              </w:rPr>
              <w:t>施工人员进入施工现场必须戴好安全帽，扣好帽带；高空作业人员必须佩带安全带，不许赤身和穿拖鞋；</w:t>
            </w:r>
          </w:p>
        </w:tc>
        <w:tc>
          <w:tcPr>
            <w:tcW w:w="2700" w:type="dxa"/>
            <w:vAlign w:val="center"/>
          </w:tcPr>
          <w:p>
            <w:pPr>
              <w:ind w:right="34" w:rightChars="16"/>
              <w:jc w:val="left"/>
              <w:rPr>
                <w:color w:val="auto"/>
                <w:szCs w:val="21"/>
                <w:highlight w:val="none"/>
              </w:rPr>
            </w:pPr>
            <w:r>
              <w:rPr>
                <w:color w:val="auto"/>
                <w:szCs w:val="21"/>
                <w:highlight w:val="none"/>
              </w:rPr>
              <w:t>发现有1人次违反者扣款1000元每人次、3人次以上扣款2000元每人次；</w:t>
            </w:r>
          </w:p>
        </w:tc>
        <w:tc>
          <w:tcPr>
            <w:tcW w:w="2700" w:type="dxa"/>
            <w:vAlign w:val="center"/>
          </w:tcPr>
          <w:p>
            <w:pPr>
              <w:ind w:right="34" w:rightChars="1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20" w:type="dxa"/>
            <w:vAlign w:val="center"/>
          </w:tcPr>
          <w:p>
            <w:pPr>
              <w:ind w:right="34" w:rightChars="16"/>
              <w:jc w:val="center"/>
              <w:rPr>
                <w:b/>
                <w:color w:val="auto"/>
                <w:szCs w:val="21"/>
                <w:highlight w:val="none"/>
              </w:rPr>
            </w:pPr>
            <w:r>
              <w:rPr>
                <w:b/>
                <w:color w:val="auto"/>
                <w:szCs w:val="21"/>
                <w:highlight w:val="none"/>
              </w:rPr>
              <w:t>8</w:t>
            </w:r>
          </w:p>
        </w:tc>
        <w:tc>
          <w:tcPr>
            <w:tcW w:w="4140" w:type="dxa"/>
            <w:vAlign w:val="center"/>
          </w:tcPr>
          <w:p>
            <w:pPr>
              <w:ind w:left="13" w:leftChars="6" w:right="34" w:rightChars="16"/>
              <w:rPr>
                <w:color w:val="auto"/>
                <w:szCs w:val="21"/>
                <w:highlight w:val="none"/>
              </w:rPr>
            </w:pPr>
            <w:r>
              <w:rPr>
                <w:color w:val="auto"/>
                <w:szCs w:val="21"/>
                <w:highlight w:val="none"/>
              </w:rPr>
              <w:t>进出口设置警戒标志、减速带，施工现场设置围挡，健全安全保卫制度，以维护施工现场秩序，保证施工作业正常进行；</w:t>
            </w:r>
          </w:p>
        </w:tc>
        <w:tc>
          <w:tcPr>
            <w:tcW w:w="2700" w:type="dxa"/>
            <w:vAlign w:val="center"/>
          </w:tcPr>
          <w:p>
            <w:pPr>
              <w:ind w:right="34" w:rightChars="16"/>
              <w:jc w:val="left"/>
              <w:rPr>
                <w:color w:val="auto"/>
                <w:szCs w:val="21"/>
                <w:highlight w:val="none"/>
              </w:rPr>
            </w:pPr>
            <w:r>
              <w:rPr>
                <w:color w:val="auto"/>
                <w:szCs w:val="21"/>
                <w:highlight w:val="none"/>
              </w:rPr>
              <w:t>如有违反，发现一次，扣款1000元；</w:t>
            </w:r>
          </w:p>
        </w:tc>
        <w:tc>
          <w:tcPr>
            <w:tcW w:w="2700" w:type="dxa"/>
            <w:vAlign w:val="center"/>
          </w:tcPr>
          <w:p>
            <w:pPr>
              <w:ind w:right="34" w:rightChars="1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vAlign w:val="center"/>
          </w:tcPr>
          <w:p>
            <w:pPr>
              <w:ind w:right="34" w:rightChars="16"/>
              <w:jc w:val="center"/>
              <w:rPr>
                <w:b/>
                <w:color w:val="auto"/>
                <w:szCs w:val="21"/>
                <w:highlight w:val="none"/>
              </w:rPr>
            </w:pPr>
            <w:r>
              <w:rPr>
                <w:b/>
                <w:color w:val="auto"/>
                <w:szCs w:val="21"/>
                <w:highlight w:val="none"/>
              </w:rPr>
              <w:t>9</w:t>
            </w:r>
          </w:p>
        </w:tc>
        <w:tc>
          <w:tcPr>
            <w:tcW w:w="4140" w:type="dxa"/>
            <w:vAlign w:val="center"/>
          </w:tcPr>
          <w:p>
            <w:pPr>
              <w:ind w:right="34" w:rightChars="16"/>
              <w:rPr>
                <w:color w:val="auto"/>
                <w:szCs w:val="21"/>
                <w:highlight w:val="none"/>
              </w:rPr>
            </w:pPr>
            <w:r>
              <w:rPr>
                <w:color w:val="auto"/>
                <w:szCs w:val="21"/>
                <w:highlight w:val="none"/>
              </w:rPr>
              <w:t>严禁酗酒后上岗；</w:t>
            </w:r>
          </w:p>
        </w:tc>
        <w:tc>
          <w:tcPr>
            <w:tcW w:w="2700" w:type="dxa"/>
            <w:vAlign w:val="center"/>
          </w:tcPr>
          <w:p>
            <w:pPr>
              <w:ind w:right="34" w:rightChars="16"/>
              <w:jc w:val="left"/>
              <w:rPr>
                <w:color w:val="auto"/>
                <w:szCs w:val="21"/>
                <w:highlight w:val="none"/>
              </w:rPr>
            </w:pPr>
            <w:r>
              <w:rPr>
                <w:color w:val="auto"/>
                <w:szCs w:val="21"/>
                <w:highlight w:val="none"/>
              </w:rPr>
              <w:t>违者扣款5000元/人次；</w:t>
            </w:r>
          </w:p>
        </w:tc>
        <w:tc>
          <w:tcPr>
            <w:tcW w:w="2700" w:type="dxa"/>
            <w:vAlign w:val="center"/>
          </w:tcPr>
          <w:p>
            <w:pPr>
              <w:ind w:right="34" w:rightChars="1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20" w:type="dxa"/>
            <w:vAlign w:val="center"/>
          </w:tcPr>
          <w:p>
            <w:pPr>
              <w:ind w:right="34" w:rightChars="16"/>
              <w:jc w:val="center"/>
              <w:rPr>
                <w:b/>
                <w:color w:val="auto"/>
                <w:szCs w:val="21"/>
                <w:highlight w:val="none"/>
              </w:rPr>
            </w:pPr>
            <w:r>
              <w:rPr>
                <w:b/>
                <w:color w:val="auto"/>
                <w:szCs w:val="21"/>
                <w:highlight w:val="none"/>
              </w:rPr>
              <w:t>10</w:t>
            </w:r>
          </w:p>
        </w:tc>
        <w:tc>
          <w:tcPr>
            <w:tcW w:w="4140" w:type="dxa"/>
            <w:vAlign w:val="center"/>
          </w:tcPr>
          <w:p>
            <w:pPr>
              <w:ind w:left="13" w:leftChars="6" w:right="34" w:rightChars="16"/>
              <w:rPr>
                <w:color w:val="auto"/>
                <w:szCs w:val="21"/>
                <w:highlight w:val="none"/>
              </w:rPr>
            </w:pPr>
            <w:r>
              <w:rPr>
                <w:color w:val="auto"/>
                <w:szCs w:val="21"/>
                <w:highlight w:val="none"/>
              </w:rPr>
              <w:t>严禁无故与小区内居民发生口角斗殴；</w:t>
            </w:r>
          </w:p>
        </w:tc>
        <w:tc>
          <w:tcPr>
            <w:tcW w:w="2700" w:type="dxa"/>
            <w:vAlign w:val="center"/>
          </w:tcPr>
          <w:p>
            <w:pPr>
              <w:ind w:right="34" w:rightChars="16"/>
              <w:jc w:val="left"/>
              <w:rPr>
                <w:color w:val="auto"/>
                <w:szCs w:val="21"/>
                <w:highlight w:val="none"/>
              </w:rPr>
            </w:pPr>
            <w:r>
              <w:rPr>
                <w:color w:val="auto"/>
                <w:szCs w:val="21"/>
                <w:highlight w:val="none"/>
              </w:rPr>
              <w:t>违者扣款2000元/人次；</w:t>
            </w:r>
          </w:p>
        </w:tc>
        <w:tc>
          <w:tcPr>
            <w:tcW w:w="2700" w:type="dxa"/>
            <w:vAlign w:val="center"/>
          </w:tcPr>
          <w:p>
            <w:pPr>
              <w:ind w:right="34" w:rightChars="16"/>
              <w:jc w:val="center"/>
              <w:rPr>
                <w:color w:val="auto"/>
                <w:szCs w:val="21"/>
                <w:highlight w:val="none"/>
              </w:rPr>
            </w:pPr>
            <w:r>
              <w:rPr>
                <w:color w:val="auto"/>
                <w:szCs w:val="21"/>
                <w:highlight w:val="none"/>
              </w:rPr>
              <w:t>情节严重的清除出场并移送有关部门处理；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20" w:type="dxa"/>
            <w:vAlign w:val="center"/>
          </w:tcPr>
          <w:p>
            <w:pPr>
              <w:ind w:right="34" w:rightChars="16"/>
              <w:jc w:val="center"/>
              <w:rPr>
                <w:b/>
                <w:color w:val="auto"/>
                <w:szCs w:val="21"/>
                <w:highlight w:val="none"/>
              </w:rPr>
            </w:pPr>
            <w:r>
              <w:rPr>
                <w:b/>
                <w:color w:val="auto"/>
                <w:szCs w:val="21"/>
                <w:highlight w:val="none"/>
              </w:rPr>
              <w:t>11</w:t>
            </w:r>
          </w:p>
        </w:tc>
        <w:tc>
          <w:tcPr>
            <w:tcW w:w="4140" w:type="dxa"/>
            <w:vAlign w:val="center"/>
          </w:tcPr>
          <w:p>
            <w:pPr>
              <w:ind w:left="13" w:leftChars="6" w:right="34" w:rightChars="16"/>
              <w:rPr>
                <w:color w:val="auto"/>
                <w:szCs w:val="21"/>
                <w:highlight w:val="none"/>
              </w:rPr>
            </w:pPr>
            <w:r>
              <w:rPr>
                <w:color w:val="auto"/>
                <w:szCs w:val="21"/>
                <w:highlight w:val="none"/>
              </w:rPr>
              <w:t>材料堆放要分门别类堆放在固定区域（挂牌），设立材料堆放区负责人；油漆、防水卷材等易燃易爆材料要安全存放，设专人管理；</w:t>
            </w:r>
          </w:p>
        </w:tc>
        <w:tc>
          <w:tcPr>
            <w:tcW w:w="2700" w:type="dxa"/>
            <w:vAlign w:val="center"/>
          </w:tcPr>
          <w:p>
            <w:pPr>
              <w:ind w:right="34" w:rightChars="16"/>
              <w:jc w:val="left"/>
              <w:rPr>
                <w:color w:val="auto"/>
                <w:szCs w:val="21"/>
                <w:highlight w:val="none"/>
              </w:rPr>
            </w:pPr>
            <w:r>
              <w:rPr>
                <w:color w:val="auto"/>
                <w:szCs w:val="21"/>
                <w:highlight w:val="none"/>
              </w:rPr>
              <w:t>如有违反，发现一次，扣款3000元；</w:t>
            </w:r>
          </w:p>
        </w:tc>
        <w:tc>
          <w:tcPr>
            <w:tcW w:w="2700" w:type="dxa"/>
            <w:vAlign w:val="center"/>
          </w:tcPr>
          <w:p>
            <w:pPr>
              <w:ind w:right="34" w:rightChars="1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20" w:type="dxa"/>
            <w:vAlign w:val="center"/>
          </w:tcPr>
          <w:p>
            <w:pPr>
              <w:ind w:right="34" w:rightChars="16"/>
              <w:jc w:val="center"/>
              <w:rPr>
                <w:b/>
                <w:color w:val="auto"/>
                <w:szCs w:val="21"/>
                <w:highlight w:val="none"/>
              </w:rPr>
            </w:pPr>
          </w:p>
          <w:p>
            <w:pPr>
              <w:ind w:right="34" w:rightChars="16"/>
              <w:jc w:val="center"/>
              <w:rPr>
                <w:b/>
                <w:color w:val="auto"/>
                <w:szCs w:val="21"/>
                <w:highlight w:val="none"/>
              </w:rPr>
            </w:pPr>
            <w:r>
              <w:rPr>
                <w:b/>
                <w:color w:val="auto"/>
                <w:szCs w:val="21"/>
                <w:highlight w:val="none"/>
              </w:rPr>
              <w:t>12</w:t>
            </w:r>
          </w:p>
        </w:tc>
        <w:tc>
          <w:tcPr>
            <w:tcW w:w="4140" w:type="dxa"/>
            <w:vAlign w:val="center"/>
          </w:tcPr>
          <w:p>
            <w:pPr>
              <w:ind w:left="13" w:leftChars="6" w:right="34" w:rightChars="16"/>
              <w:rPr>
                <w:color w:val="auto"/>
                <w:szCs w:val="21"/>
                <w:highlight w:val="none"/>
              </w:rPr>
            </w:pPr>
            <w:r>
              <w:rPr>
                <w:color w:val="auto"/>
                <w:szCs w:val="21"/>
                <w:highlight w:val="none"/>
              </w:rPr>
              <w:t xml:space="preserve">现场垃圾要及时清理，严禁垃圾污染路面；道路每天清扫，有防扬尘措施及雾炮等设备； </w:t>
            </w:r>
          </w:p>
        </w:tc>
        <w:tc>
          <w:tcPr>
            <w:tcW w:w="2700" w:type="dxa"/>
            <w:vAlign w:val="center"/>
          </w:tcPr>
          <w:p>
            <w:pPr>
              <w:ind w:right="34" w:rightChars="16"/>
              <w:jc w:val="left"/>
              <w:rPr>
                <w:color w:val="auto"/>
                <w:szCs w:val="21"/>
                <w:highlight w:val="none"/>
              </w:rPr>
            </w:pPr>
            <w:r>
              <w:rPr>
                <w:color w:val="auto"/>
                <w:szCs w:val="21"/>
                <w:highlight w:val="none"/>
              </w:rPr>
              <w:t>如有违反，发现一次，扣款1000元；</w:t>
            </w:r>
          </w:p>
        </w:tc>
        <w:tc>
          <w:tcPr>
            <w:tcW w:w="2700" w:type="dxa"/>
            <w:vAlign w:val="center"/>
          </w:tcPr>
          <w:p>
            <w:pPr>
              <w:ind w:right="34" w:rightChars="16"/>
              <w:jc w:val="center"/>
              <w:rPr>
                <w:color w:val="auto"/>
                <w:szCs w:val="21"/>
                <w:highlight w:val="none"/>
              </w:rPr>
            </w:pPr>
            <w:r>
              <w:rPr>
                <w:color w:val="auto"/>
                <w:szCs w:val="21"/>
                <w:highlight w:val="none"/>
              </w:rPr>
              <w:t>污染地面导致安全事故的由施工单位处理；产生恶劣影响的扣款10000元/次；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20" w:type="dxa"/>
            <w:vAlign w:val="center"/>
          </w:tcPr>
          <w:p>
            <w:pPr>
              <w:ind w:right="34" w:rightChars="16"/>
              <w:jc w:val="center"/>
              <w:rPr>
                <w:b/>
                <w:color w:val="auto"/>
                <w:szCs w:val="21"/>
                <w:highlight w:val="none"/>
              </w:rPr>
            </w:pPr>
            <w:r>
              <w:rPr>
                <w:b/>
                <w:color w:val="auto"/>
                <w:szCs w:val="21"/>
                <w:highlight w:val="none"/>
              </w:rPr>
              <w:t>13</w:t>
            </w:r>
          </w:p>
        </w:tc>
        <w:tc>
          <w:tcPr>
            <w:tcW w:w="4140" w:type="dxa"/>
            <w:vAlign w:val="center"/>
          </w:tcPr>
          <w:p>
            <w:pPr>
              <w:ind w:left="13" w:leftChars="6" w:right="34" w:rightChars="16"/>
              <w:rPr>
                <w:color w:val="auto"/>
                <w:szCs w:val="21"/>
                <w:highlight w:val="none"/>
              </w:rPr>
            </w:pPr>
            <w:r>
              <w:rPr>
                <w:color w:val="auto"/>
                <w:szCs w:val="21"/>
                <w:highlight w:val="none"/>
              </w:rPr>
              <w:t>脚手架的搭设应符合要求；作业层堆物不能过大；</w:t>
            </w:r>
          </w:p>
        </w:tc>
        <w:tc>
          <w:tcPr>
            <w:tcW w:w="2700" w:type="dxa"/>
            <w:vAlign w:val="center"/>
          </w:tcPr>
          <w:p>
            <w:pPr>
              <w:ind w:right="34" w:rightChars="16"/>
              <w:jc w:val="left"/>
              <w:rPr>
                <w:color w:val="auto"/>
                <w:szCs w:val="21"/>
                <w:highlight w:val="none"/>
              </w:rPr>
            </w:pPr>
            <w:r>
              <w:rPr>
                <w:color w:val="auto"/>
                <w:szCs w:val="21"/>
                <w:highlight w:val="none"/>
              </w:rPr>
              <w:t>不符合要求的责令拆除重新搭设，并扣款1000元/次；</w:t>
            </w:r>
          </w:p>
          <w:p>
            <w:pPr>
              <w:ind w:right="34" w:rightChars="16"/>
              <w:jc w:val="left"/>
              <w:rPr>
                <w:color w:val="auto"/>
                <w:szCs w:val="21"/>
                <w:highlight w:val="none"/>
              </w:rPr>
            </w:pPr>
          </w:p>
        </w:tc>
        <w:tc>
          <w:tcPr>
            <w:tcW w:w="2700" w:type="dxa"/>
            <w:vAlign w:val="center"/>
          </w:tcPr>
          <w:p>
            <w:pPr>
              <w:ind w:right="34" w:rightChars="1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20" w:type="dxa"/>
            <w:vAlign w:val="center"/>
          </w:tcPr>
          <w:p>
            <w:pPr>
              <w:ind w:right="34" w:rightChars="16"/>
              <w:jc w:val="center"/>
              <w:rPr>
                <w:b/>
                <w:color w:val="auto"/>
                <w:szCs w:val="21"/>
                <w:highlight w:val="none"/>
              </w:rPr>
            </w:pPr>
            <w:r>
              <w:rPr>
                <w:b/>
                <w:color w:val="auto"/>
                <w:szCs w:val="21"/>
                <w:highlight w:val="none"/>
              </w:rPr>
              <w:t>14</w:t>
            </w:r>
          </w:p>
        </w:tc>
        <w:tc>
          <w:tcPr>
            <w:tcW w:w="4140" w:type="dxa"/>
            <w:vAlign w:val="center"/>
          </w:tcPr>
          <w:p>
            <w:pPr>
              <w:ind w:left="13" w:leftChars="6" w:right="34" w:rightChars="16"/>
              <w:rPr>
                <w:color w:val="auto"/>
                <w:szCs w:val="21"/>
                <w:highlight w:val="none"/>
              </w:rPr>
            </w:pPr>
            <w:r>
              <w:rPr>
                <w:color w:val="auto"/>
                <w:szCs w:val="21"/>
                <w:highlight w:val="none"/>
              </w:rPr>
              <w:t>易发生坠落危险的部位，要设围栏防护；</w:t>
            </w:r>
          </w:p>
        </w:tc>
        <w:tc>
          <w:tcPr>
            <w:tcW w:w="2700" w:type="dxa"/>
            <w:vAlign w:val="center"/>
          </w:tcPr>
          <w:p>
            <w:pPr>
              <w:ind w:right="34" w:rightChars="16"/>
              <w:jc w:val="left"/>
              <w:rPr>
                <w:color w:val="auto"/>
                <w:szCs w:val="21"/>
                <w:highlight w:val="none"/>
              </w:rPr>
            </w:pPr>
            <w:r>
              <w:rPr>
                <w:color w:val="auto"/>
                <w:szCs w:val="21"/>
                <w:highlight w:val="none"/>
              </w:rPr>
              <w:t>违者扣款2000元/处；</w:t>
            </w:r>
          </w:p>
        </w:tc>
        <w:tc>
          <w:tcPr>
            <w:tcW w:w="2700" w:type="dxa"/>
            <w:vAlign w:val="center"/>
          </w:tcPr>
          <w:p>
            <w:pPr>
              <w:ind w:right="34" w:rightChars="16"/>
              <w:jc w:val="center"/>
              <w:rPr>
                <w:color w:val="auto"/>
                <w:szCs w:val="21"/>
                <w:highlight w:val="none"/>
              </w:rPr>
            </w:pPr>
            <w:r>
              <w:rPr>
                <w:color w:val="auto"/>
                <w:szCs w:val="21"/>
                <w:highlight w:val="none"/>
              </w:rPr>
              <w:t>因围护不当等导致居民损伤事故由施工单位处理；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20" w:type="dxa"/>
            <w:vAlign w:val="center"/>
          </w:tcPr>
          <w:p>
            <w:pPr>
              <w:ind w:right="34" w:rightChars="16"/>
              <w:jc w:val="center"/>
              <w:rPr>
                <w:b/>
                <w:color w:val="auto"/>
                <w:szCs w:val="21"/>
                <w:highlight w:val="none"/>
              </w:rPr>
            </w:pPr>
            <w:r>
              <w:rPr>
                <w:b/>
                <w:color w:val="auto"/>
                <w:szCs w:val="21"/>
                <w:highlight w:val="none"/>
              </w:rPr>
              <w:t>15</w:t>
            </w:r>
          </w:p>
        </w:tc>
        <w:tc>
          <w:tcPr>
            <w:tcW w:w="4140" w:type="dxa"/>
            <w:vAlign w:val="center"/>
          </w:tcPr>
          <w:p>
            <w:pPr>
              <w:ind w:left="13" w:leftChars="6" w:right="34" w:rightChars="16"/>
              <w:rPr>
                <w:color w:val="auto"/>
                <w:szCs w:val="21"/>
                <w:highlight w:val="none"/>
              </w:rPr>
            </w:pPr>
            <w:r>
              <w:rPr>
                <w:color w:val="auto"/>
                <w:szCs w:val="21"/>
                <w:highlight w:val="none"/>
              </w:rPr>
              <w:t>危险部位要设警示牌，夜间设置警示红灯，并有专人负责管理；</w:t>
            </w:r>
          </w:p>
        </w:tc>
        <w:tc>
          <w:tcPr>
            <w:tcW w:w="2700" w:type="dxa"/>
            <w:vAlign w:val="center"/>
          </w:tcPr>
          <w:p>
            <w:pPr>
              <w:ind w:right="34" w:rightChars="16"/>
              <w:jc w:val="left"/>
              <w:rPr>
                <w:color w:val="auto"/>
                <w:szCs w:val="21"/>
                <w:highlight w:val="none"/>
              </w:rPr>
            </w:pPr>
            <w:r>
              <w:rPr>
                <w:color w:val="auto"/>
                <w:szCs w:val="21"/>
                <w:highlight w:val="none"/>
              </w:rPr>
              <w:t>违者扣款2000元/处；</w:t>
            </w:r>
          </w:p>
        </w:tc>
        <w:tc>
          <w:tcPr>
            <w:tcW w:w="2700" w:type="dxa"/>
            <w:vAlign w:val="center"/>
          </w:tcPr>
          <w:p>
            <w:pPr>
              <w:ind w:right="34" w:rightChars="1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20" w:type="dxa"/>
            <w:vAlign w:val="center"/>
          </w:tcPr>
          <w:p>
            <w:pPr>
              <w:ind w:right="34" w:rightChars="16"/>
              <w:jc w:val="center"/>
              <w:rPr>
                <w:b/>
                <w:color w:val="auto"/>
                <w:szCs w:val="21"/>
                <w:highlight w:val="none"/>
              </w:rPr>
            </w:pPr>
            <w:r>
              <w:rPr>
                <w:b/>
                <w:color w:val="auto"/>
                <w:szCs w:val="21"/>
                <w:highlight w:val="none"/>
              </w:rPr>
              <w:t>16</w:t>
            </w:r>
          </w:p>
        </w:tc>
        <w:tc>
          <w:tcPr>
            <w:tcW w:w="4140" w:type="dxa"/>
            <w:vAlign w:val="center"/>
          </w:tcPr>
          <w:p>
            <w:pPr>
              <w:ind w:left="13" w:leftChars="6" w:right="34" w:rightChars="16"/>
              <w:rPr>
                <w:color w:val="auto"/>
                <w:szCs w:val="21"/>
                <w:highlight w:val="none"/>
              </w:rPr>
            </w:pPr>
            <w:r>
              <w:rPr>
                <w:color w:val="auto"/>
                <w:szCs w:val="21"/>
                <w:highlight w:val="none"/>
              </w:rPr>
              <w:t>临时用电设施要满足有关规定，严禁使用不合格产品；</w:t>
            </w:r>
          </w:p>
        </w:tc>
        <w:tc>
          <w:tcPr>
            <w:tcW w:w="2700" w:type="dxa"/>
            <w:vAlign w:val="center"/>
          </w:tcPr>
          <w:p>
            <w:pPr>
              <w:ind w:right="34" w:rightChars="16"/>
              <w:jc w:val="left"/>
              <w:rPr>
                <w:color w:val="auto"/>
                <w:szCs w:val="21"/>
                <w:highlight w:val="none"/>
              </w:rPr>
            </w:pPr>
            <w:r>
              <w:rPr>
                <w:color w:val="auto"/>
                <w:szCs w:val="21"/>
                <w:highlight w:val="none"/>
              </w:rPr>
              <w:t>违者扣款3000元，并限期整改，产生的一切后果承包单位自负；</w:t>
            </w:r>
          </w:p>
        </w:tc>
        <w:tc>
          <w:tcPr>
            <w:tcW w:w="2700" w:type="dxa"/>
            <w:vAlign w:val="center"/>
          </w:tcPr>
          <w:p>
            <w:pPr>
              <w:ind w:right="34" w:rightChars="1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0" w:type="dxa"/>
            <w:vAlign w:val="center"/>
          </w:tcPr>
          <w:p>
            <w:pPr>
              <w:ind w:right="34" w:rightChars="16"/>
              <w:jc w:val="center"/>
              <w:rPr>
                <w:b/>
                <w:color w:val="auto"/>
                <w:szCs w:val="21"/>
                <w:highlight w:val="none"/>
              </w:rPr>
            </w:pPr>
            <w:r>
              <w:rPr>
                <w:b/>
                <w:color w:val="auto"/>
                <w:szCs w:val="21"/>
                <w:highlight w:val="none"/>
              </w:rPr>
              <w:t>17</w:t>
            </w:r>
          </w:p>
        </w:tc>
        <w:tc>
          <w:tcPr>
            <w:tcW w:w="4140" w:type="dxa"/>
            <w:vAlign w:val="center"/>
          </w:tcPr>
          <w:p>
            <w:pPr>
              <w:ind w:left="13" w:leftChars="6" w:right="34" w:rightChars="16"/>
              <w:rPr>
                <w:color w:val="auto"/>
                <w:szCs w:val="21"/>
                <w:highlight w:val="none"/>
              </w:rPr>
            </w:pPr>
            <w:r>
              <w:rPr>
                <w:color w:val="auto"/>
                <w:szCs w:val="21"/>
                <w:highlight w:val="none"/>
              </w:rPr>
              <w:t>文明施工方面如：扬尘控制、围挡、防护等等必须按规定实施；</w:t>
            </w:r>
          </w:p>
        </w:tc>
        <w:tc>
          <w:tcPr>
            <w:tcW w:w="2700" w:type="dxa"/>
            <w:vAlign w:val="center"/>
          </w:tcPr>
          <w:p>
            <w:pPr>
              <w:ind w:right="34" w:rightChars="16"/>
              <w:jc w:val="left"/>
              <w:rPr>
                <w:color w:val="auto"/>
                <w:szCs w:val="21"/>
                <w:highlight w:val="none"/>
              </w:rPr>
            </w:pPr>
            <w:r>
              <w:rPr>
                <w:color w:val="auto"/>
                <w:szCs w:val="21"/>
                <w:highlight w:val="none"/>
              </w:rPr>
              <w:t>未在规定时限内完成整改扣款2000元/次；</w:t>
            </w:r>
          </w:p>
        </w:tc>
        <w:tc>
          <w:tcPr>
            <w:tcW w:w="2700" w:type="dxa"/>
            <w:vAlign w:val="center"/>
          </w:tcPr>
          <w:p>
            <w:pPr>
              <w:ind w:right="34" w:rightChars="16"/>
              <w:jc w:val="center"/>
              <w:rPr>
                <w:color w:val="auto"/>
                <w:szCs w:val="21"/>
                <w:highlight w:val="none"/>
              </w:rPr>
            </w:pPr>
            <w:r>
              <w:rPr>
                <w:color w:val="auto"/>
                <w:szCs w:val="21"/>
                <w:highlight w:val="none"/>
              </w:rPr>
              <w:t>产生恶劣影响的扣款10000元/次；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20" w:type="dxa"/>
            <w:vAlign w:val="center"/>
          </w:tcPr>
          <w:p>
            <w:pPr>
              <w:ind w:right="34" w:rightChars="16"/>
              <w:jc w:val="center"/>
              <w:rPr>
                <w:b/>
                <w:color w:val="auto"/>
                <w:szCs w:val="21"/>
                <w:highlight w:val="none"/>
              </w:rPr>
            </w:pPr>
            <w:r>
              <w:rPr>
                <w:b/>
                <w:color w:val="auto"/>
                <w:szCs w:val="21"/>
                <w:highlight w:val="none"/>
              </w:rPr>
              <w:t>18</w:t>
            </w:r>
          </w:p>
        </w:tc>
        <w:tc>
          <w:tcPr>
            <w:tcW w:w="4140" w:type="dxa"/>
            <w:vAlign w:val="center"/>
          </w:tcPr>
          <w:p>
            <w:pPr>
              <w:ind w:left="13" w:leftChars="6" w:right="34" w:rightChars="16"/>
              <w:rPr>
                <w:color w:val="auto"/>
                <w:szCs w:val="21"/>
                <w:highlight w:val="none"/>
              </w:rPr>
            </w:pPr>
            <w:r>
              <w:rPr>
                <w:color w:val="auto"/>
                <w:szCs w:val="21"/>
                <w:highlight w:val="none"/>
              </w:rPr>
              <w:t>施工现场要按施工组织设计配备足够的消防器材和设施；各种消防器材要配置合理，由专人负责保管，灭火器要有明显的有效标志；</w:t>
            </w:r>
          </w:p>
        </w:tc>
        <w:tc>
          <w:tcPr>
            <w:tcW w:w="2700" w:type="dxa"/>
            <w:vAlign w:val="center"/>
          </w:tcPr>
          <w:p>
            <w:pPr>
              <w:ind w:right="34" w:rightChars="16"/>
              <w:jc w:val="left"/>
              <w:rPr>
                <w:color w:val="auto"/>
                <w:szCs w:val="21"/>
                <w:highlight w:val="none"/>
              </w:rPr>
            </w:pPr>
            <w:r>
              <w:rPr>
                <w:color w:val="auto"/>
                <w:szCs w:val="21"/>
                <w:highlight w:val="none"/>
              </w:rPr>
              <w:t>未配备消防器材和设施，扣款2000元/次；</w:t>
            </w:r>
          </w:p>
        </w:tc>
        <w:tc>
          <w:tcPr>
            <w:tcW w:w="2700" w:type="dxa"/>
            <w:vAlign w:val="center"/>
          </w:tcPr>
          <w:p>
            <w:pPr>
              <w:ind w:right="34" w:rightChars="16"/>
              <w:jc w:val="center"/>
              <w:rPr>
                <w:color w:val="auto"/>
                <w:szCs w:val="21"/>
                <w:highlight w:val="none"/>
              </w:rPr>
            </w:pPr>
            <w:r>
              <w:rPr>
                <w:color w:val="auto"/>
                <w:szCs w:val="21"/>
                <w:highlight w:val="none"/>
              </w:rPr>
              <w:t>产生恶劣影响的扣款10000元/次；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20" w:type="dxa"/>
            <w:vAlign w:val="center"/>
          </w:tcPr>
          <w:p>
            <w:pPr>
              <w:ind w:right="34" w:rightChars="16"/>
              <w:jc w:val="center"/>
              <w:rPr>
                <w:b/>
                <w:color w:val="auto"/>
                <w:szCs w:val="21"/>
                <w:highlight w:val="none"/>
              </w:rPr>
            </w:pPr>
            <w:r>
              <w:rPr>
                <w:b/>
                <w:color w:val="auto"/>
                <w:szCs w:val="21"/>
                <w:highlight w:val="none"/>
              </w:rPr>
              <w:t>19</w:t>
            </w:r>
          </w:p>
        </w:tc>
        <w:tc>
          <w:tcPr>
            <w:tcW w:w="4140" w:type="dxa"/>
            <w:vAlign w:val="center"/>
          </w:tcPr>
          <w:p>
            <w:pPr>
              <w:ind w:left="13" w:leftChars="6" w:right="34" w:rightChars="16"/>
              <w:rPr>
                <w:color w:val="auto"/>
                <w:szCs w:val="21"/>
                <w:highlight w:val="none"/>
              </w:rPr>
            </w:pPr>
            <w:r>
              <w:rPr>
                <w:color w:val="auto"/>
                <w:szCs w:val="21"/>
                <w:highlight w:val="none"/>
              </w:rPr>
              <w:t>办公、住宿区域应卫生整洁，办公用品、生活用品要放置整齐，相关管理制度要上墙；</w:t>
            </w:r>
          </w:p>
        </w:tc>
        <w:tc>
          <w:tcPr>
            <w:tcW w:w="2700" w:type="dxa"/>
            <w:vAlign w:val="center"/>
          </w:tcPr>
          <w:p>
            <w:pPr>
              <w:ind w:right="34" w:rightChars="16"/>
              <w:jc w:val="left"/>
              <w:rPr>
                <w:color w:val="auto"/>
                <w:szCs w:val="21"/>
                <w:highlight w:val="none"/>
              </w:rPr>
            </w:pPr>
            <w:r>
              <w:rPr>
                <w:color w:val="auto"/>
                <w:szCs w:val="21"/>
                <w:highlight w:val="none"/>
              </w:rPr>
              <w:t>违者扣款1000元/次；</w:t>
            </w:r>
          </w:p>
        </w:tc>
        <w:tc>
          <w:tcPr>
            <w:tcW w:w="2700" w:type="dxa"/>
            <w:vAlign w:val="center"/>
          </w:tcPr>
          <w:p>
            <w:pPr>
              <w:ind w:right="34" w:rightChars="1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20" w:type="dxa"/>
            <w:vAlign w:val="center"/>
          </w:tcPr>
          <w:p>
            <w:pPr>
              <w:ind w:right="34" w:rightChars="16"/>
              <w:jc w:val="center"/>
              <w:rPr>
                <w:b/>
                <w:color w:val="auto"/>
                <w:szCs w:val="21"/>
                <w:highlight w:val="none"/>
              </w:rPr>
            </w:pPr>
            <w:r>
              <w:rPr>
                <w:b/>
                <w:color w:val="auto"/>
                <w:szCs w:val="21"/>
                <w:highlight w:val="none"/>
              </w:rPr>
              <w:t>20</w:t>
            </w:r>
          </w:p>
        </w:tc>
        <w:tc>
          <w:tcPr>
            <w:tcW w:w="4140" w:type="dxa"/>
            <w:vAlign w:val="center"/>
          </w:tcPr>
          <w:p>
            <w:pPr>
              <w:ind w:left="13" w:leftChars="6" w:right="34" w:rightChars="16"/>
              <w:rPr>
                <w:color w:val="auto"/>
                <w:szCs w:val="21"/>
                <w:highlight w:val="none"/>
              </w:rPr>
            </w:pPr>
            <w:r>
              <w:rPr>
                <w:color w:val="auto"/>
                <w:szCs w:val="21"/>
                <w:highlight w:val="none"/>
              </w:rPr>
              <w:t>规范现场施工、生活用电，电工持证上岗，严禁私搭乱接等不安全用电行为；</w:t>
            </w:r>
          </w:p>
        </w:tc>
        <w:tc>
          <w:tcPr>
            <w:tcW w:w="2700" w:type="dxa"/>
            <w:vAlign w:val="center"/>
          </w:tcPr>
          <w:p>
            <w:pPr>
              <w:ind w:right="34" w:rightChars="16"/>
              <w:jc w:val="left"/>
              <w:rPr>
                <w:color w:val="auto"/>
                <w:szCs w:val="21"/>
                <w:highlight w:val="none"/>
              </w:rPr>
            </w:pPr>
            <w:r>
              <w:rPr>
                <w:color w:val="auto"/>
                <w:szCs w:val="21"/>
                <w:highlight w:val="none"/>
              </w:rPr>
              <w:t>违者扣款2000元/次；</w:t>
            </w:r>
          </w:p>
        </w:tc>
        <w:tc>
          <w:tcPr>
            <w:tcW w:w="2700" w:type="dxa"/>
            <w:vAlign w:val="center"/>
          </w:tcPr>
          <w:p>
            <w:pPr>
              <w:ind w:right="34" w:rightChars="16"/>
              <w:jc w:val="center"/>
              <w:rPr>
                <w:color w:val="auto"/>
                <w:szCs w:val="21"/>
                <w:highlight w:val="none"/>
              </w:rPr>
            </w:pPr>
            <w:r>
              <w:rPr>
                <w:color w:val="auto"/>
                <w:szCs w:val="21"/>
                <w:highlight w:val="none"/>
              </w:rPr>
              <w:t>因用电不当等导致的事故由施工单位处理，损失由施工单位承担。产生恶劣影响的扣款10000元/次；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20" w:type="dxa"/>
            <w:vAlign w:val="center"/>
          </w:tcPr>
          <w:p>
            <w:pPr>
              <w:ind w:right="34" w:rightChars="16"/>
              <w:jc w:val="center"/>
              <w:rPr>
                <w:b/>
                <w:color w:val="auto"/>
                <w:szCs w:val="21"/>
                <w:highlight w:val="none"/>
              </w:rPr>
            </w:pPr>
            <w:r>
              <w:rPr>
                <w:b/>
                <w:color w:val="auto"/>
                <w:szCs w:val="21"/>
                <w:highlight w:val="none"/>
              </w:rPr>
              <w:t>21</w:t>
            </w:r>
          </w:p>
        </w:tc>
        <w:tc>
          <w:tcPr>
            <w:tcW w:w="4140" w:type="dxa"/>
            <w:vAlign w:val="center"/>
          </w:tcPr>
          <w:p>
            <w:pPr>
              <w:ind w:left="13" w:leftChars="6" w:right="34" w:rightChars="16"/>
              <w:rPr>
                <w:color w:val="auto"/>
                <w:szCs w:val="21"/>
                <w:highlight w:val="none"/>
              </w:rPr>
            </w:pPr>
            <w:r>
              <w:rPr>
                <w:color w:val="auto"/>
                <w:szCs w:val="21"/>
                <w:highlight w:val="none"/>
              </w:rPr>
              <w:t>现场严禁任何形式的高空抛物；</w:t>
            </w:r>
          </w:p>
        </w:tc>
        <w:tc>
          <w:tcPr>
            <w:tcW w:w="2700" w:type="dxa"/>
            <w:vAlign w:val="center"/>
          </w:tcPr>
          <w:p>
            <w:pPr>
              <w:ind w:right="34" w:rightChars="16"/>
              <w:jc w:val="left"/>
              <w:rPr>
                <w:color w:val="auto"/>
                <w:szCs w:val="21"/>
                <w:highlight w:val="none"/>
              </w:rPr>
            </w:pPr>
            <w:r>
              <w:rPr>
                <w:color w:val="auto"/>
                <w:szCs w:val="21"/>
                <w:highlight w:val="none"/>
              </w:rPr>
              <w:t>违者扣款2000元/次；</w:t>
            </w:r>
          </w:p>
        </w:tc>
        <w:tc>
          <w:tcPr>
            <w:tcW w:w="2700" w:type="dxa"/>
            <w:vAlign w:val="center"/>
          </w:tcPr>
          <w:p>
            <w:pPr>
              <w:ind w:right="34" w:rightChars="16"/>
              <w:jc w:val="center"/>
              <w:rPr>
                <w:color w:val="auto"/>
                <w:szCs w:val="21"/>
                <w:highlight w:val="none"/>
              </w:rPr>
            </w:pPr>
            <w:r>
              <w:rPr>
                <w:color w:val="auto"/>
                <w:szCs w:val="21"/>
                <w:highlight w:val="none"/>
              </w:rPr>
              <w:t>产生恶劣影响的扣款10000元/次，连续三次的清退处置；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20" w:type="dxa"/>
            <w:vAlign w:val="center"/>
          </w:tcPr>
          <w:p>
            <w:pPr>
              <w:ind w:right="34" w:rightChars="16"/>
              <w:jc w:val="center"/>
              <w:rPr>
                <w:b/>
                <w:color w:val="auto"/>
                <w:szCs w:val="21"/>
                <w:highlight w:val="none"/>
              </w:rPr>
            </w:pPr>
            <w:r>
              <w:rPr>
                <w:b/>
                <w:color w:val="auto"/>
                <w:szCs w:val="21"/>
                <w:highlight w:val="none"/>
              </w:rPr>
              <w:t>22</w:t>
            </w:r>
          </w:p>
        </w:tc>
        <w:tc>
          <w:tcPr>
            <w:tcW w:w="4140" w:type="dxa"/>
            <w:vAlign w:val="center"/>
          </w:tcPr>
          <w:p>
            <w:pPr>
              <w:ind w:left="13" w:leftChars="6" w:right="34" w:rightChars="16"/>
              <w:rPr>
                <w:color w:val="auto"/>
                <w:szCs w:val="21"/>
                <w:highlight w:val="none"/>
              </w:rPr>
            </w:pPr>
            <w:r>
              <w:rPr>
                <w:color w:val="auto"/>
                <w:szCs w:val="21"/>
                <w:highlight w:val="none"/>
              </w:rPr>
              <w:t>施工单位应做好施工区域及周边地下管线的交底工作，对燃气、电缆、自来水等重要管线做好保护措施；</w:t>
            </w:r>
          </w:p>
        </w:tc>
        <w:tc>
          <w:tcPr>
            <w:tcW w:w="2700" w:type="dxa"/>
            <w:vAlign w:val="center"/>
          </w:tcPr>
          <w:p>
            <w:pPr>
              <w:ind w:left="13" w:leftChars="6" w:right="34" w:rightChars="16"/>
              <w:rPr>
                <w:color w:val="auto"/>
                <w:szCs w:val="21"/>
                <w:highlight w:val="none"/>
              </w:rPr>
            </w:pPr>
            <w:r>
              <w:rPr>
                <w:color w:val="auto"/>
                <w:szCs w:val="21"/>
                <w:highlight w:val="none"/>
              </w:rPr>
              <w:t>对未交底尚自开挖破坏原有管线的，违者扣款2000/次；</w:t>
            </w:r>
          </w:p>
        </w:tc>
        <w:tc>
          <w:tcPr>
            <w:tcW w:w="2700" w:type="dxa"/>
            <w:vAlign w:val="center"/>
          </w:tcPr>
          <w:p>
            <w:pPr>
              <w:ind w:left="13" w:leftChars="6" w:right="34" w:rightChars="16"/>
              <w:rPr>
                <w:color w:val="auto"/>
                <w:szCs w:val="21"/>
                <w:highlight w:val="none"/>
              </w:rPr>
            </w:pPr>
            <w:r>
              <w:rPr>
                <w:color w:val="auto"/>
                <w:szCs w:val="21"/>
                <w:highlight w:val="none"/>
              </w:rPr>
              <w:t>产生恶劣影响的扣款10000元/次，对将产生重大安全隐患的责令停工；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0" w:type="dxa"/>
            <w:vAlign w:val="center"/>
          </w:tcPr>
          <w:p>
            <w:pPr>
              <w:ind w:right="34" w:rightChars="16"/>
              <w:jc w:val="center"/>
              <w:rPr>
                <w:b/>
                <w:color w:val="auto"/>
                <w:szCs w:val="21"/>
                <w:highlight w:val="none"/>
              </w:rPr>
            </w:pPr>
            <w:r>
              <w:rPr>
                <w:b/>
                <w:color w:val="auto"/>
                <w:szCs w:val="21"/>
                <w:highlight w:val="none"/>
              </w:rPr>
              <w:t>23</w:t>
            </w:r>
          </w:p>
        </w:tc>
        <w:tc>
          <w:tcPr>
            <w:tcW w:w="4140" w:type="dxa"/>
          </w:tcPr>
          <w:p>
            <w:pPr>
              <w:ind w:left="13" w:leftChars="6" w:right="34" w:rightChars="16"/>
              <w:jc w:val="left"/>
              <w:rPr>
                <w:color w:val="auto"/>
                <w:szCs w:val="21"/>
                <w:highlight w:val="none"/>
              </w:rPr>
            </w:pPr>
            <w:r>
              <w:rPr>
                <w:color w:val="auto"/>
                <w:szCs w:val="21"/>
                <w:highlight w:val="none"/>
              </w:rPr>
              <w:t>涉及到结构部位的拆除、加固或者与影响</w:t>
            </w:r>
          </w:p>
          <w:p>
            <w:pPr>
              <w:ind w:left="13" w:leftChars="6" w:right="34" w:rightChars="16"/>
              <w:jc w:val="left"/>
              <w:rPr>
                <w:color w:val="auto"/>
                <w:szCs w:val="21"/>
                <w:highlight w:val="none"/>
              </w:rPr>
            </w:pPr>
            <w:r>
              <w:rPr>
                <w:color w:val="auto"/>
                <w:szCs w:val="21"/>
                <w:highlight w:val="none"/>
              </w:rPr>
              <w:t>原有结构部位的施工，严格按照经审批的施工方案执行；</w:t>
            </w:r>
          </w:p>
        </w:tc>
        <w:tc>
          <w:tcPr>
            <w:tcW w:w="2700" w:type="dxa"/>
            <w:vAlign w:val="center"/>
          </w:tcPr>
          <w:p>
            <w:pPr>
              <w:ind w:left="13" w:leftChars="6" w:right="34" w:rightChars="16"/>
              <w:rPr>
                <w:color w:val="auto"/>
                <w:szCs w:val="21"/>
                <w:highlight w:val="none"/>
              </w:rPr>
            </w:pPr>
            <w:r>
              <w:rPr>
                <w:color w:val="auto"/>
                <w:szCs w:val="21"/>
                <w:highlight w:val="none"/>
              </w:rPr>
              <w:t>如未按审批的方案实施造成严重后果的，违者视情扣款5-20 万元，并承担相应赔偿责任；</w:t>
            </w:r>
          </w:p>
        </w:tc>
        <w:tc>
          <w:tcPr>
            <w:tcW w:w="2700" w:type="dxa"/>
            <w:vAlign w:val="center"/>
          </w:tcPr>
          <w:p>
            <w:pPr>
              <w:ind w:left="13" w:leftChars="6" w:right="34" w:rightChars="16"/>
              <w:rPr>
                <w:color w:val="auto"/>
                <w:szCs w:val="21"/>
                <w:highlight w:val="none"/>
              </w:rPr>
            </w:pPr>
            <w:r>
              <w:rPr>
                <w:color w:val="auto"/>
                <w:szCs w:val="21"/>
                <w:highlight w:val="none"/>
              </w:rPr>
              <w:t xml:space="preserve">导致居民损伤事故由施工 </w:t>
            </w:r>
          </w:p>
          <w:p>
            <w:pPr>
              <w:ind w:left="13" w:leftChars="6" w:right="34" w:rightChars="16"/>
              <w:rPr>
                <w:color w:val="auto"/>
                <w:szCs w:val="21"/>
                <w:highlight w:val="none"/>
              </w:rPr>
            </w:pPr>
            <w:r>
              <w:rPr>
                <w:color w:val="auto"/>
                <w:szCs w:val="21"/>
                <w:highlight w:val="none"/>
              </w:rPr>
              <w:t xml:space="preserve">单位处理，导致安全事故的 </w:t>
            </w:r>
          </w:p>
          <w:p>
            <w:pPr>
              <w:ind w:left="13" w:leftChars="6" w:right="34" w:rightChars="16"/>
              <w:rPr>
                <w:color w:val="auto"/>
                <w:szCs w:val="21"/>
                <w:highlight w:val="none"/>
              </w:rPr>
            </w:pPr>
            <w:r>
              <w:rPr>
                <w:color w:val="auto"/>
                <w:szCs w:val="21"/>
                <w:highlight w:val="none"/>
              </w:rPr>
              <w:t>按相关流程处理；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0" w:type="dxa"/>
            <w:vAlign w:val="center"/>
          </w:tcPr>
          <w:p>
            <w:pPr>
              <w:ind w:right="34" w:rightChars="16"/>
              <w:jc w:val="center"/>
              <w:rPr>
                <w:b/>
                <w:color w:val="auto"/>
                <w:szCs w:val="21"/>
                <w:highlight w:val="none"/>
              </w:rPr>
            </w:pPr>
            <w:r>
              <w:rPr>
                <w:b/>
                <w:color w:val="auto"/>
                <w:szCs w:val="21"/>
                <w:highlight w:val="none"/>
              </w:rPr>
              <w:t>24</w:t>
            </w:r>
          </w:p>
        </w:tc>
        <w:tc>
          <w:tcPr>
            <w:tcW w:w="4140" w:type="dxa"/>
            <w:vAlign w:val="center"/>
          </w:tcPr>
          <w:p>
            <w:pPr>
              <w:ind w:left="13" w:leftChars="6" w:right="34" w:rightChars="16"/>
              <w:rPr>
                <w:color w:val="auto"/>
                <w:szCs w:val="21"/>
                <w:highlight w:val="none"/>
              </w:rPr>
            </w:pPr>
            <w:r>
              <w:rPr>
                <w:color w:val="auto"/>
                <w:szCs w:val="21"/>
                <w:highlight w:val="none"/>
              </w:rPr>
              <w:t xml:space="preserve">在施工过程中经主管部门检查（包括发 </w:t>
            </w:r>
          </w:p>
          <w:p>
            <w:pPr>
              <w:ind w:left="13" w:leftChars="6" w:right="34" w:rightChars="16"/>
              <w:rPr>
                <w:color w:val="auto"/>
                <w:szCs w:val="21"/>
                <w:highlight w:val="none"/>
              </w:rPr>
            </w:pPr>
            <w:r>
              <w:rPr>
                <w:color w:val="auto"/>
                <w:szCs w:val="21"/>
                <w:highlight w:val="none"/>
              </w:rPr>
              <w:t>包人组织的检查）安全文明施工措施落实不到位；</w:t>
            </w:r>
          </w:p>
          <w:p>
            <w:pPr>
              <w:ind w:left="13" w:leftChars="6" w:right="34" w:rightChars="16"/>
              <w:rPr>
                <w:color w:val="auto"/>
                <w:szCs w:val="21"/>
                <w:highlight w:val="none"/>
              </w:rPr>
            </w:pPr>
          </w:p>
        </w:tc>
        <w:tc>
          <w:tcPr>
            <w:tcW w:w="2700" w:type="dxa"/>
            <w:vAlign w:val="center"/>
          </w:tcPr>
          <w:p>
            <w:pPr>
              <w:ind w:left="13" w:leftChars="6" w:right="34" w:rightChars="16"/>
              <w:rPr>
                <w:color w:val="auto"/>
                <w:szCs w:val="21"/>
                <w:highlight w:val="none"/>
              </w:rPr>
            </w:pPr>
            <w:r>
              <w:rPr>
                <w:color w:val="auto"/>
                <w:szCs w:val="21"/>
                <w:highlight w:val="none"/>
              </w:rPr>
              <w:t xml:space="preserve">每出现一次，发包人向承包人处以 5000 元的违约扣罚，如整改后仍达不到 </w:t>
            </w:r>
          </w:p>
          <w:p>
            <w:pPr>
              <w:ind w:left="13" w:leftChars="6" w:right="34" w:rightChars="16"/>
              <w:rPr>
                <w:color w:val="auto"/>
                <w:szCs w:val="21"/>
                <w:highlight w:val="none"/>
              </w:rPr>
            </w:pPr>
            <w:r>
              <w:rPr>
                <w:color w:val="auto"/>
                <w:szCs w:val="21"/>
                <w:highlight w:val="none"/>
              </w:rPr>
              <w:t xml:space="preserve">要求，发包人将视情况予以 </w:t>
            </w:r>
          </w:p>
          <w:p>
            <w:pPr>
              <w:ind w:left="13" w:leftChars="6" w:right="34" w:rightChars="16"/>
              <w:rPr>
                <w:color w:val="auto"/>
                <w:szCs w:val="21"/>
                <w:highlight w:val="none"/>
              </w:rPr>
            </w:pPr>
            <w:r>
              <w:rPr>
                <w:color w:val="auto"/>
                <w:szCs w:val="21"/>
                <w:highlight w:val="none"/>
              </w:rPr>
              <w:t xml:space="preserve">加倍处罚。承包人应无条件 </w:t>
            </w:r>
          </w:p>
          <w:p>
            <w:pPr>
              <w:ind w:left="13" w:leftChars="6" w:right="34" w:rightChars="16"/>
              <w:rPr>
                <w:color w:val="auto"/>
                <w:szCs w:val="21"/>
                <w:highlight w:val="none"/>
              </w:rPr>
            </w:pPr>
            <w:r>
              <w:rPr>
                <w:color w:val="auto"/>
                <w:szCs w:val="21"/>
                <w:highlight w:val="none"/>
              </w:rPr>
              <w:t>进行整改直至合格；</w:t>
            </w:r>
          </w:p>
          <w:p>
            <w:pPr>
              <w:ind w:left="13" w:leftChars="6" w:right="34" w:rightChars="16"/>
              <w:rPr>
                <w:color w:val="auto"/>
                <w:szCs w:val="21"/>
                <w:highlight w:val="none"/>
              </w:rPr>
            </w:pPr>
          </w:p>
        </w:tc>
        <w:tc>
          <w:tcPr>
            <w:tcW w:w="2700" w:type="dxa"/>
            <w:vAlign w:val="center"/>
          </w:tcPr>
          <w:p>
            <w:pPr>
              <w:ind w:left="13" w:leftChars="6" w:right="34" w:rightChars="16"/>
              <w:rPr>
                <w:color w:val="auto"/>
                <w:szCs w:val="21"/>
                <w:highlight w:val="none"/>
              </w:rPr>
            </w:pPr>
            <w:r>
              <w:rPr>
                <w:color w:val="auto"/>
                <w:szCs w:val="21"/>
                <w:highlight w:val="none"/>
              </w:rPr>
              <w:t>产生恶劣影响的扣款10000元/次；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0" w:type="dxa"/>
            <w:vAlign w:val="center"/>
          </w:tcPr>
          <w:p>
            <w:pPr>
              <w:ind w:right="34" w:rightChars="16"/>
              <w:jc w:val="center"/>
              <w:rPr>
                <w:b/>
                <w:color w:val="auto"/>
                <w:szCs w:val="21"/>
                <w:highlight w:val="none"/>
              </w:rPr>
            </w:pPr>
            <w:r>
              <w:rPr>
                <w:b/>
                <w:color w:val="auto"/>
                <w:szCs w:val="21"/>
                <w:highlight w:val="none"/>
              </w:rPr>
              <w:t>25</w:t>
            </w:r>
          </w:p>
        </w:tc>
        <w:tc>
          <w:tcPr>
            <w:tcW w:w="4140" w:type="dxa"/>
            <w:vAlign w:val="center"/>
          </w:tcPr>
          <w:p>
            <w:pPr>
              <w:ind w:left="13" w:leftChars="6" w:right="34" w:rightChars="16"/>
              <w:rPr>
                <w:color w:val="auto"/>
                <w:szCs w:val="21"/>
                <w:highlight w:val="none"/>
              </w:rPr>
            </w:pPr>
            <w:r>
              <w:rPr>
                <w:color w:val="auto"/>
                <w:szCs w:val="21"/>
                <w:highlight w:val="none"/>
              </w:rPr>
              <w:t xml:space="preserve">若发现质量事故、安全事故、重大质量事 </w:t>
            </w:r>
          </w:p>
          <w:p>
            <w:pPr>
              <w:ind w:left="13" w:leftChars="6" w:right="34" w:rightChars="16"/>
              <w:rPr>
                <w:color w:val="auto"/>
                <w:szCs w:val="21"/>
                <w:highlight w:val="none"/>
              </w:rPr>
            </w:pPr>
            <w:r>
              <w:rPr>
                <w:color w:val="auto"/>
                <w:szCs w:val="21"/>
                <w:highlight w:val="none"/>
              </w:rPr>
              <w:t xml:space="preserve">故或人生伤害等重大安全事故的危险源， </w:t>
            </w:r>
          </w:p>
          <w:p>
            <w:pPr>
              <w:ind w:left="13" w:leftChars="6" w:right="34" w:rightChars="16"/>
              <w:rPr>
                <w:color w:val="auto"/>
                <w:szCs w:val="21"/>
                <w:highlight w:val="none"/>
              </w:rPr>
            </w:pPr>
            <w:r>
              <w:rPr>
                <w:color w:val="auto"/>
                <w:szCs w:val="21"/>
                <w:highlight w:val="none"/>
              </w:rPr>
              <w:t>承包人应马上停工，立即整改</w:t>
            </w:r>
            <w:r>
              <w:rPr>
                <w:rFonts w:hint="eastAsia"/>
                <w:color w:val="auto"/>
                <w:szCs w:val="21"/>
                <w:highlight w:val="none"/>
              </w:rPr>
              <w:t>。</w:t>
            </w:r>
          </w:p>
          <w:p>
            <w:pPr>
              <w:ind w:left="13" w:leftChars="6" w:right="34" w:rightChars="16"/>
              <w:rPr>
                <w:color w:val="auto"/>
                <w:szCs w:val="21"/>
                <w:highlight w:val="none"/>
              </w:rPr>
            </w:pPr>
          </w:p>
        </w:tc>
        <w:tc>
          <w:tcPr>
            <w:tcW w:w="2700" w:type="dxa"/>
            <w:vAlign w:val="center"/>
          </w:tcPr>
          <w:p>
            <w:pPr>
              <w:ind w:left="13" w:leftChars="6" w:right="34" w:rightChars="16"/>
              <w:rPr>
                <w:color w:val="auto"/>
                <w:szCs w:val="21"/>
                <w:highlight w:val="none"/>
              </w:rPr>
            </w:pPr>
            <w:r>
              <w:rPr>
                <w:color w:val="auto"/>
                <w:szCs w:val="21"/>
                <w:highlight w:val="none"/>
              </w:rPr>
              <w:t>需在 3 天内整改完成，如未在期限内整改完成，对承包人每天处以 5000-10000 元 违约扣款，如不整改或未整改完善就进场施工的，发包 人有权停止支付工程款，并视情处以 5-20 万元违约扣款。 同时发包人有权邀请第三 方进场消除危险源，产生的 费用从承包人工程款中扣除。</w:t>
            </w:r>
          </w:p>
          <w:p>
            <w:pPr>
              <w:ind w:left="13" w:leftChars="6" w:right="34" w:rightChars="16"/>
              <w:rPr>
                <w:color w:val="auto"/>
                <w:szCs w:val="21"/>
                <w:highlight w:val="none"/>
              </w:rPr>
            </w:pPr>
          </w:p>
        </w:tc>
        <w:tc>
          <w:tcPr>
            <w:tcW w:w="2700" w:type="dxa"/>
            <w:vAlign w:val="center"/>
          </w:tcPr>
          <w:p>
            <w:pPr>
              <w:ind w:left="13" w:leftChars="6" w:right="34" w:rightChars="16"/>
              <w:rPr>
                <w:color w:val="auto"/>
                <w:szCs w:val="21"/>
                <w:highlight w:val="none"/>
              </w:rPr>
            </w:pPr>
          </w:p>
        </w:tc>
      </w:tr>
    </w:tbl>
    <w:p>
      <w:pPr>
        <w:spacing w:line="360" w:lineRule="auto"/>
        <w:ind w:right="34" w:rightChars="16"/>
        <w:rPr>
          <w:b/>
          <w:color w:val="auto"/>
          <w:sz w:val="24"/>
          <w:highlight w:val="none"/>
        </w:rPr>
      </w:pPr>
    </w:p>
    <w:p>
      <w:pPr>
        <w:spacing w:line="360" w:lineRule="auto"/>
        <w:ind w:right="34" w:rightChars="16"/>
        <w:rPr>
          <w:b/>
          <w:color w:val="auto"/>
          <w:sz w:val="24"/>
          <w:highlight w:val="none"/>
        </w:rPr>
      </w:pPr>
      <w:r>
        <w:rPr>
          <w:b/>
          <w:color w:val="auto"/>
          <w:sz w:val="24"/>
          <w:highlight w:val="none"/>
        </w:rPr>
        <w:t>三、现场施工质量管理</w:t>
      </w:r>
    </w:p>
    <w:tbl>
      <w:tblPr>
        <w:tblStyle w:val="17"/>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40"/>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20" w:type="dxa"/>
            <w:vAlign w:val="center"/>
          </w:tcPr>
          <w:p>
            <w:pPr>
              <w:ind w:right="34" w:rightChars="16"/>
              <w:rPr>
                <w:b/>
                <w:color w:val="auto"/>
                <w:szCs w:val="21"/>
                <w:highlight w:val="none"/>
              </w:rPr>
            </w:pPr>
            <w:r>
              <w:rPr>
                <w:b/>
                <w:color w:val="auto"/>
                <w:szCs w:val="21"/>
                <w:highlight w:val="none"/>
              </w:rPr>
              <w:t>1</w:t>
            </w:r>
          </w:p>
        </w:tc>
        <w:tc>
          <w:tcPr>
            <w:tcW w:w="4140" w:type="dxa"/>
            <w:vAlign w:val="center"/>
          </w:tcPr>
          <w:p>
            <w:pPr>
              <w:ind w:left="13" w:leftChars="6" w:right="34" w:rightChars="16"/>
              <w:rPr>
                <w:color w:val="auto"/>
                <w:szCs w:val="21"/>
                <w:highlight w:val="none"/>
              </w:rPr>
            </w:pPr>
            <w:r>
              <w:rPr>
                <w:color w:val="auto"/>
                <w:szCs w:val="21"/>
                <w:highlight w:val="none"/>
              </w:rPr>
              <w:t>承包人应建立健全质量生产责任体系，按规定建立质量生产管理机构，在整个工程实施过程中，承包人承诺成立项目部，项目部主要人员（项目经理、施工员）每个工作日都驻现场</w:t>
            </w:r>
            <w:r>
              <w:rPr>
                <w:rFonts w:hint="eastAsia"/>
                <w:color w:val="auto"/>
                <w:szCs w:val="21"/>
                <w:highlight w:val="none"/>
              </w:rPr>
              <w:t>；</w:t>
            </w:r>
          </w:p>
        </w:tc>
        <w:tc>
          <w:tcPr>
            <w:tcW w:w="2700" w:type="dxa"/>
            <w:vAlign w:val="center"/>
          </w:tcPr>
          <w:p>
            <w:pPr>
              <w:ind w:right="34" w:rightChars="16"/>
              <w:rPr>
                <w:color w:val="auto"/>
                <w:szCs w:val="21"/>
                <w:highlight w:val="none"/>
              </w:rPr>
            </w:pPr>
            <w:r>
              <w:rPr>
                <w:color w:val="auto"/>
                <w:szCs w:val="21"/>
                <w:highlight w:val="none"/>
              </w:rPr>
              <w:t>主要管理人员不到岗履职、缺岗，</w:t>
            </w:r>
            <w:r>
              <w:rPr>
                <w:bCs/>
                <w:color w:val="auto"/>
                <w:szCs w:val="21"/>
                <w:highlight w:val="none"/>
              </w:rPr>
              <w:t>违者扣款2000/次；</w:t>
            </w:r>
          </w:p>
        </w:tc>
        <w:tc>
          <w:tcPr>
            <w:tcW w:w="2700" w:type="dxa"/>
            <w:vAlign w:val="center"/>
          </w:tcPr>
          <w:p>
            <w:pPr>
              <w:ind w:right="34" w:rightChars="16"/>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20" w:type="dxa"/>
            <w:vAlign w:val="center"/>
          </w:tcPr>
          <w:p>
            <w:pPr>
              <w:ind w:right="34" w:rightChars="16"/>
              <w:rPr>
                <w:b/>
                <w:color w:val="auto"/>
                <w:szCs w:val="21"/>
                <w:highlight w:val="none"/>
              </w:rPr>
            </w:pPr>
            <w:r>
              <w:rPr>
                <w:b/>
                <w:color w:val="auto"/>
                <w:szCs w:val="21"/>
                <w:highlight w:val="none"/>
              </w:rPr>
              <w:t>2</w:t>
            </w:r>
          </w:p>
        </w:tc>
        <w:tc>
          <w:tcPr>
            <w:tcW w:w="4140" w:type="dxa"/>
            <w:vAlign w:val="center"/>
          </w:tcPr>
          <w:p>
            <w:pPr>
              <w:ind w:left="13" w:leftChars="6" w:right="34" w:rightChars="16"/>
              <w:rPr>
                <w:color w:val="auto"/>
                <w:szCs w:val="21"/>
                <w:highlight w:val="none"/>
              </w:rPr>
            </w:pPr>
            <w:r>
              <w:rPr>
                <w:color w:val="auto"/>
                <w:szCs w:val="21"/>
                <w:highlight w:val="none"/>
              </w:rPr>
              <w:t>承包人要服从监理单位、建设单位的管理，对监理单位、建设单位下达的通知单、联系单、暂停令、扣款单等指令文件，要按时、保质、保量地执行，决不允许拒收。如有异议可向监理单位书面反馈</w:t>
            </w:r>
            <w:r>
              <w:rPr>
                <w:rFonts w:hint="eastAsia"/>
                <w:color w:val="auto"/>
                <w:szCs w:val="21"/>
                <w:highlight w:val="none"/>
              </w:rPr>
              <w:t>；</w:t>
            </w:r>
          </w:p>
        </w:tc>
        <w:tc>
          <w:tcPr>
            <w:tcW w:w="2700" w:type="dxa"/>
            <w:vAlign w:val="center"/>
          </w:tcPr>
          <w:p>
            <w:pPr>
              <w:ind w:right="34" w:rightChars="16"/>
              <w:rPr>
                <w:color w:val="auto"/>
                <w:szCs w:val="21"/>
                <w:highlight w:val="none"/>
              </w:rPr>
            </w:pPr>
            <w:r>
              <w:rPr>
                <w:color w:val="auto"/>
                <w:szCs w:val="21"/>
                <w:highlight w:val="none"/>
              </w:rPr>
              <w:t>无正当理由拒不执行的每次扣款5000元。产生恶劣影响的扣款10000元；</w:t>
            </w:r>
          </w:p>
        </w:tc>
        <w:tc>
          <w:tcPr>
            <w:tcW w:w="2700" w:type="dxa"/>
            <w:vAlign w:val="center"/>
          </w:tcPr>
          <w:p>
            <w:pPr>
              <w:ind w:right="34" w:rightChars="16"/>
              <w:rPr>
                <w:color w:val="auto"/>
                <w:szCs w:val="21"/>
                <w:highlight w:val="none"/>
              </w:rPr>
            </w:pPr>
            <w:r>
              <w:rPr>
                <w:color w:val="auto"/>
                <w:szCs w:val="21"/>
                <w:highlight w:val="none"/>
              </w:rPr>
              <w:t>情节严重的清除出场；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20" w:type="dxa"/>
            <w:vAlign w:val="center"/>
          </w:tcPr>
          <w:p>
            <w:pPr>
              <w:ind w:right="34" w:rightChars="16"/>
              <w:rPr>
                <w:bCs/>
                <w:color w:val="auto"/>
                <w:szCs w:val="21"/>
                <w:highlight w:val="none"/>
              </w:rPr>
            </w:pPr>
            <w:r>
              <w:rPr>
                <w:bCs/>
                <w:color w:val="auto"/>
                <w:szCs w:val="21"/>
                <w:highlight w:val="none"/>
              </w:rPr>
              <w:t>3</w:t>
            </w:r>
          </w:p>
        </w:tc>
        <w:tc>
          <w:tcPr>
            <w:tcW w:w="4140" w:type="dxa"/>
            <w:vAlign w:val="center"/>
          </w:tcPr>
          <w:p>
            <w:pPr>
              <w:ind w:left="13" w:leftChars="6" w:right="34" w:rightChars="16"/>
              <w:rPr>
                <w:bCs/>
                <w:color w:val="auto"/>
                <w:szCs w:val="21"/>
                <w:highlight w:val="none"/>
              </w:rPr>
            </w:pPr>
            <w:r>
              <w:rPr>
                <w:color w:val="auto"/>
                <w:szCs w:val="21"/>
                <w:highlight w:val="none"/>
              </w:rPr>
              <w:t>承包人应编制并实施施工方案，按规定进行技术交底，严格按审查合格的施工图设计文件进行施工，不得擅自修改设计文件；</w:t>
            </w:r>
          </w:p>
        </w:tc>
        <w:tc>
          <w:tcPr>
            <w:tcW w:w="2700" w:type="dxa"/>
            <w:vAlign w:val="center"/>
          </w:tcPr>
          <w:p>
            <w:pPr>
              <w:ind w:right="34" w:rightChars="16"/>
              <w:rPr>
                <w:bCs/>
                <w:color w:val="auto"/>
                <w:szCs w:val="21"/>
                <w:highlight w:val="none"/>
              </w:rPr>
            </w:pPr>
            <w:r>
              <w:rPr>
                <w:bCs/>
                <w:color w:val="auto"/>
                <w:szCs w:val="21"/>
                <w:highlight w:val="none"/>
              </w:rPr>
              <w:t>违者扣款5000/次；</w:t>
            </w:r>
          </w:p>
        </w:tc>
        <w:tc>
          <w:tcPr>
            <w:tcW w:w="2700" w:type="dxa"/>
            <w:vAlign w:val="center"/>
          </w:tcPr>
          <w:p>
            <w:pPr>
              <w:ind w:right="34" w:rightChars="16"/>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20" w:type="dxa"/>
            <w:vAlign w:val="center"/>
          </w:tcPr>
          <w:p>
            <w:pPr>
              <w:ind w:right="34" w:rightChars="16"/>
              <w:rPr>
                <w:bCs/>
                <w:color w:val="auto"/>
                <w:szCs w:val="21"/>
                <w:highlight w:val="none"/>
              </w:rPr>
            </w:pPr>
            <w:r>
              <w:rPr>
                <w:bCs/>
                <w:color w:val="auto"/>
                <w:szCs w:val="21"/>
                <w:highlight w:val="none"/>
              </w:rPr>
              <w:t>4</w:t>
            </w:r>
          </w:p>
        </w:tc>
        <w:tc>
          <w:tcPr>
            <w:tcW w:w="4140" w:type="dxa"/>
            <w:vAlign w:val="center"/>
          </w:tcPr>
          <w:p>
            <w:pPr>
              <w:ind w:left="13" w:leftChars="6" w:right="34" w:rightChars="16"/>
              <w:rPr>
                <w:color w:val="auto"/>
                <w:szCs w:val="21"/>
                <w:highlight w:val="none"/>
              </w:rPr>
            </w:pPr>
            <w:r>
              <w:rPr>
                <w:color w:val="auto"/>
                <w:szCs w:val="21"/>
                <w:highlight w:val="none"/>
              </w:rPr>
              <w:t>承包人应严格按施工技术标准进行施工，承诺工程质量达到约定工程质量标准；</w:t>
            </w:r>
          </w:p>
        </w:tc>
        <w:tc>
          <w:tcPr>
            <w:tcW w:w="2700" w:type="dxa"/>
            <w:vAlign w:val="center"/>
          </w:tcPr>
          <w:p>
            <w:pPr>
              <w:ind w:right="34" w:rightChars="16"/>
              <w:rPr>
                <w:bCs/>
                <w:color w:val="auto"/>
                <w:szCs w:val="21"/>
                <w:highlight w:val="none"/>
              </w:rPr>
            </w:pPr>
            <w:r>
              <w:rPr>
                <w:color w:val="auto"/>
                <w:szCs w:val="21"/>
                <w:highlight w:val="none"/>
              </w:rPr>
              <w:t>达不到约定质量标准的</w:t>
            </w:r>
            <w:r>
              <w:rPr>
                <w:bCs/>
                <w:color w:val="auto"/>
                <w:szCs w:val="21"/>
                <w:highlight w:val="none"/>
              </w:rPr>
              <w:t>违者扣款5000/次；</w:t>
            </w:r>
            <w:r>
              <w:rPr>
                <w:color w:val="auto"/>
                <w:szCs w:val="21"/>
                <w:highlight w:val="none"/>
              </w:rPr>
              <w:t>并自费返工至约定质量标准。产生恶劣影响的扣款10000元/次；</w:t>
            </w:r>
          </w:p>
        </w:tc>
        <w:tc>
          <w:tcPr>
            <w:tcW w:w="2700" w:type="dxa"/>
            <w:vAlign w:val="center"/>
          </w:tcPr>
          <w:p>
            <w:pPr>
              <w:ind w:right="34" w:rightChars="16"/>
              <w:rPr>
                <w:bCs/>
                <w:color w:val="auto"/>
                <w:szCs w:val="21"/>
                <w:highlight w:val="none"/>
              </w:rPr>
            </w:pPr>
            <w:r>
              <w:rPr>
                <w:color w:val="auto"/>
                <w:szCs w:val="21"/>
                <w:highlight w:val="none"/>
              </w:rPr>
              <w:t>未在发包人规定的整改时限内解决的，支付每次1万元的罚款。经返工工程质量仍达不到约定质量标准的，发包人有权清场，再另行聘请第三方进场施工该部分工程；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20" w:type="dxa"/>
            <w:vAlign w:val="center"/>
          </w:tcPr>
          <w:p>
            <w:pPr>
              <w:ind w:right="34" w:rightChars="16"/>
              <w:rPr>
                <w:b/>
                <w:color w:val="auto"/>
                <w:szCs w:val="21"/>
                <w:highlight w:val="none"/>
              </w:rPr>
            </w:pPr>
            <w:r>
              <w:rPr>
                <w:b/>
                <w:color w:val="auto"/>
                <w:szCs w:val="21"/>
                <w:highlight w:val="none"/>
              </w:rPr>
              <w:t>5</w:t>
            </w:r>
          </w:p>
        </w:tc>
        <w:tc>
          <w:tcPr>
            <w:tcW w:w="4140" w:type="dxa"/>
            <w:vAlign w:val="center"/>
          </w:tcPr>
          <w:p>
            <w:pPr>
              <w:ind w:left="13" w:leftChars="6" w:right="34" w:rightChars="16"/>
              <w:rPr>
                <w:bCs/>
                <w:color w:val="auto"/>
                <w:szCs w:val="21"/>
                <w:highlight w:val="none"/>
              </w:rPr>
            </w:pPr>
            <w:r>
              <w:rPr>
                <w:bCs/>
                <w:color w:val="auto"/>
                <w:szCs w:val="21"/>
                <w:highlight w:val="none"/>
              </w:rPr>
              <w:t>上道工序未经监理验收合格不得进行下道工序施工；</w:t>
            </w:r>
          </w:p>
        </w:tc>
        <w:tc>
          <w:tcPr>
            <w:tcW w:w="2700" w:type="dxa"/>
            <w:vAlign w:val="center"/>
          </w:tcPr>
          <w:p>
            <w:pPr>
              <w:ind w:right="34" w:rightChars="16"/>
              <w:rPr>
                <w:bCs/>
                <w:color w:val="auto"/>
                <w:szCs w:val="21"/>
                <w:highlight w:val="none"/>
              </w:rPr>
            </w:pPr>
            <w:r>
              <w:rPr>
                <w:bCs/>
                <w:color w:val="auto"/>
                <w:szCs w:val="21"/>
                <w:highlight w:val="none"/>
              </w:rPr>
              <w:t>违者扣款2000/次；</w:t>
            </w:r>
          </w:p>
        </w:tc>
        <w:tc>
          <w:tcPr>
            <w:tcW w:w="2700" w:type="dxa"/>
            <w:vAlign w:val="center"/>
          </w:tcPr>
          <w:p>
            <w:pPr>
              <w:ind w:right="34" w:rightChars="16"/>
              <w:rPr>
                <w:color w:val="auto"/>
                <w:szCs w:val="21"/>
                <w:highlight w:val="none"/>
              </w:rPr>
            </w:pPr>
            <w:r>
              <w:rPr>
                <w:color w:val="auto"/>
                <w:szCs w:val="21"/>
                <w:highlight w:val="none"/>
              </w:rPr>
              <w:t>产生恶劣影响的扣款10000元/次；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20" w:type="dxa"/>
            <w:vAlign w:val="center"/>
          </w:tcPr>
          <w:p>
            <w:pPr>
              <w:ind w:right="34" w:rightChars="16"/>
              <w:rPr>
                <w:b/>
                <w:color w:val="auto"/>
                <w:szCs w:val="21"/>
                <w:highlight w:val="none"/>
              </w:rPr>
            </w:pPr>
            <w:r>
              <w:rPr>
                <w:b/>
                <w:color w:val="auto"/>
                <w:szCs w:val="21"/>
                <w:highlight w:val="none"/>
              </w:rPr>
              <w:t>6</w:t>
            </w:r>
          </w:p>
        </w:tc>
        <w:tc>
          <w:tcPr>
            <w:tcW w:w="4140" w:type="dxa"/>
            <w:vAlign w:val="center"/>
          </w:tcPr>
          <w:p>
            <w:pPr>
              <w:ind w:right="34" w:rightChars="16"/>
              <w:jc w:val="left"/>
              <w:rPr>
                <w:color w:val="auto"/>
                <w:szCs w:val="21"/>
                <w:highlight w:val="none"/>
              </w:rPr>
            </w:pPr>
            <w:r>
              <w:rPr>
                <w:color w:val="auto"/>
                <w:szCs w:val="21"/>
                <w:highlight w:val="none"/>
              </w:rPr>
              <w:t>原材料进场要符合招、投标品牌和型号要求，必须有出厂合格证、质保书等，无证不准进场；</w:t>
            </w:r>
          </w:p>
        </w:tc>
        <w:tc>
          <w:tcPr>
            <w:tcW w:w="2700" w:type="dxa"/>
            <w:vAlign w:val="center"/>
          </w:tcPr>
          <w:p>
            <w:pPr>
              <w:ind w:right="34" w:rightChars="16"/>
              <w:jc w:val="center"/>
              <w:rPr>
                <w:color w:val="auto"/>
                <w:szCs w:val="21"/>
                <w:highlight w:val="none"/>
              </w:rPr>
            </w:pPr>
            <w:r>
              <w:rPr>
                <w:color w:val="auto"/>
                <w:szCs w:val="21"/>
                <w:highlight w:val="none"/>
              </w:rPr>
              <w:t>违者将材料清理出现场，并扣款5000元/次；</w:t>
            </w:r>
          </w:p>
        </w:tc>
        <w:tc>
          <w:tcPr>
            <w:tcW w:w="2700" w:type="dxa"/>
          </w:tcPr>
          <w:p>
            <w:pPr>
              <w:ind w:right="34" w:rightChars="16"/>
              <w:rPr>
                <w:color w:val="auto"/>
                <w:szCs w:val="21"/>
                <w:highlight w:val="none"/>
              </w:rPr>
            </w:pPr>
            <w:r>
              <w:rPr>
                <w:color w:val="auto"/>
                <w:szCs w:val="21"/>
                <w:highlight w:val="none"/>
              </w:rPr>
              <w:t>已使用的，无条件拆除，并对监理单位进行2000元/次扣款；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20" w:type="dxa"/>
            <w:vAlign w:val="center"/>
          </w:tcPr>
          <w:p>
            <w:pPr>
              <w:ind w:right="34" w:rightChars="16"/>
              <w:rPr>
                <w:b/>
                <w:color w:val="auto"/>
                <w:szCs w:val="21"/>
                <w:highlight w:val="none"/>
              </w:rPr>
            </w:pPr>
            <w:r>
              <w:rPr>
                <w:b/>
                <w:color w:val="auto"/>
                <w:szCs w:val="21"/>
                <w:highlight w:val="none"/>
              </w:rPr>
              <w:t>7</w:t>
            </w:r>
          </w:p>
        </w:tc>
        <w:tc>
          <w:tcPr>
            <w:tcW w:w="4140" w:type="dxa"/>
            <w:vAlign w:val="center"/>
          </w:tcPr>
          <w:p>
            <w:pPr>
              <w:ind w:right="34" w:rightChars="16"/>
              <w:jc w:val="center"/>
              <w:rPr>
                <w:color w:val="auto"/>
                <w:szCs w:val="21"/>
                <w:highlight w:val="none"/>
              </w:rPr>
            </w:pPr>
            <w:r>
              <w:rPr>
                <w:color w:val="auto"/>
                <w:szCs w:val="21"/>
                <w:highlight w:val="none"/>
              </w:rPr>
              <w:t>原材料进场后必须按规定进行见证取样送检，复试报告未出来或检验不合格的不得使用；</w:t>
            </w:r>
          </w:p>
        </w:tc>
        <w:tc>
          <w:tcPr>
            <w:tcW w:w="2700" w:type="dxa"/>
            <w:vAlign w:val="center"/>
          </w:tcPr>
          <w:p>
            <w:pPr>
              <w:ind w:right="34" w:rightChars="16"/>
              <w:jc w:val="center"/>
              <w:rPr>
                <w:color w:val="auto"/>
                <w:szCs w:val="21"/>
                <w:highlight w:val="none"/>
              </w:rPr>
            </w:pPr>
            <w:r>
              <w:rPr>
                <w:color w:val="auto"/>
                <w:szCs w:val="21"/>
                <w:highlight w:val="none"/>
              </w:rPr>
              <w:t>违者扣款5000元/次；产生恶劣影响的扣款10000元/次；</w:t>
            </w:r>
          </w:p>
        </w:tc>
        <w:tc>
          <w:tcPr>
            <w:tcW w:w="2700" w:type="dxa"/>
          </w:tcPr>
          <w:p>
            <w:pPr>
              <w:ind w:right="34" w:rightChars="16"/>
              <w:rPr>
                <w:color w:val="auto"/>
                <w:szCs w:val="21"/>
                <w:highlight w:val="none"/>
              </w:rPr>
            </w:pPr>
            <w:r>
              <w:rPr>
                <w:color w:val="auto"/>
                <w:szCs w:val="21"/>
                <w:highlight w:val="none"/>
              </w:rPr>
              <w:t>并拆除擅自使用的材料，发生的一切费用由施工单位承担。擅自使用复试不合格的材料并对监理单位进行2000元/次扣款；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20" w:type="dxa"/>
            <w:vAlign w:val="center"/>
          </w:tcPr>
          <w:p>
            <w:pPr>
              <w:ind w:right="34" w:rightChars="16"/>
              <w:rPr>
                <w:b/>
                <w:color w:val="auto"/>
                <w:szCs w:val="21"/>
                <w:highlight w:val="none"/>
              </w:rPr>
            </w:pPr>
            <w:r>
              <w:rPr>
                <w:b/>
                <w:color w:val="auto"/>
                <w:szCs w:val="21"/>
                <w:highlight w:val="none"/>
              </w:rPr>
              <w:t>8</w:t>
            </w:r>
          </w:p>
        </w:tc>
        <w:tc>
          <w:tcPr>
            <w:tcW w:w="4140" w:type="dxa"/>
            <w:vAlign w:val="center"/>
          </w:tcPr>
          <w:p>
            <w:pPr>
              <w:ind w:right="34" w:rightChars="16"/>
              <w:rPr>
                <w:color w:val="auto"/>
                <w:szCs w:val="21"/>
                <w:highlight w:val="none"/>
              </w:rPr>
            </w:pPr>
            <w:r>
              <w:rPr>
                <w:color w:val="auto"/>
                <w:szCs w:val="21"/>
                <w:highlight w:val="none"/>
              </w:rPr>
              <w:t>承包人应制定分项工程和检验批的划分方案并报经监理审核，按规定做好检验批、分项工程、分部工程、单位工程的质量自检及报验工作；</w:t>
            </w:r>
          </w:p>
        </w:tc>
        <w:tc>
          <w:tcPr>
            <w:tcW w:w="2700" w:type="dxa"/>
            <w:vAlign w:val="center"/>
          </w:tcPr>
          <w:p>
            <w:pPr>
              <w:ind w:right="34" w:rightChars="16"/>
              <w:rPr>
                <w:color w:val="auto"/>
                <w:szCs w:val="21"/>
                <w:highlight w:val="none"/>
              </w:rPr>
            </w:pPr>
            <w:r>
              <w:rPr>
                <w:color w:val="auto"/>
                <w:szCs w:val="21"/>
                <w:highlight w:val="none"/>
              </w:rPr>
              <w:t>未按规定履行验收程序的违者扣款5000元/次；</w:t>
            </w:r>
          </w:p>
        </w:tc>
        <w:tc>
          <w:tcPr>
            <w:tcW w:w="2700" w:type="dxa"/>
            <w:vAlign w:val="center"/>
          </w:tcPr>
          <w:p>
            <w:pPr>
              <w:ind w:right="34" w:rightChars="16"/>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20" w:type="dxa"/>
            <w:vAlign w:val="center"/>
          </w:tcPr>
          <w:p>
            <w:pPr>
              <w:ind w:right="34" w:rightChars="16"/>
              <w:rPr>
                <w:b/>
                <w:color w:val="auto"/>
                <w:szCs w:val="21"/>
                <w:highlight w:val="none"/>
              </w:rPr>
            </w:pPr>
            <w:r>
              <w:rPr>
                <w:b/>
                <w:color w:val="auto"/>
                <w:szCs w:val="21"/>
                <w:highlight w:val="none"/>
              </w:rPr>
              <w:t>9</w:t>
            </w:r>
          </w:p>
        </w:tc>
        <w:tc>
          <w:tcPr>
            <w:tcW w:w="4140" w:type="dxa"/>
            <w:vAlign w:val="center"/>
          </w:tcPr>
          <w:p>
            <w:pPr>
              <w:ind w:left="13" w:leftChars="6" w:right="34" w:rightChars="16"/>
              <w:rPr>
                <w:color w:val="auto"/>
                <w:szCs w:val="21"/>
                <w:highlight w:val="none"/>
              </w:rPr>
            </w:pPr>
            <w:r>
              <w:rPr>
                <w:color w:val="auto"/>
                <w:szCs w:val="21"/>
                <w:highlight w:val="none"/>
              </w:rPr>
              <w:t>要做好成品保护工作；</w:t>
            </w:r>
          </w:p>
        </w:tc>
        <w:tc>
          <w:tcPr>
            <w:tcW w:w="2700" w:type="dxa"/>
            <w:vAlign w:val="center"/>
          </w:tcPr>
          <w:p>
            <w:pPr>
              <w:ind w:right="34" w:rightChars="16"/>
              <w:rPr>
                <w:color w:val="auto"/>
                <w:szCs w:val="21"/>
                <w:highlight w:val="none"/>
              </w:rPr>
            </w:pPr>
            <w:r>
              <w:rPr>
                <w:color w:val="auto"/>
                <w:szCs w:val="21"/>
                <w:highlight w:val="none"/>
              </w:rPr>
              <w:t>一经查实，除损坏的材料和人工工资由其负责承担外，视情况扣款2000—5000元。产生恶劣影响的扣款10000元/次；</w:t>
            </w:r>
          </w:p>
        </w:tc>
        <w:tc>
          <w:tcPr>
            <w:tcW w:w="2700" w:type="dxa"/>
            <w:vAlign w:val="center"/>
          </w:tcPr>
          <w:p>
            <w:pPr>
              <w:ind w:right="34" w:rightChars="16"/>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20" w:type="dxa"/>
            <w:vAlign w:val="center"/>
          </w:tcPr>
          <w:p>
            <w:pPr>
              <w:ind w:right="34" w:rightChars="16" w:firstLine="103" w:firstLineChars="49"/>
              <w:rPr>
                <w:b/>
                <w:color w:val="auto"/>
                <w:szCs w:val="21"/>
                <w:highlight w:val="none"/>
              </w:rPr>
            </w:pPr>
            <w:r>
              <w:rPr>
                <w:b/>
                <w:color w:val="auto"/>
                <w:szCs w:val="21"/>
                <w:highlight w:val="none"/>
              </w:rPr>
              <w:t>10</w:t>
            </w:r>
          </w:p>
        </w:tc>
        <w:tc>
          <w:tcPr>
            <w:tcW w:w="4140" w:type="dxa"/>
            <w:vAlign w:val="center"/>
          </w:tcPr>
          <w:p>
            <w:pPr>
              <w:ind w:right="34" w:rightChars="16"/>
              <w:rPr>
                <w:color w:val="auto"/>
                <w:szCs w:val="21"/>
                <w:highlight w:val="none"/>
              </w:rPr>
            </w:pPr>
            <w:r>
              <w:rPr>
                <w:color w:val="auto"/>
                <w:szCs w:val="21"/>
                <w:highlight w:val="none"/>
              </w:rPr>
              <w:t>按照专业管线单元要求对损坏管道进行修复，修复作业通过专业管线部门验收后方可进行后续施工；</w:t>
            </w:r>
          </w:p>
        </w:tc>
        <w:tc>
          <w:tcPr>
            <w:tcW w:w="2700" w:type="dxa"/>
            <w:vAlign w:val="center"/>
          </w:tcPr>
          <w:p>
            <w:pPr>
              <w:ind w:right="34" w:rightChars="16"/>
              <w:rPr>
                <w:bCs/>
                <w:color w:val="auto"/>
                <w:szCs w:val="21"/>
                <w:highlight w:val="none"/>
              </w:rPr>
            </w:pPr>
            <w:r>
              <w:rPr>
                <w:bCs/>
                <w:color w:val="auto"/>
                <w:szCs w:val="21"/>
                <w:highlight w:val="none"/>
              </w:rPr>
              <w:t>不按要求修复即回填的，扣款3000元。</w:t>
            </w:r>
            <w:r>
              <w:rPr>
                <w:color w:val="auto"/>
                <w:szCs w:val="21"/>
                <w:highlight w:val="none"/>
              </w:rPr>
              <w:t>产生恶劣影响的扣款10000元/次；</w:t>
            </w:r>
          </w:p>
        </w:tc>
        <w:tc>
          <w:tcPr>
            <w:tcW w:w="2700" w:type="dxa"/>
            <w:vAlign w:val="center"/>
          </w:tcPr>
          <w:p>
            <w:pPr>
              <w:ind w:right="34" w:rightChars="16"/>
              <w:rPr>
                <w:color w:val="auto"/>
                <w:szCs w:val="21"/>
                <w:highlight w:val="none"/>
              </w:rPr>
            </w:pPr>
            <w:r>
              <w:rPr>
                <w:color w:val="auto"/>
                <w:szCs w:val="21"/>
                <w:highlight w:val="none"/>
              </w:rPr>
              <w:t>情节严重暂缓工程款支付；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0" w:type="dxa"/>
            <w:vAlign w:val="center"/>
          </w:tcPr>
          <w:p>
            <w:pPr>
              <w:ind w:right="34" w:rightChars="16" w:firstLine="103" w:firstLineChars="49"/>
              <w:rPr>
                <w:b/>
                <w:color w:val="auto"/>
                <w:szCs w:val="21"/>
                <w:highlight w:val="none"/>
              </w:rPr>
            </w:pPr>
            <w:r>
              <w:rPr>
                <w:b/>
                <w:color w:val="auto"/>
                <w:szCs w:val="21"/>
                <w:highlight w:val="none"/>
              </w:rPr>
              <w:t>11</w:t>
            </w:r>
          </w:p>
        </w:tc>
        <w:tc>
          <w:tcPr>
            <w:tcW w:w="4140" w:type="dxa"/>
            <w:vAlign w:val="center"/>
          </w:tcPr>
          <w:p>
            <w:pPr>
              <w:ind w:right="34" w:rightChars="16"/>
              <w:rPr>
                <w:color w:val="auto"/>
                <w:szCs w:val="21"/>
                <w:highlight w:val="none"/>
              </w:rPr>
            </w:pPr>
            <w:r>
              <w:rPr>
                <w:color w:val="auto"/>
                <w:szCs w:val="21"/>
                <w:highlight w:val="none"/>
              </w:rPr>
              <w:t>由于现场质量、安全等方面存在问题，而受到上级主管部门开具通报批评的；</w:t>
            </w:r>
          </w:p>
        </w:tc>
        <w:tc>
          <w:tcPr>
            <w:tcW w:w="2700" w:type="dxa"/>
            <w:vAlign w:val="center"/>
          </w:tcPr>
          <w:p>
            <w:pPr>
              <w:ind w:right="34" w:rightChars="16"/>
              <w:rPr>
                <w:color w:val="auto"/>
                <w:szCs w:val="21"/>
                <w:highlight w:val="none"/>
              </w:rPr>
            </w:pPr>
            <w:r>
              <w:rPr>
                <w:bCs/>
                <w:color w:val="auto"/>
                <w:szCs w:val="21"/>
                <w:highlight w:val="none"/>
              </w:rPr>
              <w:t>按照合同条款执行</w:t>
            </w:r>
            <w:r>
              <w:rPr>
                <w:color w:val="auto"/>
                <w:szCs w:val="21"/>
                <w:highlight w:val="none"/>
              </w:rPr>
              <w:t>；</w:t>
            </w:r>
          </w:p>
        </w:tc>
        <w:tc>
          <w:tcPr>
            <w:tcW w:w="2700" w:type="dxa"/>
            <w:vAlign w:val="center"/>
          </w:tcPr>
          <w:p>
            <w:pPr>
              <w:ind w:right="34" w:rightChars="16"/>
              <w:rPr>
                <w:color w:val="auto"/>
                <w:szCs w:val="21"/>
                <w:highlight w:val="none"/>
              </w:rPr>
            </w:pPr>
            <w:r>
              <w:rPr>
                <w:color w:val="auto"/>
                <w:szCs w:val="21"/>
                <w:highlight w:val="none"/>
              </w:rPr>
              <w:t>情节严重的清除出场；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0" w:type="dxa"/>
            <w:vAlign w:val="center"/>
          </w:tcPr>
          <w:p>
            <w:pPr>
              <w:ind w:right="34" w:rightChars="16" w:firstLine="103" w:firstLineChars="49"/>
              <w:rPr>
                <w:b/>
                <w:color w:val="auto"/>
                <w:szCs w:val="21"/>
                <w:highlight w:val="none"/>
              </w:rPr>
            </w:pPr>
            <w:r>
              <w:rPr>
                <w:b/>
                <w:color w:val="auto"/>
                <w:szCs w:val="21"/>
                <w:highlight w:val="none"/>
              </w:rPr>
              <w:t>12</w:t>
            </w:r>
          </w:p>
        </w:tc>
        <w:tc>
          <w:tcPr>
            <w:tcW w:w="4140" w:type="dxa"/>
          </w:tcPr>
          <w:p>
            <w:pPr>
              <w:ind w:right="34" w:rightChars="16"/>
              <w:rPr>
                <w:color w:val="auto"/>
                <w:szCs w:val="21"/>
                <w:highlight w:val="none"/>
              </w:rPr>
            </w:pPr>
            <w:r>
              <w:rPr>
                <w:color w:val="auto"/>
                <w:szCs w:val="21"/>
                <w:highlight w:val="none"/>
              </w:rPr>
              <w:t>现场凡牵涉到维修、更换类的，必须要附原状照片和维修过的对比影像资料备查；</w:t>
            </w:r>
          </w:p>
        </w:tc>
        <w:tc>
          <w:tcPr>
            <w:tcW w:w="2700" w:type="dxa"/>
            <w:vAlign w:val="center"/>
          </w:tcPr>
          <w:p>
            <w:pPr>
              <w:ind w:right="34" w:rightChars="16"/>
              <w:jc w:val="center"/>
              <w:rPr>
                <w:bCs/>
                <w:color w:val="auto"/>
                <w:szCs w:val="21"/>
                <w:highlight w:val="none"/>
              </w:rPr>
            </w:pPr>
            <w:r>
              <w:rPr>
                <w:color w:val="auto"/>
                <w:szCs w:val="21"/>
                <w:highlight w:val="none"/>
              </w:rPr>
              <w:t>违者扣款1000元/处；</w:t>
            </w:r>
          </w:p>
        </w:tc>
        <w:tc>
          <w:tcPr>
            <w:tcW w:w="2700" w:type="dxa"/>
            <w:vAlign w:val="center"/>
          </w:tcPr>
          <w:p>
            <w:pPr>
              <w:ind w:right="34" w:rightChars="16"/>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0" w:type="dxa"/>
            <w:vAlign w:val="center"/>
          </w:tcPr>
          <w:p>
            <w:pPr>
              <w:ind w:right="34" w:rightChars="16" w:firstLine="103" w:firstLineChars="49"/>
              <w:rPr>
                <w:b/>
                <w:color w:val="auto"/>
                <w:szCs w:val="21"/>
                <w:highlight w:val="none"/>
              </w:rPr>
            </w:pPr>
            <w:r>
              <w:rPr>
                <w:b/>
                <w:color w:val="auto"/>
                <w:szCs w:val="21"/>
                <w:highlight w:val="none"/>
              </w:rPr>
              <w:t>13</w:t>
            </w:r>
          </w:p>
        </w:tc>
        <w:tc>
          <w:tcPr>
            <w:tcW w:w="4140" w:type="dxa"/>
          </w:tcPr>
          <w:p>
            <w:pPr>
              <w:ind w:right="34" w:rightChars="16"/>
              <w:rPr>
                <w:color w:val="auto"/>
                <w:szCs w:val="21"/>
                <w:highlight w:val="none"/>
              </w:rPr>
            </w:pPr>
            <w:r>
              <w:rPr>
                <w:color w:val="auto"/>
                <w:szCs w:val="21"/>
                <w:highlight w:val="none"/>
              </w:rPr>
              <w:t>施工方违反规定进行绿化砍伐迁移的，一经举报或发现，将汇报上级主管部门按章处罚；</w:t>
            </w:r>
          </w:p>
        </w:tc>
        <w:tc>
          <w:tcPr>
            <w:tcW w:w="2700" w:type="dxa"/>
            <w:vAlign w:val="center"/>
          </w:tcPr>
          <w:p>
            <w:pPr>
              <w:ind w:right="34" w:rightChars="16"/>
              <w:jc w:val="center"/>
              <w:rPr>
                <w:color w:val="auto"/>
                <w:szCs w:val="21"/>
                <w:highlight w:val="none"/>
              </w:rPr>
            </w:pPr>
            <w:r>
              <w:rPr>
                <w:color w:val="auto"/>
                <w:szCs w:val="21"/>
                <w:highlight w:val="none"/>
              </w:rPr>
              <w:t>违者扣款5000元/次，产生恶劣影响的扣款10000元/次；</w:t>
            </w:r>
          </w:p>
        </w:tc>
        <w:tc>
          <w:tcPr>
            <w:tcW w:w="2700" w:type="dxa"/>
            <w:vAlign w:val="center"/>
          </w:tcPr>
          <w:p>
            <w:pPr>
              <w:ind w:right="34" w:rightChars="16"/>
              <w:rPr>
                <w:color w:val="auto"/>
                <w:szCs w:val="21"/>
                <w:highlight w:val="none"/>
              </w:rPr>
            </w:pPr>
            <w:r>
              <w:rPr>
                <w:color w:val="auto"/>
                <w:szCs w:val="21"/>
                <w:highlight w:val="none"/>
              </w:rPr>
              <w:t>同时接受行政主管部门处理；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720" w:type="dxa"/>
            <w:vAlign w:val="center"/>
          </w:tcPr>
          <w:p>
            <w:pPr>
              <w:ind w:right="34" w:rightChars="16" w:firstLine="103" w:firstLineChars="49"/>
              <w:rPr>
                <w:b/>
                <w:color w:val="auto"/>
                <w:szCs w:val="21"/>
                <w:highlight w:val="none"/>
              </w:rPr>
            </w:pPr>
            <w:r>
              <w:rPr>
                <w:b/>
                <w:color w:val="auto"/>
                <w:szCs w:val="21"/>
                <w:highlight w:val="none"/>
              </w:rPr>
              <w:t>14</w:t>
            </w:r>
          </w:p>
        </w:tc>
        <w:tc>
          <w:tcPr>
            <w:tcW w:w="4140" w:type="dxa"/>
          </w:tcPr>
          <w:p>
            <w:pPr>
              <w:ind w:right="34" w:rightChars="16"/>
              <w:rPr>
                <w:color w:val="auto"/>
                <w:szCs w:val="21"/>
                <w:highlight w:val="none"/>
              </w:rPr>
            </w:pPr>
            <w:r>
              <w:rPr>
                <w:color w:val="auto"/>
                <w:szCs w:val="21"/>
                <w:highlight w:val="none"/>
              </w:rPr>
              <w:t xml:space="preserve">合理安排现场各类施工机械和车辆进驻与合理摆放，不能在早晚高峰时与居民车辆行驶冲突人为形成小区拥堵； </w:t>
            </w:r>
          </w:p>
        </w:tc>
        <w:tc>
          <w:tcPr>
            <w:tcW w:w="2700" w:type="dxa"/>
            <w:vAlign w:val="center"/>
          </w:tcPr>
          <w:p>
            <w:pPr>
              <w:ind w:right="34" w:rightChars="16"/>
              <w:jc w:val="center"/>
              <w:rPr>
                <w:color w:val="auto"/>
                <w:szCs w:val="21"/>
                <w:highlight w:val="none"/>
              </w:rPr>
            </w:pPr>
            <w:r>
              <w:rPr>
                <w:color w:val="auto"/>
                <w:szCs w:val="21"/>
                <w:highlight w:val="none"/>
              </w:rPr>
              <w:t>违者扣款2000元/次，产生恶劣影响的扣款10000元/次；</w:t>
            </w:r>
          </w:p>
        </w:tc>
        <w:tc>
          <w:tcPr>
            <w:tcW w:w="2700" w:type="dxa"/>
            <w:vAlign w:val="center"/>
          </w:tcPr>
          <w:p>
            <w:pPr>
              <w:ind w:right="34" w:rightChars="16"/>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20" w:type="dxa"/>
            <w:vAlign w:val="center"/>
          </w:tcPr>
          <w:p>
            <w:pPr>
              <w:ind w:right="34" w:rightChars="16" w:firstLine="103" w:firstLineChars="49"/>
              <w:rPr>
                <w:b/>
                <w:color w:val="auto"/>
                <w:szCs w:val="21"/>
                <w:highlight w:val="none"/>
              </w:rPr>
            </w:pPr>
            <w:r>
              <w:rPr>
                <w:b/>
                <w:color w:val="auto"/>
                <w:szCs w:val="21"/>
                <w:highlight w:val="none"/>
              </w:rPr>
              <w:t>15</w:t>
            </w:r>
          </w:p>
        </w:tc>
        <w:tc>
          <w:tcPr>
            <w:tcW w:w="4140" w:type="dxa"/>
          </w:tcPr>
          <w:p>
            <w:pPr>
              <w:ind w:right="34" w:rightChars="16"/>
              <w:rPr>
                <w:color w:val="auto"/>
                <w:szCs w:val="21"/>
                <w:highlight w:val="none"/>
              </w:rPr>
            </w:pPr>
            <w:r>
              <w:rPr>
                <w:color w:val="auto"/>
                <w:szCs w:val="21"/>
                <w:highlight w:val="none"/>
              </w:rPr>
              <w:t>小区改造过程中，应配备一支可随时待命并具各专业人员的抢修队伍，一旦小区内有突发事件，应第一时间内赶赴现场立即处置紧急状况</w:t>
            </w:r>
            <w:r>
              <w:rPr>
                <w:rFonts w:hint="eastAsia"/>
                <w:color w:val="auto"/>
                <w:szCs w:val="21"/>
                <w:highlight w:val="none"/>
              </w:rPr>
              <w:t>。</w:t>
            </w:r>
          </w:p>
        </w:tc>
        <w:tc>
          <w:tcPr>
            <w:tcW w:w="2700" w:type="dxa"/>
            <w:vAlign w:val="center"/>
          </w:tcPr>
          <w:p>
            <w:pPr>
              <w:ind w:right="34" w:rightChars="16"/>
              <w:jc w:val="center"/>
              <w:rPr>
                <w:color w:val="auto"/>
                <w:szCs w:val="21"/>
                <w:highlight w:val="none"/>
              </w:rPr>
            </w:pPr>
            <w:r>
              <w:rPr>
                <w:color w:val="auto"/>
                <w:szCs w:val="21"/>
                <w:highlight w:val="none"/>
              </w:rPr>
              <w:t>处置不及时扣款2000元/次，产生恶劣影响的扣款10000元/次</w:t>
            </w:r>
            <w:r>
              <w:rPr>
                <w:rFonts w:hint="eastAsia"/>
                <w:color w:val="auto"/>
                <w:szCs w:val="21"/>
                <w:highlight w:val="none"/>
              </w:rPr>
              <w:t>。</w:t>
            </w:r>
          </w:p>
        </w:tc>
        <w:tc>
          <w:tcPr>
            <w:tcW w:w="2700" w:type="dxa"/>
            <w:vAlign w:val="center"/>
          </w:tcPr>
          <w:p>
            <w:pPr>
              <w:ind w:right="34" w:rightChars="16"/>
              <w:rPr>
                <w:color w:val="auto"/>
                <w:szCs w:val="21"/>
                <w:highlight w:val="none"/>
              </w:rPr>
            </w:pPr>
          </w:p>
        </w:tc>
      </w:tr>
    </w:tbl>
    <w:p>
      <w:pPr>
        <w:spacing w:line="360" w:lineRule="auto"/>
        <w:ind w:right="34" w:rightChars="16"/>
        <w:rPr>
          <w:b/>
          <w:color w:val="auto"/>
          <w:sz w:val="24"/>
          <w:highlight w:val="none"/>
        </w:rPr>
      </w:pPr>
    </w:p>
    <w:p>
      <w:pPr>
        <w:spacing w:line="360" w:lineRule="auto"/>
        <w:ind w:right="34" w:rightChars="16"/>
        <w:rPr>
          <w:b/>
          <w:color w:val="auto"/>
          <w:sz w:val="24"/>
          <w:highlight w:val="none"/>
        </w:rPr>
      </w:pPr>
      <w:r>
        <w:rPr>
          <w:b/>
          <w:color w:val="auto"/>
          <w:sz w:val="24"/>
          <w:highlight w:val="none"/>
        </w:rPr>
        <w:t>四、工程进度管理</w:t>
      </w:r>
    </w:p>
    <w:tbl>
      <w:tblPr>
        <w:tblStyle w:val="17"/>
        <w:tblW w:w="102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40"/>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ind w:right="34" w:rightChars="16"/>
              <w:jc w:val="center"/>
              <w:rPr>
                <w:b/>
                <w:color w:val="auto"/>
                <w:szCs w:val="21"/>
                <w:highlight w:val="none"/>
              </w:rPr>
            </w:pPr>
            <w:r>
              <w:rPr>
                <w:b/>
                <w:color w:val="auto"/>
                <w:szCs w:val="21"/>
                <w:highlight w:val="none"/>
              </w:rPr>
              <w:t>1</w:t>
            </w:r>
          </w:p>
        </w:tc>
        <w:tc>
          <w:tcPr>
            <w:tcW w:w="4140" w:type="dxa"/>
            <w:vAlign w:val="center"/>
          </w:tcPr>
          <w:p>
            <w:pPr>
              <w:ind w:right="34" w:rightChars="16"/>
              <w:jc w:val="left"/>
              <w:rPr>
                <w:color w:val="auto"/>
                <w:szCs w:val="21"/>
                <w:highlight w:val="none"/>
              </w:rPr>
            </w:pPr>
            <w:r>
              <w:rPr>
                <w:color w:val="auto"/>
                <w:szCs w:val="21"/>
                <w:highlight w:val="none"/>
              </w:rPr>
              <w:t>在工程开工前必须向监理单位报总进度计划；</w:t>
            </w:r>
          </w:p>
        </w:tc>
        <w:tc>
          <w:tcPr>
            <w:tcW w:w="2700" w:type="dxa"/>
            <w:vAlign w:val="center"/>
          </w:tcPr>
          <w:p>
            <w:pPr>
              <w:ind w:right="34" w:rightChars="16"/>
              <w:jc w:val="center"/>
              <w:rPr>
                <w:color w:val="auto"/>
                <w:szCs w:val="21"/>
                <w:highlight w:val="none"/>
              </w:rPr>
            </w:pPr>
            <w:r>
              <w:rPr>
                <w:color w:val="auto"/>
                <w:szCs w:val="21"/>
                <w:highlight w:val="none"/>
              </w:rPr>
              <w:t>否则处2000元违约金；</w:t>
            </w:r>
          </w:p>
        </w:tc>
        <w:tc>
          <w:tcPr>
            <w:tcW w:w="2700" w:type="dxa"/>
            <w:vAlign w:val="center"/>
          </w:tcPr>
          <w:p>
            <w:pPr>
              <w:spacing w:line="360" w:lineRule="auto"/>
              <w:ind w:right="34" w:rightChars="16"/>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ind w:right="34" w:rightChars="16"/>
              <w:jc w:val="center"/>
              <w:rPr>
                <w:b/>
                <w:color w:val="auto"/>
                <w:szCs w:val="21"/>
                <w:highlight w:val="none"/>
              </w:rPr>
            </w:pPr>
          </w:p>
          <w:p>
            <w:pPr>
              <w:spacing w:line="360" w:lineRule="auto"/>
              <w:ind w:right="34" w:rightChars="16"/>
              <w:jc w:val="center"/>
              <w:rPr>
                <w:b/>
                <w:color w:val="auto"/>
                <w:szCs w:val="21"/>
                <w:highlight w:val="none"/>
              </w:rPr>
            </w:pPr>
            <w:r>
              <w:rPr>
                <w:b/>
                <w:color w:val="auto"/>
                <w:szCs w:val="21"/>
                <w:highlight w:val="none"/>
              </w:rPr>
              <w:t>2</w:t>
            </w:r>
          </w:p>
        </w:tc>
        <w:tc>
          <w:tcPr>
            <w:tcW w:w="4140" w:type="dxa"/>
            <w:vAlign w:val="center"/>
          </w:tcPr>
          <w:p>
            <w:pPr>
              <w:ind w:right="34" w:rightChars="16"/>
              <w:jc w:val="left"/>
              <w:rPr>
                <w:color w:val="auto"/>
                <w:szCs w:val="21"/>
                <w:highlight w:val="none"/>
              </w:rPr>
            </w:pPr>
            <w:r>
              <w:rPr>
                <w:color w:val="auto"/>
                <w:szCs w:val="21"/>
                <w:highlight w:val="none"/>
              </w:rPr>
              <w:t>每周向建设、监理呈报本周工程计划完成情况报告及下周工程进度计划（附人员、机械配置情况）；</w:t>
            </w:r>
          </w:p>
        </w:tc>
        <w:tc>
          <w:tcPr>
            <w:tcW w:w="2700" w:type="dxa"/>
            <w:vAlign w:val="center"/>
          </w:tcPr>
          <w:p>
            <w:pPr>
              <w:spacing w:line="360" w:lineRule="auto"/>
              <w:ind w:right="34" w:rightChars="16"/>
              <w:jc w:val="center"/>
              <w:rPr>
                <w:color w:val="auto"/>
                <w:szCs w:val="21"/>
                <w:highlight w:val="none"/>
              </w:rPr>
            </w:pPr>
            <w:r>
              <w:rPr>
                <w:color w:val="auto"/>
                <w:szCs w:val="21"/>
                <w:highlight w:val="none"/>
              </w:rPr>
              <w:t>违者扣款1000元/次；</w:t>
            </w:r>
          </w:p>
        </w:tc>
        <w:tc>
          <w:tcPr>
            <w:tcW w:w="2700" w:type="dxa"/>
            <w:vAlign w:val="center"/>
          </w:tcPr>
          <w:p>
            <w:pPr>
              <w:ind w:right="34" w:rightChars="16"/>
              <w:jc w:val="center"/>
              <w:rPr>
                <w:color w:val="auto"/>
                <w:szCs w:val="21"/>
                <w:highlight w:val="none"/>
              </w:rPr>
            </w:pPr>
            <w:r>
              <w:rPr>
                <w:color w:val="auto"/>
                <w:szCs w:val="21"/>
                <w:highlight w:val="none"/>
              </w:rPr>
              <w:t>周进度计划必须按照总进度计划进行合理安排；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20" w:type="dxa"/>
            <w:vAlign w:val="center"/>
          </w:tcPr>
          <w:p>
            <w:pPr>
              <w:spacing w:line="360" w:lineRule="auto"/>
              <w:ind w:right="34" w:rightChars="16"/>
              <w:jc w:val="center"/>
              <w:rPr>
                <w:b/>
                <w:color w:val="auto"/>
                <w:szCs w:val="21"/>
                <w:highlight w:val="none"/>
              </w:rPr>
            </w:pPr>
            <w:r>
              <w:rPr>
                <w:b/>
                <w:color w:val="auto"/>
                <w:szCs w:val="21"/>
                <w:highlight w:val="none"/>
              </w:rPr>
              <w:t>3</w:t>
            </w:r>
          </w:p>
        </w:tc>
        <w:tc>
          <w:tcPr>
            <w:tcW w:w="4140" w:type="dxa"/>
            <w:vAlign w:val="center"/>
          </w:tcPr>
          <w:p>
            <w:pPr>
              <w:ind w:right="34" w:rightChars="16"/>
              <w:jc w:val="left"/>
              <w:rPr>
                <w:b/>
                <w:color w:val="auto"/>
                <w:szCs w:val="21"/>
                <w:highlight w:val="none"/>
              </w:rPr>
            </w:pPr>
            <w:r>
              <w:rPr>
                <w:color w:val="auto"/>
                <w:szCs w:val="21"/>
                <w:highlight w:val="none"/>
              </w:rPr>
              <w:t>每次工程例会前必须向建设单位和监理书面呈报本阶段计划完成情况报告和下阶段施工计划；</w:t>
            </w:r>
          </w:p>
        </w:tc>
        <w:tc>
          <w:tcPr>
            <w:tcW w:w="2700" w:type="dxa"/>
            <w:vAlign w:val="center"/>
          </w:tcPr>
          <w:p>
            <w:pPr>
              <w:ind w:right="34" w:rightChars="16"/>
              <w:jc w:val="center"/>
              <w:rPr>
                <w:b/>
                <w:color w:val="auto"/>
                <w:szCs w:val="21"/>
                <w:highlight w:val="none"/>
              </w:rPr>
            </w:pPr>
            <w:r>
              <w:rPr>
                <w:color w:val="auto"/>
                <w:szCs w:val="21"/>
                <w:highlight w:val="none"/>
              </w:rPr>
              <w:t>违者扣款1000元/次；</w:t>
            </w:r>
          </w:p>
        </w:tc>
        <w:tc>
          <w:tcPr>
            <w:tcW w:w="2700" w:type="dxa"/>
            <w:vAlign w:val="center"/>
          </w:tcPr>
          <w:p>
            <w:pPr>
              <w:spacing w:line="360" w:lineRule="auto"/>
              <w:ind w:right="34" w:rightChars="1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20" w:type="dxa"/>
            <w:vAlign w:val="center"/>
          </w:tcPr>
          <w:p>
            <w:pPr>
              <w:spacing w:line="360" w:lineRule="auto"/>
              <w:ind w:right="34" w:rightChars="16"/>
              <w:jc w:val="center"/>
              <w:rPr>
                <w:b/>
                <w:color w:val="auto"/>
                <w:szCs w:val="21"/>
                <w:highlight w:val="none"/>
              </w:rPr>
            </w:pPr>
            <w:r>
              <w:rPr>
                <w:b/>
                <w:color w:val="auto"/>
                <w:szCs w:val="21"/>
                <w:highlight w:val="none"/>
              </w:rPr>
              <w:t>4</w:t>
            </w:r>
          </w:p>
        </w:tc>
        <w:tc>
          <w:tcPr>
            <w:tcW w:w="4140" w:type="dxa"/>
            <w:vAlign w:val="center"/>
          </w:tcPr>
          <w:p>
            <w:pPr>
              <w:ind w:right="34" w:rightChars="16"/>
              <w:jc w:val="left"/>
              <w:rPr>
                <w:color w:val="auto"/>
                <w:szCs w:val="21"/>
                <w:highlight w:val="none"/>
              </w:rPr>
            </w:pPr>
            <w:r>
              <w:rPr>
                <w:color w:val="auto"/>
                <w:szCs w:val="21"/>
                <w:highlight w:val="none"/>
              </w:rPr>
              <w:t>如工程</w:t>
            </w:r>
            <w:r>
              <w:rPr>
                <w:b/>
                <w:color w:val="auto"/>
                <w:szCs w:val="21"/>
                <w:highlight w:val="none"/>
              </w:rPr>
              <w:t>进度滞后30天</w:t>
            </w:r>
            <w:r>
              <w:rPr>
                <w:color w:val="auto"/>
                <w:szCs w:val="21"/>
                <w:highlight w:val="none"/>
              </w:rPr>
              <w:t>以上，可由建设单位安排其他施工单位进行弥补性施工，工程量由监理、审计核定</w:t>
            </w:r>
            <w:r>
              <w:rPr>
                <w:rFonts w:hint="eastAsia"/>
                <w:color w:val="auto"/>
                <w:szCs w:val="21"/>
                <w:highlight w:val="none"/>
              </w:rPr>
              <w:t>。</w:t>
            </w:r>
          </w:p>
        </w:tc>
        <w:tc>
          <w:tcPr>
            <w:tcW w:w="2700" w:type="dxa"/>
            <w:vAlign w:val="center"/>
          </w:tcPr>
          <w:p>
            <w:pPr>
              <w:ind w:right="34" w:rightChars="16"/>
              <w:jc w:val="center"/>
              <w:rPr>
                <w:bCs/>
                <w:color w:val="auto"/>
                <w:szCs w:val="21"/>
                <w:highlight w:val="none"/>
              </w:rPr>
            </w:pPr>
            <w:r>
              <w:rPr>
                <w:bCs/>
                <w:color w:val="auto"/>
                <w:szCs w:val="21"/>
                <w:highlight w:val="none"/>
              </w:rPr>
              <w:t>按照合同条款执行</w:t>
            </w:r>
            <w:r>
              <w:rPr>
                <w:rFonts w:hint="eastAsia"/>
                <w:bCs/>
                <w:color w:val="auto"/>
                <w:szCs w:val="21"/>
                <w:highlight w:val="none"/>
              </w:rPr>
              <w:t>。</w:t>
            </w:r>
          </w:p>
        </w:tc>
        <w:tc>
          <w:tcPr>
            <w:tcW w:w="2700" w:type="dxa"/>
            <w:vAlign w:val="center"/>
          </w:tcPr>
          <w:p>
            <w:pPr>
              <w:ind w:right="34" w:rightChars="16"/>
              <w:rPr>
                <w:color w:val="auto"/>
                <w:szCs w:val="21"/>
                <w:highlight w:val="none"/>
              </w:rPr>
            </w:pPr>
          </w:p>
        </w:tc>
      </w:tr>
    </w:tbl>
    <w:p>
      <w:pPr>
        <w:spacing w:line="360" w:lineRule="auto"/>
        <w:ind w:right="34" w:rightChars="16"/>
        <w:rPr>
          <w:b/>
          <w:color w:val="auto"/>
          <w:sz w:val="24"/>
          <w:highlight w:val="none"/>
        </w:rPr>
      </w:pPr>
    </w:p>
    <w:p>
      <w:pPr>
        <w:spacing w:line="360" w:lineRule="auto"/>
        <w:ind w:right="34" w:rightChars="16"/>
        <w:rPr>
          <w:b/>
          <w:color w:val="auto"/>
          <w:sz w:val="24"/>
          <w:highlight w:val="none"/>
        </w:rPr>
      </w:pPr>
      <w:r>
        <w:rPr>
          <w:b/>
          <w:color w:val="auto"/>
          <w:sz w:val="24"/>
          <w:highlight w:val="none"/>
        </w:rPr>
        <w:t>五、工程变更、档案资料、会议制度等管理</w:t>
      </w:r>
    </w:p>
    <w:tbl>
      <w:tblPr>
        <w:tblStyle w:val="17"/>
        <w:tblW w:w="102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40"/>
        <w:gridCol w:w="27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ind w:right="34" w:rightChars="16"/>
              <w:jc w:val="center"/>
              <w:rPr>
                <w:b/>
                <w:color w:val="auto"/>
                <w:szCs w:val="21"/>
                <w:highlight w:val="none"/>
              </w:rPr>
            </w:pPr>
            <w:r>
              <w:rPr>
                <w:b/>
                <w:color w:val="auto"/>
                <w:szCs w:val="21"/>
                <w:highlight w:val="none"/>
              </w:rPr>
              <w:t>1</w:t>
            </w:r>
          </w:p>
        </w:tc>
        <w:tc>
          <w:tcPr>
            <w:tcW w:w="4140" w:type="dxa"/>
            <w:vAlign w:val="center"/>
          </w:tcPr>
          <w:p>
            <w:pPr>
              <w:ind w:right="34" w:rightChars="16"/>
              <w:jc w:val="left"/>
              <w:rPr>
                <w:bCs/>
                <w:color w:val="auto"/>
                <w:szCs w:val="21"/>
                <w:highlight w:val="none"/>
              </w:rPr>
            </w:pPr>
            <w:r>
              <w:rPr>
                <w:bCs/>
                <w:color w:val="auto"/>
                <w:szCs w:val="21"/>
                <w:highlight w:val="none"/>
              </w:rPr>
              <w:t>未经批准，不得擅自进行工程变更；</w:t>
            </w:r>
          </w:p>
        </w:tc>
        <w:tc>
          <w:tcPr>
            <w:tcW w:w="2700" w:type="dxa"/>
            <w:vAlign w:val="center"/>
          </w:tcPr>
          <w:p>
            <w:pPr>
              <w:ind w:right="34" w:rightChars="16"/>
              <w:jc w:val="center"/>
              <w:rPr>
                <w:bCs/>
                <w:color w:val="auto"/>
                <w:szCs w:val="21"/>
                <w:highlight w:val="none"/>
              </w:rPr>
            </w:pPr>
            <w:r>
              <w:rPr>
                <w:bCs/>
                <w:color w:val="auto"/>
                <w:szCs w:val="21"/>
                <w:highlight w:val="none"/>
              </w:rPr>
              <w:t>如发生类似事件，扣款5000元/次；施工部位不计量；</w:t>
            </w:r>
          </w:p>
        </w:tc>
        <w:tc>
          <w:tcPr>
            <w:tcW w:w="2700" w:type="dxa"/>
            <w:vAlign w:val="center"/>
          </w:tcPr>
          <w:p>
            <w:pPr>
              <w:ind w:right="34" w:rightChars="16"/>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ind w:right="34" w:rightChars="16"/>
              <w:jc w:val="center"/>
              <w:rPr>
                <w:b/>
                <w:color w:val="auto"/>
                <w:szCs w:val="21"/>
                <w:highlight w:val="none"/>
              </w:rPr>
            </w:pPr>
            <w:r>
              <w:rPr>
                <w:b/>
                <w:color w:val="auto"/>
                <w:szCs w:val="21"/>
                <w:highlight w:val="none"/>
              </w:rPr>
              <w:t>2</w:t>
            </w:r>
          </w:p>
        </w:tc>
        <w:tc>
          <w:tcPr>
            <w:tcW w:w="4140" w:type="dxa"/>
            <w:vAlign w:val="center"/>
          </w:tcPr>
          <w:p>
            <w:pPr>
              <w:ind w:right="34" w:rightChars="16"/>
              <w:jc w:val="left"/>
              <w:rPr>
                <w:color w:val="auto"/>
                <w:szCs w:val="21"/>
                <w:highlight w:val="none"/>
              </w:rPr>
            </w:pPr>
            <w:r>
              <w:rPr>
                <w:color w:val="auto"/>
                <w:szCs w:val="21"/>
                <w:highlight w:val="none"/>
              </w:rPr>
              <w:t>应按有关规定及时详细地做好各种档案资料，进行不定期检查；竣工验收合格后3个月内将备案资料按要求报送发包人</w:t>
            </w:r>
            <w:r>
              <w:rPr>
                <w:rFonts w:hint="eastAsia"/>
                <w:color w:val="auto"/>
                <w:szCs w:val="21"/>
                <w:highlight w:val="none"/>
              </w:rPr>
              <w:t>；</w:t>
            </w:r>
          </w:p>
          <w:p>
            <w:pPr>
              <w:ind w:right="34" w:rightChars="16"/>
              <w:jc w:val="left"/>
              <w:rPr>
                <w:b/>
                <w:color w:val="auto"/>
                <w:szCs w:val="21"/>
                <w:highlight w:val="none"/>
              </w:rPr>
            </w:pPr>
          </w:p>
        </w:tc>
        <w:tc>
          <w:tcPr>
            <w:tcW w:w="2700" w:type="dxa"/>
            <w:vAlign w:val="center"/>
          </w:tcPr>
          <w:p>
            <w:pPr>
              <w:ind w:right="34" w:rightChars="16"/>
              <w:jc w:val="center"/>
              <w:rPr>
                <w:b/>
                <w:color w:val="auto"/>
                <w:szCs w:val="21"/>
                <w:highlight w:val="none"/>
              </w:rPr>
            </w:pPr>
            <w:r>
              <w:rPr>
                <w:color w:val="auto"/>
                <w:szCs w:val="21"/>
                <w:highlight w:val="none"/>
              </w:rPr>
              <w:t>如有发现资料不全，记录不详细，记录不及时，伪造资料的，将视情节扣款1000—5000元，并限期改正；</w:t>
            </w:r>
          </w:p>
        </w:tc>
        <w:tc>
          <w:tcPr>
            <w:tcW w:w="2700" w:type="dxa"/>
            <w:vAlign w:val="center"/>
          </w:tcPr>
          <w:p>
            <w:pPr>
              <w:ind w:right="34" w:rightChars="16"/>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20" w:type="dxa"/>
            <w:vAlign w:val="center"/>
          </w:tcPr>
          <w:p>
            <w:pPr>
              <w:ind w:right="34" w:rightChars="16"/>
              <w:jc w:val="center"/>
              <w:rPr>
                <w:b/>
                <w:color w:val="auto"/>
                <w:szCs w:val="21"/>
                <w:highlight w:val="none"/>
              </w:rPr>
            </w:pPr>
            <w:r>
              <w:rPr>
                <w:b/>
                <w:color w:val="auto"/>
                <w:szCs w:val="21"/>
                <w:highlight w:val="none"/>
              </w:rPr>
              <w:t>3</w:t>
            </w:r>
          </w:p>
        </w:tc>
        <w:tc>
          <w:tcPr>
            <w:tcW w:w="4140" w:type="dxa"/>
            <w:vAlign w:val="center"/>
          </w:tcPr>
          <w:p>
            <w:pPr>
              <w:ind w:right="34" w:rightChars="16"/>
              <w:jc w:val="left"/>
              <w:rPr>
                <w:color w:val="auto"/>
                <w:szCs w:val="21"/>
                <w:highlight w:val="none"/>
              </w:rPr>
            </w:pPr>
            <w:r>
              <w:rPr>
                <w:color w:val="auto"/>
                <w:szCs w:val="21"/>
                <w:highlight w:val="none"/>
              </w:rPr>
              <w:t>上报资料属复印件的必须注明复印件四要素（复印人、复印时间、原件存于何处、加盖红章）；</w:t>
            </w:r>
          </w:p>
        </w:tc>
        <w:tc>
          <w:tcPr>
            <w:tcW w:w="2700" w:type="dxa"/>
            <w:vAlign w:val="center"/>
          </w:tcPr>
          <w:p>
            <w:pPr>
              <w:ind w:right="34" w:rightChars="16"/>
              <w:jc w:val="center"/>
              <w:rPr>
                <w:color w:val="auto"/>
                <w:szCs w:val="21"/>
                <w:highlight w:val="none"/>
              </w:rPr>
            </w:pPr>
            <w:r>
              <w:rPr>
                <w:color w:val="auto"/>
                <w:szCs w:val="21"/>
                <w:highlight w:val="none"/>
              </w:rPr>
              <w:t>违者扣款300元/次；</w:t>
            </w:r>
          </w:p>
        </w:tc>
        <w:tc>
          <w:tcPr>
            <w:tcW w:w="2700" w:type="dxa"/>
            <w:vAlign w:val="center"/>
          </w:tcPr>
          <w:p>
            <w:pPr>
              <w:ind w:right="34" w:rightChars="16"/>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ind w:right="34" w:rightChars="16"/>
              <w:jc w:val="center"/>
              <w:rPr>
                <w:b/>
                <w:color w:val="auto"/>
                <w:szCs w:val="21"/>
                <w:highlight w:val="none"/>
              </w:rPr>
            </w:pPr>
            <w:r>
              <w:rPr>
                <w:b/>
                <w:color w:val="auto"/>
                <w:szCs w:val="21"/>
                <w:highlight w:val="none"/>
              </w:rPr>
              <w:t>4</w:t>
            </w:r>
          </w:p>
        </w:tc>
        <w:tc>
          <w:tcPr>
            <w:tcW w:w="4140" w:type="dxa"/>
            <w:vAlign w:val="center"/>
          </w:tcPr>
          <w:p>
            <w:pPr>
              <w:ind w:right="34" w:rightChars="16"/>
              <w:jc w:val="left"/>
              <w:rPr>
                <w:color w:val="auto"/>
                <w:szCs w:val="21"/>
                <w:highlight w:val="none"/>
              </w:rPr>
            </w:pPr>
            <w:r>
              <w:rPr>
                <w:color w:val="auto"/>
                <w:szCs w:val="21"/>
                <w:highlight w:val="none"/>
              </w:rPr>
              <w:t>文件的收发必须及时准确，以免影响工程的决策和施工；</w:t>
            </w:r>
          </w:p>
        </w:tc>
        <w:tc>
          <w:tcPr>
            <w:tcW w:w="2700" w:type="dxa"/>
            <w:vAlign w:val="center"/>
          </w:tcPr>
          <w:p>
            <w:pPr>
              <w:ind w:right="34" w:rightChars="16"/>
              <w:jc w:val="center"/>
              <w:rPr>
                <w:b/>
                <w:color w:val="auto"/>
                <w:szCs w:val="21"/>
                <w:highlight w:val="none"/>
              </w:rPr>
            </w:pPr>
            <w:r>
              <w:rPr>
                <w:color w:val="auto"/>
                <w:szCs w:val="21"/>
                <w:highlight w:val="none"/>
              </w:rPr>
              <w:t>对误发、迟发文件的责任方和责任人，视情节扣款300—500元/次；</w:t>
            </w:r>
          </w:p>
        </w:tc>
        <w:tc>
          <w:tcPr>
            <w:tcW w:w="2700" w:type="dxa"/>
            <w:vAlign w:val="center"/>
          </w:tcPr>
          <w:p>
            <w:pPr>
              <w:ind w:right="34" w:rightChars="16"/>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720" w:type="dxa"/>
            <w:vAlign w:val="center"/>
          </w:tcPr>
          <w:p>
            <w:pPr>
              <w:ind w:right="34" w:rightChars="16"/>
              <w:jc w:val="center"/>
              <w:rPr>
                <w:b/>
                <w:color w:val="auto"/>
                <w:szCs w:val="21"/>
                <w:highlight w:val="none"/>
              </w:rPr>
            </w:pPr>
            <w:r>
              <w:rPr>
                <w:b/>
                <w:color w:val="auto"/>
                <w:szCs w:val="21"/>
                <w:highlight w:val="none"/>
              </w:rPr>
              <w:t>5</w:t>
            </w:r>
          </w:p>
        </w:tc>
        <w:tc>
          <w:tcPr>
            <w:tcW w:w="4140" w:type="dxa"/>
            <w:vAlign w:val="center"/>
          </w:tcPr>
          <w:p>
            <w:pPr>
              <w:ind w:right="34" w:rightChars="16"/>
              <w:rPr>
                <w:color w:val="auto"/>
                <w:szCs w:val="21"/>
                <w:highlight w:val="none"/>
              </w:rPr>
            </w:pPr>
            <w:r>
              <w:rPr>
                <w:color w:val="auto"/>
                <w:szCs w:val="21"/>
                <w:highlight w:val="none"/>
              </w:rPr>
              <w:t>工程例会，各相关单位项目经理必须准时参加，如有特殊情况应提前通知；</w:t>
            </w:r>
          </w:p>
        </w:tc>
        <w:tc>
          <w:tcPr>
            <w:tcW w:w="2700" w:type="dxa"/>
            <w:vAlign w:val="center"/>
          </w:tcPr>
          <w:p>
            <w:pPr>
              <w:ind w:right="34" w:rightChars="16"/>
              <w:rPr>
                <w:color w:val="auto"/>
                <w:szCs w:val="21"/>
                <w:highlight w:val="none"/>
              </w:rPr>
            </w:pPr>
            <w:r>
              <w:rPr>
                <w:color w:val="auto"/>
                <w:szCs w:val="21"/>
                <w:highlight w:val="none"/>
              </w:rPr>
              <w:t>无故不参加或迟到15分钟以上者，扣款500元/次；</w:t>
            </w:r>
          </w:p>
        </w:tc>
        <w:tc>
          <w:tcPr>
            <w:tcW w:w="2700" w:type="dxa"/>
            <w:vAlign w:val="center"/>
          </w:tcPr>
          <w:p>
            <w:pPr>
              <w:ind w:right="34" w:rightChars="16"/>
              <w:jc w:val="center"/>
              <w:rPr>
                <w:color w:val="auto"/>
                <w:szCs w:val="21"/>
                <w:highlight w:val="none"/>
              </w:rPr>
            </w:pPr>
            <w:r>
              <w:rPr>
                <w:color w:val="auto"/>
                <w:szCs w:val="21"/>
                <w:highlight w:val="none"/>
              </w:rPr>
              <w:t>工程其他会议通知参加的相关单位和相关人员必须按时参加，如有违法也按该条款处理，产生的后果自负；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720" w:type="dxa"/>
            <w:vAlign w:val="center"/>
          </w:tcPr>
          <w:p>
            <w:pPr>
              <w:ind w:right="34" w:rightChars="16"/>
              <w:jc w:val="center"/>
              <w:rPr>
                <w:b/>
                <w:color w:val="auto"/>
                <w:szCs w:val="21"/>
                <w:highlight w:val="none"/>
              </w:rPr>
            </w:pPr>
            <w:r>
              <w:rPr>
                <w:b/>
                <w:color w:val="auto"/>
                <w:szCs w:val="21"/>
                <w:highlight w:val="none"/>
              </w:rPr>
              <w:t>6</w:t>
            </w:r>
          </w:p>
        </w:tc>
        <w:tc>
          <w:tcPr>
            <w:tcW w:w="4140" w:type="dxa"/>
            <w:vAlign w:val="center"/>
          </w:tcPr>
          <w:p>
            <w:pPr>
              <w:ind w:right="34" w:rightChars="16"/>
              <w:rPr>
                <w:color w:val="auto"/>
                <w:szCs w:val="21"/>
                <w:highlight w:val="none"/>
              </w:rPr>
            </w:pPr>
            <w:r>
              <w:rPr>
                <w:color w:val="auto"/>
                <w:szCs w:val="21"/>
                <w:highlight w:val="none"/>
              </w:rPr>
              <w:t>监理单位对施工单位违反质量、安全文明施工规定且拒不整改的行为须及时向建设单位报告</w:t>
            </w:r>
            <w:r>
              <w:rPr>
                <w:rFonts w:hint="eastAsia"/>
                <w:color w:val="auto"/>
                <w:szCs w:val="21"/>
                <w:highlight w:val="none"/>
              </w:rPr>
              <w:t>。</w:t>
            </w:r>
          </w:p>
        </w:tc>
        <w:tc>
          <w:tcPr>
            <w:tcW w:w="2700" w:type="dxa"/>
            <w:vAlign w:val="center"/>
          </w:tcPr>
          <w:p>
            <w:pPr>
              <w:ind w:right="34" w:rightChars="16"/>
              <w:rPr>
                <w:color w:val="auto"/>
                <w:szCs w:val="21"/>
                <w:highlight w:val="none"/>
              </w:rPr>
            </w:pPr>
            <w:r>
              <w:rPr>
                <w:color w:val="auto"/>
                <w:szCs w:val="21"/>
                <w:highlight w:val="none"/>
              </w:rPr>
              <w:t>监理单位未及时报告，扣款1000元</w:t>
            </w:r>
            <w:r>
              <w:rPr>
                <w:rFonts w:hint="eastAsia"/>
                <w:color w:val="auto"/>
                <w:szCs w:val="21"/>
                <w:highlight w:val="none"/>
              </w:rPr>
              <w:t>。</w:t>
            </w:r>
          </w:p>
        </w:tc>
        <w:tc>
          <w:tcPr>
            <w:tcW w:w="2700" w:type="dxa"/>
            <w:vAlign w:val="center"/>
          </w:tcPr>
          <w:p>
            <w:pPr>
              <w:ind w:right="34" w:rightChars="16"/>
              <w:jc w:val="center"/>
              <w:rPr>
                <w:color w:val="auto"/>
                <w:szCs w:val="21"/>
                <w:highlight w:val="none"/>
              </w:rPr>
            </w:pPr>
          </w:p>
        </w:tc>
      </w:tr>
    </w:tbl>
    <w:p>
      <w:pPr>
        <w:spacing w:line="360" w:lineRule="auto"/>
        <w:rPr>
          <w:b/>
          <w:color w:val="auto"/>
          <w:sz w:val="24"/>
          <w:highlight w:val="none"/>
        </w:rPr>
      </w:pPr>
    </w:p>
    <w:p>
      <w:pPr>
        <w:spacing w:line="360" w:lineRule="auto"/>
        <w:rPr>
          <w:bCs/>
          <w:color w:val="auto"/>
          <w:sz w:val="24"/>
          <w:highlight w:val="none"/>
        </w:rPr>
      </w:pPr>
      <w:r>
        <w:rPr>
          <w:b/>
          <w:color w:val="auto"/>
          <w:sz w:val="24"/>
          <w:highlight w:val="none"/>
        </w:rPr>
        <w:t>六、签订时间</w:t>
      </w:r>
    </w:p>
    <w:p>
      <w:pPr>
        <w:spacing w:line="360" w:lineRule="auto"/>
        <w:ind w:firstLine="480" w:firstLineChars="200"/>
        <w:rPr>
          <w:color w:val="auto"/>
          <w:sz w:val="24"/>
          <w:highlight w:val="none"/>
        </w:rPr>
      </w:pPr>
      <w:r>
        <w:rPr>
          <w:color w:val="auto"/>
          <w:sz w:val="24"/>
          <w:highlight w:val="none"/>
        </w:rPr>
        <w:t>本协议于</w:t>
      </w:r>
      <w:r>
        <w:rPr>
          <w:color w:val="auto"/>
          <w:sz w:val="24"/>
          <w:highlight w:val="none"/>
          <w:u w:val="single"/>
        </w:rPr>
        <w:t>2022</w:t>
      </w:r>
      <w:r>
        <w:rPr>
          <w:color w:val="auto"/>
          <w:sz w:val="24"/>
          <w:highlight w:val="none"/>
        </w:rPr>
        <w:t>年月日签订。</w:t>
      </w:r>
    </w:p>
    <w:p>
      <w:pPr>
        <w:spacing w:line="360" w:lineRule="auto"/>
        <w:rPr>
          <w:bCs/>
          <w:color w:val="auto"/>
          <w:sz w:val="24"/>
          <w:highlight w:val="none"/>
        </w:rPr>
      </w:pPr>
      <w:r>
        <w:rPr>
          <w:b/>
          <w:color w:val="auto"/>
          <w:sz w:val="24"/>
          <w:highlight w:val="none"/>
        </w:rPr>
        <w:t>七、签订地点</w:t>
      </w:r>
    </w:p>
    <w:p>
      <w:pPr>
        <w:spacing w:line="360" w:lineRule="auto"/>
        <w:ind w:firstLine="480" w:firstLineChars="200"/>
        <w:rPr>
          <w:color w:val="auto"/>
          <w:sz w:val="24"/>
          <w:highlight w:val="none"/>
        </w:rPr>
      </w:pPr>
      <w:r>
        <w:rPr>
          <w:color w:val="auto"/>
          <w:sz w:val="24"/>
          <w:highlight w:val="none"/>
        </w:rPr>
        <w:t>本协议在</w:t>
      </w:r>
      <w:r>
        <w:rPr>
          <w:color w:val="auto"/>
          <w:sz w:val="24"/>
          <w:highlight w:val="none"/>
          <w:u w:val="single"/>
        </w:rPr>
        <w:t>无锡市梁溪区住房和城乡建设局</w:t>
      </w:r>
      <w:r>
        <w:rPr>
          <w:color w:val="auto"/>
          <w:sz w:val="24"/>
          <w:highlight w:val="none"/>
        </w:rPr>
        <w:t>签订。</w:t>
      </w:r>
    </w:p>
    <w:p>
      <w:pPr>
        <w:spacing w:line="360" w:lineRule="auto"/>
        <w:rPr>
          <w:bCs/>
          <w:color w:val="auto"/>
          <w:sz w:val="24"/>
          <w:highlight w:val="none"/>
        </w:rPr>
      </w:pPr>
      <w:r>
        <w:rPr>
          <w:b/>
          <w:color w:val="auto"/>
          <w:sz w:val="24"/>
          <w:highlight w:val="none"/>
        </w:rPr>
        <w:t>八、补充组成</w:t>
      </w:r>
    </w:p>
    <w:p>
      <w:pPr>
        <w:spacing w:line="360" w:lineRule="auto"/>
        <w:ind w:firstLine="480" w:firstLineChars="200"/>
        <w:rPr>
          <w:color w:val="auto"/>
          <w:sz w:val="24"/>
          <w:highlight w:val="none"/>
        </w:rPr>
      </w:pPr>
      <w:r>
        <w:rPr>
          <w:color w:val="auto"/>
          <w:sz w:val="24"/>
          <w:highlight w:val="none"/>
        </w:rPr>
        <w:t>本</w:t>
      </w:r>
      <w:r>
        <w:rPr>
          <w:rFonts w:hint="eastAsia"/>
          <w:color w:val="auto"/>
          <w:sz w:val="24"/>
          <w:highlight w:val="none"/>
        </w:rPr>
        <w:t>管理协议</w:t>
      </w:r>
      <w:r>
        <w:rPr>
          <w:color w:val="auto"/>
          <w:sz w:val="24"/>
          <w:highlight w:val="none"/>
        </w:rPr>
        <w:t>是《</w:t>
      </w:r>
      <w:r>
        <w:rPr>
          <w:bCs/>
          <w:color w:val="auto"/>
          <w:sz w:val="24"/>
          <w:highlight w:val="none"/>
        </w:rPr>
        <w:t>建设工程施工合同</w:t>
      </w:r>
      <w:r>
        <w:rPr>
          <w:color w:val="auto"/>
          <w:sz w:val="24"/>
          <w:highlight w:val="none"/>
        </w:rPr>
        <w:t>》的组成部分。</w:t>
      </w:r>
    </w:p>
    <w:p>
      <w:pPr>
        <w:spacing w:line="360" w:lineRule="auto"/>
        <w:rPr>
          <w:b/>
          <w:bCs/>
          <w:color w:val="auto"/>
          <w:sz w:val="24"/>
          <w:highlight w:val="none"/>
        </w:rPr>
      </w:pPr>
      <w:r>
        <w:rPr>
          <w:b/>
          <w:color w:val="auto"/>
          <w:sz w:val="24"/>
          <w:highlight w:val="none"/>
        </w:rPr>
        <w:t>九、合同生效</w:t>
      </w:r>
    </w:p>
    <w:p>
      <w:pPr>
        <w:spacing w:line="360" w:lineRule="auto"/>
        <w:ind w:firstLine="480" w:firstLineChars="200"/>
        <w:rPr>
          <w:color w:val="auto"/>
          <w:sz w:val="24"/>
          <w:highlight w:val="none"/>
        </w:rPr>
      </w:pPr>
      <w:r>
        <w:rPr>
          <w:color w:val="auto"/>
          <w:sz w:val="24"/>
          <w:highlight w:val="none"/>
        </w:rPr>
        <w:t>本协议自</w:t>
      </w:r>
      <w:r>
        <w:rPr>
          <w:color w:val="auto"/>
          <w:sz w:val="24"/>
          <w:highlight w:val="none"/>
          <w:u w:val="single"/>
        </w:rPr>
        <w:t>各方签字盖章并经见证后</w:t>
      </w:r>
      <w:r>
        <w:rPr>
          <w:color w:val="auto"/>
          <w:sz w:val="24"/>
          <w:highlight w:val="none"/>
        </w:rPr>
        <w:t>生效。</w:t>
      </w:r>
    </w:p>
    <w:p>
      <w:pPr>
        <w:spacing w:line="360" w:lineRule="auto"/>
        <w:rPr>
          <w:bCs/>
          <w:color w:val="auto"/>
          <w:sz w:val="24"/>
          <w:highlight w:val="none"/>
        </w:rPr>
      </w:pPr>
      <w:r>
        <w:rPr>
          <w:b/>
          <w:color w:val="auto"/>
          <w:sz w:val="24"/>
          <w:highlight w:val="none"/>
        </w:rPr>
        <w:t>十、合同份数</w:t>
      </w:r>
    </w:p>
    <w:p>
      <w:pPr>
        <w:spacing w:line="360" w:lineRule="auto"/>
        <w:ind w:firstLine="480" w:firstLineChars="200"/>
        <w:rPr>
          <w:bCs/>
          <w:color w:val="auto"/>
          <w:sz w:val="24"/>
          <w:highlight w:val="none"/>
        </w:rPr>
      </w:pPr>
      <w:r>
        <w:rPr>
          <w:bCs/>
          <w:color w:val="auto"/>
          <w:sz w:val="24"/>
          <w:highlight w:val="none"/>
        </w:rPr>
        <w:t>本协议一式</w:t>
      </w:r>
      <w:r>
        <w:rPr>
          <w:bCs/>
          <w:color w:val="auto"/>
          <w:sz w:val="24"/>
          <w:highlight w:val="none"/>
          <w:u w:val="single"/>
        </w:rPr>
        <w:t>6</w:t>
      </w:r>
      <w:r>
        <w:rPr>
          <w:bCs/>
          <w:color w:val="auto"/>
          <w:sz w:val="24"/>
          <w:highlight w:val="none"/>
        </w:rPr>
        <w:t>份，均具有同等法律效力，发包人、承包人各执</w:t>
      </w:r>
      <w:r>
        <w:rPr>
          <w:bCs/>
          <w:color w:val="auto"/>
          <w:sz w:val="24"/>
          <w:highlight w:val="none"/>
          <w:u w:val="single"/>
        </w:rPr>
        <w:t>2</w:t>
      </w:r>
      <w:r>
        <w:rPr>
          <w:bCs/>
          <w:color w:val="auto"/>
          <w:sz w:val="24"/>
          <w:highlight w:val="none"/>
        </w:rPr>
        <w:t>份</w:t>
      </w:r>
      <w:r>
        <w:rPr>
          <w:rFonts w:hint="eastAsia"/>
          <w:bCs/>
          <w:color w:val="auto"/>
          <w:sz w:val="24"/>
          <w:highlight w:val="none"/>
        </w:rPr>
        <w:t>，</w:t>
      </w:r>
      <w:r>
        <w:rPr>
          <w:bCs/>
          <w:color w:val="auto"/>
          <w:sz w:val="24"/>
          <w:highlight w:val="none"/>
        </w:rPr>
        <w:t>监理方</w:t>
      </w:r>
      <w:r>
        <w:rPr>
          <w:rFonts w:hint="eastAsia"/>
          <w:bCs/>
          <w:color w:val="auto"/>
          <w:sz w:val="24"/>
          <w:highlight w:val="none"/>
        </w:rPr>
        <w:t>、代理方</w:t>
      </w:r>
      <w:r>
        <w:rPr>
          <w:bCs/>
          <w:color w:val="auto"/>
          <w:sz w:val="24"/>
          <w:highlight w:val="none"/>
        </w:rPr>
        <w:t>各执</w:t>
      </w:r>
      <w:r>
        <w:rPr>
          <w:rFonts w:hint="eastAsia"/>
          <w:bCs/>
          <w:color w:val="auto"/>
          <w:sz w:val="24"/>
          <w:highlight w:val="none"/>
          <w:u w:val="single"/>
        </w:rPr>
        <w:t>1</w:t>
      </w:r>
      <w:r>
        <w:rPr>
          <w:bCs/>
          <w:color w:val="auto"/>
          <w:sz w:val="24"/>
          <w:highlight w:val="none"/>
        </w:rPr>
        <w:t>份。</w:t>
      </w:r>
    </w:p>
    <w:p>
      <w:pPr>
        <w:spacing w:line="360" w:lineRule="auto"/>
        <w:rPr>
          <w:color w:val="auto"/>
          <w:sz w:val="24"/>
          <w:highlight w:val="none"/>
        </w:rPr>
      </w:pPr>
    </w:p>
    <w:p>
      <w:pPr>
        <w:spacing w:line="360" w:lineRule="auto"/>
        <w:rPr>
          <w:color w:val="auto"/>
          <w:sz w:val="24"/>
          <w:highlight w:val="none"/>
        </w:rPr>
      </w:pPr>
      <w:r>
        <w:rPr>
          <w:color w:val="auto"/>
          <w:sz w:val="24"/>
          <w:highlight w:val="none"/>
        </w:rPr>
        <w:t xml:space="preserve">发包人：  (公章)                           监理方：  (公章)     </w:t>
      </w:r>
    </w:p>
    <w:p>
      <w:pPr>
        <w:spacing w:line="360" w:lineRule="auto"/>
        <w:rPr>
          <w:color w:val="auto"/>
          <w:sz w:val="24"/>
          <w:highlight w:val="none"/>
        </w:rPr>
      </w:pPr>
      <w:r>
        <w:rPr>
          <w:color w:val="auto"/>
          <w:sz w:val="24"/>
          <w:highlight w:val="none"/>
        </w:rPr>
        <w:t xml:space="preserve">法定代表人或其委托代理人：                 法定代表人或其委托代理人： </w:t>
      </w:r>
    </w:p>
    <w:p>
      <w:pPr>
        <w:spacing w:line="360" w:lineRule="auto"/>
        <w:rPr>
          <w:color w:val="auto"/>
          <w:sz w:val="24"/>
          <w:highlight w:val="none"/>
        </w:rPr>
      </w:pPr>
      <w:r>
        <w:rPr>
          <w:color w:val="auto"/>
          <w:sz w:val="24"/>
          <w:highlight w:val="none"/>
        </w:rPr>
        <w:t xml:space="preserve">（签字）                                   （签字） </w:t>
      </w:r>
    </w:p>
    <w:p>
      <w:pPr>
        <w:spacing w:line="360" w:lineRule="auto"/>
        <w:rPr>
          <w:color w:val="auto"/>
          <w:sz w:val="24"/>
          <w:highlight w:val="none"/>
        </w:rPr>
      </w:pPr>
      <w:r>
        <w:rPr>
          <w:color w:val="auto"/>
          <w:sz w:val="24"/>
          <w:highlight w:val="none"/>
        </w:rPr>
        <w:t xml:space="preserve">电  话：                       电  话：    </w:t>
      </w:r>
    </w:p>
    <w:p>
      <w:pPr>
        <w:spacing w:line="360" w:lineRule="auto"/>
        <w:rPr>
          <w:color w:val="auto"/>
          <w:sz w:val="24"/>
          <w:highlight w:val="none"/>
        </w:rPr>
      </w:pPr>
      <w:r>
        <w:rPr>
          <w:color w:val="auto"/>
          <w:sz w:val="24"/>
          <w:highlight w:val="none"/>
        </w:rPr>
        <w:t xml:space="preserve">日期：                                     日期：       </w:t>
      </w:r>
    </w:p>
    <w:p>
      <w:pPr>
        <w:spacing w:line="360" w:lineRule="auto"/>
        <w:rPr>
          <w:color w:val="auto"/>
          <w:sz w:val="24"/>
          <w:highlight w:val="none"/>
        </w:rPr>
      </w:pPr>
    </w:p>
    <w:p>
      <w:pPr>
        <w:pStyle w:val="2"/>
        <w:rPr>
          <w:rFonts w:eastAsia="宋体"/>
          <w:color w:val="auto"/>
          <w:highlight w:val="none"/>
        </w:rPr>
      </w:pPr>
    </w:p>
    <w:p>
      <w:pPr>
        <w:widowControl/>
        <w:jc w:val="left"/>
        <w:rPr>
          <w:color w:val="auto"/>
          <w:highlight w:val="none"/>
        </w:rPr>
      </w:pPr>
      <w:r>
        <w:rPr>
          <w:color w:val="auto"/>
          <w:sz w:val="24"/>
          <w:highlight w:val="none"/>
        </w:rPr>
        <w:t xml:space="preserve">承包人：  (公章)                          </w:t>
      </w:r>
      <w:r>
        <w:rPr>
          <w:rFonts w:hint="eastAsia"/>
          <w:color w:val="auto"/>
          <w:sz w:val="24"/>
          <w:highlight w:val="none"/>
        </w:rPr>
        <w:t>代理方</w:t>
      </w:r>
      <w:r>
        <w:rPr>
          <w:color w:val="auto"/>
          <w:sz w:val="24"/>
          <w:highlight w:val="none"/>
        </w:rPr>
        <w:t xml:space="preserve">：  (公章)     </w:t>
      </w:r>
    </w:p>
    <w:p>
      <w:pPr>
        <w:spacing w:line="360" w:lineRule="auto"/>
        <w:rPr>
          <w:color w:val="auto"/>
          <w:sz w:val="24"/>
          <w:highlight w:val="none"/>
        </w:rPr>
      </w:pPr>
      <w:r>
        <w:rPr>
          <w:color w:val="auto"/>
          <w:sz w:val="24"/>
          <w:highlight w:val="none"/>
        </w:rPr>
        <w:t xml:space="preserve">法定代表人或其委托代理人：               法定代表人或其委托代理人：   </w:t>
      </w:r>
    </w:p>
    <w:p>
      <w:pPr>
        <w:spacing w:line="360" w:lineRule="auto"/>
        <w:rPr>
          <w:color w:val="auto"/>
          <w:sz w:val="24"/>
          <w:highlight w:val="none"/>
        </w:rPr>
      </w:pPr>
      <w:r>
        <w:rPr>
          <w:color w:val="auto"/>
          <w:sz w:val="24"/>
          <w:highlight w:val="none"/>
        </w:rPr>
        <w:t>（签字）（签字）</w:t>
      </w:r>
    </w:p>
    <w:p>
      <w:pPr>
        <w:spacing w:line="360" w:lineRule="auto"/>
        <w:rPr>
          <w:color w:val="auto"/>
          <w:sz w:val="24"/>
          <w:highlight w:val="none"/>
        </w:rPr>
      </w:pPr>
      <w:r>
        <w:rPr>
          <w:color w:val="auto"/>
          <w:sz w:val="24"/>
          <w:highlight w:val="none"/>
        </w:rPr>
        <w:t xml:space="preserve">电  话：     电  话： </w:t>
      </w:r>
    </w:p>
    <w:p>
      <w:pPr>
        <w:spacing w:line="360" w:lineRule="auto"/>
        <w:rPr>
          <w:color w:val="auto"/>
          <w:szCs w:val="21"/>
          <w:highlight w:val="none"/>
        </w:rPr>
      </w:pPr>
      <w:r>
        <w:rPr>
          <w:color w:val="auto"/>
          <w:sz w:val="24"/>
          <w:highlight w:val="none"/>
        </w:rPr>
        <w:t>日期：日期：</w:t>
      </w:r>
    </w:p>
    <w:p>
      <w:pPr>
        <w:rPr>
          <w:color w:val="auto"/>
          <w:highlight w:val="none"/>
        </w:rPr>
        <w:sectPr>
          <w:pgSz w:w="11906" w:h="16838"/>
          <w:pgMar w:top="1440" w:right="1287" w:bottom="1440" w:left="1440" w:header="851" w:footer="992" w:gutter="0"/>
          <w:cols w:space="720" w:num="1"/>
          <w:docGrid w:type="lines" w:linePitch="312" w:charSpace="0"/>
        </w:sectPr>
      </w:pPr>
    </w:p>
    <w:p>
      <w:pPr>
        <w:ind w:firstLine="440" w:firstLineChars="100"/>
        <w:jc w:val="center"/>
        <w:rPr>
          <w:rFonts w:ascii="宋体" w:hAnsi="宋体" w:cs="宋体"/>
          <w:bCs/>
          <w:color w:val="auto"/>
          <w:sz w:val="44"/>
          <w:szCs w:val="44"/>
          <w:highlight w:val="none"/>
        </w:rPr>
      </w:pPr>
      <w:r>
        <w:rPr>
          <w:rFonts w:hint="eastAsia" w:ascii="宋体" w:hAnsi="宋体" w:cs="宋体"/>
          <w:bCs/>
          <w:color w:val="auto"/>
          <w:sz w:val="44"/>
          <w:szCs w:val="44"/>
          <w:highlight w:val="none"/>
        </w:rPr>
        <w:t>第五部分. 附件（响应文件格式）</w:t>
      </w:r>
    </w:p>
    <w:p>
      <w:pPr>
        <w:rPr>
          <w:rFonts w:ascii="宋体" w:hAnsi="宋体" w:cs="宋体"/>
          <w:b/>
          <w:bCs/>
          <w:color w:val="auto"/>
          <w:sz w:val="24"/>
          <w:highlight w:val="none"/>
        </w:rPr>
      </w:pPr>
    </w:p>
    <w:p>
      <w:pPr>
        <w:spacing w:line="360" w:lineRule="auto"/>
        <w:jc w:val="center"/>
        <w:rPr>
          <w:rFonts w:ascii="宋体" w:hAnsi="宋体" w:cs="宋体"/>
          <w:b/>
          <w:color w:val="auto"/>
          <w:sz w:val="48"/>
          <w:szCs w:val="20"/>
          <w:highlight w:val="none"/>
        </w:rPr>
      </w:pPr>
      <w:r>
        <w:rPr>
          <w:rFonts w:hint="eastAsia" w:ascii="宋体" w:hAnsi="宋体" w:cs="宋体"/>
          <w:b/>
          <w:color w:val="auto"/>
          <w:sz w:val="48"/>
          <w:szCs w:val="20"/>
          <w:highlight w:val="none"/>
        </w:rPr>
        <w:t>项目竞争性磋商</w:t>
      </w:r>
    </w:p>
    <w:p>
      <w:pPr>
        <w:spacing w:line="360" w:lineRule="auto"/>
        <w:jc w:val="center"/>
        <w:rPr>
          <w:rFonts w:ascii="宋体" w:hAnsi="宋体" w:cs="宋体"/>
          <w:b/>
          <w:color w:val="auto"/>
          <w:sz w:val="72"/>
          <w:szCs w:val="20"/>
          <w:highlight w:val="none"/>
        </w:rPr>
      </w:pPr>
      <w:r>
        <w:rPr>
          <w:rFonts w:hint="eastAsia" w:ascii="宋体" w:hAnsi="宋体" w:cs="宋体"/>
          <w:b/>
          <w:color w:val="auto"/>
          <w:sz w:val="72"/>
          <w:szCs w:val="20"/>
          <w:highlight w:val="none"/>
        </w:rPr>
        <w:t>响应文件</w:t>
      </w:r>
    </w:p>
    <w:p>
      <w:pPr>
        <w:spacing w:line="360" w:lineRule="auto"/>
        <w:jc w:val="center"/>
        <w:rPr>
          <w:rFonts w:ascii="宋体" w:hAnsi="宋体" w:cs="宋体"/>
          <w:b/>
          <w:color w:val="auto"/>
          <w:sz w:val="48"/>
          <w:szCs w:val="20"/>
          <w:highlight w:val="none"/>
        </w:rPr>
      </w:pPr>
    </w:p>
    <w:p>
      <w:pPr>
        <w:spacing w:line="360" w:lineRule="auto"/>
        <w:jc w:val="center"/>
        <w:rPr>
          <w:rFonts w:ascii="宋体" w:hAnsi="宋体" w:cs="宋体"/>
          <w:b/>
          <w:color w:val="auto"/>
          <w:sz w:val="48"/>
          <w:szCs w:val="20"/>
          <w:highlight w:val="none"/>
        </w:rPr>
      </w:pPr>
    </w:p>
    <w:p>
      <w:pPr>
        <w:spacing w:line="360" w:lineRule="auto"/>
        <w:jc w:val="center"/>
        <w:rPr>
          <w:rFonts w:ascii="宋体" w:hAnsi="宋体" w:cs="宋体"/>
          <w:b/>
          <w:color w:val="auto"/>
          <w:sz w:val="48"/>
          <w:szCs w:val="20"/>
          <w:highlight w:val="none"/>
        </w:rPr>
      </w:pPr>
    </w:p>
    <w:p>
      <w:pPr>
        <w:spacing w:line="360" w:lineRule="auto"/>
        <w:jc w:val="center"/>
        <w:rPr>
          <w:rFonts w:ascii="宋体" w:hAnsi="宋体" w:cs="宋体"/>
          <w:b/>
          <w:color w:val="auto"/>
          <w:sz w:val="48"/>
          <w:szCs w:val="20"/>
          <w:highlight w:val="none"/>
        </w:rPr>
      </w:pPr>
    </w:p>
    <w:p>
      <w:pPr>
        <w:spacing w:line="360" w:lineRule="auto"/>
        <w:jc w:val="center"/>
        <w:rPr>
          <w:rFonts w:ascii="宋体" w:hAnsi="宋体" w:cs="宋体"/>
          <w:b/>
          <w:color w:val="auto"/>
          <w:sz w:val="48"/>
          <w:szCs w:val="20"/>
          <w:highlight w:val="none"/>
        </w:rPr>
      </w:pPr>
    </w:p>
    <w:p>
      <w:pPr>
        <w:spacing w:line="360" w:lineRule="auto"/>
        <w:jc w:val="center"/>
        <w:rPr>
          <w:rFonts w:ascii="宋体" w:hAnsi="宋体" w:cs="宋体"/>
          <w:b/>
          <w:color w:val="auto"/>
          <w:sz w:val="48"/>
          <w:szCs w:val="20"/>
          <w:highlight w:val="none"/>
        </w:rPr>
      </w:pPr>
    </w:p>
    <w:p>
      <w:pPr>
        <w:snapToGrid w:val="0"/>
        <w:spacing w:line="360" w:lineRule="auto"/>
        <w:rPr>
          <w:rFonts w:ascii="宋体" w:hAnsi="宋体" w:cs="宋体"/>
          <w:b/>
          <w:color w:val="auto"/>
          <w:sz w:val="28"/>
          <w:szCs w:val="20"/>
          <w:highlight w:val="none"/>
          <w:u w:val="single"/>
        </w:rPr>
      </w:pPr>
      <w:r>
        <w:rPr>
          <w:rFonts w:hint="eastAsia" w:ascii="宋体" w:hAnsi="宋体" w:cs="宋体"/>
          <w:b/>
          <w:color w:val="auto"/>
          <w:sz w:val="28"/>
          <w:szCs w:val="20"/>
          <w:highlight w:val="none"/>
        </w:rPr>
        <w:t>采购编号：</w:t>
      </w:r>
    </w:p>
    <w:p>
      <w:pPr>
        <w:snapToGrid w:val="0"/>
        <w:spacing w:line="360" w:lineRule="auto"/>
        <w:rPr>
          <w:rFonts w:ascii="宋体" w:hAnsi="宋体" w:cs="宋体"/>
          <w:b/>
          <w:color w:val="auto"/>
          <w:sz w:val="30"/>
          <w:szCs w:val="20"/>
          <w:highlight w:val="none"/>
          <w:u w:val="single"/>
        </w:rPr>
      </w:pPr>
      <w:r>
        <w:rPr>
          <w:rFonts w:hint="eastAsia" w:ascii="宋体" w:hAnsi="宋体" w:cs="宋体"/>
          <w:b/>
          <w:color w:val="auto"/>
          <w:sz w:val="28"/>
          <w:szCs w:val="20"/>
          <w:highlight w:val="none"/>
        </w:rPr>
        <w:t>项目</w:t>
      </w:r>
      <w:r>
        <w:rPr>
          <w:rFonts w:hint="eastAsia" w:ascii="宋体" w:hAnsi="宋体" w:cs="宋体"/>
          <w:b/>
          <w:color w:val="auto"/>
          <w:sz w:val="30"/>
          <w:szCs w:val="20"/>
          <w:highlight w:val="none"/>
        </w:rPr>
        <w:t>名称：</w:t>
      </w:r>
      <w:r>
        <w:rPr>
          <w:rFonts w:hint="eastAsia" w:ascii="宋体" w:hAnsi="宋体" w:cs="宋体"/>
          <w:b/>
          <w:color w:val="auto"/>
          <w:sz w:val="30"/>
          <w:szCs w:val="20"/>
          <w:highlight w:val="none"/>
          <w:u w:val="single"/>
        </w:rPr>
        <w:tab/>
      </w:r>
      <w:r>
        <w:rPr>
          <w:rFonts w:hint="eastAsia" w:ascii="宋体" w:hAnsi="宋体" w:cs="宋体"/>
          <w:b/>
          <w:color w:val="auto"/>
          <w:sz w:val="30"/>
          <w:szCs w:val="20"/>
          <w:highlight w:val="none"/>
          <w:u w:val="single"/>
        </w:rPr>
        <w:tab/>
      </w:r>
      <w:r>
        <w:rPr>
          <w:rFonts w:hint="eastAsia" w:ascii="宋体" w:hAnsi="宋体" w:cs="宋体"/>
          <w:b/>
          <w:color w:val="auto"/>
          <w:sz w:val="30"/>
          <w:szCs w:val="20"/>
          <w:highlight w:val="none"/>
          <w:u w:val="single"/>
        </w:rPr>
        <w:tab/>
      </w:r>
    </w:p>
    <w:p>
      <w:pPr>
        <w:snapToGrid w:val="0"/>
        <w:spacing w:line="360" w:lineRule="auto"/>
        <w:rPr>
          <w:rFonts w:ascii="宋体" w:hAnsi="宋体" w:cs="宋体"/>
          <w:b/>
          <w:bCs/>
          <w:color w:val="auto"/>
          <w:sz w:val="30"/>
          <w:szCs w:val="30"/>
          <w:highlight w:val="none"/>
          <w:u w:val="single"/>
        </w:rPr>
      </w:pPr>
    </w:p>
    <w:p>
      <w:pPr>
        <w:snapToGrid w:val="0"/>
        <w:spacing w:line="360" w:lineRule="auto"/>
        <w:rPr>
          <w:rFonts w:ascii="宋体" w:hAnsi="宋体" w:cs="宋体"/>
          <w:b/>
          <w:color w:val="auto"/>
          <w:sz w:val="30"/>
          <w:szCs w:val="30"/>
          <w:highlight w:val="none"/>
        </w:rPr>
      </w:pPr>
      <w:r>
        <w:rPr>
          <w:rFonts w:hint="eastAsia" w:ascii="宋体" w:hAnsi="宋体" w:cs="宋体"/>
          <w:b/>
          <w:bCs/>
          <w:color w:val="auto"/>
          <w:sz w:val="30"/>
          <w:szCs w:val="30"/>
          <w:highlight w:val="none"/>
        </w:rPr>
        <w:t>年月日时分</w:t>
      </w:r>
      <w:r>
        <w:rPr>
          <w:rFonts w:hint="eastAsia" w:ascii="宋体" w:hAnsi="宋体" w:cs="宋体"/>
          <w:color w:val="auto"/>
          <w:sz w:val="30"/>
          <w:szCs w:val="30"/>
          <w:highlight w:val="none"/>
        </w:rPr>
        <w:t>开标，此时间以前不得开封；</w:t>
      </w:r>
    </w:p>
    <w:p>
      <w:pPr>
        <w:snapToGrid w:val="0"/>
        <w:spacing w:line="360" w:lineRule="auto"/>
        <w:rPr>
          <w:rFonts w:ascii="宋体" w:hAnsi="宋体" w:cs="宋体"/>
          <w:b/>
          <w:color w:val="auto"/>
          <w:sz w:val="30"/>
          <w:szCs w:val="20"/>
          <w:highlight w:val="none"/>
        </w:rPr>
      </w:pPr>
    </w:p>
    <w:p>
      <w:pPr>
        <w:snapToGrid w:val="0"/>
        <w:spacing w:line="360" w:lineRule="auto"/>
        <w:rPr>
          <w:rFonts w:ascii="宋体" w:hAnsi="宋体" w:cs="宋体"/>
          <w:b/>
          <w:color w:val="auto"/>
          <w:sz w:val="30"/>
          <w:szCs w:val="20"/>
          <w:highlight w:val="none"/>
          <w:u w:val="single"/>
        </w:rPr>
      </w:pPr>
      <w:r>
        <w:rPr>
          <w:rFonts w:hint="eastAsia" w:ascii="宋体" w:hAnsi="宋体" w:cs="宋体"/>
          <w:b/>
          <w:color w:val="auto"/>
          <w:sz w:val="30"/>
          <w:szCs w:val="20"/>
          <w:highlight w:val="none"/>
        </w:rPr>
        <w:t>供应商：</w:t>
      </w:r>
      <w:r>
        <w:rPr>
          <w:rFonts w:hint="eastAsia" w:ascii="宋体" w:hAnsi="宋体" w:cs="宋体"/>
          <w:b/>
          <w:color w:val="auto"/>
          <w:sz w:val="30"/>
          <w:szCs w:val="20"/>
          <w:highlight w:val="none"/>
          <w:u w:val="single"/>
        </w:rPr>
        <w:tab/>
      </w:r>
      <w:r>
        <w:rPr>
          <w:rFonts w:hint="eastAsia" w:ascii="宋体" w:hAnsi="宋体" w:cs="宋体"/>
          <w:b/>
          <w:color w:val="auto"/>
          <w:sz w:val="30"/>
          <w:szCs w:val="20"/>
          <w:highlight w:val="none"/>
          <w:u w:val="single"/>
        </w:rPr>
        <w:t xml:space="preserve">                   （盖公章）</w:t>
      </w:r>
    </w:p>
    <w:p>
      <w:pPr>
        <w:snapToGrid w:val="0"/>
        <w:spacing w:line="360" w:lineRule="auto"/>
        <w:rPr>
          <w:rFonts w:ascii="宋体" w:hAnsi="宋体" w:cs="宋体"/>
          <w:b/>
          <w:color w:val="auto"/>
          <w:sz w:val="30"/>
          <w:szCs w:val="20"/>
          <w:highlight w:val="none"/>
        </w:rPr>
      </w:pPr>
      <w:r>
        <w:rPr>
          <w:rFonts w:hint="eastAsia" w:ascii="宋体" w:hAnsi="宋体" w:cs="宋体"/>
          <w:b/>
          <w:color w:val="auto"/>
          <w:sz w:val="30"/>
          <w:szCs w:val="20"/>
          <w:highlight w:val="none"/>
        </w:rPr>
        <w:t>法定代表人或</w:t>
      </w:r>
    </w:p>
    <w:p>
      <w:pPr>
        <w:snapToGrid w:val="0"/>
        <w:spacing w:line="360" w:lineRule="auto"/>
        <w:rPr>
          <w:rFonts w:ascii="宋体" w:hAnsi="宋体" w:cs="宋体"/>
          <w:b/>
          <w:color w:val="auto"/>
          <w:sz w:val="30"/>
          <w:szCs w:val="20"/>
          <w:highlight w:val="none"/>
          <w:u w:val="single"/>
        </w:rPr>
      </w:pPr>
      <w:r>
        <w:rPr>
          <w:rFonts w:hint="eastAsia" w:ascii="宋体" w:hAnsi="宋体" w:cs="宋体"/>
          <w:b/>
          <w:color w:val="auto"/>
          <w:sz w:val="30"/>
          <w:szCs w:val="20"/>
          <w:highlight w:val="none"/>
        </w:rPr>
        <w:t>其委托代理人：</w:t>
      </w:r>
      <w:r>
        <w:rPr>
          <w:rFonts w:hint="eastAsia" w:ascii="宋体" w:hAnsi="宋体" w:cs="宋体"/>
          <w:b/>
          <w:color w:val="auto"/>
          <w:sz w:val="30"/>
          <w:szCs w:val="20"/>
          <w:highlight w:val="none"/>
          <w:u w:val="single"/>
        </w:rPr>
        <w:tab/>
      </w:r>
      <w:r>
        <w:rPr>
          <w:rFonts w:hint="eastAsia" w:ascii="宋体" w:hAnsi="宋体" w:cs="宋体"/>
          <w:b/>
          <w:color w:val="auto"/>
          <w:sz w:val="30"/>
          <w:szCs w:val="20"/>
          <w:highlight w:val="none"/>
          <w:u w:val="single"/>
        </w:rPr>
        <w:t xml:space="preserve">          （签字或盖章）</w:t>
      </w:r>
    </w:p>
    <w:p>
      <w:pPr>
        <w:snapToGrid w:val="0"/>
        <w:spacing w:line="360" w:lineRule="auto"/>
        <w:rPr>
          <w:rFonts w:ascii="宋体" w:hAnsi="宋体" w:cs="宋体"/>
          <w:b/>
          <w:color w:val="auto"/>
          <w:sz w:val="30"/>
          <w:szCs w:val="20"/>
          <w:highlight w:val="none"/>
        </w:rPr>
      </w:pPr>
    </w:p>
    <w:p>
      <w:pPr>
        <w:snapToGrid w:val="0"/>
        <w:spacing w:line="360" w:lineRule="auto"/>
        <w:rPr>
          <w:rFonts w:ascii="宋体" w:hAnsi="宋体" w:cs="宋体"/>
          <w:b/>
          <w:color w:val="auto"/>
          <w:sz w:val="30"/>
          <w:szCs w:val="20"/>
          <w:highlight w:val="none"/>
        </w:rPr>
      </w:pPr>
      <w:r>
        <w:rPr>
          <w:rFonts w:hint="eastAsia" w:ascii="宋体" w:hAnsi="宋体" w:cs="宋体"/>
          <w:b/>
          <w:color w:val="auto"/>
          <w:sz w:val="30"/>
          <w:szCs w:val="20"/>
          <w:highlight w:val="none"/>
        </w:rPr>
        <w:t>日  期： 年 月日</w:t>
      </w:r>
    </w:p>
    <w:p>
      <w:pPr>
        <w:ind w:firstLine="420" w:firstLineChars="175"/>
        <w:jc w:val="center"/>
        <w:outlineLvl w:val="0"/>
        <w:rPr>
          <w:rFonts w:ascii="宋体" w:hAnsi="宋体" w:cs="宋体"/>
          <w:bCs/>
          <w:color w:val="auto"/>
          <w:sz w:val="24"/>
          <w:highlight w:val="none"/>
        </w:rPr>
      </w:pPr>
    </w:p>
    <w:p>
      <w:pPr>
        <w:ind w:firstLine="420" w:firstLineChars="175"/>
        <w:jc w:val="center"/>
        <w:outlineLvl w:val="0"/>
        <w:rPr>
          <w:rFonts w:ascii="宋体" w:hAnsi="宋体" w:cs="宋体"/>
          <w:bCs/>
          <w:color w:val="auto"/>
          <w:sz w:val="24"/>
          <w:highlight w:val="none"/>
        </w:rPr>
      </w:pPr>
    </w:p>
    <w:p>
      <w:pPr>
        <w:ind w:firstLine="420" w:firstLineChars="175"/>
        <w:jc w:val="center"/>
        <w:outlineLvl w:val="0"/>
        <w:rPr>
          <w:rFonts w:ascii="宋体" w:hAnsi="宋体" w:cs="宋体"/>
          <w:bCs/>
          <w:color w:val="auto"/>
          <w:sz w:val="24"/>
          <w:highlight w:val="none"/>
        </w:rPr>
        <w:sectPr>
          <w:pgSz w:w="11906" w:h="16838"/>
          <w:pgMar w:top="1440" w:right="1287" w:bottom="1440" w:left="1440" w:header="851" w:footer="992" w:gutter="0"/>
          <w:cols w:space="720" w:num="1"/>
          <w:docGrid w:type="lines" w:linePitch="312" w:charSpace="0"/>
        </w:sectPr>
      </w:pPr>
    </w:p>
    <w:p>
      <w:pPr>
        <w:ind w:firstLine="420" w:firstLineChars="175"/>
        <w:jc w:val="center"/>
        <w:outlineLvl w:val="0"/>
        <w:rPr>
          <w:rFonts w:ascii="宋体" w:hAnsi="宋体" w:cs="宋体"/>
          <w:bCs/>
          <w:color w:val="auto"/>
          <w:sz w:val="24"/>
          <w:highlight w:val="none"/>
        </w:rPr>
      </w:pPr>
      <w:r>
        <w:rPr>
          <w:rFonts w:hint="eastAsia" w:ascii="宋体" w:hAnsi="宋体" w:cs="宋体"/>
          <w:bCs/>
          <w:color w:val="auto"/>
          <w:sz w:val="24"/>
          <w:highlight w:val="none"/>
        </w:rPr>
        <w:t>（一）响应函（格式）：</w:t>
      </w:r>
    </w:p>
    <w:p>
      <w:pPr>
        <w:spacing w:line="360" w:lineRule="auto"/>
        <w:jc w:val="center"/>
        <w:rPr>
          <w:rFonts w:ascii="宋体" w:hAnsi="宋体" w:cs="宋体"/>
          <w:bCs/>
          <w:color w:val="auto"/>
          <w:sz w:val="24"/>
          <w:highlight w:val="none"/>
        </w:rPr>
      </w:pPr>
      <w:r>
        <w:rPr>
          <w:rFonts w:hint="eastAsia" w:ascii="宋体" w:hAnsi="宋体" w:cs="宋体"/>
          <w:bCs/>
          <w:color w:val="auto"/>
          <w:sz w:val="28"/>
          <w:szCs w:val="28"/>
          <w:highlight w:val="none"/>
        </w:rPr>
        <w:t>响应函</w:t>
      </w:r>
    </w:p>
    <w:p>
      <w:pPr>
        <w:widowControl/>
        <w:topLinePunct/>
        <w:spacing w:before="4"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lang w:eastAsia="zh-CN"/>
        </w:rPr>
        <w:t>江苏成建项目管理有限公司</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一、根据已收到的项目编号为的</w:t>
      </w:r>
      <w:r>
        <w:rPr>
          <w:rFonts w:hint="eastAsia" w:ascii="宋体" w:hAnsi="宋体" w:cs="宋体"/>
          <w:b/>
          <w:color w:val="auto"/>
          <w:sz w:val="24"/>
          <w:highlight w:val="none"/>
          <w:u w:val="single"/>
        </w:rPr>
        <w:t xml:space="preserve">    （采购项目名称 ）   </w:t>
      </w:r>
      <w:r>
        <w:rPr>
          <w:rFonts w:hint="eastAsia" w:ascii="宋体" w:hAnsi="宋体" w:cs="宋体"/>
          <w:color w:val="auto"/>
          <w:sz w:val="24"/>
          <w:highlight w:val="none"/>
        </w:rPr>
        <w:t>的竞争性磋商文件，遵照国家法律、法规和规章的有关规定，我方经过踏勘现场和对磋商文件等所有文件的研究后，我方愿以</w:t>
      </w:r>
      <w:r>
        <w:rPr>
          <w:rFonts w:hint="eastAsia" w:ascii="宋体" w:hAnsi="宋体" w:cs="宋体"/>
          <w:color w:val="auto"/>
          <w:sz w:val="24"/>
          <w:highlight w:val="none"/>
          <w:u w:val="single"/>
        </w:rPr>
        <w:t xml:space="preserve">大写金额：        ，小写金额：￥       </w:t>
      </w:r>
      <w:r>
        <w:rPr>
          <w:rFonts w:hint="eastAsia" w:ascii="宋体" w:hAnsi="宋体" w:cs="宋体"/>
          <w:color w:val="auto"/>
          <w:sz w:val="24"/>
          <w:highlight w:val="none"/>
        </w:rPr>
        <w:t>的价格，按磋商文件中的要求承包本项目标段。</w:t>
      </w:r>
    </w:p>
    <w:p>
      <w:pPr>
        <w:topLinePunct/>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我公司拟投入的项目负责人为：</w:t>
      </w:r>
      <w:r>
        <w:rPr>
          <w:rFonts w:hint="eastAsia" w:ascii="宋体" w:hAnsi="宋体" w:cs="宋体"/>
          <w:b/>
          <w:color w:val="auto"/>
          <w:sz w:val="24"/>
          <w:highlight w:val="none"/>
          <w:u w:val="single"/>
        </w:rPr>
        <w:t xml:space="preserve">        ，</w:t>
      </w:r>
      <w:r>
        <w:rPr>
          <w:rFonts w:hint="eastAsia" w:ascii="宋体" w:hAnsi="宋体"/>
          <w:b/>
          <w:color w:val="auto"/>
          <w:sz w:val="24"/>
          <w:highlight w:val="none"/>
        </w:rPr>
        <w:t>资质及职称情况：</w:t>
      </w:r>
      <w:r>
        <w:rPr>
          <w:rFonts w:hint="eastAsia" w:ascii="宋体" w:hAnsi="宋体" w:cs="宋体"/>
          <w:b/>
          <w:color w:val="auto"/>
          <w:sz w:val="24"/>
          <w:highlight w:val="none"/>
        </w:rPr>
        <w:t>。</w:t>
      </w:r>
    </w:p>
    <w:p>
      <w:pPr>
        <w:spacing w:line="420" w:lineRule="exact"/>
        <w:ind w:left="710"/>
        <w:rPr>
          <w:rFonts w:ascii="宋体" w:hAnsi="宋体" w:cs="宋体"/>
          <w:color w:val="auto"/>
          <w:kern w:val="0"/>
          <w:sz w:val="24"/>
          <w:highlight w:val="none"/>
        </w:rPr>
      </w:pPr>
      <w:r>
        <w:rPr>
          <w:rFonts w:hint="eastAsia" w:ascii="宋体" w:hAnsi="宋体" w:cs="宋体"/>
          <w:bCs/>
          <w:color w:val="auto"/>
          <w:sz w:val="24"/>
          <w:highlight w:val="none"/>
        </w:rPr>
        <w:t>二、我们愿意提供</w:t>
      </w:r>
      <w:r>
        <w:rPr>
          <w:rFonts w:hint="eastAsia" w:ascii="宋体" w:hAnsi="宋体" w:cs="宋体"/>
          <w:bCs/>
          <w:color w:val="auto"/>
          <w:sz w:val="24"/>
          <w:highlight w:val="none"/>
          <w:lang w:eastAsia="zh-CN"/>
        </w:rPr>
        <w:t>江苏成建项目管理有限公司</w:t>
      </w:r>
      <w:r>
        <w:rPr>
          <w:rFonts w:hint="eastAsia" w:ascii="宋体" w:hAnsi="宋体" w:cs="宋体"/>
          <w:bCs/>
          <w:color w:val="auto"/>
          <w:sz w:val="24"/>
          <w:highlight w:val="none"/>
        </w:rPr>
        <w:t>在磋商文件中要求的文件、资料。</w:t>
      </w:r>
    </w:p>
    <w:p>
      <w:pPr>
        <w:tabs>
          <w:tab w:val="left" w:pos="525"/>
          <w:tab w:val="left" w:pos="552"/>
          <w:tab w:val="left" w:pos="630"/>
          <w:tab w:val="left" w:pos="945"/>
        </w:tabs>
        <w:spacing w:line="360" w:lineRule="auto"/>
        <w:ind w:firstLine="480" w:firstLineChars="200"/>
        <w:rPr>
          <w:rFonts w:ascii="宋体" w:hAnsi="宋体" w:cs="宋体"/>
          <w:bCs/>
          <w:color w:val="auto"/>
          <w:sz w:val="24"/>
          <w:highlight w:val="none"/>
        </w:rPr>
      </w:pPr>
      <w:r>
        <w:rPr>
          <w:rFonts w:hint="eastAsia" w:ascii="宋体" w:hAnsi="宋体" w:cs="宋体"/>
          <w:color w:val="auto"/>
          <w:kern w:val="0"/>
          <w:sz w:val="24"/>
          <w:highlight w:val="none"/>
        </w:rPr>
        <w:t>三、我们同意按磋商文件中的规定，本响应文件投标的有效期限为磋商截止</w:t>
      </w:r>
      <w:r>
        <w:rPr>
          <w:rFonts w:hint="eastAsia" w:ascii="宋体" w:hAnsi="宋体" w:cs="宋体"/>
          <w:bCs/>
          <w:color w:val="auto"/>
          <w:sz w:val="24"/>
          <w:highlight w:val="none"/>
        </w:rPr>
        <w:t>之日起90天。</w:t>
      </w:r>
    </w:p>
    <w:p>
      <w:pPr>
        <w:tabs>
          <w:tab w:val="left" w:pos="525"/>
          <w:tab w:val="left" w:pos="552"/>
          <w:tab w:val="left" w:pos="630"/>
          <w:tab w:val="left" w:pos="945"/>
        </w:tabs>
        <w:spacing w:line="360" w:lineRule="auto"/>
        <w:ind w:firstLine="480" w:firstLineChars="200"/>
        <w:rPr>
          <w:rFonts w:ascii="宋体" w:hAnsi="宋体" w:cs="宋体"/>
          <w:bCs/>
          <w:color w:val="auto"/>
          <w:sz w:val="24"/>
          <w:highlight w:val="none"/>
        </w:rPr>
      </w:pPr>
      <w:r>
        <w:rPr>
          <w:rFonts w:hint="eastAsia" w:ascii="宋体" w:hAnsi="宋体" w:cs="宋体"/>
          <w:color w:val="auto"/>
          <w:kern w:val="0"/>
          <w:sz w:val="24"/>
          <w:highlight w:val="none"/>
        </w:rPr>
        <w:t>四、我方同意按磋商文件中的规定期限内完成全部工作。</w:t>
      </w:r>
    </w:p>
    <w:p>
      <w:pPr>
        <w:tabs>
          <w:tab w:val="left" w:pos="525"/>
          <w:tab w:val="left" w:pos="552"/>
          <w:tab w:val="left" w:pos="94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五、如果我们的响应文件被接受，我们将履行磋商文件中规定的每一项要求，按期、按质、按量，完成交货任务。</w:t>
      </w:r>
    </w:p>
    <w:p>
      <w:pPr>
        <w:tabs>
          <w:tab w:val="left" w:pos="525"/>
          <w:tab w:val="left" w:pos="552"/>
          <w:tab w:val="left" w:pos="94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六、我们认为你们有权决定成交供应商。</w:t>
      </w:r>
    </w:p>
    <w:p>
      <w:pPr>
        <w:tabs>
          <w:tab w:val="left" w:pos="525"/>
          <w:tab w:val="left" w:pos="552"/>
          <w:tab w:val="left" w:pos="94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七、我方愿意遵守《中华人民共和国政府采购法》，并按《中华人民共和国民法典》和合同条款履行自己的全部责任。在合同履行过程中，双方如有争议，同意双方协调解决，并按相关法规和有关文件规定处理。</w:t>
      </w:r>
    </w:p>
    <w:p>
      <w:pPr>
        <w:tabs>
          <w:tab w:val="left" w:pos="525"/>
          <w:tab w:val="left" w:pos="552"/>
          <w:tab w:val="left" w:pos="94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八、我们认可并保证遵守磋商文件的所有规定，放弃对磋商文件提出质疑的权利。</w:t>
      </w:r>
    </w:p>
    <w:p>
      <w:pPr>
        <w:tabs>
          <w:tab w:val="left" w:pos="525"/>
          <w:tab w:val="left" w:pos="552"/>
          <w:tab w:val="left" w:pos="94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九、如果我方被确定为成交供应商且我方如无不可抗力，又未履行磋商文件、响应文件和合同条款的，一经查实，我方愿意赔偿由此而造成的一切损失，并同意接受按磋商文件的相关要求对我方进行的处理。</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供应商（盖章）：     </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法定代表人或法定代表人授权代表签字或盖章：</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电话：                              传真：</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地址：                              邮编：                             </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开户名称：                          开户银行：     开户账号：</w:t>
      </w:r>
    </w:p>
    <w:p>
      <w:pPr>
        <w:ind w:firstLine="420" w:firstLineChars="175"/>
        <w:jc w:val="center"/>
        <w:outlineLvl w:val="0"/>
        <w:rPr>
          <w:rFonts w:ascii="宋体" w:hAnsi="宋体" w:cs="宋体"/>
          <w:b/>
          <w:color w:val="auto"/>
          <w:sz w:val="30"/>
          <w:szCs w:val="30"/>
          <w:highlight w:val="none"/>
        </w:rPr>
      </w:pPr>
      <w:bookmarkStart w:id="567" w:name="校园网系统报价和服务承诺表（格式）"/>
      <w:bookmarkEnd w:id="567"/>
      <w:bookmarkStart w:id="568" w:name="（报价人）法定代表人授权书（格式）"/>
      <w:bookmarkEnd w:id="568"/>
      <w:r>
        <w:rPr>
          <w:rFonts w:hint="eastAsia" w:ascii="宋体" w:hAnsi="宋体" w:cs="宋体"/>
          <w:bCs/>
          <w:color w:val="auto"/>
          <w:sz w:val="24"/>
          <w:highlight w:val="none"/>
        </w:rPr>
        <w:br w:type="page"/>
      </w:r>
      <w:r>
        <w:rPr>
          <w:rFonts w:hint="eastAsia" w:ascii="宋体" w:hAnsi="宋体" w:cs="宋体"/>
          <w:b/>
          <w:color w:val="auto"/>
          <w:sz w:val="30"/>
          <w:szCs w:val="30"/>
          <w:highlight w:val="none"/>
        </w:rPr>
        <w:t>（二）开标一览表（格式）</w:t>
      </w:r>
    </w:p>
    <w:p>
      <w:pPr>
        <w:adjustRightInd w:val="0"/>
        <w:snapToGrid w:val="0"/>
        <w:spacing w:line="300" w:lineRule="auto"/>
        <w:jc w:val="center"/>
        <w:rPr>
          <w:rFonts w:ascii="宋体" w:hAnsi="宋体" w:cs="宋体"/>
          <w:b/>
          <w:bCs/>
          <w:color w:val="auto"/>
          <w:sz w:val="36"/>
          <w:szCs w:val="36"/>
          <w:highlight w:val="none"/>
        </w:rPr>
      </w:pPr>
    </w:p>
    <w:p>
      <w:pPr>
        <w:adjustRightInd w:val="0"/>
        <w:snapToGrid w:val="0"/>
        <w:spacing w:line="300" w:lineRule="auto"/>
        <w:rPr>
          <w:rFonts w:ascii="宋体" w:hAnsi="宋体" w:cs="宋体"/>
          <w:color w:val="auto"/>
          <w:highlight w:val="none"/>
        </w:rPr>
      </w:pPr>
      <w:r>
        <w:rPr>
          <w:rFonts w:hint="eastAsia" w:ascii="宋体" w:hAnsi="宋体" w:cs="宋体"/>
          <w:color w:val="auto"/>
          <w:sz w:val="24"/>
          <w:highlight w:val="none"/>
        </w:rPr>
        <w:t>报价供应商全称（加盖公章）：  采购编号：</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6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2338" w:type="dxa"/>
            <w:vAlign w:val="center"/>
          </w:tcPr>
          <w:p>
            <w:pPr>
              <w:pStyle w:val="8"/>
              <w:snapToGrid w:val="0"/>
              <w:spacing w:line="30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项目总报价</w:t>
            </w:r>
          </w:p>
          <w:p>
            <w:pPr>
              <w:pStyle w:val="8"/>
              <w:snapToGrid w:val="0"/>
              <w:spacing w:line="30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（人民币）</w:t>
            </w:r>
          </w:p>
        </w:tc>
        <w:tc>
          <w:tcPr>
            <w:tcW w:w="6613" w:type="dxa"/>
            <w:vAlign w:val="center"/>
          </w:tcPr>
          <w:p>
            <w:pPr>
              <w:pStyle w:val="8"/>
              <w:snapToGrid w:val="0"/>
              <w:spacing w:line="300" w:lineRule="auto"/>
              <w:rPr>
                <w:rFonts w:ascii="宋体" w:hAnsi="宋体" w:eastAsia="宋体" w:cs="宋体"/>
                <w:color w:val="auto"/>
                <w:sz w:val="24"/>
                <w:highlight w:val="none"/>
              </w:rPr>
            </w:pPr>
            <w:r>
              <w:rPr>
                <w:rFonts w:hint="eastAsia" w:ascii="宋体" w:hAnsi="宋体" w:eastAsia="宋体" w:cs="宋体"/>
                <w:color w:val="auto"/>
                <w:sz w:val="24"/>
                <w:highlight w:val="none"/>
              </w:rPr>
              <w:t>大写：</w:t>
            </w:r>
          </w:p>
          <w:p>
            <w:pPr>
              <w:pStyle w:val="8"/>
              <w:snapToGrid w:val="0"/>
              <w:spacing w:line="30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338" w:type="dxa"/>
            <w:vAlign w:val="center"/>
          </w:tcPr>
          <w:p>
            <w:pPr>
              <w:adjustRightInd w:val="0"/>
              <w:snapToGrid w:val="0"/>
              <w:spacing w:line="300" w:lineRule="auto"/>
              <w:jc w:val="center"/>
              <w:rPr>
                <w:rFonts w:ascii="宋体" w:hAnsi="宋体" w:cs="宋体"/>
                <w:color w:val="auto"/>
                <w:sz w:val="24"/>
                <w:szCs w:val="28"/>
                <w:highlight w:val="none"/>
              </w:rPr>
            </w:pPr>
            <w:r>
              <w:rPr>
                <w:rFonts w:hint="eastAsia" w:ascii="宋体" w:hAnsi="宋体" w:cs="宋体"/>
                <w:color w:val="auto"/>
                <w:sz w:val="24"/>
                <w:szCs w:val="28"/>
                <w:highlight w:val="none"/>
              </w:rPr>
              <w:t>项目负责人</w:t>
            </w:r>
          </w:p>
        </w:tc>
        <w:tc>
          <w:tcPr>
            <w:tcW w:w="6613" w:type="dxa"/>
            <w:vAlign w:val="center"/>
          </w:tcPr>
          <w:p>
            <w:pPr>
              <w:adjustRightInd w:val="0"/>
              <w:snapToGrid w:val="0"/>
              <w:spacing w:line="300" w:lineRule="auto"/>
              <w:rPr>
                <w:rFonts w:ascii="宋体" w:hAnsi="宋体" w:cs="宋体"/>
                <w:color w:val="auto"/>
                <w:sz w:val="24"/>
                <w:szCs w:val="28"/>
                <w:highlight w:val="none"/>
              </w:rPr>
            </w:pPr>
          </w:p>
        </w:tc>
      </w:tr>
    </w:tbl>
    <w:p>
      <w:pPr>
        <w:adjustRightInd w:val="0"/>
        <w:snapToGrid w:val="0"/>
        <w:spacing w:line="300" w:lineRule="auto"/>
        <w:rPr>
          <w:rFonts w:ascii="宋体" w:hAnsi="宋体" w:cs="宋体"/>
          <w:color w:val="auto"/>
          <w:sz w:val="24"/>
          <w:highlight w:val="none"/>
        </w:rPr>
      </w:pPr>
    </w:p>
    <w:p>
      <w:pPr>
        <w:adjustRightInd w:val="0"/>
        <w:snapToGrid w:val="0"/>
        <w:spacing w:line="300" w:lineRule="auto"/>
        <w:rPr>
          <w:rFonts w:ascii="宋体" w:hAnsi="宋体" w:cs="宋体"/>
          <w:color w:val="auto"/>
          <w:sz w:val="24"/>
          <w:highlight w:val="none"/>
        </w:rPr>
      </w:pPr>
    </w:p>
    <w:p>
      <w:pPr>
        <w:adjustRightInd w:val="0"/>
        <w:snapToGrid w:val="0"/>
        <w:spacing w:line="300" w:lineRule="auto"/>
        <w:ind w:firstLine="480" w:firstLineChars="200"/>
        <w:rPr>
          <w:rFonts w:ascii="宋体" w:hAnsi="宋体" w:cs="宋体"/>
          <w:color w:val="auto"/>
          <w:sz w:val="24"/>
          <w:szCs w:val="28"/>
          <w:highlight w:val="none"/>
        </w:rPr>
      </w:pPr>
    </w:p>
    <w:p>
      <w:pPr>
        <w:overflowPunct w:val="0"/>
        <w:rPr>
          <w:rFonts w:ascii="宋体" w:hAnsi="宋体" w:cs="宋体"/>
          <w:color w:val="auto"/>
          <w:sz w:val="24"/>
          <w:highlight w:val="none"/>
        </w:rPr>
      </w:pPr>
      <w:r>
        <w:rPr>
          <w:rFonts w:hint="eastAsia" w:ascii="宋体" w:hAnsi="宋体" w:cs="宋体"/>
          <w:color w:val="auto"/>
          <w:sz w:val="24"/>
          <w:highlight w:val="none"/>
        </w:rPr>
        <w:t>法定代表人或授权代表签字：                          日期：   年   月   日</w:t>
      </w:r>
    </w:p>
    <w:p>
      <w:pPr>
        <w:overflowPunct w:val="0"/>
        <w:rPr>
          <w:rFonts w:ascii="宋体" w:hAnsi="宋体" w:cs="宋体"/>
          <w:color w:val="auto"/>
          <w:sz w:val="24"/>
          <w:highlight w:val="none"/>
        </w:rPr>
      </w:pPr>
      <w:r>
        <w:rPr>
          <w:rFonts w:hint="eastAsia" w:ascii="宋体" w:hAnsi="宋体" w:cs="宋体"/>
          <w:color w:val="auto"/>
          <w:sz w:val="24"/>
          <w:highlight w:val="none"/>
        </w:rPr>
        <w:t>填写说明：</w:t>
      </w:r>
    </w:p>
    <w:p>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1、开标一览表中的内容应与响应函内容一致，否则评标时一律按开标一览表中内容为准，开标一览表中必须盖章或签字。</w:t>
      </w:r>
    </w:p>
    <w:p>
      <w:pPr>
        <w:widowControl/>
        <w:topLinePunct/>
        <w:spacing w:before="4" w:line="360" w:lineRule="auto"/>
        <w:ind w:left="5280" w:hanging="5280" w:hangingChars="2200"/>
        <w:rPr>
          <w:rFonts w:ascii="宋体" w:hAnsi="宋体" w:cs="宋体"/>
          <w:color w:val="auto"/>
          <w:sz w:val="24"/>
          <w:highlight w:val="none"/>
        </w:rPr>
      </w:pPr>
    </w:p>
    <w:p>
      <w:pPr>
        <w:widowControl/>
        <w:topLinePunct/>
        <w:spacing w:before="4" w:line="360" w:lineRule="auto"/>
        <w:ind w:left="5280" w:hanging="5280" w:hangingChars="2200"/>
        <w:rPr>
          <w:rFonts w:ascii="宋体" w:hAnsi="宋体" w:cs="宋体"/>
          <w:color w:val="auto"/>
          <w:sz w:val="24"/>
          <w:highlight w:val="none"/>
        </w:rPr>
      </w:pPr>
    </w:p>
    <w:p>
      <w:pPr>
        <w:tabs>
          <w:tab w:val="left" w:pos="200"/>
        </w:tabs>
        <w:topLinePunct/>
        <w:snapToGrid w:val="0"/>
        <w:spacing w:line="360" w:lineRule="auto"/>
        <w:ind w:firstLine="240" w:firstLineChars="100"/>
        <w:rPr>
          <w:rFonts w:ascii="宋体" w:hAnsi="宋体" w:cs="宋体"/>
          <w:color w:val="auto"/>
          <w:sz w:val="24"/>
          <w:highlight w:val="none"/>
        </w:rPr>
      </w:pPr>
    </w:p>
    <w:p>
      <w:pPr>
        <w:spacing w:line="360" w:lineRule="auto"/>
        <w:jc w:val="center"/>
        <w:rPr>
          <w:rFonts w:ascii="宋体" w:hAnsi="宋体" w:cs="宋体"/>
          <w:b/>
          <w:color w:val="auto"/>
          <w:sz w:val="30"/>
          <w:szCs w:val="30"/>
          <w:highlight w:val="none"/>
        </w:rPr>
      </w:pPr>
      <w:r>
        <w:rPr>
          <w:rFonts w:hint="eastAsia" w:ascii="宋体" w:hAnsi="宋体" w:cs="宋体"/>
          <w:color w:val="auto"/>
          <w:sz w:val="24"/>
          <w:highlight w:val="none"/>
        </w:rPr>
        <w:br w:type="page"/>
      </w:r>
      <w:r>
        <w:rPr>
          <w:rFonts w:hint="eastAsia" w:ascii="宋体" w:hAnsi="宋体" w:cs="宋体"/>
          <w:b/>
          <w:color w:val="auto"/>
          <w:sz w:val="30"/>
          <w:szCs w:val="30"/>
          <w:highlight w:val="none"/>
        </w:rPr>
        <w:t xml:space="preserve"> （三）承诺书一（格式）</w:t>
      </w:r>
    </w:p>
    <w:p>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（采购人名称）           </w:t>
      </w:r>
    </w:p>
    <w:p>
      <w:pPr>
        <w:spacing w:before="240" w:line="360" w:lineRule="auto"/>
        <w:ind w:firstLine="480"/>
        <w:rPr>
          <w:rFonts w:ascii="宋体" w:hAnsi="宋体" w:cs="宋体"/>
          <w:color w:val="auto"/>
          <w:sz w:val="24"/>
          <w:highlight w:val="none"/>
        </w:rPr>
      </w:pPr>
      <w:r>
        <w:rPr>
          <w:rFonts w:hint="eastAsia" w:ascii="宋体" w:hAnsi="宋体" w:cs="宋体"/>
          <w:color w:val="auto"/>
          <w:sz w:val="24"/>
          <w:highlight w:val="none"/>
        </w:rPr>
        <w:t>我公司自愿参加贵单位（公司）项目的投标，并接受对我公司的资格审查，我公司承诺：我公司未处于被责令停业、投标资格被取消或者财产被接管、冻结和破产状态，</w:t>
      </w:r>
      <w:r>
        <w:rPr>
          <w:rFonts w:hint="eastAsia" w:ascii="宋体" w:hAnsi="宋体" w:cs="宋体"/>
          <w:color w:val="auto"/>
          <w:sz w:val="24"/>
          <w:highlight w:val="none"/>
          <w:lang w:val="zh-CN"/>
        </w:rPr>
        <w:t xml:space="preserve"> 201</w:t>
      </w:r>
      <w:r>
        <w:rPr>
          <w:rFonts w:hint="eastAsia" w:ascii="宋体" w:hAnsi="宋体" w:cs="宋体"/>
          <w:color w:val="auto"/>
          <w:sz w:val="24"/>
          <w:highlight w:val="none"/>
        </w:rPr>
        <w:t>7</w:t>
      </w:r>
      <w:r>
        <w:rPr>
          <w:rFonts w:hint="eastAsia" w:ascii="宋体" w:hAnsi="宋体" w:cs="宋体"/>
          <w:color w:val="auto"/>
          <w:sz w:val="24"/>
          <w:highlight w:val="none"/>
          <w:lang w:val="zh-CN"/>
        </w:rPr>
        <w:t>年1月以来</w:t>
      </w:r>
      <w:r>
        <w:rPr>
          <w:rFonts w:hint="eastAsia" w:ascii="宋体" w:hAnsi="宋体" w:cs="宋体"/>
          <w:b/>
          <w:color w:val="auto"/>
          <w:sz w:val="24"/>
          <w:highlight w:val="none"/>
        </w:rPr>
        <w:t>企业没有因骗取中标或者严重违约以及发生重大工程质量事故、</w:t>
      </w:r>
      <w:r>
        <w:rPr>
          <w:rFonts w:hint="eastAsia" w:ascii="宋体" w:hAnsi="宋体" w:cs="宋体"/>
          <w:b/>
          <w:color w:val="auto"/>
          <w:sz w:val="24"/>
          <w:highlight w:val="none"/>
          <w:lang w:val="zh-CN"/>
        </w:rPr>
        <w:t>安全事故、文明施工市级不良记录</w:t>
      </w:r>
      <w:r>
        <w:rPr>
          <w:rFonts w:hint="eastAsia" w:ascii="宋体" w:hAnsi="宋体" w:cs="宋体"/>
          <w:b/>
          <w:color w:val="auto"/>
          <w:sz w:val="24"/>
          <w:highlight w:val="none"/>
        </w:rPr>
        <w:t>等问题，</w:t>
      </w:r>
      <w:r>
        <w:rPr>
          <w:rFonts w:hint="eastAsia" w:ascii="宋体" w:hAnsi="宋体" w:cs="宋体"/>
          <w:color w:val="auto"/>
          <w:sz w:val="24"/>
          <w:highlight w:val="none"/>
        </w:rPr>
        <w:t>被有关部门暂停投标资格并在暂停期内的。根据贵单位（公司）提出的磋商文件要求，本公司递交的</w:t>
      </w:r>
      <w:r>
        <w:rPr>
          <w:rFonts w:hint="eastAsia" w:ascii="宋体" w:hAnsi="宋体" w:cs="宋体"/>
          <w:color w:val="auto"/>
          <w:sz w:val="24"/>
          <w:highlight w:val="none"/>
          <w:lang w:val="zh-CN"/>
        </w:rPr>
        <w:t>响应文件</w:t>
      </w:r>
      <w:r>
        <w:rPr>
          <w:rFonts w:hint="eastAsia" w:ascii="宋体" w:hAnsi="宋体" w:cs="宋体"/>
          <w:color w:val="auto"/>
          <w:sz w:val="24"/>
          <w:highlight w:val="none"/>
        </w:rPr>
        <w:t>中的内容没有隐瞒、虚假、伪造等弄虚作假行为。若发现该行为，贵公司可以拒绝我公司报价，如已中标，可取消我公司中标资格，并接受政府采购主管部门对我公司弄虚作假、违反公平和诚实信用原则做出的任何处理。</w:t>
      </w:r>
    </w:p>
    <w:p>
      <w:pPr>
        <w:spacing w:before="240" w:line="360" w:lineRule="auto"/>
        <w:ind w:firstLine="480"/>
        <w:rPr>
          <w:rFonts w:ascii="宋体" w:hAnsi="宋体" w:cs="宋体"/>
          <w:color w:val="auto"/>
          <w:sz w:val="24"/>
          <w:highlight w:val="none"/>
        </w:rPr>
      </w:pPr>
    </w:p>
    <w:p>
      <w:pPr>
        <w:spacing w:before="240" w:line="360" w:lineRule="auto"/>
        <w:ind w:firstLine="480"/>
        <w:rPr>
          <w:rFonts w:ascii="宋体" w:hAnsi="宋体" w:cs="宋体"/>
          <w:color w:val="auto"/>
          <w:sz w:val="24"/>
          <w:highlight w:val="none"/>
        </w:rPr>
      </w:pPr>
    </w:p>
    <w:p>
      <w:pPr>
        <w:spacing w:before="240" w:line="360" w:lineRule="auto"/>
        <w:ind w:firstLine="480"/>
        <w:rPr>
          <w:rFonts w:ascii="宋体" w:hAnsi="宋体" w:cs="宋体"/>
          <w:color w:val="auto"/>
          <w:sz w:val="24"/>
          <w:highlight w:val="none"/>
        </w:rPr>
      </w:pPr>
    </w:p>
    <w:p>
      <w:pPr>
        <w:wordWrap w:val="0"/>
        <w:spacing w:before="240" w:line="360" w:lineRule="auto"/>
        <w:ind w:right="480" w:firstLine="480"/>
        <w:jc w:val="center"/>
        <w:rPr>
          <w:rFonts w:ascii="宋体" w:hAnsi="宋体" w:cs="宋体"/>
          <w:color w:val="auto"/>
          <w:sz w:val="24"/>
          <w:highlight w:val="none"/>
        </w:rPr>
      </w:pPr>
      <w:r>
        <w:rPr>
          <w:rFonts w:hint="eastAsia" w:ascii="宋体" w:hAnsi="宋体" w:cs="宋体"/>
          <w:color w:val="auto"/>
          <w:sz w:val="24"/>
          <w:highlight w:val="none"/>
        </w:rPr>
        <w:t xml:space="preserve">                                     报价供应商：（盖章）          </w:t>
      </w:r>
    </w:p>
    <w:p>
      <w:pPr>
        <w:wordWrap w:val="0"/>
        <w:spacing w:before="240"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法定代表人签名或盖章：            </w:t>
      </w:r>
    </w:p>
    <w:p>
      <w:pPr>
        <w:wordWrap w:val="0"/>
        <w:spacing w:before="240"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年    月    日</w:t>
      </w:r>
    </w:p>
    <w:p>
      <w:pPr>
        <w:spacing w:before="240" w:line="360" w:lineRule="auto"/>
        <w:ind w:firstLine="480"/>
        <w:jc w:val="right"/>
        <w:rPr>
          <w:rFonts w:ascii="宋体" w:hAnsi="宋体" w:cs="宋体"/>
          <w:color w:val="auto"/>
          <w:sz w:val="24"/>
          <w:highlight w:val="none"/>
        </w:rPr>
      </w:pPr>
    </w:p>
    <w:p>
      <w:pPr>
        <w:spacing w:before="240" w:line="360" w:lineRule="auto"/>
        <w:ind w:firstLine="480"/>
        <w:jc w:val="right"/>
        <w:rPr>
          <w:rFonts w:ascii="宋体" w:hAnsi="宋体" w:cs="宋体"/>
          <w:color w:val="auto"/>
          <w:sz w:val="24"/>
          <w:highlight w:val="none"/>
        </w:rPr>
      </w:pPr>
    </w:p>
    <w:p>
      <w:pPr>
        <w:spacing w:before="240" w:line="360" w:lineRule="auto"/>
        <w:ind w:firstLine="480"/>
        <w:jc w:val="right"/>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pStyle w:val="5"/>
        <w:jc w:val="center"/>
        <w:rPr>
          <w:rFonts w:ascii="宋体" w:hAnsi="宋体" w:eastAsia="宋体" w:cs="宋体"/>
          <w:bCs w:val="0"/>
          <w:color w:val="auto"/>
          <w:highlight w:val="none"/>
        </w:rPr>
      </w:pPr>
      <w:r>
        <w:rPr>
          <w:rFonts w:hint="eastAsia" w:ascii="宋体" w:hAnsi="宋体" w:eastAsia="宋体" w:cs="宋体"/>
          <w:bCs w:val="0"/>
          <w:color w:val="auto"/>
          <w:highlight w:val="none"/>
        </w:rPr>
        <w:t>承诺书二（格式）</w:t>
      </w:r>
    </w:p>
    <w:p>
      <w:pPr>
        <w:spacing w:before="240" w:line="360" w:lineRule="auto"/>
        <w:ind w:firstLine="480"/>
        <w:rPr>
          <w:rFonts w:ascii="宋体" w:hAnsi="宋体" w:cs="宋体"/>
          <w:color w:val="auto"/>
          <w:sz w:val="24"/>
          <w:highlight w:val="none"/>
        </w:rPr>
      </w:pPr>
      <w:r>
        <w:rPr>
          <w:rFonts w:hint="eastAsia" w:ascii="宋体" w:hAnsi="宋体" w:cs="宋体"/>
          <w:color w:val="auto"/>
          <w:sz w:val="24"/>
          <w:highlight w:val="none"/>
        </w:rPr>
        <w:t> </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w:t>
      </w:r>
    </w:p>
    <w:p>
      <w:pPr>
        <w:spacing w:before="240" w:line="360" w:lineRule="auto"/>
        <w:ind w:firstLine="480"/>
        <w:rPr>
          <w:rFonts w:ascii="宋体" w:hAnsi="宋体" w:cs="宋体"/>
          <w:color w:val="auto"/>
          <w:sz w:val="24"/>
          <w:highlight w:val="none"/>
        </w:rPr>
      </w:pPr>
      <w:r>
        <w:rPr>
          <w:rFonts w:hint="eastAsia" w:ascii="宋体" w:hAnsi="宋体" w:cs="宋体"/>
          <w:color w:val="auto"/>
          <w:sz w:val="24"/>
          <w:highlight w:val="none"/>
        </w:rPr>
        <w:t>我公司保证参与</w:t>
      </w:r>
      <w:r>
        <w:rPr>
          <w:rFonts w:hint="eastAsia" w:ascii="宋体" w:hAnsi="宋体" w:cs="宋体"/>
          <w:color w:val="auto"/>
          <w:sz w:val="24"/>
          <w:highlight w:val="none"/>
          <w:u w:val="single"/>
        </w:rPr>
        <w:t>（拟招标项目名称）</w:t>
      </w:r>
      <w:r>
        <w:rPr>
          <w:rFonts w:hint="eastAsia" w:ascii="宋体" w:hAnsi="宋体" w:cs="宋体"/>
          <w:color w:val="auto"/>
          <w:sz w:val="24"/>
          <w:highlight w:val="none"/>
        </w:rPr>
        <w:t>投标的拟任项目负责人无任何在建工程项目，提交的项目负责人的注册建造师注册证书原件是真实的，以上承诺如有不实，采购人可取消我方投标资格，如中标采购人可取消本公司的中标资格，我公司承担一切由此造成的法律后果。</w:t>
      </w:r>
    </w:p>
    <w:p>
      <w:pPr>
        <w:spacing w:before="240" w:line="360" w:lineRule="auto"/>
        <w:ind w:firstLine="480"/>
        <w:rPr>
          <w:rFonts w:ascii="宋体" w:hAnsi="宋体" w:cs="宋体"/>
          <w:color w:val="auto"/>
          <w:sz w:val="24"/>
          <w:highlight w:val="none"/>
        </w:rPr>
      </w:pPr>
      <w:r>
        <w:rPr>
          <w:rFonts w:hint="eastAsia" w:ascii="宋体" w:hAnsi="宋体" w:cs="宋体"/>
          <w:color w:val="auto"/>
          <w:sz w:val="24"/>
          <w:highlight w:val="none"/>
        </w:rPr>
        <w:t>  </w:t>
      </w:r>
    </w:p>
    <w:p>
      <w:pPr>
        <w:spacing w:before="240"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报价供应商：                   （公章）</w:t>
      </w:r>
    </w:p>
    <w:p>
      <w:pPr>
        <w:wordWrap w:val="0"/>
        <w:spacing w:before="240"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法定代表人签名或盖章：            </w:t>
      </w:r>
    </w:p>
    <w:p>
      <w:pPr>
        <w:spacing w:before="240"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年    月    日   </w:t>
      </w:r>
    </w:p>
    <w:p>
      <w:pPr>
        <w:spacing w:before="240" w:line="360" w:lineRule="auto"/>
        <w:ind w:firstLine="480"/>
        <w:jc w:val="right"/>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spacing w:line="360" w:lineRule="auto"/>
        <w:ind w:firstLine="480" w:firstLineChars="200"/>
        <w:jc w:val="center"/>
        <w:rPr>
          <w:rFonts w:ascii="宋体" w:hAnsi="宋体" w:cs="宋体"/>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pStyle w:val="5"/>
        <w:jc w:val="center"/>
        <w:rPr>
          <w:rFonts w:ascii="宋体" w:hAnsi="宋体" w:eastAsia="宋体" w:cs="宋体"/>
          <w:bCs w:val="0"/>
          <w:color w:val="auto"/>
          <w:highlight w:val="none"/>
        </w:rPr>
      </w:pPr>
      <w:r>
        <w:rPr>
          <w:rFonts w:hint="eastAsia" w:ascii="宋体" w:hAnsi="宋体" w:eastAsia="宋体" w:cs="宋体"/>
          <w:bCs w:val="0"/>
          <w:color w:val="auto"/>
          <w:highlight w:val="none"/>
        </w:rPr>
        <w:t>承诺书三   不拖欠农民工工资承诺书（格式）</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（采购人名称）    </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为保护农民工的合法权益，不拖欠农民工工资，本签名人郑重承诺：</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本企业如果中标承建</w:t>
      </w:r>
      <w:r>
        <w:rPr>
          <w:rFonts w:hint="eastAsia" w:ascii="宋体" w:hAnsi="宋体" w:cs="宋体"/>
          <w:color w:val="auto"/>
          <w:sz w:val="24"/>
          <w:highlight w:val="none"/>
          <w:u w:val="single"/>
        </w:rPr>
        <w:t xml:space="preserve">                       工程</w:t>
      </w:r>
      <w:r>
        <w:rPr>
          <w:rFonts w:hint="eastAsia" w:ascii="宋体" w:hAnsi="宋体" w:cs="宋体"/>
          <w:color w:val="auto"/>
          <w:sz w:val="24"/>
          <w:highlight w:val="none"/>
        </w:rPr>
        <w:t>项目，需要使用农民工时，将保证做到：</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1、按照《劳动法》规定雇佣和使用农民工，工资将直接发放给农民工本人，严禁发放给“包工头”。</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3、如果发生违反规定拖欠或克扣农民工工资行为，造成农民工上访，本公司愿意接受业主暂停我公司1年期间参加业主招标项目投标资格的处罚，同时愿意接受交通行政主管部门依照有关规定作出的其他处罚决定。</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4、本公司同意：在合同执行期间由业主按规定每月扣留工程计量款的1%作为农民工工资保障金：工程结束后，业主代表视承包人对农民工工资支付情况，据实结算返还剩余的保障金。</w:t>
      </w:r>
    </w:p>
    <w:p>
      <w:pPr>
        <w:adjustRightInd w:val="0"/>
        <w:snapToGrid w:val="0"/>
        <w:spacing w:line="360" w:lineRule="auto"/>
        <w:ind w:firstLine="513" w:firstLineChars="214"/>
        <w:rPr>
          <w:rFonts w:ascii="宋体" w:hAnsi="宋体" w:cs="宋体"/>
          <w:color w:val="auto"/>
          <w:sz w:val="24"/>
          <w:highlight w:val="none"/>
        </w:rPr>
      </w:pPr>
    </w:p>
    <w:p>
      <w:pPr>
        <w:adjustRightInd w:val="0"/>
        <w:snapToGrid w:val="0"/>
        <w:spacing w:line="360" w:lineRule="auto"/>
        <w:ind w:firstLine="513" w:firstLineChars="214"/>
        <w:rPr>
          <w:rFonts w:ascii="宋体" w:hAnsi="宋体" w:cs="宋体"/>
          <w:color w:val="auto"/>
          <w:sz w:val="24"/>
          <w:highlight w:val="none"/>
        </w:rPr>
      </w:pP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 xml:space="preserve">                                              报价供应商：   （盖章）         </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 xml:space="preserve">                                     法定代表人签名或盖章：</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widowControl/>
        <w:topLinePunct/>
        <w:spacing w:before="4" w:line="360" w:lineRule="auto"/>
        <w:jc w:val="center"/>
        <w:rPr>
          <w:rFonts w:ascii="宋体" w:hAnsi="宋体" w:cs="宋体"/>
          <w:b/>
          <w:color w:val="auto"/>
          <w:sz w:val="24"/>
          <w:highlight w:val="none"/>
        </w:rPr>
      </w:pPr>
    </w:p>
    <w:p>
      <w:pPr>
        <w:pStyle w:val="5"/>
        <w:jc w:val="center"/>
        <w:rPr>
          <w:rFonts w:ascii="宋体" w:hAnsi="宋体" w:eastAsia="宋体" w:cs="宋体"/>
          <w:bCs w:val="0"/>
          <w:color w:val="auto"/>
          <w:highlight w:val="none"/>
        </w:rPr>
      </w:pPr>
      <w:r>
        <w:rPr>
          <w:rFonts w:hint="eastAsia" w:ascii="宋体" w:hAnsi="宋体" w:eastAsia="宋体" w:cs="宋体"/>
          <w:bCs w:val="0"/>
          <w:color w:val="auto"/>
          <w:highlight w:val="none"/>
        </w:rPr>
        <w:t>承诺书四 投标单位廉洁承诺书（格式）</w:t>
      </w:r>
    </w:p>
    <w:p>
      <w:pPr>
        <w:jc w:val="center"/>
        <w:rPr>
          <w:rFonts w:ascii="宋体" w:hAnsi="宋体" w:cs="宋体"/>
          <w:b/>
          <w:bCs/>
          <w:color w:val="auto"/>
          <w:sz w:val="36"/>
          <w:szCs w:val="36"/>
          <w:highlight w:val="none"/>
        </w:rPr>
      </w:pP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积极配合贵单位为平台的招标工作，有效遏制不公平竞争和违规违纪问题的发生，确保招标工作的公平、公正、公开，我们保证认真贯彻《招投标法》等相关规定以及相关廉洁要求，特向贵单位承诺如下事项：</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1、自觉遵守国家法律法规及有关廉政建设制度。</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2、主动了解贵单位招投标纪律，积极配合贵单位执行招投标廉政建设的有关规定。</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3、不使用不正当手段妨碍、排挤其他投标单位或串通投标。</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4、按照磋商文件规定的方式进行投标，不隐瞒本单位投标资质的真实情况，投标资质符合规定。</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不以任何方式向采购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6、不向设计招标的单位及个人购置或提供通讯工具、交通工具和高档办公用品等。</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7、不向涉及招标的单位及个人的配偶、子女、亲属分包此次招标项目。</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8、不向涉及招标的单位及个人支付好处费、介绍费。</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9、一旦发现相关人员在招标过程中有索要财物等不廉洁行为，坚决予以抵制，并及时向贵局纪检监察室举报。</w:t>
      </w:r>
    </w:p>
    <w:p>
      <w:pPr>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我们若违反上述承诺，愿接收取消投标资格及其他任何形式的处理。</w:t>
      </w:r>
    </w:p>
    <w:p>
      <w:pPr>
        <w:adjustRightInd w:val="0"/>
        <w:snapToGrid w:val="0"/>
        <w:spacing w:line="360" w:lineRule="auto"/>
        <w:ind w:firstLine="513" w:firstLineChars="214"/>
        <w:rPr>
          <w:rFonts w:ascii="宋体" w:hAnsi="宋体" w:cs="宋体"/>
          <w:color w:val="auto"/>
          <w:sz w:val="24"/>
          <w:highlight w:val="none"/>
        </w:rPr>
      </w:pPr>
    </w:p>
    <w:p>
      <w:pPr>
        <w:adjustRightInd w:val="0"/>
        <w:snapToGrid w:val="0"/>
        <w:spacing w:line="360" w:lineRule="auto"/>
        <w:ind w:firstLine="513" w:firstLineChars="214"/>
        <w:rPr>
          <w:rFonts w:ascii="宋体" w:hAnsi="宋体" w:cs="宋体"/>
          <w:color w:val="auto"/>
          <w:sz w:val="24"/>
          <w:highlight w:val="none"/>
        </w:rPr>
      </w:pPr>
    </w:p>
    <w:p>
      <w:pPr>
        <w:adjustRightInd w:val="0"/>
        <w:snapToGrid w:val="0"/>
        <w:spacing w:line="360" w:lineRule="auto"/>
        <w:ind w:firstLine="5073" w:firstLineChars="2114"/>
        <w:rPr>
          <w:rFonts w:ascii="宋体" w:hAnsi="宋体" w:cs="宋体"/>
          <w:color w:val="auto"/>
          <w:sz w:val="24"/>
          <w:highlight w:val="none"/>
        </w:rPr>
      </w:pPr>
      <w:r>
        <w:rPr>
          <w:rFonts w:hint="eastAsia" w:ascii="宋体" w:hAnsi="宋体" w:cs="宋体"/>
          <w:color w:val="auto"/>
          <w:sz w:val="24"/>
          <w:highlight w:val="none"/>
        </w:rPr>
        <w:t xml:space="preserve">报价供应商：   （盖章）         </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 xml:space="preserve">                                      法定代表人签名或盖章：</w:t>
      </w:r>
    </w:p>
    <w:p>
      <w:pPr>
        <w:adjustRightInd w:val="0"/>
        <w:snapToGrid w:val="0"/>
        <w:spacing w:line="360" w:lineRule="auto"/>
        <w:ind w:firstLine="513" w:firstLineChars="214"/>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autoSpaceDE w:val="0"/>
        <w:autoSpaceDN w:val="0"/>
        <w:rPr>
          <w:rFonts w:ascii="宋体" w:hAnsi="宋体" w:cs="宋体"/>
          <w:b/>
          <w:color w:val="auto"/>
          <w:sz w:val="30"/>
          <w:szCs w:val="30"/>
          <w:highlight w:val="none"/>
        </w:rPr>
      </w:pPr>
    </w:p>
    <w:p>
      <w:pPr>
        <w:pStyle w:val="2"/>
        <w:rPr>
          <w:color w:val="auto"/>
          <w:highlight w:val="none"/>
        </w:rPr>
      </w:pPr>
    </w:p>
    <w:p>
      <w:pPr>
        <w:jc w:val="center"/>
        <w:rPr>
          <w:rFonts w:ascii="宋体" w:hAnsi="宋体"/>
          <w:b/>
          <w:color w:val="auto"/>
          <w:sz w:val="32"/>
          <w:szCs w:val="32"/>
          <w:highlight w:val="none"/>
        </w:rPr>
      </w:pPr>
      <w:r>
        <w:rPr>
          <w:rFonts w:hint="eastAsia" w:ascii="宋体" w:hAnsi="宋体"/>
          <w:b/>
          <w:color w:val="auto"/>
          <w:sz w:val="32"/>
          <w:szCs w:val="32"/>
          <w:highlight w:val="none"/>
        </w:rPr>
        <w:t>承诺书（五）</w:t>
      </w:r>
    </w:p>
    <w:p>
      <w:pPr>
        <w:jc w:val="center"/>
        <w:rPr>
          <w:rFonts w:ascii="黑体" w:hAnsi="宋体" w:eastAsia="黑体"/>
          <w:color w:val="auto"/>
          <w:sz w:val="44"/>
          <w:szCs w:val="4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（采购人名称）：                   </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我公司理解并支持采购人关于</w:t>
      </w:r>
      <w:r>
        <w:rPr>
          <w:rFonts w:hint="eastAsia" w:ascii="宋体" w:hAnsi="宋体"/>
          <w:color w:val="auto"/>
          <w:sz w:val="24"/>
          <w:highlight w:val="none"/>
          <w:u w:val="single"/>
        </w:rPr>
        <w:t>_____________</w:t>
      </w:r>
      <w:r>
        <w:rPr>
          <w:rFonts w:hint="eastAsia" w:ascii="宋体" w:hAnsi="宋体"/>
          <w:color w:val="auto"/>
          <w:sz w:val="24"/>
          <w:highlight w:val="none"/>
        </w:rPr>
        <w:t>（项目名称） （以下简称“本工程”）加强监管的初衷和做法。郑重承诺：在本工程中标后，严格执行采购人关于质量、安全、文明施工、进度工期、工程款支付、结算审计等规章制度。不更换投标项目经理且项目组成员悉数到场参与项目管理。不违法转包、分包。如若在本工程建设过程中，有违反上述的情况或被行政主管部门通报的，则立即清退出场。工程完工后，如若因质量、工期、文明施工方面的问题被主管部门督办或举报、投诉，则接受罚款、暂缓支付工程款等处罚，并承担一切因上述引发的后果。</w:t>
      </w:r>
    </w:p>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p>
    <w:p>
      <w:pPr>
        <w:spacing w:line="520" w:lineRule="exact"/>
        <w:ind w:firstLine="480" w:firstLineChars="200"/>
        <w:jc w:val="right"/>
        <w:rPr>
          <w:rFonts w:ascii="宋体" w:hAnsi="宋体"/>
          <w:color w:val="auto"/>
          <w:sz w:val="24"/>
          <w:highlight w:val="none"/>
        </w:rPr>
      </w:pPr>
      <w:r>
        <w:rPr>
          <w:rFonts w:hint="eastAsia" w:ascii="宋体" w:hAnsi="宋体"/>
          <w:color w:val="auto"/>
          <w:sz w:val="24"/>
          <w:highlight w:val="none"/>
        </w:rPr>
        <w:t>申请人：（盖单位章）</w:t>
      </w:r>
    </w:p>
    <w:p>
      <w:pPr>
        <w:spacing w:line="520" w:lineRule="exact"/>
        <w:ind w:firstLine="480" w:firstLineChars="200"/>
        <w:jc w:val="right"/>
        <w:rPr>
          <w:rFonts w:ascii="宋体" w:hAnsi="宋体"/>
          <w:color w:val="auto"/>
          <w:sz w:val="24"/>
          <w:highlight w:val="none"/>
        </w:rPr>
      </w:pPr>
      <w:r>
        <w:rPr>
          <w:rFonts w:hint="eastAsia" w:ascii="宋体" w:hAnsi="宋体"/>
          <w:color w:val="auto"/>
          <w:sz w:val="24"/>
          <w:highlight w:val="none"/>
        </w:rPr>
        <w:t>法定代表人或其委托代理人：（签字）</w:t>
      </w:r>
    </w:p>
    <w:p>
      <w:pPr>
        <w:spacing w:line="520" w:lineRule="exact"/>
        <w:ind w:firstLine="480" w:firstLineChars="200"/>
        <w:jc w:val="right"/>
        <w:rPr>
          <w:rFonts w:ascii="宋体" w:hAnsi="宋体"/>
          <w:color w:val="auto"/>
          <w:sz w:val="24"/>
          <w:highlight w:val="none"/>
        </w:rPr>
      </w:pPr>
      <w:r>
        <w:rPr>
          <w:rFonts w:hint="eastAsia" w:ascii="宋体" w:hAnsi="宋体"/>
          <w:color w:val="auto"/>
          <w:sz w:val="24"/>
          <w:highlight w:val="none"/>
        </w:rPr>
        <w:t xml:space="preserve">     年    月    日  </w:t>
      </w:r>
    </w:p>
    <w:p>
      <w:pPr>
        <w:autoSpaceDE w:val="0"/>
        <w:autoSpaceDN w:val="0"/>
        <w:jc w:val="center"/>
        <w:rPr>
          <w:rFonts w:ascii="宋体" w:hAnsi="宋体" w:cs="宋体"/>
          <w:b/>
          <w:color w:val="auto"/>
          <w:sz w:val="30"/>
          <w:szCs w:val="30"/>
          <w:highlight w:val="none"/>
        </w:rPr>
      </w:pPr>
    </w:p>
    <w:p>
      <w:pPr>
        <w:pStyle w:val="2"/>
        <w:rPr>
          <w:rFonts w:ascii="宋体" w:hAnsi="宋体" w:eastAsia="宋体" w:cs="宋体"/>
          <w:color w:val="auto"/>
          <w:sz w:val="30"/>
          <w:szCs w:val="30"/>
          <w:highlight w:val="none"/>
        </w:rPr>
      </w:pPr>
    </w:p>
    <w:p>
      <w:pPr>
        <w:rPr>
          <w:rFonts w:ascii="宋体" w:hAnsi="宋体" w:cs="宋体"/>
          <w:b/>
          <w:color w:val="auto"/>
          <w:sz w:val="30"/>
          <w:szCs w:val="30"/>
          <w:highlight w:val="none"/>
        </w:rPr>
      </w:pPr>
    </w:p>
    <w:p>
      <w:pPr>
        <w:pStyle w:val="2"/>
        <w:rPr>
          <w:rFonts w:ascii="宋体" w:hAnsi="宋体" w:eastAsia="宋体" w:cs="宋体"/>
          <w:color w:val="auto"/>
          <w:sz w:val="30"/>
          <w:szCs w:val="30"/>
          <w:highlight w:val="none"/>
        </w:rPr>
      </w:pPr>
    </w:p>
    <w:p>
      <w:pPr>
        <w:rPr>
          <w:rFonts w:ascii="宋体" w:hAnsi="宋体" w:cs="宋体"/>
          <w:b/>
          <w:color w:val="auto"/>
          <w:sz w:val="30"/>
          <w:szCs w:val="30"/>
          <w:highlight w:val="none"/>
        </w:rPr>
      </w:pPr>
    </w:p>
    <w:p>
      <w:pPr>
        <w:pStyle w:val="2"/>
        <w:rPr>
          <w:color w:val="auto"/>
          <w:highlight w:val="none"/>
        </w:rPr>
      </w:pPr>
    </w:p>
    <w:p>
      <w:pPr>
        <w:autoSpaceDE w:val="0"/>
        <w:autoSpaceDN w:val="0"/>
        <w:jc w:val="center"/>
        <w:rPr>
          <w:rFonts w:ascii="宋体" w:hAnsi="宋体" w:cs="宋体"/>
          <w:b/>
          <w:color w:val="auto"/>
          <w:sz w:val="30"/>
          <w:szCs w:val="30"/>
          <w:highlight w:val="none"/>
        </w:rPr>
      </w:pPr>
    </w:p>
    <w:p>
      <w:pPr>
        <w:autoSpaceDE w:val="0"/>
        <w:autoSpaceDN w:val="0"/>
        <w:jc w:val="center"/>
        <w:rPr>
          <w:rFonts w:ascii="宋体" w:hAnsi="宋体" w:cs="宋体"/>
          <w:b/>
          <w:color w:val="auto"/>
          <w:sz w:val="30"/>
          <w:szCs w:val="30"/>
          <w:highlight w:val="none"/>
        </w:rPr>
      </w:pPr>
    </w:p>
    <w:p>
      <w:pPr>
        <w:autoSpaceDE w:val="0"/>
        <w:autoSpaceDN w:val="0"/>
        <w:jc w:val="center"/>
        <w:rPr>
          <w:rFonts w:ascii="宋体" w:hAnsi="宋体" w:cs="宋体"/>
          <w:color w:val="auto"/>
          <w:sz w:val="44"/>
          <w:szCs w:val="44"/>
          <w:highlight w:val="none"/>
          <w:lang w:val="zh-CN"/>
        </w:rPr>
      </w:pPr>
      <w:r>
        <w:rPr>
          <w:rFonts w:hint="eastAsia" w:ascii="宋体" w:hAnsi="宋体" w:cs="宋体"/>
          <w:b/>
          <w:color w:val="auto"/>
          <w:sz w:val="30"/>
          <w:szCs w:val="30"/>
          <w:highlight w:val="none"/>
        </w:rPr>
        <w:t>（四）报价文件格式</w:t>
      </w:r>
    </w:p>
    <w:tbl>
      <w:tblPr>
        <w:tblStyle w:val="17"/>
        <w:tblW w:w="0" w:type="auto"/>
        <w:tblInd w:w="-648" w:type="dxa"/>
        <w:tblLayout w:type="fixed"/>
        <w:tblCellMar>
          <w:top w:w="0" w:type="dxa"/>
          <w:left w:w="0" w:type="dxa"/>
          <w:bottom w:w="0" w:type="dxa"/>
          <w:right w:w="0" w:type="dxa"/>
        </w:tblCellMar>
      </w:tblPr>
      <w:tblGrid>
        <w:gridCol w:w="229"/>
        <w:gridCol w:w="1691"/>
        <w:gridCol w:w="329"/>
        <w:gridCol w:w="3052"/>
        <w:gridCol w:w="4743"/>
        <w:gridCol w:w="329"/>
      </w:tblGrid>
      <w:tr>
        <w:tblPrEx>
          <w:tblCellMar>
            <w:top w:w="0" w:type="dxa"/>
            <w:left w:w="0" w:type="dxa"/>
            <w:bottom w:w="0" w:type="dxa"/>
            <w:right w:w="0" w:type="dxa"/>
          </w:tblCellMar>
        </w:tblPrEx>
        <w:trPr>
          <w:trHeight w:val="1017" w:hRule="exact"/>
        </w:trPr>
        <w:tc>
          <w:tcPr>
            <w:tcW w:w="10373" w:type="dxa"/>
            <w:gridSpan w:val="6"/>
            <w:shd w:val="clear" w:color="auto" w:fill="FFFFFF"/>
            <w:vAlign w:val="center"/>
          </w:tcPr>
          <w:p>
            <w:pPr>
              <w:widowControl/>
              <w:spacing w:line="232" w:lineRule="auto"/>
              <w:jc w:val="center"/>
              <w:rPr>
                <w:rFonts w:ascii="宋体" w:hAnsi="宋体" w:cs="宋体"/>
                <w:b/>
                <w:color w:val="auto"/>
                <w:spacing w:val="-2"/>
                <w:sz w:val="42"/>
                <w:szCs w:val="22"/>
                <w:highlight w:val="none"/>
              </w:rPr>
            </w:pPr>
            <w:r>
              <w:rPr>
                <w:rFonts w:ascii="宋体" w:hAnsi="宋体" w:cs="宋体"/>
                <w:b/>
                <w:color w:val="auto"/>
                <w:spacing w:val="-2"/>
                <w:sz w:val="42"/>
                <w:szCs w:val="22"/>
                <w:highlight w:val="none"/>
              </w:rPr>
              <w:t>投  标  总  价</w:t>
            </w:r>
          </w:p>
          <w:p>
            <w:pPr>
              <w:widowControl/>
              <w:spacing w:line="232" w:lineRule="auto"/>
              <w:jc w:val="center"/>
              <w:rPr>
                <w:rFonts w:ascii="宋体" w:hAnsi="宋体" w:cs="宋体"/>
                <w:color w:val="auto"/>
                <w:spacing w:val="-2"/>
                <w:highlight w:val="none"/>
              </w:rPr>
            </w:pPr>
            <w:r>
              <w:rPr>
                <w:rFonts w:hint="eastAsia" w:ascii="宋体" w:hAnsi="宋体" w:cs="宋体"/>
                <w:color w:val="auto"/>
                <w:spacing w:val="-2"/>
                <w:highlight w:val="none"/>
              </w:rPr>
              <w:t>表1</w:t>
            </w:r>
          </w:p>
        </w:tc>
      </w:tr>
      <w:tr>
        <w:tblPrEx>
          <w:tblCellMar>
            <w:top w:w="0" w:type="dxa"/>
            <w:left w:w="0" w:type="dxa"/>
            <w:bottom w:w="0" w:type="dxa"/>
            <w:right w:w="0" w:type="dxa"/>
          </w:tblCellMar>
        </w:tblPrEx>
        <w:trPr>
          <w:trHeight w:val="674" w:hRule="exact"/>
        </w:trPr>
        <w:tc>
          <w:tcPr>
            <w:tcW w:w="10373" w:type="dxa"/>
            <w:gridSpan w:val="6"/>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673" w:hRule="exact"/>
        </w:trPr>
        <w:tc>
          <w:tcPr>
            <w:tcW w:w="229" w:type="dxa"/>
            <w:shd w:val="clear" w:color="auto" w:fill="auto"/>
          </w:tcPr>
          <w:p>
            <w:pPr>
              <w:widowControl/>
              <w:jc w:val="left"/>
              <w:rPr>
                <w:rFonts w:ascii="Calibri" w:hAnsi="Calibri"/>
                <w:color w:val="auto"/>
                <w:sz w:val="2"/>
                <w:szCs w:val="22"/>
                <w:highlight w:val="none"/>
              </w:rPr>
            </w:pPr>
          </w:p>
        </w:tc>
        <w:tc>
          <w:tcPr>
            <w:tcW w:w="2020" w:type="dxa"/>
            <w:gridSpan w:val="2"/>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招    标    人：</w:t>
            </w:r>
          </w:p>
        </w:tc>
        <w:tc>
          <w:tcPr>
            <w:tcW w:w="7795" w:type="dxa"/>
            <w:gridSpan w:val="2"/>
            <w:tcBorders>
              <w:bottom w:val="single" w:color="000000" w:sz="4" w:space="0"/>
            </w:tcBorders>
            <w:shd w:val="clear" w:color="auto" w:fill="FFFFFF"/>
            <w:vAlign w:val="bottom"/>
          </w:tcPr>
          <w:p>
            <w:pPr>
              <w:widowControl/>
              <w:spacing w:line="232" w:lineRule="auto"/>
              <w:rPr>
                <w:rFonts w:ascii="宋体" w:hAnsi="宋体" w:cs="宋体"/>
                <w:color w:val="auto"/>
                <w:spacing w:val="-2"/>
                <w:szCs w:val="22"/>
                <w:highlight w:val="none"/>
              </w:rPr>
            </w:pPr>
          </w:p>
        </w:tc>
        <w:tc>
          <w:tcPr>
            <w:tcW w:w="329" w:type="dxa"/>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673" w:hRule="exact"/>
        </w:trPr>
        <w:tc>
          <w:tcPr>
            <w:tcW w:w="229" w:type="dxa"/>
            <w:shd w:val="clear" w:color="auto" w:fill="auto"/>
          </w:tcPr>
          <w:p>
            <w:pPr>
              <w:widowControl/>
              <w:jc w:val="left"/>
              <w:rPr>
                <w:rFonts w:ascii="Calibri" w:hAnsi="Calibri"/>
                <w:color w:val="auto"/>
                <w:sz w:val="2"/>
                <w:szCs w:val="22"/>
                <w:highlight w:val="none"/>
              </w:rPr>
            </w:pPr>
          </w:p>
        </w:tc>
        <w:tc>
          <w:tcPr>
            <w:tcW w:w="2020" w:type="dxa"/>
            <w:gridSpan w:val="2"/>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工  程  名  称：</w:t>
            </w:r>
          </w:p>
        </w:tc>
        <w:tc>
          <w:tcPr>
            <w:tcW w:w="7795" w:type="dxa"/>
            <w:gridSpan w:val="2"/>
            <w:tcBorders>
              <w:top w:val="single" w:color="000000" w:sz="4" w:space="0"/>
              <w:bottom w:val="single" w:color="000000" w:sz="4" w:space="0"/>
            </w:tcBorders>
            <w:shd w:val="clear" w:color="auto" w:fill="FFFFFF"/>
            <w:vAlign w:val="bottom"/>
          </w:tcPr>
          <w:p>
            <w:pPr>
              <w:widowControl/>
              <w:spacing w:line="232" w:lineRule="auto"/>
              <w:rPr>
                <w:rFonts w:ascii="宋体" w:hAnsi="宋体" w:cs="宋体"/>
                <w:color w:val="auto"/>
                <w:spacing w:val="-2"/>
                <w:szCs w:val="22"/>
                <w:highlight w:val="none"/>
              </w:rPr>
            </w:pPr>
          </w:p>
        </w:tc>
        <w:tc>
          <w:tcPr>
            <w:tcW w:w="329" w:type="dxa"/>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688" w:hRule="exact"/>
        </w:trPr>
        <w:tc>
          <w:tcPr>
            <w:tcW w:w="229" w:type="dxa"/>
            <w:shd w:val="clear" w:color="auto" w:fill="auto"/>
          </w:tcPr>
          <w:p>
            <w:pPr>
              <w:widowControl/>
              <w:jc w:val="left"/>
              <w:rPr>
                <w:rFonts w:ascii="Calibri" w:hAnsi="Calibri"/>
                <w:color w:val="auto"/>
                <w:sz w:val="2"/>
                <w:szCs w:val="22"/>
                <w:highlight w:val="none"/>
              </w:rPr>
            </w:pPr>
          </w:p>
        </w:tc>
        <w:tc>
          <w:tcPr>
            <w:tcW w:w="2020" w:type="dxa"/>
            <w:gridSpan w:val="2"/>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投标总价</w:t>
            </w:r>
          </w:p>
          <w:p>
            <w:pPr>
              <w:widowControl/>
              <w:spacing w:line="232" w:lineRule="auto"/>
              <w:ind w:firstLine="721" w:firstLineChars="350"/>
              <w:jc w:val="left"/>
              <w:rPr>
                <w:rFonts w:ascii="宋体" w:hAnsi="宋体" w:cs="宋体"/>
                <w:color w:val="auto"/>
                <w:spacing w:val="-2"/>
                <w:szCs w:val="22"/>
                <w:highlight w:val="none"/>
              </w:rPr>
            </w:pPr>
            <w:r>
              <w:rPr>
                <w:rFonts w:ascii="宋体" w:hAnsi="宋体" w:cs="宋体"/>
                <w:color w:val="auto"/>
                <w:spacing w:val="-2"/>
                <w:szCs w:val="22"/>
                <w:highlight w:val="none"/>
              </w:rPr>
              <w:t>（</w:t>
            </w:r>
            <w:r>
              <w:rPr>
                <w:rFonts w:hint="eastAsia" w:ascii="宋体" w:hAnsi="宋体" w:cs="宋体"/>
                <w:color w:val="auto"/>
                <w:spacing w:val="-2"/>
                <w:szCs w:val="22"/>
                <w:highlight w:val="none"/>
              </w:rPr>
              <w:t>小</w:t>
            </w:r>
            <w:r>
              <w:rPr>
                <w:rFonts w:ascii="宋体" w:hAnsi="宋体" w:cs="宋体"/>
                <w:color w:val="auto"/>
                <w:spacing w:val="-2"/>
                <w:szCs w:val="22"/>
                <w:highlight w:val="none"/>
              </w:rPr>
              <w:t>写）：</w:t>
            </w:r>
          </w:p>
        </w:tc>
        <w:tc>
          <w:tcPr>
            <w:tcW w:w="7795" w:type="dxa"/>
            <w:gridSpan w:val="2"/>
            <w:tcBorders>
              <w:top w:val="single" w:color="000000" w:sz="4" w:space="0"/>
              <w:bottom w:val="single" w:color="000000" w:sz="4" w:space="0"/>
            </w:tcBorders>
            <w:shd w:val="clear" w:color="auto" w:fill="FFFFFF"/>
            <w:vAlign w:val="bottom"/>
          </w:tcPr>
          <w:p>
            <w:pPr>
              <w:widowControl/>
              <w:spacing w:line="232" w:lineRule="auto"/>
              <w:jc w:val="center"/>
              <w:rPr>
                <w:rFonts w:ascii="宋体" w:hAnsi="宋体" w:cs="宋体"/>
                <w:color w:val="auto"/>
                <w:spacing w:val="-2"/>
                <w:szCs w:val="22"/>
                <w:highlight w:val="none"/>
              </w:rPr>
            </w:pPr>
          </w:p>
        </w:tc>
        <w:tc>
          <w:tcPr>
            <w:tcW w:w="329" w:type="dxa"/>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674" w:hRule="exact"/>
        </w:trPr>
        <w:tc>
          <w:tcPr>
            <w:tcW w:w="229" w:type="dxa"/>
            <w:shd w:val="clear" w:color="auto" w:fill="auto"/>
          </w:tcPr>
          <w:p>
            <w:pPr>
              <w:widowControl/>
              <w:jc w:val="left"/>
              <w:rPr>
                <w:rFonts w:ascii="Calibri" w:hAnsi="Calibri"/>
                <w:color w:val="auto"/>
                <w:sz w:val="2"/>
                <w:szCs w:val="22"/>
                <w:highlight w:val="none"/>
              </w:rPr>
            </w:pPr>
          </w:p>
        </w:tc>
        <w:tc>
          <w:tcPr>
            <w:tcW w:w="2020" w:type="dxa"/>
            <w:gridSpan w:val="2"/>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 xml:space="preserve">        （大写）：</w:t>
            </w:r>
          </w:p>
        </w:tc>
        <w:tc>
          <w:tcPr>
            <w:tcW w:w="7795" w:type="dxa"/>
            <w:gridSpan w:val="2"/>
            <w:tcBorders>
              <w:top w:val="single" w:color="000000" w:sz="4" w:space="0"/>
              <w:bottom w:val="single" w:color="000000" w:sz="4" w:space="0"/>
            </w:tcBorders>
            <w:shd w:val="clear" w:color="auto" w:fill="FFFFFF"/>
            <w:vAlign w:val="bottom"/>
          </w:tcPr>
          <w:p>
            <w:pPr>
              <w:widowControl/>
              <w:spacing w:line="232" w:lineRule="auto"/>
              <w:jc w:val="center"/>
              <w:rPr>
                <w:rFonts w:ascii="宋体" w:hAnsi="宋体" w:cs="宋体"/>
                <w:color w:val="auto"/>
                <w:spacing w:val="-2"/>
                <w:szCs w:val="22"/>
                <w:highlight w:val="none"/>
              </w:rPr>
            </w:pPr>
          </w:p>
        </w:tc>
        <w:tc>
          <w:tcPr>
            <w:tcW w:w="329" w:type="dxa"/>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1346" w:hRule="exact"/>
        </w:trPr>
        <w:tc>
          <w:tcPr>
            <w:tcW w:w="2249" w:type="dxa"/>
            <w:gridSpan w:val="3"/>
          </w:tcPr>
          <w:p>
            <w:pPr>
              <w:widowControl/>
              <w:jc w:val="left"/>
              <w:rPr>
                <w:rFonts w:ascii="Calibri" w:hAnsi="Calibri"/>
                <w:color w:val="auto"/>
                <w:sz w:val="2"/>
                <w:szCs w:val="22"/>
                <w:highlight w:val="none"/>
              </w:rPr>
            </w:pPr>
          </w:p>
        </w:tc>
        <w:tc>
          <w:tcPr>
            <w:tcW w:w="7795" w:type="dxa"/>
            <w:gridSpan w:val="2"/>
            <w:tcBorders>
              <w:top w:val="single" w:color="000000" w:sz="4" w:space="0"/>
            </w:tcBorders>
          </w:tcPr>
          <w:p>
            <w:pPr>
              <w:widowControl/>
              <w:jc w:val="left"/>
              <w:rPr>
                <w:rFonts w:ascii="Calibri" w:hAnsi="Calibri"/>
                <w:color w:val="auto"/>
                <w:sz w:val="2"/>
                <w:szCs w:val="22"/>
                <w:highlight w:val="none"/>
              </w:rPr>
            </w:pPr>
          </w:p>
        </w:tc>
        <w:tc>
          <w:tcPr>
            <w:tcW w:w="329" w:type="dxa"/>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688" w:hRule="exact"/>
        </w:trPr>
        <w:tc>
          <w:tcPr>
            <w:tcW w:w="229" w:type="dxa"/>
            <w:shd w:val="clear" w:color="auto" w:fill="auto"/>
          </w:tcPr>
          <w:p>
            <w:pPr>
              <w:widowControl/>
              <w:jc w:val="left"/>
              <w:rPr>
                <w:rFonts w:ascii="Calibri" w:hAnsi="Calibri"/>
                <w:color w:val="auto"/>
                <w:sz w:val="2"/>
                <w:szCs w:val="22"/>
                <w:highlight w:val="none"/>
              </w:rPr>
            </w:pPr>
          </w:p>
        </w:tc>
        <w:tc>
          <w:tcPr>
            <w:tcW w:w="1691" w:type="dxa"/>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投  标  人：</w:t>
            </w:r>
          </w:p>
        </w:tc>
        <w:tc>
          <w:tcPr>
            <w:tcW w:w="8124" w:type="dxa"/>
            <w:gridSpan w:val="3"/>
            <w:tcBorders>
              <w:bottom w:val="single" w:color="000000" w:sz="4" w:space="0"/>
            </w:tcBorders>
            <w:shd w:val="clear" w:color="auto" w:fill="FFFFFF"/>
            <w:vAlign w:val="bottom"/>
          </w:tcPr>
          <w:p>
            <w:pPr>
              <w:widowControl/>
              <w:spacing w:line="232" w:lineRule="auto"/>
              <w:jc w:val="center"/>
              <w:rPr>
                <w:rFonts w:ascii="宋体" w:hAnsi="宋体" w:cs="宋体"/>
                <w:color w:val="auto"/>
                <w:spacing w:val="-2"/>
                <w:szCs w:val="22"/>
                <w:highlight w:val="none"/>
              </w:rPr>
            </w:pPr>
          </w:p>
        </w:tc>
        <w:tc>
          <w:tcPr>
            <w:tcW w:w="329" w:type="dxa"/>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444" w:hRule="exact"/>
        </w:trPr>
        <w:tc>
          <w:tcPr>
            <w:tcW w:w="1920" w:type="dxa"/>
            <w:gridSpan w:val="2"/>
            <w:shd w:val="clear" w:color="auto" w:fill="auto"/>
          </w:tcPr>
          <w:p>
            <w:pPr>
              <w:widowControl/>
              <w:jc w:val="left"/>
              <w:rPr>
                <w:rFonts w:ascii="Calibri" w:hAnsi="Calibri"/>
                <w:color w:val="auto"/>
                <w:sz w:val="2"/>
                <w:szCs w:val="22"/>
                <w:highlight w:val="none"/>
              </w:rPr>
            </w:pPr>
          </w:p>
        </w:tc>
        <w:tc>
          <w:tcPr>
            <w:tcW w:w="8124" w:type="dxa"/>
            <w:gridSpan w:val="3"/>
            <w:tcBorders>
              <w:top w:val="single" w:color="000000" w:sz="4" w:space="0"/>
            </w:tcBorders>
            <w:shd w:val="clear" w:color="auto" w:fill="FFFFFF"/>
            <w:vAlign w:val="center"/>
          </w:tcPr>
          <w:p>
            <w:pPr>
              <w:widowControl/>
              <w:spacing w:line="232" w:lineRule="auto"/>
              <w:jc w:val="center"/>
              <w:rPr>
                <w:rFonts w:ascii="宋体" w:hAnsi="宋体" w:cs="宋体"/>
                <w:color w:val="auto"/>
                <w:spacing w:val="-2"/>
                <w:sz w:val="20"/>
                <w:szCs w:val="22"/>
                <w:highlight w:val="none"/>
              </w:rPr>
            </w:pPr>
            <w:r>
              <w:rPr>
                <w:rFonts w:ascii="宋体" w:hAnsi="宋体" w:cs="宋体"/>
                <w:color w:val="auto"/>
                <w:spacing w:val="-2"/>
                <w:sz w:val="20"/>
                <w:szCs w:val="22"/>
                <w:highlight w:val="none"/>
              </w:rPr>
              <w:t>（单位盖章）</w:t>
            </w:r>
          </w:p>
        </w:tc>
        <w:tc>
          <w:tcPr>
            <w:tcW w:w="329" w:type="dxa"/>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1132" w:hRule="exact"/>
        </w:trPr>
        <w:tc>
          <w:tcPr>
            <w:tcW w:w="10373" w:type="dxa"/>
            <w:gridSpan w:val="6"/>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674" w:hRule="exact"/>
        </w:trPr>
        <w:tc>
          <w:tcPr>
            <w:tcW w:w="229" w:type="dxa"/>
            <w:shd w:val="clear" w:color="auto" w:fill="auto"/>
          </w:tcPr>
          <w:p>
            <w:pPr>
              <w:widowControl/>
              <w:jc w:val="left"/>
              <w:rPr>
                <w:rFonts w:ascii="Calibri" w:hAnsi="Calibri"/>
                <w:color w:val="auto"/>
                <w:sz w:val="2"/>
                <w:szCs w:val="22"/>
                <w:highlight w:val="none"/>
              </w:rPr>
            </w:pPr>
          </w:p>
        </w:tc>
        <w:tc>
          <w:tcPr>
            <w:tcW w:w="1691" w:type="dxa"/>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法定代表人</w:t>
            </w:r>
          </w:p>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或其授权人：</w:t>
            </w:r>
          </w:p>
        </w:tc>
        <w:tc>
          <w:tcPr>
            <w:tcW w:w="8124" w:type="dxa"/>
            <w:gridSpan w:val="3"/>
            <w:tcBorders>
              <w:bottom w:val="single" w:color="000000" w:sz="4" w:space="0"/>
            </w:tcBorders>
            <w:shd w:val="clear" w:color="auto" w:fill="FFFFFF"/>
            <w:vAlign w:val="bottom"/>
          </w:tcPr>
          <w:p>
            <w:pPr>
              <w:widowControl/>
              <w:spacing w:line="232" w:lineRule="auto"/>
              <w:jc w:val="center"/>
              <w:rPr>
                <w:rFonts w:ascii="宋体" w:hAnsi="宋体" w:cs="宋体"/>
                <w:color w:val="auto"/>
                <w:spacing w:val="-2"/>
                <w:szCs w:val="22"/>
                <w:highlight w:val="none"/>
              </w:rPr>
            </w:pPr>
          </w:p>
        </w:tc>
        <w:tc>
          <w:tcPr>
            <w:tcW w:w="329" w:type="dxa"/>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458" w:hRule="exact"/>
        </w:trPr>
        <w:tc>
          <w:tcPr>
            <w:tcW w:w="1920" w:type="dxa"/>
            <w:gridSpan w:val="2"/>
            <w:shd w:val="clear" w:color="auto" w:fill="auto"/>
          </w:tcPr>
          <w:p>
            <w:pPr>
              <w:widowControl/>
              <w:jc w:val="left"/>
              <w:rPr>
                <w:rFonts w:ascii="Calibri" w:hAnsi="Calibri"/>
                <w:color w:val="auto"/>
                <w:sz w:val="2"/>
                <w:szCs w:val="22"/>
                <w:highlight w:val="none"/>
              </w:rPr>
            </w:pPr>
          </w:p>
        </w:tc>
        <w:tc>
          <w:tcPr>
            <w:tcW w:w="8124" w:type="dxa"/>
            <w:gridSpan w:val="3"/>
            <w:tcBorders>
              <w:top w:val="single" w:color="000000" w:sz="4" w:space="0"/>
            </w:tcBorders>
            <w:shd w:val="clear" w:color="auto" w:fill="FFFFFF"/>
            <w:vAlign w:val="center"/>
          </w:tcPr>
          <w:p>
            <w:pPr>
              <w:widowControl/>
              <w:spacing w:line="232" w:lineRule="auto"/>
              <w:jc w:val="center"/>
              <w:rPr>
                <w:rFonts w:ascii="宋体" w:hAnsi="宋体" w:cs="宋体"/>
                <w:color w:val="auto"/>
                <w:spacing w:val="-2"/>
                <w:sz w:val="20"/>
                <w:szCs w:val="22"/>
                <w:highlight w:val="none"/>
              </w:rPr>
            </w:pPr>
            <w:r>
              <w:rPr>
                <w:rFonts w:ascii="宋体" w:hAnsi="宋体" w:cs="宋体"/>
                <w:color w:val="auto"/>
                <w:spacing w:val="-2"/>
                <w:sz w:val="20"/>
                <w:szCs w:val="22"/>
                <w:highlight w:val="none"/>
              </w:rPr>
              <w:t>（签字或盖章）</w:t>
            </w:r>
          </w:p>
        </w:tc>
        <w:tc>
          <w:tcPr>
            <w:tcW w:w="329" w:type="dxa"/>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1118" w:hRule="exact"/>
        </w:trPr>
        <w:tc>
          <w:tcPr>
            <w:tcW w:w="10373" w:type="dxa"/>
            <w:gridSpan w:val="6"/>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688" w:hRule="exact"/>
        </w:trPr>
        <w:tc>
          <w:tcPr>
            <w:tcW w:w="229" w:type="dxa"/>
            <w:shd w:val="clear" w:color="auto" w:fill="auto"/>
          </w:tcPr>
          <w:p>
            <w:pPr>
              <w:widowControl/>
              <w:jc w:val="left"/>
              <w:rPr>
                <w:rFonts w:ascii="Calibri" w:hAnsi="Calibri"/>
                <w:color w:val="auto"/>
                <w:sz w:val="2"/>
                <w:szCs w:val="22"/>
                <w:highlight w:val="none"/>
              </w:rPr>
            </w:pPr>
          </w:p>
        </w:tc>
        <w:tc>
          <w:tcPr>
            <w:tcW w:w="1691" w:type="dxa"/>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编  制  人：</w:t>
            </w:r>
          </w:p>
        </w:tc>
        <w:tc>
          <w:tcPr>
            <w:tcW w:w="8124" w:type="dxa"/>
            <w:gridSpan w:val="3"/>
            <w:tcBorders>
              <w:bottom w:val="single" w:color="000000" w:sz="4" w:space="0"/>
            </w:tcBorders>
            <w:shd w:val="clear" w:color="auto" w:fill="FFFFFF"/>
            <w:vAlign w:val="bottom"/>
          </w:tcPr>
          <w:p>
            <w:pPr>
              <w:widowControl/>
              <w:spacing w:line="232" w:lineRule="auto"/>
              <w:jc w:val="center"/>
              <w:rPr>
                <w:rFonts w:ascii="宋体" w:hAnsi="宋体" w:cs="宋体"/>
                <w:color w:val="auto"/>
                <w:spacing w:val="-2"/>
                <w:szCs w:val="22"/>
                <w:highlight w:val="none"/>
              </w:rPr>
            </w:pPr>
          </w:p>
        </w:tc>
        <w:tc>
          <w:tcPr>
            <w:tcW w:w="329" w:type="dxa"/>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444" w:hRule="exact"/>
        </w:trPr>
        <w:tc>
          <w:tcPr>
            <w:tcW w:w="1920" w:type="dxa"/>
            <w:gridSpan w:val="2"/>
            <w:shd w:val="clear" w:color="auto" w:fill="auto"/>
          </w:tcPr>
          <w:p>
            <w:pPr>
              <w:widowControl/>
              <w:jc w:val="left"/>
              <w:rPr>
                <w:rFonts w:ascii="Calibri" w:hAnsi="Calibri"/>
                <w:color w:val="auto"/>
                <w:sz w:val="2"/>
                <w:szCs w:val="22"/>
                <w:highlight w:val="none"/>
              </w:rPr>
            </w:pPr>
          </w:p>
        </w:tc>
        <w:tc>
          <w:tcPr>
            <w:tcW w:w="8124" w:type="dxa"/>
            <w:gridSpan w:val="3"/>
            <w:tcBorders>
              <w:top w:val="single" w:color="000000" w:sz="4" w:space="0"/>
            </w:tcBorders>
            <w:shd w:val="clear" w:color="auto" w:fill="FFFFFF"/>
            <w:vAlign w:val="center"/>
          </w:tcPr>
          <w:p>
            <w:pPr>
              <w:widowControl/>
              <w:spacing w:line="232" w:lineRule="auto"/>
              <w:jc w:val="center"/>
              <w:rPr>
                <w:rFonts w:ascii="宋体" w:hAnsi="宋体" w:cs="宋体"/>
                <w:color w:val="auto"/>
                <w:spacing w:val="-2"/>
                <w:sz w:val="20"/>
                <w:szCs w:val="22"/>
                <w:highlight w:val="none"/>
              </w:rPr>
            </w:pPr>
            <w:r>
              <w:rPr>
                <w:rFonts w:ascii="宋体" w:hAnsi="宋体" w:cs="宋体"/>
                <w:color w:val="auto"/>
                <w:spacing w:val="-2"/>
                <w:sz w:val="20"/>
                <w:szCs w:val="22"/>
                <w:highlight w:val="none"/>
              </w:rPr>
              <w:t>（造价人员签字盖专用章）</w:t>
            </w:r>
          </w:p>
        </w:tc>
        <w:tc>
          <w:tcPr>
            <w:tcW w:w="329" w:type="dxa"/>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673" w:hRule="exact"/>
        </w:trPr>
        <w:tc>
          <w:tcPr>
            <w:tcW w:w="10373" w:type="dxa"/>
            <w:gridSpan w:val="6"/>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688" w:hRule="exact"/>
        </w:trPr>
        <w:tc>
          <w:tcPr>
            <w:tcW w:w="229" w:type="dxa"/>
            <w:shd w:val="clear" w:color="auto" w:fill="auto"/>
          </w:tcPr>
          <w:p>
            <w:pPr>
              <w:widowControl/>
              <w:jc w:val="left"/>
              <w:rPr>
                <w:rFonts w:ascii="Calibri" w:hAnsi="Calibri"/>
                <w:color w:val="auto"/>
                <w:sz w:val="2"/>
                <w:szCs w:val="22"/>
                <w:highlight w:val="none"/>
              </w:rPr>
            </w:pPr>
          </w:p>
        </w:tc>
        <w:tc>
          <w:tcPr>
            <w:tcW w:w="1691" w:type="dxa"/>
            <w:shd w:val="clear" w:color="auto" w:fill="FFFFFF"/>
            <w:vAlign w:val="bottom"/>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时      间：</w:t>
            </w:r>
          </w:p>
        </w:tc>
        <w:tc>
          <w:tcPr>
            <w:tcW w:w="3381" w:type="dxa"/>
            <w:gridSpan w:val="2"/>
            <w:shd w:val="clear" w:color="auto" w:fill="FFFFFF"/>
            <w:vAlign w:val="bottom"/>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年月日</w:t>
            </w:r>
          </w:p>
        </w:tc>
        <w:tc>
          <w:tcPr>
            <w:tcW w:w="5072" w:type="dxa"/>
            <w:gridSpan w:val="2"/>
          </w:tcPr>
          <w:p>
            <w:pPr>
              <w:widowControl/>
              <w:jc w:val="left"/>
              <w:rPr>
                <w:rFonts w:ascii="Calibri" w:hAnsi="Calibri"/>
                <w:color w:val="auto"/>
                <w:sz w:val="2"/>
                <w:szCs w:val="22"/>
                <w:highlight w:val="none"/>
              </w:rPr>
            </w:pPr>
          </w:p>
        </w:tc>
      </w:tr>
    </w:tbl>
    <w:p>
      <w:pPr>
        <w:pStyle w:val="16"/>
        <w:ind w:left="0" w:leftChars="0" w:firstLine="0" w:firstLineChars="0"/>
        <w:rPr>
          <w:color w:val="auto"/>
          <w:highlight w:val="none"/>
        </w:rPr>
      </w:pPr>
    </w:p>
    <w:tbl>
      <w:tblPr>
        <w:tblStyle w:val="17"/>
        <w:tblW w:w="0" w:type="auto"/>
        <w:tblInd w:w="-696" w:type="dxa"/>
        <w:tblLayout w:type="fixed"/>
        <w:tblCellMar>
          <w:top w:w="0" w:type="dxa"/>
          <w:left w:w="0" w:type="dxa"/>
          <w:bottom w:w="0" w:type="dxa"/>
          <w:right w:w="0" w:type="dxa"/>
        </w:tblCellMar>
      </w:tblPr>
      <w:tblGrid>
        <w:gridCol w:w="1046"/>
        <w:gridCol w:w="3238"/>
        <w:gridCol w:w="2078"/>
        <w:gridCol w:w="945"/>
        <w:gridCol w:w="416"/>
        <w:gridCol w:w="1347"/>
        <w:gridCol w:w="1361"/>
      </w:tblGrid>
      <w:tr>
        <w:tblPrEx>
          <w:tblCellMar>
            <w:top w:w="0" w:type="dxa"/>
            <w:left w:w="0" w:type="dxa"/>
            <w:bottom w:w="0" w:type="dxa"/>
            <w:right w:w="0" w:type="dxa"/>
          </w:tblCellMar>
        </w:tblPrEx>
        <w:trPr>
          <w:trHeight w:val="851" w:hRule="exact"/>
        </w:trPr>
        <w:tc>
          <w:tcPr>
            <w:tcW w:w="10431" w:type="dxa"/>
            <w:gridSpan w:val="7"/>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建设项目投标报价汇总表</w:t>
            </w:r>
          </w:p>
          <w:p>
            <w:pPr>
              <w:widowControl/>
              <w:spacing w:line="232" w:lineRule="auto"/>
              <w:jc w:val="center"/>
              <w:rPr>
                <w:rFonts w:ascii="宋体" w:hAnsi="宋体" w:cs="宋体"/>
                <w:b/>
                <w:color w:val="auto"/>
                <w:spacing w:val="-2"/>
                <w:sz w:val="32"/>
                <w:szCs w:val="22"/>
                <w:highlight w:val="none"/>
              </w:rPr>
            </w:pPr>
          </w:p>
          <w:p>
            <w:pPr>
              <w:widowControl/>
              <w:spacing w:line="232" w:lineRule="auto"/>
              <w:jc w:val="center"/>
              <w:rPr>
                <w:rFonts w:ascii="宋体" w:hAnsi="宋体" w:cs="宋体"/>
                <w:b/>
                <w:color w:val="auto"/>
                <w:spacing w:val="-2"/>
                <w:sz w:val="32"/>
                <w:szCs w:val="22"/>
                <w:highlight w:val="none"/>
              </w:rPr>
            </w:pPr>
          </w:p>
          <w:p>
            <w:pPr>
              <w:widowControl/>
              <w:spacing w:line="232" w:lineRule="auto"/>
              <w:jc w:val="center"/>
              <w:rPr>
                <w:rFonts w:ascii="宋体" w:hAnsi="宋体" w:cs="宋体"/>
                <w:b/>
                <w:color w:val="auto"/>
                <w:spacing w:val="-2"/>
                <w:sz w:val="32"/>
                <w:szCs w:val="22"/>
                <w:highlight w:val="none"/>
              </w:rPr>
            </w:pPr>
          </w:p>
        </w:tc>
      </w:tr>
      <w:tr>
        <w:tblPrEx>
          <w:tblCellMar>
            <w:top w:w="0" w:type="dxa"/>
            <w:left w:w="0" w:type="dxa"/>
            <w:bottom w:w="0" w:type="dxa"/>
            <w:right w:w="0" w:type="dxa"/>
          </w:tblCellMar>
        </w:tblPrEx>
        <w:trPr>
          <w:trHeight w:val="344" w:hRule="exact"/>
        </w:trPr>
        <w:tc>
          <w:tcPr>
            <w:tcW w:w="7307" w:type="dxa"/>
            <w:gridSpan w:val="4"/>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工程名称：</w:t>
            </w:r>
          </w:p>
        </w:tc>
        <w:tc>
          <w:tcPr>
            <w:tcW w:w="3124" w:type="dxa"/>
            <w:gridSpan w:val="3"/>
            <w:tcBorders>
              <w:bottom w:val="single" w:color="000000" w:sz="10" w:space="0"/>
            </w:tcBorders>
            <w:shd w:val="clear" w:color="auto" w:fill="FFFFFF"/>
            <w:vAlign w:val="center"/>
          </w:tcPr>
          <w:p>
            <w:pPr>
              <w:spacing w:line="232" w:lineRule="auto"/>
              <w:jc w:val="right"/>
              <w:rPr>
                <w:rFonts w:ascii="黑体" w:hAnsi="黑体" w:eastAsia="黑体" w:cs="黑体"/>
                <w:color w:val="auto"/>
                <w:spacing w:val="-2"/>
                <w:highlight w:val="none"/>
              </w:rPr>
            </w:pPr>
            <w:r>
              <w:rPr>
                <w:rFonts w:hint="eastAsia" w:ascii="黑体" w:hAnsi="黑体" w:eastAsia="黑体" w:cs="黑体"/>
                <w:color w:val="auto"/>
                <w:spacing w:val="-2"/>
                <w:highlight w:val="none"/>
              </w:rPr>
              <w:t>表2</w:t>
            </w:r>
          </w:p>
        </w:tc>
      </w:tr>
      <w:tr>
        <w:tblPrEx>
          <w:tblCellMar>
            <w:top w:w="0" w:type="dxa"/>
            <w:left w:w="0" w:type="dxa"/>
            <w:bottom w:w="0" w:type="dxa"/>
            <w:right w:w="0" w:type="dxa"/>
          </w:tblCellMar>
        </w:tblPrEx>
        <w:trPr>
          <w:trHeight w:val="444" w:hRule="exact"/>
        </w:trPr>
        <w:tc>
          <w:tcPr>
            <w:tcW w:w="1046" w:type="dxa"/>
            <w:vMerge w:val="restart"/>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3238" w:type="dxa"/>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单项工程名称</w:t>
            </w:r>
          </w:p>
        </w:tc>
        <w:tc>
          <w:tcPr>
            <w:tcW w:w="2078" w:type="dxa"/>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金额(元)</w:t>
            </w:r>
          </w:p>
        </w:tc>
        <w:tc>
          <w:tcPr>
            <w:tcW w:w="4069" w:type="dxa"/>
            <w:gridSpan w:val="4"/>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其中：(元)</w:t>
            </w:r>
          </w:p>
        </w:tc>
      </w:tr>
      <w:tr>
        <w:tblPrEx>
          <w:tblCellMar>
            <w:top w:w="0" w:type="dxa"/>
            <w:left w:w="0" w:type="dxa"/>
            <w:bottom w:w="0" w:type="dxa"/>
            <w:right w:w="0" w:type="dxa"/>
          </w:tblCellMar>
        </w:tblPrEx>
        <w:trPr>
          <w:trHeight w:val="684" w:hRule="exact"/>
        </w:trPr>
        <w:tc>
          <w:tcPr>
            <w:tcW w:w="1046" w:type="dxa"/>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3238" w:type="dxa"/>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2078" w:type="dxa"/>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暂估价</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安全文明</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施工费</w:t>
            </w: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规费</w:t>
            </w:r>
          </w:p>
        </w:tc>
      </w:tr>
      <w:tr>
        <w:tblPrEx>
          <w:tblCellMar>
            <w:top w:w="0" w:type="dxa"/>
            <w:left w:w="0" w:type="dxa"/>
            <w:bottom w:w="0" w:type="dxa"/>
            <w:right w:w="0" w:type="dxa"/>
          </w:tblCellMar>
        </w:tblPrEx>
        <w:trPr>
          <w:trHeight w:val="329"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30"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23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361"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458" w:hRule="exact"/>
        </w:trPr>
        <w:tc>
          <w:tcPr>
            <w:tcW w:w="4284" w:type="dxa"/>
            <w:gridSpan w:val="2"/>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  计</w:t>
            </w:r>
          </w:p>
        </w:tc>
        <w:tc>
          <w:tcPr>
            <w:tcW w:w="2078" w:type="dxa"/>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361" w:type="dxa"/>
            <w:gridSpan w:val="2"/>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347" w:type="dxa"/>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361" w:type="dxa"/>
            <w:tcBorders>
              <w:top w:val="single" w:color="000000" w:sz="4" w:space="0"/>
              <w:left w:val="single" w:color="000000" w:sz="4" w:space="0"/>
              <w:bottom w:val="single" w:color="000000" w:sz="10"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bl>
    <w:p>
      <w:pPr>
        <w:spacing w:line="540" w:lineRule="exact"/>
        <w:rPr>
          <w:rFonts w:ascii="宋体" w:hAnsi="宋体"/>
          <w:color w:val="auto"/>
          <w:sz w:val="28"/>
          <w:highlight w:val="none"/>
        </w:rPr>
      </w:pPr>
    </w:p>
    <w:tbl>
      <w:tblPr>
        <w:tblStyle w:val="17"/>
        <w:tblW w:w="10593" w:type="dxa"/>
        <w:tblInd w:w="-696" w:type="dxa"/>
        <w:tblLayout w:type="fixed"/>
        <w:tblCellMar>
          <w:top w:w="0" w:type="dxa"/>
          <w:left w:w="0" w:type="dxa"/>
          <w:bottom w:w="0" w:type="dxa"/>
          <w:right w:w="0" w:type="dxa"/>
        </w:tblCellMar>
      </w:tblPr>
      <w:tblGrid>
        <w:gridCol w:w="670"/>
        <w:gridCol w:w="376"/>
        <w:gridCol w:w="168"/>
        <w:gridCol w:w="502"/>
        <w:gridCol w:w="939"/>
        <w:gridCol w:w="1417"/>
        <w:gridCol w:w="212"/>
        <w:gridCol w:w="1348"/>
        <w:gridCol w:w="283"/>
        <w:gridCol w:w="447"/>
        <w:gridCol w:w="129"/>
        <w:gridCol w:w="133"/>
        <w:gridCol w:w="307"/>
        <w:gridCol w:w="376"/>
        <w:gridCol w:w="26"/>
        <w:gridCol w:w="390"/>
        <w:gridCol w:w="254"/>
        <w:gridCol w:w="206"/>
        <w:gridCol w:w="142"/>
        <w:gridCol w:w="745"/>
        <w:gridCol w:w="247"/>
        <w:gridCol w:w="992"/>
        <w:gridCol w:w="122"/>
        <w:gridCol w:w="162"/>
      </w:tblGrid>
      <w:tr>
        <w:tblPrEx>
          <w:tblCellMar>
            <w:top w:w="0" w:type="dxa"/>
            <w:left w:w="0" w:type="dxa"/>
            <w:bottom w:w="0" w:type="dxa"/>
            <w:right w:w="0" w:type="dxa"/>
          </w:tblCellMar>
        </w:tblPrEx>
        <w:trPr>
          <w:gridAfter w:val="1"/>
          <w:wAfter w:w="162" w:type="dxa"/>
          <w:trHeight w:val="673" w:hRule="exact"/>
        </w:trPr>
        <w:tc>
          <w:tcPr>
            <w:tcW w:w="10431" w:type="dxa"/>
            <w:gridSpan w:val="23"/>
            <w:shd w:val="clear" w:color="auto" w:fill="FFFFFF"/>
            <w:vAlign w:val="center"/>
          </w:tcPr>
          <w:p>
            <w:pPr>
              <w:spacing w:line="232" w:lineRule="auto"/>
              <w:jc w:val="center"/>
              <w:rPr>
                <w:rFonts w:ascii="宋体" w:hAnsi="宋体" w:cs="宋体"/>
                <w:b/>
                <w:color w:val="auto"/>
                <w:spacing w:val="-2"/>
                <w:sz w:val="32"/>
                <w:highlight w:val="none"/>
              </w:rPr>
            </w:pPr>
            <w:r>
              <w:rPr>
                <w:rFonts w:ascii="宋体" w:hAnsi="宋体" w:cs="宋体"/>
                <w:b/>
                <w:color w:val="auto"/>
                <w:spacing w:val="-2"/>
                <w:sz w:val="32"/>
                <w:highlight w:val="none"/>
              </w:rPr>
              <w:t>单项工程投标报价汇总表</w:t>
            </w:r>
          </w:p>
        </w:tc>
      </w:tr>
      <w:tr>
        <w:tblPrEx>
          <w:tblCellMar>
            <w:top w:w="0" w:type="dxa"/>
            <w:left w:w="0" w:type="dxa"/>
            <w:bottom w:w="0" w:type="dxa"/>
            <w:right w:w="0" w:type="dxa"/>
          </w:tblCellMar>
        </w:tblPrEx>
        <w:trPr>
          <w:gridAfter w:val="1"/>
          <w:wAfter w:w="162" w:type="dxa"/>
          <w:trHeight w:val="344" w:hRule="exact"/>
        </w:trPr>
        <w:tc>
          <w:tcPr>
            <w:tcW w:w="7307" w:type="dxa"/>
            <w:gridSpan w:val="14"/>
            <w:tcBorders>
              <w:bottom w:val="single" w:color="000000" w:sz="10" w:space="0"/>
            </w:tcBorders>
            <w:shd w:val="clear" w:color="auto" w:fill="FFFFFF"/>
            <w:vAlign w:val="center"/>
          </w:tcPr>
          <w:p>
            <w:pPr>
              <w:spacing w:line="232" w:lineRule="auto"/>
              <w:rPr>
                <w:rFonts w:ascii="黑体" w:hAnsi="黑体" w:eastAsia="黑体" w:cs="黑体"/>
                <w:color w:val="auto"/>
                <w:spacing w:val="-2"/>
                <w:highlight w:val="none"/>
              </w:rPr>
            </w:pPr>
            <w:r>
              <w:rPr>
                <w:rFonts w:ascii="黑体" w:hAnsi="黑体" w:eastAsia="黑体" w:cs="黑体"/>
                <w:color w:val="auto"/>
                <w:spacing w:val="-2"/>
                <w:highlight w:val="none"/>
              </w:rPr>
              <w:t>工程名称：</w:t>
            </w:r>
          </w:p>
        </w:tc>
        <w:tc>
          <w:tcPr>
            <w:tcW w:w="3124" w:type="dxa"/>
            <w:gridSpan w:val="9"/>
            <w:tcBorders>
              <w:bottom w:val="single" w:color="000000" w:sz="10" w:space="0"/>
            </w:tcBorders>
            <w:shd w:val="clear" w:color="auto" w:fill="FFFFFF"/>
            <w:vAlign w:val="center"/>
          </w:tcPr>
          <w:p>
            <w:pPr>
              <w:spacing w:line="232" w:lineRule="auto"/>
              <w:jc w:val="right"/>
              <w:rPr>
                <w:rFonts w:ascii="黑体" w:hAnsi="黑体" w:eastAsia="黑体" w:cs="黑体"/>
                <w:color w:val="auto"/>
                <w:spacing w:val="-2"/>
                <w:highlight w:val="none"/>
              </w:rPr>
            </w:pPr>
            <w:r>
              <w:rPr>
                <w:rFonts w:hint="eastAsia" w:ascii="黑体" w:hAnsi="黑体" w:eastAsia="黑体" w:cs="黑体"/>
                <w:color w:val="auto"/>
                <w:spacing w:val="-2"/>
                <w:highlight w:val="none"/>
              </w:rPr>
              <w:t>表3</w:t>
            </w:r>
          </w:p>
        </w:tc>
      </w:tr>
      <w:tr>
        <w:tblPrEx>
          <w:tblCellMar>
            <w:top w:w="0" w:type="dxa"/>
            <w:left w:w="0" w:type="dxa"/>
            <w:bottom w:w="0" w:type="dxa"/>
            <w:right w:w="0" w:type="dxa"/>
          </w:tblCellMar>
        </w:tblPrEx>
        <w:trPr>
          <w:gridAfter w:val="1"/>
          <w:wAfter w:w="162" w:type="dxa"/>
          <w:trHeight w:val="444" w:hRule="exact"/>
        </w:trPr>
        <w:tc>
          <w:tcPr>
            <w:tcW w:w="1046" w:type="dxa"/>
            <w:gridSpan w:val="2"/>
            <w:vMerge w:val="restart"/>
            <w:tcBorders>
              <w:top w:val="single" w:color="000000" w:sz="10"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序号</w:t>
            </w:r>
          </w:p>
        </w:tc>
        <w:tc>
          <w:tcPr>
            <w:tcW w:w="3238" w:type="dxa"/>
            <w:gridSpan w:val="5"/>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单位工程名称</w:t>
            </w:r>
          </w:p>
        </w:tc>
        <w:tc>
          <w:tcPr>
            <w:tcW w:w="2078" w:type="dxa"/>
            <w:gridSpan w:val="3"/>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金额(元)</w:t>
            </w:r>
          </w:p>
        </w:tc>
        <w:tc>
          <w:tcPr>
            <w:tcW w:w="4069" w:type="dxa"/>
            <w:gridSpan w:val="13"/>
            <w:tcBorders>
              <w:top w:val="single" w:color="000000" w:sz="10"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其中：(元)</w:t>
            </w:r>
          </w:p>
        </w:tc>
      </w:tr>
      <w:tr>
        <w:tblPrEx>
          <w:tblCellMar>
            <w:top w:w="0" w:type="dxa"/>
            <w:left w:w="0" w:type="dxa"/>
            <w:bottom w:w="0" w:type="dxa"/>
            <w:right w:w="0" w:type="dxa"/>
          </w:tblCellMar>
        </w:tblPrEx>
        <w:trPr>
          <w:gridAfter w:val="1"/>
          <w:wAfter w:w="162" w:type="dxa"/>
          <w:trHeight w:val="684" w:hRule="exact"/>
        </w:trPr>
        <w:tc>
          <w:tcPr>
            <w:tcW w:w="1046" w:type="dxa"/>
            <w:gridSpan w:val="2"/>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pPr>
              <w:rPr>
                <w:color w:val="auto"/>
                <w:highlight w:val="none"/>
              </w:rPr>
            </w:pPr>
          </w:p>
        </w:tc>
        <w:tc>
          <w:tcPr>
            <w:tcW w:w="3238" w:type="dxa"/>
            <w:gridSpan w:val="5"/>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rPr>
                <w:color w:val="auto"/>
                <w:highlight w:val="none"/>
              </w:rPr>
            </w:pPr>
          </w:p>
        </w:tc>
        <w:tc>
          <w:tcPr>
            <w:tcW w:w="2078" w:type="dxa"/>
            <w:gridSpan w:val="3"/>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rPr>
                <w:color w:val="auto"/>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暂估价</w:t>
            </w: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安全文明</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施工费</w:t>
            </w: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规费</w:t>
            </w:r>
          </w:p>
        </w:tc>
      </w:tr>
      <w:tr>
        <w:tblPrEx>
          <w:tblCellMar>
            <w:top w:w="0" w:type="dxa"/>
            <w:left w:w="0" w:type="dxa"/>
            <w:bottom w:w="0" w:type="dxa"/>
            <w:right w:w="0" w:type="dxa"/>
          </w:tblCellMar>
        </w:tblPrEx>
        <w:trPr>
          <w:gridAfter w:val="1"/>
          <w:wAfter w:w="162" w:type="dxa"/>
          <w:trHeight w:val="329"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right"/>
              <w:rPr>
                <w:rFonts w:ascii="宋体" w:hAnsi="宋体" w:cs="宋体"/>
                <w:color w:val="auto"/>
                <w:spacing w:val="-2"/>
                <w:highlight w:val="none"/>
              </w:rPr>
            </w:pPr>
          </w:p>
        </w:tc>
      </w:tr>
      <w:tr>
        <w:tblPrEx>
          <w:tblCellMar>
            <w:top w:w="0" w:type="dxa"/>
            <w:left w:w="0" w:type="dxa"/>
            <w:bottom w:w="0" w:type="dxa"/>
            <w:right w:w="0" w:type="dxa"/>
          </w:tblCellMar>
        </w:tblPrEx>
        <w:trPr>
          <w:gridAfter w:val="1"/>
          <w:wAfter w:w="162" w:type="dxa"/>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right"/>
              <w:rPr>
                <w:rFonts w:ascii="宋体" w:hAnsi="宋体" w:cs="宋体"/>
                <w:color w:val="auto"/>
                <w:spacing w:val="-2"/>
                <w:highlight w:val="none"/>
              </w:rPr>
            </w:pPr>
          </w:p>
        </w:tc>
      </w:tr>
      <w:tr>
        <w:tblPrEx>
          <w:tblCellMar>
            <w:top w:w="0" w:type="dxa"/>
            <w:left w:w="0" w:type="dxa"/>
            <w:bottom w:w="0" w:type="dxa"/>
            <w:right w:w="0" w:type="dxa"/>
          </w:tblCellMar>
        </w:tblPrEx>
        <w:trPr>
          <w:gridAfter w:val="1"/>
          <w:wAfter w:w="162" w:type="dxa"/>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1"/>
          <w:wAfter w:w="162" w:type="dxa"/>
          <w:trHeight w:val="329"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1"/>
          <w:wAfter w:w="162" w:type="dxa"/>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1"/>
          <w:wAfter w:w="162" w:type="dxa"/>
          <w:trHeight w:val="330"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1"/>
          <w:wAfter w:w="162" w:type="dxa"/>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1"/>
          <w:wAfter w:w="162" w:type="dxa"/>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3238" w:type="dxa"/>
            <w:gridSpan w:val="5"/>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61" w:type="dxa"/>
            <w:gridSpan w:val="6"/>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47"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361" w:type="dxa"/>
            <w:gridSpan w:val="3"/>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1"/>
          <w:wAfter w:w="162" w:type="dxa"/>
          <w:trHeight w:val="458" w:hRule="exact"/>
        </w:trPr>
        <w:tc>
          <w:tcPr>
            <w:tcW w:w="4284" w:type="dxa"/>
            <w:gridSpan w:val="7"/>
            <w:tcBorders>
              <w:top w:val="single" w:color="000000" w:sz="4" w:space="0"/>
              <w:left w:val="single" w:color="000000" w:sz="10" w:space="0"/>
              <w:bottom w:val="single" w:color="000000" w:sz="10"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合  计</w:t>
            </w:r>
          </w:p>
        </w:tc>
        <w:tc>
          <w:tcPr>
            <w:tcW w:w="2078" w:type="dxa"/>
            <w:gridSpan w:val="3"/>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6"/>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47"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3"/>
            <w:tcBorders>
              <w:top w:val="single" w:color="000000" w:sz="4" w:space="0"/>
              <w:left w:val="single" w:color="000000" w:sz="4" w:space="0"/>
              <w:bottom w:val="single" w:color="000000" w:sz="10" w:space="0"/>
              <w:right w:val="single" w:color="000000" w:sz="10" w:space="0"/>
            </w:tcBorders>
            <w:shd w:val="clear" w:color="auto" w:fill="FFFFFF"/>
            <w:vAlign w:val="center"/>
          </w:tcPr>
          <w:p>
            <w:pPr>
              <w:spacing w:line="232" w:lineRule="auto"/>
              <w:jc w:val="right"/>
              <w:rPr>
                <w:rFonts w:ascii="宋体" w:hAnsi="宋体" w:cs="宋体"/>
                <w:color w:val="auto"/>
                <w:spacing w:val="-2"/>
                <w:highlight w:val="none"/>
              </w:rPr>
            </w:pPr>
          </w:p>
        </w:tc>
      </w:tr>
      <w:tr>
        <w:tblPrEx>
          <w:tblCellMar>
            <w:top w:w="0" w:type="dxa"/>
            <w:left w:w="0" w:type="dxa"/>
            <w:bottom w:w="0" w:type="dxa"/>
            <w:right w:w="0" w:type="dxa"/>
          </w:tblCellMar>
        </w:tblPrEx>
        <w:trPr>
          <w:gridAfter w:val="1"/>
          <w:wAfter w:w="162" w:type="dxa"/>
          <w:trHeight w:val="458" w:hRule="exact"/>
        </w:trPr>
        <w:tc>
          <w:tcPr>
            <w:tcW w:w="4284" w:type="dxa"/>
            <w:gridSpan w:val="7"/>
            <w:tcBorders>
              <w:top w:val="single" w:color="000000" w:sz="4" w:space="0"/>
              <w:left w:val="single" w:color="000000" w:sz="10" w:space="0"/>
              <w:bottom w:val="single" w:color="000000" w:sz="10"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p>
        </w:tc>
        <w:tc>
          <w:tcPr>
            <w:tcW w:w="2078" w:type="dxa"/>
            <w:gridSpan w:val="3"/>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6"/>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47"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361" w:type="dxa"/>
            <w:gridSpan w:val="3"/>
            <w:tcBorders>
              <w:top w:val="single" w:color="000000" w:sz="4" w:space="0"/>
              <w:left w:val="single" w:color="000000" w:sz="4" w:space="0"/>
              <w:bottom w:val="single" w:color="000000" w:sz="10" w:space="0"/>
              <w:right w:val="single" w:color="000000" w:sz="10" w:space="0"/>
            </w:tcBorders>
            <w:shd w:val="clear" w:color="auto" w:fill="FFFFFF"/>
            <w:vAlign w:val="center"/>
          </w:tcPr>
          <w:p>
            <w:pPr>
              <w:spacing w:line="232" w:lineRule="auto"/>
              <w:jc w:val="right"/>
              <w:rPr>
                <w:rFonts w:ascii="宋体" w:hAnsi="宋体" w:cs="宋体"/>
                <w:color w:val="auto"/>
                <w:spacing w:val="-2"/>
                <w:highlight w:val="none"/>
              </w:rPr>
            </w:pPr>
          </w:p>
        </w:tc>
      </w:tr>
      <w:tr>
        <w:tblPrEx>
          <w:tblCellMar>
            <w:top w:w="0" w:type="dxa"/>
            <w:left w:w="0" w:type="dxa"/>
            <w:bottom w:w="0" w:type="dxa"/>
            <w:right w:w="0" w:type="dxa"/>
          </w:tblCellMar>
        </w:tblPrEx>
        <w:trPr>
          <w:gridAfter w:val="1"/>
          <w:wAfter w:w="162" w:type="dxa"/>
          <w:trHeight w:val="115" w:hRule="exact"/>
        </w:trPr>
        <w:tc>
          <w:tcPr>
            <w:tcW w:w="10431" w:type="dxa"/>
            <w:gridSpan w:val="23"/>
            <w:tcBorders>
              <w:top w:val="single" w:color="000000" w:sz="10" w:space="0"/>
            </w:tcBorders>
          </w:tcPr>
          <w:p>
            <w:pPr>
              <w:rPr>
                <w:color w:val="auto"/>
                <w:highlight w:val="none"/>
              </w:rPr>
            </w:pPr>
          </w:p>
        </w:tc>
      </w:tr>
      <w:tr>
        <w:tblPrEx>
          <w:tblCellMar>
            <w:top w:w="0" w:type="dxa"/>
            <w:left w:w="0" w:type="dxa"/>
            <w:bottom w:w="0" w:type="dxa"/>
            <w:right w:w="0" w:type="dxa"/>
          </w:tblCellMar>
        </w:tblPrEx>
        <w:trPr>
          <w:gridAfter w:val="1"/>
          <w:wAfter w:w="162" w:type="dxa"/>
          <w:trHeight w:val="458" w:hRule="exact"/>
        </w:trPr>
        <w:tc>
          <w:tcPr>
            <w:tcW w:w="6491" w:type="dxa"/>
            <w:gridSpan w:val="11"/>
            <w:shd w:val="clear" w:color="auto" w:fill="auto"/>
          </w:tcPr>
          <w:p>
            <w:pPr>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p>
            <w:pPr>
              <w:pStyle w:val="16"/>
              <w:rPr>
                <w:color w:val="auto"/>
                <w:highlight w:val="none"/>
              </w:rPr>
            </w:pPr>
          </w:p>
        </w:tc>
        <w:tc>
          <w:tcPr>
            <w:tcW w:w="3940" w:type="dxa"/>
            <w:gridSpan w:val="12"/>
            <w:shd w:val="clear" w:color="auto" w:fill="FFFFFF"/>
          </w:tcPr>
          <w:p>
            <w:pPr>
              <w:spacing w:line="232" w:lineRule="auto"/>
              <w:jc w:val="right"/>
              <w:rPr>
                <w:rFonts w:ascii="宋体" w:hAnsi="宋体" w:cs="宋体"/>
                <w:b/>
                <w:color w:val="auto"/>
                <w:spacing w:val="-2"/>
                <w:sz w:val="18"/>
                <w:highlight w:val="none"/>
              </w:rPr>
            </w:pPr>
          </w:p>
        </w:tc>
      </w:tr>
      <w:tr>
        <w:tblPrEx>
          <w:tblCellMar>
            <w:top w:w="0" w:type="dxa"/>
            <w:left w:w="0" w:type="dxa"/>
            <w:bottom w:w="0" w:type="dxa"/>
            <w:right w:w="0" w:type="dxa"/>
          </w:tblCellMar>
        </w:tblPrEx>
        <w:trPr>
          <w:gridBefore w:val="1"/>
          <w:gridAfter w:val="2"/>
          <w:wBefore w:w="670" w:type="dxa"/>
          <w:wAfter w:w="284" w:type="dxa"/>
          <w:trHeight w:val="673" w:hRule="exact"/>
        </w:trPr>
        <w:tc>
          <w:tcPr>
            <w:tcW w:w="9639" w:type="dxa"/>
            <w:gridSpan w:val="21"/>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单位工程投标报价汇总表</w:t>
            </w:r>
          </w:p>
        </w:tc>
      </w:tr>
      <w:tr>
        <w:tblPrEx>
          <w:tblCellMar>
            <w:top w:w="0" w:type="dxa"/>
            <w:left w:w="0" w:type="dxa"/>
            <w:bottom w:w="0" w:type="dxa"/>
            <w:right w:w="0" w:type="dxa"/>
          </w:tblCellMar>
        </w:tblPrEx>
        <w:trPr>
          <w:gridBefore w:val="1"/>
          <w:gridAfter w:val="2"/>
          <w:wBefore w:w="670" w:type="dxa"/>
          <w:wAfter w:w="284" w:type="dxa"/>
          <w:trHeight w:val="344" w:hRule="exact"/>
        </w:trPr>
        <w:tc>
          <w:tcPr>
            <w:tcW w:w="5245" w:type="dxa"/>
            <w:gridSpan w:val="8"/>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工程名称：</w:t>
            </w:r>
          </w:p>
        </w:tc>
        <w:tc>
          <w:tcPr>
            <w:tcW w:w="2062" w:type="dxa"/>
            <w:gridSpan w:val="8"/>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332" w:type="dxa"/>
            <w:gridSpan w:val="5"/>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表4</w:t>
            </w:r>
          </w:p>
        </w:tc>
      </w:tr>
      <w:tr>
        <w:tblPrEx>
          <w:tblCellMar>
            <w:top w:w="0" w:type="dxa"/>
            <w:left w:w="0" w:type="dxa"/>
            <w:bottom w:w="0" w:type="dxa"/>
            <w:right w:w="0" w:type="dxa"/>
          </w:tblCellMar>
        </w:tblPrEx>
        <w:trPr>
          <w:gridBefore w:val="1"/>
          <w:gridAfter w:val="2"/>
          <w:wBefore w:w="670" w:type="dxa"/>
          <w:wAfter w:w="284" w:type="dxa"/>
          <w:trHeight w:val="674" w:hRule="exact"/>
        </w:trPr>
        <w:tc>
          <w:tcPr>
            <w:tcW w:w="1046" w:type="dxa"/>
            <w:gridSpan w:val="3"/>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4199" w:type="dxa"/>
            <w:gridSpan w:val="5"/>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汇总内容</w:t>
            </w:r>
          </w:p>
        </w:tc>
        <w:tc>
          <w:tcPr>
            <w:tcW w:w="2268" w:type="dxa"/>
            <w:gridSpan w:val="9"/>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金额(元)</w:t>
            </w:r>
          </w:p>
        </w:tc>
        <w:tc>
          <w:tcPr>
            <w:tcW w:w="2126" w:type="dxa"/>
            <w:gridSpan w:val="4"/>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其中:暂估价(元)</w:t>
            </w: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分部分项工程费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1.1</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人工费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1.2</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材料费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1.3</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施工机具使用费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1.4</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企业管理费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1.5</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利润</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30"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措施项目费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2.1</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单价措施项目费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2.2</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总价措施项目费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2.2.1</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其中：安全文明施工措施费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3</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其他项目费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3.1</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其中：暂列金额</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3.2</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其中：专业工程暂估</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3.3</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其中：计日工</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30"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3.4</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其中：总承包服务费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4</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规费</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5</w:t>
            </w: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税金</w:t>
            </w: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30"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29"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344" w:hRule="exact"/>
        </w:trPr>
        <w:tc>
          <w:tcPr>
            <w:tcW w:w="1046"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4199"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268"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126" w:type="dxa"/>
            <w:gridSpan w:val="4"/>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459" w:hRule="exact"/>
        </w:trPr>
        <w:tc>
          <w:tcPr>
            <w:tcW w:w="5245" w:type="dxa"/>
            <w:gridSpan w:val="8"/>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投标报价合计=1+2+3+4+5</w:t>
            </w:r>
          </w:p>
        </w:tc>
        <w:tc>
          <w:tcPr>
            <w:tcW w:w="2268" w:type="dxa"/>
            <w:gridSpan w:val="9"/>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2126" w:type="dxa"/>
            <w:gridSpan w:val="4"/>
            <w:tcBorders>
              <w:top w:val="single" w:color="000000" w:sz="4" w:space="0"/>
              <w:left w:val="single" w:color="000000" w:sz="4" w:space="0"/>
              <w:bottom w:val="single" w:color="000000" w:sz="10"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43" w:hRule="exact"/>
        </w:trPr>
        <w:tc>
          <w:tcPr>
            <w:tcW w:w="9639" w:type="dxa"/>
            <w:gridSpan w:val="21"/>
            <w:tcBorders>
              <w:top w:val="single" w:color="000000" w:sz="10" w:space="0"/>
            </w:tcBorders>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gridBefore w:val="1"/>
          <w:gridAfter w:val="2"/>
          <w:wBefore w:w="670" w:type="dxa"/>
          <w:wAfter w:w="284" w:type="dxa"/>
          <w:trHeight w:val="43" w:hRule="exact"/>
        </w:trPr>
        <w:tc>
          <w:tcPr>
            <w:tcW w:w="9639" w:type="dxa"/>
            <w:gridSpan w:val="21"/>
            <w:tcBorders>
              <w:top w:val="single" w:color="000000" w:sz="10" w:space="0"/>
            </w:tcBorders>
            <w:shd w:val="clear" w:color="auto" w:fill="FFFFFF"/>
          </w:tcPr>
          <w:p>
            <w:pPr>
              <w:widowControl/>
              <w:jc w:val="left"/>
              <w:rPr>
                <w:rFonts w:ascii="Calibri" w:hAnsi="Calibri"/>
                <w:color w:val="auto"/>
                <w:sz w:val="2"/>
                <w:szCs w:val="22"/>
                <w:highlight w:val="none"/>
              </w:rPr>
            </w:pPr>
            <w:r>
              <w:rPr>
                <w:rFonts w:ascii="Calibri" w:hAnsi="Calibri"/>
                <w:color w:val="auto"/>
                <w:sz w:val="2"/>
                <w:szCs w:val="22"/>
                <w:highlight w:val="none"/>
              </w:rPr>
              <w:t>分部分项工程和单价措施项目清单与计价表</w:t>
            </w:r>
          </w:p>
        </w:tc>
      </w:tr>
      <w:tr>
        <w:tblPrEx>
          <w:tblCellMar>
            <w:top w:w="0" w:type="dxa"/>
            <w:left w:w="0" w:type="dxa"/>
            <w:bottom w:w="0" w:type="dxa"/>
            <w:right w:w="0" w:type="dxa"/>
          </w:tblCellMar>
        </w:tblPrEx>
        <w:trPr>
          <w:gridBefore w:val="1"/>
          <w:wBefore w:w="670" w:type="dxa"/>
          <w:trHeight w:val="674" w:hRule="exact"/>
        </w:trPr>
        <w:tc>
          <w:tcPr>
            <w:tcW w:w="9923" w:type="dxa"/>
            <w:gridSpan w:val="23"/>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分部分项工程和单价措施项目清单与计价表</w:t>
            </w:r>
          </w:p>
        </w:tc>
      </w:tr>
      <w:tr>
        <w:tblPrEx>
          <w:tblCellMar>
            <w:top w:w="0" w:type="dxa"/>
            <w:left w:w="0" w:type="dxa"/>
            <w:bottom w:w="0" w:type="dxa"/>
            <w:right w:w="0" w:type="dxa"/>
          </w:tblCellMar>
        </w:tblPrEx>
        <w:trPr>
          <w:gridBefore w:val="1"/>
          <w:wBefore w:w="670" w:type="dxa"/>
          <w:trHeight w:val="344" w:hRule="exact"/>
        </w:trPr>
        <w:tc>
          <w:tcPr>
            <w:tcW w:w="6261" w:type="dxa"/>
            <w:gridSpan w:val="1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 xml:space="preserve">工程名称： </w:t>
            </w:r>
          </w:p>
        </w:tc>
        <w:tc>
          <w:tcPr>
            <w:tcW w:w="1046" w:type="dxa"/>
            <w:gridSpan w:val="4"/>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616" w:type="dxa"/>
            <w:gridSpan w:val="7"/>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表5</w:t>
            </w:r>
          </w:p>
        </w:tc>
      </w:tr>
      <w:tr>
        <w:tblPrEx>
          <w:tblCellMar>
            <w:top w:w="0" w:type="dxa"/>
            <w:left w:w="0" w:type="dxa"/>
            <w:bottom w:w="0" w:type="dxa"/>
            <w:right w:w="0" w:type="dxa"/>
          </w:tblCellMar>
        </w:tblPrEx>
        <w:trPr>
          <w:gridBefore w:val="1"/>
          <w:wBefore w:w="670" w:type="dxa"/>
          <w:trHeight w:val="300" w:hRule="exact"/>
        </w:trPr>
        <w:tc>
          <w:tcPr>
            <w:tcW w:w="544" w:type="dxa"/>
            <w:gridSpan w:val="2"/>
            <w:vMerge w:val="restart"/>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1441"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项目编码</w:t>
            </w:r>
          </w:p>
        </w:tc>
        <w:tc>
          <w:tcPr>
            <w:tcW w:w="1417" w:type="dxa"/>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项目名称</w:t>
            </w:r>
          </w:p>
        </w:tc>
        <w:tc>
          <w:tcPr>
            <w:tcW w:w="1560"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项目特征描述</w:t>
            </w:r>
          </w:p>
        </w:tc>
        <w:tc>
          <w:tcPr>
            <w:tcW w:w="992" w:type="dxa"/>
            <w:gridSpan w:val="4"/>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计量</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单位</w:t>
            </w:r>
          </w:p>
        </w:tc>
        <w:tc>
          <w:tcPr>
            <w:tcW w:w="709" w:type="dxa"/>
            <w:gridSpan w:val="3"/>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工程量</w:t>
            </w:r>
          </w:p>
        </w:tc>
        <w:tc>
          <w:tcPr>
            <w:tcW w:w="3260" w:type="dxa"/>
            <w:gridSpan w:val="9"/>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金额（元）</w:t>
            </w:r>
          </w:p>
        </w:tc>
      </w:tr>
      <w:tr>
        <w:tblPrEx>
          <w:tblCellMar>
            <w:top w:w="0" w:type="dxa"/>
            <w:left w:w="0" w:type="dxa"/>
            <w:bottom w:w="0" w:type="dxa"/>
            <w:right w:w="0" w:type="dxa"/>
          </w:tblCellMar>
        </w:tblPrEx>
        <w:trPr>
          <w:gridBefore w:val="1"/>
          <w:wBefore w:w="670" w:type="dxa"/>
          <w:trHeight w:val="301" w:hRule="exact"/>
        </w:trPr>
        <w:tc>
          <w:tcPr>
            <w:tcW w:w="544" w:type="dxa"/>
            <w:gridSpan w:val="2"/>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441"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417" w:type="dxa"/>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560"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4"/>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709" w:type="dxa"/>
            <w:gridSpan w:val="3"/>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综合单价</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合价</w:t>
            </w: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其中</w:t>
            </w:r>
          </w:p>
        </w:tc>
      </w:tr>
      <w:tr>
        <w:tblPrEx>
          <w:tblCellMar>
            <w:top w:w="0" w:type="dxa"/>
            <w:left w:w="0" w:type="dxa"/>
            <w:bottom w:w="0" w:type="dxa"/>
            <w:right w:w="0" w:type="dxa"/>
          </w:tblCellMar>
        </w:tblPrEx>
        <w:trPr>
          <w:gridBefore w:val="1"/>
          <w:wBefore w:w="670" w:type="dxa"/>
          <w:trHeight w:val="287" w:hRule="exact"/>
        </w:trPr>
        <w:tc>
          <w:tcPr>
            <w:tcW w:w="544" w:type="dxa"/>
            <w:gridSpan w:val="2"/>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441"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417" w:type="dxa"/>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560"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4"/>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709" w:type="dxa"/>
            <w:gridSpan w:val="3"/>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暂估价</w:t>
            </w:r>
          </w:p>
        </w:tc>
      </w:tr>
      <w:tr>
        <w:tblPrEx>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97"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30"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4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分部分项合计</w:t>
            </w: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4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29"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29"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29"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4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30"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单价措施合计</w:t>
            </w: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343"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wBefore w:w="670" w:type="dxa"/>
          <w:trHeight w:val="34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wBefore w:w="670" w:type="dxa"/>
          <w:trHeight w:val="34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wBefore w:w="670" w:type="dxa"/>
          <w:trHeight w:val="34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wBefore w:w="670" w:type="dxa"/>
          <w:trHeight w:val="330"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wBefore w:w="670" w:type="dxa"/>
          <w:trHeight w:val="34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4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Before w:val="1"/>
          <w:wBefore w:w="670" w:type="dxa"/>
          <w:trHeight w:val="444" w:hRule="exact"/>
        </w:trPr>
        <w:tc>
          <w:tcPr>
            <w:tcW w:w="7655" w:type="dxa"/>
            <w:gridSpan w:val="18"/>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本页小计</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Before w:val="1"/>
          <w:wBefore w:w="670" w:type="dxa"/>
          <w:trHeight w:val="458" w:hRule="exact"/>
        </w:trPr>
        <w:tc>
          <w:tcPr>
            <w:tcW w:w="7655" w:type="dxa"/>
            <w:gridSpan w:val="18"/>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    计</w:t>
            </w:r>
          </w:p>
        </w:tc>
        <w:tc>
          <w:tcPr>
            <w:tcW w:w="992" w:type="dxa"/>
            <w:gridSpan w:val="2"/>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6" w:type="dxa"/>
            <w:gridSpan w:val="3"/>
            <w:tcBorders>
              <w:top w:val="single" w:color="000000" w:sz="4" w:space="0"/>
              <w:left w:val="single" w:color="000000" w:sz="4" w:space="0"/>
              <w:bottom w:val="single" w:color="000000" w:sz="10"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bl>
    <w:p>
      <w:pPr>
        <w:jc w:val="center"/>
        <w:rPr>
          <w:rFonts w:ascii="黑体" w:eastAsia="黑体" w:cs="宋体"/>
          <w:b/>
          <w:color w:val="auto"/>
          <w:kern w:val="0"/>
          <w:sz w:val="32"/>
          <w:szCs w:val="32"/>
          <w:highlight w:val="none"/>
        </w:rPr>
      </w:pPr>
    </w:p>
    <w:tbl>
      <w:tblPr>
        <w:tblStyle w:val="17"/>
        <w:tblW w:w="0" w:type="auto"/>
        <w:tblInd w:w="-26" w:type="dxa"/>
        <w:tblLayout w:type="fixed"/>
        <w:tblCellMar>
          <w:top w:w="0" w:type="dxa"/>
          <w:left w:w="0" w:type="dxa"/>
          <w:bottom w:w="0" w:type="dxa"/>
          <w:right w:w="0" w:type="dxa"/>
        </w:tblCellMar>
      </w:tblPr>
      <w:tblGrid>
        <w:gridCol w:w="673"/>
        <w:gridCol w:w="344"/>
        <w:gridCol w:w="1110"/>
        <w:gridCol w:w="237"/>
        <w:gridCol w:w="330"/>
        <w:gridCol w:w="708"/>
        <w:gridCol w:w="209"/>
        <w:gridCol w:w="673"/>
        <w:gridCol w:w="673"/>
        <w:gridCol w:w="115"/>
        <w:gridCol w:w="573"/>
        <w:gridCol w:w="330"/>
        <w:gridCol w:w="344"/>
        <w:gridCol w:w="485"/>
        <w:gridCol w:w="188"/>
        <w:gridCol w:w="521"/>
        <w:gridCol w:w="152"/>
        <w:gridCol w:w="115"/>
        <w:gridCol w:w="115"/>
        <w:gridCol w:w="327"/>
        <w:gridCol w:w="461"/>
        <w:gridCol w:w="248"/>
        <w:gridCol w:w="540"/>
        <w:gridCol w:w="27"/>
        <w:gridCol w:w="567"/>
      </w:tblGrid>
      <w:tr>
        <w:tblPrEx>
          <w:tblCellMar>
            <w:top w:w="0" w:type="dxa"/>
            <w:left w:w="0" w:type="dxa"/>
            <w:bottom w:w="0" w:type="dxa"/>
            <w:right w:w="0" w:type="dxa"/>
          </w:tblCellMar>
        </w:tblPrEx>
        <w:trPr>
          <w:trHeight w:val="674" w:hRule="exact"/>
        </w:trPr>
        <w:tc>
          <w:tcPr>
            <w:tcW w:w="10065" w:type="dxa"/>
            <w:gridSpan w:val="25"/>
            <w:shd w:val="clear" w:color="auto" w:fill="FFFFFF"/>
            <w:vAlign w:val="center"/>
          </w:tcPr>
          <w:p>
            <w:pPr>
              <w:widowControl/>
              <w:spacing w:line="232" w:lineRule="auto"/>
              <w:jc w:val="center"/>
              <w:rPr>
                <w:rFonts w:ascii="宋体" w:hAnsi="宋体" w:cs="宋体"/>
                <w:b/>
                <w:color w:val="auto"/>
                <w:spacing w:val="-2"/>
                <w:sz w:val="31"/>
                <w:szCs w:val="22"/>
                <w:highlight w:val="none"/>
              </w:rPr>
            </w:pPr>
            <w:r>
              <w:rPr>
                <w:rFonts w:ascii="宋体" w:hAnsi="宋体" w:cs="宋体"/>
                <w:b/>
                <w:color w:val="auto"/>
                <w:spacing w:val="-2"/>
                <w:sz w:val="31"/>
                <w:szCs w:val="22"/>
                <w:highlight w:val="none"/>
              </w:rPr>
              <w:t>综合单价分析表</w:t>
            </w:r>
          </w:p>
        </w:tc>
      </w:tr>
      <w:tr>
        <w:tblPrEx>
          <w:tblCellMar>
            <w:top w:w="0" w:type="dxa"/>
            <w:left w:w="0" w:type="dxa"/>
            <w:bottom w:w="0" w:type="dxa"/>
            <w:right w:w="0" w:type="dxa"/>
          </w:tblCellMar>
        </w:tblPrEx>
        <w:trPr>
          <w:trHeight w:val="344" w:hRule="exact"/>
        </w:trPr>
        <w:tc>
          <w:tcPr>
            <w:tcW w:w="5975" w:type="dxa"/>
            <w:gridSpan w:val="1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 xml:space="preserve">工程名称： </w:t>
            </w:r>
          </w:p>
        </w:tc>
        <w:tc>
          <w:tcPr>
            <w:tcW w:w="1690" w:type="dxa"/>
            <w:gridSpan w:val="5"/>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400" w:type="dxa"/>
            <w:gridSpan w:val="8"/>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表6</w:t>
            </w:r>
          </w:p>
        </w:tc>
      </w:tr>
      <w:tr>
        <w:tblPrEx>
          <w:tblCellMar>
            <w:top w:w="0" w:type="dxa"/>
            <w:left w:w="0" w:type="dxa"/>
            <w:bottom w:w="0" w:type="dxa"/>
            <w:right w:w="0" w:type="dxa"/>
          </w:tblCellMar>
        </w:tblPrEx>
        <w:trPr>
          <w:trHeight w:val="444" w:hRule="exact"/>
        </w:trPr>
        <w:tc>
          <w:tcPr>
            <w:tcW w:w="1017" w:type="dxa"/>
            <w:gridSpan w:val="2"/>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项目编码</w:t>
            </w:r>
          </w:p>
        </w:tc>
        <w:tc>
          <w:tcPr>
            <w:tcW w:w="1347"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1247"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项目名称</w:t>
            </w:r>
          </w:p>
        </w:tc>
        <w:tc>
          <w:tcPr>
            <w:tcW w:w="3381" w:type="dxa"/>
            <w:gridSpan w:val="8"/>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903"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计量单位</w:t>
            </w:r>
          </w:p>
        </w:tc>
        <w:tc>
          <w:tcPr>
            <w:tcW w:w="788"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788"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工程量</w:t>
            </w:r>
          </w:p>
        </w:tc>
        <w:tc>
          <w:tcPr>
            <w:tcW w:w="594" w:type="dxa"/>
            <w:gridSpan w:val="2"/>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58" w:hRule="exact"/>
        </w:trPr>
        <w:tc>
          <w:tcPr>
            <w:tcW w:w="10065" w:type="dxa"/>
            <w:gridSpan w:val="25"/>
            <w:tcBorders>
              <w:top w:val="single" w:color="000000" w:sz="4" w:space="0"/>
              <w:left w:val="single" w:color="000000" w:sz="10" w:space="0"/>
              <w:bottom w:val="single" w:color="000000" w:sz="4" w:space="0"/>
              <w:right w:val="single" w:color="000000" w:sz="10"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清单综合单价组成明细</w:t>
            </w:r>
          </w:p>
        </w:tc>
      </w:tr>
      <w:tr>
        <w:tblPrEx>
          <w:tblCellMar>
            <w:top w:w="0" w:type="dxa"/>
            <w:left w:w="0" w:type="dxa"/>
            <w:bottom w:w="0" w:type="dxa"/>
            <w:right w:w="0" w:type="dxa"/>
          </w:tblCellMar>
        </w:tblPrEx>
        <w:trPr>
          <w:trHeight w:val="444" w:hRule="exact"/>
        </w:trPr>
        <w:tc>
          <w:tcPr>
            <w:tcW w:w="673" w:type="dxa"/>
            <w:vMerge w:val="restart"/>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定额</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编号</w:t>
            </w:r>
          </w:p>
        </w:tc>
        <w:tc>
          <w:tcPr>
            <w:tcW w:w="145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定额项目名称</w:t>
            </w:r>
          </w:p>
        </w:tc>
        <w:tc>
          <w:tcPr>
            <w:tcW w:w="56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定额</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单位</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数量</w:t>
            </w:r>
          </w:p>
        </w:tc>
        <w:tc>
          <w:tcPr>
            <w:tcW w:w="340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单价</w:t>
            </w:r>
          </w:p>
        </w:tc>
        <w:tc>
          <w:tcPr>
            <w:tcW w:w="3261" w:type="dxa"/>
            <w:gridSpan w:val="11"/>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合价</w:t>
            </w:r>
          </w:p>
        </w:tc>
      </w:tr>
      <w:tr>
        <w:tblPrEx>
          <w:tblCellMar>
            <w:top w:w="0" w:type="dxa"/>
            <w:left w:w="0" w:type="dxa"/>
            <w:bottom w:w="0" w:type="dxa"/>
            <w:right w:w="0" w:type="dxa"/>
          </w:tblCellMar>
        </w:tblPrEx>
        <w:trPr>
          <w:trHeight w:val="459" w:hRule="exact"/>
        </w:trPr>
        <w:tc>
          <w:tcPr>
            <w:tcW w:w="673" w:type="dxa"/>
            <w:vMerge w:val="continue"/>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4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人工费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材料费</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机械费</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管理费</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利润</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人工费</w:t>
            </w:r>
          </w:p>
        </w:tc>
        <w:tc>
          <w:tcPr>
            <w:tcW w:w="70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材料费</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机械费</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管理费</w:t>
            </w:r>
          </w:p>
        </w:tc>
        <w:tc>
          <w:tcPr>
            <w:tcW w:w="567"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利润</w:t>
            </w:r>
          </w:p>
        </w:tc>
      </w:tr>
      <w:tr>
        <w:tblPrEx>
          <w:tblCellMar>
            <w:top w:w="0" w:type="dxa"/>
            <w:left w:w="0" w:type="dxa"/>
            <w:bottom w:w="0" w:type="dxa"/>
            <w:right w:w="0" w:type="dxa"/>
          </w:tblCellMar>
        </w:tblPrEx>
        <w:trPr>
          <w:trHeight w:val="329" w:hRule="exact"/>
        </w:trPr>
        <w:tc>
          <w:tcPr>
            <w:tcW w:w="673"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67"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344" w:hRule="exact"/>
        </w:trPr>
        <w:tc>
          <w:tcPr>
            <w:tcW w:w="673"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67"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44" w:hRule="exact"/>
        </w:trPr>
        <w:tc>
          <w:tcPr>
            <w:tcW w:w="2127"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综合人工工日</w:t>
            </w:r>
          </w:p>
        </w:tc>
        <w:tc>
          <w:tcPr>
            <w:tcW w:w="467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小计</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67"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59" w:hRule="exact"/>
        </w:trPr>
        <w:tc>
          <w:tcPr>
            <w:tcW w:w="2127"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467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未计价材料费</w:t>
            </w:r>
          </w:p>
        </w:tc>
        <w:tc>
          <w:tcPr>
            <w:tcW w:w="3261" w:type="dxa"/>
            <w:gridSpan w:val="11"/>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44" w:hRule="exact"/>
        </w:trPr>
        <w:tc>
          <w:tcPr>
            <w:tcW w:w="6804" w:type="dxa"/>
            <w:gridSpan w:val="14"/>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清单项目综合单价</w:t>
            </w:r>
          </w:p>
        </w:tc>
        <w:tc>
          <w:tcPr>
            <w:tcW w:w="3261" w:type="dxa"/>
            <w:gridSpan w:val="11"/>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1088" w:hRule="exact"/>
        </w:trPr>
        <w:tc>
          <w:tcPr>
            <w:tcW w:w="673" w:type="dxa"/>
            <w:vMerge w:val="restart"/>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材</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料</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费</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明</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细</w:t>
            </w: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主要材料名称、规格、型号</w:t>
            </w: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单位</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数量</w:t>
            </w: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单价</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（元）</w:t>
            </w: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合价</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（元）</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暂估</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单价</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（元）</w:t>
            </w: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暂估</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合价</w:t>
            </w:r>
          </w:p>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（元）</w:t>
            </w:r>
          </w:p>
        </w:tc>
      </w:tr>
      <w:tr>
        <w:tblPrEx>
          <w:tblCellMar>
            <w:top w:w="0" w:type="dxa"/>
            <w:left w:w="0" w:type="dxa"/>
            <w:bottom w:w="0" w:type="dxa"/>
            <w:right w:w="0" w:type="dxa"/>
          </w:tblCellMar>
        </w:tblPrEx>
        <w:trPr>
          <w:trHeight w:val="459"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44"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58"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44"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59"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44"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59"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44"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58"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44"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59"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44"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44"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59"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44"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439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 w:val="18"/>
                <w:szCs w:val="22"/>
                <w:highlight w:val="none"/>
              </w:rPr>
            </w:pPr>
          </w:p>
        </w:tc>
        <w:tc>
          <w:tcPr>
            <w:tcW w:w="9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59"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613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其他材料费</w:t>
            </w:r>
          </w:p>
        </w:tc>
        <w:tc>
          <w:tcPr>
            <w:tcW w:w="9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r>
        <w:tblPrEx>
          <w:tblCellMar>
            <w:top w:w="0" w:type="dxa"/>
            <w:left w:w="0" w:type="dxa"/>
            <w:bottom w:w="0" w:type="dxa"/>
            <w:right w:w="0" w:type="dxa"/>
          </w:tblCellMar>
        </w:tblPrEx>
        <w:trPr>
          <w:trHeight w:val="444" w:hRule="exact"/>
        </w:trPr>
        <w:tc>
          <w:tcPr>
            <w:tcW w:w="673" w:type="dxa"/>
            <w:vMerge w:val="continue"/>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6131" w:type="dxa"/>
            <w:gridSpan w:val="13"/>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r>
              <w:rPr>
                <w:rFonts w:ascii="宋体" w:hAnsi="宋体" w:cs="宋体"/>
                <w:color w:val="auto"/>
                <w:spacing w:val="-2"/>
                <w:sz w:val="18"/>
                <w:szCs w:val="22"/>
                <w:highlight w:val="none"/>
              </w:rPr>
              <w:t>材料费小计</w:t>
            </w:r>
          </w:p>
        </w:tc>
        <w:tc>
          <w:tcPr>
            <w:tcW w:w="976"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903" w:type="dxa"/>
            <w:gridSpan w:val="3"/>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c>
          <w:tcPr>
            <w:tcW w:w="788" w:type="dxa"/>
            <w:gridSpan w:val="2"/>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 w:val="18"/>
                <w:szCs w:val="22"/>
                <w:highlight w:val="none"/>
              </w:rPr>
            </w:pPr>
          </w:p>
        </w:tc>
        <w:tc>
          <w:tcPr>
            <w:tcW w:w="594" w:type="dxa"/>
            <w:gridSpan w:val="2"/>
            <w:tcBorders>
              <w:top w:val="single" w:color="000000" w:sz="4" w:space="0"/>
              <w:left w:val="single" w:color="000000" w:sz="4" w:space="0"/>
              <w:bottom w:val="single" w:color="000000" w:sz="10" w:space="0"/>
              <w:right w:val="single" w:color="000000" w:sz="10" w:space="0"/>
            </w:tcBorders>
            <w:shd w:val="clear" w:color="auto" w:fill="FFFFFF"/>
            <w:vAlign w:val="center"/>
          </w:tcPr>
          <w:p>
            <w:pPr>
              <w:widowControl/>
              <w:spacing w:line="232" w:lineRule="auto"/>
              <w:jc w:val="right"/>
              <w:rPr>
                <w:rFonts w:ascii="宋体" w:hAnsi="宋体" w:cs="宋体"/>
                <w:color w:val="auto"/>
                <w:spacing w:val="-2"/>
                <w:sz w:val="18"/>
                <w:szCs w:val="22"/>
                <w:highlight w:val="none"/>
              </w:rPr>
            </w:pPr>
          </w:p>
        </w:tc>
      </w:tr>
    </w:tbl>
    <w:p>
      <w:pPr>
        <w:jc w:val="center"/>
        <w:rPr>
          <w:rFonts w:ascii="黑体" w:eastAsia="黑体" w:cs="宋体"/>
          <w:b/>
          <w:color w:val="auto"/>
          <w:kern w:val="0"/>
          <w:sz w:val="32"/>
          <w:szCs w:val="32"/>
          <w:highlight w:val="none"/>
        </w:rPr>
      </w:pPr>
    </w:p>
    <w:tbl>
      <w:tblPr>
        <w:tblStyle w:val="17"/>
        <w:tblW w:w="9892" w:type="dxa"/>
        <w:tblInd w:w="0" w:type="dxa"/>
        <w:tblLayout w:type="fixed"/>
        <w:tblCellMar>
          <w:top w:w="0" w:type="dxa"/>
          <w:left w:w="0" w:type="dxa"/>
          <w:bottom w:w="0" w:type="dxa"/>
          <w:right w:w="0" w:type="dxa"/>
        </w:tblCellMar>
      </w:tblPr>
      <w:tblGrid>
        <w:gridCol w:w="616"/>
        <w:gridCol w:w="373"/>
        <w:gridCol w:w="1031"/>
        <w:gridCol w:w="1361"/>
        <w:gridCol w:w="101"/>
        <w:gridCol w:w="387"/>
        <w:gridCol w:w="1232"/>
        <w:gridCol w:w="358"/>
        <w:gridCol w:w="495"/>
        <w:gridCol w:w="307"/>
        <w:gridCol w:w="230"/>
        <w:gridCol w:w="455"/>
        <w:gridCol w:w="284"/>
        <w:gridCol w:w="77"/>
        <w:gridCol w:w="631"/>
        <w:gridCol w:w="993"/>
        <w:gridCol w:w="850"/>
        <w:gridCol w:w="91"/>
        <w:gridCol w:w="20"/>
      </w:tblGrid>
      <w:tr>
        <w:tblPrEx>
          <w:tblCellMar>
            <w:top w:w="0" w:type="dxa"/>
            <w:left w:w="0" w:type="dxa"/>
            <w:bottom w:w="0" w:type="dxa"/>
            <w:right w:w="0" w:type="dxa"/>
          </w:tblCellMar>
        </w:tblPrEx>
        <w:trPr>
          <w:gridAfter w:val="2"/>
          <w:wAfter w:w="111" w:type="dxa"/>
          <w:trHeight w:val="673" w:hRule="exact"/>
        </w:trPr>
        <w:tc>
          <w:tcPr>
            <w:tcW w:w="9781" w:type="dxa"/>
            <w:gridSpan w:val="17"/>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总价措施项目清单与计价表</w:t>
            </w:r>
          </w:p>
        </w:tc>
      </w:tr>
      <w:tr>
        <w:tblPrEx>
          <w:tblCellMar>
            <w:top w:w="0" w:type="dxa"/>
            <w:left w:w="0" w:type="dxa"/>
            <w:bottom w:w="0" w:type="dxa"/>
            <w:right w:w="0" w:type="dxa"/>
          </w:tblCellMar>
        </w:tblPrEx>
        <w:trPr>
          <w:gridAfter w:val="2"/>
          <w:wAfter w:w="111" w:type="dxa"/>
          <w:trHeight w:val="344" w:hRule="exact"/>
        </w:trPr>
        <w:tc>
          <w:tcPr>
            <w:tcW w:w="6261" w:type="dxa"/>
            <w:gridSpan w:val="10"/>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工程名称：</w:t>
            </w:r>
          </w:p>
        </w:tc>
        <w:tc>
          <w:tcPr>
            <w:tcW w:w="685" w:type="dxa"/>
            <w:gridSpan w:val="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835" w:type="dxa"/>
            <w:gridSpan w:val="5"/>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表7</w:t>
            </w:r>
          </w:p>
        </w:tc>
      </w:tr>
      <w:tr>
        <w:tblPrEx>
          <w:tblCellMar>
            <w:top w:w="0" w:type="dxa"/>
            <w:left w:w="0" w:type="dxa"/>
            <w:bottom w:w="0" w:type="dxa"/>
            <w:right w:w="0" w:type="dxa"/>
          </w:tblCellMar>
        </w:tblPrEx>
        <w:trPr>
          <w:gridAfter w:val="2"/>
          <w:wAfter w:w="111" w:type="dxa"/>
          <w:trHeight w:val="674" w:hRule="exact"/>
        </w:trPr>
        <w:tc>
          <w:tcPr>
            <w:tcW w:w="616" w:type="dxa"/>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1404"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项目编码</w:t>
            </w:r>
          </w:p>
        </w:tc>
        <w:tc>
          <w:tcPr>
            <w:tcW w:w="1849"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项目名称</w:t>
            </w:r>
          </w:p>
        </w:tc>
        <w:tc>
          <w:tcPr>
            <w:tcW w:w="1232" w:type="dxa"/>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计算基础</w:t>
            </w:r>
          </w:p>
        </w:tc>
        <w:tc>
          <w:tcPr>
            <w:tcW w:w="853"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费率（%）</w:t>
            </w:r>
          </w:p>
        </w:tc>
        <w:tc>
          <w:tcPr>
            <w:tcW w:w="992"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金额（元）</w:t>
            </w:r>
          </w:p>
        </w:tc>
        <w:tc>
          <w:tcPr>
            <w:tcW w:w="992"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调整</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费率（%）</w:t>
            </w:r>
          </w:p>
        </w:tc>
        <w:tc>
          <w:tcPr>
            <w:tcW w:w="993" w:type="dxa"/>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调整后</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金额（元）</w:t>
            </w:r>
          </w:p>
        </w:tc>
        <w:tc>
          <w:tcPr>
            <w:tcW w:w="850" w:type="dxa"/>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备注</w:t>
            </w:r>
          </w:p>
        </w:tc>
      </w:tr>
      <w:tr>
        <w:tblPrEx>
          <w:tblCellMar>
            <w:top w:w="0" w:type="dxa"/>
            <w:left w:w="0" w:type="dxa"/>
            <w:bottom w:w="0" w:type="dxa"/>
            <w:right w:w="0" w:type="dxa"/>
          </w:tblCellMar>
        </w:tblPrEx>
        <w:trPr>
          <w:gridAfter w:val="2"/>
          <w:wAfter w:w="111" w:type="dxa"/>
          <w:trHeight w:val="344"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安全文明施工费</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111" w:type="dxa"/>
          <w:trHeight w:val="1232"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1.1</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基本费</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111" w:type="dxa"/>
          <w:trHeight w:val="1279"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1.2</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增加费</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111" w:type="dxa"/>
          <w:trHeight w:val="1282"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夜间施工</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111" w:type="dxa"/>
          <w:trHeight w:val="1272"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3</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非夜间施工照明</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111" w:type="dxa"/>
          <w:trHeight w:val="1276"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4</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二次搬运</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111" w:type="dxa"/>
          <w:trHeight w:val="1267"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5</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冬雨季施工</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111" w:type="dxa"/>
          <w:trHeight w:val="1284"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6</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地上、地下设施、建筑物的临时保护设施</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111" w:type="dxa"/>
          <w:trHeight w:val="1274"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7</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已完工程及设备保护</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111" w:type="dxa"/>
          <w:trHeight w:val="1420"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8</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临时设施</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111" w:type="dxa"/>
          <w:trHeight w:val="1288"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9</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赶工措施</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111" w:type="dxa"/>
          <w:trHeight w:val="1278"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10</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工程按质论价</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111" w:type="dxa"/>
          <w:trHeight w:val="1282"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11</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住宅分户验收</w:t>
            </w:r>
          </w:p>
        </w:tc>
        <w:tc>
          <w:tcPr>
            <w:tcW w:w="12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111" w:type="dxa"/>
          <w:trHeight w:val="1288"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vAlign w:val="center"/>
          </w:tcPr>
          <w:p>
            <w:pPr>
              <w:jc w:val="center"/>
              <w:rPr>
                <w:color w:val="auto"/>
                <w:highlight w:val="none"/>
              </w:rPr>
            </w:pPr>
            <w:r>
              <w:rPr>
                <w:rFonts w:hint="eastAsia"/>
                <w:color w:val="auto"/>
                <w:highlight w:val="none"/>
              </w:rPr>
              <w:t>12</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color w:val="auto"/>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s="宋体"/>
                <w:color w:val="auto"/>
                <w:spacing w:val="-2"/>
                <w:szCs w:val="22"/>
                <w:highlight w:val="none"/>
              </w:rPr>
            </w:pPr>
            <w:r>
              <w:rPr>
                <w:rFonts w:hint="eastAsia" w:ascii="宋体" w:hAnsi="宋体" w:cs="宋体"/>
                <w:color w:val="auto"/>
                <w:spacing w:val="-2"/>
                <w:szCs w:val="22"/>
                <w:highlight w:val="none"/>
              </w:rPr>
              <w:t>特殊条件下施工增加费</w:t>
            </w:r>
          </w:p>
        </w:tc>
        <w:tc>
          <w:tcPr>
            <w:tcW w:w="1232" w:type="dxa"/>
            <w:tcBorders>
              <w:top w:val="single" w:color="000000" w:sz="4" w:space="0"/>
              <w:left w:val="single" w:color="000000" w:sz="4" w:space="0"/>
              <w:bottom w:val="single" w:color="000000" w:sz="4" w:space="0"/>
              <w:right w:val="single" w:color="000000" w:sz="4" w:space="0"/>
            </w:tcBorders>
            <w:shd w:val="clear" w:color="auto" w:fill="FFFFFF"/>
          </w:tcPr>
          <w:p>
            <w:pPr>
              <w:rPr>
                <w:rFonts w:ascii="宋体" w:hAnsi="宋体" w:cs="宋体"/>
                <w:color w:val="auto"/>
                <w:spacing w:val="-2"/>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111" w:type="dxa"/>
          <w:trHeight w:val="330"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849"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111" w:type="dxa"/>
          <w:trHeight w:val="344" w:hRule="exact"/>
        </w:trPr>
        <w:tc>
          <w:tcPr>
            <w:tcW w:w="5954" w:type="dxa"/>
            <w:gridSpan w:val="9"/>
            <w:tcBorders>
              <w:top w:val="single" w:color="000000" w:sz="4" w:space="0"/>
              <w:left w:val="single" w:color="000000" w:sz="10" w:space="0"/>
              <w:bottom w:val="single" w:color="000000" w:sz="10" w:space="0"/>
              <w:right w:val="single" w:color="000000" w:sz="4" w:space="0"/>
            </w:tcBorders>
            <w:shd w:val="clear" w:color="auto" w:fill="FFFFFF"/>
          </w:tcPr>
          <w:p>
            <w:pPr>
              <w:widowControl/>
              <w:spacing w:line="232" w:lineRule="auto"/>
              <w:jc w:val="center"/>
              <w:rPr>
                <w:rFonts w:ascii="Arial" w:hAnsi="Arial" w:cs="Arial"/>
                <w:color w:val="auto"/>
                <w:spacing w:val="-2"/>
                <w:szCs w:val="21"/>
                <w:highlight w:val="none"/>
              </w:rPr>
            </w:pPr>
            <w:r>
              <w:rPr>
                <w:rFonts w:hint="eastAsia" w:ascii="Arial" w:hAnsi="Arial" w:cs="Arial"/>
                <w:color w:val="auto"/>
                <w:spacing w:val="-2"/>
                <w:szCs w:val="21"/>
                <w:highlight w:val="none"/>
              </w:rPr>
              <w:t>合计</w:t>
            </w:r>
          </w:p>
        </w:tc>
        <w:tc>
          <w:tcPr>
            <w:tcW w:w="992" w:type="dxa"/>
            <w:gridSpan w:val="3"/>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3" w:type="dxa"/>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10"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111" w:type="dxa"/>
          <w:trHeight w:val="243" w:hRule="exact"/>
        </w:trPr>
        <w:tc>
          <w:tcPr>
            <w:tcW w:w="9781" w:type="dxa"/>
            <w:gridSpan w:val="17"/>
            <w:tcBorders>
              <w:top w:val="single" w:color="000000" w:sz="10" w:space="0"/>
            </w:tcBorders>
            <w:shd w:val="clear" w:color="auto" w:fill="FFFFFF"/>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344" w:hRule="exact"/>
        </w:trPr>
        <w:tc>
          <w:tcPr>
            <w:tcW w:w="3381" w:type="dxa"/>
            <w:gridSpan w:val="4"/>
            <w:shd w:val="clear" w:color="auto" w:fill="FFFFFF"/>
            <w:vAlign w:val="center"/>
          </w:tcPr>
          <w:p>
            <w:pPr>
              <w:widowControl/>
              <w:spacing w:line="232" w:lineRule="auto"/>
              <w:jc w:val="left"/>
              <w:rPr>
                <w:rFonts w:ascii="宋体" w:hAnsi="宋体" w:cs="宋体"/>
                <w:color w:val="auto"/>
                <w:spacing w:val="-2"/>
                <w:sz w:val="18"/>
                <w:szCs w:val="22"/>
                <w:highlight w:val="none"/>
              </w:rPr>
            </w:pPr>
            <w:r>
              <w:rPr>
                <w:rFonts w:ascii="宋体" w:hAnsi="宋体" w:cs="宋体"/>
                <w:color w:val="auto"/>
                <w:spacing w:val="-2"/>
                <w:sz w:val="18"/>
                <w:szCs w:val="22"/>
                <w:highlight w:val="none"/>
              </w:rPr>
              <w:t>编制人（造价人员）：</w:t>
            </w:r>
          </w:p>
        </w:tc>
        <w:tc>
          <w:tcPr>
            <w:tcW w:w="3110" w:type="dxa"/>
            <w:gridSpan w:val="7"/>
            <w:shd w:val="clear" w:color="auto" w:fill="auto"/>
          </w:tcPr>
          <w:p>
            <w:pPr>
              <w:widowControl/>
              <w:jc w:val="left"/>
              <w:rPr>
                <w:rFonts w:ascii="Calibri" w:hAnsi="Calibri"/>
                <w:color w:val="auto"/>
                <w:sz w:val="2"/>
                <w:szCs w:val="22"/>
                <w:highlight w:val="none"/>
              </w:rPr>
            </w:pPr>
          </w:p>
        </w:tc>
        <w:tc>
          <w:tcPr>
            <w:tcW w:w="3381" w:type="dxa"/>
            <w:gridSpan w:val="7"/>
            <w:shd w:val="clear" w:color="auto" w:fill="FFFFFF"/>
            <w:vAlign w:val="center"/>
          </w:tcPr>
          <w:p>
            <w:pPr>
              <w:widowControl/>
              <w:spacing w:line="232" w:lineRule="auto"/>
              <w:jc w:val="left"/>
              <w:rPr>
                <w:rFonts w:ascii="宋体" w:hAnsi="宋体" w:cs="宋体"/>
                <w:color w:val="auto"/>
                <w:spacing w:val="-2"/>
                <w:sz w:val="18"/>
                <w:szCs w:val="22"/>
                <w:highlight w:val="none"/>
              </w:rPr>
            </w:pPr>
            <w:r>
              <w:rPr>
                <w:rFonts w:ascii="宋体" w:hAnsi="宋体" w:cs="宋体"/>
                <w:color w:val="auto"/>
                <w:spacing w:val="-2"/>
                <w:sz w:val="18"/>
                <w:szCs w:val="22"/>
                <w:highlight w:val="none"/>
              </w:rPr>
              <w:t>复核人（造价工程师）：</w:t>
            </w:r>
          </w:p>
        </w:tc>
        <w:tc>
          <w:tcPr>
            <w:tcW w:w="20" w:type="dxa"/>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gridAfter w:val="2"/>
          <w:wAfter w:w="111" w:type="dxa"/>
          <w:trHeight w:val="673" w:hRule="exact"/>
        </w:trPr>
        <w:tc>
          <w:tcPr>
            <w:tcW w:w="9781" w:type="dxa"/>
            <w:gridSpan w:val="17"/>
            <w:shd w:val="clear" w:color="auto" w:fill="FFFFFF"/>
            <w:vAlign w:val="center"/>
          </w:tcPr>
          <w:p>
            <w:pPr>
              <w:spacing w:line="232" w:lineRule="auto"/>
              <w:jc w:val="center"/>
              <w:rPr>
                <w:rFonts w:ascii="宋体" w:hAnsi="宋体" w:cs="宋体"/>
                <w:b/>
                <w:color w:val="auto"/>
                <w:spacing w:val="-2"/>
                <w:sz w:val="32"/>
                <w:highlight w:val="none"/>
              </w:rPr>
            </w:pPr>
            <w:r>
              <w:rPr>
                <w:rFonts w:ascii="宋体" w:hAnsi="宋体" w:cs="宋体"/>
                <w:b/>
                <w:color w:val="auto"/>
                <w:spacing w:val="-2"/>
                <w:sz w:val="32"/>
                <w:highlight w:val="none"/>
              </w:rPr>
              <w:t>其他项目清单与计价汇总表</w:t>
            </w:r>
          </w:p>
        </w:tc>
      </w:tr>
      <w:tr>
        <w:tblPrEx>
          <w:tblCellMar>
            <w:top w:w="0" w:type="dxa"/>
            <w:left w:w="0" w:type="dxa"/>
            <w:bottom w:w="0" w:type="dxa"/>
            <w:right w:w="0" w:type="dxa"/>
          </w:tblCellMar>
        </w:tblPrEx>
        <w:trPr>
          <w:gridAfter w:val="2"/>
          <w:wAfter w:w="111" w:type="dxa"/>
          <w:trHeight w:val="344" w:hRule="exact"/>
        </w:trPr>
        <w:tc>
          <w:tcPr>
            <w:tcW w:w="6261" w:type="dxa"/>
            <w:gridSpan w:val="10"/>
            <w:tcBorders>
              <w:bottom w:val="single" w:color="000000" w:sz="10" w:space="0"/>
            </w:tcBorders>
            <w:shd w:val="clear" w:color="auto" w:fill="FFFFFF"/>
            <w:vAlign w:val="center"/>
          </w:tcPr>
          <w:p>
            <w:pPr>
              <w:spacing w:line="232" w:lineRule="auto"/>
              <w:rPr>
                <w:rFonts w:ascii="黑体" w:hAnsi="黑体" w:eastAsia="黑体" w:cs="黑体"/>
                <w:color w:val="auto"/>
                <w:spacing w:val="-2"/>
                <w:highlight w:val="none"/>
              </w:rPr>
            </w:pPr>
            <w:r>
              <w:rPr>
                <w:rFonts w:ascii="黑体" w:hAnsi="黑体" w:eastAsia="黑体" w:cs="黑体"/>
                <w:color w:val="auto"/>
                <w:spacing w:val="-2"/>
                <w:highlight w:val="none"/>
              </w:rPr>
              <w:t>工程名称：</w:t>
            </w:r>
          </w:p>
        </w:tc>
        <w:tc>
          <w:tcPr>
            <w:tcW w:w="1046" w:type="dxa"/>
            <w:gridSpan w:val="4"/>
            <w:tcBorders>
              <w:bottom w:val="single" w:color="000000" w:sz="10" w:space="0"/>
            </w:tcBorders>
            <w:shd w:val="clear" w:color="auto" w:fill="FFFFFF"/>
            <w:vAlign w:val="center"/>
          </w:tcPr>
          <w:p>
            <w:pPr>
              <w:spacing w:line="232" w:lineRule="auto"/>
              <w:rPr>
                <w:rFonts w:ascii="黑体" w:hAnsi="黑体" w:eastAsia="黑体" w:cs="黑体"/>
                <w:color w:val="auto"/>
                <w:spacing w:val="-2"/>
                <w:highlight w:val="none"/>
              </w:rPr>
            </w:pPr>
            <w:r>
              <w:rPr>
                <w:rFonts w:ascii="黑体" w:hAnsi="黑体" w:eastAsia="黑体" w:cs="黑体"/>
                <w:color w:val="auto"/>
                <w:spacing w:val="-2"/>
                <w:highlight w:val="none"/>
              </w:rPr>
              <w:t>标段：</w:t>
            </w:r>
          </w:p>
        </w:tc>
        <w:tc>
          <w:tcPr>
            <w:tcW w:w="2474" w:type="dxa"/>
            <w:gridSpan w:val="3"/>
            <w:tcBorders>
              <w:bottom w:val="single" w:color="000000" w:sz="10" w:space="0"/>
            </w:tcBorders>
            <w:shd w:val="clear" w:color="auto" w:fill="FFFFFF"/>
            <w:vAlign w:val="center"/>
          </w:tcPr>
          <w:p>
            <w:pPr>
              <w:spacing w:line="232" w:lineRule="auto"/>
              <w:jc w:val="right"/>
              <w:rPr>
                <w:rFonts w:ascii="黑体" w:hAnsi="黑体" w:eastAsia="黑体" w:cs="黑体"/>
                <w:color w:val="auto"/>
                <w:spacing w:val="-2"/>
                <w:highlight w:val="none"/>
              </w:rPr>
            </w:pPr>
            <w:r>
              <w:rPr>
                <w:rFonts w:hint="eastAsia" w:ascii="黑体" w:hAnsi="黑体" w:eastAsia="黑体" w:cs="黑体"/>
                <w:color w:val="auto"/>
                <w:spacing w:val="-2"/>
                <w:highlight w:val="none"/>
              </w:rPr>
              <w:t>表8</w:t>
            </w:r>
          </w:p>
        </w:tc>
      </w:tr>
      <w:tr>
        <w:tblPrEx>
          <w:tblCellMar>
            <w:top w:w="0" w:type="dxa"/>
            <w:left w:w="0" w:type="dxa"/>
            <w:bottom w:w="0" w:type="dxa"/>
            <w:right w:w="0" w:type="dxa"/>
          </w:tblCellMar>
        </w:tblPrEx>
        <w:trPr>
          <w:gridAfter w:val="2"/>
          <w:wAfter w:w="111" w:type="dxa"/>
          <w:trHeight w:val="674" w:hRule="exact"/>
        </w:trPr>
        <w:tc>
          <w:tcPr>
            <w:tcW w:w="989" w:type="dxa"/>
            <w:gridSpan w:val="2"/>
            <w:tcBorders>
              <w:top w:val="single" w:color="000000" w:sz="10"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序号</w:t>
            </w:r>
          </w:p>
        </w:tc>
        <w:tc>
          <w:tcPr>
            <w:tcW w:w="2493"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项目名称</w:t>
            </w:r>
          </w:p>
        </w:tc>
        <w:tc>
          <w:tcPr>
            <w:tcW w:w="1977"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金额(元)</w:t>
            </w:r>
          </w:p>
        </w:tc>
        <w:tc>
          <w:tcPr>
            <w:tcW w:w="1771" w:type="dxa"/>
            <w:gridSpan w:val="5"/>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结算金额(元)</w:t>
            </w:r>
          </w:p>
        </w:tc>
        <w:tc>
          <w:tcPr>
            <w:tcW w:w="2551" w:type="dxa"/>
            <w:gridSpan w:val="4"/>
            <w:tcBorders>
              <w:top w:val="single" w:color="000000" w:sz="10"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备注</w:t>
            </w:r>
          </w:p>
        </w:tc>
      </w:tr>
      <w:tr>
        <w:tblPrEx>
          <w:tblCellMar>
            <w:top w:w="0" w:type="dxa"/>
            <w:left w:w="0" w:type="dxa"/>
            <w:bottom w:w="0" w:type="dxa"/>
            <w:right w:w="0" w:type="dxa"/>
          </w:tblCellMar>
        </w:tblPrEx>
        <w:trPr>
          <w:gridAfter w:val="2"/>
          <w:wAfter w:w="111" w:type="dxa"/>
          <w:trHeight w:val="344"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1</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r>
              <w:rPr>
                <w:rFonts w:ascii="宋体" w:hAnsi="宋体" w:cs="宋体"/>
                <w:color w:val="auto"/>
                <w:spacing w:val="-2"/>
                <w:highlight w:val="none"/>
              </w:rPr>
              <w:t>暂列金额</w:t>
            </w: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rPr>
                <w:rFonts w:ascii="宋体" w:hAnsi="宋体" w:cs="宋体"/>
                <w:color w:val="auto"/>
                <w:spacing w:val="-2"/>
                <w:highlight w:val="none"/>
              </w:rPr>
            </w:pPr>
          </w:p>
        </w:tc>
      </w:tr>
      <w:tr>
        <w:tblPrEx>
          <w:tblCellMar>
            <w:top w:w="0" w:type="dxa"/>
            <w:left w:w="0" w:type="dxa"/>
            <w:bottom w:w="0" w:type="dxa"/>
            <w:right w:w="0" w:type="dxa"/>
          </w:tblCellMar>
        </w:tblPrEx>
        <w:trPr>
          <w:gridAfter w:val="2"/>
          <w:wAfter w:w="111" w:type="dxa"/>
          <w:trHeight w:val="329"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2</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r>
              <w:rPr>
                <w:rFonts w:ascii="宋体" w:hAnsi="宋体" w:cs="宋体"/>
                <w:color w:val="auto"/>
                <w:spacing w:val="-2"/>
                <w:highlight w:val="none"/>
              </w:rPr>
              <w:t>暂估价</w:t>
            </w: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rPr>
                <w:rFonts w:ascii="宋体" w:hAnsi="宋体" w:cs="宋体"/>
                <w:color w:val="auto"/>
                <w:spacing w:val="-2"/>
                <w:highlight w:val="none"/>
              </w:rPr>
            </w:pPr>
          </w:p>
        </w:tc>
      </w:tr>
      <w:tr>
        <w:tblPrEx>
          <w:tblCellMar>
            <w:top w:w="0" w:type="dxa"/>
            <w:left w:w="0" w:type="dxa"/>
            <w:bottom w:w="0" w:type="dxa"/>
            <w:right w:w="0" w:type="dxa"/>
          </w:tblCellMar>
        </w:tblPrEx>
        <w:trPr>
          <w:gridAfter w:val="2"/>
          <w:wAfter w:w="111" w:type="dxa"/>
          <w:trHeight w:val="344"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2.1</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r>
              <w:rPr>
                <w:rFonts w:ascii="宋体" w:hAnsi="宋体" w:cs="宋体"/>
                <w:color w:val="auto"/>
                <w:spacing w:val="-2"/>
                <w:highlight w:val="none"/>
              </w:rPr>
              <w:t>材料暂估价</w:t>
            </w: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rPr>
                <w:rFonts w:ascii="宋体" w:hAnsi="宋体" w:cs="宋体"/>
                <w:color w:val="auto"/>
                <w:spacing w:val="-2"/>
                <w:highlight w:val="none"/>
              </w:rPr>
            </w:pPr>
          </w:p>
        </w:tc>
      </w:tr>
      <w:tr>
        <w:tblPrEx>
          <w:tblCellMar>
            <w:top w:w="0" w:type="dxa"/>
            <w:left w:w="0" w:type="dxa"/>
            <w:bottom w:w="0" w:type="dxa"/>
            <w:right w:w="0" w:type="dxa"/>
          </w:tblCellMar>
        </w:tblPrEx>
        <w:trPr>
          <w:gridAfter w:val="2"/>
          <w:wAfter w:w="111" w:type="dxa"/>
          <w:trHeight w:val="344"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2.2</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r>
              <w:rPr>
                <w:rFonts w:ascii="宋体" w:hAnsi="宋体" w:cs="宋体"/>
                <w:color w:val="auto"/>
                <w:spacing w:val="-2"/>
                <w:highlight w:val="none"/>
              </w:rPr>
              <w:t>专业工程暂估价</w:t>
            </w: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rPr>
                <w:rFonts w:ascii="宋体" w:hAnsi="宋体" w:cs="宋体"/>
                <w:color w:val="auto"/>
                <w:spacing w:val="-2"/>
                <w:highlight w:val="none"/>
              </w:rPr>
            </w:pPr>
          </w:p>
        </w:tc>
      </w:tr>
      <w:tr>
        <w:tblPrEx>
          <w:tblCellMar>
            <w:top w:w="0" w:type="dxa"/>
            <w:left w:w="0" w:type="dxa"/>
            <w:bottom w:w="0" w:type="dxa"/>
            <w:right w:w="0" w:type="dxa"/>
          </w:tblCellMar>
        </w:tblPrEx>
        <w:trPr>
          <w:gridAfter w:val="2"/>
          <w:wAfter w:w="111" w:type="dxa"/>
          <w:trHeight w:val="329"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3</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r>
              <w:rPr>
                <w:rFonts w:ascii="宋体" w:hAnsi="宋体" w:cs="宋体"/>
                <w:color w:val="auto"/>
                <w:spacing w:val="-2"/>
                <w:highlight w:val="none"/>
              </w:rPr>
              <w:t>计日工</w:t>
            </w: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rPr>
                <w:rFonts w:ascii="宋体" w:hAnsi="宋体" w:cs="宋体"/>
                <w:color w:val="auto"/>
                <w:spacing w:val="-2"/>
                <w:highlight w:val="none"/>
              </w:rPr>
            </w:pPr>
          </w:p>
        </w:tc>
      </w:tr>
      <w:tr>
        <w:tblPrEx>
          <w:tblCellMar>
            <w:top w:w="0" w:type="dxa"/>
            <w:left w:w="0" w:type="dxa"/>
            <w:bottom w:w="0" w:type="dxa"/>
            <w:right w:w="0" w:type="dxa"/>
          </w:tblCellMar>
        </w:tblPrEx>
        <w:trPr>
          <w:gridAfter w:val="2"/>
          <w:wAfter w:w="111" w:type="dxa"/>
          <w:trHeight w:val="344"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4</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r>
              <w:rPr>
                <w:rFonts w:ascii="宋体" w:hAnsi="宋体" w:cs="宋体"/>
                <w:color w:val="auto"/>
                <w:spacing w:val="-2"/>
                <w:highlight w:val="none"/>
              </w:rPr>
              <w:t>总承包服务费</w:t>
            </w: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rPr>
                <w:rFonts w:ascii="宋体" w:hAnsi="宋体" w:cs="宋体"/>
                <w:color w:val="auto"/>
                <w:spacing w:val="-2"/>
                <w:highlight w:val="none"/>
              </w:rPr>
            </w:pPr>
          </w:p>
        </w:tc>
      </w:tr>
      <w:tr>
        <w:tblPrEx>
          <w:tblCellMar>
            <w:top w:w="0" w:type="dxa"/>
            <w:left w:w="0" w:type="dxa"/>
            <w:bottom w:w="0" w:type="dxa"/>
            <w:right w:w="0" w:type="dxa"/>
          </w:tblCellMar>
        </w:tblPrEx>
        <w:trPr>
          <w:gridAfter w:val="2"/>
          <w:wAfter w:w="111" w:type="dxa"/>
          <w:trHeight w:val="330"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2"/>
          <w:wAfter w:w="111" w:type="dxa"/>
          <w:trHeight w:val="344"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2"/>
          <w:wAfter w:w="111" w:type="dxa"/>
          <w:trHeight w:val="344"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2"/>
          <w:wAfter w:w="111" w:type="dxa"/>
          <w:trHeight w:val="344" w:hRule="exact"/>
        </w:trPr>
        <w:tc>
          <w:tcPr>
            <w:tcW w:w="989" w:type="dxa"/>
            <w:gridSpan w:val="2"/>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771" w:type="dxa"/>
            <w:gridSpan w:val="5"/>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551" w:type="dxa"/>
            <w:gridSpan w:val="4"/>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2"/>
          <w:wAfter w:w="111" w:type="dxa"/>
          <w:trHeight w:val="459" w:hRule="exact"/>
        </w:trPr>
        <w:tc>
          <w:tcPr>
            <w:tcW w:w="3482" w:type="dxa"/>
            <w:gridSpan w:val="5"/>
            <w:tcBorders>
              <w:top w:val="single" w:color="000000" w:sz="4" w:space="0"/>
              <w:left w:val="single" w:color="000000" w:sz="10" w:space="0"/>
              <w:bottom w:val="single" w:color="000000" w:sz="10"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合  计</w:t>
            </w:r>
          </w:p>
        </w:tc>
        <w:tc>
          <w:tcPr>
            <w:tcW w:w="1977" w:type="dxa"/>
            <w:gridSpan w:val="3"/>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1771" w:type="dxa"/>
            <w:gridSpan w:val="5"/>
            <w:tcBorders>
              <w:top w:val="single" w:color="000000" w:sz="4" w:space="0"/>
              <w:left w:val="single" w:color="000000" w:sz="4" w:space="0"/>
              <w:bottom w:val="single" w:color="000000" w:sz="10" w:space="0"/>
              <w:right w:val="single" w:color="000000" w:sz="4" w:space="0"/>
            </w:tcBorders>
            <w:shd w:val="clear" w:color="auto" w:fill="FFFFFF"/>
          </w:tcPr>
          <w:p>
            <w:pPr>
              <w:spacing w:line="232" w:lineRule="auto"/>
              <w:rPr>
                <w:rFonts w:ascii="宋体" w:hAnsi="宋体" w:cs="宋体"/>
                <w:color w:val="auto"/>
                <w:spacing w:val="-2"/>
                <w:highlight w:val="none"/>
              </w:rPr>
            </w:pPr>
          </w:p>
        </w:tc>
        <w:tc>
          <w:tcPr>
            <w:tcW w:w="2551" w:type="dxa"/>
            <w:gridSpan w:val="4"/>
            <w:tcBorders>
              <w:top w:val="single" w:color="000000" w:sz="4" w:space="0"/>
              <w:left w:val="single" w:color="000000" w:sz="4" w:space="0"/>
              <w:bottom w:val="single" w:color="000000" w:sz="10" w:space="0"/>
              <w:right w:val="single" w:color="000000" w:sz="10" w:space="0"/>
            </w:tcBorders>
            <w:shd w:val="clear" w:color="auto" w:fill="FFFFFF"/>
          </w:tcPr>
          <w:p>
            <w:pPr>
              <w:spacing w:line="232" w:lineRule="auto"/>
              <w:rPr>
                <w:rFonts w:ascii="宋体" w:hAnsi="宋体" w:cs="宋体"/>
                <w:color w:val="auto"/>
                <w:spacing w:val="-2"/>
                <w:highlight w:val="none"/>
              </w:rPr>
            </w:pPr>
          </w:p>
        </w:tc>
      </w:tr>
      <w:tr>
        <w:tblPrEx>
          <w:tblCellMar>
            <w:top w:w="0" w:type="dxa"/>
            <w:left w:w="0" w:type="dxa"/>
            <w:bottom w:w="0" w:type="dxa"/>
            <w:right w:w="0" w:type="dxa"/>
          </w:tblCellMar>
        </w:tblPrEx>
        <w:trPr>
          <w:gridAfter w:val="2"/>
          <w:wAfter w:w="111" w:type="dxa"/>
          <w:trHeight w:val="43" w:hRule="exact"/>
        </w:trPr>
        <w:tc>
          <w:tcPr>
            <w:tcW w:w="9781" w:type="dxa"/>
            <w:gridSpan w:val="17"/>
            <w:tcBorders>
              <w:top w:val="single" w:color="000000" w:sz="10" w:space="0"/>
            </w:tcBorders>
          </w:tcPr>
          <w:p>
            <w:pPr>
              <w:rPr>
                <w:color w:val="auto"/>
                <w:highlight w:val="none"/>
              </w:rPr>
            </w:pPr>
          </w:p>
        </w:tc>
      </w:tr>
      <w:tr>
        <w:tblPrEx>
          <w:tblCellMar>
            <w:top w:w="0" w:type="dxa"/>
            <w:left w:w="0" w:type="dxa"/>
            <w:bottom w:w="0" w:type="dxa"/>
            <w:right w:w="0" w:type="dxa"/>
          </w:tblCellMar>
        </w:tblPrEx>
        <w:trPr>
          <w:gridAfter w:val="2"/>
          <w:wAfter w:w="111" w:type="dxa"/>
          <w:trHeight w:val="458" w:hRule="exact"/>
        </w:trPr>
        <w:tc>
          <w:tcPr>
            <w:tcW w:w="6491" w:type="dxa"/>
            <w:gridSpan w:val="11"/>
            <w:shd w:val="clear" w:color="auto" w:fill="auto"/>
          </w:tcPr>
          <w:p>
            <w:pPr>
              <w:rPr>
                <w:color w:val="auto"/>
                <w:highlight w:val="none"/>
              </w:rPr>
            </w:pPr>
          </w:p>
        </w:tc>
        <w:tc>
          <w:tcPr>
            <w:tcW w:w="3290" w:type="dxa"/>
            <w:gridSpan w:val="6"/>
            <w:shd w:val="clear" w:color="auto" w:fill="FFFFFF"/>
          </w:tcPr>
          <w:p>
            <w:pPr>
              <w:spacing w:line="232" w:lineRule="auto"/>
              <w:jc w:val="right"/>
              <w:rPr>
                <w:rFonts w:ascii="宋体" w:hAnsi="宋体" w:cs="宋体"/>
                <w:b/>
                <w:color w:val="auto"/>
                <w:spacing w:val="-2"/>
                <w:sz w:val="18"/>
                <w:highlight w:val="none"/>
              </w:rPr>
            </w:pPr>
          </w:p>
        </w:tc>
      </w:tr>
    </w:tbl>
    <w:p>
      <w:pPr>
        <w:rPr>
          <w:rFonts w:ascii="黑体" w:eastAsia="黑体" w:cs="宋体"/>
          <w:b/>
          <w:color w:val="auto"/>
          <w:kern w:val="0"/>
          <w:sz w:val="32"/>
          <w:szCs w:val="32"/>
          <w:highlight w:val="none"/>
        </w:rPr>
      </w:pPr>
    </w:p>
    <w:tbl>
      <w:tblPr>
        <w:tblStyle w:val="17"/>
        <w:tblW w:w="9639" w:type="dxa"/>
        <w:tblInd w:w="-26" w:type="dxa"/>
        <w:tblLayout w:type="fixed"/>
        <w:tblCellMar>
          <w:top w:w="0" w:type="dxa"/>
          <w:left w:w="0" w:type="dxa"/>
          <w:bottom w:w="0" w:type="dxa"/>
          <w:right w:w="0" w:type="dxa"/>
        </w:tblCellMar>
      </w:tblPr>
      <w:tblGrid>
        <w:gridCol w:w="487"/>
        <w:gridCol w:w="559"/>
        <w:gridCol w:w="487"/>
        <w:gridCol w:w="1161"/>
        <w:gridCol w:w="567"/>
        <w:gridCol w:w="708"/>
        <w:gridCol w:w="709"/>
        <w:gridCol w:w="22"/>
        <w:gridCol w:w="687"/>
        <w:gridCol w:w="709"/>
        <w:gridCol w:w="165"/>
        <w:gridCol w:w="543"/>
        <w:gridCol w:w="503"/>
        <w:gridCol w:w="348"/>
        <w:gridCol w:w="283"/>
        <w:gridCol w:w="426"/>
        <w:gridCol w:w="567"/>
        <w:gridCol w:w="708"/>
      </w:tblGrid>
      <w:tr>
        <w:tblPrEx>
          <w:tblCellMar>
            <w:top w:w="0" w:type="dxa"/>
            <w:left w:w="0" w:type="dxa"/>
            <w:bottom w:w="0" w:type="dxa"/>
            <w:right w:w="0" w:type="dxa"/>
          </w:tblCellMar>
        </w:tblPrEx>
        <w:trPr>
          <w:trHeight w:val="673" w:hRule="exact"/>
        </w:trPr>
        <w:tc>
          <w:tcPr>
            <w:tcW w:w="9639" w:type="dxa"/>
            <w:gridSpan w:val="18"/>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暂列金额明细表</w:t>
            </w:r>
          </w:p>
        </w:tc>
      </w:tr>
      <w:tr>
        <w:tblPrEx>
          <w:tblCellMar>
            <w:top w:w="0" w:type="dxa"/>
            <w:left w:w="0" w:type="dxa"/>
            <w:bottom w:w="0" w:type="dxa"/>
            <w:right w:w="0" w:type="dxa"/>
          </w:tblCellMar>
        </w:tblPrEx>
        <w:trPr>
          <w:trHeight w:val="344" w:hRule="exact"/>
        </w:trPr>
        <w:tc>
          <w:tcPr>
            <w:tcW w:w="6261" w:type="dxa"/>
            <w:gridSpan w:val="11"/>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 xml:space="preserve">工程名称： </w:t>
            </w:r>
          </w:p>
        </w:tc>
        <w:tc>
          <w:tcPr>
            <w:tcW w:w="1046" w:type="dxa"/>
            <w:gridSpan w:val="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332" w:type="dxa"/>
            <w:gridSpan w:val="5"/>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表9</w:t>
            </w:r>
          </w:p>
        </w:tc>
      </w:tr>
      <w:tr>
        <w:tblPrEx>
          <w:tblCellMar>
            <w:top w:w="0" w:type="dxa"/>
            <w:left w:w="0" w:type="dxa"/>
            <w:bottom w:w="0" w:type="dxa"/>
            <w:right w:w="0" w:type="dxa"/>
          </w:tblCellMar>
        </w:tblPrEx>
        <w:trPr>
          <w:trHeight w:val="674" w:hRule="exact"/>
        </w:trPr>
        <w:tc>
          <w:tcPr>
            <w:tcW w:w="1046" w:type="dxa"/>
            <w:gridSpan w:val="2"/>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3654" w:type="dxa"/>
            <w:gridSpan w:val="6"/>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项目名称</w:t>
            </w:r>
          </w:p>
        </w:tc>
        <w:tc>
          <w:tcPr>
            <w:tcW w:w="1561"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计量单位</w:t>
            </w:r>
          </w:p>
        </w:tc>
        <w:tc>
          <w:tcPr>
            <w:tcW w:w="1677"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暂定金额(元)</w:t>
            </w:r>
          </w:p>
        </w:tc>
        <w:tc>
          <w:tcPr>
            <w:tcW w:w="1701" w:type="dxa"/>
            <w:gridSpan w:val="3"/>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备注</w:t>
            </w:r>
          </w:p>
        </w:tc>
      </w:tr>
      <w:tr>
        <w:tblPrEx>
          <w:tblCellMar>
            <w:top w:w="0" w:type="dxa"/>
            <w:left w:w="0" w:type="dxa"/>
            <w:bottom w:w="0" w:type="dxa"/>
            <w:right w:w="0" w:type="dxa"/>
          </w:tblCellMar>
        </w:tblPrEx>
        <w:trPr>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trHeight w:val="329"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1046"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654" w:type="dxa"/>
            <w:gridSpan w:val="6"/>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1"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459" w:hRule="exact"/>
        </w:trPr>
        <w:tc>
          <w:tcPr>
            <w:tcW w:w="6261" w:type="dxa"/>
            <w:gridSpan w:val="11"/>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  计</w:t>
            </w:r>
          </w:p>
        </w:tc>
        <w:tc>
          <w:tcPr>
            <w:tcW w:w="1677"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701" w:type="dxa"/>
            <w:gridSpan w:val="3"/>
            <w:tcBorders>
              <w:top w:val="single" w:color="000000" w:sz="4" w:space="0"/>
              <w:left w:val="single" w:color="000000" w:sz="4" w:space="0"/>
              <w:bottom w:val="single" w:color="000000" w:sz="10" w:space="0"/>
              <w:right w:val="single" w:color="000000" w:sz="10" w:space="0"/>
            </w:tcBorders>
            <w:shd w:val="clear" w:color="auto" w:fill="FFFFFF"/>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trHeight w:val="673" w:hRule="exact"/>
        </w:trPr>
        <w:tc>
          <w:tcPr>
            <w:tcW w:w="9639" w:type="dxa"/>
            <w:gridSpan w:val="18"/>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材料（工程设备）暂估单价及调整表</w:t>
            </w:r>
          </w:p>
        </w:tc>
      </w:tr>
      <w:tr>
        <w:tblPrEx>
          <w:tblCellMar>
            <w:top w:w="0" w:type="dxa"/>
            <w:left w:w="0" w:type="dxa"/>
            <w:bottom w:w="0" w:type="dxa"/>
            <w:right w:w="0" w:type="dxa"/>
          </w:tblCellMar>
        </w:tblPrEx>
        <w:trPr>
          <w:trHeight w:val="344" w:hRule="exact"/>
        </w:trPr>
        <w:tc>
          <w:tcPr>
            <w:tcW w:w="6261" w:type="dxa"/>
            <w:gridSpan w:val="11"/>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 xml:space="preserve">工程名称： </w:t>
            </w:r>
          </w:p>
        </w:tc>
        <w:tc>
          <w:tcPr>
            <w:tcW w:w="1046" w:type="dxa"/>
            <w:gridSpan w:val="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332" w:type="dxa"/>
            <w:gridSpan w:val="5"/>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表10</w:t>
            </w:r>
          </w:p>
        </w:tc>
      </w:tr>
      <w:tr>
        <w:tblPrEx>
          <w:tblCellMar>
            <w:top w:w="0" w:type="dxa"/>
            <w:left w:w="0" w:type="dxa"/>
            <w:bottom w:w="0" w:type="dxa"/>
            <w:right w:w="0" w:type="dxa"/>
          </w:tblCellMar>
        </w:tblPrEx>
        <w:trPr>
          <w:trHeight w:val="330" w:hRule="exact"/>
        </w:trPr>
        <w:tc>
          <w:tcPr>
            <w:tcW w:w="487" w:type="dxa"/>
            <w:vMerge w:val="restart"/>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1046"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材料编码</w:t>
            </w:r>
          </w:p>
        </w:tc>
        <w:tc>
          <w:tcPr>
            <w:tcW w:w="1161" w:type="dxa"/>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材料(工程设备)名称、规格、型号</w:t>
            </w:r>
          </w:p>
        </w:tc>
        <w:tc>
          <w:tcPr>
            <w:tcW w:w="567" w:type="dxa"/>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计量单位</w:t>
            </w:r>
          </w:p>
        </w:tc>
        <w:tc>
          <w:tcPr>
            <w:tcW w:w="1417"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数量</w:t>
            </w:r>
          </w:p>
        </w:tc>
        <w:tc>
          <w:tcPr>
            <w:tcW w:w="1418"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暂估（元）</w:t>
            </w:r>
          </w:p>
        </w:tc>
        <w:tc>
          <w:tcPr>
            <w:tcW w:w="1559"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确认（元）</w:t>
            </w:r>
          </w:p>
        </w:tc>
        <w:tc>
          <w:tcPr>
            <w:tcW w:w="1276"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差额±(元)</w:t>
            </w:r>
          </w:p>
        </w:tc>
        <w:tc>
          <w:tcPr>
            <w:tcW w:w="708" w:type="dxa"/>
            <w:vMerge w:val="restart"/>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备注</w:t>
            </w:r>
          </w:p>
        </w:tc>
      </w:tr>
      <w:tr>
        <w:tblPrEx>
          <w:tblCellMar>
            <w:top w:w="0" w:type="dxa"/>
            <w:left w:w="0" w:type="dxa"/>
            <w:bottom w:w="0" w:type="dxa"/>
            <w:right w:w="0" w:type="dxa"/>
          </w:tblCellMar>
        </w:tblPrEx>
        <w:trPr>
          <w:trHeight w:val="583" w:hRule="exact"/>
        </w:trPr>
        <w:tc>
          <w:tcPr>
            <w:tcW w:w="487" w:type="dxa"/>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046"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161" w:type="dxa"/>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567" w:type="dxa"/>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投标</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确认</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单价</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合价</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单价</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合价</w:t>
            </w: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单价</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合价</w:t>
            </w:r>
          </w:p>
        </w:tc>
        <w:tc>
          <w:tcPr>
            <w:tcW w:w="708" w:type="dxa"/>
            <w:vMerge w:val="continue"/>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344"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4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04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9"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708"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459" w:hRule="exact"/>
        </w:trPr>
        <w:tc>
          <w:tcPr>
            <w:tcW w:w="3261" w:type="dxa"/>
            <w:gridSpan w:val="5"/>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合计</w:t>
            </w:r>
          </w:p>
        </w:tc>
        <w:tc>
          <w:tcPr>
            <w:tcW w:w="708" w:type="dxa"/>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709" w:type="dxa"/>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709" w:type="dxa"/>
            <w:gridSpan w:val="2"/>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709" w:type="dxa"/>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708" w:type="dxa"/>
            <w:gridSpan w:val="2"/>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851" w:type="dxa"/>
            <w:gridSpan w:val="2"/>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709" w:type="dxa"/>
            <w:gridSpan w:val="2"/>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567" w:type="dxa"/>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708" w:type="dxa"/>
            <w:tcBorders>
              <w:top w:val="single" w:color="000000" w:sz="4" w:space="0"/>
              <w:left w:val="single" w:color="000000" w:sz="4" w:space="0"/>
              <w:bottom w:val="single" w:color="000000" w:sz="10" w:space="0"/>
              <w:right w:val="single" w:color="000000" w:sz="10" w:space="0"/>
            </w:tcBorders>
            <w:shd w:val="clear" w:color="auto" w:fill="FFFFFF"/>
          </w:tcPr>
          <w:p>
            <w:pPr>
              <w:widowControl/>
              <w:spacing w:line="232" w:lineRule="auto"/>
              <w:jc w:val="left"/>
              <w:rPr>
                <w:rFonts w:ascii="宋体" w:hAnsi="宋体" w:cs="宋体"/>
                <w:color w:val="auto"/>
                <w:spacing w:val="-2"/>
                <w:szCs w:val="22"/>
                <w:highlight w:val="none"/>
              </w:rPr>
            </w:pPr>
          </w:p>
        </w:tc>
      </w:tr>
    </w:tbl>
    <w:p>
      <w:pPr>
        <w:jc w:val="center"/>
        <w:rPr>
          <w:rFonts w:ascii="黑体" w:eastAsia="黑体" w:cs="宋体"/>
          <w:b/>
          <w:color w:val="auto"/>
          <w:kern w:val="0"/>
          <w:sz w:val="32"/>
          <w:szCs w:val="32"/>
          <w:highlight w:val="none"/>
        </w:rPr>
      </w:pPr>
    </w:p>
    <w:tbl>
      <w:tblPr>
        <w:tblStyle w:val="17"/>
        <w:tblW w:w="0" w:type="auto"/>
        <w:tblInd w:w="-26" w:type="dxa"/>
        <w:tblLayout w:type="fixed"/>
        <w:tblCellMar>
          <w:top w:w="0" w:type="dxa"/>
          <w:left w:w="0" w:type="dxa"/>
          <w:bottom w:w="0" w:type="dxa"/>
          <w:right w:w="0" w:type="dxa"/>
        </w:tblCellMar>
      </w:tblPr>
      <w:tblGrid>
        <w:gridCol w:w="759"/>
        <w:gridCol w:w="1793"/>
        <w:gridCol w:w="1559"/>
        <w:gridCol w:w="1418"/>
        <w:gridCol w:w="732"/>
        <w:gridCol w:w="969"/>
        <w:gridCol w:w="77"/>
        <w:gridCol w:w="1340"/>
        <w:gridCol w:w="992"/>
      </w:tblGrid>
      <w:tr>
        <w:tblPrEx>
          <w:tblCellMar>
            <w:top w:w="0" w:type="dxa"/>
            <w:left w:w="0" w:type="dxa"/>
            <w:bottom w:w="0" w:type="dxa"/>
            <w:right w:w="0" w:type="dxa"/>
          </w:tblCellMar>
        </w:tblPrEx>
        <w:trPr>
          <w:trHeight w:val="673" w:hRule="exact"/>
        </w:trPr>
        <w:tc>
          <w:tcPr>
            <w:tcW w:w="9639" w:type="dxa"/>
            <w:gridSpan w:val="9"/>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专业工程暂估价及结算价表</w:t>
            </w:r>
          </w:p>
        </w:tc>
      </w:tr>
      <w:tr>
        <w:tblPrEx>
          <w:tblCellMar>
            <w:top w:w="0" w:type="dxa"/>
            <w:left w:w="0" w:type="dxa"/>
            <w:bottom w:w="0" w:type="dxa"/>
            <w:right w:w="0" w:type="dxa"/>
          </w:tblCellMar>
        </w:tblPrEx>
        <w:trPr>
          <w:trHeight w:val="344" w:hRule="exact"/>
        </w:trPr>
        <w:tc>
          <w:tcPr>
            <w:tcW w:w="6261" w:type="dxa"/>
            <w:gridSpan w:val="5"/>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工程名称：</w:t>
            </w:r>
          </w:p>
        </w:tc>
        <w:tc>
          <w:tcPr>
            <w:tcW w:w="1046" w:type="dxa"/>
            <w:gridSpan w:val="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332" w:type="dxa"/>
            <w:gridSpan w:val="2"/>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表11</w:t>
            </w:r>
          </w:p>
        </w:tc>
      </w:tr>
      <w:tr>
        <w:tblPrEx>
          <w:tblCellMar>
            <w:top w:w="0" w:type="dxa"/>
            <w:left w:w="0" w:type="dxa"/>
            <w:bottom w:w="0" w:type="dxa"/>
            <w:right w:w="0" w:type="dxa"/>
          </w:tblCellMar>
        </w:tblPrEx>
        <w:trPr>
          <w:trHeight w:val="674" w:hRule="exact"/>
        </w:trPr>
        <w:tc>
          <w:tcPr>
            <w:tcW w:w="759" w:type="dxa"/>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1793" w:type="dxa"/>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工程名称</w:t>
            </w:r>
          </w:p>
        </w:tc>
        <w:tc>
          <w:tcPr>
            <w:tcW w:w="1559" w:type="dxa"/>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工程内容</w:t>
            </w:r>
          </w:p>
        </w:tc>
        <w:tc>
          <w:tcPr>
            <w:tcW w:w="1418" w:type="dxa"/>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暂估金额(元)</w:t>
            </w:r>
          </w:p>
        </w:tc>
        <w:tc>
          <w:tcPr>
            <w:tcW w:w="1701"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结算金额(元)</w:t>
            </w:r>
          </w:p>
        </w:tc>
        <w:tc>
          <w:tcPr>
            <w:tcW w:w="1417"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差额±(元)</w:t>
            </w:r>
          </w:p>
        </w:tc>
        <w:tc>
          <w:tcPr>
            <w:tcW w:w="992" w:type="dxa"/>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备注</w:t>
            </w:r>
          </w:p>
        </w:tc>
      </w:tr>
      <w:tr>
        <w:tblPrEx>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30"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29"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344" w:hRule="exact"/>
        </w:trPr>
        <w:tc>
          <w:tcPr>
            <w:tcW w:w="759"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trHeight w:val="459" w:hRule="exact"/>
        </w:trPr>
        <w:tc>
          <w:tcPr>
            <w:tcW w:w="4111" w:type="dxa"/>
            <w:gridSpan w:val="3"/>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  计</w:t>
            </w:r>
          </w:p>
        </w:tc>
        <w:tc>
          <w:tcPr>
            <w:tcW w:w="1418" w:type="dxa"/>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701" w:type="dxa"/>
            <w:gridSpan w:val="2"/>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1417" w:type="dxa"/>
            <w:gridSpan w:val="2"/>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992" w:type="dxa"/>
            <w:tcBorders>
              <w:top w:val="single" w:color="000000" w:sz="4" w:space="0"/>
              <w:left w:val="single" w:color="000000" w:sz="4" w:space="0"/>
              <w:bottom w:val="single" w:color="000000" w:sz="10" w:space="0"/>
              <w:right w:val="single" w:color="000000" w:sz="10" w:space="0"/>
            </w:tcBorders>
            <w:shd w:val="clear" w:color="auto" w:fill="FFFFFF"/>
          </w:tcPr>
          <w:p>
            <w:pPr>
              <w:widowControl/>
              <w:spacing w:line="232" w:lineRule="auto"/>
              <w:jc w:val="left"/>
              <w:rPr>
                <w:rFonts w:ascii="宋体" w:hAnsi="宋体" w:cs="宋体"/>
                <w:color w:val="auto"/>
                <w:spacing w:val="-2"/>
                <w:szCs w:val="22"/>
                <w:highlight w:val="none"/>
              </w:rPr>
            </w:pPr>
          </w:p>
        </w:tc>
      </w:tr>
    </w:tbl>
    <w:p>
      <w:pPr>
        <w:jc w:val="center"/>
        <w:rPr>
          <w:rFonts w:ascii="黑体" w:eastAsia="黑体" w:cs="宋体"/>
          <w:b/>
          <w:color w:val="auto"/>
          <w:kern w:val="0"/>
          <w:sz w:val="32"/>
          <w:szCs w:val="32"/>
          <w:highlight w:val="none"/>
        </w:rPr>
      </w:pPr>
    </w:p>
    <w:tbl>
      <w:tblPr>
        <w:tblStyle w:val="17"/>
        <w:tblW w:w="9892" w:type="dxa"/>
        <w:tblInd w:w="0" w:type="dxa"/>
        <w:tblLayout w:type="fixed"/>
        <w:tblCellMar>
          <w:top w:w="0" w:type="dxa"/>
          <w:left w:w="0" w:type="dxa"/>
          <w:bottom w:w="0" w:type="dxa"/>
          <w:right w:w="0" w:type="dxa"/>
        </w:tblCellMar>
      </w:tblPr>
      <w:tblGrid>
        <w:gridCol w:w="587"/>
        <w:gridCol w:w="215"/>
        <w:gridCol w:w="29"/>
        <w:gridCol w:w="1977"/>
        <w:gridCol w:w="169"/>
        <w:gridCol w:w="189"/>
        <w:gridCol w:w="215"/>
        <w:gridCol w:w="588"/>
        <w:gridCol w:w="284"/>
        <w:gridCol w:w="992"/>
        <w:gridCol w:w="425"/>
        <w:gridCol w:w="591"/>
        <w:gridCol w:w="118"/>
        <w:gridCol w:w="112"/>
        <w:gridCol w:w="14"/>
        <w:gridCol w:w="725"/>
        <w:gridCol w:w="77"/>
        <w:gridCol w:w="206"/>
        <w:gridCol w:w="284"/>
        <w:gridCol w:w="425"/>
        <w:gridCol w:w="142"/>
        <w:gridCol w:w="283"/>
        <w:gridCol w:w="142"/>
        <w:gridCol w:w="850"/>
        <w:gridCol w:w="233"/>
        <w:gridCol w:w="20"/>
      </w:tblGrid>
      <w:tr>
        <w:tblPrEx>
          <w:tblCellMar>
            <w:top w:w="0" w:type="dxa"/>
            <w:left w:w="0" w:type="dxa"/>
            <w:bottom w:w="0" w:type="dxa"/>
            <w:right w:w="0" w:type="dxa"/>
          </w:tblCellMar>
        </w:tblPrEx>
        <w:trPr>
          <w:gridAfter w:val="2"/>
          <w:wAfter w:w="253" w:type="dxa"/>
          <w:trHeight w:val="673" w:hRule="exact"/>
        </w:trPr>
        <w:tc>
          <w:tcPr>
            <w:tcW w:w="9639" w:type="dxa"/>
            <w:gridSpan w:val="24"/>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计日工表</w:t>
            </w:r>
          </w:p>
        </w:tc>
      </w:tr>
      <w:tr>
        <w:tblPrEx>
          <w:tblCellMar>
            <w:top w:w="0" w:type="dxa"/>
            <w:left w:w="0" w:type="dxa"/>
            <w:bottom w:w="0" w:type="dxa"/>
            <w:right w:w="0" w:type="dxa"/>
          </w:tblCellMar>
        </w:tblPrEx>
        <w:trPr>
          <w:gridAfter w:val="2"/>
          <w:wAfter w:w="253" w:type="dxa"/>
          <w:trHeight w:val="344" w:hRule="exact"/>
        </w:trPr>
        <w:tc>
          <w:tcPr>
            <w:tcW w:w="6261" w:type="dxa"/>
            <w:gridSpan w:val="1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工程名称：</w:t>
            </w:r>
          </w:p>
        </w:tc>
        <w:tc>
          <w:tcPr>
            <w:tcW w:w="1046" w:type="dxa"/>
            <w:gridSpan w:val="5"/>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332" w:type="dxa"/>
            <w:gridSpan w:val="7"/>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表12</w:t>
            </w:r>
          </w:p>
        </w:tc>
      </w:tr>
      <w:tr>
        <w:tblPrEx>
          <w:tblCellMar>
            <w:top w:w="0" w:type="dxa"/>
            <w:left w:w="0" w:type="dxa"/>
            <w:bottom w:w="0" w:type="dxa"/>
            <w:right w:w="0" w:type="dxa"/>
          </w:tblCellMar>
        </w:tblPrEx>
        <w:trPr>
          <w:gridAfter w:val="2"/>
          <w:wAfter w:w="253" w:type="dxa"/>
          <w:trHeight w:val="330" w:hRule="exact"/>
        </w:trPr>
        <w:tc>
          <w:tcPr>
            <w:tcW w:w="587" w:type="dxa"/>
            <w:vMerge w:val="restart"/>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编号</w:t>
            </w:r>
          </w:p>
        </w:tc>
        <w:tc>
          <w:tcPr>
            <w:tcW w:w="2390" w:type="dxa"/>
            <w:gridSpan w:val="4"/>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项目名称</w:t>
            </w:r>
          </w:p>
        </w:tc>
        <w:tc>
          <w:tcPr>
            <w:tcW w:w="992" w:type="dxa"/>
            <w:gridSpan w:val="3"/>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单位</w:t>
            </w:r>
          </w:p>
        </w:tc>
        <w:tc>
          <w:tcPr>
            <w:tcW w:w="1276"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暂定数量</w:t>
            </w:r>
          </w:p>
        </w:tc>
        <w:tc>
          <w:tcPr>
            <w:tcW w:w="1134" w:type="dxa"/>
            <w:gridSpan w:val="3"/>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实际数量</w:t>
            </w:r>
          </w:p>
        </w:tc>
        <w:tc>
          <w:tcPr>
            <w:tcW w:w="1134" w:type="dxa"/>
            <w:gridSpan w:val="5"/>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综合单价</w:t>
            </w:r>
          </w:p>
        </w:tc>
        <w:tc>
          <w:tcPr>
            <w:tcW w:w="2126" w:type="dxa"/>
            <w:gridSpan w:val="6"/>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合价（元）</w:t>
            </w:r>
          </w:p>
        </w:tc>
      </w:tr>
      <w:tr>
        <w:tblPrEx>
          <w:tblCellMar>
            <w:top w:w="0" w:type="dxa"/>
            <w:left w:w="0" w:type="dxa"/>
            <w:bottom w:w="0" w:type="dxa"/>
            <w:right w:w="0" w:type="dxa"/>
          </w:tblCellMar>
        </w:tblPrEx>
        <w:trPr>
          <w:gridAfter w:val="2"/>
          <w:wAfter w:w="253" w:type="dxa"/>
          <w:trHeight w:val="344" w:hRule="exact"/>
        </w:trPr>
        <w:tc>
          <w:tcPr>
            <w:tcW w:w="587" w:type="dxa"/>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2390" w:type="dxa"/>
            <w:gridSpan w:val="4"/>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992" w:type="dxa"/>
            <w:gridSpan w:val="3"/>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276"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134" w:type="dxa"/>
            <w:gridSpan w:val="3"/>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134" w:type="dxa"/>
            <w:gridSpan w:val="5"/>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jc w:val="left"/>
              <w:rPr>
                <w:rFonts w:ascii="Calibri" w:hAnsi="Calibri"/>
                <w:color w:val="auto"/>
                <w:sz w:val="2"/>
                <w:szCs w:val="22"/>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暂定</w:t>
            </w: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实际</w:t>
            </w:r>
          </w:p>
        </w:tc>
      </w:tr>
      <w:tr>
        <w:tblPrEx>
          <w:tblCellMar>
            <w:top w:w="0" w:type="dxa"/>
            <w:left w:w="0" w:type="dxa"/>
            <w:bottom w:w="0" w:type="dxa"/>
            <w:right w:w="0" w:type="dxa"/>
          </w:tblCellMar>
        </w:tblPrEx>
        <w:trPr>
          <w:gridAfter w:val="2"/>
          <w:wAfter w:w="253" w:type="dxa"/>
          <w:trHeight w:val="344" w:hRule="exact"/>
        </w:trPr>
        <w:tc>
          <w:tcPr>
            <w:tcW w:w="587"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一</w:t>
            </w:r>
          </w:p>
        </w:tc>
        <w:tc>
          <w:tcPr>
            <w:tcW w:w="23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人工</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329" w:hRule="exact"/>
        </w:trPr>
        <w:tc>
          <w:tcPr>
            <w:tcW w:w="7513" w:type="dxa"/>
            <w:gridSpan w:val="18"/>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人工小计</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344" w:hRule="exact"/>
        </w:trPr>
        <w:tc>
          <w:tcPr>
            <w:tcW w:w="587"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二</w:t>
            </w:r>
          </w:p>
        </w:tc>
        <w:tc>
          <w:tcPr>
            <w:tcW w:w="23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材料</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344" w:hRule="exact"/>
        </w:trPr>
        <w:tc>
          <w:tcPr>
            <w:tcW w:w="7513" w:type="dxa"/>
            <w:gridSpan w:val="18"/>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材料小计</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329" w:hRule="exact"/>
        </w:trPr>
        <w:tc>
          <w:tcPr>
            <w:tcW w:w="587" w:type="dxa"/>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三</w:t>
            </w:r>
          </w:p>
        </w:tc>
        <w:tc>
          <w:tcPr>
            <w:tcW w:w="23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施工机械</w:t>
            </w: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344" w:hRule="exact"/>
        </w:trPr>
        <w:tc>
          <w:tcPr>
            <w:tcW w:w="7513" w:type="dxa"/>
            <w:gridSpan w:val="18"/>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机械小计</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330" w:hRule="exact"/>
        </w:trPr>
        <w:tc>
          <w:tcPr>
            <w:tcW w:w="7513" w:type="dxa"/>
            <w:gridSpan w:val="18"/>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四、企业管理费和利润</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344" w:hRule="exact"/>
        </w:trPr>
        <w:tc>
          <w:tcPr>
            <w:tcW w:w="5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390"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344" w:hRule="exact"/>
        </w:trPr>
        <w:tc>
          <w:tcPr>
            <w:tcW w:w="5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390"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329" w:hRule="exact"/>
        </w:trPr>
        <w:tc>
          <w:tcPr>
            <w:tcW w:w="5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390"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344" w:hRule="exact"/>
        </w:trPr>
        <w:tc>
          <w:tcPr>
            <w:tcW w:w="587" w:type="dxa"/>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390"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459" w:hRule="exact"/>
        </w:trPr>
        <w:tc>
          <w:tcPr>
            <w:tcW w:w="7513" w:type="dxa"/>
            <w:gridSpan w:val="18"/>
            <w:tcBorders>
              <w:top w:val="single" w:color="000000" w:sz="4" w:space="0"/>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总     计</w:t>
            </w:r>
          </w:p>
        </w:tc>
        <w:tc>
          <w:tcPr>
            <w:tcW w:w="1134"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10" w:space="0"/>
              <w:right w:val="single" w:color="000000" w:sz="10" w:space="0"/>
            </w:tcBorders>
            <w:shd w:val="clear" w:color="auto" w:fill="FFFFFF"/>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673" w:hRule="exact"/>
        </w:trPr>
        <w:tc>
          <w:tcPr>
            <w:tcW w:w="9639" w:type="dxa"/>
            <w:gridSpan w:val="24"/>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总承包服务费计价表</w:t>
            </w:r>
          </w:p>
        </w:tc>
      </w:tr>
      <w:tr>
        <w:tblPrEx>
          <w:tblCellMar>
            <w:top w:w="0" w:type="dxa"/>
            <w:left w:w="0" w:type="dxa"/>
            <w:bottom w:w="0" w:type="dxa"/>
            <w:right w:w="0" w:type="dxa"/>
          </w:tblCellMar>
        </w:tblPrEx>
        <w:trPr>
          <w:gridAfter w:val="2"/>
          <w:wAfter w:w="253" w:type="dxa"/>
          <w:trHeight w:val="344" w:hRule="exact"/>
        </w:trPr>
        <w:tc>
          <w:tcPr>
            <w:tcW w:w="6261" w:type="dxa"/>
            <w:gridSpan w:val="1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 xml:space="preserve">工程名称： </w:t>
            </w:r>
          </w:p>
        </w:tc>
        <w:tc>
          <w:tcPr>
            <w:tcW w:w="1046" w:type="dxa"/>
            <w:gridSpan w:val="5"/>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332" w:type="dxa"/>
            <w:gridSpan w:val="7"/>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表13</w:t>
            </w:r>
          </w:p>
        </w:tc>
      </w:tr>
      <w:tr>
        <w:tblPrEx>
          <w:tblCellMar>
            <w:top w:w="0" w:type="dxa"/>
            <w:left w:w="0" w:type="dxa"/>
            <w:bottom w:w="0" w:type="dxa"/>
            <w:right w:w="0" w:type="dxa"/>
          </w:tblCellMar>
        </w:tblPrEx>
        <w:trPr>
          <w:gridAfter w:val="2"/>
          <w:wAfter w:w="253" w:type="dxa"/>
          <w:trHeight w:val="674" w:hRule="exact"/>
        </w:trPr>
        <w:tc>
          <w:tcPr>
            <w:tcW w:w="802" w:type="dxa"/>
            <w:gridSpan w:val="2"/>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2006"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项目名称</w:t>
            </w:r>
          </w:p>
        </w:tc>
        <w:tc>
          <w:tcPr>
            <w:tcW w:w="1445" w:type="dxa"/>
            <w:gridSpan w:val="5"/>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项目价值(元)</w:t>
            </w:r>
          </w:p>
        </w:tc>
        <w:tc>
          <w:tcPr>
            <w:tcW w:w="1417"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服务内容</w:t>
            </w:r>
          </w:p>
        </w:tc>
        <w:tc>
          <w:tcPr>
            <w:tcW w:w="1560" w:type="dxa"/>
            <w:gridSpan w:val="5"/>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计算基础</w:t>
            </w:r>
          </w:p>
        </w:tc>
        <w:tc>
          <w:tcPr>
            <w:tcW w:w="1134" w:type="dxa"/>
            <w:gridSpan w:val="5"/>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费率(％)</w:t>
            </w:r>
          </w:p>
        </w:tc>
        <w:tc>
          <w:tcPr>
            <w:tcW w:w="1275" w:type="dxa"/>
            <w:gridSpan w:val="3"/>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金额(元)</w:t>
            </w:r>
          </w:p>
        </w:tc>
      </w:tr>
      <w:tr>
        <w:tblPrEx>
          <w:tblCellMar>
            <w:top w:w="0" w:type="dxa"/>
            <w:left w:w="0" w:type="dxa"/>
            <w:bottom w:w="0" w:type="dxa"/>
            <w:right w:w="0" w:type="dxa"/>
          </w:tblCellMar>
        </w:tblPrEx>
        <w:trPr>
          <w:gridAfter w:val="2"/>
          <w:wAfter w:w="253" w:type="dxa"/>
          <w:trHeight w:val="344"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发包人发包专业工程</w:t>
            </w: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项目价值</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329"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w:t>
            </w: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发包人供应材料</w:t>
            </w: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项目价值</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344"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344"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329"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344"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344"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344"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329"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344" w:hRule="exact"/>
        </w:trPr>
        <w:tc>
          <w:tcPr>
            <w:tcW w:w="802"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006"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45"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560"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75" w:type="dxa"/>
            <w:gridSpan w:val="3"/>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459" w:hRule="exact"/>
        </w:trPr>
        <w:tc>
          <w:tcPr>
            <w:tcW w:w="802" w:type="dxa"/>
            <w:gridSpan w:val="2"/>
            <w:tcBorders>
              <w:top w:val="single" w:color="000000" w:sz="4" w:space="0"/>
              <w:left w:val="single" w:color="000000" w:sz="10"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2006" w:type="dxa"/>
            <w:gridSpan w:val="2"/>
            <w:tcBorders>
              <w:top w:val="single" w:color="000000" w:sz="4" w:space="0"/>
              <w:left w:val="single" w:color="000000" w:sz="4"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  计</w:t>
            </w:r>
          </w:p>
        </w:tc>
        <w:tc>
          <w:tcPr>
            <w:tcW w:w="1445" w:type="dxa"/>
            <w:gridSpan w:val="5"/>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1417" w:type="dxa"/>
            <w:gridSpan w:val="2"/>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1560" w:type="dxa"/>
            <w:gridSpan w:val="5"/>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1134" w:type="dxa"/>
            <w:gridSpan w:val="5"/>
            <w:tcBorders>
              <w:top w:val="single" w:color="000000" w:sz="4" w:space="0"/>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1275" w:type="dxa"/>
            <w:gridSpan w:val="3"/>
            <w:tcBorders>
              <w:top w:val="single" w:color="000000" w:sz="4" w:space="0"/>
              <w:left w:val="single" w:color="000000" w:sz="4" w:space="0"/>
              <w:bottom w:val="single" w:color="000000" w:sz="10"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673" w:hRule="exact"/>
        </w:trPr>
        <w:tc>
          <w:tcPr>
            <w:tcW w:w="9639" w:type="dxa"/>
            <w:gridSpan w:val="24"/>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规费、税金项目计价表</w:t>
            </w:r>
          </w:p>
        </w:tc>
      </w:tr>
      <w:tr>
        <w:tblPrEx>
          <w:tblCellMar>
            <w:top w:w="0" w:type="dxa"/>
            <w:left w:w="0" w:type="dxa"/>
            <w:bottom w:w="0" w:type="dxa"/>
            <w:right w:w="0" w:type="dxa"/>
          </w:tblCellMar>
        </w:tblPrEx>
        <w:trPr>
          <w:gridAfter w:val="2"/>
          <w:wAfter w:w="253" w:type="dxa"/>
          <w:trHeight w:val="344" w:hRule="exact"/>
        </w:trPr>
        <w:tc>
          <w:tcPr>
            <w:tcW w:w="6261" w:type="dxa"/>
            <w:gridSpan w:val="12"/>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 xml:space="preserve">工程名称： </w:t>
            </w:r>
          </w:p>
        </w:tc>
        <w:tc>
          <w:tcPr>
            <w:tcW w:w="1046" w:type="dxa"/>
            <w:gridSpan w:val="5"/>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332" w:type="dxa"/>
            <w:gridSpan w:val="7"/>
            <w:tcBorders>
              <w:bottom w:val="single" w:color="000000" w:sz="10" w:space="0"/>
            </w:tcBorders>
            <w:shd w:val="clear" w:color="auto" w:fill="FFFFFF"/>
            <w:vAlign w:val="center"/>
          </w:tcPr>
          <w:p>
            <w:pPr>
              <w:widowControl/>
              <w:spacing w:line="232" w:lineRule="auto"/>
              <w:jc w:val="right"/>
              <w:rPr>
                <w:rFonts w:ascii="黑体" w:hAnsi="黑体" w:eastAsia="黑体" w:cs="黑体"/>
                <w:color w:val="auto"/>
                <w:spacing w:val="-2"/>
                <w:szCs w:val="22"/>
                <w:highlight w:val="none"/>
              </w:rPr>
            </w:pPr>
            <w:r>
              <w:rPr>
                <w:rFonts w:hint="eastAsia" w:ascii="黑体" w:hAnsi="黑体" w:eastAsia="黑体" w:cs="黑体"/>
                <w:color w:val="auto"/>
                <w:spacing w:val="-2"/>
                <w:szCs w:val="22"/>
                <w:highlight w:val="none"/>
              </w:rPr>
              <w:t>表14</w:t>
            </w:r>
          </w:p>
        </w:tc>
      </w:tr>
      <w:tr>
        <w:tblPrEx>
          <w:tblCellMar>
            <w:top w:w="0" w:type="dxa"/>
            <w:left w:w="0" w:type="dxa"/>
            <w:bottom w:w="0" w:type="dxa"/>
            <w:right w:w="0" w:type="dxa"/>
          </w:tblCellMar>
        </w:tblPrEx>
        <w:trPr>
          <w:gridAfter w:val="2"/>
          <w:wAfter w:w="253" w:type="dxa"/>
          <w:trHeight w:val="674" w:hRule="exact"/>
        </w:trPr>
        <w:tc>
          <w:tcPr>
            <w:tcW w:w="831" w:type="dxa"/>
            <w:gridSpan w:val="3"/>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2335"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项目名称</w:t>
            </w:r>
          </w:p>
        </w:tc>
        <w:tc>
          <w:tcPr>
            <w:tcW w:w="3339" w:type="dxa"/>
            <w:gridSpan w:val="9"/>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计算基础</w:t>
            </w:r>
          </w:p>
        </w:tc>
        <w:tc>
          <w:tcPr>
            <w:tcW w:w="1292"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计算基数(元)</w:t>
            </w:r>
          </w:p>
        </w:tc>
        <w:tc>
          <w:tcPr>
            <w:tcW w:w="992"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计算费率(％)</w:t>
            </w:r>
          </w:p>
        </w:tc>
        <w:tc>
          <w:tcPr>
            <w:tcW w:w="850" w:type="dxa"/>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金额(元)</w:t>
            </w:r>
          </w:p>
        </w:tc>
      </w:tr>
      <w:tr>
        <w:tblPrEx>
          <w:tblCellMar>
            <w:top w:w="0" w:type="dxa"/>
            <w:left w:w="0" w:type="dxa"/>
            <w:bottom w:w="0" w:type="dxa"/>
            <w:right w:w="0" w:type="dxa"/>
          </w:tblCellMar>
        </w:tblPrEx>
        <w:trPr>
          <w:gridAfter w:val="2"/>
          <w:wAfter w:w="253" w:type="dxa"/>
          <w:trHeight w:val="414"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w:t>
            </w: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规费</w:t>
            </w: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703"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1.1</w:t>
            </w: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社会保险费</w:t>
            </w: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699"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1.2</w:t>
            </w: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住房公积金</w:t>
            </w: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709"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1.3</w:t>
            </w: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工程排污费</w:t>
            </w: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1003"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w:t>
            </w: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税金</w:t>
            </w: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344"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344"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344"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344"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329" w:hRule="exact"/>
        </w:trPr>
        <w:tc>
          <w:tcPr>
            <w:tcW w:w="831" w:type="dxa"/>
            <w:gridSpan w:val="3"/>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2335"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3339" w:type="dxa"/>
            <w:gridSpan w:val="9"/>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2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2"/>
          <w:wAfter w:w="253" w:type="dxa"/>
          <w:trHeight w:val="15" w:hRule="exact"/>
        </w:trPr>
        <w:tc>
          <w:tcPr>
            <w:tcW w:w="9639" w:type="dxa"/>
            <w:gridSpan w:val="24"/>
            <w:tcBorders>
              <w:top w:val="single" w:color="000000" w:sz="4" w:space="0"/>
            </w:tcBorders>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gridAfter w:val="2"/>
          <w:wAfter w:w="253" w:type="dxa"/>
          <w:trHeight w:val="444" w:hRule="exact"/>
        </w:trPr>
        <w:tc>
          <w:tcPr>
            <w:tcW w:w="8222" w:type="dxa"/>
            <w:gridSpan w:val="20"/>
            <w:tcBorders>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  计</w:t>
            </w:r>
          </w:p>
        </w:tc>
        <w:tc>
          <w:tcPr>
            <w:tcW w:w="1417" w:type="dxa"/>
            <w:gridSpan w:val="4"/>
            <w:tcBorders>
              <w:left w:val="single" w:color="000000" w:sz="4" w:space="0"/>
              <w:bottom w:val="single" w:color="000000" w:sz="10" w:space="0"/>
              <w:right w:val="single" w:color="000000" w:sz="10"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2"/>
          <w:wAfter w:w="253" w:type="dxa"/>
          <w:trHeight w:val="229" w:hRule="exact"/>
        </w:trPr>
        <w:tc>
          <w:tcPr>
            <w:tcW w:w="9639" w:type="dxa"/>
            <w:gridSpan w:val="24"/>
            <w:tcBorders>
              <w:top w:val="single" w:color="000000" w:sz="10" w:space="0"/>
            </w:tcBorders>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344" w:hRule="exact"/>
        </w:trPr>
        <w:tc>
          <w:tcPr>
            <w:tcW w:w="3381" w:type="dxa"/>
            <w:gridSpan w:val="7"/>
            <w:shd w:val="clear" w:color="auto" w:fill="FFFFFF"/>
            <w:vAlign w:val="center"/>
          </w:tcPr>
          <w:p>
            <w:pPr>
              <w:widowControl/>
              <w:spacing w:line="232" w:lineRule="auto"/>
              <w:jc w:val="left"/>
              <w:rPr>
                <w:rFonts w:ascii="宋体" w:hAnsi="宋体" w:cs="宋体"/>
                <w:color w:val="auto"/>
                <w:spacing w:val="-2"/>
                <w:sz w:val="18"/>
                <w:szCs w:val="22"/>
                <w:highlight w:val="none"/>
              </w:rPr>
            </w:pPr>
            <w:r>
              <w:rPr>
                <w:rFonts w:ascii="宋体" w:hAnsi="宋体" w:cs="宋体"/>
                <w:color w:val="auto"/>
                <w:spacing w:val="-2"/>
                <w:sz w:val="18"/>
                <w:szCs w:val="22"/>
                <w:highlight w:val="none"/>
              </w:rPr>
              <w:t>编制人（造价人员）：</w:t>
            </w:r>
          </w:p>
        </w:tc>
        <w:tc>
          <w:tcPr>
            <w:tcW w:w="3110" w:type="dxa"/>
            <w:gridSpan w:val="7"/>
            <w:shd w:val="clear" w:color="auto" w:fill="auto"/>
          </w:tcPr>
          <w:p>
            <w:pPr>
              <w:widowControl/>
              <w:jc w:val="left"/>
              <w:rPr>
                <w:rFonts w:ascii="Calibri" w:hAnsi="Calibri"/>
                <w:color w:val="auto"/>
                <w:sz w:val="2"/>
                <w:szCs w:val="22"/>
                <w:highlight w:val="none"/>
              </w:rPr>
            </w:pPr>
          </w:p>
        </w:tc>
        <w:tc>
          <w:tcPr>
            <w:tcW w:w="3381" w:type="dxa"/>
            <w:gridSpan w:val="11"/>
            <w:shd w:val="clear" w:color="auto" w:fill="FFFFFF"/>
            <w:vAlign w:val="center"/>
          </w:tcPr>
          <w:p>
            <w:pPr>
              <w:widowControl/>
              <w:spacing w:line="232" w:lineRule="auto"/>
              <w:jc w:val="left"/>
              <w:rPr>
                <w:rFonts w:ascii="宋体" w:hAnsi="宋体" w:cs="宋体"/>
                <w:color w:val="auto"/>
                <w:spacing w:val="-2"/>
                <w:sz w:val="18"/>
                <w:szCs w:val="22"/>
                <w:highlight w:val="none"/>
              </w:rPr>
            </w:pPr>
            <w:r>
              <w:rPr>
                <w:rFonts w:ascii="宋体" w:hAnsi="宋体" w:cs="宋体"/>
                <w:color w:val="auto"/>
                <w:spacing w:val="-2"/>
                <w:sz w:val="18"/>
                <w:szCs w:val="22"/>
                <w:highlight w:val="none"/>
              </w:rPr>
              <w:t>复核人（造价工程师）：</w:t>
            </w:r>
          </w:p>
        </w:tc>
        <w:tc>
          <w:tcPr>
            <w:tcW w:w="20" w:type="dxa"/>
          </w:tcPr>
          <w:p>
            <w:pPr>
              <w:widowControl/>
              <w:jc w:val="left"/>
              <w:rPr>
                <w:rFonts w:ascii="Calibri" w:hAnsi="Calibri"/>
                <w:color w:val="auto"/>
                <w:sz w:val="2"/>
                <w:szCs w:val="22"/>
                <w:highlight w:val="none"/>
              </w:rPr>
            </w:pPr>
          </w:p>
        </w:tc>
      </w:tr>
    </w:tbl>
    <w:p>
      <w:pPr>
        <w:jc w:val="center"/>
        <w:rPr>
          <w:rFonts w:ascii="黑体" w:eastAsia="黑体" w:cs="宋体"/>
          <w:b/>
          <w:color w:val="auto"/>
          <w:kern w:val="0"/>
          <w:sz w:val="32"/>
          <w:szCs w:val="32"/>
          <w:highlight w:val="none"/>
        </w:rPr>
      </w:pPr>
    </w:p>
    <w:tbl>
      <w:tblPr>
        <w:tblStyle w:val="17"/>
        <w:tblW w:w="9892" w:type="dxa"/>
        <w:tblInd w:w="-26" w:type="dxa"/>
        <w:tblLayout w:type="fixed"/>
        <w:tblCellMar>
          <w:top w:w="0" w:type="dxa"/>
          <w:left w:w="0" w:type="dxa"/>
          <w:bottom w:w="0" w:type="dxa"/>
          <w:right w:w="0" w:type="dxa"/>
        </w:tblCellMar>
      </w:tblPr>
      <w:tblGrid>
        <w:gridCol w:w="616"/>
        <w:gridCol w:w="215"/>
        <w:gridCol w:w="845"/>
        <w:gridCol w:w="1018"/>
        <w:gridCol w:w="567"/>
        <w:gridCol w:w="120"/>
        <w:gridCol w:w="447"/>
        <w:gridCol w:w="283"/>
        <w:gridCol w:w="709"/>
        <w:gridCol w:w="283"/>
        <w:gridCol w:w="709"/>
        <w:gridCol w:w="284"/>
        <w:gridCol w:w="165"/>
        <w:gridCol w:w="230"/>
        <w:gridCol w:w="172"/>
        <w:gridCol w:w="567"/>
        <w:gridCol w:w="77"/>
        <w:gridCol w:w="490"/>
        <w:gridCol w:w="283"/>
        <w:gridCol w:w="709"/>
        <w:gridCol w:w="142"/>
        <w:gridCol w:w="708"/>
        <w:gridCol w:w="142"/>
        <w:gridCol w:w="91"/>
        <w:gridCol w:w="20"/>
      </w:tblGrid>
      <w:tr>
        <w:tblPrEx>
          <w:tblCellMar>
            <w:top w:w="0" w:type="dxa"/>
            <w:left w:w="0" w:type="dxa"/>
            <w:bottom w:w="0" w:type="dxa"/>
            <w:right w:w="0" w:type="dxa"/>
          </w:tblCellMar>
        </w:tblPrEx>
        <w:trPr>
          <w:gridAfter w:val="3"/>
          <w:wAfter w:w="253" w:type="dxa"/>
          <w:trHeight w:val="673" w:hRule="exact"/>
        </w:trPr>
        <w:tc>
          <w:tcPr>
            <w:tcW w:w="9639" w:type="dxa"/>
            <w:gridSpan w:val="22"/>
            <w:shd w:val="clear" w:color="auto" w:fill="FFFFFF"/>
            <w:vAlign w:val="center"/>
          </w:tcPr>
          <w:p>
            <w:pPr>
              <w:widowControl/>
              <w:spacing w:line="232" w:lineRule="auto"/>
              <w:jc w:val="center"/>
              <w:rPr>
                <w:rFonts w:ascii="宋体" w:hAnsi="宋体" w:cs="宋体"/>
                <w:b/>
                <w:color w:val="auto"/>
                <w:spacing w:val="-2"/>
                <w:sz w:val="32"/>
                <w:szCs w:val="22"/>
                <w:highlight w:val="none"/>
              </w:rPr>
            </w:pPr>
            <w:r>
              <w:rPr>
                <w:rFonts w:ascii="宋体" w:hAnsi="宋体" w:cs="宋体"/>
                <w:b/>
                <w:color w:val="auto"/>
                <w:spacing w:val="-2"/>
                <w:sz w:val="32"/>
                <w:szCs w:val="22"/>
                <w:highlight w:val="none"/>
              </w:rPr>
              <w:t>总价项目进度款支付分解表</w:t>
            </w:r>
          </w:p>
        </w:tc>
      </w:tr>
      <w:tr>
        <w:tblPrEx>
          <w:tblCellMar>
            <w:top w:w="0" w:type="dxa"/>
            <w:left w:w="0" w:type="dxa"/>
            <w:bottom w:w="0" w:type="dxa"/>
            <w:right w:w="0" w:type="dxa"/>
          </w:tblCellMar>
        </w:tblPrEx>
        <w:trPr>
          <w:gridAfter w:val="3"/>
          <w:wAfter w:w="253" w:type="dxa"/>
          <w:trHeight w:val="344" w:hRule="exact"/>
        </w:trPr>
        <w:tc>
          <w:tcPr>
            <w:tcW w:w="5812" w:type="dxa"/>
            <w:gridSpan w:val="11"/>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 xml:space="preserve">工程名称： </w:t>
            </w:r>
          </w:p>
        </w:tc>
        <w:tc>
          <w:tcPr>
            <w:tcW w:w="851" w:type="dxa"/>
            <w:gridSpan w:val="4"/>
            <w:tcBorders>
              <w:bottom w:val="single" w:color="000000" w:sz="10" w:space="0"/>
            </w:tcBorders>
            <w:shd w:val="clear" w:color="auto" w:fill="FFFFFF"/>
            <w:vAlign w:val="center"/>
          </w:tcPr>
          <w:p>
            <w:pPr>
              <w:widowControl/>
              <w:spacing w:line="232" w:lineRule="auto"/>
              <w:jc w:val="left"/>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标段：</w:t>
            </w:r>
          </w:p>
        </w:tc>
        <w:tc>
          <w:tcPr>
            <w:tcW w:w="2976" w:type="dxa"/>
            <w:gridSpan w:val="7"/>
            <w:tcBorders>
              <w:bottom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单位：元</w:t>
            </w:r>
            <w:r>
              <w:rPr>
                <w:rFonts w:hint="eastAsia" w:ascii="黑体" w:hAnsi="黑体" w:eastAsia="黑体" w:cs="黑体"/>
                <w:color w:val="auto"/>
                <w:spacing w:val="-2"/>
                <w:szCs w:val="22"/>
                <w:highlight w:val="none"/>
              </w:rPr>
              <w:t xml:space="preserve">        表15</w:t>
            </w:r>
          </w:p>
        </w:tc>
      </w:tr>
      <w:tr>
        <w:tblPrEx>
          <w:tblCellMar>
            <w:top w:w="0" w:type="dxa"/>
            <w:left w:w="0" w:type="dxa"/>
            <w:bottom w:w="0" w:type="dxa"/>
            <w:right w:w="0" w:type="dxa"/>
          </w:tblCellMar>
        </w:tblPrEx>
        <w:trPr>
          <w:gridAfter w:val="3"/>
          <w:wAfter w:w="253" w:type="dxa"/>
          <w:trHeight w:val="674" w:hRule="exact"/>
        </w:trPr>
        <w:tc>
          <w:tcPr>
            <w:tcW w:w="831" w:type="dxa"/>
            <w:gridSpan w:val="2"/>
            <w:tcBorders>
              <w:top w:val="single" w:color="000000" w:sz="10"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序号</w:t>
            </w:r>
          </w:p>
        </w:tc>
        <w:tc>
          <w:tcPr>
            <w:tcW w:w="1863"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项目名称</w:t>
            </w:r>
          </w:p>
        </w:tc>
        <w:tc>
          <w:tcPr>
            <w:tcW w:w="1134"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总价</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金额</w:t>
            </w:r>
          </w:p>
        </w:tc>
        <w:tc>
          <w:tcPr>
            <w:tcW w:w="992"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首次</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支付</w:t>
            </w:r>
          </w:p>
        </w:tc>
        <w:tc>
          <w:tcPr>
            <w:tcW w:w="992"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二次</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支付</w:t>
            </w:r>
          </w:p>
        </w:tc>
        <w:tc>
          <w:tcPr>
            <w:tcW w:w="851"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三次</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支付</w:t>
            </w:r>
          </w:p>
        </w:tc>
        <w:tc>
          <w:tcPr>
            <w:tcW w:w="1134"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四次</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支付</w:t>
            </w:r>
          </w:p>
        </w:tc>
        <w:tc>
          <w:tcPr>
            <w:tcW w:w="992"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五次</w:t>
            </w:r>
          </w:p>
          <w:p>
            <w:pPr>
              <w:widowControl/>
              <w:spacing w:line="232" w:lineRule="auto"/>
              <w:jc w:val="center"/>
              <w:rPr>
                <w:rFonts w:ascii="黑体" w:hAnsi="黑体" w:eastAsia="黑体" w:cs="黑体"/>
                <w:color w:val="auto"/>
                <w:spacing w:val="-2"/>
                <w:szCs w:val="22"/>
                <w:highlight w:val="none"/>
              </w:rPr>
            </w:pPr>
            <w:r>
              <w:rPr>
                <w:rFonts w:ascii="黑体" w:hAnsi="黑体" w:eastAsia="黑体" w:cs="黑体"/>
                <w:color w:val="auto"/>
                <w:spacing w:val="-2"/>
                <w:szCs w:val="22"/>
                <w:highlight w:val="none"/>
              </w:rPr>
              <w:t>支付</w:t>
            </w:r>
          </w:p>
        </w:tc>
        <w:tc>
          <w:tcPr>
            <w:tcW w:w="850" w:type="dxa"/>
            <w:gridSpan w:val="2"/>
            <w:tcBorders>
              <w:top w:val="single" w:color="000000" w:sz="10" w:space="0"/>
              <w:left w:val="single" w:color="000000" w:sz="4" w:space="0"/>
              <w:bottom w:val="single" w:color="000000" w:sz="4" w:space="0"/>
              <w:right w:val="single" w:color="000000" w:sz="10" w:space="0"/>
            </w:tcBorders>
            <w:shd w:val="clear" w:color="auto" w:fill="FFFFFF"/>
            <w:vAlign w:val="center"/>
          </w:tcPr>
          <w:p>
            <w:pPr>
              <w:widowControl/>
              <w:spacing w:line="232" w:lineRule="auto"/>
              <w:jc w:val="center"/>
              <w:rPr>
                <w:rFonts w:ascii="黑体" w:hAnsi="黑体" w:eastAsia="黑体" w:cs="黑体"/>
                <w:color w:val="auto"/>
                <w:spacing w:val="-2"/>
                <w:szCs w:val="22"/>
                <w:highlight w:val="none"/>
              </w:rPr>
            </w:pPr>
          </w:p>
        </w:tc>
      </w:tr>
      <w:tr>
        <w:tblPrEx>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1</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安全文明施工费</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3"/>
          <w:wAfter w:w="253" w:type="dxa"/>
          <w:trHeight w:val="329"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2</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临时设施</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3</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社会保险费</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4</w:t>
            </w: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left"/>
              <w:rPr>
                <w:rFonts w:ascii="宋体" w:hAnsi="宋体" w:cs="宋体"/>
                <w:color w:val="auto"/>
                <w:spacing w:val="-2"/>
                <w:szCs w:val="22"/>
                <w:highlight w:val="none"/>
              </w:rPr>
            </w:pPr>
            <w:r>
              <w:rPr>
                <w:rFonts w:ascii="宋体" w:hAnsi="宋体" w:cs="宋体"/>
                <w:color w:val="auto"/>
                <w:spacing w:val="-2"/>
                <w:szCs w:val="22"/>
                <w:highlight w:val="none"/>
              </w:rPr>
              <w:t>住房公积金</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3"/>
          <w:wAfter w:w="253" w:type="dxa"/>
          <w:trHeight w:val="329"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3"/>
          <w:wAfter w:w="253" w:type="dxa"/>
          <w:trHeight w:val="330"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3"/>
          <w:wAfter w:w="253" w:type="dxa"/>
          <w:trHeight w:val="329"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3"/>
          <w:wAfter w:w="253" w:type="dxa"/>
          <w:trHeight w:val="330"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3"/>
          <w:wAfter w:w="253" w:type="dxa"/>
          <w:trHeight w:val="329"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3"/>
          <w:wAfter w:w="253" w:type="dxa"/>
          <w:trHeight w:val="344"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3"/>
          <w:wAfter w:w="253" w:type="dxa"/>
          <w:trHeight w:val="329" w:hRule="exact"/>
        </w:trPr>
        <w:tc>
          <w:tcPr>
            <w:tcW w:w="831" w:type="dxa"/>
            <w:gridSpan w:val="2"/>
            <w:tcBorders>
              <w:top w:val="single" w:color="000000" w:sz="4" w:space="0"/>
              <w:left w:val="single" w:color="000000" w:sz="10"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863"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1" w:type="dxa"/>
            <w:gridSpan w:val="4"/>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widowControl/>
              <w:spacing w:line="232" w:lineRule="auto"/>
              <w:jc w:val="left"/>
              <w:rPr>
                <w:rFonts w:ascii="Arial" w:hAnsi="Arial" w:eastAsia="Arial" w:cs="Arial"/>
                <w:color w:val="auto"/>
                <w:spacing w:val="-2"/>
                <w:sz w:val="16"/>
                <w:szCs w:val="22"/>
                <w:highlight w:val="none"/>
              </w:rPr>
            </w:pPr>
          </w:p>
        </w:tc>
      </w:tr>
      <w:tr>
        <w:tblPrEx>
          <w:tblCellMar>
            <w:top w:w="0" w:type="dxa"/>
            <w:left w:w="0" w:type="dxa"/>
            <w:bottom w:w="0" w:type="dxa"/>
            <w:right w:w="0" w:type="dxa"/>
          </w:tblCellMar>
        </w:tblPrEx>
        <w:trPr>
          <w:gridAfter w:val="3"/>
          <w:wAfter w:w="253" w:type="dxa"/>
          <w:trHeight w:val="15" w:hRule="exact"/>
        </w:trPr>
        <w:tc>
          <w:tcPr>
            <w:tcW w:w="9639" w:type="dxa"/>
            <w:gridSpan w:val="22"/>
            <w:tcBorders>
              <w:top w:val="single" w:color="000000" w:sz="4" w:space="0"/>
            </w:tcBorders>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gridAfter w:val="3"/>
          <w:wAfter w:w="253" w:type="dxa"/>
          <w:trHeight w:val="444" w:hRule="exact"/>
        </w:trPr>
        <w:tc>
          <w:tcPr>
            <w:tcW w:w="2694" w:type="dxa"/>
            <w:gridSpan w:val="4"/>
            <w:tcBorders>
              <w:left w:val="single" w:color="000000" w:sz="10" w:space="0"/>
              <w:bottom w:val="single" w:color="000000" w:sz="10" w:space="0"/>
              <w:right w:val="single" w:color="000000" w:sz="4" w:space="0"/>
            </w:tcBorders>
            <w:shd w:val="clear" w:color="auto" w:fill="FFFFFF"/>
            <w:vAlign w:val="center"/>
          </w:tcPr>
          <w:p>
            <w:pPr>
              <w:widowControl/>
              <w:spacing w:line="232" w:lineRule="auto"/>
              <w:jc w:val="center"/>
              <w:rPr>
                <w:rFonts w:ascii="宋体" w:hAnsi="宋体" w:cs="宋体"/>
                <w:color w:val="auto"/>
                <w:spacing w:val="-2"/>
                <w:szCs w:val="22"/>
                <w:highlight w:val="none"/>
              </w:rPr>
            </w:pPr>
            <w:r>
              <w:rPr>
                <w:rFonts w:ascii="宋体" w:hAnsi="宋体" w:cs="宋体"/>
                <w:color w:val="auto"/>
                <w:spacing w:val="-2"/>
                <w:szCs w:val="22"/>
                <w:highlight w:val="none"/>
              </w:rPr>
              <w:t>合    计</w:t>
            </w:r>
          </w:p>
        </w:tc>
        <w:tc>
          <w:tcPr>
            <w:tcW w:w="1134" w:type="dxa"/>
            <w:gridSpan w:val="3"/>
            <w:tcBorders>
              <w:left w:val="single" w:color="000000" w:sz="4" w:space="0"/>
              <w:bottom w:val="single" w:color="000000" w:sz="10" w:space="0"/>
              <w:right w:val="single" w:color="000000" w:sz="4" w:space="0"/>
            </w:tcBorders>
            <w:shd w:val="clear" w:color="auto" w:fill="FFFFFF"/>
            <w:vAlign w:val="center"/>
          </w:tcPr>
          <w:p>
            <w:pPr>
              <w:widowControl/>
              <w:spacing w:line="232" w:lineRule="auto"/>
              <w:jc w:val="right"/>
              <w:rPr>
                <w:rFonts w:ascii="宋体" w:hAnsi="宋体" w:cs="宋体"/>
                <w:color w:val="auto"/>
                <w:spacing w:val="-2"/>
                <w:szCs w:val="22"/>
                <w:highlight w:val="none"/>
              </w:rPr>
            </w:pPr>
          </w:p>
        </w:tc>
        <w:tc>
          <w:tcPr>
            <w:tcW w:w="992" w:type="dxa"/>
            <w:gridSpan w:val="2"/>
            <w:tcBorders>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992" w:type="dxa"/>
            <w:gridSpan w:val="2"/>
            <w:tcBorders>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851" w:type="dxa"/>
            <w:gridSpan w:val="4"/>
            <w:tcBorders>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1134" w:type="dxa"/>
            <w:gridSpan w:val="3"/>
            <w:tcBorders>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992" w:type="dxa"/>
            <w:gridSpan w:val="2"/>
            <w:tcBorders>
              <w:left w:val="single" w:color="000000" w:sz="4" w:space="0"/>
              <w:bottom w:val="single" w:color="000000" w:sz="10" w:space="0"/>
              <w:right w:val="single" w:color="000000" w:sz="4" w:space="0"/>
            </w:tcBorders>
            <w:shd w:val="clear" w:color="auto" w:fill="FFFFFF"/>
          </w:tcPr>
          <w:p>
            <w:pPr>
              <w:widowControl/>
              <w:spacing w:line="232" w:lineRule="auto"/>
              <w:jc w:val="left"/>
              <w:rPr>
                <w:rFonts w:ascii="宋体" w:hAnsi="宋体" w:cs="宋体"/>
                <w:color w:val="auto"/>
                <w:spacing w:val="-2"/>
                <w:szCs w:val="22"/>
                <w:highlight w:val="none"/>
              </w:rPr>
            </w:pPr>
          </w:p>
        </w:tc>
        <w:tc>
          <w:tcPr>
            <w:tcW w:w="850" w:type="dxa"/>
            <w:gridSpan w:val="2"/>
            <w:tcBorders>
              <w:left w:val="single" w:color="000000" w:sz="4" w:space="0"/>
              <w:bottom w:val="single" w:color="000000" w:sz="10" w:space="0"/>
              <w:right w:val="single" w:color="000000" w:sz="10" w:space="0"/>
            </w:tcBorders>
            <w:shd w:val="clear" w:color="auto" w:fill="FFFFFF"/>
          </w:tcPr>
          <w:p>
            <w:pPr>
              <w:widowControl/>
              <w:spacing w:line="232" w:lineRule="auto"/>
              <w:jc w:val="left"/>
              <w:rPr>
                <w:rFonts w:ascii="宋体" w:hAnsi="宋体" w:cs="宋体"/>
                <w:color w:val="auto"/>
                <w:spacing w:val="-2"/>
                <w:szCs w:val="22"/>
                <w:highlight w:val="none"/>
              </w:rPr>
            </w:pPr>
          </w:p>
        </w:tc>
      </w:tr>
      <w:tr>
        <w:tblPrEx>
          <w:tblCellMar>
            <w:top w:w="0" w:type="dxa"/>
            <w:left w:w="0" w:type="dxa"/>
            <w:bottom w:w="0" w:type="dxa"/>
            <w:right w:w="0" w:type="dxa"/>
          </w:tblCellMar>
        </w:tblPrEx>
        <w:trPr>
          <w:gridAfter w:val="3"/>
          <w:wAfter w:w="253" w:type="dxa"/>
          <w:trHeight w:val="57" w:hRule="exact"/>
        </w:trPr>
        <w:tc>
          <w:tcPr>
            <w:tcW w:w="9639" w:type="dxa"/>
            <w:gridSpan w:val="22"/>
            <w:tcBorders>
              <w:top w:val="single" w:color="000000" w:sz="10" w:space="0"/>
            </w:tcBorders>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trHeight w:val="344" w:hRule="exact"/>
        </w:trPr>
        <w:tc>
          <w:tcPr>
            <w:tcW w:w="3381" w:type="dxa"/>
            <w:gridSpan w:val="6"/>
            <w:shd w:val="clear" w:color="auto" w:fill="FFFFFF"/>
            <w:vAlign w:val="center"/>
          </w:tcPr>
          <w:p>
            <w:pPr>
              <w:widowControl/>
              <w:spacing w:line="232" w:lineRule="auto"/>
              <w:jc w:val="left"/>
              <w:rPr>
                <w:rFonts w:ascii="宋体" w:hAnsi="宋体" w:cs="宋体"/>
                <w:color w:val="auto"/>
                <w:spacing w:val="-2"/>
                <w:sz w:val="18"/>
                <w:szCs w:val="22"/>
                <w:highlight w:val="none"/>
              </w:rPr>
            </w:pPr>
            <w:r>
              <w:rPr>
                <w:rFonts w:ascii="宋体" w:hAnsi="宋体" w:cs="宋体"/>
                <w:color w:val="auto"/>
                <w:spacing w:val="-2"/>
                <w:sz w:val="18"/>
                <w:szCs w:val="22"/>
                <w:highlight w:val="none"/>
              </w:rPr>
              <w:t>编制人（造价人员）：</w:t>
            </w:r>
          </w:p>
        </w:tc>
        <w:tc>
          <w:tcPr>
            <w:tcW w:w="3110" w:type="dxa"/>
            <w:gridSpan w:val="8"/>
            <w:shd w:val="clear" w:color="auto" w:fill="auto"/>
          </w:tcPr>
          <w:p>
            <w:pPr>
              <w:widowControl/>
              <w:jc w:val="left"/>
              <w:rPr>
                <w:rFonts w:ascii="Calibri" w:hAnsi="Calibri"/>
                <w:color w:val="auto"/>
                <w:sz w:val="2"/>
                <w:szCs w:val="22"/>
                <w:highlight w:val="none"/>
              </w:rPr>
            </w:pPr>
          </w:p>
        </w:tc>
        <w:tc>
          <w:tcPr>
            <w:tcW w:w="3381" w:type="dxa"/>
            <w:gridSpan w:val="10"/>
            <w:shd w:val="clear" w:color="auto" w:fill="FFFFFF"/>
            <w:vAlign w:val="center"/>
          </w:tcPr>
          <w:p>
            <w:pPr>
              <w:widowControl/>
              <w:spacing w:line="232" w:lineRule="auto"/>
              <w:jc w:val="left"/>
              <w:rPr>
                <w:rFonts w:ascii="宋体" w:hAnsi="宋体" w:cs="宋体"/>
                <w:color w:val="auto"/>
                <w:spacing w:val="-2"/>
                <w:sz w:val="18"/>
                <w:szCs w:val="22"/>
                <w:highlight w:val="none"/>
              </w:rPr>
            </w:pPr>
            <w:r>
              <w:rPr>
                <w:rFonts w:ascii="宋体" w:hAnsi="宋体" w:cs="宋体"/>
                <w:color w:val="auto"/>
                <w:spacing w:val="-2"/>
                <w:sz w:val="18"/>
                <w:szCs w:val="22"/>
                <w:highlight w:val="none"/>
              </w:rPr>
              <w:t>复核人（造价工程师）：</w:t>
            </w:r>
          </w:p>
        </w:tc>
        <w:tc>
          <w:tcPr>
            <w:tcW w:w="20" w:type="dxa"/>
          </w:tcPr>
          <w:p>
            <w:pPr>
              <w:widowControl/>
              <w:jc w:val="left"/>
              <w:rPr>
                <w:rFonts w:ascii="Calibri" w:hAnsi="Calibri"/>
                <w:color w:val="auto"/>
                <w:sz w:val="2"/>
                <w:szCs w:val="22"/>
                <w:highlight w:val="none"/>
              </w:rPr>
            </w:pPr>
          </w:p>
        </w:tc>
      </w:tr>
      <w:tr>
        <w:tblPrEx>
          <w:tblCellMar>
            <w:top w:w="0" w:type="dxa"/>
            <w:left w:w="0" w:type="dxa"/>
            <w:bottom w:w="0" w:type="dxa"/>
            <w:right w:w="0" w:type="dxa"/>
          </w:tblCellMar>
        </w:tblPrEx>
        <w:trPr>
          <w:gridAfter w:val="2"/>
          <w:wAfter w:w="111" w:type="dxa"/>
          <w:trHeight w:val="673" w:hRule="exact"/>
        </w:trPr>
        <w:tc>
          <w:tcPr>
            <w:tcW w:w="9781" w:type="dxa"/>
            <w:gridSpan w:val="23"/>
            <w:shd w:val="clear" w:color="auto" w:fill="FFFFFF"/>
            <w:vAlign w:val="center"/>
          </w:tcPr>
          <w:p>
            <w:pPr>
              <w:spacing w:line="232" w:lineRule="auto"/>
              <w:jc w:val="center"/>
              <w:rPr>
                <w:rFonts w:ascii="宋体" w:hAnsi="宋体" w:cs="宋体"/>
                <w:b/>
                <w:color w:val="auto"/>
                <w:spacing w:val="-2"/>
                <w:sz w:val="32"/>
                <w:highlight w:val="none"/>
              </w:rPr>
            </w:pPr>
            <w:r>
              <w:rPr>
                <w:rFonts w:ascii="宋体" w:hAnsi="宋体" w:cs="宋体"/>
                <w:b/>
                <w:color w:val="auto"/>
                <w:spacing w:val="-2"/>
                <w:sz w:val="32"/>
                <w:highlight w:val="none"/>
              </w:rPr>
              <w:t>发包人提供材料和工程设备一览表</w:t>
            </w:r>
          </w:p>
        </w:tc>
      </w:tr>
      <w:tr>
        <w:tblPrEx>
          <w:tblCellMar>
            <w:top w:w="0" w:type="dxa"/>
            <w:left w:w="0" w:type="dxa"/>
            <w:bottom w:w="0" w:type="dxa"/>
            <w:right w:w="0" w:type="dxa"/>
          </w:tblCellMar>
        </w:tblPrEx>
        <w:trPr>
          <w:gridAfter w:val="2"/>
          <w:wAfter w:w="111" w:type="dxa"/>
          <w:trHeight w:val="344" w:hRule="exact"/>
        </w:trPr>
        <w:tc>
          <w:tcPr>
            <w:tcW w:w="6261" w:type="dxa"/>
            <w:gridSpan w:val="13"/>
            <w:tcBorders>
              <w:bottom w:val="single" w:color="000000" w:sz="10" w:space="0"/>
            </w:tcBorders>
            <w:shd w:val="clear" w:color="auto" w:fill="FFFFFF"/>
            <w:vAlign w:val="center"/>
          </w:tcPr>
          <w:p>
            <w:pPr>
              <w:spacing w:line="232" w:lineRule="auto"/>
              <w:rPr>
                <w:rFonts w:ascii="黑体" w:hAnsi="黑体" w:eastAsia="黑体" w:cs="黑体"/>
                <w:color w:val="auto"/>
                <w:spacing w:val="-2"/>
                <w:highlight w:val="none"/>
              </w:rPr>
            </w:pPr>
            <w:r>
              <w:rPr>
                <w:rFonts w:ascii="黑体" w:hAnsi="黑体" w:eastAsia="黑体" w:cs="黑体"/>
                <w:color w:val="auto"/>
                <w:spacing w:val="-2"/>
                <w:highlight w:val="none"/>
              </w:rPr>
              <w:t xml:space="preserve">工程名称： </w:t>
            </w:r>
          </w:p>
        </w:tc>
        <w:tc>
          <w:tcPr>
            <w:tcW w:w="1046" w:type="dxa"/>
            <w:gridSpan w:val="4"/>
            <w:tcBorders>
              <w:bottom w:val="single" w:color="000000" w:sz="10" w:space="0"/>
            </w:tcBorders>
            <w:shd w:val="clear" w:color="auto" w:fill="FFFFFF"/>
            <w:vAlign w:val="center"/>
          </w:tcPr>
          <w:p>
            <w:pPr>
              <w:spacing w:line="232" w:lineRule="auto"/>
              <w:rPr>
                <w:rFonts w:ascii="黑体" w:hAnsi="黑体" w:eastAsia="黑体" w:cs="黑体"/>
                <w:color w:val="auto"/>
                <w:spacing w:val="-2"/>
                <w:highlight w:val="none"/>
              </w:rPr>
            </w:pPr>
            <w:r>
              <w:rPr>
                <w:rFonts w:ascii="黑体" w:hAnsi="黑体" w:eastAsia="黑体" w:cs="黑体"/>
                <w:color w:val="auto"/>
                <w:spacing w:val="-2"/>
                <w:highlight w:val="none"/>
              </w:rPr>
              <w:t>标段：</w:t>
            </w:r>
          </w:p>
        </w:tc>
        <w:tc>
          <w:tcPr>
            <w:tcW w:w="2474" w:type="dxa"/>
            <w:gridSpan w:val="6"/>
            <w:tcBorders>
              <w:bottom w:val="single" w:color="000000" w:sz="10" w:space="0"/>
            </w:tcBorders>
            <w:shd w:val="clear" w:color="auto" w:fill="FFFFFF"/>
            <w:vAlign w:val="center"/>
          </w:tcPr>
          <w:p>
            <w:pPr>
              <w:spacing w:line="232" w:lineRule="auto"/>
              <w:jc w:val="right"/>
              <w:rPr>
                <w:rFonts w:ascii="黑体" w:hAnsi="黑体" w:eastAsia="黑体" w:cs="黑体"/>
                <w:color w:val="auto"/>
                <w:spacing w:val="-2"/>
                <w:highlight w:val="none"/>
              </w:rPr>
            </w:pPr>
            <w:r>
              <w:rPr>
                <w:rFonts w:hint="eastAsia" w:ascii="黑体" w:hAnsi="黑体" w:eastAsia="黑体" w:cs="黑体"/>
                <w:color w:val="auto"/>
                <w:spacing w:val="-2"/>
                <w:highlight w:val="none"/>
              </w:rPr>
              <w:t>表16</w:t>
            </w:r>
          </w:p>
        </w:tc>
      </w:tr>
      <w:tr>
        <w:tblPrEx>
          <w:tblCellMar>
            <w:top w:w="0" w:type="dxa"/>
            <w:left w:w="0" w:type="dxa"/>
            <w:bottom w:w="0" w:type="dxa"/>
            <w:right w:w="0" w:type="dxa"/>
          </w:tblCellMar>
        </w:tblPrEx>
        <w:trPr>
          <w:gridAfter w:val="2"/>
          <w:wAfter w:w="111" w:type="dxa"/>
          <w:trHeight w:val="674" w:hRule="exact"/>
        </w:trPr>
        <w:tc>
          <w:tcPr>
            <w:tcW w:w="616" w:type="dxa"/>
            <w:tcBorders>
              <w:top w:val="single" w:color="000000" w:sz="10"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序号</w:t>
            </w:r>
          </w:p>
        </w:tc>
        <w:tc>
          <w:tcPr>
            <w:tcW w:w="1060"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材料编码</w:t>
            </w:r>
          </w:p>
        </w:tc>
        <w:tc>
          <w:tcPr>
            <w:tcW w:w="1585"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材料(工程设备)名称、规格、型号</w:t>
            </w:r>
          </w:p>
        </w:tc>
        <w:tc>
          <w:tcPr>
            <w:tcW w:w="850"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单位</w:t>
            </w:r>
          </w:p>
        </w:tc>
        <w:tc>
          <w:tcPr>
            <w:tcW w:w="992"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数量</w:t>
            </w:r>
          </w:p>
        </w:tc>
        <w:tc>
          <w:tcPr>
            <w:tcW w:w="993"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单价</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(元)</w:t>
            </w:r>
          </w:p>
        </w:tc>
        <w:tc>
          <w:tcPr>
            <w:tcW w:w="1134"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合价</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(元)</w:t>
            </w:r>
          </w:p>
        </w:tc>
        <w:tc>
          <w:tcPr>
            <w:tcW w:w="850"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交货</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方式</w:t>
            </w:r>
          </w:p>
        </w:tc>
        <w:tc>
          <w:tcPr>
            <w:tcW w:w="851"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送达</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地点</w:t>
            </w:r>
          </w:p>
        </w:tc>
        <w:tc>
          <w:tcPr>
            <w:tcW w:w="850" w:type="dxa"/>
            <w:gridSpan w:val="2"/>
            <w:tcBorders>
              <w:top w:val="single" w:color="000000" w:sz="10"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备注</w:t>
            </w:r>
          </w:p>
        </w:tc>
      </w:tr>
      <w:tr>
        <w:tblPrEx>
          <w:tblCellMar>
            <w:top w:w="0" w:type="dxa"/>
            <w:left w:w="0" w:type="dxa"/>
            <w:bottom w:w="0" w:type="dxa"/>
            <w:right w:w="0" w:type="dxa"/>
          </w:tblCellMar>
        </w:tblPrEx>
        <w:trPr>
          <w:gridAfter w:val="2"/>
          <w:wAfter w:w="111" w:type="dxa"/>
          <w:trHeight w:val="344"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2"/>
          <w:wAfter w:w="111" w:type="dxa"/>
          <w:trHeight w:val="329"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2"/>
          <w:wAfter w:w="111" w:type="dxa"/>
          <w:trHeight w:val="344"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2"/>
          <w:wAfter w:w="111" w:type="dxa"/>
          <w:trHeight w:val="344"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2"/>
          <w:wAfter w:w="111" w:type="dxa"/>
          <w:trHeight w:val="344"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2"/>
          <w:wAfter w:w="111" w:type="dxa"/>
          <w:trHeight w:val="329" w:hRule="exact"/>
        </w:trPr>
        <w:tc>
          <w:tcPr>
            <w:tcW w:w="616"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6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gridAfter w:val="2"/>
          <w:wAfter w:w="111" w:type="dxa"/>
          <w:trHeight w:val="459" w:hRule="exact"/>
        </w:trPr>
        <w:tc>
          <w:tcPr>
            <w:tcW w:w="4111" w:type="dxa"/>
            <w:gridSpan w:val="8"/>
            <w:tcBorders>
              <w:top w:val="single" w:color="000000" w:sz="4" w:space="0"/>
              <w:left w:val="single" w:color="000000" w:sz="10" w:space="0"/>
              <w:bottom w:val="single" w:color="000000" w:sz="10"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r>
              <w:rPr>
                <w:rFonts w:ascii="宋体" w:hAnsi="宋体" w:cs="宋体"/>
                <w:color w:val="auto"/>
                <w:spacing w:val="-2"/>
                <w:highlight w:val="none"/>
              </w:rPr>
              <w:t>合 计</w:t>
            </w:r>
          </w:p>
        </w:tc>
        <w:tc>
          <w:tcPr>
            <w:tcW w:w="992" w:type="dxa"/>
            <w:gridSpan w:val="2"/>
            <w:tcBorders>
              <w:top w:val="single" w:color="000000" w:sz="4" w:space="0"/>
              <w:left w:val="single" w:color="000000" w:sz="4" w:space="0"/>
              <w:bottom w:val="single" w:color="000000" w:sz="10" w:space="0"/>
              <w:right w:val="single" w:color="000000" w:sz="4" w:space="0"/>
            </w:tcBorders>
            <w:shd w:val="clear" w:color="auto" w:fill="FFFFFF"/>
          </w:tcPr>
          <w:p>
            <w:pPr>
              <w:spacing w:line="232" w:lineRule="auto"/>
              <w:rPr>
                <w:rFonts w:ascii="宋体" w:hAnsi="宋体" w:cs="宋体"/>
                <w:color w:val="auto"/>
                <w:spacing w:val="-2"/>
                <w:highlight w:val="none"/>
              </w:rPr>
            </w:pPr>
          </w:p>
        </w:tc>
        <w:tc>
          <w:tcPr>
            <w:tcW w:w="993" w:type="dxa"/>
            <w:gridSpan w:val="2"/>
            <w:tcBorders>
              <w:top w:val="single" w:color="000000" w:sz="4" w:space="0"/>
              <w:left w:val="single" w:color="000000" w:sz="4" w:space="0"/>
              <w:bottom w:val="single" w:color="000000" w:sz="10" w:space="0"/>
              <w:right w:val="single" w:color="000000" w:sz="4" w:space="0"/>
            </w:tcBorders>
            <w:shd w:val="clear" w:color="auto" w:fill="FFFFFF"/>
          </w:tcPr>
          <w:p>
            <w:pPr>
              <w:spacing w:line="232" w:lineRule="auto"/>
              <w:rPr>
                <w:rFonts w:ascii="宋体" w:hAnsi="宋体" w:cs="宋体"/>
                <w:color w:val="auto"/>
                <w:spacing w:val="-2"/>
                <w:highlight w:val="none"/>
              </w:rPr>
            </w:pPr>
          </w:p>
        </w:tc>
        <w:tc>
          <w:tcPr>
            <w:tcW w:w="1134"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850" w:type="dxa"/>
            <w:gridSpan w:val="3"/>
            <w:tcBorders>
              <w:top w:val="single" w:color="000000" w:sz="4" w:space="0"/>
              <w:left w:val="single" w:color="000000" w:sz="4" w:space="0"/>
              <w:bottom w:val="single" w:color="000000" w:sz="10" w:space="0"/>
              <w:right w:val="single" w:color="000000" w:sz="4" w:space="0"/>
            </w:tcBorders>
            <w:shd w:val="clear" w:color="auto" w:fill="FFFFFF"/>
          </w:tcPr>
          <w:p>
            <w:pPr>
              <w:spacing w:line="232" w:lineRule="auto"/>
              <w:rPr>
                <w:rFonts w:ascii="宋体" w:hAnsi="宋体" w:cs="宋体"/>
                <w:color w:val="auto"/>
                <w:spacing w:val="-2"/>
                <w:highlight w:val="none"/>
              </w:rPr>
            </w:pPr>
          </w:p>
        </w:tc>
        <w:tc>
          <w:tcPr>
            <w:tcW w:w="851" w:type="dxa"/>
            <w:gridSpan w:val="2"/>
            <w:tcBorders>
              <w:top w:val="single" w:color="000000" w:sz="4" w:space="0"/>
              <w:left w:val="single" w:color="000000" w:sz="4" w:space="0"/>
              <w:bottom w:val="single" w:color="000000" w:sz="10" w:space="0"/>
              <w:right w:val="single" w:color="000000" w:sz="4" w:space="0"/>
            </w:tcBorders>
            <w:shd w:val="clear" w:color="auto" w:fill="FFFFFF"/>
          </w:tcPr>
          <w:p>
            <w:pPr>
              <w:spacing w:line="232" w:lineRule="auto"/>
              <w:rPr>
                <w:rFonts w:ascii="宋体" w:hAnsi="宋体" w:cs="宋体"/>
                <w:color w:val="auto"/>
                <w:spacing w:val="-2"/>
                <w:highlight w:val="none"/>
              </w:rPr>
            </w:pPr>
          </w:p>
        </w:tc>
        <w:tc>
          <w:tcPr>
            <w:tcW w:w="850" w:type="dxa"/>
            <w:gridSpan w:val="2"/>
            <w:tcBorders>
              <w:top w:val="single" w:color="000000" w:sz="4" w:space="0"/>
              <w:left w:val="single" w:color="000000" w:sz="4" w:space="0"/>
              <w:bottom w:val="single" w:color="000000" w:sz="10" w:space="0"/>
              <w:right w:val="single" w:color="000000" w:sz="10" w:space="0"/>
            </w:tcBorders>
            <w:shd w:val="clear" w:color="auto" w:fill="FFFFFF"/>
          </w:tcPr>
          <w:p>
            <w:pPr>
              <w:spacing w:line="232" w:lineRule="auto"/>
              <w:rPr>
                <w:rFonts w:ascii="宋体" w:hAnsi="宋体" w:cs="宋体"/>
                <w:color w:val="auto"/>
                <w:spacing w:val="-2"/>
                <w:highlight w:val="none"/>
              </w:rPr>
            </w:pPr>
          </w:p>
        </w:tc>
      </w:tr>
    </w:tbl>
    <w:p>
      <w:pPr>
        <w:rPr>
          <w:vanish/>
          <w:color w:val="auto"/>
          <w:highlight w:val="none"/>
        </w:rPr>
      </w:pPr>
    </w:p>
    <w:tbl>
      <w:tblPr>
        <w:tblStyle w:val="17"/>
        <w:tblpPr w:leftFromText="180" w:rightFromText="180" w:vertAnchor="text" w:horzAnchor="page" w:tblpX="1110" w:tblpY="18"/>
        <w:tblOverlap w:val="never"/>
        <w:tblW w:w="0" w:type="auto"/>
        <w:tblInd w:w="0" w:type="dxa"/>
        <w:tblLayout w:type="fixed"/>
        <w:tblCellMar>
          <w:top w:w="0" w:type="dxa"/>
          <w:left w:w="0" w:type="dxa"/>
          <w:bottom w:w="0" w:type="dxa"/>
          <w:right w:w="0" w:type="dxa"/>
        </w:tblCellMar>
      </w:tblPr>
      <w:tblGrid>
        <w:gridCol w:w="544"/>
        <w:gridCol w:w="359"/>
        <w:gridCol w:w="716"/>
        <w:gridCol w:w="2164"/>
        <w:gridCol w:w="186"/>
        <w:gridCol w:w="530"/>
        <w:gridCol w:w="746"/>
        <w:gridCol w:w="959"/>
        <w:gridCol w:w="33"/>
        <w:gridCol w:w="24"/>
        <w:gridCol w:w="543"/>
        <w:gridCol w:w="426"/>
        <w:gridCol w:w="77"/>
        <w:gridCol w:w="773"/>
        <w:gridCol w:w="567"/>
        <w:gridCol w:w="425"/>
        <w:gridCol w:w="567"/>
        <w:gridCol w:w="142"/>
      </w:tblGrid>
      <w:tr>
        <w:tblPrEx>
          <w:tblCellMar>
            <w:top w:w="0" w:type="dxa"/>
            <w:left w:w="0" w:type="dxa"/>
            <w:bottom w:w="0" w:type="dxa"/>
            <w:right w:w="0" w:type="dxa"/>
          </w:tblCellMar>
        </w:tblPrEx>
        <w:trPr>
          <w:gridAfter w:val="1"/>
          <w:wAfter w:w="142" w:type="dxa"/>
          <w:trHeight w:val="1276" w:hRule="exact"/>
        </w:trPr>
        <w:tc>
          <w:tcPr>
            <w:tcW w:w="9639" w:type="dxa"/>
            <w:gridSpan w:val="17"/>
            <w:shd w:val="clear" w:color="auto" w:fill="FFFFFF"/>
            <w:vAlign w:val="center"/>
          </w:tcPr>
          <w:p>
            <w:pPr>
              <w:spacing w:line="232" w:lineRule="auto"/>
              <w:jc w:val="center"/>
              <w:rPr>
                <w:rFonts w:ascii="宋体" w:hAnsi="宋体" w:cs="宋体"/>
                <w:b/>
                <w:color w:val="auto"/>
                <w:spacing w:val="-2"/>
                <w:sz w:val="32"/>
                <w:highlight w:val="none"/>
              </w:rPr>
            </w:pPr>
            <w:r>
              <w:rPr>
                <w:rFonts w:ascii="宋体" w:hAnsi="宋体" w:cs="宋体"/>
                <w:b/>
                <w:color w:val="auto"/>
                <w:spacing w:val="-2"/>
                <w:sz w:val="32"/>
                <w:highlight w:val="none"/>
              </w:rPr>
              <w:t>承包人提供主要材料和工程设备一览表</w:t>
            </w:r>
          </w:p>
          <w:p>
            <w:pPr>
              <w:spacing w:line="232" w:lineRule="auto"/>
              <w:jc w:val="center"/>
              <w:rPr>
                <w:rFonts w:ascii="宋体" w:hAnsi="宋体" w:cs="宋体"/>
                <w:b/>
                <w:color w:val="auto"/>
                <w:spacing w:val="-2"/>
                <w:sz w:val="32"/>
                <w:highlight w:val="none"/>
              </w:rPr>
            </w:pPr>
            <w:r>
              <w:rPr>
                <w:rFonts w:ascii="宋体" w:hAnsi="宋体" w:cs="宋体"/>
                <w:b/>
                <w:color w:val="auto"/>
                <w:spacing w:val="-2"/>
                <w:sz w:val="32"/>
                <w:highlight w:val="none"/>
              </w:rPr>
              <w:t>（适用造价信息差额调整法）</w:t>
            </w:r>
          </w:p>
        </w:tc>
      </w:tr>
      <w:tr>
        <w:tblPrEx>
          <w:tblCellMar>
            <w:top w:w="0" w:type="dxa"/>
            <w:left w:w="0" w:type="dxa"/>
            <w:bottom w:w="0" w:type="dxa"/>
            <w:right w:w="0" w:type="dxa"/>
          </w:tblCellMar>
        </w:tblPrEx>
        <w:trPr>
          <w:gridAfter w:val="1"/>
          <w:wAfter w:w="142" w:type="dxa"/>
          <w:trHeight w:val="1077" w:hRule="exact"/>
        </w:trPr>
        <w:tc>
          <w:tcPr>
            <w:tcW w:w="6261" w:type="dxa"/>
            <w:gridSpan w:val="10"/>
            <w:tcBorders>
              <w:bottom w:val="single" w:color="000000" w:sz="10" w:space="0"/>
            </w:tcBorders>
            <w:shd w:val="clear" w:color="auto" w:fill="FFFFFF"/>
            <w:vAlign w:val="center"/>
          </w:tcPr>
          <w:p>
            <w:pPr>
              <w:spacing w:line="232" w:lineRule="auto"/>
              <w:rPr>
                <w:rFonts w:ascii="黑体" w:hAnsi="黑体" w:eastAsia="黑体" w:cs="黑体"/>
                <w:color w:val="auto"/>
                <w:spacing w:val="-2"/>
                <w:highlight w:val="none"/>
              </w:rPr>
            </w:pPr>
            <w:r>
              <w:rPr>
                <w:rFonts w:ascii="黑体" w:hAnsi="黑体" w:eastAsia="黑体" w:cs="黑体"/>
                <w:color w:val="auto"/>
                <w:spacing w:val="-2"/>
                <w:highlight w:val="none"/>
              </w:rPr>
              <w:t xml:space="preserve">工程名称： </w:t>
            </w:r>
          </w:p>
        </w:tc>
        <w:tc>
          <w:tcPr>
            <w:tcW w:w="1046" w:type="dxa"/>
            <w:gridSpan w:val="3"/>
            <w:tcBorders>
              <w:bottom w:val="single" w:color="000000" w:sz="10" w:space="0"/>
            </w:tcBorders>
            <w:shd w:val="clear" w:color="auto" w:fill="FFFFFF"/>
            <w:vAlign w:val="center"/>
          </w:tcPr>
          <w:p>
            <w:pPr>
              <w:spacing w:line="232" w:lineRule="auto"/>
              <w:rPr>
                <w:rFonts w:ascii="黑体" w:hAnsi="黑体" w:eastAsia="黑体" w:cs="黑体"/>
                <w:color w:val="auto"/>
                <w:spacing w:val="-2"/>
                <w:highlight w:val="none"/>
              </w:rPr>
            </w:pPr>
            <w:r>
              <w:rPr>
                <w:rFonts w:ascii="黑体" w:hAnsi="黑体" w:eastAsia="黑体" w:cs="黑体"/>
                <w:color w:val="auto"/>
                <w:spacing w:val="-2"/>
                <w:highlight w:val="none"/>
              </w:rPr>
              <w:t>标段：</w:t>
            </w:r>
          </w:p>
        </w:tc>
        <w:tc>
          <w:tcPr>
            <w:tcW w:w="2332" w:type="dxa"/>
            <w:gridSpan w:val="4"/>
            <w:tcBorders>
              <w:bottom w:val="single" w:color="000000" w:sz="10" w:space="0"/>
            </w:tcBorders>
            <w:shd w:val="clear" w:color="auto" w:fill="FFFFFF"/>
            <w:vAlign w:val="center"/>
          </w:tcPr>
          <w:p>
            <w:pPr>
              <w:spacing w:line="232" w:lineRule="auto"/>
              <w:jc w:val="right"/>
              <w:rPr>
                <w:rFonts w:ascii="黑体" w:hAnsi="黑体" w:eastAsia="黑体" w:cs="黑体"/>
                <w:color w:val="auto"/>
                <w:spacing w:val="-2"/>
                <w:highlight w:val="none"/>
              </w:rPr>
            </w:pPr>
            <w:r>
              <w:rPr>
                <w:rFonts w:hint="eastAsia" w:ascii="黑体" w:hAnsi="黑体" w:eastAsia="黑体" w:cs="黑体"/>
                <w:color w:val="auto"/>
                <w:spacing w:val="-2"/>
                <w:highlight w:val="none"/>
              </w:rPr>
              <w:t>表17</w:t>
            </w:r>
          </w:p>
        </w:tc>
      </w:tr>
      <w:tr>
        <w:tblPrEx>
          <w:tblCellMar>
            <w:top w:w="0" w:type="dxa"/>
            <w:left w:w="0" w:type="dxa"/>
            <w:bottom w:w="0" w:type="dxa"/>
            <w:right w:w="0" w:type="dxa"/>
          </w:tblCellMar>
        </w:tblPrEx>
        <w:trPr>
          <w:trHeight w:val="716" w:hRule="exact"/>
        </w:trPr>
        <w:tc>
          <w:tcPr>
            <w:tcW w:w="544" w:type="dxa"/>
            <w:tcBorders>
              <w:top w:val="single" w:color="000000" w:sz="10"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号</w:t>
            </w:r>
          </w:p>
        </w:tc>
        <w:tc>
          <w:tcPr>
            <w:tcW w:w="1075"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材料编码</w:t>
            </w:r>
          </w:p>
        </w:tc>
        <w:tc>
          <w:tcPr>
            <w:tcW w:w="2164" w:type="dxa"/>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名称、规格、型号</w:t>
            </w:r>
          </w:p>
        </w:tc>
        <w:tc>
          <w:tcPr>
            <w:tcW w:w="716"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单位</w:t>
            </w:r>
          </w:p>
        </w:tc>
        <w:tc>
          <w:tcPr>
            <w:tcW w:w="746" w:type="dxa"/>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数量</w:t>
            </w:r>
          </w:p>
        </w:tc>
        <w:tc>
          <w:tcPr>
            <w:tcW w:w="992"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风险系数</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w:t>
            </w:r>
          </w:p>
        </w:tc>
        <w:tc>
          <w:tcPr>
            <w:tcW w:w="993"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基准单价</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(元)</w:t>
            </w:r>
          </w:p>
        </w:tc>
        <w:tc>
          <w:tcPr>
            <w:tcW w:w="850"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投标单价</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(元)</w:t>
            </w:r>
          </w:p>
        </w:tc>
        <w:tc>
          <w:tcPr>
            <w:tcW w:w="992"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发承包人</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确认单价</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(元)</w:t>
            </w:r>
          </w:p>
        </w:tc>
        <w:tc>
          <w:tcPr>
            <w:tcW w:w="709" w:type="dxa"/>
            <w:gridSpan w:val="2"/>
            <w:tcBorders>
              <w:top w:val="single" w:color="000000" w:sz="10"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备注</w:t>
            </w:r>
          </w:p>
        </w:tc>
      </w:tr>
      <w:tr>
        <w:tblPrEx>
          <w:tblCellMar>
            <w:top w:w="0" w:type="dxa"/>
            <w:left w:w="0" w:type="dxa"/>
            <w:bottom w:w="0" w:type="dxa"/>
            <w:right w:w="0" w:type="dxa"/>
          </w:tblCellMar>
        </w:tblPrEx>
        <w:trPr>
          <w:trHeight w:val="502"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rPr>
                <w:rFonts w:ascii="宋体" w:hAnsi="宋体" w:cs="宋体"/>
                <w:color w:val="auto"/>
                <w:spacing w:val="-2"/>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rPr>
                <w:rFonts w:ascii="宋体" w:hAnsi="宋体" w:cs="宋体"/>
                <w:color w:val="auto"/>
                <w:spacing w:val="-2"/>
                <w:highlight w:val="none"/>
              </w:rPr>
            </w:pP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trHeight w:val="330"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trHeight w:val="329"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trHeight w:val="329"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trHeight w:val="329"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trHeight w:val="329"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trHeight w:val="329"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trHeight w:val="329"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trHeight w:val="330"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trHeight w:val="343" w:hRule="exact"/>
        </w:trPr>
        <w:tc>
          <w:tcPr>
            <w:tcW w:w="544" w:type="dxa"/>
            <w:tcBorders>
              <w:top w:val="single" w:color="000000" w:sz="4" w:space="0"/>
              <w:left w:val="single" w:color="000000" w:sz="10"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4"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10"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1075" w:type="dxa"/>
            <w:gridSpan w:val="2"/>
            <w:tcBorders>
              <w:top w:val="single" w:color="000000" w:sz="4" w:space="0"/>
              <w:left w:val="single" w:color="000000" w:sz="4" w:space="0"/>
              <w:bottom w:val="single" w:color="000000" w:sz="10"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2164" w:type="dxa"/>
            <w:tcBorders>
              <w:top w:val="single" w:color="000000" w:sz="4" w:space="0"/>
              <w:left w:val="single" w:color="000000" w:sz="4" w:space="0"/>
              <w:bottom w:val="single" w:color="000000" w:sz="10"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16" w:type="dxa"/>
            <w:gridSpan w:val="2"/>
            <w:tcBorders>
              <w:top w:val="single" w:color="000000" w:sz="4" w:space="0"/>
              <w:left w:val="single" w:color="000000" w:sz="4" w:space="0"/>
              <w:bottom w:val="single" w:color="000000" w:sz="10"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46" w:type="dxa"/>
            <w:tcBorders>
              <w:top w:val="single" w:color="000000" w:sz="4" w:space="0"/>
              <w:left w:val="single" w:color="000000" w:sz="4" w:space="0"/>
              <w:bottom w:val="single" w:color="000000" w:sz="10"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10"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3" w:type="dxa"/>
            <w:gridSpan w:val="3"/>
            <w:tcBorders>
              <w:top w:val="single" w:color="000000" w:sz="4" w:space="0"/>
              <w:left w:val="single" w:color="000000" w:sz="4" w:space="0"/>
              <w:bottom w:val="single" w:color="000000" w:sz="10"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850" w:type="dxa"/>
            <w:gridSpan w:val="2"/>
            <w:tcBorders>
              <w:top w:val="single" w:color="000000" w:sz="4" w:space="0"/>
              <w:left w:val="single" w:color="000000" w:sz="4" w:space="0"/>
              <w:bottom w:val="single" w:color="000000" w:sz="10"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992" w:type="dxa"/>
            <w:gridSpan w:val="2"/>
            <w:tcBorders>
              <w:top w:val="single" w:color="000000" w:sz="4" w:space="0"/>
              <w:left w:val="single" w:color="000000" w:sz="4" w:space="0"/>
              <w:bottom w:val="single" w:color="000000" w:sz="10" w:space="0"/>
              <w:right w:val="single" w:color="000000" w:sz="4" w:space="0"/>
            </w:tcBorders>
            <w:shd w:val="clear" w:color="auto" w:fill="FFFFFF"/>
          </w:tcPr>
          <w:p>
            <w:pPr>
              <w:spacing w:line="232" w:lineRule="auto"/>
              <w:rPr>
                <w:rFonts w:ascii="Arial" w:hAnsi="Arial" w:eastAsia="Arial" w:cs="Arial"/>
                <w:color w:val="auto"/>
                <w:spacing w:val="-2"/>
                <w:sz w:val="16"/>
                <w:highlight w:val="none"/>
              </w:rPr>
            </w:pPr>
          </w:p>
        </w:tc>
        <w:tc>
          <w:tcPr>
            <w:tcW w:w="709" w:type="dxa"/>
            <w:gridSpan w:val="2"/>
            <w:tcBorders>
              <w:top w:val="single" w:color="000000" w:sz="4" w:space="0"/>
              <w:left w:val="single" w:color="000000" w:sz="4" w:space="0"/>
              <w:bottom w:val="single" w:color="000000" w:sz="10" w:space="0"/>
              <w:right w:val="single" w:color="000000" w:sz="10" w:space="0"/>
            </w:tcBorders>
            <w:shd w:val="clear" w:color="auto" w:fill="FFFFFF"/>
          </w:tcPr>
          <w:p>
            <w:pPr>
              <w:spacing w:line="232" w:lineRule="auto"/>
              <w:rPr>
                <w:rFonts w:ascii="Arial" w:hAnsi="Arial" w:eastAsia="Arial" w:cs="Arial"/>
                <w:color w:val="auto"/>
                <w:spacing w:val="-2"/>
                <w:sz w:val="16"/>
                <w:highlight w:val="none"/>
              </w:rPr>
            </w:pPr>
          </w:p>
        </w:tc>
      </w:tr>
      <w:tr>
        <w:tblPrEx>
          <w:tblCellMar>
            <w:top w:w="0" w:type="dxa"/>
            <w:left w:w="0" w:type="dxa"/>
            <w:bottom w:w="0" w:type="dxa"/>
            <w:right w:w="0" w:type="dxa"/>
          </w:tblCellMar>
        </w:tblPrEx>
        <w:trPr>
          <w:trHeight w:val="1249" w:hRule="exact"/>
        </w:trPr>
        <w:tc>
          <w:tcPr>
            <w:tcW w:w="9781" w:type="dxa"/>
            <w:gridSpan w:val="18"/>
            <w:shd w:val="clear" w:color="auto" w:fill="FFFFFF"/>
            <w:vAlign w:val="center"/>
          </w:tcPr>
          <w:p>
            <w:pPr>
              <w:spacing w:line="232" w:lineRule="auto"/>
              <w:jc w:val="center"/>
              <w:rPr>
                <w:rFonts w:ascii="宋体" w:hAnsi="宋体" w:cs="宋体"/>
                <w:b/>
                <w:color w:val="auto"/>
                <w:spacing w:val="-2"/>
                <w:sz w:val="32"/>
                <w:highlight w:val="none"/>
              </w:rPr>
            </w:pPr>
            <w:r>
              <w:rPr>
                <w:rFonts w:ascii="宋体" w:hAnsi="宋体" w:cs="宋体"/>
                <w:b/>
                <w:color w:val="auto"/>
                <w:spacing w:val="-2"/>
                <w:sz w:val="32"/>
                <w:highlight w:val="none"/>
              </w:rPr>
              <w:t>承包人提供主要材料和工程设备一览表</w:t>
            </w:r>
          </w:p>
          <w:p>
            <w:pPr>
              <w:spacing w:line="232" w:lineRule="auto"/>
              <w:jc w:val="center"/>
              <w:rPr>
                <w:rFonts w:ascii="宋体" w:hAnsi="宋体" w:cs="宋体"/>
                <w:b/>
                <w:color w:val="auto"/>
                <w:spacing w:val="-2"/>
                <w:sz w:val="32"/>
                <w:highlight w:val="none"/>
              </w:rPr>
            </w:pPr>
            <w:r>
              <w:rPr>
                <w:rFonts w:ascii="宋体" w:hAnsi="宋体" w:cs="宋体"/>
                <w:b/>
                <w:color w:val="auto"/>
                <w:spacing w:val="-2"/>
                <w:sz w:val="32"/>
                <w:highlight w:val="none"/>
              </w:rPr>
              <w:t>（适用于价格指数差额调整法）</w:t>
            </w:r>
          </w:p>
        </w:tc>
      </w:tr>
      <w:tr>
        <w:tblPrEx>
          <w:tblCellMar>
            <w:top w:w="0" w:type="dxa"/>
            <w:left w:w="0" w:type="dxa"/>
            <w:bottom w:w="0" w:type="dxa"/>
            <w:right w:w="0" w:type="dxa"/>
          </w:tblCellMar>
        </w:tblPrEx>
        <w:trPr>
          <w:trHeight w:val="344" w:hRule="exact"/>
        </w:trPr>
        <w:tc>
          <w:tcPr>
            <w:tcW w:w="6204" w:type="dxa"/>
            <w:gridSpan w:val="8"/>
            <w:tcBorders>
              <w:bottom w:val="single" w:color="000000" w:sz="10" w:space="0"/>
            </w:tcBorders>
            <w:shd w:val="clear" w:color="auto" w:fill="FFFFFF"/>
            <w:vAlign w:val="center"/>
          </w:tcPr>
          <w:p>
            <w:pPr>
              <w:spacing w:line="232" w:lineRule="auto"/>
              <w:rPr>
                <w:rFonts w:ascii="黑体" w:hAnsi="黑体" w:eastAsia="黑体" w:cs="黑体"/>
                <w:color w:val="auto"/>
                <w:spacing w:val="-2"/>
                <w:sz w:val="20"/>
                <w:highlight w:val="none"/>
              </w:rPr>
            </w:pPr>
            <w:r>
              <w:rPr>
                <w:rFonts w:ascii="黑体" w:hAnsi="黑体" w:eastAsia="黑体" w:cs="黑体"/>
                <w:color w:val="auto"/>
                <w:spacing w:val="-2"/>
                <w:sz w:val="20"/>
                <w:highlight w:val="none"/>
              </w:rPr>
              <w:t xml:space="preserve">工程名称： </w:t>
            </w:r>
          </w:p>
        </w:tc>
        <w:tc>
          <w:tcPr>
            <w:tcW w:w="600" w:type="dxa"/>
            <w:gridSpan w:val="3"/>
            <w:tcBorders>
              <w:bottom w:val="single" w:color="000000" w:sz="10" w:space="0"/>
            </w:tcBorders>
            <w:shd w:val="clear" w:color="auto" w:fill="FFFFFF"/>
            <w:vAlign w:val="center"/>
          </w:tcPr>
          <w:p>
            <w:pPr>
              <w:spacing w:line="232" w:lineRule="auto"/>
              <w:rPr>
                <w:rFonts w:ascii="黑体" w:hAnsi="黑体" w:eastAsia="黑体" w:cs="黑体"/>
                <w:color w:val="auto"/>
                <w:spacing w:val="-2"/>
                <w:sz w:val="20"/>
                <w:highlight w:val="none"/>
              </w:rPr>
            </w:pPr>
            <w:r>
              <w:rPr>
                <w:rFonts w:ascii="黑体" w:hAnsi="黑体" w:eastAsia="黑体" w:cs="黑体"/>
                <w:color w:val="auto"/>
                <w:spacing w:val="-2"/>
                <w:sz w:val="20"/>
                <w:highlight w:val="none"/>
              </w:rPr>
              <w:t>标段：</w:t>
            </w:r>
          </w:p>
        </w:tc>
        <w:tc>
          <w:tcPr>
            <w:tcW w:w="2977" w:type="dxa"/>
            <w:gridSpan w:val="7"/>
            <w:tcBorders>
              <w:bottom w:val="single" w:color="000000" w:sz="10" w:space="0"/>
            </w:tcBorders>
            <w:shd w:val="clear" w:color="auto" w:fill="FFFFFF"/>
            <w:vAlign w:val="center"/>
          </w:tcPr>
          <w:p>
            <w:pPr>
              <w:spacing w:line="232" w:lineRule="auto"/>
              <w:jc w:val="right"/>
              <w:rPr>
                <w:rFonts w:ascii="黑体" w:hAnsi="黑体" w:eastAsia="黑体" w:cs="黑体"/>
                <w:color w:val="auto"/>
                <w:spacing w:val="-2"/>
                <w:sz w:val="20"/>
                <w:highlight w:val="none"/>
              </w:rPr>
            </w:pPr>
            <w:r>
              <w:rPr>
                <w:rFonts w:hint="eastAsia" w:ascii="黑体" w:hAnsi="黑体" w:eastAsia="黑体" w:cs="黑体"/>
                <w:color w:val="auto"/>
                <w:spacing w:val="-2"/>
                <w:sz w:val="20"/>
                <w:highlight w:val="none"/>
              </w:rPr>
              <w:t>表18</w:t>
            </w:r>
          </w:p>
        </w:tc>
      </w:tr>
      <w:tr>
        <w:tblPrEx>
          <w:tblCellMar>
            <w:top w:w="0" w:type="dxa"/>
            <w:left w:w="0" w:type="dxa"/>
            <w:bottom w:w="0" w:type="dxa"/>
            <w:right w:w="0" w:type="dxa"/>
          </w:tblCellMar>
        </w:tblPrEx>
        <w:trPr>
          <w:trHeight w:val="673" w:hRule="exact"/>
        </w:trPr>
        <w:tc>
          <w:tcPr>
            <w:tcW w:w="903" w:type="dxa"/>
            <w:gridSpan w:val="2"/>
            <w:tcBorders>
              <w:top w:val="single" w:color="000000" w:sz="10"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序号</w:t>
            </w:r>
          </w:p>
        </w:tc>
        <w:tc>
          <w:tcPr>
            <w:tcW w:w="3066"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名称、规格、型号</w:t>
            </w:r>
          </w:p>
        </w:tc>
        <w:tc>
          <w:tcPr>
            <w:tcW w:w="1276" w:type="dxa"/>
            <w:gridSpan w:val="2"/>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变值权重</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B</w:t>
            </w:r>
          </w:p>
        </w:tc>
        <w:tc>
          <w:tcPr>
            <w:tcW w:w="1559"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基本价格</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指数F0</w:t>
            </w:r>
          </w:p>
        </w:tc>
        <w:tc>
          <w:tcPr>
            <w:tcW w:w="1843"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现行价格</w:t>
            </w:r>
          </w:p>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指数Ft</w:t>
            </w:r>
          </w:p>
        </w:tc>
        <w:tc>
          <w:tcPr>
            <w:tcW w:w="1134" w:type="dxa"/>
            <w:gridSpan w:val="3"/>
            <w:tcBorders>
              <w:top w:val="single" w:color="000000" w:sz="10"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auto"/>
                <w:spacing w:val="-2"/>
                <w:highlight w:val="none"/>
              </w:rPr>
            </w:pPr>
            <w:r>
              <w:rPr>
                <w:rFonts w:ascii="黑体" w:hAnsi="黑体" w:eastAsia="黑体" w:cs="黑体"/>
                <w:color w:val="auto"/>
                <w:spacing w:val="-2"/>
                <w:highlight w:val="none"/>
              </w:rPr>
              <w:t>备注</w:t>
            </w:r>
          </w:p>
        </w:tc>
      </w:tr>
      <w:tr>
        <w:tblPrEx>
          <w:tblCellMar>
            <w:top w:w="0" w:type="dxa"/>
            <w:left w:w="0" w:type="dxa"/>
            <w:bottom w:w="0" w:type="dxa"/>
            <w:right w:w="0" w:type="dxa"/>
          </w:tblCellMar>
        </w:tblPrEx>
        <w:trPr>
          <w:trHeight w:val="329"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CellMar>
            <w:top w:w="0" w:type="dxa"/>
            <w:left w:w="0" w:type="dxa"/>
            <w:bottom w:w="0" w:type="dxa"/>
            <w:right w:w="0" w:type="dxa"/>
          </w:tblCellMar>
        </w:tblPrEx>
        <w:trPr>
          <w:trHeight w:val="344"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CellMar>
            <w:top w:w="0" w:type="dxa"/>
            <w:left w:w="0" w:type="dxa"/>
            <w:bottom w:w="0" w:type="dxa"/>
            <w:right w:w="0" w:type="dxa"/>
          </w:tblCellMar>
        </w:tblPrEx>
        <w:trPr>
          <w:trHeight w:val="329"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CellMar>
            <w:top w:w="0" w:type="dxa"/>
            <w:left w:w="0" w:type="dxa"/>
            <w:bottom w:w="0" w:type="dxa"/>
            <w:right w:w="0" w:type="dxa"/>
          </w:tblCellMar>
        </w:tblPrEx>
        <w:trPr>
          <w:trHeight w:val="344"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CellMar>
            <w:top w:w="0" w:type="dxa"/>
            <w:left w:w="0" w:type="dxa"/>
            <w:bottom w:w="0" w:type="dxa"/>
            <w:right w:w="0" w:type="dxa"/>
          </w:tblCellMar>
        </w:tblPrEx>
        <w:trPr>
          <w:trHeight w:val="329"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CellMar>
            <w:top w:w="0" w:type="dxa"/>
            <w:left w:w="0" w:type="dxa"/>
            <w:bottom w:w="0" w:type="dxa"/>
            <w:right w:w="0" w:type="dxa"/>
          </w:tblCellMar>
        </w:tblPrEx>
        <w:trPr>
          <w:trHeight w:val="344"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CellMar>
            <w:top w:w="0" w:type="dxa"/>
            <w:left w:w="0" w:type="dxa"/>
            <w:bottom w:w="0" w:type="dxa"/>
            <w:right w:w="0" w:type="dxa"/>
          </w:tblCellMar>
        </w:tblPrEx>
        <w:trPr>
          <w:trHeight w:val="344"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CellMar>
            <w:top w:w="0" w:type="dxa"/>
            <w:left w:w="0" w:type="dxa"/>
            <w:bottom w:w="0" w:type="dxa"/>
            <w:right w:w="0" w:type="dxa"/>
          </w:tblCellMar>
        </w:tblPrEx>
        <w:trPr>
          <w:trHeight w:val="330"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CellMar>
            <w:top w:w="0" w:type="dxa"/>
            <w:left w:w="0" w:type="dxa"/>
            <w:bottom w:w="0" w:type="dxa"/>
            <w:right w:w="0" w:type="dxa"/>
          </w:tblCellMar>
        </w:tblPrEx>
        <w:trPr>
          <w:trHeight w:val="344" w:hRule="exact"/>
        </w:trPr>
        <w:tc>
          <w:tcPr>
            <w:tcW w:w="903" w:type="dxa"/>
            <w:gridSpan w:val="2"/>
            <w:tcBorders>
              <w:top w:val="single" w:color="000000" w:sz="4"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r>
              <w:rPr>
                <w:rFonts w:ascii="宋体" w:hAnsi="宋体" w:cs="宋体"/>
                <w:color w:val="auto"/>
                <w:spacing w:val="-2"/>
                <w:sz w:val="20"/>
                <w:highlight w:val="none"/>
              </w:rPr>
              <w:t>定值权重A</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right"/>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r>
        <w:tblPrEx>
          <w:tblCellMar>
            <w:top w:w="0" w:type="dxa"/>
            <w:left w:w="0" w:type="dxa"/>
            <w:bottom w:w="0" w:type="dxa"/>
            <w:right w:w="0" w:type="dxa"/>
          </w:tblCellMar>
        </w:tblPrEx>
        <w:trPr>
          <w:trHeight w:val="329" w:hRule="exact"/>
        </w:trPr>
        <w:tc>
          <w:tcPr>
            <w:tcW w:w="3969" w:type="dxa"/>
            <w:gridSpan w:val="5"/>
            <w:tcBorders>
              <w:top w:val="single" w:color="000000" w:sz="4" w:space="0"/>
              <w:left w:val="single" w:color="000000" w:sz="10" w:space="0"/>
              <w:bottom w:val="single" w:color="000000" w:sz="10"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r>
              <w:rPr>
                <w:rFonts w:ascii="宋体" w:hAnsi="宋体" w:cs="宋体"/>
                <w:color w:val="auto"/>
                <w:spacing w:val="-2"/>
                <w:sz w:val="20"/>
                <w:highlight w:val="none"/>
              </w:rPr>
              <w:t>合    计</w:t>
            </w:r>
          </w:p>
        </w:tc>
        <w:tc>
          <w:tcPr>
            <w:tcW w:w="1276" w:type="dxa"/>
            <w:gridSpan w:val="2"/>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right"/>
              <w:rPr>
                <w:rFonts w:ascii="宋体" w:hAnsi="宋体" w:cs="宋体"/>
                <w:color w:val="auto"/>
                <w:spacing w:val="-2"/>
                <w:sz w:val="20"/>
                <w:highlight w:val="none"/>
              </w:rPr>
            </w:pPr>
          </w:p>
        </w:tc>
        <w:tc>
          <w:tcPr>
            <w:tcW w:w="1559"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843" w:type="dxa"/>
            <w:gridSpan w:val="4"/>
            <w:tcBorders>
              <w:top w:val="single" w:color="000000" w:sz="4" w:space="0"/>
              <w:left w:val="single" w:color="000000" w:sz="4" w:space="0"/>
              <w:bottom w:val="single" w:color="000000" w:sz="10" w:space="0"/>
              <w:right w:val="single" w:color="000000" w:sz="4" w:space="0"/>
            </w:tcBorders>
            <w:shd w:val="clear" w:color="auto" w:fill="FFFFFF"/>
            <w:vAlign w:val="center"/>
          </w:tcPr>
          <w:p>
            <w:pPr>
              <w:spacing w:line="232" w:lineRule="auto"/>
              <w:jc w:val="center"/>
              <w:rPr>
                <w:rFonts w:ascii="宋体" w:hAnsi="宋体" w:cs="宋体"/>
                <w:color w:val="auto"/>
                <w:spacing w:val="-2"/>
                <w:sz w:val="20"/>
                <w:highlight w:val="none"/>
              </w:rPr>
            </w:pPr>
          </w:p>
        </w:tc>
        <w:tc>
          <w:tcPr>
            <w:tcW w:w="1134" w:type="dxa"/>
            <w:gridSpan w:val="3"/>
            <w:tcBorders>
              <w:top w:val="single" w:color="000000" w:sz="4" w:space="0"/>
              <w:left w:val="single" w:color="000000" w:sz="4" w:space="0"/>
              <w:bottom w:val="single" w:color="000000" w:sz="10" w:space="0"/>
              <w:right w:val="single" w:color="000000" w:sz="10" w:space="0"/>
            </w:tcBorders>
            <w:shd w:val="clear" w:color="auto" w:fill="FFFFFF"/>
            <w:vAlign w:val="center"/>
          </w:tcPr>
          <w:p>
            <w:pPr>
              <w:spacing w:line="232" w:lineRule="auto"/>
              <w:jc w:val="center"/>
              <w:rPr>
                <w:rFonts w:ascii="宋体" w:hAnsi="宋体" w:cs="宋体"/>
                <w:color w:val="auto"/>
                <w:spacing w:val="-2"/>
                <w:sz w:val="20"/>
                <w:highlight w:val="none"/>
              </w:rPr>
            </w:pPr>
          </w:p>
        </w:tc>
      </w:tr>
    </w:tbl>
    <w:p>
      <w:pPr>
        <w:spacing w:line="580" w:lineRule="exact"/>
        <w:jc w:val="center"/>
        <w:rPr>
          <w:b/>
          <w:color w:val="auto"/>
          <w:sz w:val="24"/>
          <w:highlight w:val="none"/>
        </w:rPr>
      </w:pPr>
      <w:r>
        <w:rPr>
          <w:rFonts w:hint="eastAsia"/>
          <w:b/>
          <w:color w:val="auto"/>
          <w:sz w:val="24"/>
          <w:highlight w:val="none"/>
        </w:rPr>
        <w:t>十九、供应商选定品牌表</w:t>
      </w:r>
    </w:p>
    <w:p>
      <w:pPr>
        <w:spacing w:line="580" w:lineRule="exact"/>
        <w:ind w:right="480"/>
        <w:jc w:val="right"/>
        <w:rPr>
          <w:color w:val="auto"/>
          <w:sz w:val="24"/>
          <w:highlight w:val="none"/>
        </w:rPr>
      </w:pPr>
      <w:r>
        <w:rPr>
          <w:rFonts w:hint="eastAsia"/>
          <w:color w:val="auto"/>
          <w:sz w:val="24"/>
          <w:highlight w:val="none"/>
        </w:rPr>
        <w:t>表19</w:t>
      </w:r>
    </w:p>
    <w:tbl>
      <w:tblPr>
        <w:tblStyle w:val="1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895"/>
        <w:gridCol w:w="2334"/>
        <w:gridCol w:w="1766"/>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99" w:type="dxa"/>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2895" w:type="dxa"/>
            <w:vAlign w:val="center"/>
          </w:tcPr>
          <w:p>
            <w:pPr>
              <w:jc w:val="center"/>
              <w:rPr>
                <w:rFonts w:ascii="宋体" w:hAnsi="宋体"/>
                <w:b/>
                <w:color w:val="auto"/>
                <w:szCs w:val="21"/>
                <w:highlight w:val="none"/>
              </w:rPr>
            </w:pPr>
            <w:r>
              <w:rPr>
                <w:rFonts w:hint="eastAsia" w:ascii="宋体" w:hAnsi="宋体"/>
                <w:b/>
                <w:color w:val="auto"/>
                <w:szCs w:val="21"/>
                <w:highlight w:val="none"/>
              </w:rPr>
              <w:t>材料名称</w:t>
            </w:r>
          </w:p>
        </w:tc>
        <w:tc>
          <w:tcPr>
            <w:tcW w:w="2334" w:type="dxa"/>
            <w:vAlign w:val="center"/>
          </w:tcPr>
          <w:p>
            <w:pPr>
              <w:jc w:val="center"/>
              <w:rPr>
                <w:rFonts w:ascii="宋体" w:hAnsi="宋体"/>
                <w:b/>
                <w:color w:val="auto"/>
                <w:szCs w:val="21"/>
                <w:highlight w:val="none"/>
              </w:rPr>
            </w:pPr>
            <w:r>
              <w:rPr>
                <w:rFonts w:hint="eastAsia" w:ascii="宋体" w:hAnsi="宋体"/>
                <w:b/>
                <w:color w:val="auto"/>
                <w:szCs w:val="21"/>
                <w:highlight w:val="none"/>
              </w:rPr>
              <w:t>规格、型号</w:t>
            </w:r>
          </w:p>
        </w:tc>
        <w:tc>
          <w:tcPr>
            <w:tcW w:w="1766" w:type="dxa"/>
            <w:vAlign w:val="center"/>
          </w:tcPr>
          <w:p>
            <w:pPr>
              <w:jc w:val="center"/>
              <w:rPr>
                <w:rFonts w:ascii="宋体" w:hAnsi="宋体"/>
                <w:b/>
                <w:color w:val="auto"/>
                <w:szCs w:val="21"/>
                <w:highlight w:val="none"/>
              </w:rPr>
            </w:pPr>
            <w:r>
              <w:rPr>
                <w:rFonts w:hint="eastAsia" w:ascii="宋体" w:hAnsi="宋体"/>
                <w:b/>
                <w:color w:val="auto"/>
                <w:szCs w:val="21"/>
                <w:highlight w:val="none"/>
              </w:rPr>
              <w:t>选定品牌</w:t>
            </w:r>
          </w:p>
        </w:tc>
        <w:tc>
          <w:tcPr>
            <w:tcW w:w="1753" w:type="dxa"/>
            <w:vAlign w:val="center"/>
          </w:tcPr>
          <w:p>
            <w:pPr>
              <w:jc w:val="center"/>
              <w:rPr>
                <w:rFonts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9"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p>
        </w:tc>
        <w:tc>
          <w:tcPr>
            <w:tcW w:w="2895" w:type="dxa"/>
            <w:vAlign w:val="center"/>
          </w:tcPr>
          <w:p>
            <w:pPr>
              <w:jc w:val="center"/>
              <w:rPr>
                <w:rFonts w:ascii="宋体" w:hAnsi="宋体"/>
                <w:color w:val="auto"/>
                <w:sz w:val="18"/>
                <w:szCs w:val="18"/>
                <w:highlight w:val="none"/>
              </w:rPr>
            </w:pPr>
          </w:p>
        </w:tc>
        <w:tc>
          <w:tcPr>
            <w:tcW w:w="2334" w:type="dxa"/>
            <w:vAlign w:val="center"/>
          </w:tcPr>
          <w:p>
            <w:pPr>
              <w:jc w:val="center"/>
              <w:rPr>
                <w:rFonts w:ascii="宋体" w:hAnsi="宋体"/>
                <w:color w:val="auto"/>
                <w:sz w:val="18"/>
                <w:szCs w:val="18"/>
                <w:highlight w:val="none"/>
              </w:rPr>
            </w:pPr>
          </w:p>
        </w:tc>
        <w:tc>
          <w:tcPr>
            <w:tcW w:w="1766" w:type="dxa"/>
            <w:vAlign w:val="center"/>
          </w:tcPr>
          <w:p>
            <w:pPr>
              <w:jc w:val="center"/>
              <w:rPr>
                <w:rFonts w:ascii="宋体" w:hAnsi="宋体"/>
                <w:color w:val="auto"/>
                <w:sz w:val="18"/>
                <w:szCs w:val="18"/>
                <w:highlight w:val="none"/>
              </w:rPr>
            </w:pPr>
          </w:p>
        </w:tc>
        <w:tc>
          <w:tcPr>
            <w:tcW w:w="1753" w:type="dxa"/>
            <w:vAlign w:val="center"/>
          </w:tcPr>
          <w:p>
            <w:pPr>
              <w:jc w:val="center"/>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9" w:type="dxa"/>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2895" w:type="dxa"/>
            <w:vAlign w:val="center"/>
          </w:tcPr>
          <w:p>
            <w:pPr>
              <w:jc w:val="center"/>
              <w:rPr>
                <w:rFonts w:ascii="宋体" w:hAnsi="宋体"/>
                <w:color w:val="auto"/>
                <w:sz w:val="18"/>
                <w:szCs w:val="18"/>
                <w:highlight w:val="none"/>
              </w:rPr>
            </w:pPr>
          </w:p>
        </w:tc>
        <w:tc>
          <w:tcPr>
            <w:tcW w:w="2334" w:type="dxa"/>
            <w:vAlign w:val="center"/>
          </w:tcPr>
          <w:p>
            <w:pPr>
              <w:jc w:val="center"/>
              <w:rPr>
                <w:rFonts w:ascii="宋体" w:hAnsi="宋体"/>
                <w:color w:val="auto"/>
                <w:sz w:val="18"/>
                <w:szCs w:val="18"/>
                <w:highlight w:val="none"/>
              </w:rPr>
            </w:pPr>
          </w:p>
        </w:tc>
        <w:tc>
          <w:tcPr>
            <w:tcW w:w="1766" w:type="dxa"/>
            <w:vAlign w:val="center"/>
          </w:tcPr>
          <w:p>
            <w:pPr>
              <w:jc w:val="center"/>
              <w:rPr>
                <w:rFonts w:ascii="宋体" w:hAnsi="宋体"/>
                <w:color w:val="auto"/>
                <w:sz w:val="18"/>
                <w:szCs w:val="18"/>
                <w:highlight w:val="none"/>
              </w:rPr>
            </w:pPr>
          </w:p>
        </w:tc>
        <w:tc>
          <w:tcPr>
            <w:tcW w:w="1753" w:type="dxa"/>
            <w:vAlign w:val="center"/>
          </w:tcPr>
          <w:p>
            <w:pPr>
              <w:jc w:val="center"/>
              <w:rPr>
                <w:rFonts w:ascii="宋体" w:hAnsi="宋体"/>
                <w:color w:val="auto"/>
                <w:sz w:val="18"/>
                <w:szCs w:val="18"/>
                <w:highlight w:val="none"/>
              </w:rPr>
            </w:pPr>
          </w:p>
        </w:tc>
      </w:tr>
    </w:tbl>
    <w:p>
      <w:pPr>
        <w:spacing w:line="400" w:lineRule="exact"/>
        <w:ind w:firstLine="315" w:firstLineChars="150"/>
        <w:outlineLvl w:val="0"/>
        <w:rPr>
          <w:rFonts w:ascii="宋体" w:hAnsi="宋体" w:cs="宋体"/>
          <w:bCs/>
          <w:color w:val="auto"/>
          <w:szCs w:val="21"/>
          <w:highlight w:val="none"/>
        </w:rPr>
      </w:pPr>
    </w:p>
    <w:p>
      <w:pPr>
        <w:spacing w:line="400" w:lineRule="exact"/>
        <w:ind w:firstLine="315" w:firstLineChars="150"/>
        <w:outlineLvl w:val="0"/>
        <w:rPr>
          <w:rFonts w:ascii="宋体" w:hAnsi="宋体" w:cs="宋体"/>
          <w:bCs/>
          <w:color w:val="auto"/>
          <w:szCs w:val="21"/>
          <w:highlight w:val="none"/>
        </w:rPr>
      </w:pPr>
    </w:p>
    <w:p>
      <w:pPr>
        <w:spacing w:line="400" w:lineRule="exact"/>
        <w:ind w:firstLine="315" w:firstLineChars="150"/>
        <w:outlineLvl w:val="0"/>
        <w:rPr>
          <w:rFonts w:ascii="宋体" w:hAnsi="宋体" w:cs="宋体"/>
          <w:bCs/>
          <w:color w:val="auto"/>
          <w:szCs w:val="21"/>
          <w:highlight w:val="none"/>
        </w:rPr>
      </w:pPr>
    </w:p>
    <w:p>
      <w:pPr>
        <w:pStyle w:val="5"/>
        <w:jc w:val="center"/>
        <w:rPr>
          <w:rFonts w:ascii="宋体" w:hAnsi="宋体" w:eastAsia="宋体" w:cs="宋体"/>
          <w:color w:val="auto"/>
          <w:highlight w:val="none"/>
        </w:rPr>
        <w:sectPr>
          <w:pgSz w:w="11906" w:h="16838"/>
          <w:pgMar w:top="1440" w:right="1287" w:bottom="1440" w:left="1440" w:header="851" w:footer="992" w:gutter="0"/>
          <w:cols w:space="720" w:num="1"/>
          <w:docGrid w:type="lines" w:linePitch="312" w:charSpace="0"/>
        </w:sectPr>
      </w:pPr>
    </w:p>
    <w:p>
      <w:pPr>
        <w:pStyle w:val="5"/>
        <w:jc w:val="center"/>
        <w:rPr>
          <w:rFonts w:ascii="宋体" w:hAnsi="宋体" w:eastAsia="宋体" w:cs="宋体"/>
          <w:color w:val="auto"/>
          <w:highlight w:val="none"/>
        </w:rPr>
      </w:pPr>
      <w:r>
        <w:rPr>
          <w:rFonts w:hint="eastAsia" w:ascii="宋体" w:hAnsi="宋体" w:eastAsia="宋体" w:cs="宋体"/>
          <w:color w:val="auto"/>
          <w:highlight w:val="none"/>
        </w:rPr>
        <w:t>（五）中小企业声明函（格式）：</w:t>
      </w:r>
    </w:p>
    <w:p>
      <w:pPr>
        <w:rPr>
          <w:rFonts w:ascii="宋体" w:hAnsi="宋体" w:cs="宋体"/>
          <w:color w:val="auto"/>
          <w:highlight w:val="none"/>
        </w:rPr>
      </w:pPr>
    </w:p>
    <w:p>
      <w:pPr>
        <w:widowControl/>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本公司（联合体）郑重声明，根据《政府采购促进中小企业发展管理办法》（财库﹝2020﹞46 号）的规定，本公司（联合体）参加</w:t>
      </w:r>
      <w:r>
        <w:rPr>
          <w:rFonts w:hint="eastAsia" w:ascii="宋体" w:hAnsi="宋体" w:cs="宋体"/>
          <w:i/>
          <w:color w:val="auto"/>
          <w:kern w:val="0"/>
          <w:sz w:val="28"/>
          <w:szCs w:val="28"/>
          <w:highlight w:val="none"/>
          <w:u w:val="single"/>
        </w:rPr>
        <w:t>（</w:t>
      </w:r>
      <w:r>
        <w:rPr>
          <w:rFonts w:hint="eastAsia" w:ascii="宋体" w:hAnsi="宋体" w:cs="宋体"/>
          <w:color w:val="auto"/>
          <w:kern w:val="0"/>
          <w:sz w:val="28"/>
          <w:szCs w:val="28"/>
          <w:highlight w:val="none"/>
          <w:u w:val="single"/>
        </w:rPr>
        <w:t>单位名称）</w:t>
      </w:r>
      <w:r>
        <w:rPr>
          <w:rFonts w:hint="eastAsia" w:ascii="宋体" w:hAnsi="宋体" w:cs="宋体"/>
          <w:color w:val="auto"/>
          <w:kern w:val="0"/>
          <w:sz w:val="28"/>
          <w:szCs w:val="28"/>
          <w:highlight w:val="none"/>
        </w:rPr>
        <w:t>的</w:t>
      </w:r>
      <w:r>
        <w:rPr>
          <w:rFonts w:hint="eastAsia" w:ascii="宋体" w:hAnsi="宋体" w:cs="宋体"/>
          <w:color w:val="auto"/>
          <w:kern w:val="0"/>
          <w:sz w:val="28"/>
          <w:szCs w:val="28"/>
          <w:highlight w:val="none"/>
          <w:u w:val="single"/>
        </w:rPr>
        <w:t>（项目名称）</w:t>
      </w:r>
      <w:r>
        <w:rPr>
          <w:rFonts w:hint="eastAsia" w:ascii="宋体" w:hAnsi="宋体" w:cs="宋体"/>
          <w:color w:val="auto"/>
          <w:kern w:val="0"/>
          <w:sz w:val="28"/>
          <w:szCs w:val="28"/>
          <w:highlight w:val="none"/>
        </w:rPr>
        <w:t xml:space="preserve">采购活动，工程的施工单位全部为符合政策要求的中小企业（或者：服务全部由符合政策要求的中小企业承接）。相关企业 （含联合体中的中小企业、签订分包意向协议的中小企业）的具体情况如下： </w:t>
      </w:r>
    </w:p>
    <w:p>
      <w:pPr>
        <w:widowControl/>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1.</w:t>
      </w:r>
      <w:r>
        <w:rPr>
          <w:rFonts w:hint="eastAsia" w:ascii="宋体" w:hAnsi="宋体" w:cs="宋体"/>
          <w:i/>
          <w:color w:val="auto"/>
          <w:kern w:val="0"/>
          <w:sz w:val="28"/>
          <w:szCs w:val="28"/>
          <w:highlight w:val="none"/>
          <w:u w:val="single"/>
        </w:rPr>
        <w:t xml:space="preserve">（标的名称） </w:t>
      </w:r>
      <w:r>
        <w:rPr>
          <w:rFonts w:hint="eastAsia" w:ascii="宋体" w:hAnsi="宋体" w:cs="宋体"/>
          <w:color w:val="auto"/>
          <w:kern w:val="0"/>
          <w:sz w:val="28"/>
          <w:szCs w:val="28"/>
          <w:highlight w:val="none"/>
        </w:rPr>
        <w:t>，属于</w:t>
      </w:r>
      <w:r>
        <w:rPr>
          <w:rFonts w:hint="eastAsia" w:ascii="宋体" w:hAnsi="宋体" w:cs="宋体"/>
          <w:i/>
          <w:color w:val="auto"/>
          <w:kern w:val="0"/>
          <w:sz w:val="28"/>
          <w:szCs w:val="28"/>
          <w:highlight w:val="none"/>
          <w:u w:val="single"/>
        </w:rPr>
        <w:t>（采购文件中明确的所属行业）</w:t>
      </w:r>
      <w:r>
        <w:rPr>
          <w:rFonts w:hint="eastAsia" w:ascii="宋体" w:hAnsi="宋体" w:cs="宋体"/>
          <w:i/>
          <w:color w:val="auto"/>
          <w:kern w:val="0"/>
          <w:sz w:val="28"/>
          <w:szCs w:val="28"/>
          <w:highlight w:val="none"/>
        </w:rPr>
        <w:t>行业</w:t>
      </w:r>
      <w:r>
        <w:rPr>
          <w:rFonts w:hint="eastAsia" w:ascii="宋体" w:hAnsi="宋体" w:cs="宋体"/>
          <w:color w:val="auto"/>
          <w:kern w:val="0"/>
          <w:sz w:val="28"/>
          <w:szCs w:val="28"/>
          <w:highlight w:val="none"/>
        </w:rPr>
        <w:t>；承建（承接）企业为</w:t>
      </w:r>
      <w:r>
        <w:rPr>
          <w:rFonts w:hint="eastAsia" w:ascii="宋体" w:hAnsi="宋体" w:cs="宋体"/>
          <w:i/>
          <w:color w:val="auto"/>
          <w:kern w:val="0"/>
          <w:sz w:val="28"/>
          <w:szCs w:val="28"/>
          <w:highlight w:val="none"/>
          <w:u w:val="single"/>
        </w:rPr>
        <w:t>（企业名称）</w:t>
      </w:r>
      <w:r>
        <w:rPr>
          <w:rFonts w:hint="eastAsia" w:ascii="宋体" w:hAnsi="宋体" w:cs="宋体"/>
          <w:color w:val="auto"/>
          <w:kern w:val="0"/>
          <w:sz w:val="28"/>
          <w:szCs w:val="28"/>
          <w:highlight w:val="none"/>
        </w:rPr>
        <w:t>，从业人员人，营业收入为万元，资产总额为万元，属于</w:t>
      </w:r>
      <w:r>
        <w:rPr>
          <w:rFonts w:hint="eastAsia" w:ascii="宋体" w:hAnsi="宋体" w:cs="宋体"/>
          <w:i/>
          <w:color w:val="auto"/>
          <w:kern w:val="0"/>
          <w:sz w:val="28"/>
          <w:szCs w:val="28"/>
          <w:highlight w:val="none"/>
          <w:u w:val="single"/>
        </w:rPr>
        <w:t>（中型企业、小型企业、微型企业）</w:t>
      </w:r>
      <w:r>
        <w:rPr>
          <w:rFonts w:hint="eastAsia" w:ascii="宋体" w:hAnsi="宋体" w:cs="宋体"/>
          <w:color w:val="auto"/>
          <w:kern w:val="0"/>
          <w:sz w:val="28"/>
          <w:szCs w:val="28"/>
          <w:highlight w:val="none"/>
        </w:rPr>
        <w:t xml:space="preserve">； </w:t>
      </w:r>
    </w:p>
    <w:p>
      <w:pPr>
        <w:widowControl/>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 xml:space="preserve">2. </w:t>
      </w:r>
      <w:r>
        <w:rPr>
          <w:rFonts w:hint="eastAsia" w:ascii="宋体" w:hAnsi="宋体" w:cs="宋体"/>
          <w:i/>
          <w:color w:val="auto"/>
          <w:kern w:val="0"/>
          <w:sz w:val="28"/>
          <w:szCs w:val="28"/>
          <w:highlight w:val="none"/>
          <w:u w:val="single"/>
        </w:rPr>
        <w:t xml:space="preserve">（标的名称） </w:t>
      </w:r>
      <w:r>
        <w:rPr>
          <w:rFonts w:hint="eastAsia" w:ascii="宋体" w:hAnsi="宋体" w:cs="宋体"/>
          <w:color w:val="auto"/>
          <w:kern w:val="0"/>
          <w:sz w:val="28"/>
          <w:szCs w:val="28"/>
          <w:highlight w:val="none"/>
        </w:rPr>
        <w:t>，属于</w:t>
      </w:r>
      <w:r>
        <w:rPr>
          <w:rFonts w:hint="eastAsia" w:ascii="宋体" w:hAnsi="宋体" w:cs="宋体"/>
          <w:i/>
          <w:color w:val="auto"/>
          <w:kern w:val="0"/>
          <w:sz w:val="28"/>
          <w:szCs w:val="28"/>
          <w:highlight w:val="none"/>
          <w:u w:val="single"/>
        </w:rPr>
        <w:t>（采购文件中明确的所属行业）</w:t>
      </w:r>
      <w:r>
        <w:rPr>
          <w:rFonts w:hint="eastAsia" w:ascii="宋体" w:hAnsi="宋体" w:cs="宋体"/>
          <w:i/>
          <w:color w:val="auto"/>
          <w:kern w:val="0"/>
          <w:sz w:val="28"/>
          <w:szCs w:val="28"/>
          <w:highlight w:val="none"/>
        </w:rPr>
        <w:t>行业</w:t>
      </w:r>
      <w:r>
        <w:rPr>
          <w:rFonts w:hint="eastAsia" w:ascii="宋体" w:hAnsi="宋体" w:cs="宋体"/>
          <w:color w:val="auto"/>
          <w:kern w:val="0"/>
          <w:sz w:val="28"/>
          <w:szCs w:val="28"/>
          <w:highlight w:val="none"/>
        </w:rPr>
        <w:t>；承建（承接）企业为</w:t>
      </w:r>
      <w:r>
        <w:rPr>
          <w:rFonts w:hint="eastAsia" w:ascii="宋体" w:hAnsi="宋体" w:cs="宋体"/>
          <w:i/>
          <w:color w:val="auto"/>
          <w:kern w:val="0"/>
          <w:sz w:val="28"/>
          <w:szCs w:val="28"/>
          <w:highlight w:val="none"/>
          <w:u w:val="single"/>
        </w:rPr>
        <w:t>（企业名称）</w:t>
      </w:r>
      <w:r>
        <w:rPr>
          <w:rFonts w:hint="eastAsia" w:ascii="宋体" w:hAnsi="宋体" w:cs="宋体"/>
          <w:color w:val="auto"/>
          <w:kern w:val="0"/>
          <w:sz w:val="28"/>
          <w:szCs w:val="28"/>
          <w:highlight w:val="none"/>
        </w:rPr>
        <w:t>，从业人员人，营业收入为万元，资产总额为万元，属于</w:t>
      </w:r>
      <w:r>
        <w:rPr>
          <w:rFonts w:hint="eastAsia" w:ascii="宋体" w:hAnsi="宋体" w:cs="宋体"/>
          <w:i/>
          <w:color w:val="auto"/>
          <w:kern w:val="0"/>
          <w:sz w:val="28"/>
          <w:szCs w:val="28"/>
          <w:highlight w:val="none"/>
          <w:u w:val="single"/>
        </w:rPr>
        <w:t>（中型企业、小型企业、微型企业）</w:t>
      </w:r>
      <w:r>
        <w:rPr>
          <w:rFonts w:hint="eastAsia" w:ascii="宋体" w:hAnsi="宋体" w:cs="宋体"/>
          <w:color w:val="auto"/>
          <w:kern w:val="0"/>
          <w:sz w:val="28"/>
          <w:szCs w:val="28"/>
          <w:highlight w:val="none"/>
        </w:rPr>
        <w:t xml:space="preserve">； </w:t>
      </w:r>
    </w:p>
    <w:p>
      <w:pPr>
        <w:widowControl/>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w:t>
      </w:r>
    </w:p>
    <w:p>
      <w:pPr>
        <w:widowControl/>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以上企业，不属于大企业的分支机构，不存在控股股东为大企业的情形，也不存在与大企业的负责人为同一人的情形。</w:t>
      </w:r>
    </w:p>
    <w:p>
      <w:pPr>
        <w:widowControl/>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kern w:val="0"/>
          <w:sz w:val="28"/>
          <w:szCs w:val="28"/>
          <w:highlight w:val="none"/>
        </w:rPr>
        <w:t xml:space="preserve">本企业对上述声明内容的真实性负责。如有虚假，将依法承担相应责任。 </w:t>
      </w:r>
    </w:p>
    <w:p>
      <w:pPr>
        <w:widowControl/>
        <w:snapToGrid w:val="0"/>
        <w:spacing w:line="360" w:lineRule="auto"/>
        <w:ind w:firstLine="560" w:firstLineChars="200"/>
        <w:jc w:val="right"/>
        <w:rPr>
          <w:rFonts w:ascii="宋体" w:hAnsi="宋体" w:cs="宋体"/>
          <w:color w:val="auto"/>
          <w:sz w:val="28"/>
          <w:szCs w:val="28"/>
          <w:highlight w:val="none"/>
        </w:rPr>
      </w:pPr>
      <w:r>
        <w:rPr>
          <w:rFonts w:hint="eastAsia" w:ascii="宋体" w:hAnsi="宋体" w:cs="宋体"/>
          <w:color w:val="auto"/>
          <w:kern w:val="0"/>
          <w:sz w:val="28"/>
          <w:szCs w:val="28"/>
          <w:highlight w:val="none"/>
        </w:rPr>
        <w:t xml:space="preserve">企业名称（盖章）： </w:t>
      </w:r>
    </w:p>
    <w:p>
      <w:pPr>
        <w:jc w:val="right"/>
        <w:rPr>
          <w:rFonts w:ascii="宋体" w:hAnsi="宋体" w:cs="宋体"/>
          <w:b/>
          <w:color w:val="auto"/>
          <w:sz w:val="32"/>
          <w:szCs w:val="32"/>
          <w:highlight w:val="none"/>
        </w:rPr>
      </w:pPr>
      <w:r>
        <w:rPr>
          <w:rFonts w:hint="eastAsia" w:ascii="宋体" w:hAnsi="宋体" w:cs="宋体"/>
          <w:color w:val="auto"/>
          <w:kern w:val="0"/>
          <w:sz w:val="28"/>
          <w:szCs w:val="28"/>
          <w:highlight w:val="none"/>
        </w:rPr>
        <w:t>日 期：</w:t>
      </w:r>
    </w:p>
    <w:p>
      <w:pPr>
        <w:spacing w:line="348" w:lineRule="auto"/>
        <w:ind w:left="106" w:right="111" w:firstLine="170"/>
        <w:rPr>
          <w:rFonts w:ascii="宋体" w:hAnsi="宋体" w:cs="宋体"/>
          <w:color w:val="auto"/>
          <w:szCs w:val="21"/>
          <w:highlight w:val="none"/>
        </w:rPr>
      </w:pPr>
      <w:r>
        <w:rPr>
          <w:rFonts w:ascii="宋体" w:hAnsi="宋体" w:cs="宋体"/>
          <w:b/>
          <w:bCs/>
          <w:color w:val="auto"/>
          <w:spacing w:val="-2"/>
          <w:szCs w:val="21"/>
          <w:highlight w:val="none"/>
        </w:rPr>
        <w:t>注：</w:t>
      </w:r>
      <w:r>
        <w:rPr>
          <w:rFonts w:hint="eastAsia" w:ascii="宋体" w:hAnsi="宋体" w:cs="宋体"/>
          <w:color w:val="auto"/>
          <w:szCs w:val="21"/>
          <w:highlight w:val="none"/>
        </w:rPr>
        <w:t>1.从业人员、营业收入、资产总额填报上一年度数据，无上一年度数据的新成立企业可不填报。</w:t>
      </w:r>
    </w:p>
    <w:p>
      <w:pPr>
        <w:spacing w:line="360" w:lineRule="auto"/>
        <w:ind w:firstLine="630" w:firstLineChars="300"/>
        <w:rPr>
          <w:rFonts w:ascii="宋体" w:hAnsi="宋体" w:cs="宋体"/>
          <w:color w:val="auto"/>
          <w:highlight w:val="none"/>
        </w:rPr>
      </w:pPr>
      <w:r>
        <w:rPr>
          <w:rFonts w:hint="eastAsia" w:ascii="宋体" w:hAnsi="宋体" w:cs="宋体"/>
          <w:color w:val="auto"/>
          <w:szCs w:val="21"/>
          <w:highlight w:val="none"/>
        </w:rPr>
        <w:t>2.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spacing w:line="580" w:lineRule="exact"/>
        <w:ind w:firstLine="643" w:firstLineChars="200"/>
        <w:rPr>
          <w:rFonts w:ascii="宋体" w:hAnsi="宋体" w:cs="宋体"/>
          <w:b/>
          <w:bCs/>
          <w:color w:val="auto"/>
          <w:sz w:val="32"/>
          <w:szCs w:val="32"/>
          <w:highlight w:val="none"/>
        </w:rPr>
      </w:pPr>
    </w:p>
    <w:p>
      <w:pPr>
        <w:jc w:val="center"/>
        <w:rPr>
          <w:rFonts w:ascii="宋体" w:hAnsi="宋体" w:cs="宋体"/>
          <w:b/>
          <w:color w:val="auto"/>
          <w:sz w:val="30"/>
          <w:szCs w:val="30"/>
          <w:highlight w:val="none"/>
        </w:rPr>
      </w:pPr>
    </w:p>
    <w:p>
      <w:pPr>
        <w:spacing w:before="7"/>
        <w:jc w:val="center"/>
        <w:rPr>
          <w:rFonts w:ascii="宋体" w:hAnsi="宋体" w:cs="宋体"/>
          <w:b/>
          <w:bCs/>
          <w:color w:val="auto"/>
          <w:spacing w:val="-9"/>
          <w:sz w:val="30"/>
          <w:szCs w:val="30"/>
          <w:highlight w:val="none"/>
        </w:rPr>
      </w:pPr>
      <w:r>
        <w:rPr>
          <w:rFonts w:hint="eastAsia" w:ascii="宋体" w:hAnsi="宋体" w:cs="宋体"/>
          <w:b/>
          <w:bCs/>
          <w:color w:val="auto"/>
          <w:spacing w:val="-9"/>
          <w:sz w:val="30"/>
          <w:szCs w:val="30"/>
          <w:highlight w:val="none"/>
        </w:rPr>
        <w:t>（六） 残疾人福利性单位声明函（格式）</w:t>
      </w:r>
    </w:p>
    <w:p>
      <w:pPr>
        <w:spacing w:before="7"/>
        <w:ind w:left="2512"/>
        <w:jc w:val="left"/>
        <w:rPr>
          <w:rFonts w:ascii="宋体" w:hAnsi="宋体" w:cs="宋体"/>
          <w:b/>
          <w:bCs/>
          <w:color w:val="auto"/>
          <w:spacing w:val="-9"/>
          <w:sz w:val="30"/>
          <w:szCs w:val="30"/>
          <w:highlight w:val="none"/>
        </w:rPr>
      </w:pPr>
    </w:p>
    <w:p>
      <w:pPr>
        <w:pStyle w:val="8"/>
        <w:spacing w:line="367" w:lineRule="auto"/>
        <w:ind w:right="116"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w:t>
      </w:r>
      <w:r>
        <w:rPr>
          <w:rFonts w:hint="eastAsia" w:ascii="宋体" w:hAnsi="宋体" w:eastAsia="宋体" w:cs="宋体"/>
          <w:color w:val="auto"/>
          <w:spacing w:val="-2"/>
          <w:sz w:val="24"/>
          <w:szCs w:val="24"/>
          <w:highlight w:val="none"/>
        </w:rPr>
        <w:t>供本单位制造的货物（由本单位承担工程/提供服务），或者提供其他残疾人福利性单位</w:t>
      </w:r>
      <w:r>
        <w:rPr>
          <w:rFonts w:hint="eastAsia" w:ascii="宋体" w:hAnsi="宋体" w:eastAsia="宋体" w:cs="宋体"/>
          <w:color w:val="auto"/>
          <w:sz w:val="24"/>
          <w:szCs w:val="24"/>
          <w:highlight w:val="none"/>
        </w:rPr>
        <w:t xml:space="preserve">制造的货物（不包括使用非残疾人福利性单位注册商标的货物）。 </w:t>
      </w:r>
    </w:p>
    <w:p>
      <w:pPr>
        <w:pStyle w:val="8"/>
        <w:spacing w:before="39"/>
        <w:ind w:left="526"/>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本单位对上述声明的真实性负责。如有虚假，将依法承担相应责任。 </w:t>
      </w:r>
    </w:p>
    <w:p>
      <w:pPr>
        <w:spacing w:line="360" w:lineRule="auto"/>
        <w:ind w:firstLine="4800" w:firstLineChars="2000"/>
        <w:rPr>
          <w:rFonts w:ascii="宋体" w:hAnsi="宋体" w:cs="宋体"/>
          <w:bCs/>
          <w:color w:val="auto"/>
          <w:sz w:val="24"/>
          <w:highlight w:val="none"/>
        </w:rPr>
      </w:pPr>
    </w:p>
    <w:p>
      <w:pPr>
        <w:spacing w:line="360" w:lineRule="auto"/>
        <w:ind w:firstLine="4800" w:firstLineChars="2000"/>
        <w:rPr>
          <w:rFonts w:ascii="宋体" w:hAnsi="宋体" w:cs="宋体"/>
          <w:bCs/>
          <w:color w:val="auto"/>
          <w:sz w:val="24"/>
          <w:highlight w:val="none"/>
        </w:rPr>
      </w:pPr>
    </w:p>
    <w:p>
      <w:pPr>
        <w:spacing w:line="360" w:lineRule="auto"/>
        <w:ind w:firstLine="4800" w:firstLineChars="2000"/>
        <w:rPr>
          <w:rFonts w:ascii="宋体" w:hAnsi="宋体" w:cs="宋体"/>
          <w:bCs/>
          <w:color w:val="auto"/>
          <w:sz w:val="24"/>
          <w:highlight w:val="none"/>
        </w:rPr>
      </w:pPr>
      <w:r>
        <w:rPr>
          <w:rFonts w:hint="eastAsia" w:ascii="宋体" w:hAnsi="宋体" w:cs="宋体"/>
          <w:bCs/>
          <w:color w:val="auto"/>
          <w:sz w:val="24"/>
          <w:highlight w:val="none"/>
        </w:rPr>
        <w:t>企业名称（盖章）：</w:t>
      </w:r>
    </w:p>
    <w:p>
      <w:pPr>
        <w:spacing w:line="360" w:lineRule="auto"/>
        <w:ind w:firstLine="4800" w:firstLineChars="2000"/>
        <w:rPr>
          <w:rFonts w:ascii="宋体" w:hAnsi="宋体" w:cs="宋体"/>
          <w:bCs/>
          <w:color w:val="auto"/>
          <w:sz w:val="24"/>
          <w:highlight w:val="none"/>
        </w:rPr>
      </w:pPr>
    </w:p>
    <w:p>
      <w:pPr>
        <w:spacing w:line="360" w:lineRule="auto"/>
        <w:ind w:firstLine="4800" w:firstLineChars="2000"/>
        <w:rPr>
          <w:rFonts w:ascii="宋体" w:hAnsi="宋体" w:cs="宋体"/>
          <w:color w:val="auto"/>
          <w:highlight w:val="none"/>
        </w:rPr>
      </w:pPr>
      <w:r>
        <w:rPr>
          <w:rFonts w:hint="eastAsia" w:ascii="宋体" w:hAnsi="宋体" w:cs="宋体"/>
          <w:bCs/>
          <w:color w:val="auto"/>
          <w:sz w:val="24"/>
          <w:highlight w:val="none"/>
        </w:rPr>
        <w:t>日　　　　　　期：</w:t>
      </w:r>
    </w:p>
    <w:p>
      <w:pPr>
        <w:pStyle w:val="5"/>
        <w:jc w:val="center"/>
        <w:rPr>
          <w:rFonts w:ascii="宋体" w:hAnsi="宋体" w:eastAsia="宋体" w:cs="宋体"/>
          <w:color w:val="auto"/>
          <w:highlight w:val="none"/>
        </w:rPr>
      </w:pPr>
    </w:p>
    <w:p>
      <w:pPr>
        <w:pStyle w:val="5"/>
        <w:jc w:val="center"/>
        <w:rPr>
          <w:rFonts w:ascii="宋体" w:hAnsi="宋体" w:eastAsia="宋体" w:cs="宋体"/>
          <w:color w:val="auto"/>
          <w:highlight w:val="none"/>
        </w:rPr>
      </w:pPr>
    </w:p>
    <w:p>
      <w:pPr>
        <w:pStyle w:val="5"/>
        <w:jc w:val="center"/>
        <w:rPr>
          <w:rFonts w:ascii="宋体" w:hAnsi="宋体" w:eastAsia="宋体" w:cs="宋体"/>
          <w:color w:val="auto"/>
          <w:highlight w:val="none"/>
        </w:rPr>
      </w:pPr>
    </w:p>
    <w:p>
      <w:pPr>
        <w:pStyle w:val="5"/>
        <w:jc w:val="center"/>
        <w:rPr>
          <w:rFonts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（七）法定代表人授权委托书（格式）</w:t>
      </w:r>
    </w:p>
    <w:p>
      <w:pPr>
        <w:topLinePunct/>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采购编号：</w:t>
      </w:r>
    </w:p>
    <w:p>
      <w:pPr>
        <w:topLinePunct/>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日期：</w:t>
      </w:r>
    </w:p>
    <w:p>
      <w:pPr>
        <w:topLinePunct/>
        <w:snapToGrid w:val="0"/>
        <w:spacing w:line="360" w:lineRule="auto"/>
        <w:jc w:val="center"/>
        <w:rPr>
          <w:rFonts w:ascii="宋体" w:hAnsi="宋体" w:cs="宋体"/>
          <w:color w:val="auto"/>
          <w:sz w:val="24"/>
          <w:highlight w:val="none"/>
        </w:rPr>
      </w:pPr>
    </w:p>
    <w:p>
      <w:pPr>
        <w:topLinePunct/>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江苏成建项目管理有限公司</w:t>
      </w:r>
      <w:r>
        <w:rPr>
          <w:rFonts w:hint="eastAsia" w:ascii="宋体" w:hAnsi="宋体" w:cs="宋体"/>
          <w:color w:val="auto"/>
          <w:sz w:val="24"/>
          <w:highlight w:val="none"/>
          <w:u w:val="single"/>
        </w:rPr>
        <w:t xml:space="preserve">：  </w:t>
      </w:r>
    </w:p>
    <w:p>
      <w:pPr>
        <w:topLinePunct/>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系中华人民共和国合法企业</w:t>
      </w:r>
    </w:p>
    <w:p>
      <w:pPr>
        <w:topLinePunct/>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法定地址：                      特授权      代表我公司（单位）全权办理针对本项目（采购编号：          ）的报价等具体工作，并签署全部有关文件、协议及合同。</w:t>
      </w:r>
    </w:p>
    <w:p>
      <w:pPr>
        <w:topLinePunct/>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我公司（单位）对被授权人的签名负全部责任。</w:t>
      </w:r>
    </w:p>
    <w:p>
      <w:pPr>
        <w:topLinePunct/>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在撤销授权的书面通知送达你处以前，本授权书一直有效，被授权人签署的所有文件（在授权书有效期内签署的）不因授权的撤销而失效。被授权人无转委托权。</w:t>
      </w:r>
    </w:p>
    <w:p>
      <w:pPr>
        <w:topLinePunct/>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被授权人情况：</w:t>
      </w:r>
    </w:p>
    <w:p>
      <w:pPr>
        <w:topLinePunct/>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姓名：          性别：         年龄：          职务：</w:t>
      </w:r>
    </w:p>
    <w:p>
      <w:pPr>
        <w:topLinePunct/>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身份证号码：                   电话：</w:t>
      </w:r>
    </w:p>
    <w:p>
      <w:pPr>
        <w:topLinePunct/>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通讯地址：</w:t>
      </w:r>
    </w:p>
    <w:p>
      <w:pPr>
        <w:topLinePunct/>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被授权人签名：                  单位名称（盖章）：</w:t>
      </w:r>
    </w:p>
    <w:p>
      <w:pPr>
        <w:topLinePunct/>
        <w:snapToGrid w:val="0"/>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法定代表人（签字或盖章）：</w:t>
      </w:r>
    </w:p>
    <w:tbl>
      <w:tblPr>
        <w:tblStyle w:val="17"/>
        <w:tblpPr w:leftFromText="180" w:rightFromText="180" w:vertAnchor="text" w:horzAnchor="page" w:tblpX="1226"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gridCol w:w="72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680" w:type="dxa"/>
          </w:tcPr>
          <w:p>
            <w:pPr>
              <w:widowControl/>
              <w:topLinePunct/>
              <w:spacing w:before="4" w:line="360" w:lineRule="auto"/>
              <w:rPr>
                <w:rFonts w:ascii="宋体" w:hAnsi="宋体" w:cs="宋体"/>
                <w:color w:val="auto"/>
                <w:sz w:val="24"/>
                <w:highlight w:val="none"/>
              </w:rPr>
            </w:pPr>
          </w:p>
          <w:p>
            <w:pPr>
              <w:widowControl/>
              <w:topLinePunct/>
              <w:spacing w:before="4" w:line="360" w:lineRule="auto"/>
              <w:rPr>
                <w:rFonts w:ascii="宋体" w:hAnsi="宋体" w:cs="宋体"/>
                <w:color w:val="auto"/>
                <w:sz w:val="24"/>
                <w:highlight w:val="none"/>
              </w:rPr>
            </w:pPr>
          </w:p>
          <w:p>
            <w:pPr>
              <w:widowControl/>
              <w:topLinePunct/>
              <w:spacing w:before="4"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法定代表人身份证复印件</w:t>
            </w:r>
          </w:p>
        </w:tc>
        <w:tc>
          <w:tcPr>
            <w:tcW w:w="720" w:type="dxa"/>
            <w:tcBorders>
              <w:top w:val="nil"/>
              <w:bottom w:val="nil"/>
            </w:tcBorders>
          </w:tcPr>
          <w:p>
            <w:pPr>
              <w:widowControl/>
              <w:jc w:val="left"/>
              <w:rPr>
                <w:rFonts w:ascii="宋体" w:hAnsi="宋体" w:cs="宋体"/>
                <w:color w:val="auto"/>
                <w:sz w:val="24"/>
                <w:highlight w:val="none"/>
              </w:rPr>
            </w:pPr>
          </w:p>
        </w:tc>
        <w:tc>
          <w:tcPr>
            <w:tcW w:w="5040" w:type="dxa"/>
          </w:tcPr>
          <w:p>
            <w:pPr>
              <w:widowControl/>
              <w:topLinePunct/>
              <w:spacing w:before="4" w:line="360" w:lineRule="auto"/>
              <w:rPr>
                <w:rFonts w:ascii="宋体" w:hAnsi="宋体" w:cs="宋体"/>
                <w:color w:val="auto"/>
                <w:sz w:val="24"/>
                <w:highlight w:val="none"/>
              </w:rPr>
            </w:pPr>
          </w:p>
          <w:p>
            <w:pPr>
              <w:widowControl/>
              <w:topLinePunct/>
              <w:spacing w:before="4" w:line="360" w:lineRule="auto"/>
              <w:rPr>
                <w:rFonts w:ascii="宋体" w:hAnsi="宋体" w:cs="宋体"/>
                <w:color w:val="auto"/>
                <w:sz w:val="24"/>
                <w:highlight w:val="none"/>
              </w:rPr>
            </w:pPr>
          </w:p>
          <w:p>
            <w:pPr>
              <w:widowControl/>
              <w:topLinePunct/>
              <w:spacing w:before="4" w:line="360" w:lineRule="auto"/>
              <w:jc w:val="center"/>
              <w:rPr>
                <w:rFonts w:ascii="宋体" w:hAnsi="宋体" w:cs="宋体"/>
                <w:color w:val="auto"/>
                <w:sz w:val="24"/>
                <w:highlight w:val="none"/>
              </w:rPr>
            </w:pPr>
            <w:r>
              <w:rPr>
                <w:rFonts w:hint="eastAsia" w:ascii="宋体" w:hAnsi="宋体" w:cs="宋体"/>
                <w:color w:val="auto"/>
                <w:sz w:val="24"/>
                <w:highlight w:val="none"/>
              </w:rPr>
              <w:t>授权代表身份证复印件</w:t>
            </w:r>
          </w:p>
        </w:tc>
      </w:tr>
    </w:tbl>
    <w:p>
      <w:pPr>
        <w:topLinePunct/>
        <w:snapToGrid w:val="0"/>
        <w:spacing w:line="360" w:lineRule="auto"/>
        <w:ind w:firstLine="5760" w:firstLineChars="2400"/>
        <w:rPr>
          <w:rFonts w:ascii="宋体" w:hAnsi="宋体" w:cs="宋体"/>
          <w:color w:val="auto"/>
          <w:sz w:val="24"/>
          <w:highlight w:val="none"/>
        </w:rPr>
      </w:pPr>
      <w:r>
        <w:rPr>
          <w:rFonts w:hint="eastAsia" w:ascii="宋体" w:hAnsi="宋体" w:cs="宋体"/>
          <w:color w:val="auto"/>
          <w:sz w:val="24"/>
          <w:highlight w:val="none"/>
        </w:rPr>
        <w:t>年     月     日</w:t>
      </w:r>
    </w:p>
    <w:p>
      <w:pPr>
        <w:pStyle w:val="5"/>
        <w:jc w:val="center"/>
        <w:rPr>
          <w:rFonts w:ascii="宋体" w:hAnsi="宋体" w:eastAsia="宋体" w:cs="宋体"/>
          <w:color w:val="auto"/>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highlight w:val="none"/>
        </w:rPr>
        <w:t xml:space="preserve"> （八）关于资格的声明函（格式）</w:t>
      </w:r>
    </w:p>
    <w:p>
      <w:pPr>
        <w:topLinePunct/>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采购编号：</w:t>
      </w:r>
    </w:p>
    <w:p>
      <w:pPr>
        <w:topLinePunct/>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日期：</w:t>
      </w:r>
    </w:p>
    <w:p>
      <w:pPr>
        <w:jc w:val="center"/>
        <w:rPr>
          <w:rFonts w:ascii="宋体" w:hAnsi="宋体" w:cs="宋体"/>
          <w:color w:val="auto"/>
          <w:highlight w:val="none"/>
        </w:rPr>
      </w:pPr>
    </w:p>
    <w:p>
      <w:pPr>
        <w:topLinePunct/>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江苏成建项目管理有限公司</w:t>
      </w:r>
      <w:r>
        <w:rPr>
          <w:rFonts w:hint="eastAsia" w:ascii="宋体" w:hAnsi="宋体" w:cs="宋体"/>
          <w:color w:val="auto"/>
          <w:sz w:val="24"/>
          <w:highlight w:val="none"/>
          <w:u w:val="single"/>
        </w:rPr>
        <w:t xml:space="preserve">：  </w:t>
      </w:r>
    </w:p>
    <w:p>
      <w:pPr>
        <w:spacing w:line="480" w:lineRule="auto"/>
        <w:rPr>
          <w:rFonts w:ascii="宋体" w:hAnsi="宋体" w:cs="宋体"/>
          <w:color w:val="auto"/>
          <w:highlight w:val="none"/>
        </w:rPr>
      </w:pPr>
      <w:r>
        <w:rPr>
          <w:rFonts w:hint="eastAsia" w:ascii="宋体" w:hAnsi="宋体" w:cs="宋体"/>
          <w:bCs/>
          <w:color w:val="auto"/>
          <w:sz w:val="24"/>
          <w:highlight w:val="none"/>
        </w:rPr>
        <w:t xml:space="preserve">   我公司（单位）参加政府采购活动前三年内，在经营活动中没有重大违法记录。</w:t>
      </w:r>
    </w:p>
    <w:p>
      <w:pPr>
        <w:pStyle w:val="10"/>
        <w:spacing w:line="360" w:lineRule="auto"/>
        <w:ind w:left="0" w:right="34" w:firstLine="403"/>
        <w:rPr>
          <w:rFonts w:ascii="宋体" w:hAnsi="宋体" w:cs="宋体"/>
          <w:color w:val="auto"/>
          <w:szCs w:val="24"/>
          <w:highlight w:val="none"/>
        </w:rPr>
      </w:pPr>
      <w:r>
        <w:rPr>
          <w:rFonts w:hint="eastAsia" w:ascii="宋体" w:hAnsi="宋体" w:cs="宋体"/>
          <w:color w:val="auto"/>
          <w:szCs w:val="24"/>
          <w:highlight w:val="none"/>
        </w:rPr>
        <w:t>我公司（单位）愿针对本项目（采购编号：　　　　）进行磋商，</w:t>
      </w:r>
      <w:r>
        <w:rPr>
          <w:rFonts w:hint="eastAsia" w:ascii="宋体" w:hAnsi="宋体" w:cs="宋体"/>
          <w:color w:val="auto"/>
          <w:highlight w:val="none"/>
          <w:lang w:val="zh-CN"/>
        </w:rPr>
        <w:t>响应文件</w:t>
      </w:r>
      <w:r>
        <w:rPr>
          <w:rFonts w:hint="eastAsia" w:ascii="宋体" w:hAnsi="宋体" w:cs="宋体"/>
          <w:color w:val="auto"/>
          <w:szCs w:val="24"/>
          <w:highlight w:val="none"/>
        </w:rPr>
        <w:t>中所有关于磋商资格的文件、证明、陈述均是真实的、准确的。若有违背，我公司（单位）        愿意承担由此而产生的一切后果。</w:t>
      </w:r>
    </w:p>
    <w:p>
      <w:pPr>
        <w:pStyle w:val="10"/>
        <w:spacing w:line="360" w:lineRule="auto"/>
        <w:ind w:left="0" w:right="34" w:firstLine="403"/>
        <w:rPr>
          <w:rFonts w:ascii="宋体" w:hAnsi="宋体" w:cs="宋体"/>
          <w:color w:val="auto"/>
          <w:szCs w:val="24"/>
          <w:highlight w:val="none"/>
        </w:rPr>
      </w:pP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供应商（盖章）：</w:t>
      </w:r>
    </w:p>
    <w:p>
      <w:pPr>
        <w:pStyle w:val="10"/>
        <w:spacing w:line="360" w:lineRule="auto"/>
        <w:ind w:left="0" w:right="34" w:firstLine="403"/>
        <w:rPr>
          <w:rFonts w:ascii="宋体" w:hAnsi="宋体" w:cs="宋体"/>
          <w:color w:val="auto"/>
          <w:sz w:val="21"/>
          <w:highlight w:val="none"/>
        </w:rPr>
      </w:pPr>
      <w:r>
        <w:rPr>
          <w:rFonts w:hint="eastAsia" w:ascii="宋体" w:hAnsi="宋体" w:cs="宋体"/>
          <w:color w:val="auto"/>
          <w:highlight w:val="none"/>
        </w:rPr>
        <w:t>　　　　　　　　　　　   法定代表人或法定代表人授权代表签字或盖章：</w:t>
      </w: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pStyle w:val="5"/>
        <w:jc w:val="center"/>
        <w:rPr>
          <w:rFonts w:ascii="宋体" w:hAnsi="宋体" w:eastAsia="宋体" w:cs="宋体"/>
          <w:color w:val="auto"/>
          <w:highlight w:val="none"/>
        </w:rPr>
      </w:pPr>
      <w:r>
        <w:rPr>
          <w:rFonts w:hint="eastAsia" w:ascii="宋体" w:hAnsi="宋体" w:eastAsia="宋体" w:cs="宋体"/>
          <w:color w:val="auto"/>
          <w:highlight w:val="none"/>
        </w:rPr>
        <w:t>（九）项目管理机构配备情况（格式）</w:t>
      </w:r>
    </w:p>
    <w:p>
      <w:pPr>
        <w:tabs>
          <w:tab w:val="left" w:pos="0"/>
        </w:tabs>
        <w:spacing w:line="360" w:lineRule="auto"/>
        <w:ind w:right="-210"/>
        <w:rPr>
          <w:rFonts w:ascii="宋体" w:hAnsi="宋体" w:cs="宋体"/>
          <w:color w:val="auto"/>
          <w:sz w:val="24"/>
          <w:highlight w:val="none"/>
        </w:rPr>
      </w:pPr>
      <w:r>
        <w:rPr>
          <w:rFonts w:hint="eastAsia" w:ascii="宋体" w:hAnsi="宋体" w:cs="宋体"/>
          <w:color w:val="auto"/>
          <w:sz w:val="24"/>
          <w:highlight w:val="none"/>
        </w:rPr>
        <w:t>（1）项目管理机构配备情况表               表1</w:t>
      </w:r>
    </w:p>
    <w:p>
      <w:pPr>
        <w:tabs>
          <w:tab w:val="left" w:pos="0"/>
        </w:tabs>
        <w:spacing w:line="360" w:lineRule="auto"/>
        <w:ind w:right="-212"/>
        <w:rPr>
          <w:rFonts w:ascii="宋体" w:hAnsi="宋体" w:cs="宋体"/>
          <w:color w:val="auto"/>
          <w:sz w:val="24"/>
          <w:highlight w:val="none"/>
        </w:rPr>
      </w:pPr>
      <w:r>
        <w:rPr>
          <w:rFonts w:hint="eastAsia" w:ascii="宋体" w:hAnsi="宋体" w:cs="宋体"/>
          <w:color w:val="auto"/>
          <w:sz w:val="24"/>
          <w:highlight w:val="none"/>
        </w:rPr>
        <w:t>（2）项目负责人简历表                     表2</w:t>
      </w:r>
    </w:p>
    <w:p>
      <w:pPr>
        <w:tabs>
          <w:tab w:val="left" w:pos="0"/>
        </w:tabs>
        <w:spacing w:line="360" w:lineRule="auto"/>
        <w:ind w:right="-212"/>
        <w:rPr>
          <w:rFonts w:ascii="宋体" w:hAnsi="宋体" w:cs="宋体"/>
          <w:color w:val="auto"/>
          <w:sz w:val="24"/>
          <w:highlight w:val="none"/>
        </w:rPr>
      </w:pPr>
      <w:r>
        <w:rPr>
          <w:rFonts w:hint="eastAsia" w:ascii="宋体" w:hAnsi="宋体" w:cs="宋体"/>
          <w:color w:val="auto"/>
          <w:sz w:val="24"/>
          <w:highlight w:val="none"/>
        </w:rPr>
        <w:t>（3）项目技术负责人简历表                 表3</w:t>
      </w:r>
    </w:p>
    <w:p>
      <w:pPr>
        <w:tabs>
          <w:tab w:val="left" w:pos="0"/>
        </w:tabs>
        <w:spacing w:line="360" w:lineRule="auto"/>
        <w:rPr>
          <w:rFonts w:ascii="宋体" w:hAnsi="宋体" w:cs="宋体"/>
          <w:color w:val="auto"/>
          <w:sz w:val="24"/>
          <w:highlight w:val="none"/>
        </w:rPr>
      </w:pPr>
      <w:r>
        <w:rPr>
          <w:rFonts w:hint="eastAsia" w:ascii="宋体" w:hAnsi="宋体" w:cs="宋体"/>
          <w:color w:val="auto"/>
          <w:sz w:val="24"/>
          <w:highlight w:val="none"/>
        </w:rPr>
        <w:t>（4）项目管理机构配备情况辅助说明资料     表4</w:t>
      </w:r>
    </w:p>
    <w:p>
      <w:pPr>
        <w:pStyle w:val="5"/>
        <w:rPr>
          <w:rFonts w:ascii="宋体" w:hAnsi="宋体" w:eastAsia="宋体" w:cs="宋体"/>
          <w:color w:val="auto"/>
          <w:highlight w:val="none"/>
        </w:rPr>
      </w:pPr>
      <w:r>
        <w:rPr>
          <w:rFonts w:hint="eastAsia" w:ascii="宋体" w:hAnsi="宋体" w:eastAsia="宋体" w:cs="宋体"/>
          <w:color w:val="auto"/>
          <w:highlight w:val="none"/>
        </w:rPr>
        <w:t>（1）项目管理机构配备情况表</w:t>
      </w:r>
    </w:p>
    <w:p>
      <w:pPr>
        <w:spacing w:line="360" w:lineRule="auto"/>
        <w:jc w:val="right"/>
        <w:rPr>
          <w:rFonts w:ascii="宋体" w:hAnsi="宋体" w:cs="宋体"/>
          <w:color w:val="auto"/>
          <w:highlight w:val="none"/>
        </w:rPr>
      </w:pPr>
    </w:p>
    <w:p>
      <w:pPr>
        <w:spacing w:after="120" w:line="360" w:lineRule="auto"/>
        <w:rPr>
          <w:rFonts w:ascii="宋体" w:hAnsi="宋体" w:cs="宋体"/>
          <w:color w:val="auto"/>
          <w:sz w:val="24"/>
          <w:highlight w:val="none"/>
        </w:rPr>
      </w:pPr>
      <w:r>
        <w:rPr>
          <w:rFonts w:hint="eastAsia" w:ascii="宋体" w:hAnsi="宋体" w:cs="宋体"/>
          <w:color w:val="auto"/>
          <w:sz w:val="24"/>
          <w:highlight w:val="none"/>
        </w:rPr>
        <w:t>工程</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highlight w:val="none"/>
        </w:rPr>
        <w:t>表1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6"/>
        <w:gridCol w:w="686"/>
        <w:gridCol w:w="1207"/>
        <w:gridCol w:w="808"/>
        <w:gridCol w:w="738"/>
        <w:gridCol w:w="773"/>
        <w:gridCol w:w="735"/>
        <w:gridCol w:w="820"/>
        <w:gridCol w:w="106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90" w:type="dxa"/>
            <w:vMerge w:val="restar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686" w:type="dxa"/>
            <w:vMerge w:val="restar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686" w:type="dxa"/>
            <w:vMerge w:val="restart"/>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5081" w:type="dxa"/>
            <w:gridSpan w:val="6"/>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执业或职业资格证明</w:t>
            </w:r>
          </w:p>
        </w:tc>
        <w:tc>
          <w:tcPr>
            <w:tcW w:w="231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已承担在建</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 程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90" w:type="dxa"/>
            <w:vMerge w:val="continue"/>
          </w:tcPr>
          <w:p>
            <w:pPr>
              <w:spacing w:line="360" w:lineRule="auto"/>
              <w:rPr>
                <w:rFonts w:ascii="宋体" w:hAnsi="宋体" w:cs="宋体"/>
                <w:color w:val="auto"/>
                <w:sz w:val="24"/>
                <w:highlight w:val="none"/>
              </w:rPr>
            </w:pPr>
          </w:p>
        </w:tc>
        <w:tc>
          <w:tcPr>
            <w:tcW w:w="686" w:type="dxa"/>
            <w:vMerge w:val="continue"/>
          </w:tcPr>
          <w:p>
            <w:pPr>
              <w:spacing w:line="360" w:lineRule="auto"/>
              <w:rPr>
                <w:rFonts w:ascii="宋体" w:hAnsi="宋体" w:cs="宋体"/>
                <w:color w:val="auto"/>
                <w:sz w:val="24"/>
                <w:highlight w:val="none"/>
              </w:rPr>
            </w:pPr>
          </w:p>
        </w:tc>
        <w:tc>
          <w:tcPr>
            <w:tcW w:w="686" w:type="dxa"/>
            <w:vMerge w:val="continue"/>
          </w:tcPr>
          <w:p>
            <w:pPr>
              <w:spacing w:line="360" w:lineRule="auto"/>
              <w:rPr>
                <w:rFonts w:ascii="宋体" w:hAnsi="宋体" w:cs="宋体"/>
                <w:color w:val="auto"/>
                <w:sz w:val="24"/>
                <w:highlight w:val="none"/>
              </w:rPr>
            </w:pPr>
          </w:p>
        </w:tc>
        <w:tc>
          <w:tcPr>
            <w:tcW w:w="120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证书名称</w:t>
            </w:r>
          </w:p>
        </w:tc>
        <w:tc>
          <w:tcPr>
            <w:tcW w:w="80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级别</w:t>
            </w:r>
          </w:p>
        </w:tc>
        <w:tc>
          <w:tcPr>
            <w:tcW w:w="73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证号</w:t>
            </w:r>
          </w:p>
        </w:tc>
        <w:tc>
          <w:tcPr>
            <w:tcW w:w="7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73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身份证号</w:t>
            </w:r>
          </w:p>
        </w:tc>
        <w:tc>
          <w:tcPr>
            <w:tcW w:w="82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原服务单位</w:t>
            </w:r>
          </w:p>
        </w:tc>
        <w:tc>
          <w:tcPr>
            <w:tcW w:w="106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项目数</w:t>
            </w:r>
          </w:p>
        </w:tc>
        <w:tc>
          <w:tcPr>
            <w:tcW w:w="124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tcPr>
          <w:p>
            <w:pPr>
              <w:spacing w:line="360" w:lineRule="auto"/>
              <w:rPr>
                <w:rFonts w:ascii="宋体" w:hAnsi="宋体" w:cs="宋体"/>
                <w:color w:val="auto"/>
                <w:sz w:val="24"/>
                <w:highlight w:val="none"/>
              </w:rPr>
            </w:pPr>
          </w:p>
        </w:tc>
        <w:tc>
          <w:tcPr>
            <w:tcW w:w="686" w:type="dxa"/>
          </w:tcPr>
          <w:p>
            <w:pPr>
              <w:spacing w:line="360" w:lineRule="auto"/>
              <w:rPr>
                <w:rFonts w:ascii="宋体" w:hAnsi="宋体" w:cs="宋体"/>
                <w:color w:val="auto"/>
                <w:sz w:val="24"/>
                <w:highlight w:val="none"/>
              </w:rPr>
            </w:pPr>
          </w:p>
        </w:tc>
        <w:tc>
          <w:tcPr>
            <w:tcW w:w="686" w:type="dxa"/>
          </w:tcPr>
          <w:p>
            <w:pPr>
              <w:spacing w:line="360" w:lineRule="auto"/>
              <w:rPr>
                <w:rFonts w:ascii="宋体" w:hAnsi="宋体" w:cs="宋体"/>
                <w:color w:val="auto"/>
                <w:sz w:val="24"/>
                <w:highlight w:val="none"/>
              </w:rPr>
            </w:pPr>
          </w:p>
        </w:tc>
        <w:tc>
          <w:tcPr>
            <w:tcW w:w="1207" w:type="dxa"/>
          </w:tcPr>
          <w:p>
            <w:pPr>
              <w:spacing w:line="360" w:lineRule="auto"/>
              <w:rPr>
                <w:rFonts w:ascii="宋体" w:hAnsi="宋体" w:cs="宋体"/>
                <w:color w:val="auto"/>
                <w:sz w:val="24"/>
                <w:highlight w:val="none"/>
              </w:rPr>
            </w:pPr>
          </w:p>
        </w:tc>
        <w:tc>
          <w:tcPr>
            <w:tcW w:w="808" w:type="dxa"/>
          </w:tcPr>
          <w:p>
            <w:pPr>
              <w:spacing w:line="360" w:lineRule="auto"/>
              <w:rPr>
                <w:rFonts w:ascii="宋体" w:hAnsi="宋体" w:cs="宋体"/>
                <w:color w:val="auto"/>
                <w:sz w:val="24"/>
                <w:highlight w:val="none"/>
              </w:rPr>
            </w:pPr>
          </w:p>
        </w:tc>
        <w:tc>
          <w:tcPr>
            <w:tcW w:w="738" w:type="dxa"/>
          </w:tcPr>
          <w:p>
            <w:pPr>
              <w:spacing w:line="360" w:lineRule="auto"/>
              <w:rPr>
                <w:rFonts w:ascii="宋体" w:hAnsi="宋体" w:cs="宋体"/>
                <w:color w:val="auto"/>
                <w:sz w:val="24"/>
                <w:highlight w:val="none"/>
              </w:rPr>
            </w:pPr>
          </w:p>
        </w:tc>
        <w:tc>
          <w:tcPr>
            <w:tcW w:w="773" w:type="dxa"/>
          </w:tcPr>
          <w:p>
            <w:pPr>
              <w:spacing w:line="360" w:lineRule="auto"/>
              <w:rPr>
                <w:rFonts w:ascii="宋体" w:hAnsi="宋体" w:cs="宋体"/>
                <w:color w:val="auto"/>
                <w:sz w:val="24"/>
                <w:highlight w:val="none"/>
              </w:rPr>
            </w:pPr>
          </w:p>
        </w:tc>
        <w:tc>
          <w:tcPr>
            <w:tcW w:w="735" w:type="dxa"/>
          </w:tcPr>
          <w:p>
            <w:pPr>
              <w:spacing w:line="360" w:lineRule="auto"/>
              <w:rPr>
                <w:rFonts w:ascii="宋体" w:hAnsi="宋体" w:cs="宋体"/>
                <w:color w:val="auto"/>
                <w:sz w:val="24"/>
                <w:highlight w:val="none"/>
              </w:rPr>
            </w:pPr>
          </w:p>
        </w:tc>
        <w:tc>
          <w:tcPr>
            <w:tcW w:w="820" w:type="dxa"/>
          </w:tcPr>
          <w:p>
            <w:pPr>
              <w:spacing w:line="360" w:lineRule="auto"/>
              <w:rPr>
                <w:rFonts w:ascii="宋体" w:hAnsi="宋体" w:cs="宋体"/>
                <w:color w:val="auto"/>
                <w:sz w:val="24"/>
                <w:highlight w:val="none"/>
              </w:rPr>
            </w:pPr>
          </w:p>
        </w:tc>
        <w:tc>
          <w:tcPr>
            <w:tcW w:w="1065" w:type="dxa"/>
          </w:tcPr>
          <w:p>
            <w:pPr>
              <w:spacing w:line="360" w:lineRule="auto"/>
              <w:rPr>
                <w:rFonts w:ascii="宋体" w:hAnsi="宋体" w:cs="宋体"/>
                <w:color w:val="auto"/>
                <w:sz w:val="24"/>
                <w:highlight w:val="none"/>
              </w:rPr>
            </w:pPr>
          </w:p>
        </w:tc>
        <w:tc>
          <w:tcPr>
            <w:tcW w:w="1245"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tcPr>
          <w:p>
            <w:pPr>
              <w:spacing w:line="360" w:lineRule="auto"/>
              <w:rPr>
                <w:rFonts w:ascii="宋体" w:hAnsi="宋体" w:cs="宋体"/>
                <w:color w:val="auto"/>
                <w:sz w:val="24"/>
                <w:highlight w:val="none"/>
              </w:rPr>
            </w:pPr>
          </w:p>
        </w:tc>
        <w:tc>
          <w:tcPr>
            <w:tcW w:w="686" w:type="dxa"/>
          </w:tcPr>
          <w:p>
            <w:pPr>
              <w:spacing w:line="360" w:lineRule="auto"/>
              <w:rPr>
                <w:rFonts w:ascii="宋体" w:hAnsi="宋体" w:cs="宋体"/>
                <w:color w:val="auto"/>
                <w:sz w:val="24"/>
                <w:highlight w:val="none"/>
              </w:rPr>
            </w:pPr>
          </w:p>
        </w:tc>
        <w:tc>
          <w:tcPr>
            <w:tcW w:w="686" w:type="dxa"/>
          </w:tcPr>
          <w:p>
            <w:pPr>
              <w:spacing w:line="360" w:lineRule="auto"/>
              <w:rPr>
                <w:rFonts w:ascii="宋体" w:hAnsi="宋体" w:cs="宋体"/>
                <w:color w:val="auto"/>
                <w:sz w:val="24"/>
                <w:highlight w:val="none"/>
              </w:rPr>
            </w:pPr>
          </w:p>
        </w:tc>
        <w:tc>
          <w:tcPr>
            <w:tcW w:w="1207" w:type="dxa"/>
          </w:tcPr>
          <w:p>
            <w:pPr>
              <w:spacing w:line="360" w:lineRule="auto"/>
              <w:rPr>
                <w:rFonts w:ascii="宋体" w:hAnsi="宋体" w:cs="宋体"/>
                <w:color w:val="auto"/>
                <w:sz w:val="24"/>
                <w:highlight w:val="none"/>
              </w:rPr>
            </w:pPr>
          </w:p>
        </w:tc>
        <w:tc>
          <w:tcPr>
            <w:tcW w:w="808" w:type="dxa"/>
          </w:tcPr>
          <w:p>
            <w:pPr>
              <w:spacing w:line="360" w:lineRule="auto"/>
              <w:rPr>
                <w:rFonts w:ascii="宋体" w:hAnsi="宋体" w:cs="宋体"/>
                <w:color w:val="auto"/>
                <w:sz w:val="24"/>
                <w:highlight w:val="none"/>
              </w:rPr>
            </w:pPr>
          </w:p>
        </w:tc>
        <w:tc>
          <w:tcPr>
            <w:tcW w:w="738" w:type="dxa"/>
          </w:tcPr>
          <w:p>
            <w:pPr>
              <w:spacing w:line="360" w:lineRule="auto"/>
              <w:rPr>
                <w:rFonts w:ascii="宋体" w:hAnsi="宋体" w:cs="宋体"/>
                <w:color w:val="auto"/>
                <w:sz w:val="24"/>
                <w:highlight w:val="none"/>
              </w:rPr>
            </w:pPr>
          </w:p>
        </w:tc>
        <w:tc>
          <w:tcPr>
            <w:tcW w:w="773" w:type="dxa"/>
          </w:tcPr>
          <w:p>
            <w:pPr>
              <w:spacing w:line="360" w:lineRule="auto"/>
              <w:rPr>
                <w:rFonts w:ascii="宋体" w:hAnsi="宋体" w:cs="宋体"/>
                <w:color w:val="auto"/>
                <w:sz w:val="24"/>
                <w:highlight w:val="none"/>
              </w:rPr>
            </w:pPr>
          </w:p>
        </w:tc>
        <w:tc>
          <w:tcPr>
            <w:tcW w:w="735" w:type="dxa"/>
          </w:tcPr>
          <w:p>
            <w:pPr>
              <w:spacing w:line="360" w:lineRule="auto"/>
              <w:rPr>
                <w:rFonts w:ascii="宋体" w:hAnsi="宋体" w:cs="宋体"/>
                <w:color w:val="auto"/>
                <w:sz w:val="24"/>
                <w:highlight w:val="none"/>
              </w:rPr>
            </w:pPr>
          </w:p>
        </w:tc>
        <w:tc>
          <w:tcPr>
            <w:tcW w:w="820" w:type="dxa"/>
          </w:tcPr>
          <w:p>
            <w:pPr>
              <w:spacing w:line="360" w:lineRule="auto"/>
              <w:rPr>
                <w:rFonts w:ascii="宋体" w:hAnsi="宋体" w:cs="宋体"/>
                <w:color w:val="auto"/>
                <w:sz w:val="24"/>
                <w:highlight w:val="none"/>
              </w:rPr>
            </w:pPr>
          </w:p>
        </w:tc>
        <w:tc>
          <w:tcPr>
            <w:tcW w:w="1065" w:type="dxa"/>
          </w:tcPr>
          <w:p>
            <w:pPr>
              <w:spacing w:line="360" w:lineRule="auto"/>
              <w:rPr>
                <w:rFonts w:ascii="宋体" w:hAnsi="宋体" w:cs="宋体"/>
                <w:color w:val="auto"/>
                <w:sz w:val="24"/>
                <w:highlight w:val="none"/>
              </w:rPr>
            </w:pPr>
          </w:p>
        </w:tc>
        <w:tc>
          <w:tcPr>
            <w:tcW w:w="1245"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tcPr>
          <w:p>
            <w:pPr>
              <w:spacing w:line="360" w:lineRule="auto"/>
              <w:rPr>
                <w:rFonts w:ascii="宋体" w:hAnsi="宋体" w:cs="宋体"/>
                <w:color w:val="auto"/>
                <w:sz w:val="24"/>
                <w:highlight w:val="none"/>
              </w:rPr>
            </w:pPr>
          </w:p>
        </w:tc>
        <w:tc>
          <w:tcPr>
            <w:tcW w:w="686" w:type="dxa"/>
          </w:tcPr>
          <w:p>
            <w:pPr>
              <w:spacing w:line="360" w:lineRule="auto"/>
              <w:rPr>
                <w:rFonts w:ascii="宋体" w:hAnsi="宋体" w:cs="宋体"/>
                <w:color w:val="auto"/>
                <w:sz w:val="24"/>
                <w:highlight w:val="none"/>
              </w:rPr>
            </w:pPr>
          </w:p>
        </w:tc>
        <w:tc>
          <w:tcPr>
            <w:tcW w:w="686" w:type="dxa"/>
          </w:tcPr>
          <w:p>
            <w:pPr>
              <w:spacing w:line="360" w:lineRule="auto"/>
              <w:rPr>
                <w:rFonts w:ascii="宋体" w:hAnsi="宋体" w:cs="宋体"/>
                <w:color w:val="auto"/>
                <w:sz w:val="24"/>
                <w:highlight w:val="none"/>
              </w:rPr>
            </w:pPr>
          </w:p>
        </w:tc>
        <w:tc>
          <w:tcPr>
            <w:tcW w:w="1207" w:type="dxa"/>
          </w:tcPr>
          <w:p>
            <w:pPr>
              <w:spacing w:line="360" w:lineRule="auto"/>
              <w:rPr>
                <w:rFonts w:ascii="宋体" w:hAnsi="宋体" w:cs="宋体"/>
                <w:color w:val="auto"/>
                <w:sz w:val="24"/>
                <w:highlight w:val="none"/>
              </w:rPr>
            </w:pPr>
          </w:p>
        </w:tc>
        <w:tc>
          <w:tcPr>
            <w:tcW w:w="808" w:type="dxa"/>
          </w:tcPr>
          <w:p>
            <w:pPr>
              <w:spacing w:line="360" w:lineRule="auto"/>
              <w:rPr>
                <w:rFonts w:ascii="宋体" w:hAnsi="宋体" w:cs="宋体"/>
                <w:color w:val="auto"/>
                <w:sz w:val="24"/>
                <w:highlight w:val="none"/>
              </w:rPr>
            </w:pPr>
          </w:p>
        </w:tc>
        <w:tc>
          <w:tcPr>
            <w:tcW w:w="738" w:type="dxa"/>
          </w:tcPr>
          <w:p>
            <w:pPr>
              <w:spacing w:line="360" w:lineRule="auto"/>
              <w:rPr>
                <w:rFonts w:ascii="宋体" w:hAnsi="宋体" w:cs="宋体"/>
                <w:color w:val="auto"/>
                <w:sz w:val="24"/>
                <w:highlight w:val="none"/>
              </w:rPr>
            </w:pPr>
          </w:p>
        </w:tc>
        <w:tc>
          <w:tcPr>
            <w:tcW w:w="773" w:type="dxa"/>
          </w:tcPr>
          <w:p>
            <w:pPr>
              <w:spacing w:line="360" w:lineRule="auto"/>
              <w:rPr>
                <w:rFonts w:ascii="宋体" w:hAnsi="宋体" w:cs="宋体"/>
                <w:color w:val="auto"/>
                <w:sz w:val="24"/>
                <w:highlight w:val="none"/>
              </w:rPr>
            </w:pPr>
          </w:p>
        </w:tc>
        <w:tc>
          <w:tcPr>
            <w:tcW w:w="735" w:type="dxa"/>
          </w:tcPr>
          <w:p>
            <w:pPr>
              <w:spacing w:line="360" w:lineRule="auto"/>
              <w:rPr>
                <w:rFonts w:ascii="宋体" w:hAnsi="宋体" w:cs="宋体"/>
                <w:color w:val="auto"/>
                <w:sz w:val="24"/>
                <w:highlight w:val="none"/>
              </w:rPr>
            </w:pPr>
          </w:p>
        </w:tc>
        <w:tc>
          <w:tcPr>
            <w:tcW w:w="820" w:type="dxa"/>
          </w:tcPr>
          <w:p>
            <w:pPr>
              <w:spacing w:line="360" w:lineRule="auto"/>
              <w:rPr>
                <w:rFonts w:ascii="宋体" w:hAnsi="宋体" w:cs="宋体"/>
                <w:color w:val="auto"/>
                <w:sz w:val="24"/>
                <w:highlight w:val="none"/>
              </w:rPr>
            </w:pPr>
          </w:p>
        </w:tc>
        <w:tc>
          <w:tcPr>
            <w:tcW w:w="1065" w:type="dxa"/>
          </w:tcPr>
          <w:p>
            <w:pPr>
              <w:spacing w:line="360" w:lineRule="auto"/>
              <w:rPr>
                <w:rFonts w:ascii="宋体" w:hAnsi="宋体" w:cs="宋体"/>
                <w:color w:val="auto"/>
                <w:sz w:val="24"/>
                <w:highlight w:val="none"/>
              </w:rPr>
            </w:pPr>
          </w:p>
        </w:tc>
        <w:tc>
          <w:tcPr>
            <w:tcW w:w="1245"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tcPr>
          <w:p>
            <w:pPr>
              <w:spacing w:line="360" w:lineRule="auto"/>
              <w:rPr>
                <w:rFonts w:ascii="宋体" w:hAnsi="宋体" w:cs="宋体"/>
                <w:color w:val="auto"/>
                <w:sz w:val="24"/>
                <w:highlight w:val="none"/>
              </w:rPr>
            </w:pPr>
          </w:p>
        </w:tc>
        <w:tc>
          <w:tcPr>
            <w:tcW w:w="686" w:type="dxa"/>
          </w:tcPr>
          <w:p>
            <w:pPr>
              <w:spacing w:line="360" w:lineRule="auto"/>
              <w:rPr>
                <w:rFonts w:ascii="宋体" w:hAnsi="宋体" w:cs="宋体"/>
                <w:color w:val="auto"/>
                <w:sz w:val="24"/>
                <w:highlight w:val="none"/>
              </w:rPr>
            </w:pPr>
          </w:p>
        </w:tc>
        <w:tc>
          <w:tcPr>
            <w:tcW w:w="686" w:type="dxa"/>
          </w:tcPr>
          <w:p>
            <w:pPr>
              <w:spacing w:line="360" w:lineRule="auto"/>
              <w:rPr>
                <w:rFonts w:ascii="宋体" w:hAnsi="宋体" w:cs="宋体"/>
                <w:color w:val="auto"/>
                <w:sz w:val="24"/>
                <w:highlight w:val="none"/>
              </w:rPr>
            </w:pPr>
          </w:p>
        </w:tc>
        <w:tc>
          <w:tcPr>
            <w:tcW w:w="1207" w:type="dxa"/>
          </w:tcPr>
          <w:p>
            <w:pPr>
              <w:spacing w:line="360" w:lineRule="auto"/>
              <w:rPr>
                <w:rFonts w:ascii="宋体" w:hAnsi="宋体" w:cs="宋体"/>
                <w:color w:val="auto"/>
                <w:sz w:val="24"/>
                <w:highlight w:val="none"/>
              </w:rPr>
            </w:pPr>
          </w:p>
        </w:tc>
        <w:tc>
          <w:tcPr>
            <w:tcW w:w="808" w:type="dxa"/>
          </w:tcPr>
          <w:p>
            <w:pPr>
              <w:spacing w:line="360" w:lineRule="auto"/>
              <w:rPr>
                <w:rFonts w:ascii="宋体" w:hAnsi="宋体" w:cs="宋体"/>
                <w:color w:val="auto"/>
                <w:sz w:val="24"/>
                <w:highlight w:val="none"/>
              </w:rPr>
            </w:pPr>
          </w:p>
        </w:tc>
        <w:tc>
          <w:tcPr>
            <w:tcW w:w="738" w:type="dxa"/>
          </w:tcPr>
          <w:p>
            <w:pPr>
              <w:spacing w:line="360" w:lineRule="auto"/>
              <w:rPr>
                <w:rFonts w:ascii="宋体" w:hAnsi="宋体" w:cs="宋体"/>
                <w:color w:val="auto"/>
                <w:sz w:val="24"/>
                <w:highlight w:val="none"/>
              </w:rPr>
            </w:pPr>
          </w:p>
        </w:tc>
        <w:tc>
          <w:tcPr>
            <w:tcW w:w="773" w:type="dxa"/>
          </w:tcPr>
          <w:p>
            <w:pPr>
              <w:spacing w:line="360" w:lineRule="auto"/>
              <w:rPr>
                <w:rFonts w:ascii="宋体" w:hAnsi="宋体" w:cs="宋体"/>
                <w:color w:val="auto"/>
                <w:sz w:val="24"/>
                <w:highlight w:val="none"/>
              </w:rPr>
            </w:pPr>
          </w:p>
        </w:tc>
        <w:tc>
          <w:tcPr>
            <w:tcW w:w="735" w:type="dxa"/>
          </w:tcPr>
          <w:p>
            <w:pPr>
              <w:spacing w:line="360" w:lineRule="auto"/>
              <w:rPr>
                <w:rFonts w:ascii="宋体" w:hAnsi="宋体" w:cs="宋体"/>
                <w:color w:val="auto"/>
                <w:sz w:val="24"/>
                <w:highlight w:val="none"/>
              </w:rPr>
            </w:pPr>
          </w:p>
        </w:tc>
        <w:tc>
          <w:tcPr>
            <w:tcW w:w="820" w:type="dxa"/>
          </w:tcPr>
          <w:p>
            <w:pPr>
              <w:spacing w:line="360" w:lineRule="auto"/>
              <w:rPr>
                <w:rFonts w:ascii="宋体" w:hAnsi="宋体" w:cs="宋体"/>
                <w:color w:val="auto"/>
                <w:sz w:val="24"/>
                <w:highlight w:val="none"/>
              </w:rPr>
            </w:pPr>
          </w:p>
        </w:tc>
        <w:tc>
          <w:tcPr>
            <w:tcW w:w="1065" w:type="dxa"/>
          </w:tcPr>
          <w:p>
            <w:pPr>
              <w:spacing w:line="360" w:lineRule="auto"/>
              <w:rPr>
                <w:rFonts w:ascii="宋体" w:hAnsi="宋体" w:cs="宋体"/>
                <w:color w:val="auto"/>
                <w:sz w:val="24"/>
                <w:highlight w:val="none"/>
              </w:rPr>
            </w:pPr>
          </w:p>
        </w:tc>
        <w:tc>
          <w:tcPr>
            <w:tcW w:w="1245"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tcPr>
          <w:p>
            <w:pPr>
              <w:spacing w:line="360" w:lineRule="auto"/>
              <w:rPr>
                <w:rFonts w:ascii="宋体" w:hAnsi="宋体" w:cs="宋体"/>
                <w:color w:val="auto"/>
                <w:sz w:val="24"/>
                <w:highlight w:val="none"/>
              </w:rPr>
            </w:pPr>
          </w:p>
        </w:tc>
        <w:tc>
          <w:tcPr>
            <w:tcW w:w="686" w:type="dxa"/>
          </w:tcPr>
          <w:p>
            <w:pPr>
              <w:spacing w:line="360" w:lineRule="auto"/>
              <w:rPr>
                <w:rFonts w:ascii="宋体" w:hAnsi="宋体" w:cs="宋体"/>
                <w:color w:val="auto"/>
                <w:sz w:val="24"/>
                <w:highlight w:val="none"/>
              </w:rPr>
            </w:pPr>
          </w:p>
        </w:tc>
        <w:tc>
          <w:tcPr>
            <w:tcW w:w="686" w:type="dxa"/>
          </w:tcPr>
          <w:p>
            <w:pPr>
              <w:spacing w:line="360" w:lineRule="auto"/>
              <w:rPr>
                <w:rFonts w:ascii="宋体" w:hAnsi="宋体" w:cs="宋体"/>
                <w:color w:val="auto"/>
                <w:sz w:val="24"/>
                <w:highlight w:val="none"/>
              </w:rPr>
            </w:pPr>
          </w:p>
        </w:tc>
        <w:tc>
          <w:tcPr>
            <w:tcW w:w="1207" w:type="dxa"/>
          </w:tcPr>
          <w:p>
            <w:pPr>
              <w:spacing w:line="360" w:lineRule="auto"/>
              <w:rPr>
                <w:rFonts w:ascii="宋体" w:hAnsi="宋体" w:cs="宋体"/>
                <w:color w:val="auto"/>
                <w:sz w:val="24"/>
                <w:highlight w:val="none"/>
              </w:rPr>
            </w:pPr>
          </w:p>
        </w:tc>
        <w:tc>
          <w:tcPr>
            <w:tcW w:w="808" w:type="dxa"/>
          </w:tcPr>
          <w:p>
            <w:pPr>
              <w:spacing w:line="360" w:lineRule="auto"/>
              <w:rPr>
                <w:rFonts w:ascii="宋体" w:hAnsi="宋体" w:cs="宋体"/>
                <w:color w:val="auto"/>
                <w:sz w:val="24"/>
                <w:highlight w:val="none"/>
              </w:rPr>
            </w:pPr>
          </w:p>
        </w:tc>
        <w:tc>
          <w:tcPr>
            <w:tcW w:w="738" w:type="dxa"/>
          </w:tcPr>
          <w:p>
            <w:pPr>
              <w:spacing w:line="360" w:lineRule="auto"/>
              <w:rPr>
                <w:rFonts w:ascii="宋体" w:hAnsi="宋体" w:cs="宋体"/>
                <w:color w:val="auto"/>
                <w:sz w:val="24"/>
                <w:highlight w:val="none"/>
              </w:rPr>
            </w:pPr>
          </w:p>
        </w:tc>
        <w:tc>
          <w:tcPr>
            <w:tcW w:w="773" w:type="dxa"/>
          </w:tcPr>
          <w:p>
            <w:pPr>
              <w:spacing w:line="360" w:lineRule="auto"/>
              <w:rPr>
                <w:rFonts w:ascii="宋体" w:hAnsi="宋体" w:cs="宋体"/>
                <w:color w:val="auto"/>
                <w:sz w:val="24"/>
                <w:highlight w:val="none"/>
              </w:rPr>
            </w:pPr>
          </w:p>
        </w:tc>
        <w:tc>
          <w:tcPr>
            <w:tcW w:w="735" w:type="dxa"/>
          </w:tcPr>
          <w:p>
            <w:pPr>
              <w:spacing w:line="360" w:lineRule="auto"/>
              <w:rPr>
                <w:rFonts w:ascii="宋体" w:hAnsi="宋体" w:cs="宋体"/>
                <w:color w:val="auto"/>
                <w:sz w:val="24"/>
                <w:highlight w:val="none"/>
              </w:rPr>
            </w:pPr>
          </w:p>
        </w:tc>
        <w:tc>
          <w:tcPr>
            <w:tcW w:w="820" w:type="dxa"/>
          </w:tcPr>
          <w:p>
            <w:pPr>
              <w:spacing w:line="360" w:lineRule="auto"/>
              <w:rPr>
                <w:rFonts w:ascii="宋体" w:hAnsi="宋体" w:cs="宋体"/>
                <w:color w:val="auto"/>
                <w:sz w:val="24"/>
                <w:highlight w:val="none"/>
              </w:rPr>
            </w:pPr>
          </w:p>
        </w:tc>
        <w:tc>
          <w:tcPr>
            <w:tcW w:w="1065" w:type="dxa"/>
          </w:tcPr>
          <w:p>
            <w:pPr>
              <w:spacing w:line="360" w:lineRule="auto"/>
              <w:rPr>
                <w:rFonts w:ascii="宋体" w:hAnsi="宋体" w:cs="宋体"/>
                <w:color w:val="auto"/>
                <w:sz w:val="24"/>
                <w:highlight w:val="none"/>
              </w:rPr>
            </w:pPr>
          </w:p>
        </w:tc>
        <w:tc>
          <w:tcPr>
            <w:tcW w:w="1245"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0" w:type="dxa"/>
          </w:tcPr>
          <w:p>
            <w:pPr>
              <w:spacing w:line="360" w:lineRule="auto"/>
              <w:rPr>
                <w:rFonts w:ascii="宋体" w:hAnsi="宋体" w:cs="宋体"/>
                <w:color w:val="auto"/>
                <w:sz w:val="24"/>
                <w:highlight w:val="none"/>
              </w:rPr>
            </w:pPr>
          </w:p>
        </w:tc>
        <w:tc>
          <w:tcPr>
            <w:tcW w:w="686" w:type="dxa"/>
          </w:tcPr>
          <w:p>
            <w:pPr>
              <w:spacing w:line="360" w:lineRule="auto"/>
              <w:rPr>
                <w:rFonts w:ascii="宋体" w:hAnsi="宋体" w:cs="宋体"/>
                <w:color w:val="auto"/>
                <w:sz w:val="24"/>
                <w:highlight w:val="none"/>
              </w:rPr>
            </w:pPr>
          </w:p>
        </w:tc>
        <w:tc>
          <w:tcPr>
            <w:tcW w:w="686" w:type="dxa"/>
          </w:tcPr>
          <w:p>
            <w:pPr>
              <w:spacing w:line="360" w:lineRule="auto"/>
              <w:rPr>
                <w:rFonts w:ascii="宋体" w:hAnsi="宋体" w:cs="宋体"/>
                <w:color w:val="auto"/>
                <w:sz w:val="24"/>
                <w:highlight w:val="none"/>
              </w:rPr>
            </w:pPr>
          </w:p>
        </w:tc>
        <w:tc>
          <w:tcPr>
            <w:tcW w:w="1207" w:type="dxa"/>
          </w:tcPr>
          <w:p>
            <w:pPr>
              <w:spacing w:line="360" w:lineRule="auto"/>
              <w:rPr>
                <w:rFonts w:ascii="宋体" w:hAnsi="宋体" w:cs="宋体"/>
                <w:color w:val="auto"/>
                <w:sz w:val="24"/>
                <w:highlight w:val="none"/>
              </w:rPr>
            </w:pPr>
          </w:p>
        </w:tc>
        <w:tc>
          <w:tcPr>
            <w:tcW w:w="808" w:type="dxa"/>
          </w:tcPr>
          <w:p>
            <w:pPr>
              <w:spacing w:line="360" w:lineRule="auto"/>
              <w:rPr>
                <w:rFonts w:ascii="宋体" w:hAnsi="宋体" w:cs="宋体"/>
                <w:color w:val="auto"/>
                <w:sz w:val="24"/>
                <w:highlight w:val="none"/>
              </w:rPr>
            </w:pPr>
          </w:p>
        </w:tc>
        <w:tc>
          <w:tcPr>
            <w:tcW w:w="738" w:type="dxa"/>
          </w:tcPr>
          <w:p>
            <w:pPr>
              <w:spacing w:line="360" w:lineRule="auto"/>
              <w:rPr>
                <w:rFonts w:ascii="宋体" w:hAnsi="宋体" w:cs="宋体"/>
                <w:color w:val="auto"/>
                <w:sz w:val="24"/>
                <w:highlight w:val="none"/>
              </w:rPr>
            </w:pPr>
          </w:p>
        </w:tc>
        <w:tc>
          <w:tcPr>
            <w:tcW w:w="773" w:type="dxa"/>
          </w:tcPr>
          <w:p>
            <w:pPr>
              <w:spacing w:line="360" w:lineRule="auto"/>
              <w:rPr>
                <w:rFonts w:ascii="宋体" w:hAnsi="宋体" w:cs="宋体"/>
                <w:color w:val="auto"/>
                <w:sz w:val="24"/>
                <w:highlight w:val="none"/>
              </w:rPr>
            </w:pPr>
          </w:p>
        </w:tc>
        <w:tc>
          <w:tcPr>
            <w:tcW w:w="735" w:type="dxa"/>
          </w:tcPr>
          <w:p>
            <w:pPr>
              <w:spacing w:line="360" w:lineRule="auto"/>
              <w:rPr>
                <w:rFonts w:ascii="宋体" w:hAnsi="宋体" w:cs="宋体"/>
                <w:color w:val="auto"/>
                <w:sz w:val="24"/>
                <w:highlight w:val="none"/>
              </w:rPr>
            </w:pPr>
          </w:p>
        </w:tc>
        <w:tc>
          <w:tcPr>
            <w:tcW w:w="820" w:type="dxa"/>
          </w:tcPr>
          <w:p>
            <w:pPr>
              <w:spacing w:line="360" w:lineRule="auto"/>
              <w:rPr>
                <w:rFonts w:ascii="宋体" w:hAnsi="宋体" w:cs="宋体"/>
                <w:color w:val="auto"/>
                <w:sz w:val="24"/>
                <w:highlight w:val="none"/>
              </w:rPr>
            </w:pPr>
          </w:p>
        </w:tc>
        <w:tc>
          <w:tcPr>
            <w:tcW w:w="1065" w:type="dxa"/>
          </w:tcPr>
          <w:p>
            <w:pPr>
              <w:spacing w:line="360" w:lineRule="auto"/>
              <w:rPr>
                <w:rFonts w:ascii="宋体" w:hAnsi="宋体" w:cs="宋体"/>
                <w:color w:val="auto"/>
                <w:sz w:val="24"/>
                <w:highlight w:val="none"/>
              </w:rPr>
            </w:pPr>
          </w:p>
        </w:tc>
        <w:tc>
          <w:tcPr>
            <w:tcW w:w="1245" w:type="dxa"/>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9453" w:type="dxa"/>
            <w:gridSpan w:val="11"/>
          </w:tcPr>
          <w:p>
            <w:pPr>
              <w:spacing w:line="360" w:lineRule="auto"/>
              <w:ind w:firstLine="360"/>
              <w:rPr>
                <w:rFonts w:ascii="宋体" w:hAnsi="宋体" w:cs="宋体"/>
                <w:color w:val="auto"/>
                <w:sz w:val="24"/>
                <w:highlight w:val="none"/>
              </w:rPr>
            </w:pPr>
            <w:r>
              <w:rPr>
                <w:rFonts w:hint="eastAsia" w:ascii="宋体" w:hAnsi="宋体" w:cs="宋体"/>
                <w:color w:val="auto"/>
                <w:sz w:val="24"/>
                <w:highlight w:val="none"/>
              </w:rPr>
              <w:t xml:space="preserve">一旦我单位中标，将实行项目负责人负责制，我方保证并配备上述项目管理机构。上述填报内容真实，若不真实，愿按有关规定接受处理。项目管理班子机构设置、职责分工等情况另附资料说明。             </w:t>
            </w:r>
          </w:p>
        </w:tc>
      </w:tr>
    </w:tbl>
    <w:p>
      <w:pPr>
        <w:pStyle w:val="5"/>
        <w:rPr>
          <w:rFonts w:ascii="宋体" w:hAnsi="宋体" w:eastAsia="宋体" w:cs="宋体"/>
          <w:color w:val="auto"/>
          <w:highlight w:val="none"/>
        </w:rPr>
      </w:pPr>
      <w:r>
        <w:rPr>
          <w:rFonts w:hint="eastAsia" w:ascii="宋体" w:hAnsi="宋体" w:eastAsia="宋体" w:cs="宋体"/>
          <w:color w:val="auto"/>
          <w:highlight w:val="none"/>
        </w:rPr>
        <w:t>（2）项目负责人简历表</w:t>
      </w:r>
    </w:p>
    <w:p>
      <w:pPr>
        <w:pStyle w:val="5"/>
        <w:ind w:left="420"/>
        <w:rPr>
          <w:rFonts w:ascii="宋体" w:hAnsi="宋体" w:eastAsia="宋体" w:cs="宋体"/>
          <w:b w:val="0"/>
          <w:bCs w:val="0"/>
          <w:color w:val="auto"/>
          <w:sz w:val="21"/>
          <w:highlight w:val="none"/>
        </w:rPr>
      </w:pPr>
      <w:r>
        <w:rPr>
          <w:rFonts w:hint="eastAsia" w:ascii="宋体" w:hAnsi="宋体" w:eastAsia="宋体" w:cs="宋体"/>
          <w:b w:val="0"/>
          <w:bCs w:val="0"/>
          <w:color w:val="auto"/>
          <w:sz w:val="24"/>
          <w:highlight w:val="none"/>
        </w:rPr>
        <w:t xml:space="preserve">工程 </w:t>
      </w:r>
      <w:r>
        <w:rPr>
          <w:rFonts w:hint="eastAsia" w:ascii="宋体" w:hAnsi="宋体" w:eastAsia="宋体" w:cs="宋体"/>
          <w:b w:val="0"/>
          <w:bCs w:val="0"/>
          <w:color w:val="auto"/>
          <w:sz w:val="21"/>
          <w:highlight w:val="none"/>
        </w:rPr>
        <w:t xml:space="preserve">表2  </w:t>
      </w:r>
    </w:p>
    <w:tbl>
      <w:tblPr>
        <w:tblStyle w:val="17"/>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73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2610" w:type="dxa"/>
            <w:gridSpan w:val="4"/>
            <w:vAlign w:val="center"/>
          </w:tcPr>
          <w:p>
            <w:pPr>
              <w:spacing w:line="360" w:lineRule="auto"/>
              <w:jc w:val="center"/>
              <w:rPr>
                <w:rFonts w:ascii="宋体" w:hAnsi="宋体" w:cs="宋体"/>
                <w:color w:val="auto"/>
                <w:sz w:val="24"/>
                <w:highlight w:val="none"/>
              </w:rPr>
            </w:pPr>
          </w:p>
        </w:tc>
        <w:tc>
          <w:tcPr>
            <w:tcW w:w="8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680" w:type="dxa"/>
            <w:gridSpan w:val="3"/>
            <w:vAlign w:val="center"/>
          </w:tcPr>
          <w:p>
            <w:pPr>
              <w:spacing w:line="360" w:lineRule="auto"/>
              <w:jc w:val="center"/>
              <w:rPr>
                <w:rFonts w:ascii="宋体" w:hAnsi="宋体" w:cs="宋体"/>
                <w:color w:val="auto"/>
                <w:sz w:val="24"/>
                <w:highlight w:val="none"/>
              </w:rPr>
            </w:pPr>
          </w:p>
        </w:tc>
        <w:tc>
          <w:tcPr>
            <w:tcW w:w="108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800" w:type="dxa"/>
            <w:gridSpan w:val="2"/>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2610" w:type="dxa"/>
            <w:gridSpan w:val="4"/>
            <w:vAlign w:val="center"/>
          </w:tcPr>
          <w:p>
            <w:pPr>
              <w:spacing w:line="360" w:lineRule="auto"/>
              <w:jc w:val="center"/>
              <w:rPr>
                <w:rFonts w:ascii="宋体" w:hAnsi="宋体" w:cs="宋体"/>
                <w:color w:val="auto"/>
                <w:sz w:val="24"/>
                <w:highlight w:val="none"/>
              </w:rPr>
            </w:pPr>
          </w:p>
        </w:tc>
        <w:tc>
          <w:tcPr>
            <w:tcW w:w="8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680" w:type="dxa"/>
            <w:gridSpan w:val="3"/>
            <w:vAlign w:val="center"/>
          </w:tcPr>
          <w:p>
            <w:pPr>
              <w:spacing w:line="360" w:lineRule="auto"/>
              <w:jc w:val="center"/>
              <w:rPr>
                <w:rFonts w:ascii="宋体" w:hAnsi="宋体" w:cs="宋体"/>
                <w:color w:val="auto"/>
                <w:sz w:val="24"/>
                <w:highlight w:val="none"/>
              </w:rPr>
            </w:pPr>
          </w:p>
        </w:tc>
        <w:tc>
          <w:tcPr>
            <w:tcW w:w="108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800" w:type="dxa"/>
            <w:gridSpan w:val="2"/>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35" w:type="dxa"/>
            <w:gridSpan w:val="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参加工作时间</w:t>
            </w:r>
          </w:p>
        </w:tc>
        <w:tc>
          <w:tcPr>
            <w:tcW w:w="1890" w:type="dxa"/>
            <w:gridSpan w:val="4"/>
            <w:vAlign w:val="center"/>
          </w:tcPr>
          <w:p>
            <w:pPr>
              <w:spacing w:line="360" w:lineRule="auto"/>
              <w:jc w:val="center"/>
              <w:rPr>
                <w:rFonts w:ascii="宋体" w:hAnsi="宋体" w:cs="宋体"/>
                <w:color w:val="auto"/>
                <w:sz w:val="24"/>
                <w:highlight w:val="none"/>
              </w:rPr>
            </w:pPr>
          </w:p>
        </w:tc>
        <w:tc>
          <w:tcPr>
            <w:tcW w:w="2625" w:type="dxa"/>
            <w:gridSpan w:val="5"/>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担任项目负责人年限</w:t>
            </w:r>
          </w:p>
        </w:tc>
        <w:tc>
          <w:tcPr>
            <w:tcW w:w="1395"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2835" w:type="dxa"/>
            <w:gridSpan w:val="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注册建造师注册编号</w:t>
            </w:r>
          </w:p>
        </w:tc>
        <w:tc>
          <w:tcPr>
            <w:tcW w:w="5910" w:type="dxa"/>
            <w:gridSpan w:val="1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45" w:type="dxa"/>
            <w:gridSpan w:val="1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建设单位</w:t>
            </w:r>
          </w:p>
        </w:tc>
        <w:tc>
          <w:tcPr>
            <w:tcW w:w="168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580" w:type="dxa"/>
            <w:gridSpan w:val="4"/>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建设规模</w:t>
            </w:r>
          </w:p>
        </w:tc>
        <w:tc>
          <w:tcPr>
            <w:tcW w:w="156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开、竣工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日期</w:t>
            </w:r>
          </w:p>
        </w:tc>
        <w:tc>
          <w:tcPr>
            <w:tcW w:w="105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在建或已 完</w:t>
            </w:r>
          </w:p>
        </w:tc>
        <w:tc>
          <w:tcPr>
            <w:tcW w:w="13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60" w:lineRule="auto"/>
              <w:jc w:val="center"/>
              <w:rPr>
                <w:rFonts w:ascii="宋体" w:hAnsi="宋体" w:cs="宋体"/>
                <w:color w:val="auto"/>
                <w:sz w:val="24"/>
                <w:highlight w:val="none"/>
              </w:rPr>
            </w:pPr>
          </w:p>
        </w:tc>
        <w:tc>
          <w:tcPr>
            <w:tcW w:w="1680" w:type="dxa"/>
            <w:gridSpan w:val="2"/>
            <w:vAlign w:val="center"/>
          </w:tcPr>
          <w:p>
            <w:pPr>
              <w:spacing w:line="360" w:lineRule="auto"/>
              <w:jc w:val="center"/>
              <w:rPr>
                <w:rFonts w:ascii="宋体" w:hAnsi="宋体" w:cs="宋体"/>
                <w:color w:val="auto"/>
                <w:sz w:val="24"/>
                <w:highlight w:val="none"/>
              </w:rPr>
            </w:pPr>
          </w:p>
        </w:tc>
        <w:tc>
          <w:tcPr>
            <w:tcW w:w="1580" w:type="dxa"/>
            <w:gridSpan w:val="4"/>
            <w:vAlign w:val="center"/>
          </w:tcPr>
          <w:p>
            <w:pPr>
              <w:spacing w:line="360" w:lineRule="auto"/>
              <w:jc w:val="center"/>
              <w:rPr>
                <w:rFonts w:ascii="宋体" w:hAnsi="宋体" w:cs="宋体"/>
                <w:color w:val="auto"/>
                <w:sz w:val="24"/>
                <w:highlight w:val="none"/>
              </w:rPr>
            </w:pPr>
          </w:p>
        </w:tc>
        <w:tc>
          <w:tcPr>
            <w:tcW w:w="1560" w:type="dxa"/>
            <w:gridSpan w:val="2"/>
            <w:vAlign w:val="center"/>
          </w:tcPr>
          <w:p>
            <w:pPr>
              <w:spacing w:line="360" w:lineRule="auto"/>
              <w:jc w:val="center"/>
              <w:rPr>
                <w:rFonts w:ascii="宋体" w:hAnsi="宋体" w:cs="宋体"/>
                <w:color w:val="auto"/>
                <w:sz w:val="24"/>
                <w:highlight w:val="none"/>
              </w:rPr>
            </w:pPr>
          </w:p>
        </w:tc>
        <w:tc>
          <w:tcPr>
            <w:tcW w:w="1050" w:type="dxa"/>
            <w:gridSpan w:val="2"/>
            <w:vAlign w:val="center"/>
          </w:tcPr>
          <w:p>
            <w:pPr>
              <w:spacing w:line="360" w:lineRule="auto"/>
              <w:jc w:val="center"/>
              <w:rPr>
                <w:rFonts w:ascii="宋体" w:hAnsi="宋体" w:cs="宋体"/>
                <w:color w:val="auto"/>
                <w:sz w:val="24"/>
                <w:highlight w:val="none"/>
              </w:rPr>
            </w:pPr>
          </w:p>
        </w:tc>
        <w:tc>
          <w:tcPr>
            <w:tcW w:w="1395"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80" w:type="dxa"/>
            <w:gridSpan w:val="2"/>
            <w:vAlign w:val="center"/>
          </w:tcPr>
          <w:p>
            <w:pPr>
              <w:spacing w:line="360" w:lineRule="auto"/>
              <w:jc w:val="center"/>
              <w:rPr>
                <w:rFonts w:ascii="宋体" w:hAnsi="宋体" w:cs="宋体"/>
                <w:color w:val="auto"/>
                <w:sz w:val="24"/>
                <w:highlight w:val="none"/>
              </w:rPr>
            </w:pPr>
          </w:p>
        </w:tc>
        <w:tc>
          <w:tcPr>
            <w:tcW w:w="1680" w:type="dxa"/>
            <w:gridSpan w:val="2"/>
            <w:vAlign w:val="center"/>
          </w:tcPr>
          <w:p>
            <w:pPr>
              <w:spacing w:line="360" w:lineRule="auto"/>
              <w:jc w:val="center"/>
              <w:rPr>
                <w:rFonts w:ascii="宋体" w:hAnsi="宋体" w:cs="宋体"/>
                <w:color w:val="auto"/>
                <w:sz w:val="24"/>
                <w:highlight w:val="none"/>
              </w:rPr>
            </w:pPr>
          </w:p>
        </w:tc>
        <w:tc>
          <w:tcPr>
            <w:tcW w:w="1580" w:type="dxa"/>
            <w:gridSpan w:val="4"/>
            <w:vAlign w:val="center"/>
          </w:tcPr>
          <w:p>
            <w:pPr>
              <w:spacing w:line="360" w:lineRule="auto"/>
              <w:jc w:val="center"/>
              <w:rPr>
                <w:rFonts w:ascii="宋体" w:hAnsi="宋体" w:cs="宋体"/>
                <w:color w:val="auto"/>
                <w:sz w:val="24"/>
                <w:highlight w:val="none"/>
              </w:rPr>
            </w:pPr>
          </w:p>
        </w:tc>
        <w:tc>
          <w:tcPr>
            <w:tcW w:w="1560" w:type="dxa"/>
            <w:gridSpan w:val="2"/>
            <w:vAlign w:val="center"/>
          </w:tcPr>
          <w:p>
            <w:pPr>
              <w:spacing w:line="360" w:lineRule="auto"/>
              <w:jc w:val="center"/>
              <w:rPr>
                <w:rFonts w:ascii="宋体" w:hAnsi="宋体" w:cs="宋体"/>
                <w:color w:val="auto"/>
                <w:sz w:val="24"/>
                <w:highlight w:val="none"/>
              </w:rPr>
            </w:pPr>
          </w:p>
        </w:tc>
        <w:tc>
          <w:tcPr>
            <w:tcW w:w="1050" w:type="dxa"/>
            <w:gridSpan w:val="2"/>
            <w:vAlign w:val="center"/>
          </w:tcPr>
          <w:p>
            <w:pPr>
              <w:spacing w:line="360" w:lineRule="auto"/>
              <w:jc w:val="center"/>
              <w:rPr>
                <w:rFonts w:ascii="宋体" w:hAnsi="宋体" w:cs="宋体"/>
                <w:color w:val="auto"/>
                <w:sz w:val="24"/>
                <w:highlight w:val="none"/>
              </w:rPr>
            </w:pPr>
          </w:p>
        </w:tc>
        <w:tc>
          <w:tcPr>
            <w:tcW w:w="1395" w:type="dxa"/>
            <w:vAlign w:val="center"/>
          </w:tcPr>
          <w:p>
            <w:pPr>
              <w:spacing w:line="360" w:lineRule="auto"/>
              <w:jc w:val="center"/>
              <w:rPr>
                <w:rFonts w:ascii="宋体" w:hAnsi="宋体" w:cs="宋体"/>
                <w:color w:val="auto"/>
                <w:sz w:val="24"/>
                <w:highlight w:val="none"/>
              </w:rPr>
            </w:pPr>
          </w:p>
        </w:tc>
      </w:tr>
    </w:tbl>
    <w:p>
      <w:pPr>
        <w:pStyle w:val="5"/>
        <w:rPr>
          <w:rFonts w:ascii="宋体" w:hAnsi="宋体" w:eastAsia="宋体" w:cs="宋体"/>
          <w:color w:val="auto"/>
          <w:highlight w:val="none"/>
        </w:rPr>
      </w:pPr>
      <w:r>
        <w:rPr>
          <w:rFonts w:hint="eastAsia" w:ascii="宋体" w:hAnsi="宋体" w:eastAsia="宋体" w:cs="宋体"/>
          <w:color w:val="auto"/>
          <w:highlight w:val="none"/>
        </w:rPr>
        <w:t>（3）项目技术负责人简历表</w:t>
      </w:r>
    </w:p>
    <w:p>
      <w:pPr>
        <w:wordWrap w:val="0"/>
        <w:spacing w:line="360" w:lineRule="auto"/>
        <w:jc w:val="right"/>
        <w:rPr>
          <w:rFonts w:ascii="宋体" w:hAnsi="宋体" w:cs="宋体"/>
          <w:color w:val="auto"/>
          <w:highlight w:val="none"/>
        </w:rPr>
      </w:pPr>
      <w:r>
        <w:rPr>
          <w:rFonts w:hint="eastAsia" w:ascii="宋体" w:hAnsi="宋体" w:cs="宋体"/>
          <w:color w:val="auto"/>
          <w:sz w:val="24"/>
          <w:highlight w:val="none"/>
        </w:rPr>
        <w:t xml:space="preserve">工程  </w:t>
      </w:r>
      <w:r>
        <w:rPr>
          <w:rFonts w:hint="eastAsia" w:ascii="宋体" w:hAnsi="宋体" w:cs="宋体"/>
          <w:color w:val="auto"/>
          <w:highlight w:val="none"/>
        </w:rPr>
        <w:t xml:space="preserve">                      表3</w:t>
      </w:r>
    </w:p>
    <w:tbl>
      <w:tblPr>
        <w:tblStyle w:val="17"/>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935"/>
        <w:gridCol w:w="745"/>
        <w:gridCol w:w="185"/>
        <w:gridCol w:w="840"/>
        <w:gridCol w:w="540"/>
        <w:gridCol w:w="15"/>
        <w:gridCol w:w="1485"/>
        <w:gridCol w:w="75"/>
        <w:gridCol w:w="825"/>
        <w:gridCol w:w="225"/>
        <w:gridCol w:w="31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2610" w:type="dxa"/>
            <w:gridSpan w:val="4"/>
            <w:vAlign w:val="center"/>
          </w:tcPr>
          <w:p>
            <w:pPr>
              <w:spacing w:line="360" w:lineRule="auto"/>
              <w:jc w:val="center"/>
              <w:rPr>
                <w:rFonts w:ascii="宋体" w:hAnsi="宋体" w:cs="宋体"/>
                <w:color w:val="auto"/>
                <w:sz w:val="24"/>
                <w:highlight w:val="none"/>
              </w:rPr>
            </w:pPr>
          </w:p>
        </w:tc>
        <w:tc>
          <w:tcPr>
            <w:tcW w:w="8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2040" w:type="dxa"/>
            <w:gridSpan w:val="3"/>
            <w:vAlign w:val="center"/>
          </w:tcPr>
          <w:p>
            <w:pPr>
              <w:spacing w:line="360" w:lineRule="auto"/>
              <w:jc w:val="center"/>
              <w:rPr>
                <w:rFonts w:ascii="宋体" w:hAnsi="宋体" w:cs="宋体"/>
                <w:color w:val="auto"/>
                <w:sz w:val="24"/>
                <w:highlight w:val="none"/>
              </w:rPr>
            </w:pPr>
          </w:p>
        </w:tc>
        <w:tc>
          <w:tcPr>
            <w:tcW w:w="90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2430"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2610" w:type="dxa"/>
            <w:gridSpan w:val="4"/>
            <w:vAlign w:val="center"/>
          </w:tcPr>
          <w:p>
            <w:pPr>
              <w:spacing w:line="360" w:lineRule="auto"/>
              <w:jc w:val="center"/>
              <w:rPr>
                <w:rFonts w:ascii="宋体" w:hAnsi="宋体" w:cs="宋体"/>
                <w:color w:val="auto"/>
                <w:sz w:val="24"/>
                <w:highlight w:val="none"/>
              </w:rPr>
            </w:pPr>
          </w:p>
        </w:tc>
        <w:tc>
          <w:tcPr>
            <w:tcW w:w="84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2040" w:type="dxa"/>
            <w:gridSpan w:val="3"/>
            <w:vAlign w:val="center"/>
          </w:tcPr>
          <w:p>
            <w:pPr>
              <w:spacing w:line="360" w:lineRule="auto"/>
              <w:jc w:val="center"/>
              <w:rPr>
                <w:rFonts w:ascii="宋体" w:hAnsi="宋体" w:cs="宋体"/>
                <w:color w:val="auto"/>
                <w:sz w:val="24"/>
                <w:highlight w:val="none"/>
              </w:rPr>
            </w:pPr>
          </w:p>
        </w:tc>
        <w:tc>
          <w:tcPr>
            <w:tcW w:w="90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2430" w:type="dxa"/>
            <w:gridSpan w:val="3"/>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415" w:type="dxa"/>
            <w:gridSpan w:val="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参加工作时间</w:t>
            </w:r>
          </w:p>
        </w:tc>
        <w:tc>
          <w:tcPr>
            <w:tcW w:w="2310" w:type="dxa"/>
            <w:gridSpan w:val="4"/>
            <w:vAlign w:val="center"/>
          </w:tcPr>
          <w:p>
            <w:pPr>
              <w:spacing w:line="360" w:lineRule="auto"/>
              <w:jc w:val="center"/>
              <w:rPr>
                <w:rFonts w:ascii="宋体" w:hAnsi="宋体" w:cs="宋体"/>
                <w:color w:val="auto"/>
                <w:sz w:val="24"/>
                <w:highlight w:val="none"/>
              </w:rPr>
            </w:pPr>
          </w:p>
        </w:tc>
        <w:tc>
          <w:tcPr>
            <w:tcW w:w="2625" w:type="dxa"/>
            <w:gridSpan w:val="5"/>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担任技术负责人年限</w:t>
            </w:r>
          </w:p>
        </w:tc>
        <w:tc>
          <w:tcPr>
            <w:tcW w:w="2205" w:type="dxa"/>
            <w:gridSpan w:val="2"/>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55" w:type="dxa"/>
            <w:gridSpan w:val="14"/>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建设单位</w:t>
            </w:r>
          </w:p>
        </w:tc>
        <w:tc>
          <w:tcPr>
            <w:tcW w:w="168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580" w:type="dxa"/>
            <w:gridSpan w:val="4"/>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建设规模</w:t>
            </w:r>
          </w:p>
        </w:tc>
        <w:tc>
          <w:tcPr>
            <w:tcW w:w="1560" w:type="dxa"/>
            <w:gridSpan w:val="2"/>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开、竣工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日期</w:t>
            </w:r>
          </w:p>
        </w:tc>
        <w:tc>
          <w:tcPr>
            <w:tcW w:w="1365" w:type="dxa"/>
            <w:gridSpan w:val="3"/>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在建或</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已 完</w:t>
            </w:r>
          </w:p>
        </w:tc>
        <w:tc>
          <w:tcPr>
            <w:tcW w:w="1890"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60" w:lineRule="auto"/>
              <w:jc w:val="center"/>
              <w:rPr>
                <w:rFonts w:ascii="宋体" w:hAnsi="宋体" w:cs="宋体"/>
                <w:color w:val="auto"/>
                <w:sz w:val="24"/>
                <w:highlight w:val="none"/>
              </w:rPr>
            </w:pPr>
          </w:p>
        </w:tc>
        <w:tc>
          <w:tcPr>
            <w:tcW w:w="1680" w:type="dxa"/>
            <w:gridSpan w:val="2"/>
            <w:vAlign w:val="center"/>
          </w:tcPr>
          <w:p>
            <w:pPr>
              <w:spacing w:line="360" w:lineRule="auto"/>
              <w:jc w:val="center"/>
              <w:rPr>
                <w:rFonts w:ascii="宋体" w:hAnsi="宋体" w:cs="宋体"/>
                <w:color w:val="auto"/>
                <w:sz w:val="24"/>
                <w:highlight w:val="none"/>
              </w:rPr>
            </w:pPr>
          </w:p>
        </w:tc>
        <w:tc>
          <w:tcPr>
            <w:tcW w:w="1580" w:type="dxa"/>
            <w:gridSpan w:val="4"/>
            <w:vAlign w:val="center"/>
          </w:tcPr>
          <w:p>
            <w:pPr>
              <w:spacing w:line="360" w:lineRule="auto"/>
              <w:jc w:val="center"/>
              <w:rPr>
                <w:rFonts w:ascii="宋体" w:hAnsi="宋体" w:cs="宋体"/>
                <w:color w:val="auto"/>
                <w:sz w:val="24"/>
                <w:highlight w:val="none"/>
              </w:rPr>
            </w:pPr>
          </w:p>
        </w:tc>
        <w:tc>
          <w:tcPr>
            <w:tcW w:w="1560" w:type="dxa"/>
            <w:gridSpan w:val="2"/>
            <w:vAlign w:val="center"/>
          </w:tcPr>
          <w:p>
            <w:pPr>
              <w:spacing w:line="360" w:lineRule="auto"/>
              <w:jc w:val="center"/>
              <w:rPr>
                <w:rFonts w:ascii="宋体" w:hAnsi="宋体" w:cs="宋体"/>
                <w:color w:val="auto"/>
                <w:sz w:val="24"/>
                <w:highlight w:val="none"/>
              </w:rPr>
            </w:pPr>
          </w:p>
        </w:tc>
        <w:tc>
          <w:tcPr>
            <w:tcW w:w="1365" w:type="dxa"/>
            <w:gridSpan w:val="3"/>
            <w:vAlign w:val="center"/>
          </w:tcPr>
          <w:p>
            <w:pPr>
              <w:spacing w:line="360" w:lineRule="auto"/>
              <w:jc w:val="center"/>
              <w:rPr>
                <w:rFonts w:ascii="宋体" w:hAnsi="宋体" w:cs="宋体"/>
                <w:color w:val="auto"/>
                <w:sz w:val="24"/>
                <w:highlight w:val="none"/>
              </w:rPr>
            </w:pPr>
          </w:p>
        </w:tc>
        <w:tc>
          <w:tcPr>
            <w:tcW w:w="1890"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80" w:type="dxa"/>
            <w:gridSpan w:val="2"/>
            <w:vAlign w:val="center"/>
          </w:tcPr>
          <w:p>
            <w:pPr>
              <w:spacing w:line="360" w:lineRule="auto"/>
              <w:jc w:val="center"/>
              <w:rPr>
                <w:rFonts w:ascii="宋体" w:hAnsi="宋体" w:cs="宋体"/>
                <w:color w:val="auto"/>
                <w:sz w:val="24"/>
                <w:highlight w:val="none"/>
              </w:rPr>
            </w:pPr>
          </w:p>
        </w:tc>
        <w:tc>
          <w:tcPr>
            <w:tcW w:w="1680" w:type="dxa"/>
            <w:gridSpan w:val="2"/>
            <w:vAlign w:val="center"/>
          </w:tcPr>
          <w:p>
            <w:pPr>
              <w:spacing w:line="360" w:lineRule="auto"/>
              <w:jc w:val="center"/>
              <w:rPr>
                <w:rFonts w:ascii="宋体" w:hAnsi="宋体" w:cs="宋体"/>
                <w:color w:val="auto"/>
                <w:sz w:val="24"/>
                <w:highlight w:val="none"/>
              </w:rPr>
            </w:pPr>
          </w:p>
        </w:tc>
        <w:tc>
          <w:tcPr>
            <w:tcW w:w="1580" w:type="dxa"/>
            <w:gridSpan w:val="4"/>
            <w:vAlign w:val="center"/>
          </w:tcPr>
          <w:p>
            <w:pPr>
              <w:spacing w:line="360" w:lineRule="auto"/>
              <w:jc w:val="center"/>
              <w:rPr>
                <w:rFonts w:ascii="宋体" w:hAnsi="宋体" w:cs="宋体"/>
                <w:color w:val="auto"/>
                <w:sz w:val="24"/>
                <w:highlight w:val="none"/>
              </w:rPr>
            </w:pPr>
          </w:p>
        </w:tc>
        <w:tc>
          <w:tcPr>
            <w:tcW w:w="1560" w:type="dxa"/>
            <w:gridSpan w:val="2"/>
            <w:vAlign w:val="center"/>
          </w:tcPr>
          <w:p>
            <w:pPr>
              <w:spacing w:line="360" w:lineRule="auto"/>
              <w:jc w:val="center"/>
              <w:rPr>
                <w:rFonts w:ascii="宋体" w:hAnsi="宋体" w:cs="宋体"/>
                <w:color w:val="auto"/>
                <w:sz w:val="24"/>
                <w:highlight w:val="none"/>
              </w:rPr>
            </w:pPr>
          </w:p>
        </w:tc>
        <w:tc>
          <w:tcPr>
            <w:tcW w:w="1365" w:type="dxa"/>
            <w:gridSpan w:val="3"/>
            <w:vAlign w:val="center"/>
          </w:tcPr>
          <w:p>
            <w:pPr>
              <w:spacing w:line="360" w:lineRule="auto"/>
              <w:jc w:val="center"/>
              <w:rPr>
                <w:rFonts w:ascii="宋体" w:hAnsi="宋体" w:cs="宋体"/>
                <w:color w:val="auto"/>
                <w:sz w:val="24"/>
                <w:highlight w:val="none"/>
              </w:rPr>
            </w:pPr>
          </w:p>
        </w:tc>
        <w:tc>
          <w:tcPr>
            <w:tcW w:w="1890" w:type="dxa"/>
            <w:vAlign w:val="center"/>
          </w:tcPr>
          <w:p>
            <w:pPr>
              <w:spacing w:line="360" w:lineRule="auto"/>
              <w:jc w:val="center"/>
              <w:rPr>
                <w:rFonts w:ascii="宋体" w:hAnsi="宋体" w:cs="宋体"/>
                <w:color w:val="auto"/>
                <w:sz w:val="24"/>
                <w:highlight w:val="none"/>
              </w:rPr>
            </w:pPr>
          </w:p>
        </w:tc>
      </w:tr>
    </w:tbl>
    <w:p>
      <w:pPr>
        <w:pStyle w:val="5"/>
        <w:rPr>
          <w:rFonts w:ascii="宋体" w:hAnsi="宋体" w:eastAsia="宋体" w:cs="宋体"/>
          <w:color w:val="auto"/>
          <w:highlight w:val="none"/>
        </w:rPr>
      </w:pPr>
      <w:r>
        <w:rPr>
          <w:rFonts w:hint="eastAsia" w:ascii="宋体" w:hAnsi="宋体" w:eastAsia="宋体" w:cs="宋体"/>
          <w:color w:val="auto"/>
          <w:highlight w:val="none"/>
        </w:rPr>
        <w:t>（4） 项目管理机构配备情况辅助说明资料</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工程     </w:t>
      </w:r>
      <w:r>
        <w:rPr>
          <w:rFonts w:hint="eastAsia" w:ascii="宋体" w:hAnsi="宋体" w:cs="宋体"/>
          <w:color w:val="auto"/>
          <w:szCs w:val="21"/>
          <w:highlight w:val="none"/>
        </w:rPr>
        <w:t>表4</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1" w:hRule="atLeast"/>
        </w:trPr>
        <w:tc>
          <w:tcPr>
            <w:tcW w:w="9558" w:type="dxa"/>
          </w:tcPr>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rPr>
                <w:rFonts w:ascii="宋体" w:hAnsi="宋体" w:cs="宋体"/>
                <w:color w:val="auto"/>
                <w:highlight w:val="none"/>
              </w:rPr>
            </w:pPr>
          </w:p>
        </w:tc>
      </w:tr>
    </w:tbl>
    <w:p>
      <w:pPr>
        <w:pStyle w:val="10"/>
        <w:spacing w:before="120" w:line="360" w:lineRule="auto"/>
        <w:ind w:left="697" w:right="34" w:hanging="697"/>
        <w:rPr>
          <w:rFonts w:ascii="宋体" w:hAnsi="宋体" w:cs="宋体"/>
          <w:color w:val="auto"/>
          <w:sz w:val="21"/>
          <w:highlight w:val="none"/>
        </w:rPr>
      </w:pPr>
      <w:r>
        <w:rPr>
          <w:rFonts w:hint="eastAsia" w:ascii="宋体" w:hAnsi="宋体" w:cs="宋体"/>
          <w:color w:val="auto"/>
          <w:sz w:val="21"/>
          <w:highlight w:val="none"/>
        </w:rPr>
        <w:t>注：1.辅助说明资料主要包括管理机构的机构设置、职责分工、有关复印证明资料以及报价供应商认为有必要提供的资料。辅助说明资料格式不做统一规定，由报价供应商自行设计。</w:t>
      </w:r>
    </w:p>
    <w:p>
      <w:pPr>
        <w:pStyle w:val="10"/>
        <w:spacing w:line="360" w:lineRule="auto"/>
        <w:ind w:left="0" w:right="34" w:firstLine="403"/>
        <w:rPr>
          <w:rFonts w:ascii="宋体" w:hAnsi="宋体" w:cs="宋体"/>
          <w:color w:val="auto"/>
          <w:sz w:val="21"/>
          <w:highlight w:val="none"/>
        </w:rPr>
      </w:pPr>
      <w:r>
        <w:rPr>
          <w:rFonts w:hint="eastAsia" w:ascii="宋体" w:hAnsi="宋体" w:cs="宋体"/>
          <w:color w:val="auto"/>
          <w:sz w:val="21"/>
          <w:highlight w:val="none"/>
        </w:rPr>
        <w:t>2.项目管理班子配备情况辅助说明资料另附（与本</w:t>
      </w:r>
      <w:r>
        <w:rPr>
          <w:rFonts w:hint="eastAsia" w:ascii="宋体" w:hAnsi="宋体" w:cs="宋体"/>
          <w:color w:val="auto"/>
          <w:sz w:val="21"/>
          <w:highlight w:val="none"/>
          <w:lang w:val="zh-CN"/>
        </w:rPr>
        <w:t>响应文件</w:t>
      </w:r>
      <w:r>
        <w:rPr>
          <w:rFonts w:hint="eastAsia" w:ascii="宋体" w:hAnsi="宋体" w:cs="宋体"/>
          <w:color w:val="auto"/>
          <w:sz w:val="21"/>
          <w:highlight w:val="none"/>
        </w:rPr>
        <w:t>一起装订）。</w:t>
      </w: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pStyle w:val="10"/>
        <w:spacing w:line="360" w:lineRule="auto"/>
        <w:ind w:left="0" w:right="34" w:firstLine="403"/>
        <w:rPr>
          <w:rFonts w:ascii="宋体" w:hAnsi="宋体" w:cs="宋体"/>
          <w:color w:val="auto"/>
          <w:sz w:val="21"/>
          <w:highlight w:val="none"/>
        </w:rPr>
      </w:pPr>
    </w:p>
    <w:p>
      <w:pPr>
        <w:adjustRightInd w:val="0"/>
        <w:spacing w:line="360" w:lineRule="auto"/>
        <w:ind w:right="34"/>
        <w:jc w:val="left"/>
        <w:textAlignment w:val="baseline"/>
        <w:rPr>
          <w:rFonts w:ascii="宋体" w:hAnsi="宋体" w:cs="宋体"/>
          <w:b/>
          <w:color w:val="auto"/>
          <w:sz w:val="30"/>
          <w:szCs w:val="30"/>
          <w:highlight w:val="none"/>
        </w:rPr>
        <w:sectPr>
          <w:headerReference r:id="rId9" w:type="default"/>
          <w:footerReference r:id="rId10"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（十）成交标段优先顺序承诺函（格式）</w:t>
      </w:r>
    </w:p>
    <w:p>
      <w:pPr>
        <w:rPr>
          <w:rFonts w:ascii="宋体" w:hAnsi="宋体" w:cs="宋体"/>
          <w:bCs/>
          <w:color w:val="auto"/>
          <w:sz w:val="24"/>
          <w:highlight w:val="none"/>
        </w:rPr>
      </w:pPr>
    </w:p>
    <w:p>
      <w:pPr>
        <w:rPr>
          <w:rFonts w:ascii="宋体" w:hAnsi="宋体" w:cs="宋体"/>
          <w:bCs/>
          <w:color w:val="auto"/>
          <w:sz w:val="24"/>
          <w:highlight w:val="none"/>
        </w:rPr>
      </w:pPr>
    </w:p>
    <w:p>
      <w:pPr>
        <w:rPr>
          <w:rFonts w:ascii="宋体" w:hAnsi="宋体" w:cs="宋体"/>
          <w:b/>
          <w:bCs/>
          <w:color w:val="auto"/>
          <w:sz w:val="24"/>
          <w:highlight w:val="none"/>
          <w:u w:val="single"/>
        </w:rPr>
      </w:pPr>
      <w:r>
        <w:rPr>
          <w:rFonts w:hint="eastAsia" w:ascii="宋体" w:hAnsi="宋体" w:cs="宋体"/>
          <w:bCs/>
          <w:color w:val="auto"/>
          <w:sz w:val="24"/>
          <w:highlight w:val="none"/>
        </w:rPr>
        <w:t>致：</w:t>
      </w:r>
      <w:r>
        <w:rPr>
          <w:rFonts w:hint="eastAsia" w:ascii="宋体" w:hAnsi="宋体" w:cs="宋体"/>
          <w:b/>
          <w:bCs/>
          <w:color w:val="auto"/>
          <w:sz w:val="24"/>
          <w:highlight w:val="none"/>
          <w:u w:val="single"/>
        </w:rPr>
        <w:t xml:space="preserve">                               ：</w:t>
      </w:r>
    </w:p>
    <w:p>
      <w:pPr>
        <w:widowControl/>
        <w:shd w:val="clear" w:color="auto" w:fill="FFFFFF"/>
        <w:tabs>
          <w:tab w:val="left" w:pos="360"/>
        </w:tabs>
        <w:spacing w:beforeLines="30" w:afterLines="30" w:line="312"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（1）我公司充分理解本次项目共</w:t>
      </w:r>
      <w:r>
        <w:rPr>
          <w:rFonts w:hint="eastAsia" w:ascii="宋体" w:hAnsi="宋体" w:cs="宋体"/>
          <w:b/>
          <w:bCs/>
          <w:color w:val="auto"/>
          <w:kern w:val="0"/>
          <w:sz w:val="24"/>
          <w:highlight w:val="none"/>
          <w:lang w:eastAsia="zh-CN"/>
        </w:rPr>
        <w:t>6个标段</w:t>
      </w:r>
      <w:r>
        <w:rPr>
          <w:rFonts w:hint="eastAsia" w:ascii="宋体" w:hAnsi="宋体" w:cs="宋体"/>
          <w:b/>
          <w:bCs/>
          <w:color w:val="auto"/>
          <w:kern w:val="0"/>
          <w:sz w:val="24"/>
          <w:highlight w:val="none"/>
        </w:rPr>
        <w:t>，报价供应商对</w:t>
      </w:r>
      <w:r>
        <w:rPr>
          <w:rFonts w:hint="eastAsia" w:ascii="宋体" w:hAnsi="宋体" w:cs="宋体"/>
          <w:b/>
          <w:bCs/>
          <w:color w:val="auto"/>
          <w:kern w:val="0"/>
          <w:sz w:val="24"/>
          <w:highlight w:val="none"/>
          <w:lang w:eastAsia="zh-CN"/>
        </w:rPr>
        <w:t>6个标段</w:t>
      </w:r>
      <w:r>
        <w:rPr>
          <w:rFonts w:hint="eastAsia" w:ascii="宋体" w:hAnsi="宋体" w:cs="宋体"/>
          <w:b/>
          <w:bCs/>
          <w:color w:val="auto"/>
          <w:kern w:val="0"/>
          <w:sz w:val="24"/>
          <w:highlight w:val="none"/>
        </w:rPr>
        <w:t>均可报价，但最多只能中1个标段的要求，将按照报价供应商承诺的成交标段优先顺序确定成交标段，并放弃对这方面有不明或误解的权利。</w:t>
      </w:r>
    </w:p>
    <w:p>
      <w:pPr>
        <w:widowControl/>
        <w:shd w:val="clear" w:color="auto" w:fill="FFFFFF"/>
        <w:tabs>
          <w:tab w:val="left" w:pos="360"/>
        </w:tabs>
        <w:spacing w:beforeLines="30" w:afterLines="30" w:line="312"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（2）如所有开标标段经评审</w:t>
      </w:r>
      <w:r>
        <w:rPr>
          <w:rFonts w:hint="eastAsia" w:ascii="宋体" w:hAnsi="宋体" w:cs="宋体"/>
          <w:b/>
          <w:bCs/>
          <w:color w:val="auto"/>
          <w:kern w:val="0"/>
          <w:sz w:val="24"/>
          <w:highlight w:val="none"/>
          <w:lang w:eastAsia="zh-CN"/>
        </w:rPr>
        <w:t>6个标段</w:t>
      </w:r>
      <w:r>
        <w:rPr>
          <w:rFonts w:hint="eastAsia" w:ascii="宋体" w:hAnsi="宋体" w:cs="宋体"/>
          <w:b/>
          <w:bCs/>
          <w:color w:val="auto"/>
          <w:kern w:val="0"/>
          <w:sz w:val="24"/>
          <w:highlight w:val="none"/>
        </w:rPr>
        <w:t>均为第1名时，按报价供应商承诺的优先顺序，选择排列于前的标段成交，其余标段无条件放弃成交权。放弃成交权的标段按得分排序名次顺延成交候选人。</w:t>
      </w:r>
    </w:p>
    <w:tbl>
      <w:tblPr>
        <w:tblStyle w:val="1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3"/>
        <w:gridCol w:w="3133"/>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成交优先顺序</w:t>
            </w:r>
          </w:p>
        </w:tc>
        <w:tc>
          <w:tcPr>
            <w:tcW w:w="3133"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标段</w:t>
            </w:r>
          </w:p>
        </w:tc>
        <w:tc>
          <w:tcPr>
            <w:tcW w:w="3134"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名称及地点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3133" w:type="dxa"/>
            <w:vAlign w:val="center"/>
          </w:tcPr>
          <w:p>
            <w:pPr>
              <w:ind w:firstLine="560"/>
              <w:jc w:val="center"/>
              <w:rPr>
                <w:rFonts w:ascii="宋体" w:hAnsi="宋体" w:cs="宋体"/>
                <w:bCs/>
                <w:color w:val="auto"/>
                <w:sz w:val="24"/>
                <w:highlight w:val="none"/>
              </w:rPr>
            </w:pPr>
          </w:p>
        </w:tc>
        <w:tc>
          <w:tcPr>
            <w:tcW w:w="3134" w:type="dxa"/>
            <w:vAlign w:val="center"/>
          </w:tcPr>
          <w:p>
            <w:pPr>
              <w:ind w:firstLine="560"/>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3133" w:type="dxa"/>
            <w:vAlign w:val="center"/>
          </w:tcPr>
          <w:p>
            <w:pPr>
              <w:ind w:firstLine="560"/>
              <w:jc w:val="center"/>
              <w:rPr>
                <w:rFonts w:ascii="宋体" w:hAnsi="宋体" w:cs="宋体"/>
                <w:bCs/>
                <w:color w:val="auto"/>
                <w:sz w:val="24"/>
                <w:highlight w:val="none"/>
              </w:rPr>
            </w:pPr>
          </w:p>
        </w:tc>
        <w:tc>
          <w:tcPr>
            <w:tcW w:w="3134" w:type="dxa"/>
            <w:vAlign w:val="center"/>
          </w:tcPr>
          <w:p>
            <w:pPr>
              <w:ind w:firstLine="560"/>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3133" w:type="dxa"/>
            <w:vAlign w:val="center"/>
          </w:tcPr>
          <w:p>
            <w:pPr>
              <w:ind w:firstLine="560"/>
              <w:jc w:val="center"/>
              <w:rPr>
                <w:rFonts w:ascii="宋体" w:hAnsi="宋体" w:cs="宋体"/>
                <w:bCs/>
                <w:color w:val="auto"/>
                <w:sz w:val="24"/>
                <w:highlight w:val="none"/>
              </w:rPr>
            </w:pPr>
          </w:p>
        </w:tc>
        <w:tc>
          <w:tcPr>
            <w:tcW w:w="3134" w:type="dxa"/>
            <w:vAlign w:val="center"/>
          </w:tcPr>
          <w:p>
            <w:pPr>
              <w:ind w:firstLine="560"/>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vAlign w:val="center"/>
          </w:tcPr>
          <w:p>
            <w:pPr>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4</w:t>
            </w:r>
          </w:p>
        </w:tc>
        <w:tc>
          <w:tcPr>
            <w:tcW w:w="3133" w:type="dxa"/>
            <w:vAlign w:val="center"/>
          </w:tcPr>
          <w:p>
            <w:pPr>
              <w:ind w:firstLine="560"/>
              <w:jc w:val="center"/>
              <w:rPr>
                <w:rFonts w:ascii="宋体" w:hAnsi="宋体" w:cs="宋体"/>
                <w:bCs/>
                <w:color w:val="auto"/>
                <w:sz w:val="24"/>
                <w:highlight w:val="none"/>
              </w:rPr>
            </w:pPr>
          </w:p>
        </w:tc>
        <w:tc>
          <w:tcPr>
            <w:tcW w:w="3134" w:type="dxa"/>
            <w:vAlign w:val="center"/>
          </w:tcPr>
          <w:p>
            <w:pPr>
              <w:ind w:firstLine="560"/>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vAlign w:val="center"/>
          </w:tcPr>
          <w:p>
            <w:pPr>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3133" w:type="dxa"/>
            <w:vAlign w:val="center"/>
          </w:tcPr>
          <w:p>
            <w:pPr>
              <w:ind w:firstLine="560"/>
              <w:jc w:val="center"/>
              <w:rPr>
                <w:rFonts w:ascii="宋体" w:hAnsi="宋体" w:cs="宋体"/>
                <w:bCs/>
                <w:color w:val="auto"/>
                <w:sz w:val="24"/>
                <w:highlight w:val="none"/>
              </w:rPr>
            </w:pPr>
          </w:p>
        </w:tc>
        <w:tc>
          <w:tcPr>
            <w:tcW w:w="3134" w:type="dxa"/>
            <w:vAlign w:val="center"/>
          </w:tcPr>
          <w:p>
            <w:pPr>
              <w:ind w:firstLine="560"/>
              <w:jc w:val="center"/>
              <w:rPr>
                <w:rFonts w:ascii="宋体" w:hAnsi="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3" w:type="dxa"/>
            <w:vAlign w:val="center"/>
          </w:tcPr>
          <w:p>
            <w:pPr>
              <w:jc w:val="center"/>
              <w:rPr>
                <w:rFonts w:hint="eastAsia"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6</w:t>
            </w:r>
          </w:p>
        </w:tc>
        <w:tc>
          <w:tcPr>
            <w:tcW w:w="3133" w:type="dxa"/>
            <w:vAlign w:val="center"/>
          </w:tcPr>
          <w:p>
            <w:pPr>
              <w:ind w:firstLine="560"/>
              <w:jc w:val="center"/>
              <w:rPr>
                <w:rFonts w:ascii="宋体" w:hAnsi="宋体" w:cs="宋体"/>
                <w:bCs/>
                <w:color w:val="auto"/>
                <w:sz w:val="24"/>
                <w:highlight w:val="none"/>
              </w:rPr>
            </w:pPr>
          </w:p>
        </w:tc>
        <w:tc>
          <w:tcPr>
            <w:tcW w:w="3134" w:type="dxa"/>
            <w:vAlign w:val="center"/>
          </w:tcPr>
          <w:p>
            <w:pPr>
              <w:ind w:firstLine="560"/>
              <w:jc w:val="center"/>
              <w:rPr>
                <w:rFonts w:ascii="宋体" w:hAnsi="宋体" w:cs="宋体"/>
                <w:bCs/>
                <w:color w:val="auto"/>
                <w:sz w:val="24"/>
                <w:highlight w:val="none"/>
              </w:rPr>
            </w:pPr>
          </w:p>
        </w:tc>
      </w:tr>
    </w:tbl>
    <w:p>
      <w:pPr>
        <w:rPr>
          <w:rFonts w:ascii="宋体" w:hAnsi="宋体" w:cs="宋体"/>
          <w:bCs/>
          <w:color w:val="auto"/>
          <w:sz w:val="24"/>
          <w:highlight w:val="none"/>
        </w:rPr>
      </w:pPr>
    </w:p>
    <w:p>
      <w:pPr>
        <w:rPr>
          <w:rFonts w:ascii="宋体" w:hAnsi="宋体" w:cs="宋体"/>
          <w:bCs/>
          <w:color w:val="auto"/>
          <w:sz w:val="24"/>
          <w:highlight w:val="none"/>
        </w:rPr>
      </w:pPr>
      <w:r>
        <w:rPr>
          <w:rFonts w:hint="eastAsia" w:ascii="宋体" w:hAnsi="宋体" w:cs="宋体"/>
          <w:b/>
          <w:color w:val="auto"/>
          <w:sz w:val="24"/>
          <w:highlight w:val="none"/>
        </w:rPr>
        <w:t>注：报价供应商如参与本次项目的</w:t>
      </w:r>
      <w:r>
        <w:rPr>
          <w:rFonts w:hint="eastAsia" w:ascii="宋体" w:hAnsi="宋体" w:cs="宋体"/>
          <w:b/>
          <w:color w:val="auto"/>
          <w:sz w:val="24"/>
          <w:highlight w:val="none"/>
          <w:lang w:eastAsia="zh-CN"/>
        </w:rPr>
        <w:t>6个标段</w:t>
      </w:r>
      <w:r>
        <w:rPr>
          <w:rFonts w:hint="eastAsia" w:ascii="宋体" w:hAnsi="宋体" w:cs="宋体"/>
          <w:b/>
          <w:color w:val="auto"/>
          <w:sz w:val="24"/>
          <w:highlight w:val="none"/>
        </w:rPr>
        <w:t>磋商，则</w:t>
      </w:r>
      <w:r>
        <w:rPr>
          <w:rFonts w:hint="eastAsia" w:ascii="宋体" w:hAnsi="宋体" w:cs="宋体"/>
          <w:b/>
          <w:color w:val="auto"/>
          <w:sz w:val="24"/>
          <w:highlight w:val="none"/>
          <w:lang w:eastAsia="zh-CN"/>
        </w:rPr>
        <w:t>6个标段</w:t>
      </w:r>
      <w:r>
        <w:rPr>
          <w:rFonts w:hint="eastAsia" w:ascii="宋体" w:hAnsi="宋体" w:cs="宋体"/>
          <w:b/>
          <w:color w:val="auto"/>
          <w:sz w:val="24"/>
          <w:highlight w:val="none"/>
        </w:rPr>
        <w:t>响应文件的成交标段优先顺序承诺须相同，否则视为无效。</w:t>
      </w:r>
    </w:p>
    <w:p>
      <w:pPr>
        <w:rPr>
          <w:rFonts w:ascii="宋体" w:hAnsi="宋体" w:cs="宋体"/>
          <w:bCs/>
          <w:color w:val="auto"/>
          <w:sz w:val="24"/>
          <w:highlight w:val="none"/>
        </w:rPr>
      </w:pPr>
    </w:p>
    <w:p>
      <w:pPr>
        <w:rPr>
          <w:rFonts w:ascii="宋体" w:hAnsi="宋体" w:cs="宋体"/>
          <w:bCs/>
          <w:color w:val="auto"/>
          <w:sz w:val="24"/>
          <w:highlight w:val="none"/>
        </w:rPr>
      </w:pPr>
    </w:p>
    <w:p>
      <w:pPr>
        <w:spacing w:line="480" w:lineRule="auto"/>
        <w:ind w:firstLine="4080" w:firstLineChars="1700"/>
        <w:rPr>
          <w:rFonts w:ascii="宋体" w:hAnsi="宋体" w:cs="宋体"/>
          <w:bCs/>
          <w:color w:val="auto"/>
          <w:sz w:val="24"/>
          <w:highlight w:val="none"/>
          <w:u w:val="single"/>
        </w:rPr>
      </w:pPr>
      <w:r>
        <w:rPr>
          <w:rFonts w:hint="eastAsia" w:ascii="宋体" w:hAnsi="宋体" w:cs="宋体"/>
          <w:color w:val="auto"/>
          <w:sz w:val="24"/>
          <w:highlight w:val="none"/>
        </w:rPr>
        <w:t>报价供应商（公章）：</w:t>
      </w:r>
    </w:p>
    <w:p>
      <w:pPr>
        <w:wordWrap w:val="0"/>
        <w:spacing w:before="240"/>
        <w:ind w:firstLine="480"/>
        <w:jc w:val="right"/>
        <w:rPr>
          <w:rFonts w:ascii="宋体" w:hAnsi="宋体" w:cs="宋体"/>
          <w:color w:val="auto"/>
          <w:sz w:val="24"/>
          <w:highlight w:val="none"/>
        </w:rPr>
      </w:pPr>
      <w:r>
        <w:rPr>
          <w:rFonts w:hint="eastAsia" w:ascii="宋体" w:hAnsi="宋体" w:cs="宋体"/>
          <w:color w:val="auto"/>
          <w:sz w:val="24"/>
          <w:highlight w:val="none"/>
        </w:rPr>
        <w:t xml:space="preserve">       法定代表人（或授权委托人）签名和盖章：            </w:t>
      </w:r>
    </w:p>
    <w:p>
      <w:pPr>
        <w:jc w:val="center"/>
        <w:rPr>
          <w:rFonts w:ascii="宋体" w:hAnsi="宋体" w:cs="宋体"/>
          <w:b/>
          <w:color w:val="auto"/>
          <w:sz w:val="32"/>
          <w:szCs w:val="32"/>
          <w:highlight w:val="none"/>
        </w:rPr>
      </w:pPr>
      <w:r>
        <w:rPr>
          <w:rFonts w:hint="eastAsia" w:ascii="宋体" w:hAnsi="宋体" w:cs="宋体"/>
          <w:color w:val="auto"/>
          <w:sz w:val="24"/>
          <w:highlight w:val="none"/>
        </w:rPr>
        <w:t>年    月    日</w:t>
      </w:r>
    </w:p>
    <w:p>
      <w:pPr>
        <w:pStyle w:val="10"/>
        <w:spacing w:line="360" w:lineRule="auto"/>
        <w:ind w:left="0" w:right="34" w:firstLine="403"/>
        <w:rPr>
          <w:rFonts w:ascii="宋体" w:hAnsi="宋体" w:cs="宋体"/>
          <w:color w:val="auto"/>
          <w:sz w:val="21"/>
          <w:highlight w:val="none"/>
        </w:rPr>
      </w:pPr>
    </w:p>
    <w:p>
      <w:pPr>
        <w:rPr>
          <w:rFonts w:ascii="宋体" w:hAnsi="宋体" w:cs="宋体"/>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19"/>
      </w:rPr>
      <w:instrText xml:space="preserve"> PAGE </w:instrText>
    </w:r>
    <w:r>
      <w:fldChar w:fldCharType="separate"/>
    </w:r>
    <w:r>
      <w:rPr>
        <w:rStyle w:val="19"/>
      </w:rP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20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- 73 -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107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t>GE  51</w:t>
    </w:r>
  </w:p>
  <w:p>
    <w:pPr>
      <w:pStyle w:val="11"/>
    </w:pPr>
  </w:p>
  <w:p>
    <w:r>
      <w:rPr>
        <w:rStyle w:val="19"/>
        <w:sz w:val="18"/>
        <w:szCs w:val="18"/>
      </w:rPr>
      <w:t>28</w:t>
    </w:r>
  </w:p>
  <w:p>
    <w:r>
      <w:rPr>
        <w:rStyle w:val="19"/>
        <w:kern w:val="0"/>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115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ind w:firstLine="2340" w:firstLineChars="1300"/>
      <w:jc w:val="lef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decimal"/>
      <w:lvlText w:val="%1."/>
      <w:lvlJc w:val="left"/>
      <w:pPr>
        <w:tabs>
          <w:tab w:val="left" w:pos="900"/>
        </w:tabs>
        <w:ind w:left="900" w:hanging="420"/>
      </w:pPr>
      <w:rPr>
        <w:rFonts w:hint="default" w:ascii="宋体" w:hAnsi="宋体" w:eastAsia="宋体"/>
        <w:u w:val="none"/>
      </w:rPr>
    </w:lvl>
    <w:lvl w:ilvl="1" w:tentative="0">
      <w:start w:val="1"/>
      <w:numFmt w:val="lowerLetter"/>
      <w:lvlText w:val="%2)"/>
      <w:lvlJc w:val="left"/>
      <w:pPr>
        <w:tabs>
          <w:tab w:val="left" w:pos="1320"/>
        </w:tabs>
        <w:ind w:left="1320" w:hanging="420"/>
      </w:pPr>
      <w:rPr>
        <w:rFonts w:hint="default" w:ascii="Times New Roman"/>
        <w:u w:val="none"/>
      </w:rPr>
    </w:lvl>
    <w:lvl w:ilvl="2" w:tentative="0">
      <w:start w:val="1"/>
      <w:numFmt w:val="lowerRoman"/>
      <w:lvlText w:val="%3."/>
      <w:lvlJc w:val="right"/>
      <w:pPr>
        <w:tabs>
          <w:tab w:val="left" w:pos="1740"/>
        </w:tabs>
        <w:ind w:left="1740" w:hanging="420"/>
      </w:pPr>
      <w:rPr>
        <w:rFonts w:hint="default" w:ascii="Times New Roman"/>
        <w:u w:val="none"/>
      </w:rPr>
    </w:lvl>
    <w:lvl w:ilvl="3" w:tentative="0">
      <w:start w:val="1"/>
      <w:numFmt w:val="decimal"/>
      <w:lvlText w:val="%4."/>
      <w:lvlJc w:val="left"/>
      <w:pPr>
        <w:tabs>
          <w:tab w:val="left" w:pos="2160"/>
        </w:tabs>
        <w:ind w:left="2160" w:hanging="420"/>
      </w:pPr>
      <w:rPr>
        <w:rFonts w:hint="default" w:ascii="Times New Roman"/>
        <w:u w:val="none"/>
      </w:rPr>
    </w:lvl>
    <w:lvl w:ilvl="4" w:tentative="0">
      <w:start w:val="1"/>
      <w:numFmt w:val="lowerLetter"/>
      <w:lvlText w:val="%5)"/>
      <w:lvlJc w:val="left"/>
      <w:pPr>
        <w:tabs>
          <w:tab w:val="left" w:pos="2580"/>
        </w:tabs>
        <w:ind w:left="2580" w:hanging="420"/>
      </w:pPr>
      <w:rPr>
        <w:rFonts w:hint="default" w:ascii="Times New Roman"/>
        <w:u w:val="none"/>
      </w:rPr>
    </w:lvl>
    <w:lvl w:ilvl="5" w:tentative="0">
      <w:start w:val="1"/>
      <w:numFmt w:val="lowerRoman"/>
      <w:lvlText w:val="%6."/>
      <w:lvlJc w:val="right"/>
      <w:pPr>
        <w:tabs>
          <w:tab w:val="left" w:pos="3000"/>
        </w:tabs>
        <w:ind w:left="3000" w:hanging="420"/>
      </w:pPr>
      <w:rPr>
        <w:rFonts w:hint="default" w:ascii="Times New Roman"/>
        <w:u w:val="none"/>
      </w:rPr>
    </w:lvl>
    <w:lvl w:ilvl="6" w:tentative="0">
      <w:start w:val="1"/>
      <w:numFmt w:val="decimal"/>
      <w:lvlText w:val="%7."/>
      <w:lvlJc w:val="left"/>
      <w:pPr>
        <w:tabs>
          <w:tab w:val="left" w:pos="3420"/>
        </w:tabs>
        <w:ind w:left="3420" w:hanging="420"/>
      </w:pPr>
      <w:rPr>
        <w:rFonts w:hint="default" w:ascii="Times New Roman"/>
        <w:u w:val="none"/>
      </w:rPr>
    </w:lvl>
    <w:lvl w:ilvl="7" w:tentative="0">
      <w:start w:val="1"/>
      <w:numFmt w:val="lowerLetter"/>
      <w:lvlText w:val="%8)"/>
      <w:lvlJc w:val="left"/>
      <w:pPr>
        <w:tabs>
          <w:tab w:val="left" w:pos="3840"/>
        </w:tabs>
        <w:ind w:left="3840" w:hanging="420"/>
      </w:pPr>
      <w:rPr>
        <w:rFonts w:hint="default" w:ascii="Times New Roman"/>
        <w:u w:val="none"/>
      </w:rPr>
    </w:lvl>
    <w:lvl w:ilvl="8" w:tentative="0">
      <w:start w:val="1"/>
      <w:numFmt w:val="lowerRoman"/>
      <w:lvlText w:val="%9."/>
      <w:lvlJc w:val="right"/>
      <w:pPr>
        <w:tabs>
          <w:tab w:val="left" w:pos="4260"/>
        </w:tabs>
        <w:ind w:left="4260" w:hanging="420"/>
      </w:pPr>
      <w:rPr>
        <w:rFonts w:hint="default" w:ascii="Times New Roman"/>
        <w:u w:val="none"/>
      </w:rPr>
    </w:lvl>
  </w:abstractNum>
  <w:abstractNum w:abstractNumId="1">
    <w:nsid w:val="2FF91D0A"/>
    <w:multiLevelType w:val="multilevel"/>
    <w:tmpl w:val="2FF91D0A"/>
    <w:lvl w:ilvl="0" w:tentative="0">
      <w:start w:val="1"/>
      <w:numFmt w:val="chineseCountingThousand"/>
      <w:pStyle w:val="3"/>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D216634"/>
    <w:multiLevelType w:val="singleLevel"/>
    <w:tmpl w:val="4D216634"/>
    <w:lvl w:ilvl="0" w:tentative="0">
      <w:start w:val="3"/>
      <w:numFmt w:val="chineseCounting"/>
      <w:suff w:val="nothing"/>
      <w:lvlText w:val="第%1部分．"/>
      <w:lvlJc w:val="left"/>
      <w:rPr>
        <w:rFonts w:hint="eastAsia"/>
      </w:rPr>
    </w:lvl>
  </w:abstractNum>
  <w:abstractNum w:abstractNumId="3">
    <w:nsid w:val="630C1BC3"/>
    <w:multiLevelType w:val="multilevel"/>
    <w:tmpl w:val="630C1BC3"/>
    <w:lvl w:ilvl="0" w:tentative="0">
      <w:start w:val="1"/>
      <w:numFmt w:val="decimal"/>
      <w:lvlText w:val="%1."/>
      <w:lvlJc w:val="left"/>
      <w:pPr>
        <w:tabs>
          <w:tab w:val="left" w:pos="510"/>
        </w:tabs>
        <w:ind w:left="510" w:hanging="360"/>
      </w:pPr>
      <w:rPr>
        <w:rFonts w:hint="eastAsia"/>
      </w:rPr>
    </w:lvl>
    <w:lvl w:ilvl="1" w:tentative="0">
      <w:start w:val="1"/>
      <w:numFmt w:val="decimal"/>
      <w:lvlText w:val="%2．"/>
      <w:lvlJc w:val="left"/>
      <w:pPr>
        <w:tabs>
          <w:tab w:val="left" w:pos="1290"/>
        </w:tabs>
        <w:ind w:left="1290" w:hanging="720"/>
      </w:pPr>
      <w:rPr>
        <w:rFonts w:hint="eastAsia"/>
      </w:rPr>
    </w:lvl>
    <w:lvl w:ilvl="2" w:tentative="0">
      <w:start w:val="3"/>
      <w:numFmt w:val="decimal"/>
      <w:lvlText w:val="（%3）"/>
      <w:lvlJc w:val="left"/>
      <w:pPr>
        <w:tabs>
          <w:tab w:val="left" w:pos="1140"/>
        </w:tabs>
        <w:ind w:left="1140" w:hanging="720"/>
      </w:pPr>
      <w:rPr>
        <w:rFonts w:hint="eastAsia"/>
        <w:lang w:val="en-US"/>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1129"/>
        </w:tabs>
        <w:ind w:left="1129" w:hanging="420"/>
      </w:pPr>
      <w:rPr>
        <w:rFonts w:hint="eastAsia"/>
        <w:b/>
      </w:r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4">
    <w:nsid w:val="6EE101FC"/>
    <w:multiLevelType w:val="singleLevel"/>
    <w:tmpl w:val="6EE101FC"/>
    <w:lvl w:ilvl="0" w:tentative="0">
      <w:start w:val="1"/>
      <w:numFmt w:val="decimal"/>
      <w:lvlText w:val="%1．"/>
      <w:lvlJc w:val="left"/>
      <w:pPr>
        <w:tabs>
          <w:tab w:val="left" w:pos="570"/>
        </w:tabs>
        <w:ind w:left="570" w:hanging="420"/>
      </w:pPr>
      <w:rPr>
        <w:rFonts w:hint="eastAsi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NjZmYzYTUwZjlhMmQxODM5ZjFjZDE4ZjBiYTg3ZjUifQ=="/>
  </w:docVars>
  <w:rsids>
    <w:rsidRoot w:val="00BA5FB9"/>
    <w:rsid w:val="00071242"/>
    <w:rsid w:val="000A3596"/>
    <w:rsid w:val="001B369A"/>
    <w:rsid w:val="00234796"/>
    <w:rsid w:val="00280FF6"/>
    <w:rsid w:val="002A5E13"/>
    <w:rsid w:val="002E2846"/>
    <w:rsid w:val="002F6E6E"/>
    <w:rsid w:val="002F79DB"/>
    <w:rsid w:val="0035533E"/>
    <w:rsid w:val="00373995"/>
    <w:rsid w:val="0044447A"/>
    <w:rsid w:val="004C36D9"/>
    <w:rsid w:val="004E2E5B"/>
    <w:rsid w:val="004F6808"/>
    <w:rsid w:val="005069FC"/>
    <w:rsid w:val="00517C4C"/>
    <w:rsid w:val="0055019A"/>
    <w:rsid w:val="005C5C95"/>
    <w:rsid w:val="005D3CDB"/>
    <w:rsid w:val="00636007"/>
    <w:rsid w:val="006A2A7B"/>
    <w:rsid w:val="006B796C"/>
    <w:rsid w:val="00713D74"/>
    <w:rsid w:val="00735A48"/>
    <w:rsid w:val="007932CD"/>
    <w:rsid w:val="00793CD1"/>
    <w:rsid w:val="007E68F8"/>
    <w:rsid w:val="007E6D51"/>
    <w:rsid w:val="00921CE3"/>
    <w:rsid w:val="0095733F"/>
    <w:rsid w:val="009764C4"/>
    <w:rsid w:val="009B0D7B"/>
    <w:rsid w:val="009C32F1"/>
    <w:rsid w:val="00B06191"/>
    <w:rsid w:val="00B44DBE"/>
    <w:rsid w:val="00B91015"/>
    <w:rsid w:val="00BA5FB9"/>
    <w:rsid w:val="00C44895"/>
    <w:rsid w:val="00C52240"/>
    <w:rsid w:val="00CE4617"/>
    <w:rsid w:val="00CF014A"/>
    <w:rsid w:val="00D470F9"/>
    <w:rsid w:val="00D83F2D"/>
    <w:rsid w:val="00DC3EA7"/>
    <w:rsid w:val="00E734BD"/>
    <w:rsid w:val="00E77EC4"/>
    <w:rsid w:val="00EA2F12"/>
    <w:rsid w:val="00F11AE3"/>
    <w:rsid w:val="00F51FAF"/>
    <w:rsid w:val="00F819A7"/>
    <w:rsid w:val="00FA5E0C"/>
    <w:rsid w:val="00FD0FED"/>
    <w:rsid w:val="00FD7891"/>
    <w:rsid w:val="00FE6E89"/>
    <w:rsid w:val="01A30F8B"/>
    <w:rsid w:val="022123C6"/>
    <w:rsid w:val="022A7A73"/>
    <w:rsid w:val="023D3A74"/>
    <w:rsid w:val="027E78E8"/>
    <w:rsid w:val="02D160BF"/>
    <w:rsid w:val="030F66A4"/>
    <w:rsid w:val="03381283"/>
    <w:rsid w:val="03471D2A"/>
    <w:rsid w:val="034F566A"/>
    <w:rsid w:val="03BD3E4B"/>
    <w:rsid w:val="0423023A"/>
    <w:rsid w:val="042E69E2"/>
    <w:rsid w:val="04AA4673"/>
    <w:rsid w:val="04DD78E2"/>
    <w:rsid w:val="053C5BA5"/>
    <w:rsid w:val="054E0D55"/>
    <w:rsid w:val="055C23CF"/>
    <w:rsid w:val="05B33E73"/>
    <w:rsid w:val="05D658CD"/>
    <w:rsid w:val="0627489F"/>
    <w:rsid w:val="063518B9"/>
    <w:rsid w:val="06606186"/>
    <w:rsid w:val="06A80F27"/>
    <w:rsid w:val="06EA4E75"/>
    <w:rsid w:val="07036DA3"/>
    <w:rsid w:val="077A3CEC"/>
    <w:rsid w:val="07852143"/>
    <w:rsid w:val="07D53B21"/>
    <w:rsid w:val="08043D48"/>
    <w:rsid w:val="08163548"/>
    <w:rsid w:val="083D31E5"/>
    <w:rsid w:val="09195000"/>
    <w:rsid w:val="091F2D9D"/>
    <w:rsid w:val="0A0C52C8"/>
    <w:rsid w:val="0A910D21"/>
    <w:rsid w:val="0AA9598E"/>
    <w:rsid w:val="0AC53F8A"/>
    <w:rsid w:val="0ACE3AB9"/>
    <w:rsid w:val="0B0B2913"/>
    <w:rsid w:val="0BFA1F87"/>
    <w:rsid w:val="0BFD2042"/>
    <w:rsid w:val="0C0F70F9"/>
    <w:rsid w:val="0C2D6FDC"/>
    <w:rsid w:val="0CDA3719"/>
    <w:rsid w:val="0D086091"/>
    <w:rsid w:val="0D5861E4"/>
    <w:rsid w:val="0D9B65CC"/>
    <w:rsid w:val="0DC0485B"/>
    <w:rsid w:val="0DF33007"/>
    <w:rsid w:val="0E02752E"/>
    <w:rsid w:val="0E5E7753"/>
    <w:rsid w:val="0E9B3087"/>
    <w:rsid w:val="0EAC741F"/>
    <w:rsid w:val="0EBD0239"/>
    <w:rsid w:val="0F1C261C"/>
    <w:rsid w:val="0F1F66F5"/>
    <w:rsid w:val="0FD63073"/>
    <w:rsid w:val="10593038"/>
    <w:rsid w:val="10CA0188"/>
    <w:rsid w:val="10E042CE"/>
    <w:rsid w:val="10F80412"/>
    <w:rsid w:val="11DD4FCB"/>
    <w:rsid w:val="122B7B58"/>
    <w:rsid w:val="12853878"/>
    <w:rsid w:val="129B3FAE"/>
    <w:rsid w:val="131D7F8C"/>
    <w:rsid w:val="13865424"/>
    <w:rsid w:val="13972693"/>
    <w:rsid w:val="140C5F0A"/>
    <w:rsid w:val="141C008C"/>
    <w:rsid w:val="147C0F1B"/>
    <w:rsid w:val="148D38D2"/>
    <w:rsid w:val="14BB5F78"/>
    <w:rsid w:val="14DC0DE2"/>
    <w:rsid w:val="15186A1A"/>
    <w:rsid w:val="158A291A"/>
    <w:rsid w:val="15981F0D"/>
    <w:rsid w:val="15A43A8B"/>
    <w:rsid w:val="15E70BCA"/>
    <w:rsid w:val="15E909BB"/>
    <w:rsid w:val="160C4EEC"/>
    <w:rsid w:val="170F1199"/>
    <w:rsid w:val="17343664"/>
    <w:rsid w:val="178362FC"/>
    <w:rsid w:val="17B85B97"/>
    <w:rsid w:val="17BD5C5B"/>
    <w:rsid w:val="17BD63AC"/>
    <w:rsid w:val="17D12DD1"/>
    <w:rsid w:val="189564DB"/>
    <w:rsid w:val="19BD1541"/>
    <w:rsid w:val="19EA2F53"/>
    <w:rsid w:val="1A2C31EB"/>
    <w:rsid w:val="1A621756"/>
    <w:rsid w:val="1A8D2956"/>
    <w:rsid w:val="1AA17AB6"/>
    <w:rsid w:val="1AAB5836"/>
    <w:rsid w:val="1AFD11C6"/>
    <w:rsid w:val="1B4E2CE0"/>
    <w:rsid w:val="1B934EB6"/>
    <w:rsid w:val="1D077978"/>
    <w:rsid w:val="1D372540"/>
    <w:rsid w:val="1E2A3EB4"/>
    <w:rsid w:val="1E566E09"/>
    <w:rsid w:val="1EBB5333"/>
    <w:rsid w:val="1F3F249C"/>
    <w:rsid w:val="1F643580"/>
    <w:rsid w:val="202645B9"/>
    <w:rsid w:val="204C1291"/>
    <w:rsid w:val="20AE1CFD"/>
    <w:rsid w:val="216D7E24"/>
    <w:rsid w:val="217B11DD"/>
    <w:rsid w:val="218B1CDF"/>
    <w:rsid w:val="21B028C1"/>
    <w:rsid w:val="21B77BBF"/>
    <w:rsid w:val="21F4671D"/>
    <w:rsid w:val="22094FFF"/>
    <w:rsid w:val="227F0126"/>
    <w:rsid w:val="22B719C3"/>
    <w:rsid w:val="23184D8B"/>
    <w:rsid w:val="23270D74"/>
    <w:rsid w:val="23677D80"/>
    <w:rsid w:val="23951B56"/>
    <w:rsid w:val="23CE276C"/>
    <w:rsid w:val="23FF75FB"/>
    <w:rsid w:val="253835AE"/>
    <w:rsid w:val="253A30B9"/>
    <w:rsid w:val="25447083"/>
    <w:rsid w:val="254D42D9"/>
    <w:rsid w:val="2561591B"/>
    <w:rsid w:val="2564005E"/>
    <w:rsid w:val="25F25669"/>
    <w:rsid w:val="26AD333E"/>
    <w:rsid w:val="26BD1611"/>
    <w:rsid w:val="26C86F12"/>
    <w:rsid w:val="26D46B1D"/>
    <w:rsid w:val="271D6716"/>
    <w:rsid w:val="272E415F"/>
    <w:rsid w:val="27383550"/>
    <w:rsid w:val="279D4941"/>
    <w:rsid w:val="2832589B"/>
    <w:rsid w:val="28CA642A"/>
    <w:rsid w:val="294B3326"/>
    <w:rsid w:val="29517A4B"/>
    <w:rsid w:val="29A43A30"/>
    <w:rsid w:val="2A110453"/>
    <w:rsid w:val="2A263B34"/>
    <w:rsid w:val="2A8C6F17"/>
    <w:rsid w:val="2A8C73DC"/>
    <w:rsid w:val="2ACE1311"/>
    <w:rsid w:val="2BF91B8F"/>
    <w:rsid w:val="2C62381D"/>
    <w:rsid w:val="2CC2115D"/>
    <w:rsid w:val="2D8B3B80"/>
    <w:rsid w:val="2D990466"/>
    <w:rsid w:val="2DB13D34"/>
    <w:rsid w:val="2DE0438D"/>
    <w:rsid w:val="2DE52F1B"/>
    <w:rsid w:val="2E8839C2"/>
    <w:rsid w:val="2F505E32"/>
    <w:rsid w:val="2F7939F2"/>
    <w:rsid w:val="2F807842"/>
    <w:rsid w:val="2FC7060D"/>
    <w:rsid w:val="302A3BA9"/>
    <w:rsid w:val="303276B4"/>
    <w:rsid w:val="3065440F"/>
    <w:rsid w:val="30767051"/>
    <w:rsid w:val="311259D8"/>
    <w:rsid w:val="3139239E"/>
    <w:rsid w:val="31617AD0"/>
    <w:rsid w:val="316D47A2"/>
    <w:rsid w:val="31B828BB"/>
    <w:rsid w:val="32190DC0"/>
    <w:rsid w:val="326A47D9"/>
    <w:rsid w:val="32FD73FC"/>
    <w:rsid w:val="331B1493"/>
    <w:rsid w:val="338A423D"/>
    <w:rsid w:val="339A1B81"/>
    <w:rsid w:val="33AD5319"/>
    <w:rsid w:val="340713E5"/>
    <w:rsid w:val="3427622E"/>
    <w:rsid w:val="343357D4"/>
    <w:rsid w:val="344D5E56"/>
    <w:rsid w:val="34784650"/>
    <w:rsid w:val="34A75871"/>
    <w:rsid w:val="34E856BE"/>
    <w:rsid w:val="350727B3"/>
    <w:rsid w:val="352073D9"/>
    <w:rsid w:val="35511CF1"/>
    <w:rsid w:val="35D80F04"/>
    <w:rsid w:val="35EF248C"/>
    <w:rsid w:val="360873E7"/>
    <w:rsid w:val="362223E9"/>
    <w:rsid w:val="36525E44"/>
    <w:rsid w:val="36616A1B"/>
    <w:rsid w:val="36785717"/>
    <w:rsid w:val="367D305A"/>
    <w:rsid w:val="36941E25"/>
    <w:rsid w:val="36EB710F"/>
    <w:rsid w:val="36F60E05"/>
    <w:rsid w:val="37636995"/>
    <w:rsid w:val="37C438BF"/>
    <w:rsid w:val="380B0396"/>
    <w:rsid w:val="38402D0F"/>
    <w:rsid w:val="38956FB6"/>
    <w:rsid w:val="389E51DD"/>
    <w:rsid w:val="38A45591"/>
    <w:rsid w:val="38D463D3"/>
    <w:rsid w:val="394915ED"/>
    <w:rsid w:val="39F23A32"/>
    <w:rsid w:val="3A456D32"/>
    <w:rsid w:val="3A930AFD"/>
    <w:rsid w:val="3AC11A64"/>
    <w:rsid w:val="3AFA25F7"/>
    <w:rsid w:val="3B556027"/>
    <w:rsid w:val="3B69175A"/>
    <w:rsid w:val="3B7D557D"/>
    <w:rsid w:val="3BEF66ED"/>
    <w:rsid w:val="3BF2564A"/>
    <w:rsid w:val="3C124543"/>
    <w:rsid w:val="3CC73BFA"/>
    <w:rsid w:val="3DCB5301"/>
    <w:rsid w:val="3E9E5908"/>
    <w:rsid w:val="3EA40536"/>
    <w:rsid w:val="3EEE318C"/>
    <w:rsid w:val="3F35701E"/>
    <w:rsid w:val="3F3A2F74"/>
    <w:rsid w:val="3F5D6578"/>
    <w:rsid w:val="3F7153F9"/>
    <w:rsid w:val="40004C9A"/>
    <w:rsid w:val="406E36E7"/>
    <w:rsid w:val="40907B01"/>
    <w:rsid w:val="4091265E"/>
    <w:rsid w:val="40DA77B7"/>
    <w:rsid w:val="41433A1B"/>
    <w:rsid w:val="41FC5D23"/>
    <w:rsid w:val="429C37AA"/>
    <w:rsid w:val="42A058AE"/>
    <w:rsid w:val="42D65461"/>
    <w:rsid w:val="42F002BB"/>
    <w:rsid w:val="43752CB9"/>
    <w:rsid w:val="43A84C7F"/>
    <w:rsid w:val="43B65AD0"/>
    <w:rsid w:val="43B9736F"/>
    <w:rsid w:val="446B61D6"/>
    <w:rsid w:val="44B9227F"/>
    <w:rsid w:val="44BF7E0C"/>
    <w:rsid w:val="44F77F51"/>
    <w:rsid w:val="450B59A8"/>
    <w:rsid w:val="457B04F5"/>
    <w:rsid w:val="45CE0ACE"/>
    <w:rsid w:val="45E23ACC"/>
    <w:rsid w:val="466D2986"/>
    <w:rsid w:val="468035D2"/>
    <w:rsid w:val="468C5315"/>
    <w:rsid w:val="469A45C9"/>
    <w:rsid w:val="46A473E1"/>
    <w:rsid w:val="46D324F5"/>
    <w:rsid w:val="46FE7155"/>
    <w:rsid w:val="47001A4C"/>
    <w:rsid w:val="472A598B"/>
    <w:rsid w:val="47AA32ED"/>
    <w:rsid w:val="47B5678C"/>
    <w:rsid w:val="47F210F8"/>
    <w:rsid w:val="483E52A7"/>
    <w:rsid w:val="485D424A"/>
    <w:rsid w:val="48604DC0"/>
    <w:rsid w:val="48F068F4"/>
    <w:rsid w:val="493834F1"/>
    <w:rsid w:val="496F6FA8"/>
    <w:rsid w:val="498F43C0"/>
    <w:rsid w:val="49A105D5"/>
    <w:rsid w:val="49A11F26"/>
    <w:rsid w:val="4A471230"/>
    <w:rsid w:val="4A9F4FC4"/>
    <w:rsid w:val="4B302C60"/>
    <w:rsid w:val="4B5413D7"/>
    <w:rsid w:val="4B9517E6"/>
    <w:rsid w:val="4BD65813"/>
    <w:rsid w:val="4C251FC6"/>
    <w:rsid w:val="4C3D725F"/>
    <w:rsid w:val="4C7F01F7"/>
    <w:rsid w:val="4D27053C"/>
    <w:rsid w:val="4D5F6370"/>
    <w:rsid w:val="4D970721"/>
    <w:rsid w:val="4E307907"/>
    <w:rsid w:val="4EB80D1A"/>
    <w:rsid w:val="4F133FFB"/>
    <w:rsid w:val="4F9F0460"/>
    <w:rsid w:val="4FB33505"/>
    <w:rsid w:val="4FCE41A2"/>
    <w:rsid w:val="4FFC3A5C"/>
    <w:rsid w:val="50154BE9"/>
    <w:rsid w:val="501A4E42"/>
    <w:rsid w:val="50582AD2"/>
    <w:rsid w:val="50AD39B1"/>
    <w:rsid w:val="50C33FC8"/>
    <w:rsid w:val="50DD5D6A"/>
    <w:rsid w:val="51190931"/>
    <w:rsid w:val="51204FFE"/>
    <w:rsid w:val="520D2B49"/>
    <w:rsid w:val="525A7750"/>
    <w:rsid w:val="52C7695A"/>
    <w:rsid w:val="53400F13"/>
    <w:rsid w:val="534A6AA1"/>
    <w:rsid w:val="5395352A"/>
    <w:rsid w:val="53EA4A0B"/>
    <w:rsid w:val="540671DF"/>
    <w:rsid w:val="54513C93"/>
    <w:rsid w:val="54E56216"/>
    <w:rsid w:val="54E67E60"/>
    <w:rsid w:val="54F14BBA"/>
    <w:rsid w:val="555D3FFE"/>
    <w:rsid w:val="55990DAE"/>
    <w:rsid w:val="56356355"/>
    <w:rsid w:val="56BB6494"/>
    <w:rsid w:val="56F032BC"/>
    <w:rsid w:val="57154464"/>
    <w:rsid w:val="575A293F"/>
    <w:rsid w:val="577044C9"/>
    <w:rsid w:val="57B7219B"/>
    <w:rsid w:val="57D93195"/>
    <w:rsid w:val="586374E4"/>
    <w:rsid w:val="58DE2AF2"/>
    <w:rsid w:val="59227BDF"/>
    <w:rsid w:val="592C5D7D"/>
    <w:rsid w:val="59347244"/>
    <w:rsid w:val="59464DA9"/>
    <w:rsid w:val="59A71CEC"/>
    <w:rsid w:val="59BC4632"/>
    <w:rsid w:val="59E3470E"/>
    <w:rsid w:val="59F27937"/>
    <w:rsid w:val="5A0660D1"/>
    <w:rsid w:val="5B090144"/>
    <w:rsid w:val="5B2C5FB6"/>
    <w:rsid w:val="5B3A71C7"/>
    <w:rsid w:val="5B473285"/>
    <w:rsid w:val="5C116431"/>
    <w:rsid w:val="5C326A0B"/>
    <w:rsid w:val="5D266A28"/>
    <w:rsid w:val="5DAA2BFB"/>
    <w:rsid w:val="5E19617E"/>
    <w:rsid w:val="5E333F42"/>
    <w:rsid w:val="5E5F4366"/>
    <w:rsid w:val="5EBC4153"/>
    <w:rsid w:val="5EC01F62"/>
    <w:rsid w:val="5F3A715E"/>
    <w:rsid w:val="5F3B5D15"/>
    <w:rsid w:val="5FB55CAF"/>
    <w:rsid w:val="5FDE5648"/>
    <w:rsid w:val="5FFA6BD9"/>
    <w:rsid w:val="5FFC75C0"/>
    <w:rsid w:val="602E1750"/>
    <w:rsid w:val="604022FD"/>
    <w:rsid w:val="609C5D62"/>
    <w:rsid w:val="609D2738"/>
    <w:rsid w:val="60C507AD"/>
    <w:rsid w:val="60CE7B5E"/>
    <w:rsid w:val="61B16711"/>
    <w:rsid w:val="61CE51E2"/>
    <w:rsid w:val="62124CB4"/>
    <w:rsid w:val="625C1559"/>
    <w:rsid w:val="62DF2A10"/>
    <w:rsid w:val="62EA6AD3"/>
    <w:rsid w:val="63523516"/>
    <w:rsid w:val="63667E19"/>
    <w:rsid w:val="63EE34B9"/>
    <w:rsid w:val="64BD699D"/>
    <w:rsid w:val="64C94140"/>
    <w:rsid w:val="64DB4CF3"/>
    <w:rsid w:val="655212FE"/>
    <w:rsid w:val="656E262A"/>
    <w:rsid w:val="65AF5461"/>
    <w:rsid w:val="65E5461B"/>
    <w:rsid w:val="661206B4"/>
    <w:rsid w:val="669B2A70"/>
    <w:rsid w:val="66C57C55"/>
    <w:rsid w:val="66FD02B4"/>
    <w:rsid w:val="67926BD9"/>
    <w:rsid w:val="679975D5"/>
    <w:rsid w:val="67B41C9D"/>
    <w:rsid w:val="67BB182E"/>
    <w:rsid w:val="67F455AA"/>
    <w:rsid w:val="67F56318"/>
    <w:rsid w:val="69930621"/>
    <w:rsid w:val="699A7368"/>
    <w:rsid w:val="69E62BFC"/>
    <w:rsid w:val="6A2D7FEB"/>
    <w:rsid w:val="6A667A26"/>
    <w:rsid w:val="6A6E721F"/>
    <w:rsid w:val="6AAE1A29"/>
    <w:rsid w:val="6B1F112B"/>
    <w:rsid w:val="6B3C7B92"/>
    <w:rsid w:val="6B417BD4"/>
    <w:rsid w:val="6BCA10AB"/>
    <w:rsid w:val="6C4532E3"/>
    <w:rsid w:val="6C4C72B5"/>
    <w:rsid w:val="6D773A46"/>
    <w:rsid w:val="6DC41DD2"/>
    <w:rsid w:val="6DEE2017"/>
    <w:rsid w:val="6DF273EC"/>
    <w:rsid w:val="6E3070CE"/>
    <w:rsid w:val="6E865F1C"/>
    <w:rsid w:val="6EA12D56"/>
    <w:rsid w:val="6EC658E8"/>
    <w:rsid w:val="6EE81AA0"/>
    <w:rsid w:val="6F9C7C44"/>
    <w:rsid w:val="6FFF2A62"/>
    <w:rsid w:val="705F4B98"/>
    <w:rsid w:val="70AA5773"/>
    <w:rsid w:val="70E07E5B"/>
    <w:rsid w:val="71113B23"/>
    <w:rsid w:val="715A3DCC"/>
    <w:rsid w:val="71F10831"/>
    <w:rsid w:val="72885926"/>
    <w:rsid w:val="72994C16"/>
    <w:rsid w:val="729C7DFA"/>
    <w:rsid w:val="72C41AAE"/>
    <w:rsid w:val="73037B40"/>
    <w:rsid w:val="73165394"/>
    <w:rsid w:val="73191795"/>
    <w:rsid w:val="73555EBD"/>
    <w:rsid w:val="735F1F6B"/>
    <w:rsid w:val="737E5413"/>
    <w:rsid w:val="73926835"/>
    <w:rsid w:val="73B05B70"/>
    <w:rsid w:val="73D14E61"/>
    <w:rsid w:val="73D630FE"/>
    <w:rsid w:val="73FF4AE6"/>
    <w:rsid w:val="74047F3F"/>
    <w:rsid w:val="740D19EE"/>
    <w:rsid w:val="748F443F"/>
    <w:rsid w:val="756210E7"/>
    <w:rsid w:val="75791FFB"/>
    <w:rsid w:val="75E905E3"/>
    <w:rsid w:val="761402B1"/>
    <w:rsid w:val="767B3E8C"/>
    <w:rsid w:val="76930DD0"/>
    <w:rsid w:val="76A076F1"/>
    <w:rsid w:val="76AC04E9"/>
    <w:rsid w:val="76C747C2"/>
    <w:rsid w:val="76C773E4"/>
    <w:rsid w:val="773C0249"/>
    <w:rsid w:val="781D6A7B"/>
    <w:rsid w:val="7871372C"/>
    <w:rsid w:val="78774CA7"/>
    <w:rsid w:val="79D5678E"/>
    <w:rsid w:val="7A4B1C4C"/>
    <w:rsid w:val="7AEA15E0"/>
    <w:rsid w:val="7B203C3A"/>
    <w:rsid w:val="7B62386D"/>
    <w:rsid w:val="7BCE5B4C"/>
    <w:rsid w:val="7BE02134"/>
    <w:rsid w:val="7CB31E49"/>
    <w:rsid w:val="7CCC0F5A"/>
    <w:rsid w:val="7CFE226F"/>
    <w:rsid w:val="7D06583E"/>
    <w:rsid w:val="7D342D57"/>
    <w:rsid w:val="7D573D79"/>
    <w:rsid w:val="7D6703A7"/>
    <w:rsid w:val="7DF47B74"/>
    <w:rsid w:val="7E066731"/>
    <w:rsid w:val="7E413C0D"/>
    <w:rsid w:val="7E43633E"/>
    <w:rsid w:val="7E4D7852"/>
    <w:rsid w:val="7E5D2278"/>
    <w:rsid w:val="7EFC60BE"/>
    <w:rsid w:val="7F463510"/>
    <w:rsid w:val="7F4D5F00"/>
    <w:rsid w:val="7F79394C"/>
    <w:rsid w:val="7FB92589"/>
    <w:rsid w:val="7FE519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rFonts w:ascii="黑体" w:eastAsia="黑体"/>
      <w:b/>
      <w:bCs/>
      <w:kern w:val="44"/>
      <w:sz w:val="44"/>
      <w:szCs w:val="44"/>
    </w:rPr>
  </w:style>
  <w:style w:type="paragraph" w:styleId="4">
    <w:name w:val="heading 2"/>
    <w:basedOn w:val="1"/>
    <w:next w:val="1"/>
    <w:qFormat/>
    <w:uiPriority w:val="1"/>
    <w:pPr>
      <w:spacing w:before="98"/>
      <w:ind w:left="276"/>
      <w:jc w:val="center"/>
      <w:outlineLvl w:val="1"/>
    </w:pPr>
    <w:rPr>
      <w:rFonts w:ascii="黑体" w:hAnsi="黑体" w:eastAsia="黑体" w:cs="黑体"/>
      <w:b/>
      <w:bCs/>
      <w:sz w:val="32"/>
      <w:szCs w:val="32"/>
      <w:lang w:val="zh-CN" w:bidi="zh-CN"/>
    </w:rPr>
  </w:style>
  <w:style w:type="paragraph" w:styleId="5">
    <w:name w:val="heading 3"/>
    <w:basedOn w:val="1"/>
    <w:next w:val="1"/>
    <w:qFormat/>
    <w:uiPriority w:val="0"/>
    <w:pPr>
      <w:keepNext/>
      <w:keepLines/>
      <w:spacing w:before="260" w:after="260" w:line="416" w:lineRule="auto"/>
      <w:outlineLvl w:val="2"/>
    </w:pPr>
    <w:rPr>
      <w:rFonts w:ascii="黑体" w:eastAsia="黑体"/>
      <w:b/>
      <w:bCs/>
      <w:sz w:val="32"/>
      <w:szCs w:val="32"/>
    </w:rPr>
  </w:style>
  <w:style w:type="paragraph" w:styleId="2">
    <w:name w:val="heading 4"/>
    <w:basedOn w:val="1"/>
    <w:next w:val="1"/>
    <w:qFormat/>
    <w:uiPriority w:val="0"/>
    <w:pPr>
      <w:keepNext/>
      <w:jc w:val="center"/>
      <w:outlineLvl w:val="3"/>
    </w:pPr>
    <w:rPr>
      <w:rFonts w:eastAsia="楷体_GB2312"/>
      <w:b/>
      <w:bCs/>
      <w:sz w:val="13"/>
    </w:rPr>
  </w:style>
  <w:style w:type="paragraph" w:styleId="6">
    <w:name w:val="heading 5"/>
    <w:basedOn w:val="1"/>
    <w:next w:val="1"/>
    <w:qFormat/>
    <w:uiPriority w:val="1"/>
    <w:pPr>
      <w:ind w:left="722" w:hanging="422"/>
      <w:outlineLvl w:val="4"/>
    </w:pPr>
    <w:rPr>
      <w:rFonts w:ascii="宋体" w:hAnsi="宋体" w:cs="宋体"/>
      <w:b/>
      <w:bCs/>
      <w:szCs w:val="21"/>
      <w:lang w:val="zh-CN" w:bidi="zh-CN"/>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next w:val="1"/>
    <w:qFormat/>
    <w:uiPriority w:val="0"/>
    <w:pPr>
      <w:autoSpaceDE w:val="0"/>
      <w:autoSpaceDN w:val="0"/>
      <w:adjustRightInd w:val="0"/>
    </w:pPr>
    <w:rPr>
      <w:rFonts w:ascii="仿宋_GB2312" w:eastAsia="仿宋_GB2312"/>
      <w:kern w:val="0"/>
      <w:sz w:val="28"/>
      <w:szCs w:val="20"/>
    </w:rPr>
  </w:style>
  <w:style w:type="paragraph" w:styleId="9">
    <w:name w:val="Body Text Indent"/>
    <w:basedOn w:val="1"/>
    <w:qFormat/>
    <w:uiPriority w:val="0"/>
    <w:pPr>
      <w:spacing w:after="120"/>
      <w:ind w:left="420" w:leftChars="200"/>
    </w:pPr>
  </w:style>
  <w:style w:type="paragraph" w:styleId="10">
    <w:name w:val="Block Text"/>
    <w:basedOn w:val="1"/>
    <w:qFormat/>
    <w:uiPriority w:val="0"/>
    <w:pPr>
      <w:adjustRightInd w:val="0"/>
      <w:ind w:left="420" w:right="33"/>
      <w:jc w:val="left"/>
      <w:textAlignment w:val="baseline"/>
    </w:pPr>
    <w:rPr>
      <w:kern w:val="0"/>
      <w:sz w:val="24"/>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ascii="黑体" w:hAnsi="Courier New" w:eastAsia="黑体"/>
      <w:kern w:val="0"/>
      <w:sz w:val="20"/>
    </w:rPr>
  </w:style>
  <w:style w:type="paragraph" w:styleId="14">
    <w:name w:val="Normal (Web)"/>
    <w:basedOn w:val="1"/>
    <w:qFormat/>
    <w:uiPriority w:val="0"/>
    <w:pPr>
      <w:widowControl/>
      <w:adjustRightInd w:val="0"/>
      <w:spacing w:before="100" w:beforeAutospacing="1" w:after="100" w:afterAutospacing="1" w:line="288" w:lineRule="auto"/>
      <w:ind w:firstLine="420"/>
      <w:jc w:val="left"/>
      <w:textAlignment w:val="baseline"/>
    </w:pPr>
    <w:rPr>
      <w:rFonts w:ascii="宋体" w:hAnsi="宋体"/>
      <w:kern w:val="0"/>
      <w:sz w:val="24"/>
    </w:rPr>
  </w:style>
  <w:style w:type="paragraph" w:styleId="15">
    <w:name w:val="Body Text First Indent"/>
    <w:basedOn w:val="8"/>
    <w:qFormat/>
    <w:uiPriority w:val="0"/>
    <w:pPr>
      <w:spacing w:after="120"/>
      <w:ind w:firstLine="420" w:firstLineChars="100"/>
    </w:pPr>
    <w:rPr>
      <w:rFonts w:ascii="Times New Roman" w:eastAsia="宋体"/>
      <w:sz w:val="21"/>
    </w:rPr>
  </w:style>
  <w:style w:type="paragraph" w:styleId="16">
    <w:name w:val="Body Text First Indent 2"/>
    <w:basedOn w:val="9"/>
    <w:qFormat/>
    <w:uiPriority w:val="0"/>
    <w:pPr>
      <w:ind w:firstLine="420" w:firstLineChars="200"/>
    </w:pPr>
  </w:style>
  <w:style w:type="character" w:styleId="19">
    <w:name w:val="page number"/>
    <w:basedOn w:val="18"/>
    <w:qFormat/>
    <w:uiPriority w:val="0"/>
  </w:style>
  <w:style w:type="character" w:styleId="20">
    <w:name w:val="HTML Typewriter"/>
    <w:qFormat/>
    <w:uiPriority w:val="0"/>
    <w:rPr>
      <w:rFonts w:ascii="宋体" w:hAnsi="宋体" w:eastAsia="宋体" w:cs="宋体"/>
      <w:sz w:val="24"/>
      <w:szCs w:val="24"/>
    </w:rPr>
  </w:style>
  <w:style w:type="paragraph" w:customStyle="1" w:styleId="21">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22">
    <w:name w:val="List Paragraph"/>
    <w:basedOn w:val="1"/>
    <w:link w:val="24"/>
    <w:qFormat/>
    <w:uiPriority w:val="1"/>
    <w:pPr>
      <w:ind w:left="300" w:firstLine="420"/>
    </w:pPr>
    <w:rPr>
      <w:rFonts w:ascii="宋体" w:hAnsi="宋体" w:cs="宋体"/>
      <w:lang w:val="zh-CN" w:bidi="zh-CN"/>
    </w:rPr>
  </w:style>
  <w:style w:type="paragraph" w:customStyle="1" w:styleId="23">
    <w:name w:val="Table Paragraph"/>
    <w:basedOn w:val="1"/>
    <w:qFormat/>
    <w:uiPriority w:val="1"/>
    <w:rPr>
      <w:rFonts w:ascii="宋体" w:hAnsi="宋体" w:cs="宋体"/>
      <w:lang w:val="zh-CN" w:bidi="zh-CN"/>
    </w:rPr>
  </w:style>
  <w:style w:type="character" w:customStyle="1" w:styleId="24">
    <w:name w:val="列出段落 Char"/>
    <w:link w:val="22"/>
    <w:qFormat/>
    <w:uiPriority w:val="1"/>
    <w:rPr>
      <w:rFonts w:ascii="宋体" w:hAnsi="宋体" w:eastAsia="宋体" w:cs="宋体"/>
      <w:lang w:val="zh-CN" w:eastAsia="zh-CN" w:bidi="zh-CN"/>
    </w:rPr>
  </w:style>
  <w:style w:type="paragraph" w:customStyle="1" w:styleId="25">
    <w:name w:val="_Style 6"/>
    <w:basedOn w:val="3"/>
    <w:next w:val="1"/>
    <w:qFormat/>
    <w:uiPriority w:val="0"/>
    <w:pPr>
      <w:jc w:val="both"/>
      <w:outlineLvl w:val="9"/>
    </w:pPr>
    <w:rPr>
      <w:rFonts w:ascii="Cambria" w:hAnsi="Cambria" w:eastAsia="华文细黑" w:cs="Cambri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118</Pages>
  <Words>54744</Words>
  <Characters>57166</Characters>
  <Lines>486</Lines>
  <Paragraphs>136</Paragraphs>
  <TotalTime>8</TotalTime>
  <ScaleCrop>false</ScaleCrop>
  <LinksUpToDate>false</LinksUpToDate>
  <CharactersWithSpaces>62515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小皮不皮的WPS会员</cp:lastModifiedBy>
  <cp:lastPrinted>2022-08-18T03:23:31Z</cp:lastPrinted>
  <dcterms:modified xsi:type="dcterms:W3CDTF">2022-08-18T03:24:40Z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E556CEC4C67745FBA7977A8D8CF23A36</vt:lpwstr>
  </property>
</Properties>
</file>