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hint="default" w:ascii="Times New Roman" w:hAnsi="Times New Roman" w:cs="Times New Roman"/>
          <w:b/>
          <w:sz w:val="52"/>
          <w:szCs w:val="52"/>
          <w:highlight w:val="none"/>
        </w:rPr>
      </w:pPr>
    </w:p>
    <w:p>
      <w:pPr>
        <w:topLinePunct/>
        <w:spacing w:line="360" w:lineRule="auto"/>
        <w:jc w:val="center"/>
        <w:rPr>
          <w:rFonts w:hint="default" w:ascii="Times New Roman" w:hAnsi="Times New Roman" w:cs="Times New Roman"/>
          <w:b/>
          <w:sz w:val="52"/>
          <w:szCs w:val="52"/>
          <w:highlight w:val="none"/>
        </w:rPr>
      </w:pPr>
    </w:p>
    <w:p>
      <w:pPr>
        <w:topLinePunct/>
        <w:spacing w:line="360" w:lineRule="auto"/>
        <w:jc w:val="center"/>
        <w:rPr>
          <w:rFonts w:hint="default" w:ascii="Times New Roman" w:hAnsi="Times New Roman" w:cs="Times New Roman"/>
          <w:b/>
          <w:sz w:val="52"/>
          <w:szCs w:val="52"/>
          <w:highlight w:val="none"/>
        </w:rPr>
      </w:pPr>
      <w:r>
        <w:rPr>
          <w:rFonts w:hint="default" w:ascii="Times New Roman" w:hAnsi="Times New Roman" w:cs="Times New Roman"/>
          <w:b/>
          <w:sz w:val="52"/>
          <w:szCs w:val="52"/>
          <w:highlight w:val="none"/>
        </w:rPr>
        <w:t>无锡市政府采购项目</w:t>
      </w:r>
    </w:p>
    <w:p>
      <w:pPr>
        <w:topLinePunct/>
        <w:spacing w:line="360" w:lineRule="auto"/>
        <w:jc w:val="center"/>
        <w:rPr>
          <w:rFonts w:hint="default" w:ascii="Times New Roman" w:hAnsi="Times New Roman" w:cs="Times New Roman"/>
          <w:b/>
          <w:sz w:val="52"/>
          <w:szCs w:val="52"/>
          <w:highlight w:val="none"/>
        </w:rPr>
      </w:pPr>
      <w:r>
        <w:rPr>
          <w:rFonts w:hint="default" w:ascii="Times New Roman" w:hAnsi="Times New Roman" w:cs="Times New Roman"/>
          <w:b/>
          <w:sz w:val="52"/>
          <w:szCs w:val="52"/>
          <w:highlight w:val="none"/>
        </w:rPr>
        <w:t>公开招标文件</w:t>
      </w:r>
    </w:p>
    <w:p>
      <w:pPr>
        <w:topLinePunct/>
        <w:spacing w:line="360" w:lineRule="auto"/>
        <w:jc w:val="center"/>
        <w:rPr>
          <w:rFonts w:hint="default" w:ascii="Times New Roman" w:hAnsi="Times New Roman" w:cs="Times New Roman"/>
          <w:b/>
          <w:sz w:val="24"/>
          <w:highlight w:val="none"/>
        </w:rPr>
      </w:pPr>
    </w:p>
    <w:p>
      <w:pPr>
        <w:topLinePunct/>
        <w:spacing w:line="360" w:lineRule="auto"/>
        <w:jc w:val="center"/>
        <w:rPr>
          <w:rFonts w:hint="default" w:ascii="Times New Roman" w:hAnsi="Times New Roman" w:cs="Times New Roman"/>
          <w:b/>
          <w:sz w:val="24"/>
          <w:highlight w:val="none"/>
        </w:rPr>
      </w:pPr>
    </w:p>
    <w:p>
      <w:pPr>
        <w:topLinePunct/>
        <w:spacing w:line="360" w:lineRule="auto"/>
        <w:jc w:val="center"/>
        <w:rPr>
          <w:rFonts w:hint="default" w:ascii="Times New Roman" w:hAnsi="Times New Roman" w:cs="Times New Roman"/>
          <w:b/>
          <w:sz w:val="24"/>
          <w:highlight w:val="none"/>
        </w:rPr>
      </w:pPr>
    </w:p>
    <w:p>
      <w:pPr>
        <w:topLinePunct/>
        <w:spacing w:line="360" w:lineRule="auto"/>
        <w:rPr>
          <w:rFonts w:hint="default" w:ascii="Times New Roman" w:hAnsi="Times New Roman" w:cs="Times New Roman"/>
          <w:b/>
          <w:sz w:val="24"/>
          <w:highlight w:val="none"/>
        </w:rPr>
      </w:pPr>
    </w:p>
    <w:p>
      <w:pPr>
        <w:topLinePunct/>
        <w:spacing w:line="360" w:lineRule="auto"/>
        <w:rPr>
          <w:rFonts w:hint="default" w:ascii="Times New Roman" w:hAnsi="Times New Roman" w:cs="Times New Roman"/>
          <w:b/>
          <w:sz w:val="24"/>
          <w:highlight w:val="none"/>
        </w:rPr>
      </w:pPr>
    </w:p>
    <w:p>
      <w:pPr>
        <w:rPr>
          <w:rFonts w:hint="default" w:ascii="Times New Roman" w:hAnsi="Times New Roman" w:eastAsia="宋体" w:cs="Times New Roman"/>
          <w:b/>
          <w:sz w:val="32"/>
          <w:szCs w:val="32"/>
          <w:highlight w:val="none"/>
          <w:lang w:eastAsia="zh-CN"/>
        </w:rPr>
      </w:pPr>
      <w:r>
        <w:rPr>
          <w:rFonts w:hint="default" w:ascii="Times New Roman" w:hAnsi="Times New Roman" w:cs="Times New Roman"/>
          <w:b/>
          <w:sz w:val="32"/>
          <w:szCs w:val="32"/>
          <w:highlight w:val="none"/>
        </w:rPr>
        <w:t>政府采购编号：</w:t>
      </w:r>
      <w:r>
        <w:rPr>
          <w:rFonts w:hint="eastAsia" w:ascii="Times New Roman" w:cs="Times New Roman"/>
          <w:bCs/>
          <w:sz w:val="30"/>
          <w:szCs w:val="30"/>
          <w:highlight w:val="none"/>
          <w:lang w:eastAsia="zh-CN"/>
        </w:rPr>
        <w:t>JSXZT2022-027（2）</w:t>
      </w:r>
    </w:p>
    <w:p>
      <w:pPr>
        <w:topLinePunct/>
        <w:spacing w:line="360" w:lineRule="auto"/>
        <w:jc w:val="center"/>
        <w:rPr>
          <w:rFonts w:hint="default" w:ascii="Times New Roman" w:hAnsi="Times New Roman" w:cs="Times New Roman"/>
          <w:b/>
          <w:sz w:val="32"/>
          <w:szCs w:val="32"/>
          <w:highlight w:val="none"/>
        </w:rPr>
      </w:pPr>
    </w:p>
    <w:p>
      <w:pPr>
        <w:topLinePunct/>
        <w:spacing w:line="360" w:lineRule="auto"/>
        <w:rPr>
          <w:rFonts w:hint="default" w:ascii="Times New Roman" w:hAnsi="Times New Roman" w:eastAsia="宋体" w:cs="Times New Roman"/>
          <w:b/>
          <w:sz w:val="32"/>
          <w:szCs w:val="32"/>
          <w:highlight w:val="none"/>
          <w:lang w:eastAsia="zh-CN"/>
        </w:rPr>
      </w:pPr>
      <w:r>
        <w:rPr>
          <w:rFonts w:hint="default" w:ascii="Times New Roman" w:hAnsi="Times New Roman" w:cs="Times New Roman"/>
          <w:b/>
          <w:sz w:val="32"/>
          <w:szCs w:val="32"/>
          <w:highlight w:val="none"/>
        </w:rPr>
        <w:t>采购项目名称：</w:t>
      </w:r>
      <w:bookmarkStart w:id="15" w:name="_GoBack"/>
      <w:r>
        <w:rPr>
          <w:rFonts w:hint="eastAsia" w:ascii="Times New Roman" w:cs="Times New Roman"/>
          <w:bCs/>
          <w:sz w:val="30"/>
          <w:szCs w:val="30"/>
          <w:highlight w:val="none"/>
          <w:lang w:eastAsia="zh-CN"/>
        </w:rPr>
        <w:t>人员及车辆通行智能管理系统（第二次）</w:t>
      </w:r>
      <w:bookmarkEnd w:id="15"/>
    </w:p>
    <w:p>
      <w:pPr>
        <w:topLinePunct/>
        <w:spacing w:line="360" w:lineRule="auto"/>
        <w:rPr>
          <w:rFonts w:hint="default" w:ascii="Times New Roman" w:hAnsi="Times New Roman" w:cs="Times New Roman"/>
          <w:b/>
          <w:sz w:val="32"/>
          <w:szCs w:val="32"/>
          <w:highlight w:val="none"/>
        </w:rPr>
      </w:pPr>
    </w:p>
    <w:p>
      <w:pPr>
        <w:topLinePunct/>
        <w:spacing w:line="360" w:lineRule="auto"/>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t>采  购  人：</w:t>
      </w:r>
      <w:r>
        <w:rPr>
          <w:rFonts w:hint="default" w:ascii="Times New Roman" w:hAnsi="Times New Roman" w:cs="Times New Roman"/>
          <w:bCs/>
          <w:sz w:val="30"/>
          <w:szCs w:val="30"/>
          <w:highlight w:val="none"/>
        </w:rPr>
        <w:t>公安部交通管理科学研究所</w:t>
      </w:r>
    </w:p>
    <w:p>
      <w:pPr>
        <w:topLinePunct/>
        <w:spacing w:line="360" w:lineRule="auto"/>
        <w:rPr>
          <w:rFonts w:hint="default" w:ascii="Times New Roman" w:hAnsi="Times New Roman" w:cs="Times New Roman"/>
          <w:b/>
          <w:sz w:val="32"/>
          <w:szCs w:val="32"/>
          <w:highlight w:val="none"/>
        </w:rPr>
      </w:pPr>
    </w:p>
    <w:p>
      <w:pPr>
        <w:topLinePunct/>
        <w:spacing w:line="360" w:lineRule="auto"/>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t>采购代理机构：</w:t>
      </w:r>
      <w:r>
        <w:rPr>
          <w:rFonts w:hint="default" w:ascii="Times New Roman" w:hAnsi="Times New Roman" w:cs="Times New Roman"/>
          <w:bCs/>
          <w:sz w:val="30"/>
          <w:szCs w:val="30"/>
          <w:highlight w:val="none"/>
        </w:rPr>
        <w:t>江苏信中天工程咨询有限公司</w:t>
      </w:r>
    </w:p>
    <w:p>
      <w:pPr>
        <w:topLinePunct/>
        <w:spacing w:line="360" w:lineRule="auto"/>
        <w:rPr>
          <w:rFonts w:hint="default" w:ascii="Times New Roman" w:hAnsi="Times New Roman" w:cs="Times New Roman"/>
          <w:b/>
          <w:sz w:val="32"/>
          <w:szCs w:val="32"/>
          <w:highlight w:val="none"/>
        </w:rPr>
      </w:pPr>
    </w:p>
    <w:p>
      <w:pPr>
        <w:topLinePunct/>
        <w:spacing w:line="360" w:lineRule="auto"/>
        <w:rPr>
          <w:rFonts w:hint="default" w:ascii="Times New Roman" w:hAnsi="Times New Roman" w:cs="Times New Roman"/>
          <w:b/>
          <w:sz w:val="24"/>
          <w:highlight w:val="none"/>
        </w:rPr>
      </w:pPr>
    </w:p>
    <w:p>
      <w:pPr>
        <w:topLinePunct/>
        <w:spacing w:line="360" w:lineRule="auto"/>
        <w:rPr>
          <w:rFonts w:hint="default" w:ascii="Times New Roman" w:hAnsi="Times New Roman" w:cs="Times New Roman"/>
          <w:b/>
          <w:sz w:val="24"/>
          <w:highlight w:val="none"/>
        </w:rPr>
      </w:pPr>
    </w:p>
    <w:p>
      <w:pPr>
        <w:topLinePunct/>
        <w:spacing w:line="360" w:lineRule="auto"/>
        <w:rPr>
          <w:rFonts w:hint="default" w:ascii="Times New Roman" w:hAnsi="Times New Roman" w:cs="Times New Roman"/>
          <w:b/>
          <w:sz w:val="24"/>
          <w:highlight w:val="none"/>
        </w:rPr>
      </w:pPr>
    </w:p>
    <w:p>
      <w:pPr>
        <w:topLinePunct/>
        <w:snapToGrid w:val="0"/>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32"/>
          <w:szCs w:val="32"/>
          <w:highlight w:val="none"/>
        </w:rPr>
        <w:t>二○二</w:t>
      </w:r>
      <w:r>
        <w:rPr>
          <w:rFonts w:hint="eastAsia" w:ascii="Times New Roman" w:cs="Times New Roman"/>
          <w:b/>
          <w:sz w:val="32"/>
          <w:szCs w:val="32"/>
          <w:highlight w:val="none"/>
          <w:lang w:val="en-US" w:eastAsia="zh-CN"/>
        </w:rPr>
        <w:t>二</w:t>
      </w:r>
      <w:r>
        <w:rPr>
          <w:rFonts w:hint="default" w:ascii="Times New Roman" w:hAnsi="Times New Roman" w:cs="Times New Roman"/>
          <w:b/>
          <w:sz w:val="32"/>
          <w:szCs w:val="32"/>
          <w:highlight w:val="none"/>
        </w:rPr>
        <w:t>年</w:t>
      </w:r>
      <w:r>
        <w:rPr>
          <w:rFonts w:hint="eastAsia" w:ascii="Times New Roman" w:cs="Times New Roman"/>
          <w:b/>
          <w:sz w:val="32"/>
          <w:szCs w:val="32"/>
          <w:highlight w:val="none"/>
          <w:lang w:val="en-US" w:eastAsia="zh-CN"/>
        </w:rPr>
        <w:t>七</w:t>
      </w:r>
      <w:r>
        <w:rPr>
          <w:rFonts w:hint="default" w:ascii="Times New Roman" w:hAnsi="Times New Roman" w:cs="Times New Roman"/>
          <w:b/>
          <w:sz w:val="32"/>
          <w:szCs w:val="32"/>
          <w:highlight w:val="none"/>
        </w:rPr>
        <w:t>月</w:t>
      </w:r>
    </w:p>
    <w:p>
      <w:pPr>
        <w:topLinePunct/>
        <w:snapToGrid w:val="0"/>
        <w:spacing w:line="360" w:lineRule="auto"/>
        <w:jc w:val="center"/>
        <w:rPr>
          <w:rFonts w:hint="default" w:ascii="Times New Roman" w:hAnsi="Times New Roman" w:cs="Times New Roman"/>
          <w:b/>
          <w:sz w:val="24"/>
          <w:highlight w:val="none"/>
        </w:rPr>
      </w:pPr>
    </w:p>
    <w:p>
      <w:pPr>
        <w:topLinePunct/>
        <w:snapToGrid w:val="0"/>
        <w:spacing w:line="360" w:lineRule="auto"/>
        <w:jc w:val="center"/>
        <w:rPr>
          <w:rFonts w:hint="default" w:ascii="Times New Roman" w:hAnsi="Times New Roman" w:cs="Times New Roman"/>
          <w:b/>
          <w:sz w:val="24"/>
          <w:highlight w:val="none"/>
        </w:rPr>
      </w:pPr>
    </w:p>
    <w:p>
      <w:pPr>
        <w:rPr>
          <w:rStyle w:val="112"/>
          <w:rFonts w:hint="default" w:ascii="Times New Roman" w:hAnsi="Times New Roman" w:eastAsia="黑体" w:cs="Times New Roman"/>
          <w:bCs/>
          <w:color w:val="auto"/>
          <w:sz w:val="48"/>
          <w:highlight w:val="none"/>
        </w:rPr>
      </w:pPr>
    </w:p>
    <w:p>
      <w:pPr>
        <w:jc w:val="center"/>
        <w:rPr>
          <w:rStyle w:val="112"/>
          <w:rFonts w:hint="default" w:ascii="Times New Roman" w:hAnsi="Times New Roman" w:eastAsia="黑体" w:cs="Times New Roman"/>
          <w:bCs/>
          <w:color w:val="auto"/>
          <w:sz w:val="48"/>
          <w:highlight w:val="none"/>
          <w:u w:val="none"/>
        </w:rPr>
      </w:pPr>
      <w:r>
        <w:rPr>
          <w:rStyle w:val="112"/>
          <w:rFonts w:hint="default" w:ascii="Times New Roman" w:hAnsi="Times New Roman" w:eastAsia="黑体" w:cs="Times New Roman"/>
          <w:bCs/>
          <w:color w:val="auto"/>
          <w:sz w:val="48"/>
          <w:highlight w:val="none"/>
          <w:u w:val="none"/>
        </w:rPr>
        <w:t>目录</w:t>
      </w:r>
    </w:p>
    <w:p>
      <w:pPr>
        <w:jc w:val="center"/>
        <w:rPr>
          <w:rFonts w:hint="default" w:ascii="Times New Roman" w:hAnsi="Times New Roman" w:eastAsia="黑体" w:cs="Times New Roman"/>
          <w:bCs/>
          <w:sz w:val="30"/>
          <w:highlight w:val="none"/>
        </w:rPr>
      </w:pPr>
    </w:p>
    <w:p>
      <w:pPr>
        <w:pStyle w:val="39"/>
        <w:tabs>
          <w:tab w:val="right" w:leader="dot" w:pos="9746"/>
          <w:tab w:val="clear" w:pos="8393"/>
        </w:tabs>
        <w:rPr>
          <w:sz w:val="32"/>
          <w:szCs w:val="28"/>
          <w:highlight w:val="none"/>
        </w:rPr>
      </w:pPr>
      <w:r>
        <w:rPr>
          <w:rFonts w:hint="default" w:ascii="Times New Roman" w:hAnsi="Times New Roman" w:eastAsia="黑体" w:cs="Times New Roman"/>
          <w:bCs/>
          <w:sz w:val="44"/>
          <w:szCs w:val="28"/>
          <w:highlight w:val="none"/>
        </w:rPr>
        <w:fldChar w:fldCharType="begin"/>
      </w:r>
      <w:r>
        <w:rPr>
          <w:rFonts w:hint="default" w:ascii="Times New Roman" w:hAnsi="Times New Roman" w:eastAsia="黑体" w:cs="Times New Roman"/>
          <w:bCs/>
          <w:sz w:val="44"/>
          <w:szCs w:val="28"/>
          <w:highlight w:val="none"/>
        </w:rPr>
        <w:instrText xml:space="preserve">TOC \o "1-1" \h \u </w:instrText>
      </w:r>
      <w:r>
        <w:rPr>
          <w:rFonts w:hint="default" w:ascii="Times New Roman" w:hAnsi="Times New Roman" w:eastAsia="黑体" w:cs="Times New Roman"/>
          <w:bCs/>
          <w:sz w:val="44"/>
          <w:szCs w:val="28"/>
          <w:highlight w:val="none"/>
        </w:rPr>
        <w:fldChar w:fldCharType="separate"/>
      </w:r>
      <w:r>
        <w:rPr>
          <w:rFonts w:hint="default" w:ascii="Times New Roman" w:hAnsi="Times New Roman" w:eastAsia="黑体" w:cs="Times New Roman"/>
          <w:bCs/>
          <w:sz w:val="32"/>
          <w:szCs w:val="28"/>
          <w:highlight w:val="none"/>
        </w:rPr>
        <w:fldChar w:fldCharType="begin"/>
      </w:r>
      <w:r>
        <w:rPr>
          <w:rFonts w:hint="default" w:ascii="Times New Roman" w:hAnsi="Times New Roman" w:eastAsia="黑体" w:cs="Times New Roman"/>
          <w:bCs/>
          <w:sz w:val="32"/>
          <w:szCs w:val="28"/>
          <w:highlight w:val="none"/>
        </w:rPr>
        <w:instrText xml:space="preserve"> HYPERLINK \l _Toc29867 </w:instrText>
      </w:r>
      <w:r>
        <w:rPr>
          <w:rFonts w:hint="default" w:ascii="Times New Roman" w:hAnsi="Times New Roman" w:eastAsia="黑体" w:cs="Times New Roman"/>
          <w:bCs/>
          <w:sz w:val="32"/>
          <w:szCs w:val="28"/>
          <w:highlight w:val="none"/>
        </w:rPr>
        <w:fldChar w:fldCharType="separate"/>
      </w:r>
      <w:r>
        <w:rPr>
          <w:rFonts w:hint="default" w:ascii="Times New Roman" w:hAnsi="Times New Roman" w:cs="Times New Roman"/>
          <w:sz w:val="32"/>
          <w:szCs w:val="28"/>
          <w:highlight w:val="none"/>
        </w:rPr>
        <w:t>一</w:t>
      </w:r>
      <w:r>
        <w:rPr>
          <w:rFonts w:hint="eastAsia" w:ascii="Times New Roman" w:hAnsi="Times New Roman" w:cs="Times New Roman"/>
          <w:sz w:val="32"/>
          <w:szCs w:val="28"/>
          <w:highlight w:val="none"/>
          <w:lang w:eastAsia="zh-CN"/>
        </w:rPr>
        <w:t>、</w:t>
      </w:r>
      <w:r>
        <w:rPr>
          <w:rFonts w:hint="default" w:ascii="Times New Roman" w:hAnsi="Times New Roman" w:cs="Times New Roman"/>
          <w:sz w:val="32"/>
          <w:szCs w:val="28"/>
          <w:highlight w:val="none"/>
        </w:rPr>
        <w:t>投标邀请函</w:t>
      </w:r>
      <w:r>
        <w:rPr>
          <w:sz w:val="32"/>
          <w:szCs w:val="28"/>
          <w:highlight w:val="none"/>
        </w:rPr>
        <w:tab/>
      </w:r>
      <w:r>
        <w:rPr>
          <w:sz w:val="32"/>
          <w:szCs w:val="28"/>
          <w:highlight w:val="none"/>
        </w:rPr>
        <w:fldChar w:fldCharType="begin"/>
      </w:r>
      <w:r>
        <w:rPr>
          <w:sz w:val="32"/>
          <w:szCs w:val="28"/>
          <w:highlight w:val="none"/>
        </w:rPr>
        <w:instrText xml:space="preserve"> PAGEREF _Toc29867 \h </w:instrText>
      </w:r>
      <w:r>
        <w:rPr>
          <w:sz w:val="32"/>
          <w:szCs w:val="28"/>
          <w:highlight w:val="none"/>
        </w:rPr>
        <w:fldChar w:fldCharType="separate"/>
      </w:r>
      <w:r>
        <w:rPr>
          <w:sz w:val="32"/>
          <w:szCs w:val="28"/>
          <w:highlight w:val="none"/>
        </w:rPr>
        <w:t>1</w:t>
      </w:r>
      <w:r>
        <w:rPr>
          <w:sz w:val="32"/>
          <w:szCs w:val="28"/>
          <w:highlight w:val="none"/>
        </w:rPr>
        <w:fldChar w:fldCharType="end"/>
      </w:r>
      <w:r>
        <w:rPr>
          <w:rFonts w:hint="default" w:ascii="Times New Roman" w:hAnsi="Times New Roman" w:eastAsia="黑体" w:cs="Times New Roman"/>
          <w:bCs/>
          <w:sz w:val="32"/>
          <w:szCs w:val="28"/>
          <w:highlight w:val="none"/>
        </w:rPr>
        <w:fldChar w:fldCharType="end"/>
      </w:r>
    </w:p>
    <w:p>
      <w:pPr>
        <w:pStyle w:val="39"/>
        <w:tabs>
          <w:tab w:val="right" w:leader="dot" w:pos="9746"/>
          <w:tab w:val="clear" w:pos="8393"/>
        </w:tabs>
        <w:rPr>
          <w:sz w:val="32"/>
          <w:szCs w:val="28"/>
          <w:highlight w:val="none"/>
        </w:rPr>
      </w:pPr>
      <w:r>
        <w:rPr>
          <w:rFonts w:hint="default" w:ascii="Times New Roman" w:hAnsi="Times New Roman" w:eastAsia="黑体" w:cs="Times New Roman"/>
          <w:bCs/>
          <w:sz w:val="32"/>
          <w:szCs w:val="28"/>
          <w:highlight w:val="none"/>
        </w:rPr>
        <w:fldChar w:fldCharType="begin"/>
      </w:r>
      <w:r>
        <w:rPr>
          <w:rFonts w:hint="default" w:ascii="Times New Roman" w:hAnsi="Times New Roman" w:eastAsia="黑体" w:cs="Times New Roman"/>
          <w:bCs/>
          <w:sz w:val="32"/>
          <w:szCs w:val="28"/>
          <w:highlight w:val="none"/>
        </w:rPr>
        <w:instrText xml:space="preserve"> HYPERLINK \l _Toc28438 </w:instrText>
      </w:r>
      <w:r>
        <w:rPr>
          <w:rFonts w:hint="default" w:ascii="Times New Roman" w:hAnsi="Times New Roman" w:eastAsia="黑体" w:cs="Times New Roman"/>
          <w:bCs/>
          <w:sz w:val="32"/>
          <w:szCs w:val="28"/>
          <w:highlight w:val="none"/>
        </w:rPr>
        <w:fldChar w:fldCharType="separate"/>
      </w:r>
      <w:r>
        <w:rPr>
          <w:rFonts w:hint="default" w:ascii="Times New Roman" w:hAnsi="Times New Roman" w:cs="Times New Roman"/>
          <w:sz w:val="32"/>
          <w:szCs w:val="28"/>
          <w:highlight w:val="none"/>
        </w:rPr>
        <w:t>二</w:t>
      </w:r>
      <w:r>
        <w:rPr>
          <w:rFonts w:hint="eastAsia" w:ascii="Times New Roman" w:hAnsi="Times New Roman" w:cs="Times New Roman"/>
          <w:sz w:val="32"/>
          <w:szCs w:val="28"/>
          <w:highlight w:val="none"/>
          <w:lang w:eastAsia="zh-CN"/>
        </w:rPr>
        <w:t>、</w:t>
      </w:r>
      <w:r>
        <w:rPr>
          <w:rFonts w:hint="default" w:ascii="Times New Roman" w:hAnsi="Times New Roman" w:cs="Times New Roman"/>
          <w:sz w:val="32"/>
          <w:szCs w:val="28"/>
          <w:highlight w:val="none"/>
        </w:rPr>
        <w:t>投标人须知</w:t>
      </w:r>
      <w:r>
        <w:rPr>
          <w:sz w:val="32"/>
          <w:szCs w:val="28"/>
          <w:highlight w:val="none"/>
        </w:rPr>
        <w:tab/>
      </w:r>
      <w:r>
        <w:rPr>
          <w:sz w:val="32"/>
          <w:szCs w:val="28"/>
          <w:highlight w:val="none"/>
        </w:rPr>
        <w:fldChar w:fldCharType="begin"/>
      </w:r>
      <w:r>
        <w:rPr>
          <w:sz w:val="32"/>
          <w:szCs w:val="28"/>
          <w:highlight w:val="none"/>
        </w:rPr>
        <w:instrText xml:space="preserve"> PAGEREF _Toc28438 \h </w:instrText>
      </w:r>
      <w:r>
        <w:rPr>
          <w:sz w:val="32"/>
          <w:szCs w:val="28"/>
          <w:highlight w:val="none"/>
        </w:rPr>
        <w:fldChar w:fldCharType="separate"/>
      </w:r>
      <w:r>
        <w:rPr>
          <w:sz w:val="32"/>
          <w:szCs w:val="28"/>
          <w:highlight w:val="none"/>
        </w:rPr>
        <w:t>4</w:t>
      </w:r>
      <w:r>
        <w:rPr>
          <w:sz w:val="32"/>
          <w:szCs w:val="28"/>
          <w:highlight w:val="none"/>
        </w:rPr>
        <w:fldChar w:fldCharType="end"/>
      </w:r>
      <w:r>
        <w:rPr>
          <w:rFonts w:hint="default" w:ascii="Times New Roman" w:hAnsi="Times New Roman" w:eastAsia="黑体" w:cs="Times New Roman"/>
          <w:bCs/>
          <w:sz w:val="32"/>
          <w:szCs w:val="28"/>
          <w:highlight w:val="none"/>
        </w:rPr>
        <w:fldChar w:fldCharType="end"/>
      </w:r>
    </w:p>
    <w:p>
      <w:pPr>
        <w:pStyle w:val="39"/>
        <w:tabs>
          <w:tab w:val="right" w:leader="dot" w:pos="9746"/>
          <w:tab w:val="clear" w:pos="8393"/>
        </w:tabs>
        <w:rPr>
          <w:sz w:val="32"/>
          <w:szCs w:val="28"/>
          <w:highlight w:val="none"/>
        </w:rPr>
      </w:pPr>
      <w:r>
        <w:rPr>
          <w:rFonts w:hint="default" w:ascii="Times New Roman" w:hAnsi="Times New Roman" w:eastAsia="黑体" w:cs="Times New Roman"/>
          <w:bCs/>
          <w:sz w:val="32"/>
          <w:szCs w:val="28"/>
          <w:highlight w:val="none"/>
        </w:rPr>
        <w:fldChar w:fldCharType="begin"/>
      </w:r>
      <w:r>
        <w:rPr>
          <w:rFonts w:hint="default" w:ascii="Times New Roman" w:hAnsi="Times New Roman" w:eastAsia="黑体" w:cs="Times New Roman"/>
          <w:bCs/>
          <w:sz w:val="32"/>
          <w:szCs w:val="28"/>
          <w:highlight w:val="none"/>
        </w:rPr>
        <w:instrText xml:space="preserve"> HYPERLINK \l _Toc19616 </w:instrText>
      </w:r>
      <w:r>
        <w:rPr>
          <w:rFonts w:hint="default" w:ascii="Times New Roman" w:hAnsi="Times New Roman" w:eastAsia="黑体" w:cs="Times New Roman"/>
          <w:bCs/>
          <w:sz w:val="32"/>
          <w:szCs w:val="28"/>
          <w:highlight w:val="none"/>
        </w:rPr>
        <w:fldChar w:fldCharType="separate"/>
      </w:r>
      <w:r>
        <w:rPr>
          <w:rFonts w:hint="default" w:ascii="Times New Roman" w:hAnsi="Times New Roman" w:cs="Times New Roman"/>
          <w:sz w:val="32"/>
          <w:szCs w:val="28"/>
          <w:highlight w:val="none"/>
        </w:rPr>
        <w:t>三、项目技术要求和有关说明</w:t>
      </w:r>
      <w:r>
        <w:rPr>
          <w:sz w:val="32"/>
          <w:szCs w:val="28"/>
          <w:highlight w:val="none"/>
        </w:rPr>
        <w:tab/>
      </w:r>
      <w:r>
        <w:rPr>
          <w:sz w:val="32"/>
          <w:szCs w:val="28"/>
          <w:highlight w:val="none"/>
        </w:rPr>
        <w:fldChar w:fldCharType="begin"/>
      </w:r>
      <w:r>
        <w:rPr>
          <w:sz w:val="32"/>
          <w:szCs w:val="28"/>
          <w:highlight w:val="none"/>
        </w:rPr>
        <w:instrText xml:space="preserve"> PAGEREF _Toc19616 \h </w:instrText>
      </w:r>
      <w:r>
        <w:rPr>
          <w:sz w:val="32"/>
          <w:szCs w:val="28"/>
          <w:highlight w:val="none"/>
        </w:rPr>
        <w:fldChar w:fldCharType="separate"/>
      </w:r>
      <w:r>
        <w:rPr>
          <w:sz w:val="32"/>
          <w:szCs w:val="28"/>
          <w:highlight w:val="none"/>
        </w:rPr>
        <w:t>18</w:t>
      </w:r>
      <w:r>
        <w:rPr>
          <w:sz w:val="32"/>
          <w:szCs w:val="28"/>
          <w:highlight w:val="none"/>
        </w:rPr>
        <w:fldChar w:fldCharType="end"/>
      </w:r>
      <w:r>
        <w:rPr>
          <w:rFonts w:hint="default" w:ascii="Times New Roman" w:hAnsi="Times New Roman" w:eastAsia="黑体" w:cs="Times New Roman"/>
          <w:bCs/>
          <w:sz w:val="32"/>
          <w:szCs w:val="28"/>
          <w:highlight w:val="none"/>
        </w:rPr>
        <w:fldChar w:fldCharType="end"/>
      </w:r>
    </w:p>
    <w:p>
      <w:pPr>
        <w:pStyle w:val="39"/>
        <w:tabs>
          <w:tab w:val="right" w:leader="dot" w:pos="9746"/>
          <w:tab w:val="clear" w:pos="8393"/>
        </w:tabs>
        <w:rPr>
          <w:sz w:val="32"/>
          <w:szCs w:val="28"/>
          <w:highlight w:val="none"/>
        </w:rPr>
      </w:pPr>
      <w:r>
        <w:rPr>
          <w:rFonts w:hint="default" w:ascii="Times New Roman" w:hAnsi="Times New Roman" w:eastAsia="黑体" w:cs="Times New Roman"/>
          <w:bCs/>
          <w:sz w:val="32"/>
          <w:szCs w:val="28"/>
          <w:highlight w:val="none"/>
        </w:rPr>
        <w:fldChar w:fldCharType="begin"/>
      </w:r>
      <w:r>
        <w:rPr>
          <w:rFonts w:hint="default" w:ascii="Times New Roman" w:hAnsi="Times New Roman" w:eastAsia="黑体" w:cs="Times New Roman"/>
          <w:bCs/>
          <w:sz w:val="32"/>
          <w:szCs w:val="28"/>
          <w:highlight w:val="none"/>
        </w:rPr>
        <w:instrText xml:space="preserve"> HYPERLINK \l _Toc12108 </w:instrText>
      </w:r>
      <w:r>
        <w:rPr>
          <w:rFonts w:hint="default" w:ascii="Times New Roman" w:hAnsi="Times New Roman" w:eastAsia="黑体" w:cs="Times New Roman"/>
          <w:bCs/>
          <w:sz w:val="32"/>
          <w:szCs w:val="28"/>
          <w:highlight w:val="none"/>
        </w:rPr>
        <w:fldChar w:fldCharType="separate"/>
      </w:r>
      <w:r>
        <w:rPr>
          <w:rFonts w:hint="default" w:ascii="Times New Roman" w:hAnsi="Times New Roman" w:cs="Times New Roman"/>
          <w:sz w:val="32"/>
          <w:szCs w:val="28"/>
          <w:highlight w:val="none"/>
        </w:rPr>
        <w:t>四、合同协议书</w:t>
      </w:r>
      <w:r>
        <w:rPr>
          <w:sz w:val="32"/>
          <w:szCs w:val="28"/>
          <w:highlight w:val="none"/>
        </w:rPr>
        <w:tab/>
      </w:r>
      <w:r>
        <w:rPr>
          <w:sz w:val="32"/>
          <w:szCs w:val="28"/>
          <w:highlight w:val="none"/>
        </w:rPr>
        <w:fldChar w:fldCharType="begin"/>
      </w:r>
      <w:r>
        <w:rPr>
          <w:sz w:val="32"/>
          <w:szCs w:val="28"/>
          <w:highlight w:val="none"/>
        </w:rPr>
        <w:instrText xml:space="preserve"> PAGEREF _Toc12108 \h </w:instrText>
      </w:r>
      <w:r>
        <w:rPr>
          <w:sz w:val="32"/>
          <w:szCs w:val="28"/>
          <w:highlight w:val="none"/>
        </w:rPr>
        <w:fldChar w:fldCharType="separate"/>
      </w:r>
      <w:r>
        <w:rPr>
          <w:sz w:val="32"/>
          <w:szCs w:val="28"/>
          <w:highlight w:val="none"/>
        </w:rPr>
        <w:t>33</w:t>
      </w:r>
      <w:r>
        <w:rPr>
          <w:sz w:val="32"/>
          <w:szCs w:val="28"/>
          <w:highlight w:val="none"/>
        </w:rPr>
        <w:fldChar w:fldCharType="end"/>
      </w:r>
      <w:r>
        <w:rPr>
          <w:rFonts w:hint="default" w:ascii="Times New Roman" w:hAnsi="Times New Roman" w:eastAsia="黑体" w:cs="Times New Roman"/>
          <w:bCs/>
          <w:sz w:val="32"/>
          <w:szCs w:val="28"/>
          <w:highlight w:val="none"/>
        </w:rPr>
        <w:fldChar w:fldCharType="end"/>
      </w:r>
    </w:p>
    <w:p>
      <w:pPr>
        <w:pStyle w:val="39"/>
        <w:tabs>
          <w:tab w:val="right" w:leader="dot" w:pos="9746"/>
          <w:tab w:val="clear" w:pos="8393"/>
        </w:tabs>
        <w:rPr>
          <w:sz w:val="32"/>
          <w:szCs w:val="28"/>
          <w:highlight w:val="none"/>
        </w:rPr>
      </w:pPr>
      <w:r>
        <w:rPr>
          <w:rFonts w:hint="default" w:ascii="Times New Roman" w:hAnsi="Times New Roman" w:eastAsia="黑体" w:cs="Times New Roman"/>
          <w:bCs/>
          <w:sz w:val="32"/>
          <w:szCs w:val="28"/>
          <w:highlight w:val="none"/>
        </w:rPr>
        <w:fldChar w:fldCharType="begin"/>
      </w:r>
      <w:r>
        <w:rPr>
          <w:rFonts w:hint="default" w:ascii="Times New Roman" w:hAnsi="Times New Roman" w:eastAsia="黑体" w:cs="Times New Roman"/>
          <w:bCs/>
          <w:sz w:val="32"/>
          <w:szCs w:val="28"/>
          <w:highlight w:val="none"/>
        </w:rPr>
        <w:instrText xml:space="preserve"> HYPERLINK \l _Toc12378 </w:instrText>
      </w:r>
      <w:r>
        <w:rPr>
          <w:rFonts w:hint="default" w:ascii="Times New Roman" w:hAnsi="Times New Roman" w:eastAsia="黑体" w:cs="Times New Roman"/>
          <w:bCs/>
          <w:sz w:val="32"/>
          <w:szCs w:val="28"/>
          <w:highlight w:val="none"/>
        </w:rPr>
        <w:fldChar w:fldCharType="separate"/>
      </w:r>
      <w:r>
        <w:rPr>
          <w:rFonts w:hint="default" w:ascii="Times New Roman" w:hAnsi="Times New Roman" w:eastAsia="宋体" w:cs="Times New Roman"/>
          <w:sz w:val="32"/>
          <w:szCs w:val="44"/>
          <w:highlight w:val="none"/>
          <w:lang w:val="en-US" w:eastAsia="zh-CN" w:bidi="ar-SA"/>
        </w:rPr>
        <w:t>五、合同条款通用部分（格式文本）</w:t>
      </w:r>
      <w:r>
        <w:rPr>
          <w:sz w:val="32"/>
          <w:szCs w:val="28"/>
          <w:highlight w:val="none"/>
        </w:rPr>
        <w:tab/>
      </w:r>
      <w:r>
        <w:rPr>
          <w:sz w:val="32"/>
          <w:szCs w:val="28"/>
          <w:highlight w:val="none"/>
        </w:rPr>
        <w:fldChar w:fldCharType="begin"/>
      </w:r>
      <w:r>
        <w:rPr>
          <w:sz w:val="32"/>
          <w:szCs w:val="28"/>
          <w:highlight w:val="none"/>
        </w:rPr>
        <w:instrText xml:space="preserve"> PAGEREF _Toc12378 \h </w:instrText>
      </w:r>
      <w:r>
        <w:rPr>
          <w:sz w:val="32"/>
          <w:szCs w:val="28"/>
          <w:highlight w:val="none"/>
        </w:rPr>
        <w:fldChar w:fldCharType="separate"/>
      </w:r>
      <w:r>
        <w:rPr>
          <w:sz w:val="32"/>
          <w:szCs w:val="28"/>
          <w:highlight w:val="none"/>
        </w:rPr>
        <w:t>38</w:t>
      </w:r>
      <w:r>
        <w:rPr>
          <w:sz w:val="32"/>
          <w:szCs w:val="28"/>
          <w:highlight w:val="none"/>
        </w:rPr>
        <w:fldChar w:fldCharType="end"/>
      </w:r>
      <w:r>
        <w:rPr>
          <w:rFonts w:hint="default" w:ascii="Times New Roman" w:hAnsi="Times New Roman" w:eastAsia="黑体" w:cs="Times New Roman"/>
          <w:bCs/>
          <w:sz w:val="32"/>
          <w:szCs w:val="28"/>
          <w:highlight w:val="none"/>
        </w:rPr>
        <w:fldChar w:fldCharType="end"/>
      </w:r>
    </w:p>
    <w:p>
      <w:pPr>
        <w:pStyle w:val="39"/>
        <w:tabs>
          <w:tab w:val="right" w:leader="dot" w:pos="9746"/>
          <w:tab w:val="clear" w:pos="8393"/>
        </w:tabs>
        <w:rPr>
          <w:sz w:val="32"/>
          <w:szCs w:val="28"/>
          <w:highlight w:val="none"/>
        </w:rPr>
      </w:pPr>
      <w:r>
        <w:rPr>
          <w:rFonts w:hint="default" w:ascii="Times New Roman" w:hAnsi="Times New Roman" w:eastAsia="黑体" w:cs="Times New Roman"/>
          <w:bCs/>
          <w:sz w:val="32"/>
          <w:szCs w:val="28"/>
          <w:highlight w:val="none"/>
        </w:rPr>
        <w:fldChar w:fldCharType="begin"/>
      </w:r>
      <w:r>
        <w:rPr>
          <w:rFonts w:hint="default" w:ascii="Times New Roman" w:hAnsi="Times New Roman" w:eastAsia="黑体" w:cs="Times New Roman"/>
          <w:bCs/>
          <w:sz w:val="32"/>
          <w:szCs w:val="28"/>
          <w:highlight w:val="none"/>
        </w:rPr>
        <w:instrText xml:space="preserve"> HYPERLINK \l _Toc8491 </w:instrText>
      </w:r>
      <w:r>
        <w:rPr>
          <w:rFonts w:hint="default" w:ascii="Times New Roman" w:hAnsi="Times New Roman" w:eastAsia="黑体" w:cs="Times New Roman"/>
          <w:bCs/>
          <w:sz w:val="32"/>
          <w:szCs w:val="28"/>
          <w:highlight w:val="none"/>
        </w:rPr>
        <w:fldChar w:fldCharType="separate"/>
      </w:r>
      <w:r>
        <w:rPr>
          <w:rFonts w:hint="default" w:ascii="Times New Roman" w:hAnsi="Times New Roman" w:cs="Times New Roman"/>
          <w:sz w:val="32"/>
          <w:szCs w:val="28"/>
          <w:highlight w:val="none"/>
        </w:rPr>
        <w:t>六. 附件（投标文件格式）</w:t>
      </w:r>
      <w:r>
        <w:rPr>
          <w:sz w:val="32"/>
          <w:szCs w:val="28"/>
          <w:highlight w:val="none"/>
        </w:rPr>
        <w:tab/>
      </w:r>
      <w:r>
        <w:rPr>
          <w:sz w:val="32"/>
          <w:szCs w:val="28"/>
          <w:highlight w:val="none"/>
        </w:rPr>
        <w:fldChar w:fldCharType="begin"/>
      </w:r>
      <w:r>
        <w:rPr>
          <w:sz w:val="32"/>
          <w:szCs w:val="28"/>
          <w:highlight w:val="none"/>
        </w:rPr>
        <w:instrText xml:space="preserve"> PAGEREF _Toc8491 \h </w:instrText>
      </w:r>
      <w:r>
        <w:rPr>
          <w:sz w:val="32"/>
          <w:szCs w:val="28"/>
          <w:highlight w:val="none"/>
        </w:rPr>
        <w:fldChar w:fldCharType="separate"/>
      </w:r>
      <w:r>
        <w:rPr>
          <w:sz w:val="32"/>
          <w:szCs w:val="28"/>
          <w:highlight w:val="none"/>
        </w:rPr>
        <w:t>51</w:t>
      </w:r>
      <w:r>
        <w:rPr>
          <w:sz w:val="32"/>
          <w:szCs w:val="28"/>
          <w:highlight w:val="none"/>
        </w:rPr>
        <w:fldChar w:fldCharType="end"/>
      </w:r>
      <w:r>
        <w:rPr>
          <w:rFonts w:hint="default" w:ascii="Times New Roman" w:hAnsi="Times New Roman" w:eastAsia="黑体" w:cs="Times New Roman"/>
          <w:bCs/>
          <w:sz w:val="32"/>
          <w:szCs w:val="28"/>
          <w:highlight w:val="none"/>
        </w:rPr>
        <w:fldChar w:fldCharType="end"/>
      </w:r>
    </w:p>
    <w:p>
      <w:pPr>
        <w:jc w:val="center"/>
        <w:rPr>
          <w:rFonts w:hint="default" w:ascii="Times New Roman" w:hAnsi="Times New Roman" w:eastAsia="黑体" w:cs="Times New Roman"/>
          <w:bCs/>
          <w:sz w:val="30"/>
          <w:highlight w:val="none"/>
        </w:rPr>
      </w:pPr>
      <w:r>
        <w:rPr>
          <w:rFonts w:hint="default" w:ascii="Times New Roman" w:hAnsi="Times New Roman" w:eastAsia="黑体" w:cs="Times New Roman"/>
          <w:bCs/>
          <w:sz w:val="48"/>
          <w:szCs w:val="28"/>
          <w:highlight w:val="none"/>
        </w:rPr>
        <w:fldChar w:fldCharType="end"/>
      </w:r>
    </w:p>
    <w:p>
      <w:pPr>
        <w:rPr>
          <w:rFonts w:hint="default" w:ascii="Times New Roman" w:hAnsi="Times New Roman" w:eastAsia="黑体" w:cs="Times New Roman"/>
          <w:bCs/>
          <w:sz w:val="28"/>
          <w:szCs w:val="28"/>
          <w:highlight w:val="none"/>
        </w:rPr>
      </w:pPr>
    </w:p>
    <w:p>
      <w:pPr>
        <w:pStyle w:val="4"/>
        <w:rPr>
          <w:rFonts w:hint="default" w:ascii="Times New Roman" w:hAnsi="Times New Roman" w:cs="Times New Roman"/>
          <w:highlight w:val="none"/>
        </w:rPr>
        <w:sectPr>
          <w:headerReference r:id="rId3" w:type="default"/>
          <w:pgSz w:w="11906" w:h="16838"/>
          <w:pgMar w:top="1440" w:right="1080" w:bottom="1440" w:left="1080" w:header="851" w:footer="992" w:gutter="0"/>
          <w:cols w:space="720" w:num="1"/>
          <w:docGrid w:type="lines" w:linePitch="312" w:charSpace="0"/>
        </w:sectPr>
      </w:pPr>
    </w:p>
    <w:p>
      <w:pPr>
        <w:pStyle w:val="4"/>
        <w:rPr>
          <w:rFonts w:hint="default" w:ascii="Times New Roman" w:hAnsi="Times New Roman" w:cs="Times New Roman"/>
          <w:highlight w:val="none"/>
        </w:rPr>
      </w:pPr>
      <w:bookmarkStart w:id="0" w:name="_Toc29867"/>
      <w:r>
        <w:rPr>
          <w:rFonts w:hint="default" w:ascii="Times New Roman" w:hAnsi="Times New Roman" w:cs="Times New Roman"/>
          <w:highlight w:val="none"/>
        </w:rPr>
        <w:t>一</w:t>
      </w:r>
      <w:r>
        <w:rPr>
          <w:rFonts w:hint="eastAsia" w:ascii="Times New Roman" w:hAnsi="Times New Roman" w:cs="Times New Roman"/>
          <w:highlight w:val="none"/>
          <w:lang w:eastAsia="zh-CN"/>
        </w:rPr>
        <w:t>、</w:t>
      </w:r>
      <w:r>
        <w:rPr>
          <w:rFonts w:hint="default" w:ascii="Times New Roman" w:hAnsi="Times New Roman" w:cs="Times New Roman"/>
          <w:highlight w:val="none"/>
        </w:rPr>
        <w:t>投标邀请函</w:t>
      </w:r>
      <w:bookmarkEnd w:id="0"/>
    </w:p>
    <w:p>
      <w:pPr>
        <w:spacing w:line="360" w:lineRule="auto"/>
        <w:ind w:firstLine="480" w:firstLineChars="200"/>
        <w:rPr>
          <w:rFonts w:hint="default" w:ascii="Times New Roman" w:hAnsi="Times New Roman" w:cs="Times New Roman"/>
          <w:b/>
          <w:sz w:val="44"/>
          <w:szCs w:val="44"/>
          <w:highlight w:val="none"/>
        </w:rPr>
      </w:pPr>
      <w:r>
        <w:rPr>
          <w:rFonts w:hint="default" w:ascii="Times New Roman" w:hAnsi="Times New Roman" w:cs="Times New Roman"/>
          <w:bCs/>
          <w:sz w:val="24"/>
          <w:szCs w:val="24"/>
          <w:highlight w:val="none"/>
        </w:rPr>
        <w:t>江苏信中天工程咨询有限公司受公安部交通管理科学研究所的委托，对其</w:t>
      </w:r>
      <w:r>
        <w:rPr>
          <w:rFonts w:hint="eastAsia" w:ascii="Times New Roman" w:cs="Times New Roman"/>
          <w:bCs/>
          <w:sz w:val="24"/>
          <w:szCs w:val="24"/>
          <w:highlight w:val="none"/>
          <w:lang w:eastAsia="zh-CN"/>
        </w:rPr>
        <w:t>人员及车辆通行智能管理系统（第二次）</w:t>
      </w:r>
      <w:r>
        <w:rPr>
          <w:rFonts w:hint="default" w:ascii="Times New Roman" w:hAnsi="Times New Roman" w:cs="Times New Roman"/>
          <w:bCs/>
          <w:sz w:val="24"/>
          <w:szCs w:val="24"/>
          <w:highlight w:val="none"/>
        </w:rPr>
        <w:t>进行公开招标，欢迎你单位参加投标并提请注意下列附表中的相关事项：</w:t>
      </w:r>
    </w:p>
    <w:tbl>
      <w:tblPr>
        <w:tblStyle w:val="5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序号</w:t>
            </w:r>
          </w:p>
        </w:tc>
        <w:tc>
          <w:tcPr>
            <w:tcW w:w="8381"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c>
          <w:tcPr>
            <w:tcW w:w="8381" w:type="dxa"/>
            <w:vAlign w:val="center"/>
          </w:tcPr>
          <w:p>
            <w:pPr>
              <w:pStyle w:val="52"/>
              <w:adjustRightInd/>
              <w:spacing w:before="0" w:beforeAutospacing="0" w:after="0" w:afterAutospacing="0" w:line="360" w:lineRule="auto"/>
              <w:ind w:firstLine="0"/>
              <w:textAlignment w:val="auto"/>
              <w:rPr>
                <w:rFonts w:hint="default" w:ascii="Times New Roman" w:hAnsi="Times New Roman" w:cs="Times New Roman"/>
                <w:highlight w:val="none"/>
                <w:lang w:val="zh-CN"/>
              </w:rPr>
            </w:pPr>
            <w:r>
              <w:rPr>
                <w:rFonts w:hint="default" w:ascii="Times New Roman" w:hAnsi="Times New Roman" w:cs="Times New Roman"/>
                <w:b/>
                <w:bCs/>
                <w:highlight w:val="none"/>
                <w:lang w:val="zh-CN"/>
              </w:rPr>
              <w:t>项目名称：</w:t>
            </w:r>
            <w:r>
              <w:rPr>
                <w:rFonts w:hint="eastAsia" w:ascii="Times New Roman" w:hAnsi="Times New Roman" w:cs="Times New Roman"/>
                <w:highlight w:val="none"/>
                <w:lang w:val="zh-CN"/>
              </w:rPr>
              <w:t>人员及车辆通行智能管理系统（第二次）</w:t>
            </w:r>
          </w:p>
          <w:p>
            <w:pPr>
              <w:pStyle w:val="52"/>
              <w:adjustRightInd/>
              <w:spacing w:before="0" w:beforeAutospacing="0" w:after="0" w:afterAutospacing="0" w:line="360" w:lineRule="auto"/>
              <w:ind w:firstLine="0"/>
              <w:textAlignment w:val="auto"/>
              <w:rPr>
                <w:rFonts w:hint="default" w:ascii="Times New Roman" w:hAnsi="Times New Roman" w:cs="Times New Roman"/>
                <w:highlight w:val="none"/>
                <w:lang w:val="zh-CN"/>
              </w:rPr>
            </w:pPr>
            <w:r>
              <w:rPr>
                <w:rFonts w:hint="default" w:ascii="Times New Roman" w:hAnsi="Times New Roman" w:cs="Times New Roman"/>
                <w:b/>
                <w:bCs/>
                <w:highlight w:val="none"/>
                <w:lang w:val="zh-CN"/>
              </w:rPr>
              <w:t>项目编号：</w:t>
            </w:r>
            <w:r>
              <w:rPr>
                <w:rFonts w:hint="eastAsia" w:ascii="Times New Roman" w:hAnsi="Times New Roman" w:cs="Times New Roman"/>
                <w:highlight w:val="none"/>
                <w:lang w:val="zh-CN"/>
              </w:rPr>
              <w:t>JSXZT2022-027（2）</w:t>
            </w:r>
          </w:p>
          <w:p>
            <w:pPr>
              <w:pStyle w:val="52"/>
              <w:adjustRightInd/>
              <w:spacing w:before="0" w:beforeAutospacing="0" w:after="0" w:afterAutospacing="0" w:line="360" w:lineRule="auto"/>
              <w:ind w:firstLine="0"/>
              <w:textAlignment w:val="auto"/>
              <w:rPr>
                <w:rFonts w:hint="default" w:ascii="Times New Roman" w:hAnsi="Times New Roman" w:cs="Times New Roman"/>
                <w:highlight w:val="none"/>
                <w:lang w:val="zh-CN"/>
              </w:rPr>
            </w:pPr>
            <w:r>
              <w:rPr>
                <w:rFonts w:hint="default" w:ascii="Times New Roman" w:hAnsi="Times New Roman" w:cs="Times New Roman"/>
                <w:b/>
                <w:bCs/>
                <w:highlight w:val="none"/>
                <w:lang w:val="zh-CN"/>
              </w:rPr>
              <w:t>采购人：</w:t>
            </w:r>
            <w:r>
              <w:rPr>
                <w:rFonts w:hint="default" w:ascii="Times New Roman" w:hAnsi="Times New Roman" w:cs="Times New Roman"/>
                <w:highlight w:val="none"/>
                <w:lang w:val="zh-CN"/>
              </w:rPr>
              <w:t>公安部交通管理科学研究所</w:t>
            </w:r>
          </w:p>
          <w:p>
            <w:pPr>
              <w:pStyle w:val="52"/>
              <w:adjustRightInd/>
              <w:spacing w:before="0" w:beforeAutospacing="0" w:after="0" w:afterAutospacing="0" w:line="360" w:lineRule="auto"/>
              <w:ind w:firstLine="0"/>
              <w:textAlignment w:val="auto"/>
              <w:rPr>
                <w:rFonts w:hint="default" w:ascii="Times New Roman" w:hAnsi="Times New Roman" w:cs="Times New Roman"/>
                <w:highlight w:val="none"/>
                <w:lang w:val="zh-CN"/>
              </w:rPr>
            </w:pPr>
            <w:r>
              <w:rPr>
                <w:rFonts w:hint="default" w:ascii="Times New Roman" w:hAnsi="Times New Roman" w:cs="Times New Roman"/>
                <w:b/>
                <w:bCs/>
                <w:highlight w:val="none"/>
                <w:lang w:val="zh-CN"/>
              </w:rPr>
              <w:t>采购方式：</w:t>
            </w:r>
            <w:r>
              <w:rPr>
                <w:rFonts w:hint="default" w:ascii="Times New Roman" w:hAnsi="Times New Roman" w:cs="Times New Roman"/>
                <w:highlight w:val="none"/>
                <w:lang w:val="zh-CN"/>
              </w:rPr>
              <w:t>公开招标</w:t>
            </w:r>
          </w:p>
          <w:p>
            <w:pPr>
              <w:pStyle w:val="52"/>
              <w:adjustRightInd/>
              <w:spacing w:before="0" w:beforeAutospacing="0" w:after="0" w:afterAutospacing="0" w:line="360" w:lineRule="auto"/>
              <w:ind w:firstLine="0"/>
              <w:textAlignment w:val="auto"/>
              <w:rPr>
                <w:rFonts w:hint="default" w:ascii="Times New Roman" w:hAnsi="Times New Roman" w:cs="Times New Roman"/>
                <w:b/>
                <w:highlight w:val="none"/>
              </w:rPr>
            </w:pPr>
            <w:r>
              <w:rPr>
                <w:rFonts w:hint="default" w:ascii="Times New Roman" w:hAnsi="Times New Roman" w:cs="Times New Roman"/>
                <w:b/>
                <w:bCs/>
                <w:highlight w:val="none"/>
                <w:lang w:val="zh-CN"/>
              </w:rPr>
              <w:t>采购预算（最高限价）：</w:t>
            </w:r>
            <w:r>
              <w:rPr>
                <w:rFonts w:hint="eastAsia" w:ascii="Times New Roman" w:hAnsi="Times New Roman" w:cs="Times New Roman"/>
                <w:highlight w:val="none"/>
                <w:lang w:val="en-US" w:eastAsia="zh-CN"/>
              </w:rPr>
              <w:t>185</w:t>
            </w:r>
            <w:r>
              <w:rPr>
                <w:rFonts w:hint="default" w:ascii="Times New Roman" w:hAnsi="Times New Roman" w:cs="Times New Roman"/>
                <w:highlight w:val="none"/>
              </w:rPr>
              <w:t>万元</w:t>
            </w:r>
          </w:p>
          <w:p>
            <w:pPr>
              <w:widowControl/>
              <w:topLinePunct/>
              <w:spacing w:line="360" w:lineRule="auto"/>
              <w:rPr>
                <w:rFonts w:hint="default" w:ascii="Times New Roman" w:hAnsi="Times New Roman" w:cs="Times New Roman"/>
                <w:kern w:val="2"/>
                <w:sz w:val="24"/>
                <w:highlight w:val="none"/>
              </w:rPr>
            </w:pPr>
            <w:r>
              <w:rPr>
                <w:rFonts w:hint="default" w:ascii="Times New Roman" w:hAnsi="Times New Roman" w:cs="Times New Roman"/>
                <w:b/>
                <w:bCs/>
                <w:kern w:val="2"/>
                <w:sz w:val="24"/>
                <w:highlight w:val="none"/>
              </w:rPr>
              <w:t>是否专门面向中小企业：</w:t>
            </w:r>
            <w:r>
              <w:rPr>
                <w:rFonts w:hint="default" w:ascii="Times New Roman" w:hAnsi="Times New Roman" w:cs="Times New Roman"/>
                <w:kern w:val="2"/>
                <w:sz w:val="24"/>
                <w:highlight w:val="none"/>
              </w:rPr>
              <w:t>否；</w:t>
            </w:r>
          </w:p>
          <w:p>
            <w:pPr>
              <w:pStyle w:val="52"/>
              <w:adjustRightInd/>
              <w:spacing w:before="0" w:beforeAutospacing="0" w:after="0" w:afterAutospacing="0" w:line="360" w:lineRule="auto"/>
              <w:ind w:firstLine="0"/>
              <w:textAlignment w:val="auto"/>
              <w:rPr>
                <w:rFonts w:hint="default" w:ascii="Times New Roman" w:hAnsi="Times New Roman" w:cs="Times New Roman"/>
                <w:kern w:val="2"/>
                <w:szCs w:val="20"/>
                <w:highlight w:val="none"/>
              </w:rPr>
            </w:pPr>
            <w:r>
              <w:rPr>
                <w:rFonts w:hint="default" w:ascii="Times New Roman" w:hAnsi="Times New Roman" w:cs="Times New Roman"/>
                <w:b/>
                <w:bCs/>
                <w:kern w:val="2"/>
                <w:szCs w:val="20"/>
                <w:highlight w:val="none"/>
              </w:rPr>
              <w:t>项目标的所属行业：</w:t>
            </w:r>
            <w:r>
              <w:rPr>
                <w:rFonts w:hint="default" w:ascii="Times New Roman" w:hAnsi="Times New Roman" w:cs="Times New Roman"/>
                <w:color w:val="333333"/>
                <w:highlight w:val="none"/>
              </w:rPr>
              <w:t>软件和信息技术服务业。</w:t>
            </w:r>
          </w:p>
          <w:p>
            <w:pPr>
              <w:pStyle w:val="52"/>
              <w:adjustRightInd/>
              <w:spacing w:before="0" w:beforeAutospacing="0" w:after="0" w:afterAutospacing="0" w:line="360" w:lineRule="auto"/>
              <w:ind w:firstLine="0"/>
              <w:textAlignment w:val="auto"/>
              <w:rPr>
                <w:rFonts w:hint="default" w:ascii="Times New Roman" w:hAnsi="Times New Roman" w:cs="Times New Roman"/>
                <w:b/>
                <w:bCs/>
                <w:color w:val="333333"/>
                <w:highlight w:val="none"/>
              </w:rPr>
            </w:pPr>
            <w:r>
              <w:rPr>
                <w:rFonts w:hint="default" w:ascii="Times New Roman" w:hAnsi="Times New Roman" w:cs="Times New Roman"/>
                <w:b/>
                <w:bCs/>
                <w:color w:val="333333"/>
                <w:highlight w:val="none"/>
              </w:rPr>
              <w:t>本项目不接受联合体投标。</w:t>
            </w:r>
          </w:p>
          <w:p>
            <w:pPr>
              <w:spacing w:line="288" w:lineRule="auto"/>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请有意参加本项目投标的供应商进行无锡政府采购供应商库注册登记，网址链接：</w:t>
            </w:r>
          </w:p>
          <w:p>
            <w:pPr>
              <w:pStyle w:val="52"/>
              <w:adjustRightInd/>
              <w:spacing w:before="0" w:beforeAutospacing="0" w:after="0" w:afterAutospacing="0" w:line="360" w:lineRule="auto"/>
              <w:ind w:firstLine="0"/>
              <w:textAlignment w:val="auto"/>
              <w:rPr>
                <w:rFonts w:hint="default" w:ascii="Times New Roman" w:hAnsi="Times New Roman" w:cs="Times New Roman"/>
                <w:b/>
                <w:highlight w:val="none"/>
              </w:rPr>
            </w:pPr>
            <w:r>
              <w:rPr>
                <w:rFonts w:hint="default" w:ascii="Times New Roman" w:hAnsi="Times New Roman" w:cs="Times New Roman"/>
                <w:kern w:val="2"/>
                <w:highlight w:val="none"/>
              </w:rPr>
              <w:t>http://middle.wuxi.zcygov.cn/v-settle-front/registry?settleCategory=1&amp;utm=sites_group_front.2ef5001f.0.0.5c4d6f50435211ebb83923d07fece4a7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8381" w:type="dxa"/>
            <w:vAlign w:val="center"/>
          </w:tcPr>
          <w:p>
            <w:pPr>
              <w:pStyle w:val="52"/>
              <w:adjustRightInd/>
              <w:spacing w:before="0" w:beforeAutospacing="0" w:after="0" w:afterAutospacing="0" w:line="360" w:lineRule="auto"/>
              <w:ind w:firstLine="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采购代理机构：江苏信中天工程咨询有限公司</w:t>
            </w:r>
          </w:p>
          <w:p>
            <w:pPr>
              <w:pStyle w:val="52"/>
              <w:adjustRightInd/>
              <w:spacing w:before="0" w:beforeAutospacing="0" w:after="0" w:afterAutospacing="0" w:line="360" w:lineRule="auto"/>
              <w:ind w:firstLine="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采购机构地址：无锡市太湖大道2288号华仁逸景国际5楼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3</w:t>
            </w:r>
          </w:p>
        </w:tc>
        <w:tc>
          <w:tcPr>
            <w:tcW w:w="8381" w:type="dxa"/>
            <w:vAlign w:val="center"/>
          </w:tcPr>
          <w:p>
            <w:pPr>
              <w:tabs>
                <w:tab w:val="left" w:pos="360"/>
              </w:tabs>
              <w:autoSpaceDE w:val="0"/>
              <w:autoSpaceDN w:val="0"/>
              <w:adjustRightInd w:val="0"/>
              <w:spacing w:line="360" w:lineRule="auto"/>
              <w:rPr>
                <w:rFonts w:hint="default" w:ascii="Times New Roman" w:hAnsi="Times New Roman" w:cs="Times New Roman"/>
                <w:b/>
                <w:bCs/>
                <w:sz w:val="24"/>
                <w:szCs w:val="24"/>
                <w:highlight w:val="none"/>
                <w:lang w:val="zh-CN"/>
              </w:rPr>
            </w:pPr>
            <w:r>
              <w:rPr>
                <w:rFonts w:hint="default" w:ascii="Times New Roman" w:hAnsi="Times New Roman" w:cs="Times New Roman"/>
                <w:b/>
                <w:bCs/>
                <w:sz w:val="24"/>
                <w:szCs w:val="24"/>
                <w:highlight w:val="none"/>
              </w:rPr>
              <w:t>采</w:t>
            </w:r>
            <w:r>
              <w:rPr>
                <w:rFonts w:hint="default" w:ascii="Times New Roman" w:hAnsi="Times New Roman" w:cs="Times New Roman"/>
                <w:b/>
                <w:bCs/>
                <w:sz w:val="24"/>
                <w:szCs w:val="24"/>
                <w:highlight w:val="none"/>
                <w:lang w:val="zh-CN"/>
              </w:rPr>
              <w:t>购项目概况、要求：</w:t>
            </w:r>
          </w:p>
          <w:p>
            <w:pPr>
              <w:spacing w:line="360" w:lineRule="auto"/>
              <w:rPr>
                <w:rFonts w:hint="eastAsia" w:ascii="Times New Roman" w:hAnsi="Times New Roman" w:cs="Times New Roman"/>
                <w:sz w:val="24"/>
                <w:highlight w:val="none"/>
              </w:rPr>
            </w:pPr>
            <w:r>
              <w:rPr>
                <w:rFonts w:hint="eastAsia" w:ascii="Times New Roman" w:hAnsi="Times New Roman" w:cs="Times New Roman"/>
                <w:sz w:val="24"/>
                <w:highlight w:val="none"/>
              </w:rPr>
              <w:t>行人和车路出入管理系统，具体包括人行道闸、机动车电子标识停车场读写设备、车辆道闸-控制机、机动车停车管理软件等内容</w:t>
            </w:r>
          </w:p>
          <w:p>
            <w:pPr>
              <w:spacing w:line="360" w:lineRule="auto"/>
              <w:rPr>
                <w:rFonts w:hint="default" w:ascii="Times New Roman" w:hAnsi="Times New Roman" w:eastAsia="宋体" w:cs="Times New Roman"/>
                <w:bCs/>
                <w:color w:val="000000"/>
                <w:sz w:val="24"/>
                <w:szCs w:val="24"/>
                <w:highlight w:val="none"/>
                <w:lang w:eastAsia="zh-CN"/>
              </w:rPr>
            </w:pPr>
            <w:r>
              <w:rPr>
                <w:rFonts w:hint="default" w:ascii="Times New Roman" w:hAnsi="Times New Roman" w:cs="Times New Roman"/>
                <w:b/>
                <w:sz w:val="24"/>
                <w:highlight w:val="none"/>
              </w:rPr>
              <w:t>交货期：</w:t>
            </w:r>
            <w:r>
              <w:rPr>
                <w:rFonts w:hint="default" w:ascii="Times New Roman" w:hAnsi="Times New Roman" w:cs="Times New Roman"/>
                <w:bCs/>
                <w:color w:val="000000"/>
                <w:sz w:val="24"/>
                <w:szCs w:val="24"/>
                <w:highlight w:val="none"/>
                <w:lang w:eastAsia="zh-CN"/>
              </w:rPr>
              <w:t>合同签订后30个工作日内将货物送至公安部交通管理科学研究所并完成全套产品的安装、调试、现场技术培训及验收。</w:t>
            </w:r>
          </w:p>
          <w:p>
            <w:pPr>
              <w:spacing w:line="360" w:lineRule="auto"/>
              <w:rPr>
                <w:rFonts w:hint="default" w:ascii="Times New Roman" w:hAnsi="Times New Roman" w:cs="Times New Roman"/>
                <w:sz w:val="24"/>
                <w:highlight w:val="none"/>
              </w:rPr>
            </w:pPr>
            <w:r>
              <w:rPr>
                <w:rFonts w:hint="default" w:ascii="Times New Roman" w:hAnsi="Times New Roman" w:cs="Times New Roman"/>
                <w:b/>
                <w:bCs/>
                <w:sz w:val="24"/>
                <w:highlight w:val="none"/>
              </w:rPr>
              <w:t>运输方式：</w:t>
            </w:r>
            <w:r>
              <w:rPr>
                <w:rFonts w:hint="default" w:ascii="Times New Roman" w:hAnsi="Times New Roman" w:cs="Times New Roman"/>
                <w:sz w:val="24"/>
                <w:highlight w:val="none"/>
              </w:rPr>
              <w:t>铁路运输或陆路运输，中标供应商承担运输费用及其运输过程中的所有事项，并承担运输风险。</w:t>
            </w:r>
          </w:p>
          <w:p>
            <w:pPr>
              <w:spacing w:line="360" w:lineRule="auto"/>
              <w:rPr>
                <w:rFonts w:hint="default" w:ascii="Times New Roman" w:hAnsi="Times New Roman" w:cs="Times New Roman"/>
                <w:b/>
                <w:bCs/>
                <w:sz w:val="24"/>
                <w:highlight w:val="none"/>
              </w:rPr>
            </w:pPr>
            <w:r>
              <w:rPr>
                <w:rFonts w:hint="default" w:ascii="Times New Roman" w:hAnsi="Times New Roman" w:cs="Times New Roman"/>
                <w:b/>
                <w:bCs/>
                <w:sz w:val="24"/>
                <w:highlight w:val="none"/>
              </w:rPr>
              <w:t>交货（安装、调试、服务）地点：</w:t>
            </w:r>
            <w:r>
              <w:rPr>
                <w:rFonts w:hint="default" w:ascii="Times New Roman" w:hAnsi="Times New Roman" w:cs="Times New Roman"/>
                <w:sz w:val="24"/>
                <w:highlight w:val="none"/>
              </w:rPr>
              <w:t>无锡。</w:t>
            </w:r>
          </w:p>
          <w:p>
            <w:pPr>
              <w:spacing w:line="360" w:lineRule="auto"/>
              <w:rPr>
                <w:rFonts w:hint="default" w:ascii="Times New Roman" w:hAnsi="Times New Roman" w:cs="Times New Roman"/>
                <w:bCs/>
                <w:sz w:val="24"/>
                <w:highlight w:val="none"/>
              </w:rPr>
            </w:pPr>
            <w:r>
              <w:rPr>
                <w:rFonts w:hint="default" w:ascii="Times New Roman" w:hAnsi="Times New Roman" w:cs="Times New Roman"/>
                <w:b/>
                <w:bCs/>
                <w:sz w:val="24"/>
                <w:highlight w:val="none"/>
              </w:rPr>
              <w:t>质量要求：</w:t>
            </w:r>
            <w:r>
              <w:rPr>
                <w:rFonts w:hint="default" w:ascii="Times New Roman" w:hAnsi="Times New Roman" w:cs="Times New Roman"/>
                <w:bCs/>
                <w:color w:val="000000"/>
                <w:sz w:val="24"/>
                <w:szCs w:val="24"/>
                <w:highlight w:val="none"/>
              </w:rPr>
              <w:t>符合采购单位要求、出厂标准及相关行业标准</w:t>
            </w:r>
            <w:r>
              <w:rPr>
                <w:rFonts w:hint="default" w:ascii="Times New Roman" w:hAnsi="Times New Roman" w:cs="Times New Roman"/>
                <w:sz w:val="24"/>
                <w:highlight w:val="none"/>
              </w:rPr>
              <w:t>。</w:t>
            </w:r>
          </w:p>
          <w:p>
            <w:pPr>
              <w:pStyle w:val="52"/>
              <w:adjustRightInd/>
              <w:spacing w:before="0" w:beforeAutospacing="0" w:after="0" w:afterAutospacing="0" w:line="360" w:lineRule="auto"/>
              <w:ind w:firstLine="0"/>
              <w:textAlignment w:val="auto"/>
              <w:rPr>
                <w:rFonts w:hint="default" w:ascii="Times New Roman" w:hAnsi="Times New Roman" w:cs="Times New Roman"/>
                <w:highlight w:val="none"/>
              </w:rPr>
            </w:pPr>
            <w:r>
              <w:rPr>
                <w:rFonts w:hint="default" w:ascii="Times New Roman" w:hAnsi="Times New Roman" w:cs="Times New Roman"/>
                <w:b/>
                <w:bCs/>
                <w:highlight w:val="none"/>
              </w:rPr>
              <w:t>安全要求：</w:t>
            </w:r>
            <w:r>
              <w:rPr>
                <w:rFonts w:hint="default" w:ascii="Times New Roman" w:hAnsi="Times New Roman" w:cs="Times New Roman"/>
                <w:highlight w:val="none"/>
              </w:rPr>
              <w:t>符合国家相关标准或行业标准。</w:t>
            </w:r>
          </w:p>
          <w:p>
            <w:pPr>
              <w:pStyle w:val="52"/>
              <w:adjustRightInd/>
              <w:spacing w:before="0" w:beforeAutospacing="0" w:after="0" w:afterAutospacing="0" w:line="360" w:lineRule="auto"/>
              <w:ind w:firstLine="0"/>
              <w:textAlignment w:val="auto"/>
              <w:rPr>
                <w:rFonts w:hint="default" w:ascii="Times New Roman" w:hAnsi="Times New Roman" w:cs="Times New Roman"/>
                <w:highlight w:val="none"/>
              </w:rPr>
            </w:pPr>
            <w:r>
              <w:rPr>
                <w:rFonts w:hint="default" w:ascii="Times New Roman" w:hAnsi="Times New Roman" w:cs="Times New Roman"/>
                <w:b/>
                <w:bCs/>
                <w:szCs w:val="21"/>
                <w:highlight w:val="none"/>
              </w:rPr>
              <w:t>项目整体质保期：</w:t>
            </w:r>
            <w:r>
              <w:rPr>
                <w:rFonts w:hint="default" w:ascii="Times New Roman" w:hAnsi="Times New Roman" w:cs="Times New Roman"/>
                <w:szCs w:val="21"/>
                <w:highlight w:val="none"/>
              </w:rPr>
              <w:t>2年，自验收合格之日起计算。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8" w:type="dxa"/>
            <w:vAlign w:val="center"/>
          </w:tcPr>
          <w:p>
            <w:pPr>
              <w:spacing w:line="360" w:lineRule="auto"/>
              <w:ind w:left="-95" w:leftChars="-28"/>
              <w:jc w:val="center"/>
              <w:rPr>
                <w:rFonts w:hint="default" w:ascii="Times New Roman" w:hAnsi="Times New Roman" w:cs="Times New Roman"/>
                <w:sz w:val="24"/>
                <w:highlight w:val="none"/>
              </w:rPr>
            </w:pPr>
            <w:r>
              <w:rPr>
                <w:rFonts w:hint="default" w:ascii="Times New Roman" w:hAnsi="Times New Roman" w:cs="Times New Roman"/>
                <w:sz w:val="24"/>
                <w:highlight w:val="none"/>
              </w:rPr>
              <w:t>4</w:t>
            </w:r>
          </w:p>
        </w:tc>
        <w:tc>
          <w:tcPr>
            <w:tcW w:w="8381" w:type="dxa"/>
            <w:vAlign w:val="center"/>
          </w:tcPr>
          <w:p>
            <w:pPr>
              <w:pStyle w:val="52"/>
              <w:tabs>
                <w:tab w:val="left" w:pos="360"/>
              </w:tabs>
              <w:spacing w:before="0" w:beforeAutospacing="0" w:after="0" w:afterAutospacing="0" w:line="360" w:lineRule="auto"/>
              <w:ind w:firstLine="0"/>
              <w:rPr>
                <w:rFonts w:hint="default" w:ascii="Times New Roman" w:hAnsi="Times New Roman" w:cs="Times New Roman"/>
                <w:highlight w:val="none"/>
              </w:rPr>
            </w:pPr>
            <w:r>
              <w:rPr>
                <w:rFonts w:hint="default" w:ascii="Times New Roman" w:hAnsi="Times New Roman" w:cs="Times New Roman"/>
                <w:b/>
                <w:bCs/>
                <w:highlight w:val="none"/>
              </w:rPr>
              <w:t>投标供应商条件：</w:t>
            </w:r>
            <w:r>
              <w:rPr>
                <w:rFonts w:hint="default" w:ascii="Times New Roman" w:hAnsi="Times New Roman" w:cs="Times New Roman"/>
                <w:highlight w:val="none"/>
              </w:rPr>
              <w:t>投标人参加本次政府采购活动除应当符合《中华人民共和国政府采购法》第二十二条的规定外，还必须具备以下条件：</w:t>
            </w:r>
          </w:p>
          <w:p>
            <w:pPr>
              <w:pStyle w:val="52"/>
              <w:numPr>
                <w:ilvl w:val="0"/>
                <w:numId w:val="12"/>
              </w:numPr>
              <w:tabs>
                <w:tab w:val="left" w:pos="360"/>
              </w:tabs>
              <w:spacing w:before="0" w:beforeAutospacing="0" w:after="0" w:afterAutospacing="0" w:line="360" w:lineRule="auto"/>
              <w:rPr>
                <w:rFonts w:hint="default" w:ascii="Times New Roman" w:hAnsi="Times New Roman" w:cs="Times New Roman"/>
                <w:highlight w:val="none"/>
              </w:rPr>
            </w:pPr>
            <w:r>
              <w:rPr>
                <w:rFonts w:hint="default" w:ascii="Times New Roman" w:hAnsi="Times New Roman" w:cs="Times New Roman"/>
                <w:highlight w:val="none"/>
              </w:rPr>
              <w:t>投标供应商应为中国大陆境内合法注册、具有独立法人资格；</w:t>
            </w:r>
          </w:p>
          <w:p>
            <w:pPr>
              <w:pStyle w:val="52"/>
              <w:numPr>
                <w:ilvl w:val="0"/>
                <w:numId w:val="12"/>
              </w:numPr>
              <w:tabs>
                <w:tab w:val="left" w:pos="360"/>
              </w:tabs>
              <w:spacing w:before="0" w:beforeAutospacing="0" w:after="0" w:afterAutospacing="0" w:line="360" w:lineRule="auto"/>
              <w:rPr>
                <w:rFonts w:hint="default" w:ascii="Times New Roman" w:hAnsi="Times New Roman" w:cs="Times New Roman"/>
                <w:highlight w:val="none"/>
              </w:rPr>
            </w:pPr>
            <w:r>
              <w:rPr>
                <w:rFonts w:hint="default" w:ascii="Times New Roman" w:hAnsi="Times New Roman" w:cs="Times New Roman"/>
                <w:highlight w:val="none"/>
              </w:rPr>
              <w:t>投标供应商未被“信用中国”（www.creditchina.gov.cn）、中国政府采购网（www.ccgp.gov.cn）列入失信被执行人、重大税收违法案件当事人名单、政府采购严重违法失信行为记录名单。</w:t>
            </w:r>
          </w:p>
          <w:p>
            <w:pPr>
              <w:pStyle w:val="52"/>
              <w:numPr>
                <w:ilvl w:val="0"/>
                <w:numId w:val="12"/>
              </w:numPr>
              <w:tabs>
                <w:tab w:val="left" w:pos="360"/>
              </w:tabs>
              <w:spacing w:before="0" w:beforeAutospacing="0" w:after="0" w:afterAutospacing="0" w:line="360" w:lineRule="auto"/>
              <w:rPr>
                <w:rFonts w:hint="default" w:ascii="Times New Roman" w:hAnsi="Times New Roman" w:cs="Times New Roman"/>
                <w:highlight w:val="none"/>
              </w:rPr>
            </w:pPr>
            <w:r>
              <w:rPr>
                <w:rFonts w:hint="default" w:ascii="Times New Roman" w:hAnsi="Times New Roman" w:cs="Times New Roman"/>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5</w:t>
            </w:r>
          </w:p>
        </w:tc>
        <w:tc>
          <w:tcPr>
            <w:tcW w:w="8381" w:type="dxa"/>
          </w:tcPr>
          <w:p>
            <w:pPr>
              <w:spacing w:line="360" w:lineRule="auto"/>
              <w:ind w:left="-95" w:leftChars="-28"/>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招标文件提供期限：</w:t>
            </w:r>
            <w:r>
              <w:rPr>
                <w:rFonts w:hint="default" w:ascii="Times New Roman" w:hAnsi="Times New Roman" w:cs="Times New Roman"/>
                <w:color w:val="auto"/>
                <w:sz w:val="24"/>
                <w:highlight w:val="none"/>
              </w:rPr>
              <w:t>自本公告发布之日起五个工作日内（法定假日除外），每天8:30—11:00,13:30—16:00。售价：捌佰元，现金支付，招标文件售后不退。发售招标文件地点：江苏信中天工程咨询有限公司（无锡市太湖大道2288号华仁逸景国际5楼招标办办公室）</w:t>
            </w:r>
            <w:r>
              <w:rPr>
                <w:rFonts w:hint="default" w:ascii="Times New Roman" w:hAnsi="Times New Roman" w:cs="Times New Roman"/>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6</w:t>
            </w:r>
          </w:p>
        </w:tc>
        <w:tc>
          <w:tcPr>
            <w:tcW w:w="8381" w:type="dxa"/>
            <w:vAlign w:val="center"/>
          </w:tcPr>
          <w:p>
            <w:pPr>
              <w:pStyle w:val="52"/>
              <w:adjustRightInd/>
              <w:spacing w:before="0" w:beforeAutospacing="0" w:after="0" w:afterAutospacing="0" w:line="360" w:lineRule="auto"/>
              <w:ind w:firstLine="0"/>
              <w:textAlignment w:val="auto"/>
              <w:rPr>
                <w:rFonts w:hint="default" w:ascii="Times New Roman" w:hAnsi="Times New Roman" w:cs="Times New Roman"/>
                <w:color w:val="auto"/>
                <w:highlight w:val="none"/>
                <w:lang w:val="zh-CN"/>
              </w:rPr>
            </w:pPr>
            <w:r>
              <w:rPr>
                <w:rFonts w:hint="default" w:ascii="Times New Roman" w:hAnsi="Times New Roman" w:cs="Times New Roman"/>
                <w:b/>
                <w:bCs/>
                <w:color w:val="auto"/>
                <w:highlight w:val="none"/>
                <w:lang w:val="zh-CN"/>
              </w:rPr>
              <w:t>提疑截止时间：</w:t>
            </w:r>
            <w:r>
              <w:rPr>
                <w:rFonts w:hint="default" w:ascii="Times New Roman" w:hAnsi="Times New Roman" w:cs="Times New Roman"/>
                <w:color w:val="auto"/>
                <w:highlight w:val="none"/>
                <w:lang w:val="zh-CN"/>
              </w:rPr>
              <w:t>202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zh-CN"/>
              </w:rPr>
              <w:t>年</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21</w:t>
            </w:r>
            <w:r>
              <w:rPr>
                <w:rFonts w:hint="default" w:ascii="Times New Roman" w:hAnsi="Times New Roman" w:cs="Times New Roman"/>
                <w:color w:val="auto"/>
                <w:highlight w:val="none"/>
                <w:lang w:val="zh-CN"/>
              </w:rPr>
              <w:t>日10时，以书面传真形式和电子邮件形式发送给采购代理机构。</w:t>
            </w:r>
          </w:p>
          <w:p>
            <w:pPr>
              <w:pStyle w:val="52"/>
              <w:adjustRightInd/>
              <w:spacing w:before="0" w:beforeAutospacing="0" w:after="0" w:afterAutospacing="0" w:line="360" w:lineRule="auto"/>
              <w:ind w:firstLine="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zh-CN"/>
              </w:rPr>
              <w:t>答疑时间：</w:t>
            </w:r>
            <w:r>
              <w:rPr>
                <w:rFonts w:hint="default" w:ascii="Times New Roman" w:hAnsi="Times New Roman" w:cs="Times New Roman"/>
                <w:color w:val="auto"/>
                <w:highlight w:val="none"/>
                <w:lang w:val="zh-CN"/>
              </w:rPr>
              <w:t>202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zh-CN"/>
              </w:rPr>
              <w:t>年</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21</w:t>
            </w:r>
            <w:r>
              <w:rPr>
                <w:rFonts w:hint="default" w:ascii="Times New Roman" w:hAnsi="Times New Roman" w:cs="Times New Roman"/>
                <w:color w:val="auto"/>
                <w:highlight w:val="none"/>
                <w:lang w:val="zh-CN"/>
              </w:rPr>
              <w:t>日1</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zh-CN"/>
              </w:rPr>
              <w:t>时，以书面（或电子稿）形式发送给各报名投标供应商。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7</w:t>
            </w:r>
          </w:p>
        </w:tc>
        <w:tc>
          <w:tcPr>
            <w:tcW w:w="8381" w:type="dxa"/>
            <w:vAlign w:val="center"/>
          </w:tcPr>
          <w:p>
            <w:pPr>
              <w:pStyle w:val="2"/>
              <w:spacing w:line="360" w:lineRule="auto"/>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szCs w:val="24"/>
                <w:highlight w:val="none"/>
              </w:rPr>
              <w:t>投标供应商投标前无需交纳投标保证金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8</w:t>
            </w:r>
          </w:p>
        </w:tc>
        <w:tc>
          <w:tcPr>
            <w:tcW w:w="8381" w:type="dxa"/>
            <w:vAlign w:val="center"/>
          </w:tcPr>
          <w:p>
            <w:pPr>
              <w:widowControl/>
              <w:topLinePunct/>
              <w:spacing w:line="360" w:lineRule="auto"/>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投标有效期</w:t>
            </w:r>
            <w:r>
              <w:rPr>
                <w:rFonts w:hint="default" w:ascii="Times New Roman" w:hAnsi="Times New Roman" w:cs="Times New Roman"/>
                <w:color w:val="auto"/>
                <w:sz w:val="24"/>
                <w:highlight w:val="none"/>
              </w:rPr>
              <w:t>：中标通知书发出之日起90天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9</w:t>
            </w:r>
          </w:p>
        </w:tc>
        <w:tc>
          <w:tcPr>
            <w:tcW w:w="8381" w:type="dxa"/>
            <w:vAlign w:val="center"/>
          </w:tcPr>
          <w:p>
            <w:pPr>
              <w:pStyle w:val="52"/>
              <w:adjustRightInd/>
              <w:spacing w:before="0" w:beforeAutospacing="0" w:after="0" w:afterAutospacing="0" w:line="360" w:lineRule="auto"/>
              <w:ind w:firstLine="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zh-CN"/>
              </w:rPr>
              <w:t>投标文件开始接收时间：</w:t>
            </w:r>
            <w:r>
              <w:rPr>
                <w:rFonts w:hint="default" w:ascii="Times New Roman" w:hAnsi="Times New Roman" w:cs="Times New Roman"/>
                <w:color w:val="auto"/>
                <w:highlight w:val="none"/>
                <w:lang w:val="zh-CN"/>
              </w:rPr>
              <w:t>202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zh-CN"/>
              </w:rPr>
              <w:t>年</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lang w:val="zh-CN"/>
              </w:rPr>
              <w:t>日</w:t>
            </w:r>
            <w:r>
              <w:rPr>
                <w:rFonts w:hint="default" w:ascii="Times New Roman" w:hAnsi="Times New Roman" w:cs="Times New Roman"/>
                <w:color w:val="auto"/>
                <w:highlight w:val="none"/>
              </w:rPr>
              <w:t>13</w:t>
            </w:r>
            <w:r>
              <w:rPr>
                <w:rFonts w:hint="default" w:ascii="Times New Roman" w:hAnsi="Times New Roman" w:cs="Times New Roman"/>
                <w:color w:val="auto"/>
                <w:highlight w:val="none"/>
                <w:lang w:val="zh-CN"/>
              </w:rPr>
              <w:t>:</w:t>
            </w:r>
            <w:r>
              <w:rPr>
                <w:rFonts w:hint="default" w:ascii="Times New Roman" w:hAnsi="Times New Roman" w:cs="Times New Roman"/>
                <w:color w:val="auto"/>
                <w:highlight w:val="none"/>
              </w:rPr>
              <w:t>30</w:t>
            </w:r>
            <w:r>
              <w:rPr>
                <w:rFonts w:hint="default" w:ascii="Times New Roman" w:hAnsi="Times New Roman" w:cs="Times New Roman"/>
                <w:color w:val="auto"/>
                <w:highlight w:val="none"/>
                <w:lang w:val="zh-CN"/>
              </w:rPr>
              <w:t>始</w:t>
            </w:r>
          </w:p>
          <w:p>
            <w:pPr>
              <w:pStyle w:val="52"/>
              <w:adjustRightInd/>
              <w:spacing w:before="0" w:beforeAutospacing="0" w:after="0" w:afterAutospacing="0" w:line="360" w:lineRule="auto"/>
              <w:ind w:firstLine="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zh-CN"/>
              </w:rPr>
              <w:t>投标文件接受截止时间：</w:t>
            </w:r>
            <w:r>
              <w:rPr>
                <w:rFonts w:hint="default" w:ascii="Times New Roman" w:hAnsi="Times New Roman" w:cs="Times New Roman"/>
                <w:color w:val="auto"/>
                <w:highlight w:val="none"/>
                <w:lang w:val="zh-CN"/>
              </w:rPr>
              <w:t>202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zh-CN"/>
              </w:rPr>
              <w:t>年</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lang w:val="zh-CN"/>
              </w:rPr>
              <w:t>日</w:t>
            </w:r>
            <w:r>
              <w:rPr>
                <w:rFonts w:hint="default" w:ascii="Times New Roman" w:hAnsi="Times New Roman" w:cs="Times New Roman"/>
                <w:color w:val="auto"/>
                <w:highlight w:val="none"/>
              </w:rPr>
              <w:t>14</w:t>
            </w:r>
            <w:r>
              <w:rPr>
                <w:rFonts w:hint="default" w:ascii="Times New Roman" w:hAnsi="Times New Roman" w:cs="Times New Roman"/>
                <w:color w:val="auto"/>
                <w:highlight w:val="none"/>
                <w:lang w:val="zh-CN"/>
              </w:rPr>
              <w:t>:</w:t>
            </w:r>
            <w:r>
              <w:rPr>
                <w:rFonts w:hint="default" w:ascii="Times New Roman" w:hAnsi="Times New Roman" w:cs="Times New Roman"/>
                <w:color w:val="auto"/>
                <w:highlight w:val="none"/>
              </w:rPr>
              <w:t>00</w:t>
            </w:r>
            <w:r>
              <w:rPr>
                <w:rFonts w:hint="default" w:ascii="Times New Roman" w:hAnsi="Times New Roman" w:cs="Times New Roman"/>
                <w:color w:val="auto"/>
                <w:highlight w:val="none"/>
                <w:lang w:val="zh-CN"/>
              </w:rPr>
              <w:t>止</w:t>
            </w:r>
            <w:r>
              <w:rPr>
                <w:rFonts w:hint="default" w:ascii="Times New Roman" w:hAnsi="Times New Roman" w:cs="Times New Roman"/>
                <w:color w:val="auto"/>
                <w:highlight w:val="none"/>
              </w:rPr>
              <w:t>，截止期后的投标文件恕不接受。</w:t>
            </w:r>
          </w:p>
          <w:p>
            <w:pPr>
              <w:pStyle w:val="52"/>
              <w:adjustRightInd/>
              <w:spacing w:before="0" w:beforeAutospacing="0" w:after="0" w:afterAutospacing="0" w:line="360" w:lineRule="auto"/>
              <w:ind w:firstLine="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投标地点：</w:t>
            </w:r>
            <w:r>
              <w:rPr>
                <w:rFonts w:hint="default" w:ascii="Times New Roman" w:hAnsi="Times New Roman" w:cs="Times New Roman"/>
                <w:color w:val="auto"/>
                <w:highlight w:val="none"/>
              </w:rPr>
              <w:t>江苏信中天工程咨询有限公司（无锡市太湖大道2288号华仁逸景国际5楼会议室）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10</w:t>
            </w:r>
          </w:p>
        </w:tc>
        <w:tc>
          <w:tcPr>
            <w:tcW w:w="8381" w:type="dxa"/>
            <w:vAlign w:val="center"/>
          </w:tcPr>
          <w:p>
            <w:pPr>
              <w:pStyle w:val="52"/>
              <w:adjustRightInd/>
              <w:spacing w:before="0" w:beforeAutospacing="0" w:after="0" w:afterAutospacing="0" w:line="360" w:lineRule="auto"/>
              <w:ind w:firstLine="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开标时间：</w:t>
            </w:r>
            <w:r>
              <w:rPr>
                <w:rFonts w:hint="default" w:ascii="Times New Roman" w:hAnsi="Times New Roman" w:cs="Times New Roman"/>
                <w:color w:val="auto"/>
                <w:highlight w:val="none"/>
                <w:lang w:val="zh-CN"/>
              </w:rPr>
              <w:t>202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zh-CN"/>
              </w:rPr>
              <w:t>年</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lang w:val="zh-CN"/>
              </w:rPr>
              <w:t>日</w:t>
            </w:r>
            <w:r>
              <w:rPr>
                <w:rFonts w:hint="default" w:ascii="Times New Roman" w:hAnsi="Times New Roman" w:cs="Times New Roman"/>
                <w:color w:val="auto"/>
                <w:highlight w:val="none"/>
              </w:rPr>
              <w:t>14</w:t>
            </w:r>
            <w:r>
              <w:rPr>
                <w:rFonts w:hint="default" w:ascii="Times New Roman" w:hAnsi="Times New Roman" w:cs="Times New Roman"/>
                <w:color w:val="auto"/>
                <w:highlight w:val="none"/>
                <w:lang w:val="zh-CN"/>
              </w:rPr>
              <w:t>:</w:t>
            </w:r>
            <w:r>
              <w:rPr>
                <w:rFonts w:hint="default" w:ascii="Times New Roman" w:hAnsi="Times New Roman" w:cs="Times New Roman"/>
                <w:color w:val="auto"/>
                <w:highlight w:val="none"/>
              </w:rPr>
              <w:t>00</w:t>
            </w:r>
          </w:p>
          <w:p>
            <w:pPr>
              <w:pStyle w:val="52"/>
              <w:adjustRightInd/>
              <w:spacing w:before="0" w:beforeAutospacing="0" w:after="0" w:afterAutospacing="0" w:line="360" w:lineRule="auto"/>
              <w:ind w:firstLine="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开标地点</w:t>
            </w:r>
            <w:r>
              <w:rPr>
                <w:rFonts w:hint="default" w:ascii="Times New Roman" w:hAnsi="Times New Roman" w:cs="Times New Roman"/>
                <w:b/>
                <w:bCs/>
                <w:color w:val="auto"/>
                <w:highlight w:val="none"/>
                <w:lang w:val="zh-CN"/>
              </w:rPr>
              <w:t>：</w:t>
            </w:r>
            <w:r>
              <w:rPr>
                <w:rFonts w:hint="default" w:ascii="Times New Roman" w:hAnsi="Times New Roman" w:cs="Times New Roman"/>
                <w:color w:val="auto"/>
                <w:highlight w:val="none"/>
              </w:rPr>
              <w:t>江苏信中天工程咨询有限公司（无锡市太湖大道2288号华仁逸景国际5楼会议室）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11</w:t>
            </w:r>
          </w:p>
        </w:tc>
        <w:tc>
          <w:tcPr>
            <w:tcW w:w="8381" w:type="dxa"/>
            <w:vAlign w:val="center"/>
          </w:tcPr>
          <w:p>
            <w:pPr>
              <w:pStyle w:val="52"/>
              <w:adjustRightInd/>
              <w:spacing w:before="0" w:beforeAutospacing="0" w:after="0" w:afterAutospacing="0" w:line="360" w:lineRule="auto"/>
              <w:ind w:firstLine="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确定中标单位时间：</w:t>
            </w:r>
            <w:r>
              <w:rPr>
                <w:rFonts w:hint="default" w:ascii="Times New Roman" w:hAnsi="Times New Roman" w:cs="Times New Roman"/>
                <w:color w:val="auto"/>
                <w:highlight w:val="none"/>
                <w:lang w:val="zh-CN"/>
              </w:rPr>
              <w:t>202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zh-CN"/>
              </w:rPr>
              <w:t>年</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lang w:val="zh-CN"/>
              </w:rPr>
              <w:t>日</w:t>
            </w:r>
            <w:r>
              <w:rPr>
                <w:rFonts w:hint="default" w:ascii="Times New Roman" w:hAnsi="Times New Roman" w:cs="Times New Roman"/>
                <w:color w:val="auto"/>
                <w:highlight w:val="none"/>
              </w:rPr>
              <w:t>评审结束</w:t>
            </w:r>
          </w:p>
          <w:p>
            <w:pPr>
              <w:pStyle w:val="52"/>
              <w:adjustRightInd/>
              <w:spacing w:before="0" w:beforeAutospacing="0" w:after="0" w:afterAutospacing="0" w:line="360" w:lineRule="auto"/>
              <w:ind w:firstLine="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确定中标单位地点：</w:t>
            </w:r>
            <w:r>
              <w:rPr>
                <w:rFonts w:hint="default" w:ascii="Times New Roman" w:hAnsi="Times New Roman" w:cs="Times New Roman"/>
                <w:color w:val="auto"/>
                <w:highlight w:val="none"/>
              </w:rPr>
              <w:t>江苏信中天工程咨询有限公司（无锡市太湖大道2288号华仁逸景国际5楼会议室）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12</w:t>
            </w:r>
          </w:p>
        </w:tc>
        <w:tc>
          <w:tcPr>
            <w:tcW w:w="8381" w:type="dxa"/>
            <w:vAlign w:val="center"/>
          </w:tcPr>
          <w:p>
            <w:pPr>
              <w:widowControl/>
              <w:tabs>
                <w:tab w:val="left" w:pos="1750"/>
              </w:tabs>
              <w:topLinePunct/>
              <w:spacing w:line="360" w:lineRule="auto"/>
              <w:rPr>
                <w:rFonts w:hint="default" w:ascii="Times New Roman" w:hAnsi="Times New Roman" w:cs="Times New Roman"/>
                <w:sz w:val="24"/>
                <w:highlight w:val="none"/>
              </w:rPr>
            </w:pPr>
            <w:r>
              <w:rPr>
                <w:rFonts w:hint="default" w:ascii="Times New Roman" w:hAnsi="Times New Roman" w:cs="Times New Roman"/>
                <w:b/>
                <w:bCs/>
                <w:sz w:val="24"/>
                <w:szCs w:val="24"/>
                <w:highlight w:val="none"/>
              </w:rPr>
              <w:t>投标文件份数：</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t>正本1份，副本</w:t>
            </w:r>
            <w:r>
              <w:rPr>
                <w:rFonts w:hint="eastAsia" w:ascii="Times New Roman" w:cs="Times New Roman"/>
                <w:b/>
                <w:bCs/>
                <w:sz w:val="24"/>
                <w:szCs w:val="24"/>
                <w:highlight w:val="none"/>
                <w:lang w:val="en-US" w:eastAsia="zh-CN"/>
              </w:rPr>
              <w:t>4</w:t>
            </w:r>
            <w:r>
              <w:rPr>
                <w:rFonts w:hint="default" w:ascii="Times New Roman" w:hAnsi="Times New Roman" w:cs="Times New Roman"/>
                <w:b/>
                <w:bCs/>
                <w:sz w:val="24"/>
                <w:szCs w:val="24"/>
                <w:highlight w:val="none"/>
              </w:rPr>
              <w:t>份。投标文件不可擦写的光盘1张（并在光盘上清楚的标明报价供应商名称、项目名称）。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13</w:t>
            </w:r>
          </w:p>
        </w:tc>
        <w:tc>
          <w:tcPr>
            <w:tcW w:w="8381" w:type="dxa"/>
            <w:vAlign w:val="center"/>
          </w:tcPr>
          <w:p>
            <w:pPr>
              <w:widowControl/>
              <w:topLinePunct/>
              <w:spacing w:line="360" w:lineRule="auto"/>
              <w:rPr>
                <w:rFonts w:hint="default" w:ascii="Times New Roman" w:hAnsi="Times New Roman" w:cs="Times New Roman"/>
                <w:sz w:val="24"/>
                <w:highlight w:val="none"/>
              </w:rPr>
            </w:pPr>
            <w:r>
              <w:rPr>
                <w:rFonts w:hint="default" w:ascii="Times New Roman" w:hAnsi="Times New Roman" w:cs="Times New Roman"/>
                <w:b/>
                <w:bCs/>
                <w:sz w:val="24"/>
                <w:highlight w:val="none"/>
              </w:rPr>
              <w:t>采购人：</w:t>
            </w:r>
            <w:r>
              <w:rPr>
                <w:rFonts w:hint="default" w:ascii="Times New Roman" w:hAnsi="Times New Roman" w:cs="Times New Roman"/>
                <w:sz w:val="24"/>
                <w:highlight w:val="none"/>
              </w:rPr>
              <w:t>公安部交通管理科学研究所</w:t>
            </w:r>
          </w:p>
          <w:p>
            <w:pPr>
              <w:widowControl/>
              <w:topLinePunct/>
              <w:spacing w:line="360" w:lineRule="auto"/>
              <w:rPr>
                <w:rFonts w:hint="default" w:ascii="Times New Roman" w:hAnsi="Times New Roman" w:cs="Times New Roman"/>
                <w:sz w:val="24"/>
                <w:highlight w:val="none"/>
              </w:rPr>
            </w:pPr>
            <w:r>
              <w:rPr>
                <w:rFonts w:hint="default" w:ascii="Times New Roman" w:hAnsi="Times New Roman" w:cs="Times New Roman"/>
                <w:b/>
                <w:bCs/>
                <w:sz w:val="24"/>
                <w:highlight w:val="none"/>
              </w:rPr>
              <w:t>联系人：</w:t>
            </w:r>
            <w:r>
              <w:rPr>
                <w:rFonts w:hint="default" w:ascii="Times New Roman" w:hAnsi="Times New Roman" w:cs="Times New Roman"/>
                <w:sz w:val="24"/>
                <w:highlight w:val="none"/>
              </w:rPr>
              <w:t xml:space="preserve"> 胡先生</w:t>
            </w:r>
          </w:p>
          <w:p>
            <w:pPr>
              <w:widowControl/>
              <w:topLinePunct/>
              <w:spacing w:line="360" w:lineRule="auto"/>
              <w:rPr>
                <w:rFonts w:hint="eastAsia" w:ascii="Times New Roman" w:hAnsi="Times New Roman" w:eastAsia="宋体" w:cs="Times New Roman"/>
                <w:sz w:val="24"/>
                <w:highlight w:val="none"/>
                <w:lang w:eastAsia="zh-CN"/>
              </w:rPr>
            </w:pPr>
            <w:r>
              <w:rPr>
                <w:rFonts w:hint="default" w:ascii="Times New Roman" w:hAnsi="Times New Roman" w:cs="Times New Roman"/>
                <w:b/>
                <w:bCs/>
                <w:sz w:val="24"/>
                <w:highlight w:val="none"/>
              </w:rPr>
              <w:t>联系电话：</w:t>
            </w:r>
            <w:r>
              <w:rPr>
                <w:rFonts w:hint="eastAsia" w:ascii="Times New Roman" w:cs="Times New Roman"/>
                <w:sz w:val="24"/>
                <w:highlight w:val="none"/>
                <w:lang w:eastAsia="zh-CN"/>
              </w:rPr>
              <w:t>0510-85511918</w:t>
            </w:r>
          </w:p>
          <w:p>
            <w:pPr>
              <w:widowControl/>
              <w:topLinePunct/>
              <w:spacing w:line="360" w:lineRule="auto"/>
              <w:rPr>
                <w:rFonts w:hint="default" w:ascii="Times New Roman" w:hAnsi="Times New Roman" w:cs="Times New Roman"/>
                <w:sz w:val="24"/>
                <w:highlight w:val="none"/>
              </w:rPr>
            </w:pPr>
            <w:r>
              <w:rPr>
                <w:rFonts w:hint="default" w:ascii="Times New Roman" w:hAnsi="Times New Roman" w:cs="Times New Roman"/>
                <w:b/>
                <w:bCs/>
                <w:sz w:val="24"/>
                <w:highlight w:val="none"/>
              </w:rPr>
              <w:t>地址：</w:t>
            </w:r>
            <w:r>
              <w:rPr>
                <w:rFonts w:hint="default" w:ascii="Times New Roman" w:hAnsi="Times New Roman" w:cs="Times New Roman"/>
                <w:sz w:val="24"/>
                <w:highlight w:val="none"/>
              </w:rPr>
              <w:t xml:space="preserve"> 无锡市钱荣路88号</w:t>
            </w:r>
          </w:p>
          <w:p>
            <w:pPr>
              <w:widowControl/>
              <w:topLinePunct/>
              <w:spacing w:line="360" w:lineRule="auto"/>
              <w:rPr>
                <w:rFonts w:hint="default" w:ascii="Times New Roman" w:hAnsi="Times New Roman" w:cs="Times New Roman"/>
                <w:sz w:val="24"/>
                <w:highlight w:val="none"/>
              </w:rPr>
            </w:pPr>
            <w:r>
              <w:rPr>
                <w:rFonts w:hint="default" w:ascii="Times New Roman" w:hAnsi="Times New Roman" w:cs="Times New Roman"/>
                <w:b/>
                <w:bCs/>
                <w:sz w:val="24"/>
                <w:highlight w:val="none"/>
              </w:rPr>
              <w:t>采购代理机构：</w:t>
            </w:r>
            <w:r>
              <w:rPr>
                <w:rFonts w:hint="default" w:ascii="Times New Roman" w:hAnsi="Times New Roman" w:cs="Times New Roman"/>
                <w:sz w:val="24"/>
                <w:highlight w:val="none"/>
              </w:rPr>
              <w:t>江苏信中天工程咨询有限公司</w:t>
            </w:r>
          </w:p>
          <w:p>
            <w:pPr>
              <w:widowControl/>
              <w:topLinePunct/>
              <w:spacing w:line="360" w:lineRule="auto"/>
              <w:rPr>
                <w:rFonts w:hint="default" w:ascii="Times New Roman" w:hAnsi="Times New Roman" w:eastAsia="宋体" w:cs="Times New Roman"/>
                <w:sz w:val="24"/>
                <w:highlight w:val="none"/>
                <w:lang w:val="en-US" w:eastAsia="zh-CN"/>
              </w:rPr>
            </w:pPr>
            <w:r>
              <w:rPr>
                <w:rFonts w:hint="default" w:ascii="Times New Roman" w:hAnsi="Times New Roman" w:cs="Times New Roman"/>
                <w:b/>
                <w:bCs/>
                <w:sz w:val="24"/>
                <w:highlight w:val="none"/>
              </w:rPr>
              <w:t>联 系 人：</w:t>
            </w:r>
            <w:r>
              <w:rPr>
                <w:rFonts w:hint="default" w:ascii="Times New Roman" w:hAnsi="Times New Roman" w:cs="Times New Roman"/>
                <w:sz w:val="24"/>
                <w:highlight w:val="none"/>
              </w:rPr>
              <w:t>袁丽萍、邵浩杰</w:t>
            </w:r>
            <w:r>
              <w:rPr>
                <w:rFonts w:hint="eastAsia" w:ascii="Times New Roman" w:cs="Times New Roman"/>
                <w:sz w:val="24"/>
                <w:highlight w:val="none"/>
                <w:lang w:eastAsia="zh-CN"/>
              </w:rPr>
              <w:t>、</w:t>
            </w:r>
            <w:r>
              <w:rPr>
                <w:rFonts w:hint="eastAsia" w:ascii="Times New Roman" w:cs="Times New Roman"/>
                <w:sz w:val="24"/>
                <w:highlight w:val="none"/>
                <w:lang w:val="en-US" w:eastAsia="zh-CN"/>
              </w:rPr>
              <w:t>邵佳（经办人）</w:t>
            </w:r>
          </w:p>
          <w:p>
            <w:pPr>
              <w:widowControl/>
              <w:topLinePunct/>
              <w:spacing w:line="360" w:lineRule="auto"/>
              <w:rPr>
                <w:rFonts w:hint="default" w:ascii="Times New Roman" w:hAnsi="Times New Roman" w:cs="Times New Roman"/>
                <w:sz w:val="24"/>
                <w:highlight w:val="none"/>
              </w:rPr>
            </w:pPr>
            <w:r>
              <w:rPr>
                <w:rFonts w:hint="default" w:ascii="Times New Roman" w:hAnsi="Times New Roman" w:cs="Times New Roman"/>
                <w:b/>
                <w:bCs/>
                <w:sz w:val="24"/>
                <w:highlight w:val="none"/>
              </w:rPr>
              <w:t>联系电话：</w:t>
            </w:r>
            <w:r>
              <w:rPr>
                <w:rFonts w:hint="default" w:ascii="Times New Roman" w:hAnsi="Times New Roman" w:cs="Times New Roman"/>
                <w:sz w:val="24"/>
                <w:highlight w:val="none"/>
              </w:rPr>
              <w:t>0510-85886004-828     传真号码：0510-85886808</w:t>
            </w:r>
          </w:p>
          <w:p>
            <w:pPr>
              <w:widowControl/>
              <w:topLinePunct/>
              <w:spacing w:line="360" w:lineRule="auto"/>
              <w:rPr>
                <w:rFonts w:hint="default" w:ascii="Times New Roman" w:hAnsi="Times New Roman" w:cs="Times New Roman"/>
                <w:sz w:val="24"/>
                <w:highlight w:val="none"/>
              </w:rPr>
            </w:pPr>
            <w:r>
              <w:rPr>
                <w:rFonts w:hint="default" w:ascii="Times New Roman" w:hAnsi="Times New Roman" w:cs="Times New Roman"/>
                <w:b/>
                <w:bCs/>
                <w:sz w:val="24"/>
                <w:highlight w:val="none"/>
              </w:rPr>
              <w:t>联系地址：</w:t>
            </w:r>
            <w:r>
              <w:rPr>
                <w:rFonts w:hint="default" w:ascii="Times New Roman" w:hAnsi="Times New Roman" w:cs="Times New Roman"/>
                <w:sz w:val="24"/>
                <w:highlight w:val="none"/>
              </w:rPr>
              <w:t>无锡太湖大道2288号华仁逸景国际5楼</w:t>
            </w:r>
          </w:p>
          <w:p>
            <w:pPr>
              <w:widowControl/>
              <w:topLinePunct/>
              <w:spacing w:line="360" w:lineRule="auto"/>
              <w:rPr>
                <w:rFonts w:hint="default" w:ascii="Times New Roman" w:hAnsi="Times New Roman" w:cs="Times New Roman"/>
                <w:sz w:val="24"/>
                <w:highlight w:val="none"/>
              </w:rPr>
            </w:pPr>
            <w:r>
              <w:rPr>
                <w:rFonts w:hint="default" w:ascii="Times New Roman" w:hAnsi="Times New Roman" w:cs="Times New Roman"/>
                <w:b/>
                <w:bCs/>
                <w:sz w:val="24"/>
                <w:highlight w:val="none"/>
              </w:rPr>
              <w:t>电子邮件地址：</w:t>
            </w:r>
            <w:r>
              <w:rPr>
                <w:rFonts w:hint="default" w:ascii="Times New Roman" w:hAnsi="Times New Roman" w:cs="Times New Roman"/>
                <w:sz w:val="24"/>
                <w:highlight w:val="none"/>
              </w:rPr>
              <w:t xml:space="preserve">wxztzb@163.com  </w:t>
            </w:r>
          </w:p>
          <w:p>
            <w:pPr>
              <w:pStyle w:val="52"/>
              <w:spacing w:before="0" w:beforeAutospacing="0" w:after="0" w:afterAutospacing="0" w:line="360" w:lineRule="auto"/>
              <w:ind w:firstLine="0"/>
              <w:rPr>
                <w:rFonts w:hint="default" w:ascii="Times New Roman" w:hAnsi="Times New Roman" w:cs="Times New Roman"/>
                <w:highlight w:val="none"/>
              </w:rPr>
            </w:pPr>
            <w:r>
              <w:rPr>
                <w:rFonts w:hint="default" w:ascii="Times New Roman" w:hAnsi="Times New Roman" w:cs="Times New Roman"/>
                <w:b/>
                <w:bCs/>
                <w:highlight w:val="none"/>
              </w:rPr>
              <w:t>邮政编码：</w:t>
            </w:r>
            <w:r>
              <w:rPr>
                <w:rFonts w:hint="default" w:ascii="Times New Roman" w:hAnsi="Times New Roman" w:cs="Times New Roman"/>
                <w:highlight w:val="none"/>
              </w:rPr>
              <w:t>214000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8" w:hRule="atLeast"/>
        </w:trPr>
        <w:tc>
          <w:tcPr>
            <w:tcW w:w="828" w:type="dxa"/>
            <w:vAlign w:val="center"/>
          </w:tcPr>
          <w:p>
            <w:pPr>
              <w:widowControl/>
              <w:topLinePunct/>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14</w:t>
            </w:r>
          </w:p>
        </w:tc>
        <w:tc>
          <w:tcPr>
            <w:tcW w:w="8381" w:type="dxa"/>
            <w:vAlign w:val="center"/>
          </w:tcPr>
          <w:p>
            <w:pPr>
              <w:widowControl/>
              <w:topLinePunct/>
              <w:spacing w:line="360" w:lineRule="auto"/>
              <w:rPr>
                <w:rFonts w:hint="default" w:ascii="Times New Roman" w:hAnsi="Times New Roman" w:cs="Times New Roman"/>
                <w:b/>
                <w:bCs/>
                <w:sz w:val="24"/>
                <w:highlight w:val="none"/>
              </w:rPr>
            </w:pPr>
            <w:r>
              <w:rPr>
                <w:rFonts w:hint="default" w:ascii="Times New Roman" w:hAnsi="Times New Roman" w:cs="Times New Roman"/>
                <w:b/>
                <w:bCs/>
                <w:sz w:val="24"/>
                <w:highlight w:val="none"/>
              </w:rPr>
              <w:t>疫情防控期间注意事项：</w:t>
            </w:r>
          </w:p>
          <w:p>
            <w:pPr>
              <w:widowControl/>
              <w:topLinePunct/>
              <w:spacing w:line="360" w:lineRule="auto"/>
              <w:rPr>
                <w:rFonts w:hint="default" w:ascii="Times New Roman" w:hAnsi="Times New Roman" w:cs="Times New Roman"/>
                <w:b/>
                <w:bCs/>
                <w:sz w:val="24"/>
                <w:highlight w:val="none"/>
              </w:rPr>
            </w:pPr>
            <w:r>
              <w:rPr>
                <w:rFonts w:hint="default" w:ascii="Times New Roman" w:hAnsi="Times New Roman" w:cs="Times New Roman"/>
                <w:b/>
                <w:bCs/>
                <w:sz w:val="24"/>
                <w:highlight w:val="none"/>
              </w:rPr>
              <w:t>根据锡财购函【2021】3号《关于近期政府采购领域疫情防控有关要求的通知》要求，参加政府采购活动的供应商代表（委派人数为1人），座位保持安全间距。凡进入活动（开评标）现场的人员，必须戴口罩并出示“苏康码”与“行程码”（实时查验图，截图无效），采取“测温+扫码”进，“扫码”出。“苏康码”、“行程码”为绿码，可进场；“苏康码”、“行程码”为绿码，但行程中有涉及中高风险地区的，应持48小时核酸阴性证明进场；“苏康码”验证结果为黄色或红色、体温≥37.3℃的，严禁进场并上报采购代理机构所在地社区与同级财政部门。《“苏康码”申领使用操作手册》详见无锡政府采购网首页“工作动态”栏，或者无锡市公共资源交易中心网政府采购（市级）“公示栏”。投标供应商应考虑完成上述程序所需时间，提前进入开标地点，不能在投标截止时间前参加投标所造成的风险及损失，由投标供应商自行承担。</w:t>
            </w:r>
          </w:p>
        </w:tc>
      </w:tr>
    </w:tbl>
    <w:p>
      <w:pPr>
        <w:spacing w:line="360" w:lineRule="auto"/>
        <w:jc w:val="center"/>
        <w:rPr>
          <w:rFonts w:hint="default" w:ascii="Times New Roman" w:hAnsi="Times New Roman" w:cs="Times New Roman"/>
          <w:b/>
          <w:sz w:val="44"/>
          <w:szCs w:val="44"/>
          <w:highlight w:val="none"/>
        </w:rPr>
        <w:sectPr>
          <w:footerReference r:id="rId4" w:type="default"/>
          <w:pgSz w:w="11906" w:h="16838"/>
          <w:pgMar w:top="1440" w:right="1080" w:bottom="1440" w:left="1080" w:header="851" w:footer="992" w:gutter="0"/>
          <w:pgNumType w:fmt="decimal" w:start="1"/>
          <w:cols w:space="720" w:num="1"/>
          <w:docGrid w:type="lines" w:linePitch="312" w:charSpace="0"/>
        </w:sectPr>
      </w:pPr>
    </w:p>
    <w:p>
      <w:pPr>
        <w:pStyle w:val="4"/>
        <w:rPr>
          <w:rFonts w:hint="default" w:ascii="Times New Roman" w:hAnsi="Times New Roman" w:cs="Times New Roman"/>
          <w:sz w:val="44"/>
          <w:szCs w:val="44"/>
          <w:highlight w:val="none"/>
        </w:rPr>
      </w:pPr>
      <w:bookmarkStart w:id="1" w:name="_Toc28438"/>
      <w:r>
        <w:rPr>
          <w:rFonts w:hint="default" w:ascii="Times New Roman" w:hAnsi="Times New Roman" w:cs="Times New Roman"/>
          <w:highlight w:val="none"/>
        </w:rPr>
        <w:t>二</w:t>
      </w:r>
      <w:r>
        <w:rPr>
          <w:rFonts w:hint="eastAsia" w:ascii="Times New Roman" w:hAnsi="Times New Roman" w:cs="Times New Roman"/>
          <w:highlight w:val="none"/>
          <w:lang w:eastAsia="zh-CN"/>
        </w:rPr>
        <w:t>、</w:t>
      </w:r>
      <w:r>
        <w:rPr>
          <w:rFonts w:hint="default" w:ascii="Times New Roman" w:hAnsi="Times New Roman" w:cs="Times New Roman"/>
          <w:highlight w:val="none"/>
        </w:rPr>
        <w:t>投标人须知</w:t>
      </w:r>
      <w:bookmarkEnd w:id="1"/>
    </w:p>
    <w:p>
      <w:pPr>
        <w:pStyle w:val="5"/>
        <w:rPr>
          <w:rFonts w:hint="default" w:ascii="Times New Roman" w:hAnsi="Times New Roman" w:cs="Times New Roman"/>
          <w:highlight w:val="none"/>
        </w:rPr>
      </w:pPr>
      <w:r>
        <w:rPr>
          <w:rFonts w:hint="default" w:ascii="Times New Roman" w:hAnsi="Times New Roman" w:cs="Times New Roman"/>
          <w:highlight w:val="none"/>
        </w:rPr>
        <w:t>（一）遵循原则</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公开透明原则、公平竞争原则、公正原则和诚实信用原则。</w:t>
      </w:r>
    </w:p>
    <w:p>
      <w:pPr>
        <w:pStyle w:val="5"/>
        <w:rPr>
          <w:rFonts w:hint="default" w:ascii="Times New Roman" w:hAnsi="Times New Roman" w:cs="Times New Roman"/>
          <w:highlight w:val="none"/>
        </w:rPr>
      </w:pPr>
      <w:r>
        <w:rPr>
          <w:rFonts w:hint="default" w:ascii="Times New Roman" w:hAnsi="Times New Roman" w:cs="Times New Roman"/>
          <w:highlight w:val="none"/>
        </w:rPr>
        <w:t>（二）招标文件</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1．招标文件包括文件目录所列全部内容，投标供应商应仔细阅读，并在投标文件中充分反映招标文件的所有要求。</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2．投标供应商应向江苏信中天工程咨询有限公司购买文件及有关资料，按招标文件要求提交全部资料并对招标文件各项内容做出实质性响应，否则该投标供应商的投标无效。</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3．投标供应商一旦参加本项目投标，即表明承诺接受了本招标文件中所有条件和规定。</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4．招标文件一经售出、一律不退，且仅作为本次采购招标使用。</w:t>
      </w:r>
    </w:p>
    <w:p>
      <w:pPr>
        <w:pStyle w:val="5"/>
        <w:rPr>
          <w:rFonts w:hint="default" w:ascii="Times New Roman" w:hAnsi="Times New Roman" w:cs="Times New Roman"/>
          <w:highlight w:val="none"/>
        </w:rPr>
      </w:pPr>
      <w:r>
        <w:rPr>
          <w:rFonts w:hint="default" w:ascii="Times New Roman" w:hAnsi="Times New Roman" w:cs="Times New Roman"/>
          <w:highlight w:val="none"/>
        </w:rPr>
        <w:t>（三）招标文件的解释</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投标供应商如有需要对招标文件要求澄清的问题，请以书面方式提出，并按“投标邀请函”第6项规定的时间将电子邮件及书面传真（两种形式均须发送）至江苏信中天工程咨询有限公司，联系方式详见投标邀请函第13项。</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2．采购人、江苏信中天工程咨询有限公司将按“投标邀请函”第6项规定的时间对投标供应商针对招标文件书面提出的要求澄清的问题进行书面答疑。</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3．本文件的最终解释权归采购人。</w:t>
      </w:r>
    </w:p>
    <w:p>
      <w:pPr>
        <w:pStyle w:val="5"/>
        <w:rPr>
          <w:rFonts w:hint="default" w:ascii="Times New Roman" w:hAnsi="Times New Roman" w:cs="Times New Roman"/>
          <w:highlight w:val="none"/>
        </w:rPr>
      </w:pPr>
      <w:r>
        <w:rPr>
          <w:rFonts w:hint="default" w:ascii="Times New Roman" w:hAnsi="Times New Roman" w:cs="Times New Roman"/>
          <w:highlight w:val="none"/>
        </w:rPr>
        <w:t>（四）招标文件的补充或修正</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1.采购人或采购代理机构可以对已发出的招标文件进行必要澄清或者修改，澄清或者修改的内容将在</w:t>
      </w:r>
      <w:r>
        <w:rPr>
          <w:rFonts w:hint="default" w:ascii="Times New Roman" w:hAnsi="Times New Roman" w:cs="Times New Roman"/>
          <w:b/>
          <w:sz w:val="24"/>
          <w:highlight w:val="none"/>
        </w:rPr>
        <w:t>无锡政府采购网、江苏政府采购网</w:t>
      </w:r>
      <w:r>
        <w:rPr>
          <w:rFonts w:hint="default" w:ascii="Times New Roman" w:hAnsi="Times New Roman" w:cs="Times New Roman"/>
          <w:sz w:val="24"/>
          <w:highlight w:val="none"/>
        </w:rPr>
        <w:t>上发布更正公告，并以书面形式通知所有招标文件收受人。该澄清或者修改的内容为招标文件的组成部分, 与招标文件具有同等约束力。澄清或者修改的内容可能影响投标文件编制的，采购人或采购代理机构将在投标截止时间前15日前，以书面形式通知所有招标文件的潜在投标人，不足15日的，将顺延递交投标文件的截止时间。</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2.投标供应商应立即以书面形式回复江苏信中天工程咨询有限公司，确认已收到修改文件或延期开标通知。</w:t>
      </w:r>
    </w:p>
    <w:p>
      <w:pPr>
        <w:pStyle w:val="5"/>
        <w:rPr>
          <w:rFonts w:hint="default" w:ascii="Times New Roman" w:hAnsi="Times New Roman" w:cs="Times New Roman"/>
          <w:highlight w:val="none"/>
        </w:rPr>
      </w:pPr>
      <w:r>
        <w:rPr>
          <w:rFonts w:hint="default" w:ascii="Times New Roman" w:hAnsi="Times New Roman" w:cs="Times New Roman"/>
          <w:highlight w:val="none"/>
        </w:rPr>
        <w:t>（五）投标文件的组成</w:t>
      </w:r>
    </w:p>
    <w:p>
      <w:pPr>
        <w:spacing w:line="360" w:lineRule="auto"/>
        <w:ind w:firstLine="482" w:firstLineChars="200"/>
        <w:rPr>
          <w:rFonts w:hint="default" w:ascii="Times New Roman" w:hAnsi="Times New Roman" w:cs="Times New Roman"/>
          <w:b/>
          <w:bCs/>
          <w:kern w:val="2"/>
          <w:sz w:val="24"/>
          <w:highlight w:val="none"/>
        </w:rPr>
      </w:pPr>
      <w:r>
        <w:rPr>
          <w:rFonts w:hint="default" w:ascii="Times New Roman" w:hAnsi="Times New Roman" w:cs="Times New Roman"/>
          <w:b/>
          <w:bCs/>
          <w:kern w:val="2"/>
          <w:sz w:val="24"/>
          <w:highlight w:val="none"/>
        </w:rPr>
        <w:t>投标文件</w:t>
      </w:r>
      <w:r>
        <w:rPr>
          <w:rFonts w:hint="eastAsia" w:hAnsi="宋体"/>
          <w:b/>
          <w:sz w:val="24"/>
          <w:highlight w:val="none"/>
        </w:rPr>
        <w:t>由商务部分和技术部分两部分组成（装订成一册），还需提供包括所有响应文件内容的电子光盘一张。</w:t>
      </w:r>
    </w:p>
    <w:p>
      <w:pPr>
        <w:spacing w:line="360" w:lineRule="auto"/>
        <w:ind w:firstLine="482" w:firstLineChars="200"/>
        <w:rPr>
          <w:rFonts w:hint="eastAsia" w:ascii="宋体" w:hAnsi="宋体"/>
          <w:b/>
          <w:sz w:val="24"/>
          <w:highlight w:val="none"/>
        </w:rPr>
      </w:pPr>
      <w:bookmarkStart w:id="2" w:name="_Hlk73695651"/>
      <w:r>
        <w:rPr>
          <w:rFonts w:hint="eastAsia" w:ascii="宋体" w:hAnsi="宋体"/>
          <w:b/>
          <w:bCs/>
          <w:sz w:val="24"/>
          <w:highlight w:val="none"/>
        </w:rPr>
        <w:t>第一部分</w:t>
      </w:r>
      <w:r>
        <w:rPr>
          <w:rFonts w:hint="eastAsia" w:ascii="宋体" w:hAnsi="宋体"/>
          <w:b/>
          <w:bCs/>
          <w:sz w:val="24"/>
          <w:highlight w:val="none"/>
          <w:lang w:val="en-US" w:eastAsia="zh-CN"/>
        </w:rPr>
        <w:t xml:space="preserve"> </w:t>
      </w:r>
      <w:r>
        <w:rPr>
          <w:rFonts w:hint="eastAsia" w:ascii="宋体" w:hAnsi="宋体"/>
          <w:b/>
          <w:bCs/>
          <w:sz w:val="24"/>
          <w:highlight w:val="none"/>
        </w:rPr>
        <w:t>商务部分：</w:t>
      </w:r>
    </w:p>
    <w:p>
      <w:pPr>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1、投标函（格式见附件）</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w:t>
      </w:r>
      <w:r>
        <w:rPr>
          <w:rFonts w:hint="default" w:ascii="Times New Roman" w:hAnsi="Times New Roman" w:cs="Times New Roman"/>
          <w:bCs/>
          <w:sz w:val="24"/>
          <w:szCs w:val="24"/>
          <w:highlight w:val="none"/>
        </w:rPr>
        <w:t>资格、资信证明</w:t>
      </w:r>
      <w:r>
        <w:rPr>
          <w:rFonts w:hint="default" w:ascii="Times New Roman" w:hAnsi="Times New Roman" w:cs="Times New Roman"/>
          <w:sz w:val="24"/>
          <w:highlight w:val="none"/>
        </w:rPr>
        <w:t>文件：</w:t>
      </w:r>
    </w:p>
    <w:p>
      <w:pPr>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（1）关于资格的声明函；</w:t>
      </w:r>
      <w:r>
        <w:rPr>
          <w:rFonts w:hint="eastAsia" w:ascii="宋体" w:hAnsi="宋体" w:cs="宋体"/>
          <w:b/>
          <w:sz w:val="24"/>
          <w:highlight w:val="none"/>
        </w:rPr>
        <w:t>（格式见附件）</w:t>
      </w:r>
    </w:p>
    <w:p>
      <w:pPr>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（2）供应商法定代表人授权委托书</w:t>
      </w:r>
      <w:r>
        <w:rPr>
          <w:rFonts w:hint="eastAsia" w:ascii="宋体" w:hAnsi="宋体" w:cs="宋体"/>
          <w:b/>
          <w:sz w:val="24"/>
          <w:highlight w:val="none"/>
        </w:rPr>
        <w:t>（法定代表人亲自参与投标的除外，格式见附件</w:t>
      </w:r>
      <w:r>
        <w:rPr>
          <w:rFonts w:hint="eastAsia" w:ascii="宋体" w:hAnsi="宋体" w:cs="宋体"/>
          <w:b/>
          <w:sz w:val="24"/>
          <w:highlight w:val="none"/>
          <w:lang w:eastAsia="zh-CN"/>
        </w:rPr>
        <w:t>，</w:t>
      </w:r>
      <w:r>
        <w:rPr>
          <w:rFonts w:hint="eastAsia" w:hAnsi="宋体"/>
          <w:b/>
          <w:bCs w:val="0"/>
          <w:sz w:val="24"/>
          <w:highlight w:val="none"/>
        </w:rPr>
        <w:t>友情提醒：授权委托书原件开标时须单独出具一份，不另行拆封响应文件，法定代表人亲自参与投标的除外</w:t>
      </w:r>
      <w:r>
        <w:rPr>
          <w:rFonts w:hint="eastAsia" w:ascii="宋体" w:hAnsi="宋体" w:cs="宋体"/>
          <w:b/>
          <w:sz w:val="24"/>
          <w:highlight w:val="none"/>
        </w:rPr>
        <w:t>）</w:t>
      </w:r>
      <w:r>
        <w:rPr>
          <w:rFonts w:hint="eastAsia" w:ascii="宋体" w:hAnsi="宋体" w:cs="宋体"/>
          <w:sz w:val="24"/>
          <w:highlight w:val="none"/>
        </w:rPr>
        <w:t>；</w:t>
      </w:r>
    </w:p>
    <w:p>
      <w:pPr>
        <w:adjustRightInd w:val="0"/>
        <w:snapToGrid w:val="0"/>
        <w:spacing w:line="348" w:lineRule="auto"/>
        <w:ind w:firstLine="480" w:firstLineChars="200"/>
        <w:rPr>
          <w:rFonts w:hint="eastAsia" w:ascii="宋体" w:hAnsi="宋体" w:cs="宋体"/>
          <w:sz w:val="24"/>
          <w:highlight w:val="none"/>
        </w:rPr>
      </w:pPr>
      <w:bookmarkStart w:id="3" w:name="OLE_LINK8"/>
      <w:r>
        <w:rPr>
          <w:rFonts w:hint="eastAsia" w:ascii="宋体" w:hAnsi="宋体" w:cs="宋体"/>
          <w:sz w:val="24"/>
          <w:highlight w:val="none"/>
        </w:rPr>
        <w:t>（3）</w:t>
      </w:r>
      <w:bookmarkEnd w:id="3"/>
      <w:r>
        <w:rPr>
          <w:rFonts w:hint="eastAsia" w:ascii="宋体" w:hAnsi="宋体" w:cs="宋体"/>
          <w:sz w:val="24"/>
          <w:highlight w:val="none"/>
        </w:rPr>
        <w:t>供应商法定代表人身份证复印件及法定代表人授权代表身份证复印件并加盖公章（</w:t>
      </w:r>
      <w:r>
        <w:rPr>
          <w:rFonts w:hint="eastAsia" w:ascii="宋体" w:hAnsi="宋体" w:cs="宋体"/>
          <w:b/>
          <w:sz w:val="24"/>
          <w:highlight w:val="none"/>
        </w:rPr>
        <w:t>投标时必须携带法定代表人身份证或法定代表人授权代表身份证原件</w:t>
      </w:r>
      <w:r>
        <w:rPr>
          <w:rFonts w:hint="eastAsia" w:ascii="宋体" w:hAnsi="宋体" w:cs="宋体"/>
          <w:sz w:val="24"/>
          <w:highlight w:val="none"/>
        </w:rPr>
        <w:t>）；</w:t>
      </w:r>
    </w:p>
    <w:p>
      <w:pPr>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（4）供应商企业法人营业执照或事业单位法人证书、组织机构代码证、税务登记证复印件并加盖公章</w:t>
      </w:r>
      <w:r>
        <w:rPr>
          <w:rFonts w:hint="eastAsia" w:hAnsi="宋体"/>
          <w:sz w:val="24"/>
          <w:highlight w:val="none"/>
        </w:rPr>
        <w:t>（</w:t>
      </w:r>
      <w:r>
        <w:rPr>
          <w:rFonts w:hint="eastAsia" w:hAnsi="宋体"/>
          <w:bCs/>
          <w:sz w:val="24"/>
          <w:highlight w:val="none"/>
        </w:rPr>
        <w:t>已“三证合一”的企业只需提供营业执照）</w:t>
      </w:r>
      <w:r>
        <w:rPr>
          <w:rFonts w:hint="eastAsia" w:ascii="宋体" w:hAnsi="宋体" w:cs="宋体"/>
          <w:sz w:val="24"/>
          <w:highlight w:val="none"/>
        </w:rPr>
        <w:t>；</w:t>
      </w:r>
    </w:p>
    <w:p>
      <w:pPr>
        <w:tabs>
          <w:tab w:val="left" w:pos="180"/>
        </w:tabs>
        <w:autoSpaceDE w:val="0"/>
        <w:autoSpaceDN w:val="0"/>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5</w:t>
      </w:r>
      <w:r>
        <w:rPr>
          <w:rFonts w:hint="eastAsia" w:ascii="宋体" w:hAnsi="宋体" w:cs="宋体"/>
          <w:sz w:val="24"/>
          <w:highlight w:val="none"/>
          <w:lang w:val="zh-CN"/>
        </w:rPr>
        <w:t>）供应商近</w:t>
      </w:r>
      <w:r>
        <w:rPr>
          <w:rFonts w:hint="eastAsia" w:ascii="宋体" w:hAnsi="宋体" w:cs="宋体"/>
          <w:sz w:val="24"/>
          <w:highlight w:val="none"/>
          <w:lang w:val="en-US" w:eastAsia="zh-CN"/>
        </w:rPr>
        <w:t>三</w:t>
      </w:r>
      <w:r>
        <w:rPr>
          <w:rFonts w:hint="eastAsia" w:ascii="宋体" w:hAnsi="宋体" w:cs="宋体"/>
          <w:sz w:val="24"/>
          <w:highlight w:val="none"/>
          <w:lang w:val="zh-CN"/>
        </w:rPr>
        <w:t>个月中任意一个月份(不含投标当月)的财务状况报告（资产负债表和利润表）或</w:t>
      </w:r>
      <w:r>
        <w:rPr>
          <w:rFonts w:hint="eastAsia" w:ascii="宋体" w:hAnsi="宋体" w:cs="宋体"/>
          <w:sz w:val="24"/>
          <w:highlight w:val="none"/>
        </w:rPr>
        <w:t>由会计师事务所出具的2019年度的审计报告和所附已审财务报告复印件并加盖公章；</w:t>
      </w:r>
    </w:p>
    <w:p>
      <w:pPr>
        <w:tabs>
          <w:tab w:val="left" w:pos="180"/>
        </w:tabs>
        <w:autoSpaceDE w:val="0"/>
        <w:autoSpaceDN w:val="0"/>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）供应商</w:t>
      </w:r>
      <w:r>
        <w:rPr>
          <w:rFonts w:hint="eastAsia" w:ascii="宋体" w:hAnsi="宋体" w:cs="宋体"/>
          <w:sz w:val="24"/>
          <w:highlight w:val="none"/>
          <w:lang w:val="zh-CN"/>
        </w:rPr>
        <w:t>近</w:t>
      </w:r>
      <w:r>
        <w:rPr>
          <w:rFonts w:hint="eastAsia" w:ascii="宋体" w:hAnsi="宋体" w:cs="宋体"/>
          <w:sz w:val="24"/>
          <w:highlight w:val="none"/>
          <w:lang w:val="en-US" w:eastAsia="zh-CN"/>
        </w:rPr>
        <w:t>三</w:t>
      </w:r>
      <w:r>
        <w:rPr>
          <w:rFonts w:hint="eastAsia" w:ascii="宋体" w:hAnsi="宋体" w:cs="宋体"/>
          <w:sz w:val="24"/>
          <w:highlight w:val="none"/>
          <w:lang w:val="zh-CN"/>
        </w:rPr>
        <w:t>个月</w:t>
      </w:r>
      <w:r>
        <w:rPr>
          <w:rFonts w:hint="eastAsia" w:ascii="宋体" w:hAnsi="宋体" w:cs="宋体"/>
          <w:sz w:val="24"/>
          <w:highlight w:val="none"/>
        </w:rPr>
        <w:t>中任意一个月份(不含投标当月)的依法缴纳税收的相关材料（提供相关主管部门证明或银行代扣证明）复印件并加盖公章；</w:t>
      </w:r>
    </w:p>
    <w:p>
      <w:pPr>
        <w:adjustRightInd w:val="0"/>
        <w:snapToGrid w:val="0"/>
        <w:spacing w:line="348" w:lineRule="auto"/>
        <w:ind w:firstLine="480" w:firstLineChars="200"/>
        <w:rPr>
          <w:rFonts w:hint="eastAsia" w:ascii="宋体" w:hAnsi="宋体" w:cs="宋体"/>
          <w:b/>
          <w:sz w:val="24"/>
          <w:highlight w:val="none"/>
        </w:rPr>
      </w:pP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）授权委托人应具备与本企业签订的劳动合同</w:t>
      </w:r>
      <w:r>
        <w:rPr>
          <w:rFonts w:hint="eastAsia" w:hAnsi="宋体" w:cs="宋体"/>
          <w:sz w:val="24"/>
          <w:highlight w:val="none"/>
          <w:lang w:eastAsia="zh-CN"/>
        </w:rPr>
        <w:t>，</w:t>
      </w:r>
      <w:r>
        <w:rPr>
          <w:rFonts w:hint="eastAsia" w:ascii="宋体" w:hAnsi="宋体" w:cs="宋体"/>
          <w:sz w:val="24"/>
          <w:highlight w:val="none"/>
        </w:rPr>
        <w:t>授权委托人应具备《职工养老保险手册》（内附2021年11月～2022年4月的缴费清单）或由社保机构出具本企业的2021年11月～2022年4月的缴费证明复印件并加盖公章；</w:t>
      </w:r>
    </w:p>
    <w:p>
      <w:pPr>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default" w:ascii="宋体" w:hAnsi="宋体" w:cs="宋体"/>
          <w:sz w:val="24"/>
          <w:highlight w:val="none"/>
          <w:lang w:val="en-US"/>
        </w:rPr>
        <w:t>8</w:t>
      </w:r>
      <w:r>
        <w:rPr>
          <w:rFonts w:hint="eastAsia" w:ascii="宋体" w:hAnsi="宋体" w:cs="宋体"/>
          <w:sz w:val="24"/>
          <w:highlight w:val="none"/>
        </w:rPr>
        <w:t>）承诺书</w:t>
      </w:r>
      <w:r>
        <w:rPr>
          <w:rFonts w:hint="eastAsia" w:ascii="宋体" w:hAnsi="宋体" w:cs="宋体"/>
          <w:b/>
          <w:sz w:val="24"/>
          <w:highlight w:val="none"/>
        </w:rPr>
        <w:t>（格式见附件）</w:t>
      </w:r>
      <w:r>
        <w:rPr>
          <w:rFonts w:hint="eastAsia" w:ascii="宋体" w:hAnsi="宋体" w:cs="宋体"/>
          <w:sz w:val="24"/>
          <w:highlight w:val="none"/>
        </w:rPr>
        <w:t>。</w:t>
      </w:r>
    </w:p>
    <w:p>
      <w:pPr>
        <w:spacing w:line="440" w:lineRule="exact"/>
        <w:ind w:firstLine="480" w:firstLineChars="200"/>
        <w:rPr>
          <w:rFonts w:hint="eastAsia"/>
          <w:b/>
          <w:color w:val="000000"/>
          <w:sz w:val="24"/>
          <w:highlight w:val="none"/>
        </w:rPr>
      </w:pPr>
      <w:r>
        <w:rPr>
          <w:rFonts w:hint="eastAsia" w:ascii="宋体" w:hAnsi="宋体" w:cs="宋体"/>
          <w:sz w:val="24"/>
          <w:highlight w:val="none"/>
        </w:rPr>
        <w:t>注：</w:t>
      </w:r>
      <w:r>
        <w:rPr>
          <w:rFonts w:hint="eastAsia"/>
          <w:b/>
          <w:color w:val="000000"/>
          <w:sz w:val="24"/>
          <w:highlight w:val="none"/>
        </w:rPr>
        <w:t>上述资格、资信证明文件报价供应商必须按要求全部提供，</w:t>
      </w:r>
      <w:r>
        <w:rPr>
          <w:rFonts w:ascii="宋体" w:hAnsi="宋体"/>
          <w:b/>
          <w:color w:val="000000"/>
          <w:sz w:val="24"/>
          <w:highlight w:val="none"/>
        </w:rPr>
        <w:t>其中要求提交的原件或公证件必须与响应文件同时提交，如果原件正在年检（或换证），则必须提供法定年检（或换证）单位出具的有效证明原件</w:t>
      </w:r>
      <w:r>
        <w:rPr>
          <w:rFonts w:hint="eastAsia" w:ascii="宋体" w:hAnsi="宋体"/>
          <w:b/>
          <w:color w:val="000000"/>
          <w:sz w:val="24"/>
          <w:highlight w:val="none"/>
        </w:rPr>
        <w:t>，</w:t>
      </w:r>
      <w:r>
        <w:rPr>
          <w:rFonts w:hint="eastAsia"/>
          <w:b/>
          <w:color w:val="000000"/>
          <w:sz w:val="24"/>
          <w:highlight w:val="none"/>
        </w:rPr>
        <w:t>否则响应文件无效。如上述资格、资信证明文件遇有国家相关政策规定可不具备的，必须提供相关政策规定或相关单位出具的有效证明复印件。报价供应商法定代表人或法定代表人授权代表为外籍、港、澳、台地区人士的，其身份证明须提供有效的护照或港澳同胞来往内地通行证、台湾同胞来往大陆通行证，或其它可在中国大陆有效居留的许可证明。</w:t>
      </w:r>
    </w:p>
    <w:bookmarkEnd w:id="2"/>
    <w:p>
      <w:pPr>
        <w:widowControl/>
        <w:tabs>
          <w:tab w:val="left" w:pos="0"/>
        </w:tabs>
        <w:adjustRightInd w:val="0"/>
        <w:snapToGrid w:val="0"/>
        <w:spacing w:line="348"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lang w:val="en-US" w:eastAsia="zh-CN"/>
        </w:rPr>
        <w:t>3.</w:t>
      </w:r>
      <w:r>
        <w:rPr>
          <w:rFonts w:hint="eastAsia" w:ascii="宋体" w:hAnsi="宋体" w:cs="宋体"/>
          <w:kern w:val="0"/>
          <w:sz w:val="24"/>
          <w:highlight w:val="none"/>
        </w:rPr>
        <w:t>补充证明文件：</w:t>
      </w:r>
    </w:p>
    <w:p>
      <w:pPr>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（1）中小企业声明函（格式见附件）；</w:t>
      </w:r>
    </w:p>
    <w:p>
      <w:pPr>
        <w:adjustRightInd w:val="0"/>
        <w:snapToGrid w:val="0"/>
        <w:spacing w:line="348" w:lineRule="auto"/>
        <w:ind w:firstLine="480" w:firstLineChars="200"/>
        <w:rPr>
          <w:rFonts w:ascii="宋体" w:hAnsi="宋体" w:cs="宋体"/>
          <w:sz w:val="24"/>
          <w:highlight w:val="none"/>
        </w:rPr>
      </w:pPr>
      <w:r>
        <w:rPr>
          <w:rFonts w:hint="eastAsia" w:ascii="宋体" w:hAnsi="宋体" w:cs="宋体"/>
          <w:sz w:val="24"/>
          <w:highlight w:val="none"/>
        </w:rPr>
        <w:t>（2）投标供应商基本情况声明（格式见附件）；</w:t>
      </w:r>
    </w:p>
    <w:p>
      <w:pPr>
        <w:snapToGrid w:val="0"/>
        <w:spacing w:line="348"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开标一览表；</w:t>
      </w:r>
    </w:p>
    <w:p>
      <w:pPr>
        <w:snapToGrid w:val="0"/>
        <w:spacing w:line="348"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明细报价表。</w:t>
      </w:r>
    </w:p>
    <w:p>
      <w:pPr>
        <w:snapToGrid w:val="0"/>
        <w:spacing w:line="348" w:lineRule="auto"/>
        <w:ind w:firstLine="480" w:firstLineChars="200"/>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投标偏离表</w:t>
      </w:r>
    </w:p>
    <w:p>
      <w:pPr>
        <w:snapToGrid w:val="0"/>
        <w:spacing w:line="348"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7</w:t>
      </w:r>
      <w:r>
        <w:rPr>
          <w:rFonts w:hint="eastAsia" w:ascii="宋体" w:hAnsi="宋体" w:eastAsia="宋体" w:cs="Times New Roman"/>
          <w:sz w:val="24"/>
          <w:highlight w:val="none"/>
        </w:rPr>
        <w:t>.评分标准中对应的其它所需证明材料（如有自行添加）</w:t>
      </w:r>
    </w:p>
    <w:p>
      <w:pPr>
        <w:snapToGrid w:val="0"/>
        <w:spacing w:line="348"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8</w:t>
      </w:r>
      <w:r>
        <w:rPr>
          <w:rFonts w:hint="eastAsia" w:ascii="宋体" w:hAnsi="宋体" w:eastAsia="宋体" w:cs="Times New Roman"/>
          <w:sz w:val="24"/>
          <w:highlight w:val="none"/>
        </w:rPr>
        <w:t>.其它（报价供应商认为有必要提供的声明和文件，如有自拟并自行添加）</w:t>
      </w:r>
    </w:p>
    <w:p>
      <w:pPr>
        <w:spacing w:line="360" w:lineRule="auto"/>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第二部分 技术部分</w:t>
      </w:r>
    </w:p>
    <w:p>
      <w:pPr>
        <w:snapToGrid w:val="0"/>
        <w:spacing w:line="348"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1.访客系统部署方案；</w:t>
      </w:r>
    </w:p>
    <w:p>
      <w:pPr>
        <w:snapToGrid w:val="0"/>
        <w:spacing w:line="348" w:lineRule="auto"/>
        <w:ind w:firstLine="480" w:firstLineChars="200"/>
        <w:rPr>
          <w:rFonts w:hint="eastAsia"/>
          <w:highlight w:val="none"/>
          <w:lang w:val="en-US" w:eastAsia="zh-CN"/>
        </w:rPr>
      </w:pPr>
      <w:r>
        <w:rPr>
          <w:rFonts w:hint="eastAsia" w:ascii="宋体" w:hAnsi="宋体" w:eastAsia="宋体" w:cs="Times New Roman"/>
          <w:sz w:val="24"/>
          <w:highlight w:val="none"/>
          <w:lang w:val="en-US" w:eastAsia="zh-CN"/>
        </w:rPr>
        <w:t>2.</w:t>
      </w:r>
      <w:r>
        <w:rPr>
          <w:rFonts w:hint="eastAsia" w:ascii="Times New Roman" w:hAnsi="Times New Roman" w:eastAsia="宋体" w:cs="Times New Roman"/>
          <w:b w:val="0"/>
          <w:bCs/>
          <w:kern w:val="2"/>
          <w:sz w:val="24"/>
          <w:highlight w:val="none"/>
          <w:lang w:val="en-US" w:eastAsia="zh-CN"/>
        </w:rPr>
        <w:t>人脸识别设备接入方案；</w:t>
      </w:r>
    </w:p>
    <w:p>
      <w:pPr>
        <w:pStyle w:val="5"/>
        <w:rPr>
          <w:rFonts w:hint="default" w:ascii="Times New Roman" w:hAnsi="Times New Roman" w:cs="Times New Roman"/>
          <w:highlight w:val="none"/>
        </w:rPr>
      </w:pPr>
      <w:r>
        <w:rPr>
          <w:rFonts w:hint="default" w:ascii="Times New Roman" w:hAnsi="Times New Roman" w:cs="Times New Roman"/>
          <w:highlight w:val="none"/>
        </w:rPr>
        <w:t>（六） 投标文件的要求</w:t>
      </w:r>
    </w:p>
    <w:p>
      <w:pPr>
        <w:numPr>
          <w:ilvl w:val="1"/>
          <w:numId w:val="13"/>
        </w:numPr>
        <w:tabs>
          <w:tab w:val="left" w:pos="0"/>
        </w:tabs>
        <w:snapToGrid w:val="0"/>
        <w:spacing w:line="360" w:lineRule="auto"/>
        <w:ind w:left="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所有文件、往来函件均应使用简体中文（规格、型号辅助符号除外）。</w:t>
      </w:r>
    </w:p>
    <w:p>
      <w:pPr>
        <w:numPr>
          <w:ilvl w:val="1"/>
          <w:numId w:val="13"/>
        </w:numPr>
        <w:tabs>
          <w:tab w:val="left" w:pos="0"/>
        </w:tabs>
        <w:snapToGrid w:val="0"/>
        <w:spacing w:line="360" w:lineRule="auto"/>
        <w:ind w:left="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投标文件由投标供应商按给定格式如实填写（编写），须有法人（盖章）、法定代表人或法定代表人授权代表签字或盖章，方为有效，未尽事宜可自行补充。</w:t>
      </w:r>
    </w:p>
    <w:p>
      <w:pPr>
        <w:numPr>
          <w:ilvl w:val="1"/>
          <w:numId w:val="13"/>
        </w:numPr>
        <w:tabs>
          <w:tab w:val="left" w:pos="0"/>
        </w:tabs>
        <w:snapToGrid w:val="0"/>
        <w:spacing w:line="360" w:lineRule="auto"/>
        <w:ind w:left="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投标供应商报价一律以人民币为报价结算货币，结算单位为“元”。</w:t>
      </w:r>
    </w:p>
    <w:p>
      <w:pPr>
        <w:numPr>
          <w:ilvl w:val="1"/>
          <w:numId w:val="13"/>
        </w:numPr>
        <w:tabs>
          <w:tab w:val="left" w:pos="0"/>
        </w:tabs>
        <w:snapToGrid w:val="0"/>
        <w:spacing w:line="360" w:lineRule="auto"/>
        <w:ind w:left="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投标文件格式部分，应由投标供应商按给定格式提供，不得更改。</w:t>
      </w:r>
    </w:p>
    <w:p>
      <w:pPr>
        <w:numPr>
          <w:ilvl w:val="1"/>
          <w:numId w:val="13"/>
        </w:numPr>
        <w:tabs>
          <w:tab w:val="left" w:pos="0"/>
        </w:tabs>
        <w:snapToGrid w:val="0"/>
        <w:spacing w:line="360" w:lineRule="auto"/>
        <w:ind w:left="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投标文件应用不褪色的黑色墨水书写或打印。</w:t>
      </w:r>
    </w:p>
    <w:p>
      <w:pPr>
        <w:numPr>
          <w:ilvl w:val="1"/>
          <w:numId w:val="13"/>
        </w:numPr>
        <w:tabs>
          <w:tab w:val="left" w:pos="0"/>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szCs w:val="24"/>
          <w:highlight w:val="none"/>
        </w:rPr>
        <w:t>投标文件统一用A4纸，按照投标函格式中的顺序制作，并请编制目录</w:t>
      </w:r>
      <w:r>
        <w:rPr>
          <w:rFonts w:hint="default" w:ascii="Times New Roman" w:hAnsi="Times New Roman" w:cs="Times New Roman"/>
          <w:bCs/>
          <w:sz w:val="24"/>
          <w:highlight w:val="none"/>
        </w:rPr>
        <w:t>。</w:t>
      </w:r>
    </w:p>
    <w:p>
      <w:pPr>
        <w:numPr>
          <w:ilvl w:val="1"/>
          <w:numId w:val="13"/>
        </w:numPr>
        <w:tabs>
          <w:tab w:val="left" w:pos="0"/>
        </w:tabs>
        <w:snapToGrid w:val="0"/>
        <w:spacing w:line="360" w:lineRule="auto"/>
        <w:ind w:left="0" w:firstLine="480" w:firstLineChars="200"/>
        <w:rPr>
          <w:rFonts w:hint="eastAsia"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投标文件份数：</w:t>
      </w:r>
      <w:r>
        <w:rPr>
          <w:rFonts w:hint="eastAsia" w:ascii="Times New Roman" w:hAnsi="Times New Roman" w:eastAsia="宋体" w:cs="Times New Roman"/>
          <w:bCs/>
          <w:sz w:val="24"/>
          <w:szCs w:val="24"/>
          <w:highlight w:val="none"/>
        </w:rPr>
        <w:t>一正</w:t>
      </w:r>
      <w:r>
        <w:rPr>
          <w:rFonts w:hint="eastAsia" w:ascii="Times New Roman" w:cs="Times New Roman"/>
          <w:bCs/>
          <w:sz w:val="24"/>
          <w:szCs w:val="24"/>
          <w:highlight w:val="none"/>
          <w:lang w:val="en-US" w:eastAsia="zh-CN"/>
        </w:rPr>
        <w:t>四</w:t>
      </w:r>
      <w:r>
        <w:rPr>
          <w:rFonts w:hint="eastAsia" w:ascii="Times New Roman" w:hAnsi="Times New Roman" w:eastAsia="宋体" w:cs="Times New Roman"/>
          <w:bCs/>
          <w:sz w:val="24"/>
          <w:szCs w:val="24"/>
          <w:highlight w:val="none"/>
        </w:rPr>
        <w:t>副，供应商应将正本及电子光盘密封在一个封袋中并在封袋上清楚地表明“正本”、将所有副本密封在另一个封袋中并在密封袋上清楚地标明</w:t>
      </w:r>
      <w:r>
        <w:rPr>
          <w:rFonts w:hint="default"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highlight w:val="none"/>
        </w:rPr>
        <w:t>副本</w:t>
      </w:r>
      <w:r>
        <w:rPr>
          <w:rFonts w:hint="default" w:ascii="Times New Roman" w:hAnsi="Times New Roman" w:eastAsia="宋体" w:cs="Times New Roman"/>
          <w:bCs/>
          <w:sz w:val="24"/>
          <w:szCs w:val="24"/>
          <w:highlight w:val="none"/>
        </w:rPr>
        <w:t>”</w:t>
      </w:r>
      <w:r>
        <w:rPr>
          <w:rFonts w:hint="eastAsia" w:ascii="Times New Roman" w:hAnsi="Times New Roman" w:eastAsia="宋体" w:cs="Times New Roman"/>
          <w:bCs/>
          <w:sz w:val="24"/>
          <w:szCs w:val="24"/>
          <w:highlight w:val="none"/>
        </w:rPr>
        <w:t>。</w:t>
      </w:r>
      <w:r>
        <w:rPr>
          <w:rFonts w:hint="eastAsia" w:ascii="Times New Roman" w:hAnsi="Times New Roman" w:eastAsia="宋体" w:cs="Times New Roman"/>
          <w:bCs/>
          <w:sz w:val="24"/>
          <w:szCs w:val="24"/>
          <w:highlight w:val="none"/>
          <w:lang w:val="en-US" w:eastAsia="zh-CN"/>
        </w:rPr>
        <w:t>投标</w:t>
      </w:r>
      <w:r>
        <w:rPr>
          <w:rFonts w:hint="eastAsia" w:ascii="Times New Roman" w:hAnsi="Times New Roman" w:eastAsia="宋体" w:cs="Times New Roman"/>
          <w:bCs/>
          <w:sz w:val="24"/>
          <w:szCs w:val="24"/>
          <w:highlight w:val="none"/>
        </w:rPr>
        <w:t>文件中资格证明文件部分及评标办法中所需提供的原件资料需单独密封在一个封袋中（身份证、授权委托书随身携带），并在密封袋上清楚地表明“原件资料”；所有</w:t>
      </w:r>
      <w:r>
        <w:rPr>
          <w:rFonts w:hint="eastAsia" w:ascii="Times New Roman" w:hAnsi="Times New Roman" w:eastAsia="宋体" w:cs="Times New Roman"/>
          <w:bCs/>
          <w:sz w:val="24"/>
          <w:szCs w:val="24"/>
          <w:highlight w:val="none"/>
          <w:lang w:val="en-US" w:eastAsia="zh-CN"/>
        </w:rPr>
        <w:t>投标</w:t>
      </w:r>
      <w:r>
        <w:rPr>
          <w:rFonts w:hint="eastAsia" w:ascii="Times New Roman" w:hAnsi="Times New Roman" w:eastAsia="宋体" w:cs="Times New Roman"/>
          <w:bCs/>
          <w:sz w:val="24"/>
          <w:szCs w:val="24"/>
          <w:highlight w:val="none"/>
        </w:rPr>
        <w:t>文件封袋的封口处应加盖供应商印章。密封袋上还均应注明采购编号、项目名称、供应商名称。</w:t>
      </w:r>
    </w:p>
    <w:p>
      <w:pPr>
        <w:numPr>
          <w:ilvl w:val="1"/>
          <w:numId w:val="13"/>
        </w:numPr>
        <w:tabs>
          <w:tab w:val="left" w:pos="0"/>
        </w:tabs>
        <w:snapToGrid w:val="0"/>
        <w:spacing w:line="360" w:lineRule="auto"/>
        <w:ind w:left="0" w:firstLine="480" w:firstLineChars="200"/>
        <w:rPr>
          <w:rFonts w:hint="default" w:ascii="Times New Roman" w:hAnsi="Times New Roman" w:cs="Times New Roman"/>
          <w:sz w:val="24"/>
          <w:highlight w:val="none"/>
        </w:rPr>
      </w:pPr>
      <w:r>
        <w:rPr>
          <w:rFonts w:hint="default" w:ascii="Times New Roman" w:hAnsi="Times New Roman" w:cs="Times New Roman"/>
          <w:bCs/>
          <w:sz w:val="24"/>
          <w:szCs w:val="24"/>
          <w:highlight w:val="none"/>
        </w:rPr>
        <w:t>投标文件不应有涂改、增删和潦草之处，如有必须修改时，修改处必须有法人、法定代表人或法定代表人授权代表的签章</w:t>
      </w:r>
      <w:r>
        <w:rPr>
          <w:rFonts w:hint="default" w:ascii="Times New Roman" w:hAnsi="Times New Roman" w:cs="Times New Roman"/>
          <w:sz w:val="24"/>
          <w:highlight w:val="none"/>
        </w:rPr>
        <w:t>。</w:t>
      </w:r>
    </w:p>
    <w:p>
      <w:pPr>
        <w:numPr>
          <w:ilvl w:val="1"/>
          <w:numId w:val="13"/>
        </w:numPr>
        <w:tabs>
          <w:tab w:val="left" w:pos="0"/>
        </w:tabs>
        <w:snapToGrid w:val="0"/>
        <w:spacing w:line="360" w:lineRule="auto"/>
        <w:ind w:left="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投标费用自理。</w:t>
      </w:r>
    </w:p>
    <w:p>
      <w:pPr>
        <w:pStyle w:val="5"/>
        <w:rPr>
          <w:rFonts w:hint="default" w:ascii="Times New Roman" w:hAnsi="Times New Roman" w:cs="Times New Roman"/>
          <w:highlight w:val="none"/>
        </w:rPr>
      </w:pPr>
      <w:r>
        <w:rPr>
          <w:rFonts w:hint="default" w:ascii="Times New Roman" w:hAnsi="Times New Roman" w:cs="Times New Roman"/>
          <w:highlight w:val="none"/>
        </w:rPr>
        <w:t>（七） 无效投标文件的确认</w:t>
      </w:r>
    </w:p>
    <w:p>
      <w:pPr>
        <w:snapToGrid w:val="0"/>
        <w:spacing w:line="360" w:lineRule="auto"/>
        <w:ind w:firstLine="480" w:firstLineChars="200"/>
        <w:rPr>
          <w:rFonts w:hint="default" w:ascii="Times New Roman" w:hAnsi="Times New Roman" w:eastAsia="黑体" w:cs="Times New Roman"/>
          <w:bCs/>
          <w:sz w:val="24"/>
          <w:szCs w:val="24"/>
          <w:highlight w:val="none"/>
        </w:rPr>
      </w:pPr>
      <w:r>
        <w:rPr>
          <w:rFonts w:hint="default" w:ascii="Times New Roman" w:hAnsi="Times New Roman" w:cs="Times New Roman"/>
          <w:bCs/>
          <w:sz w:val="24"/>
          <w:szCs w:val="24"/>
          <w:highlight w:val="none"/>
        </w:rPr>
        <w:t>投标人有下列情况之一者，投标文件无效：</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投标文件未按规定的期限、地点送达的；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投标文件未按招标文件要求密封、签署、盖章的；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投标供应商的法定代表人或法定代表人授权代表，未准时参加投标会议的；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投标供应商的法定代表人授权代表无法定代表人授权委托书的；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不具备招标文件中规定的资格要求的；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报价超过招标文件中规定的预算金额或者最高限价的；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投标文件含有采购人不能接受的附加条件的；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投标文件未按招标文件规定的格式、内容和要求填写的；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投标文件书写潦草、字迹模糊不清、无法辨认的；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投标文件中有招标文件未允许提供的选择性内容的；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恶意串通其他投标供应商，故意哄抬价格或压价的；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提供虚假材料的（包括工商营业执照、财务报表、资格证明文件等）；</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投标文件未加盖投标供应商公章及法定代表人或授权代表签字或盖章的；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不同投标人的投标文件相互混装的；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不同投标人的投标文件载明的项目管理成员或者联系人员为同一人的；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不同投标供应商聘请同一人为其投标提供技术或经济咨询服务的；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不同投标人的单位负责人为同一人或者存在直接控股、管理关系的；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投标人为本项目提供整体设计、规范编制或者项目管理、咨询等服务的；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不同投标供应商的投标文件异常一致或者投标报价呈规律性差异的；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不同投标人委托同一单位或者个人办理投标事宜的；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未通过初步资格性审查、投标文件资格性检查、 投标文件符合性检查的；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投标人的投标报价畸高或畸低，但投标总报价与各分项报价不能相互对应，在询标时没有合理的解释或者不能提供计算依据和报价依据的；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不同投标人的投标文件由同一单位或者个人编制的；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不同投标人投标文件内容存在非正常一致、项目组成员出现同一人、投标文件中错误（或异常）一致或雷同、电子文档信息一致或雷同的；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不同投标人的委托代理人、项目负责人以及其他相关人员有在同一个单位缴纳社会保险的；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bookmarkStart w:id="4" w:name="_Hlk73542923"/>
      <w:r>
        <w:rPr>
          <w:rFonts w:hint="default" w:ascii="Times New Roman" w:hAnsi="Times New Roman" w:cs="Times New Roman"/>
          <w:sz w:val="24"/>
          <w:highlight w:val="none"/>
        </w:rPr>
        <w:t>投标文件商务标中同一方案有选择性报价且未声明以哪一个为准的；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商务标和技术标被本项目评委确认为无效投标文件的；</w:t>
      </w:r>
    </w:p>
    <w:bookmarkEnd w:id="4"/>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同一投标文件中单位名称落款与公章不是同一单位的；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评标委员会认为投标人的报价明显低于其他通过符合性审查投标人的报价，有可能影响产品质量或者不能诚信履约的，评标委员会要求其提供相关证明材料或书面说明，但投标人提供不了的；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投标文件内容不全或不符合法律法规和招标文件中规定的其他实质性要求的；</w:t>
      </w:r>
    </w:p>
    <w:p>
      <w:pPr>
        <w:numPr>
          <w:ilvl w:val="0"/>
          <w:numId w:val="14"/>
        </w:numPr>
        <w:tabs>
          <w:tab w:val="left" w:pos="900"/>
        </w:tabs>
        <w:snapToGrid w:val="0"/>
        <w:spacing w:line="360" w:lineRule="auto"/>
        <w:ind w:left="211" w:leftChars="6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与招标文件中标注“</w:t>
      </w:r>
      <w:r>
        <w:rPr>
          <w:rFonts w:hint="default" w:ascii="Times New Roman" w:hAnsi="Times New Roman" w:cs="Times New Roman"/>
          <w:sz w:val="24"/>
          <w:szCs w:val="24"/>
          <w:highlight w:val="none"/>
          <w:lang w:val="zh-CN"/>
        </w:rPr>
        <w:t>★</w:t>
      </w:r>
      <w:r>
        <w:rPr>
          <w:rFonts w:hint="default" w:ascii="Times New Roman" w:hAnsi="Times New Roman" w:cs="Times New Roman"/>
          <w:sz w:val="24"/>
          <w:highlight w:val="none"/>
        </w:rPr>
        <w:t>”的具体性能指标有负偏离的。</w:t>
      </w:r>
    </w:p>
    <w:p>
      <w:pPr>
        <w:pStyle w:val="5"/>
        <w:rPr>
          <w:rFonts w:hint="default" w:ascii="Times New Roman" w:hAnsi="Times New Roman" w:cs="Times New Roman"/>
          <w:highlight w:val="none"/>
        </w:rPr>
      </w:pPr>
      <w:r>
        <w:rPr>
          <w:rFonts w:hint="default" w:ascii="Times New Roman" w:hAnsi="Times New Roman" w:cs="Times New Roman"/>
          <w:highlight w:val="none"/>
        </w:rPr>
        <w:t>（八） 开标、评标</w:t>
      </w:r>
    </w:p>
    <w:p>
      <w:pPr>
        <w:tabs>
          <w:tab w:val="left" w:pos="840"/>
          <w:tab w:val="left" w:pos="1050"/>
        </w:tabs>
        <w:snapToGrid w:val="0"/>
        <w:spacing w:line="360" w:lineRule="auto"/>
        <w:ind w:firstLine="480" w:firstLineChars="200"/>
        <w:rPr>
          <w:rFonts w:hint="default" w:ascii="Times New Roman" w:hAnsi="Times New Roman" w:eastAsia="黑体" w:cs="Times New Roman"/>
          <w:bCs/>
          <w:sz w:val="24"/>
          <w:szCs w:val="24"/>
          <w:highlight w:val="none"/>
        </w:rPr>
      </w:pPr>
      <w:r>
        <w:rPr>
          <w:rFonts w:hint="default" w:ascii="Times New Roman" w:hAnsi="Times New Roman" w:cs="Times New Roman"/>
          <w:bCs/>
          <w:sz w:val="24"/>
          <w:szCs w:val="24"/>
          <w:highlight w:val="none"/>
        </w:rPr>
        <w:t>1.开标时由江苏信中天工程咨询有限公司邀请公证机构或投标人代表查验投标文件的密封情况。</w:t>
      </w:r>
    </w:p>
    <w:p>
      <w:pPr>
        <w:tabs>
          <w:tab w:val="left" w:pos="840"/>
          <w:tab w:val="left" w:pos="105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bCs/>
          <w:sz w:val="24"/>
          <w:szCs w:val="24"/>
          <w:highlight w:val="none"/>
        </w:rPr>
        <w:t>2</w:t>
      </w:r>
      <w:r>
        <w:rPr>
          <w:rFonts w:hint="default" w:ascii="Times New Roman" w:hAnsi="Times New Roman" w:cs="Times New Roman"/>
          <w:sz w:val="24"/>
          <w:highlight w:val="none"/>
        </w:rPr>
        <w:t>、初步资格性审查：</w:t>
      </w:r>
    </w:p>
    <w:p>
      <w:pPr>
        <w:tabs>
          <w:tab w:val="left" w:pos="840"/>
          <w:tab w:val="left" w:pos="105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由工作人员在公证或监督下，按照投标供应商签到时间顺序进行。审查内容有：</w:t>
      </w:r>
    </w:p>
    <w:p>
      <w:pPr>
        <w:tabs>
          <w:tab w:val="left" w:pos="840"/>
          <w:tab w:val="left" w:pos="105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 投标供应商的投标文件是否在规定的期限、地点送达；</w:t>
      </w:r>
    </w:p>
    <w:p>
      <w:pPr>
        <w:tabs>
          <w:tab w:val="left" w:pos="840"/>
          <w:tab w:val="left" w:pos="105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2.2投标供应商的法定代表人或负责人或授权代表是否准时参加开标会议；</w:t>
      </w:r>
    </w:p>
    <w:p>
      <w:pPr>
        <w:tabs>
          <w:tab w:val="left" w:pos="840"/>
          <w:tab w:val="left" w:pos="105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 投标供应商的法定代表人授权代表是否提供有效的身份证明和法定代表人授权委托书。</w:t>
      </w:r>
    </w:p>
    <w:p>
      <w:pPr>
        <w:tabs>
          <w:tab w:val="left" w:pos="525"/>
          <w:tab w:val="left" w:pos="945"/>
        </w:tabs>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3.</w:t>
      </w:r>
      <w:r>
        <w:rPr>
          <w:rFonts w:hint="default" w:ascii="Times New Roman" w:hAnsi="Times New Roman" w:cs="Times New Roman"/>
          <w:sz w:val="24"/>
          <w:highlight w:val="none"/>
        </w:rPr>
        <w:t xml:space="preserve"> 经初步资格性审查确认无误后的投标文件，由工作人员在公证员公证或监督下，按照投标供应商签到时间顺序，交唱标人唱标</w:t>
      </w:r>
      <w:r>
        <w:rPr>
          <w:rFonts w:hint="default" w:ascii="Times New Roman" w:hAnsi="Times New Roman" w:cs="Times New Roman"/>
          <w:bCs/>
          <w:sz w:val="24"/>
          <w:szCs w:val="24"/>
          <w:highlight w:val="none"/>
        </w:rPr>
        <w:t>，工作人员记录各投标人《开标一览表》。</w:t>
      </w:r>
    </w:p>
    <w:p>
      <w:pPr>
        <w:tabs>
          <w:tab w:val="left" w:pos="525"/>
          <w:tab w:val="left" w:pos="945"/>
        </w:tabs>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3.1.开标时，投标文件中开标一览表（报价表）内容与投标文件中内容不一致的，以开标一览表（报价表）为准。</w:t>
      </w:r>
    </w:p>
    <w:p>
      <w:pPr>
        <w:tabs>
          <w:tab w:val="left" w:pos="840"/>
          <w:tab w:val="left" w:pos="1050"/>
          <w:tab w:val="left" w:pos="1146"/>
          <w:tab w:val="left" w:pos="177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bCs/>
          <w:sz w:val="24"/>
          <w:szCs w:val="24"/>
          <w:highlight w:val="none"/>
        </w:rPr>
        <w:t>3.2正本与副本不符，以正本为准。</w:t>
      </w:r>
    </w:p>
    <w:p>
      <w:pPr>
        <w:tabs>
          <w:tab w:val="left" w:pos="840"/>
          <w:tab w:val="left" w:pos="1050"/>
          <w:tab w:val="left" w:pos="1146"/>
          <w:tab w:val="left" w:pos="177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4.信用信息查询</w:t>
      </w:r>
    </w:p>
    <w:p>
      <w:pPr>
        <w:tabs>
          <w:tab w:val="left" w:pos="840"/>
          <w:tab w:val="left" w:pos="1050"/>
          <w:tab w:val="left" w:pos="1146"/>
          <w:tab w:val="left" w:pos="177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4.1采购人或采购代理机构在投标截止时间前通过“信用中国”网站（</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"http://www.creditchina.gov.cn" </w:instrText>
      </w:r>
      <w:r>
        <w:rPr>
          <w:rFonts w:hint="default" w:ascii="Times New Roman" w:hAnsi="Times New Roman" w:cs="Times New Roman"/>
          <w:highlight w:val="none"/>
        </w:rPr>
        <w:fldChar w:fldCharType="separate"/>
      </w:r>
      <w:r>
        <w:rPr>
          <w:rStyle w:val="64"/>
          <w:rFonts w:hint="default" w:ascii="Times New Roman" w:hAnsi="Times New Roman" w:cs="Times New Roman"/>
          <w:color w:val="auto"/>
          <w:highlight w:val="none"/>
        </w:rPr>
        <w:t>www.creditchina.gov.cn</w:t>
      </w:r>
      <w:r>
        <w:rPr>
          <w:rStyle w:val="64"/>
          <w:rFonts w:hint="default" w:ascii="Times New Roman" w:hAnsi="Times New Roman" w:cs="Times New Roman"/>
          <w:color w:val="auto"/>
          <w:highlight w:val="none"/>
        </w:rPr>
        <w:fldChar w:fldCharType="end"/>
      </w:r>
      <w:r>
        <w:rPr>
          <w:rFonts w:hint="default" w:ascii="Times New Roman" w:hAnsi="Times New Roman" w:cs="Times New Roman"/>
          <w:sz w:val="24"/>
          <w:highlight w:val="none"/>
        </w:rPr>
        <w:t>）、中国政府采购网（www.ccgp.gov.cn）等渠道查询投标供应商主体信用记录，被列入失信执行人、重大税收违法案件当事人名单、政府采购严重违法失信行为记录名单及其他不符合《中华人名共和国政府采购法》第二十二条规定条件的供应商。</w:t>
      </w:r>
    </w:p>
    <w:p>
      <w:pPr>
        <w:tabs>
          <w:tab w:val="left" w:pos="840"/>
          <w:tab w:val="left" w:pos="1050"/>
          <w:tab w:val="left" w:pos="1146"/>
          <w:tab w:val="left" w:pos="177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4.2采购人或采购代理机构通过规定渠道查询的投标供应商主体信用记录，将与项目其他采购资料一并档存。</w:t>
      </w:r>
    </w:p>
    <w:p>
      <w:pPr>
        <w:tabs>
          <w:tab w:val="left" w:pos="840"/>
          <w:tab w:val="left" w:pos="1050"/>
          <w:tab w:val="left" w:pos="1146"/>
          <w:tab w:val="left" w:pos="177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5、资格性审查：</w:t>
      </w:r>
    </w:p>
    <w:p>
      <w:pPr>
        <w:tabs>
          <w:tab w:val="left" w:pos="840"/>
          <w:tab w:val="left" w:pos="1050"/>
          <w:tab w:val="left" w:pos="1146"/>
          <w:tab w:val="left" w:pos="177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bCs/>
          <w:sz w:val="24"/>
          <w:highlight w:val="none"/>
        </w:rPr>
        <w:t>开标结束后，采购代理机构依据法律法规和招标文件的规定，对投标文件中的资格、资信证明文件进行审查，以确定投标供应商是否具备投标资格。</w:t>
      </w:r>
    </w:p>
    <w:p>
      <w:pPr>
        <w:tabs>
          <w:tab w:val="left" w:pos="840"/>
          <w:tab w:val="left" w:pos="105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6.评标工作程序</w:t>
      </w:r>
    </w:p>
    <w:p>
      <w:pPr>
        <w:tabs>
          <w:tab w:val="left" w:pos="945"/>
        </w:tabs>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评标工作由江苏信中天工程咨询有限公司负责组织，具体评标事务由依法组建的评标委员会负责。</w:t>
      </w:r>
    </w:p>
    <w:p>
      <w:pPr>
        <w:numPr>
          <w:ilvl w:val="0"/>
          <w:numId w:val="15"/>
        </w:numPr>
        <w:tabs>
          <w:tab w:val="left" w:pos="630"/>
          <w:tab w:val="left" w:pos="945"/>
          <w:tab w:val="left" w:pos="1155"/>
          <w:tab w:val="clear" w:pos="1122"/>
        </w:tabs>
        <w:snapToGrid w:val="0"/>
        <w:spacing w:line="360" w:lineRule="auto"/>
        <w:ind w:left="0"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highlight w:val="none"/>
        </w:rPr>
        <w:t>投标文件符合性检查。</w:t>
      </w:r>
    </w:p>
    <w:p>
      <w:pPr>
        <w:tabs>
          <w:tab w:val="left" w:pos="525"/>
          <w:tab w:val="left" w:pos="630"/>
          <w:tab w:val="left" w:pos="945"/>
          <w:tab w:val="left" w:pos="1365"/>
        </w:tabs>
        <w:snapToGrid w:val="0"/>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评标委员会对符合资格的投标人的投标文件进行符合性审查，以确定其是否满足招标文件的实质性要求。</w:t>
      </w:r>
    </w:p>
    <w:p>
      <w:pPr>
        <w:numPr>
          <w:ilvl w:val="0"/>
          <w:numId w:val="15"/>
        </w:numPr>
        <w:tabs>
          <w:tab w:val="left" w:pos="525"/>
          <w:tab w:val="left" w:pos="630"/>
          <w:tab w:val="left" w:pos="945"/>
          <w:tab w:val="left" w:pos="1104"/>
          <w:tab w:val="left" w:pos="1365"/>
          <w:tab w:val="clear" w:pos="1122"/>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投标文件报价出现前后不一致的，按以下规定修正：</w:t>
      </w:r>
    </w:p>
    <w:p>
      <w:pPr>
        <w:tabs>
          <w:tab w:val="left" w:pos="525"/>
          <w:tab w:val="left" w:pos="630"/>
          <w:tab w:val="left" w:pos="945"/>
          <w:tab w:val="left" w:pos="1365"/>
        </w:tabs>
        <w:snapToGrid w:val="0"/>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szCs w:val="24"/>
          <w:highlight w:val="none"/>
        </w:rPr>
        <w:t>a、投标文件中开标一览表（报价表）内容与投标文件中内容不一致的，以开标一览表（报价表）为准；</w:t>
      </w:r>
    </w:p>
    <w:p>
      <w:pPr>
        <w:tabs>
          <w:tab w:val="left" w:pos="945"/>
        </w:tabs>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b、投标文件的大写金额和小写金额不一致的，以大写金额为准；</w:t>
      </w:r>
    </w:p>
    <w:p>
      <w:pPr>
        <w:tabs>
          <w:tab w:val="left" w:pos="945"/>
        </w:tabs>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c、单价金额小数点或者百分比有明显错位的，应以开标一览表的总价为准，并修改单价；</w:t>
      </w:r>
    </w:p>
    <w:p>
      <w:pPr>
        <w:tabs>
          <w:tab w:val="left" w:pos="525"/>
          <w:tab w:val="left" w:pos="630"/>
          <w:tab w:val="left" w:pos="945"/>
          <w:tab w:val="left" w:pos="1365"/>
        </w:tabs>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d、总价金额与按单价汇总金额不一致的，以单价金额计算结果为准；</w:t>
      </w:r>
    </w:p>
    <w:p>
      <w:pPr>
        <w:tabs>
          <w:tab w:val="left" w:pos="525"/>
          <w:tab w:val="left" w:pos="630"/>
          <w:tab w:val="left" w:pos="945"/>
          <w:tab w:val="left" w:pos="1365"/>
        </w:tabs>
        <w:snapToGrid w:val="0"/>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sz w:val="24"/>
          <w:highlight w:val="none"/>
        </w:rPr>
        <w:t>同时出现两种以上不一致的，按以上规定的顺序修正。修正后的报价采用书面形式，并加盖公章，或者由法定代表人或其授权的代表签字确认。投标人不确认的，其投标无效。</w:t>
      </w:r>
    </w:p>
    <w:p>
      <w:pPr>
        <w:numPr>
          <w:ilvl w:val="0"/>
          <w:numId w:val="15"/>
        </w:numPr>
        <w:tabs>
          <w:tab w:val="left" w:pos="525"/>
          <w:tab w:val="left" w:pos="945"/>
          <w:tab w:val="left" w:pos="1155"/>
          <w:tab w:val="clear" w:pos="1122"/>
        </w:tabs>
        <w:snapToGrid w:val="0"/>
        <w:spacing w:line="360" w:lineRule="auto"/>
        <w:ind w:left="0"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highlight w:val="none"/>
        </w:rPr>
        <w:t>澄清</w:t>
      </w:r>
      <w:r>
        <w:rPr>
          <w:rFonts w:hint="default" w:ascii="Times New Roman" w:hAnsi="Times New Roman" w:cs="Times New Roman"/>
          <w:sz w:val="24"/>
          <w:highlight w:val="none"/>
        </w:rPr>
        <w:t>有关问题。对投标文件中含</w:t>
      </w:r>
      <w:r>
        <w:rPr>
          <w:rFonts w:hint="default" w:ascii="Times New Roman" w:hAnsi="Times New Roman" w:cs="Times New Roman"/>
          <w:bCs/>
          <w:sz w:val="24"/>
          <w:highlight w:val="none"/>
        </w:rPr>
        <w:t>义不明确、同类问题表述不一致或者有明显文字和计算错误的内容，评标委员会应当以书面形式（应当由评标委员会专家签字）要求投标人作出必要的澄清、说明或者纠正。投标人的澄清、说明或者补正应当采用书面形式，</w:t>
      </w:r>
      <w:r>
        <w:rPr>
          <w:rFonts w:hint="default" w:ascii="Times New Roman" w:hAnsi="Times New Roman" w:cs="Times New Roman"/>
          <w:sz w:val="24"/>
          <w:highlight w:val="none"/>
        </w:rPr>
        <w:t>并加盖公章，或者由法定代表人或其授权的代表签字</w:t>
      </w:r>
      <w:r>
        <w:rPr>
          <w:rFonts w:hint="default" w:ascii="Times New Roman" w:hAnsi="Times New Roman" w:cs="Times New Roman"/>
          <w:bCs/>
          <w:sz w:val="24"/>
          <w:highlight w:val="none"/>
        </w:rPr>
        <w:t>，并不得超出投标文件的范围或者改变投标文件的实质性内容</w:t>
      </w:r>
      <w:r>
        <w:rPr>
          <w:rFonts w:hint="default" w:ascii="Times New Roman" w:hAnsi="Times New Roman" w:cs="Times New Roman"/>
          <w:bCs/>
          <w:sz w:val="24"/>
          <w:szCs w:val="24"/>
          <w:highlight w:val="none"/>
        </w:rPr>
        <w:t>。</w:t>
      </w:r>
    </w:p>
    <w:p>
      <w:pPr>
        <w:numPr>
          <w:ilvl w:val="0"/>
          <w:numId w:val="15"/>
        </w:numPr>
        <w:tabs>
          <w:tab w:val="left" w:pos="945"/>
          <w:tab w:val="left" w:pos="1155"/>
          <w:tab w:val="left" w:pos="1365"/>
          <w:tab w:val="clear" w:pos="1122"/>
        </w:tabs>
        <w:snapToGrid w:val="0"/>
        <w:spacing w:line="360" w:lineRule="auto"/>
        <w:ind w:left="0"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highlight w:val="none"/>
        </w:rPr>
        <w:t>比较与评价。按招标文件中规定的评标方法和标准，对资格性检查和符合性检查合格的投标文件进行商务和技术评估，综合比较与评价</w:t>
      </w:r>
      <w:r>
        <w:rPr>
          <w:rFonts w:hint="default" w:ascii="Times New Roman" w:hAnsi="Times New Roman" w:cs="Times New Roman"/>
          <w:bCs/>
          <w:sz w:val="24"/>
          <w:szCs w:val="24"/>
          <w:highlight w:val="none"/>
        </w:rPr>
        <w:t>。</w:t>
      </w:r>
    </w:p>
    <w:p>
      <w:pPr>
        <w:tabs>
          <w:tab w:val="left" w:pos="525"/>
          <w:tab w:val="left" w:pos="105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 评标方法</w:t>
      </w:r>
    </w:p>
    <w:p>
      <w:pPr>
        <w:tabs>
          <w:tab w:val="left" w:pos="1365"/>
        </w:tabs>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投标供应商通过资格性与符合性审查的，方可进入比较与评价程序。</w:t>
      </w:r>
    </w:p>
    <w:p>
      <w:pPr>
        <w:tabs>
          <w:tab w:val="left" w:pos="1365"/>
        </w:tabs>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比较与评价采用综合评分法（计分均保留2位小数），评审委员会遵循公平、公正、择优原则，独立按照评分标准分别评定投标供应商的分值；评标结果按评审后得分由高到低顺序排列，得分相同的，按投标报价由低到高顺序排列，得分且投标报价相同的并列。投标文件满足招标文件全部实质性要求，且按照评审因素的量化指标评审得分最高的投标供应商为排名第一的中标候选人。</w:t>
      </w:r>
    </w:p>
    <w:p>
      <w:pPr>
        <w:tabs>
          <w:tab w:val="left" w:pos="13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提供相同品牌产品且通过资格性审查、符合性审查的不同投标供应商参加同一合同项下投标的，按一家投标供应商计算，评审后得分最高的同品牌投标供应商获得中标人推荐资格，评审得分相同的，由采购人或者采购人委托评标委员会按照随机抽取的方式确定一个投标供应商获得中标人推荐资格，其他同品牌投标供应商不作为中标候选人。未列入本评分标准的其他条件不作为评分内容。</w:t>
      </w:r>
    </w:p>
    <w:p>
      <w:pPr>
        <w:tabs>
          <w:tab w:val="left" w:pos="1365"/>
        </w:tabs>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具体评分标准如下：</w:t>
      </w:r>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一）评分项目及分值（总分100分）</w:t>
      </w:r>
    </w:p>
    <w:p>
      <w:pPr>
        <w:tabs>
          <w:tab w:val="left" w:pos="6096"/>
        </w:tabs>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（1）价格</w:t>
      </w:r>
      <w:r>
        <w:rPr>
          <w:rFonts w:hint="default" w:ascii="Times New Roman" w:hAnsi="Times New Roman" w:eastAsia="宋体" w:cs="Times New Roman"/>
          <w:sz w:val="24"/>
          <w:highlight w:val="none"/>
        </w:rPr>
        <w:tab/>
      </w:r>
      <w:r>
        <w:rPr>
          <w:rFonts w:hint="eastAsia" w:ascii="Times New Roman" w:hAnsi="Times New Roman" w:eastAsia="宋体" w:cs="Times New Roman"/>
          <w:sz w:val="24"/>
          <w:highlight w:val="none"/>
          <w:lang w:val="en-US" w:eastAsia="zh-CN"/>
        </w:rPr>
        <w:t>30</w:t>
      </w:r>
      <w:r>
        <w:rPr>
          <w:rFonts w:hint="default" w:ascii="Times New Roman" w:hAnsi="Times New Roman" w:eastAsia="宋体" w:cs="Times New Roman"/>
          <w:sz w:val="24"/>
          <w:highlight w:val="none"/>
        </w:rPr>
        <w:t>分</w:t>
      </w:r>
    </w:p>
    <w:p>
      <w:pPr>
        <w:tabs>
          <w:tab w:val="left" w:pos="6096"/>
        </w:tabs>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（2）项目响应</w:t>
      </w:r>
      <w:r>
        <w:rPr>
          <w:rFonts w:hint="default" w:ascii="Times New Roman" w:hAnsi="Times New Roman" w:eastAsia="宋体" w:cs="Times New Roman"/>
          <w:sz w:val="24"/>
          <w:highlight w:val="none"/>
        </w:rPr>
        <w:tab/>
      </w: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en-US" w:eastAsia="zh-CN"/>
        </w:rPr>
        <w:t>0</w:t>
      </w:r>
      <w:r>
        <w:rPr>
          <w:rFonts w:hint="default" w:ascii="Times New Roman" w:hAnsi="Times New Roman" w:eastAsia="宋体" w:cs="Times New Roman"/>
          <w:sz w:val="24"/>
          <w:highlight w:val="none"/>
        </w:rPr>
        <w:t>分</w:t>
      </w:r>
    </w:p>
    <w:p>
      <w:pPr>
        <w:tabs>
          <w:tab w:val="left" w:pos="6096"/>
        </w:tabs>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投标人综合实力</w:t>
      </w:r>
      <w:r>
        <w:rPr>
          <w:rFonts w:hint="default" w:ascii="Times New Roman" w:hAnsi="Times New Roman" w:eastAsia="宋体" w:cs="Times New Roman"/>
          <w:sz w:val="24"/>
          <w:highlight w:val="none"/>
        </w:rPr>
        <w:tab/>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分</w:t>
      </w:r>
    </w:p>
    <w:p>
      <w:pPr>
        <w:tabs>
          <w:tab w:val="left" w:pos="6096"/>
        </w:tabs>
        <w:spacing w:line="360" w:lineRule="auto"/>
        <w:ind w:firstLine="480" w:firstLineChars="200"/>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（4）</w:t>
      </w:r>
      <w:r>
        <w:rPr>
          <w:rFonts w:hint="eastAsia" w:ascii="Times New Roman" w:hAnsi="Times New Roman" w:eastAsia="宋体" w:cs="Times New Roman"/>
          <w:sz w:val="24"/>
          <w:highlight w:val="none"/>
          <w:lang w:val="en-US" w:eastAsia="zh-CN"/>
        </w:rPr>
        <w:t xml:space="preserve">技术方案 </w:t>
      </w:r>
      <w:r>
        <w:rPr>
          <w:rFonts w:hint="default" w:ascii="Times New Roman" w:hAnsi="Times New Roman" w:eastAsia="宋体" w:cs="Times New Roman"/>
          <w:sz w:val="24"/>
          <w:highlight w:val="none"/>
        </w:rPr>
        <w:tab/>
      </w:r>
      <w:r>
        <w:rPr>
          <w:rFonts w:hint="default" w:ascii="Times New Roman" w:hAnsi="Times New Roman" w:eastAsia="宋体" w:cs="Times New Roman"/>
          <w:sz w:val="24"/>
          <w:highlight w:val="none"/>
          <w:lang w:val="en-US" w:eastAsia="zh-CN"/>
        </w:rPr>
        <w:t>10</w:t>
      </w:r>
      <w:r>
        <w:rPr>
          <w:rFonts w:hint="default" w:ascii="Times New Roman" w:hAnsi="Times New Roman" w:eastAsia="宋体" w:cs="Times New Roman"/>
          <w:sz w:val="24"/>
          <w:highlight w:val="none"/>
        </w:rPr>
        <w:t>分</w:t>
      </w:r>
    </w:p>
    <w:p>
      <w:pPr>
        <w:tabs>
          <w:tab w:val="left" w:pos="6096"/>
        </w:tabs>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功能演示</w:t>
      </w:r>
      <w:r>
        <w:rPr>
          <w:rFonts w:hint="default" w:ascii="Times New Roman" w:hAnsi="Times New Roman" w:eastAsia="宋体" w:cs="Times New Roman"/>
          <w:sz w:val="24"/>
          <w:highlight w:val="none"/>
        </w:rPr>
        <w:tab/>
      </w:r>
      <w:r>
        <w:rPr>
          <w:rFonts w:hint="default" w:ascii="Times New Roman" w:hAnsi="Times New Roman" w:eastAsia="宋体" w:cs="Times New Roman"/>
          <w:sz w:val="24"/>
          <w:highlight w:val="none"/>
          <w:lang w:val="en-US" w:eastAsia="zh-CN"/>
        </w:rPr>
        <w:t>10</w:t>
      </w:r>
      <w:r>
        <w:rPr>
          <w:rFonts w:hint="default" w:ascii="Times New Roman" w:hAnsi="Times New Roman" w:eastAsia="宋体" w:cs="Times New Roman"/>
          <w:sz w:val="24"/>
          <w:highlight w:val="none"/>
        </w:rPr>
        <w:t>分</w:t>
      </w:r>
    </w:p>
    <w:p>
      <w:pPr>
        <w:tabs>
          <w:tab w:val="left" w:pos="6096"/>
        </w:tabs>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投标文件的规范性、表述清晰程度</w:t>
      </w:r>
      <w:r>
        <w:rPr>
          <w:rFonts w:hint="default" w:ascii="Times New Roman" w:hAnsi="Times New Roman" w:eastAsia="宋体" w:cs="Times New Roman"/>
          <w:sz w:val="24"/>
          <w:highlight w:val="none"/>
        </w:rPr>
        <w:tab/>
      </w:r>
      <w:r>
        <w:rPr>
          <w:rFonts w:hint="eastAsia"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分</w:t>
      </w:r>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二)各项目评分标准</w:t>
      </w:r>
    </w:p>
    <w:p>
      <w:pPr>
        <w:spacing w:line="360" w:lineRule="auto"/>
        <w:ind w:firstLine="482" w:firstLineChars="200"/>
        <w:rPr>
          <w:rFonts w:hint="default" w:ascii="Times New Roman" w:hAnsi="Times New Roman" w:cs="Times New Roman"/>
          <w:sz w:val="24"/>
          <w:highlight w:val="none"/>
        </w:rPr>
      </w:pPr>
      <w:r>
        <w:rPr>
          <w:rFonts w:hint="default" w:ascii="Times New Roman" w:hAnsi="Times New Roman" w:cs="Times New Roman"/>
          <w:b/>
          <w:bCs/>
          <w:sz w:val="24"/>
          <w:highlight w:val="none"/>
        </w:rPr>
        <w:t>（1）价格（</w:t>
      </w:r>
      <w:r>
        <w:rPr>
          <w:rFonts w:hint="eastAsia" w:ascii="Times New Roman" w:cs="Times New Roman"/>
          <w:b/>
          <w:bCs/>
          <w:sz w:val="24"/>
          <w:highlight w:val="none"/>
          <w:lang w:val="en-US" w:eastAsia="zh-CN"/>
        </w:rPr>
        <w:t>30</w:t>
      </w:r>
      <w:r>
        <w:rPr>
          <w:rFonts w:hint="default" w:ascii="Times New Roman" w:hAnsi="Times New Roman" w:cs="Times New Roman"/>
          <w:b/>
          <w:bCs/>
          <w:sz w:val="24"/>
          <w:highlight w:val="none"/>
        </w:rPr>
        <w:t>分）</w:t>
      </w:r>
      <w:r>
        <w:rPr>
          <w:rFonts w:hint="default" w:ascii="Times New Roman" w:hAnsi="Times New Roman" w:cs="Times New Roman"/>
          <w:sz w:val="24"/>
          <w:highlight w:val="none"/>
        </w:rPr>
        <w:t>：</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采用低价优先法计算，即满足招标文件要求且投标价格最低的投标报价为评标基准价，其价格分为满分。其他投标人的价格分统一按照下列公式计算：</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投标报价得分=(评标基准价／投标报价)×价格权值×100。</w:t>
      </w:r>
    </w:p>
    <w:p>
      <w:pPr>
        <w:spacing w:line="360" w:lineRule="auto"/>
        <w:ind w:firstLine="480" w:firstLineChars="200"/>
        <w:jc w:val="left"/>
        <w:rPr>
          <w:rFonts w:hint="default" w:ascii="Times New Roman" w:hAnsi="Times New Roman" w:cs="Times New Roman"/>
          <w:bCs/>
          <w:kern w:val="2"/>
          <w:sz w:val="24"/>
          <w:szCs w:val="24"/>
          <w:highlight w:val="none"/>
        </w:rPr>
      </w:pPr>
      <w:bookmarkStart w:id="5" w:name="_Hlk67298221"/>
      <w:r>
        <w:rPr>
          <w:rFonts w:hint="default" w:ascii="Times New Roman" w:hAnsi="Times New Roman" w:cs="Times New Roman"/>
          <w:bCs/>
          <w:kern w:val="2"/>
          <w:sz w:val="24"/>
          <w:szCs w:val="24"/>
          <w:highlight w:val="none"/>
        </w:rPr>
        <w:t>价格扣除：专门面向中小/小微企业的项目除外。</w:t>
      </w:r>
    </w:p>
    <w:p>
      <w:pPr>
        <w:tabs>
          <w:tab w:val="left" w:pos="945"/>
          <w:tab w:val="left" w:pos="1155"/>
        </w:tabs>
        <w:spacing w:line="360" w:lineRule="auto"/>
        <w:ind w:firstLine="600" w:firstLineChars="250"/>
        <w:rPr>
          <w:rFonts w:hint="eastAsia" w:ascii="宋体" w:hAnsi="宋体"/>
          <w:sz w:val="24"/>
          <w:highlight w:val="none"/>
        </w:rPr>
      </w:pPr>
      <w:r>
        <w:rPr>
          <w:rFonts w:hint="eastAsia" w:ascii="宋体" w:hAnsi="宋体"/>
          <w:sz w:val="24"/>
          <w:highlight w:val="none"/>
        </w:rPr>
        <w:t>①对小型和微型企业产品的价格给予10%的扣除，用扣除后的价格参与评审。参加投标的中小企业，应当按照《政府采购促进中小企业发展管理办法》（财库﹝2020﹞46 号）的规定提供《中小企业声明函》（货物/服务）（中小企业划型标准详见《关于印发中小企业划型标准规定的通知》工信部联企业〔2011〕300号）。</w:t>
      </w:r>
    </w:p>
    <w:p>
      <w:pPr>
        <w:tabs>
          <w:tab w:val="left" w:pos="945"/>
          <w:tab w:val="left" w:pos="1155"/>
        </w:tabs>
        <w:spacing w:line="360" w:lineRule="auto"/>
        <w:ind w:firstLine="600" w:firstLineChars="250"/>
        <w:rPr>
          <w:rFonts w:hint="eastAsia" w:ascii="宋体" w:hAnsi="宋体"/>
          <w:sz w:val="24"/>
          <w:highlight w:val="none"/>
        </w:rPr>
      </w:pPr>
      <w:r>
        <w:rPr>
          <w:rFonts w:hint="eastAsia" w:ascii="宋体" w:hAnsi="宋体"/>
          <w:sz w:val="24"/>
          <w:highlight w:val="none"/>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tabs>
          <w:tab w:val="left" w:pos="945"/>
          <w:tab w:val="left" w:pos="1155"/>
        </w:tabs>
        <w:spacing w:line="360" w:lineRule="auto"/>
        <w:ind w:firstLine="600" w:firstLineChars="250"/>
        <w:rPr>
          <w:rFonts w:hint="eastAsia" w:ascii="宋体" w:hAnsi="宋体"/>
          <w:sz w:val="24"/>
          <w:highlight w:val="none"/>
        </w:rPr>
      </w:pPr>
      <w:r>
        <w:rPr>
          <w:rFonts w:hint="eastAsia" w:ascii="宋体" w:hAnsi="宋体"/>
          <w:sz w:val="24"/>
          <w:highlight w:val="none"/>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tabs>
          <w:tab w:val="left" w:pos="945"/>
          <w:tab w:val="left" w:pos="1155"/>
        </w:tabs>
        <w:spacing w:line="360" w:lineRule="auto"/>
        <w:ind w:firstLine="600" w:firstLineChars="250"/>
        <w:rPr>
          <w:rFonts w:ascii="宋体" w:hAnsi="宋体"/>
          <w:sz w:val="24"/>
          <w:highlight w:val="none"/>
        </w:rPr>
      </w:pPr>
      <w:r>
        <w:rPr>
          <w:rFonts w:hint="eastAsia" w:ascii="宋体" w:hAnsi="宋体"/>
          <w:sz w:val="24"/>
          <w:highlight w:val="none"/>
        </w:rPr>
        <w:t>同一投标人，上述三项价格扣除优惠不得重复享受。</w:t>
      </w:r>
    </w:p>
    <w:p>
      <w:pPr>
        <w:spacing w:line="360" w:lineRule="auto"/>
        <w:ind w:left="1" w:firstLine="480" w:firstLineChars="200"/>
        <w:rPr>
          <w:rFonts w:hint="default" w:ascii="Times New Roman" w:hAnsi="Times New Roman" w:cs="Times New Roman"/>
          <w:b w:val="0"/>
          <w:bCs/>
          <w:sz w:val="24"/>
          <w:szCs w:val="24"/>
          <w:highlight w:val="none"/>
        </w:rPr>
      </w:pPr>
      <w:r>
        <w:rPr>
          <w:rFonts w:hint="default" w:ascii="Times New Roman" w:hAnsi="Times New Roman" w:cs="Times New Roman"/>
          <w:b w:val="0"/>
          <w:bCs/>
          <w:sz w:val="24"/>
          <w:szCs w:val="24"/>
          <w:highlight w:val="none"/>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bookmarkEnd w:id="5"/>
    <w:p>
      <w:pPr>
        <w:numPr>
          <w:ilvl w:val="0"/>
          <w:numId w:val="16"/>
        </w:numPr>
        <w:spacing w:line="360" w:lineRule="auto"/>
        <w:ind w:left="-142" w:leftChars="0" w:firstLine="482" w:firstLineChars="0"/>
        <w:rPr>
          <w:rFonts w:hint="default" w:ascii="Times New Roman" w:hAnsi="Times New Roman" w:cs="Times New Roman"/>
          <w:b/>
          <w:kern w:val="2"/>
          <w:sz w:val="24"/>
          <w:highlight w:val="none"/>
        </w:rPr>
      </w:pPr>
      <w:r>
        <w:rPr>
          <w:rFonts w:hint="default" w:ascii="Times New Roman" w:hAnsi="Times New Roman" w:cs="Times New Roman"/>
          <w:b/>
          <w:kern w:val="2"/>
          <w:sz w:val="24"/>
          <w:highlight w:val="none"/>
        </w:rPr>
        <w:t>项目响应（</w:t>
      </w:r>
      <w:r>
        <w:rPr>
          <w:rFonts w:hint="eastAsia" w:ascii="Times New Roman" w:hAnsi="Times New Roman" w:cs="Times New Roman"/>
          <w:b/>
          <w:kern w:val="2"/>
          <w:sz w:val="24"/>
          <w:highlight w:val="none"/>
          <w:lang w:val="en-US" w:eastAsia="zh-CN"/>
        </w:rPr>
        <w:t>4</w:t>
      </w:r>
      <w:r>
        <w:rPr>
          <w:rFonts w:hint="default" w:ascii="Times New Roman" w:hAnsi="Times New Roman" w:cs="Times New Roman"/>
          <w:b/>
          <w:kern w:val="2"/>
          <w:sz w:val="24"/>
          <w:highlight w:val="none"/>
          <w:lang w:val="en-US" w:eastAsia="zh-CN"/>
        </w:rPr>
        <w:t>0</w:t>
      </w:r>
      <w:r>
        <w:rPr>
          <w:rFonts w:hint="default" w:ascii="Times New Roman" w:hAnsi="Times New Roman" w:cs="Times New Roman"/>
          <w:b/>
          <w:kern w:val="2"/>
          <w:sz w:val="24"/>
          <w:highlight w:val="none"/>
        </w:rPr>
        <w:t>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本项目采购需求中的技术及服务指标按重要性分为“★”、“☆”、“#”和“△”指标。满足技术需求、服务要求和实施方案中的全部指标项得满分</w:t>
      </w:r>
      <w:r>
        <w:rPr>
          <w:rFonts w:hint="eastAsia" w:ascii="Times New Roman" w:hAnsi="Times New Roman" w:cs="Times New Roman"/>
          <w:sz w:val="24"/>
          <w:highlight w:val="none"/>
          <w:lang w:val="en-US" w:eastAsia="zh-CN"/>
        </w:rPr>
        <w:t>4</w:t>
      </w:r>
      <w:r>
        <w:rPr>
          <w:rFonts w:hint="default" w:ascii="Times New Roman" w:hAnsi="Times New Roman" w:cs="Times New Roman"/>
          <w:sz w:val="24"/>
          <w:highlight w:val="none"/>
        </w:rPr>
        <w:t>0分。</w:t>
      </w:r>
    </w:p>
    <w:p>
      <w:pPr>
        <w:spacing w:line="360" w:lineRule="auto"/>
        <w:ind w:firstLine="482" w:firstLineChars="200"/>
        <w:rPr>
          <w:rFonts w:hint="default" w:ascii="Times New Roman" w:hAnsi="Times New Roman" w:cs="Times New Roman"/>
          <w:sz w:val="24"/>
          <w:highlight w:val="none"/>
        </w:rPr>
      </w:pPr>
      <w:r>
        <w:rPr>
          <w:rFonts w:hint="default" w:ascii="Times New Roman" w:hAnsi="Times New Roman" w:cs="Times New Roman"/>
          <w:b/>
          <w:sz w:val="24"/>
          <w:highlight w:val="none"/>
        </w:rPr>
        <w:t>（1）“★”指标为实质性指标</w:t>
      </w:r>
      <w:r>
        <w:rPr>
          <w:rFonts w:hint="default" w:ascii="Times New Roman" w:hAnsi="Times New Roman" w:cs="Times New Roman"/>
          <w:sz w:val="24"/>
          <w:highlight w:val="none"/>
        </w:rPr>
        <w:t>，</w:t>
      </w:r>
      <w:r>
        <w:rPr>
          <w:rFonts w:hint="default" w:ascii="Times New Roman" w:hAnsi="Times New Roman" w:cs="Times New Roman"/>
          <w:b/>
          <w:color w:val="000000"/>
          <w:sz w:val="24"/>
          <w:highlight w:val="none"/>
        </w:rPr>
        <w:t>不满足将被视为无效投标文件</w:t>
      </w:r>
      <w:r>
        <w:rPr>
          <w:rFonts w:hint="default" w:ascii="Times New Roman" w:hAnsi="Times New Roman" w:cs="Times New Roman"/>
          <w:sz w:val="24"/>
          <w:highlight w:val="none"/>
        </w:rPr>
        <w:t>；</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（2）“☆”代表优质优价指标，有一项不满足扣</w:t>
      </w:r>
      <w:r>
        <w:rPr>
          <w:rFonts w:hint="eastAsia" w:ascii="Times New Roman" w:hAnsi="Times New Roman" w:cs="Times New Roman"/>
          <w:sz w:val="24"/>
          <w:highlight w:val="none"/>
          <w:lang w:val="en-US" w:eastAsia="zh-CN"/>
        </w:rPr>
        <w:t>1</w:t>
      </w:r>
      <w:r>
        <w:rPr>
          <w:rFonts w:hint="default" w:ascii="Times New Roman" w:hAnsi="Times New Roman" w:cs="Times New Roman"/>
          <w:sz w:val="24"/>
          <w:highlight w:val="none"/>
        </w:rPr>
        <w:t>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（3）“#”代表重要指标，每有一项不满足扣</w:t>
      </w:r>
      <w:r>
        <w:rPr>
          <w:rFonts w:hint="eastAsia" w:ascii="Times New Roman" w:hAnsi="Times New Roman" w:cs="Times New Roman"/>
          <w:sz w:val="24"/>
          <w:highlight w:val="none"/>
          <w:lang w:val="en-US" w:eastAsia="zh-CN"/>
        </w:rPr>
        <w:t>0.5</w:t>
      </w:r>
      <w:r>
        <w:rPr>
          <w:rFonts w:hint="default" w:ascii="Times New Roman" w:hAnsi="Times New Roman" w:cs="Times New Roman"/>
          <w:sz w:val="24"/>
          <w:highlight w:val="none"/>
        </w:rPr>
        <w:t>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（4）“△”则表示一般指标项，每有一项不满足扣</w:t>
      </w:r>
      <w:r>
        <w:rPr>
          <w:rFonts w:hint="eastAsia" w:ascii="Times New Roman" w:hAnsi="Times New Roman" w:cs="Times New Roman"/>
          <w:sz w:val="24"/>
          <w:highlight w:val="none"/>
          <w:lang w:val="en-US" w:eastAsia="zh-CN"/>
        </w:rPr>
        <w:t>0.2</w:t>
      </w:r>
      <w:r>
        <w:rPr>
          <w:rFonts w:hint="default" w:ascii="Times New Roman" w:hAnsi="Times New Roman" w:cs="Times New Roman"/>
          <w:sz w:val="24"/>
          <w:highlight w:val="none"/>
        </w:rPr>
        <w:t>分，扣完为止，漏报技术条款视为该条不满足。</w:t>
      </w:r>
    </w:p>
    <w:p>
      <w:pPr>
        <w:spacing w:line="360" w:lineRule="auto"/>
        <w:ind w:firstLine="482" w:firstLineChars="200"/>
        <w:rPr>
          <w:rFonts w:hint="default" w:ascii="Times New Roman" w:hAnsi="Times New Roman" w:cs="Times New Roman"/>
          <w:sz w:val="24"/>
          <w:highlight w:val="none"/>
        </w:rPr>
      </w:pPr>
      <w:r>
        <w:rPr>
          <w:rFonts w:hint="default" w:ascii="Times New Roman" w:hAnsi="Times New Roman" w:cs="Times New Roman"/>
          <w:b/>
          <w:bCs/>
          <w:sz w:val="24"/>
          <w:highlight w:val="none"/>
        </w:rPr>
        <w:t>投标供应商需根据所投产品对技术及服务中的指标参数进行响应，提供《投标偏离表》，由评标委员会根据招标文件要求的指标参数评价投标产品是否符合招标要求，并根据投标人提供的《投标偏离表》的响应情况进行打分。</w:t>
      </w:r>
    </w:p>
    <w:p>
      <w:pPr>
        <w:numPr>
          <w:ilvl w:val="0"/>
          <w:numId w:val="16"/>
        </w:numPr>
        <w:spacing w:line="360" w:lineRule="auto"/>
        <w:ind w:left="-142" w:leftChars="0" w:firstLine="482" w:firstLineChars="0"/>
        <w:rPr>
          <w:rFonts w:hint="default" w:ascii="Times New Roman" w:hAnsi="Times New Roman" w:cs="Times New Roman"/>
          <w:b w:val="0"/>
          <w:bCs/>
          <w:kern w:val="2"/>
          <w:sz w:val="24"/>
          <w:highlight w:val="none"/>
        </w:rPr>
      </w:pPr>
      <w:r>
        <w:rPr>
          <w:rFonts w:hint="eastAsia" w:ascii="Times New Roman" w:cs="Times New Roman"/>
          <w:b w:val="0"/>
          <w:bCs/>
          <w:kern w:val="2"/>
          <w:sz w:val="24"/>
          <w:highlight w:val="none"/>
          <w:lang w:val="en-US" w:eastAsia="zh-CN"/>
        </w:rPr>
        <w:t>投标人综合实力（8分）</w:t>
      </w:r>
    </w:p>
    <w:p>
      <w:pPr>
        <w:numPr>
          <w:ilvl w:val="0"/>
          <w:numId w:val="0"/>
        </w:numPr>
        <w:spacing w:line="360" w:lineRule="auto"/>
        <w:ind w:left="340" w:leftChars="0"/>
        <w:rPr>
          <w:rFonts w:hint="default" w:ascii="Times New Roman" w:hAnsi="Times New Roman" w:eastAsia="宋体" w:cs="Times New Roman"/>
          <w:b w:val="0"/>
          <w:bCs/>
          <w:kern w:val="2"/>
          <w:sz w:val="24"/>
          <w:highlight w:val="none"/>
        </w:rPr>
      </w:pPr>
      <w:r>
        <w:rPr>
          <w:rFonts w:hint="eastAsia" w:ascii="Times New Roman" w:hAnsi="Times New Roman" w:eastAsia="宋体" w:cs="Times New Roman"/>
          <w:b w:val="0"/>
          <w:bCs/>
          <w:kern w:val="2"/>
          <w:sz w:val="24"/>
          <w:highlight w:val="none"/>
          <w:lang w:val="en-US" w:eastAsia="zh-CN"/>
        </w:rPr>
        <w:t>(1)</w:t>
      </w:r>
      <w:r>
        <w:rPr>
          <w:rFonts w:hint="default" w:ascii="Times New Roman" w:hAnsi="Times New Roman" w:eastAsia="宋体" w:cs="Times New Roman"/>
          <w:b w:val="0"/>
          <w:bCs/>
          <w:kern w:val="2"/>
          <w:sz w:val="24"/>
          <w:highlight w:val="none"/>
        </w:rPr>
        <w:t>投标供应商业绩（</w:t>
      </w:r>
      <w:r>
        <w:rPr>
          <w:rFonts w:hint="eastAsia" w:ascii="Times New Roman" w:hAnsi="Times New Roman" w:eastAsia="宋体" w:cs="Times New Roman"/>
          <w:b w:val="0"/>
          <w:bCs/>
          <w:kern w:val="2"/>
          <w:sz w:val="24"/>
          <w:highlight w:val="none"/>
          <w:lang w:val="en-US" w:eastAsia="zh-CN"/>
        </w:rPr>
        <w:t>2</w:t>
      </w:r>
      <w:r>
        <w:rPr>
          <w:rFonts w:hint="default" w:ascii="Times New Roman" w:hAnsi="Times New Roman" w:eastAsia="宋体" w:cs="Times New Roman"/>
          <w:b w:val="0"/>
          <w:bCs/>
          <w:kern w:val="2"/>
          <w:sz w:val="24"/>
          <w:highlight w:val="none"/>
        </w:rPr>
        <w:t>分）：</w:t>
      </w:r>
    </w:p>
    <w:p>
      <w:pPr>
        <w:spacing w:line="360" w:lineRule="auto"/>
        <w:ind w:firstLine="480" w:firstLineChars="200"/>
        <w:rPr>
          <w:rFonts w:hint="default" w:ascii="Times New Roman" w:hAnsi="Times New Roman" w:eastAsia="宋体" w:cs="Times New Roman"/>
          <w:b w:val="0"/>
          <w:bCs/>
          <w:sz w:val="24"/>
          <w:highlight w:val="none"/>
        </w:rPr>
      </w:pPr>
      <w:r>
        <w:rPr>
          <w:rFonts w:hint="default" w:ascii="Times New Roman" w:hAnsi="Times New Roman" w:eastAsia="宋体" w:cs="Times New Roman"/>
          <w:b w:val="0"/>
          <w:bCs/>
          <w:sz w:val="24"/>
          <w:highlight w:val="none"/>
        </w:rPr>
        <w:t>投标人具有同类项目业绩，提供1份得1分，最高得2分，合同复印件装订入投标文件中，原件须在投标截止时间前现场提交，未按要求提供的不得分。</w:t>
      </w:r>
    </w:p>
    <w:p>
      <w:pPr>
        <w:numPr>
          <w:ilvl w:val="0"/>
          <w:numId w:val="0"/>
        </w:numPr>
        <w:spacing w:line="360" w:lineRule="auto"/>
        <w:ind w:left="340" w:leftChars="0"/>
        <w:rPr>
          <w:rFonts w:hint="eastAsia" w:ascii="Times New Roman" w:hAnsi="Times New Roman" w:eastAsia="宋体" w:cs="Times New Roman"/>
          <w:b w:val="0"/>
          <w:bCs/>
          <w:kern w:val="2"/>
          <w:sz w:val="24"/>
          <w:highlight w:val="none"/>
        </w:rPr>
      </w:pPr>
      <w:r>
        <w:rPr>
          <w:rFonts w:hint="eastAsia" w:ascii="Times New Roman" w:hAnsi="Times New Roman" w:eastAsia="宋体" w:cs="Times New Roman"/>
          <w:b w:val="0"/>
          <w:bCs/>
          <w:kern w:val="2"/>
          <w:sz w:val="24"/>
          <w:highlight w:val="none"/>
          <w:lang w:val="en-US" w:eastAsia="zh-CN"/>
        </w:rPr>
        <w:t>(2)</w:t>
      </w:r>
      <w:r>
        <w:rPr>
          <w:rFonts w:hint="eastAsia" w:ascii="Times New Roman" w:hAnsi="Times New Roman" w:eastAsia="宋体" w:cs="Times New Roman"/>
          <w:b w:val="0"/>
          <w:bCs/>
          <w:kern w:val="2"/>
          <w:sz w:val="24"/>
          <w:highlight w:val="none"/>
        </w:rPr>
        <w:t>投标人相关证书</w:t>
      </w:r>
      <w:r>
        <w:rPr>
          <w:rFonts w:hint="eastAsia" w:ascii="Times New Roman" w:hAnsi="Times New Roman" w:eastAsia="宋体" w:cs="Times New Roman"/>
          <w:b w:val="0"/>
          <w:bCs/>
          <w:kern w:val="2"/>
          <w:sz w:val="24"/>
          <w:highlight w:val="none"/>
          <w:lang w:eastAsia="zh-CN"/>
        </w:rPr>
        <w:t>（</w:t>
      </w:r>
      <w:r>
        <w:rPr>
          <w:rFonts w:hint="eastAsia" w:ascii="Times New Roman" w:hAnsi="Times New Roman" w:eastAsia="宋体" w:cs="Times New Roman"/>
          <w:b w:val="0"/>
          <w:bCs/>
          <w:kern w:val="2"/>
          <w:sz w:val="24"/>
          <w:highlight w:val="none"/>
          <w:lang w:val="en-US" w:eastAsia="zh-CN"/>
        </w:rPr>
        <w:t>3分</w:t>
      </w:r>
      <w:r>
        <w:rPr>
          <w:rFonts w:hint="eastAsia" w:ascii="Times New Roman" w:hAnsi="Times New Roman" w:eastAsia="宋体" w:cs="Times New Roman"/>
          <w:b w:val="0"/>
          <w:bCs/>
          <w:kern w:val="2"/>
          <w:sz w:val="24"/>
          <w:highlight w:val="none"/>
          <w:lang w:eastAsia="zh-CN"/>
        </w:rPr>
        <w:t>）</w:t>
      </w:r>
    </w:p>
    <w:p>
      <w:pPr>
        <w:spacing w:line="360" w:lineRule="auto"/>
        <w:ind w:firstLine="480" w:firstLineChars="200"/>
        <w:rPr>
          <w:rFonts w:hint="eastAsia" w:ascii="Times New Roman" w:hAnsi="Times New Roman" w:eastAsia="宋体" w:cs="Times New Roman"/>
          <w:b w:val="0"/>
          <w:bCs/>
          <w:sz w:val="24"/>
          <w:highlight w:val="none"/>
        </w:rPr>
      </w:pPr>
      <w:r>
        <w:rPr>
          <w:rFonts w:hint="eastAsia" w:ascii="Times New Roman" w:hAnsi="Times New Roman" w:eastAsia="宋体" w:cs="Times New Roman"/>
          <w:b w:val="0"/>
          <w:bCs/>
          <w:sz w:val="24"/>
          <w:highlight w:val="none"/>
        </w:rPr>
        <w:t>投标人具有国家认可的检测机构颁发的《</w:t>
      </w:r>
      <w:r>
        <w:rPr>
          <w:rFonts w:hint="default" w:ascii="Times New Roman" w:hAnsi="Times New Roman" w:eastAsia="宋体" w:cs="Times New Roman"/>
          <w:b w:val="0"/>
          <w:bCs/>
          <w:sz w:val="24"/>
          <w:highlight w:val="none"/>
        </w:rPr>
        <w:t>Eid</w:t>
      </w:r>
      <w:r>
        <w:rPr>
          <w:rFonts w:hint="eastAsia" w:ascii="Times New Roman" w:hAnsi="Times New Roman" w:eastAsia="宋体" w:cs="Times New Roman"/>
          <w:b w:val="0"/>
          <w:bCs/>
          <w:sz w:val="24"/>
          <w:highlight w:val="none"/>
        </w:rPr>
        <w:t>网络身份服务机构证书》得3分，没有不得分。</w:t>
      </w:r>
    </w:p>
    <w:p>
      <w:pPr>
        <w:numPr>
          <w:ilvl w:val="0"/>
          <w:numId w:val="0"/>
        </w:numPr>
        <w:spacing w:line="360" w:lineRule="auto"/>
        <w:ind w:left="340" w:leftChars="0"/>
        <w:rPr>
          <w:rFonts w:hint="default" w:ascii="Times New Roman" w:hAnsi="Times New Roman" w:eastAsia="宋体" w:cs="Times New Roman"/>
          <w:b w:val="0"/>
          <w:bCs/>
          <w:kern w:val="2"/>
          <w:sz w:val="24"/>
          <w:highlight w:val="none"/>
        </w:rPr>
      </w:pPr>
      <w:r>
        <w:rPr>
          <w:rFonts w:hint="eastAsia" w:ascii="Times New Roman" w:hAnsi="Times New Roman" w:eastAsia="宋体" w:cs="Times New Roman"/>
          <w:b w:val="0"/>
          <w:bCs/>
          <w:kern w:val="2"/>
          <w:sz w:val="24"/>
          <w:highlight w:val="none"/>
          <w:lang w:val="en-US" w:eastAsia="zh-CN"/>
        </w:rPr>
        <w:t>(3)</w:t>
      </w:r>
      <w:r>
        <w:rPr>
          <w:rFonts w:hint="eastAsia" w:ascii="Times New Roman" w:hAnsi="Times New Roman" w:eastAsia="宋体" w:cs="Times New Roman"/>
          <w:b w:val="0"/>
          <w:bCs/>
          <w:kern w:val="2"/>
          <w:sz w:val="24"/>
          <w:highlight w:val="none"/>
        </w:rPr>
        <w:t>项目整体质保期（3分）</w:t>
      </w:r>
    </w:p>
    <w:p>
      <w:pPr>
        <w:numPr>
          <w:ilvl w:val="0"/>
          <w:numId w:val="0"/>
        </w:numPr>
        <w:spacing w:line="360" w:lineRule="auto"/>
        <w:ind w:left="340" w:leftChars="0"/>
        <w:rPr>
          <w:rFonts w:hint="default" w:ascii="Times New Roman" w:hAnsi="Times New Roman" w:eastAsia="宋体" w:cs="Times New Roman"/>
          <w:b w:val="0"/>
          <w:bCs/>
          <w:kern w:val="2"/>
          <w:sz w:val="24"/>
          <w:highlight w:val="none"/>
        </w:rPr>
      </w:pPr>
      <w:r>
        <w:rPr>
          <w:rFonts w:hint="eastAsia" w:ascii="Times New Roman" w:hAnsi="Times New Roman" w:eastAsia="宋体" w:cs="Times New Roman"/>
          <w:b w:val="0"/>
          <w:bCs/>
          <w:kern w:val="2"/>
          <w:sz w:val="24"/>
          <w:highlight w:val="none"/>
        </w:rPr>
        <w:t>在</w:t>
      </w:r>
      <w:r>
        <w:rPr>
          <w:rFonts w:hint="default" w:ascii="Times New Roman" w:hAnsi="Times New Roman" w:cs="Times New Roman"/>
          <w:sz w:val="24"/>
          <w:highlight w:val="none"/>
          <w:lang w:val="zh-CN"/>
        </w:rPr>
        <w:t>满足招标文件要求</w:t>
      </w:r>
      <w:r>
        <w:rPr>
          <w:rFonts w:hint="eastAsia" w:ascii="Times New Roman" w:hAnsi="Times New Roman" w:eastAsia="宋体" w:cs="Times New Roman"/>
          <w:b w:val="0"/>
          <w:bCs/>
          <w:kern w:val="2"/>
          <w:sz w:val="24"/>
          <w:highlight w:val="none"/>
        </w:rPr>
        <w:t>2年基础质保基础上，质保期每增加1年得1.5分，最多3分。</w:t>
      </w:r>
    </w:p>
    <w:p>
      <w:pPr>
        <w:numPr>
          <w:ilvl w:val="0"/>
          <w:numId w:val="16"/>
        </w:numPr>
        <w:spacing w:line="360" w:lineRule="auto"/>
        <w:ind w:left="-142" w:leftChars="0" w:firstLine="482" w:firstLineChars="0"/>
        <w:rPr>
          <w:rFonts w:hint="eastAsia" w:ascii="Times New Roman" w:hAnsi="Times New Roman" w:eastAsia="宋体" w:cs="Times New Roman"/>
          <w:b w:val="0"/>
          <w:bCs/>
          <w:kern w:val="2"/>
          <w:sz w:val="24"/>
          <w:highlight w:val="none"/>
          <w:lang w:val="en-US" w:eastAsia="zh-CN"/>
        </w:rPr>
      </w:pPr>
      <w:r>
        <w:rPr>
          <w:rFonts w:hint="eastAsia" w:ascii="Times New Roman" w:hAnsi="Times New Roman" w:eastAsia="宋体" w:cs="Times New Roman"/>
          <w:b w:val="0"/>
          <w:bCs/>
          <w:kern w:val="2"/>
          <w:sz w:val="24"/>
          <w:highlight w:val="none"/>
          <w:lang w:val="en-US" w:eastAsia="zh-CN"/>
        </w:rPr>
        <w:t>技术方案（10分）</w:t>
      </w:r>
    </w:p>
    <w:p>
      <w:pPr>
        <w:numPr>
          <w:ilvl w:val="0"/>
          <w:numId w:val="0"/>
        </w:numPr>
        <w:spacing w:line="360" w:lineRule="auto"/>
        <w:ind w:left="340" w:leftChars="0"/>
        <w:rPr>
          <w:rFonts w:hint="eastAsia" w:ascii="Times New Roman" w:hAnsi="Times New Roman" w:eastAsia="宋体" w:cs="Times New Roman"/>
          <w:b w:val="0"/>
          <w:bCs/>
          <w:kern w:val="2"/>
          <w:sz w:val="24"/>
          <w:highlight w:val="none"/>
          <w:lang w:val="en-US" w:eastAsia="zh-CN"/>
        </w:rPr>
      </w:pPr>
      <w:r>
        <w:rPr>
          <w:rFonts w:hint="eastAsia" w:ascii="Times New Roman" w:hAnsi="Times New Roman" w:eastAsia="宋体" w:cs="Times New Roman"/>
          <w:b w:val="0"/>
          <w:bCs/>
          <w:kern w:val="2"/>
          <w:sz w:val="24"/>
          <w:highlight w:val="none"/>
          <w:lang w:val="en-US" w:eastAsia="zh-CN"/>
        </w:rPr>
        <w:t>（1）访客系统部署方案（6分）</w:t>
      </w:r>
    </w:p>
    <w:p>
      <w:pPr>
        <w:numPr>
          <w:ilvl w:val="0"/>
          <w:numId w:val="0"/>
        </w:numPr>
        <w:spacing w:line="360" w:lineRule="auto"/>
        <w:ind w:left="0" w:leftChars="0" w:firstLine="338" w:firstLineChars="141"/>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根据访客系统部署方案情况评分，部署方案应该包括服务器、网络、数据库以及用户数据等情况。方案详细、可行性高、考虑实际因素，得</w:t>
      </w:r>
      <w:r>
        <w:rPr>
          <w:rFonts w:hint="default" w:ascii="Times New Roman" w:hAnsi="Times New Roman" w:eastAsia="宋体" w:cs="Times New Roman"/>
          <w:sz w:val="24"/>
          <w:highlight w:val="none"/>
          <w:lang w:val="zh-CN"/>
        </w:rPr>
        <w:t>6</w:t>
      </w:r>
      <w:r>
        <w:rPr>
          <w:rFonts w:hint="eastAsia" w:ascii="Times New Roman" w:hAnsi="Times New Roman" w:eastAsia="宋体" w:cs="Times New Roman"/>
          <w:sz w:val="24"/>
          <w:highlight w:val="none"/>
          <w:lang w:val="zh-CN"/>
        </w:rPr>
        <w:t>分；方案详细、可行性一般的，得</w:t>
      </w:r>
      <w:r>
        <w:rPr>
          <w:rFonts w:hint="default" w:ascii="Times New Roman" w:hAnsi="Times New Roman" w:eastAsia="宋体" w:cs="Times New Roman"/>
          <w:sz w:val="24"/>
          <w:highlight w:val="none"/>
          <w:lang w:val="zh-CN"/>
        </w:rPr>
        <w:t>2</w:t>
      </w:r>
      <w:r>
        <w:rPr>
          <w:rFonts w:hint="eastAsia" w:ascii="Times New Roman" w:hAnsi="Times New Roman" w:eastAsia="宋体" w:cs="Times New Roman"/>
          <w:sz w:val="24"/>
          <w:highlight w:val="none"/>
          <w:lang w:val="zh-CN"/>
        </w:rPr>
        <w:t>分；方案不详细、未考虑实际因素，不具有可行性的，得1分。本项最高6分。</w:t>
      </w:r>
    </w:p>
    <w:p>
      <w:pPr>
        <w:numPr>
          <w:ilvl w:val="0"/>
          <w:numId w:val="17"/>
        </w:numPr>
        <w:spacing w:line="360" w:lineRule="auto"/>
        <w:ind w:left="340" w:leftChars="0"/>
        <w:rPr>
          <w:rFonts w:hint="eastAsia" w:ascii="Times New Roman" w:hAnsi="Times New Roman" w:eastAsia="宋体" w:cs="Times New Roman"/>
          <w:b w:val="0"/>
          <w:bCs/>
          <w:kern w:val="2"/>
          <w:sz w:val="24"/>
          <w:highlight w:val="none"/>
          <w:lang w:val="en-US" w:eastAsia="zh-CN"/>
        </w:rPr>
      </w:pPr>
      <w:r>
        <w:rPr>
          <w:rFonts w:hint="eastAsia" w:ascii="Times New Roman" w:hAnsi="Times New Roman" w:eastAsia="宋体" w:cs="Times New Roman"/>
          <w:b w:val="0"/>
          <w:bCs/>
          <w:kern w:val="2"/>
          <w:sz w:val="24"/>
          <w:highlight w:val="none"/>
          <w:lang w:val="en-US" w:eastAsia="zh-CN"/>
        </w:rPr>
        <w:t>人脸识别设备接入方案（4分）</w:t>
      </w:r>
    </w:p>
    <w:p>
      <w:pPr>
        <w:numPr>
          <w:ilvl w:val="0"/>
          <w:numId w:val="0"/>
        </w:numPr>
        <w:spacing w:line="360" w:lineRule="auto"/>
        <w:ind w:left="0" w:leftChars="0" w:firstLine="338" w:firstLineChars="141"/>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 xml:space="preserve"> 根据所投的人脸识别设备接入方案进行评分。方案合理，接入速度快、且完全能够接入得4分；需要二次定制开发的得2分；不能直接接入需要替换软件的0分。</w:t>
      </w:r>
    </w:p>
    <w:p>
      <w:pPr>
        <w:numPr>
          <w:ilvl w:val="0"/>
          <w:numId w:val="16"/>
        </w:numPr>
        <w:spacing w:line="360" w:lineRule="auto"/>
        <w:ind w:left="-142" w:leftChars="0" w:firstLine="482" w:firstLineChars="0"/>
        <w:rPr>
          <w:rFonts w:hint="eastAsia" w:ascii="Times New Roman" w:hAnsi="Times New Roman" w:eastAsia="宋体" w:cs="Times New Roman"/>
          <w:b w:val="0"/>
          <w:bCs/>
          <w:kern w:val="2"/>
          <w:sz w:val="24"/>
          <w:highlight w:val="none"/>
          <w:lang w:val="en-US" w:eastAsia="zh-CN"/>
        </w:rPr>
      </w:pPr>
      <w:r>
        <w:rPr>
          <w:rFonts w:hint="eastAsia" w:ascii="Times New Roman" w:hAnsi="Times New Roman" w:eastAsia="宋体" w:cs="Times New Roman"/>
          <w:b w:val="0"/>
          <w:bCs/>
          <w:kern w:val="2"/>
          <w:sz w:val="24"/>
          <w:highlight w:val="none"/>
          <w:lang w:val="en-US" w:eastAsia="zh-CN"/>
        </w:rPr>
        <w:t>功能演示</w:t>
      </w:r>
      <w:r>
        <w:rPr>
          <w:rFonts w:hint="eastAsia" w:ascii="Times New Roman" w:hAnsi="Times New Roman" w:eastAsia="宋体" w:cs="Times New Roman"/>
          <w:sz w:val="24"/>
          <w:highlight w:val="none"/>
          <w:lang w:val="en-US" w:eastAsia="zh-CN"/>
        </w:rPr>
        <w:t>（10分）</w:t>
      </w:r>
    </w:p>
    <w:p>
      <w:pPr>
        <w:numPr>
          <w:ilvl w:val="0"/>
          <w:numId w:val="0"/>
        </w:numPr>
        <w:spacing w:line="360" w:lineRule="auto"/>
        <w:ind w:left="0" w:leftChars="0" w:firstLine="338" w:firstLineChars="141"/>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投标人根据采购人的技术需求，在开标现场进行讲演，讲解时间不超过10分钟。讲标PPT应放入不可擦写的电子光盘中。（讲演顺序按照现场抽签顺序为准）。</w:t>
      </w:r>
    </w:p>
    <w:p>
      <w:pPr>
        <w:numPr>
          <w:ilvl w:val="0"/>
          <w:numId w:val="0"/>
        </w:numPr>
        <w:spacing w:line="360" w:lineRule="auto"/>
        <w:ind w:left="0" w:leftChars="0" w:firstLine="338" w:firstLineChars="141"/>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讲解容包括3条，</w:t>
      </w:r>
    </w:p>
    <w:p>
      <w:pPr>
        <w:numPr>
          <w:ilvl w:val="0"/>
          <w:numId w:val="0"/>
        </w:numPr>
        <w:spacing w:line="360" w:lineRule="auto"/>
        <w:ind w:left="0" w:leftChars="0" w:firstLine="338" w:firstLineChars="141"/>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①本项目的整体功能（2分）</w:t>
      </w:r>
    </w:p>
    <w:p>
      <w:pPr>
        <w:numPr>
          <w:ilvl w:val="0"/>
          <w:numId w:val="0"/>
        </w:numPr>
        <w:spacing w:line="360" w:lineRule="auto"/>
        <w:ind w:left="0" w:leftChars="0" w:firstLine="338" w:firstLineChars="141"/>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讲解详细、切实可行有效且满足采购需求的得2分；有待完善的得1分；未进行讲解或不满足采购需求的不得分。</w:t>
      </w:r>
    </w:p>
    <w:p>
      <w:pPr>
        <w:numPr>
          <w:ilvl w:val="0"/>
          <w:numId w:val="0"/>
        </w:numPr>
        <w:spacing w:line="360" w:lineRule="auto"/>
        <w:ind w:left="0" w:leftChars="0" w:firstLine="338" w:firstLineChars="141"/>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②投标人投入力量（2分）</w:t>
      </w:r>
    </w:p>
    <w:p>
      <w:pPr>
        <w:numPr>
          <w:ilvl w:val="0"/>
          <w:numId w:val="0"/>
        </w:numPr>
        <w:spacing w:line="360" w:lineRule="auto"/>
        <w:ind w:left="0" w:leftChars="0" w:firstLine="338" w:firstLineChars="141"/>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讲解详细、切实可行有效且满足采购需求的得2分；有待完善的得1分；未进行讲解或不满足采购需求的不得分。</w:t>
      </w:r>
    </w:p>
    <w:p>
      <w:pPr>
        <w:numPr>
          <w:ilvl w:val="0"/>
          <w:numId w:val="0"/>
        </w:numPr>
        <w:spacing w:line="360" w:lineRule="auto"/>
        <w:ind w:left="0" w:leftChars="0" w:firstLine="338" w:firstLineChars="141"/>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③访客系统中的预约、核验实物演示（6分）</w:t>
      </w:r>
    </w:p>
    <w:p>
      <w:pPr>
        <w:numPr>
          <w:ilvl w:val="0"/>
          <w:numId w:val="0"/>
        </w:numPr>
        <w:spacing w:line="360" w:lineRule="auto"/>
        <w:ind w:left="0" w:leftChars="0" w:firstLine="338" w:firstLineChars="141"/>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演示成功且满足采购需求的得6分；未通过实物演示访客系统中的预约、核验等功能或演示不成功的得3分；未进行讲解或不满足采购需求的不得分。</w:t>
      </w:r>
    </w:p>
    <w:p>
      <w:pPr>
        <w:numPr>
          <w:ilvl w:val="0"/>
          <w:numId w:val="16"/>
        </w:numPr>
        <w:spacing w:line="360" w:lineRule="auto"/>
        <w:ind w:left="-142" w:leftChars="0" w:firstLine="482" w:firstLineChars="0"/>
        <w:rPr>
          <w:rFonts w:hint="eastAsia" w:ascii="Times New Roman" w:hAnsi="Times New Roman" w:eastAsia="宋体" w:cs="Times New Roman"/>
          <w:b w:val="0"/>
          <w:bCs/>
          <w:kern w:val="2"/>
          <w:sz w:val="24"/>
          <w:highlight w:val="none"/>
          <w:lang w:val="en-US" w:eastAsia="zh-CN"/>
        </w:rPr>
      </w:pPr>
      <w:r>
        <w:rPr>
          <w:rFonts w:hint="eastAsia" w:ascii="Times New Roman" w:hAnsi="Times New Roman" w:eastAsia="宋体" w:cs="Times New Roman"/>
          <w:b w:val="0"/>
          <w:bCs/>
          <w:kern w:val="2"/>
          <w:sz w:val="24"/>
          <w:highlight w:val="none"/>
          <w:lang w:val="en-US" w:eastAsia="zh-CN"/>
        </w:rPr>
        <w:t>投标文件的规范性、表述清晰程度（2分）</w:t>
      </w:r>
    </w:p>
    <w:p>
      <w:pPr>
        <w:numPr>
          <w:ilvl w:val="0"/>
          <w:numId w:val="0"/>
        </w:numPr>
        <w:spacing w:line="360" w:lineRule="auto"/>
        <w:ind w:left="0" w:leftChars="0" w:firstLine="338" w:firstLineChars="141"/>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b w:val="0"/>
          <w:bCs/>
          <w:kern w:val="2"/>
          <w:sz w:val="24"/>
          <w:highlight w:val="none"/>
          <w:lang w:val="en-US" w:eastAsia="zh-CN"/>
        </w:rPr>
        <w:t>投标文件规范、表述清晰得2分，</w:t>
      </w:r>
      <w:r>
        <w:rPr>
          <w:rFonts w:hint="eastAsia" w:ascii="Times New Roman" w:hAnsi="Times New Roman" w:eastAsia="宋体" w:cs="Times New Roman"/>
          <w:sz w:val="24"/>
          <w:highlight w:val="none"/>
          <w:lang w:val="en-US" w:eastAsia="zh-CN"/>
        </w:rPr>
        <w:t>投标文件内容未按照评分标准做对应位置绑定的，此项不得分。</w:t>
      </w:r>
    </w:p>
    <w:p>
      <w:pPr>
        <w:spacing w:line="360" w:lineRule="auto"/>
        <w:ind w:firstLine="482" w:firstLineChars="200"/>
        <w:rPr>
          <w:rFonts w:hint="default" w:ascii="Times New Roman" w:hAnsi="Times New Roman" w:cs="Times New Roman"/>
          <w:sz w:val="24"/>
          <w:highlight w:val="none"/>
        </w:rPr>
      </w:pPr>
      <w:r>
        <w:rPr>
          <w:rFonts w:hint="default" w:ascii="Times New Roman" w:hAnsi="Times New Roman" w:cs="Times New Roman"/>
          <w:b/>
          <w:bCs/>
          <w:sz w:val="24"/>
          <w:highlight w:val="none"/>
        </w:rPr>
        <w:t>加分因素：</w:t>
      </w:r>
      <w:r>
        <w:rPr>
          <w:rFonts w:hint="default" w:ascii="Times New Roman" w:hAnsi="Times New Roman" w:cs="Times New Roman"/>
          <w:sz w:val="24"/>
          <w:highlight w:val="none"/>
        </w:rPr>
        <w:t>依据财政部、发展改革委发布的《节能产品政府采购品目清单》和财政部、生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p>
    <w:p>
      <w:pPr>
        <w:spacing w:line="360" w:lineRule="auto"/>
        <w:ind w:firstLine="569" w:firstLineChars="236"/>
        <w:rPr>
          <w:rFonts w:hint="default" w:ascii="Times New Roman" w:hAnsi="Times New Roman" w:cs="Times New Roman"/>
          <w:b/>
          <w:bCs/>
          <w:kern w:val="2"/>
          <w:sz w:val="24"/>
          <w:highlight w:val="none"/>
        </w:rPr>
      </w:pPr>
      <w:bookmarkStart w:id="6" w:name="_Hlk63194534"/>
      <w:r>
        <w:rPr>
          <w:rFonts w:hint="default" w:ascii="Times New Roman" w:hAnsi="Times New Roman" w:cs="Times New Roman"/>
          <w:b/>
          <w:kern w:val="2"/>
          <w:sz w:val="24"/>
          <w:highlight w:val="none"/>
        </w:rPr>
        <w:t>投标供应商必须保证其所投报的资料是准确的、真实的，如有失实、甚至弄虚作假，将取消其投标及中标资格，并上报行政主管部门进行处罚。</w:t>
      </w:r>
    </w:p>
    <w:bookmarkEnd w:id="6"/>
    <w:p>
      <w:pPr>
        <w:pStyle w:val="5"/>
        <w:rPr>
          <w:rFonts w:hint="default" w:ascii="Times New Roman" w:hAnsi="Times New Roman" w:cs="Times New Roman"/>
          <w:highlight w:val="none"/>
        </w:rPr>
      </w:pPr>
      <w:r>
        <w:rPr>
          <w:rFonts w:hint="default" w:ascii="Times New Roman" w:hAnsi="Times New Roman" w:cs="Times New Roman"/>
          <w:highlight w:val="none"/>
        </w:rPr>
        <w:t>（九）定标</w:t>
      </w:r>
    </w:p>
    <w:p>
      <w:pPr>
        <w:numPr>
          <w:ilvl w:val="0"/>
          <w:numId w:val="18"/>
        </w:numPr>
        <w:tabs>
          <w:tab w:val="left" w:pos="525"/>
          <w:tab w:val="left" w:pos="1155"/>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评标委员会根据招标文件规定的评标方法和评标标准进行评审，按招标文件的要求在3家中标候选单位中，依法确定中标供应商。江苏信中天工程咨询有限公司将在无锡政府采购网、江苏政府采购网上发布中标公告。如有质疑，按《中华人民共和国政府采购法》、财政部《政府采购货物和服务招标投标管理办法》等有关法规处理。</w:t>
      </w:r>
    </w:p>
    <w:p>
      <w:pPr>
        <w:numPr>
          <w:ilvl w:val="0"/>
          <w:numId w:val="18"/>
        </w:numPr>
        <w:tabs>
          <w:tab w:val="left" w:pos="525"/>
          <w:tab w:val="left" w:pos="1155"/>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投标、开标及定标的整个过程均由无锡市政府采购监管部门的监督。</w:t>
      </w:r>
    </w:p>
    <w:p>
      <w:pPr>
        <w:numPr>
          <w:ilvl w:val="0"/>
          <w:numId w:val="18"/>
        </w:numPr>
        <w:tabs>
          <w:tab w:val="left" w:pos="525"/>
          <w:tab w:val="left" w:pos="1155"/>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中标公示结束后，江苏信中天工程咨询有限公司将向中标供应商发出中标通知书。</w:t>
      </w:r>
    </w:p>
    <w:p>
      <w:pPr>
        <w:numPr>
          <w:ilvl w:val="0"/>
          <w:numId w:val="18"/>
        </w:numPr>
        <w:tabs>
          <w:tab w:val="left" w:pos="525"/>
          <w:tab w:val="left" w:pos="1155"/>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未中标供应商的投标文件正本、中标供应商的投标文件正本及副本（两份）留存，其余投标文件副本和原件退还各投标供应商。</w:t>
      </w:r>
    </w:p>
    <w:p>
      <w:pPr>
        <w:pStyle w:val="5"/>
        <w:rPr>
          <w:rFonts w:hint="default" w:ascii="Times New Roman" w:hAnsi="Times New Roman" w:cs="Times New Roman"/>
          <w:highlight w:val="none"/>
        </w:rPr>
      </w:pPr>
      <w:r>
        <w:rPr>
          <w:rFonts w:hint="default" w:ascii="Times New Roman" w:hAnsi="Times New Roman" w:cs="Times New Roman"/>
          <w:highlight w:val="none"/>
        </w:rPr>
        <w:t>（十） 废标的确认</w:t>
      </w:r>
    </w:p>
    <w:p>
      <w:pPr>
        <w:snapToGrid w:val="0"/>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在招标采购中，出现下列情况之一的，应予废标：</w:t>
      </w:r>
    </w:p>
    <w:p>
      <w:pPr>
        <w:numPr>
          <w:ilvl w:val="0"/>
          <w:numId w:val="19"/>
        </w:numPr>
        <w:tabs>
          <w:tab w:val="left" w:pos="525"/>
          <w:tab w:val="left" w:pos="1155"/>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符合专业条件的投标供应商或者对招标文件作出实质性响应的投标供应商不足三家；</w:t>
      </w:r>
    </w:p>
    <w:p>
      <w:pPr>
        <w:numPr>
          <w:ilvl w:val="0"/>
          <w:numId w:val="19"/>
        </w:numPr>
        <w:tabs>
          <w:tab w:val="left" w:pos="525"/>
          <w:tab w:val="left" w:pos="1155"/>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出现影响采购公正的违法、违规行为；</w:t>
      </w:r>
    </w:p>
    <w:p>
      <w:pPr>
        <w:numPr>
          <w:ilvl w:val="0"/>
          <w:numId w:val="19"/>
        </w:numPr>
        <w:tabs>
          <w:tab w:val="left" w:pos="525"/>
          <w:tab w:val="left" w:pos="1155"/>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投标供应商的报价均超过采购预算，采购人不能支付的；</w:t>
      </w:r>
    </w:p>
    <w:p>
      <w:pPr>
        <w:numPr>
          <w:ilvl w:val="0"/>
          <w:numId w:val="19"/>
        </w:numPr>
        <w:tabs>
          <w:tab w:val="left" w:pos="525"/>
          <w:tab w:val="left" w:pos="1155"/>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因重大变故，采购任务取消。</w:t>
      </w:r>
    </w:p>
    <w:p>
      <w:pPr>
        <w:pStyle w:val="5"/>
        <w:rPr>
          <w:rFonts w:hint="default" w:ascii="Times New Roman" w:hAnsi="Times New Roman" w:cs="Times New Roman"/>
          <w:highlight w:val="none"/>
        </w:rPr>
      </w:pPr>
      <w:r>
        <w:rPr>
          <w:rFonts w:hint="default" w:ascii="Times New Roman" w:hAnsi="Times New Roman" w:cs="Times New Roman"/>
          <w:highlight w:val="none"/>
        </w:rPr>
        <w:t>（十一）中标无效的确认</w:t>
      </w:r>
    </w:p>
    <w:p>
      <w:pPr>
        <w:numPr>
          <w:ilvl w:val="0"/>
          <w:numId w:val="20"/>
        </w:numPr>
        <w:tabs>
          <w:tab w:val="left" w:pos="525"/>
          <w:tab w:val="left" w:pos="1155"/>
        </w:tabs>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提供虚假材料谋取中标的；</w:t>
      </w:r>
    </w:p>
    <w:p>
      <w:pPr>
        <w:numPr>
          <w:ilvl w:val="0"/>
          <w:numId w:val="20"/>
        </w:numPr>
        <w:tabs>
          <w:tab w:val="left" w:pos="525"/>
          <w:tab w:val="left" w:pos="1155"/>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采取不正当手段诋毁、排挤其他投标供应商的；</w:t>
      </w:r>
    </w:p>
    <w:p>
      <w:pPr>
        <w:numPr>
          <w:ilvl w:val="0"/>
          <w:numId w:val="20"/>
        </w:numPr>
        <w:tabs>
          <w:tab w:val="left" w:pos="525"/>
          <w:tab w:val="left" w:pos="1155"/>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与招标采购单位、其他投标供应商恶意串通的；</w:t>
      </w:r>
    </w:p>
    <w:p>
      <w:pPr>
        <w:numPr>
          <w:ilvl w:val="0"/>
          <w:numId w:val="20"/>
        </w:numPr>
        <w:tabs>
          <w:tab w:val="left" w:pos="525"/>
          <w:tab w:val="left" w:pos="1140"/>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向采购人行贿或者提供其他不正当利益的；</w:t>
      </w:r>
    </w:p>
    <w:p>
      <w:pPr>
        <w:numPr>
          <w:ilvl w:val="0"/>
          <w:numId w:val="20"/>
        </w:numPr>
        <w:tabs>
          <w:tab w:val="left" w:pos="525"/>
          <w:tab w:val="left" w:pos="1140"/>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在招标过程中与采购人进行协商谈判、不按照招标文件和中标供应商的投标文件订立合同，或者与采购人另行订立背离合同实质性内容的协议的；</w:t>
      </w:r>
    </w:p>
    <w:p>
      <w:pPr>
        <w:numPr>
          <w:ilvl w:val="0"/>
          <w:numId w:val="20"/>
        </w:numPr>
        <w:tabs>
          <w:tab w:val="left" w:pos="525"/>
          <w:tab w:val="left" w:pos="1140"/>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拒绝有关部门监督检查或者提供虚假情况的。</w:t>
      </w:r>
    </w:p>
    <w:p>
      <w:pPr>
        <w:snapToGrid w:val="0"/>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投标供应商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pStyle w:val="5"/>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（十二）签订、履行合同</w:t>
      </w:r>
    </w:p>
    <w:p>
      <w:pPr>
        <w:numPr>
          <w:ilvl w:val="0"/>
          <w:numId w:val="21"/>
        </w:numPr>
        <w:tabs>
          <w:tab w:val="left" w:pos="525"/>
          <w:tab w:val="left" w:pos="1140"/>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采购人应当自中标通知书发出之日起十五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江苏信中天工程咨询有限公司见证后生效。</w:t>
      </w:r>
    </w:p>
    <w:p>
      <w:pPr>
        <w:numPr>
          <w:ilvl w:val="0"/>
          <w:numId w:val="21"/>
        </w:numPr>
        <w:tabs>
          <w:tab w:val="left" w:pos="525"/>
          <w:tab w:val="left" w:pos="1140"/>
        </w:tabs>
        <w:snapToGrid w:val="0"/>
        <w:spacing w:line="360" w:lineRule="auto"/>
        <w:ind w:left="0"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江苏信中天工程咨询有限公司监督合同的履行。中标方非因不可抗力未履行招、投标文件和合同规定的义务，一经查实，采购代理机构将根据具体情况提请政府采购管理部门作出相应处理。</w:t>
      </w:r>
    </w:p>
    <w:p>
      <w:pPr>
        <w:pStyle w:val="5"/>
        <w:rPr>
          <w:rFonts w:hint="default" w:ascii="Times New Roman" w:hAnsi="Times New Roman" w:cs="Times New Roman"/>
          <w:szCs w:val="28"/>
          <w:highlight w:val="none"/>
        </w:rPr>
      </w:pPr>
      <w:r>
        <w:rPr>
          <w:rFonts w:hint="default" w:ascii="Times New Roman" w:hAnsi="Times New Roman" w:cs="Times New Roman"/>
          <w:highlight w:val="none"/>
        </w:rPr>
        <w:t>（十三）政府采购信用担保</w:t>
      </w:r>
    </w:p>
    <w:p>
      <w:pPr>
        <w:adjustRightInd w:val="0"/>
        <w:snapToGrid w:val="0"/>
        <w:spacing w:line="360" w:lineRule="auto"/>
        <w:ind w:firstLine="480" w:firstLineChars="200"/>
        <w:rPr>
          <w:rFonts w:hint="default" w:ascii="Times New Roman" w:hAnsi="Times New Roman" w:cs="Times New Roman"/>
          <w:kern w:val="2"/>
          <w:sz w:val="24"/>
          <w:highlight w:val="none"/>
          <w:shd w:val="clear" w:color="auto" w:fill="FFFFFF"/>
        </w:rPr>
      </w:pPr>
      <w:r>
        <w:rPr>
          <w:rFonts w:hint="default" w:ascii="Times New Roman" w:hAnsi="Times New Roman" w:cs="Times New Roman"/>
          <w:kern w:val="2"/>
          <w:sz w:val="24"/>
          <w:highlight w:val="none"/>
          <w:shd w:val="clear" w:color="auto" w:fill="FFFFFF"/>
        </w:rPr>
        <w:t>政府采购信用担保，是由专业担保机构为供应商向采购人、代理机构、金融机构提供的保证，主要包括履约担保形式。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adjustRightInd w:val="0"/>
        <w:snapToGrid w:val="0"/>
        <w:spacing w:line="360" w:lineRule="auto"/>
        <w:ind w:firstLine="480" w:firstLineChars="200"/>
        <w:rPr>
          <w:rFonts w:hint="default" w:ascii="Times New Roman" w:hAnsi="Times New Roman" w:cs="Times New Roman"/>
          <w:kern w:val="2"/>
          <w:sz w:val="24"/>
          <w:highlight w:val="none"/>
          <w:shd w:val="clear" w:color="auto" w:fill="FFFFFF"/>
        </w:rPr>
      </w:pPr>
      <w:r>
        <w:rPr>
          <w:rFonts w:hint="default" w:ascii="Times New Roman" w:hAnsi="Times New Roman" w:cs="Times New Roman"/>
          <w:kern w:val="2"/>
          <w:sz w:val="24"/>
          <w:highlight w:val="none"/>
          <w:shd w:val="clear" w:color="auto" w:fill="FFFFFF"/>
        </w:rPr>
        <w:t>1.履约担保。</w:t>
      </w:r>
    </w:p>
    <w:p>
      <w:pPr>
        <w:adjustRightInd w:val="0"/>
        <w:snapToGrid w:val="0"/>
        <w:spacing w:line="360" w:lineRule="auto"/>
        <w:ind w:firstLine="480" w:firstLineChars="200"/>
        <w:rPr>
          <w:rFonts w:hint="default" w:ascii="Times New Roman" w:hAnsi="Times New Roman" w:cs="Times New Roman"/>
          <w:kern w:val="2"/>
          <w:sz w:val="24"/>
          <w:highlight w:val="none"/>
          <w:shd w:val="clear" w:color="auto" w:fill="FFFFFF"/>
        </w:rPr>
      </w:pPr>
      <w:r>
        <w:rPr>
          <w:rFonts w:hint="default" w:ascii="Times New Roman" w:hAnsi="Times New Roman" w:cs="Times New Roman"/>
          <w:kern w:val="2"/>
          <w:sz w:val="24"/>
          <w:highlight w:val="none"/>
          <w:shd w:val="clear" w:color="auto" w:fill="FFFFFF"/>
        </w:rPr>
        <w:t xml:space="preserve"> 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政府采购履约担保函格式见附件1。</w:t>
      </w:r>
    </w:p>
    <w:p>
      <w:pPr>
        <w:adjustRightInd w:val="0"/>
        <w:snapToGrid w:val="0"/>
        <w:spacing w:line="360" w:lineRule="auto"/>
        <w:ind w:firstLine="480" w:firstLineChars="200"/>
        <w:rPr>
          <w:rFonts w:hint="default" w:ascii="Times New Roman" w:hAnsi="Times New Roman" w:cs="Times New Roman"/>
          <w:kern w:val="2"/>
          <w:sz w:val="24"/>
          <w:highlight w:val="none"/>
          <w:shd w:val="clear" w:color="auto" w:fill="FFFFFF"/>
        </w:rPr>
      </w:pPr>
      <w:r>
        <w:rPr>
          <w:rFonts w:hint="default" w:ascii="Times New Roman" w:hAnsi="Times New Roman" w:cs="Times New Roman"/>
          <w:kern w:val="2"/>
          <w:sz w:val="24"/>
          <w:highlight w:val="none"/>
          <w:shd w:val="clear" w:color="auto" w:fill="FFFFFF"/>
        </w:rPr>
        <w:t>2.合作担保机构及银行出具的投标担保函、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pPr>
        <w:pStyle w:val="5"/>
        <w:rPr>
          <w:rFonts w:hint="default" w:ascii="Times New Roman" w:hAnsi="Times New Roman" w:cs="Times New Roman"/>
          <w:highlight w:val="none"/>
        </w:rPr>
      </w:pPr>
      <w:r>
        <w:rPr>
          <w:rFonts w:hint="default" w:ascii="Times New Roman" w:hAnsi="Times New Roman" w:cs="Times New Roman"/>
          <w:highlight w:val="none"/>
        </w:rPr>
        <w:t>（十四）合同融资</w:t>
      </w:r>
    </w:p>
    <w:p>
      <w:pPr>
        <w:adjustRightInd w:val="0"/>
        <w:snapToGrid w:val="0"/>
        <w:spacing w:line="360" w:lineRule="auto"/>
        <w:ind w:firstLine="480" w:firstLineChars="200"/>
        <w:rPr>
          <w:rFonts w:hint="default" w:ascii="Times New Roman" w:hAnsi="Times New Roman" w:cs="Times New Roman"/>
          <w:kern w:val="2"/>
          <w:sz w:val="24"/>
          <w:highlight w:val="none"/>
          <w:shd w:val="clear" w:color="auto" w:fill="FFFFFF"/>
        </w:rPr>
      </w:pPr>
      <w:r>
        <w:rPr>
          <w:rFonts w:hint="default" w:ascii="Times New Roman" w:hAnsi="Times New Roman" w:cs="Times New Roman"/>
          <w:kern w:val="2"/>
          <w:sz w:val="24"/>
          <w:highlight w:val="none"/>
          <w:shd w:val="clear" w:color="auto" w:fill="FFFFFF"/>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无锡市政府采购合同融资政策告知函见附件2.</w:t>
      </w:r>
    </w:p>
    <w:p>
      <w:pPr>
        <w:tabs>
          <w:tab w:val="left" w:pos="1050"/>
        </w:tabs>
        <w:spacing w:line="360" w:lineRule="auto"/>
        <w:ind w:firstLine="480" w:firstLineChars="200"/>
        <w:rPr>
          <w:rFonts w:hint="default" w:ascii="Times New Roman" w:hAnsi="Times New Roman" w:cs="Times New Roman"/>
          <w:bCs/>
          <w:kern w:val="2"/>
          <w:sz w:val="24"/>
          <w:highlight w:val="none"/>
        </w:rPr>
      </w:pPr>
      <w:r>
        <w:rPr>
          <w:rFonts w:hint="default" w:ascii="Times New Roman" w:hAnsi="Times New Roman" w:cs="Times New Roman"/>
          <w:kern w:val="2"/>
          <w:sz w:val="24"/>
          <w:highlight w:val="none"/>
          <w:shd w:val="clear" w:color="auto" w:fill="FFFFFF"/>
        </w:rPr>
        <w:t>中标、成交供应商可根据自身情况，自行决定是否选择采用合同融资形式，在无锡政府采购网——政采贷专栏提供的银行名录内自主选择合作银行。</w:t>
      </w:r>
    </w:p>
    <w:p>
      <w:pPr>
        <w:pStyle w:val="5"/>
        <w:rPr>
          <w:rFonts w:hint="default" w:ascii="Times New Roman" w:hAnsi="Times New Roman" w:cs="Times New Roman"/>
          <w:highlight w:val="none"/>
        </w:rPr>
      </w:pPr>
      <w:r>
        <w:rPr>
          <w:rFonts w:hint="default" w:ascii="Times New Roman" w:hAnsi="Times New Roman" w:cs="Times New Roman"/>
          <w:highlight w:val="none"/>
        </w:rPr>
        <w:t>（十五）代理服务费</w:t>
      </w:r>
    </w:p>
    <w:p>
      <w:pPr>
        <w:tabs>
          <w:tab w:val="left" w:pos="525"/>
          <w:tab w:val="left" w:pos="105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bCs/>
          <w:sz w:val="24"/>
          <w:highlight w:val="none"/>
        </w:rPr>
        <w:t>本项目招标代理费以中标价按国家计委计价格[2002]1980号《招标代理服务收费管理暂行办法》所规定的收费标准规定（货物类）打5折计取。招标代理费由中标供应商支付。</w:t>
      </w:r>
    </w:p>
    <w:p>
      <w:pPr>
        <w:pStyle w:val="5"/>
        <w:rPr>
          <w:rFonts w:hint="default" w:ascii="Times New Roman" w:hAnsi="Times New Roman" w:cs="Times New Roman"/>
          <w:highlight w:val="none"/>
        </w:rPr>
      </w:pPr>
      <w:r>
        <w:rPr>
          <w:rFonts w:hint="default" w:ascii="Times New Roman" w:hAnsi="Times New Roman" w:cs="Times New Roman"/>
          <w:highlight w:val="none"/>
        </w:rPr>
        <w:t>（十六）其他</w:t>
      </w:r>
    </w:p>
    <w:p>
      <w:pPr>
        <w:tabs>
          <w:tab w:val="left" w:pos="525"/>
          <w:tab w:val="left" w:pos="1050"/>
        </w:tabs>
        <w:snapToGrid w:val="0"/>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sz w:val="24"/>
          <w:highlight w:val="none"/>
        </w:rPr>
        <w:t>招标文件的条款必须认真审阅，投标人应自行检查采购文件页数是否齐全。若有遗漏、重复或不清楚，需立刻通知采购人予以更正；凡属对条款的误解所造成的投标价格失误，由投标人负责。</w:t>
      </w:r>
    </w:p>
    <w:p>
      <w:pPr>
        <w:tabs>
          <w:tab w:val="left" w:pos="525"/>
          <w:tab w:val="left" w:pos="1050"/>
        </w:tabs>
        <w:snapToGrid w:val="0"/>
        <w:spacing w:line="360" w:lineRule="auto"/>
        <w:ind w:firstLine="480" w:firstLineChars="200"/>
        <w:rPr>
          <w:rFonts w:hint="default" w:ascii="Times New Roman" w:hAnsi="Times New Roman" w:cs="Times New Roman"/>
          <w:bCs/>
          <w:sz w:val="24"/>
          <w:highlight w:val="none"/>
        </w:rPr>
      </w:pPr>
    </w:p>
    <w:p>
      <w:pPr>
        <w:widowControl/>
        <w:ind w:firstLine="480" w:firstLineChars="200"/>
        <w:jc w:val="left"/>
        <w:rPr>
          <w:rFonts w:hint="default" w:ascii="Times New Roman" w:hAnsi="Times New Roman" w:cs="Times New Roman"/>
          <w:kern w:val="2"/>
          <w:sz w:val="24"/>
          <w:szCs w:val="24"/>
          <w:highlight w:val="none"/>
          <w:shd w:val="clear" w:color="auto" w:fill="FFFFFF"/>
        </w:rPr>
      </w:pPr>
      <w:r>
        <w:rPr>
          <w:rFonts w:hint="default" w:ascii="Times New Roman" w:hAnsi="Times New Roman" w:cs="Times New Roman"/>
          <w:kern w:val="2"/>
          <w:sz w:val="24"/>
          <w:szCs w:val="24"/>
          <w:highlight w:val="none"/>
          <w:shd w:val="clear" w:color="auto" w:fill="FFFFFF"/>
        </w:rPr>
        <w:br w:type="page"/>
      </w:r>
    </w:p>
    <w:p>
      <w:pPr>
        <w:adjustRightInd w:val="0"/>
        <w:snapToGrid w:val="0"/>
        <w:spacing w:line="360" w:lineRule="auto"/>
        <w:ind w:firstLine="480" w:firstLineChars="200"/>
        <w:rPr>
          <w:rFonts w:hint="default" w:ascii="Times New Roman" w:hAnsi="Times New Roman" w:cs="Times New Roman"/>
          <w:kern w:val="2"/>
          <w:sz w:val="24"/>
          <w:szCs w:val="24"/>
          <w:highlight w:val="none"/>
          <w:shd w:val="clear" w:color="auto" w:fill="FFFFFF"/>
        </w:rPr>
      </w:pPr>
      <w:r>
        <w:rPr>
          <w:rFonts w:hint="default" w:ascii="Times New Roman" w:hAnsi="Times New Roman" w:cs="Times New Roman"/>
          <w:kern w:val="2"/>
          <w:sz w:val="24"/>
          <w:szCs w:val="24"/>
          <w:highlight w:val="none"/>
          <w:shd w:val="clear" w:color="auto" w:fill="FFFFFF"/>
        </w:rPr>
        <w:t>附件1.                政府采购履约担保函（项目用）</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编号：</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u w:val="single"/>
        </w:rPr>
      </w:pPr>
      <w:r>
        <w:rPr>
          <w:rFonts w:hint="default" w:ascii="Times New Roman" w:hAnsi="Times New Roman" w:cs="Times New Roman"/>
          <w:kern w:val="2"/>
          <w:sz w:val="24"/>
          <w:szCs w:val="24"/>
          <w:highlight w:val="none"/>
          <w:u w:val="single"/>
        </w:rPr>
        <w:t>（采购人）：</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鉴于你方与</w:t>
      </w:r>
      <w:r>
        <w:rPr>
          <w:rFonts w:hint="default" w:ascii="Times New Roman" w:hAnsi="Times New Roman" w:cs="Times New Roman"/>
          <w:kern w:val="2"/>
          <w:sz w:val="24"/>
          <w:szCs w:val="24"/>
          <w:highlight w:val="none"/>
          <w:u w:val="single"/>
        </w:rPr>
        <w:t>（以下简称供应商）</w:t>
      </w:r>
      <w:r>
        <w:rPr>
          <w:rFonts w:hint="default" w:ascii="Times New Roman" w:hAnsi="Times New Roman" w:cs="Times New Roman"/>
          <w:kern w:val="2"/>
          <w:sz w:val="24"/>
          <w:szCs w:val="24"/>
          <w:highlight w:val="none"/>
        </w:rPr>
        <w:t>于年月日签定编号为的《政府采购合同》（以下简称主合同），且依据该合同的约定，供应商应在</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年 月 日前向你方交纳履约保证金，且可以履约担保函的形式交纳履约保证金。应供应商的申请，我方以保证的方式向你方提供如下履约保证金担保：</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一、保证责任的情形及保证金额</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（一）在供应商出现下列情形之一时，我方承担保证责任：</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1．将中标项目转让给他人，或者在响应文件中未说明，且未经采购招标机构人同意，将中标项目分包给他人的；</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 xml:space="preserve">　　2．主合同约定的应当缴纳履约保证金的情形: </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（1）未按主合同约定的质量、数量和期限供应货物/提供服务/完成工程的；</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（二）我方的保证范围是主合同约定的合同价款总额的%数额为元（大写），币种为。（即主合同履约保证金金额）</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二、保证的方式及保证期间</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我方保证的方式为：连带责任保证。</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我方保证的期间为：自本合同生效之日起至供应商按照主合同约定的供货/完工期限届满后日内。</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如果供应商未按主合同约定向贵方供应货物/提供服务/完成工程的，由我方在保证金额内向你方支付上述款项。</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三、承担保证责任的程序</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2．我方收到你方的书面索赔通知及相应证明材料，在工作日内进行核定后按照本保函的承诺承担保证责任。</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四、保证责任的终止</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2．我方按照本保函向你方履行了保证责任后，自我方向你方支付款项（支付款项从我方账户划出）之日起，保证责任即终止。</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3．按照法律法规的规定或出现应终止我方保证责任的其它情形的，我方在本保函项下的保证责任亦终止。</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五、免责条款</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1．因你方违反主合同约定致使供应商不能履行义务的，我方不承担保证责任。</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2．依照法律法规的规定或你方与供应商的另行约定，全部或者部分免除供应商应缴纳的保证金义务的，我方亦免除相应的保证责任。</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3．因不可抗力造成供应商不能履行供货义务的，我方不承担保证责任。</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六、争议的解决</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因本保函发生的纠纷，由你我双方协商解决，协商不成的，通过诉讼程序解决，诉讼管辖地法院为法院。</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七、保函的生效</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本保函自我方加盖公章之日起生效。</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保证人：（公章）</w:t>
      </w:r>
    </w:p>
    <w:p>
      <w:pPr>
        <w:widowControl/>
        <w:tabs>
          <w:tab w:val="left" w:pos="360"/>
          <w:tab w:val="left" w:pos="960"/>
        </w:tabs>
        <w:adjustRightInd w:val="0"/>
        <w:snapToGrid w:val="0"/>
        <w:spacing w:line="360" w:lineRule="auto"/>
        <w:ind w:firstLine="480" w:firstLineChars="200"/>
        <w:jc w:val="left"/>
        <w:rPr>
          <w:rFonts w:hint="default" w:ascii="Times New Roman" w:hAnsi="Times New Roman" w:cs="Times New Roman"/>
          <w:kern w:val="2"/>
          <w:sz w:val="24"/>
          <w:szCs w:val="24"/>
          <w:highlight w:val="none"/>
        </w:rPr>
      </w:pPr>
    </w:p>
    <w:p>
      <w:pPr>
        <w:adjustRightInd w:val="0"/>
        <w:snapToGrid w:val="0"/>
        <w:spacing w:line="360" w:lineRule="auto"/>
        <w:ind w:firstLine="480" w:firstLineChars="200"/>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年月日</w:t>
      </w:r>
    </w:p>
    <w:p>
      <w:pPr>
        <w:adjustRightInd w:val="0"/>
        <w:snapToGrid w:val="0"/>
        <w:spacing w:line="360" w:lineRule="auto"/>
        <w:ind w:firstLine="480" w:firstLineChars="200"/>
        <w:rPr>
          <w:rFonts w:hint="default" w:ascii="Times New Roman" w:hAnsi="Times New Roman" w:cs="Times New Roman"/>
          <w:kern w:val="2"/>
          <w:sz w:val="24"/>
          <w:szCs w:val="24"/>
          <w:highlight w:val="none"/>
          <w:shd w:val="clear" w:color="auto" w:fill="FFFFFF"/>
        </w:rPr>
      </w:pPr>
      <w:r>
        <w:rPr>
          <w:rFonts w:hint="default" w:ascii="Times New Roman" w:hAnsi="Times New Roman" w:cs="Times New Roman"/>
          <w:kern w:val="2"/>
          <w:sz w:val="24"/>
          <w:szCs w:val="24"/>
          <w:highlight w:val="none"/>
        </w:rPr>
        <w:br w:type="page"/>
      </w:r>
    </w:p>
    <w:p>
      <w:pPr>
        <w:spacing w:after="240" w:afterLines="100" w:line="580" w:lineRule="exact"/>
        <w:ind w:firstLine="480" w:firstLineChars="200"/>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附件2：</w:t>
      </w:r>
    </w:p>
    <w:p>
      <w:pPr>
        <w:spacing w:after="240" w:afterLines="100" w:line="580" w:lineRule="exact"/>
        <w:ind w:firstLine="482" w:firstLineChars="200"/>
        <w:jc w:val="center"/>
        <w:rPr>
          <w:rFonts w:hint="default" w:ascii="Times New Roman" w:hAnsi="Times New Roman" w:cs="Times New Roman"/>
          <w:b/>
          <w:kern w:val="2"/>
          <w:sz w:val="24"/>
          <w:szCs w:val="24"/>
          <w:highlight w:val="none"/>
        </w:rPr>
      </w:pPr>
    </w:p>
    <w:p>
      <w:pPr>
        <w:spacing w:after="240" w:afterLines="100" w:line="580" w:lineRule="exact"/>
        <w:ind w:firstLine="480" w:firstLineChars="200"/>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无锡市政府采购合同融资政策告知函</w:t>
      </w:r>
    </w:p>
    <w:p>
      <w:pPr>
        <w:spacing w:after="240" w:afterLines="100" w:line="580" w:lineRule="exact"/>
        <w:ind w:firstLine="480" w:firstLineChars="200"/>
        <w:rPr>
          <w:rFonts w:hint="default" w:ascii="Times New Roman" w:hAnsi="Times New Roman" w:cs="Times New Roman"/>
          <w:kern w:val="2"/>
          <w:sz w:val="24"/>
          <w:szCs w:val="24"/>
          <w:highlight w:val="none"/>
        </w:rPr>
      </w:pPr>
    </w:p>
    <w:p>
      <w:pPr>
        <w:spacing w:after="240" w:afterLines="100" w:line="580" w:lineRule="exact"/>
        <w:ind w:firstLine="480" w:firstLineChars="200"/>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各供应商：</w:t>
      </w:r>
    </w:p>
    <w:p>
      <w:pPr>
        <w:spacing w:after="240" w:afterLines="100" w:line="580" w:lineRule="exact"/>
        <w:ind w:firstLine="480" w:firstLineChars="200"/>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欢迎贵公司参与无锡市政府采购活动！</w:t>
      </w:r>
    </w:p>
    <w:p>
      <w:pPr>
        <w:spacing w:after="240" w:afterLines="100" w:line="580" w:lineRule="exact"/>
        <w:ind w:firstLine="480" w:firstLineChars="200"/>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spacing w:line="360" w:lineRule="auto"/>
        <w:ind w:firstLine="480" w:firstLineChars="200"/>
        <w:rPr>
          <w:rFonts w:hint="default" w:ascii="Times New Roman" w:hAnsi="Times New Roman" w:cs="Times New Roman"/>
          <w:b/>
          <w:bCs/>
          <w:sz w:val="24"/>
          <w:szCs w:val="24"/>
          <w:highlight w:val="none"/>
        </w:rPr>
      </w:pPr>
      <w:r>
        <w:rPr>
          <w:rFonts w:hint="default" w:ascii="Times New Roman" w:hAnsi="Times New Roman" w:cs="Times New Roman"/>
          <w:kern w:val="2"/>
          <w:sz w:val="24"/>
          <w:szCs w:val="24"/>
          <w:highlight w:val="none"/>
        </w:rPr>
        <w:t>贷款渠道和提供贷款的金融机构，可在无锡政府采购网无锡市政府采购交易管理一体化系统查询联系。</w:t>
      </w:r>
    </w:p>
    <w:p>
      <w:pPr>
        <w:tabs>
          <w:tab w:val="left" w:pos="525"/>
          <w:tab w:val="left" w:pos="1050"/>
        </w:tabs>
        <w:snapToGrid w:val="0"/>
        <w:spacing w:line="360" w:lineRule="auto"/>
        <w:ind w:firstLine="480" w:firstLineChars="200"/>
        <w:rPr>
          <w:rFonts w:hint="default" w:ascii="Times New Roman" w:hAnsi="Times New Roman" w:cs="Times New Roman"/>
          <w:bCs/>
          <w:sz w:val="24"/>
          <w:highlight w:val="none"/>
        </w:rPr>
      </w:pPr>
    </w:p>
    <w:p>
      <w:pPr>
        <w:widowControl/>
        <w:ind w:firstLine="602" w:firstLineChars="200"/>
        <w:jc w:val="left"/>
        <w:rPr>
          <w:rFonts w:hint="default" w:ascii="Times New Roman" w:hAnsi="Times New Roman" w:eastAsia="黑体" w:cs="Times New Roman"/>
          <w:b/>
          <w:sz w:val="30"/>
          <w:szCs w:val="30"/>
          <w:highlight w:val="none"/>
        </w:rPr>
      </w:pPr>
      <w:r>
        <w:rPr>
          <w:rFonts w:hint="default" w:ascii="Times New Roman" w:hAnsi="Times New Roman" w:eastAsia="黑体" w:cs="Times New Roman"/>
          <w:b/>
          <w:sz w:val="30"/>
          <w:szCs w:val="30"/>
          <w:highlight w:val="none"/>
        </w:rPr>
        <w:br w:type="page"/>
      </w:r>
    </w:p>
    <w:p>
      <w:pPr>
        <w:pStyle w:val="4"/>
        <w:rPr>
          <w:rFonts w:hint="default" w:ascii="Times New Roman" w:hAnsi="Times New Roman" w:cs="Times New Roman"/>
          <w:highlight w:val="none"/>
        </w:rPr>
      </w:pPr>
      <w:bookmarkStart w:id="7" w:name="_Toc19616"/>
      <w:r>
        <w:rPr>
          <w:rFonts w:hint="default" w:ascii="Times New Roman" w:hAnsi="Times New Roman" w:cs="Times New Roman"/>
          <w:highlight w:val="none"/>
        </w:rPr>
        <w:t>三、项目技术要求和有关说明</w:t>
      </w:r>
      <w:bookmarkEnd w:id="7"/>
    </w:p>
    <w:p>
      <w:pPr>
        <w:keepNext/>
        <w:keepLines/>
        <w:numPr>
          <w:ilvl w:val="0"/>
          <w:numId w:val="22"/>
        </w:numPr>
        <w:spacing w:before="156" w:beforeLines="50" w:after="156" w:afterLines="50"/>
        <w:outlineLvl w:val="1"/>
        <w:rPr>
          <w:rFonts w:hint="default" w:ascii="Times New Roman" w:hAnsi="Times New Roman" w:eastAsia="宋体" w:cs="Times New Roman"/>
          <w:b/>
          <w:kern w:val="44"/>
          <w:sz w:val="24"/>
          <w:szCs w:val="24"/>
          <w:highlight w:val="none"/>
        </w:rPr>
      </w:pPr>
      <w:r>
        <w:rPr>
          <w:rFonts w:hint="default" w:ascii="Times New Roman" w:hAnsi="Times New Roman" w:eastAsia="宋体" w:cs="Times New Roman"/>
          <w:b/>
          <w:kern w:val="44"/>
          <w:sz w:val="24"/>
          <w:szCs w:val="24"/>
          <w:highlight w:val="none"/>
        </w:rPr>
        <w:t>概述</w:t>
      </w:r>
    </w:p>
    <w:tbl>
      <w:tblPr>
        <w:tblStyle w:val="5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058"/>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03" w:type="dxa"/>
            <w:shd w:val="clear" w:color="auto" w:fill="F1F1F1" w:themeFill="background1" w:themeFillShade="F2"/>
          </w:tcPr>
          <w:p>
            <w:pPr>
              <w:pStyle w:val="2"/>
              <w:numPr>
                <w:ilvl w:val="0"/>
                <w:numId w:val="0"/>
              </w:numPr>
              <w:spacing w:before="156" w:beforeLines="50" w:after="156" w:afterLines="50"/>
              <w:outlineLvl w:val="1"/>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1058" w:type="dxa"/>
            <w:shd w:val="clear" w:color="auto" w:fill="F1F1F1" w:themeFill="background1" w:themeFillShade="F2"/>
          </w:tcPr>
          <w:p>
            <w:pPr>
              <w:pStyle w:val="2"/>
              <w:numPr>
                <w:ilvl w:val="0"/>
                <w:numId w:val="0"/>
              </w:numPr>
              <w:spacing w:before="156" w:beforeLines="50" w:after="156" w:afterLines="50"/>
              <w:outlineLvl w:val="1"/>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内容</w:t>
            </w:r>
          </w:p>
        </w:tc>
        <w:tc>
          <w:tcPr>
            <w:tcW w:w="7778" w:type="dxa"/>
            <w:shd w:val="clear" w:color="auto" w:fill="F1F1F1" w:themeFill="background1" w:themeFillShade="F2"/>
          </w:tcPr>
          <w:p>
            <w:pPr>
              <w:pStyle w:val="2"/>
              <w:numPr>
                <w:ilvl w:val="0"/>
                <w:numId w:val="0"/>
              </w:numPr>
              <w:spacing w:before="156" w:beforeLines="50" w:after="156" w:afterLines="50"/>
              <w:outlineLvl w:val="1"/>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0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w:t>
            </w:r>
          </w:p>
        </w:tc>
        <w:tc>
          <w:tcPr>
            <w:tcW w:w="1058"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项目背景</w:t>
            </w:r>
          </w:p>
        </w:tc>
        <w:tc>
          <w:tcPr>
            <w:tcW w:w="7778" w:type="dxa"/>
          </w:tcPr>
          <w:p>
            <w:pP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rPr>
              <w:t>经过前期建设，我所已经在钱荣路所区大门、重点实验室大楼建设了通行管控系统，达到了预期效果。为进一步规范我所通行秩序，开展新一期通行管控系统建设，完善钱荣路所区、清源路所区大门及部分大楼进出管控通道、部署访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0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w:t>
            </w:r>
          </w:p>
        </w:tc>
        <w:tc>
          <w:tcPr>
            <w:tcW w:w="1058"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功能/目标</w:t>
            </w:r>
          </w:p>
        </w:tc>
        <w:tc>
          <w:tcPr>
            <w:tcW w:w="7778" w:type="dxa"/>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val="zh-CN"/>
              </w:rPr>
              <w:t>实现对访客进出所区、所区内通行进行管理并记录在所区内通行轨迹。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0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3</w:t>
            </w:r>
          </w:p>
        </w:tc>
        <w:tc>
          <w:tcPr>
            <w:tcW w:w="1058"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项目内容</w:t>
            </w:r>
          </w:p>
        </w:tc>
        <w:tc>
          <w:tcPr>
            <w:tcW w:w="7778" w:type="dxa"/>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rPr>
              <w:t>建设内容：一是建设完善钱荣路所区相关楼宇人行通道管控系统；二是建设清源路所区通道管控系统；三是建设访客系统。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0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4</w:t>
            </w:r>
          </w:p>
        </w:tc>
        <w:tc>
          <w:tcPr>
            <w:tcW w:w="1058"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与前期项目</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的关系</w:t>
            </w:r>
          </w:p>
        </w:tc>
        <w:tc>
          <w:tcPr>
            <w:tcW w:w="7778" w:type="dxa"/>
            <w:vAlign w:val="center"/>
          </w:tcPr>
          <w:p>
            <w:pPr>
              <w:widowControl/>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对接已运行使用的智慧园区管理信息系统（YT-SLU-SP-BE）；对接我所已建钉钉系统；对接我所微信公众号；对接已建设车辆管理系统。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0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5</w:t>
            </w:r>
          </w:p>
        </w:tc>
        <w:tc>
          <w:tcPr>
            <w:tcW w:w="1058"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投标产品资质要求</w:t>
            </w:r>
          </w:p>
        </w:tc>
        <w:tc>
          <w:tcPr>
            <w:tcW w:w="7778" w:type="dxa"/>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rPr>
              <w:t>部分产品需要提供产品检测报告，详细见指标要求。</w:t>
            </w:r>
          </w:p>
        </w:tc>
      </w:tr>
    </w:tbl>
    <w:p>
      <w:pPr>
        <w:keepNext/>
        <w:keepLines/>
        <w:numPr>
          <w:ilvl w:val="0"/>
          <w:numId w:val="22"/>
        </w:numPr>
        <w:spacing w:before="156" w:beforeLines="50" w:after="156" w:afterLines="50"/>
        <w:outlineLvl w:val="1"/>
        <w:rPr>
          <w:rFonts w:hint="default" w:ascii="Times New Roman" w:hAnsi="Times New Roman" w:eastAsia="宋体" w:cs="Times New Roman"/>
          <w:b/>
          <w:kern w:val="44"/>
          <w:sz w:val="24"/>
          <w:szCs w:val="24"/>
          <w:highlight w:val="none"/>
        </w:rPr>
      </w:pPr>
      <w:r>
        <w:rPr>
          <w:rFonts w:hint="default" w:ascii="Times New Roman" w:hAnsi="Times New Roman" w:eastAsia="宋体" w:cs="Times New Roman"/>
          <w:b/>
          <w:kern w:val="44"/>
          <w:sz w:val="24"/>
          <w:szCs w:val="24"/>
          <w:highlight w:val="none"/>
        </w:rPr>
        <w:t xml:space="preserve"> 技术需求</w:t>
      </w:r>
    </w:p>
    <w:p>
      <w:pPr>
        <w:pStyle w:val="2"/>
        <w:numPr>
          <w:ilvl w:val="0"/>
          <w:numId w:val="0"/>
        </w:numPr>
        <w:spacing w:before="156" w:beforeLines="50" w:after="156" w:afterLines="50"/>
        <w:outlineLvl w:val="1"/>
        <w:rPr>
          <w:rFonts w:hint="default" w:ascii="Times New Roman" w:hAnsi="Times New Roman" w:eastAsia="宋体" w:cs="Times New Roman"/>
          <w:sz w:val="21"/>
          <w:szCs w:val="21"/>
          <w:highlight w:val="none"/>
        </w:rPr>
      </w:pPr>
    </w:p>
    <w:p>
      <w:pPr>
        <w:pStyle w:val="2"/>
        <w:numPr>
          <w:ilvl w:val="0"/>
          <w:numId w:val="23"/>
        </w:numPr>
        <w:spacing w:before="156" w:beforeLines="50" w:after="156" w:afterLines="50"/>
        <w:outlineLvl w:val="1"/>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集成需求</w:t>
      </w:r>
    </w:p>
    <w:tbl>
      <w:tblPr>
        <w:tblStyle w:val="5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759"/>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F1F1F1" w:themeFill="background1" w:themeFillShade="F2"/>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1500" w:type="dxa"/>
            <w:shd w:val="clear" w:color="auto" w:fill="F1F1F1" w:themeFill="background1" w:themeFillShade="F2"/>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内容</w:t>
            </w:r>
          </w:p>
        </w:tc>
        <w:tc>
          <w:tcPr>
            <w:tcW w:w="6017" w:type="dxa"/>
            <w:shd w:val="clear" w:color="auto" w:fill="F1F1F1" w:themeFill="background1" w:themeFillShade="F2"/>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w:t>
            </w:r>
          </w:p>
        </w:tc>
        <w:tc>
          <w:tcPr>
            <w:tcW w:w="1500"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业务需求</w:t>
            </w:r>
          </w:p>
        </w:tc>
        <w:tc>
          <w:tcPr>
            <w:tcW w:w="6017" w:type="dxa"/>
          </w:tcPr>
          <w:p>
            <w:pPr>
              <w:rPr>
                <w:rFonts w:hint="default" w:ascii="Times New Roman" w:hAnsi="Times New Roman" w:eastAsia="宋体" w:cs="Times New Roman"/>
                <w:kern w:val="0"/>
                <w:sz w:val="21"/>
                <w:szCs w:val="21"/>
                <w:highlight w:val="none"/>
                <w:lang w:bidi="ar"/>
              </w:rPr>
            </w:pPr>
            <w:r>
              <w:rPr>
                <w:rFonts w:hint="default" w:ascii="Times New Roman" w:hAnsi="Times New Roman" w:eastAsia="宋体" w:cs="Times New Roman"/>
                <w:kern w:val="0"/>
                <w:sz w:val="21"/>
                <w:szCs w:val="21"/>
                <w:highlight w:val="none"/>
                <w:lang w:bidi="ar"/>
              </w:rPr>
              <w:t>通过访客系统，实现访客进入所区通过网上预约、网上审批、按预约时段、地点通行，记录人员、车辆通行信息。提高我所内部管理水平，提升对外形象。为我所内部管理系统提供相关信息。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w:t>
            </w:r>
          </w:p>
        </w:tc>
        <w:tc>
          <w:tcPr>
            <w:tcW w:w="1500"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技术需求</w:t>
            </w:r>
          </w:p>
        </w:tc>
        <w:tc>
          <w:tcPr>
            <w:tcW w:w="6017" w:type="dxa"/>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（1）预约：通过微信、钉钉、网页等多种方式实现访客信息录入。</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（2）审批：嵌入我所现有应用钉钉系统。</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（3）人证核验：实现人证核验。</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（4）人员通行管理：通过人脸进出管理区域，分区域管理。</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（5）车辆管理：通过录入车牌、RFID等信息，车辆可以快速通过道闸。实现人车关联。</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（6）人员轨迹管理：通过AI人工智能技术和安保设备、流程相结合，实现对全所区智能安全管控，主要包括：安全策略定义、主动监测预警、以图搜人、轨迹回溯。</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（7）存储：涉及到人员信息需要加密存储。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3</w:t>
            </w:r>
          </w:p>
        </w:tc>
        <w:tc>
          <w:tcPr>
            <w:tcW w:w="1500"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系统需求</w:t>
            </w:r>
          </w:p>
        </w:tc>
        <w:tc>
          <w:tcPr>
            <w:tcW w:w="6017" w:type="dxa"/>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实现将建设的新建人行道闸等接入已建的智慧园区管理信息系统，实现人行通道的统一控制管控。访客管理系统与智慧园区管理系统对接，实现访客预约信息传输到智慧园区管理信息系统，控制并记录访客通行信息。实现人脸识别系统、车辆识别系统、访客预约系统、钉钉、微信等多系统融合，提供统一管理平台。</w:t>
            </w:r>
          </w:p>
        </w:tc>
      </w:tr>
    </w:tbl>
    <w:p>
      <w:pPr>
        <w:pStyle w:val="2"/>
        <w:numPr>
          <w:ilvl w:val="0"/>
          <w:numId w:val="23"/>
        </w:numPr>
        <w:spacing w:before="156" w:beforeLines="50" w:after="156" w:afterLines="50"/>
        <w:outlineLvl w:val="1"/>
        <w:rPr>
          <w:rFonts w:hint="default" w:ascii="Times New Roman" w:hAnsi="Times New Roman" w:eastAsia="宋体" w:cs="Times New Roman"/>
          <w:sz w:val="21"/>
          <w:szCs w:val="21"/>
          <w:highlight w:val="none"/>
          <w:lang w:val="zh-CN"/>
        </w:rPr>
        <w:sectPr>
          <w:pgSz w:w="11907" w:h="16840"/>
          <w:pgMar w:top="1440" w:right="1080" w:bottom="1440" w:left="1080" w:header="0" w:footer="708" w:gutter="0"/>
          <w:pgNumType w:fmt="decimal"/>
          <w:cols w:space="720" w:num="1"/>
        </w:sectPr>
      </w:pPr>
    </w:p>
    <w:p>
      <w:pPr>
        <w:pStyle w:val="2"/>
        <w:numPr>
          <w:ilvl w:val="0"/>
          <w:numId w:val="23"/>
        </w:numPr>
        <w:spacing w:before="156" w:beforeLines="50" w:after="156" w:afterLines="50"/>
        <w:outlineLvl w:val="1"/>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 xml:space="preserve"> </w:t>
      </w:r>
      <w:r>
        <w:rPr>
          <w:rFonts w:hint="default" w:ascii="Times New Roman" w:hAnsi="Times New Roman" w:eastAsia="宋体" w:cs="Times New Roman"/>
          <w:sz w:val="21"/>
          <w:szCs w:val="21"/>
          <w:highlight w:val="none"/>
        </w:rPr>
        <w:t>采购内容</w:t>
      </w:r>
      <w:r>
        <w:rPr>
          <w:rFonts w:hint="default" w:ascii="Times New Roman" w:hAnsi="Times New Roman" w:eastAsia="宋体" w:cs="Times New Roman"/>
          <w:sz w:val="21"/>
          <w:szCs w:val="21"/>
          <w:highlight w:val="none"/>
          <w:lang w:val="zh-CN"/>
        </w:rPr>
        <w:t>一览表</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4652"/>
        <w:gridCol w:w="1298"/>
        <w:gridCol w:w="973"/>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84" w:type="dxa"/>
            <w:tcBorders>
              <w:left w:val="single" w:color="auto" w:sz="4" w:space="0"/>
              <w:right w:val="single" w:color="auto" w:sz="4" w:space="0"/>
            </w:tcBorders>
            <w:shd w:val="clear" w:color="auto" w:fill="F1F1F1" w:themeFill="background1" w:themeFillShade="F2"/>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4652" w:type="dxa"/>
            <w:tcBorders>
              <w:left w:val="single" w:color="auto" w:sz="4" w:space="0"/>
              <w:right w:val="single" w:color="auto" w:sz="4" w:space="0"/>
            </w:tcBorders>
            <w:shd w:val="clear" w:color="auto" w:fill="F1F1F1" w:themeFill="background1" w:themeFillShade="F2"/>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采购内容名称</w:t>
            </w:r>
          </w:p>
        </w:tc>
        <w:tc>
          <w:tcPr>
            <w:tcW w:w="1298" w:type="dxa"/>
            <w:tcBorders>
              <w:left w:val="single" w:color="auto" w:sz="4" w:space="0"/>
              <w:right w:val="single" w:color="auto" w:sz="4" w:space="0"/>
            </w:tcBorders>
            <w:shd w:val="clear" w:color="auto" w:fill="F1F1F1" w:themeFill="background1" w:themeFillShade="F2"/>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w:t>
            </w:r>
          </w:p>
        </w:tc>
        <w:tc>
          <w:tcPr>
            <w:tcW w:w="973" w:type="dxa"/>
            <w:tcBorders>
              <w:left w:val="single" w:color="auto" w:sz="4" w:space="0"/>
              <w:right w:val="single" w:color="auto" w:sz="4" w:space="0"/>
            </w:tcBorders>
            <w:shd w:val="clear" w:color="auto" w:fill="F1F1F1" w:themeFill="background1" w:themeFillShade="F2"/>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数量</w:t>
            </w:r>
          </w:p>
        </w:tc>
        <w:tc>
          <w:tcPr>
            <w:tcW w:w="1532" w:type="dxa"/>
            <w:tcBorders>
              <w:left w:val="single" w:color="auto" w:sz="4" w:space="0"/>
              <w:right w:val="single" w:color="auto" w:sz="4" w:space="0"/>
            </w:tcBorders>
            <w:shd w:val="clear" w:color="auto" w:fill="F1F1F1" w:themeFill="background1" w:themeFillShade="F2"/>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人行道闸A（室内单机芯左边道）</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7</w:t>
            </w:r>
          </w:p>
        </w:tc>
        <w:tc>
          <w:tcPr>
            <w:tcW w:w="1532" w:type="dxa"/>
            <w:tcBorders>
              <w:left w:val="single" w:color="auto" w:sz="4" w:space="0"/>
              <w:right w:val="single" w:color="auto" w:sz="4" w:space="0"/>
            </w:tcBorders>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人行道闸A（室内双机芯中间道）</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4</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人行道闸A（室内单机芯右边道）</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7</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人行道闸B(室外左边）</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人行道闸B(室外中间）</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人行道闸B(室外右边）</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机动车电子标识停车场读写设备</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个</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4</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8</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车辆道闸-控制机</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个</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2</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9</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机动车停车管理软件</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套</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10</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人脸识别设备</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30</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11</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视频图像解析一体机</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12</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门禁系统</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套</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3</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13</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玻璃门</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套</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14</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访客系统</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套</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15</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人证比对访客一体机</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4</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16</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人证比对访客一体机（立式）</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17</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200万室内球机</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18</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网络硬盘录像机</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台</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19</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辅材</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套</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4" w:type="dxa"/>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20</w:t>
            </w:r>
          </w:p>
        </w:tc>
        <w:tc>
          <w:tcPr>
            <w:tcW w:w="4652"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基础施工、调试</w:t>
            </w:r>
          </w:p>
        </w:tc>
        <w:tc>
          <w:tcPr>
            <w:tcW w:w="1298"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项</w:t>
            </w:r>
          </w:p>
        </w:tc>
        <w:tc>
          <w:tcPr>
            <w:tcW w:w="973" w:type="dxa"/>
            <w:tcBorders>
              <w:left w:val="single" w:color="auto" w:sz="4" w:space="0"/>
              <w:right w:val="single" w:color="auto" w:sz="4" w:space="0"/>
            </w:tcBorders>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w:t>
            </w:r>
          </w:p>
        </w:tc>
        <w:tc>
          <w:tcPr>
            <w:tcW w:w="1532" w:type="dxa"/>
            <w:tcBorders>
              <w:left w:val="single" w:color="auto" w:sz="4" w:space="0"/>
              <w:right w:val="single" w:color="auto" w:sz="4" w:space="0"/>
            </w:tcBorders>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中国</w:t>
            </w:r>
          </w:p>
        </w:tc>
      </w:tr>
    </w:tbl>
    <w:p>
      <w:pPr>
        <w:pStyle w:val="2"/>
        <w:keepNext w:val="0"/>
        <w:keepLines w:val="0"/>
        <w:pageBreakBefore w:val="0"/>
        <w:widowControl w:val="0"/>
        <w:numPr>
          <w:ilvl w:val="0"/>
          <w:numId w:val="23"/>
        </w:numPr>
        <w:kinsoku/>
        <w:wordWrap/>
        <w:overflowPunct/>
        <w:topLinePunct w:val="0"/>
        <w:bidi w:val="0"/>
        <w:snapToGrid/>
        <w:spacing w:before="156" w:beforeLines="50" w:after="156" w:afterLines="50" w:line="360" w:lineRule="auto"/>
        <w:textAlignment w:val="auto"/>
        <w:outlineLvl w:val="1"/>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产品清单及指标要求</w:t>
      </w:r>
    </w:p>
    <w:p>
      <w:pPr>
        <w:keepNext w:val="0"/>
        <w:keepLines w:val="0"/>
        <w:pageBreakBefore w:val="0"/>
        <w:widowControl w:val="0"/>
        <w:kinsoku/>
        <w:wordWrap/>
        <w:overflowPunct/>
        <w:topLinePunct w:val="0"/>
        <w:bidi w:val="0"/>
        <w:snapToGrid/>
        <w:spacing w:before="156" w:beforeLines="50" w:after="156" w:afterLines="50" w:line="360" w:lineRule="auto"/>
        <w:textAlignment w:val="auto"/>
        <w:outlineLvl w:val="1"/>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指标说明：</w:t>
      </w:r>
    </w:p>
    <w:p>
      <w:pPr>
        <w:keepNext w:val="0"/>
        <w:keepLines w:val="0"/>
        <w:pageBreakBefore w:val="0"/>
        <w:widowControl w:val="0"/>
        <w:kinsoku/>
        <w:wordWrap/>
        <w:overflowPunct/>
        <w:topLinePunct w:val="0"/>
        <w:bidi w:val="0"/>
        <w:snapToGrid/>
        <w:spacing w:line="360" w:lineRule="auto"/>
        <w:ind w:firstLine="442" w:firstLineChars="200"/>
        <w:textAlignment w:val="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（1）指标按重要性分为“★”、“☆”、“#”和“△”，其中：</w:t>
      </w:r>
    </w:p>
    <w:p>
      <w:pPr>
        <w:keepNext w:val="0"/>
        <w:keepLines w:val="0"/>
        <w:pageBreakBefore w:val="0"/>
        <w:widowControl w:val="0"/>
        <w:kinsoku/>
        <w:wordWrap/>
        <w:overflowPunct/>
        <w:topLinePunct w:val="0"/>
        <w:bidi w:val="0"/>
        <w:snapToGrid/>
        <w:spacing w:line="360" w:lineRule="auto"/>
        <w:ind w:firstLine="442" w:firstLineChars="200"/>
        <w:textAlignment w:val="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★代表实质性指标，不满足该指标项将导致投标被拒绝；</w:t>
      </w:r>
    </w:p>
    <w:p>
      <w:pPr>
        <w:keepNext w:val="0"/>
        <w:keepLines w:val="0"/>
        <w:pageBreakBefore w:val="0"/>
        <w:widowControl w:val="0"/>
        <w:kinsoku/>
        <w:wordWrap/>
        <w:overflowPunct/>
        <w:topLinePunct w:val="0"/>
        <w:bidi w:val="0"/>
        <w:snapToGrid/>
        <w:spacing w:line="360" w:lineRule="auto"/>
        <w:ind w:firstLine="442" w:firstLineChars="200"/>
        <w:textAlignment w:val="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☆代表优质优价指标；</w:t>
      </w:r>
    </w:p>
    <w:p>
      <w:pPr>
        <w:keepNext w:val="0"/>
        <w:keepLines w:val="0"/>
        <w:pageBreakBefore w:val="0"/>
        <w:widowControl w:val="0"/>
        <w:kinsoku/>
        <w:wordWrap/>
        <w:overflowPunct/>
        <w:topLinePunct w:val="0"/>
        <w:bidi w:val="0"/>
        <w:snapToGrid/>
        <w:spacing w:line="360" w:lineRule="auto"/>
        <w:ind w:firstLine="442" w:firstLineChars="200"/>
        <w:textAlignment w:val="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#代表重要指标；</w:t>
      </w:r>
    </w:p>
    <w:p>
      <w:pPr>
        <w:keepNext w:val="0"/>
        <w:keepLines w:val="0"/>
        <w:pageBreakBefore w:val="0"/>
        <w:widowControl w:val="0"/>
        <w:kinsoku/>
        <w:wordWrap/>
        <w:overflowPunct/>
        <w:topLinePunct w:val="0"/>
        <w:bidi w:val="0"/>
        <w:snapToGrid/>
        <w:spacing w:line="360" w:lineRule="auto"/>
        <w:ind w:firstLine="442" w:firstLineChars="200"/>
        <w:textAlignment w:val="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△代表一般指标项。</w:t>
      </w:r>
    </w:p>
    <w:p>
      <w:pPr>
        <w:keepNext w:val="0"/>
        <w:keepLines w:val="0"/>
        <w:pageBreakBefore w:val="0"/>
        <w:widowControl w:val="0"/>
        <w:kinsoku/>
        <w:wordWrap/>
        <w:overflowPunct/>
        <w:topLinePunct w:val="0"/>
        <w:bidi w:val="0"/>
        <w:snapToGrid/>
        <w:spacing w:line="360" w:lineRule="auto"/>
        <w:ind w:firstLine="442" w:firstLineChars="200"/>
        <w:textAlignment w:val="auto"/>
        <w:rPr>
          <w:rFonts w:hint="default" w:ascii="Times New Roman" w:hAnsi="Times New Roman" w:eastAsia="宋体" w:cs="Times New Roman"/>
          <w:b/>
          <w:bCs/>
          <w:sz w:val="22"/>
          <w:szCs w:val="22"/>
          <w:highlight w:val="none"/>
        </w:rPr>
        <w:sectPr>
          <w:pgSz w:w="11907" w:h="16840"/>
          <w:pgMar w:top="1440" w:right="1080" w:bottom="1440" w:left="1080" w:header="0" w:footer="708" w:gutter="0"/>
          <w:pgNumType w:fmt="decimal"/>
          <w:cols w:space="720" w:num="1"/>
        </w:sectPr>
      </w:pPr>
      <w:r>
        <w:rPr>
          <w:rFonts w:hint="default" w:ascii="Times New Roman" w:hAnsi="Times New Roman" w:eastAsia="宋体" w:cs="Times New Roman"/>
          <w:b/>
          <w:bCs/>
          <w:sz w:val="22"/>
          <w:szCs w:val="22"/>
          <w:highlight w:val="none"/>
        </w:rPr>
        <w:t>（2）“证明材料要求”项可填“是”和“否”。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pPr>
        <w:pStyle w:val="2"/>
        <w:rPr>
          <w:rFonts w:hint="default"/>
          <w:highlight w:val="none"/>
        </w:rPr>
      </w:pPr>
    </w:p>
    <w:p>
      <w:pPr>
        <w:keepNext w:val="0"/>
        <w:keepLines w:val="0"/>
        <w:pageBreakBefore w:val="0"/>
        <w:widowControl w:val="0"/>
        <w:numPr>
          <w:ilvl w:val="0"/>
          <w:numId w:val="24"/>
        </w:numPr>
        <w:kinsoku/>
        <w:wordWrap/>
        <w:overflowPunct/>
        <w:topLinePunct w:val="0"/>
        <w:bidi w:val="0"/>
        <w:snapToGrid/>
        <w:spacing w:before="156" w:beforeLines="50" w:after="156" w:afterLines="50" w:line="360" w:lineRule="auto"/>
        <w:ind w:left="0" w:firstLine="0"/>
        <w:textAlignment w:val="auto"/>
        <w:outlineLvl w:val="2"/>
        <w:rPr>
          <w:rFonts w:hint="default" w:ascii="Times New Roman" w:hAnsi="Times New Roman" w:eastAsia="宋体" w:cs="Times New Roman"/>
          <w:b/>
          <w:color w:val="000000"/>
          <w:kern w:val="0"/>
          <w:sz w:val="21"/>
          <w:szCs w:val="21"/>
          <w:highlight w:val="none"/>
          <w:lang w:bidi="ar"/>
        </w:rPr>
      </w:pPr>
      <w:r>
        <w:rPr>
          <w:rFonts w:hint="default" w:ascii="Times New Roman" w:hAnsi="Times New Roman" w:eastAsia="宋体" w:cs="Times New Roman"/>
          <w:b/>
          <w:color w:val="000000"/>
          <w:kern w:val="0"/>
          <w:sz w:val="21"/>
          <w:szCs w:val="21"/>
          <w:highlight w:val="none"/>
          <w:lang w:bidi="ar"/>
        </w:rPr>
        <w:t>人行道闸A（室内单机芯左边道） 、人行道闸A（室内双机芯中间道）、人行道闸A（室内单机芯右边道）</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7"/>
        <w:gridCol w:w="1381"/>
        <w:gridCol w:w="556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709"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987"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381"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569"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99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基本参数</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机芯：</w:t>
            </w:r>
            <w:r>
              <w:rPr>
                <w:rFonts w:hint="default" w:ascii="Times New Roman" w:hAnsi="Times New Roman" w:eastAsia="宋体" w:cs="Times New Roman"/>
                <w:sz w:val="21"/>
                <w:szCs w:val="21"/>
                <w:highlight w:val="none"/>
              </w:rPr>
              <w:t>根据实际情况调整活动机芯，通道宽度550mm-1100mm可调。</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红外检测：通道至少采用10对红外对射，能在晴天、雨雪等环境下稳定运行，不产生误报。</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箱体：摆闸。</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尺寸（长×宽×高）</w:t>
            </w:r>
            <w:r>
              <w:rPr>
                <w:rFonts w:hint="default" w:ascii="Times New Roman" w:hAnsi="Times New Roman" w:eastAsia="宋体" w:cs="Times New Roman"/>
                <w:sz w:val="21"/>
                <w:szCs w:val="21"/>
                <w:highlight w:val="none"/>
              </w:rPr>
              <w:t>：（单机）不大于1400× 160×980mm。</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（双机）不大于1400×220×980mm。</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物理接口：应满足同时可接入常开干接点信号和RS232串</w:t>
            </w:r>
            <w:r>
              <w:rPr>
                <w:rFonts w:hint="default" w:ascii="Times New Roman" w:hAnsi="Times New Roman" w:eastAsia="宋体" w:cs="Times New Roman"/>
                <w:sz w:val="21"/>
                <w:szCs w:val="21"/>
                <w:highlight w:val="none"/>
                <w:lang w:val="zh-CN"/>
              </w:rPr>
              <w:t>口协议控制信号。</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机芯要求：人行道闸A（室内双机芯中间道）为双机芯；人行道闸A（室内单机芯左边道）、人行道闸A（室内单机芯右边道）为单机芯。</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提供产品彩页、说明书或者第三方检测报告。</w:t>
            </w:r>
          </w:p>
        </w:tc>
        <w:tc>
          <w:tcPr>
            <w:tcW w:w="993"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机箱材质</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 xml:space="preserve">国标AISI304不锈钢，不低于1.5mm厚度。 </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提供第三方检测报告。</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987" w:type="dxa"/>
            <w:vAlign w:val="center"/>
          </w:tcPr>
          <w:p>
            <w:pPr>
              <w:jc w:val="center"/>
              <w:rPr>
                <w:rFonts w:hint="default" w:ascii="Times New Roman" w:hAnsi="Times New Roman" w:eastAsia="宋体" w:cs="Times New Roman"/>
                <w:kern w:val="20"/>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门页材质</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透明亚克力不低于8mm厚度。</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设备外观</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闸机设备的外表面，平整清洁，没有毛刺、飞边、砂眼、气孔等常见缺陷，没有擦伤、划痕、变形、破损以及生锈、腐蚀等损伤，没有尖锐的凸起、边角或棱角。</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调速功能</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门翼开门速度多档可调，设备开门速度≤1 s、设备关闭时间≤1s。</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提供第三方检测报告。</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987"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381"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报警功能</w:t>
            </w:r>
          </w:p>
        </w:tc>
        <w:tc>
          <w:tcPr>
            <w:tcW w:w="5569"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闸机通道应支持翻越报警的功能，当检测到有人翻越时，可联动语音播报、指示灯等警示，同时可上传报警事件。</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在未经授权时，外力触碰通道</w:t>
            </w:r>
            <w:r>
              <w:rPr>
                <w:rFonts w:hint="default" w:ascii="Times New Roman" w:hAnsi="Times New Roman" w:eastAsia="宋体" w:cs="Times New Roman"/>
                <w:sz w:val="21"/>
                <w:szCs w:val="21"/>
                <w:highlight w:val="none"/>
                <w:lang w:val="zh-CN"/>
              </w:rPr>
              <w:t>门页，通道门页在转动5-15度角时，闸机离合器会吸合，闸机会自锁并发出声音报警，在外力移除后的数秒内自动归位。</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红外防夹，在闸机完成一次授权通行的回位过程中，如果保护红外感应到有人员在通道内时，电机会停止运转，同时闸机会发出声音报警，保护行人不被夹伤，直到行人退出通道，门翼才关闭。</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09"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7</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基础功能</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闸机通道应具备应急放行的功能，设备在断电或者发生故障后能处于无拦挡状态。</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常开模式和常闭模式灵活选择，可双向读卡，可单向读卡，可自由通行，可禁止通行等，以上模式可以灵活搭配。</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可检测到一次刷卡授权时的尾随行为，并发出声音报警。</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可检测到一次刷卡授权时逆向通行行为，并发出声音报警</w:t>
            </w:r>
            <w:r>
              <w:rPr>
                <w:rFonts w:hint="default" w:ascii="Times New Roman" w:hAnsi="Times New Roman" w:eastAsia="宋体" w:cs="Times New Roman"/>
                <w:sz w:val="21"/>
                <w:szCs w:val="21"/>
                <w:highlight w:val="none"/>
              </w:rPr>
              <w:t>。</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闸机具有延时自动复位功能，即获得过闸权限后，在设定的时间内没有过闸，闸机取消本次通行权限，恢复原位。</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无故障运行次数≥500万次。</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防护等级最薄弱处闸机通道外壳对外界机械碰撞的防护等级最薄弱处不低于IK04。</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防护等级其他表面闸机通道外壳对外界机械碰撞的防护等级其他表面不低于IK07要求。</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闸机通道环境适应性应支持工作温度-20℃~＋70℃、湿热+40℃RH93%的要求，室外使用。</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电源电压：220V±10%。</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闸机通道工作瞬间最大噪声声压不大于80dB(A)。</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闸机通道工作持续噪声声压不大于60dB(A)。</w:t>
            </w:r>
          </w:p>
        </w:tc>
        <w:tc>
          <w:tcPr>
            <w:tcW w:w="993"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8</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对接</w:t>
            </w:r>
          </w:p>
        </w:tc>
        <w:tc>
          <w:tcPr>
            <w:tcW w:w="5569"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支持与本项目采购人脸识别设备对接。</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提供对接承诺函。</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bidi="ar"/>
        </w:rPr>
        <w:t>人行道闸B(室外左边）、人行道闸B(室外中间）、人行道闸B(室外右边）</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7"/>
        <w:gridCol w:w="1381"/>
        <w:gridCol w:w="556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709"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987"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381"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569"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99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基本参数</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机芯：</w:t>
            </w:r>
            <w:r>
              <w:rPr>
                <w:rFonts w:hint="default" w:ascii="Times New Roman" w:hAnsi="Times New Roman" w:eastAsia="宋体" w:cs="Times New Roman"/>
                <w:sz w:val="21"/>
                <w:szCs w:val="21"/>
                <w:highlight w:val="none"/>
              </w:rPr>
              <w:t>根据实际情况调整活动机芯，通道宽度550mm-1100mm可调。</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红外检测：通道至少采用10对红外对射，能在晴天、雨雪等环境下稳定运行，不产生误报。</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箱体：摆闸。</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尺寸（长×宽×高）</w:t>
            </w:r>
            <w:r>
              <w:rPr>
                <w:rFonts w:hint="default" w:ascii="Times New Roman" w:hAnsi="Times New Roman" w:eastAsia="宋体" w:cs="Times New Roman"/>
                <w:sz w:val="21"/>
                <w:szCs w:val="21"/>
                <w:highlight w:val="none"/>
              </w:rPr>
              <w:t>：（单机）不大于1400× 160×980mm。</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（双机）不大于1400×220×980mm。</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机芯：人行道闸B(室外左边）、人行道闸B(室外右边）为单机芯；人行道闸B(室外中间）为双机芯。</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物理接口：应满足同时可接入常开干接点信号和RS232串口协议控制信号。</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提供产品彩页、产品说明书或者第三方检测报告。</w:t>
            </w:r>
          </w:p>
        </w:tc>
        <w:tc>
          <w:tcPr>
            <w:tcW w:w="993"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机箱材质</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 xml:space="preserve">国标AISI304不锈钢，不低于1.5mm厚度。 </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提供第三方检测报告。</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987" w:type="dxa"/>
            <w:vAlign w:val="center"/>
          </w:tcPr>
          <w:p>
            <w:pPr>
              <w:jc w:val="center"/>
              <w:rPr>
                <w:rFonts w:hint="default" w:ascii="Times New Roman" w:hAnsi="Times New Roman" w:eastAsia="宋体" w:cs="Times New Roman"/>
                <w:kern w:val="20"/>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门页材质</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透明亚克力不低于8mm厚度。</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设备外观</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闸机设备的外表面，平整清洁，没有毛刺、飞边、砂眼、气孔等常见缺陷，没有擦伤、划痕、变形、破损以及生锈、腐蚀等损伤，没有尖锐的凸起、边角或棱角。</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987" w:type="dxa"/>
            <w:vAlign w:val="center"/>
          </w:tcPr>
          <w:p>
            <w:pPr>
              <w:jc w:val="center"/>
              <w:rPr>
                <w:rFonts w:hint="default" w:ascii="Times New Roman" w:hAnsi="Times New Roman" w:eastAsia="宋体" w:cs="Times New Roman"/>
                <w:kern w:val="20"/>
                <w:sz w:val="21"/>
                <w:szCs w:val="21"/>
                <w:highlight w:val="none"/>
                <w:lang w:val="zh-CN"/>
              </w:rPr>
            </w:pPr>
            <w:r>
              <w:rPr>
                <w:rFonts w:hint="default" w:ascii="Times New Roman" w:hAnsi="Times New Roman" w:eastAsia="宋体" w:cs="Times New Roman"/>
                <w:sz w:val="21"/>
                <w:szCs w:val="21"/>
                <w:highlight w:val="none"/>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调速功能</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门翼开门速度多档可调，设备开门速度≤1s、设备关闭时间≤1s。</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提供第三方检测报告。</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09"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报警功能</w:t>
            </w:r>
          </w:p>
        </w:tc>
        <w:tc>
          <w:tcPr>
            <w:tcW w:w="5569"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闸机通道应支持翻越报警的功能，当检测到有人翻越时，可联动语音播报、指示灯等警示，同时可上传报警事件。</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在未经授权时，外力触碰通道</w:t>
            </w:r>
            <w:r>
              <w:rPr>
                <w:rFonts w:hint="default" w:ascii="Times New Roman" w:hAnsi="Times New Roman" w:eastAsia="宋体" w:cs="Times New Roman"/>
                <w:sz w:val="21"/>
                <w:szCs w:val="21"/>
                <w:highlight w:val="none"/>
                <w:lang w:val="zh-CN"/>
              </w:rPr>
              <w:t>门页，通道门页在转动5-15度角时，闸机离合器会吸合，闸机会自锁并发出声音报警，在外力移除后的数秒内自动归位。</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红外防夹，在闸机完成一次授权通行的回位过程中，如果保护红外感应到有人员在通道内时，电机会停止运转，同时闸机会发出声音报警，保护行人不被夹伤，直到行人退出通道，门翼才关闭。</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09"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7</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基础功能</w:t>
            </w:r>
          </w:p>
        </w:tc>
        <w:tc>
          <w:tcPr>
            <w:tcW w:w="5569"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闸机通道应具备应急放行的功能，设备在断电或者发生故障后能处于无拦挡状态。</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常开模式和常闭模式灵活选择，可双向读卡，可单向读卡，可自由通行，可禁止通行等，以上模式可以灵活搭配。</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可检测到一次刷卡授权时的尾随行为，并发出声音报警。</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可检测到一次刷卡授权时逆向通行行为，并发出声音报警</w:t>
            </w:r>
            <w:r>
              <w:rPr>
                <w:rFonts w:hint="default" w:ascii="Times New Roman" w:hAnsi="Times New Roman" w:eastAsia="宋体" w:cs="Times New Roman"/>
                <w:sz w:val="21"/>
                <w:szCs w:val="21"/>
                <w:highlight w:val="none"/>
              </w:rPr>
              <w:t>。</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闸机具有延时自动复位功能，即获得过闸权限后，在设定的时间内没有过闸，闸机取消本次通行权限，恢复原位。</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无故障运行次数≥500万次。</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防护等级最薄弱处闸机通道外壳对外界机械碰撞的防护等级最薄弱处不低于IK04。</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防护等级其他表面闸机通道外壳对外界机械碰撞的防护等级其他表面不低于IK07要求。</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闸机通道环境适应性应支持工作温度-20℃~＋70℃、湿热+40℃RH93%的要求，室外使用。</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220V±10%。</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闸机通道工作瞬间最大噪声声压不大于80dB(A)。</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闸机通道工作持续噪声声压不大于60dB(A)。</w:t>
            </w:r>
          </w:p>
        </w:tc>
        <w:tc>
          <w:tcPr>
            <w:tcW w:w="993"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8</w:t>
            </w:r>
          </w:p>
        </w:tc>
        <w:tc>
          <w:tcPr>
            <w:tcW w:w="987"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381" w:type="dxa"/>
            <w:vAlign w:val="center"/>
          </w:tcPr>
          <w:p>
            <w:pPr>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对接</w:t>
            </w:r>
          </w:p>
        </w:tc>
        <w:tc>
          <w:tcPr>
            <w:tcW w:w="5569"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支持与本项目采购人脸识别设备对接。</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提供对接承诺函。</w:t>
            </w:r>
          </w:p>
        </w:tc>
        <w:tc>
          <w:tcPr>
            <w:tcW w:w="99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bidi="ar"/>
        </w:rPr>
        <w:t>机动车电子标识停车场读写设备</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56"/>
        <w:gridCol w:w="1886"/>
        <w:gridCol w:w="465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74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01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657"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4092"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962"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657" w:type="dxa"/>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频率</w:t>
            </w:r>
          </w:p>
        </w:tc>
        <w:tc>
          <w:tcPr>
            <w:tcW w:w="4092"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天线集成小型化,频率:920^ 928MHz。</w:t>
            </w:r>
          </w:p>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提供产品彩页、产品说明书或者第三方检测报告。</w:t>
            </w:r>
          </w:p>
        </w:tc>
        <w:tc>
          <w:tcPr>
            <w:tcW w:w="962"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2</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657" w:type="dxa"/>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发射功率</w:t>
            </w:r>
          </w:p>
        </w:tc>
        <w:tc>
          <w:tcPr>
            <w:tcW w:w="4092"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发射功率: 15^ 30dBm。</w:t>
            </w:r>
          </w:p>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提供产品彩页、产品说明书或者第三方检测报告。</w:t>
            </w:r>
          </w:p>
        </w:tc>
        <w:tc>
          <w:tcPr>
            <w:tcW w:w="962"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3</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657" w:type="dxa"/>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安全性</w:t>
            </w:r>
          </w:p>
        </w:tc>
        <w:tc>
          <w:tcPr>
            <w:tcW w:w="4092" w:type="dxa"/>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安全性:支持国密算法。</w:t>
            </w:r>
          </w:p>
        </w:tc>
        <w:tc>
          <w:tcPr>
            <w:tcW w:w="962"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4</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657" w:type="dxa"/>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数据编码</w:t>
            </w:r>
          </w:p>
        </w:tc>
        <w:tc>
          <w:tcPr>
            <w:tcW w:w="4092" w:type="dxa"/>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数据编码: FMO、 Miller。</w:t>
            </w:r>
          </w:p>
        </w:tc>
        <w:tc>
          <w:tcPr>
            <w:tcW w:w="962" w:type="dxa"/>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5</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657" w:type="dxa"/>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前向通信速率</w:t>
            </w:r>
          </w:p>
        </w:tc>
        <w:tc>
          <w:tcPr>
            <w:tcW w:w="4092" w:type="dxa"/>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前向通信速率Tc: 6. 25us或12.5us。</w:t>
            </w:r>
          </w:p>
        </w:tc>
        <w:tc>
          <w:tcPr>
            <w:tcW w:w="962" w:type="dxa"/>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6</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657" w:type="dxa"/>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前向数据速率;</w:t>
            </w:r>
          </w:p>
        </w:tc>
        <w:tc>
          <w:tcPr>
            <w:tcW w:w="4092" w:type="dxa"/>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前向数据速率:支持64^ 640 kbps等全速率。</w:t>
            </w:r>
          </w:p>
        </w:tc>
        <w:tc>
          <w:tcPr>
            <w:tcW w:w="962" w:type="dxa"/>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7</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657" w:type="dxa"/>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工作方式</w:t>
            </w:r>
          </w:p>
        </w:tc>
        <w:tc>
          <w:tcPr>
            <w:tcW w:w="4092" w:type="dxa"/>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工作方式:跳频或定频(可软件自由配置)。</w:t>
            </w:r>
          </w:p>
        </w:tc>
        <w:tc>
          <w:tcPr>
            <w:tcW w:w="962" w:type="dxa"/>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8</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657" w:type="dxa"/>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读写性能</w:t>
            </w:r>
          </w:p>
        </w:tc>
        <w:tc>
          <w:tcPr>
            <w:tcW w:w="4092"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读写性能:最远识别距离大于16米，最高可支持100km/h 车速。</w:t>
            </w:r>
          </w:p>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提供第三方检测报告。</w:t>
            </w:r>
          </w:p>
        </w:tc>
        <w:tc>
          <w:tcPr>
            <w:tcW w:w="962"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9</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657" w:type="dxa"/>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供电电压</w:t>
            </w:r>
          </w:p>
        </w:tc>
        <w:tc>
          <w:tcPr>
            <w:tcW w:w="4092" w:type="dxa"/>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供电电压: DC 24V; 通讯接口: 10/100M FE。</w:t>
            </w:r>
          </w:p>
        </w:tc>
        <w:tc>
          <w:tcPr>
            <w:tcW w:w="962"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10</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65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配件</w:t>
            </w:r>
          </w:p>
        </w:tc>
        <w:tc>
          <w:tcPr>
            <w:tcW w:w="4092"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含配套支架、立柱及室外型专用航空接口防水通信线缆</w:t>
            </w:r>
          </w:p>
        </w:tc>
        <w:tc>
          <w:tcPr>
            <w:tcW w:w="962"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11</w:t>
            </w:r>
          </w:p>
        </w:tc>
        <w:tc>
          <w:tcPr>
            <w:tcW w:w="1016" w:type="dxa"/>
            <w:vAlign w:val="center"/>
          </w:tcPr>
          <w:p>
            <w:pPr>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w:t>
            </w:r>
          </w:p>
        </w:tc>
        <w:tc>
          <w:tcPr>
            <w:tcW w:w="165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对接</w:t>
            </w:r>
          </w:p>
        </w:tc>
        <w:tc>
          <w:tcPr>
            <w:tcW w:w="4092"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实现与车辆道闸-控制机对接使用。</w:t>
            </w:r>
          </w:p>
          <w:p>
            <w:pPr>
              <w:pStyle w:val="3"/>
              <w:widowControl/>
              <w:ind w:firstLine="0"/>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bCs w:val="0"/>
                <w:sz w:val="21"/>
                <w:szCs w:val="21"/>
                <w:highlight w:val="none"/>
                <w:lang w:val="en-US" w:bidi="ar"/>
              </w:rPr>
              <w:t>提供承诺函。</w:t>
            </w:r>
          </w:p>
        </w:tc>
        <w:tc>
          <w:tcPr>
            <w:tcW w:w="962" w:type="dxa"/>
            <w:vAlign w:val="center"/>
          </w:tcPr>
          <w:p>
            <w:pPr>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bidi="ar"/>
        </w:rPr>
        <w:t>车辆道闸-控制机</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56"/>
        <w:gridCol w:w="1380"/>
        <w:gridCol w:w="516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4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15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380"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162"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1095"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6"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15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380"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基础功能</w:t>
            </w:r>
          </w:p>
        </w:tc>
        <w:tc>
          <w:tcPr>
            <w:tcW w:w="5162"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设备应能执行“开、关、停”控制。</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从遥控器发出执行输出控制信号的响应时间应小于2s，遥控距离可达30m。</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挡杆臂起落角度范围在0°~90°，容许偏差为±3°;</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道闸升降杆时间为(2~6)s。</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具备直流变频调速功能，支持起、落杆加减速调整，实现快速起杆、慢速落杆，平稳运行。</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上电自锁，停电时能解脱自锁，实现手动控制;。集成有线网交换功能，外围设备自组网。实现车辆道闸控制所必须配套的车检器、防砸线圈、检测线圈等。</w:t>
            </w:r>
          </w:p>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提供第三方检测报告。</w:t>
            </w:r>
          </w:p>
        </w:tc>
        <w:tc>
          <w:tcPr>
            <w:tcW w:w="1095" w:type="dxa"/>
            <w:vAlign w:val="center"/>
          </w:tcPr>
          <w:p>
            <w:pPr>
              <w:widowControl/>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6"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w:t>
            </w:r>
          </w:p>
        </w:tc>
        <w:tc>
          <w:tcPr>
            <w:tcW w:w="115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380"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车牌识别率</w:t>
            </w:r>
          </w:p>
        </w:tc>
        <w:tc>
          <w:tcPr>
            <w:tcW w:w="5162"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处理速度快，车牌识别率≥99.8%。</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提供第三方检测报告。</w:t>
            </w:r>
          </w:p>
        </w:tc>
        <w:tc>
          <w:tcPr>
            <w:tcW w:w="1095" w:type="dxa"/>
            <w:vAlign w:val="center"/>
          </w:tcPr>
          <w:p>
            <w:pPr>
              <w:widowControl/>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bidi="ar"/>
        </w:rPr>
        <w:t xml:space="preserve"> 机动车停车管理软件</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76"/>
        <w:gridCol w:w="1404"/>
        <w:gridCol w:w="508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60"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17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404"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08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111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0"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404"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放行时间</w:t>
            </w:r>
          </w:p>
        </w:tc>
        <w:tc>
          <w:tcPr>
            <w:tcW w:w="5086"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支持视频识别，识别放行时间&lt; 0.5秒。</w:t>
            </w:r>
          </w:p>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要求提供第三方检测报告。</w:t>
            </w:r>
          </w:p>
        </w:tc>
        <w:tc>
          <w:tcPr>
            <w:tcW w:w="111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0"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多种模式</w:t>
            </w:r>
          </w:p>
        </w:tc>
        <w:tc>
          <w:tcPr>
            <w:tcW w:w="5086"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支持RFID、号牌识别放行。可设置RFID单独放行、RFID+号牌放行、号牌放行三种模式、可识别车牌号颜色，识别率超过99%。</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提供第三方检测报告。</w:t>
            </w:r>
          </w:p>
        </w:tc>
        <w:tc>
          <w:tcPr>
            <w:tcW w:w="111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0"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3</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基本功能</w:t>
            </w:r>
          </w:p>
        </w:tc>
        <w:tc>
          <w:tcPr>
            <w:tcW w:w="5086"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支持一车一牌，一个识别凭证，有效杜绝一卡多辆车。支持自动光圈控制，适应不同照明条件应用。支持多组织机构管理，用户权限分级管理，支持每个分支机构的管理员，单独授权管理。多停车场异地跨区在线管理，或集中管理。支持通过车牌号找车主及联系人信息。支持车牌号与访客关联。</w:t>
            </w:r>
          </w:p>
        </w:tc>
        <w:tc>
          <w:tcPr>
            <w:tcW w:w="111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0"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4</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对接</w:t>
            </w:r>
          </w:p>
        </w:tc>
        <w:tc>
          <w:tcPr>
            <w:tcW w:w="5086"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实现车辆道闸-控制机、机动车电子标识停车场读写设备的接入控制。</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实现与钱荣路所区已建道闸系统对接。</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提供方案与对接承诺函。</w:t>
            </w:r>
          </w:p>
        </w:tc>
        <w:tc>
          <w:tcPr>
            <w:tcW w:w="111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bidi="ar"/>
        </w:rPr>
        <w:t xml:space="preserve"> 人脸识别设备</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56"/>
        <w:gridCol w:w="1380"/>
        <w:gridCol w:w="516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45"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15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380"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161"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1095"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2"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w:t>
            </w:r>
          </w:p>
        </w:tc>
        <w:tc>
          <w:tcPr>
            <w:tcW w:w="115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380"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基本参数</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设备外观：不少于7英寸LCD触摸显示屏；不少于200万像素双目宽动态摄像头，采用星光级图像传感器，可适应夜间低照度环境。</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设备的人脸识别距离：0.2~1.2m；人脸识别误识率≤0.01%，准确率≥99.8%，人脸识别速度≤0.5s；支持照片视频防假。</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支持戴口罩识别。</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提供产品彩页或者产品说明书。</w:t>
            </w:r>
          </w:p>
        </w:tc>
        <w:tc>
          <w:tcPr>
            <w:tcW w:w="1095" w:type="dxa"/>
            <w:vAlign w:val="center"/>
          </w:tcPr>
          <w:p>
            <w:pPr>
              <w:widowControl/>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w:t>
            </w:r>
          </w:p>
        </w:tc>
        <w:tc>
          <w:tcPr>
            <w:tcW w:w="1156" w:type="dxa"/>
            <w:vAlign w:val="center"/>
          </w:tcPr>
          <w:p>
            <w:pPr>
              <w:widowControl/>
              <w:jc w:val="center"/>
              <w:rPr>
                <w:rFonts w:hint="default" w:ascii="Times New Roman" w:hAnsi="Times New Roman" w:eastAsia="宋体" w:cs="Times New Roman"/>
                <w:sz w:val="21"/>
                <w:szCs w:val="21"/>
                <w:highlight w:val="none"/>
                <w:lang w:val="zh-CN" w:bidi="ar"/>
              </w:rPr>
            </w:pPr>
            <w:r>
              <w:rPr>
                <w:rFonts w:hint="default" w:ascii="Times New Roman" w:hAnsi="Times New Roman" w:eastAsia="宋体" w:cs="Times New Roman"/>
                <w:sz w:val="21"/>
                <w:szCs w:val="21"/>
                <w:highlight w:val="none"/>
              </w:rPr>
              <w:t>☆</w:t>
            </w:r>
          </w:p>
        </w:tc>
        <w:tc>
          <w:tcPr>
            <w:tcW w:w="1380"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前端设备保存注册人脸数</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前端设备保存注册人脸数≥50000人。</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提供第三方检测报告。</w:t>
            </w:r>
          </w:p>
        </w:tc>
        <w:tc>
          <w:tcPr>
            <w:tcW w:w="109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3</w:t>
            </w:r>
          </w:p>
        </w:tc>
        <w:tc>
          <w:tcPr>
            <w:tcW w:w="1156" w:type="dxa"/>
            <w:vAlign w:val="center"/>
          </w:tcPr>
          <w:p>
            <w:pPr>
              <w:widowControl/>
              <w:jc w:val="center"/>
              <w:rPr>
                <w:rFonts w:hint="default" w:ascii="Times New Roman" w:hAnsi="Times New Roman" w:eastAsia="宋体" w:cs="Times New Roman"/>
                <w:sz w:val="21"/>
                <w:szCs w:val="21"/>
                <w:highlight w:val="none"/>
                <w:lang w:val="zh-CN" w:bidi="ar"/>
              </w:rPr>
            </w:pPr>
            <w:r>
              <w:rPr>
                <w:rFonts w:hint="default" w:ascii="Times New Roman" w:hAnsi="Times New Roman" w:eastAsia="宋体" w:cs="Times New Roman"/>
                <w:sz w:val="21"/>
                <w:szCs w:val="21"/>
                <w:highlight w:val="none"/>
                <w:lang w:val="zh-CN"/>
              </w:rPr>
              <w:t>#</w:t>
            </w:r>
          </w:p>
        </w:tc>
        <w:tc>
          <w:tcPr>
            <w:tcW w:w="1380"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离线保存出入事件数</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离线保存出入事件数≥200000条。</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提供第三方检测报告</w:t>
            </w:r>
          </w:p>
        </w:tc>
        <w:tc>
          <w:tcPr>
            <w:tcW w:w="109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4</w:t>
            </w:r>
          </w:p>
        </w:tc>
        <w:tc>
          <w:tcPr>
            <w:tcW w:w="1156" w:type="dxa"/>
            <w:vAlign w:val="center"/>
          </w:tcPr>
          <w:p>
            <w:pPr>
              <w:widowControl/>
              <w:jc w:val="center"/>
              <w:rPr>
                <w:rFonts w:hint="default" w:ascii="Times New Roman" w:hAnsi="Times New Roman" w:eastAsia="宋体" w:cs="Times New Roman"/>
                <w:sz w:val="21"/>
                <w:szCs w:val="21"/>
                <w:highlight w:val="none"/>
                <w:lang w:val="zh-CN" w:bidi="ar"/>
              </w:rPr>
            </w:pPr>
            <w:r>
              <w:rPr>
                <w:rFonts w:hint="default" w:ascii="Times New Roman" w:hAnsi="Times New Roman" w:eastAsia="宋体" w:cs="Times New Roman"/>
                <w:sz w:val="21"/>
                <w:szCs w:val="21"/>
                <w:highlight w:val="none"/>
                <w:lang w:val="zh-CN"/>
              </w:rPr>
              <w:t>△</w:t>
            </w:r>
          </w:p>
        </w:tc>
        <w:tc>
          <w:tcPr>
            <w:tcW w:w="1380"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前端设备保存IC卡注册人数</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前端设备保存IC卡注册人数≥100000人。</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提供第三方检测报告。</w:t>
            </w:r>
          </w:p>
        </w:tc>
        <w:tc>
          <w:tcPr>
            <w:tcW w:w="109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5</w:t>
            </w:r>
          </w:p>
        </w:tc>
        <w:tc>
          <w:tcPr>
            <w:tcW w:w="1156" w:type="dxa"/>
            <w:vAlign w:val="center"/>
          </w:tcPr>
          <w:p>
            <w:pPr>
              <w:widowControl/>
              <w:jc w:val="center"/>
              <w:rPr>
                <w:rFonts w:hint="default" w:ascii="Times New Roman" w:hAnsi="Times New Roman" w:eastAsia="宋体" w:cs="Times New Roman"/>
                <w:sz w:val="21"/>
                <w:szCs w:val="21"/>
                <w:highlight w:val="none"/>
                <w:lang w:val="zh-CN" w:bidi="ar"/>
              </w:rPr>
            </w:pPr>
            <w:r>
              <w:rPr>
                <w:rFonts w:hint="default" w:ascii="Times New Roman" w:hAnsi="Times New Roman" w:eastAsia="宋体" w:cs="Times New Roman"/>
                <w:sz w:val="21"/>
                <w:szCs w:val="21"/>
                <w:highlight w:val="none"/>
              </w:rPr>
              <w:t>☆</w:t>
            </w:r>
          </w:p>
        </w:tc>
        <w:tc>
          <w:tcPr>
            <w:tcW w:w="1380"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离线保存IC卡出入事件数</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离线保存IC卡出入事件数≥500000条。</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提供第三方检测报告。</w:t>
            </w:r>
          </w:p>
        </w:tc>
        <w:tc>
          <w:tcPr>
            <w:tcW w:w="109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6</w:t>
            </w:r>
          </w:p>
        </w:tc>
        <w:tc>
          <w:tcPr>
            <w:tcW w:w="1156" w:type="dxa"/>
            <w:vAlign w:val="center"/>
          </w:tcPr>
          <w:p>
            <w:pPr>
              <w:widowControl/>
              <w:jc w:val="center"/>
              <w:rPr>
                <w:rFonts w:hint="default" w:ascii="Times New Roman" w:hAnsi="Times New Roman" w:eastAsia="宋体" w:cs="Times New Roman"/>
                <w:sz w:val="21"/>
                <w:szCs w:val="21"/>
                <w:highlight w:val="none"/>
                <w:lang w:val="zh-CN" w:bidi="ar"/>
              </w:rPr>
            </w:pPr>
            <w:r>
              <w:rPr>
                <w:rFonts w:hint="default" w:ascii="Times New Roman" w:hAnsi="Times New Roman" w:eastAsia="宋体" w:cs="Times New Roman"/>
                <w:sz w:val="21"/>
                <w:szCs w:val="21"/>
                <w:highlight w:val="none"/>
              </w:rPr>
              <w:t>☆</w:t>
            </w:r>
          </w:p>
        </w:tc>
        <w:tc>
          <w:tcPr>
            <w:tcW w:w="1380"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人脸注册失败率≤1%</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人脸注册失败率≤1%。</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提供第三方检测报告。</w:t>
            </w:r>
          </w:p>
        </w:tc>
        <w:tc>
          <w:tcPr>
            <w:tcW w:w="109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7</w:t>
            </w:r>
          </w:p>
        </w:tc>
        <w:tc>
          <w:tcPr>
            <w:tcW w:w="1156" w:type="dxa"/>
            <w:vAlign w:val="center"/>
          </w:tcPr>
          <w:p>
            <w:pPr>
              <w:widowControl/>
              <w:jc w:val="center"/>
              <w:rPr>
                <w:rFonts w:hint="default" w:ascii="Times New Roman" w:hAnsi="Times New Roman" w:eastAsia="宋体" w:cs="Times New Roman"/>
                <w:sz w:val="21"/>
                <w:szCs w:val="21"/>
                <w:highlight w:val="none"/>
                <w:lang w:val="zh-CN" w:bidi="ar"/>
              </w:rPr>
            </w:pPr>
            <w:r>
              <w:rPr>
                <w:rFonts w:hint="default" w:ascii="Times New Roman" w:hAnsi="Times New Roman" w:eastAsia="宋体" w:cs="Times New Roman"/>
                <w:sz w:val="21"/>
                <w:szCs w:val="21"/>
                <w:highlight w:val="none"/>
              </w:rPr>
              <w:t>☆</w:t>
            </w:r>
          </w:p>
        </w:tc>
        <w:tc>
          <w:tcPr>
            <w:tcW w:w="1380"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静态人脸识别通过率</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40000人脸底库规模下，静态人脸识别通过率≥98%。提供第三方检测报告。</w:t>
            </w:r>
          </w:p>
        </w:tc>
        <w:tc>
          <w:tcPr>
            <w:tcW w:w="109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8</w:t>
            </w:r>
          </w:p>
        </w:tc>
        <w:tc>
          <w:tcPr>
            <w:tcW w:w="1156" w:type="dxa"/>
            <w:vAlign w:val="center"/>
          </w:tcPr>
          <w:p>
            <w:pPr>
              <w:widowControl/>
              <w:jc w:val="center"/>
              <w:rPr>
                <w:rFonts w:hint="default" w:ascii="Times New Roman" w:hAnsi="Times New Roman" w:eastAsia="宋体" w:cs="Times New Roman"/>
                <w:sz w:val="21"/>
                <w:szCs w:val="21"/>
                <w:highlight w:val="none"/>
                <w:lang w:val="zh-CN" w:bidi="ar"/>
              </w:rPr>
            </w:pPr>
            <w:r>
              <w:rPr>
                <w:rFonts w:hint="default" w:ascii="Times New Roman" w:hAnsi="Times New Roman" w:eastAsia="宋体" w:cs="Times New Roman"/>
                <w:sz w:val="21"/>
                <w:szCs w:val="21"/>
                <w:highlight w:val="none"/>
              </w:rPr>
              <w:t>☆</w:t>
            </w:r>
          </w:p>
        </w:tc>
        <w:tc>
          <w:tcPr>
            <w:tcW w:w="1380"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动态人脸识别通过率</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40000人脸底库规模下，动态人脸识别通过率≥85%。提供第三方检测报告。</w:t>
            </w:r>
          </w:p>
        </w:tc>
        <w:tc>
          <w:tcPr>
            <w:tcW w:w="109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9</w:t>
            </w:r>
          </w:p>
        </w:tc>
        <w:tc>
          <w:tcPr>
            <w:tcW w:w="1156" w:type="dxa"/>
            <w:vAlign w:val="center"/>
          </w:tcPr>
          <w:p>
            <w:pPr>
              <w:widowControl/>
              <w:jc w:val="center"/>
              <w:rPr>
                <w:rFonts w:hint="default" w:ascii="Times New Roman" w:hAnsi="Times New Roman" w:eastAsia="宋体" w:cs="Times New Roman"/>
                <w:sz w:val="21"/>
                <w:szCs w:val="21"/>
                <w:highlight w:val="none"/>
                <w:lang w:val="zh-CN" w:bidi="ar"/>
              </w:rPr>
            </w:pPr>
            <w:r>
              <w:rPr>
                <w:rFonts w:hint="default" w:ascii="Times New Roman" w:hAnsi="Times New Roman" w:eastAsia="宋体" w:cs="Times New Roman"/>
                <w:sz w:val="21"/>
                <w:szCs w:val="21"/>
                <w:highlight w:val="none"/>
                <w:lang w:val="zh-CN"/>
              </w:rPr>
              <w:t>#</w:t>
            </w:r>
          </w:p>
        </w:tc>
        <w:tc>
          <w:tcPr>
            <w:tcW w:w="1380"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人脸识别距离</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人脸识别距离应保持在0.3m~1m之间，人脸的水平转动角度不超过±10°、俯仰角不超过±10°、倾斜角度不超过±10° 。</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提供第三方检测报告、产品彩页或产品说明书。</w:t>
            </w:r>
          </w:p>
        </w:tc>
        <w:tc>
          <w:tcPr>
            <w:tcW w:w="109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10</w:t>
            </w:r>
          </w:p>
        </w:tc>
        <w:tc>
          <w:tcPr>
            <w:tcW w:w="1156" w:type="dxa"/>
            <w:vAlign w:val="center"/>
          </w:tcPr>
          <w:p>
            <w:pPr>
              <w:widowControl/>
              <w:jc w:val="center"/>
              <w:rPr>
                <w:rFonts w:hint="default" w:ascii="Times New Roman" w:hAnsi="Times New Roman" w:eastAsia="宋体" w:cs="Times New Roman"/>
                <w:sz w:val="21"/>
                <w:szCs w:val="21"/>
                <w:highlight w:val="none"/>
                <w:lang w:val="zh-CN" w:bidi="ar"/>
              </w:rPr>
            </w:pPr>
            <w:r>
              <w:rPr>
                <w:rFonts w:hint="default" w:ascii="Times New Roman" w:hAnsi="Times New Roman" w:eastAsia="宋体" w:cs="Times New Roman"/>
                <w:sz w:val="21"/>
                <w:szCs w:val="21"/>
                <w:highlight w:val="none"/>
                <w:lang w:val="zh-CN"/>
              </w:rPr>
              <w:t>#</w:t>
            </w:r>
          </w:p>
        </w:tc>
        <w:tc>
          <w:tcPr>
            <w:tcW w:w="1380"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人脸识别平均响应时间</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人脸识别平均响应时间不长于 500ms。</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提供第三方检测报告、产品彩页或产品说明书。</w:t>
            </w:r>
          </w:p>
        </w:tc>
        <w:tc>
          <w:tcPr>
            <w:tcW w:w="109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11</w:t>
            </w:r>
          </w:p>
        </w:tc>
        <w:tc>
          <w:tcPr>
            <w:tcW w:w="1156" w:type="dxa"/>
            <w:vAlign w:val="center"/>
          </w:tcPr>
          <w:p>
            <w:pPr>
              <w:widowControl/>
              <w:jc w:val="center"/>
              <w:rPr>
                <w:rFonts w:hint="default" w:ascii="Times New Roman" w:hAnsi="Times New Roman" w:eastAsia="宋体" w:cs="Times New Roman"/>
                <w:sz w:val="21"/>
                <w:szCs w:val="21"/>
                <w:highlight w:val="none"/>
                <w:lang w:val="zh-CN" w:bidi="ar"/>
              </w:rPr>
            </w:pPr>
            <w:r>
              <w:rPr>
                <w:rFonts w:hint="default" w:ascii="Times New Roman" w:hAnsi="Times New Roman" w:eastAsia="宋体" w:cs="Times New Roman"/>
                <w:sz w:val="21"/>
                <w:szCs w:val="21"/>
                <w:highlight w:val="none"/>
                <w:lang w:val="zh-CN"/>
              </w:rPr>
              <w:t>#</w:t>
            </w:r>
          </w:p>
        </w:tc>
        <w:tc>
          <w:tcPr>
            <w:tcW w:w="1380"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环境光</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设备支持在环境光为0.1 lux 下可正常检测并识别人脸。</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提供第三方检测报告。</w:t>
            </w:r>
          </w:p>
        </w:tc>
        <w:tc>
          <w:tcPr>
            <w:tcW w:w="109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12</w:t>
            </w:r>
          </w:p>
        </w:tc>
        <w:tc>
          <w:tcPr>
            <w:tcW w:w="115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380" w:type="dxa"/>
            <w:vAlign w:val="center"/>
          </w:tcPr>
          <w:p>
            <w:pPr>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接入</w:t>
            </w:r>
          </w:p>
        </w:tc>
        <w:tc>
          <w:tcPr>
            <w:tcW w:w="516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接入前期建设的智慧园区管理系统对接。</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提供承诺函及对接方案。</w:t>
            </w:r>
          </w:p>
        </w:tc>
        <w:tc>
          <w:tcPr>
            <w:tcW w:w="109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bidi="ar"/>
        </w:rPr>
        <w:t xml:space="preserve"> 视频图像解析一体机</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196"/>
        <w:gridCol w:w="1657"/>
        <w:gridCol w:w="4779"/>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74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01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407"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4059"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962"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7"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解析功能</w:t>
            </w:r>
          </w:p>
        </w:tc>
        <w:tc>
          <w:tcPr>
            <w:tcW w:w="4059"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对接入的摄像机实现人脸解析、人体解析。</w:t>
            </w:r>
          </w:p>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提供产品彩页或产品说明书。</w:t>
            </w:r>
          </w:p>
        </w:tc>
        <w:tc>
          <w:tcPr>
            <w:tcW w:w="962"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407"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识别功能</w:t>
            </w:r>
          </w:p>
        </w:tc>
        <w:tc>
          <w:tcPr>
            <w:tcW w:w="4059"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支持徘徊检测、人群聚集、人群逆流、区域入侵、绊线入侵、快速移动6种行为的识别任务。提供第三方检测报告。</w:t>
            </w:r>
          </w:p>
        </w:tc>
        <w:tc>
          <w:tcPr>
            <w:tcW w:w="962"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3</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7"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档案汇聚</w:t>
            </w:r>
          </w:p>
        </w:tc>
        <w:tc>
          <w:tcPr>
            <w:tcW w:w="4059"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实现人脸人体关联聚档。对人脸人体特征建立关键的核心特征组，对依托摄像机、人脸识别抓拍机产生的抓拍会和个人档案进行比对并档汇聚。人脸人体关联聚档通过人员背面抓拍搜索其他的正面照片；可跨时间归档汇聚。</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提供产品彩页、说明书或界面截图。</w:t>
            </w:r>
          </w:p>
        </w:tc>
        <w:tc>
          <w:tcPr>
            <w:tcW w:w="962"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4</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7"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以图搜图</w:t>
            </w:r>
          </w:p>
        </w:tc>
        <w:tc>
          <w:tcPr>
            <w:tcW w:w="4059"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支持上传照片比对档案，通过抽取上传图片中的特征比对系统中档案的核心特征组，可以查到是否有匹配该照片的人员档案。</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提供产品彩页、产品说明书或界面截图。</w:t>
            </w:r>
          </w:p>
        </w:tc>
        <w:tc>
          <w:tcPr>
            <w:tcW w:w="962"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5</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7"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人员通行管理</w:t>
            </w:r>
          </w:p>
        </w:tc>
        <w:tc>
          <w:tcPr>
            <w:tcW w:w="4059"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员工/访客/特殊访客/其他人员，一脸通行。</w:t>
            </w:r>
          </w:p>
        </w:tc>
        <w:tc>
          <w:tcPr>
            <w:tcW w:w="962"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6</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7"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主动安防</w:t>
            </w:r>
          </w:p>
        </w:tc>
        <w:tc>
          <w:tcPr>
            <w:tcW w:w="4059"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智能视频解析、事件及时预警、人员轨迹回溯、分区门禁、重点区域管控。</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提供产品彩页、产品白皮书或界面截图。</w:t>
            </w:r>
          </w:p>
        </w:tc>
        <w:tc>
          <w:tcPr>
            <w:tcW w:w="962"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7</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407"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人脸门禁布控</w:t>
            </w:r>
          </w:p>
        </w:tc>
        <w:tc>
          <w:tcPr>
            <w:tcW w:w="4059"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支持自定义设置员工的通行策略，可设置通行设备（门禁、闸机伴侣）和通行时间，有通行权限的人员可以刷刷脸通行。</w:t>
            </w:r>
          </w:p>
        </w:tc>
        <w:tc>
          <w:tcPr>
            <w:tcW w:w="962"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8</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407"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硬件配置</w:t>
            </w:r>
          </w:p>
        </w:tc>
        <w:tc>
          <w:tcPr>
            <w:tcW w:w="4059"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规格:1U机架式、处理器:配置不少于6颗Soc架构的国产芯片、ARMCPU频率:≥2.40GHz；NPU频率: ≥1.5GHz；内存速率: ≥3700MT/s。</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提供产品彩页或产品说明书。</w:t>
            </w:r>
          </w:p>
        </w:tc>
        <w:tc>
          <w:tcPr>
            <w:tcW w:w="962"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bidi="ar"/>
        </w:rPr>
        <w:t xml:space="preserve"> 门禁系统</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76"/>
        <w:gridCol w:w="1404"/>
        <w:gridCol w:w="508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60"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17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404"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08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111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0"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基本参数</w:t>
            </w:r>
          </w:p>
        </w:tc>
        <w:tc>
          <w:tcPr>
            <w:tcW w:w="5086"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磁力锁：工作电压：DC12V、DC24V。</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工作电流：540mA/DC12V；270mA/DC24V。</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工作方式：断电开锁。</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锁体尺寸（长×宽×高）： 285×55×29（mm）。</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板尺寸（长×宽×高）：190×45×12（mm）（可根据实际情况调整。）</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状态指示：红灯（开门）/绿灯（上锁）。</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门状态侦测输出：NO/NC。</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适用门式：木门、玻璃门、铁门、防火门。</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出门按钮：开关耐压 AC 220V。</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负载电流：≤1.25A。</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报警输出： NO。</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外売材料：ABS。</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 xml:space="preserve">复位方式：自动复位； </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工作温度：-10C~55℃。</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支持接入本系统人脸识别设备。</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通讯方式：TCP/IP，RS485。</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rPr>
              <w:t>控制门数：单门</w:t>
            </w:r>
            <w:r>
              <w:rPr>
                <w:rFonts w:hint="default" w:ascii="Times New Roman" w:hAnsi="Times New Roman" w:eastAsia="宋体" w:cs="Times New Roman"/>
                <w:sz w:val="21"/>
                <w:szCs w:val="21"/>
                <w:highlight w:val="none"/>
                <w:lang w:bidi="ar"/>
              </w:rPr>
              <w:t>。</w:t>
            </w:r>
          </w:p>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提供产品彩页、产品白皮书或者产品手册。</w:t>
            </w:r>
          </w:p>
        </w:tc>
        <w:tc>
          <w:tcPr>
            <w:tcW w:w="111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bidi="ar"/>
        </w:rPr>
        <w:t xml:space="preserve"> 玻璃门</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76"/>
        <w:gridCol w:w="1404"/>
        <w:gridCol w:w="508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59"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17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404"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085"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111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9"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门洞尺寸</w:t>
            </w:r>
          </w:p>
        </w:tc>
        <w:tc>
          <w:tcPr>
            <w:tcW w:w="5085" w:type="dxa"/>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约1600*2200mm(可根据现场实际情况调整）。</w:t>
            </w:r>
          </w:p>
        </w:tc>
        <w:tc>
          <w:tcPr>
            <w:tcW w:w="111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9"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开门形式</w:t>
            </w:r>
          </w:p>
        </w:tc>
        <w:tc>
          <w:tcPr>
            <w:tcW w:w="5085"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双开门。</w:t>
            </w:r>
          </w:p>
        </w:tc>
        <w:tc>
          <w:tcPr>
            <w:tcW w:w="1113" w:type="dxa"/>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9"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3</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门扇材质</w:t>
            </w:r>
          </w:p>
        </w:tc>
        <w:tc>
          <w:tcPr>
            <w:tcW w:w="5085"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金属边框内嵌平板防火玻璃。</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防火玻璃:中空防火玻璃,单片玻璃厚度≥7mm。</w:t>
            </w:r>
          </w:p>
        </w:tc>
        <w:tc>
          <w:tcPr>
            <w:tcW w:w="111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bidi="ar"/>
        </w:rPr>
        <w:t xml:space="preserve"> 访客系统</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196"/>
        <w:gridCol w:w="1428"/>
        <w:gridCol w:w="500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75"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19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428"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007"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113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模块要求</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访客系统分为微信预约、钉钉预约、钉钉审批、访客管理、通行管理、人证核验、设备管理、人员管理等模块。</w:t>
            </w:r>
          </w:p>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提供产品彩页、产品说明书或者界面截图。</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微信预约</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实现在微信预约。</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预约分单人预约与团体预约。</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单人预约信息至少应包含访客姓名、访客单位、访问事由、访问时段（访问时段为日期，即某年某月某日）、访客手机号码、访问对象、访问对象电话号码。多人预约信息在单人预约信息上，增加访客人数。预约信息可配置提交健康码、行程码等多类图片信息。自驾汽车访问的，可录入机动车号牌。预约信息预留不少于3个可自定义配置多字段。可自定义配置事由详情。</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提供页面截图。</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3</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钉钉预约</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预约分单人预约与团体预约。</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单人预约信息至少应包含访客姓名、访客单位、访问事由、访问时段（访问时段为日期，即某年某月某日）、访客手机号码、访问对象、访问对象电话号码。多人预约信息在单人预约信息上，增加访客人数。预约信息可配置提交健康码、行程码等多类图片信息。自驾汽车访问的，可录入机动车号牌。预约信息预留不少于3个可自定义配置多字段。可自定义配置事由详情。</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多人预约：在员工钉钉APP内直接录入多人访客信息。录入信息包括访问时间、访客姓名、访客手机、来访事由、事由详情、访问单位、被访人手机（不录入表示访问录入人。）访问人数等，并可生成链接分享给访问人。</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提供页面截图。</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4</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信息查询</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预约信息查询。访客输入访客姓名、访客电话号码后，通过短信验证后，可查询本人预约情况。</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5</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短信功能</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访客预约信息录入需要短信验证码确认电话号码真实性、准确性。审批结果发送短信到访客。实现对接我方提供的短信平台。</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6</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信息交换</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信息交换。全部信息录入后交换到钉钉模块供审批。</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7</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信息录入</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信息录入。支持通过联系人选择电话号码。团体预约同一人只能录入一次，不应重复录入。</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8</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并发量</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可满足不少于50人同时预约。</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9</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可配置</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可配置是否录入车牌信息。</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10</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界面</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界面应简洁大方。可根据我方要求定制。</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11</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信息安全</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支持网络身份认证。</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提供第三方认证证书。</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12</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网页录入</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网页录入模块。批量录入。支持通过网页方式批量导入团体访问信息，具体包括访客姓名、访客电话号码、访问开始时间、访问结束时间、访问原因。导入文本格式为excel。</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13</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预约信息修改与取消</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修改。在人证核验前，支持查找人员信息，可通过查询姓名、电话号码、访问时间、访问原因等信息删除、修改。</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14</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钉钉审批</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实现钉钉审批。支持根据访问人数确定审批层级。单人预约被访人审批；多人预约先被访人审批、后中层审批；预约中层及所领导，被访人审批。通过钉钉录入信息，被访人录入访问本人信息不用审批；员工录入其他被访人信息由被访人审批。</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15</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信息查看</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信息查看。被访人可通过钉钉查看微信预约、钉钉邀约的全部信息，多人的应该包括多人的健康码（可选）、行程码（信息）。</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16</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428"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人证核验</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实现预约人与身份证一致性核验。对于第一次通过访客系统进行预约的，必须通过人证核验设备进行人证核验。</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对于非第一次通过访客系统预约访问的，可配置根据时间周期人证核验(如每一自然年度需要人证核验一次)、每次访问人证核验。</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提供产品彩页、产品说明书、产品手册或者截图。</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17</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访客信息匹配</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人证核验时，根据预约信息中的访客姓名、手机号码后四位与身份证信息匹配。</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在同一时段内，已同意访问人员，通过人证核验后实现多通道匹配，无需重复人证核验。</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18</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通行管理</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通行管理。有权限可通行、无权限不可通行。记录所有访问信息。</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19</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通道匹配</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通道匹配。完成人证核验后，根据被访问人位置，开通访问人访问被访问人通道，无关通道不得开放。不在访问时段不得开放。在同一时段内，多个被访人已同意访问人员，自动实现被访人多通道匹配。</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20</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预约取消</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对已审批同意的，可通过网页端取消，并通过短信方式告知。可支持取消单个被访人、多个被访人。</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21</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信息查询</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信息查询、存储与共享。</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支持输入人脸图片查找访问记录。支持通行记录反查预约信息。提供接口实现员工通行时间（含车辆通行记录）共享。支持通过车辆号牌号码查询登记的电话。信息存储。信息应加密后存储。</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22</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预约信息分析</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按部门、预约时段、访问时段、访问人、被访问人、访问次数、访客单位等多种方式进行统计分析。</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23</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通行信息分析</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按通行时段、通行通道等方式进行分析。</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24</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黑名单管理</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黑名单管理。支持对黑名单增删改查；添加编辑黑名单用户的姓名、手机号、照片，备注；可以根据姓名、手机号查询黑名单用户，黑名单手机号发起的提前预约制访客申请，提交失败。</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25</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预约记录</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按要求提供预约记录、通行记录等数据共享接口。</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26</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防火墙隔离</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我所网络分为互联网、办公内网，办公内网通过防火墙隔离。上述功能模块根据网络管理要求发布在不同的服务器上。</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提供部署架构图。</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27</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人员管理</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人员管理。支持分员工、短期工作人员、物业工作人员、访客等进行分类管理。员工信息自动与钉钉同步。短期工作人员、物业工作人员、访客支持增删改查。</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28</w:t>
            </w:r>
          </w:p>
        </w:tc>
        <w:tc>
          <w:tcPr>
            <w:tcW w:w="119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28"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系统关联</w:t>
            </w:r>
          </w:p>
        </w:tc>
        <w:tc>
          <w:tcPr>
            <w:tcW w:w="5007"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对接机动车停车管理软件，实现机动车管理、人车关联管理、通行信息同步。</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系统关联。与智慧园区管理系统共用服务器、共用网络、共用数据库；与钉钉系统自动同步员工信息；实现与停车系统的机动车管理信息自动同步，实现允许通行名单信息的上传下载；通行记录与内部管理系统同步。</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提供承诺函及部署方案。</w:t>
            </w:r>
          </w:p>
        </w:tc>
        <w:tc>
          <w:tcPr>
            <w:tcW w:w="113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val="zh-CN" w:bidi="ar"/>
        </w:rPr>
        <w:t>人证比对访客一体机</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17"/>
        <w:gridCol w:w="1453"/>
        <w:gridCol w:w="4926"/>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743" w:type="dxa"/>
            <w:shd w:val="clear" w:color="auto" w:fill="F1F1F1" w:themeFill="background1" w:themeFillShade="F2"/>
            <w:vAlign w:val="center"/>
          </w:tcPr>
          <w:p>
            <w:pPr>
              <w:widowControl/>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016" w:type="dxa"/>
            <w:shd w:val="clear" w:color="auto" w:fill="F1F1F1" w:themeFill="background1" w:themeFillShade="F2"/>
            <w:vAlign w:val="center"/>
          </w:tcPr>
          <w:p>
            <w:pPr>
              <w:widowControl/>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21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4111"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962"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213"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CPU</w:t>
            </w:r>
          </w:p>
        </w:tc>
        <w:tc>
          <w:tcPr>
            <w:tcW w:w="411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CPU:不低于高通SDM450。</w:t>
            </w:r>
          </w:p>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提供产品彩页或者产品说明书。</w:t>
            </w:r>
          </w:p>
        </w:tc>
        <w:tc>
          <w:tcPr>
            <w:tcW w:w="962"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213"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存储器</w:t>
            </w:r>
          </w:p>
        </w:tc>
        <w:tc>
          <w:tcPr>
            <w:tcW w:w="411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内置存储器：RAM不少于2GB，NAND FLASH 不少于16GB。</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提供产品彩页或者产品说明书。</w:t>
            </w:r>
          </w:p>
        </w:tc>
        <w:tc>
          <w:tcPr>
            <w:tcW w:w="962" w:type="dxa"/>
            <w:vAlign w:val="center"/>
          </w:tcPr>
          <w:p>
            <w:pPr>
              <w:widowControl/>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3</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213"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显示屏</w:t>
            </w:r>
          </w:p>
        </w:tc>
        <w:tc>
          <w:tcPr>
            <w:tcW w:w="411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显示屏：不小于1.01英寸，分辨率1280*800，双屏触摸。</w:t>
            </w:r>
          </w:p>
        </w:tc>
        <w:tc>
          <w:tcPr>
            <w:tcW w:w="962" w:type="dxa"/>
            <w:vAlign w:val="center"/>
          </w:tcPr>
          <w:p>
            <w:pPr>
              <w:widowControl/>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4</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213"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硬件功能</w:t>
            </w:r>
          </w:p>
        </w:tc>
        <w:tc>
          <w:tcPr>
            <w:tcW w:w="411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硬件功能： WIFI:802.11b/g/n，2.4GHz。</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蓝牙：支持蓝牙4.0。</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以太网：支持10/100Mbps。</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摄像头：高清双目摄像头，RGB200万像素，IR120万像素，支持宽动态，可物理旋转180度。</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补光灯：支持白光和红外补光灯。</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NFC：支持NFC卡读取。</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身份证：支持身份证卡读取。</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外部储存：支持64G TF卡扩容。</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 xml:space="preserve"> I/O 端口：USB：USB2.0*2，Micro-USB*1。</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 xml:space="preserve"> 以太网接口：RJ45*1。</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电源接口：12V DC,2A。</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rPr>
              <w:t>提供第三方检测报告。</w:t>
            </w:r>
          </w:p>
        </w:tc>
        <w:tc>
          <w:tcPr>
            <w:tcW w:w="962" w:type="dxa"/>
            <w:vAlign w:val="center"/>
          </w:tcPr>
          <w:p>
            <w:pPr>
              <w:widowControl/>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5</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213"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软件功能</w:t>
            </w:r>
          </w:p>
        </w:tc>
        <w:tc>
          <w:tcPr>
            <w:tcW w:w="4111"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软件功能:支持与智慧园区管理系统对接，实现人证核验、人脸照片等信息上传；支持9宫格键盘输入。</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提供产品彩页、产品说明书或者技术方案。</w:t>
            </w:r>
          </w:p>
        </w:tc>
        <w:tc>
          <w:tcPr>
            <w:tcW w:w="962" w:type="dxa"/>
            <w:vAlign w:val="center"/>
          </w:tcPr>
          <w:p>
            <w:pPr>
              <w:widowControl/>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val="zh-CN" w:bidi="ar"/>
        </w:rPr>
        <w:t>人证比对访客一体机（立式）</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76"/>
        <w:gridCol w:w="1404"/>
        <w:gridCol w:w="508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60"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17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404"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08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111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0"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CPU</w:t>
            </w:r>
          </w:p>
        </w:tc>
        <w:tc>
          <w:tcPr>
            <w:tcW w:w="5086"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CPU: ≥六核 1.8GHz。</w:t>
            </w:r>
          </w:p>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提供产品彩页或者产品说明书。</w:t>
            </w:r>
          </w:p>
        </w:tc>
        <w:tc>
          <w:tcPr>
            <w:tcW w:w="1113" w:type="dxa"/>
            <w:vAlign w:val="center"/>
          </w:tcPr>
          <w:p>
            <w:pPr>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0"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存储器</w:t>
            </w:r>
          </w:p>
        </w:tc>
        <w:tc>
          <w:tcPr>
            <w:tcW w:w="5086"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内置存储器 2GB+16GB。</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提供产品彩页或者产品说明书。</w:t>
            </w:r>
          </w:p>
        </w:tc>
        <w:tc>
          <w:tcPr>
            <w:tcW w:w="1113" w:type="dxa"/>
            <w:vAlign w:val="center"/>
          </w:tcPr>
          <w:p>
            <w:pPr>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0"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3</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显示屏</w:t>
            </w:r>
          </w:p>
        </w:tc>
        <w:tc>
          <w:tcPr>
            <w:tcW w:w="5086"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显示屏：≥8英寸，分辨率800*1280，多点触控。</w:t>
            </w:r>
          </w:p>
        </w:tc>
        <w:tc>
          <w:tcPr>
            <w:tcW w:w="1113" w:type="dxa"/>
            <w:vAlign w:val="center"/>
          </w:tcPr>
          <w:p>
            <w:pPr>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0"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4</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其他参数</w:t>
            </w:r>
          </w:p>
        </w:tc>
        <w:tc>
          <w:tcPr>
            <w:tcW w:w="5086"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WIFI： ≥802.11b/g/n，2.4GHz。</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蓝牙：Bluetooth 4.0。</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以太网：10/100Mbps自适应。</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外部接口：Micro-USB*1/RJ45*1/TypeA-USB*1/串口/韦根接口/继电器/电源接口。</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光焰：白光、RGB摄像头补光光源。</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NIR LED：850nm红外LED灯，IR摄像头补光光源。</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读卡器： 13.56MHz（NFCtag，RF卡）；NFC（ISO 144443a，144443b）。</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摄像头：高清双目摄像头，RGB200万像素，IR130万像素，MIPI接口，宽动态，户外强光下可识别。</w:t>
            </w:r>
          </w:p>
        </w:tc>
        <w:tc>
          <w:tcPr>
            <w:tcW w:w="1113" w:type="dxa"/>
            <w:vAlign w:val="center"/>
          </w:tcPr>
          <w:p>
            <w:pPr>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0" w:type="dxa"/>
            <w:vAlign w:val="center"/>
          </w:tcPr>
          <w:p>
            <w:pPr>
              <w:widowControl/>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5</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软件功能</w:t>
            </w:r>
          </w:p>
        </w:tc>
        <w:tc>
          <w:tcPr>
            <w:tcW w:w="5086"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软件功能:支持与智慧园区管理系统对接，实现人证核验、人脸照片等信息上传；支持9宫格键盘输入。提供产品彩页或者产品说明书。</w:t>
            </w:r>
          </w:p>
        </w:tc>
        <w:tc>
          <w:tcPr>
            <w:tcW w:w="1113" w:type="dxa"/>
            <w:vAlign w:val="center"/>
          </w:tcPr>
          <w:p>
            <w:pPr>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kern w:val="20"/>
                <w:sz w:val="21"/>
                <w:szCs w:val="21"/>
                <w:highlight w:val="none"/>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val="zh-CN" w:bidi="ar"/>
        </w:rPr>
        <w:t>200万网络摄像机球机</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76"/>
        <w:gridCol w:w="1404"/>
        <w:gridCol w:w="508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60"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17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404"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08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111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60" w:type="dxa"/>
            <w:shd w:val="clear" w:color="auto" w:fill="auto"/>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1</w:t>
            </w:r>
          </w:p>
        </w:tc>
        <w:tc>
          <w:tcPr>
            <w:tcW w:w="1176" w:type="dxa"/>
            <w:shd w:val="clear" w:color="auto" w:fill="auto"/>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1404" w:type="dxa"/>
            <w:shd w:val="clear" w:color="auto" w:fill="auto"/>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有效像素</w:t>
            </w:r>
          </w:p>
        </w:tc>
        <w:tc>
          <w:tcPr>
            <w:tcW w:w="5086" w:type="dxa"/>
            <w:shd w:val="clear" w:color="auto" w:fill="auto"/>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≥200万。</w:t>
            </w:r>
          </w:p>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提供产品彩页或者产品说明书。</w:t>
            </w:r>
          </w:p>
        </w:tc>
        <w:tc>
          <w:tcPr>
            <w:tcW w:w="1113" w:type="dxa"/>
            <w:shd w:val="clear" w:color="auto" w:fill="auto"/>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60" w:type="dxa"/>
            <w:shd w:val="clear" w:color="auto" w:fill="auto"/>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2</w:t>
            </w:r>
          </w:p>
        </w:tc>
        <w:tc>
          <w:tcPr>
            <w:tcW w:w="1176" w:type="dxa"/>
            <w:shd w:val="clear" w:color="auto" w:fill="auto"/>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shd w:val="clear" w:color="auto" w:fill="auto"/>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其他参数</w:t>
            </w:r>
          </w:p>
        </w:tc>
        <w:tc>
          <w:tcPr>
            <w:tcW w:w="5086" w:type="dxa"/>
            <w:shd w:val="clear" w:color="auto" w:fill="auto"/>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成像色彩：彩色。</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镜头焦距：≥4mm。</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分辨率：≥1920×1080。</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视频格式：Smart 265/H.265/H.264。</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网络接口：1个RJ45 10M/100M 自适应以太网口。防护等级：IP66。</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电源功率：5.5W max。</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其它参数： ICR红外滤片式，数字宽动态，3D数字降噪。</w:t>
            </w:r>
          </w:p>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提供产品彩页或者产品说明书。</w:t>
            </w:r>
          </w:p>
        </w:tc>
        <w:tc>
          <w:tcPr>
            <w:tcW w:w="1113" w:type="dxa"/>
            <w:shd w:val="clear" w:color="auto" w:fill="auto"/>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val="zh-CN" w:bidi="ar"/>
        </w:rPr>
        <w:t>网络硬盘录像机</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76"/>
        <w:gridCol w:w="1404"/>
        <w:gridCol w:w="508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60"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17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404"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08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111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60" w:type="dxa"/>
            <w:shd w:val="clear" w:color="auto" w:fill="auto"/>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1</w:t>
            </w:r>
          </w:p>
        </w:tc>
        <w:tc>
          <w:tcPr>
            <w:tcW w:w="1176" w:type="dxa"/>
            <w:shd w:val="clear" w:color="auto" w:fill="auto"/>
            <w:vAlign w:val="center"/>
          </w:tcPr>
          <w:p>
            <w:pPr>
              <w:widowControl/>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1404" w:type="dxa"/>
            <w:shd w:val="clear" w:color="auto" w:fill="auto"/>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视频输入及存储容量等</w:t>
            </w:r>
          </w:p>
        </w:tc>
        <w:tc>
          <w:tcPr>
            <w:tcW w:w="5086" w:type="dxa"/>
            <w:shd w:val="clear" w:color="auto" w:fill="auto"/>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视频输入：不少于16路。</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压缩标准 ：支持H.265。</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视频分辨率：1080p。</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存储容量：≥1T</w:t>
            </w:r>
          </w:p>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bidi="ar"/>
              </w:rPr>
              <w:t>提供产品彩页或者产品说明书。</w:t>
            </w:r>
          </w:p>
        </w:tc>
        <w:tc>
          <w:tcPr>
            <w:tcW w:w="1113" w:type="dxa"/>
            <w:shd w:val="clear" w:color="auto" w:fill="auto"/>
            <w:vAlign w:val="center"/>
          </w:tcPr>
          <w:p>
            <w:pPr>
              <w:widowControl/>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0" w:type="dxa"/>
            <w:vAlign w:val="center"/>
          </w:tcPr>
          <w:p>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2</w:t>
            </w:r>
          </w:p>
        </w:tc>
        <w:tc>
          <w:tcPr>
            <w:tcW w:w="117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w:t>
            </w:r>
          </w:p>
        </w:tc>
        <w:tc>
          <w:tcPr>
            <w:tcW w:w="1404"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其他参数</w:t>
            </w:r>
          </w:p>
        </w:tc>
        <w:tc>
          <w:tcPr>
            <w:tcW w:w="5086"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录像方式：支持手动录像，定时录像，事件录像，移动侦测录像，报警录像，动测或报警录像，动测且报警录像。</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录像回放：即时回放，常规回放，事件回放，标签回放，外部文件回放，日志回放，智能回放。</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视频输入：不少于16路。</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视频输出：1路HDMI，1路VGA。</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音频输入：1路，RCA接口（电平2.0Vp-p，阻抗：1kΩ）。</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音频输出：1路，RCA接口（线性电平，阻抗：1kΩ）。</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其它接口：硬盘：2个STAT接口，支持容量500GB/1TB/2TB/3TB/4TB/6TB的硬盘。</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语音对讲：支持。</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网络协议 UPnP，SNMP，NTP，SADP，PPPoE，SMTP，DHCP。</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电源电压：220V。</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电源功率 ≤15W。</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存储：≥1T。</w:t>
            </w:r>
          </w:p>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提供产品彩页或者产品说明书。</w:t>
            </w:r>
          </w:p>
        </w:tc>
        <w:tc>
          <w:tcPr>
            <w:tcW w:w="1113" w:type="dxa"/>
            <w:vAlign w:val="center"/>
          </w:tcPr>
          <w:p>
            <w:pPr>
              <w:jc w:val="center"/>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sectPr>
          <w:pgSz w:w="11907" w:h="16840"/>
          <w:pgMar w:top="1440" w:right="1080" w:bottom="1440" w:left="1080" w:header="0" w:footer="708" w:gutter="0"/>
          <w:pgNumType w:fmt="decimal"/>
          <w:cols w:space="720" w:num="1"/>
        </w:sectPr>
      </w:pPr>
    </w:p>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val="zh-CN" w:bidi="ar"/>
        </w:rPr>
        <w:t>辅材</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196"/>
        <w:gridCol w:w="1428"/>
        <w:gridCol w:w="500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7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before="156" w:beforeLines="50" w:after="156" w:afterLines="50"/>
              <w:outlineLvl w:val="2"/>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19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before="156" w:beforeLines="50" w:after="156" w:afterLines="50"/>
              <w:outlineLvl w:val="2"/>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42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before="156" w:beforeLines="50" w:after="156" w:afterLines="50"/>
              <w:outlineLvl w:val="2"/>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500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before="156" w:beforeLines="50" w:after="156" w:afterLines="50"/>
              <w:outlineLvl w:val="2"/>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before="156" w:beforeLines="50" w:after="156" w:afterLines="50"/>
              <w:outlineLvl w:val="2"/>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outlineLvl w:val="2"/>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1</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outlineLvl w:val="2"/>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安装辅材</w:t>
            </w:r>
          </w:p>
        </w:tc>
        <w:tc>
          <w:tcPr>
            <w:tcW w:w="50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完成本项目所购的人行道闸A（室内单机芯左边道）、人行道闸A（室内双机芯中间道）、人行道闸A（室内单机芯右边道）、人行道闸B(室外左边）、人行道闸B(室外中间）、人行道闸B(室外右边）、机动车电子标识停车场读写设备（含配套支架及立柱）、户外型读写设备专用通信线、车辆道闸-控制机（含车检器、防砸线圈、检测线圈等）、机动车停车管理软件、人脸识别设备、视频图像解析一体机、门禁系统、玻璃门、视频图像解析一体机、人证比对访客一体机、人证比对访客一体机（立式）、200万室内球机等设备所需要的网线、光纤、桥架、穿线管及其他相关系统所需材料等。</w:t>
            </w:r>
          </w:p>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提供承诺函。</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outlineLvl w:val="2"/>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是</w:t>
            </w:r>
          </w:p>
        </w:tc>
      </w:tr>
    </w:tbl>
    <w:p>
      <w:pPr>
        <w:numPr>
          <w:ilvl w:val="0"/>
          <w:numId w:val="24"/>
        </w:numPr>
        <w:spacing w:before="156" w:beforeLines="50" w:after="156" w:afterLines="50"/>
        <w:ind w:left="0" w:firstLine="0"/>
        <w:outlineLvl w:val="2"/>
        <w:rPr>
          <w:rFonts w:hint="default" w:ascii="Times New Roman" w:hAnsi="Times New Roman" w:eastAsia="宋体" w:cs="Times New Roman"/>
          <w:b/>
          <w:color w:val="000000"/>
          <w:kern w:val="0"/>
          <w:sz w:val="21"/>
          <w:szCs w:val="21"/>
          <w:highlight w:val="none"/>
          <w:lang w:val="zh-CN" w:bidi="ar"/>
        </w:rPr>
      </w:pPr>
      <w:r>
        <w:rPr>
          <w:rFonts w:hint="default" w:ascii="Times New Roman" w:hAnsi="Times New Roman" w:eastAsia="宋体" w:cs="Times New Roman"/>
          <w:b/>
          <w:color w:val="000000"/>
          <w:kern w:val="0"/>
          <w:sz w:val="21"/>
          <w:szCs w:val="21"/>
          <w:highlight w:val="none"/>
          <w:lang w:val="zh-CN" w:bidi="ar"/>
        </w:rPr>
        <w:t>基础施工、调试</w:t>
      </w: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76"/>
        <w:gridCol w:w="1404"/>
        <w:gridCol w:w="508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74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序号</w:t>
            </w:r>
          </w:p>
        </w:tc>
        <w:tc>
          <w:tcPr>
            <w:tcW w:w="1016"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重要性</w:t>
            </w:r>
          </w:p>
        </w:tc>
        <w:tc>
          <w:tcPr>
            <w:tcW w:w="1213"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指标项</w:t>
            </w:r>
          </w:p>
        </w:tc>
        <w:tc>
          <w:tcPr>
            <w:tcW w:w="4394"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技术要求</w:t>
            </w:r>
          </w:p>
        </w:tc>
        <w:tc>
          <w:tcPr>
            <w:tcW w:w="962" w:type="dxa"/>
            <w:shd w:val="clear" w:color="auto" w:fill="F1F1F1" w:themeFill="background1" w:themeFillShade="F2"/>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3" w:type="dxa"/>
            <w:vAlign w:val="center"/>
          </w:tcPr>
          <w:p>
            <w:pPr>
              <w:widowControl/>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bidi="ar"/>
              </w:rPr>
              <w:t>1</w:t>
            </w:r>
          </w:p>
        </w:tc>
        <w:tc>
          <w:tcPr>
            <w:tcW w:w="1016" w:type="dxa"/>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1213" w:type="dxa"/>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施工调试</w:t>
            </w:r>
          </w:p>
        </w:tc>
        <w:tc>
          <w:tcPr>
            <w:tcW w:w="4394" w:type="dxa"/>
            <w:vAlign w:val="center"/>
          </w:tcPr>
          <w:p>
            <w:pPr>
              <w:widowControl/>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完成设备安装、布线、调试等。保证系统正常运行。提供承诺函。</w:t>
            </w:r>
          </w:p>
        </w:tc>
        <w:tc>
          <w:tcPr>
            <w:tcW w:w="962" w:type="dxa"/>
            <w:vAlign w:val="center"/>
          </w:tcPr>
          <w:p>
            <w:pPr>
              <w:widowControl/>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否</w:t>
            </w:r>
          </w:p>
        </w:tc>
      </w:tr>
    </w:tbl>
    <w:p>
      <w:pPr>
        <w:rPr>
          <w:rFonts w:hint="default" w:ascii="Times New Roman" w:hAnsi="Times New Roman" w:eastAsia="宋体" w:cs="Times New Roman"/>
          <w:sz w:val="21"/>
          <w:szCs w:val="21"/>
          <w:highlight w:val="none"/>
        </w:rPr>
      </w:pPr>
    </w:p>
    <w:p>
      <w:pPr>
        <w:keepNext/>
        <w:keepLines/>
        <w:numPr>
          <w:ilvl w:val="0"/>
          <w:numId w:val="22"/>
        </w:numPr>
        <w:spacing w:before="156" w:beforeLines="50" w:after="156" w:afterLines="50"/>
        <w:outlineLvl w:val="1"/>
        <w:rPr>
          <w:rFonts w:hint="default" w:ascii="Times New Roman" w:hAnsi="Times New Roman" w:eastAsia="宋体" w:cs="Times New Roman"/>
          <w:b/>
          <w:kern w:val="44"/>
          <w:sz w:val="21"/>
          <w:szCs w:val="21"/>
          <w:highlight w:val="none"/>
          <w:lang w:val="zh-CN"/>
        </w:rPr>
      </w:pPr>
      <w:r>
        <w:rPr>
          <w:rFonts w:hint="default" w:ascii="Times New Roman" w:hAnsi="Times New Roman" w:eastAsia="宋体" w:cs="Times New Roman"/>
          <w:b/>
          <w:kern w:val="44"/>
          <w:sz w:val="21"/>
          <w:szCs w:val="21"/>
          <w:highlight w:val="none"/>
        </w:rPr>
        <w:t>服务、</w:t>
      </w:r>
      <w:r>
        <w:rPr>
          <w:rFonts w:hint="default" w:ascii="Times New Roman" w:hAnsi="Times New Roman" w:eastAsia="宋体" w:cs="Times New Roman"/>
          <w:b/>
          <w:kern w:val="44"/>
          <w:sz w:val="21"/>
          <w:szCs w:val="21"/>
          <w:highlight w:val="none"/>
          <w:lang w:val="zh-CN"/>
        </w:rPr>
        <w:t>实施</w:t>
      </w:r>
      <w:r>
        <w:rPr>
          <w:rFonts w:hint="default" w:ascii="Times New Roman" w:hAnsi="Times New Roman" w:eastAsia="宋体" w:cs="Times New Roman"/>
          <w:b/>
          <w:kern w:val="44"/>
          <w:sz w:val="21"/>
          <w:szCs w:val="21"/>
          <w:highlight w:val="none"/>
        </w:rPr>
        <w:t>要求</w:t>
      </w:r>
    </w:p>
    <w:p>
      <w:pPr>
        <w:widowControl/>
        <w:ind w:left="400"/>
        <w:jc w:val="left"/>
        <w:rPr>
          <w:rFonts w:hint="default" w:ascii="Times New Roman" w:hAnsi="Times New Roman" w:eastAsia="宋体" w:cs="Times New Roman"/>
          <w:kern w:val="20"/>
          <w:sz w:val="21"/>
          <w:szCs w:val="21"/>
          <w:highlight w:val="none"/>
          <w:lang w:val="zh-CN"/>
        </w:rPr>
      </w:pPr>
      <w:r>
        <w:rPr>
          <w:rFonts w:hint="default" w:ascii="Times New Roman" w:hAnsi="Times New Roman" w:eastAsia="宋体" w:cs="Times New Roman"/>
          <w:kern w:val="20"/>
          <w:sz w:val="21"/>
          <w:szCs w:val="21"/>
          <w:highlight w:val="none"/>
        </w:rPr>
        <w:t>1、</w:t>
      </w:r>
      <w:r>
        <w:rPr>
          <w:rFonts w:hint="default" w:ascii="Times New Roman" w:hAnsi="Times New Roman" w:eastAsia="宋体" w:cs="Times New Roman"/>
          <w:kern w:val="20"/>
          <w:sz w:val="21"/>
          <w:szCs w:val="21"/>
          <w:highlight w:val="none"/>
          <w:lang w:val="zh-CN"/>
        </w:rPr>
        <w:t>指标按重要性分为“★”、“☆</w:t>
      </w:r>
      <w:r>
        <w:rPr>
          <w:rFonts w:hint="default" w:ascii="Times New Roman" w:hAnsi="Times New Roman" w:eastAsia="宋体" w:cs="Times New Roman"/>
          <w:kern w:val="20"/>
          <w:sz w:val="21"/>
          <w:szCs w:val="21"/>
          <w:highlight w:val="none"/>
        </w:rPr>
        <w:t>”、</w:t>
      </w:r>
      <w:r>
        <w:rPr>
          <w:rFonts w:hint="default" w:ascii="Times New Roman" w:hAnsi="Times New Roman" w:eastAsia="宋体" w:cs="Times New Roman"/>
          <w:kern w:val="20"/>
          <w:sz w:val="21"/>
          <w:szCs w:val="21"/>
          <w:highlight w:val="none"/>
          <w:lang w:val="zh-CN"/>
        </w:rPr>
        <w:t>“#”和“</w:t>
      </w:r>
      <w:r>
        <w:rPr>
          <w:rFonts w:hint="default" w:ascii="Times New Roman" w:hAnsi="Times New Roman" w:eastAsia="宋体" w:cs="Times New Roman"/>
          <w:kern w:val="20"/>
          <w:sz w:val="21"/>
          <w:szCs w:val="21"/>
          <w:highlight w:val="none"/>
        </w:rPr>
        <w:t>△”，其中：</w:t>
      </w:r>
    </w:p>
    <w:p>
      <w:pPr>
        <w:widowControl/>
        <w:ind w:left="1360" w:leftChars="400"/>
        <w:jc w:val="left"/>
        <w:rPr>
          <w:rFonts w:hint="default" w:ascii="Times New Roman" w:hAnsi="Times New Roman" w:eastAsia="宋体" w:cs="Times New Roman"/>
          <w:kern w:val="20"/>
          <w:sz w:val="21"/>
          <w:szCs w:val="21"/>
          <w:highlight w:val="none"/>
          <w:lang w:val="zh-CN"/>
        </w:rPr>
      </w:pPr>
      <w:r>
        <w:rPr>
          <w:rFonts w:hint="default" w:ascii="Times New Roman" w:hAnsi="Times New Roman" w:eastAsia="宋体" w:cs="Times New Roman"/>
          <w:kern w:val="20"/>
          <w:sz w:val="21"/>
          <w:szCs w:val="21"/>
          <w:highlight w:val="none"/>
          <w:lang w:val="zh-CN"/>
        </w:rPr>
        <w:t>★代表实质性指标，不满足该指标项将导致投标被拒绝；</w:t>
      </w:r>
    </w:p>
    <w:p>
      <w:pPr>
        <w:widowControl/>
        <w:ind w:left="1360" w:leftChars="400"/>
        <w:jc w:val="left"/>
        <w:rPr>
          <w:rFonts w:hint="default" w:ascii="Times New Roman" w:hAnsi="Times New Roman" w:eastAsia="宋体" w:cs="Times New Roman"/>
          <w:kern w:val="20"/>
          <w:sz w:val="21"/>
          <w:szCs w:val="21"/>
          <w:highlight w:val="none"/>
          <w:lang w:val="zh-CN"/>
        </w:rPr>
      </w:pPr>
      <w:r>
        <w:rPr>
          <w:rFonts w:hint="default" w:ascii="Times New Roman" w:hAnsi="Times New Roman" w:eastAsia="宋体" w:cs="Times New Roman"/>
          <w:kern w:val="20"/>
          <w:sz w:val="21"/>
          <w:szCs w:val="21"/>
          <w:highlight w:val="none"/>
          <w:lang w:val="zh-CN"/>
        </w:rPr>
        <w:t>☆代表优质优价指标；</w:t>
      </w:r>
    </w:p>
    <w:p>
      <w:pPr>
        <w:widowControl/>
        <w:ind w:left="1360" w:leftChars="400"/>
        <w:jc w:val="left"/>
        <w:rPr>
          <w:rFonts w:hint="default" w:ascii="Times New Roman" w:hAnsi="Times New Roman" w:eastAsia="宋体" w:cs="Times New Roman"/>
          <w:kern w:val="20"/>
          <w:sz w:val="21"/>
          <w:szCs w:val="21"/>
          <w:highlight w:val="none"/>
          <w:lang w:val="zh-CN"/>
        </w:rPr>
      </w:pPr>
      <w:r>
        <w:rPr>
          <w:rFonts w:hint="default" w:ascii="Times New Roman" w:hAnsi="Times New Roman" w:eastAsia="宋体" w:cs="Times New Roman"/>
          <w:kern w:val="20"/>
          <w:sz w:val="21"/>
          <w:szCs w:val="21"/>
          <w:highlight w:val="none"/>
          <w:lang w:val="zh-CN"/>
        </w:rPr>
        <w:t>#代表重要指标；</w:t>
      </w:r>
    </w:p>
    <w:p>
      <w:pPr>
        <w:widowControl/>
        <w:ind w:left="1360" w:leftChars="400"/>
        <w:jc w:val="left"/>
        <w:rPr>
          <w:rFonts w:hint="default" w:ascii="Times New Roman" w:hAnsi="Times New Roman" w:eastAsia="宋体" w:cs="Times New Roman"/>
          <w:kern w:val="20"/>
          <w:sz w:val="21"/>
          <w:szCs w:val="21"/>
          <w:highlight w:val="none"/>
          <w:lang w:val="zh-CN"/>
        </w:rPr>
      </w:pPr>
      <w:r>
        <w:rPr>
          <w:rFonts w:hint="default" w:ascii="Times New Roman" w:hAnsi="Times New Roman" w:eastAsia="宋体" w:cs="Times New Roman"/>
          <w:kern w:val="20"/>
          <w:sz w:val="21"/>
          <w:szCs w:val="21"/>
          <w:highlight w:val="none"/>
          <w:lang w:val="zh-CN"/>
        </w:rPr>
        <w:t>△则表示一般指标项。</w:t>
      </w:r>
    </w:p>
    <w:p>
      <w:pPr>
        <w:widowControl/>
        <w:ind w:left="400"/>
        <w:jc w:val="left"/>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kern w:val="20"/>
          <w:sz w:val="21"/>
          <w:szCs w:val="21"/>
          <w:highlight w:val="none"/>
        </w:rPr>
        <w:t>2、</w:t>
      </w:r>
      <w:r>
        <w:rPr>
          <w:rFonts w:hint="default" w:ascii="Times New Roman" w:hAnsi="Times New Roman" w:eastAsia="宋体" w:cs="Times New Roman"/>
          <w:kern w:val="20"/>
          <w:sz w:val="21"/>
          <w:szCs w:val="21"/>
          <w:highlight w:val="none"/>
          <w:lang w:val="zh-CN"/>
        </w:rPr>
        <w:t>“证明材料要求”项可填“是”和“否”。填“是”的，投标人须“</w:t>
      </w:r>
      <w:r>
        <w:rPr>
          <w:rFonts w:hint="default" w:ascii="Times New Roman" w:hAnsi="Times New Roman" w:eastAsia="宋体" w:cs="Times New Roman"/>
          <w:kern w:val="20"/>
          <w:sz w:val="21"/>
          <w:szCs w:val="21"/>
          <w:highlight w:val="none"/>
        </w:rPr>
        <w:t>服务/实施要求</w:t>
      </w:r>
      <w:r>
        <w:rPr>
          <w:rFonts w:hint="default" w:ascii="Times New Roman" w:hAnsi="Times New Roman" w:eastAsia="宋体" w:cs="Times New Roman"/>
          <w:kern w:val="20"/>
          <w:sz w:val="21"/>
          <w:szCs w:val="21"/>
          <w:highlight w:val="none"/>
          <w:lang w:val="zh-CN"/>
        </w:rPr>
        <w:t>标准”提供相关证明材料。</w:t>
      </w:r>
    </w:p>
    <w:p>
      <w:pPr>
        <w:widowControl/>
        <w:ind w:left="400"/>
        <w:jc w:val="left"/>
        <w:rPr>
          <w:rFonts w:hint="default" w:ascii="Times New Roman" w:hAnsi="Times New Roman" w:eastAsia="宋体" w:cs="Times New Roman"/>
          <w:kern w:val="20"/>
          <w:sz w:val="21"/>
          <w:szCs w:val="21"/>
          <w:highlight w:val="none"/>
          <w:lang w:val="zh-CN"/>
        </w:rPr>
      </w:pPr>
    </w:p>
    <w:tbl>
      <w:tblPr>
        <w:tblStyle w:val="5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949"/>
        <w:gridCol w:w="1008"/>
        <w:gridCol w:w="568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2" w:type="dxa"/>
            <w:shd w:val="clear" w:color="auto" w:fill="F1F1F1" w:themeFill="background1" w:themeFillShade="F2"/>
            <w:vAlign w:val="center"/>
          </w:tcPr>
          <w:p>
            <w:pPr>
              <w:widowControl/>
              <w:jc w:val="center"/>
              <w:rPr>
                <w:rFonts w:hint="default" w:ascii="Times New Roman" w:hAnsi="Times New Roman" w:eastAsia="宋体" w:cs="Times New Roman"/>
                <w:b/>
                <w:kern w:val="20"/>
                <w:sz w:val="21"/>
                <w:szCs w:val="21"/>
                <w:highlight w:val="none"/>
                <w:lang w:val="zh-CN"/>
              </w:rPr>
            </w:pPr>
            <w:r>
              <w:rPr>
                <w:rFonts w:hint="default" w:ascii="Times New Roman" w:hAnsi="Times New Roman" w:eastAsia="宋体" w:cs="Times New Roman"/>
                <w:b/>
                <w:kern w:val="20"/>
                <w:sz w:val="21"/>
                <w:szCs w:val="21"/>
                <w:highlight w:val="none"/>
                <w:lang w:val="zh-CN"/>
              </w:rPr>
              <w:t>序号</w:t>
            </w:r>
          </w:p>
        </w:tc>
        <w:tc>
          <w:tcPr>
            <w:tcW w:w="949" w:type="dxa"/>
            <w:shd w:val="clear" w:color="auto" w:fill="F1F1F1" w:themeFill="background1" w:themeFillShade="F2"/>
            <w:vAlign w:val="center"/>
          </w:tcPr>
          <w:p>
            <w:pPr>
              <w:widowControl/>
              <w:jc w:val="center"/>
              <w:rPr>
                <w:rFonts w:hint="default" w:ascii="Times New Roman" w:hAnsi="Times New Roman" w:eastAsia="宋体" w:cs="Times New Roman"/>
                <w:b/>
                <w:kern w:val="20"/>
                <w:sz w:val="21"/>
                <w:szCs w:val="21"/>
                <w:highlight w:val="none"/>
                <w:lang w:val="zh-CN"/>
              </w:rPr>
            </w:pPr>
            <w:r>
              <w:rPr>
                <w:rFonts w:hint="default" w:ascii="Times New Roman" w:hAnsi="Times New Roman" w:eastAsia="宋体" w:cs="Times New Roman"/>
                <w:b/>
                <w:kern w:val="20"/>
                <w:sz w:val="21"/>
                <w:szCs w:val="21"/>
                <w:highlight w:val="none"/>
                <w:lang w:val="zh-CN"/>
              </w:rPr>
              <w:t>内容</w:t>
            </w:r>
          </w:p>
        </w:tc>
        <w:tc>
          <w:tcPr>
            <w:tcW w:w="1008" w:type="dxa"/>
            <w:shd w:val="clear" w:color="auto" w:fill="F1F1F1" w:themeFill="background1" w:themeFillShade="F2"/>
            <w:vAlign w:val="center"/>
          </w:tcPr>
          <w:p>
            <w:pPr>
              <w:widowControl/>
              <w:jc w:val="center"/>
              <w:rPr>
                <w:rFonts w:hint="default" w:ascii="Times New Roman" w:hAnsi="Times New Roman" w:eastAsia="宋体" w:cs="Times New Roman"/>
                <w:b/>
                <w:kern w:val="20"/>
                <w:sz w:val="21"/>
                <w:szCs w:val="21"/>
                <w:highlight w:val="none"/>
                <w:lang w:val="zh-CN"/>
              </w:rPr>
            </w:pPr>
            <w:r>
              <w:rPr>
                <w:rFonts w:hint="default" w:ascii="Times New Roman" w:hAnsi="Times New Roman" w:eastAsia="宋体" w:cs="Times New Roman"/>
                <w:b/>
                <w:kern w:val="20"/>
                <w:sz w:val="21"/>
                <w:szCs w:val="21"/>
                <w:highlight w:val="none"/>
                <w:lang w:val="zh-CN"/>
              </w:rPr>
              <w:t>重要性</w:t>
            </w:r>
          </w:p>
        </w:tc>
        <w:tc>
          <w:tcPr>
            <w:tcW w:w="5682" w:type="dxa"/>
            <w:shd w:val="clear" w:color="auto" w:fill="F1F1F1" w:themeFill="background1" w:themeFillShade="F2"/>
            <w:vAlign w:val="center"/>
          </w:tcPr>
          <w:p>
            <w:pPr>
              <w:widowControl/>
              <w:jc w:val="center"/>
              <w:rPr>
                <w:rFonts w:hint="default" w:ascii="Times New Roman" w:hAnsi="Times New Roman" w:eastAsia="宋体" w:cs="Times New Roman"/>
                <w:b/>
                <w:kern w:val="20"/>
                <w:sz w:val="21"/>
                <w:szCs w:val="21"/>
                <w:highlight w:val="none"/>
                <w:lang w:val="zh-CN"/>
              </w:rPr>
            </w:pPr>
            <w:r>
              <w:rPr>
                <w:rFonts w:hint="default" w:ascii="Times New Roman" w:hAnsi="Times New Roman" w:eastAsia="宋体" w:cs="Times New Roman"/>
                <w:b/>
                <w:kern w:val="20"/>
                <w:sz w:val="21"/>
                <w:szCs w:val="21"/>
                <w:highlight w:val="none"/>
              </w:rPr>
              <w:t>服务/</w:t>
            </w:r>
            <w:r>
              <w:rPr>
                <w:rFonts w:hint="default" w:ascii="Times New Roman" w:hAnsi="Times New Roman" w:eastAsia="宋体" w:cs="Times New Roman"/>
                <w:b/>
                <w:kern w:val="20"/>
                <w:sz w:val="21"/>
                <w:szCs w:val="21"/>
                <w:highlight w:val="none"/>
                <w:lang w:val="zh-CN"/>
              </w:rPr>
              <w:t>实施</w:t>
            </w:r>
            <w:r>
              <w:rPr>
                <w:rFonts w:hint="default" w:ascii="Times New Roman" w:hAnsi="Times New Roman" w:eastAsia="宋体" w:cs="Times New Roman"/>
                <w:b/>
                <w:kern w:val="20"/>
                <w:sz w:val="21"/>
                <w:szCs w:val="21"/>
                <w:highlight w:val="none"/>
              </w:rPr>
              <w:t>要求</w:t>
            </w:r>
            <w:r>
              <w:rPr>
                <w:rFonts w:hint="default" w:ascii="Times New Roman" w:hAnsi="Times New Roman" w:eastAsia="宋体" w:cs="Times New Roman"/>
                <w:b/>
                <w:kern w:val="20"/>
                <w:sz w:val="21"/>
                <w:szCs w:val="21"/>
                <w:highlight w:val="none"/>
                <w:lang w:val="zh-CN"/>
              </w:rPr>
              <w:t>标准</w:t>
            </w:r>
          </w:p>
        </w:tc>
        <w:tc>
          <w:tcPr>
            <w:tcW w:w="1158" w:type="dxa"/>
            <w:shd w:val="clear" w:color="auto" w:fill="F1F1F1" w:themeFill="background1" w:themeFillShade="F2"/>
            <w:vAlign w:val="center"/>
          </w:tcPr>
          <w:p>
            <w:pPr>
              <w:widowControl/>
              <w:jc w:val="center"/>
              <w:rPr>
                <w:rFonts w:hint="default" w:ascii="Times New Roman" w:hAnsi="Times New Roman" w:eastAsia="宋体" w:cs="Times New Roman"/>
                <w:b/>
                <w:kern w:val="20"/>
                <w:sz w:val="21"/>
                <w:szCs w:val="21"/>
                <w:highlight w:val="none"/>
                <w:lang w:val="zh-CN"/>
              </w:rPr>
            </w:pPr>
            <w:r>
              <w:rPr>
                <w:rFonts w:hint="default" w:ascii="Times New Roman" w:hAnsi="Times New Roman" w:eastAsia="宋体" w:cs="Times New Roman"/>
                <w:b/>
                <w:kern w:val="20"/>
                <w:sz w:val="21"/>
                <w:szCs w:val="21"/>
                <w:highlight w:val="none"/>
                <w:lang w:val="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dxa"/>
            <w:vAlign w:val="center"/>
          </w:tcPr>
          <w:p>
            <w:pPr>
              <w:widowControl/>
              <w:adjustRightInd w:val="0"/>
              <w:snapToGrid w:val="0"/>
              <w:jc w:val="center"/>
              <w:rPr>
                <w:rFonts w:hint="default" w:ascii="Times New Roman" w:hAnsi="Times New Roman" w:eastAsia="宋体" w:cs="Times New Roman"/>
                <w:kern w:val="20"/>
                <w:sz w:val="21"/>
                <w:szCs w:val="21"/>
                <w:highlight w:val="none"/>
              </w:rPr>
            </w:pPr>
            <w:r>
              <w:rPr>
                <w:rFonts w:hint="default" w:ascii="Times New Roman" w:hAnsi="Times New Roman" w:eastAsia="宋体" w:cs="Times New Roman"/>
                <w:kern w:val="20"/>
                <w:sz w:val="21"/>
                <w:szCs w:val="21"/>
                <w:highlight w:val="none"/>
              </w:rPr>
              <w:t>1</w:t>
            </w:r>
          </w:p>
        </w:tc>
        <w:tc>
          <w:tcPr>
            <w:tcW w:w="949" w:type="dxa"/>
            <w:vAlign w:val="center"/>
          </w:tcPr>
          <w:p>
            <w:pPr>
              <w:widowControl/>
              <w:adjustRightInd w:val="0"/>
              <w:snapToGrid w:val="0"/>
              <w:jc w:val="center"/>
              <w:rPr>
                <w:rFonts w:hint="default" w:ascii="Times New Roman" w:hAnsi="Times New Roman" w:eastAsia="宋体" w:cs="Times New Roman"/>
                <w:kern w:val="20"/>
                <w:sz w:val="21"/>
                <w:szCs w:val="21"/>
                <w:highlight w:val="none"/>
              </w:rPr>
            </w:pPr>
            <w:r>
              <w:rPr>
                <w:rFonts w:hint="default" w:ascii="Times New Roman" w:hAnsi="Times New Roman" w:eastAsia="宋体" w:cs="Times New Roman"/>
                <w:kern w:val="20"/>
                <w:sz w:val="21"/>
                <w:szCs w:val="21"/>
                <w:highlight w:val="none"/>
              </w:rPr>
              <w:t>施工</w:t>
            </w:r>
          </w:p>
        </w:tc>
        <w:tc>
          <w:tcPr>
            <w:tcW w:w="1008" w:type="dxa"/>
            <w:vAlign w:val="center"/>
          </w:tcPr>
          <w:p>
            <w:pPr>
              <w:widowControl/>
              <w:adjustRightInd w:val="0"/>
              <w:snapToGrid w:val="0"/>
              <w:jc w:val="center"/>
              <w:rPr>
                <w:rFonts w:hint="default" w:ascii="Times New Roman" w:hAnsi="Times New Roman" w:eastAsia="宋体" w:cs="Times New Roman"/>
                <w:kern w:val="20"/>
                <w:sz w:val="21"/>
                <w:szCs w:val="21"/>
                <w:highlight w:val="none"/>
                <w:lang w:val="zh-CN" w:bidi="en-US"/>
              </w:rPr>
            </w:pPr>
            <w:r>
              <w:rPr>
                <w:rFonts w:hint="default" w:ascii="Times New Roman" w:hAnsi="Times New Roman" w:eastAsia="宋体" w:cs="Times New Roman"/>
                <w:kern w:val="20"/>
                <w:sz w:val="21"/>
                <w:szCs w:val="21"/>
                <w:highlight w:val="none"/>
                <w:lang w:val="zh-CN"/>
              </w:rPr>
              <w:t>★</w:t>
            </w:r>
          </w:p>
        </w:tc>
        <w:tc>
          <w:tcPr>
            <w:tcW w:w="5682" w:type="dxa"/>
            <w:vAlign w:val="center"/>
          </w:tcPr>
          <w:p>
            <w:pPr>
              <w:widowControl/>
              <w:adjustRightInd w:val="0"/>
              <w:snapToGrid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人行道闸A（室内单机芯左边道）、人行道闸A（室内双机芯中间道）、人行道闸A（室内单机芯右边道）、人行道闸B(室外左边）、人行道闸B(室外中间）、人行道闸B(室外右边）、机动车电子标识停车场读写设备、车辆道闸-控制机、人脸识别设备、门禁系统、人证比对访客一体机、人证比对访客一体机（立式）、200万室内球机等按照弱电实施规范进行，设备穿管、布线、安装及调试工作。</w:t>
            </w:r>
          </w:p>
          <w:p>
            <w:pPr>
              <w:widowControl/>
              <w:adjustRightInd w:val="0"/>
              <w:snapToGrid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实施访客系统、机动车停车管理软件部署、上线运行时，应确认应用系统部署的环境安全，确保应用系统部署的硬件、操作系统安全；确保系统部署的帐号、口令安全；确保符合应用系统部署的安全策略要求（如访问控制）；确保应用系统部署的物理环境安全（如电力）；应了解脆弱的网络或者主机的配置缺陷。</w:t>
            </w:r>
          </w:p>
          <w:p>
            <w:pPr>
              <w:widowControl/>
              <w:adjustRightInd w:val="0"/>
              <w:snapToGrid w:val="0"/>
              <w:jc w:val="left"/>
              <w:rPr>
                <w:rFonts w:hint="default" w:ascii="Times New Roman" w:hAnsi="Times New Roman" w:eastAsia="宋体" w:cs="Times New Roman"/>
                <w:kern w:val="20"/>
                <w:sz w:val="21"/>
                <w:szCs w:val="21"/>
                <w:highlight w:val="none"/>
                <w:lang w:bidi="en-US"/>
              </w:rPr>
            </w:pPr>
            <w:r>
              <w:rPr>
                <w:rFonts w:hint="default" w:ascii="Times New Roman" w:hAnsi="Times New Roman" w:eastAsia="宋体" w:cs="Times New Roman"/>
                <w:sz w:val="21"/>
                <w:szCs w:val="21"/>
                <w:highlight w:val="none"/>
              </w:rPr>
              <w:t>提供承诺函。</w:t>
            </w:r>
          </w:p>
        </w:tc>
        <w:tc>
          <w:tcPr>
            <w:tcW w:w="1158" w:type="dxa"/>
            <w:vAlign w:val="center"/>
          </w:tcPr>
          <w:p>
            <w:pPr>
              <w:widowControl/>
              <w:adjustRightInd w:val="0"/>
              <w:snapToGrid w:val="0"/>
              <w:jc w:val="center"/>
              <w:rPr>
                <w:rFonts w:hint="default" w:ascii="Times New Roman" w:hAnsi="Times New Roman" w:eastAsia="宋体" w:cs="Times New Roman"/>
                <w:kern w:val="20"/>
                <w:sz w:val="21"/>
                <w:szCs w:val="21"/>
                <w:highlight w:val="none"/>
              </w:rPr>
            </w:pPr>
            <w:r>
              <w:rPr>
                <w:rFonts w:hint="default" w:ascii="Times New Roman" w:hAnsi="Times New Roman" w:eastAsia="宋体" w:cs="Times New Roman"/>
                <w:kern w:val="2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dxa"/>
            <w:vAlign w:val="center"/>
          </w:tcPr>
          <w:p>
            <w:pPr>
              <w:widowControl/>
              <w:adjustRightInd w:val="0"/>
              <w:snapToGrid w:val="0"/>
              <w:jc w:val="center"/>
              <w:rPr>
                <w:rFonts w:hint="default" w:ascii="Times New Roman" w:hAnsi="Times New Roman" w:eastAsia="宋体" w:cs="Times New Roman"/>
                <w:kern w:val="20"/>
                <w:sz w:val="21"/>
                <w:szCs w:val="21"/>
                <w:highlight w:val="none"/>
              </w:rPr>
            </w:pPr>
            <w:r>
              <w:rPr>
                <w:rFonts w:hint="default" w:ascii="Times New Roman" w:hAnsi="Times New Roman" w:eastAsia="宋体" w:cs="Times New Roman"/>
                <w:kern w:val="20"/>
                <w:sz w:val="21"/>
                <w:szCs w:val="21"/>
                <w:highlight w:val="none"/>
              </w:rPr>
              <w:t>2</w:t>
            </w:r>
          </w:p>
        </w:tc>
        <w:tc>
          <w:tcPr>
            <w:tcW w:w="949" w:type="dxa"/>
            <w:vAlign w:val="center"/>
          </w:tcPr>
          <w:p>
            <w:pPr>
              <w:widowControl/>
              <w:adjustRightInd w:val="0"/>
              <w:snapToGrid w:val="0"/>
              <w:jc w:val="center"/>
              <w:rPr>
                <w:rFonts w:hint="default" w:ascii="Times New Roman" w:hAnsi="Times New Roman" w:eastAsia="宋体" w:cs="Times New Roman"/>
                <w:kern w:val="20"/>
                <w:sz w:val="21"/>
                <w:szCs w:val="21"/>
                <w:highlight w:val="none"/>
              </w:rPr>
            </w:pPr>
            <w:r>
              <w:rPr>
                <w:rFonts w:hint="default" w:ascii="Times New Roman" w:hAnsi="Times New Roman" w:eastAsia="宋体" w:cs="Times New Roman"/>
                <w:sz w:val="21"/>
                <w:szCs w:val="21"/>
                <w:highlight w:val="none"/>
              </w:rPr>
              <w:t>访客系统开发及对接</w:t>
            </w:r>
          </w:p>
        </w:tc>
        <w:tc>
          <w:tcPr>
            <w:tcW w:w="1008" w:type="dxa"/>
            <w:vAlign w:val="center"/>
          </w:tcPr>
          <w:p>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0"/>
                <w:sz w:val="21"/>
                <w:szCs w:val="21"/>
                <w:highlight w:val="none"/>
                <w:lang w:val="zh-CN"/>
              </w:rPr>
              <w:t>★</w:t>
            </w:r>
          </w:p>
        </w:tc>
        <w:tc>
          <w:tcPr>
            <w:tcW w:w="5682" w:type="dxa"/>
            <w:vAlign w:val="center"/>
          </w:tcPr>
          <w:p>
            <w:pPr>
              <w:widowControl/>
              <w:adjustRightInd w:val="0"/>
              <w:snapToGrid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1、提供网络部署方案，采购人确认后访客部署。</w:t>
            </w:r>
          </w:p>
          <w:p>
            <w:pPr>
              <w:widowControl/>
              <w:adjustRightInd w:val="0"/>
              <w:snapToGrid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2、相关定制功能开发完成后，需要测试后并经采购人确认访客上线运行；</w:t>
            </w:r>
          </w:p>
          <w:p>
            <w:pPr>
              <w:widowControl/>
              <w:adjustRightInd w:val="0"/>
              <w:snapToGrid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3、所有数据存储方案均需采购人确认。</w:t>
            </w:r>
          </w:p>
          <w:p>
            <w:pPr>
              <w:widowControl/>
              <w:snapToGrid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4、与智慧园区管理系统、机动车停车管理软件、微信、钉钉完成对接。</w:t>
            </w:r>
          </w:p>
          <w:p>
            <w:pPr>
              <w:widowControl/>
              <w:adjustRightInd w:val="0"/>
              <w:snapToGrid w:val="0"/>
              <w:jc w:val="left"/>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5、在质保期内承诺对采购人为了管理要求，在已有功能基础上流程优化、数据共享等范围内对软件免费升级。质保期结束后，继</w:t>
            </w:r>
            <w:r>
              <w:rPr>
                <w:rFonts w:hint="default" w:ascii="Times New Roman" w:hAnsi="Times New Roman" w:eastAsia="宋体" w:cs="Times New Roman"/>
                <w:bCs/>
                <w:sz w:val="21"/>
                <w:szCs w:val="21"/>
                <w:highlight w:val="none"/>
              </w:rPr>
              <w:t>续提供相应服务。</w:t>
            </w:r>
          </w:p>
          <w:p>
            <w:pPr>
              <w:widowControl/>
              <w:adjustRightInd w:val="0"/>
              <w:snapToGrid w:val="0"/>
              <w:jc w:val="left"/>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6、系统实施对接完成后，所有用户及口令信息全部移交采购人。</w:t>
            </w:r>
          </w:p>
          <w:p>
            <w:pPr>
              <w:widowControl/>
              <w:adjustRightInd w:val="0"/>
              <w:snapToGrid w:val="0"/>
              <w:jc w:val="left"/>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提供相关承诺函。</w:t>
            </w:r>
          </w:p>
        </w:tc>
        <w:tc>
          <w:tcPr>
            <w:tcW w:w="1158" w:type="dxa"/>
            <w:vAlign w:val="center"/>
          </w:tcPr>
          <w:p>
            <w:pPr>
              <w:widowControl/>
              <w:adjustRightInd w:val="0"/>
              <w:snapToGrid w:val="0"/>
              <w:jc w:val="center"/>
              <w:rPr>
                <w:rFonts w:hint="default" w:ascii="Times New Roman" w:hAnsi="Times New Roman" w:eastAsia="宋体" w:cs="Times New Roman"/>
                <w:kern w:val="20"/>
                <w:sz w:val="21"/>
                <w:szCs w:val="21"/>
                <w:highlight w:val="none"/>
              </w:rPr>
            </w:pPr>
            <w:r>
              <w:rPr>
                <w:rFonts w:hint="default" w:ascii="Times New Roman" w:hAnsi="Times New Roman" w:eastAsia="宋体" w:cs="Times New Roman"/>
                <w:kern w:val="2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dxa"/>
            <w:vAlign w:val="center"/>
          </w:tcPr>
          <w:p>
            <w:pPr>
              <w:widowControl/>
              <w:adjustRightInd w:val="0"/>
              <w:snapToGrid w:val="0"/>
              <w:jc w:val="center"/>
              <w:rPr>
                <w:rFonts w:hint="default" w:ascii="Times New Roman" w:hAnsi="Times New Roman" w:eastAsia="宋体" w:cs="Times New Roman"/>
                <w:kern w:val="20"/>
                <w:sz w:val="21"/>
                <w:szCs w:val="21"/>
                <w:highlight w:val="none"/>
              </w:rPr>
            </w:pPr>
            <w:r>
              <w:rPr>
                <w:rFonts w:hint="default" w:ascii="Times New Roman" w:hAnsi="Times New Roman" w:eastAsia="宋体" w:cs="Times New Roman"/>
                <w:kern w:val="20"/>
                <w:sz w:val="21"/>
                <w:szCs w:val="21"/>
                <w:highlight w:val="none"/>
              </w:rPr>
              <w:t>3</w:t>
            </w:r>
          </w:p>
        </w:tc>
        <w:tc>
          <w:tcPr>
            <w:tcW w:w="949" w:type="dxa"/>
            <w:vAlign w:val="center"/>
          </w:tcPr>
          <w:p>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改造接入</w:t>
            </w:r>
          </w:p>
        </w:tc>
        <w:tc>
          <w:tcPr>
            <w:tcW w:w="1008" w:type="dxa"/>
            <w:vAlign w:val="center"/>
          </w:tcPr>
          <w:p>
            <w:pPr>
              <w:widowControl/>
              <w:adjustRightInd w:val="0"/>
              <w:snapToGrid w:val="0"/>
              <w:jc w:val="center"/>
              <w:rPr>
                <w:rFonts w:hint="default" w:ascii="Times New Roman" w:hAnsi="Times New Roman" w:eastAsia="宋体" w:cs="Times New Roman"/>
                <w:kern w:val="20"/>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5682" w:type="dxa"/>
            <w:vAlign w:val="center"/>
          </w:tcPr>
          <w:p>
            <w:pPr>
              <w:widowControl/>
              <w:adjustRightInd w:val="0"/>
              <w:snapToGrid w:val="0"/>
              <w:jc w:val="left"/>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改造钱荣路所区机动车停车管理系统接入</w:t>
            </w:r>
            <w:r>
              <w:rPr>
                <w:rFonts w:hint="default" w:ascii="Times New Roman" w:hAnsi="Times New Roman" w:eastAsia="宋体" w:cs="Times New Roman"/>
                <w:bCs/>
                <w:sz w:val="21"/>
                <w:szCs w:val="21"/>
                <w:highlight w:val="none"/>
              </w:rPr>
              <w:t>智慧园区管理信息系统。</w:t>
            </w:r>
          </w:p>
          <w:p>
            <w:pPr>
              <w:widowControl/>
              <w:adjustRightInd w:val="0"/>
              <w:snapToGrid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提供承诺函</w:t>
            </w:r>
          </w:p>
        </w:tc>
        <w:tc>
          <w:tcPr>
            <w:tcW w:w="1158" w:type="dxa"/>
            <w:vAlign w:val="center"/>
          </w:tcPr>
          <w:p>
            <w:pPr>
              <w:widowControl/>
              <w:adjustRightInd w:val="0"/>
              <w:snapToGrid w:val="0"/>
              <w:jc w:val="center"/>
              <w:rPr>
                <w:rFonts w:hint="default" w:ascii="Times New Roman" w:hAnsi="Times New Roman" w:eastAsia="宋体" w:cs="Times New Roman"/>
                <w:kern w:val="20"/>
                <w:sz w:val="21"/>
                <w:szCs w:val="21"/>
                <w:highlight w:val="none"/>
              </w:rPr>
            </w:pPr>
            <w:r>
              <w:rPr>
                <w:rFonts w:hint="default" w:ascii="Times New Roman" w:hAnsi="Times New Roman" w:eastAsia="宋体" w:cs="Times New Roman"/>
                <w:kern w:val="2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dxa"/>
            <w:vAlign w:val="center"/>
          </w:tcPr>
          <w:p>
            <w:pPr>
              <w:widowControl/>
              <w:adjustRightInd w:val="0"/>
              <w:snapToGrid w:val="0"/>
              <w:jc w:val="center"/>
              <w:rPr>
                <w:rFonts w:hint="default" w:ascii="Times New Roman" w:hAnsi="Times New Roman" w:eastAsia="宋体" w:cs="Times New Roman"/>
                <w:kern w:val="20"/>
                <w:sz w:val="21"/>
                <w:szCs w:val="21"/>
                <w:highlight w:val="none"/>
              </w:rPr>
            </w:pPr>
            <w:r>
              <w:rPr>
                <w:rFonts w:hint="default" w:ascii="Times New Roman" w:hAnsi="Times New Roman" w:eastAsia="宋体" w:cs="Times New Roman"/>
                <w:kern w:val="20"/>
                <w:sz w:val="21"/>
                <w:szCs w:val="21"/>
                <w:highlight w:val="none"/>
              </w:rPr>
              <w:t>4</w:t>
            </w:r>
          </w:p>
        </w:tc>
        <w:tc>
          <w:tcPr>
            <w:tcW w:w="949" w:type="dxa"/>
            <w:vAlign w:val="center"/>
          </w:tcPr>
          <w:p>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系统迁移</w:t>
            </w:r>
          </w:p>
        </w:tc>
        <w:tc>
          <w:tcPr>
            <w:tcW w:w="1008" w:type="dxa"/>
            <w:vAlign w:val="center"/>
          </w:tcPr>
          <w:p>
            <w:pPr>
              <w:widowControl/>
              <w:adjustRightInd w:val="0"/>
              <w:snapToGrid w:val="0"/>
              <w:jc w:val="center"/>
              <w:rPr>
                <w:rFonts w:hint="default" w:ascii="Times New Roman" w:hAnsi="Times New Roman" w:eastAsia="宋体" w:cs="Times New Roman"/>
                <w:kern w:val="20"/>
                <w:sz w:val="21"/>
                <w:szCs w:val="21"/>
                <w:highlight w:val="none"/>
                <w:lang w:val="zh-CN"/>
              </w:rPr>
            </w:pPr>
            <w:r>
              <w:rPr>
                <w:rFonts w:hint="default" w:ascii="Times New Roman" w:hAnsi="Times New Roman" w:eastAsia="宋体" w:cs="Times New Roman"/>
                <w:kern w:val="20"/>
                <w:sz w:val="21"/>
                <w:szCs w:val="21"/>
                <w:highlight w:val="none"/>
                <w:lang w:val="zh-CN"/>
              </w:rPr>
              <w:t>★</w:t>
            </w:r>
          </w:p>
        </w:tc>
        <w:tc>
          <w:tcPr>
            <w:tcW w:w="5682" w:type="dxa"/>
            <w:vAlign w:val="center"/>
          </w:tcPr>
          <w:p>
            <w:pPr>
              <w:widowControl/>
              <w:adjustRightInd w:val="0"/>
              <w:snapToGrid w:val="0"/>
              <w:jc w:val="left"/>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1、实现智慧园区管理信息系统（YT-SLU-SP-BE）及所产生的业务数据、系统日志、归档数据全量迁移视频图像解析一体机，并保证正常运行。</w:t>
            </w:r>
          </w:p>
          <w:p>
            <w:pPr>
              <w:pStyle w:val="3"/>
              <w:widowControl/>
              <w:adjustRightInd w:val="0"/>
              <w:snapToGrid w:val="0"/>
              <w:ind w:firstLine="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bCs w:val="0"/>
                <w:sz w:val="21"/>
                <w:szCs w:val="21"/>
                <w:highlight w:val="none"/>
              </w:rPr>
              <w:t>提供技术方案及承诺函。</w:t>
            </w:r>
          </w:p>
        </w:tc>
        <w:tc>
          <w:tcPr>
            <w:tcW w:w="1158" w:type="dxa"/>
            <w:vAlign w:val="center"/>
          </w:tcPr>
          <w:p>
            <w:pPr>
              <w:widowControl/>
              <w:adjustRightInd w:val="0"/>
              <w:snapToGrid w:val="0"/>
              <w:jc w:val="center"/>
              <w:rPr>
                <w:rFonts w:hint="default" w:ascii="Times New Roman" w:hAnsi="Times New Roman" w:eastAsia="宋体" w:cs="Times New Roman"/>
                <w:kern w:val="20"/>
                <w:sz w:val="21"/>
                <w:szCs w:val="21"/>
                <w:highlight w:val="none"/>
              </w:rPr>
            </w:pPr>
            <w:r>
              <w:rPr>
                <w:rFonts w:hint="default" w:ascii="Times New Roman" w:hAnsi="Times New Roman" w:eastAsia="宋体" w:cs="Times New Roman"/>
                <w:kern w:val="20"/>
                <w:sz w:val="21"/>
                <w:szCs w:val="21"/>
                <w:highlight w:val="none"/>
              </w:rPr>
              <w:t>是</w:t>
            </w:r>
          </w:p>
        </w:tc>
      </w:tr>
    </w:tbl>
    <w:p>
      <w:pPr>
        <w:keepNext/>
        <w:keepLines/>
        <w:numPr>
          <w:ilvl w:val="0"/>
          <w:numId w:val="22"/>
        </w:numPr>
        <w:spacing w:before="156" w:beforeLines="50" w:after="156" w:afterLines="50"/>
        <w:outlineLvl w:val="1"/>
        <w:rPr>
          <w:rFonts w:hint="default" w:ascii="Times New Roman" w:hAnsi="Times New Roman" w:eastAsia="宋体" w:cs="Times New Roman"/>
          <w:b/>
          <w:kern w:val="44"/>
          <w:sz w:val="22"/>
          <w:szCs w:val="22"/>
          <w:highlight w:val="none"/>
        </w:rPr>
      </w:pPr>
      <w:r>
        <w:rPr>
          <w:rFonts w:hint="default" w:ascii="Times New Roman" w:hAnsi="Times New Roman" w:eastAsia="宋体" w:cs="Times New Roman"/>
          <w:b/>
          <w:kern w:val="44"/>
          <w:sz w:val="22"/>
          <w:szCs w:val="22"/>
          <w:highlight w:val="none"/>
        </w:rPr>
        <w:t>交付要求</w:t>
      </w:r>
    </w:p>
    <w:p>
      <w:pPr>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color w:val="000000"/>
          <w:sz w:val="22"/>
          <w:szCs w:val="22"/>
          <w:highlight w:val="none"/>
        </w:rPr>
      </w:pPr>
      <w:r>
        <w:rPr>
          <w:rFonts w:hint="default" w:ascii="Times New Roman" w:hAnsi="Times New Roman" w:eastAsia="宋体" w:cs="Times New Roman"/>
          <w:bCs/>
          <w:color w:val="000000"/>
          <w:sz w:val="22"/>
          <w:szCs w:val="22"/>
          <w:highlight w:val="none"/>
        </w:rPr>
        <w:t>1、发布成交公告后，10个工作日内签订合同，合同签订后30个工作日内将货物送至公安部交通管理科学研究所并完成全套产品的安装、调试、现场技术培训及验收。</w:t>
      </w:r>
    </w:p>
    <w:p>
      <w:pPr>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color w:val="A6A6A6" w:themeColor="background1" w:themeShade="A6"/>
          <w:kern w:val="0"/>
          <w:sz w:val="22"/>
          <w:szCs w:val="22"/>
          <w:highlight w:val="none"/>
          <w:lang w:bidi="ar"/>
        </w:rPr>
      </w:pPr>
      <w:r>
        <w:rPr>
          <w:rFonts w:hint="default" w:ascii="Times New Roman" w:hAnsi="Times New Roman" w:eastAsia="宋体" w:cs="Times New Roman"/>
          <w:bCs/>
          <w:color w:val="000000"/>
          <w:sz w:val="22"/>
          <w:szCs w:val="22"/>
          <w:highlight w:val="none"/>
        </w:rPr>
        <w:t>2、提供投标产品的详细技术文档、使用（维护）手册、施工图纸、培训资料等。</w:t>
      </w:r>
    </w:p>
    <w:p>
      <w:pPr>
        <w:keepNext/>
        <w:keepLines/>
        <w:pageBreakBefore w:val="0"/>
        <w:numPr>
          <w:ilvl w:val="0"/>
          <w:numId w:val="22"/>
        </w:numPr>
        <w:kinsoku/>
        <w:wordWrap/>
        <w:overflowPunct/>
        <w:topLinePunct w:val="0"/>
        <w:autoSpaceDE/>
        <w:autoSpaceDN/>
        <w:bidi w:val="0"/>
        <w:adjustRightInd/>
        <w:snapToGrid/>
        <w:spacing w:before="156" w:beforeLines="50" w:after="156" w:afterLines="50" w:line="360" w:lineRule="auto"/>
        <w:textAlignment w:val="auto"/>
        <w:outlineLvl w:val="1"/>
        <w:rPr>
          <w:rFonts w:hint="default" w:ascii="Times New Roman" w:hAnsi="Times New Roman" w:eastAsia="宋体" w:cs="Times New Roman"/>
          <w:b/>
          <w:kern w:val="44"/>
          <w:sz w:val="22"/>
          <w:szCs w:val="22"/>
          <w:highlight w:val="none"/>
        </w:rPr>
      </w:pPr>
      <w:r>
        <w:rPr>
          <w:rFonts w:hint="default" w:ascii="Times New Roman" w:hAnsi="Times New Roman" w:eastAsia="宋体" w:cs="Times New Roman"/>
          <w:b/>
          <w:kern w:val="44"/>
          <w:sz w:val="22"/>
          <w:szCs w:val="22"/>
          <w:highlight w:val="none"/>
        </w:rPr>
        <w:t>验收标准</w:t>
      </w:r>
    </w:p>
    <w:p>
      <w:pPr>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color w:val="000000"/>
          <w:sz w:val="22"/>
          <w:szCs w:val="22"/>
          <w:highlight w:val="none"/>
        </w:rPr>
      </w:pPr>
      <w:r>
        <w:rPr>
          <w:rFonts w:hint="default" w:ascii="Times New Roman" w:hAnsi="Times New Roman" w:eastAsia="宋体" w:cs="Times New Roman"/>
          <w:bCs/>
          <w:color w:val="000000"/>
          <w:sz w:val="22"/>
          <w:szCs w:val="22"/>
          <w:highlight w:val="none"/>
        </w:rPr>
        <w:t>1、交付产品应为原厂全新正品，符合国家有关规定、招标文件、中标方的投标文件和原制造商的出厂标准，以及其符合采购需求应满足的其他相关标准、规范等文件。</w:t>
      </w:r>
    </w:p>
    <w:p>
      <w:pPr>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color w:val="000000"/>
          <w:sz w:val="22"/>
          <w:szCs w:val="22"/>
          <w:highlight w:val="none"/>
        </w:rPr>
      </w:pPr>
      <w:r>
        <w:rPr>
          <w:rFonts w:hint="default" w:ascii="Times New Roman" w:hAnsi="Times New Roman" w:eastAsia="宋体" w:cs="Times New Roman"/>
          <w:bCs/>
          <w:color w:val="000000"/>
          <w:sz w:val="22"/>
          <w:szCs w:val="22"/>
          <w:highlight w:val="none"/>
        </w:rPr>
        <w:t>2、发票、产品说明书、质量保证书、铭牌等交付资料载明的产品名称与投标产品名称一致。</w:t>
      </w:r>
    </w:p>
    <w:p>
      <w:pPr>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color w:val="000000"/>
          <w:sz w:val="22"/>
          <w:szCs w:val="22"/>
          <w:highlight w:val="none"/>
        </w:rPr>
      </w:pPr>
      <w:r>
        <w:rPr>
          <w:rFonts w:hint="default" w:ascii="Times New Roman" w:hAnsi="Times New Roman" w:eastAsia="宋体" w:cs="Times New Roman"/>
          <w:bCs/>
          <w:color w:val="000000"/>
          <w:sz w:val="22"/>
          <w:szCs w:val="22"/>
          <w:highlight w:val="none"/>
        </w:rPr>
        <w:t>3、如果验收不合格，成交方应及时整改；10个工作日内未完成整改（或整改后未通过验收），将没收履约保证金。</w:t>
      </w:r>
    </w:p>
    <w:p>
      <w:pPr>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color w:val="000000"/>
          <w:sz w:val="22"/>
          <w:szCs w:val="22"/>
          <w:highlight w:val="none"/>
        </w:rPr>
      </w:pPr>
      <w:r>
        <w:rPr>
          <w:rFonts w:hint="default" w:ascii="Times New Roman" w:hAnsi="Times New Roman" w:eastAsia="宋体" w:cs="Times New Roman"/>
          <w:bCs/>
          <w:color w:val="000000"/>
          <w:sz w:val="22"/>
          <w:szCs w:val="22"/>
          <w:highlight w:val="none"/>
        </w:rPr>
        <w:t>4、人脸识别设备、人行道闸A（室内单机芯左边道） 、人行道闸A（室内双机芯中间道）、人行道闸A（室内单机芯右边道）、人行道闸B(室外左边）、人行道闸B(室外中间）、人行道闸B(室外右边）、机动车电子标识停车场读写设备、视频图像解析一体机等提供第三方检测报告。</w:t>
      </w:r>
    </w:p>
    <w:p>
      <w:pPr>
        <w:keepNext/>
        <w:keepLines/>
        <w:pageBreakBefore w:val="0"/>
        <w:numPr>
          <w:ilvl w:val="0"/>
          <w:numId w:val="22"/>
        </w:numPr>
        <w:kinsoku/>
        <w:wordWrap/>
        <w:overflowPunct/>
        <w:topLinePunct w:val="0"/>
        <w:autoSpaceDE/>
        <w:autoSpaceDN/>
        <w:bidi w:val="0"/>
        <w:adjustRightInd/>
        <w:snapToGrid/>
        <w:spacing w:before="156" w:beforeLines="50" w:after="156" w:afterLines="50" w:line="360" w:lineRule="auto"/>
        <w:textAlignment w:val="auto"/>
        <w:outlineLvl w:val="1"/>
        <w:rPr>
          <w:rFonts w:hint="default" w:ascii="Times New Roman" w:hAnsi="Times New Roman" w:eastAsia="宋体" w:cs="Times New Roman"/>
          <w:b/>
          <w:kern w:val="44"/>
          <w:sz w:val="22"/>
          <w:szCs w:val="22"/>
          <w:highlight w:val="none"/>
        </w:rPr>
      </w:pPr>
      <w:r>
        <w:rPr>
          <w:rFonts w:hint="default" w:ascii="Times New Roman" w:hAnsi="Times New Roman" w:eastAsia="宋体" w:cs="Times New Roman"/>
          <w:b/>
          <w:kern w:val="44"/>
          <w:sz w:val="22"/>
          <w:szCs w:val="22"/>
          <w:highlight w:val="none"/>
        </w:rPr>
        <w:t>质保及售后</w:t>
      </w:r>
    </w:p>
    <w:p>
      <w:pPr>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color w:val="000000"/>
          <w:sz w:val="22"/>
          <w:szCs w:val="22"/>
          <w:highlight w:val="none"/>
        </w:rPr>
      </w:pPr>
      <w:r>
        <w:rPr>
          <w:rFonts w:hint="default" w:ascii="Times New Roman" w:hAnsi="Times New Roman" w:eastAsia="宋体" w:cs="Times New Roman"/>
          <w:bCs/>
          <w:color w:val="000000"/>
          <w:sz w:val="22"/>
          <w:szCs w:val="22"/>
          <w:highlight w:val="none"/>
        </w:rPr>
        <w:t>1、质保期为2年，自验收合格之日起计算。</w:t>
      </w:r>
    </w:p>
    <w:p>
      <w:pPr>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color w:val="000000"/>
          <w:sz w:val="22"/>
          <w:szCs w:val="22"/>
          <w:highlight w:val="none"/>
        </w:rPr>
      </w:pPr>
      <w:r>
        <w:rPr>
          <w:rFonts w:hint="default" w:ascii="Times New Roman" w:hAnsi="Times New Roman" w:eastAsia="宋体" w:cs="Times New Roman"/>
          <w:bCs/>
          <w:color w:val="000000"/>
          <w:sz w:val="22"/>
          <w:szCs w:val="22"/>
          <w:highlight w:val="none"/>
        </w:rPr>
        <w:t>2、售后服务内容：质保期内硬件产品的维修及更换服务、系统软件升级迭代。</w:t>
      </w:r>
    </w:p>
    <w:p>
      <w:pPr>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color w:val="000000"/>
          <w:sz w:val="22"/>
          <w:szCs w:val="22"/>
          <w:highlight w:val="none"/>
        </w:rPr>
      </w:pPr>
      <w:r>
        <w:rPr>
          <w:rFonts w:hint="default" w:ascii="Times New Roman" w:hAnsi="Times New Roman" w:eastAsia="宋体" w:cs="Times New Roman"/>
          <w:bCs/>
          <w:color w:val="000000"/>
          <w:sz w:val="22"/>
          <w:szCs w:val="22"/>
          <w:highlight w:val="none"/>
        </w:rPr>
        <w:t>3、质保期内出现质量或故障问题时，供货方须在接到通知后4小时内响应；如有必要，48小时内派员到现场进行维修，故障恢复时间≤72小时。</w:t>
      </w:r>
    </w:p>
    <w:p>
      <w:pPr>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color w:val="000000"/>
          <w:sz w:val="22"/>
          <w:szCs w:val="22"/>
          <w:highlight w:val="none"/>
        </w:rPr>
      </w:pPr>
      <w:r>
        <w:rPr>
          <w:rFonts w:hint="default" w:ascii="Times New Roman" w:hAnsi="Times New Roman" w:eastAsia="宋体" w:cs="Times New Roman"/>
          <w:color w:val="000000"/>
          <w:sz w:val="22"/>
          <w:szCs w:val="22"/>
          <w:highlight w:val="none"/>
        </w:rPr>
        <w:t>4、质保</w:t>
      </w:r>
      <w:r>
        <w:rPr>
          <w:rFonts w:hint="default" w:ascii="Times New Roman" w:hAnsi="Times New Roman" w:eastAsia="宋体" w:cs="Times New Roman"/>
          <w:bCs/>
          <w:color w:val="000000"/>
          <w:sz w:val="22"/>
          <w:szCs w:val="22"/>
          <w:highlight w:val="none"/>
        </w:rPr>
        <w:t>期内</w:t>
      </w:r>
      <w:r>
        <w:rPr>
          <w:rFonts w:hint="default" w:ascii="Times New Roman" w:hAnsi="Times New Roman" w:eastAsia="宋体" w:cs="Times New Roman"/>
          <w:sz w:val="22"/>
          <w:szCs w:val="22"/>
          <w:highlight w:val="none"/>
        </w:rPr>
        <w:t>在已有功能基础上流程优化、数据共享等</w:t>
      </w:r>
      <w:r>
        <w:rPr>
          <w:rFonts w:hint="default" w:ascii="Times New Roman" w:hAnsi="Times New Roman" w:eastAsia="宋体" w:cs="Times New Roman"/>
          <w:bCs/>
          <w:sz w:val="22"/>
          <w:szCs w:val="22"/>
          <w:highlight w:val="none"/>
        </w:rPr>
        <w:t>范围内对软件免费升级</w:t>
      </w:r>
      <w:r>
        <w:rPr>
          <w:rFonts w:hint="default" w:ascii="Times New Roman" w:hAnsi="Times New Roman" w:eastAsia="宋体" w:cs="Times New Roman"/>
          <w:bCs/>
          <w:color w:val="000000"/>
          <w:sz w:val="22"/>
          <w:szCs w:val="22"/>
          <w:highlight w:val="none"/>
        </w:rPr>
        <w:t>。质保期外双方协商优化升级事项。</w:t>
      </w:r>
    </w:p>
    <w:p>
      <w:pPr>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color w:val="000000"/>
          <w:sz w:val="22"/>
          <w:szCs w:val="22"/>
          <w:highlight w:val="none"/>
        </w:rPr>
      </w:pPr>
      <w:r>
        <w:rPr>
          <w:rFonts w:hint="default" w:ascii="Times New Roman" w:hAnsi="Times New Roman" w:eastAsia="宋体" w:cs="Times New Roman"/>
          <w:bCs/>
          <w:color w:val="000000"/>
          <w:sz w:val="22"/>
          <w:szCs w:val="22"/>
          <w:highlight w:val="none"/>
        </w:rPr>
        <w:t>5、质保期结束后，招标方若有改动，双方协商解决。</w:t>
      </w:r>
    </w:p>
    <w:p>
      <w:pPr>
        <w:keepNext/>
        <w:keepLines/>
        <w:pageBreakBefore w:val="0"/>
        <w:numPr>
          <w:ilvl w:val="0"/>
          <w:numId w:val="22"/>
        </w:numPr>
        <w:kinsoku/>
        <w:wordWrap/>
        <w:overflowPunct/>
        <w:topLinePunct w:val="0"/>
        <w:autoSpaceDE/>
        <w:autoSpaceDN/>
        <w:bidi w:val="0"/>
        <w:adjustRightInd/>
        <w:snapToGrid/>
        <w:spacing w:before="156" w:beforeLines="50" w:after="156" w:afterLines="50" w:line="360" w:lineRule="auto"/>
        <w:textAlignment w:val="auto"/>
        <w:outlineLvl w:val="1"/>
        <w:rPr>
          <w:rFonts w:hint="default" w:ascii="Times New Roman" w:hAnsi="Times New Roman" w:eastAsia="宋体" w:cs="Times New Roman"/>
          <w:bCs/>
          <w:kern w:val="44"/>
          <w:sz w:val="22"/>
          <w:szCs w:val="22"/>
          <w:highlight w:val="none"/>
          <w:lang w:val="zh-CN"/>
        </w:rPr>
      </w:pPr>
      <w:r>
        <w:rPr>
          <w:rFonts w:hint="default" w:ascii="Times New Roman" w:hAnsi="Times New Roman" w:eastAsia="宋体" w:cs="Times New Roman"/>
          <w:bCs/>
          <w:kern w:val="44"/>
          <w:sz w:val="22"/>
          <w:szCs w:val="22"/>
          <w:highlight w:val="none"/>
          <w:lang w:val="zh-CN"/>
        </w:rPr>
        <w:t>付款方式</w:t>
      </w:r>
    </w:p>
    <w:p>
      <w:pPr>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eastAsia="宋体" w:cs="Times New Roman"/>
          <w:kern w:val="20"/>
          <w:sz w:val="22"/>
          <w:szCs w:val="22"/>
          <w:highlight w:val="none"/>
        </w:rPr>
      </w:pPr>
      <w:r>
        <w:rPr>
          <w:rFonts w:hint="default" w:ascii="Times New Roman" w:hAnsi="Times New Roman" w:eastAsia="宋体" w:cs="Times New Roman"/>
          <w:kern w:val="20"/>
          <w:sz w:val="22"/>
          <w:szCs w:val="22"/>
          <w:highlight w:val="none"/>
        </w:rPr>
        <w:t>1、中标（成交）通知发出后5个工日内，中标单位向采购人指定银行账户转账中标金额</w:t>
      </w:r>
      <w:r>
        <w:rPr>
          <w:rFonts w:hint="eastAsia" w:ascii="Times New Roman" w:cs="Times New Roman"/>
          <w:kern w:val="20"/>
          <w:sz w:val="22"/>
          <w:szCs w:val="22"/>
          <w:highlight w:val="none"/>
          <w:lang w:val="en-US" w:eastAsia="zh-CN"/>
        </w:rPr>
        <w:t>5</w:t>
      </w:r>
      <w:r>
        <w:rPr>
          <w:rFonts w:hint="default" w:ascii="Times New Roman" w:hAnsi="Times New Roman" w:eastAsia="宋体" w:cs="Times New Roman"/>
          <w:kern w:val="20"/>
          <w:sz w:val="22"/>
          <w:szCs w:val="22"/>
          <w:highlight w:val="none"/>
        </w:rPr>
        <w:t>%的履约保证金。</w:t>
      </w:r>
    </w:p>
    <w:p>
      <w:pPr>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eastAsia="宋体" w:cs="Times New Roman"/>
          <w:color w:val="A6A6A6" w:themeColor="background1" w:themeShade="A6"/>
          <w:kern w:val="0"/>
          <w:sz w:val="22"/>
          <w:szCs w:val="22"/>
          <w:highlight w:val="none"/>
          <w:lang w:bidi="ar"/>
        </w:rPr>
      </w:pPr>
      <w:r>
        <w:rPr>
          <w:rFonts w:hint="default" w:ascii="Times New Roman" w:hAnsi="Times New Roman" w:eastAsia="宋体" w:cs="Times New Roman"/>
          <w:kern w:val="20"/>
          <w:sz w:val="22"/>
          <w:szCs w:val="22"/>
          <w:highlight w:val="none"/>
        </w:rPr>
        <w:t>2、签订合同且收到合同总额30%的增值税专用发票后10个工作日内，采购人向中标单位支付合同总额的30%款项。</w:t>
      </w:r>
    </w:p>
    <w:p>
      <w:pPr>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eastAsia="宋体" w:cs="Times New Roman"/>
          <w:kern w:val="20"/>
          <w:sz w:val="22"/>
          <w:szCs w:val="22"/>
          <w:highlight w:val="none"/>
        </w:rPr>
      </w:pPr>
      <w:r>
        <w:rPr>
          <w:rFonts w:hint="default" w:ascii="Times New Roman" w:hAnsi="Times New Roman" w:eastAsia="宋体" w:cs="Times New Roman"/>
          <w:kern w:val="20"/>
          <w:sz w:val="22"/>
          <w:szCs w:val="22"/>
          <w:highlight w:val="none"/>
        </w:rPr>
        <w:t>3、验收合格且收到合同总额70%的增值税专用发票后10个工日内，采购人向中标单位支付合同总额的70%款项。</w:t>
      </w:r>
    </w:p>
    <w:p>
      <w:pPr>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eastAsia="宋体" w:cs="Times New Roman"/>
          <w:kern w:val="20"/>
          <w:sz w:val="22"/>
          <w:szCs w:val="22"/>
          <w:highlight w:val="none"/>
        </w:rPr>
      </w:pPr>
      <w:r>
        <w:rPr>
          <w:rFonts w:hint="default" w:ascii="Times New Roman" w:hAnsi="Times New Roman" w:eastAsia="宋体" w:cs="Times New Roman"/>
          <w:kern w:val="20"/>
          <w:sz w:val="22"/>
          <w:szCs w:val="22"/>
          <w:highlight w:val="none"/>
        </w:rPr>
        <w:t>4、质保期满且无质量、服务问题的，10个工作日内无息退还履约保证</w:t>
      </w:r>
      <w:r>
        <w:rPr>
          <w:rFonts w:hint="eastAsia" w:ascii="Times New Roman" w:cs="Times New Roman"/>
          <w:kern w:val="20"/>
          <w:sz w:val="22"/>
          <w:szCs w:val="22"/>
          <w:highlight w:val="none"/>
          <w:lang w:val="en-US" w:eastAsia="zh-CN"/>
        </w:rPr>
        <w:t>金</w:t>
      </w:r>
      <w:r>
        <w:rPr>
          <w:rFonts w:hint="default" w:ascii="Times New Roman" w:hAnsi="Times New Roman" w:eastAsia="宋体" w:cs="Times New Roman"/>
          <w:kern w:val="20"/>
          <w:sz w:val="22"/>
          <w:szCs w:val="22"/>
          <w:highlight w:val="none"/>
        </w:rPr>
        <w:t>。</w:t>
      </w:r>
    </w:p>
    <w:p>
      <w:pPr>
        <w:pStyle w:val="4"/>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32"/>
          <w:szCs w:val="32"/>
          <w:highlight w:val="none"/>
        </w:rPr>
        <w:sectPr>
          <w:pgSz w:w="11907" w:h="16840"/>
          <w:pgMar w:top="1440" w:right="1080" w:bottom="1440" w:left="1080" w:header="0" w:footer="708" w:gutter="0"/>
          <w:pgNumType w:fmt="decimal"/>
          <w:cols w:space="720" w:num="1"/>
        </w:sectPr>
      </w:pPr>
    </w:p>
    <w:p>
      <w:pPr>
        <w:pStyle w:val="4"/>
        <w:rPr>
          <w:rFonts w:hint="default" w:ascii="Times New Roman" w:hAnsi="Times New Roman" w:cs="Times New Roman"/>
          <w:highlight w:val="none"/>
        </w:rPr>
      </w:pPr>
      <w:bookmarkStart w:id="8" w:name="_Toc12108"/>
      <w:r>
        <w:rPr>
          <w:rFonts w:hint="default" w:ascii="Times New Roman" w:hAnsi="Times New Roman" w:cs="Times New Roman"/>
          <w:highlight w:val="none"/>
        </w:rPr>
        <w:t>四、合同协议书</w:t>
      </w:r>
      <w:bookmarkEnd w:id="8"/>
    </w:p>
    <w:p>
      <w:pPr>
        <w:rPr>
          <w:rFonts w:hint="default" w:ascii="Times New Roman" w:hAnsi="Times New Roman" w:cs="Times New Roman"/>
          <w:highlight w:val="none"/>
        </w:rPr>
      </w:pPr>
    </w:p>
    <w:p>
      <w:pPr>
        <w:widowControl/>
        <w:kinsoku w:val="0"/>
        <w:autoSpaceDE w:val="0"/>
        <w:autoSpaceDN w:val="0"/>
        <w:adjustRightInd w:val="0"/>
        <w:snapToGrid w:val="0"/>
        <w:spacing w:line="360" w:lineRule="auto"/>
        <w:jc w:val="center"/>
        <w:textAlignment w:val="baseline"/>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合同协议书</w:t>
      </w: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ind w:firstLine="1120" w:firstLineChars="400"/>
        <w:textAlignment w:val="baseline"/>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项目名称：</w:t>
      </w:r>
      <w:r>
        <w:rPr>
          <w:rFonts w:hint="eastAsia" w:ascii="Times New Roman" w:cs="Times New Roman"/>
          <w:sz w:val="28"/>
          <w:szCs w:val="28"/>
          <w:highlight w:val="none"/>
          <w:u w:val="single"/>
          <w:lang w:eastAsia="zh-CN"/>
        </w:rPr>
        <w:t>人员及车辆通行智能管理系统（第二次）</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 xml:space="preserve"> </w:t>
      </w:r>
    </w:p>
    <w:p>
      <w:pPr>
        <w:widowControl/>
        <w:kinsoku w:val="0"/>
        <w:autoSpaceDE w:val="0"/>
        <w:autoSpaceDN w:val="0"/>
        <w:adjustRightInd w:val="0"/>
        <w:snapToGrid w:val="0"/>
        <w:spacing w:line="360" w:lineRule="auto"/>
        <w:ind w:firstLine="1120" w:firstLineChars="400"/>
        <w:textAlignment w:val="baseline"/>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项目编号：</w:t>
      </w:r>
      <w:r>
        <w:rPr>
          <w:rFonts w:hint="eastAsia" w:ascii="Times New Roman" w:cs="Times New Roman"/>
          <w:sz w:val="28"/>
          <w:szCs w:val="28"/>
          <w:highlight w:val="none"/>
          <w:u w:val="single"/>
          <w:lang w:eastAsia="zh-CN"/>
        </w:rPr>
        <w:t>JSXZT2022-027（2）</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 xml:space="preserve">  </w:t>
      </w:r>
    </w:p>
    <w:p>
      <w:pPr>
        <w:widowControl/>
        <w:kinsoku w:val="0"/>
        <w:autoSpaceDE w:val="0"/>
        <w:autoSpaceDN w:val="0"/>
        <w:adjustRightInd w:val="0"/>
        <w:snapToGrid w:val="0"/>
        <w:spacing w:line="360" w:lineRule="auto"/>
        <w:ind w:firstLine="1120" w:firstLineChars="400"/>
        <w:textAlignment w:val="baseline"/>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合同编号：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 xml:space="preserve"> </w:t>
      </w: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textAlignment w:val="baseline"/>
        <w:rPr>
          <w:rFonts w:hint="default" w:ascii="Times New Roman" w:hAnsi="Times New Roman" w:cs="Times New Roman"/>
          <w:sz w:val="28"/>
          <w:szCs w:val="28"/>
          <w:highlight w:val="none"/>
        </w:rPr>
      </w:pPr>
    </w:p>
    <w:p>
      <w:pPr>
        <w:widowControl/>
        <w:kinsoku w:val="0"/>
        <w:autoSpaceDE w:val="0"/>
        <w:autoSpaceDN w:val="0"/>
        <w:adjustRightInd w:val="0"/>
        <w:snapToGrid w:val="0"/>
        <w:spacing w:line="360" w:lineRule="auto"/>
        <w:ind w:firstLine="1120" w:firstLineChars="400"/>
        <w:textAlignment w:val="baseline"/>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采购人（甲方）：</w:t>
      </w:r>
      <w:r>
        <w:rPr>
          <w:rFonts w:hint="default" w:ascii="Times New Roman" w:hAnsi="Times New Roman" w:cs="Times New Roman"/>
          <w:sz w:val="28"/>
          <w:szCs w:val="28"/>
          <w:highlight w:val="none"/>
          <w:u w:val="single"/>
        </w:rPr>
        <w:t xml:space="preserve"> 公安部交通管理科学研究所</w:t>
      </w:r>
      <w:r>
        <w:rPr>
          <w:rFonts w:hint="default" w:ascii="Times New Roman" w:hAnsi="Times New Roman" w:cs="Times New Roman"/>
          <w:sz w:val="28"/>
          <w:szCs w:val="28"/>
          <w:highlight w:val="none"/>
        </w:rPr>
        <w:t xml:space="preserve">   </w:t>
      </w:r>
    </w:p>
    <w:p>
      <w:pPr>
        <w:widowControl/>
        <w:kinsoku w:val="0"/>
        <w:autoSpaceDE w:val="0"/>
        <w:autoSpaceDN w:val="0"/>
        <w:adjustRightInd w:val="0"/>
        <w:snapToGrid w:val="0"/>
        <w:spacing w:line="360" w:lineRule="auto"/>
        <w:ind w:firstLine="1120" w:firstLineChars="400"/>
        <w:textAlignment w:val="baseline"/>
        <w:rPr>
          <w:rFonts w:hint="default" w:ascii="Times New Roman" w:hAnsi="Times New Roman" w:cs="Times New Roman"/>
          <w:sz w:val="28"/>
          <w:szCs w:val="28"/>
          <w:highlight w:val="none"/>
        </w:rPr>
        <w:sectPr>
          <w:pgSz w:w="11907" w:h="16840"/>
          <w:pgMar w:top="1440" w:right="1080" w:bottom="1440" w:left="1080" w:header="0" w:footer="708" w:gutter="0"/>
          <w:pgNumType w:fmt="decimal"/>
          <w:cols w:space="720" w:num="1"/>
        </w:sectPr>
      </w:pPr>
      <w:r>
        <w:rPr>
          <w:rFonts w:hint="default" w:ascii="Times New Roman" w:hAnsi="Times New Roman" w:cs="Times New Roman"/>
          <w:sz w:val="28"/>
          <w:szCs w:val="28"/>
          <w:highlight w:val="none"/>
        </w:rPr>
        <w:t>中标供应商（乙方）：</w:t>
      </w:r>
      <w:r>
        <w:rPr>
          <w:rFonts w:hint="default" w:ascii="Times New Roman" w:hAnsi="Times New Roman" w:cs="Times New Roman"/>
          <w:sz w:val="28"/>
          <w:szCs w:val="28"/>
          <w:highlight w:val="none"/>
          <w:u w:val="single"/>
        </w:rPr>
        <w:t xml:space="preserve">                     </w:t>
      </w:r>
    </w:p>
    <w:p>
      <w:pPr>
        <w:widowControl/>
        <w:kinsoku w:val="0"/>
        <w:autoSpaceDE w:val="0"/>
        <w:autoSpaceDN w:val="0"/>
        <w:adjustRightInd w:val="0"/>
        <w:snapToGrid w:val="0"/>
        <w:spacing w:line="360" w:lineRule="auto"/>
        <w:jc w:val="center"/>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合同条款专用部分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一、定义</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1.采购人名称：</w:t>
      </w:r>
      <w:r>
        <w:rPr>
          <w:rFonts w:hint="default" w:ascii="Times New Roman" w:hAnsi="Times New Roman" w:cs="Times New Roman"/>
          <w:sz w:val="24"/>
          <w:szCs w:val="24"/>
          <w:highlight w:val="none"/>
          <w:u w:val="single"/>
        </w:rPr>
        <w:t xml:space="preserve"> 公安部交通管理科学研究所</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2.项目编号：</w:t>
      </w:r>
      <w:r>
        <w:rPr>
          <w:rFonts w:hint="eastAsia" w:ascii="Times New Roman" w:cs="Times New Roman"/>
          <w:sz w:val="24"/>
          <w:szCs w:val="24"/>
          <w:highlight w:val="none"/>
          <w:u w:val="single"/>
          <w:lang w:eastAsia="zh-CN"/>
        </w:rPr>
        <w:t>JSXZT2022-027（2）</w:t>
      </w:r>
      <w:r>
        <w:rPr>
          <w:rFonts w:hint="default" w:ascii="Times New Roman" w:hAnsi="Times New Roman" w:cs="Times New Roman"/>
          <w:sz w:val="24"/>
          <w:szCs w:val="24"/>
          <w:highlight w:val="non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3.项目名称：</w:t>
      </w:r>
      <w:r>
        <w:rPr>
          <w:rFonts w:hint="eastAsia" w:ascii="Times New Roman" w:cs="Times New Roman"/>
          <w:sz w:val="24"/>
          <w:szCs w:val="24"/>
          <w:highlight w:val="none"/>
          <w:u w:val="single"/>
          <w:lang w:eastAsia="zh-CN"/>
        </w:rPr>
        <w:t>人员及车辆通行智能管理系统（第二次）</w:t>
      </w:r>
      <w:r>
        <w:rPr>
          <w:rFonts w:hint="default" w:ascii="Times New Roman" w:hAnsi="Times New Roman" w:cs="Times New Roman"/>
          <w:sz w:val="24"/>
          <w:szCs w:val="24"/>
          <w:highlight w:val="non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二、合同标的</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1.甲方同意从乙方购买，乙方同意向甲方出售下列设备：</w:t>
      </w:r>
    </w:p>
    <w:tbl>
      <w:tblPr>
        <w:tblStyle w:val="56"/>
        <w:tblW w:w="4630" w:type="pct"/>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5"/>
        <w:gridCol w:w="3090"/>
        <w:gridCol w:w="915"/>
        <w:gridCol w:w="2020"/>
        <w:gridCol w:w="1063"/>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35" w:type="pct"/>
            <w:noWrap w:val="0"/>
            <w:vAlign w:val="center"/>
          </w:tcPr>
          <w:p>
            <w:pPr>
              <w:widowControl/>
              <w:kinsoku w:val="0"/>
              <w:autoSpaceDE w:val="0"/>
              <w:autoSpaceDN w:val="0"/>
              <w:adjustRightInd w:val="0"/>
              <w:snapToGrid w:val="0"/>
              <w:spacing w:line="360" w:lineRule="auto"/>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序号</w:t>
            </w:r>
          </w:p>
        </w:tc>
        <w:tc>
          <w:tcPr>
            <w:tcW w:w="1709" w:type="pct"/>
            <w:noWrap w:val="0"/>
            <w:vAlign w:val="center"/>
          </w:tcPr>
          <w:p>
            <w:pPr>
              <w:widowControl/>
              <w:kinsoku w:val="0"/>
              <w:autoSpaceDE w:val="0"/>
              <w:autoSpaceDN w:val="0"/>
              <w:adjustRightInd w:val="0"/>
              <w:snapToGrid w:val="0"/>
              <w:spacing w:line="360" w:lineRule="auto"/>
              <w:ind w:firstLine="480" w:firstLineChars="200"/>
              <w:jc w:val="center"/>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货物名称及规格</w:t>
            </w:r>
          </w:p>
        </w:tc>
        <w:tc>
          <w:tcPr>
            <w:tcW w:w="506" w:type="pct"/>
            <w:noWrap w:val="0"/>
            <w:vAlign w:val="center"/>
          </w:tcPr>
          <w:p>
            <w:pPr>
              <w:widowControl/>
              <w:kinsoku w:val="0"/>
              <w:autoSpaceDE w:val="0"/>
              <w:autoSpaceDN w:val="0"/>
              <w:adjustRightInd w:val="0"/>
              <w:snapToGrid w:val="0"/>
              <w:spacing w:line="360" w:lineRule="auto"/>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数量</w:t>
            </w:r>
          </w:p>
        </w:tc>
        <w:tc>
          <w:tcPr>
            <w:tcW w:w="1117" w:type="pct"/>
            <w:noWrap w:val="0"/>
            <w:vAlign w:val="center"/>
          </w:tcPr>
          <w:p>
            <w:pPr>
              <w:widowControl/>
              <w:kinsoku w:val="0"/>
              <w:autoSpaceDE w:val="0"/>
              <w:autoSpaceDN w:val="0"/>
              <w:adjustRightInd w:val="0"/>
              <w:snapToGrid w:val="0"/>
              <w:spacing w:line="360" w:lineRule="auto"/>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产地及品牌</w:t>
            </w:r>
          </w:p>
        </w:tc>
        <w:tc>
          <w:tcPr>
            <w:tcW w:w="588" w:type="pct"/>
            <w:noWrap w:val="0"/>
            <w:vAlign w:val="center"/>
          </w:tcPr>
          <w:p>
            <w:pPr>
              <w:widowControl/>
              <w:kinsoku w:val="0"/>
              <w:autoSpaceDE w:val="0"/>
              <w:autoSpaceDN w:val="0"/>
              <w:adjustRightInd w:val="0"/>
              <w:snapToGrid w:val="0"/>
              <w:spacing w:line="360" w:lineRule="auto"/>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单价</w:t>
            </w:r>
          </w:p>
        </w:tc>
        <w:tc>
          <w:tcPr>
            <w:tcW w:w="742" w:type="pct"/>
            <w:noWrap w:val="0"/>
            <w:vAlign w:val="center"/>
          </w:tcPr>
          <w:p>
            <w:pPr>
              <w:widowControl/>
              <w:kinsoku w:val="0"/>
              <w:autoSpaceDE w:val="0"/>
              <w:autoSpaceDN w:val="0"/>
              <w:adjustRightInd w:val="0"/>
              <w:snapToGrid w:val="0"/>
              <w:spacing w:line="360" w:lineRule="auto"/>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交货时间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35" w:type="pct"/>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c>
          <w:tcPr>
            <w:tcW w:w="1709" w:type="pct"/>
            <w:tcBorders>
              <w:bottom w:val="single" w:color="000000" w:sz="2" w:space="0"/>
            </w:tcBorders>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c>
          <w:tcPr>
            <w:tcW w:w="506" w:type="pct"/>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c>
          <w:tcPr>
            <w:tcW w:w="1117" w:type="pct"/>
            <w:tcBorders>
              <w:bottom w:val="single" w:color="000000" w:sz="2" w:space="0"/>
            </w:tcBorders>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c>
          <w:tcPr>
            <w:tcW w:w="588" w:type="pct"/>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c>
          <w:tcPr>
            <w:tcW w:w="742" w:type="pct"/>
            <w:tcBorders>
              <w:bottom w:val="single" w:color="000000" w:sz="2" w:space="0"/>
            </w:tcBorders>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335" w:type="pct"/>
            <w:tcBorders>
              <w:right w:val="single" w:color="000000" w:sz="2" w:space="0"/>
            </w:tcBorders>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c>
          <w:tcPr>
            <w:tcW w:w="1709" w:type="pct"/>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c>
          <w:tcPr>
            <w:tcW w:w="506" w:type="pct"/>
            <w:tcBorders>
              <w:left w:val="single" w:color="000000" w:sz="2" w:space="0"/>
              <w:right w:val="single" w:color="000000" w:sz="2" w:space="0"/>
            </w:tcBorders>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c>
          <w:tcPr>
            <w:tcW w:w="1117" w:type="pct"/>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c>
          <w:tcPr>
            <w:tcW w:w="588" w:type="pct"/>
            <w:tcBorders>
              <w:left w:val="single" w:color="000000" w:sz="2" w:space="0"/>
              <w:right w:val="single" w:color="000000" w:sz="2" w:space="0"/>
            </w:tcBorders>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c>
          <w:tcPr>
            <w:tcW w:w="742" w:type="pct"/>
            <w:noWrap w:val="0"/>
            <w:vAlign w:val="top"/>
          </w:tcPr>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tc>
      </w:tr>
    </w:tbl>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2.交货地点：</w:t>
      </w:r>
      <w:r>
        <w:rPr>
          <w:rFonts w:hint="default" w:ascii="Times New Roman" w:hAnsi="Times New Roman" w:cs="Times New Roman"/>
          <w:bCs/>
          <w:kern w:val="0"/>
          <w:sz w:val="24"/>
          <w:szCs w:val="24"/>
          <w:highlight w:val="none"/>
          <w:u w:val="single"/>
        </w:rPr>
        <w:t>具体地点以合同书约定为准。中标方必须按采购人要求将本项目中货物送到指定地点。</w:t>
      </w:r>
      <w:r>
        <w:rPr>
          <w:rFonts w:hint="default" w:ascii="Times New Roman" w:hAnsi="Times New Roman" w:cs="Times New Roman"/>
          <w:sz w:val="24"/>
          <w:szCs w:val="24"/>
          <w:highlight w:val="non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bCs/>
          <w:kern w:val="0"/>
          <w:sz w:val="24"/>
          <w:szCs w:val="24"/>
          <w:highlight w:val="none"/>
          <w:u w:val="single"/>
        </w:rPr>
      </w:pPr>
      <w:r>
        <w:rPr>
          <w:rFonts w:hint="default" w:ascii="Times New Roman" w:hAnsi="Times New Roman" w:cs="Times New Roman"/>
          <w:sz w:val="24"/>
          <w:szCs w:val="24"/>
          <w:highlight w:val="none"/>
        </w:rPr>
        <w:t>3.</w:t>
      </w:r>
      <w:r>
        <w:rPr>
          <w:rFonts w:hint="default" w:ascii="Times New Roman" w:hAnsi="Times New Roman" w:cs="Times New Roman"/>
          <w:bCs/>
          <w:kern w:val="0"/>
          <w:sz w:val="24"/>
          <w:szCs w:val="24"/>
          <w:highlight w:val="none"/>
        </w:rPr>
        <w:t>交货期或完工期：</w:t>
      </w:r>
      <w:r>
        <w:rPr>
          <w:rFonts w:hint="default" w:ascii="Times New Roman" w:hAnsi="Times New Roman" w:cs="Times New Roman"/>
          <w:bCs/>
          <w:kern w:val="0"/>
          <w:sz w:val="24"/>
          <w:szCs w:val="24"/>
          <w:highlight w:val="none"/>
          <w:u w:val="single"/>
          <w:lang w:eastAsia="zh-CN"/>
        </w:rPr>
        <w:t>合同签订后30个工作日内将货物送至公安部交通管理科学研究所并完成全套产品的安装、调试、现场技术培训及验收</w:t>
      </w:r>
      <w:r>
        <w:rPr>
          <w:rFonts w:hint="default" w:ascii="Times New Roman" w:hAnsi="Times New Roman" w:cs="Times New Roman"/>
          <w:bCs/>
          <w:kern w:val="0"/>
          <w:sz w:val="24"/>
          <w:szCs w:val="24"/>
          <w:highlight w:val="none"/>
          <w:u w:val="single"/>
        </w:rPr>
        <w:t>。</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eastAsia="宋体" w:cs="Times New Roman"/>
          <w:bCs/>
          <w:kern w:val="0"/>
          <w:sz w:val="24"/>
          <w:szCs w:val="24"/>
          <w:highlight w:val="none"/>
          <w:u w:val="single"/>
          <w:lang w:val="en-US" w:eastAsia="zh-CN"/>
        </w:rPr>
      </w:pPr>
      <w:r>
        <w:rPr>
          <w:rFonts w:hint="default" w:ascii="Times New Roman" w:hAnsi="Times New Roman" w:cs="Times New Roman"/>
          <w:bCs/>
          <w:kern w:val="0"/>
          <w:sz w:val="24"/>
          <w:szCs w:val="24"/>
          <w:highlight w:val="none"/>
          <w:u w:val="none"/>
          <w:lang w:val="en-US" w:eastAsia="zh-CN"/>
        </w:rPr>
        <w:t>4.运输方式：</w:t>
      </w:r>
      <w:r>
        <w:rPr>
          <w:rFonts w:hint="default" w:ascii="Times New Roman" w:hAnsi="Times New Roman" w:cs="Times New Roman"/>
          <w:bCs/>
          <w:kern w:val="0"/>
          <w:sz w:val="24"/>
          <w:szCs w:val="24"/>
          <w:highlight w:val="none"/>
          <w:u w:val="single"/>
          <w:lang w:val="en-US" w:eastAsia="zh-CN"/>
        </w:rPr>
        <w:t>铁路运输或陆路运输，中标供应商承担运输费用及其运输过程中的所有事项，并承担运输风险。</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三、 合同价格</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合同总金额为人民币元（大写）：</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元（小写</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四、 付款方式</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1、中标（成交）通知发出后5个工日内，中标单位向采购人指定银行账户转账中标金额</w:t>
      </w:r>
      <w:r>
        <w:rPr>
          <w:rFonts w:hint="eastAsia" w:ascii="Times New Roman" w:cs="Times New Roman"/>
          <w:sz w:val="24"/>
          <w:szCs w:val="24"/>
          <w:highlight w:val="none"/>
          <w:lang w:val="en-US" w:eastAsia="zh-CN"/>
        </w:rPr>
        <w:t>5</w:t>
      </w:r>
      <w:r>
        <w:rPr>
          <w:rFonts w:hint="default" w:ascii="Times New Roman" w:hAnsi="Times New Roman" w:eastAsia="宋体" w:cs="Times New Roman"/>
          <w:sz w:val="24"/>
          <w:szCs w:val="24"/>
          <w:highlight w:val="none"/>
        </w:rPr>
        <w:t>%的履约保证金。</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2、签订合同且收到合同总额30%的增值税专用发票后10个工作日内，采购人向中标单位支付合同总额的30%款项。</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3、验收合格且收到合同总额70%的增值税专用发票后10个工日内，采购人向中标单位支付合同总额的70%款项。</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4、质保期满且无质量、服务问题的，10个工作日内无息退还履约保证</w:t>
      </w:r>
      <w:r>
        <w:rPr>
          <w:rFonts w:hint="eastAsia" w:ascii="Times New Roman" w:cs="Times New Roman"/>
          <w:sz w:val="24"/>
          <w:szCs w:val="24"/>
          <w:highlight w:val="none"/>
          <w:lang w:val="en-US" w:eastAsia="zh-CN"/>
        </w:rPr>
        <w:t>金</w:t>
      </w:r>
      <w:r>
        <w:rPr>
          <w:rFonts w:hint="default" w:ascii="Times New Roman" w:hAnsi="Times New Roman" w:eastAsia="宋体" w:cs="Times New Roman"/>
          <w:sz w:val="24"/>
          <w:szCs w:val="24"/>
          <w:highlight w:val="none"/>
        </w:rPr>
        <w:t>。</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五、 交货</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1.交货日期：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2.运输方式：</w:t>
      </w:r>
      <w:r>
        <w:rPr>
          <w:rFonts w:hint="default" w:ascii="Times New Roman" w:hAnsi="Times New Roman" w:cs="Times New Roman"/>
          <w:bCs/>
          <w:kern w:val="0"/>
          <w:sz w:val="24"/>
          <w:szCs w:val="24"/>
          <w:highlight w:val="none"/>
          <w:u w:val="single"/>
        </w:rPr>
        <w:t>铁路运输或陆路运输，中标供应商承担运输费用及其运输过程中的所有事项，并承担运输风险</w:t>
      </w:r>
      <w:r>
        <w:rPr>
          <w:rFonts w:hint="default" w:ascii="Times New Roman" w:hAnsi="Times New Roman" w:cs="Times New Roman"/>
          <w:sz w:val="24"/>
          <w:szCs w:val="24"/>
          <w:highlight w:val="none"/>
        </w:rPr>
        <w:t>。</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3.交货（安装、调试、服务）地点：</w:t>
      </w:r>
      <w:r>
        <w:rPr>
          <w:rFonts w:hint="default" w:ascii="Times New Roman" w:hAnsi="Times New Roman" w:cs="Times New Roman"/>
          <w:bCs/>
          <w:kern w:val="0"/>
          <w:sz w:val="24"/>
          <w:szCs w:val="24"/>
          <w:highlight w:val="none"/>
          <w:u w:val="single"/>
        </w:rPr>
        <w:t>公安部交通管理科学研究所指定地点</w:t>
      </w:r>
      <w:r>
        <w:rPr>
          <w:rFonts w:hint="default" w:ascii="Times New Roman" w:hAnsi="Times New Roman" w:cs="Times New Roman"/>
          <w:sz w:val="24"/>
          <w:szCs w:val="24"/>
          <w:highlight w:val="none"/>
        </w:rPr>
        <w:t>。</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4.其他约定事项：</w:t>
      </w:r>
      <w:r>
        <w:rPr>
          <w:rFonts w:hint="default" w:ascii="Times New Roman" w:hAnsi="Times New Roman" w:cs="Times New Roman"/>
          <w:sz w:val="24"/>
          <w:szCs w:val="24"/>
          <w:highlight w:val="none"/>
          <w:u w:val="single"/>
        </w:rPr>
        <w:t>具体地点以合同书约定为准。中标方必须按采购人要求将本项目中货物送到指定地点。</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六、 质量标准和检验方式</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u w:val="single"/>
          <w:lang w:val="en-US" w:eastAsia="zh-CN"/>
        </w:rPr>
        <w:t>1、</w:t>
      </w:r>
      <w:r>
        <w:rPr>
          <w:rFonts w:hint="default" w:ascii="Times New Roman" w:hAnsi="Times New Roman" w:cs="Times New Roman"/>
          <w:sz w:val="24"/>
          <w:szCs w:val="24"/>
          <w:highlight w:val="none"/>
          <w:u w:val="single"/>
        </w:rPr>
        <w:t>质量要求符合采购单位要求、出厂标准及相关行业标准。验收标准：由采购单位验收，依据为国家有关规定、招标文件、中标供应商的投标文件以及其他相关文件和资料。采购单位与中标供应商共同进行检查并形成验收报告。如验收中出现不符合招标文件、中标供应商的投标文件和合同要求的严重质量问题时，采购单位保留索赔权利。验收情况作为支付货款的依据。如果验收不合格，中标供应商应积极整改；试运行1个月内经整改仍无法达到采购要求，将没收履约保证金。</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eastAsia="宋体" w:cs="Times New Roman"/>
          <w:highlight w:val="none"/>
          <w:lang w:eastAsia="zh-CN"/>
        </w:rPr>
      </w:pPr>
      <w:r>
        <w:rPr>
          <w:rFonts w:hint="default" w:ascii="Times New Roman" w:hAnsi="Times New Roman" w:cs="Times New Roman"/>
          <w:sz w:val="24"/>
          <w:szCs w:val="24"/>
          <w:highlight w:val="none"/>
          <w:u w:val="single"/>
          <w:lang w:val="en-US" w:eastAsia="zh-CN"/>
        </w:rPr>
        <w:t>2、</w:t>
      </w:r>
      <w:r>
        <w:rPr>
          <w:rFonts w:hint="default" w:ascii="Times New Roman" w:hAnsi="Times New Roman" w:cs="Times New Roman"/>
          <w:sz w:val="24"/>
          <w:szCs w:val="24"/>
          <w:highlight w:val="none"/>
          <w:u w:val="single"/>
        </w:rPr>
        <w:t>若</w:t>
      </w:r>
      <w:r>
        <w:rPr>
          <w:rFonts w:hint="default" w:ascii="Times New Roman" w:hAnsi="Times New Roman" w:cs="Times New Roman"/>
          <w:sz w:val="24"/>
          <w:szCs w:val="24"/>
          <w:highlight w:val="none"/>
          <w:u w:val="single"/>
          <w:lang w:val="en-US" w:eastAsia="zh-CN"/>
        </w:rPr>
        <w:t>甲方</w:t>
      </w:r>
      <w:r>
        <w:rPr>
          <w:rFonts w:hint="default" w:ascii="Times New Roman" w:hAnsi="Times New Roman" w:cs="Times New Roman"/>
          <w:sz w:val="24"/>
          <w:szCs w:val="24"/>
          <w:highlight w:val="none"/>
          <w:u w:val="single"/>
        </w:rPr>
        <w:t>经进一步检验或在使用中发现货物内在的、非显而易见的损坏或缺陷，或者货物的质量与合同规定不符但并非在验收时属于显而易见(下称“A 情形”)；或者在货物质量保证期内(下称“B 情形”)、合理使用寿命期限结束前 6 个月内(下称“C 情形”)证实货物或零部件是有缺陷的（包括潜在的缺陷或使用不符合要求的材料等），</w:t>
      </w:r>
      <w:r>
        <w:rPr>
          <w:rFonts w:hint="default" w:ascii="Times New Roman" w:hAnsi="Times New Roman" w:cs="Times New Roman"/>
          <w:sz w:val="24"/>
          <w:szCs w:val="24"/>
          <w:highlight w:val="none"/>
          <w:u w:val="single"/>
          <w:lang w:eastAsia="zh-CN"/>
        </w:rPr>
        <w:t>甲方</w:t>
      </w:r>
      <w:r>
        <w:rPr>
          <w:rFonts w:hint="default" w:ascii="Times New Roman" w:hAnsi="Times New Roman" w:cs="Times New Roman"/>
          <w:sz w:val="24"/>
          <w:szCs w:val="24"/>
          <w:highlight w:val="none"/>
          <w:u w:val="single"/>
        </w:rPr>
        <w:t>有权要求</w:t>
      </w:r>
      <w:r>
        <w:rPr>
          <w:rFonts w:hint="default" w:ascii="Times New Roman" w:hAnsi="Times New Roman" w:cs="Times New Roman"/>
          <w:sz w:val="24"/>
          <w:szCs w:val="24"/>
          <w:highlight w:val="none"/>
          <w:u w:val="single"/>
          <w:lang w:val="en-US" w:eastAsia="zh-CN"/>
        </w:rPr>
        <w:t>乙方</w:t>
      </w:r>
      <w:r>
        <w:rPr>
          <w:rFonts w:hint="default" w:ascii="Times New Roman" w:hAnsi="Times New Roman" w:cs="Times New Roman"/>
          <w:sz w:val="24"/>
          <w:szCs w:val="24"/>
          <w:highlight w:val="none"/>
          <w:u w:val="single"/>
        </w:rPr>
        <w:t>免费更换成没有缺陷的货物或零部件，并且，经过该项处理后</w:t>
      </w:r>
      <w:r>
        <w:rPr>
          <w:rFonts w:hint="default" w:ascii="Times New Roman" w:hAnsi="Times New Roman" w:cs="Times New Roman"/>
          <w:sz w:val="24"/>
          <w:szCs w:val="24"/>
          <w:highlight w:val="none"/>
          <w:u w:val="single"/>
          <w:lang w:eastAsia="zh-CN"/>
        </w:rPr>
        <w:t>甲方</w:t>
      </w:r>
      <w:r>
        <w:rPr>
          <w:rFonts w:hint="default" w:ascii="Times New Roman" w:hAnsi="Times New Roman" w:cs="Times New Roman"/>
          <w:sz w:val="24"/>
          <w:szCs w:val="24"/>
          <w:highlight w:val="none"/>
          <w:u w:val="single"/>
        </w:rPr>
        <w:t>待遇不得低于国家部委级别发布的“三包”规定的标准。其中：对属于 A 情形的货物应当用崭新且尚未拆封、未曾使用也未曾展示过的正品合格品整机、整件货物更换而不得仅更换零部件；对属于 B 情形的货物应当用崭新且尚未拆封、未曾使用也未曾展示过的正品合格品更换；对属于 C 情形的货物应当用不低于需更换货物成新的正品合格品更换。</w:t>
      </w:r>
      <w:r>
        <w:rPr>
          <w:rFonts w:hint="default" w:ascii="Times New Roman" w:hAnsi="Times New Roman" w:cs="Times New Roman"/>
          <w:sz w:val="24"/>
          <w:szCs w:val="24"/>
          <w:highlight w:val="none"/>
          <w:u w:val="single"/>
          <w:lang w:eastAsia="zh-CN"/>
        </w:rPr>
        <w:t>甲方</w:t>
      </w:r>
      <w:r>
        <w:rPr>
          <w:rFonts w:hint="default" w:ascii="Times New Roman" w:hAnsi="Times New Roman" w:cs="Times New Roman"/>
          <w:sz w:val="24"/>
          <w:szCs w:val="24"/>
          <w:highlight w:val="none"/>
          <w:u w:val="single"/>
        </w:rPr>
        <w:t>可以在发现该情形后尽快并且至迟应当在上述各对应期限结束之日起 7 个工作日内以书面形式通知</w:t>
      </w:r>
      <w:r>
        <w:rPr>
          <w:rFonts w:hint="default" w:ascii="Times New Roman" w:hAnsi="Times New Roman" w:cs="Times New Roman"/>
          <w:sz w:val="24"/>
          <w:szCs w:val="24"/>
          <w:highlight w:val="none"/>
          <w:u w:val="single"/>
          <w:lang w:eastAsia="zh-CN"/>
        </w:rPr>
        <w:t>乙方</w:t>
      </w:r>
      <w:r>
        <w:rPr>
          <w:rFonts w:hint="default" w:ascii="Times New Roman" w:hAnsi="Times New Roman" w:cs="Times New Roman"/>
          <w:sz w:val="24"/>
          <w:szCs w:val="24"/>
          <w:highlight w:val="none"/>
          <w:u w:val="single"/>
        </w:rPr>
        <w:t>，</w:t>
      </w:r>
      <w:r>
        <w:rPr>
          <w:rFonts w:hint="default" w:ascii="Times New Roman" w:hAnsi="Times New Roman" w:cs="Times New Roman"/>
          <w:sz w:val="24"/>
          <w:szCs w:val="24"/>
          <w:highlight w:val="none"/>
          <w:u w:val="single"/>
          <w:lang w:eastAsia="zh-CN"/>
        </w:rPr>
        <w:t>乙方</w:t>
      </w:r>
      <w:r>
        <w:rPr>
          <w:rFonts w:hint="default" w:ascii="Times New Roman" w:hAnsi="Times New Roman" w:cs="Times New Roman"/>
          <w:sz w:val="24"/>
          <w:szCs w:val="24"/>
          <w:highlight w:val="none"/>
          <w:u w:val="single"/>
        </w:rPr>
        <w:t>应在收到</w:t>
      </w:r>
      <w:r>
        <w:rPr>
          <w:rFonts w:hint="default" w:ascii="Times New Roman" w:hAnsi="Times New Roman" w:cs="Times New Roman"/>
          <w:sz w:val="24"/>
          <w:szCs w:val="24"/>
          <w:highlight w:val="none"/>
          <w:u w:val="single"/>
          <w:lang w:eastAsia="zh-CN"/>
        </w:rPr>
        <w:t>甲方</w:t>
      </w:r>
      <w:r>
        <w:rPr>
          <w:rFonts w:hint="default" w:ascii="Times New Roman" w:hAnsi="Times New Roman" w:cs="Times New Roman"/>
          <w:sz w:val="24"/>
          <w:szCs w:val="24"/>
          <w:highlight w:val="none"/>
          <w:u w:val="single"/>
        </w:rPr>
        <w:t>通知后7 个工作日内免费完成更换，按本合同前述各条款项规定交付及验收</w:t>
      </w:r>
      <w:r>
        <w:rPr>
          <w:rFonts w:hint="default" w:ascii="Times New Roman" w:hAnsi="Times New Roman" w:cs="Times New Roman"/>
          <w:sz w:val="24"/>
          <w:szCs w:val="24"/>
          <w:highlight w:val="none"/>
          <w:u w:val="single"/>
          <w:lang w:eastAsia="zh-CN"/>
        </w:rPr>
        <w:t>。</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七、 技术服务和保修责任方式</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1.乙方对合同货物的质量保修期为验收证书签署之日起 </w:t>
      </w:r>
      <w:r>
        <w:rPr>
          <w:rFonts w:hint="default" w:ascii="Times New Roman" w:hAnsi="Times New Roman" w:cs="Times New Roman"/>
          <w:sz w:val="24"/>
          <w:szCs w:val="24"/>
          <w:highlight w:val="none"/>
          <w:u w:val="single"/>
        </w:rPr>
        <w:t xml:space="preserve"> </w:t>
      </w:r>
      <w:r>
        <w:rPr>
          <w:rFonts w:hint="eastAsia" w:ascii="Times New Roman" w:cs="Times New Roman"/>
          <w:sz w:val="24"/>
          <w:szCs w:val="24"/>
          <w:highlight w:val="none"/>
          <w:u w:val="single"/>
          <w:lang w:val="en-US" w:eastAsia="zh-CN"/>
        </w:rPr>
        <w:t>24</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个月。</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2.乙方在合同货物的质量保修期内，免费为甲方提供合同货物的技术指导和维修服务服务的时 间是：每周</w:t>
      </w:r>
      <w:r>
        <w:rPr>
          <w:rFonts w:hint="default" w:ascii="Times New Roman" w:hAnsi="Times New Roman" w:cs="Times New Roman"/>
          <w:sz w:val="24"/>
          <w:szCs w:val="24"/>
          <w:highlight w:val="none"/>
          <w:u w:val="single"/>
        </w:rPr>
        <w:t>7</w:t>
      </w:r>
      <w:r>
        <w:rPr>
          <w:rFonts w:hint="default" w:ascii="Times New Roman" w:hAnsi="Times New Roman" w:cs="Times New Roman"/>
          <w:sz w:val="24"/>
          <w:szCs w:val="24"/>
          <w:highlight w:val="none"/>
        </w:rPr>
        <w:t>天</w:t>
      </w:r>
      <w:r>
        <w:rPr>
          <w:rFonts w:hint="default" w:ascii="Times New Roman" w:hAnsi="Times New Roman" w:cs="Times New Roman"/>
          <w:sz w:val="24"/>
          <w:szCs w:val="24"/>
          <w:highlight w:val="none"/>
          <w:u w:val="single"/>
        </w:rPr>
        <w:t>24</w:t>
      </w:r>
      <w:r>
        <w:rPr>
          <w:rFonts w:hint="default" w:ascii="Times New Roman" w:hAnsi="Times New Roman" w:cs="Times New Roman"/>
          <w:sz w:val="24"/>
          <w:szCs w:val="24"/>
          <w:highlight w:val="none"/>
        </w:rPr>
        <w:t>小时（工作时间）。</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3.乙方保证在合同货物出现故障和缺陷时，或接到甲方提出的技术服务要求后</w:t>
      </w:r>
      <w:r>
        <w:rPr>
          <w:rFonts w:hint="default" w:ascii="Times New Roman" w:hAnsi="Times New Roman" w:cs="Times New Roman"/>
          <w:sz w:val="24"/>
          <w:szCs w:val="24"/>
          <w:highlight w:val="none"/>
          <w:u w:val="single"/>
        </w:rPr>
        <w:t xml:space="preserve">   </w:t>
      </w:r>
      <w:r>
        <w:rPr>
          <w:rFonts w:hint="eastAsia" w:ascii="Times New Roman" w:cs="Times New Roman"/>
          <w:sz w:val="24"/>
          <w:szCs w:val="24"/>
          <w:highlight w:val="none"/>
          <w:u w:val="single"/>
          <w:lang w:val="en-US" w:eastAsia="zh-CN"/>
        </w:rPr>
        <w:t>4</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小时内予以答复，如甲方有要求或必要时，乙方应在接到甲方通知后</w:t>
      </w:r>
      <w:r>
        <w:rPr>
          <w:rFonts w:hint="default" w:ascii="Times New Roman" w:hAnsi="Times New Roman" w:cs="Times New Roman"/>
          <w:sz w:val="24"/>
          <w:szCs w:val="24"/>
          <w:highlight w:val="none"/>
          <w:u w:val="single"/>
        </w:rPr>
        <w:t xml:space="preserve">  48  </w:t>
      </w:r>
      <w:r>
        <w:rPr>
          <w:rFonts w:hint="default" w:ascii="Times New Roman" w:hAnsi="Times New Roman" w:cs="Times New Roman"/>
          <w:sz w:val="24"/>
          <w:szCs w:val="24"/>
          <w:highlight w:val="none"/>
        </w:rPr>
        <w:t>小时内派员至甲方免费维 修和提供现场指导。</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4.如乙方在接到甲方维修通知后</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小时仍不能修复有关货物，乙方应提供与该货物同一型 号的备用货物。</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5.如乙方在接到甲方提出的技术服务要求或维修通知后</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小时内没有响应、拒绝或没有派 员到达甲方提供技术服务、修理或退换货物，甲方有权委托第三人对合同货物进行维修或提 供技术服务，因此产生的相关费用由乙方承担。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6.在合同货物保修期届满后，如果因合同货物硬件或软件的固有缺陷和瑕疵出现紧急故障和事 故，乙方应在接到甲方通知之后</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小时内到达现场。</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八、 违约责任</w:t>
      </w:r>
    </w:p>
    <w:p>
      <w:pPr>
        <w:widowControl/>
        <w:numPr>
          <w:ilvl w:val="0"/>
          <w:numId w:val="25"/>
        </w:numPr>
        <w:tabs>
          <w:tab w:val="left" w:pos="0"/>
          <w:tab w:val="left" w:pos="525"/>
          <w:tab w:val="left" w:pos="945"/>
          <w:tab w:val="clear" w:pos="315"/>
        </w:tabs>
        <w:kinsoku w:val="0"/>
        <w:autoSpaceDE w:val="0"/>
        <w:autoSpaceDN w:val="0"/>
        <w:adjustRightInd w:val="0"/>
        <w:snapToGrid w:val="0"/>
        <w:spacing w:line="360" w:lineRule="auto"/>
        <w:ind w:left="0" w:firstLine="480" w:firstLineChars="200"/>
        <w:textAlignment w:val="baseline"/>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在履行合同的过程中，如果乙方遇到妨碍按时交货和提供服务的情况时，应及时以书面形式将拖延的事实、可能拖延的时间和原因通知甲方。甲方在收到乙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widowControl/>
        <w:numPr>
          <w:ilvl w:val="0"/>
          <w:numId w:val="25"/>
        </w:numPr>
        <w:tabs>
          <w:tab w:val="left" w:pos="0"/>
          <w:tab w:val="left" w:pos="525"/>
          <w:tab w:val="left" w:pos="945"/>
          <w:tab w:val="clear" w:pos="315"/>
        </w:tabs>
        <w:kinsoku w:val="0"/>
        <w:autoSpaceDE w:val="0"/>
        <w:autoSpaceDN w:val="0"/>
        <w:adjustRightInd w:val="0"/>
        <w:snapToGrid w:val="0"/>
        <w:spacing w:line="360" w:lineRule="auto"/>
        <w:ind w:left="0" w:firstLine="480" w:firstLineChars="200"/>
        <w:textAlignment w:val="baseline"/>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如乙方逾期交货且未经甲方同意延长交货时间，除不可抗力外，每逾期一日，乙方应按照逾期交货金额的万分之五的标准累计计算向甲方支付违约金。逾期超过20个工作日的，甲方有权依照法律程序解除合同，甲方如已支付费用的，乙方全部返还；且乙方应按照合同总价的30%向甲方支付违约金，如给甲方造成损失的，还应赔偿损失。</w:t>
      </w:r>
    </w:p>
    <w:p>
      <w:pPr>
        <w:widowControl/>
        <w:numPr>
          <w:ilvl w:val="0"/>
          <w:numId w:val="25"/>
        </w:numPr>
        <w:tabs>
          <w:tab w:val="left" w:pos="105"/>
          <w:tab w:val="left" w:pos="525"/>
          <w:tab w:val="left" w:pos="945"/>
          <w:tab w:val="clear" w:pos="315"/>
        </w:tabs>
        <w:kinsoku w:val="0"/>
        <w:autoSpaceDE w:val="0"/>
        <w:autoSpaceDN w:val="0"/>
        <w:adjustRightInd w:val="0"/>
        <w:snapToGrid w:val="0"/>
        <w:spacing w:line="360" w:lineRule="auto"/>
        <w:ind w:left="0" w:firstLine="480" w:firstLineChars="200"/>
        <w:textAlignment w:val="baseline"/>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甲方无正当理由逾期付款时，每逾期一日，甲方应按照逾期付款金额的万分之五的标准累计计算向乙方支付违约金。</w:t>
      </w:r>
    </w:p>
    <w:p>
      <w:pPr>
        <w:widowControl/>
        <w:numPr>
          <w:ilvl w:val="0"/>
          <w:numId w:val="25"/>
        </w:numPr>
        <w:tabs>
          <w:tab w:val="left" w:pos="105"/>
          <w:tab w:val="left" w:pos="525"/>
          <w:tab w:val="left" w:pos="945"/>
          <w:tab w:val="clear" w:pos="315"/>
        </w:tabs>
        <w:kinsoku w:val="0"/>
        <w:autoSpaceDE w:val="0"/>
        <w:autoSpaceDN w:val="0"/>
        <w:adjustRightInd w:val="0"/>
        <w:snapToGrid w:val="0"/>
        <w:spacing w:line="360" w:lineRule="auto"/>
        <w:ind w:left="0" w:firstLine="480" w:firstLineChars="200"/>
        <w:textAlignment w:val="baseline"/>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由于甲方的原因要求延期交货，甲方应按规定承付货款，并承担乙方提供的代为保管费。（有关仓储规定另议）</w:t>
      </w:r>
    </w:p>
    <w:p>
      <w:pPr>
        <w:widowControl/>
        <w:numPr>
          <w:ilvl w:val="0"/>
          <w:numId w:val="25"/>
        </w:numPr>
        <w:tabs>
          <w:tab w:val="left" w:pos="105"/>
          <w:tab w:val="left" w:pos="525"/>
          <w:tab w:val="left" w:pos="945"/>
          <w:tab w:val="clear" w:pos="315"/>
        </w:tabs>
        <w:kinsoku w:val="0"/>
        <w:autoSpaceDE w:val="0"/>
        <w:autoSpaceDN w:val="0"/>
        <w:adjustRightInd w:val="0"/>
        <w:snapToGrid w:val="0"/>
        <w:spacing w:line="360" w:lineRule="auto"/>
        <w:ind w:left="0" w:firstLine="480" w:firstLineChars="200"/>
        <w:textAlignment w:val="baseline"/>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乙方如无不可抗力，又未履行采购文件、响应文件和合同条款的，一经查实，由乙方赔偿由此给甲方造成的损失，并按照合同总价的30%向甲方支付违约金，因采购活动产生的其他责任及后果按采购文件的相关要求及处理方式执行。</w:t>
      </w:r>
    </w:p>
    <w:p>
      <w:pPr>
        <w:widowControl/>
        <w:numPr>
          <w:ilvl w:val="0"/>
          <w:numId w:val="25"/>
        </w:numPr>
        <w:tabs>
          <w:tab w:val="left" w:pos="105"/>
          <w:tab w:val="left" w:pos="525"/>
          <w:tab w:val="left" w:pos="945"/>
          <w:tab w:val="clear" w:pos="315"/>
        </w:tabs>
        <w:kinsoku w:val="0"/>
        <w:autoSpaceDE w:val="0"/>
        <w:autoSpaceDN w:val="0"/>
        <w:adjustRightInd w:val="0"/>
        <w:snapToGrid w:val="0"/>
        <w:spacing w:line="360" w:lineRule="auto"/>
        <w:ind w:left="0" w:firstLine="480" w:firstLineChars="200"/>
        <w:textAlignment w:val="baseline"/>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pPr>
        <w:widowControl/>
        <w:numPr>
          <w:ilvl w:val="0"/>
          <w:numId w:val="25"/>
        </w:numPr>
        <w:tabs>
          <w:tab w:val="left" w:pos="105"/>
          <w:tab w:val="left" w:pos="525"/>
          <w:tab w:val="left" w:pos="945"/>
          <w:tab w:val="clear" w:pos="315"/>
        </w:tabs>
        <w:kinsoku w:val="0"/>
        <w:autoSpaceDE w:val="0"/>
        <w:autoSpaceDN w:val="0"/>
        <w:adjustRightInd w:val="0"/>
        <w:snapToGrid w:val="0"/>
        <w:spacing w:line="360" w:lineRule="auto"/>
        <w:ind w:left="0" w:firstLine="480" w:firstLineChars="200"/>
        <w:textAlignment w:val="baseline"/>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如遭遇不可抗力事件，遭遇不可抗力的一方应尽快以书面形式将不可抗力的情况和原因通知另一方，并积极采取措施防止损失扩大。因不可抗力造成的损失，供、需双方按照法律规定处理。</w:t>
      </w:r>
    </w:p>
    <w:p>
      <w:pPr>
        <w:widowControl/>
        <w:numPr>
          <w:ilvl w:val="0"/>
          <w:numId w:val="25"/>
        </w:numPr>
        <w:tabs>
          <w:tab w:val="left" w:pos="105"/>
          <w:tab w:val="left" w:pos="525"/>
          <w:tab w:val="left" w:pos="945"/>
          <w:tab w:val="clear" w:pos="315"/>
        </w:tabs>
        <w:kinsoku w:val="0"/>
        <w:autoSpaceDE w:val="0"/>
        <w:autoSpaceDN w:val="0"/>
        <w:adjustRightInd w:val="0"/>
        <w:snapToGrid w:val="0"/>
        <w:spacing w:line="360" w:lineRule="auto"/>
        <w:ind w:left="0" w:firstLine="480" w:firstLineChars="200"/>
        <w:textAlignment w:val="baseline"/>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采购文件及合同中所述之“不可抗力”系指不可预见、不可避免、不可克服的事件，包括但不限于：战争、洪水、台风、地震及其他法律、法规规定的事件。</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九、 联系方式</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 xml:space="preserve">甲方： </w:t>
      </w:r>
      <w:r>
        <w:rPr>
          <w:rFonts w:hint="default" w:ascii="Times New Roman" w:hAnsi="Times New Roman" w:cs="Times New Roman"/>
          <w:sz w:val="24"/>
          <w:szCs w:val="24"/>
          <w:highlight w:val="none"/>
          <w:u w:val="single"/>
        </w:rPr>
        <w:t xml:space="preserve"> 公安部交通管理科学研究所</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联系人：</w:t>
      </w:r>
      <w:r>
        <w:rPr>
          <w:rFonts w:hint="default" w:ascii="Times New Roman" w:hAnsi="Times New Roman" w:cs="Times New Roman"/>
          <w:sz w:val="24"/>
          <w:szCs w:val="24"/>
          <w:highlight w:val="none"/>
          <w:u w:val="singl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邮编：</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电话：</w:t>
      </w:r>
      <w:r>
        <w:rPr>
          <w:rFonts w:hint="default" w:ascii="Times New Roman" w:hAnsi="Times New Roman" w:cs="Times New Roman"/>
          <w:sz w:val="24"/>
          <w:szCs w:val="24"/>
          <w:highlight w:val="none"/>
          <w:u w:val="singl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传真：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开户银行及帐号：</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乙方：</w:t>
      </w:r>
      <w:r>
        <w:rPr>
          <w:rFonts w:hint="default" w:ascii="Times New Roman" w:hAnsi="Times New Roman" w:cs="Times New Roman"/>
          <w:sz w:val="24"/>
          <w:szCs w:val="24"/>
          <w:highlight w:val="none"/>
          <w:u w:val="singl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联系人：</w:t>
      </w:r>
      <w:r>
        <w:rPr>
          <w:rFonts w:hint="default" w:ascii="Times New Roman" w:hAnsi="Times New Roman" w:cs="Times New Roman"/>
          <w:sz w:val="24"/>
          <w:szCs w:val="24"/>
          <w:highlight w:val="none"/>
          <w:u w:val="singl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邮编：</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电话：</w:t>
      </w:r>
      <w:r>
        <w:rPr>
          <w:rFonts w:hint="default" w:ascii="Times New Roman" w:hAnsi="Times New Roman" w:cs="Times New Roman"/>
          <w:sz w:val="24"/>
          <w:szCs w:val="24"/>
          <w:highlight w:val="none"/>
          <w:u w:val="singl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传真：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开户银行及帐号：</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 争议的解决</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本项目选择合同条款通用部分“争议的解决”所述第</w:t>
      </w:r>
      <w:r>
        <w:rPr>
          <w:rFonts w:hint="default" w:ascii="Times New Roman" w:hAnsi="Times New Roman" w:cs="Times New Roman"/>
          <w:sz w:val="24"/>
          <w:szCs w:val="24"/>
          <w:highlight w:val="none"/>
          <w:u w:val="single"/>
        </w:rPr>
        <w:t xml:space="preserve">   1 </w:t>
      </w:r>
      <w:r>
        <w:rPr>
          <w:rFonts w:hint="default" w:ascii="Times New Roman" w:hAnsi="Times New Roman" w:cs="Times New Roman"/>
          <w:sz w:val="24"/>
          <w:szCs w:val="24"/>
          <w:highlight w:val="none"/>
        </w:rPr>
        <w:t>种办法解决争议。</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十一、履约保证金</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bCs/>
          <w:kern w:val="0"/>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bCs/>
          <w:kern w:val="0"/>
          <w:sz w:val="24"/>
          <w:szCs w:val="24"/>
          <w:highlight w:val="none"/>
        </w:rPr>
        <w:t>中标（成交）通知发出后5个工日内，中标单位向采购人指定银行账户转账中标金额5%的履约保证金。。</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bCs/>
          <w:kern w:val="0"/>
          <w:sz w:val="24"/>
          <w:szCs w:val="24"/>
          <w:highlight w:val="none"/>
        </w:rPr>
        <w:t>2.质保期满且无质量、服务问题的，10个工作日内无息退还履约保证金。</w:t>
      </w:r>
    </w:p>
    <w:p>
      <w:pPr>
        <w:widowControl/>
        <w:kinsoku w:val="0"/>
        <w:autoSpaceDE w:val="0"/>
        <w:autoSpaceDN w:val="0"/>
        <w:adjustRightInd w:val="0"/>
        <w:snapToGrid w:val="0"/>
        <w:spacing w:line="360" w:lineRule="auto"/>
        <w:textAlignment w:val="baseline"/>
        <w:rPr>
          <w:rFonts w:hint="default" w:ascii="Times New Roman" w:hAnsi="Times New Roman" w:cs="Times New Roman"/>
          <w:sz w:val="24"/>
          <w:szCs w:val="24"/>
          <w:highlight w:val="none"/>
        </w:rPr>
        <w:sectPr>
          <w:footerReference r:id="rId5" w:type="default"/>
          <w:pgSz w:w="11907" w:h="16840"/>
          <w:pgMar w:top="1440" w:right="1080" w:bottom="1440" w:left="1080" w:header="0" w:footer="708"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default" w:ascii="Times New Roman" w:hAnsi="Times New Roman" w:eastAsia="黑体" w:cs="Times New Roman"/>
          <w:bCs/>
          <w:sz w:val="30"/>
          <w:szCs w:val="30"/>
          <w:highlight w:val="none"/>
        </w:rPr>
      </w:pPr>
      <w:bookmarkStart w:id="9" w:name="_Toc14098"/>
      <w:bookmarkStart w:id="10" w:name="_Toc12378"/>
      <w:r>
        <w:rPr>
          <w:rFonts w:hint="default" w:ascii="Times New Roman" w:hAnsi="Times New Roman" w:eastAsia="宋体" w:cs="Times New Roman"/>
          <w:b/>
          <w:sz w:val="28"/>
          <w:szCs w:val="28"/>
          <w:highlight w:val="none"/>
          <w:lang w:val="en-US" w:eastAsia="zh-CN" w:bidi="ar-SA"/>
        </w:rPr>
        <w:t>五、合同条款通用部分（格式文本）</w:t>
      </w:r>
      <w:bookmarkEnd w:id="9"/>
      <w:bookmarkEnd w:id="10"/>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甲方在本项目中所需货物和服务由江苏信中天工程咨询有限公司在国内进行公开招标，经评标委员会评定，确定乙方为中标供应商。甲乙双方根据《中华人民共和国民法典（合同编）》、 《中华人民共和国政府采购法》、《中华人民共和国政府采购法实施条例》和等相关法律法规以 及本项目招标文件的规定，经平等协商达成合同如下：</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 定义</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除非另有特别解释或说明，在本合同及与本合同相关的，双方另行签署的其他文件（包括但 不限于本合同的附件）中，下述词语均依如下定义进行解释：</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1.“合同”指甲乙双方签署的，与本项目相关的协议、附件、附录和其他一切文件，还包括招 标文件、投标文件中的相关内容及其有效补充文件。</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2.“附件”是指与本合同的订立、履行有关的，经甲乙双方认可的，对本合同约定的内容进行 细化、补充、修改、变更的文件、图纸、音像制品等资料。</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3.“合同货物”指合同货物清单（附件一）（同投标文件中投标货物数量、价格表，下同）中 所规定的硬件、软件、安装材料、备件及专用器具、文件资料等内容。</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4.“服务”指根据合同规定乙方应承担的与供货有关的辅助服务，包括（但不限于）合同货物 的乙方付费办妥清关、乙方付费运输、保险、安装、测试、调试、培训、维修、提供技术指 导和支持、保修期外的维护以及其他类似的义务。</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5.“检验”指按照本合同约定的标准对合同货物进行的检测与查验。</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6.“验收证书”指检验完成后由合同双方签署的最终验收确认书。</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7.“技术资料”指安装、调试、使用、维修合同货物所应具备的产品使用说明书和／或使用指南、操作手册、维修指南、服务手册、电路图、产品演示等文件。</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8.“保修期”指自验收证书甲方签署之日起，乙方免费对所卖给甲方货物更换整件或零部件， 维修、保养，并以自担费用方式保证合同货物正常运行的时期。</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9.“第三人”是指本合同双方以外的任何中国境内、外的自然人、法人或其他经济组织。</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 “法律、法规”是指由中国有关部门制定的法律、行政法规、地方性法规、规章及其他规范 性文件以及经全国人民代表大会常务委员会批准的中国缔结、参加的国际条（公）约的有关 规定。</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 “招标文件”指江苏信中天工程咨询有限公司发布的本项目招标文件。</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 “投标文件”指乙方按照江苏信中天工程咨询有限公司发布的本项目招标文件的要求编制和投递，并最终被江苏信中天工程咨询有限公司接受的投标文件。</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13.  合同标的</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甲方同意从乙方购买，乙方同意向甲方出售合同货物清单（同投标文件中投标货物数量、价格表）中所列未曾销售并未曾使用过的、未曾返修过且崭新的正品合格品货物及相关服务。</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二、合同标的</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1.甲方同意从乙方购买，乙方同意向甲方出售下表所列设备：（设备列表见合同条款专用部分）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2.备件清单、专用工属具清单：详见附件。</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三、合同价格</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1.合同总金额详见合同条款专用部分。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3.合同货物详细目录及销售价格见合同货物清单（同投标文件中投标货物数量、价格表）。</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四、支付和结算方式</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1.双方因本合同发生的一切费用均以人民币结算及支付。</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2.双方的帐户名称、开户银行及帐号以本合同提供的为准。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3.付款方式：</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（1）到货、检验后付款：合同货物全部运抵交货地点、安装到位、试运行完成，经甲</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方核对无误、检验合格，双方签署验收报告后七个工作日内，甲方向乙方支付合同总金额的一定比例货款，支付比例、金额见合同条款专用部分；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（2）保修期满后付款：合同货物的保修期（合同货物的保修期自全部货物验收合格，</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双方签署验收证书之日起算）期满后七个工作日内，甲方向乙方支付合同余款，</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支付比例、金额见合同条款专用部分，作为本合同最终结款。</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4.乙方在收到甲方每一笔付款的同时，应向甲方开具相应金额的商业发票。</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如乙方根据本合同约定有责任向甲方支付违约金、赔偿金时，甲方有权直接从上述付款中扣除该等款项并于事后通知乙方，该情形下应当视为甲方已经依约行使了合同权利，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代价及责任均应由乙方给予赔偿和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五、交货</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1.乙方负责办理运输和保险，将货物运抵交货地点。有关运输、保险和装卸等一切相关的费用由乙方承担。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2.乙方应办理合同货物从出厂至交货竣工移交期间的保险，保险应按照发票金额的110％办理“一切险”。当实际办理的保险与该要求存在不一致时，相关风险均由乙方承担。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所有货物运抵现场并且安装完毕经检验竣工合格交付甲方的日期为交货日期。双方签署竣工交付收货单后为交货完毕。该竣工交付收货单或其它名称的收货单一式两份，甲方和乙方各执一份。竣工交货完毕，货物所有权发生转移，在此之前货物毁坏的风险和责任由乙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乙方应在货物运到甲方地点日七日前，向甲方提供货物卸车、清点计划（内容包括：合同号、设备名称、数量、价格、箱数、型号规格、重量和体积、拟发运的时间及其他必要的说明），并于发运的同时通知甲方。</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6.在现场交货方式下，乙方装运的货物不应超过合同规定的数量或重量。否则乙方应对超运部分的数量或重量而引起的一切后果负责。</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交货日期详见合同条款专用部分。若由于甲方场地狭窄，乙方必须根据甲方的工程进度和书面通知，安排制造、卸货和交货，否则引起的厂内外库存费用等一切责任由乙方负责。甲方应当根据自身工程进度，在洽当的时间提前书面通知乙方组织制造、交货和安装，如因甲方安排不当，其责自负。</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8.运输方式详见合同条款专用部分。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9.交货（安装、调试、服务）地点详见合同条款专用部分。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六、包装和标记</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2.若合同货物采用集装箱装运的，乙方应在每件包装箱相对的二个侧面上，用不褪色的油漆以醒目的中文做出以下标记：</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收货单位：</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货物名称：</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箱号/件号：</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毛重（千克）：</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尺寸（长×宽×高，以厘米计）：</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发货单位：</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发货单位详细地址：</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乙方应根据合同货物的不同特性和装卸运输上的不同要求，在包装箱相对的二个侧面上用中文标记“勿倒置”、“小心轻放”、“防潮”等标志和“重心”等装卸搬运时适用的通用图案，以利于装卸和搬运。</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3.下列资料包装在合同货物的包装箱中：</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（1）装箱单</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（2）合同货物数量和质量合格证书、保修证书</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（3）产品使用说明书及其它必要的技术资料</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4.凡由于乙方对合同货物包装不善、标记不明、防护措施不当或在合同货物装箱前保管不良，致使合同货物遭到损坏或丢失，乙方应负责免费修理或更换，并承担由此给甲方造成的一切损失。</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七、质量标准和检验方式</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1.乙方应保证提供给甲方的合同货物是货物生产厂商原造的，全新、未使用过的，是用符合要求的工艺和材料制造而成的，并完全满足本项目招标文件规定的质量、性能和规格的要求。</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范偏离表(如果被采购人接受)相一致，同时，乙方提供的货物质量应符合中华人民共和国相关标准及相应的技术规范、本次采购相关文件中的全部相关要求及乙方工厂相关标准及相应的技术规范中之较高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6.甲方对合同货物的数量、规格和质量的检验，应依据本项目招标文件中的有关规定进行。采用现场交货方式的，检验在交货地点进行。开箱检验的时间不迟于交货日期后三十日。</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若检验时发现货物数量不足、规格与合同要求不符或开箱时虽然货物外包装完好无损，但箱内货物短缺或损伤，双方应签署书面形式证明，乙方应根据该证明及时补足或更换。补足或更换的货物应在签署货损证明之日起规定期限内（详见合同条款专用部分）运达甲方指定地点，相关费用由乙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8.若甲方经进一步检验或在使用中发现货物内在的、非显而易见的损坏或缺陷，或者货物的质量与合同规定不符但并非在验收时属于显而易见(下称“A情形”)；或者在货物质量保证期</w:t>
      </w:r>
    </w:p>
    <w:p>
      <w:pPr>
        <w:widowControl/>
        <w:kinsoku w:val="0"/>
        <w:autoSpaceDE w:val="0"/>
        <w:autoSpaceDN w:val="0"/>
        <w:adjustRightInd w:val="0"/>
        <w:snapToGrid w:val="0"/>
        <w:spacing w:line="360" w:lineRule="auto"/>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内(下称“B情形”)、合理使用寿命期限结束前6个月内(下称“C情形”)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甲方可以在发现该情形后尽快并且至迟应当在上述各对应期限结束之日起7个工作日内以书面形式通知乙方，乙方应在收到甲方通知后7个工作日内免费完成更换，按本合同前述各条款项规定交付及验收。</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9.乙方保证向甲方提供的技术资料均是清晰的、正确的、完整的，且除原设备提供的英文技术文档以外，其他文档应提供中文版本。如发现缺失或其它有误的情形，乙方应在该情形出现之日起7日内将需补足的资料交付到甲方指定地点，按本合同前述各条款项规定交付及验收。</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乙方承认本合同项下需经现场安装、启动、试运行的货物，应经过至少国家规定的月数的时间周期的整套使用或整套试运行期方可以完成最终验收，若无上述时间规定则最低不应少于90天(3个月)。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12.甲方应将货物验收单同发票一起入账，作为甲方执行了政府采购的凭证。</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八、技术服务和保修责任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关于本条的特别说明：本条中的服务时间，即相关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乙方对合同货物的质量保修期见合同条款专用部分。若厂家规定的保修期或合同货物主要部件的保修期长于本合同保修期，应适用其保修期。(在本次采购文件所规定的期限中，若有不同期限自动适用其中期限较长者)。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2.乙方承诺在合同货物的质量保修期内免费为甲方提供合同货物的技术指导和维修服务，提供此项服务的时间见合同条款专用部分。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乙方保证在合同货物出现故障和缺陷时，或接到甲方提出的技术服务要求后规定时间内（具体见合同条款专用部分）内予以答复，如甲方有要求或必要时，乙方应在接到甲方通知后规定时间内（具体见合同条款专用部分）内派员至甲方免费维修和提供现场指导。</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4.如乙方在接到甲方维修通知后的规定时间内（具体见合同条款专用部分）仍不能修复有关货物，乙方应提供与该货物同一型号的备用货物，如因此给甲方造成损失，乙方应负责赔偿。</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如乙方在接到甲方提出的技术服务要求或维修通知后的规定时间内（具体见合同条款专用部分）内没有响应、拒绝或没有派员到达甲方提供技术服务、修理或退换货物，甲方有权委托第三人对合同货物进行维修或提供技术服务，由此产生的一切费用由乙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由此引起的全部费用由乙方承担。若以上原因导致或引起甲方损失及导致或引起第三方受到损害的，全部赔偿责任均应由乙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8.在合同货物免费保修期内，如果由于乙方更换、修理和续补货物，而造成本合同货物不得不停止运行，货物保修期应依照停止运行的实际时间加以延长，如因此给甲方造成损失，乙方应负责赔偿。</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9.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在合同货物保修期届满后，如果因合同货物硬件或软件的固有缺陷和瑕疵出现紧急故障和事故，乙方应在接到甲方通知后立即提供电话支持、远程支持并在规定时间内（具体时间见合同条款专用部分）内到达现场，迅速排除货物故障。</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12.若由于甲方提出增加并不涉及安全性的新功能而引起的软件升级，相关成本费由甲方承担，乙方不得赚取利润或拒绝、拖延。</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13.若由于乙方增加并不涉及安全性的新功能引起软件升级，而且甲方愿意增加该新功能时，由双方协商解决。</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九、履约保证金</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15.中标供应商应在收到中标通知书后规定时间内（具体时间见合同条款专用部分）内，以信汇、电汇或履约保函形式向甲方提供履约保证金，保证金金额：见合同条款专用部分。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16.如果中标供应商没有按照上述规定执行，甲方将有充分理由取消该中标决定，并没收其投标保证金。在此情况下甲方可将合同授予排名第二的中标候选人，或重新招标。</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17.若本项目不允许分包或转包的，如果中标供应商在与甲方签定合同以后，将中标项目分包或转包给第三方，甲方将有充分理由终止合同，并没收其履约保证金。</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18.如乙方未能完全履行合同规定的义务，甲方有权从履约保证金中得到补偿。</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十、审计及检查</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如果采购人要求，中标供应商应允许采购人检查中标供应商与实施本合同有关的资金、帐户和记录，并由采购人指定的审计人员对其进行审计。</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十一、违约责任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（1）在甲方同意延长的期限内交付全部货物、提供服务并承担由此给甲方造成的直接损失及甲方因此产生的对第三方的责任。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（2）在甲方规定的时间内，用符合合同规定的规格、质量和性能要求的新零件、部件</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（3）根据货物低劣程度、损坏程度以及使甲方所遭受的损失及甲方因此产生的对第三</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方的责任，经双方商定降低货物的价格或赔偿甲方所遭受的损失及甲方因此产生的对第三方的责任。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（4）按合同规定的同种货币将甲方所退货物已支付的货款全部退还给甲方，并承担由此发生的直接损失和相关费用及甲方因此产生的对第三方的责任。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（5）甲方有权部分或全部解除合同并要求乙方赔偿由此造成的损失及甲方因此产生的</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对第三方的责任。此时甲方可采取必要的补救措施，相关费用由乙方承担。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（6）此外，上述情形下甲方为采取必要的补救措施或因防止损失扩大而支出的合理费</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用应由乙方承担。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90%的以及单套货物未能全部交足的，或非成套、非集成的货物已交货件数未达合同约定件数90%的，守约方有权解除合同，并要求违约方赔偿由此造成的损失。上述逾期超过20天但成套集成的货物已交货套数已达合同约定套数90%的，或非成套、非集成的货物已交货件数已达合同约定件数90%的，守约方不得要求解除合同已经履行的部分只有权决定解除尚未履行的部分，但违约方应当向对方支付相等于比照中国人民银行规定的同期借款利息最高限额的两倍按日计算的金额的违约金。</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5.其它违约责任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（1）如任何一方无故解除合同或有违反本合同规定的任何情形均属于违约行为，违约方应就每一单项违约向对方支付合同总金额一定比例的违约金，具体比例见合同条款专用部分。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若货物为假冒伪劣产品或其中包括该类情形的零、部件，乙方应按照合同总金额的2倍向甲方支付惩罚性赔偿金，若该赔偿未达到给甲方造成损失的2倍，则乙方应当支付给甲方造成损失的2倍的惩罚性赔偿金，且并不当然免除其依法应受的其它处罚。</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（3）如乙方在合同规定的交货日期后10天内仍未能交货，则视为乙方不能交货，甲方有权解除合同，乙方若已经收取了甲方的定金则同时还应双倍返还已收取的定金。</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若发生延期交货或延期付款情形之外的任何违约时，违约方在接到对方关于违约的通知时，均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7.以上各项交付的违约金并不影响违约方履行合同的各项义务。</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9.本次采购的合同项下的任何合同、文件等均应当符合有关环保、知识产权及其他法律法规的规定，包括童工禁用、劳动保护待遇等法律规定。投标人或中标供应商或乙方或乙方代理商等均已清楚本次政府采购招标中的政府或其部门、采购人或使用人等，均已尽声明、提示、审慎核查等注意义务及相关责任，若仍发生任何相关违反法律、法规之情形均属投标人或中标供应商或乙方或乙方代理商等单方面之因素、原因、责任。投标人或中标供应商或乙方或乙方代理商等在相关的投标活动中、合同的签订及履行过程中，其投标或签署、履行合同均意味着其已承诺，任何情况下，均将严格遵守法律、法规，并且应当独立承担全部及任何法律责任，包括对江苏信中天工程咨询有限公司、采购人、甲方、最终用户或任何第三方的民事侵权赔偿责任。上述该等责任同时亦均属严重违约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十二、不可抗力</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1.不可抗力指下列事件：战争、动乱、瘟疫、严重火灾、洪水、地震、风暴或其他自然灾害，以及本合同各方不可预见、不可防止并不能避免或克服的一切其他因素及事件。</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4.合同各方应根据不可抗力对本合同履行的影响程度，协商确定是否终止本合同，或是继续履行本合同。</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十三、联系方式</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合同双方发出的与本合同有关的通知或回复均应发至合同条款专用部分中的通讯地址，付款或收款应使用合同条款专用部分中的帐号，一方变更通讯地址或帐号，应自变更之日起三个工作日内，将变更后的地址通知对方。变更方不履行通知义务的，应对此造成的一切后果承担法律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3.上述发出通知、回复的费用由发出一方承担。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十四、保密条款</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1.任何一方对其获知的本合同及附件中其他各方的商业秘密和国家秘密负有保密义务。</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在下列情形下：当发布中标公告和其它公告时，当国家机关调查、审查、审计时，以及其他符合法律规定的情形下，无须事先征求投标人/中标供应商同意而可以披露关于采购过程、合同文本、签署情况的资料、投标人/中标供应商的名称及地址、采购内容的有关信息以及补充条款等，但应当在合理的必要范围内。对任何已经公布过的内容或与之内容相同的资料，以及投标人/中标供应商已经泄露或公开的，无须再承担保密责任。</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十五、合同的解释和法律适用</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1.任何一方对本合同及其附件的解释均应遵循诚实信用原则,依照本合同签订时有效的中国法律、法规以及通常的理解进行。</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2.本合同标题仅供查阅方便，并非对本合同的诠释或解释；本合同中以日表述的时间期限均指自然日。</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3.对本合同的任何解释均应以书面作出。</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4.本合同及附件的订立、效力、解释、履行、争议的解决等适用本合同签订时有效的中华人民共和国法律、法规的有关规定。</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十六、合同的终止</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1.本合同因下列原因而终止：</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（1）本合同正常履行完毕；</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（2）合同双方协议终止本合同的履行；</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（3）不可抗力事件导致本合同无法履行或履行不必要；</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（4）任何一方行使解除权，解除本合同。</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2.对本合同终止有过错的一方应赔偿另一方因合同终止而受到的损失。对合同终止双方均无过错的，则各自承担所受到的损失。</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十七、法律适用</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1.本合同及附件的订立、效力、解释、履行、争议的解决等适用本合同签订时有效的中华人民共和国法律、法规的有关规定。</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2.在本合同履行期间，因中国法律、法规、政策的变化致使本合同的部分条款相冲突、无效或失去可强制执行效力时，双方同意将密切合作，尽快修改本合同中相冲突或无效或失去强制执行效力的有关条款。</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十八、权利的保留</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十九、争议的解决</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1.合同双方应通过友好协商解决因解释﹑执行本合同所发生的和本合同有关的一切争议。如果经协商不能达成协议，则双方同意：</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（1）在甲方住所地有管辖权的人民法院提起诉讼；</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（2）由贸易仲裁委员会根据其现行有效的仲裁程序进行仲裁。仲裁裁决为最终裁决对双方均具有约束力。仲裁费除仲裁机关另有裁决外的应由败诉方承担。</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本项目选择解决方式：见合同条款专用部分。</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本合同甲、乙双方一致认为，本合同仅属于甲、乙双方之间的协议，任何争议均只应当按照本合同的约定方式处理，任何情形下江苏信中天工程咨询有限公司均不应当成为该等争议的当事人，无论该等仲裁或诉讼均不得针对江苏信中天工程咨询有限公司提起。</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3.在争议解决期间，除了诉讼或仲裁进行过程中正在解决的部分问题外，合同其余部分应继续履行。</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二十、合同的补充、修改和变更</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1.双方协商一致，可以对本合同进行补充、修改或变更。</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2.对本合同的补充、修改或变更必须以书面形式进行，并由乙方自签订补充合同之日起五日内报甲方备案。补充、修改或变更的协议的签署及生效方式与本合同的签署及生效方式相同。</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3.招投标文件及其全部条款、双方签订的补充协议以及修改或变更的条款与本合同具有同等法律效力。</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二十一、合同的生效</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1.本合同经双方法定代表人（负责人）或授权代表签字并加盖单位公章后生效。</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二十二、其它约定事项</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1.本合同中的附件均为本合同不可分割的部分，与本合同具有相同的法律效力。</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2.一方当事人未经另一方事先书面同意，不得将其在合同项下的权利或义务全部或部分转让给第三人，有关分包事项或服务委托等须事先取得</w:t>
      </w:r>
      <w:r>
        <w:rPr>
          <w:rFonts w:hint="default" w:ascii="Times New Roman" w:hAnsi="Times New Roman" w:cs="Times New Roman"/>
          <w:bCs/>
          <w:kern w:val="0"/>
          <w:sz w:val="24"/>
          <w:szCs w:val="24"/>
          <w:highlight w:val="none"/>
        </w:rPr>
        <w:t>甲方</w:t>
      </w:r>
      <w:r>
        <w:rPr>
          <w:rFonts w:hint="default" w:ascii="Times New Roman" w:hAnsi="Times New Roman" w:cs="Times New Roman"/>
          <w:sz w:val="24"/>
          <w:szCs w:val="24"/>
          <w:highlight w:val="none"/>
        </w:rPr>
        <w:t>书面同意并且须遵守相关法律、法规；有关联合投标须在本次招标允许的情况下并须符合本次招标的全部规定。</w:t>
      </w:r>
    </w:p>
    <w:p>
      <w:pPr>
        <w:widowControl/>
        <w:tabs>
          <w:tab w:val="left" w:pos="210"/>
          <w:tab w:val="left" w:pos="840"/>
          <w:tab w:val="left" w:pos="1155"/>
        </w:tabs>
        <w:kinsoku w:val="0"/>
        <w:autoSpaceDE w:val="0"/>
        <w:autoSpaceDN w:val="0"/>
        <w:adjustRightInd w:val="0"/>
        <w:snapToGrid w:val="0"/>
        <w:spacing w:line="420" w:lineRule="exact"/>
        <w:ind w:firstLine="480" w:firstLineChars="200"/>
        <w:textAlignment w:val="baseline"/>
        <w:rPr>
          <w:rFonts w:hint="default" w:ascii="Times New Roman" w:hAnsi="Times New Roman" w:cs="Times New Roman"/>
          <w:bCs/>
          <w:kern w:val="0"/>
          <w:sz w:val="24"/>
          <w:szCs w:val="24"/>
          <w:highlight w:val="none"/>
        </w:rPr>
      </w:pPr>
      <w:r>
        <w:rPr>
          <w:rFonts w:hint="default" w:ascii="Times New Roman" w:hAnsi="Times New Roman" w:cs="Times New Roman"/>
          <w:sz w:val="24"/>
          <w:szCs w:val="24"/>
          <w:highlight w:val="none"/>
        </w:rPr>
        <w:t>3.</w:t>
      </w:r>
      <w:r>
        <w:rPr>
          <w:rFonts w:hint="default" w:ascii="Times New Roman" w:hAnsi="Times New Roman" w:cs="Times New Roman"/>
          <w:bCs/>
          <w:kern w:val="0"/>
          <w:sz w:val="24"/>
          <w:szCs w:val="24"/>
          <w:highlight w:val="none"/>
        </w:rPr>
        <w:t>合同一式五份，甲乙双方各执二份，江苏信中天工程咨询有限公司一份。</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4.本合同由甲乙双方签字、盖章，并经江苏信中天工程咨询有限公司见证后生效。</w:t>
      </w:r>
    </w:p>
    <w:p>
      <w:pPr>
        <w:tabs>
          <w:tab w:val="left" w:pos="4536"/>
        </w:tabs>
        <w:spacing w:line="420" w:lineRule="exact"/>
        <w:rPr>
          <w:rFonts w:hint="default" w:ascii="Times New Roman" w:hAnsi="Times New Roman" w:cs="Times New Roman"/>
          <w:bCs/>
          <w:kern w:val="0"/>
          <w:sz w:val="24"/>
          <w:szCs w:val="24"/>
          <w:highlight w:val="none"/>
          <w:u w:val="single"/>
        </w:rPr>
      </w:pPr>
      <w:r>
        <w:rPr>
          <w:rFonts w:hint="default" w:ascii="Times New Roman" w:hAnsi="Times New Roman" w:cs="Times New Roman"/>
          <w:bCs/>
          <w:kern w:val="0"/>
          <w:sz w:val="24"/>
          <w:szCs w:val="24"/>
          <w:highlight w:val="none"/>
        </w:rPr>
        <w:t>甲方（采购人）：（盖章）</w:t>
      </w:r>
      <w:r>
        <w:rPr>
          <w:rFonts w:hint="default" w:ascii="Times New Roman" w:hAnsi="Times New Roman" w:cs="Times New Roman"/>
          <w:bCs/>
          <w:kern w:val="0"/>
          <w:sz w:val="24"/>
          <w:szCs w:val="24"/>
          <w:highlight w:val="none"/>
        </w:rPr>
        <w:tab/>
      </w:r>
      <w:r>
        <w:rPr>
          <w:rFonts w:hint="default" w:ascii="Times New Roman" w:hAnsi="Times New Roman" w:cs="Times New Roman"/>
          <w:bCs/>
          <w:kern w:val="0"/>
          <w:sz w:val="24"/>
          <w:szCs w:val="24"/>
          <w:highlight w:val="none"/>
        </w:rPr>
        <w:t>乙方（中标方）：（盖章）</w:t>
      </w:r>
    </w:p>
    <w:p>
      <w:pPr>
        <w:tabs>
          <w:tab w:val="left" w:pos="4536"/>
        </w:tabs>
        <w:spacing w:line="420" w:lineRule="exact"/>
        <w:rPr>
          <w:rFonts w:hint="default" w:ascii="Times New Roman" w:hAnsi="Times New Roman" w:cs="Times New Roman"/>
          <w:bCs/>
          <w:kern w:val="0"/>
          <w:sz w:val="24"/>
          <w:szCs w:val="24"/>
          <w:highlight w:val="none"/>
          <w:u w:val="single"/>
        </w:rPr>
      </w:pPr>
      <w:r>
        <w:rPr>
          <w:rFonts w:hint="default" w:ascii="Times New Roman" w:hAnsi="Times New Roman" w:cs="Times New Roman"/>
          <w:bCs/>
          <w:kern w:val="0"/>
          <w:sz w:val="24"/>
          <w:szCs w:val="24"/>
          <w:highlight w:val="none"/>
        </w:rPr>
        <w:t xml:space="preserve">法定（授权）代表人：   </w:t>
      </w:r>
      <w:r>
        <w:rPr>
          <w:rFonts w:hint="default" w:ascii="Times New Roman" w:hAnsi="Times New Roman" w:cs="Times New Roman"/>
          <w:bCs/>
          <w:kern w:val="0"/>
          <w:sz w:val="24"/>
          <w:szCs w:val="24"/>
          <w:highlight w:val="none"/>
        </w:rPr>
        <w:tab/>
      </w:r>
      <w:r>
        <w:rPr>
          <w:rFonts w:hint="default" w:ascii="Times New Roman" w:hAnsi="Times New Roman" w:cs="Times New Roman"/>
          <w:bCs/>
          <w:kern w:val="0"/>
          <w:sz w:val="24"/>
          <w:szCs w:val="24"/>
          <w:highlight w:val="none"/>
        </w:rPr>
        <w:t>法定（授权）代表人：</w:t>
      </w:r>
    </w:p>
    <w:p>
      <w:pPr>
        <w:tabs>
          <w:tab w:val="left" w:pos="4536"/>
        </w:tabs>
        <w:spacing w:line="420" w:lineRule="exact"/>
        <w:ind w:firstLine="480" w:firstLineChars="200"/>
        <w:rPr>
          <w:rFonts w:hint="default" w:ascii="Times New Roman" w:hAnsi="Times New Roman" w:cs="Times New Roman"/>
          <w:bCs/>
          <w:kern w:val="0"/>
          <w:sz w:val="24"/>
          <w:szCs w:val="24"/>
          <w:highlight w:val="none"/>
          <w:u w:val="single"/>
        </w:rPr>
      </w:pPr>
      <w:r>
        <w:rPr>
          <w:rFonts w:hint="default" w:ascii="Times New Roman" w:hAnsi="Times New Roman" w:cs="Times New Roman"/>
          <w:bCs/>
          <w:kern w:val="0"/>
          <w:sz w:val="24"/>
          <w:szCs w:val="24"/>
          <w:highlight w:val="none"/>
        </w:rPr>
        <w:t xml:space="preserve">年   月   日              </w:t>
      </w:r>
      <w:r>
        <w:rPr>
          <w:rFonts w:hint="default" w:ascii="Times New Roman" w:hAnsi="Times New Roman" w:cs="Times New Roman"/>
          <w:bCs/>
          <w:kern w:val="0"/>
          <w:sz w:val="24"/>
          <w:szCs w:val="24"/>
          <w:highlight w:val="none"/>
        </w:rPr>
        <w:tab/>
      </w:r>
      <w:r>
        <w:rPr>
          <w:rFonts w:hint="default" w:ascii="Times New Roman" w:hAnsi="Times New Roman" w:cs="Times New Roman"/>
          <w:bCs/>
          <w:kern w:val="0"/>
          <w:sz w:val="24"/>
          <w:szCs w:val="24"/>
          <w:highlight w:val="none"/>
        </w:rPr>
        <w:t>年   月   日</w:t>
      </w:r>
    </w:p>
    <w:p>
      <w:pPr>
        <w:spacing w:line="420" w:lineRule="exact"/>
        <w:ind w:firstLine="4560" w:firstLineChars="1900"/>
        <w:rPr>
          <w:rFonts w:hint="default" w:ascii="Times New Roman" w:hAnsi="Times New Roman" w:cs="Times New Roman"/>
          <w:bCs/>
          <w:kern w:val="0"/>
          <w:sz w:val="24"/>
          <w:szCs w:val="24"/>
          <w:highlight w:val="none"/>
          <w:u w:val="single"/>
        </w:rPr>
      </w:pPr>
      <w:r>
        <w:rPr>
          <w:rFonts w:hint="default" w:ascii="Times New Roman" w:hAnsi="Times New Roman" w:cs="Times New Roman"/>
          <w:bCs/>
          <w:kern w:val="0"/>
          <w:sz w:val="24"/>
          <w:szCs w:val="24"/>
          <w:highlight w:val="none"/>
        </w:rPr>
        <w:t>乙方开户银行</w:t>
      </w:r>
    </w:p>
    <w:p>
      <w:pPr>
        <w:spacing w:line="420" w:lineRule="exact"/>
        <w:ind w:firstLine="4560" w:firstLineChars="1900"/>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乙方户名：</w:t>
      </w:r>
    </w:p>
    <w:p>
      <w:pPr>
        <w:spacing w:line="420" w:lineRule="exact"/>
        <w:ind w:firstLine="4560" w:firstLineChars="1900"/>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乙方帐号：</w:t>
      </w:r>
    </w:p>
    <w:p>
      <w:pPr>
        <w:spacing w:line="420" w:lineRule="exact"/>
        <w:rPr>
          <w:rFonts w:hint="default" w:ascii="Times New Roman" w:hAnsi="Times New Roman" w:cs="Times New Roman"/>
          <w:bCs/>
          <w:kern w:val="0"/>
          <w:sz w:val="24"/>
          <w:szCs w:val="24"/>
          <w:highlight w:val="none"/>
          <w:u w:val="single"/>
        </w:rPr>
      </w:pPr>
      <w:r>
        <w:rPr>
          <w:rFonts w:hint="default" w:ascii="Times New Roman" w:hAnsi="Times New Roman" w:cs="Times New Roman"/>
          <w:bCs/>
          <w:kern w:val="0"/>
          <w:sz w:val="24"/>
          <w:szCs w:val="24"/>
          <w:highlight w:val="none"/>
        </w:rPr>
        <w:t xml:space="preserve">见证方：江苏信中天工程咨询有限公司（盖章）   </w:t>
      </w:r>
    </w:p>
    <w:p>
      <w:pPr>
        <w:spacing w:line="420" w:lineRule="exact"/>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 xml:space="preserve">见证人：                     </w:t>
      </w:r>
    </w:p>
    <w:p>
      <w:pPr>
        <w:spacing w:line="420" w:lineRule="exact"/>
        <w:ind w:firstLine="480" w:firstLineChars="200"/>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 xml:space="preserve">年   月   日  </w:t>
      </w:r>
    </w:p>
    <w:p>
      <w:pPr>
        <w:rPr>
          <w:rFonts w:hint="default" w:ascii="Times New Roman" w:hAnsi="Times New Roman" w:cs="Times New Roman"/>
          <w:highlight w:val="none"/>
        </w:rPr>
        <w:sectPr>
          <w:pgSz w:w="11906" w:h="16838"/>
          <w:pgMar w:top="1440" w:right="1080" w:bottom="1440" w:left="1080" w:header="851" w:footer="992" w:gutter="0"/>
          <w:pgNumType w:fmt="decimal"/>
          <w:cols w:space="720" w:num="1"/>
          <w:docGrid w:linePitch="312" w:charSpace="0"/>
        </w:sectPr>
      </w:pPr>
    </w:p>
    <w:p>
      <w:pPr>
        <w:pStyle w:val="4"/>
        <w:rPr>
          <w:rFonts w:hint="default" w:ascii="Times New Roman" w:hAnsi="Times New Roman" w:cs="Times New Roman"/>
          <w:highlight w:val="none"/>
        </w:rPr>
      </w:pPr>
      <w:bookmarkStart w:id="11" w:name="_Toc8491"/>
      <w:r>
        <w:rPr>
          <w:rFonts w:hint="default" w:ascii="Times New Roman" w:hAnsi="Times New Roman" w:cs="Times New Roman"/>
          <w:highlight w:val="none"/>
        </w:rPr>
        <w:t>六. 附件（投标文件格式）</w:t>
      </w:r>
      <w:bookmarkEnd w:id="11"/>
    </w:p>
    <w:p>
      <w:pPr>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（封面）</w:t>
      </w:r>
    </w:p>
    <w:p>
      <w:pPr>
        <w:rPr>
          <w:rFonts w:hint="default" w:ascii="Times New Roman" w:hAnsi="Times New Roman" w:eastAsia="黑体" w:cs="Times New Roman"/>
          <w:bCs/>
          <w:sz w:val="32"/>
          <w:highlight w:val="none"/>
        </w:rPr>
      </w:pPr>
    </w:p>
    <w:p>
      <w:pPr>
        <w:jc w:val="center"/>
        <w:rPr>
          <w:rFonts w:hint="default" w:ascii="Times New Roman" w:hAnsi="Times New Roman" w:eastAsia="宋体" w:cs="Times New Roman"/>
          <w:b/>
          <w:sz w:val="52"/>
          <w:szCs w:val="52"/>
          <w:highlight w:val="none"/>
          <w:lang w:eastAsia="zh-CN"/>
        </w:rPr>
      </w:pPr>
      <w:r>
        <w:rPr>
          <w:rFonts w:hint="eastAsia" w:ascii="Times New Roman" w:cs="Times New Roman"/>
          <w:b/>
          <w:sz w:val="52"/>
          <w:szCs w:val="52"/>
          <w:highlight w:val="none"/>
          <w:lang w:eastAsia="zh-CN"/>
        </w:rPr>
        <w:t>人员及车辆通行智能管理系统（第二次）</w:t>
      </w:r>
    </w:p>
    <w:p>
      <w:pPr>
        <w:rPr>
          <w:rFonts w:hint="default" w:ascii="Times New Roman" w:hAnsi="Times New Roman" w:cs="Times New Roman"/>
          <w:b/>
          <w:sz w:val="52"/>
          <w:szCs w:val="52"/>
          <w:highlight w:val="none"/>
        </w:rPr>
      </w:pPr>
    </w:p>
    <w:p>
      <w:pPr>
        <w:rPr>
          <w:rFonts w:hint="default" w:ascii="Times New Roman" w:hAnsi="Times New Roman" w:eastAsia="黑体" w:cs="Times New Roman"/>
          <w:bCs/>
          <w:sz w:val="32"/>
          <w:highlight w:val="none"/>
        </w:rPr>
      </w:pPr>
    </w:p>
    <w:p>
      <w:pPr>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投</w:t>
      </w:r>
    </w:p>
    <w:p>
      <w:pPr>
        <w:jc w:val="center"/>
        <w:rPr>
          <w:rFonts w:hint="default" w:ascii="Times New Roman" w:hAnsi="Times New Roman" w:eastAsia="黑体" w:cs="Times New Roman"/>
          <w:bCs/>
          <w:sz w:val="72"/>
          <w:highlight w:val="none"/>
        </w:rPr>
      </w:pPr>
    </w:p>
    <w:p>
      <w:pPr>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标</w:t>
      </w:r>
    </w:p>
    <w:p>
      <w:pPr>
        <w:jc w:val="center"/>
        <w:rPr>
          <w:rFonts w:hint="default" w:ascii="Times New Roman" w:hAnsi="Times New Roman" w:eastAsia="黑体" w:cs="Times New Roman"/>
          <w:bCs/>
          <w:sz w:val="72"/>
          <w:highlight w:val="none"/>
        </w:rPr>
      </w:pPr>
    </w:p>
    <w:p>
      <w:pPr>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文</w:t>
      </w:r>
    </w:p>
    <w:p>
      <w:pPr>
        <w:jc w:val="center"/>
        <w:rPr>
          <w:rFonts w:hint="default" w:ascii="Times New Roman" w:hAnsi="Times New Roman" w:eastAsia="黑体" w:cs="Times New Roman"/>
          <w:bCs/>
          <w:sz w:val="52"/>
          <w:szCs w:val="52"/>
          <w:highlight w:val="none"/>
        </w:rPr>
      </w:pPr>
    </w:p>
    <w:p>
      <w:pPr>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件</w:t>
      </w:r>
    </w:p>
    <w:p>
      <w:pPr>
        <w:rPr>
          <w:rFonts w:hint="default" w:ascii="Times New Roman" w:hAnsi="Times New Roman" w:eastAsia="楷体_GB2312" w:cs="Times New Roman"/>
          <w:bCs/>
          <w:sz w:val="72"/>
          <w:highlight w:val="none"/>
        </w:rPr>
      </w:pPr>
    </w:p>
    <w:p>
      <w:pPr>
        <w:spacing w:line="460" w:lineRule="exact"/>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 xml:space="preserve">政府采购编号： </w:t>
      </w:r>
    </w:p>
    <w:p>
      <w:pPr>
        <w:spacing w:line="460" w:lineRule="exact"/>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 xml:space="preserve">采购人： </w:t>
      </w:r>
    </w:p>
    <w:p>
      <w:pPr>
        <w:spacing w:line="460" w:lineRule="exact"/>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投标人：</w:t>
      </w:r>
    </w:p>
    <w:p>
      <w:pPr>
        <w:rPr>
          <w:rFonts w:hint="default" w:ascii="Times New Roman" w:hAnsi="Times New Roman" w:eastAsia="黑体" w:cs="Times New Roman"/>
          <w:bCs/>
          <w:sz w:val="32"/>
          <w:highlight w:val="none"/>
        </w:rPr>
      </w:pPr>
    </w:p>
    <w:p>
      <w:pPr>
        <w:rPr>
          <w:rFonts w:hint="default" w:ascii="Times New Roman" w:hAnsi="Times New Roman" w:eastAsia="黑体" w:cs="Times New Roman"/>
          <w:bCs/>
          <w:sz w:val="32"/>
          <w:highlight w:val="none"/>
        </w:rPr>
      </w:pPr>
    </w:p>
    <w:p>
      <w:pPr>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二○二一年  月  日</w:t>
      </w:r>
    </w:p>
    <w:p>
      <w:pPr>
        <w:jc w:val="center"/>
        <w:rPr>
          <w:rFonts w:hint="default" w:ascii="Times New Roman" w:hAnsi="Times New Roman" w:eastAsia="黑体" w:cs="Times New Roman"/>
          <w:bCs/>
          <w:sz w:val="36"/>
          <w:szCs w:val="36"/>
          <w:highlight w:val="none"/>
        </w:rPr>
      </w:pPr>
    </w:p>
    <w:p>
      <w:pPr>
        <w:widowControl/>
        <w:jc w:val="left"/>
        <w:rPr>
          <w:rFonts w:hint="default" w:ascii="Times New Roman" w:hAnsi="Times New Roman" w:eastAsia="黑体" w:cs="Times New Roman"/>
          <w:bCs/>
          <w:sz w:val="24"/>
          <w:szCs w:val="24"/>
          <w:highlight w:val="none"/>
        </w:rPr>
      </w:pPr>
      <w:bookmarkStart w:id="12" w:name="一．报价函（格式）"/>
      <w:bookmarkEnd w:id="12"/>
      <w:r>
        <w:rPr>
          <w:rFonts w:hint="default" w:ascii="Times New Roman" w:hAnsi="Times New Roman" w:eastAsia="黑体" w:cs="Times New Roman"/>
          <w:bCs/>
          <w:sz w:val="24"/>
          <w:szCs w:val="24"/>
          <w:highlight w:val="none"/>
        </w:rPr>
        <w:br w:type="page"/>
      </w:r>
    </w:p>
    <w:p>
      <w:pPr>
        <w:pStyle w:val="5"/>
        <w:rPr>
          <w:rFonts w:hint="default" w:ascii="Times New Roman" w:hAnsi="Times New Roman" w:cs="Times New Roman"/>
          <w:highlight w:val="none"/>
        </w:rPr>
      </w:pPr>
      <w:r>
        <w:rPr>
          <w:rFonts w:hint="default" w:ascii="Times New Roman" w:hAnsi="Times New Roman" w:cs="Times New Roman"/>
          <w:highlight w:val="none"/>
        </w:rPr>
        <w:t>（一）投标函（格式）</w:t>
      </w:r>
    </w:p>
    <w:p>
      <w:pPr>
        <w:spacing w:before="120" w:beforeLines="50" w:after="120" w:afterLines="50"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投标函</w:t>
      </w:r>
    </w:p>
    <w:p>
      <w:pPr>
        <w:widowControl/>
        <w:topLinePunct/>
        <w:spacing w:before="4"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致：江苏信中天工程咨询有限公司</w:t>
      </w:r>
    </w:p>
    <w:p>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我方收到贵方编号招标文件，经仔细阅读和研究，我方决定参加此</w:t>
      </w:r>
      <w:r>
        <w:rPr>
          <w:rFonts w:hint="eastAsia" w:ascii="Times New Roman" w:cs="Times New Roman"/>
          <w:bCs/>
          <w:sz w:val="24"/>
          <w:szCs w:val="24"/>
          <w:highlight w:val="none"/>
          <w:lang w:eastAsia="zh-CN"/>
        </w:rPr>
        <w:t>人员及车辆通行智能管理系统（第二次）</w:t>
      </w:r>
      <w:r>
        <w:rPr>
          <w:rFonts w:hint="default" w:ascii="Times New Roman" w:hAnsi="Times New Roman" w:cs="Times New Roman"/>
          <w:bCs/>
          <w:sz w:val="24"/>
          <w:szCs w:val="24"/>
          <w:highlight w:val="none"/>
        </w:rPr>
        <w:t>的投标。</w:t>
      </w:r>
    </w:p>
    <w:p>
      <w:pPr>
        <w:numPr>
          <w:ilvl w:val="0"/>
          <w:numId w:val="26"/>
        </w:numPr>
        <w:tabs>
          <w:tab w:val="left" w:pos="315"/>
          <w:tab w:val="left" w:pos="840"/>
          <w:tab w:val="left" w:pos="945"/>
          <w:tab w:val="left" w:pos="1050"/>
          <w:tab w:val="left" w:pos="1260"/>
          <w:tab w:val="clear" w:pos="552"/>
        </w:tabs>
        <w:spacing w:line="360" w:lineRule="auto"/>
        <w:ind w:left="0" w:firstLine="525"/>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我方愿意按照招标文件的一切要求，提供本项目的投标，投标总价见《开标一览表》。</w:t>
      </w:r>
    </w:p>
    <w:p>
      <w:pPr>
        <w:numPr>
          <w:ilvl w:val="0"/>
          <w:numId w:val="26"/>
        </w:numPr>
        <w:tabs>
          <w:tab w:val="left" w:pos="0"/>
          <w:tab w:val="left" w:pos="315"/>
          <w:tab w:val="left" w:pos="525"/>
          <w:tab w:val="left" w:pos="840"/>
          <w:tab w:val="left" w:pos="945"/>
          <w:tab w:val="left" w:pos="1050"/>
          <w:tab w:val="clear" w:pos="552"/>
        </w:tabs>
        <w:spacing w:line="360" w:lineRule="auto"/>
        <w:ind w:left="0" w:firstLine="523" w:firstLineChars="218"/>
        <w:rPr>
          <w:rStyle w:val="63"/>
          <w:rFonts w:hint="default" w:ascii="Times New Roman" w:hAnsi="Times New Roman" w:cs="Times New Roman"/>
          <w:bCs/>
          <w:highlight w:val="none"/>
        </w:rPr>
      </w:pPr>
      <w:r>
        <w:rPr>
          <w:rFonts w:hint="default" w:ascii="Times New Roman" w:hAnsi="Times New Roman" w:cs="Times New Roman"/>
          <w:bCs/>
          <w:sz w:val="24"/>
          <w:szCs w:val="24"/>
          <w:highlight w:val="none"/>
        </w:rPr>
        <w:t>我方愿意提供</w:t>
      </w:r>
      <w:r>
        <w:rPr>
          <w:rFonts w:hint="default" w:ascii="Times New Roman" w:hAnsi="Times New Roman" w:cs="Times New Roman"/>
          <w:sz w:val="24"/>
          <w:highlight w:val="none"/>
        </w:rPr>
        <w:t>江苏信中天工程咨询有限公司</w:t>
      </w:r>
      <w:r>
        <w:rPr>
          <w:rFonts w:hint="default" w:ascii="Times New Roman" w:hAnsi="Times New Roman" w:cs="Times New Roman"/>
          <w:bCs/>
          <w:sz w:val="24"/>
          <w:szCs w:val="24"/>
          <w:highlight w:val="none"/>
        </w:rPr>
        <w:t>在招标文件中要求的文件、资料</w:t>
      </w:r>
      <w:r>
        <w:rPr>
          <w:rFonts w:hint="default" w:ascii="Times New Roman" w:hAnsi="Times New Roman" w:cs="Times New Roman"/>
          <w:bCs/>
          <w:highlight w:val="none"/>
        </w:rPr>
        <w:t>（</w:t>
      </w:r>
      <w:r>
        <w:rPr>
          <w:rFonts w:hint="default" w:ascii="Times New Roman" w:hAnsi="Times New Roman" w:cs="Times New Roman"/>
          <w:bCs/>
          <w:sz w:val="24"/>
          <w:szCs w:val="24"/>
          <w:highlight w:val="none"/>
        </w:rPr>
        <w:t>具体内容如下</w:t>
      </w:r>
      <w:r>
        <w:rPr>
          <w:rFonts w:hint="default" w:ascii="Times New Roman" w:hAnsi="Times New Roman" w:cs="Times New Roman"/>
          <w:bCs/>
          <w:highlight w:val="none"/>
        </w:rPr>
        <w:t>）</w:t>
      </w:r>
      <w:r>
        <w:rPr>
          <w:rStyle w:val="63"/>
          <w:rFonts w:hint="default" w:ascii="Times New Roman" w:hAnsi="Times New Roman" w:eastAsia="黑体" w:cs="Times New Roman"/>
          <w:highlight w:val="none"/>
        </w:rPr>
        <w:t>：</w:t>
      </w:r>
    </w:p>
    <w:p>
      <w:pPr>
        <w:spacing w:line="360" w:lineRule="auto"/>
        <w:ind w:firstLine="482" w:firstLineChars="200"/>
        <w:rPr>
          <w:rFonts w:hint="eastAsia" w:ascii="宋体" w:hAnsi="宋体"/>
          <w:b/>
          <w:sz w:val="24"/>
          <w:highlight w:val="none"/>
        </w:rPr>
      </w:pPr>
      <w:r>
        <w:rPr>
          <w:rFonts w:hint="eastAsia" w:ascii="宋体" w:hAnsi="宋体"/>
          <w:b/>
          <w:bCs/>
          <w:sz w:val="24"/>
          <w:highlight w:val="none"/>
        </w:rPr>
        <w:t>第一部分</w:t>
      </w:r>
      <w:r>
        <w:rPr>
          <w:rFonts w:hint="eastAsia" w:ascii="宋体" w:hAnsi="宋体"/>
          <w:b/>
          <w:bCs/>
          <w:sz w:val="24"/>
          <w:highlight w:val="none"/>
          <w:lang w:val="en-US" w:eastAsia="zh-CN"/>
        </w:rPr>
        <w:t xml:space="preserve"> </w:t>
      </w:r>
      <w:r>
        <w:rPr>
          <w:rFonts w:hint="eastAsia" w:ascii="宋体" w:hAnsi="宋体"/>
          <w:b/>
          <w:bCs/>
          <w:sz w:val="24"/>
          <w:highlight w:val="none"/>
        </w:rPr>
        <w:t>商务部分：</w:t>
      </w:r>
    </w:p>
    <w:p>
      <w:pPr>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1、投标函（格式见附件）</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w:t>
      </w:r>
      <w:r>
        <w:rPr>
          <w:rFonts w:hint="default" w:ascii="Times New Roman" w:hAnsi="Times New Roman" w:cs="Times New Roman"/>
          <w:bCs/>
          <w:sz w:val="24"/>
          <w:szCs w:val="24"/>
          <w:highlight w:val="none"/>
        </w:rPr>
        <w:t>资格、资信证明</w:t>
      </w:r>
      <w:r>
        <w:rPr>
          <w:rFonts w:hint="default" w:ascii="Times New Roman" w:hAnsi="Times New Roman" w:cs="Times New Roman"/>
          <w:sz w:val="24"/>
          <w:highlight w:val="none"/>
        </w:rPr>
        <w:t>文件：</w:t>
      </w:r>
    </w:p>
    <w:p>
      <w:pPr>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（1）关于资格的声明函；</w:t>
      </w:r>
      <w:r>
        <w:rPr>
          <w:rFonts w:hint="eastAsia" w:ascii="宋体" w:hAnsi="宋体" w:cs="宋体"/>
          <w:b/>
          <w:sz w:val="24"/>
          <w:highlight w:val="none"/>
        </w:rPr>
        <w:t>（格式见附件）</w:t>
      </w:r>
    </w:p>
    <w:p>
      <w:pPr>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（2）供应商法定代表人授权委托书</w:t>
      </w:r>
      <w:r>
        <w:rPr>
          <w:rFonts w:hint="eastAsia" w:ascii="宋体" w:hAnsi="宋体" w:cs="宋体"/>
          <w:b/>
          <w:sz w:val="24"/>
          <w:highlight w:val="none"/>
        </w:rPr>
        <w:t>（法定代表人亲自参与投标的除外，格式见附件</w:t>
      </w:r>
      <w:r>
        <w:rPr>
          <w:rFonts w:hint="eastAsia" w:ascii="宋体" w:hAnsi="宋体" w:cs="宋体"/>
          <w:b/>
          <w:sz w:val="24"/>
          <w:highlight w:val="none"/>
          <w:lang w:eastAsia="zh-CN"/>
        </w:rPr>
        <w:t>，</w:t>
      </w:r>
      <w:r>
        <w:rPr>
          <w:rFonts w:hint="eastAsia" w:hAnsi="宋体"/>
          <w:b/>
          <w:bCs w:val="0"/>
          <w:sz w:val="24"/>
          <w:highlight w:val="none"/>
        </w:rPr>
        <w:t>友情提醒：授权委托书原件开标时须单独出具一份，不另行拆封响应文件，法定代表人亲自参与投标的除外</w:t>
      </w:r>
      <w:r>
        <w:rPr>
          <w:rFonts w:hint="eastAsia" w:ascii="宋体" w:hAnsi="宋体" w:cs="宋体"/>
          <w:b/>
          <w:sz w:val="24"/>
          <w:highlight w:val="none"/>
        </w:rPr>
        <w:t>）</w:t>
      </w:r>
      <w:r>
        <w:rPr>
          <w:rFonts w:hint="eastAsia" w:ascii="宋体" w:hAnsi="宋体" w:cs="宋体"/>
          <w:sz w:val="24"/>
          <w:highlight w:val="none"/>
        </w:rPr>
        <w:t>；</w:t>
      </w:r>
    </w:p>
    <w:p>
      <w:pPr>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（3）供应商法定代表人身份证复印件及法定代表人授权代表身份证复印件并加盖公章（</w:t>
      </w:r>
      <w:r>
        <w:rPr>
          <w:rFonts w:hint="eastAsia" w:ascii="宋体" w:hAnsi="宋体" w:cs="宋体"/>
          <w:b/>
          <w:sz w:val="24"/>
          <w:highlight w:val="none"/>
        </w:rPr>
        <w:t>投标时必须携带法定代表人身份证或法定代表人授权代表身份证原件</w:t>
      </w:r>
      <w:r>
        <w:rPr>
          <w:rFonts w:hint="eastAsia" w:ascii="宋体" w:hAnsi="宋体" w:cs="宋体"/>
          <w:sz w:val="24"/>
          <w:highlight w:val="none"/>
        </w:rPr>
        <w:t>）；</w:t>
      </w:r>
    </w:p>
    <w:p>
      <w:pPr>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（4）供应商企业法人营业执照或事业单位法人证书、组织机构代码证、税务登记证复印件并加盖公章</w:t>
      </w:r>
      <w:r>
        <w:rPr>
          <w:rFonts w:hint="eastAsia" w:hAnsi="宋体"/>
          <w:sz w:val="24"/>
          <w:highlight w:val="none"/>
        </w:rPr>
        <w:t>（</w:t>
      </w:r>
      <w:r>
        <w:rPr>
          <w:rFonts w:hint="eastAsia" w:hAnsi="宋体"/>
          <w:bCs/>
          <w:sz w:val="24"/>
          <w:highlight w:val="none"/>
        </w:rPr>
        <w:t>已“三证合一”的企业只需提供营业执照）</w:t>
      </w:r>
      <w:r>
        <w:rPr>
          <w:rFonts w:hint="eastAsia" w:ascii="宋体" w:hAnsi="宋体" w:cs="宋体"/>
          <w:sz w:val="24"/>
          <w:highlight w:val="none"/>
        </w:rPr>
        <w:t>；</w:t>
      </w:r>
    </w:p>
    <w:p>
      <w:pPr>
        <w:tabs>
          <w:tab w:val="left" w:pos="180"/>
        </w:tabs>
        <w:autoSpaceDE w:val="0"/>
        <w:autoSpaceDN w:val="0"/>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5</w:t>
      </w:r>
      <w:r>
        <w:rPr>
          <w:rFonts w:hint="eastAsia" w:ascii="宋体" w:hAnsi="宋体" w:cs="宋体"/>
          <w:sz w:val="24"/>
          <w:highlight w:val="none"/>
          <w:lang w:val="zh-CN"/>
        </w:rPr>
        <w:t>）供应商近</w:t>
      </w:r>
      <w:r>
        <w:rPr>
          <w:rFonts w:hint="eastAsia" w:ascii="宋体" w:hAnsi="宋体" w:cs="宋体"/>
          <w:sz w:val="24"/>
          <w:highlight w:val="none"/>
          <w:lang w:val="en-US" w:eastAsia="zh-CN"/>
        </w:rPr>
        <w:t>三</w:t>
      </w:r>
      <w:r>
        <w:rPr>
          <w:rFonts w:hint="eastAsia" w:ascii="宋体" w:hAnsi="宋体" w:cs="宋体"/>
          <w:sz w:val="24"/>
          <w:highlight w:val="none"/>
          <w:lang w:val="zh-CN"/>
        </w:rPr>
        <w:t>个月中任意一个月份(不含投标当月)的财务状况报告（资产负债表和利润表）或</w:t>
      </w:r>
      <w:r>
        <w:rPr>
          <w:rFonts w:hint="eastAsia" w:ascii="宋体" w:hAnsi="宋体" w:cs="宋体"/>
          <w:sz w:val="24"/>
          <w:highlight w:val="none"/>
        </w:rPr>
        <w:t>由会计师事务所出具的2019年度的审计报告和所附已审财务报告复印件并加盖公章；</w:t>
      </w:r>
    </w:p>
    <w:p>
      <w:pPr>
        <w:tabs>
          <w:tab w:val="left" w:pos="180"/>
        </w:tabs>
        <w:autoSpaceDE w:val="0"/>
        <w:autoSpaceDN w:val="0"/>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）供应商</w:t>
      </w:r>
      <w:r>
        <w:rPr>
          <w:rFonts w:hint="eastAsia" w:ascii="宋体" w:hAnsi="宋体" w:cs="宋体"/>
          <w:sz w:val="24"/>
          <w:highlight w:val="none"/>
          <w:lang w:val="zh-CN"/>
        </w:rPr>
        <w:t>近</w:t>
      </w:r>
      <w:r>
        <w:rPr>
          <w:rFonts w:hint="eastAsia" w:ascii="宋体" w:hAnsi="宋体" w:cs="宋体"/>
          <w:sz w:val="24"/>
          <w:highlight w:val="none"/>
          <w:lang w:val="en-US" w:eastAsia="zh-CN"/>
        </w:rPr>
        <w:t>三</w:t>
      </w:r>
      <w:r>
        <w:rPr>
          <w:rFonts w:hint="eastAsia" w:ascii="宋体" w:hAnsi="宋体" w:cs="宋体"/>
          <w:sz w:val="24"/>
          <w:highlight w:val="none"/>
          <w:lang w:val="zh-CN"/>
        </w:rPr>
        <w:t>个月</w:t>
      </w:r>
      <w:r>
        <w:rPr>
          <w:rFonts w:hint="eastAsia" w:ascii="宋体" w:hAnsi="宋体" w:cs="宋体"/>
          <w:sz w:val="24"/>
          <w:highlight w:val="none"/>
        </w:rPr>
        <w:t>中任意一个月份(不含投标当月)的依法缴纳税收的相关材料（提供相关主管部门证明或银行代扣证明）复印件并加盖公章；</w:t>
      </w:r>
    </w:p>
    <w:p>
      <w:pPr>
        <w:adjustRightInd w:val="0"/>
        <w:snapToGrid w:val="0"/>
        <w:spacing w:line="348" w:lineRule="auto"/>
        <w:ind w:firstLine="480" w:firstLineChars="200"/>
        <w:rPr>
          <w:rFonts w:hint="eastAsia" w:ascii="宋体" w:hAnsi="宋体" w:cs="宋体"/>
          <w:b/>
          <w:sz w:val="24"/>
          <w:highlight w:val="none"/>
        </w:rPr>
      </w:pP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）授权委托人应具备与本企业签订的劳动合同</w:t>
      </w:r>
      <w:r>
        <w:rPr>
          <w:rFonts w:hint="eastAsia" w:hAnsi="宋体" w:cs="宋体"/>
          <w:sz w:val="24"/>
          <w:highlight w:val="none"/>
          <w:lang w:eastAsia="zh-CN"/>
        </w:rPr>
        <w:t>，</w:t>
      </w:r>
      <w:r>
        <w:rPr>
          <w:rFonts w:hint="eastAsia" w:ascii="宋体" w:hAnsi="宋体" w:cs="宋体"/>
          <w:sz w:val="24"/>
          <w:highlight w:val="none"/>
        </w:rPr>
        <w:t>授权委托人应具备《职工养老保险手册》（内附2021年11月～2022年4月的缴费清单）或由社保机构出具本企业的2021年11月～2022年4月的缴费证明复印件并加盖公章；</w:t>
      </w:r>
    </w:p>
    <w:p>
      <w:pPr>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8</w:t>
      </w:r>
      <w:r>
        <w:rPr>
          <w:rFonts w:hint="eastAsia" w:ascii="宋体" w:hAnsi="宋体" w:cs="宋体"/>
          <w:sz w:val="24"/>
          <w:highlight w:val="none"/>
        </w:rPr>
        <w:t>）承诺书</w:t>
      </w:r>
      <w:r>
        <w:rPr>
          <w:rFonts w:hint="eastAsia" w:ascii="宋体" w:hAnsi="宋体" w:cs="宋体"/>
          <w:b/>
          <w:sz w:val="24"/>
          <w:highlight w:val="none"/>
        </w:rPr>
        <w:t>（格式见附件）</w:t>
      </w:r>
      <w:r>
        <w:rPr>
          <w:rFonts w:hint="eastAsia" w:ascii="宋体" w:hAnsi="宋体" w:cs="宋体"/>
          <w:sz w:val="24"/>
          <w:highlight w:val="none"/>
        </w:rPr>
        <w:t>。</w:t>
      </w:r>
    </w:p>
    <w:p>
      <w:pPr>
        <w:spacing w:line="440" w:lineRule="exact"/>
        <w:ind w:firstLine="480" w:firstLineChars="200"/>
        <w:rPr>
          <w:rFonts w:hint="eastAsia"/>
          <w:b/>
          <w:color w:val="000000"/>
          <w:sz w:val="24"/>
          <w:highlight w:val="none"/>
        </w:rPr>
      </w:pPr>
      <w:r>
        <w:rPr>
          <w:rFonts w:hint="eastAsia" w:ascii="宋体" w:hAnsi="宋体" w:cs="宋体"/>
          <w:sz w:val="24"/>
          <w:highlight w:val="none"/>
        </w:rPr>
        <w:t>注：</w:t>
      </w:r>
      <w:r>
        <w:rPr>
          <w:rFonts w:hint="eastAsia"/>
          <w:b/>
          <w:color w:val="000000"/>
          <w:sz w:val="24"/>
          <w:highlight w:val="none"/>
        </w:rPr>
        <w:t>上述资格、资信证明文件报价供应商必须按要求全部提供，</w:t>
      </w:r>
      <w:r>
        <w:rPr>
          <w:rFonts w:ascii="宋体" w:hAnsi="宋体"/>
          <w:b/>
          <w:color w:val="000000"/>
          <w:sz w:val="24"/>
          <w:highlight w:val="none"/>
        </w:rPr>
        <w:t>其中要求提交的原件或公证件必须与响应文件同时提交，如果原件正在年检（或换证），则必须提供法定年检（或换证）单位出具的有效证明原件</w:t>
      </w:r>
      <w:r>
        <w:rPr>
          <w:rFonts w:hint="eastAsia" w:ascii="宋体" w:hAnsi="宋体"/>
          <w:b/>
          <w:color w:val="000000"/>
          <w:sz w:val="24"/>
          <w:highlight w:val="none"/>
        </w:rPr>
        <w:t>，</w:t>
      </w:r>
      <w:r>
        <w:rPr>
          <w:rFonts w:hint="eastAsia"/>
          <w:b/>
          <w:color w:val="000000"/>
          <w:sz w:val="24"/>
          <w:highlight w:val="none"/>
        </w:rPr>
        <w:t>否则响应文件无效。如上述资格、资信证明文件遇有国家相关政策规定可不具备的，必须提供相关政策规定或相关单位出具的有效证明复印件。报价供应商法定代表人或法定代表人授权代表为外籍、港、澳、台地区人士的，其身份证明须提供有效的护照或港澳同胞来往内地通行证、台湾同胞来往大陆通行证，或其它可在中国大陆有效居留的许可证明。</w:t>
      </w:r>
    </w:p>
    <w:p>
      <w:pPr>
        <w:widowControl/>
        <w:tabs>
          <w:tab w:val="left" w:pos="0"/>
        </w:tabs>
        <w:adjustRightInd w:val="0"/>
        <w:snapToGrid w:val="0"/>
        <w:spacing w:line="348"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lang w:val="en-US" w:eastAsia="zh-CN"/>
        </w:rPr>
        <w:t>3.</w:t>
      </w:r>
      <w:r>
        <w:rPr>
          <w:rFonts w:hint="eastAsia" w:ascii="宋体" w:hAnsi="宋体" w:cs="宋体"/>
          <w:kern w:val="0"/>
          <w:sz w:val="24"/>
          <w:highlight w:val="none"/>
        </w:rPr>
        <w:t>补充证明文件：</w:t>
      </w:r>
    </w:p>
    <w:p>
      <w:pPr>
        <w:adjustRightInd w:val="0"/>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（1）中小企业声明函（格式见附件）；</w:t>
      </w:r>
    </w:p>
    <w:p>
      <w:pPr>
        <w:adjustRightInd w:val="0"/>
        <w:snapToGrid w:val="0"/>
        <w:spacing w:line="348" w:lineRule="auto"/>
        <w:ind w:firstLine="480" w:firstLineChars="200"/>
        <w:rPr>
          <w:rFonts w:ascii="宋体" w:hAnsi="宋体" w:cs="宋体"/>
          <w:sz w:val="24"/>
          <w:highlight w:val="none"/>
        </w:rPr>
      </w:pPr>
      <w:r>
        <w:rPr>
          <w:rFonts w:hint="eastAsia" w:ascii="宋体" w:hAnsi="宋体" w:cs="宋体"/>
          <w:sz w:val="24"/>
          <w:highlight w:val="none"/>
        </w:rPr>
        <w:t>（2）投标供应商基本情况声明（格式见附件）；</w:t>
      </w:r>
    </w:p>
    <w:p>
      <w:pPr>
        <w:snapToGrid w:val="0"/>
        <w:spacing w:line="348"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开标一览表；</w:t>
      </w:r>
    </w:p>
    <w:p>
      <w:pPr>
        <w:snapToGrid w:val="0"/>
        <w:spacing w:line="348"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明细报价表。</w:t>
      </w:r>
    </w:p>
    <w:p>
      <w:pPr>
        <w:snapToGrid w:val="0"/>
        <w:spacing w:line="348" w:lineRule="auto"/>
        <w:ind w:firstLine="480" w:firstLineChars="200"/>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投标偏离表</w:t>
      </w:r>
    </w:p>
    <w:p>
      <w:pPr>
        <w:snapToGrid w:val="0"/>
        <w:spacing w:line="348"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7</w:t>
      </w:r>
      <w:r>
        <w:rPr>
          <w:rFonts w:hint="eastAsia" w:ascii="宋体" w:hAnsi="宋体" w:eastAsia="宋体" w:cs="Times New Roman"/>
          <w:sz w:val="24"/>
          <w:highlight w:val="none"/>
        </w:rPr>
        <w:t>.评分标准中对应的其它所需证明材料（如有自行添加）</w:t>
      </w:r>
    </w:p>
    <w:p>
      <w:pPr>
        <w:snapToGrid w:val="0"/>
        <w:spacing w:line="348"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8</w:t>
      </w:r>
      <w:r>
        <w:rPr>
          <w:rFonts w:hint="eastAsia" w:ascii="宋体" w:hAnsi="宋体" w:eastAsia="宋体" w:cs="Times New Roman"/>
          <w:sz w:val="24"/>
          <w:highlight w:val="none"/>
        </w:rPr>
        <w:t>.其它（报价供应商认为有必要提供的声明和文件，如有自拟并自行添加）</w:t>
      </w:r>
    </w:p>
    <w:p>
      <w:pPr>
        <w:spacing w:line="360" w:lineRule="auto"/>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第二部分 技术部分</w:t>
      </w:r>
    </w:p>
    <w:p>
      <w:pPr>
        <w:snapToGrid w:val="0"/>
        <w:spacing w:line="348"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1.访客系统部署方案；</w:t>
      </w:r>
    </w:p>
    <w:p>
      <w:pPr>
        <w:snapToGrid w:val="0"/>
        <w:spacing w:line="348" w:lineRule="auto"/>
        <w:ind w:firstLine="480" w:firstLineChars="200"/>
        <w:rPr>
          <w:rFonts w:hint="eastAsia"/>
          <w:highlight w:val="none"/>
          <w:lang w:val="en-US" w:eastAsia="zh-CN"/>
        </w:rPr>
      </w:pPr>
      <w:r>
        <w:rPr>
          <w:rFonts w:hint="eastAsia" w:ascii="宋体" w:hAnsi="宋体" w:eastAsia="宋体" w:cs="Times New Roman"/>
          <w:sz w:val="24"/>
          <w:highlight w:val="none"/>
          <w:lang w:val="en-US" w:eastAsia="zh-CN"/>
        </w:rPr>
        <w:t>2.</w:t>
      </w:r>
      <w:r>
        <w:rPr>
          <w:rFonts w:hint="eastAsia" w:ascii="Times New Roman" w:hAnsi="Times New Roman" w:eastAsia="宋体" w:cs="Times New Roman"/>
          <w:b w:val="0"/>
          <w:bCs/>
          <w:kern w:val="2"/>
          <w:sz w:val="24"/>
          <w:highlight w:val="none"/>
          <w:lang w:val="en-US" w:eastAsia="zh-CN"/>
        </w:rPr>
        <w:t>人脸识别设备接入方案；</w:t>
      </w:r>
    </w:p>
    <w:p>
      <w:pPr>
        <w:tabs>
          <w:tab w:val="left" w:pos="945"/>
        </w:tabs>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三、我们同意按招标文件中的规定，本投标文件投标的有效期限为开标之日起90天。</w:t>
      </w:r>
    </w:p>
    <w:p>
      <w:pPr>
        <w:tabs>
          <w:tab w:val="left" w:pos="945"/>
        </w:tabs>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四、如果我们的投标文件被接受，我们将履行招标文件中规定的每一项要求，按期、按质、按量，完成服务任务。</w:t>
      </w:r>
    </w:p>
    <w:p>
      <w:pPr>
        <w:tabs>
          <w:tab w:val="left" w:pos="945"/>
        </w:tabs>
        <w:spacing w:line="360" w:lineRule="auto"/>
        <w:ind w:left="48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五、我们认为你们有权决定中标者。</w:t>
      </w:r>
    </w:p>
    <w:p>
      <w:pPr>
        <w:tabs>
          <w:tab w:val="left" w:pos="945"/>
        </w:tabs>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六、我方愿意遵守《中华人民共和国政府采购法》，并按《中华人民共和国民法典》、财政部《政府采购货物和服务招标投标管理办法》和合同条款履行自己的全部责任。在合同履行过程中，双方如有争议，同意由</w:t>
      </w:r>
      <w:r>
        <w:rPr>
          <w:rFonts w:hint="default" w:ascii="Times New Roman" w:hAnsi="Times New Roman" w:cs="Times New Roman"/>
          <w:sz w:val="24"/>
          <w:highlight w:val="none"/>
        </w:rPr>
        <w:t>江苏信中天工程咨询有限公司</w:t>
      </w:r>
      <w:r>
        <w:rPr>
          <w:rFonts w:hint="default" w:ascii="Times New Roman" w:hAnsi="Times New Roman" w:cs="Times New Roman"/>
          <w:bCs/>
          <w:sz w:val="24"/>
          <w:szCs w:val="24"/>
          <w:highlight w:val="none"/>
        </w:rPr>
        <w:t>协调解决，并按相关法规和有关文件规定处理。</w:t>
      </w:r>
    </w:p>
    <w:p>
      <w:pPr>
        <w:tabs>
          <w:tab w:val="left" w:pos="945"/>
        </w:tabs>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七、我们认可并遵守招标文件的所有规定，放弃对招标文件提出质疑的权利。</w:t>
      </w:r>
    </w:p>
    <w:p>
      <w:pPr>
        <w:tabs>
          <w:tab w:val="left" w:pos="945"/>
        </w:tabs>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八、如果我方被确定为中标单位，我方愿意在见证合同时按招标文件的规定交纳履约保证金。且我方如无不可抗力，又未履行招标文件、投标文件和合同条款的，一经查实，我方愿意赔偿由此而造成的一切损失和费用，并同意接受按招标文件的相关要求对我方进行的处理。</w:t>
      </w:r>
    </w:p>
    <w:p>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投标人(盖章)：</w:t>
      </w:r>
    </w:p>
    <w:p>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法定代表人或法定代表人授权代表签字或盖章：</w:t>
      </w:r>
    </w:p>
    <w:p>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电话：                              传真：</w:t>
      </w:r>
    </w:p>
    <w:p>
      <w:pPr>
        <w:spacing w:line="360" w:lineRule="auto"/>
        <w:ind w:firstLine="480" w:firstLineChars="200"/>
        <w:rPr>
          <w:rFonts w:hint="default" w:ascii="Times New Roman" w:hAnsi="Times New Roman" w:cs="Times New Roman"/>
          <w:bCs/>
          <w:sz w:val="36"/>
          <w:szCs w:val="36"/>
          <w:highlight w:val="none"/>
        </w:rPr>
      </w:pPr>
      <w:r>
        <w:rPr>
          <w:rFonts w:hint="default" w:ascii="Times New Roman" w:hAnsi="Times New Roman" w:cs="Times New Roman"/>
          <w:bCs/>
          <w:sz w:val="24"/>
          <w:szCs w:val="24"/>
          <w:highlight w:val="none"/>
        </w:rPr>
        <w:t>通讯地址：                          邮编：</w:t>
      </w:r>
    </w:p>
    <w:p>
      <w:pPr>
        <w:spacing w:line="360" w:lineRule="auto"/>
        <w:ind w:firstLine="480" w:firstLineChars="200"/>
        <w:rPr>
          <w:rFonts w:hint="default" w:ascii="Times New Roman" w:hAnsi="Times New Roman" w:eastAsia="黑体" w:cs="Times New Roman"/>
          <w:bCs/>
          <w:sz w:val="24"/>
          <w:szCs w:val="24"/>
          <w:highlight w:val="none"/>
        </w:rPr>
      </w:pPr>
    </w:p>
    <w:p>
      <w:pPr>
        <w:widowControl/>
        <w:jc w:val="left"/>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br w:type="page"/>
      </w:r>
    </w:p>
    <w:p>
      <w:pPr>
        <w:pStyle w:val="5"/>
        <w:ind w:firstLine="0" w:firstLineChars="0"/>
        <w:rPr>
          <w:rFonts w:hint="default" w:ascii="Times New Roman" w:hAnsi="Times New Roman" w:cs="Times New Roman"/>
          <w:sz w:val="28"/>
          <w:szCs w:val="28"/>
          <w:highlight w:val="none"/>
        </w:rPr>
      </w:pPr>
      <w:r>
        <w:rPr>
          <w:rFonts w:hint="default" w:ascii="Times New Roman" w:hAnsi="Times New Roman" w:cs="Times New Roman"/>
          <w:highlight w:val="none"/>
        </w:rPr>
        <w:t>（二）（投标人）关于资格的声明函（格式）</w:t>
      </w:r>
    </w:p>
    <w:p>
      <w:pPr>
        <w:spacing w:before="120" w:beforeLines="50" w:after="120" w:afterLines="50" w:line="360" w:lineRule="auto"/>
        <w:jc w:val="center"/>
        <w:rPr>
          <w:rFonts w:hint="default" w:ascii="Times New Roman" w:hAnsi="Times New Roman" w:cs="Times New Roman"/>
          <w:b/>
          <w:sz w:val="24"/>
          <w:szCs w:val="24"/>
          <w:highlight w:val="none"/>
        </w:rPr>
      </w:pPr>
      <w:bookmarkStart w:id="13" w:name="报价方关于资格的声明函（格式）"/>
      <w:bookmarkEnd w:id="13"/>
      <w:r>
        <w:rPr>
          <w:rFonts w:hint="default" w:ascii="Times New Roman" w:hAnsi="Times New Roman" w:cs="Times New Roman"/>
          <w:b/>
          <w:sz w:val="24"/>
          <w:szCs w:val="24"/>
          <w:highlight w:val="none"/>
        </w:rPr>
        <w:t>关于资格的声明函</w:t>
      </w:r>
    </w:p>
    <w:p>
      <w:pPr>
        <w:widowControl/>
        <w:spacing w:line="400" w:lineRule="exact"/>
        <w:rPr>
          <w:rFonts w:hint="default" w:ascii="Times New Roman" w:hAnsi="Times New Roman" w:eastAsia="宋体" w:cs="Times New Roman"/>
          <w:sz w:val="24"/>
          <w:highlight w:val="none"/>
          <w:lang w:eastAsia="zh-CN"/>
        </w:rPr>
      </w:pPr>
      <w:r>
        <w:rPr>
          <w:rFonts w:hint="default" w:ascii="Times New Roman" w:hAnsi="Times New Roman" w:cs="Times New Roman"/>
          <w:bCs/>
          <w:sz w:val="24"/>
          <w:szCs w:val="24"/>
          <w:highlight w:val="none"/>
        </w:rPr>
        <w:t>政府采购编号：</w:t>
      </w:r>
      <w:r>
        <w:rPr>
          <w:rFonts w:hint="eastAsia" w:ascii="Times New Roman" w:cs="Times New Roman"/>
          <w:sz w:val="24"/>
          <w:highlight w:val="none"/>
          <w:lang w:eastAsia="zh-CN"/>
        </w:rPr>
        <w:t>JSXZT2022-027（2）</w:t>
      </w:r>
    </w:p>
    <w:p>
      <w:pPr>
        <w:tabs>
          <w:tab w:val="left" w:pos="6300"/>
        </w:tabs>
        <w:spacing w:line="360" w:lineRule="auto"/>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日期：</w:t>
      </w:r>
    </w:p>
    <w:p>
      <w:pPr>
        <w:spacing w:line="480" w:lineRule="auto"/>
        <w:jc w:val="center"/>
        <w:rPr>
          <w:rFonts w:hint="default" w:ascii="Times New Roman" w:hAnsi="Times New Roman" w:cs="Times New Roman"/>
          <w:bCs/>
          <w:sz w:val="24"/>
          <w:szCs w:val="24"/>
          <w:highlight w:val="none"/>
        </w:rPr>
      </w:pPr>
    </w:p>
    <w:p>
      <w:pPr>
        <w:spacing w:line="480" w:lineRule="auto"/>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江苏信中天工程咨询有限公司：</w:t>
      </w:r>
    </w:p>
    <w:p>
      <w:pPr>
        <w:spacing w:line="48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我公司（单位）参加政府采购活动前三年内，在经营活动中没有重大违法记录。</w:t>
      </w:r>
    </w:p>
    <w:p>
      <w:pPr>
        <w:spacing w:line="480" w:lineRule="auto"/>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 xml:space="preserve">    我公司（单位）愿针对本次项目进行报价，报价文件中所有关于报价资格的文件、证明、陈述均是真实的、准确的。若有违背，我公司（单位）           愿意承担由此而产生的一切后果。</w:t>
      </w:r>
    </w:p>
    <w:p>
      <w:pPr>
        <w:spacing w:line="480" w:lineRule="auto"/>
        <w:rPr>
          <w:rFonts w:hint="default" w:ascii="Times New Roman" w:hAnsi="Times New Roman" w:cs="Times New Roman"/>
          <w:bCs/>
          <w:sz w:val="24"/>
          <w:szCs w:val="24"/>
          <w:highlight w:val="none"/>
        </w:rPr>
      </w:pPr>
    </w:p>
    <w:p>
      <w:pPr>
        <w:spacing w:line="480" w:lineRule="auto"/>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 xml:space="preserve">                                    报价供应商（盖章）：</w:t>
      </w:r>
    </w:p>
    <w:p>
      <w:pPr>
        <w:spacing w:line="480" w:lineRule="auto"/>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 xml:space="preserve">                              法定代表人（签字或盖章）：</w:t>
      </w:r>
    </w:p>
    <w:p>
      <w:pPr>
        <w:widowControl/>
        <w:jc w:val="left"/>
        <w:rPr>
          <w:rFonts w:hint="default" w:ascii="Times New Roman" w:hAnsi="Times New Roman" w:cs="Times New Roman"/>
          <w:b/>
          <w:bCs/>
          <w:sz w:val="24"/>
          <w:highlight w:val="none"/>
        </w:rPr>
      </w:pPr>
      <w:r>
        <w:rPr>
          <w:rFonts w:hint="default" w:ascii="Times New Roman" w:hAnsi="Times New Roman" w:cs="Times New Roman"/>
          <w:highlight w:val="none"/>
        </w:rPr>
        <w:br w:type="page"/>
      </w:r>
    </w:p>
    <w:p>
      <w:pPr>
        <w:pStyle w:val="5"/>
        <w:rPr>
          <w:rFonts w:hint="default" w:ascii="Times New Roman" w:hAnsi="Times New Roman" w:cs="Times New Roman"/>
          <w:highlight w:val="none"/>
        </w:rPr>
      </w:pPr>
      <w:r>
        <w:rPr>
          <w:rFonts w:hint="default" w:ascii="Times New Roman" w:hAnsi="Times New Roman" w:cs="Times New Roman"/>
          <w:highlight w:val="none"/>
        </w:rPr>
        <w:t>（三）（投标人）法定代表人授权委托书（格式）：</w:t>
      </w:r>
    </w:p>
    <w:p>
      <w:pPr>
        <w:spacing w:before="120" w:beforeLines="50" w:after="120" w:afterLines="50"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法定代表人授权委托书</w:t>
      </w:r>
    </w:p>
    <w:p>
      <w:pPr>
        <w:spacing w:line="360" w:lineRule="auto"/>
        <w:rPr>
          <w:rFonts w:hint="default" w:ascii="Times New Roman" w:hAnsi="Times New Roman" w:eastAsia="宋体" w:cs="Times New Roman"/>
          <w:bCs/>
          <w:sz w:val="24"/>
          <w:szCs w:val="24"/>
          <w:highlight w:val="none"/>
          <w:lang w:eastAsia="zh-CN"/>
        </w:rPr>
      </w:pPr>
      <w:r>
        <w:rPr>
          <w:rFonts w:hint="default" w:ascii="Times New Roman" w:hAnsi="Times New Roman" w:cs="Times New Roman"/>
          <w:bCs/>
          <w:sz w:val="24"/>
          <w:szCs w:val="24"/>
          <w:highlight w:val="none"/>
        </w:rPr>
        <w:t>政府采购编号：</w:t>
      </w:r>
      <w:r>
        <w:rPr>
          <w:rFonts w:hint="eastAsia" w:ascii="Times New Roman" w:cs="Times New Roman"/>
          <w:bCs/>
          <w:sz w:val="24"/>
          <w:szCs w:val="24"/>
          <w:highlight w:val="none"/>
          <w:lang w:eastAsia="zh-CN"/>
        </w:rPr>
        <w:t>JSXZT2022-027（2）</w:t>
      </w:r>
    </w:p>
    <w:p>
      <w:pPr>
        <w:spacing w:line="360" w:lineRule="auto"/>
        <w:jc w:val="left"/>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日期：</w:t>
      </w:r>
    </w:p>
    <w:p>
      <w:pPr>
        <w:spacing w:line="360" w:lineRule="auto"/>
        <w:rPr>
          <w:rFonts w:hint="default" w:ascii="Times New Roman" w:hAnsi="Times New Roman" w:cs="Times New Roman"/>
          <w:bCs/>
          <w:sz w:val="24"/>
          <w:szCs w:val="24"/>
          <w:highlight w:val="none"/>
        </w:rPr>
      </w:pPr>
    </w:p>
    <w:p>
      <w:pPr>
        <w:spacing w:line="360" w:lineRule="auto"/>
        <w:rPr>
          <w:rFonts w:hint="default" w:ascii="Times New Roman" w:hAnsi="Times New Roman" w:cs="Times New Roman"/>
          <w:bCs/>
          <w:sz w:val="24"/>
          <w:szCs w:val="24"/>
          <w:highlight w:val="none"/>
          <w:u w:val="single"/>
        </w:rPr>
      </w:pPr>
      <w:r>
        <w:rPr>
          <w:rFonts w:hint="default" w:ascii="Times New Roman" w:hAnsi="Times New Roman" w:cs="Times New Roman"/>
          <w:bCs/>
          <w:sz w:val="24"/>
          <w:szCs w:val="24"/>
          <w:highlight w:val="none"/>
          <w:u w:val="single"/>
        </w:rPr>
        <w:t>致：江苏信中天工程咨询有限公司</w:t>
      </w:r>
    </w:p>
    <w:p>
      <w:pPr>
        <w:spacing w:line="360" w:lineRule="auto"/>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 xml:space="preserve"> 系中华人民共和国合法企业，特授权代表我公司(单位)全权办理针对本项目的投标、参与开标、评标、签约等具体工作，并签署全部有关的文件、协议及合同。</w:t>
      </w:r>
    </w:p>
    <w:p>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我公司(单位)对被授权人的签名负全部责任。</w:t>
      </w:r>
    </w:p>
    <w:p>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在撤销授权的书面通知送达你处以前，本授权书一直有效，被授权人签署的所有文件(在授权书有效期内签署的)不因授权的撤销而失效。</w:t>
      </w:r>
    </w:p>
    <w:p>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被授权人情况：</w:t>
      </w:r>
    </w:p>
    <w:p>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 xml:space="preserve">姓名：                        性别：  </w:t>
      </w:r>
    </w:p>
    <w:p>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身份证件号码：                电话：</w:t>
      </w:r>
    </w:p>
    <w:p>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被授权人(签字或盖章)：        单位名称(盖章)：</w:t>
      </w:r>
    </w:p>
    <w:p>
      <w:pPr>
        <w:spacing w:line="360" w:lineRule="auto"/>
        <w:ind w:firstLine="4080" w:firstLineChars="17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法定代表人(签字或盖章)：</w:t>
      </w:r>
    </w:p>
    <w:p>
      <w:pPr>
        <w:jc w:val="center"/>
        <w:rPr>
          <w:rFonts w:hint="default" w:ascii="Times New Roman" w:hAnsi="Times New Roman" w:eastAsia="黑体" w:cs="Times New Roman"/>
          <w:sz w:val="32"/>
          <w:highlight w:val="none"/>
        </w:rPr>
      </w:pPr>
    </w:p>
    <w:p>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附：身份证复印件（正反面）</w:t>
      </w:r>
    </w:p>
    <w:p>
      <w:pPr>
        <w:widowControl/>
        <w:jc w:val="left"/>
        <w:rPr>
          <w:rFonts w:hint="default" w:ascii="Times New Roman" w:hAnsi="Times New Roman" w:cs="Times New Roman"/>
          <w:b/>
          <w:bCs/>
          <w:sz w:val="24"/>
          <w:highlight w:val="none"/>
        </w:rPr>
      </w:pPr>
      <w:r>
        <w:rPr>
          <w:rFonts w:hint="default" w:ascii="Times New Roman" w:hAnsi="Times New Roman" w:cs="Times New Roman"/>
          <w:highlight w:val="none"/>
        </w:rPr>
        <w:br w:type="page"/>
      </w:r>
    </w:p>
    <w:p>
      <w:pPr>
        <w:pStyle w:val="5"/>
        <w:rPr>
          <w:rFonts w:hint="default" w:ascii="Times New Roman" w:hAnsi="Times New Roman" w:cs="Times New Roman"/>
          <w:highlight w:val="none"/>
        </w:rPr>
      </w:pPr>
      <w:r>
        <w:rPr>
          <w:rFonts w:hint="default" w:ascii="Times New Roman" w:hAnsi="Times New Roman" w:cs="Times New Roman"/>
          <w:highlight w:val="none"/>
        </w:rPr>
        <w:t>（四）承诺书（格式）：</w:t>
      </w:r>
    </w:p>
    <w:p>
      <w:pPr>
        <w:spacing w:before="120" w:beforeLines="50" w:after="120" w:afterLines="50"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承诺书</w:t>
      </w:r>
    </w:p>
    <w:p>
      <w:pPr>
        <w:spacing w:line="48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r>
        <w:rPr>
          <w:rFonts w:hint="default" w:ascii="Times New Roman" w:hAnsi="Times New Roman" w:cs="Times New Roman"/>
          <w:sz w:val="24"/>
          <w:highlight w:val="none"/>
        </w:rPr>
        <w:t>投标人</w:t>
      </w:r>
      <w:r>
        <w:rPr>
          <w:rFonts w:hint="default" w:ascii="Times New Roman" w:hAnsi="Times New Roman" w:cs="Times New Roman"/>
          <w:sz w:val="24"/>
          <w:szCs w:val="24"/>
          <w:highlight w:val="none"/>
        </w:rPr>
        <w:t>名称）在此承诺：</w:t>
      </w:r>
    </w:p>
    <w:p>
      <w:pPr>
        <w:spacing w:line="480" w:lineRule="auto"/>
        <w:ind w:firstLine="480" w:firstLineChars="200"/>
        <w:rPr>
          <w:rFonts w:hint="default" w:ascii="Times New Roman" w:hAnsi="Times New Roman" w:cs="Times New Roman"/>
          <w:sz w:val="24"/>
          <w:szCs w:val="24"/>
          <w:highlight w:val="none"/>
        </w:rPr>
      </w:pPr>
    </w:p>
    <w:p>
      <w:pPr>
        <w:spacing w:line="48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sz w:val="24"/>
          <w:szCs w:val="24"/>
          <w:highlight w:val="none"/>
        </w:rPr>
        <w:t>1、本公司</w:t>
      </w:r>
      <w:r>
        <w:rPr>
          <w:rFonts w:hint="default" w:ascii="Times New Roman" w:hAnsi="Times New Roman" w:cs="Times New Roman"/>
          <w:bCs/>
          <w:sz w:val="24"/>
          <w:szCs w:val="24"/>
          <w:highlight w:val="none"/>
        </w:rPr>
        <w:t>对本项目（</w:t>
      </w:r>
      <w:r>
        <w:rPr>
          <w:rFonts w:hint="eastAsia" w:ascii="Times New Roman" w:cs="Times New Roman"/>
          <w:bCs/>
          <w:sz w:val="24"/>
          <w:szCs w:val="24"/>
          <w:highlight w:val="none"/>
          <w:lang w:eastAsia="zh-CN"/>
        </w:rPr>
        <w:t>JSXZT2022-027（2）</w:t>
      </w:r>
      <w:r>
        <w:rPr>
          <w:rFonts w:hint="default" w:ascii="Times New Roman" w:hAnsi="Times New Roman" w:cs="Times New Roman"/>
          <w:bCs/>
          <w:sz w:val="24"/>
          <w:szCs w:val="24"/>
          <w:highlight w:val="none"/>
        </w:rPr>
        <w:t xml:space="preserve"> ）所提供的货物均为原厂全新合格品。</w:t>
      </w:r>
    </w:p>
    <w:p>
      <w:pPr>
        <w:spacing w:line="48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sz w:val="24"/>
          <w:szCs w:val="24"/>
          <w:highlight w:val="none"/>
        </w:rPr>
        <w:t>2、本公司（单位）</w:t>
      </w:r>
      <w:r>
        <w:rPr>
          <w:rFonts w:hint="default" w:ascii="Times New Roman" w:hAnsi="Times New Roman" w:cs="Times New Roman"/>
          <w:bCs/>
          <w:sz w:val="24"/>
          <w:szCs w:val="24"/>
          <w:highlight w:val="none"/>
        </w:rPr>
        <w:t>具备履行合同所必需的设备和专业技术能力。</w:t>
      </w:r>
    </w:p>
    <w:p>
      <w:pPr>
        <w:spacing w:line="48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如所供之货物不符合前述承诺，本公司将承担一切法律责任。</w:t>
      </w:r>
    </w:p>
    <w:p>
      <w:pPr>
        <w:spacing w:line="480" w:lineRule="auto"/>
        <w:rPr>
          <w:rFonts w:hint="default" w:ascii="Times New Roman" w:hAnsi="Times New Roman" w:cs="Times New Roman"/>
          <w:sz w:val="24"/>
          <w:highlight w:val="none"/>
        </w:rPr>
      </w:pPr>
    </w:p>
    <w:p>
      <w:pPr>
        <w:spacing w:line="480" w:lineRule="auto"/>
        <w:ind w:firstLine="5400" w:firstLineChars="2250"/>
        <w:rPr>
          <w:rFonts w:hint="default" w:ascii="Times New Roman" w:hAnsi="Times New Roman" w:cs="Times New Roman"/>
          <w:bCs/>
          <w:sz w:val="24"/>
          <w:szCs w:val="24"/>
          <w:highlight w:val="none"/>
        </w:rPr>
      </w:pPr>
    </w:p>
    <w:p>
      <w:pPr>
        <w:spacing w:line="480" w:lineRule="auto"/>
        <w:ind w:firstLine="3720" w:firstLineChars="155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投标人（盖章）：</w:t>
      </w:r>
    </w:p>
    <w:p>
      <w:pPr>
        <w:spacing w:line="48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法定代表人或法定代表人授权代表签字或盖章：</w:t>
      </w:r>
    </w:p>
    <w:p>
      <w:pPr>
        <w:widowControl/>
        <w:jc w:val="left"/>
        <w:rPr>
          <w:rFonts w:hint="default" w:ascii="Times New Roman" w:hAnsi="Times New Roman" w:eastAsia="黑体" w:cs="Times New Roman"/>
          <w:bCs/>
          <w:sz w:val="24"/>
          <w:szCs w:val="24"/>
          <w:highlight w:val="none"/>
        </w:rPr>
      </w:pPr>
    </w:p>
    <w:p>
      <w:pPr>
        <w:widowControl/>
        <w:jc w:val="left"/>
        <w:rPr>
          <w:rFonts w:hint="default" w:ascii="Times New Roman" w:hAnsi="Times New Roman" w:cs="Times New Roman"/>
          <w:b/>
          <w:bCs/>
          <w:sz w:val="24"/>
          <w:highlight w:val="none"/>
        </w:rPr>
      </w:pPr>
      <w:r>
        <w:rPr>
          <w:rFonts w:hint="default" w:ascii="Times New Roman" w:hAnsi="Times New Roman" w:cs="Times New Roman"/>
          <w:highlight w:val="none"/>
        </w:rPr>
        <w:br w:type="page"/>
      </w:r>
    </w:p>
    <w:p>
      <w:pPr>
        <w:pStyle w:val="5"/>
        <w:rPr>
          <w:rFonts w:hint="default" w:ascii="Times New Roman" w:hAnsi="Times New Roman" w:cs="Times New Roman"/>
          <w:sz w:val="28"/>
          <w:szCs w:val="28"/>
          <w:highlight w:val="none"/>
        </w:rPr>
      </w:pPr>
      <w:r>
        <w:rPr>
          <w:rFonts w:hint="default" w:ascii="Times New Roman" w:hAnsi="Times New Roman" w:cs="Times New Roman"/>
          <w:highlight w:val="none"/>
        </w:rPr>
        <w:t>（五）开标一览表(格式)</w:t>
      </w:r>
    </w:p>
    <w:p>
      <w:pPr>
        <w:spacing w:before="120" w:beforeLines="50" w:after="120" w:afterLines="50"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开标一览表</w:t>
      </w:r>
    </w:p>
    <w:p>
      <w:pPr>
        <w:spacing w:line="360" w:lineRule="auto"/>
        <w:rPr>
          <w:rFonts w:hint="default" w:ascii="Times New Roman" w:hAnsi="Times New Roman" w:eastAsia="黑体" w:cs="Times New Roman"/>
          <w:bCs/>
          <w:sz w:val="24"/>
          <w:szCs w:val="24"/>
          <w:highlight w:val="none"/>
          <w:lang w:eastAsia="zh-CN"/>
        </w:rPr>
      </w:pPr>
      <w:r>
        <w:rPr>
          <w:rFonts w:hint="default" w:ascii="Times New Roman" w:hAnsi="Times New Roman" w:eastAsia="黑体" w:cs="Times New Roman"/>
          <w:bCs/>
          <w:sz w:val="24"/>
          <w:szCs w:val="24"/>
          <w:highlight w:val="none"/>
        </w:rPr>
        <w:t>投标人名称(盖章)                                项目编号：</w:t>
      </w:r>
      <w:r>
        <w:rPr>
          <w:rFonts w:hint="eastAsia" w:ascii="Times New Roman" w:eastAsia="黑体" w:cs="Times New Roman"/>
          <w:bCs/>
          <w:sz w:val="24"/>
          <w:szCs w:val="24"/>
          <w:highlight w:val="none"/>
          <w:lang w:eastAsia="zh-CN"/>
        </w:rPr>
        <w:t>JSXZT2022-027（2）</w:t>
      </w:r>
    </w:p>
    <w:tbl>
      <w:tblPr>
        <w:tblStyle w:val="56"/>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418" w:type="dxa"/>
            <w:vAlign w:val="center"/>
          </w:tcPr>
          <w:p>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项目名称</w:t>
            </w:r>
          </w:p>
        </w:tc>
        <w:tc>
          <w:tcPr>
            <w:tcW w:w="7104" w:type="dxa"/>
            <w:vAlign w:val="center"/>
          </w:tcPr>
          <w:p>
            <w:pPr>
              <w:spacing w:line="360" w:lineRule="auto"/>
              <w:jc w:val="left"/>
              <w:rPr>
                <w:rFonts w:hint="default" w:ascii="Times New Roman" w:hAnsi="Times New Roman" w:eastAsia="宋体" w:cs="Times New Roman"/>
                <w:sz w:val="24"/>
                <w:szCs w:val="24"/>
                <w:highlight w:val="none"/>
                <w:lang w:eastAsia="zh-CN"/>
              </w:rPr>
            </w:pPr>
            <w:r>
              <w:rPr>
                <w:rFonts w:hint="eastAsia" w:ascii="Times New Roman" w:cs="Times New Roman"/>
                <w:sz w:val="24"/>
                <w:szCs w:val="24"/>
                <w:highlight w:val="none"/>
                <w:lang w:eastAsia="zh-CN"/>
              </w:rPr>
              <w:t>人员及车辆通行智能管理系统（第二次）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418" w:type="dxa"/>
            <w:vAlign w:val="center"/>
          </w:tcPr>
          <w:p>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投标总报价</w:t>
            </w:r>
          </w:p>
        </w:tc>
        <w:tc>
          <w:tcPr>
            <w:tcW w:w="7104" w:type="dxa"/>
            <w:vAlign w:val="center"/>
          </w:tcPr>
          <w:p>
            <w:pPr>
              <w:spacing w:line="360" w:lineRule="auto"/>
              <w:ind w:firstLine="240" w:firstLineChars="1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人民币(大写)：</w:t>
            </w:r>
          </w:p>
          <w:p>
            <w:pPr>
              <w:spacing w:line="360" w:lineRule="auto"/>
              <w:ind w:firstLine="240" w:firstLineChars="1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522" w:type="dxa"/>
            <w:gridSpan w:val="2"/>
            <w:vAlign w:val="center"/>
          </w:tcPr>
          <w:p>
            <w:pPr>
              <w:spacing w:line="360" w:lineRule="auto"/>
              <w:ind w:firstLine="240" w:firstLineChars="1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交货期：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522" w:type="dxa"/>
            <w:gridSpan w:val="2"/>
            <w:vAlign w:val="center"/>
          </w:tcPr>
          <w:p>
            <w:pPr>
              <w:spacing w:line="360" w:lineRule="auto"/>
              <w:ind w:firstLine="240" w:firstLineChars="100"/>
              <w:rPr>
                <w:rFonts w:hint="default" w:ascii="Times New Roman" w:hAnsi="Times New Roman" w:cs="Times New Roman"/>
                <w:sz w:val="24"/>
                <w:szCs w:val="24"/>
                <w:highlight w:val="none"/>
              </w:rPr>
            </w:pPr>
            <w:r>
              <w:rPr>
                <w:rFonts w:hint="default" w:ascii="Times New Roman" w:hAnsi="Times New Roman" w:cs="Times New Roman"/>
                <w:sz w:val="24"/>
                <w:highlight w:val="none"/>
              </w:rPr>
              <w:t>质量要求</w:t>
            </w:r>
            <w:r>
              <w:rPr>
                <w:rFonts w:hint="default" w:ascii="Times New Roman" w:hAnsi="Times New Roman"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522" w:type="dxa"/>
            <w:gridSpan w:val="2"/>
            <w:vAlign w:val="center"/>
          </w:tcPr>
          <w:p>
            <w:pPr>
              <w:spacing w:line="360" w:lineRule="auto"/>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522" w:type="dxa"/>
            <w:gridSpan w:val="2"/>
            <w:vAlign w:val="center"/>
          </w:tcPr>
          <w:p>
            <w:pPr>
              <w:spacing w:line="360" w:lineRule="auto"/>
              <w:ind w:firstLine="240" w:firstLineChars="1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项目整体质保期:</w:t>
            </w:r>
          </w:p>
        </w:tc>
      </w:tr>
    </w:tbl>
    <w:p>
      <w:pPr>
        <w:spacing w:line="360" w:lineRule="auto"/>
        <w:rPr>
          <w:rFonts w:hint="default" w:ascii="Times New Roman" w:hAnsi="Times New Roman" w:cs="Times New Roman"/>
          <w:sz w:val="24"/>
          <w:highlight w:val="none"/>
        </w:rPr>
      </w:pPr>
    </w:p>
    <w:p>
      <w:pPr>
        <w:spacing w:before="5" w:line="360" w:lineRule="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法定代表人或法定代表人授权代表签字或盖章：</w:t>
      </w:r>
    </w:p>
    <w:p>
      <w:pPr>
        <w:spacing w:before="5" w:line="360" w:lineRule="auto"/>
        <w:rPr>
          <w:rFonts w:hint="default" w:ascii="Times New Roman" w:hAnsi="Times New Roman" w:cs="Times New Roman"/>
          <w:b/>
          <w:bCs/>
          <w:sz w:val="24"/>
          <w:szCs w:val="24"/>
          <w:highlight w:val="none"/>
        </w:rPr>
      </w:pPr>
    </w:p>
    <w:p>
      <w:pPr>
        <w:spacing w:before="5" w:line="360" w:lineRule="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日期：</w:t>
      </w:r>
    </w:p>
    <w:p>
      <w:pPr>
        <w:widowControl/>
        <w:jc w:val="left"/>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br w:type="page"/>
      </w:r>
    </w:p>
    <w:p>
      <w:pPr>
        <w:pStyle w:val="5"/>
        <w:rPr>
          <w:rFonts w:hint="default" w:ascii="Times New Roman" w:hAnsi="Times New Roman" w:cs="Times New Roman"/>
          <w:highlight w:val="none"/>
        </w:rPr>
      </w:pPr>
      <w:r>
        <w:rPr>
          <w:rFonts w:hint="default" w:ascii="Times New Roman" w:hAnsi="Times New Roman" w:cs="Times New Roman"/>
          <w:highlight w:val="none"/>
        </w:rPr>
        <w:t>（六）明细报价表（格式）</w:t>
      </w:r>
    </w:p>
    <w:p>
      <w:pPr>
        <w:spacing w:before="120" w:beforeLines="50" w:after="120" w:afterLines="50"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明细报价表</w:t>
      </w:r>
    </w:p>
    <w:p>
      <w:pPr>
        <w:spacing w:line="360" w:lineRule="auto"/>
        <w:rPr>
          <w:rFonts w:hint="default" w:ascii="Times New Roman" w:hAnsi="Times New Roman" w:eastAsia="宋体" w:cs="Times New Roman"/>
          <w:bCs/>
          <w:kern w:val="2"/>
          <w:sz w:val="24"/>
          <w:szCs w:val="24"/>
          <w:highlight w:val="none"/>
          <w:lang w:eastAsia="zh-CN"/>
        </w:rPr>
      </w:pPr>
      <w:r>
        <w:rPr>
          <w:rFonts w:hint="default" w:ascii="Times New Roman" w:hAnsi="Times New Roman" w:cs="Times New Roman"/>
          <w:bCs/>
          <w:kern w:val="2"/>
          <w:sz w:val="24"/>
          <w:szCs w:val="24"/>
          <w:highlight w:val="none"/>
        </w:rPr>
        <w:t>投标人名称（盖章）政府采购编号：</w:t>
      </w:r>
      <w:r>
        <w:rPr>
          <w:rFonts w:hint="eastAsia" w:ascii="Times New Roman" w:cs="Times New Roman"/>
          <w:bCs/>
          <w:kern w:val="2"/>
          <w:sz w:val="24"/>
          <w:szCs w:val="24"/>
          <w:highlight w:val="none"/>
          <w:lang w:eastAsia="zh-CN"/>
        </w:rPr>
        <w:t>JSXZT2022-027（2）</w:t>
      </w:r>
    </w:p>
    <w:tbl>
      <w:tblPr>
        <w:tblStyle w:val="56"/>
        <w:tblW w:w="99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22"/>
        <w:gridCol w:w="818"/>
        <w:gridCol w:w="1167"/>
        <w:gridCol w:w="1701"/>
        <w:gridCol w:w="1559"/>
        <w:gridCol w:w="992"/>
        <w:gridCol w:w="1134"/>
        <w:gridCol w:w="99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4" w:hRule="atLeast"/>
        </w:trPr>
        <w:tc>
          <w:tcPr>
            <w:tcW w:w="65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序号</w:t>
            </w:r>
          </w:p>
        </w:tc>
        <w:tc>
          <w:tcPr>
            <w:tcW w:w="81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名称</w:t>
            </w:r>
          </w:p>
        </w:tc>
        <w:tc>
          <w:tcPr>
            <w:tcW w:w="1167"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型号规格</w:t>
            </w:r>
          </w:p>
        </w:tc>
        <w:tc>
          <w:tcPr>
            <w:tcW w:w="1701"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产品相关技术参数描述</w:t>
            </w:r>
          </w:p>
        </w:tc>
        <w:tc>
          <w:tcPr>
            <w:tcW w:w="1559"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单位</w:t>
            </w:r>
          </w:p>
        </w:tc>
        <w:tc>
          <w:tcPr>
            <w:tcW w:w="99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数量</w:t>
            </w:r>
          </w:p>
        </w:tc>
        <w:tc>
          <w:tcPr>
            <w:tcW w:w="1134"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产地品牌</w:t>
            </w:r>
          </w:p>
        </w:tc>
        <w:tc>
          <w:tcPr>
            <w:tcW w:w="993" w:type="dxa"/>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单报价</w:t>
            </w:r>
          </w:p>
        </w:tc>
        <w:tc>
          <w:tcPr>
            <w:tcW w:w="959" w:type="dxa"/>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65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81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1167"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1701" w:type="dxa"/>
            <w:tcMar>
              <w:top w:w="15" w:type="dxa"/>
              <w:left w:w="15" w:type="dxa"/>
              <w:bottom w:w="0" w:type="dxa"/>
              <w:right w:w="15" w:type="dxa"/>
            </w:tcMa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1559" w:type="dxa"/>
            <w:tcMar>
              <w:top w:w="15" w:type="dxa"/>
              <w:left w:w="15" w:type="dxa"/>
              <w:bottom w:w="0" w:type="dxa"/>
              <w:right w:w="15" w:type="dxa"/>
            </w:tcMa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99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1134"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　</w:t>
            </w:r>
          </w:p>
        </w:tc>
        <w:tc>
          <w:tcPr>
            <w:tcW w:w="993" w:type="dxa"/>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　</w:t>
            </w:r>
          </w:p>
        </w:tc>
        <w:tc>
          <w:tcPr>
            <w:tcW w:w="959" w:type="dxa"/>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65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81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1167"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1701"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1559"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99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1134"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　</w:t>
            </w:r>
          </w:p>
        </w:tc>
        <w:tc>
          <w:tcPr>
            <w:tcW w:w="993" w:type="dxa"/>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　</w:t>
            </w:r>
          </w:p>
        </w:tc>
        <w:tc>
          <w:tcPr>
            <w:tcW w:w="959" w:type="dxa"/>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637"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交货期:</w:t>
            </w:r>
          </w:p>
        </w:tc>
        <w:tc>
          <w:tcPr>
            <w:tcW w:w="7338"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637"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项目整体质保期:</w:t>
            </w:r>
          </w:p>
        </w:tc>
        <w:tc>
          <w:tcPr>
            <w:tcW w:w="7338"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30" w:type="dxa"/>
            <w:vMerge w:val="restart"/>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服</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务</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承</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
                <w:bCs/>
                <w:kern w:val="2"/>
                <w:sz w:val="24"/>
                <w:szCs w:val="24"/>
                <w:highlight w:val="none"/>
              </w:rPr>
              <w:t>诺</w:t>
            </w:r>
          </w:p>
        </w:tc>
        <w:tc>
          <w:tcPr>
            <w:tcW w:w="9345" w:type="dxa"/>
            <w:gridSpan w:val="9"/>
            <w:vAlign w:val="center"/>
          </w:tcPr>
          <w:p>
            <w:pPr>
              <w:keepNext w:val="0"/>
              <w:keepLines w:val="0"/>
              <w:pageBreakBefore w:val="0"/>
              <w:widowControl w:val="0"/>
              <w:numPr>
                <w:ilvl w:val="0"/>
                <w:numId w:val="27"/>
              </w:numPr>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质量 2.维保 3."三包"(包修、包退、包换)4.其他承诺</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1" w:hRule="atLeast"/>
        </w:trPr>
        <w:tc>
          <w:tcPr>
            <w:tcW w:w="630" w:type="dxa"/>
            <w:vMerge w:val="continue"/>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9345" w:type="dxa"/>
            <w:gridSpan w:val="9"/>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r>
    </w:tbl>
    <w:p>
      <w:pPr>
        <w:spacing w:line="360" w:lineRule="auto"/>
        <w:rPr>
          <w:rFonts w:hint="default" w:ascii="Times New Roman" w:hAnsi="Times New Roman" w:cs="Times New Roman"/>
          <w:b/>
          <w:bCs/>
          <w:kern w:val="2"/>
          <w:sz w:val="24"/>
          <w:highlight w:val="none"/>
        </w:rPr>
      </w:pPr>
      <w:r>
        <w:rPr>
          <w:rFonts w:hint="default" w:ascii="Times New Roman" w:hAnsi="Times New Roman" w:cs="Times New Roman"/>
          <w:b/>
          <w:bCs/>
          <w:kern w:val="2"/>
          <w:sz w:val="24"/>
          <w:highlight w:val="none"/>
        </w:rPr>
        <w:t>法定代表人或法定代表人授权代表签字或盖章：</w:t>
      </w:r>
    </w:p>
    <w:p>
      <w:pPr>
        <w:adjustRightInd w:val="0"/>
        <w:snapToGrid w:val="0"/>
        <w:spacing w:line="360" w:lineRule="auto"/>
        <w:rPr>
          <w:rFonts w:hint="default" w:ascii="Times New Roman" w:hAnsi="Times New Roman" w:cs="Times New Roman"/>
          <w:sz w:val="21"/>
          <w:szCs w:val="21"/>
          <w:highlight w:val="none"/>
          <w:lang w:val="zh-CN"/>
        </w:rPr>
      </w:pPr>
      <w:bookmarkStart w:id="14" w:name="_Hlk2683046"/>
      <w:r>
        <w:rPr>
          <w:rFonts w:hint="default" w:ascii="Times New Roman" w:hAnsi="Times New Roman" w:cs="Times New Roman"/>
          <w:b/>
          <w:kern w:val="2"/>
          <w:sz w:val="21"/>
          <w:szCs w:val="21"/>
          <w:highlight w:val="none"/>
        </w:rPr>
        <w:t>注：</w:t>
      </w:r>
      <w:r>
        <w:rPr>
          <w:rFonts w:hint="default" w:ascii="Times New Roman" w:hAnsi="Times New Roman" w:cs="Times New Roman"/>
          <w:sz w:val="21"/>
          <w:szCs w:val="21"/>
          <w:highlight w:val="none"/>
          <w:lang w:val="zh-CN"/>
        </w:rPr>
        <w:t>（</w:t>
      </w: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zh-CN"/>
        </w:rPr>
        <w:t>）投标供应商应当根据“采购需求”的内容在上表中详细填写；</w:t>
      </w:r>
    </w:p>
    <w:p>
      <w:pPr>
        <w:adjustRightInd w:val="0"/>
        <w:snapToGrid w:val="0"/>
        <w:spacing w:line="360" w:lineRule="auto"/>
        <w:ind w:firstLine="420" w:firstLineChars="200"/>
        <w:rPr>
          <w:rFonts w:hint="default" w:ascii="Times New Roman" w:hAnsi="Times New Roman" w:cs="Times New Roman"/>
          <w:bCs/>
          <w:kern w:val="2"/>
          <w:sz w:val="21"/>
          <w:szCs w:val="21"/>
          <w:highlight w:val="none"/>
        </w:rPr>
      </w:pPr>
      <w:r>
        <w:rPr>
          <w:rFonts w:hint="default" w:ascii="Times New Roman" w:hAnsi="Times New Roman" w:cs="Times New Roman"/>
          <w:sz w:val="21"/>
          <w:szCs w:val="21"/>
          <w:highlight w:val="none"/>
          <w:lang w:val="zh-CN"/>
        </w:rPr>
        <w:t>（</w:t>
      </w: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val="zh-CN"/>
        </w:rPr>
        <w:t>）表格不够可自行延长。</w:t>
      </w:r>
      <w:bookmarkEnd w:id="14"/>
    </w:p>
    <w:p>
      <w:pPr>
        <w:widowControl/>
        <w:jc w:val="left"/>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br w:type="page"/>
      </w:r>
    </w:p>
    <w:p>
      <w:pPr>
        <w:pStyle w:val="5"/>
        <w:rPr>
          <w:rFonts w:hint="default" w:ascii="Times New Roman" w:hAnsi="Times New Roman" w:cs="Times New Roman"/>
          <w:highlight w:val="none"/>
        </w:rPr>
      </w:pPr>
      <w:r>
        <w:rPr>
          <w:rFonts w:hint="default" w:ascii="Times New Roman" w:hAnsi="Times New Roman" w:cs="Times New Roman"/>
          <w:highlight w:val="none"/>
        </w:rPr>
        <w:t>（七）投标偏离表（格式）：</w:t>
      </w:r>
    </w:p>
    <w:p>
      <w:pPr>
        <w:spacing w:before="120" w:beforeLines="50" w:after="120" w:afterLines="50"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投标偏离表</w:t>
      </w:r>
    </w:p>
    <w:p>
      <w:pPr>
        <w:keepNext w:val="0"/>
        <w:keepLines w:val="0"/>
        <w:pageBreakBefore w:val="0"/>
        <w:widowControl w:val="0"/>
        <w:tabs>
          <w:tab w:val="left" w:pos="567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bCs/>
          <w:kern w:val="2"/>
          <w:sz w:val="24"/>
          <w:szCs w:val="24"/>
          <w:highlight w:val="none"/>
          <w:lang w:eastAsia="zh-CN"/>
        </w:rPr>
      </w:pPr>
      <w:r>
        <w:rPr>
          <w:rFonts w:hint="default" w:ascii="Times New Roman" w:hAnsi="Times New Roman" w:cs="Times New Roman"/>
          <w:bCs/>
          <w:kern w:val="2"/>
          <w:sz w:val="24"/>
          <w:szCs w:val="24"/>
          <w:highlight w:val="none"/>
        </w:rPr>
        <w:t>投标人名称（盖章）</w:t>
      </w:r>
      <w:r>
        <w:rPr>
          <w:rFonts w:hint="default" w:ascii="Times New Roman" w:hAnsi="Times New Roman" w:cs="Times New Roman"/>
          <w:bCs/>
          <w:kern w:val="2"/>
          <w:sz w:val="24"/>
          <w:szCs w:val="24"/>
          <w:highlight w:val="none"/>
        </w:rPr>
        <w:tab/>
      </w:r>
      <w:r>
        <w:rPr>
          <w:rFonts w:hint="default" w:ascii="Times New Roman" w:hAnsi="Times New Roman" w:cs="Times New Roman"/>
          <w:bCs/>
          <w:kern w:val="2"/>
          <w:sz w:val="24"/>
          <w:szCs w:val="24"/>
          <w:highlight w:val="none"/>
        </w:rPr>
        <w:t>政府采购编号：</w:t>
      </w:r>
      <w:r>
        <w:rPr>
          <w:rFonts w:hint="eastAsia" w:ascii="Times New Roman" w:cs="Times New Roman"/>
          <w:bCs/>
          <w:kern w:val="2"/>
          <w:sz w:val="24"/>
          <w:szCs w:val="24"/>
          <w:highlight w:val="none"/>
          <w:lang w:eastAsia="zh-CN"/>
        </w:rPr>
        <w:t>JSXZT2022-027（2）</w:t>
      </w:r>
    </w:p>
    <w:tbl>
      <w:tblPr>
        <w:tblStyle w:val="56"/>
        <w:tblW w:w="9933" w:type="dxa"/>
        <w:tblInd w:w="0" w:type="dxa"/>
        <w:tblLayout w:type="fixed"/>
        <w:tblCellMar>
          <w:top w:w="0" w:type="dxa"/>
          <w:left w:w="0" w:type="dxa"/>
          <w:bottom w:w="0" w:type="dxa"/>
          <w:right w:w="0" w:type="dxa"/>
        </w:tblCellMar>
      </w:tblPr>
      <w:tblGrid>
        <w:gridCol w:w="1914"/>
        <w:gridCol w:w="2849"/>
        <w:gridCol w:w="2849"/>
        <w:gridCol w:w="2321"/>
      </w:tblGrid>
      <w:tr>
        <w:tblPrEx>
          <w:tblCellMar>
            <w:top w:w="0" w:type="dxa"/>
            <w:left w:w="0" w:type="dxa"/>
            <w:bottom w:w="0" w:type="dxa"/>
            <w:right w:w="0" w:type="dxa"/>
          </w:tblCellMar>
        </w:tblPrEx>
        <w:trPr>
          <w:cantSplit/>
          <w:trHeight w:val="1037" w:hRule="atLeast"/>
        </w:trPr>
        <w:tc>
          <w:tcPr>
            <w:tcW w:w="1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名称</w:t>
            </w:r>
          </w:p>
        </w:tc>
        <w:tc>
          <w:tcPr>
            <w:tcW w:w="2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采购要求</w:t>
            </w:r>
          </w:p>
        </w:tc>
        <w:tc>
          <w:tcPr>
            <w:tcW w:w="2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实报内容</w:t>
            </w:r>
          </w:p>
        </w:tc>
        <w:tc>
          <w:tcPr>
            <w:tcW w:w="2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偏离说明</w:t>
            </w:r>
          </w:p>
        </w:tc>
      </w:tr>
      <w:tr>
        <w:tblPrEx>
          <w:tblCellMar>
            <w:top w:w="0" w:type="dxa"/>
            <w:left w:w="0" w:type="dxa"/>
            <w:bottom w:w="0" w:type="dxa"/>
            <w:right w:w="0" w:type="dxa"/>
          </w:tblCellMar>
        </w:tblPrEx>
        <w:trPr>
          <w:cantSplit/>
          <w:trHeight w:val="953" w:hRule="atLeast"/>
        </w:trPr>
        <w:tc>
          <w:tcPr>
            <w:tcW w:w="1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r>
      <w:tr>
        <w:tblPrEx>
          <w:tblCellMar>
            <w:top w:w="0" w:type="dxa"/>
            <w:left w:w="0" w:type="dxa"/>
            <w:bottom w:w="0" w:type="dxa"/>
            <w:right w:w="0" w:type="dxa"/>
          </w:tblCellMar>
        </w:tblPrEx>
        <w:trPr>
          <w:cantSplit/>
          <w:trHeight w:val="953" w:hRule="atLeast"/>
        </w:trPr>
        <w:tc>
          <w:tcPr>
            <w:tcW w:w="1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r>
      <w:tr>
        <w:tblPrEx>
          <w:tblCellMar>
            <w:top w:w="0" w:type="dxa"/>
            <w:left w:w="0" w:type="dxa"/>
            <w:bottom w:w="0" w:type="dxa"/>
            <w:right w:w="0" w:type="dxa"/>
          </w:tblCellMar>
        </w:tblPrEx>
        <w:trPr>
          <w:cantSplit/>
          <w:trHeight w:val="953" w:hRule="atLeast"/>
        </w:trPr>
        <w:tc>
          <w:tcPr>
            <w:tcW w:w="1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r>
      <w:tr>
        <w:tblPrEx>
          <w:tblCellMar>
            <w:top w:w="0" w:type="dxa"/>
            <w:left w:w="0" w:type="dxa"/>
            <w:bottom w:w="0" w:type="dxa"/>
            <w:right w:w="0" w:type="dxa"/>
          </w:tblCellMar>
        </w:tblPrEx>
        <w:trPr>
          <w:cantSplit/>
          <w:trHeight w:val="953" w:hRule="atLeast"/>
        </w:trPr>
        <w:tc>
          <w:tcPr>
            <w:tcW w:w="1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c>
          <w:tcPr>
            <w:tcW w:w="2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tc>
      </w:tr>
    </w:tbl>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rPr>
        <w:t>法定代表人或法定代表人授权代表签字或盖章：</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Cs/>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注：（1）本表不得删除；</w:t>
      </w:r>
    </w:p>
    <w:p>
      <w:pPr>
        <w:spacing w:line="360" w:lineRule="auto"/>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（2）如无任何技术偏离，请于本表 “偏离说明”中注明“无偏离”；</w:t>
      </w:r>
    </w:p>
    <w:p>
      <w:pPr>
        <w:spacing w:line="360" w:lineRule="auto"/>
        <w:rPr>
          <w:rFonts w:hint="default" w:ascii="Times New Roman" w:hAnsi="Times New Roman" w:cs="Times New Roman"/>
          <w:b/>
          <w:bCs/>
          <w:sz w:val="24"/>
          <w:highlight w:val="none"/>
        </w:rPr>
      </w:pPr>
      <w:r>
        <w:rPr>
          <w:rFonts w:hint="default" w:ascii="Times New Roman" w:hAnsi="Times New Roman" w:cs="Times New Roman"/>
          <w:bCs/>
          <w:kern w:val="2"/>
          <w:sz w:val="24"/>
          <w:szCs w:val="24"/>
          <w:highlight w:val="none"/>
        </w:rPr>
        <w:t>（3）如有技术偏离项，请于本表中列明偏离内容，如需要可自行延长，其余无偏离内容不须赘述。</w:t>
      </w:r>
    </w:p>
    <w:p>
      <w:pPr>
        <w:widowControl/>
        <w:jc w:val="left"/>
        <w:rPr>
          <w:rFonts w:hint="default" w:ascii="Times New Roman" w:hAnsi="Times New Roman" w:cs="Times New Roman"/>
          <w:b/>
          <w:bCs/>
          <w:sz w:val="24"/>
          <w:highlight w:val="none"/>
        </w:rPr>
      </w:pPr>
      <w:r>
        <w:rPr>
          <w:rFonts w:hint="default" w:ascii="Times New Roman" w:hAnsi="Times New Roman" w:cs="Times New Roman"/>
          <w:highlight w:val="none"/>
        </w:rPr>
        <w:br w:type="page"/>
      </w:r>
    </w:p>
    <w:p>
      <w:pPr>
        <w:pStyle w:val="5"/>
        <w:rPr>
          <w:rFonts w:hint="default" w:ascii="Times New Roman" w:hAnsi="Times New Roman" w:cs="Times New Roman"/>
          <w:sz w:val="28"/>
          <w:szCs w:val="28"/>
          <w:highlight w:val="none"/>
        </w:rPr>
      </w:pPr>
      <w:r>
        <w:rPr>
          <w:rFonts w:hint="default" w:ascii="Times New Roman" w:hAnsi="Times New Roman" w:cs="Times New Roman"/>
          <w:highlight w:val="none"/>
        </w:rPr>
        <w:t>（八）（投标人）中小企业声明函（格式）：</w:t>
      </w:r>
    </w:p>
    <w:p>
      <w:pPr>
        <w:spacing w:before="120" w:beforeLines="50" w:after="120" w:afterLines="50"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中小企业声明函（货物）</w:t>
      </w:r>
    </w:p>
    <w:p>
      <w:pPr>
        <w:widowControl/>
        <w:shd w:val="clear" w:color="auto" w:fill="FFFFFF"/>
        <w:spacing w:line="360" w:lineRule="auto"/>
        <w:ind w:firstLine="624"/>
        <w:rPr>
          <w:rFonts w:hint="default" w:ascii="Times New Roman" w:hAnsi="Times New Roman" w:cs="Times New Roman"/>
          <w:sz w:val="24"/>
          <w:szCs w:val="24"/>
          <w:highlight w:val="none"/>
        </w:rPr>
      </w:pPr>
      <w:r>
        <w:rPr>
          <w:rFonts w:hint="default" w:ascii="Times New Roman" w:hAnsi="Times New Roman" w:cs="Times New Roman"/>
          <w:spacing w:val="6"/>
          <w:sz w:val="24"/>
          <w:szCs w:val="24"/>
          <w:highlight w:val="none"/>
        </w:rPr>
        <w:t>本公司（联合体）郑重声明，根据《政府采购促进中小企业发展管理办法》（财库﹝2020﹞46 号）的规定，本公司（联合体）参加</w:t>
      </w:r>
      <w:r>
        <w:rPr>
          <w:rFonts w:hint="default" w:ascii="Times New Roman" w:hAnsi="Times New Roman" w:cs="Times New Roman"/>
          <w:spacing w:val="6"/>
          <w:sz w:val="24"/>
          <w:szCs w:val="24"/>
          <w:highlight w:val="none"/>
          <w:u w:val="single"/>
        </w:rPr>
        <w:t>（单位名称）</w:t>
      </w:r>
      <w:r>
        <w:rPr>
          <w:rFonts w:hint="default" w:ascii="Times New Roman" w:hAnsi="Times New Roman" w:cs="Times New Roman"/>
          <w:spacing w:val="6"/>
          <w:sz w:val="24"/>
          <w:szCs w:val="24"/>
          <w:highlight w:val="none"/>
        </w:rPr>
        <w:t>的</w:t>
      </w:r>
      <w:r>
        <w:rPr>
          <w:rFonts w:hint="default" w:ascii="Times New Roman" w:hAnsi="Times New Roman" w:cs="Times New Roman"/>
          <w:spacing w:val="6"/>
          <w:sz w:val="24"/>
          <w:szCs w:val="24"/>
          <w:highlight w:val="none"/>
          <w:u w:val="single"/>
        </w:rPr>
        <w:t>（项目名称）</w:t>
      </w:r>
      <w:r>
        <w:rPr>
          <w:rFonts w:hint="default" w:ascii="Times New Roman" w:hAnsi="Times New Roman" w:cs="Times New Roman"/>
          <w:spacing w:val="6"/>
          <w:sz w:val="24"/>
          <w:szCs w:val="24"/>
          <w:highlight w:val="none"/>
        </w:rPr>
        <w:t>采购活动，提供的货物全部由符合政策要求的中小企业制造。相关企业（含联合体中的中小企业、签订分包意向协议的中小企业）的具体情况如下：</w:t>
      </w:r>
    </w:p>
    <w:p>
      <w:pPr>
        <w:widowControl/>
        <w:shd w:val="clear" w:color="auto" w:fill="FFFFFF"/>
        <w:spacing w:line="360" w:lineRule="auto"/>
        <w:ind w:firstLine="624"/>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1.</w:t>
      </w:r>
      <w:r>
        <w:rPr>
          <w:rFonts w:hint="default" w:ascii="Times New Roman" w:hAnsi="Times New Roman" w:cs="Times New Roman"/>
          <w:spacing w:val="6"/>
          <w:sz w:val="24"/>
          <w:szCs w:val="24"/>
          <w:highlight w:val="none"/>
          <w:u w:val="single"/>
        </w:rPr>
        <w:t xml:space="preserve"> （标的名称） </w:t>
      </w:r>
      <w:r>
        <w:rPr>
          <w:rFonts w:hint="default" w:ascii="Times New Roman" w:hAnsi="Times New Roman" w:cs="Times New Roman"/>
          <w:spacing w:val="6"/>
          <w:sz w:val="24"/>
          <w:szCs w:val="24"/>
          <w:highlight w:val="none"/>
        </w:rPr>
        <w:t>，属于</w:t>
      </w:r>
      <w:r>
        <w:rPr>
          <w:rFonts w:hint="default" w:ascii="Times New Roman" w:hAnsi="Times New Roman" w:cs="Times New Roman"/>
          <w:spacing w:val="6"/>
          <w:sz w:val="24"/>
          <w:szCs w:val="24"/>
          <w:highlight w:val="none"/>
          <w:u w:val="single"/>
        </w:rPr>
        <w:t>（采购文件中明确的所属行业）</w:t>
      </w:r>
      <w:r>
        <w:rPr>
          <w:rFonts w:hint="default" w:ascii="Times New Roman" w:hAnsi="Times New Roman" w:cs="Times New Roman"/>
          <w:spacing w:val="6"/>
          <w:sz w:val="24"/>
          <w:szCs w:val="24"/>
          <w:highlight w:val="none"/>
        </w:rPr>
        <w:t>行业；制造商为</w:t>
      </w:r>
      <w:r>
        <w:rPr>
          <w:rFonts w:hint="default" w:ascii="Times New Roman" w:hAnsi="Times New Roman" w:cs="Times New Roman"/>
          <w:spacing w:val="6"/>
          <w:sz w:val="24"/>
          <w:szCs w:val="24"/>
          <w:highlight w:val="none"/>
          <w:u w:val="single"/>
        </w:rPr>
        <w:t>（企业名称）</w:t>
      </w:r>
      <w:r>
        <w:rPr>
          <w:rFonts w:hint="default" w:ascii="Times New Roman" w:hAnsi="Times New Roman" w:cs="Times New Roman"/>
          <w:spacing w:val="6"/>
          <w:sz w:val="24"/>
          <w:szCs w:val="24"/>
          <w:highlight w:val="none"/>
        </w:rPr>
        <w:t>，从业人员人，营业收入为万元，资产总额为万元</w:t>
      </w:r>
      <w:r>
        <w:rPr>
          <w:rFonts w:hint="default" w:ascii="Times New Roman" w:hAnsi="Times New Roman" w:cs="Times New Roman"/>
          <w:spacing w:val="6"/>
          <w:sz w:val="24"/>
          <w:szCs w:val="24"/>
          <w:highlight w:val="none"/>
          <w:vertAlign w:val="superscript"/>
        </w:rPr>
        <w:t>1</w:t>
      </w:r>
      <w:r>
        <w:rPr>
          <w:rFonts w:hint="default" w:ascii="Times New Roman" w:hAnsi="Times New Roman" w:cs="Times New Roman"/>
          <w:spacing w:val="6"/>
          <w:sz w:val="24"/>
          <w:szCs w:val="24"/>
          <w:highlight w:val="none"/>
        </w:rPr>
        <w:t>，属于</w:t>
      </w:r>
      <w:r>
        <w:rPr>
          <w:rFonts w:hint="default" w:ascii="Times New Roman" w:hAnsi="Times New Roman" w:cs="Times New Roman"/>
          <w:spacing w:val="6"/>
          <w:sz w:val="24"/>
          <w:szCs w:val="24"/>
          <w:highlight w:val="none"/>
          <w:u w:val="single"/>
        </w:rPr>
        <w:t>（中型企业、小型企业、微型企业）</w:t>
      </w:r>
      <w:r>
        <w:rPr>
          <w:rFonts w:hint="default" w:ascii="Times New Roman" w:hAnsi="Times New Roman" w:cs="Times New Roman"/>
          <w:spacing w:val="6"/>
          <w:sz w:val="24"/>
          <w:szCs w:val="24"/>
          <w:highlight w:val="none"/>
        </w:rPr>
        <w:t>；</w:t>
      </w:r>
    </w:p>
    <w:p>
      <w:pPr>
        <w:widowControl/>
        <w:shd w:val="clear" w:color="auto" w:fill="FFFFFF"/>
        <w:spacing w:line="360" w:lineRule="auto"/>
        <w:ind w:firstLine="624"/>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2.</w:t>
      </w:r>
      <w:r>
        <w:rPr>
          <w:rFonts w:hint="default" w:ascii="Times New Roman" w:hAnsi="Times New Roman" w:cs="Times New Roman"/>
          <w:spacing w:val="6"/>
          <w:sz w:val="24"/>
          <w:szCs w:val="24"/>
          <w:highlight w:val="none"/>
          <w:u w:val="single"/>
        </w:rPr>
        <w:t xml:space="preserve"> （标的名称） </w:t>
      </w:r>
      <w:r>
        <w:rPr>
          <w:rFonts w:hint="default" w:ascii="Times New Roman" w:hAnsi="Times New Roman" w:cs="Times New Roman"/>
          <w:spacing w:val="6"/>
          <w:sz w:val="24"/>
          <w:szCs w:val="24"/>
          <w:highlight w:val="none"/>
        </w:rPr>
        <w:t>，属于</w:t>
      </w:r>
      <w:r>
        <w:rPr>
          <w:rFonts w:hint="default" w:ascii="Times New Roman" w:hAnsi="Times New Roman" w:cs="Times New Roman"/>
          <w:spacing w:val="6"/>
          <w:sz w:val="24"/>
          <w:szCs w:val="24"/>
          <w:highlight w:val="none"/>
          <w:u w:val="single"/>
        </w:rPr>
        <w:t>（采购文件中明确的所属行业）</w:t>
      </w:r>
      <w:r>
        <w:rPr>
          <w:rFonts w:hint="default" w:ascii="Times New Roman" w:hAnsi="Times New Roman" w:cs="Times New Roman"/>
          <w:spacing w:val="6"/>
          <w:sz w:val="24"/>
          <w:szCs w:val="24"/>
          <w:highlight w:val="none"/>
        </w:rPr>
        <w:t>行业；制造商为</w:t>
      </w:r>
      <w:r>
        <w:rPr>
          <w:rFonts w:hint="default" w:ascii="Times New Roman" w:hAnsi="Times New Roman" w:cs="Times New Roman"/>
          <w:spacing w:val="6"/>
          <w:sz w:val="24"/>
          <w:szCs w:val="24"/>
          <w:highlight w:val="none"/>
          <w:u w:val="single"/>
        </w:rPr>
        <w:t>（企业名称）</w:t>
      </w:r>
      <w:r>
        <w:rPr>
          <w:rFonts w:hint="default" w:ascii="Times New Roman" w:hAnsi="Times New Roman" w:cs="Times New Roman"/>
          <w:spacing w:val="6"/>
          <w:sz w:val="24"/>
          <w:szCs w:val="24"/>
          <w:highlight w:val="none"/>
        </w:rPr>
        <w:t>，从业人员人，营业收入为万元，资产总额为万元，属于</w:t>
      </w:r>
      <w:r>
        <w:rPr>
          <w:rFonts w:hint="default" w:ascii="Times New Roman" w:hAnsi="Times New Roman" w:cs="Times New Roman"/>
          <w:spacing w:val="6"/>
          <w:sz w:val="24"/>
          <w:szCs w:val="24"/>
          <w:highlight w:val="none"/>
          <w:u w:val="single"/>
        </w:rPr>
        <w:t>（中型企业、小型企业、微型企业）</w:t>
      </w:r>
      <w:r>
        <w:rPr>
          <w:rFonts w:hint="default" w:ascii="Times New Roman" w:hAnsi="Times New Roman" w:cs="Times New Roman"/>
          <w:spacing w:val="6"/>
          <w:sz w:val="24"/>
          <w:szCs w:val="24"/>
          <w:highlight w:val="none"/>
        </w:rPr>
        <w:t>；</w:t>
      </w:r>
    </w:p>
    <w:p>
      <w:pPr>
        <w:widowControl/>
        <w:shd w:val="clear" w:color="auto" w:fill="FFFFFF"/>
        <w:spacing w:line="360" w:lineRule="auto"/>
        <w:ind w:right="1560" w:firstLine="624"/>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w:t>
      </w:r>
    </w:p>
    <w:p>
      <w:pPr>
        <w:widowControl/>
        <w:shd w:val="clear" w:color="auto" w:fill="FFFFFF"/>
        <w:spacing w:line="360" w:lineRule="auto"/>
        <w:ind w:right="-24" w:firstLine="624"/>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以上企业，不属于大企业的分支机构，不存在控股股东为大企业的情形，也不存在与大企业的负责人为同一人的情形。</w:t>
      </w:r>
    </w:p>
    <w:p>
      <w:pPr>
        <w:widowControl/>
        <w:shd w:val="clear" w:color="auto" w:fill="FFFFFF"/>
        <w:spacing w:line="360" w:lineRule="auto"/>
        <w:ind w:right="-24" w:firstLine="624"/>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本企业对上述声明内容的真实性负责。如有虚假，将依法承担相应责任。</w:t>
      </w:r>
    </w:p>
    <w:p>
      <w:pPr>
        <w:widowControl/>
        <w:shd w:val="clear" w:color="auto" w:fill="FFFFFF"/>
        <w:spacing w:line="360" w:lineRule="auto"/>
        <w:ind w:right="-24" w:firstLine="624"/>
        <w:rPr>
          <w:rFonts w:hint="default" w:ascii="Times New Roman" w:hAnsi="Times New Roman" w:cs="Times New Roman"/>
          <w:spacing w:val="6"/>
          <w:sz w:val="24"/>
          <w:szCs w:val="24"/>
          <w:highlight w:val="none"/>
        </w:rPr>
      </w:pPr>
    </w:p>
    <w:p>
      <w:pPr>
        <w:adjustRightInd w:val="0"/>
        <w:snapToGrid w:val="0"/>
        <w:spacing w:line="360" w:lineRule="auto"/>
        <w:ind w:firstLine="482" w:firstLineChars="200"/>
        <w:rPr>
          <w:rFonts w:hint="default" w:ascii="Times New Roman" w:hAnsi="Times New Roman" w:cs="Times New Roman"/>
          <w:bCs/>
          <w:kern w:val="2"/>
          <w:sz w:val="24"/>
          <w:szCs w:val="24"/>
          <w:highlight w:val="none"/>
        </w:rPr>
      </w:pPr>
      <w:r>
        <w:rPr>
          <w:rFonts w:hint="default" w:ascii="Times New Roman" w:hAnsi="Times New Roman" w:cs="Times New Roman"/>
          <w:b/>
          <w:kern w:val="2"/>
          <w:sz w:val="24"/>
          <w:szCs w:val="24"/>
          <w:highlight w:val="none"/>
        </w:rPr>
        <w:t>备注：在货物采购项目中，供应商提供的货物既有中小企业制造货物，也有大型企业制造货物的，不享受本办法规定的中小企业扶持政策。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right="-24" w:firstLine="624"/>
        <w:rPr>
          <w:rFonts w:hint="default" w:ascii="Times New Roman" w:hAnsi="Times New Roman" w:cs="Times New Roman"/>
          <w:spacing w:val="6"/>
          <w:sz w:val="24"/>
          <w:szCs w:val="24"/>
          <w:highlight w:val="none"/>
        </w:rPr>
      </w:pPr>
    </w:p>
    <w:p>
      <w:pPr>
        <w:widowControl/>
        <w:shd w:val="clear" w:color="auto" w:fill="FFFFFF"/>
        <w:spacing w:line="360" w:lineRule="auto"/>
        <w:ind w:right="1560" w:firstLine="624"/>
        <w:jc w:val="center"/>
        <w:rPr>
          <w:rFonts w:hint="default" w:ascii="Times New Roman" w:hAnsi="Times New Roman" w:cs="Times New Roman"/>
          <w:sz w:val="24"/>
          <w:szCs w:val="24"/>
          <w:highlight w:val="none"/>
        </w:rPr>
      </w:pPr>
      <w:r>
        <w:rPr>
          <w:rFonts w:hint="default" w:ascii="Times New Roman" w:hAnsi="Times New Roman" w:cs="Times New Roman"/>
          <w:spacing w:val="6"/>
          <w:sz w:val="24"/>
          <w:szCs w:val="24"/>
          <w:highlight w:val="none"/>
        </w:rPr>
        <w:t xml:space="preserve">                     企业名称（盖章）：</w:t>
      </w:r>
    </w:p>
    <w:p>
      <w:pPr>
        <w:widowControl/>
        <w:shd w:val="clear" w:color="auto" w:fill="FFFFFF"/>
        <w:spacing w:line="360" w:lineRule="auto"/>
        <w:ind w:right="1560" w:firstLine="624"/>
        <w:jc w:val="center"/>
        <w:rPr>
          <w:rFonts w:hint="default" w:ascii="Times New Roman" w:hAnsi="Times New Roman" w:cs="Times New Roman"/>
          <w:sz w:val="24"/>
          <w:szCs w:val="24"/>
          <w:highlight w:val="none"/>
        </w:rPr>
      </w:pPr>
      <w:r>
        <w:rPr>
          <w:rFonts w:hint="default" w:ascii="Times New Roman" w:hAnsi="Times New Roman" w:cs="Times New Roman"/>
          <w:spacing w:val="6"/>
          <w:sz w:val="24"/>
          <w:szCs w:val="24"/>
          <w:highlight w:val="none"/>
        </w:rPr>
        <w:t xml:space="preserve">              日     期： </w:t>
      </w:r>
    </w:p>
    <w:p>
      <w:pPr>
        <w:spacing w:line="360" w:lineRule="auto"/>
        <w:ind w:right="-210"/>
        <w:rPr>
          <w:rFonts w:hint="default" w:ascii="Times New Roman" w:hAnsi="Times New Roman" w:eastAsia="黑体" w:cs="Times New Roman"/>
          <w:b/>
          <w:bCs/>
          <w:sz w:val="40"/>
          <w:szCs w:val="40"/>
          <w:highlight w:val="none"/>
        </w:rPr>
      </w:pPr>
      <w:r>
        <w:rPr>
          <w:rFonts w:hint="default" w:ascii="Times New Roman" w:hAnsi="Times New Roman" w:cs="Times New Roman"/>
          <w:sz w:val="21"/>
          <w:szCs w:val="21"/>
          <w:highlight w:val="none"/>
        </w:rPr>
        <w:t>注1：从业人员、营业收入、资产总额填报上一年度数据，无上一年度数据的新成立企业可不填报。</w:t>
      </w:r>
    </w:p>
    <w:p>
      <w:pPr>
        <w:spacing w:line="360" w:lineRule="auto"/>
        <w:rPr>
          <w:rFonts w:hint="default" w:ascii="Times New Roman" w:hAnsi="Times New Roman" w:eastAsia="黑体" w:cs="Times New Roman"/>
          <w:bCs/>
          <w:sz w:val="28"/>
          <w:szCs w:val="28"/>
          <w:highlight w:val="none"/>
        </w:rPr>
      </w:pPr>
    </w:p>
    <w:p>
      <w:pPr>
        <w:widowControl/>
        <w:jc w:val="left"/>
        <w:rPr>
          <w:rFonts w:hint="default" w:ascii="Times New Roman" w:hAnsi="Times New Roman" w:cs="Times New Roman"/>
          <w:b/>
          <w:bCs/>
          <w:sz w:val="24"/>
          <w:highlight w:val="none"/>
        </w:rPr>
      </w:pPr>
      <w:r>
        <w:rPr>
          <w:rFonts w:hint="default" w:ascii="Times New Roman" w:hAnsi="Times New Roman" w:cs="Times New Roman"/>
          <w:highlight w:val="none"/>
        </w:rPr>
        <w:br w:type="page"/>
      </w:r>
    </w:p>
    <w:p>
      <w:pPr>
        <w:pStyle w:val="5"/>
        <w:rPr>
          <w:rFonts w:hint="default" w:ascii="Times New Roman" w:hAnsi="Times New Roman" w:cs="Times New Roman"/>
          <w:highlight w:val="none"/>
        </w:rPr>
      </w:pPr>
      <w:r>
        <w:rPr>
          <w:rFonts w:hint="default" w:ascii="Times New Roman" w:hAnsi="Times New Roman" w:cs="Times New Roman"/>
          <w:highlight w:val="none"/>
        </w:rPr>
        <w:t>（九）监狱企业证明文件</w:t>
      </w:r>
    </w:p>
    <w:p>
      <w:pPr>
        <w:pStyle w:val="5"/>
        <w:ind w:firstLine="422"/>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br w:type="page"/>
      </w:r>
      <w:r>
        <w:rPr>
          <w:rFonts w:hint="default" w:ascii="Times New Roman" w:hAnsi="Times New Roman" w:cs="Times New Roman"/>
          <w:highlight w:val="none"/>
        </w:rPr>
        <w:t>（十）残疾人福利性单位声明函</w:t>
      </w:r>
    </w:p>
    <w:p>
      <w:pPr>
        <w:spacing w:before="120" w:beforeLines="50" w:after="120" w:afterLines="50"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残疾人福利性单位声明函</w:t>
      </w:r>
    </w:p>
    <w:p>
      <w:pPr>
        <w:tabs>
          <w:tab w:val="left" w:pos="6300"/>
        </w:tabs>
        <w:snapToGrid w:val="0"/>
        <w:spacing w:line="500" w:lineRule="exact"/>
        <w:ind w:firstLine="504" w:firstLineChars="200"/>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504" w:firstLineChars="200"/>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本单位对上述声明的真实性负责。如有虚假，将依法承担相应责任。</w:t>
      </w:r>
    </w:p>
    <w:p>
      <w:pPr>
        <w:tabs>
          <w:tab w:val="left" w:pos="6300"/>
        </w:tabs>
        <w:snapToGrid w:val="0"/>
        <w:spacing w:line="500" w:lineRule="exact"/>
        <w:ind w:firstLine="504" w:firstLineChars="200"/>
        <w:rPr>
          <w:rFonts w:hint="default" w:ascii="Times New Roman" w:hAnsi="Times New Roman" w:cs="Times New Roman"/>
          <w:spacing w:val="6"/>
          <w:sz w:val="24"/>
          <w:szCs w:val="24"/>
          <w:highlight w:val="none"/>
        </w:rPr>
      </w:pPr>
    </w:p>
    <w:p>
      <w:pPr>
        <w:tabs>
          <w:tab w:val="left" w:pos="6300"/>
        </w:tabs>
        <w:snapToGrid w:val="0"/>
        <w:spacing w:line="500" w:lineRule="exact"/>
        <w:ind w:firstLine="504" w:firstLineChars="200"/>
        <w:rPr>
          <w:rFonts w:hint="default" w:ascii="Times New Roman" w:hAnsi="Times New Roman" w:cs="Times New Roman"/>
          <w:spacing w:val="6"/>
          <w:sz w:val="24"/>
          <w:szCs w:val="24"/>
          <w:highlight w:val="none"/>
        </w:rPr>
      </w:pPr>
    </w:p>
    <w:p>
      <w:pPr>
        <w:tabs>
          <w:tab w:val="left" w:pos="6300"/>
        </w:tabs>
        <w:snapToGrid w:val="0"/>
        <w:spacing w:line="500" w:lineRule="exact"/>
        <w:ind w:firstLine="504" w:firstLineChars="200"/>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 xml:space="preserve">                                                投标人名称（盖章）：</w:t>
      </w:r>
    </w:p>
    <w:p>
      <w:pPr>
        <w:tabs>
          <w:tab w:val="left" w:pos="6300"/>
        </w:tabs>
        <w:snapToGrid w:val="0"/>
        <w:spacing w:line="500" w:lineRule="exact"/>
        <w:ind w:firstLine="570"/>
        <w:jc w:val="left"/>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 xml:space="preserve">                                                  日  期：</w:t>
      </w:r>
    </w:p>
    <w:p>
      <w:pPr>
        <w:widowControl/>
        <w:jc w:val="left"/>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br w:type="page"/>
      </w:r>
    </w:p>
    <w:p>
      <w:pPr>
        <w:pStyle w:val="5"/>
        <w:rPr>
          <w:rFonts w:hint="default" w:ascii="Times New Roman" w:hAnsi="Times New Roman" w:cs="Times New Roman"/>
          <w:highlight w:val="none"/>
        </w:rPr>
      </w:pPr>
      <w:r>
        <w:rPr>
          <w:rFonts w:hint="default" w:ascii="Times New Roman" w:hAnsi="Times New Roman" w:cs="Times New Roman"/>
          <w:highlight w:val="none"/>
        </w:rPr>
        <w:t>（十一）投标供应商经营情况说明（格式）</w:t>
      </w:r>
    </w:p>
    <w:p>
      <w:pPr>
        <w:spacing w:line="460" w:lineRule="exact"/>
        <w:jc w:val="center"/>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（内容写不完的栏目可相应扩展）</w:t>
      </w:r>
    </w:p>
    <w:tbl>
      <w:tblPr>
        <w:tblStyle w:val="56"/>
        <w:tblW w:w="9127"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436"/>
        <w:gridCol w:w="2184"/>
        <w:gridCol w:w="149"/>
        <w:gridCol w:w="1636"/>
        <w:gridCol w:w="272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436"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法定代表人</w:t>
            </w:r>
          </w:p>
        </w:tc>
        <w:tc>
          <w:tcPr>
            <w:tcW w:w="2333" w:type="dxa"/>
            <w:gridSpan w:val="2"/>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right"/>
              <w:rPr>
                <w:rFonts w:hint="default" w:ascii="Times New Roman" w:hAnsi="Times New Roman" w:cs="Times New Roman"/>
                <w:kern w:val="2"/>
                <w:sz w:val="24"/>
                <w:szCs w:val="24"/>
                <w:highlight w:val="none"/>
              </w:rPr>
            </w:pPr>
          </w:p>
        </w:tc>
        <w:tc>
          <w:tcPr>
            <w:tcW w:w="1636"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成立日期</w:t>
            </w:r>
          </w:p>
        </w:tc>
        <w:tc>
          <w:tcPr>
            <w:tcW w:w="2722" w:type="dxa"/>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right"/>
              <w:rPr>
                <w:rFonts w:hint="default" w:ascii="Times New Roman" w:hAnsi="Times New Roman" w:cs="Times New Roman"/>
                <w:kern w:val="2"/>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436"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企业地址</w:t>
            </w:r>
          </w:p>
        </w:tc>
        <w:tc>
          <w:tcPr>
            <w:tcW w:w="2333" w:type="dxa"/>
            <w:gridSpan w:val="2"/>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right"/>
              <w:rPr>
                <w:rFonts w:hint="default" w:ascii="Times New Roman" w:hAnsi="Times New Roman" w:cs="Times New Roman"/>
                <w:kern w:val="2"/>
                <w:sz w:val="24"/>
                <w:szCs w:val="24"/>
                <w:highlight w:val="none"/>
              </w:rPr>
            </w:pPr>
          </w:p>
        </w:tc>
        <w:tc>
          <w:tcPr>
            <w:tcW w:w="1636"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注册资本</w:t>
            </w:r>
          </w:p>
        </w:tc>
        <w:tc>
          <w:tcPr>
            <w:tcW w:w="2722" w:type="dxa"/>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righ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436"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经营范围</w:t>
            </w:r>
          </w:p>
        </w:tc>
        <w:tc>
          <w:tcPr>
            <w:tcW w:w="6691" w:type="dxa"/>
            <w:gridSpan w:val="4"/>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436"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职工人数</w:t>
            </w:r>
          </w:p>
        </w:tc>
        <w:tc>
          <w:tcPr>
            <w:tcW w:w="2184" w:type="dxa"/>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p>
        </w:tc>
        <w:tc>
          <w:tcPr>
            <w:tcW w:w="4507" w:type="dxa"/>
            <w:gridSpan w:val="3"/>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其中：</w:t>
            </w:r>
          </w:p>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中级职称人数、</w:t>
            </w:r>
          </w:p>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高级职称人数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436"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2020年12月资产总额</w:t>
            </w:r>
          </w:p>
        </w:tc>
        <w:tc>
          <w:tcPr>
            <w:tcW w:w="2184" w:type="dxa"/>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 xml:space="preserve"> 万元</w:t>
            </w:r>
          </w:p>
        </w:tc>
        <w:tc>
          <w:tcPr>
            <w:tcW w:w="1785" w:type="dxa"/>
            <w:gridSpan w:val="2"/>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净资产</w:t>
            </w:r>
          </w:p>
        </w:tc>
        <w:tc>
          <w:tcPr>
            <w:tcW w:w="2722" w:type="dxa"/>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436"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2020年12月股东权益</w:t>
            </w:r>
          </w:p>
        </w:tc>
        <w:tc>
          <w:tcPr>
            <w:tcW w:w="2184" w:type="dxa"/>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 xml:space="preserve"> 万元</w:t>
            </w:r>
          </w:p>
        </w:tc>
        <w:tc>
          <w:tcPr>
            <w:tcW w:w="1785" w:type="dxa"/>
            <w:gridSpan w:val="2"/>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2020年业务收入</w:t>
            </w:r>
          </w:p>
        </w:tc>
        <w:tc>
          <w:tcPr>
            <w:tcW w:w="2722" w:type="dxa"/>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436"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2020年实现利润</w:t>
            </w:r>
          </w:p>
        </w:tc>
        <w:tc>
          <w:tcPr>
            <w:tcW w:w="2184" w:type="dxa"/>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万元</w:t>
            </w:r>
          </w:p>
        </w:tc>
        <w:tc>
          <w:tcPr>
            <w:tcW w:w="1785" w:type="dxa"/>
            <w:gridSpan w:val="2"/>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p>
        </w:tc>
        <w:tc>
          <w:tcPr>
            <w:tcW w:w="2722" w:type="dxa"/>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436"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办公面积</w:t>
            </w:r>
          </w:p>
        </w:tc>
        <w:tc>
          <w:tcPr>
            <w:tcW w:w="2184"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ind w:firstLine="960" w:firstLineChars="40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平方米</w:t>
            </w:r>
          </w:p>
        </w:tc>
        <w:tc>
          <w:tcPr>
            <w:tcW w:w="1785" w:type="dxa"/>
            <w:gridSpan w:val="2"/>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其中：</w:t>
            </w:r>
          </w:p>
        </w:tc>
        <w:tc>
          <w:tcPr>
            <w:tcW w:w="2722" w:type="dxa"/>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自有面积    平方米</w:t>
            </w:r>
          </w:p>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单位简历及内设机构情况</w:t>
            </w:r>
          </w:p>
        </w:tc>
        <w:tc>
          <w:tcPr>
            <w:tcW w:w="4507" w:type="dxa"/>
            <w:gridSpan w:val="3"/>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单位优势及特长</w:t>
            </w:r>
          </w:p>
        </w:tc>
        <w:tc>
          <w:tcPr>
            <w:tcW w:w="4507" w:type="dxa"/>
            <w:gridSpan w:val="3"/>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近三年来完成或正在履行的重大合同情况</w:t>
            </w:r>
          </w:p>
        </w:tc>
        <w:tc>
          <w:tcPr>
            <w:tcW w:w="4507" w:type="dxa"/>
            <w:gridSpan w:val="3"/>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bCs/>
                <w:kern w:val="2"/>
                <w:sz w:val="24"/>
                <w:szCs w:val="24"/>
                <w:highlight w:val="none"/>
              </w:rPr>
              <w:t>近三年来受行业主管部门考核评价及业主评价意见</w:t>
            </w:r>
          </w:p>
        </w:tc>
        <w:tc>
          <w:tcPr>
            <w:tcW w:w="4507" w:type="dxa"/>
            <w:gridSpan w:val="3"/>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最近3年内有无因违纪或是其他原因被投诉或起诉的情况及说明</w:t>
            </w:r>
          </w:p>
        </w:tc>
        <w:tc>
          <w:tcPr>
            <w:tcW w:w="4507" w:type="dxa"/>
            <w:gridSpan w:val="3"/>
            <w:tcBorders>
              <w:top w:val="single" w:color="auto" w:sz="6" w:space="0"/>
              <w:left w:val="single" w:color="auto" w:sz="6" w:space="0"/>
              <w:bottom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最近3年内主要负责人有无因经济犯罪被司法机关追究的情况及说明</w:t>
            </w:r>
          </w:p>
        </w:tc>
        <w:tc>
          <w:tcPr>
            <w:tcW w:w="4507" w:type="dxa"/>
            <w:gridSpan w:val="3"/>
            <w:tcBorders>
              <w:top w:val="single" w:color="auto" w:sz="6" w:space="0"/>
              <w:left w:val="single" w:color="auto" w:sz="6" w:space="0"/>
              <w:bottom w:val="single" w:color="auto" w:sz="6" w:space="0"/>
              <w:right w:val="single" w:color="auto" w:sz="6" w:space="0"/>
            </w:tcBorders>
          </w:tcPr>
          <w:p>
            <w:pPr>
              <w:spacing w:line="360" w:lineRule="auto"/>
              <w:rPr>
                <w:rFonts w:hint="default" w:ascii="Times New Roman" w:hAnsi="Times New Roman" w:cs="Times New Roman"/>
                <w:kern w:val="2"/>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tcPr>
          <w:p>
            <w:pPr>
              <w:widowControl/>
              <w:overflowPunct w:val="0"/>
              <w:spacing w:line="360" w:lineRule="auto"/>
              <w:jc w:val="left"/>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其他需要说明的情况</w:t>
            </w:r>
          </w:p>
        </w:tc>
        <w:tc>
          <w:tcPr>
            <w:tcW w:w="4507" w:type="dxa"/>
            <w:gridSpan w:val="3"/>
            <w:tcBorders>
              <w:top w:val="single" w:color="auto" w:sz="6" w:space="0"/>
              <w:left w:val="single" w:color="auto" w:sz="6" w:space="0"/>
              <w:right w:val="single" w:color="auto" w:sz="6" w:space="0"/>
            </w:tcBorders>
          </w:tcPr>
          <w:p>
            <w:pPr>
              <w:widowControl/>
              <w:numPr>
                <w:ilvl w:val="0"/>
                <w:numId w:val="28"/>
              </w:numPr>
              <w:overflowPunct w:val="0"/>
              <w:spacing w:line="360" w:lineRule="auto"/>
              <w:ind w:left="0" w:firstLine="0"/>
              <w:jc w:val="left"/>
              <w:rPr>
                <w:rFonts w:hint="default" w:ascii="Times New Roman" w:hAnsi="Times New Roman" w:cs="Times New Roman"/>
                <w:kern w:val="2"/>
                <w:sz w:val="24"/>
                <w:szCs w:val="24"/>
                <w:highlight w:val="none"/>
              </w:rPr>
            </w:pPr>
          </w:p>
        </w:tc>
      </w:tr>
    </w:tbl>
    <w:p>
      <w:pPr>
        <w:spacing w:before="120" w:beforeLines="50" w:line="360" w:lineRule="auto"/>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投标供应商（盖章）：</w:t>
      </w:r>
    </w:p>
    <w:p>
      <w:pPr>
        <w:spacing w:before="120" w:beforeLines="50" w:line="360" w:lineRule="auto"/>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法定代表人或授权代表签字或盖章：</w:t>
      </w:r>
    </w:p>
    <w:sectPr>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宋体"/>
    <w:panose1 w:val="00000000000000000000"/>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2OcuAe">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Palatino Linotype">
    <w:panose1 w:val="02040502050505030304"/>
    <w:charset w:val="00"/>
    <w:family w:val="roman"/>
    <w:pitch w:val="default"/>
    <w:sig w:usb0="E0000287" w:usb1="40000013" w:usb2="0000000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IDCSerif">
    <w:altName w:val="Times New Roman"/>
    <w:panose1 w:val="00000000000000000000"/>
    <w:charset w:val="00"/>
    <w:family w:val="auto"/>
    <w:pitch w:val="default"/>
    <w:sig w:usb0="00000000" w:usb1="00000000" w:usb2="00000000" w:usb3="00000000" w:csb0="00000001" w:csb1="00000000"/>
  </w:font>
  <w:font w:name="仿宋体-10Point">
    <w:altName w:val="黑体"/>
    <w:panose1 w:val="00000000000000000000"/>
    <w:charset w:val="86"/>
    <w:family w:val="modern"/>
    <w:pitch w:val="default"/>
    <w:sig w:usb0="00000000" w:usb1="00000000" w:usb2="00000010" w:usb3="00000000" w:csb0="00040000" w:csb1="00000000"/>
  </w:font>
  <w:font w:name="ヒラギノ角ゴ Pro W3">
    <w:altName w:val="Yu Gothic"/>
    <w:panose1 w:val="00000000000000000000"/>
    <w:charset w:val="00"/>
    <w:family w:val="roman"/>
    <w:pitch w:val="default"/>
    <w:sig w:usb0="00000000" w:usb1="00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CIDFont+F1">
    <w:altName w:val="Cambria"/>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none" w:color="auto" w:sz="0" w:space="0"/>
        <w:left w:val="none" w:color="auto" w:sz="0" w:space="0"/>
        <w:bottom w:val="none" w:color="auto" w:sz="0" w:space="1"/>
        <w:right w:val="none" w:color="auto" w:sz="0" w:space="0"/>
        <w:between w:val="none" w:color="auto" w:sz="0" w:space="0"/>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A70C9"/>
    <w:multiLevelType w:val="singleLevel"/>
    <w:tmpl w:val="D2BA70C9"/>
    <w:lvl w:ilvl="0" w:tentative="0">
      <w:start w:val="1"/>
      <w:numFmt w:val="chineseCounting"/>
      <w:suff w:val="nothing"/>
      <w:lvlText w:val="%1、"/>
      <w:lvlJc w:val="left"/>
      <w:rPr>
        <w:rFonts w:hint="eastAsia"/>
      </w:rPr>
    </w:lvl>
  </w:abstractNum>
  <w:abstractNum w:abstractNumId="1">
    <w:nsid w:val="0000000E"/>
    <w:multiLevelType w:val="singleLevel"/>
    <w:tmpl w:val="0000000E"/>
    <w:lvl w:ilvl="0" w:tentative="0">
      <w:start w:val="1"/>
      <w:numFmt w:val="bullet"/>
      <w:lvlText w:val=""/>
      <w:lvlJc w:val="left"/>
      <w:pPr>
        <w:tabs>
          <w:tab w:val="left" w:pos="780"/>
        </w:tabs>
        <w:ind w:left="780" w:hanging="360"/>
      </w:pPr>
      <w:rPr>
        <w:rFonts w:hint="default" w:ascii="Verdana" w:hAnsi="Verdana"/>
      </w:rPr>
    </w:lvl>
  </w:abstractNum>
  <w:abstractNum w:abstractNumId="2">
    <w:nsid w:val="0000000F"/>
    <w:multiLevelType w:val="multilevel"/>
    <w:tmpl w:val="0000000F"/>
    <w:lvl w:ilvl="0" w:tentative="0">
      <w:start w:val="25"/>
      <w:numFmt w:val="decimal"/>
      <w:pStyle w:val="302"/>
      <w:lvlText w:val="%1"/>
      <w:lvlJc w:val="left"/>
      <w:pPr>
        <w:tabs>
          <w:tab w:val="left" w:pos="425"/>
        </w:tabs>
        <w:ind w:left="425" w:hanging="425"/>
      </w:pPr>
      <w:rPr>
        <w:rFonts w:hint="eastAsia"/>
      </w:rPr>
    </w:lvl>
    <w:lvl w:ilvl="1" w:tentative="0">
      <w:start w:val="1"/>
      <w:numFmt w:val="decimal"/>
      <w:lvlText w:val="%1.%2"/>
      <w:lvlJc w:val="left"/>
      <w:pPr>
        <w:tabs>
          <w:tab w:val="left" w:pos="992"/>
        </w:tabs>
        <w:ind w:left="0" w:firstLine="425"/>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00000011"/>
    <w:multiLevelType w:val="multilevel"/>
    <w:tmpl w:val="00000011"/>
    <w:lvl w:ilvl="0" w:tentative="0">
      <w:start w:val="1"/>
      <w:numFmt w:val="decimal"/>
      <w:pStyle w:val="178"/>
      <w:lvlText w:val="%1、"/>
      <w:lvlJc w:val="left"/>
      <w:pPr>
        <w:ind w:left="1271" w:hanging="420"/>
      </w:pPr>
      <w:rPr>
        <w:rFonts w:hint="eastAsia" w:ascii="宋体" w:eastAsia="宋体" w:cs="Times New Roman"/>
        <w:b w:val="0"/>
        <w:bCs w:val="0"/>
        <w:i w:val="0"/>
        <w:iCs w:val="0"/>
        <w:caps w:val="0"/>
        <w:smallCaps w:val="0"/>
        <w:strike w:val="0"/>
        <w:dstrike w:val="0"/>
        <w:vanish w:val="0"/>
        <w:color w:val="000000"/>
        <w:spacing w:val="0"/>
        <w:position w:val="0"/>
        <w:sz w:val="24"/>
        <w:u w:val="none"/>
        <w:vertAlign w:val="baseline"/>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
    <w:nsid w:val="00000014"/>
    <w:multiLevelType w:val="multilevel"/>
    <w:tmpl w:val="00000014"/>
    <w:lvl w:ilvl="0" w:tentative="0">
      <w:start w:val="1"/>
      <w:numFmt w:val="chineseCountingThousand"/>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pStyle w:val="8"/>
      <w:isLgl/>
      <w:lvlText w:val="%1.%2.%3.%4.%5.%6"/>
      <w:lvlJc w:val="left"/>
      <w:pPr>
        <w:tabs>
          <w:tab w:val="left" w:pos="3960"/>
        </w:tabs>
        <w:ind w:left="365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18"/>
    <w:multiLevelType w:val="multilevel"/>
    <w:tmpl w:val="00000018"/>
    <w:lvl w:ilvl="0" w:tentative="0">
      <w:start w:val="1"/>
      <w:numFmt w:val="lowerLetter"/>
      <w:lvlText w:val="%1)"/>
      <w:lvlJc w:val="left"/>
      <w:pPr>
        <w:tabs>
          <w:tab w:val="left" w:pos="1620"/>
        </w:tabs>
        <w:ind w:left="1620" w:hanging="420"/>
      </w:pPr>
      <w:rPr>
        <w:rFonts w:hint="eastAsia"/>
      </w:rPr>
    </w:lvl>
    <w:lvl w:ilvl="1" w:tentative="0">
      <w:start w:val="1"/>
      <w:numFmt w:val="decimal"/>
      <w:suff w:val="nothing"/>
      <w:lvlText w:val="%2."/>
      <w:lvlJc w:val="left"/>
      <w:pPr>
        <w:ind w:left="2040" w:hanging="420"/>
      </w:pPr>
      <w:rPr>
        <w:rFonts w:hint="eastAsia"/>
      </w:rPr>
    </w:lvl>
    <w:lvl w:ilvl="2" w:tentative="0">
      <w:start w:val="1"/>
      <w:numFmt w:val="lowerRoman"/>
      <w:lvlText w:val="%3."/>
      <w:lvlJc w:val="right"/>
      <w:pPr>
        <w:tabs>
          <w:tab w:val="left" w:pos="2460"/>
        </w:tabs>
        <w:ind w:left="2460" w:hanging="420"/>
      </w:pPr>
      <w:rPr>
        <w:rFonts w:hint="eastAsia"/>
      </w:rPr>
    </w:lvl>
    <w:lvl w:ilvl="3" w:tentative="0">
      <w:start w:val="1"/>
      <w:numFmt w:val="decimal"/>
      <w:lvlText w:val="%4."/>
      <w:lvlJc w:val="left"/>
      <w:pPr>
        <w:tabs>
          <w:tab w:val="left" w:pos="2880"/>
        </w:tabs>
        <w:ind w:left="2880" w:hanging="420"/>
      </w:pPr>
      <w:rPr>
        <w:rFonts w:hint="eastAsia"/>
      </w:rPr>
    </w:lvl>
    <w:lvl w:ilvl="4" w:tentative="0">
      <w:start w:val="1"/>
      <w:numFmt w:val="lowerLetter"/>
      <w:lvlText w:val="%5)"/>
      <w:lvlJc w:val="left"/>
      <w:pPr>
        <w:tabs>
          <w:tab w:val="left" w:pos="3300"/>
        </w:tabs>
        <w:ind w:left="3300" w:hanging="420"/>
      </w:pPr>
      <w:rPr>
        <w:rFonts w:hint="eastAsia"/>
      </w:rPr>
    </w:lvl>
    <w:lvl w:ilvl="5" w:tentative="0">
      <w:start w:val="1"/>
      <w:numFmt w:val="lowerRoman"/>
      <w:lvlText w:val="%6."/>
      <w:lvlJc w:val="right"/>
      <w:pPr>
        <w:tabs>
          <w:tab w:val="left" w:pos="3720"/>
        </w:tabs>
        <w:ind w:left="3720" w:hanging="420"/>
      </w:pPr>
      <w:rPr>
        <w:rFonts w:hint="eastAsia"/>
      </w:rPr>
    </w:lvl>
    <w:lvl w:ilvl="6" w:tentative="0">
      <w:start w:val="1"/>
      <w:numFmt w:val="decimal"/>
      <w:lvlText w:val="%7."/>
      <w:lvlJc w:val="left"/>
      <w:pPr>
        <w:tabs>
          <w:tab w:val="left" w:pos="4140"/>
        </w:tabs>
        <w:ind w:left="4140" w:hanging="420"/>
      </w:pPr>
      <w:rPr>
        <w:rFonts w:hint="eastAsia"/>
      </w:rPr>
    </w:lvl>
    <w:lvl w:ilvl="7" w:tentative="0">
      <w:start w:val="1"/>
      <w:numFmt w:val="lowerLetter"/>
      <w:lvlText w:val="%8)"/>
      <w:lvlJc w:val="left"/>
      <w:pPr>
        <w:tabs>
          <w:tab w:val="left" w:pos="4560"/>
        </w:tabs>
        <w:ind w:left="4560" w:hanging="420"/>
      </w:pPr>
      <w:rPr>
        <w:rFonts w:hint="eastAsia"/>
      </w:rPr>
    </w:lvl>
    <w:lvl w:ilvl="8" w:tentative="0">
      <w:start w:val="1"/>
      <w:numFmt w:val="lowerRoman"/>
      <w:lvlText w:val="%9."/>
      <w:lvlJc w:val="right"/>
      <w:pPr>
        <w:tabs>
          <w:tab w:val="left" w:pos="4980"/>
        </w:tabs>
        <w:ind w:left="4980" w:hanging="420"/>
      </w:pPr>
      <w:rPr>
        <w:rFonts w:hint="eastAsia"/>
      </w:rPr>
    </w:lvl>
  </w:abstractNum>
  <w:abstractNum w:abstractNumId="6">
    <w:nsid w:val="0000001B"/>
    <w:multiLevelType w:val="multilevel"/>
    <w:tmpl w:val="0000001B"/>
    <w:lvl w:ilvl="0" w:tentative="0">
      <w:start w:val="1"/>
      <w:numFmt w:val="decimal"/>
      <w:suff w:val="nothing"/>
      <w:lvlText w:val="%1．"/>
      <w:lvlJc w:val="left"/>
      <w:pPr>
        <w:ind w:left="552"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980"/>
        </w:tabs>
        <w:ind w:left="1980" w:hanging="72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0000020"/>
    <w:multiLevelType w:val="multilevel"/>
    <w:tmpl w:val="00000020"/>
    <w:lvl w:ilvl="0" w:tentative="0">
      <w:start w:val="1"/>
      <w:numFmt w:val="decimal"/>
      <w:pStyle w:val="194"/>
      <w:lvlText w:val="%1)"/>
      <w:lvlJc w:val="left"/>
      <w:pPr>
        <w:ind w:left="620" w:hanging="420"/>
      </w:pPr>
      <w:rPr>
        <w:rFonts w:hint="eastAsia" w:ascii="宋体" w:eastAsia="宋体"/>
        <w:b w:val="0"/>
        <w:i w:val="0"/>
        <w:sz w:val="24"/>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8">
    <w:nsid w:val="00000027"/>
    <w:multiLevelType w:val="multilevel"/>
    <w:tmpl w:val="00000027"/>
    <w:lvl w:ilvl="0" w:tentative="0">
      <w:start w:val="1"/>
      <w:numFmt w:val="decimal"/>
      <w:pStyle w:val="320"/>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9">
    <w:nsid w:val="0D983844"/>
    <w:multiLevelType w:val="multilevel"/>
    <w:tmpl w:val="0D983844"/>
    <w:lvl w:ilvl="0" w:tentative="0">
      <w:start w:val="1"/>
      <w:numFmt w:val="decimal"/>
      <w:pStyle w:val="4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1EFA1CA5"/>
    <w:multiLevelType w:val="multilevel"/>
    <w:tmpl w:val="1EFA1CA5"/>
    <w:lvl w:ilvl="0" w:tentative="0">
      <w:start w:val="1"/>
      <w:numFmt w:val="decimal"/>
      <w:suff w:val="nothing"/>
      <w:lvlText w:val="%1．"/>
      <w:lvlJc w:val="left"/>
      <w:pPr>
        <w:ind w:left="552"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980"/>
        </w:tabs>
        <w:ind w:left="1980" w:hanging="72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FD96D2B"/>
    <w:multiLevelType w:val="singleLevel"/>
    <w:tmpl w:val="1FD96D2B"/>
    <w:lvl w:ilvl="0" w:tentative="0">
      <w:start w:val="1"/>
      <w:numFmt w:val="decimal"/>
      <w:lvlText w:val="（%1）"/>
      <w:lvlJc w:val="left"/>
      <w:pPr>
        <w:tabs>
          <w:tab w:val="left" w:pos="1122"/>
        </w:tabs>
        <w:ind w:left="1122" w:hanging="696"/>
      </w:pPr>
      <w:rPr>
        <w:rFonts w:ascii="Times New Roman" w:hAnsi="Times New Roman" w:eastAsia="Times New Roman" w:cs="Times New Roman"/>
        <w:lang w:val="en-US"/>
      </w:rPr>
    </w:lvl>
  </w:abstractNum>
  <w:abstractNum w:abstractNumId="12">
    <w:nsid w:val="293A48A6"/>
    <w:multiLevelType w:val="multilevel"/>
    <w:tmpl w:val="293A48A6"/>
    <w:lvl w:ilvl="0" w:tentative="0">
      <w:start w:val="1"/>
      <w:numFmt w:val="decimal"/>
      <w:suff w:val="nothing"/>
      <w:lvlText w:val="%1．"/>
      <w:lvlJc w:val="left"/>
      <w:pPr>
        <w:ind w:left="567" w:hanging="567"/>
      </w:pPr>
      <w:rPr>
        <w:rFonts w:hint="eastAsia"/>
      </w:rPr>
    </w:lvl>
    <w:lvl w:ilvl="1" w:tentative="0">
      <w:start w:val="1"/>
      <w:numFmt w:val="decimal"/>
      <w:lvlText w:val="（%2）"/>
      <w:lvlJc w:val="left"/>
      <w:pPr>
        <w:tabs>
          <w:tab w:val="left" w:pos="1140"/>
        </w:tabs>
        <w:ind w:left="1140" w:hanging="72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980"/>
        </w:tabs>
        <w:ind w:left="1980" w:hanging="72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2F71333B"/>
    <w:multiLevelType w:val="multilevel"/>
    <w:tmpl w:val="2F71333B"/>
    <w:lvl w:ilvl="0" w:tentative="0">
      <w:start w:val="1"/>
      <w:numFmt w:val="decimal"/>
      <w:suff w:val="nothing"/>
      <w:lvlText w:val="%1．"/>
      <w:lvlJc w:val="left"/>
      <w:pPr>
        <w:ind w:left="567" w:hanging="567"/>
      </w:pPr>
      <w:rPr>
        <w:rFonts w:hint="eastAsia"/>
      </w:rPr>
    </w:lvl>
    <w:lvl w:ilvl="1" w:tentative="0">
      <w:start w:val="1"/>
      <w:numFmt w:val="decimal"/>
      <w:lvlText w:val="（%2）"/>
      <w:lvlJc w:val="left"/>
      <w:pPr>
        <w:tabs>
          <w:tab w:val="left" w:pos="1140"/>
        </w:tabs>
        <w:ind w:left="1140" w:hanging="72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980"/>
        </w:tabs>
        <w:ind w:left="1980" w:hanging="72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33713120"/>
    <w:multiLevelType w:val="singleLevel"/>
    <w:tmpl w:val="33713120"/>
    <w:lvl w:ilvl="0" w:tentative="0">
      <w:start w:val="1"/>
      <w:numFmt w:val="decimal"/>
      <w:lvlText w:val="%1."/>
      <w:lvlJc w:val="left"/>
      <w:pPr>
        <w:tabs>
          <w:tab w:val="left" w:pos="210"/>
        </w:tabs>
        <w:ind w:left="210" w:hanging="210"/>
      </w:pPr>
      <w:rPr>
        <w:rFonts w:hint="default" w:ascii="Times New Roman"/>
      </w:rPr>
    </w:lvl>
  </w:abstractNum>
  <w:abstractNum w:abstractNumId="15">
    <w:nsid w:val="3E33D09A"/>
    <w:multiLevelType w:val="singleLevel"/>
    <w:tmpl w:val="3E33D09A"/>
    <w:lvl w:ilvl="0" w:tentative="0">
      <w:start w:val="2"/>
      <w:numFmt w:val="decimal"/>
      <w:suff w:val="nothing"/>
      <w:lvlText w:val="（%1）"/>
      <w:lvlJc w:val="left"/>
    </w:lvl>
  </w:abstractNum>
  <w:abstractNum w:abstractNumId="16">
    <w:nsid w:val="428122B3"/>
    <w:multiLevelType w:val="multilevel"/>
    <w:tmpl w:val="428122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104323"/>
    <w:multiLevelType w:val="multilevel"/>
    <w:tmpl w:val="54104323"/>
    <w:lvl w:ilvl="0" w:tentative="0">
      <w:start w:val="1"/>
      <w:numFmt w:val="bullet"/>
      <w:pStyle w:val="402"/>
      <w:lvlText w:val=""/>
      <w:lvlJc w:val="left"/>
      <w:pPr>
        <w:tabs>
          <w:tab w:val="left" w:pos="697"/>
        </w:tabs>
        <w:ind w:left="697" w:hanging="228"/>
      </w:pPr>
      <w:rPr>
        <w:rFonts w:hint="default" w:ascii="Symbol" w:hAnsi="Symbol"/>
        <w:color w:val="auto"/>
      </w:rPr>
    </w:lvl>
    <w:lvl w:ilvl="1" w:tentative="0">
      <w:start w:val="1"/>
      <w:numFmt w:val="bullet"/>
      <w:lvlText w:val=""/>
      <w:lvlJc w:val="left"/>
      <w:pPr>
        <w:tabs>
          <w:tab w:val="left" w:pos="1309"/>
        </w:tabs>
        <w:ind w:left="1309" w:hanging="420"/>
      </w:pPr>
      <w:rPr>
        <w:rFonts w:hint="default" w:ascii="Wingdings" w:hAnsi="Wingdings"/>
      </w:rPr>
    </w:lvl>
    <w:lvl w:ilvl="2" w:tentative="0">
      <w:start w:val="1"/>
      <w:numFmt w:val="bullet"/>
      <w:lvlText w:val=""/>
      <w:lvlJc w:val="left"/>
      <w:pPr>
        <w:tabs>
          <w:tab w:val="left" w:pos="1729"/>
        </w:tabs>
        <w:ind w:left="1729" w:hanging="420"/>
      </w:pPr>
      <w:rPr>
        <w:rFonts w:hint="default" w:ascii="Wingdings" w:hAnsi="Wingdings"/>
      </w:rPr>
    </w:lvl>
    <w:lvl w:ilvl="3" w:tentative="0">
      <w:start w:val="1"/>
      <w:numFmt w:val="bullet"/>
      <w:lvlText w:val=""/>
      <w:lvlJc w:val="left"/>
      <w:pPr>
        <w:tabs>
          <w:tab w:val="left" w:pos="2149"/>
        </w:tabs>
        <w:ind w:left="2149" w:hanging="420"/>
      </w:pPr>
      <w:rPr>
        <w:rFonts w:hint="default" w:ascii="Wingdings" w:hAnsi="Wingdings"/>
      </w:rPr>
    </w:lvl>
    <w:lvl w:ilvl="4" w:tentative="0">
      <w:start w:val="1"/>
      <w:numFmt w:val="bullet"/>
      <w:lvlText w:val=""/>
      <w:lvlJc w:val="left"/>
      <w:pPr>
        <w:tabs>
          <w:tab w:val="left" w:pos="2569"/>
        </w:tabs>
        <w:ind w:left="2569" w:hanging="420"/>
      </w:pPr>
      <w:rPr>
        <w:rFonts w:hint="default" w:ascii="Wingdings" w:hAnsi="Wingdings"/>
      </w:rPr>
    </w:lvl>
    <w:lvl w:ilvl="5" w:tentative="0">
      <w:start w:val="1"/>
      <w:numFmt w:val="bullet"/>
      <w:lvlText w:val=""/>
      <w:lvlJc w:val="left"/>
      <w:pPr>
        <w:tabs>
          <w:tab w:val="left" w:pos="2989"/>
        </w:tabs>
        <w:ind w:left="2989" w:hanging="420"/>
      </w:pPr>
      <w:rPr>
        <w:rFonts w:hint="default" w:ascii="Wingdings" w:hAnsi="Wingdings"/>
      </w:rPr>
    </w:lvl>
    <w:lvl w:ilvl="6" w:tentative="0">
      <w:start w:val="1"/>
      <w:numFmt w:val="bullet"/>
      <w:lvlText w:val=""/>
      <w:lvlJc w:val="left"/>
      <w:pPr>
        <w:tabs>
          <w:tab w:val="left" w:pos="3409"/>
        </w:tabs>
        <w:ind w:left="3409" w:hanging="420"/>
      </w:pPr>
      <w:rPr>
        <w:rFonts w:hint="default" w:ascii="Wingdings" w:hAnsi="Wingdings"/>
      </w:rPr>
    </w:lvl>
    <w:lvl w:ilvl="7" w:tentative="0">
      <w:start w:val="1"/>
      <w:numFmt w:val="bullet"/>
      <w:lvlText w:val=""/>
      <w:lvlJc w:val="left"/>
      <w:pPr>
        <w:tabs>
          <w:tab w:val="left" w:pos="3829"/>
        </w:tabs>
        <w:ind w:left="3829" w:hanging="420"/>
      </w:pPr>
      <w:rPr>
        <w:rFonts w:hint="default" w:ascii="Wingdings" w:hAnsi="Wingdings"/>
      </w:rPr>
    </w:lvl>
    <w:lvl w:ilvl="8" w:tentative="0">
      <w:start w:val="1"/>
      <w:numFmt w:val="bullet"/>
      <w:lvlText w:val=""/>
      <w:lvlJc w:val="left"/>
      <w:pPr>
        <w:tabs>
          <w:tab w:val="left" w:pos="4249"/>
        </w:tabs>
        <w:ind w:left="4249" w:hanging="420"/>
      </w:pPr>
      <w:rPr>
        <w:rFonts w:hint="default" w:ascii="Wingdings" w:hAnsi="Wingdings"/>
      </w:rPr>
    </w:lvl>
  </w:abstractNum>
  <w:abstractNum w:abstractNumId="18">
    <w:nsid w:val="64607A38"/>
    <w:multiLevelType w:val="multilevel"/>
    <w:tmpl w:val="64607A38"/>
    <w:lvl w:ilvl="0" w:tentative="0">
      <w:start w:val="1"/>
      <w:numFmt w:val="chineseCountingThousand"/>
      <w:lvlText w:val="%1．"/>
      <w:lvlJc w:val="left"/>
      <w:pPr>
        <w:tabs>
          <w:tab w:val="left" w:pos="552"/>
        </w:tabs>
        <w:ind w:left="552" w:hanging="420"/>
      </w:pPr>
      <w:rPr>
        <w:rFonts w:hint="eastAsia"/>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46260FA"/>
    <w:multiLevelType w:val="multilevel"/>
    <w:tmpl w:val="646260FA"/>
    <w:lvl w:ilvl="0" w:tentative="0">
      <w:start w:val="1"/>
      <w:numFmt w:val="decimal"/>
      <w:pStyle w:val="425"/>
      <w:suff w:val="nothing"/>
      <w:lvlText w:val="表%1　"/>
      <w:lvlJc w:val="left"/>
      <w:pPr>
        <w:ind w:left="3544"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5B699F6"/>
    <w:multiLevelType w:val="singleLevel"/>
    <w:tmpl w:val="65B699F6"/>
    <w:lvl w:ilvl="0" w:tentative="0">
      <w:start w:val="1"/>
      <w:numFmt w:val="chineseCounting"/>
      <w:suff w:val="nothing"/>
      <w:lvlText w:val="（%1）"/>
      <w:lvlJc w:val="left"/>
      <w:rPr>
        <w:rFonts w:hint="eastAsia"/>
      </w:rPr>
    </w:lvl>
  </w:abstractNum>
  <w:abstractNum w:abstractNumId="21">
    <w:nsid w:val="6B22420F"/>
    <w:multiLevelType w:val="multilevel"/>
    <w:tmpl w:val="6B22420F"/>
    <w:lvl w:ilvl="0" w:tentative="0">
      <w:start w:val="1"/>
      <w:numFmt w:val="decimal"/>
      <w:pStyle w:val="42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3E01672"/>
    <w:multiLevelType w:val="multilevel"/>
    <w:tmpl w:val="73E01672"/>
    <w:lvl w:ilvl="0" w:tentative="0">
      <w:start w:val="1"/>
      <w:numFmt w:val="decimal"/>
      <w:lvlText w:val="（%1）"/>
      <w:lvlJc w:val="left"/>
      <w:pPr>
        <w:ind w:left="900" w:hanging="420"/>
      </w:pPr>
      <w:rPr>
        <w:rFonts w:hint="eastAsia"/>
      </w:rPr>
    </w:lvl>
    <w:lvl w:ilvl="1" w:tentative="0">
      <w:start w:val="1"/>
      <w:numFmt w:val="decimal"/>
      <w:pStyle w:val="7"/>
      <w:suff w:val="nothing"/>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3">
    <w:nsid w:val="78B66565"/>
    <w:multiLevelType w:val="singleLevel"/>
    <w:tmpl w:val="78B66565"/>
    <w:lvl w:ilvl="0" w:tentative="0">
      <w:start w:val="2"/>
      <w:numFmt w:val="decimal"/>
      <w:suff w:val="nothing"/>
      <w:lvlText w:val="%1、"/>
      <w:lvlJc w:val="left"/>
      <w:pPr>
        <w:ind w:left="-142"/>
      </w:pPr>
    </w:lvl>
  </w:abstractNum>
  <w:abstractNum w:abstractNumId="24">
    <w:nsid w:val="7969060E"/>
    <w:multiLevelType w:val="multilevel"/>
    <w:tmpl w:val="7969060E"/>
    <w:lvl w:ilvl="0" w:tentative="0">
      <w:start w:val="1"/>
      <w:numFmt w:val="decimal"/>
      <w:pStyle w:val="40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7A672089"/>
    <w:multiLevelType w:val="singleLevel"/>
    <w:tmpl w:val="7A672089"/>
    <w:lvl w:ilvl="0" w:tentative="0">
      <w:start w:val="1"/>
      <w:numFmt w:val="decimal"/>
      <w:lvlText w:val="%1."/>
      <w:lvlJc w:val="left"/>
      <w:pPr>
        <w:tabs>
          <w:tab w:val="left" w:pos="762"/>
        </w:tabs>
        <w:ind w:left="762" w:hanging="210"/>
      </w:pPr>
      <w:rPr>
        <w:rFonts w:hint="eastAsia"/>
      </w:rPr>
    </w:lvl>
  </w:abstractNum>
  <w:abstractNum w:abstractNumId="26">
    <w:nsid w:val="7FB059FC"/>
    <w:multiLevelType w:val="singleLevel"/>
    <w:tmpl w:val="7FB059FC"/>
    <w:lvl w:ilvl="0" w:tentative="0">
      <w:start w:val="1"/>
      <w:numFmt w:val="decimal"/>
      <w:lvlText w:val="%1．"/>
      <w:lvlJc w:val="left"/>
      <w:pPr>
        <w:tabs>
          <w:tab w:val="left" w:pos="315"/>
        </w:tabs>
        <w:ind w:left="315" w:hanging="315"/>
      </w:pPr>
      <w:rPr>
        <w:rFonts w:hint="eastAsia"/>
      </w:rPr>
    </w:lvl>
  </w:abstractNum>
  <w:num w:numId="1">
    <w:abstractNumId w:val="22"/>
  </w:num>
  <w:num w:numId="2">
    <w:abstractNumId w:val="4"/>
  </w:num>
  <w:num w:numId="3">
    <w:abstractNumId w:val="3"/>
  </w:num>
  <w:num w:numId="4">
    <w:abstractNumId w:val="7"/>
  </w:num>
  <w:num w:numId="5">
    <w:abstractNumId w:val="2"/>
  </w:num>
  <w:num w:numId="6">
    <w:abstractNumId w:val="8"/>
  </w:num>
  <w:num w:numId="7">
    <w:abstractNumId w:val="17"/>
  </w:num>
  <w:num w:numId="8">
    <w:abstractNumId w:val="24"/>
  </w:num>
  <w:num w:numId="9">
    <w:abstractNumId w:val="21"/>
  </w:num>
  <w:num w:numId="10">
    <w:abstractNumId w:val="9"/>
  </w:num>
  <w:num w:numId="11">
    <w:abstractNumId w:val="19"/>
  </w:num>
  <w:num w:numId="12">
    <w:abstractNumId w:val="16"/>
  </w:num>
  <w:num w:numId="13">
    <w:abstractNumId w:val="5"/>
  </w:num>
  <w:num w:numId="14">
    <w:abstractNumId w:val="25"/>
  </w:num>
  <w:num w:numId="15">
    <w:abstractNumId w:val="11"/>
  </w:num>
  <w:num w:numId="16">
    <w:abstractNumId w:val="23"/>
  </w:num>
  <w:num w:numId="17">
    <w:abstractNumId w:val="15"/>
  </w:num>
  <w:num w:numId="18">
    <w:abstractNumId w:val="6"/>
  </w:num>
  <w:num w:numId="19">
    <w:abstractNumId w:val="10"/>
  </w:num>
  <w:num w:numId="20">
    <w:abstractNumId w:val="13"/>
  </w:num>
  <w:num w:numId="21">
    <w:abstractNumId w:val="12"/>
  </w:num>
  <w:num w:numId="22">
    <w:abstractNumId w:val="0"/>
  </w:num>
  <w:num w:numId="23">
    <w:abstractNumId w:val="2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8"/>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70"/>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zY2ZiNjlhYzk5ZmMzMzFlNjNjYzFmNDE3YzI5MjgifQ=="/>
  </w:docVars>
  <w:rsids>
    <w:rsidRoot w:val="00172A27"/>
    <w:rsid w:val="000072FB"/>
    <w:rsid w:val="000201A7"/>
    <w:rsid w:val="0002115E"/>
    <w:rsid w:val="00023296"/>
    <w:rsid w:val="000241B2"/>
    <w:rsid w:val="00024474"/>
    <w:rsid w:val="00031F00"/>
    <w:rsid w:val="00042432"/>
    <w:rsid w:val="00043FB8"/>
    <w:rsid w:val="000473A7"/>
    <w:rsid w:val="000509EF"/>
    <w:rsid w:val="00051D0D"/>
    <w:rsid w:val="00053564"/>
    <w:rsid w:val="000576E7"/>
    <w:rsid w:val="000601DC"/>
    <w:rsid w:val="0006100F"/>
    <w:rsid w:val="000615A4"/>
    <w:rsid w:val="0006503D"/>
    <w:rsid w:val="000679BD"/>
    <w:rsid w:val="000710CB"/>
    <w:rsid w:val="00071879"/>
    <w:rsid w:val="000744B9"/>
    <w:rsid w:val="00074978"/>
    <w:rsid w:val="00074EB7"/>
    <w:rsid w:val="000769F8"/>
    <w:rsid w:val="000841FD"/>
    <w:rsid w:val="000878A7"/>
    <w:rsid w:val="00091512"/>
    <w:rsid w:val="00094494"/>
    <w:rsid w:val="000A05F5"/>
    <w:rsid w:val="000A3D4C"/>
    <w:rsid w:val="000A5B0E"/>
    <w:rsid w:val="000A5DFA"/>
    <w:rsid w:val="000B38D4"/>
    <w:rsid w:val="000B5B68"/>
    <w:rsid w:val="000C1CC0"/>
    <w:rsid w:val="000C1E96"/>
    <w:rsid w:val="000C2B40"/>
    <w:rsid w:val="000C39BD"/>
    <w:rsid w:val="000C3B8C"/>
    <w:rsid w:val="000D19B9"/>
    <w:rsid w:val="000D2A3F"/>
    <w:rsid w:val="000D41C4"/>
    <w:rsid w:val="000E200A"/>
    <w:rsid w:val="000E6079"/>
    <w:rsid w:val="000F03B2"/>
    <w:rsid w:val="000F1B89"/>
    <w:rsid w:val="000F2D71"/>
    <w:rsid w:val="000F4843"/>
    <w:rsid w:val="000F7027"/>
    <w:rsid w:val="0010308F"/>
    <w:rsid w:val="00103A80"/>
    <w:rsid w:val="0011056F"/>
    <w:rsid w:val="00110AC6"/>
    <w:rsid w:val="00111597"/>
    <w:rsid w:val="00112CD7"/>
    <w:rsid w:val="00113BA9"/>
    <w:rsid w:val="00113C61"/>
    <w:rsid w:val="00120CBE"/>
    <w:rsid w:val="0012533C"/>
    <w:rsid w:val="00135DA5"/>
    <w:rsid w:val="001446B2"/>
    <w:rsid w:val="001523B7"/>
    <w:rsid w:val="00153CE8"/>
    <w:rsid w:val="00156EF2"/>
    <w:rsid w:val="00160783"/>
    <w:rsid w:val="00161FC4"/>
    <w:rsid w:val="001640E6"/>
    <w:rsid w:val="00171847"/>
    <w:rsid w:val="0017246D"/>
    <w:rsid w:val="00172A27"/>
    <w:rsid w:val="00172DB7"/>
    <w:rsid w:val="001730BD"/>
    <w:rsid w:val="0018138B"/>
    <w:rsid w:val="001835C7"/>
    <w:rsid w:val="00184097"/>
    <w:rsid w:val="00185D6B"/>
    <w:rsid w:val="001916A2"/>
    <w:rsid w:val="00192767"/>
    <w:rsid w:val="00193763"/>
    <w:rsid w:val="00197DF6"/>
    <w:rsid w:val="001A1514"/>
    <w:rsid w:val="001A4012"/>
    <w:rsid w:val="001A7809"/>
    <w:rsid w:val="001B1166"/>
    <w:rsid w:val="001B273A"/>
    <w:rsid w:val="001B4670"/>
    <w:rsid w:val="001B5D0A"/>
    <w:rsid w:val="001C1DF1"/>
    <w:rsid w:val="001C1E6A"/>
    <w:rsid w:val="001C5A81"/>
    <w:rsid w:val="001D3261"/>
    <w:rsid w:val="001E5790"/>
    <w:rsid w:val="001F0FEA"/>
    <w:rsid w:val="001F64C7"/>
    <w:rsid w:val="00204D10"/>
    <w:rsid w:val="002108F3"/>
    <w:rsid w:val="00213E48"/>
    <w:rsid w:val="002247ED"/>
    <w:rsid w:val="0022616E"/>
    <w:rsid w:val="00227DAF"/>
    <w:rsid w:val="002319D9"/>
    <w:rsid w:val="0023480C"/>
    <w:rsid w:val="002365EA"/>
    <w:rsid w:val="00241363"/>
    <w:rsid w:val="002458E4"/>
    <w:rsid w:val="002468B8"/>
    <w:rsid w:val="00252586"/>
    <w:rsid w:val="002536D5"/>
    <w:rsid w:val="00254402"/>
    <w:rsid w:val="00264DB5"/>
    <w:rsid w:val="002673C3"/>
    <w:rsid w:val="00273877"/>
    <w:rsid w:val="0027782C"/>
    <w:rsid w:val="00285041"/>
    <w:rsid w:val="00286CC8"/>
    <w:rsid w:val="00296805"/>
    <w:rsid w:val="002A2BC3"/>
    <w:rsid w:val="002B283C"/>
    <w:rsid w:val="002B2F1D"/>
    <w:rsid w:val="002B2F42"/>
    <w:rsid w:val="002B4039"/>
    <w:rsid w:val="002B4E56"/>
    <w:rsid w:val="002B51CD"/>
    <w:rsid w:val="002B6DC4"/>
    <w:rsid w:val="002C0547"/>
    <w:rsid w:val="002C4E4F"/>
    <w:rsid w:val="002C6D83"/>
    <w:rsid w:val="002D658A"/>
    <w:rsid w:val="002D7AD6"/>
    <w:rsid w:val="002E4059"/>
    <w:rsid w:val="002E4D23"/>
    <w:rsid w:val="002E53F3"/>
    <w:rsid w:val="002E5881"/>
    <w:rsid w:val="002F153C"/>
    <w:rsid w:val="002F619A"/>
    <w:rsid w:val="002F7821"/>
    <w:rsid w:val="003004A8"/>
    <w:rsid w:val="00300E52"/>
    <w:rsid w:val="00301E40"/>
    <w:rsid w:val="00302CBE"/>
    <w:rsid w:val="0030430E"/>
    <w:rsid w:val="00305706"/>
    <w:rsid w:val="00307462"/>
    <w:rsid w:val="00323D5A"/>
    <w:rsid w:val="003264D2"/>
    <w:rsid w:val="003267A4"/>
    <w:rsid w:val="003333ED"/>
    <w:rsid w:val="00333FD6"/>
    <w:rsid w:val="003345B7"/>
    <w:rsid w:val="00334652"/>
    <w:rsid w:val="00342B7D"/>
    <w:rsid w:val="003435E5"/>
    <w:rsid w:val="00346BCC"/>
    <w:rsid w:val="00346E77"/>
    <w:rsid w:val="00347450"/>
    <w:rsid w:val="00347C68"/>
    <w:rsid w:val="00350787"/>
    <w:rsid w:val="00357101"/>
    <w:rsid w:val="00357E70"/>
    <w:rsid w:val="003614B3"/>
    <w:rsid w:val="00362440"/>
    <w:rsid w:val="00367D0E"/>
    <w:rsid w:val="00372D42"/>
    <w:rsid w:val="0037429D"/>
    <w:rsid w:val="0038078B"/>
    <w:rsid w:val="0039247D"/>
    <w:rsid w:val="0039294F"/>
    <w:rsid w:val="00393C5A"/>
    <w:rsid w:val="00396FCB"/>
    <w:rsid w:val="00397497"/>
    <w:rsid w:val="003A2AD0"/>
    <w:rsid w:val="003A7FF8"/>
    <w:rsid w:val="003B0A2D"/>
    <w:rsid w:val="003B1C32"/>
    <w:rsid w:val="003B37E0"/>
    <w:rsid w:val="003C11F3"/>
    <w:rsid w:val="003C3D4D"/>
    <w:rsid w:val="003D0CCB"/>
    <w:rsid w:val="003D0E8C"/>
    <w:rsid w:val="003D16F6"/>
    <w:rsid w:val="003D4F48"/>
    <w:rsid w:val="003D6864"/>
    <w:rsid w:val="003E01C4"/>
    <w:rsid w:val="003E0DDF"/>
    <w:rsid w:val="003E1186"/>
    <w:rsid w:val="003E2B09"/>
    <w:rsid w:val="003E4759"/>
    <w:rsid w:val="003E4B5B"/>
    <w:rsid w:val="003E540A"/>
    <w:rsid w:val="003E68C4"/>
    <w:rsid w:val="003E695F"/>
    <w:rsid w:val="003E7247"/>
    <w:rsid w:val="003F46AE"/>
    <w:rsid w:val="003F706F"/>
    <w:rsid w:val="004024C4"/>
    <w:rsid w:val="004029BB"/>
    <w:rsid w:val="004046E4"/>
    <w:rsid w:val="004047A7"/>
    <w:rsid w:val="00404FCF"/>
    <w:rsid w:val="00406086"/>
    <w:rsid w:val="00407FEC"/>
    <w:rsid w:val="0041014D"/>
    <w:rsid w:val="00413630"/>
    <w:rsid w:val="00413B35"/>
    <w:rsid w:val="004169ED"/>
    <w:rsid w:val="004174FA"/>
    <w:rsid w:val="004219FF"/>
    <w:rsid w:val="00424916"/>
    <w:rsid w:val="004249F8"/>
    <w:rsid w:val="0043024D"/>
    <w:rsid w:val="00433C3A"/>
    <w:rsid w:val="004342BB"/>
    <w:rsid w:val="00435460"/>
    <w:rsid w:val="00435543"/>
    <w:rsid w:val="004375F6"/>
    <w:rsid w:val="00440410"/>
    <w:rsid w:val="00443862"/>
    <w:rsid w:val="00443BAE"/>
    <w:rsid w:val="004548FD"/>
    <w:rsid w:val="00457F63"/>
    <w:rsid w:val="004611AF"/>
    <w:rsid w:val="00462870"/>
    <w:rsid w:val="00463B62"/>
    <w:rsid w:val="00463B7C"/>
    <w:rsid w:val="00466FB4"/>
    <w:rsid w:val="00470191"/>
    <w:rsid w:val="00477BEF"/>
    <w:rsid w:val="00485068"/>
    <w:rsid w:val="00487093"/>
    <w:rsid w:val="0049290A"/>
    <w:rsid w:val="004942A2"/>
    <w:rsid w:val="004965EE"/>
    <w:rsid w:val="004A5BFD"/>
    <w:rsid w:val="004A7145"/>
    <w:rsid w:val="004B06ED"/>
    <w:rsid w:val="004B137F"/>
    <w:rsid w:val="004B7D75"/>
    <w:rsid w:val="004C3414"/>
    <w:rsid w:val="004C5044"/>
    <w:rsid w:val="004C788F"/>
    <w:rsid w:val="004C7B63"/>
    <w:rsid w:val="004C7E07"/>
    <w:rsid w:val="004D07BE"/>
    <w:rsid w:val="004D11A8"/>
    <w:rsid w:val="004D39D0"/>
    <w:rsid w:val="004D609D"/>
    <w:rsid w:val="004D6F89"/>
    <w:rsid w:val="004E35DA"/>
    <w:rsid w:val="004F01AB"/>
    <w:rsid w:val="004F2540"/>
    <w:rsid w:val="004F2D2B"/>
    <w:rsid w:val="005007DE"/>
    <w:rsid w:val="005015D9"/>
    <w:rsid w:val="0050189C"/>
    <w:rsid w:val="0050373F"/>
    <w:rsid w:val="005056C8"/>
    <w:rsid w:val="005104E0"/>
    <w:rsid w:val="00513FA4"/>
    <w:rsid w:val="00515A8A"/>
    <w:rsid w:val="00516C64"/>
    <w:rsid w:val="00517EF2"/>
    <w:rsid w:val="005219C0"/>
    <w:rsid w:val="005344E2"/>
    <w:rsid w:val="00535D25"/>
    <w:rsid w:val="005377EA"/>
    <w:rsid w:val="00540C61"/>
    <w:rsid w:val="0054272D"/>
    <w:rsid w:val="00544A87"/>
    <w:rsid w:val="00546369"/>
    <w:rsid w:val="00550BDB"/>
    <w:rsid w:val="005534F7"/>
    <w:rsid w:val="005538D4"/>
    <w:rsid w:val="005562E2"/>
    <w:rsid w:val="0055748D"/>
    <w:rsid w:val="005629CD"/>
    <w:rsid w:val="0056785C"/>
    <w:rsid w:val="00571AF5"/>
    <w:rsid w:val="005735FC"/>
    <w:rsid w:val="00573F0B"/>
    <w:rsid w:val="00575B75"/>
    <w:rsid w:val="00577527"/>
    <w:rsid w:val="00580563"/>
    <w:rsid w:val="00582471"/>
    <w:rsid w:val="005A0A17"/>
    <w:rsid w:val="005A11B8"/>
    <w:rsid w:val="005A5A9D"/>
    <w:rsid w:val="005B111C"/>
    <w:rsid w:val="005B74EF"/>
    <w:rsid w:val="005C0173"/>
    <w:rsid w:val="005C0C8C"/>
    <w:rsid w:val="005E035F"/>
    <w:rsid w:val="005E48A5"/>
    <w:rsid w:val="005E5B78"/>
    <w:rsid w:val="005F051D"/>
    <w:rsid w:val="005F111C"/>
    <w:rsid w:val="005F2DEE"/>
    <w:rsid w:val="005F715B"/>
    <w:rsid w:val="0060142D"/>
    <w:rsid w:val="006033B0"/>
    <w:rsid w:val="00610FF0"/>
    <w:rsid w:val="00612602"/>
    <w:rsid w:val="006126D4"/>
    <w:rsid w:val="006159CA"/>
    <w:rsid w:val="00617305"/>
    <w:rsid w:val="00622642"/>
    <w:rsid w:val="006258B0"/>
    <w:rsid w:val="00625DE1"/>
    <w:rsid w:val="00635CD7"/>
    <w:rsid w:val="00635F08"/>
    <w:rsid w:val="0063609A"/>
    <w:rsid w:val="0064182E"/>
    <w:rsid w:val="006470A8"/>
    <w:rsid w:val="006479B4"/>
    <w:rsid w:val="00653258"/>
    <w:rsid w:val="00664C07"/>
    <w:rsid w:val="00664F80"/>
    <w:rsid w:val="006653C1"/>
    <w:rsid w:val="0067051B"/>
    <w:rsid w:val="00670A59"/>
    <w:rsid w:val="006749FB"/>
    <w:rsid w:val="00683F07"/>
    <w:rsid w:val="00685E4B"/>
    <w:rsid w:val="0068679B"/>
    <w:rsid w:val="006A7A2C"/>
    <w:rsid w:val="006A7A4A"/>
    <w:rsid w:val="006B127F"/>
    <w:rsid w:val="006B15A4"/>
    <w:rsid w:val="006B23D0"/>
    <w:rsid w:val="006C03D1"/>
    <w:rsid w:val="006C08D4"/>
    <w:rsid w:val="006C3348"/>
    <w:rsid w:val="006C34E5"/>
    <w:rsid w:val="006C7898"/>
    <w:rsid w:val="006D2533"/>
    <w:rsid w:val="006D4F12"/>
    <w:rsid w:val="006E1278"/>
    <w:rsid w:val="006E2516"/>
    <w:rsid w:val="006E2587"/>
    <w:rsid w:val="006E7227"/>
    <w:rsid w:val="006F2C83"/>
    <w:rsid w:val="006F41D4"/>
    <w:rsid w:val="006F5BB1"/>
    <w:rsid w:val="006F61EE"/>
    <w:rsid w:val="00703771"/>
    <w:rsid w:val="0071379D"/>
    <w:rsid w:val="0071664D"/>
    <w:rsid w:val="00732D8E"/>
    <w:rsid w:val="007343BA"/>
    <w:rsid w:val="007372D6"/>
    <w:rsid w:val="00745BFF"/>
    <w:rsid w:val="00746E9F"/>
    <w:rsid w:val="00747BA5"/>
    <w:rsid w:val="00753672"/>
    <w:rsid w:val="007559F2"/>
    <w:rsid w:val="00757DA6"/>
    <w:rsid w:val="00766738"/>
    <w:rsid w:val="00766F9E"/>
    <w:rsid w:val="007670C6"/>
    <w:rsid w:val="00770D3A"/>
    <w:rsid w:val="0077211C"/>
    <w:rsid w:val="00775B67"/>
    <w:rsid w:val="00782E2E"/>
    <w:rsid w:val="007878CD"/>
    <w:rsid w:val="00790B3F"/>
    <w:rsid w:val="00793009"/>
    <w:rsid w:val="007A1605"/>
    <w:rsid w:val="007A1C3E"/>
    <w:rsid w:val="007A1D29"/>
    <w:rsid w:val="007A36FC"/>
    <w:rsid w:val="007A68E1"/>
    <w:rsid w:val="007B1874"/>
    <w:rsid w:val="007B7989"/>
    <w:rsid w:val="007C0CA7"/>
    <w:rsid w:val="007C1014"/>
    <w:rsid w:val="007C12C1"/>
    <w:rsid w:val="007C268C"/>
    <w:rsid w:val="007C41D5"/>
    <w:rsid w:val="007C519D"/>
    <w:rsid w:val="007D60EF"/>
    <w:rsid w:val="007D7EF6"/>
    <w:rsid w:val="007E029D"/>
    <w:rsid w:val="007E6CCD"/>
    <w:rsid w:val="007F0551"/>
    <w:rsid w:val="007F1182"/>
    <w:rsid w:val="007F1A08"/>
    <w:rsid w:val="007F4170"/>
    <w:rsid w:val="00800783"/>
    <w:rsid w:val="008031FA"/>
    <w:rsid w:val="00803783"/>
    <w:rsid w:val="0081281E"/>
    <w:rsid w:val="00823C65"/>
    <w:rsid w:val="00825CC2"/>
    <w:rsid w:val="00835107"/>
    <w:rsid w:val="00847007"/>
    <w:rsid w:val="00852F1D"/>
    <w:rsid w:val="008548C5"/>
    <w:rsid w:val="008571B9"/>
    <w:rsid w:val="0086145C"/>
    <w:rsid w:val="00871709"/>
    <w:rsid w:val="008735D1"/>
    <w:rsid w:val="00875239"/>
    <w:rsid w:val="00877C0D"/>
    <w:rsid w:val="00880BDD"/>
    <w:rsid w:val="00881F91"/>
    <w:rsid w:val="00882AF1"/>
    <w:rsid w:val="00882FA2"/>
    <w:rsid w:val="008861E3"/>
    <w:rsid w:val="00891C06"/>
    <w:rsid w:val="00892DA8"/>
    <w:rsid w:val="00893D5D"/>
    <w:rsid w:val="00896A35"/>
    <w:rsid w:val="008A071D"/>
    <w:rsid w:val="008A3A16"/>
    <w:rsid w:val="008A6634"/>
    <w:rsid w:val="008B28B7"/>
    <w:rsid w:val="008B2BAD"/>
    <w:rsid w:val="008B3BBF"/>
    <w:rsid w:val="008B7CB4"/>
    <w:rsid w:val="008C2ECC"/>
    <w:rsid w:val="008D050C"/>
    <w:rsid w:val="008D2F3A"/>
    <w:rsid w:val="008E485D"/>
    <w:rsid w:val="008F2B29"/>
    <w:rsid w:val="008F2FBB"/>
    <w:rsid w:val="008F3602"/>
    <w:rsid w:val="00901040"/>
    <w:rsid w:val="009024BE"/>
    <w:rsid w:val="00913D94"/>
    <w:rsid w:val="00913FF8"/>
    <w:rsid w:val="00916130"/>
    <w:rsid w:val="00916C15"/>
    <w:rsid w:val="009208B8"/>
    <w:rsid w:val="009247E6"/>
    <w:rsid w:val="00925F21"/>
    <w:rsid w:val="00934D24"/>
    <w:rsid w:val="00942243"/>
    <w:rsid w:val="00943474"/>
    <w:rsid w:val="00945D56"/>
    <w:rsid w:val="00950C67"/>
    <w:rsid w:val="009567B7"/>
    <w:rsid w:val="0095739A"/>
    <w:rsid w:val="0096066B"/>
    <w:rsid w:val="00964820"/>
    <w:rsid w:val="00965D29"/>
    <w:rsid w:val="00966A80"/>
    <w:rsid w:val="00967822"/>
    <w:rsid w:val="00970B40"/>
    <w:rsid w:val="00975221"/>
    <w:rsid w:val="009801A7"/>
    <w:rsid w:val="00980A44"/>
    <w:rsid w:val="00984148"/>
    <w:rsid w:val="00991642"/>
    <w:rsid w:val="009944C2"/>
    <w:rsid w:val="00994DEE"/>
    <w:rsid w:val="00994EC0"/>
    <w:rsid w:val="00997459"/>
    <w:rsid w:val="009A14BF"/>
    <w:rsid w:val="009A1B10"/>
    <w:rsid w:val="009A1B86"/>
    <w:rsid w:val="009A2428"/>
    <w:rsid w:val="009A3485"/>
    <w:rsid w:val="009A39E8"/>
    <w:rsid w:val="009A40A7"/>
    <w:rsid w:val="009A6095"/>
    <w:rsid w:val="009A7A75"/>
    <w:rsid w:val="009B15BC"/>
    <w:rsid w:val="009B5843"/>
    <w:rsid w:val="009D1E59"/>
    <w:rsid w:val="009D3216"/>
    <w:rsid w:val="009D5230"/>
    <w:rsid w:val="009D649A"/>
    <w:rsid w:val="009D6C17"/>
    <w:rsid w:val="009E2BD4"/>
    <w:rsid w:val="009E4599"/>
    <w:rsid w:val="009E66E2"/>
    <w:rsid w:val="009E6DC5"/>
    <w:rsid w:val="009E7CD3"/>
    <w:rsid w:val="009F40C4"/>
    <w:rsid w:val="009F458F"/>
    <w:rsid w:val="009F4668"/>
    <w:rsid w:val="009F76C0"/>
    <w:rsid w:val="00A00661"/>
    <w:rsid w:val="00A030A5"/>
    <w:rsid w:val="00A052B0"/>
    <w:rsid w:val="00A07F62"/>
    <w:rsid w:val="00A10480"/>
    <w:rsid w:val="00A14FBB"/>
    <w:rsid w:val="00A171DB"/>
    <w:rsid w:val="00A17FF8"/>
    <w:rsid w:val="00A2055A"/>
    <w:rsid w:val="00A23CAE"/>
    <w:rsid w:val="00A30614"/>
    <w:rsid w:val="00A314AA"/>
    <w:rsid w:val="00A31D30"/>
    <w:rsid w:val="00A31FE4"/>
    <w:rsid w:val="00A3237D"/>
    <w:rsid w:val="00A33E9F"/>
    <w:rsid w:val="00A55EF4"/>
    <w:rsid w:val="00A6259F"/>
    <w:rsid w:val="00A65717"/>
    <w:rsid w:val="00A65747"/>
    <w:rsid w:val="00A67B9D"/>
    <w:rsid w:val="00A71E07"/>
    <w:rsid w:val="00A76C9F"/>
    <w:rsid w:val="00A835E2"/>
    <w:rsid w:val="00A842BA"/>
    <w:rsid w:val="00A9205D"/>
    <w:rsid w:val="00A92FBD"/>
    <w:rsid w:val="00A947C4"/>
    <w:rsid w:val="00A95809"/>
    <w:rsid w:val="00AA3AFE"/>
    <w:rsid w:val="00AA55CE"/>
    <w:rsid w:val="00AB0E83"/>
    <w:rsid w:val="00AB3AAD"/>
    <w:rsid w:val="00AB7351"/>
    <w:rsid w:val="00AC096C"/>
    <w:rsid w:val="00AD0127"/>
    <w:rsid w:val="00AD057C"/>
    <w:rsid w:val="00AD0DE0"/>
    <w:rsid w:val="00AD1B9D"/>
    <w:rsid w:val="00AD5425"/>
    <w:rsid w:val="00AD5719"/>
    <w:rsid w:val="00AD6D0E"/>
    <w:rsid w:val="00AD6D77"/>
    <w:rsid w:val="00AE5331"/>
    <w:rsid w:val="00AF0D57"/>
    <w:rsid w:val="00AF3F10"/>
    <w:rsid w:val="00B05A59"/>
    <w:rsid w:val="00B0799D"/>
    <w:rsid w:val="00B113B9"/>
    <w:rsid w:val="00B116F6"/>
    <w:rsid w:val="00B11777"/>
    <w:rsid w:val="00B12B1F"/>
    <w:rsid w:val="00B13089"/>
    <w:rsid w:val="00B24927"/>
    <w:rsid w:val="00B27CAA"/>
    <w:rsid w:val="00B30185"/>
    <w:rsid w:val="00B3086E"/>
    <w:rsid w:val="00B37A21"/>
    <w:rsid w:val="00B520F8"/>
    <w:rsid w:val="00B5605D"/>
    <w:rsid w:val="00B57159"/>
    <w:rsid w:val="00B57E99"/>
    <w:rsid w:val="00B84F31"/>
    <w:rsid w:val="00B86D73"/>
    <w:rsid w:val="00B93B00"/>
    <w:rsid w:val="00B93E08"/>
    <w:rsid w:val="00B95B4A"/>
    <w:rsid w:val="00BA1167"/>
    <w:rsid w:val="00BA361B"/>
    <w:rsid w:val="00BA3A44"/>
    <w:rsid w:val="00BA541E"/>
    <w:rsid w:val="00BA6FC8"/>
    <w:rsid w:val="00BB25E2"/>
    <w:rsid w:val="00BB29EC"/>
    <w:rsid w:val="00BB35E1"/>
    <w:rsid w:val="00BB6C4F"/>
    <w:rsid w:val="00BC0BBE"/>
    <w:rsid w:val="00BC43FB"/>
    <w:rsid w:val="00BC7734"/>
    <w:rsid w:val="00BE0B31"/>
    <w:rsid w:val="00BE459A"/>
    <w:rsid w:val="00BE6989"/>
    <w:rsid w:val="00BF3E21"/>
    <w:rsid w:val="00C001AC"/>
    <w:rsid w:val="00C00AA5"/>
    <w:rsid w:val="00C02D03"/>
    <w:rsid w:val="00C129CF"/>
    <w:rsid w:val="00C156DC"/>
    <w:rsid w:val="00C213D8"/>
    <w:rsid w:val="00C2145D"/>
    <w:rsid w:val="00C2167B"/>
    <w:rsid w:val="00C23804"/>
    <w:rsid w:val="00C2502F"/>
    <w:rsid w:val="00C3102E"/>
    <w:rsid w:val="00C31B38"/>
    <w:rsid w:val="00C34BD8"/>
    <w:rsid w:val="00C3783C"/>
    <w:rsid w:val="00C4121A"/>
    <w:rsid w:val="00C41848"/>
    <w:rsid w:val="00C472EF"/>
    <w:rsid w:val="00C47DFB"/>
    <w:rsid w:val="00C47E63"/>
    <w:rsid w:val="00C47E86"/>
    <w:rsid w:val="00C50559"/>
    <w:rsid w:val="00C5281E"/>
    <w:rsid w:val="00C52828"/>
    <w:rsid w:val="00C545FC"/>
    <w:rsid w:val="00C551DC"/>
    <w:rsid w:val="00C56CDC"/>
    <w:rsid w:val="00C66E56"/>
    <w:rsid w:val="00C70259"/>
    <w:rsid w:val="00C72E8F"/>
    <w:rsid w:val="00C81283"/>
    <w:rsid w:val="00C8133C"/>
    <w:rsid w:val="00C81B01"/>
    <w:rsid w:val="00C85D99"/>
    <w:rsid w:val="00C86E4D"/>
    <w:rsid w:val="00C911C0"/>
    <w:rsid w:val="00C951B5"/>
    <w:rsid w:val="00C97951"/>
    <w:rsid w:val="00CA2E1E"/>
    <w:rsid w:val="00CA748F"/>
    <w:rsid w:val="00CB0D7E"/>
    <w:rsid w:val="00CB17F8"/>
    <w:rsid w:val="00CB42EE"/>
    <w:rsid w:val="00CC3C04"/>
    <w:rsid w:val="00CC483E"/>
    <w:rsid w:val="00CC760A"/>
    <w:rsid w:val="00CC7D2D"/>
    <w:rsid w:val="00CD006A"/>
    <w:rsid w:val="00CD355C"/>
    <w:rsid w:val="00CD3BA7"/>
    <w:rsid w:val="00CD442F"/>
    <w:rsid w:val="00CD50A6"/>
    <w:rsid w:val="00CD679D"/>
    <w:rsid w:val="00CE00D7"/>
    <w:rsid w:val="00CE0731"/>
    <w:rsid w:val="00CE53E3"/>
    <w:rsid w:val="00CF1F12"/>
    <w:rsid w:val="00D01458"/>
    <w:rsid w:val="00D02F8E"/>
    <w:rsid w:val="00D10FAB"/>
    <w:rsid w:val="00D110F7"/>
    <w:rsid w:val="00D13219"/>
    <w:rsid w:val="00D14050"/>
    <w:rsid w:val="00D17753"/>
    <w:rsid w:val="00D20688"/>
    <w:rsid w:val="00D23DAE"/>
    <w:rsid w:val="00D270FD"/>
    <w:rsid w:val="00D30F4F"/>
    <w:rsid w:val="00D31EB2"/>
    <w:rsid w:val="00D44802"/>
    <w:rsid w:val="00D44994"/>
    <w:rsid w:val="00D45827"/>
    <w:rsid w:val="00D50CDD"/>
    <w:rsid w:val="00D51C07"/>
    <w:rsid w:val="00D65E60"/>
    <w:rsid w:val="00D677FB"/>
    <w:rsid w:val="00D71B51"/>
    <w:rsid w:val="00D82668"/>
    <w:rsid w:val="00D86B0C"/>
    <w:rsid w:val="00D91676"/>
    <w:rsid w:val="00D960FF"/>
    <w:rsid w:val="00DA03CB"/>
    <w:rsid w:val="00DA073F"/>
    <w:rsid w:val="00DA4CF1"/>
    <w:rsid w:val="00DA61A5"/>
    <w:rsid w:val="00DA7E1B"/>
    <w:rsid w:val="00DB1A5C"/>
    <w:rsid w:val="00DB1F9B"/>
    <w:rsid w:val="00DB4132"/>
    <w:rsid w:val="00DB68B9"/>
    <w:rsid w:val="00DC1BCF"/>
    <w:rsid w:val="00DC248D"/>
    <w:rsid w:val="00DC42A1"/>
    <w:rsid w:val="00DD3E57"/>
    <w:rsid w:val="00DD5094"/>
    <w:rsid w:val="00DE3099"/>
    <w:rsid w:val="00DE5785"/>
    <w:rsid w:val="00DE674A"/>
    <w:rsid w:val="00DE6A7A"/>
    <w:rsid w:val="00DE793C"/>
    <w:rsid w:val="00DF0C47"/>
    <w:rsid w:val="00DF64A7"/>
    <w:rsid w:val="00DF6E60"/>
    <w:rsid w:val="00E05324"/>
    <w:rsid w:val="00E05582"/>
    <w:rsid w:val="00E062D5"/>
    <w:rsid w:val="00E07BA2"/>
    <w:rsid w:val="00E13312"/>
    <w:rsid w:val="00E15229"/>
    <w:rsid w:val="00E20307"/>
    <w:rsid w:val="00E25419"/>
    <w:rsid w:val="00E256A3"/>
    <w:rsid w:val="00E26489"/>
    <w:rsid w:val="00E269C0"/>
    <w:rsid w:val="00E31555"/>
    <w:rsid w:val="00E37650"/>
    <w:rsid w:val="00E379DF"/>
    <w:rsid w:val="00E4082C"/>
    <w:rsid w:val="00E438D6"/>
    <w:rsid w:val="00E4463D"/>
    <w:rsid w:val="00E456D6"/>
    <w:rsid w:val="00E51322"/>
    <w:rsid w:val="00E51B90"/>
    <w:rsid w:val="00E51E03"/>
    <w:rsid w:val="00E53FC1"/>
    <w:rsid w:val="00E57472"/>
    <w:rsid w:val="00E6178C"/>
    <w:rsid w:val="00E62746"/>
    <w:rsid w:val="00E632C5"/>
    <w:rsid w:val="00E672F0"/>
    <w:rsid w:val="00E713AD"/>
    <w:rsid w:val="00E807BF"/>
    <w:rsid w:val="00E82FD3"/>
    <w:rsid w:val="00E833E8"/>
    <w:rsid w:val="00E8527E"/>
    <w:rsid w:val="00E879BC"/>
    <w:rsid w:val="00E90E3F"/>
    <w:rsid w:val="00E919EA"/>
    <w:rsid w:val="00E97994"/>
    <w:rsid w:val="00EA1E1E"/>
    <w:rsid w:val="00EA302F"/>
    <w:rsid w:val="00EA4226"/>
    <w:rsid w:val="00EA632A"/>
    <w:rsid w:val="00EA7BB9"/>
    <w:rsid w:val="00EB2276"/>
    <w:rsid w:val="00EC0238"/>
    <w:rsid w:val="00EC0A07"/>
    <w:rsid w:val="00EC0BD7"/>
    <w:rsid w:val="00EC356E"/>
    <w:rsid w:val="00ED1BB0"/>
    <w:rsid w:val="00ED3824"/>
    <w:rsid w:val="00ED6A65"/>
    <w:rsid w:val="00ED6F9B"/>
    <w:rsid w:val="00ED79CD"/>
    <w:rsid w:val="00EE4C15"/>
    <w:rsid w:val="00F07556"/>
    <w:rsid w:val="00F079DC"/>
    <w:rsid w:val="00F118B7"/>
    <w:rsid w:val="00F1395B"/>
    <w:rsid w:val="00F1480C"/>
    <w:rsid w:val="00F17EEB"/>
    <w:rsid w:val="00F22CF4"/>
    <w:rsid w:val="00F2481D"/>
    <w:rsid w:val="00F24FCF"/>
    <w:rsid w:val="00F27324"/>
    <w:rsid w:val="00F32ED5"/>
    <w:rsid w:val="00F335FE"/>
    <w:rsid w:val="00F33EA6"/>
    <w:rsid w:val="00F377B1"/>
    <w:rsid w:val="00F41B3A"/>
    <w:rsid w:val="00F426A0"/>
    <w:rsid w:val="00F457A0"/>
    <w:rsid w:val="00F51240"/>
    <w:rsid w:val="00F60C46"/>
    <w:rsid w:val="00F620D0"/>
    <w:rsid w:val="00F624A3"/>
    <w:rsid w:val="00F65156"/>
    <w:rsid w:val="00F668AB"/>
    <w:rsid w:val="00F706B6"/>
    <w:rsid w:val="00F72AE9"/>
    <w:rsid w:val="00F72C0E"/>
    <w:rsid w:val="00F744FE"/>
    <w:rsid w:val="00F76FCF"/>
    <w:rsid w:val="00F778F8"/>
    <w:rsid w:val="00F80129"/>
    <w:rsid w:val="00F82041"/>
    <w:rsid w:val="00F84158"/>
    <w:rsid w:val="00F85839"/>
    <w:rsid w:val="00F85E12"/>
    <w:rsid w:val="00F9076E"/>
    <w:rsid w:val="00F91DA8"/>
    <w:rsid w:val="00F965EA"/>
    <w:rsid w:val="00FA1896"/>
    <w:rsid w:val="00FA2537"/>
    <w:rsid w:val="00FB49E3"/>
    <w:rsid w:val="00FB6EBE"/>
    <w:rsid w:val="00FC29E6"/>
    <w:rsid w:val="00FC719C"/>
    <w:rsid w:val="00FD5E5C"/>
    <w:rsid w:val="00FE0BD2"/>
    <w:rsid w:val="00FE2DCD"/>
    <w:rsid w:val="00FE4E52"/>
    <w:rsid w:val="00FE4F82"/>
    <w:rsid w:val="00FF0EAA"/>
    <w:rsid w:val="00FF3DC3"/>
    <w:rsid w:val="00FF6723"/>
    <w:rsid w:val="00FF76CF"/>
    <w:rsid w:val="014827C9"/>
    <w:rsid w:val="01CC4C08"/>
    <w:rsid w:val="026557BD"/>
    <w:rsid w:val="02AA6CEC"/>
    <w:rsid w:val="05C2191B"/>
    <w:rsid w:val="077E7887"/>
    <w:rsid w:val="0B432465"/>
    <w:rsid w:val="0BA941E9"/>
    <w:rsid w:val="0C816903"/>
    <w:rsid w:val="0CD15EB6"/>
    <w:rsid w:val="0E2860FD"/>
    <w:rsid w:val="0EB921CF"/>
    <w:rsid w:val="0FDF728E"/>
    <w:rsid w:val="0FEE44AB"/>
    <w:rsid w:val="11675DAA"/>
    <w:rsid w:val="127E0FE9"/>
    <w:rsid w:val="14C26A1A"/>
    <w:rsid w:val="15080C11"/>
    <w:rsid w:val="15CB7E1F"/>
    <w:rsid w:val="16035646"/>
    <w:rsid w:val="1760454E"/>
    <w:rsid w:val="1958382A"/>
    <w:rsid w:val="1B9C5333"/>
    <w:rsid w:val="1FED1383"/>
    <w:rsid w:val="22CF357E"/>
    <w:rsid w:val="231379A6"/>
    <w:rsid w:val="232B7BA6"/>
    <w:rsid w:val="24747D63"/>
    <w:rsid w:val="2C1434BF"/>
    <w:rsid w:val="2C953DBD"/>
    <w:rsid w:val="2CB64127"/>
    <w:rsid w:val="2E434246"/>
    <w:rsid w:val="2ECD0973"/>
    <w:rsid w:val="2F777AE0"/>
    <w:rsid w:val="2FA650DB"/>
    <w:rsid w:val="32FC5D08"/>
    <w:rsid w:val="334E033F"/>
    <w:rsid w:val="33804C87"/>
    <w:rsid w:val="35073F8D"/>
    <w:rsid w:val="353E1B72"/>
    <w:rsid w:val="357432C4"/>
    <w:rsid w:val="37427CD8"/>
    <w:rsid w:val="38AF0979"/>
    <w:rsid w:val="38E30E71"/>
    <w:rsid w:val="3AB067EF"/>
    <w:rsid w:val="3B2D6975"/>
    <w:rsid w:val="3B9C6ED2"/>
    <w:rsid w:val="3BB709FE"/>
    <w:rsid w:val="3C921172"/>
    <w:rsid w:val="3D8F29D5"/>
    <w:rsid w:val="3E5E3536"/>
    <w:rsid w:val="3F4A7C80"/>
    <w:rsid w:val="40285000"/>
    <w:rsid w:val="40850191"/>
    <w:rsid w:val="41922381"/>
    <w:rsid w:val="42037E79"/>
    <w:rsid w:val="42346830"/>
    <w:rsid w:val="43A422D3"/>
    <w:rsid w:val="44161FD4"/>
    <w:rsid w:val="46163CDC"/>
    <w:rsid w:val="46B82FBD"/>
    <w:rsid w:val="47727D3D"/>
    <w:rsid w:val="487113EA"/>
    <w:rsid w:val="48E8085F"/>
    <w:rsid w:val="48F462AB"/>
    <w:rsid w:val="4A56189D"/>
    <w:rsid w:val="4B327AB9"/>
    <w:rsid w:val="4C1B5A19"/>
    <w:rsid w:val="4D2B6DA5"/>
    <w:rsid w:val="4D4267E8"/>
    <w:rsid w:val="4D4D26FF"/>
    <w:rsid w:val="4E5352C2"/>
    <w:rsid w:val="50704FBF"/>
    <w:rsid w:val="50A61EC9"/>
    <w:rsid w:val="51E27465"/>
    <w:rsid w:val="5296756B"/>
    <w:rsid w:val="545C0CEF"/>
    <w:rsid w:val="54BF3ABB"/>
    <w:rsid w:val="54F05465"/>
    <w:rsid w:val="55EE1C1D"/>
    <w:rsid w:val="56A95202"/>
    <w:rsid w:val="57985E4E"/>
    <w:rsid w:val="58B73E59"/>
    <w:rsid w:val="5A307171"/>
    <w:rsid w:val="5ADC2C84"/>
    <w:rsid w:val="5AF26628"/>
    <w:rsid w:val="5B56704C"/>
    <w:rsid w:val="5BD36EE4"/>
    <w:rsid w:val="5C3A1553"/>
    <w:rsid w:val="5D584FA8"/>
    <w:rsid w:val="5EAA46F8"/>
    <w:rsid w:val="5F193A95"/>
    <w:rsid w:val="60452246"/>
    <w:rsid w:val="61913884"/>
    <w:rsid w:val="61A6277F"/>
    <w:rsid w:val="64A916F4"/>
    <w:rsid w:val="65F0562E"/>
    <w:rsid w:val="66956159"/>
    <w:rsid w:val="685E6EF3"/>
    <w:rsid w:val="69605F65"/>
    <w:rsid w:val="6B405E51"/>
    <w:rsid w:val="6BB14C7D"/>
    <w:rsid w:val="6BFB7A81"/>
    <w:rsid w:val="6D230268"/>
    <w:rsid w:val="6D510A20"/>
    <w:rsid w:val="6DE66CE0"/>
    <w:rsid w:val="6E1B5145"/>
    <w:rsid w:val="6E5A4037"/>
    <w:rsid w:val="6F00589E"/>
    <w:rsid w:val="6F085875"/>
    <w:rsid w:val="7021159B"/>
    <w:rsid w:val="7384310A"/>
    <w:rsid w:val="740D6DD4"/>
    <w:rsid w:val="744A7646"/>
    <w:rsid w:val="75237643"/>
    <w:rsid w:val="75A42E79"/>
    <w:rsid w:val="76087C21"/>
    <w:rsid w:val="76AE7E31"/>
    <w:rsid w:val="79837870"/>
    <w:rsid w:val="7B020E1D"/>
    <w:rsid w:val="7B162AAA"/>
    <w:rsid w:val="7B6E06B3"/>
    <w:rsid w:val="7C166FE1"/>
    <w:rsid w:val="7D1C04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qFormat="1" w:unhideWhenUsed="0" w:uiPriority="0" w:name="toc 5"/>
    <w:lsdException w:qFormat="1" w:unhideWhenUsed="0" w:uiPriority="0" w:name="toc 6"/>
    <w:lsdException w:uiPriority="0" w:name="toc 7"/>
    <w:lsdException w:uiPriority="0" w:name="toc 8"/>
    <w:lsdException w:uiPriority="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19"/>
    <w:qFormat/>
    <w:uiPriority w:val="9"/>
    <w:pPr>
      <w:spacing w:line="360" w:lineRule="auto"/>
      <w:jc w:val="center"/>
      <w:outlineLvl w:val="0"/>
    </w:pPr>
    <w:rPr>
      <w:rFonts w:hAnsi="宋体"/>
      <w:b/>
      <w:sz w:val="28"/>
      <w:szCs w:val="28"/>
    </w:rPr>
  </w:style>
  <w:style w:type="paragraph" w:styleId="5">
    <w:name w:val="heading 2"/>
    <w:basedOn w:val="1"/>
    <w:next w:val="1"/>
    <w:link w:val="96"/>
    <w:qFormat/>
    <w:uiPriority w:val="0"/>
    <w:pPr>
      <w:spacing w:line="360" w:lineRule="auto"/>
      <w:ind w:firstLine="482" w:firstLineChars="200"/>
      <w:jc w:val="left"/>
      <w:outlineLvl w:val="1"/>
    </w:pPr>
    <w:rPr>
      <w:rFonts w:hAnsi="宋体"/>
      <w:b/>
      <w:bCs/>
      <w:sz w:val="24"/>
    </w:rPr>
  </w:style>
  <w:style w:type="paragraph" w:styleId="6">
    <w:name w:val="heading 3"/>
    <w:basedOn w:val="1"/>
    <w:next w:val="1"/>
    <w:link w:val="142"/>
    <w:qFormat/>
    <w:uiPriority w:val="0"/>
    <w:pPr>
      <w:keepNext/>
      <w:keepLines/>
      <w:spacing w:line="360" w:lineRule="auto"/>
      <w:ind w:firstLine="482" w:firstLineChars="200"/>
      <w:outlineLvl w:val="2"/>
    </w:pPr>
    <w:rPr>
      <w:rFonts w:hAnsi="宋体"/>
      <w:b/>
      <w:bCs/>
      <w:kern w:val="2"/>
      <w:sz w:val="24"/>
      <w:szCs w:val="24"/>
      <w:lang w:val="zh-CN"/>
    </w:rPr>
  </w:style>
  <w:style w:type="paragraph" w:styleId="7">
    <w:name w:val="heading 4"/>
    <w:basedOn w:val="1"/>
    <w:next w:val="1"/>
    <w:link w:val="67"/>
    <w:qFormat/>
    <w:uiPriority w:val="0"/>
    <w:pPr>
      <w:numPr>
        <w:ilvl w:val="1"/>
        <w:numId w:val="1"/>
      </w:numPr>
      <w:spacing w:line="360" w:lineRule="auto"/>
      <w:outlineLvl w:val="3"/>
    </w:pPr>
    <w:rPr>
      <w:rFonts w:hAnsi="宋体"/>
      <w:kern w:val="20"/>
      <w:sz w:val="24"/>
      <w:lang w:val="zh-CN"/>
    </w:rPr>
  </w:style>
  <w:style w:type="paragraph" w:styleId="8">
    <w:name w:val="heading 5"/>
    <w:basedOn w:val="1"/>
    <w:next w:val="1"/>
    <w:link w:val="154"/>
    <w:qFormat/>
    <w:uiPriority w:val="0"/>
    <w:pPr>
      <w:keepNext/>
      <w:keepLines/>
      <w:numPr>
        <w:ilvl w:val="5"/>
        <w:numId w:val="2"/>
      </w:numPr>
      <w:spacing w:before="280" w:after="290" w:line="372" w:lineRule="auto"/>
      <w:outlineLvl w:val="4"/>
    </w:pPr>
    <w:rPr>
      <w:rFonts w:ascii="黑体" w:hAnsi="Tahoma" w:eastAsia="黑体"/>
      <w:b/>
      <w:bCs/>
      <w:kern w:val="2"/>
      <w:sz w:val="28"/>
      <w:szCs w:val="28"/>
    </w:rPr>
  </w:style>
  <w:style w:type="paragraph" w:styleId="9">
    <w:name w:val="heading 6"/>
    <w:basedOn w:val="1"/>
    <w:next w:val="1"/>
    <w:link w:val="72"/>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kern w:val="2"/>
      <w:sz w:val="24"/>
      <w:szCs w:val="24"/>
    </w:rPr>
  </w:style>
  <w:style w:type="paragraph" w:styleId="10">
    <w:name w:val="heading 7"/>
    <w:basedOn w:val="1"/>
    <w:next w:val="1"/>
    <w:link w:val="100"/>
    <w:qFormat/>
    <w:uiPriority w:val="0"/>
    <w:pPr>
      <w:keepNext/>
      <w:keepLines/>
      <w:tabs>
        <w:tab w:val="left" w:pos="1296"/>
      </w:tabs>
      <w:adjustRightInd w:val="0"/>
      <w:spacing w:before="240" w:after="64" w:line="320" w:lineRule="atLeast"/>
      <w:ind w:left="1296" w:hanging="1296"/>
      <w:textAlignment w:val="baseline"/>
      <w:outlineLvl w:val="6"/>
    </w:pPr>
    <w:rPr>
      <w:rFonts w:ascii="Times New Roman"/>
      <w:b/>
      <w:kern w:val="2"/>
      <w:sz w:val="24"/>
      <w:szCs w:val="24"/>
    </w:rPr>
  </w:style>
  <w:style w:type="paragraph" w:styleId="11">
    <w:name w:val="heading 8"/>
    <w:basedOn w:val="1"/>
    <w:next w:val="1"/>
    <w:link w:val="86"/>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2"/>
      <w:sz w:val="24"/>
      <w:szCs w:val="24"/>
    </w:rPr>
  </w:style>
  <w:style w:type="paragraph" w:styleId="12">
    <w:name w:val="heading 9"/>
    <w:basedOn w:val="1"/>
    <w:next w:val="1"/>
    <w:link w:val="115"/>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2"/>
      <w:sz w:val="21"/>
      <w:szCs w:val="24"/>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1"/>
    <w:qFormat/>
    <w:uiPriority w:val="0"/>
    <w:pPr>
      <w:autoSpaceDE w:val="0"/>
      <w:autoSpaceDN w:val="0"/>
      <w:adjustRightInd w:val="0"/>
    </w:pPr>
    <w:rPr>
      <w:rFonts w:ascii="仿宋_GB2312" w:eastAsia="仿宋_GB2312"/>
      <w:sz w:val="28"/>
    </w:rPr>
  </w:style>
  <w:style w:type="paragraph" w:styleId="3">
    <w:name w:val="Body Text First Indent"/>
    <w:basedOn w:val="2"/>
    <w:next w:val="1"/>
    <w:qFormat/>
    <w:uiPriority w:val="0"/>
    <w:pPr>
      <w:tabs>
        <w:tab w:val="left" w:pos="208"/>
      </w:tabs>
      <w:spacing w:after="120"/>
      <w:ind w:firstLine="420"/>
    </w:pPr>
    <w:rPr>
      <w:lang w:val="zh-CN"/>
    </w:rPr>
  </w:style>
  <w:style w:type="paragraph" w:styleId="13">
    <w:name w:val="index 8"/>
    <w:basedOn w:val="1"/>
    <w:next w:val="1"/>
    <w:qFormat/>
    <w:uiPriority w:val="0"/>
    <w:pPr>
      <w:ind w:left="1400" w:leftChars="1400"/>
    </w:pPr>
  </w:style>
  <w:style w:type="paragraph" w:styleId="14">
    <w:name w:val="List Number"/>
    <w:basedOn w:val="1"/>
    <w:link w:val="121"/>
    <w:qFormat/>
    <w:uiPriority w:val="0"/>
    <w:pPr>
      <w:tabs>
        <w:tab w:val="left" w:pos="360"/>
      </w:tabs>
      <w:spacing w:line="360" w:lineRule="auto"/>
      <w:ind w:left="360" w:hanging="360" w:hangingChars="200"/>
    </w:pPr>
    <w:rPr>
      <w:rFonts w:ascii="Tahoma" w:hAnsi="Tahoma" w:eastAsia="楷体_GB2312"/>
      <w:kern w:val="2"/>
      <w:sz w:val="24"/>
      <w:szCs w:val="24"/>
    </w:rPr>
  </w:style>
  <w:style w:type="paragraph" w:styleId="15">
    <w:name w:val="Normal Indent"/>
    <w:basedOn w:val="1"/>
    <w:link w:val="97"/>
    <w:qFormat/>
    <w:uiPriority w:val="99"/>
    <w:pPr>
      <w:widowControl/>
      <w:ind w:firstLine="420"/>
      <w:jc w:val="left"/>
    </w:pPr>
    <w:rPr>
      <w:rFonts w:ascii="Times New Roman"/>
      <w:sz w:val="20"/>
    </w:rPr>
  </w:style>
  <w:style w:type="paragraph" w:styleId="16">
    <w:name w:val="caption"/>
    <w:basedOn w:val="1"/>
    <w:next w:val="1"/>
    <w:qFormat/>
    <w:uiPriority w:val="0"/>
    <w:rPr>
      <w:rFonts w:ascii="Arial" w:hAnsi="Arial" w:eastAsia="黑体" w:cs="Arial"/>
      <w:sz w:val="20"/>
    </w:rPr>
  </w:style>
  <w:style w:type="paragraph" w:styleId="17">
    <w:name w:val="index 5"/>
    <w:basedOn w:val="1"/>
    <w:next w:val="1"/>
    <w:qFormat/>
    <w:uiPriority w:val="0"/>
    <w:pPr>
      <w:ind w:left="800" w:leftChars="800"/>
    </w:pPr>
  </w:style>
  <w:style w:type="paragraph" w:styleId="18">
    <w:name w:val="List Bullet"/>
    <w:basedOn w:val="1"/>
    <w:qFormat/>
    <w:uiPriority w:val="0"/>
    <w:pPr>
      <w:tabs>
        <w:tab w:val="left" w:pos="1050"/>
      </w:tabs>
      <w:ind w:left="1050" w:hanging="420"/>
    </w:pPr>
  </w:style>
  <w:style w:type="paragraph" w:styleId="19">
    <w:name w:val="Document Map"/>
    <w:basedOn w:val="1"/>
    <w:link w:val="414"/>
    <w:qFormat/>
    <w:uiPriority w:val="0"/>
    <w:pPr>
      <w:shd w:val="clear" w:color="auto" w:fill="000080"/>
    </w:pPr>
  </w:style>
  <w:style w:type="paragraph" w:styleId="20">
    <w:name w:val="annotation text"/>
    <w:basedOn w:val="1"/>
    <w:link w:val="78"/>
    <w:qFormat/>
    <w:uiPriority w:val="99"/>
    <w:pPr>
      <w:jc w:val="left"/>
    </w:pPr>
    <w:rPr>
      <w:rFonts w:ascii="Times New Roman"/>
      <w:kern w:val="2"/>
      <w:sz w:val="21"/>
      <w:szCs w:val="24"/>
    </w:rPr>
  </w:style>
  <w:style w:type="paragraph" w:styleId="21">
    <w:name w:val="index 6"/>
    <w:basedOn w:val="1"/>
    <w:next w:val="1"/>
    <w:qFormat/>
    <w:uiPriority w:val="0"/>
    <w:pPr>
      <w:ind w:left="1000" w:leftChars="1000"/>
    </w:pPr>
  </w:style>
  <w:style w:type="paragraph" w:styleId="22">
    <w:name w:val="Salutation"/>
    <w:basedOn w:val="1"/>
    <w:next w:val="1"/>
    <w:link w:val="111"/>
    <w:qFormat/>
    <w:uiPriority w:val="0"/>
    <w:pPr>
      <w:adjustRightInd w:val="0"/>
      <w:spacing w:after="20" w:line="288" w:lineRule="auto"/>
      <w:ind w:firstLine="420"/>
      <w:textAlignment w:val="baseline"/>
    </w:pPr>
    <w:rPr>
      <w:rFonts w:ascii="Times New Roman"/>
      <w:kern w:val="2"/>
      <w:sz w:val="28"/>
      <w:szCs w:val="24"/>
    </w:rPr>
  </w:style>
  <w:style w:type="paragraph" w:styleId="23">
    <w:name w:val="Body Text 3"/>
    <w:basedOn w:val="1"/>
    <w:link w:val="85"/>
    <w:qFormat/>
    <w:uiPriority w:val="0"/>
    <w:pPr>
      <w:adjustRightInd w:val="0"/>
      <w:spacing w:after="20" w:line="288" w:lineRule="auto"/>
      <w:jc w:val="center"/>
      <w:textAlignment w:val="baseline"/>
    </w:pPr>
    <w:rPr>
      <w:rFonts w:ascii="Times New Roman"/>
      <w:b/>
      <w:bCs/>
      <w:kern w:val="2"/>
      <w:sz w:val="24"/>
      <w:szCs w:val="24"/>
    </w:rPr>
  </w:style>
  <w:style w:type="paragraph" w:styleId="24">
    <w:name w:val="Closing"/>
    <w:basedOn w:val="1"/>
    <w:link w:val="83"/>
    <w:qFormat/>
    <w:uiPriority w:val="0"/>
    <w:pPr>
      <w:adjustRightInd w:val="0"/>
      <w:spacing w:after="20" w:line="288" w:lineRule="auto"/>
      <w:ind w:left="100" w:leftChars="2100" w:firstLine="420"/>
      <w:textAlignment w:val="baseline"/>
    </w:pPr>
    <w:rPr>
      <w:rFonts w:ascii="Times New Roman"/>
      <w:kern w:val="2"/>
      <w:sz w:val="28"/>
      <w:szCs w:val="24"/>
    </w:rPr>
  </w:style>
  <w:style w:type="paragraph" w:styleId="25">
    <w:name w:val="Body Text Indent"/>
    <w:basedOn w:val="1"/>
    <w:link w:val="141"/>
    <w:qFormat/>
    <w:uiPriority w:val="0"/>
    <w:pPr>
      <w:widowControl/>
      <w:autoSpaceDE w:val="0"/>
      <w:autoSpaceDN w:val="0"/>
      <w:adjustRightInd w:val="0"/>
      <w:spacing w:line="300" w:lineRule="auto"/>
      <w:ind w:left="156"/>
    </w:pPr>
    <w:rPr>
      <w:rFonts w:ascii="仿宋_GB2312" w:hAnsi="Tahoma" w:eastAsia="仿宋_GB2312"/>
      <w:sz w:val="28"/>
    </w:rPr>
  </w:style>
  <w:style w:type="paragraph" w:styleId="26">
    <w:name w:val="Block Text"/>
    <w:basedOn w:val="1"/>
    <w:qFormat/>
    <w:uiPriority w:val="0"/>
    <w:pPr>
      <w:adjustRightInd w:val="0"/>
      <w:ind w:left="420" w:right="33"/>
      <w:jc w:val="left"/>
      <w:textAlignment w:val="baseline"/>
    </w:pPr>
    <w:rPr>
      <w:sz w:val="24"/>
    </w:rPr>
  </w:style>
  <w:style w:type="paragraph" w:styleId="27">
    <w:name w:val="List Bullet 2"/>
    <w:basedOn w:val="1"/>
    <w:qFormat/>
    <w:uiPriority w:val="0"/>
  </w:style>
  <w:style w:type="paragraph" w:styleId="28">
    <w:name w:val="index 4"/>
    <w:basedOn w:val="1"/>
    <w:next w:val="1"/>
    <w:qFormat/>
    <w:uiPriority w:val="0"/>
    <w:pPr>
      <w:ind w:left="600" w:leftChars="600"/>
    </w:pPr>
  </w:style>
  <w:style w:type="paragraph" w:styleId="29">
    <w:name w:val="toc 5"/>
    <w:basedOn w:val="1"/>
    <w:next w:val="1"/>
    <w:semiHidden/>
    <w:qFormat/>
    <w:uiPriority w:val="0"/>
    <w:pPr>
      <w:ind w:firstLine="420" w:firstLineChars="150"/>
    </w:pPr>
    <w:rPr>
      <w:rFonts w:ascii="Times New Roman"/>
      <w:kern w:val="2"/>
      <w:sz w:val="21"/>
    </w:rPr>
  </w:style>
  <w:style w:type="paragraph" w:styleId="30">
    <w:name w:val="toc 3"/>
    <w:basedOn w:val="1"/>
    <w:next w:val="1"/>
    <w:semiHidden/>
    <w:qFormat/>
    <w:uiPriority w:val="0"/>
    <w:pPr>
      <w:tabs>
        <w:tab w:val="left" w:pos="2100"/>
        <w:tab w:val="right" w:leader="dot" w:pos="9174"/>
      </w:tabs>
      <w:ind w:left="840" w:leftChars="400"/>
    </w:pPr>
    <w:rPr>
      <w:rFonts w:ascii="Times New Roman"/>
      <w:kern w:val="2"/>
      <w:sz w:val="21"/>
      <w:szCs w:val="21"/>
    </w:rPr>
  </w:style>
  <w:style w:type="paragraph" w:styleId="31">
    <w:name w:val="Plain Text"/>
    <w:basedOn w:val="1"/>
    <w:link w:val="138"/>
    <w:qFormat/>
    <w:uiPriority w:val="0"/>
    <w:rPr>
      <w:rFonts w:hAnsi="Courier New"/>
      <w:kern w:val="2"/>
      <w:sz w:val="21"/>
      <w:szCs w:val="21"/>
    </w:rPr>
  </w:style>
  <w:style w:type="paragraph" w:styleId="32">
    <w:name w:val="List Bullet 5"/>
    <w:basedOn w:val="1"/>
    <w:qFormat/>
    <w:uiPriority w:val="0"/>
    <w:pPr>
      <w:widowControl/>
      <w:tabs>
        <w:tab w:val="left" w:pos="2040"/>
      </w:tabs>
      <w:spacing w:line="360" w:lineRule="exact"/>
      <w:ind w:left="2040" w:leftChars="800" w:hanging="360" w:hangingChars="200"/>
    </w:pPr>
    <w:rPr>
      <w:rFonts w:eastAsia="楷体_GB2312"/>
      <w:sz w:val="24"/>
    </w:rPr>
  </w:style>
  <w:style w:type="paragraph" w:styleId="33">
    <w:name w:val="index 3"/>
    <w:basedOn w:val="1"/>
    <w:next w:val="1"/>
    <w:qFormat/>
    <w:uiPriority w:val="0"/>
    <w:pPr>
      <w:ind w:left="400" w:leftChars="400"/>
    </w:pPr>
  </w:style>
  <w:style w:type="paragraph" w:styleId="34">
    <w:name w:val="Date"/>
    <w:basedOn w:val="1"/>
    <w:next w:val="1"/>
    <w:link w:val="103"/>
    <w:qFormat/>
    <w:uiPriority w:val="0"/>
    <w:pPr>
      <w:ind w:left="100" w:leftChars="2500"/>
    </w:pPr>
    <w:rPr>
      <w:rFonts w:ascii="楷体_GB2312" w:hAnsi="Tahoma" w:eastAsia="楷体_GB2312"/>
      <w:b/>
      <w:kern w:val="2"/>
      <w:sz w:val="28"/>
      <w:szCs w:val="24"/>
    </w:rPr>
  </w:style>
  <w:style w:type="paragraph" w:styleId="35">
    <w:name w:val="Body Text Indent 2"/>
    <w:basedOn w:val="1"/>
    <w:link w:val="102"/>
    <w:qFormat/>
    <w:uiPriority w:val="0"/>
    <w:pPr>
      <w:tabs>
        <w:tab w:val="left" w:pos="0"/>
        <w:tab w:val="left" w:pos="1134"/>
      </w:tabs>
      <w:snapToGrid w:val="0"/>
      <w:spacing w:line="400" w:lineRule="exact"/>
      <w:ind w:firstLine="559" w:firstLineChars="233"/>
    </w:pPr>
    <w:rPr>
      <w:rFonts w:ascii="楷体_GB2312" w:hAnsi="Tahoma" w:eastAsia="楷体_GB2312"/>
      <w:kern w:val="2"/>
      <w:sz w:val="24"/>
      <w:szCs w:val="24"/>
    </w:rPr>
  </w:style>
  <w:style w:type="paragraph" w:styleId="36">
    <w:name w:val="Balloon Text"/>
    <w:basedOn w:val="1"/>
    <w:link w:val="148"/>
    <w:qFormat/>
    <w:uiPriority w:val="99"/>
    <w:rPr>
      <w:rFonts w:ascii="Times New Roman"/>
      <w:kern w:val="2"/>
      <w:sz w:val="18"/>
      <w:szCs w:val="18"/>
    </w:rPr>
  </w:style>
  <w:style w:type="paragraph" w:styleId="37">
    <w:name w:val="footer"/>
    <w:basedOn w:val="1"/>
    <w:link w:val="140"/>
    <w:qFormat/>
    <w:uiPriority w:val="99"/>
    <w:pPr>
      <w:tabs>
        <w:tab w:val="center" w:pos="4153"/>
        <w:tab w:val="right" w:pos="8306"/>
      </w:tabs>
      <w:snapToGrid w:val="0"/>
      <w:jc w:val="left"/>
    </w:pPr>
    <w:rPr>
      <w:rFonts w:ascii="Times New Roman"/>
      <w:kern w:val="2"/>
      <w:sz w:val="18"/>
      <w:szCs w:val="18"/>
    </w:rPr>
  </w:style>
  <w:style w:type="paragraph" w:styleId="38">
    <w:name w:val="header"/>
    <w:basedOn w:val="1"/>
    <w:link w:val="98"/>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39">
    <w:name w:val="toc 1"/>
    <w:basedOn w:val="1"/>
    <w:next w:val="1"/>
    <w:qFormat/>
    <w:uiPriority w:val="39"/>
    <w:pPr>
      <w:tabs>
        <w:tab w:val="right" w:leader="dot" w:pos="8393"/>
      </w:tabs>
      <w:ind w:left="420" w:right="210"/>
    </w:pPr>
    <w:rPr>
      <w:rFonts w:ascii="Times New Roman"/>
      <w:kern w:val="2"/>
      <w:sz w:val="21"/>
    </w:rPr>
  </w:style>
  <w:style w:type="paragraph" w:styleId="40">
    <w:name w:val="index heading"/>
    <w:basedOn w:val="1"/>
    <w:next w:val="41"/>
    <w:semiHidden/>
    <w:qFormat/>
    <w:uiPriority w:val="0"/>
    <w:rPr>
      <w:rFonts w:ascii="Times New Roman"/>
      <w:kern w:val="2"/>
      <w:sz w:val="21"/>
    </w:rPr>
  </w:style>
  <w:style w:type="paragraph" w:styleId="41">
    <w:name w:val="index 1"/>
    <w:basedOn w:val="1"/>
    <w:next w:val="1"/>
    <w:qFormat/>
    <w:uiPriority w:val="0"/>
  </w:style>
  <w:style w:type="paragraph" w:styleId="42">
    <w:name w:val="Subtitle"/>
    <w:basedOn w:val="1"/>
    <w:next w:val="1"/>
    <w:link w:val="99"/>
    <w:qFormat/>
    <w:uiPriority w:val="99"/>
    <w:pPr>
      <w:ind w:firstLine="200" w:firstLineChars="200"/>
      <w:jc w:val="left"/>
      <w:outlineLvl w:val="1"/>
    </w:pPr>
    <w:rPr>
      <w:rFonts w:ascii="Cambria" w:hAnsi="Cambria"/>
      <w:b/>
      <w:bCs/>
      <w:kern w:val="28"/>
      <w:sz w:val="24"/>
      <w:szCs w:val="24"/>
    </w:rPr>
  </w:style>
  <w:style w:type="paragraph" w:styleId="43">
    <w:name w:val="List"/>
    <w:basedOn w:val="1"/>
    <w:qFormat/>
    <w:uiPriority w:val="0"/>
    <w:pPr>
      <w:tabs>
        <w:tab w:val="left" w:pos="420"/>
      </w:tabs>
      <w:autoSpaceDE w:val="0"/>
      <w:autoSpaceDN w:val="0"/>
      <w:adjustRightInd w:val="0"/>
      <w:spacing w:after="20" w:line="288" w:lineRule="auto"/>
      <w:ind w:left="420" w:hanging="420"/>
      <w:textAlignment w:val="baseline"/>
    </w:pPr>
    <w:rPr>
      <w:lang w:val="en-GB"/>
    </w:rPr>
  </w:style>
  <w:style w:type="paragraph" w:styleId="44">
    <w:name w:val="footnote text"/>
    <w:basedOn w:val="1"/>
    <w:link w:val="87"/>
    <w:qFormat/>
    <w:uiPriority w:val="0"/>
    <w:pPr>
      <w:adjustRightInd w:val="0"/>
      <w:spacing w:after="60" w:line="360" w:lineRule="exact"/>
      <w:ind w:firstLine="425"/>
      <w:jc w:val="left"/>
      <w:textAlignment w:val="baseline"/>
    </w:pPr>
    <w:rPr>
      <w:rFonts w:ascii="Times New Roman"/>
      <w:sz w:val="18"/>
      <w:szCs w:val="18"/>
    </w:rPr>
  </w:style>
  <w:style w:type="paragraph" w:styleId="45">
    <w:name w:val="toc 6"/>
    <w:basedOn w:val="1"/>
    <w:next w:val="1"/>
    <w:semiHidden/>
    <w:qFormat/>
    <w:uiPriority w:val="0"/>
    <w:pPr>
      <w:ind w:left="2100" w:leftChars="1000"/>
    </w:pPr>
    <w:rPr>
      <w:rFonts w:ascii="Times New Roman"/>
      <w:kern w:val="2"/>
      <w:sz w:val="21"/>
    </w:rPr>
  </w:style>
  <w:style w:type="paragraph" w:styleId="46">
    <w:name w:val="Body Text Indent 3"/>
    <w:basedOn w:val="1"/>
    <w:link w:val="79"/>
    <w:qFormat/>
    <w:uiPriority w:val="0"/>
    <w:pPr>
      <w:autoSpaceDE w:val="0"/>
      <w:autoSpaceDN w:val="0"/>
      <w:adjustRightInd w:val="0"/>
      <w:spacing w:line="360" w:lineRule="auto"/>
      <w:ind w:firstLine="698" w:firstLineChars="218"/>
      <w:jc w:val="left"/>
    </w:pPr>
    <w:rPr>
      <w:rFonts w:ascii="仿宋_GB2312" w:hAnsi="Tahoma" w:eastAsia="仿宋_GB2312"/>
      <w:sz w:val="32"/>
    </w:rPr>
  </w:style>
  <w:style w:type="paragraph" w:styleId="47">
    <w:name w:val="index 7"/>
    <w:basedOn w:val="1"/>
    <w:next w:val="1"/>
    <w:qFormat/>
    <w:uiPriority w:val="0"/>
    <w:pPr>
      <w:ind w:left="1200" w:leftChars="1200"/>
    </w:pPr>
  </w:style>
  <w:style w:type="paragraph" w:styleId="48">
    <w:name w:val="index 9"/>
    <w:basedOn w:val="1"/>
    <w:next w:val="1"/>
    <w:qFormat/>
    <w:uiPriority w:val="0"/>
    <w:pPr>
      <w:ind w:left="1600" w:leftChars="1600"/>
    </w:pPr>
  </w:style>
  <w:style w:type="paragraph" w:styleId="49">
    <w:name w:val="toc 2"/>
    <w:basedOn w:val="1"/>
    <w:next w:val="1"/>
    <w:qFormat/>
    <w:uiPriority w:val="39"/>
    <w:pPr>
      <w:ind w:left="420" w:leftChars="200"/>
    </w:pPr>
    <w:rPr>
      <w:rFonts w:ascii="Times New Roman"/>
      <w:kern w:val="2"/>
      <w:sz w:val="21"/>
    </w:rPr>
  </w:style>
  <w:style w:type="paragraph" w:styleId="50">
    <w:name w:val="Body Text 2"/>
    <w:basedOn w:val="1"/>
    <w:link w:val="133"/>
    <w:qFormat/>
    <w:uiPriority w:val="0"/>
    <w:pPr>
      <w:adjustRightInd w:val="0"/>
      <w:spacing w:after="20" w:line="720" w:lineRule="auto"/>
      <w:ind w:firstLine="420"/>
      <w:textAlignment w:val="baseline"/>
    </w:pPr>
    <w:rPr>
      <w:rFonts w:ascii="Times New Roman"/>
      <w:kern w:val="2"/>
      <w:sz w:val="30"/>
      <w:szCs w:val="24"/>
    </w:rPr>
  </w:style>
  <w:style w:type="paragraph" w:styleId="51">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hAnsi="Courier New" w:eastAsia="黑体"/>
      <w:sz w:val="20"/>
    </w:rPr>
  </w:style>
  <w:style w:type="paragraph" w:styleId="52">
    <w:name w:val="Normal (Web)"/>
    <w:basedOn w:val="1"/>
    <w:link w:val="68"/>
    <w:qFormat/>
    <w:uiPriority w:val="99"/>
    <w:pPr>
      <w:widowControl/>
      <w:adjustRightInd w:val="0"/>
      <w:spacing w:before="100" w:beforeAutospacing="1" w:after="100" w:afterAutospacing="1" w:line="288" w:lineRule="auto"/>
      <w:ind w:firstLine="420"/>
      <w:jc w:val="left"/>
      <w:textAlignment w:val="baseline"/>
    </w:pPr>
    <w:rPr>
      <w:rFonts w:hAnsi="宋体"/>
      <w:sz w:val="24"/>
      <w:szCs w:val="24"/>
    </w:rPr>
  </w:style>
  <w:style w:type="paragraph" w:styleId="53">
    <w:name w:val="index 2"/>
    <w:basedOn w:val="1"/>
    <w:next w:val="1"/>
    <w:qFormat/>
    <w:uiPriority w:val="0"/>
    <w:pPr>
      <w:ind w:left="200" w:leftChars="200"/>
    </w:pPr>
  </w:style>
  <w:style w:type="paragraph" w:styleId="54">
    <w:name w:val="Title"/>
    <w:basedOn w:val="1"/>
    <w:link w:val="153"/>
    <w:qFormat/>
    <w:uiPriority w:val="99"/>
    <w:pPr>
      <w:adjustRightInd w:val="0"/>
      <w:spacing w:before="240" w:after="60" w:line="288" w:lineRule="auto"/>
      <w:ind w:firstLine="420"/>
      <w:jc w:val="center"/>
      <w:textAlignment w:val="baseline"/>
      <w:outlineLvl w:val="0"/>
    </w:pPr>
    <w:rPr>
      <w:rFonts w:ascii="Arial" w:hAnsi="Arial"/>
      <w:b/>
      <w:bCs/>
      <w:kern w:val="2"/>
      <w:sz w:val="32"/>
      <w:szCs w:val="32"/>
    </w:rPr>
  </w:style>
  <w:style w:type="paragraph" w:styleId="55">
    <w:name w:val="annotation subject"/>
    <w:basedOn w:val="20"/>
    <w:next w:val="20"/>
    <w:link w:val="144"/>
    <w:qFormat/>
    <w:uiPriority w:val="99"/>
    <w:rPr>
      <w:b/>
      <w:bCs/>
    </w:rPr>
  </w:style>
  <w:style w:type="table" w:styleId="57">
    <w:name w:val="Table Grid"/>
    <w:basedOn w:val="5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9">
    <w:name w:val="Strong"/>
    <w:qFormat/>
    <w:uiPriority w:val="0"/>
    <w:rPr>
      <w:b/>
      <w:bCs/>
    </w:rPr>
  </w:style>
  <w:style w:type="character" w:styleId="60">
    <w:name w:val="page number"/>
    <w:basedOn w:val="58"/>
    <w:qFormat/>
    <w:uiPriority w:val="0"/>
    <w:rPr>
      <w:sz w:val="24"/>
    </w:rPr>
  </w:style>
  <w:style w:type="character" w:styleId="61">
    <w:name w:val="FollowedHyperlink"/>
    <w:qFormat/>
    <w:uiPriority w:val="0"/>
    <w:rPr>
      <w:color w:val="auto"/>
      <w:u w:val="none"/>
    </w:rPr>
  </w:style>
  <w:style w:type="character" w:styleId="62">
    <w:name w:val="Emphasis"/>
    <w:qFormat/>
    <w:uiPriority w:val="20"/>
    <w:rPr>
      <w:i/>
    </w:rPr>
  </w:style>
  <w:style w:type="character" w:styleId="63">
    <w:name w:val="HTML Typewriter"/>
    <w:qFormat/>
    <w:uiPriority w:val="0"/>
    <w:rPr>
      <w:rFonts w:ascii="宋体" w:hAnsi="宋体" w:eastAsia="宋体" w:cs="宋体"/>
      <w:sz w:val="24"/>
      <w:szCs w:val="24"/>
    </w:rPr>
  </w:style>
  <w:style w:type="character" w:styleId="64">
    <w:name w:val="Hyperlink"/>
    <w:qFormat/>
    <w:uiPriority w:val="99"/>
    <w:rPr>
      <w:rFonts w:ascii="Tahoma" w:hAnsi="Tahoma"/>
      <w:color w:val="0000FF"/>
      <w:sz w:val="24"/>
      <w:szCs w:val="20"/>
      <w:u w:val="single"/>
    </w:rPr>
  </w:style>
  <w:style w:type="character" w:styleId="65">
    <w:name w:val="annotation reference"/>
    <w:qFormat/>
    <w:uiPriority w:val="99"/>
    <w:rPr>
      <w:sz w:val="21"/>
      <w:szCs w:val="21"/>
    </w:rPr>
  </w:style>
  <w:style w:type="character" w:styleId="66">
    <w:name w:val="footnote reference"/>
    <w:qFormat/>
    <w:uiPriority w:val="0"/>
    <w:rPr>
      <w:rFonts w:ascii="宋体" w:hAnsi="宋体" w:eastAsia="宋体"/>
      <w:vertAlign w:val="superscript"/>
    </w:rPr>
  </w:style>
  <w:style w:type="character" w:customStyle="1" w:styleId="67">
    <w:name w:val="标题 4 字符"/>
    <w:link w:val="7"/>
    <w:qFormat/>
    <w:uiPriority w:val="0"/>
    <w:rPr>
      <w:rFonts w:ascii="宋体" w:hAnsi="宋体"/>
      <w:kern w:val="20"/>
      <w:sz w:val="24"/>
      <w:lang w:val="zh-CN"/>
    </w:rPr>
  </w:style>
  <w:style w:type="character" w:customStyle="1" w:styleId="68">
    <w:name w:val="普通(网站) 字符1"/>
    <w:link w:val="52"/>
    <w:qFormat/>
    <w:uiPriority w:val="0"/>
    <w:rPr>
      <w:rFonts w:ascii="宋体" w:hAnsi="宋体"/>
      <w:sz w:val="24"/>
      <w:szCs w:val="24"/>
    </w:rPr>
  </w:style>
  <w:style w:type="character" w:customStyle="1" w:styleId="69">
    <w:name w:val="apple-converted-space"/>
    <w:basedOn w:val="58"/>
    <w:qFormat/>
    <w:uiPriority w:val="0"/>
    <w:rPr>
      <w:sz w:val="24"/>
    </w:rPr>
  </w:style>
  <w:style w:type="character" w:customStyle="1" w:styleId="70">
    <w:name w:val="表格正文 Char Char"/>
    <w:link w:val="71"/>
    <w:qFormat/>
    <w:uiPriority w:val="0"/>
    <w:rPr>
      <w:kern w:val="2"/>
      <w:sz w:val="21"/>
      <w:szCs w:val="24"/>
    </w:rPr>
  </w:style>
  <w:style w:type="paragraph" w:customStyle="1" w:styleId="71">
    <w:name w:val="表格正文"/>
    <w:basedOn w:val="1"/>
    <w:link w:val="70"/>
    <w:qFormat/>
    <w:uiPriority w:val="0"/>
    <w:rPr>
      <w:rFonts w:ascii="Times New Roman"/>
      <w:kern w:val="2"/>
      <w:sz w:val="21"/>
      <w:szCs w:val="24"/>
    </w:rPr>
  </w:style>
  <w:style w:type="character" w:customStyle="1" w:styleId="72">
    <w:name w:val="标题 6 字符"/>
    <w:link w:val="9"/>
    <w:qFormat/>
    <w:uiPriority w:val="0"/>
    <w:rPr>
      <w:rFonts w:ascii="Arial" w:hAnsi="Arial" w:eastAsia="黑体"/>
      <w:b/>
      <w:kern w:val="2"/>
      <w:sz w:val="24"/>
      <w:szCs w:val="24"/>
    </w:rPr>
  </w:style>
  <w:style w:type="character" w:customStyle="1" w:styleId="73">
    <w:name w:val="小四文本缩进 Char Char"/>
    <w:link w:val="74"/>
    <w:qFormat/>
    <w:uiPriority w:val="0"/>
    <w:rPr>
      <w:kern w:val="2"/>
      <w:sz w:val="24"/>
      <w:lang w:bidi="ar-SA"/>
    </w:rPr>
  </w:style>
  <w:style w:type="paragraph" w:customStyle="1" w:styleId="74">
    <w:name w:val="小四文本缩进"/>
    <w:basedOn w:val="1"/>
    <w:link w:val="73"/>
    <w:qFormat/>
    <w:uiPriority w:val="0"/>
    <w:pPr>
      <w:spacing w:line="360" w:lineRule="auto"/>
      <w:ind w:firstLine="480" w:firstLineChars="200"/>
    </w:pPr>
    <w:rPr>
      <w:rFonts w:ascii="Times New Roman"/>
      <w:kern w:val="2"/>
      <w:sz w:val="24"/>
    </w:rPr>
  </w:style>
  <w:style w:type="character" w:customStyle="1" w:styleId="75">
    <w:name w:val="标准段落正文 Char1"/>
    <w:link w:val="76"/>
    <w:qFormat/>
    <w:uiPriority w:val="0"/>
    <w:rPr>
      <w:kern w:val="2"/>
      <w:sz w:val="24"/>
      <w:lang w:bidi="ar-SA"/>
    </w:rPr>
  </w:style>
  <w:style w:type="paragraph" w:customStyle="1" w:styleId="76">
    <w:name w:val="标准段落正文"/>
    <w:basedOn w:val="1"/>
    <w:link w:val="75"/>
    <w:qFormat/>
    <w:uiPriority w:val="0"/>
    <w:pPr>
      <w:spacing w:line="312" w:lineRule="auto"/>
      <w:ind w:firstLine="480"/>
    </w:pPr>
    <w:rPr>
      <w:rFonts w:ascii="Times New Roman"/>
      <w:kern w:val="2"/>
      <w:sz w:val="24"/>
    </w:rPr>
  </w:style>
  <w:style w:type="character" w:customStyle="1" w:styleId="77">
    <w:name w:val="样式 宋体 小四"/>
    <w:qFormat/>
    <w:uiPriority w:val="0"/>
    <w:rPr>
      <w:rFonts w:ascii="宋体" w:hAnsi="宋体"/>
      <w:sz w:val="24"/>
      <w:szCs w:val="20"/>
    </w:rPr>
  </w:style>
  <w:style w:type="character" w:customStyle="1" w:styleId="78">
    <w:name w:val="批注文字 字符"/>
    <w:link w:val="20"/>
    <w:qFormat/>
    <w:uiPriority w:val="99"/>
    <w:rPr>
      <w:kern w:val="2"/>
      <w:sz w:val="21"/>
      <w:szCs w:val="24"/>
    </w:rPr>
  </w:style>
  <w:style w:type="character" w:customStyle="1" w:styleId="79">
    <w:name w:val="正文文本缩进 3 字符"/>
    <w:link w:val="46"/>
    <w:qFormat/>
    <w:uiPriority w:val="0"/>
    <w:rPr>
      <w:rFonts w:ascii="仿宋_GB2312" w:hAnsi="Tahoma" w:eastAsia="仿宋_GB2312"/>
      <w:sz w:val="32"/>
      <w:szCs w:val="20"/>
    </w:rPr>
  </w:style>
  <w:style w:type="character" w:customStyle="1" w:styleId="80">
    <w:name w:val="Para head"/>
    <w:qFormat/>
    <w:uiPriority w:val="0"/>
    <w:rPr>
      <w:rFonts w:ascii="Arial" w:hAnsi="Arial" w:eastAsia="Times New Roman"/>
      <w:sz w:val="20"/>
    </w:rPr>
  </w:style>
  <w:style w:type="character" w:customStyle="1" w:styleId="81">
    <w:name w:val="text_list1"/>
    <w:qFormat/>
    <w:uiPriority w:val="0"/>
    <w:rPr>
      <w:rFonts w:hint="default" w:ascii="Arial" w:hAnsi="Arial" w:cs="Arial"/>
      <w:color w:val="000000"/>
      <w:spacing w:val="272"/>
      <w:sz w:val="16"/>
      <w:szCs w:val="16"/>
    </w:rPr>
  </w:style>
  <w:style w:type="character" w:customStyle="1" w:styleId="82">
    <w:name w:val="纯文本 Char Char2"/>
    <w:qFormat/>
    <w:uiPriority w:val="0"/>
    <w:rPr>
      <w:rFonts w:ascii="宋体" w:hAnsi="Courier New"/>
      <w:kern w:val="2"/>
      <w:sz w:val="21"/>
      <w:szCs w:val="21"/>
    </w:rPr>
  </w:style>
  <w:style w:type="character" w:customStyle="1" w:styleId="83">
    <w:name w:val="结束语 字符"/>
    <w:link w:val="24"/>
    <w:qFormat/>
    <w:uiPriority w:val="0"/>
    <w:rPr>
      <w:kern w:val="2"/>
      <w:sz w:val="28"/>
      <w:szCs w:val="24"/>
    </w:rPr>
  </w:style>
  <w:style w:type="character" w:customStyle="1" w:styleId="84">
    <w:name w:val="p71"/>
    <w:basedOn w:val="58"/>
    <w:qFormat/>
    <w:uiPriority w:val="0"/>
    <w:rPr>
      <w:sz w:val="24"/>
    </w:rPr>
  </w:style>
  <w:style w:type="character" w:customStyle="1" w:styleId="85">
    <w:name w:val="正文文本 3 字符"/>
    <w:link w:val="23"/>
    <w:qFormat/>
    <w:uiPriority w:val="0"/>
    <w:rPr>
      <w:b/>
      <w:bCs/>
      <w:kern w:val="2"/>
      <w:sz w:val="24"/>
      <w:szCs w:val="24"/>
    </w:rPr>
  </w:style>
  <w:style w:type="character" w:customStyle="1" w:styleId="86">
    <w:name w:val="标题 8 字符"/>
    <w:link w:val="11"/>
    <w:qFormat/>
    <w:uiPriority w:val="0"/>
    <w:rPr>
      <w:rFonts w:ascii="Arial" w:hAnsi="Arial" w:eastAsia="黑体"/>
      <w:kern w:val="2"/>
      <w:sz w:val="24"/>
      <w:szCs w:val="24"/>
    </w:rPr>
  </w:style>
  <w:style w:type="character" w:customStyle="1" w:styleId="87">
    <w:name w:val="脚注文本 字符"/>
    <w:link w:val="44"/>
    <w:qFormat/>
    <w:uiPriority w:val="0"/>
    <w:rPr>
      <w:sz w:val="18"/>
      <w:szCs w:val="18"/>
    </w:rPr>
  </w:style>
  <w:style w:type="character" w:customStyle="1" w:styleId="88">
    <w:name w:val="标书正文格式 Char1"/>
    <w:link w:val="89"/>
    <w:qFormat/>
    <w:uiPriority w:val="0"/>
    <w:rPr>
      <w:rFonts w:eastAsia="楷体_GB2312"/>
      <w:kern w:val="2"/>
      <w:sz w:val="24"/>
      <w:szCs w:val="24"/>
      <w:lang w:val="en-US" w:eastAsia="zh-CN" w:bidi="ar-SA"/>
    </w:rPr>
  </w:style>
  <w:style w:type="paragraph" w:customStyle="1" w:styleId="89">
    <w:name w:val="标书正文格式"/>
    <w:link w:val="88"/>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90">
    <w:name w:val="css41"/>
    <w:qFormat/>
    <w:uiPriority w:val="0"/>
    <w:rPr>
      <w:rFonts w:hint="default"/>
      <w:spacing w:val="0"/>
      <w:sz w:val="26"/>
      <w:szCs w:val="26"/>
    </w:rPr>
  </w:style>
  <w:style w:type="character" w:customStyle="1" w:styleId="91">
    <w:name w:val="文档结构图 Char Char"/>
    <w:qFormat/>
    <w:uiPriority w:val="0"/>
    <w:rPr>
      <w:rFonts w:ascii="宋体"/>
      <w:kern w:val="2"/>
      <w:sz w:val="18"/>
      <w:szCs w:val="18"/>
    </w:rPr>
  </w:style>
  <w:style w:type="character" w:customStyle="1" w:styleId="92">
    <w:name w:val="小四 段落 宋体 Char Char Char Char1"/>
    <w:link w:val="93"/>
    <w:qFormat/>
    <w:uiPriority w:val="0"/>
    <w:rPr>
      <w:rFonts w:ascii="Tahoma" w:hAnsi="Tahoma" w:eastAsia="宋体"/>
      <w:kern w:val="2"/>
      <w:sz w:val="24"/>
      <w:szCs w:val="20"/>
      <w:lang w:val="en-US" w:eastAsia="zh-CN" w:bidi="ar-SA"/>
    </w:rPr>
  </w:style>
  <w:style w:type="paragraph" w:customStyle="1" w:styleId="93">
    <w:name w:val="小四 段落 宋体 Char Char Char"/>
    <w:basedOn w:val="14"/>
    <w:link w:val="92"/>
    <w:qFormat/>
    <w:uiPriority w:val="0"/>
    <w:pPr>
      <w:tabs>
        <w:tab w:val="clear" w:pos="360"/>
      </w:tabs>
      <w:ind w:left="0" w:right="-33" w:firstLine="480" w:firstLineChars="200"/>
      <w:jc w:val="left"/>
    </w:pPr>
    <w:rPr>
      <w:rFonts w:eastAsia="宋体"/>
      <w:szCs w:val="20"/>
    </w:rPr>
  </w:style>
  <w:style w:type="character" w:customStyle="1" w:styleId="94">
    <w:name w:val="Title Char"/>
    <w:qFormat/>
    <w:locked/>
    <w:uiPriority w:val="99"/>
    <w:rPr>
      <w:rFonts w:ascii="Cambria" w:hAnsi="Cambria" w:cs="Cambria"/>
      <w:b/>
      <w:bCs/>
      <w:sz w:val="32"/>
      <w:szCs w:val="32"/>
    </w:rPr>
  </w:style>
  <w:style w:type="character" w:customStyle="1" w:styleId="95">
    <w:name w:val="样式 三号 下划线"/>
    <w:qFormat/>
    <w:uiPriority w:val="0"/>
    <w:rPr>
      <w:rFonts w:ascii="Tahoma" w:hAnsi="Tahoma"/>
      <w:sz w:val="28"/>
      <w:szCs w:val="20"/>
      <w:u w:val="single"/>
    </w:rPr>
  </w:style>
  <w:style w:type="character" w:customStyle="1" w:styleId="96">
    <w:name w:val="标题 2 字符"/>
    <w:link w:val="5"/>
    <w:qFormat/>
    <w:uiPriority w:val="0"/>
    <w:rPr>
      <w:rFonts w:ascii="宋体" w:hAnsi="宋体"/>
      <w:b/>
      <w:bCs/>
      <w:sz w:val="24"/>
    </w:rPr>
  </w:style>
  <w:style w:type="character" w:customStyle="1" w:styleId="97">
    <w:name w:val="正文缩进 字符"/>
    <w:link w:val="15"/>
    <w:qFormat/>
    <w:uiPriority w:val="0"/>
    <w:rPr>
      <w:rFonts w:eastAsia="宋体"/>
      <w:lang w:val="en-US" w:eastAsia="zh-CN" w:bidi="ar-SA"/>
    </w:rPr>
  </w:style>
  <w:style w:type="character" w:customStyle="1" w:styleId="98">
    <w:name w:val="页眉 字符"/>
    <w:link w:val="38"/>
    <w:qFormat/>
    <w:uiPriority w:val="99"/>
    <w:rPr>
      <w:rFonts w:eastAsia="宋体"/>
      <w:kern w:val="2"/>
      <w:sz w:val="18"/>
      <w:szCs w:val="18"/>
      <w:lang w:val="en-US" w:eastAsia="zh-CN" w:bidi="ar-SA"/>
    </w:rPr>
  </w:style>
  <w:style w:type="character" w:customStyle="1" w:styleId="99">
    <w:name w:val="副标题 字符"/>
    <w:link w:val="42"/>
    <w:qFormat/>
    <w:uiPriority w:val="99"/>
    <w:rPr>
      <w:rFonts w:ascii="Cambria" w:hAnsi="Cambria" w:cs="Cambria"/>
      <w:b/>
      <w:bCs/>
      <w:kern w:val="28"/>
      <w:sz w:val="24"/>
      <w:szCs w:val="24"/>
    </w:rPr>
  </w:style>
  <w:style w:type="character" w:customStyle="1" w:styleId="100">
    <w:name w:val="标题 7 字符"/>
    <w:link w:val="10"/>
    <w:qFormat/>
    <w:uiPriority w:val="0"/>
    <w:rPr>
      <w:b/>
      <w:kern w:val="2"/>
      <w:sz w:val="24"/>
      <w:szCs w:val="24"/>
    </w:rPr>
  </w:style>
  <w:style w:type="character" w:customStyle="1" w:styleId="101">
    <w:name w:val="正文文本 字符"/>
    <w:link w:val="2"/>
    <w:qFormat/>
    <w:uiPriority w:val="0"/>
    <w:rPr>
      <w:rFonts w:ascii="仿宋_GB2312" w:eastAsia="仿宋_GB2312"/>
      <w:sz w:val="28"/>
    </w:rPr>
  </w:style>
  <w:style w:type="character" w:customStyle="1" w:styleId="102">
    <w:name w:val="正文文本缩进 2 字符"/>
    <w:link w:val="35"/>
    <w:qFormat/>
    <w:uiPriority w:val="0"/>
    <w:rPr>
      <w:rFonts w:ascii="楷体_GB2312" w:hAnsi="Tahoma" w:eastAsia="楷体_GB2312"/>
      <w:kern w:val="2"/>
      <w:sz w:val="24"/>
      <w:szCs w:val="24"/>
    </w:rPr>
  </w:style>
  <w:style w:type="character" w:customStyle="1" w:styleId="103">
    <w:name w:val="日期 字符"/>
    <w:link w:val="34"/>
    <w:qFormat/>
    <w:uiPriority w:val="0"/>
    <w:rPr>
      <w:rFonts w:ascii="楷体_GB2312" w:hAnsi="Tahoma" w:eastAsia="楷体_GB2312"/>
      <w:b/>
      <w:kern w:val="2"/>
      <w:sz w:val="28"/>
      <w:szCs w:val="24"/>
    </w:rPr>
  </w:style>
  <w:style w:type="character" w:customStyle="1" w:styleId="104">
    <w:name w:val="apple-style-span"/>
    <w:basedOn w:val="58"/>
    <w:qFormat/>
    <w:uiPriority w:val="0"/>
    <w:rPr>
      <w:sz w:val="24"/>
    </w:rPr>
  </w:style>
  <w:style w:type="character" w:customStyle="1" w:styleId="105">
    <w:name w:val="方案标题3 Char Char"/>
    <w:link w:val="106"/>
    <w:qFormat/>
    <w:uiPriority w:val="0"/>
    <w:rPr>
      <w:rFonts w:ascii="黑体" w:hAnsi="Arial" w:eastAsia="黑体"/>
      <w:snapToGrid w:val="0"/>
      <w:spacing w:val="14"/>
      <w:sz w:val="24"/>
      <w:szCs w:val="30"/>
      <w:lang w:val="en-US" w:eastAsia="zh-CN" w:bidi="ar-SA"/>
    </w:rPr>
  </w:style>
  <w:style w:type="paragraph" w:customStyle="1" w:styleId="106">
    <w:name w:val="方案标题3"/>
    <w:basedOn w:val="107"/>
    <w:next w:val="1"/>
    <w:link w:val="105"/>
    <w:qFormat/>
    <w:uiPriority w:val="0"/>
    <w:pPr>
      <w:outlineLvl w:val="2"/>
    </w:pPr>
    <w:rPr>
      <w:b w:val="0"/>
      <w:sz w:val="24"/>
      <w:szCs w:val="30"/>
    </w:rPr>
  </w:style>
  <w:style w:type="paragraph" w:customStyle="1" w:styleId="107">
    <w:name w:val="方案标题2"/>
    <w:basedOn w:val="1"/>
    <w:next w:val="1"/>
    <w:link w:val="123"/>
    <w:qFormat/>
    <w:uiPriority w:val="0"/>
    <w:pPr>
      <w:keepLines/>
      <w:adjustRightInd w:val="0"/>
      <w:snapToGrid w:val="0"/>
      <w:spacing w:before="200" w:after="40"/>
      <w:outlineLvl w:val="1"/>
    </w:pPr>
    <w:rPr>
      <w:rFonts w:ascii="黑体" w:hAnsi="Arial" w:eastAsia="黑体"/>
      <w:b/>
      <w:snapToGrid w:val="0"/>
      <w:spacing w:val="14"/>
      <w:sz w:val="28"/>
      <w:szCs w:val="32"/>
    </w:rPr>
  </w:style>
  <w:style w:type="character" w:customStyle="1" w:styleId="108">
    <w:name w:val="paramname"/>
    <w:basedOn w:val="58"/>
    <w:qFormat/>
    <w:uiPriority w:val="0"/>
    <w:rPr>
      <w:sz w:val="24"/>
    </w:rPr>
  </w:style>
  <w:style w:type="character" w:customStyle="1" w:styleId="109">
    <w:name w:val="HTML 预设格式 字符"/>
    <w:link w:val="51"/>
    <w:qFormat/>
    <w:uiPriority w:val="0"/>
    <w:rPr>
      <w:rFonts w:ascii="黑体" w:hAnsi="Courier New" w:eastAsia="黑体"/>
    </w:rPr>
  </w:style>
  <w:style w:type="character" w:customStyle="1" w:styleId="110">
    <w:name w:val="标题 31"/>
    <w:qFormat/>
    <w:uiPriority w:val="0"/>
    <w:rPr>
      <w:rFonts w:hint="eastAsia" w:ascii="黑体" w:hAnsi="ˎ̥" w:eastAsia="黑体"/>
      <w:sz w:val="28"/>
    </w:rPr>
  </w:style>
  <w:style w:type="character" w:customStyle="1" w:styleId="111">
    <w:name w:val="称呼 字符"/>
    <w:link w:val="22"/>
    <w:qFormat/>
    <w:uiPriority w:val="0"/>
    <w:rPr>
      <w:kern w:val="2"/>
      <w:sz w:val="28"/>
      <w:szCs w:val="24"/>
    </w:rPr>
  </w:style>
  <w:style w:type="character" w:customStyle="1" w:styleId="112">
    <w:name w:val="已访问的超链接1"/>
    <w:qFormat/>
    <w:uiPriority w:val="0"/>
    <w:rPr>
      <w:color w:val="800080"/>
      <w:sz w:val="24"/>
      <w:u w:val="single"/>
    </w:rPr>
  </w:style>
  <w:style w:type="character" w:customStyle="1" w:styleId="113">
    <w:name w:val="Footer1 Char Char"/>
    <w:qFormat/>
    <w:uiPriority w:val="0"/>
    <w:rPr>
      <w:rFonts w:ascii="Tahoma" w:hAnsi="Tahoma" w:eastAsia="宋体"/>
      <w:kern w:val="2"/>
      <w:sz w:val="18"/>
      <w:szCs w:val="18"/>
      <w:lang w:val="en-US" w:eastAsia="zh-CN" w:bidi="ar-SA"/>
    </w:rPr>
  </w:style>
  <w:style w:type="character" w:customStyle="1" w:styleId="114">
    <w:name w:val="Subtitle Char"/>
    <w:qFormat/>
    <w:locked/>
    <w:uiPriority w:val="99"/>
    <w:rPr>
      <w:rFonts w:ascii="Cambria" w:hAnsi="Cambria" w:cs="Cambria"/>
      <w:b/>
      <w:bCs/>
      <w:kern w:val="28"/>
      <w:sz w:val="32"/>
      <w:szCs w:val="32"/>
    </w:rPr>
  </w:style>
  <w:style w:type="character" w:customStyle="1" w:styleId="115">
    <w:name w:val="标题 9 字符"/>
    <w:link w:val="12"/>
    <w:qFormat/>
    <w:uiPriority w:val="0"/>
    <w:rPr>
      <w:rFonts w:ascii="Arial" w:hAnsi="Arial" w:eastAsia="黑体"/>
      <w:kern w:val="2"/>
      <w:sz w:val="21"/>
      <w:szCs w:val="24"/>
    </w:rPr>
  </w:style>
  <w:style w:type="character" w:customStyle="1" w:styleId="116">
    <w:name w:val="txt1"/>
    <w:qFormat/>
    <w:uiPriority w:val="0"/>
    <w:rPr>
      <w:rFonts w:hint="default" w:ascii="ˎ̥" w:hAnsi="ˎ̥"/>
      <w:sz w:val="18"/>
      <w:szCs w:val="18"/>
    </w:rPr>
  </w:style>
  <w:style w:type="character" w:customStyle="1" w:styleId="117">
    <w:name w:val="普通(网站) 字符"/>
    <w:qFormat/>
    <w:uiPriority w:val="0"/>
    <w:rPr>
      <w:rFonts w:ascii="宋体" w:hAnsi="宋体"/>
      <w:sz w:val="24"/>
      <w:szCs w:val="24"/>
    </w:rPr>
  </w:style>
  <w:style w:type="character" w:customStyle="1" w:styleId="118">
    <w:name w:val="Char Char Char"/>
    <w:qFormat/>
    <w:uiPriority w:val="0"/>
    <w:rPr>
      <w:rFonts w:ascii="Tahoma" w:hAnsi="Tahoma" w:eastAsia="宋体"/>
      <w:b/>
      <w:bCs/>
      <w:sz w:val="32"/>
      <w:szCs w:val="44"/>
      <w:lang w:val="en-US" w:eastAsia="zh-CN" w:bidi="ar-SA"/>
    </w:rPr>
  </w:style>
  <w:style w:type="character" w:customStyle="1" w:styleId="119">
    <w:name w:val="标题 1 字符"/>
    <w:link w:val="4"/>
    <w:qFormat/>
    <w:uiPriority w:val="9"/>
    <w:rPr>
      <w:rFonts w:ascii="宋体" w:hAnsi="宋体"/>
      <w:b/>
      <w:sz w:val="28"/>
      <w:szCs w:val="28"/>
    </w:rPr>
  </w:style>
  <w:style w:type="character" w:customStyle="1" w:styleId="120">
    <w:name w:val="页眉 Char Char"/>
    <w:qFormat/>
    <w:uiPriority w:val="0"/>
    <w:rPr>
      <w:kern w:val="2"/>
      <w:sz w:val="18"/>
      <w:szCs w:val="18"/>
    </w:rPr>
  </w:style>
  <w:style w:type="character" w:customStyle="1" w:styleId="121">
    <w:name w:val="列表编号 字符"/>
    <w:link w:val="14"/>
    <w:qFormat/>
    <w:uiPriority w:val="0"/>
    <w:rPr>
      <w:rFonts w:ascii="Tahoma" w:hAnsi="Tahoma" w:eastAsia="楷体_GB2312"/>
      <w:kern w:val="2"/>
      <w:sz w:val="24"/>
      <w:szCs w:val="24"/>
      <w:lang w:val="en-US" w:eastAsia="zh-CN" w:bidi="ar-SA"/>
    </w:rPr>
  </w:style>
  <w:style w:type="character" w:customStyle="1" w:styleId="122">
    <w:name w:val="p141"/>
    <w:qFormat/>
    <w:uiPriority w:val="0"/>
    <w:rPr>
      <w:sz w:val="21"/>
      <w:szCs w:val="21"/>
    </w:rPr>
  </w:style>
  <w:style w:type="character" w:customStyle="1" w:styleId="123">
    <w:name w:val="方案标题2 Char Char"/>
    <w:link w:val="107"/>
    <w:qFormat/>
    <w:uiPriority w:val="0"/>
    <w:rPr>
      <w:rFonts w:ascii="黑体" w:hAnsi="Arial" w:eastAsia="黑体"/>
      <w:b/>
      <w:snapToGrid w:val="0"/>
      <w:spacing w:val="14"/>
      <w:sz w:val="28"/>
      <w:szCs w:val="32"/>
      <w:lang w:val="en-US" w:eastAsia="zh-CN" w:bidi="ar-SA"/>
    </w:rPr>
  </w:style>
  <w:style w:type="character" w:customStyle="1" w:styleId="124">
    <w:name w:val="常规 Char Char"/>
    <w:link w:val="125"/>
    <w:qFormat/>
    <w:uiPriority w:val="0"/>
    <w:rPr>
      <w:rFonts w:ascii="Tahoma" w:hAnsi="Tahoma" w:eastAsia="宋体"/>
      <w:kern w:val="2"/>
      <w:sz w:val="21"/>
      <w:szCs w:val="21"/>
      <w:lang w:val="en-US" w:eastAsia="zh-CN" w:bidi="ar-SA"/>
    </w:rPr>
  </w:style>
  <w:style w:type="paragraph" w:customStyle="1" w:styleId="125">
    <w:name w:val="常规"/>
    <w:basedOn w:val="1"/>
    <w:link w:val="124"/>
    <w:qFormat/>
    <w:uiPriority w:val="0"/>
    <w:pPr>
      <w:spacing w:beforeLines="100" w:afterLines="100"/>
      <w:ind w:left="1134"/>
    </w:pPr>
    <w:rPr>
      <w:rFonts w:ascii="Tahoma" w:hAnsi="Tahoma"/>
      <w:kern w:val="2"/>
      <w:sz w:val="21"/>
      <w:szCs w:val="21"/>
    </w:rPr>
  </w:style>
  <w:style w:type="character" w:customStyle="1" w:styleId="126">
    <w:name w:val="表头 Char Char"/>
    <w:link w:val="127"/>
    <w:qFormat/>
    <w:uiPriority w:val="0"/>
    <w:rPr>
      <w:rFonts w:eastAsia="黑体"/>
      <w:spacing w:val="-10"/>
      <w:sz w:val="21"/>
      <w:lang w:val="en-US" w:eastAsia="zh-CN" w:bidi="ar-SA"/>
    </w:rPr>
  </w:style>
  <w:style w:type="paragraph" w:customStyle="1" w:styleId="127">
    <w:name w:val="表头"/>
    <w:basedOn w:val="1"/>
    <w:link w:val="126"/>
    <w:qFormat/>
    <w:uiPriority w:val="0"/>
    <w:pPr>
      <w:adjustRightInd w:val="0"/>
      <w:snapToGrid w:val="0"/>
      <w:spacing w:line="320" w:lineRule="atLeast"/>
      <w:jc w:val="center"/>
      <w:textAlignment w:val="baseline"/>
    </w:pPr>
    <w:rPr>
      <w:rFonts w:ascii="Times New Roman" w:eastAsia="黑体"/>
      <w:spacing w:val="-10"/>
      <w:sz w:val="21"/>
    </w:rPr>
  </w:style>
  <w:style w:type="character" w:customStyle="1" w:styleId="128">
    <w:name w:val="l15 Char Char"/>
    <w:link w:val="129"/>
    <w:qFormat/>
    <w:uiPriority w:val="0"/>
    <w:rPr>
      <w:color w:val="000000"/>
      <w:sz w:val="23"/>
      <w:szCs w:val="23"/>
    </w:rPr>
  </w:style>
  <w:style w:type="paragraph" w:customStyle="1" w:styleId="129">
    <w:name w:val="l15"/>
    <w:basedOn w:val="1"/>
    <w:link w:val="128"/>
    <w:qFormat/>
    <w:uiPriority w:val="0"/>
    <w:pPr>
      <w:widowControl/>
      <w:spacing w:before="100" w:beforeAutospacing="1" w:after="100" w:afterAutospacing="1" w:line="300" w:lineRule="atLeast"/>
      <w:jc w:val="left"/>
    </w:pPr>
    <w:rPr>
      <w:color w:val="000000"/>
      <w:sz w:val="23"/>
      <w:szCs w:val="23"/>
    </w:rPr>
  </w:style>
  <w:style w:type="character" w:customStyle="1" w:styleId="130">
    <w:name w:val="itm1"/>
    <w:qFormat/>
    <w:uiPriority w:val="0"/>
    <w:rPr>
      <w:rFonts w:hint="eastAsia" w:ascii="宋体" w:hAnsi="宋体" w:eastAsia="宋体"/>
      <w:sz w:val="21"/>
      <w:szCs w:val="21"/>
    </w:rPr>
  </w:style>
  <w:style w:type="character" w:customStyle="1" w:styleId="131">
    <w:name w:val="表蕊 Char1"/>
    <w:link w:val="132"/>
    <w:qFormat/>
    <w:uiPriority w:val="0"/>
    <w:rPr>
      <w:rFonts w:eastAsia="楷体_GB2312"/>
      <w:spacing w:val="-10"/>
      <w:sz w:val="21"/>
      <w:lang w:val="en-US" w:eastAsia="zh-CN" w:bidi="ar-SA"/>
    </w:rPr>
  </w:style>
  <w:style w:type="paragraph" w:customStyle="1" w:styleId="132">
    <w:name w:val="表蕊"/>
    <w:basedOn w:val="1"/>
    <w:link w:val="131"/>
    <w:qFormat/>
    <w:uiPriority w:val="0"/>
    <w:pPr>
      <w:adjustRightInd w:val="0"/>
      <w:spacing w:line="320" w:lineRule="atLeast"/>
      <w:jc w:val="left"/>
      <w:textAlignment w:val="baseline"/>
    </w:pPr>
    <w:rPr>
      <w:rFonts w:ascii="Times New Roman" w:eastAsia="楷体_GB2312"/>
      <w:spacing w:val="-10"/>
      <w:sz w:val="21"/>
    </w:rPr>
  </w:style>
  <w:style w:type="character" w:customStyle="1" w:styleId="133">
    <w:name w:val="正文文本 2 字符"/>
    <w:link w:val="50"/>
    <w:qFormat/>
    <w:uiPriority w:val="0"/>
    <w:rPr>
      <w:kern w:val="2"/>
      <w:sz w:val="30"/>
      <w:szCs w:val="24"/>
    </w:rPr>
  </w:style>
  <w:style w:type="character" w:customStyle="1" w:styleId="134">
    <w:name w:val="style3"/>
    <w:basedOn w:val="58"/>
    <w:qFormat/>
    <w:uiPriority w:val="0"/>
    <w:rPr>
      <w:sz w:val="24"/>
    </w:rPr>
  </w:style>
  <w:style w:type="character" w:customStyle="1" w:styleId="135">
    <w:name w:val="正文 + 宋体 Char"/>
    <w:link w:val="136"/>
    <w:qFormat/>
    <w:uiPriority w:val="0"/>
    <w:rPr>
      <w:rFonts w:ascii="宋体" w:hAnsi="宋体" w:eastAsia="宋体"/>
      <w:sz w:val="24"/>
      <w:szCs w:val="24"/>
      <w:lang w:val="en-US" w:eastAsia="zh-CN" w:bidi="ar-SA"/>
    </w:rPr>
  </w:style>
  <w:style w:type="paragraph" w:customStyle="1" w:styleId="136">
    <w:name w:val="正文 + 宋体"/>
    <w:basedOn w:val="50"/>
    <w:link w:val="135"/>
    <w:qFormat/>
    <w:uiPriority w:val="0"/>
    <w:pPr>
      <w:adjustRightInd/>
      <w:spacing w:after="120" w:line="480" w:lineRule="auto"/>
      <w:ind w:firstLine="0"/>
      <w:textAlignment w:val="auto"/>
    </w:pPr>
    <w:rPr>
      <w:rFonts w:ascii="宋体" w:hAnsi="宋体"/>
      <w:kern w:val="0"/>
      <w:sz w:val="24"/>
    </w:rPr>
  </w:style>
  <w:style w:type="character" w:customStyle="1" w:styleId="137">
    <w:name w:val="case31"/>
    <w:qFormat/>
    <w:uiPriority w:val="0"/>
    <w:rPr>
      <w:rFonts w:hint="default"/>
      <w:sz w:val="21"/>
      <w:szCs w:val="21"/>
    </w:rPr>
  </w:style>
  <w:style w:type="character" w:customStyle="1" w:styleId="138">
    <w:name w:val="纯文本 字符"/>
    <w:link w:val="31"/>
    <w:qFormat/>
    <w:uiPriority w:val="0"/>
    <w:rPr>
      <w:rFonts w:ascii="宋体" w:hAnsi="Courier New"/>
      <w:kern w:val="2"/>
      <w:sz w:val="21"/>
      <w:szCs w:val="21"/>
    </w:rPr>
  </w:style>
  <w:style w:type="character" w:customStyle="1" w:styleId="139">
    <w:name w:val="style31"/>
    <w:qFormat/>
    <w:uiPriority w:val="0"/>
    <w:rPr>
      <w:rFonts w:ascii="Tahoma" w:hAnsi="Tahoma"/>
      <w:sz w:val="23"/>
      <w:szCs w:val="23"/>
    </w:rPr>
  </w:style>
  <w:style w:type="character" w:customStyle="1" w:styleId="140">
    <w:name w:val="页脚 字符"/>
    <w:link w:val="37"/>
    <w:qFormat/>
    <w:uiPriority w:val="99"/>
    <w:rPr>
      <w:kern w:val="2"/>
      <w:sz w:val="18"/>
      <w:szCs w:val="18"/>
    </w:rPr>
  </w:style>
  <w:style w:type="character" w:customStyle="1" w:styleId="141">
    <w:name w:val="正文文本缩进 字符"/>
    <w:link w:val="25"/>
    <w:qFormat/>
    <w:uiPriority w:val="0"/>
    <w:rPr>
      <w:rFonts w:ascii="仿宋_GB2312" w:hAnsi="Tahoma" w:eastAsia="仿宋_GB2312"/>
      <w:sz w:val="28"/>
      <w:szCs w:val="20"/>
    </w:rPr>
  </w:style>
  <w:style w:type="character" w:customStyle="1" w:styleId="142">
    <w:name w:val="标题 3 字符"/>
    <w:link w:val="6"/>
    <w:qFormat/>
    <w:uiPriority w:val="0"/>
    <w:rPr>
      <w:rFonts w:ascii="宋体" w:hAnsi="宋体"/>
      <w:b/>
      <w:bCs/>
      <w:kern w:val="2"/>
      <w:sz w:val="24"/>
      <w:szCs w:val="24"/>
      <w:lang w:val="zh-CN"/>
    </w:rPr>
  </w:style>
  <w:style w:type="character" w:customStyle="1" w:styleId="143">
    <w:name w:val="Table Text Char Char"/>
    <w:qFormat/>
    <w:uiPriority w:val="0"/>
    <w:rPr>
      <w:rFonts w:ascii="Arial" w:hAnsi="Arial"/>
      <w:sz w:val="18"/>
      <w:lang w:val="en-US" w:eastAsia="zh-CN" w:bidi="ar-SA"/>
    </w:rPr>
  </w:style>
  <w:style w:type="character" w:customStyle="1" w:styleId="144">
    <w:name w:val="批注主题 字符"/>
    <w:link w:val="55"/>
    <w:qFormat/>
    <w:uiPriority w:val="99"/>
    <w:rPr>
      <w:b/>
      <w:bCs/>
      <w:kern w:val="2"/>
      <w:sz w:val="21"/>
      <w:szCs w:val="24"/>
    </w:rPr>
  </w:style>
  <w:style w:type="character" w:customStyle="1" w:styleId="145">
    <w:name w:val="公文正文 Char Char"/>
    <w:link w:val="146"/>
    <w:qFormat/>
    <w:uiPriority w:val="0"/>
    <w:rPr>
      <w:rFonts w:ascii="仿宋_GB2312" w:hAnsi="宋体" w:eastAsia="仿宋_GB2312"/>
      <w:kern w:val="28"/>
      <w:sz w:val="28"/>
      <w:szCs w:val="24"/>
      <w:lang w:val="en-US" w:eastAsia="zh-CN" w:bidi="ar-SA"/>
    </w:rPr>
  </w:style>
  <w:style w:type="paragraph" w:customStyle="1" w:styleId="146">
    <w:name w:val="公文正文"/>
    <w:link w:val="145"/>
    <w:qFormat/>
    <w:uiPriority w:val="0"/>
    <w:pPr>
      <w:ind w:firstLine="200" w:firstLineChars="200"/>
    </w:pPr>
    <w:rPr>
      <w:rFonts w:ascii="仿宋_GB2312" w:hAnsi="宋体" w:eastAsia="仿宋_GB2312" w:cs="Times New Roman"/>
      <w:kern w:val="28"/>
      <w:sz w:val="28"/>
      <w:szCs w:val="24"/>
      <w:lang w:val="en-US" w:eastAsia="zh-CN" w:bidi="ar-SA"/>
    </w:rPr>
  </w:style>
  <w:style w:type="character" w:customStyle="1" w:styleId="147">
    <w:name w:val="孙普文字 Char Char"/>
    <w:qFormat/>
    <w:uiPriority w:val="0"/>
    <w:rPr>
      <w:rFonts w:ascii="宋体" w:hAnsi="Courier New" w:eastAsia="宋体"/>
      <w:sz w:val="21"/>
      <w:szCs w:val="21"/>
      <w:lang w:val="en-US" w:eastAsia="zh-CN" w:bidi="ar-SA"/>
    </w:rPr>
  </w:style>
  <w:style w:type="character" w:customStyle="1" w:styleId="148">
    <w:name w:val="批注框文本 字符"/>
    <w:link w:val="36"/>
    <w:qFormat/>
    <w:uiPriority w:val="99"/>
    <w:rPr>
      <w:kern w:val="2"/>
      <w:sz w:val="18"/>
      <w:szCs w:val="18"/>
    </w:rPr>
  </w:style>
  <w:style w:type="character" w:customStyle="1" w:styleId="149">
    <w:name w:val="textnorm_chn1"/>
    <w:qFormat/>
    <w:uiPriority w:val="0"/>
    <w:rPr>
      <w:rFonts w:hint="default" w:ascii="Arial" w:hAnsi="Arial" w:cs="Arial"/>
      <w:color w:val="21254A"/>
      <w:sz w:val="22"/>
      <w:szCs w:val="22"/>
    </w:rPr>
  </w:style>
  <w:style w:type="character" w:customStyle="1" w:styleId="150">
    <w:name w:val="标题 2 Char Char Char Char Char Char Char Char Char Char"/>
    <w:qFormat/>
    <w:uiPriority w:val="0"/>
    <w:rPr>
      <w:rFonts w:ascii="Arial" w:hAnsi="Arial" w:eastAsia="黑体"/>
      <w:b/>
      <w:bCs/>
      <w:kern w:val="2"/>
      <w:sz w:val="32"/>
      <w:szCs w:val="32"/>
      <w:lang w:val="en-US" w:eastAsia="zh-CN" w:bidi="ar-SA"/>
    </w:rPr>
  </w:style>
  <w:style w:type="character" w:customStyle="1" w:styleId="151">
    <w:name w:val="Char Char Char1"/>
    <w:qFormat/>
    <w:uiPriority w:val="0"/>
    <w:rPr>
      <w:rFonts w:eastAsia="宋体"/>
      <w:b/>
      <w:bCs/>
      <w:sz w:val="32"/>
      <w:szCs w:val="44"/>
      <w:lang w:val="en-US" w:eastAsia="zh-CN" w:bidi="ar-SA"/>
    </w:rPr>
  </w:style>
  <w:style w:type="character" w:customStyle="1" w:styleId="152">
    <w:name w:val="param-name param-explain"/>
    <w:basedOn w:val="58"/>
    <w:qFormat/>
    <w:uiPriority w:val="99"/>
    <w:rPr>
      <w:sz w:val="24"/>
    </w:rPr>
  </w:style>
  <w:style w:type="character" w:customStyle="1" w:styleId="153">
    <w:name w:val="标题 字符"/>
    <w:link w:val="54"/>
    <w:qFormat/>
    <w:uiPriority w:val="99"/>
    <w:rPr>
      <w:rFonts w:ascii="Arial" w:hAnsi="Arial" w:cs="Arial"/>
      <w:b/>
      <w:bCs/>
      <w:kern w:val="2"/>
      <w:sz w:val="32"/>
      <w:szCs w:val="32"/>
    </w:rPr>
  </w:style>
  <w:style w:type="character" w:customStyle="1" w:styleId="154">
    <w:name w:val="标题 5 字符"/>
    <w:link w:val="8"/>
    <w:qFormat/>
    <w:uiPriority w:val="0"/>
    <w:rPr>
      <w:rFonts w:ascii="黑体" w:hAnsi="Tahoma" w:eastAsia="黑体"/>
      <w:b/>
      <w:bCs/>
      <w:kern w:val="2"/>
      <w:sz w:val="28"/>
      <w:szCs w:val="28"/>
    </w:rPr>
  </w:style>
  <w:style w:type="paragraph" w:customStyle="1" w:styleId="15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sz w:val="24"/>
    </w:rPr>
  </w:style>
  <w:style w:type="paragraph" w:customStyle="1" w:styleId="157">
    <w:name w:val="标准式样"/>
    <w:basedOn w:val="158"/>
    <w:qFormat/>
    <w:uiPriority w:val="0"/>
  </w:style>
  <w:style w:type="paragraph" w:customStyle="1" w:styleId="158">
    <w:name w:val="目录 21"/>
    <w:basedOn w:val="1"/>
    <w:next w:val="1"/>
    <w:qFormat/>
    <w:uiPriority w:val="0"/>
    <w:pPr>
      <w:adjustRightInd w:val="0"/>
      <w:spacing w:line="288" w:lineRule="auto"/>
      <w:ind w:left="210" w:firstLine="420"/>
      <w:jc w:val="left"/>
      <w:textAlignment w:val="baseline"/>
    </w:pPr>
    <w:rPr>
      <w:smallCaps/>
      <w:sz w:val="20"/>
    </w:rPr>
  </w:style>
  <w:style w:type="paragraph" w:customStyle="1" w:styleId="159">
    <w:name w:val="Char"/>
    <w:basedOn w:val="19"/>
    <w:qFormat/>
    <w:uiPriority w:val="0"/>
    <w:pPr>
      <w:tabs>
        <w:tab w:val="left" w:pos="2040"/>
      </w:tabs>
      <w:ind w:left="2040" w:leftChars="800" w:hanging="360" w:firstLineChars="183"/>
    </w:pPr>
    <w:rPr>
      <w:rFonts w:ascii="Tahoma" w:hAnsi="Tahoma"/>
      <w:sz w:val="24"/>
    </w:rPr>
  </w:style>
  <w:style w:type="paragraph" w:customStyle="1" w:styleId="16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sz w:val="20"/>
    </w:rPr>
  </w:style>
  <w:style w:type="paragraph" w:customStyle="1" w:styleId="161">
    <w:name w:val="题注4"/>
    <w:basedOn w:val="1"/>
    <w:next w:val="16"/>
    <w:qFormat/>
    <w:uiPriority w:val="0"/>
    <w:pPr>
      <w:jc w:val="center"/>
    </w:pPr>
    <w:rPr>
      <w:b/>
      <w:color w:val="000000"/>
      <w:szCs w:val="21"/>
      <w:lang w:val="en-GB"/>
    </w:rPr>
  </w:style>
  <w:style w:type="paragraph" w:customStyle="1" w:styleId="16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163">
    <w:name w:val="font0"/>
    <w:basedOn w:val="1"/>
    <w:qFormat/>
    <w:uiPriority w:val="0"/>
    <w:pPr>
      <w:widowControl/>
      <w:spacing w:before="100" w:beforeAutospacing="1" w:after="100" w:afterAutospacing="1"/>
      <w:jc w:val="left"/>
    </w:pPr>
    <w:rPr>
      <w:rFonts w:hint="eastAsia" w:hAnsi="宋体"/>
      <w:sz w:val="18"/>
      <w:szCs w:val="18"/>
    </w:rPr>
  </w:style>
  <w:style w:type="paragraph" w:customStyle="1" w:styleId="164">
    <w:name w:val="简介正文"/>
    <w:basedOn w:val="1"/>
    <w:qFormat/>
    <w:uiPriority w:val="0"/>
    <w:pPr>
      <w:adjustRightInd w:val="0"/>
      <w:spacing w:after="20" w:line="520" w:lineRule="exact"/>
      <w:ind w:left="1701" w:hanging="1701"/>
      <w:textAlignment w:val="baseline"/>
    </w:pPr>
    <w:rPr>
      <w:sz w:val="24"/>
    </w:rPr>
  </w:style>
  <w:style w:type="paragraph" w:customStyle="1" w:styleId="165">
    <w:name w:val="项目编号"/>
    <w:basedOn w:val="1"/>
    <w:qFormat/>
    <w:uiPriority w:val="0"/>
    <w:pPr>
      <w:tabs>
        <w:tab w:val="left" w:pos="405"/>
      </w:tabs>
      <w:spacing w:line="360" w:lineRule="auto"/>
      <w:ind w:left="405" w:hanging="405"/>
    </w:pPr>
    <w:rPr>
      <w:rFonts w:eastAsia="仿宋_GB2312"/>
      <w:sz w:val="24"/>
    </w:rPr>
  </w:style>
  <w:style w:type="paragraph" w:customStyle="1" w:styleId="16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20"/>
    </w:rPr>
  </w:style>
  <w:style w:type="paragraph" w:customStyle="1" w:styleId="167">
    <w:name w:val="xl38"/>
    <w:basedOn w:val="1"/>
    <w:qFormat/>
    <w:uiPriority w:val="0"/>
    <w:pPr>
      <w:widowControl/>
      <w:spacing w:before="100" w:beforeAutospacing="1" w:after="100" w:afterAutospacing="1"/>
      <w:jc w:val="center"/>
    </w:pPr>
    <w:rPr>
      <w:rFonts w:hint="eastAsia" w:ascii="隶书" w:hAnsi="宋体" w:eastAsia="隶书"/>
      <w:b/>
      <w:bCs/>
      <w:sz w:val="48"/>
      <w:szCs w:val="48"/>
    </w:rPr>
  </w:style>
  <w:style w:type="paragraph" w:customStyle="1" w:styleId="16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22"/>
      <w:szCs w:val="22"/>
    </w:rPr>
  </w:style>
  <w:style w:type="paragraph" w:customStyle="1" w:styleId="169">
    <w:name w:val="xl50"/>
    <w:basedOn w:val="1"/>
    <w:qFormat/>
    <w:uiPriority w:val="0"/>
    <w:pPr>
      <w:widowControl/>
      <w:spacing w:before="100" w:beforeAutospacing="1" w:after="100" w:afterAutospacing="1"/>
      <w:jc w:val="center"/>
      <w:textAlignment w:val="center"/>
    </w:pPr>
    <w:rPr>
      <w:rFonts w:hAnsi="宋体"/>
      <w:b/>
      <w:bCs/>
      <w:sz w:val="40"/>
      <w:szCs w:val="40"/>
    </w:rPr>
  </w:style>
  <w:style w:type="paragraph" w:customStyle="1" w:styleId="17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sz w:val="24"/>
    </w:rPr>
  </w:style>
  <w:style w:type="paragraph" w:customStyle="1" w:styleId="171">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Ansi="宋体"/>
      <w:b/>
      <w:bCs/>
      <w:sz w:val="20"/>
    </w:rPr>
  </w:style>
  <w:style w:type="paragraph" w:customStyle="1" w:styleId="172">
    <w:name w:val="样式 段前: 7.8 磅"/>
    <w:basedOn w:val="1"/>
    <w:qFormat/>
    <w:uiPriority w:val="0"/>
    <w:pPr>
      <w:tabs>
        <w:tab w:val="left" w:pos="1559"/>
      </w:tabs>
      <w:spacing w:before="156"/>
      <w:ind w:left="1559" w:firstLine="200" w:firstLineChars="200"/>
    </w:pPr>
  </w:style>
  <w:style w:type="paragraph" w:customStyle="1" w:styleId="173">
    <w:name w:val="函数注释2"/>
    <w:basedOn w:val="1"/>
    <w:qFormat/>
    <w:uiPriority w:val="0"/>
    <w:pPr>
      <w:adjustRightInd w:val="0"/>
      <w:spacing w:after="20" w:line="288" w:lineRule="auto"/>
      <w:ind w:left="1680" w:firstLine="420"/>
      <w:textAlignment w:val="baseline"/>
    </w:pPr>
  </w:style>
  <w:style w:type="paragraph" w:customStyle="1" w:styleId="174">
    <w:name w:val="小点说明"/>
    <w:basedOn w:val="1"/>
    <w:qFormat/>
    <w:uiPriority w:val="0"/>
    <w:pPr>
      <w:adjustRightInd w:val="0"/>
      <w:snapToGrid w:val="0"/>
      <w:spacing w:line="360" w:lineRule="auto"/>
    </w:pPr>
    <w:rPr>
      <w:rFonts w:hAnsi="宋体"/>
      <w:sz w:val="24"/>
    </w:rPr>
  </w:style>
  <w:style w:type="paragraph" w:customStyle="1" w:styleId="175">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hAnsi="宋体"/>
      <w:color w:val="0000FF"/>
      <w:sz w:val="24"/>
    </w:rPr>
  </w:style>
  <w:style w:type="paragraph" w:customStyle="1" w:styleId="17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2"/>
      <w:szCs w:val="22"/>
    </w:rPr>
  </w:style>
  <w:style w:type="paragraph" w:customStyle="1" w:styleId="177">
    <w:name w:val="Char Char Char Char Char Char"/>
    <w:basedOn w:val="1"/>
    <w:qFormat/>
    <w:uiPriority w:val="0"/>
    <w:pPr>
      <w:widowControl/>
      <w:spacing w:after="160" w:line="240" w:lineRule="exact"/>
      <w:jc w:val="left"/>
    </w:pPr>
    <w:rPr>
      <w:rFonts w:ascii="黑体" w:hAnsi="Verdana" w:eastAsia="黑体"/>
      <w:sz w:val="32"/>
      <w:szCs w:val="32"/>
    </w:rPr>
  </w:style>
  <w:style w:type="paragraph" w:customStyle="1" w:styleId="178">
    <w:name w:val="项目编号1"/>
    <w:basedOn w:val="1"/>
    <w:next w:val="1"/>
    <w:qFormat/>
    <w:uiPriority w:val="0"/>
    <w:pPr>
      <w:numPr>
        <w:ilvl w:val="0"/>
        <w:numId w:val="3"/>
      </w:numPr>
      <w:spacing w:line="360" w:lineRule="auto"/>
      <w:jc w:val="left"/>
    </w:pPr>
    <w:rPr>
      <w:sz w:val="24"/>
    </w:rPr>
  </w:style>
  <w:style w:type="paragraph" w:customStyle="1" w:styleId="179">
    <w:name w:val="目录"/>
    <w:basedOn w:val="1"/>
    <w:next w:val="1"/>
    <w:qFormat/>
    <w:uiPriority w:val="0"/>
    <w:pPr>
      <w:adjustRightInd w:val="0"/>
      <w:spacing w:before="360" w:after="360" w:line="360" w:lineRule="auto"/>
      <w:ind w:firstLine="420"/>
      <w:jc w:val="center"/>
      <w:textAlignment w:val="baseline"/>
    </w:pPr>
    <w:rPr>
      <w:b/>
      <w:spacing w:val="200"/>
      <w:sz w:val="36"/>
    </w:rPr>
  </w:style>
  <w:style w:type="paragraph" w:customStyle="1" w:styleId="180">
    <w:name w:val="目录文字"/>
    <w:basedOn w:val="1"/>
    <w:qFormat/>
    <w:uiPriority w:val="0"/>
    <w:pPr>
      <w:widowControl/>
      <w:spacing w:line="480" w:lineRule="auto"/>
      <w:jc w:val="left"/>
    </w:pPr>
    <w:rPr>
      <w:rFonts w:hAnsi="宋体"/>
      <w:sz w:val="24"/>
    </w:rPr>
  </w:style>
  <w:style w:type="paragraph" w:customStyle="1" w:styleId="181">
    <w:name w:val="Char2"/>
    <w:basedOn w:val="1"/>
    <w:qFormat/>
    <w:uiPriority w:val="0"/>
    <w:pPr>
      <w:spacing w:line="240" w:lineRule="atLeast"/>
      <w:ind w:left="420" w:firstLine="420"/>
    </w:pPr>
    <w:rPr>
      <w:szCs w:val="21"/>
    </w:rPr>
  </w:style>
  <w:style w:type="paragraph" w:customStyle="1" w:styleId="182">
    <w:name w:val="xl69"/>
    <w:basedOn w:val="1"/>
    <w:qFormat/>
    <w:uiPriority w:val="0"/>
    <w:pPr>
      <w:widowControl/>
      <w:spacing w:before="100" w:beforeAutospacing="1" w:after="100" w:afterAutospacing="1"/>
      <w:jc w:val="center"/>
    </w:pPr>
    <w:rPr>
      <w:rFonts w:ascii="微软雅黑" w:hAnsi="微软雅黑" w:eastAsia="微软雅黑" w:cs="宋体"/>
      <w:sz w:val="13"/>
      <w:szCs w:val="13"/>
    </w:rPr>
  </w:style>
  <w:style w:type="paragraph" w:customStyle="1" w:styleId="183">
    <w:name w:val="菲页1"/>
    <w:basedOn w:val="5"/>
    <w:qFormat/>
    <w:uiPriority w:val="0"/>
    <w:pPr>
      <w:widowControl/>
      <w:tabs>
        <w:tab w:val="left" w:pos="567"/>
      </w:tabs>
      <w:ind w:firstLine="0" w:firstLineChars="0"/>
      <w:jc w:val="center"/>
    </w:pPr>
    <w:rPr>
      <w:rFonts w:ascii="黑体"/>
      <w:b w:val="0"/>
      <w:bCs w:val="0"/>
      <w:sz w:val="52"/>
    </w:rPr>
  </w:style>
  <w:style w:type="paragraph" w:customStyle="1" w:styleId="184">
    <w:name w:val="图形"/>
    <w:basedOn w:val="1"/>
    <w:qFormat/>
    <w:uiPriority w:val="0"/>
    <w:pPr>
      <w:adjustRightInd w:val="0"/>
      <w:spacing w:after="20" w:line="288" w:lineRule="auto"/>
      <w:ind w:firstLine="420"/>
      <w:jc w:val="center"/>
      <w:textAlignment w:val="baseline"/>
    </w:pPr>
  </w:style>
  <w:style w:type="paragraph" w:customStyle="1" w:styleId="185">
    <w:name w:val="MM Topic 3"/>
    <w:basedOn w:val="6"/>
    <w:qFormat/>
    <w:uiPriority w:val="0"/>
    <w:pPr>
      <w:tabs>
        <w:tab w:val="left" w:pos="360"/>
      </w:tabs>
      <w:ind w:left="360" w:hanging="360"/>
    </w:pPr>
    <w:rPr>
      <w:rFonts w:ascii="Times New Roman"/>
    </w:rPr>
  </w:style>
  <w:style w:type="paragraph" w:customStyle="1" w:styleId="186">
    <w:name w:val="xl71"/>
    <w:basedOn w:val="1"/>
    <w:qFormat/>
    <w:uiPriority w:val="0"/>
    <w:pPr>
      <w:widowControl/>
      <w:spacing w:before="100" w:beforeAutospacing="1" w:after="100" w:afterAutospacing="1"/>
      <w:jc w:val="center"/>
    </w:pPr>
    <w:rPr>
      <w:rFonts w:ascii="微软雅黑" w:hAnsi="微软雅黑" w:eastAsia="微软雅黑" w:cs="宋体"/>
      <w:sz w:val="13"/>
      <w:szCs w:val="13"/>
    </w:rPr>
  </w:style>
  <w:style w:type="paragraph" w:customStyle="1" w:styleId="18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188">
    <w:name w:val="行文"/>
    <w:basedOn w:val="1"/>
    <w:qFormat/>
    <w:uiPriority w:val="0"/>
    <w:pPr>
      <w:spacing w:line="480" w:lineRule="exact"/>
      <w:ind w:firstLine="624"/>
    </w:pPr>
    <w:rPr>
      <w:rFonts w:eastAsia="仿宋_GB2312"/>
      <w:sz w:val="30"/>
    </w:rPr>
  </w:style>
  <w:style w:type="paragraph" w:customStyle="1" w:styleId="189">
    <w:name w:val="样式一"/>
    <w:basedOn w:val="1"/>
    <w:qFormat/>
    <w:uiPriority w:val="0"/>
    <w:pPr>
      <w:tabs>
        <w:tab w:val="left" w:pos="1080"/>
      </w:tabs>
      <w:autoSpaceDE w:val="0"/>
      <w:autoSpaceDN w:val="0"/>
      <w:adjustRightInd w:val="0"/>
      <w:spacing w:before="100" w:after="100" w:line="360" w:lineRule="exact"/>
      <w:ind w:left="340" w:hanging="340"/>
      <w:textAlignment w:val="baseline"/>
    </w:pPr>
    <w:rPr>
      <w:rFonts w:hAnsi="宋体" w:eastAsia="黑体"/>
      <w:sz w:val="24"/>
      <w:lang w:val="en-GB"/>
    </w:rPr>
  </w:style>
  <w:style w:type="paragraph" w:customStyle="1" w:styleId="190">
    <w:name w:val="样式1"/>
    <w:basedOn w:val="1"/>
    <w:qFormat/>
    <w:uiPriority w:val="0"/>
    <w:pPr>
      <w:spacing w:before="120" w:after="120" w:line="300" w:lineRule="auto"/>
    </w:pPr>
    <w:rPr>
      <w:rFonts w:hAnsi="宋体"/>
      <w:b/>
      <w:sz w:val="24"/>
    </w:rPr>
  </w:style>
  <w:style w:type="paragraph" w:customStyle="1" w:styleId="191">
    <w:name w:val="xl4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Ansi="宋体"/>
      <w:b/>
      <w:bCs/>
      <w:sz w:val="20"/>
    </w:rPr>
  </w:style>
  <w:style w:type="paragraph" w:customStyle="1" w:styleId="192">
    <w:name w:val="Char Char1 Char Char Char Char Char Char"/>
    <w:basedOn w:val="1"/>
    <w:qFormat/>
    <w:uiPriority w:val="0"/>
    <w:rPr>
      <w:rFonts w:ascii="Tahoma" w:hAnsi="Tahoma"/>
      <w:sz w:val="24"/>
    </w:rPr>
  </w:style>
  <w:style w:type="paragraph" w:customStyle="1" w:styleId="193">
    <w:name w:val="标准文字"/>
    <w:basedOn w:val="1"/>
    <w:qFormat/>
    <w:uiPriority w:val="0"/>
    <w:pPr>
      <w:adjustRightInd w:val="0"/>
      <w:spacing w:after="20" w:line="360" w:lineRule="auto"/>
      <w:ind w:firstLine="420"/>
      <w:textAlignment w:val="baseline"/>
    </w:pPr>
  </w:style>
  <w:style w:type="paragraph" w:customStyle="1" w:styleId="194">
    <w:name w:val="项目编号3"/>
    <w:basedOn w:val="1"/>
    <w:next w:val="1"/>
    <w:qFormat/>
    <w:uiPriority w:val="0"/>
    <w:pPr>
      <w:numPr>
        <w:ilvl w:val="0"/>
        <w:numId w:val="4"/>
      </w:numPr>
      <w:spacing w:line="360" w:lineRule="auto"/>
      <w:ind w:left="0" w:firstLine="200" w:firstLineChars="200"/>
      <w:jc w:val="left"/>
    </w:pPr>
    <w:rPr>
      <w:sz w:val="24"/>
    </w:rPr>
  </w:style>
  <w:style w:type="paragraph" w:customStyle="1" w:styleId="195">
    <w:name w:val="方案标题1"/>
    <w:basedOn w:val="4"/>
    <w:qFormat/>
    <w:uiPriority w:val="0"/>
    <w:pPr>
      <w:pageBreakBefore/>
      <w:tabs>
        <w:tab w:val="left" w:pos="1800"/>
      </w:tabs>
      <w:snapToGrid w:val="0"/>
      <w:spacing w:before="200"/>
      <w:jc w:val="both"/>
    </w:pPr>
    <w:rPr>
      <w:rFonts w:ascii="Arial" w:hAnsi="Arial"/>
      <w:b w:val="0"/>
      <w:bCs/>
      <w:spacing w:val="14"/>
      <w:kern w:val="2"/>
      <w:sz w:val="32"/>
      <w:szCs w:val="36"/>
    </w:rPr>
  </w:style>
  <w:style w:type="paragraph" w:customStyle="1" w:styleId="196">
    <w:name w:val="正文段"/>
    <w:basedOn w:val="1"/>
    <w:qFormat/>
    <w:uiPriority w:val="0"/>
    <w:pPr>
      <w:widowControl/>
      <w:snapToGrid w:val="0"/>
      <w:spacing w:afterLines="50"/>
      <w:ind w:firstLine="200" w:firstLineChars="200"/>
    </w:pPr>
    <w:rPr>
      <w:sz w:val="24"/>
    </w:rPr>
  </w:style>
  <w:style w:type="paragraph" w:customStyle="1" w:styleId="197">
    <w:name w:val="xl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Ansi="宋体"/>
      <w:color w:val="000000"/>
      <w:sz w:val="24"/>
    </w:rPr>
  </w:style>
  <w:style w:type="paragraph" w:customStyle="1" w:styleId="198">
    <w:name w:val="目录 71"/>
    <w:basedOn w:val="1"/>
    <w:next w:val="1"/>
    <w:qFormat/>
    <w:uiPriority w:val="0"/>
    <w:pPr>
      <w:adjustRightInd w:val="0"/>
      <w:spacing w:line="288" w:lineRule="auto"/>
      <w:ind w:left="1260" w:firstLine="420"/>
      <w:jc w:val="left"/>
      <w:textAlignment w:val="baseline"/>
    </w:pPr>
    <w:rPr>
      <w:sz w:val="18"/>
      <w:szCs w:val="18"/>
    </w:rPr>
  </w:style>
  <w:style w:type="paragraph" w:customStyle="1" w:styleId="199">
    <w:name w:val="Char1"/>
    <w:basedOn w:val="1"/>
    <w:qFormat/>
    <w:uiPriority w:val="0"/>
    <w:pPr>
      <w:widowControl/>
      <w:spacing w:after="160" w:line="240" w:lineRule="exact"/>
      <w:jc w:val="left"/>
    </w:pPr>
    <w:rPr>
      <w:rFonts w:ascii="Verdana" w:hAnsi="Verdana"/>
      <w:sz w:val="20"/>
      <w:lang w:eastAsia="en-US"/>
    </w:rPr>
  </w:style>
  <w:style w:type="paragraph" w:customStyle="1" w:styleId="200">
    <w:name w:val="xl63"/>
    <w:basedOn w:val="1"/>
    <w:qFormat/>
    <w:uiPriority w:val="0"/>
    <w:pPr>
      <w:widowControl/>
      <w:spacing w:before="100" w:beforeAutospacing="1" w:after="100" w:afterAutospacing="1"/>
      <w:jc w:val="left"/>
    </w:pPr>
    <w:rPr>
      <w:rFonts w:ascii="微软雅黑" w:hAnsi="微软雅黑" w:eastAsia="微软雅黑" w:cs="宋体"/>
      <w:sz w:val="13"/>
      <w:szCs w:val="13"/>
    </w:rPr>
  </w:style>
  <w:style w:type="paragraph" w:customStyle="1" w:styleId="201">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sz w:val="20"/>
    </w:rPr>
  </w:style>
  <w:style w:type="paragraph" w:customStyle="1" w:styleId="202">
    <w:name w:val="默认段落字体 Para Char"/>
    <w:basedOn w:val="1"/>
    <w:qFormat/>
    <w:uiPriority w:val="0"/>
    <w:pPr>
      <w:tabs>
        <w:tab w:val="left" w:pos="1620"/>
      </w:tabs>
      <w:ind w:left="1620" w:hanging="420"/>
    </w:pPr>
    <w:rPr>
      <w:sz w:val="24"/>
    </w:rPr>
  </w:style>
  <w:style w:type="paragraph" w:customStyle="1" w:styleId="203">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hAnsi="宋体"/>
      <w:b/>
      <w:sz w:val="30"/>
    </w:rPr>
  </w:style>
  <w:style w:type="paragraph" w:customStyle="1" w:styleId="204">
    <w:name w:val="wen"/>
    <w:basedOn w:val="1"/>
    <w:qFormat/>
    <w:uiPriority w:val="0"/>
    <w:pPr>
      <w:widowControl/>
      <w:overflowPunct w:val="0"/>
      <w:autoSpaceDE w:val="0"/>
      <w:autoSpaceDN w:val="0"/>
      <w:spacing w:beforeLines="50" w:afterLines="50" w:line="360" w:lineRule="auto"/>
    </w:pPr>
    <w:rPr>
      <w:rFonts w:ascii="仿宋_GB2312" w:hAnsi="华文仿宋" w:eastAsia="仿宋_GB2312"/>
      <w:snapToGrid w:val="0"/>
      <w:szCs w:val="21"/>
    </w:rPr>
  </w:style>
  <w:style w:type="paragraph" w:customStyle="1" w:styleId="205">
    <w:name w:val="Char1 Char Char Char Char Char Char"/>
    <w:basedOn w:val="1"/>
    <w:next w:val="1"/>
    <w:qFormat/>
    <w:uiPriority w:val="0"/>
    <w:pPr>
      <w:keepNext/>
      <w:keepLines/>
      <w:pageBreakBefore/>
    </w:pPr>
    <w:rPr>
      <w:rFonts w:ascii="Tahoma" w:hAnsi="Tahoma"/>
      <w:sz w:val="24"/>
    </w:rPr>
  </w:style>
  <w:style w:type="paragraph" w:customStyle="1" w:styleId="206">
    <w:name w:val="xl2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hAnsi="宋体"/>
      <w:b/>
      <w:bCs/>
      <w:sz w:val="20"/>
    </w:rPr>
  </w:style>
  <w:style w:type="paragraph" w:customStyle="1" w:styleId="20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20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hAnsi="宋体"/>
      <w:b/>
      <w:bCs/>
      <w:sz w:val="20"/>
    </w:rPr>
  </w:style>
  <w:style w:type="paragraph" w:customStyle="1" w:styleId="20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sz w:val="20"/>
    </w:rPr>
  </w:style>
  <w:style w:type="paragraph" w:customStyle="1" w:styleId="210">
    <w:name w:val="xl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hAnsi="宋体"/>
      <w:color w:val="000000"/>
      <w:sz w:val="24"/>
    </w:rPr>
  </w:style>
  <w:style w:type="paragraph" w:customStyle="1" w:styleId="21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sz w:val="20"/>
    </w:rPr>
  </w:style>
  <w:style w:type="paragraph" w:customStyle="1" w:styleId="21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213">
    <w:name w:val="Char2 Char Char Char"/>
    <w:basedOn w:val="19"/>
    <w:qFormat/>
    <w:uiPriority w:val="0"/>
    <w:rPr>
      <w:rFonts w:ascii="Tahoma" w:hAnsi="Tahoma"/>
      <w:sz w:val="24"/>
    </w:rPr>
  </w:style>
  <w:style w:type="paragraph" w:customStyle="1" w:styleId="214">
    <w:name w:val="xl72"/>
    <w:basedOn w:val="1"/>
    <w:qFormat/>
    <w:uiPriority w:val="0"/>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sz w:val="13"/>
      <w:szCs w:val="13"/>
    </w:rPr>
  </w:style>
  <w:style w:type="paragraph" w:customStyle="1" w:styleId="215">
    <w:name w:val="目录 51"/>
    <w:basedOn w:val="1"/>
    <w:next w:val="1"/>
    <w:qFormat/>
    <w:uiPriority w:val="0"/>
    <w:pPr>
      <w:adjustRightInd w:val="0"/>
      <w:spacing w:line="288" w:lineRule="auto"/>
      <w:ind w:left="840" w:firstLine="420"/>
      <w:jc w:val="left"/>
      <w:textAlignment w:val="baseline"/>
    </w:pPr>
    <w:rPr>
      <w:sz w:val="18"/>
      <w:szCs w:val="18"/>
    </w:rPr>
  </w:style>
  <w:style w:type="paragraph" w:customStyle="1" w:styleId="216">
    <w:name w:val="xl2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Ansi="宋体"/>
      <w:b/>
      <w:bCs/>
      <w:sz w:val="20"/>
    </w:rPr>
  </w:style>
  <w:style w:type="paragraph" w:customStyle="1" w:styleId="217">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b/>
      <w:bCs/>
      <w:sz w:val="20"/>
    </w:rPr>
  </w:style>
  <w:style w:type="paragraph" w:customStyle="1" w:styleId="218">
    <w:name w:val="xl51"/>
    <w:basedOn w:val="1"/>
    <w:qFormat/>
    <w:uiPriority w:val="0"/>
    <w:pPr>
      <w:widowControl/>
      <w:pBdr>
        <w:bottom w:val="single" w:color="000000" w:sz="4" w:space="0"/>
      </w:pBdr>
      <w:spacing w:before="100" w:beforeAutospacing="1" w:after="100" w:afterAutospacing="1"/>
      <w:jc w:val="left"/>
    </w:pPr>
    <w:rPr>
      <w:rFonts w:hint="eastAsia" w:ascii="楷体_GB2312" w:hAnsi="宋体" w:eastAsia="楷体_GB2312"/>
      <w:b/>
      <w:bCs/>
      <w:color w:val="000000"/>
      <w:sz w:val="24"/>
    </w:rPr>
  </w:style>
  <w:style w:type="paragraph" w:customStyle="1" w:styleId="2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4"/>
    </w:rPr>
  </w:style>
  <w:style w:type="paragraph" w:customStyle="1" w:styleId="220">
    <w:name w:val="xl4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Ansi="宋体"/>
      <w:sz w:val="24"/>
    </w:rPr>
  </w:style>
  <w:style w:type="paragraph" w:customStyle="1" w:styleId="221">
    <w:name w:val="Javis"/>
    <w:basedOn w:val="1"/>
    <w:qFormat/>
    <w:uiPriority w:val="0"/>
    <w:pPr>
      <w:ind w:right="210" w:rightChars="100"/>
    </w:pPr>
    <w:rPr>
      <w:rFonts w:cs="宋体"/>
      <w:sz w:val="24"/>
    </w:rPr>
  </w:style>
  <w:style w:type="paragraph" w:customStyle="1" w:styleId="22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sz w:val="13"/>
      <w:szCs w:val="13"/>
    </w:rPr>
  </w:style>
  <w:style w:type="paragraph" w:customStyle="1" w:styleId="223">
    <w:name w:val="列出段落1"/>
    <w:basedOn w:val="1"/>
    <w:qFormat/>
    <w:uiPriority w:val="34"/>
    <w:pPr>
      <w:ind w:firstLine="420" w:firstLineChars="200"/>
    </w:pPr>
    <w:rPr>
      <w:rFonts w:ascii="Calibri" w:hAnsi="Calibri" w:cs="Calibri"/>
      <w:kern w:val="2"/>
      <w:sz w:val="21"/>
      <w:szCs w:val="21"/>
    </w:rPr>
  </w:style>
  <w:style w:type="paragraph" w:customStyle="1" w:styleId="224">
    <w:name w:val="xl52"/>
    <w:basedOn w:val="1"/>
    <w:qFormat/>
    <w:uiPriority w:val="0"/>
    <w:pPr>
      <w:widowControl/>
      <w:pBdr>
        <w:bottom w:val="single" w:color="000000" w:sz="4" w:space="0"/>
      </w:pBdr>
      <w:spacing w:before="100" w:beforeAutospacing="1" w:after="100" w:afterAutospacing="1"/>
      <w:jc w:val="left"/>
      <w:textAlignment w:val="center"/>
    </w:pPr>
    <w:rPr>
      <w:rFonts w:hint="eastAsia" w:ascii="楷体_GB2312" w:hAnsi="宋体" w:eastAsia="楷体_GB2312"/>
      <w:b/>
      <w:bCs/>
      <w:sz w:val="24"/>
    </w:rPr>
  </w:style>
  <w:style w:type="paragraph" w:customStyle="1" w:styleId="225">
    <w:name w:val="p0"/>
    <w:basedOn w:val="1"/>
    <w:qFormat/>
    <w:uiPriority w:val="0"/>
    <w:pPr>
      <w:widowControl/>
    </w:pPr>
    <w:rPr>
      <w:szCs w:val="21"/>
    </w:rPr>
  </w:style>
  <w:style w:type="paragraph" w:customStyle="1" w:styleId="226">
    <w:name w:val="插图题注"/>
    <w:next w:val="1"/>
    <w:qFormat/>
    <w:uiPriority w:val="0"/>
    <w:pPr>
      <w:spacing w:afterLines="100"/>
      <w:jc w:val="center"/>
    </w:pPr>
    <w:rPr>
      <w:rFonts w:ascii="Arial" w:hAnsi="Arial" w:eastAsia="宋体" w:cs="Times New Roman"/>
      <w:sz w:val="18"/>
      <w:szCs w:val="18"/>
      <w:lang w:val="en-US" w:eastAsia="zh-CN" w:bidi="ar-SA"/>
    </w:rPr>
  </w:style>
  <w:style w:type="paragraph" w:customStyle="1" w:styleId="227">
    <w:name w:val="amtext"/>
    <w:basedOn w:val="1"/>
    <w:qFormat/>
    <w:uiPriority w:val="0"/>
    <w:pPr>
      <w:widowControl/>
      <w:tabs>
        <w:tab w:val="left" w:pos="900"/>
      </w:tabs>
      <w:autoSpaceDE w:val="0"/>
      <w:autoSpaceDN w:val="0"/>
      <w:adjustRightInd w:val="0"/>
      <w:spacing w:after="240" w:line="240" w:lineRule="atLeast"/>
      <w:ind w:left="180"/>
      <w:jc w:val="left"/>
    </w:pPr>
    <w:rPr>
      <w:color w:val="000000"/>
      <w:sz w:val="24"/>
      <w:lang w:eastAsia="en-US"/>
    </w:rPr>
  </w:style>
  <w:style w:type="paragraph" w:customStyle="1" w:styleId="228">
    <w:name w:val="表格题注"/>
    <w:next w:val="1"/>
    <w:qFormat/>
    <w:uiPriority w:val="0"/>
    <w:pPr>
      <w:keepLines/>
      <w:spacing w:beforeLines="100"/>
      <w:jc w:val="center"/>
    </w:pPr>
    <w:rPr>
      <w:rFonts w:ascii="Arial" w:hAnsi="Arial" w:eastAsia="宋体" w:cs="Times New Roman"/>
      <w:sz w:val="18"/>
      <w:szCs w:val="18"/>
      <w:lang w:val="en-US" w:eastAsia="zh-CN" w:bidi="ar-SA"/>
    </w:rPr>
  </w:style>
  <w:style w:type="paragraph" w:customStyle="1" w:styleId="229">
    <w:name w:val="目录 31"/>
    <w:basedOn w:val="1"/>
    <w:next w:val="1"/>
    <w:qFormat/>
    <w:uiPriority w:val="0"/>
    <w:pPr>
      <w:adjustRightInd w:val="0"/>
      <w:spacing w:line="288" w:lineRule="auto"/>
      <w:ind w:left="420" w:firstLine="420"/>
      <w:jc w:val="left"/>
      <w:textAlignment w:val="baseline"/>
    </w:pPr>
    <w:rPr>
      <w:iCs/>
      <w:sz w:val="20"/>
    </w:rPr>
  </w:style>
  <w:style w:type="paragraph" w:customStyle="1" w:styleId="230">
    <w:name w:val="font14"/>
    <w:basedOn w:val="1"/>
    <w:qFormat/>
    <w:uiPriority w:val="0"/>
    <w:pPr>
      <w:widowControl/>
      <w:spacing w:before="100" w:beforeAutospacing="1" w:after="100" w:afterAutospacing="1"/>
      <w:jc w:val="left"/>
    </w:pPr>
    <w:rPr>
      <w:sz w:val="36"/>
      <w:szCs w:val="36"/>
    </w:rPr>
  </w:style>
  <w:style w:type="paragraph" w:customStyle="1" w:styleId="23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4"/>
    </w:rPr>
  </w:style>
  <w:style w:type="paragraph" w:customStyle="1" w:styleId="232">
    <w:name w:val="表中"/>
    <w:basedOn w:val="1"/>
    <w:qFormat/>
    <w:uiPriority w:val="0"/>
    <w:pPr>
      <w:adjustRightInd w:val="0"/>
      <w:spacing w:line="360" w:lineRule="atLeast"/>
      <w:jc w:val="center"/>
      <w:textAlignment w:val="baseline"/>
    </w:pPr>
  </w:style>
  <w:style w:type="paragraph" w:customStyle="1" w:styleId="233">
    <w:name w:val="Char Char Char Char Char Char Char Char Char Char Char Char Char Char Char Char"/>
    <w:basedOn w:val="1"/>
    <w:qFormat/>
    <w:uiPriority w:val="0"/>
    <w:pPr>
      <w:tabs>
        <w:tab w:val="left" w:pos="360"/>
      </w:tabs>
    </w:pPr>
    <w:rPr>
      <w:sz w:val="24"/>
    </w:rPr>
  </w:style>
  <w:style w:type="paragraph" w:customStyle="1" w:styleId="2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235">
    <w:name w:val="样式 纯文本 + 楷体_GB2312 小四 行距: 固定值 20 磅1"/>
    <w:basedOn w:val="31"/>
    <w:qFormat/>
    <w:uiPriority w:val="0"/>
    <w:pPr>
      <w:spacing w:line="400" w:lineRule="exact"/>
      <w:ind w:firstLine="200" w:firstLineChars="200"/>
    </w:pPr>
    <w:rPr>
      <w:rFonts w:ascii="楷体_GB2312" w:eastAsia="楷体_GB2312"/>
      <w:sz w:val="24"/>
      <w:szCs w:val="20"/>
    </w:rPr>
  </w:style>
  <w:style w:type="paragraph" w:customStyle="1" w:styleId="236">
    <w:name w:val="Char Char Char Char Char Char Char Char Char Char Char Char Char Char Char Char1"/>
    <w:basedOn w:val="1"/>
    <w:qFormat/>
    <w:uiPriority w:val="0"/>
    <w:pPr>
      <w:tabs>
        <w:tab w:val="left" w:pos="360"/>
      </w:tabs>
    </w:pPr>
    <w:rPr>
      <w:sz w:val="24"/>
    </w:rPr>
  </w:style>
  <w:style w:type="paragraph" w:customStyle="1" w:styleId="237">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sz w:val="20"/>
    </w:rPr>
  </w:style>
  <w:style w:type="paragraph" w:customStyle="1" w:styleId="238">
    <w:name w:val="样式 宋体 五号 行距: 单倍行距"/>
    <w:basedOn w:val="1"/>
    <w:qFormat/>
    <w:uiPriority w:val="0"/>
    <w:pPr>
      <w:adjustRightInd w:val="0"/>
      <w:jc w:val="left"/>
      <w:textAlignment w:val="baseline"/>
    </w:pPr>
    <w:rPr>
      <w:rFonts w:hAnsi="宋体" w:cs="宋体"/>
    </w:rPr>
  </w:style>
  <w:style w:type="paragraph" w:customStyle="1" w:styleId="239">
    <w:name w:val="正文1)"/>
    <w:basedOn w:val="1"/>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hAnsi="Arial"/>
      <w:smallCaps/>
      <w:spacing w:val="-20"/>
      <w:sz w:val="24"/>
    </w:rPr>
  </w:style>
  <w:style w:type="paragraph" w:customStyle="1" w:styleId="240">
    <w:name w:val="xl2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hAnsi="宋体"/>
      <w:color w:val="000000"/>
      <w:sz w:val="24"/>
    </w:rPr>
  </w:style>
  <w:style w:type="paragraph" w:customStyle="1" w:styleId="24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242">
    <w:name w:val="1."/>
    <w:basedOn w:val="1"/>
    <w:qFormat/>
    <w:uiPriority w:val="0"/>
    <w:pPr>
      <w:spacing w:line="360" w:lineRule="auto"/>
      <w:ind w:firstLine="480" w:firstLineChars="200"/>
    </w:pPr>
    <w:rPr>
      <w:sz w:val="24"/>
    </w:rPr>
  </w:style>
  <w:style w:type="paragraph" w:customStyle="1" w:styleId="243">
    <w:name w:val="Char Char Char Char1 Char Char Char"/>
    <w:basedOn w:val="1"/>
    <w:qFormat/>
    <w:uiPriority w:val="0"/>
  </w:style>
  <w:style w:type="paragraph" w:customStyle="1" w:styleId="244">
    <w:name w:val="font7"/>
    <w:basedOn w:val="1"/>
    <w:qFormat/>
    <w:uiPriority w:val="0"/>
    <w:pPr>
      <w:widowControl/>
      <w:adjustRightInd w:val="0"/>
      <w:spacing w:before="100" w:beforeAutospacing="1" w:after="100" w:afterAutospacing="1" w:line="288" w:lineRule="auto"/>
      <w:ind w:firstLine="420"/>
      <w:jc w:val="left"/>
      <w:textAlignment w:val="baseline"/>
    </w:pPr>
    <w:rPr>
      <w:b/>
      <w:bCs/>
      <w:sz w:val="24"/>
    </w:rPr>
  </w:style>
  <w:style w:type="paragraph" w:customStyle="1" w:styleId="24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b/>
      <w:bCs/>
      <w:sz w:val="24"/>
    </w:rPr>
  </w:style>
  <w:style w:type="paragraph" w:customStyle="1" w:styleId="24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247">
    <w:name w:val="程序代码"/>
    <w:basedOn w:val="1"/>
    <w:qFormat/>
    <w:uiPriority w:val="0"/>
    <w:pPr>
      <w:adjustRightInd w:val="0"/>
      <w:spacing w:after="20" w:line="288" w:lineRule="auto"/>
      <w:ind w:left="839" w:firstLine="420"/>
      <w:textAlignment w:val="baseline"/>
    </w:pPr>
    <w:rPr>
      <w:rFonts w:eastAsia="仿宋_GB2312"/>
    </w:rPr>
  </w:style>
  <w:style w:type="paragraph" w:customStyle="1" w:styleId="2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2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cs="宋体"/>
      <w:b/>
      <w:bCs/>
      <w:sz w:val="22"/>
      <w:szCs w:val="22"/>
    </w:rPr>
  </w:style>
  <w:style w:type="paragraph" w:customStyle="1" w:styleId="250">
    <w:name w:val="列出段落2"/>
    <w:basedOn w:val="1"/>
    <w:qFormat/>
    <w:uiPriority w:val="99"/>
    <w:pPr>
      <w:ind w:firstLine="420" w:firstLineChars="200"/>
    </w:pPr>
    <w:rPr>
      <w:rFonts w:ascii="Calibri" w:hAnsi="Calibri"/>
      <w:szCs w:val="22"/>
    </w:rPr>
  </w:style>
  <w:style w:type="paragraph" w:customStyle="1" w:styleId="251">
    <w:name w:val="样式 首行缩进:  2 字符"/>
    <w:basedOn w:val="1"/>
    <w:qFormat/>
    <w:uiPriority w:val="0"/>
    <w:pPr>
      <w:spacing w:line="440" w:lineRule="exact"/>
      <w:ind w:firstLine="420" w:firstLineChars="200"/>
    </w:pPr>
    <w:rPr>
      <w:rFonts w:cs="宋体"/>
      <w:kern w:val="24"/>
      <w:sz w:val="24"/>
    </w:rPr>
  </w:style>
  <w:style w:type="paragraph" w:customStyle="1" w:styleId="25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253">
    <w:name w:val="_Style 1"/>
    <w:basedOn w:val="1"/>
    <w:qFormat/>
    <w:uiPriority w:val="34"/>
    <w:pPr>
      <w:ind w:firstLine="420" w:firstLineChars="200"/>
    </w:pPr>
    <w:rPr>
      <w:rFonts w:ascii="Calibri" w:hAnsi="Calibri"/>
      <w:szCs w:val="22"/>
    </w:rPr>
  </w:style>
  <w:style w:type="paragraph" w:customStyle="1" w:styleId="254">
    <w:name w:val="xl2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hAnsi="宋体"/>
      <w:color w:val="000000"/>
      <w:sz w:val="24"/>
    </w:rPr>
  </w:style>
  <w:style w:type="paragraph" w:customStyle="1" w:styleId="25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256">
    <w:name w:val="xl4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Ansi="宋体"/>
      <w:b/>
      <w:bCs/>
      <w:sz w:val="20"/>
    </w:rPr>
  </w:style>
  <w:style w:type="paragraph" w:customStyle="1" w:styleId="257">
    <w:name w:val="文档正文"/>
    <w:basedOn w:val="1"/>
    <w:qFormat/>
    <w:uiPriority w:val="0"/>
    <w:pPr>
      <w:tabs>
        <w:tab w:val="left" w:pos="1418"/>
      </w:tabs>
      <w:adjustRightInd w:val="0"/>
      <w:spacing w:line="500" w:lineRule="exact"/>
      <w:ind w:left="1418" w:firstLine="480"/>
      <w:textAlignment w:val="baseline"/>
    </w:pPr>
    <w:rPr>
      <w:rFonts w:ascii="Book Antiqua" w:hAnsi="Book Antiqua"/>
      <w:sz w:val="24"/>
    </w:rPr>
  </w:style>
  <w:style w:type="paragraph" w:customStyle="1" w:styleId="25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4"/>
    </w:rPr>
  </w:style>
  <w:style w:type="paragraph" w:customStyle="1" w:styleId="25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sz w:val="13"/>
      <w:szCs w:val="13"/>
    </w:rPr>
  </w:style>
  <w:style w:type="paragraph" w:customStyle="1" w:styleId="26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2"/>
      <w:szCs w:val="22"/>
    </w:rPr>
  </w:style>
  <w:style w:type="paragraph" w:customStyle="1" w:styleId="26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26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cs="宋体"/>
      <w:sz w:val="24"/>
    </w:rPr>
  </w:style>
  <w:style w:type="paragraph" w:customStyle="1" w:styleId="26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20"/>
    </w:rPr>
  </w:style>
  <w:style w:type="paragraph" w:customStyle="1" w:styleId="265">
    <w:name w:val="Char2 Char Char Char1"/>
    <w:basedOn w:val="1"/>
    <w:qFormat/>
    <w:uiPriority w:val="0"/>
    <w:pPr>
      <w:keepNext/>
      <w:keepLines/>
      <w:spacing w:line="360" w:lineRule="auto"/>
      <w:ind w:firstLine="200" w:firstLineChars="200"/>
    </w:pPr>
    <w:rPr>
      <w:rFonts w:ascii="Tahoma" w:hAnsi="Tahoma"/>
      <w:sz w:val="24"/>
    </w:rPr>
  </w:style>
  <w:style w:type="paragraph" w:customStyle="1" w:styleId="2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267">
    <w:name w:val="插入对象"/>
    <w:basedOn w:val="1"/>
    <w:qFormat/>
    <w:uiPriority w:val="0"/>
    <w:pPr>
      <w:keepLines/>
      <w:adjustRightInd w:val="0"/>
      <w:spacing w:line="353" w:lineRule="auto"/>
      <w:ind w:firstLine="425"/>
      <w:jc w:val="center"/>
      <w:textAlignment w:val="baseline"/>
    </w:pPr>
    <w:rPr>
      <w:sz w:val="24"/>
    </w:rPr>
  </w:style>
  <w:style w:type="paragraph" w:customStyle="1" w:styleId="268">
    <w:name w:val="菲页(卷)"/>
    <w:basedOn w:val="4"/>
    <w:next w:val="261"/>
    <w:qFormat/>
    <w:uiPriority w:val="0"/>
    <w:pPr>
      <w:widowControl/>
      <w:tabs>
        <w:tab w:val="left" w:pos="360"/>
        <w:tab w:val="left" w:pos="1800"/>
      </w:tabs>
      <w:spacing w:line="240" w:lineRule="auto"/>
      <w:ind w:left="432" w:hanging="432"/>
      <w:outlineLvl w:val="1"/>
    </w:pPr>
    <w:rPr>
      <w:b w:val="0"/>
      <w:bCs/>
      <w:sz w:val="52"/>
      <w:szCs w:val="20"/>
    </w:rPr>
  </w:style>
  <w:style w:type="paragraph" w:customStyle="1" w:styleId="269">
    <w:name w:val="样式 加粗 居中"/>
    <w:basedOn w:val="1"/>
    <w:qFormat/>
    <w:uiPriority w:val="0"/>
    <w:pPr>
      <w:jc w:val="center"/>
    </w:pPr>
    <w:rPr>
      <w:rFonts w:eastAsia="黑体"/>
      <w:b/>
      <w:sz w:val="48"/>
    </w:rPr>
  </w:style>
  <w:style w:type="paragraph" w:customStyle="1" w:styleId="270">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b/>
      <w:bCs/>
      <w:sz w:val="20"/>
    </w:rPr>
  </w:style>
  <w:style w:type="paragraph" w:customStyle="1" w:styleId="271">
    <w:name w:val="Char Char Char Char Char Char Char Char Char Char Char Char"/>
    <w:basedOn w:val="1"/>
    <w:qFormat/>
    <w:uiPriority w:val="0"/>
    <w:rPr>
      <w:rFonts w:ascii="仿宋_GB2312" w:eastAsia="仿宋_GB2312"/>
      <w:b/>
      <w:sz w:val="32"/>
      <w:szCs w:val="32"/>
    </w:rPr>
  </w:style>
  <w:style w:type="paragraph" w:customStyle="1" w:styleId="27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20"/>
    </w:rPr>
  </w:style>
  <w:style w:type="paragraph" w:customStyle="1" w:styleId="273">
    <w:name w:val="目录 81"/>
    <w:basedOn w:val="1"/>
    <w:next w:val="1"/>
    <w:qFormat/>
    <w:uiPriority w:val="0"/>
    <w:pPr>
      <w:adjustRightInd w:val="0"/>
      <w:spacing w:line="288" w:lineRule="auto"/>
      <w:ind w:left="1470" w:firstLine="420"/>
      <w:jc w:val="left"/>
      <w:textAlignment w:val="baseline"/>
    </w:pPr>
    <w:rPr>
      <w:sz w:val="18"/>
      <w:szCs w:val="18"/>
    </w:rPr>
  </w:style>
  <w:style w:type="paragraph" w:customStyle="1" w:styleId="274">
    <w:name w:val="正文首行缩进1"/>
    <w:basedOn w:val="2"/>
    <w:qFormat/>
    <w:uiPriority w:val="0"/>
    <w:pPr>
      <w:autoSpaceDE/>
      <w:autoSpaceDN/>
      <w:adjustRightInd/>
      <w:spacing w:after="120" w:line="440" w:lineRule="exact"/>
      <w:ind w:firstLine="420" w:firstLineChars="100"/>
    </w:pPr>
    <w:rPr>
      <w:rFonts w:ascii="宋体" w:eastAsia="宋体"/>
      <w:kern w:val="2"/>
      <w:sz w:val="24"/>
      <w:szCs w:val="28"/>
    </w:rPr>
  </w:style>
  <w:style w:type="paragraph" w:customStyle="1" w:styleId="275">
    <w:name w:val="目录 41"/>
    <w:basedOn w:val="1"/>
    <w:next w:val="1"/>
    <w:qFormat/>
    <w:uiPriority w:val="0"/>
    <w:pPr>
      <w:adjustRightInd w:val="0"/>
      <w:spacing w:line="288" w:lineRule="auto"/>
      <w:ind w:left="630" w:firstLine="420"/>
      <w:jc w:val="left"/>
      <w:textAlignment w:val="baseline"/>
    </w:pPr>
    <w:rPr>
      <w:sz w:val="18"/>
      <w:szCs w:val="18"/>
    </w:rPr>
  </w:style>
  <w:style w:type="paragraph" w:customStyle="1" w:styleId="276">
    <w:name w:val="目录 61"/>
    <w:basedOn w:val="1"/>
    <w:next w:val="1"/>
    <w:qFormat/>
    <w:uiPriority w:val="0"/>
    <w:pPr>
      <w:adjustRightInd w:val="0"/>
      <w:spacing w:line="288" w:lineRule="auto"/>
      <w:ind w:left="1050" w:firstLine="420"/>
      <w:jc w:val="left"/>
      <w:textAlignment w:val="baseline"/>
    </w:pPr>
    <w:rPr>
      <w:sz w:val="18"/>
      <w:szCs w:val="18"/>
    </w:rPr>
  </w:style>
  <w:style w:type="paragraph" w:customStyle="1" w:styleId="277">
    <w:name w:val="目录 11"/>
    <w:basedOn w:val="1"/>
    <w:next w:val="1"/>
    <w:qFormat/>
    <w:uiPriority w:val="0"/>
    <w:pPr>
      <w:tabs>
        <w:tab w:val="right" w:leader="dot" w:pos="8296"/>
      </w:tabs>
      <w:adjustRightInd w:val="0"/>
      <w:spacing w:before="120" w:after="120" w:line="288" w:lineRule="auto"/>
      <w:textAlignment w:val="baseline"/>
    </w:pPr>
    <w:rPr>
      <w:rFonts w:ascii="黑体" w:hAnsi="宋体" w:eastAsia="黑体"/>
      <w:caps/>
      <w:sz w:val="30"/>
      <w:szCs w:val="30"/>
    </w:rPr>
  </w:style>
  <w:style w:type="paragraph" w:customStyle="1" w:styleId="278">
    <w:name w:val="目录 91"/>
    <w:basedOn w:val="1"/>
    <w:next w:val="1"/>
    <w:qFormat/>
    <w:uiPriority w:val="0"/>
    <w:pPr>
      <w:adjustRightInd w:val="0"/>
      <w:spacing w:line="288" w:lineRule="auto"/>
      <w:ind w:left="1680" w:firstLine="420"/>
      <w:jc w:val="left"/>
      <w:textAlignment w:val="baseline"/>
    </w:pPr>
    <w:rPr>
      <w:sz w:val="18"/>
      <w:szCs w:val="18"/>
    </w:rPr>
  </w:style>
  <w:style w:type="paragraph" w:customStyle="1" w:styleId="279">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Ansi="宋体"/>
      <w:sz w:val="24"/>
    </w:rPr>
  </w:style>
  <w:style w:type="paragraph" w:customStyle="1" w:styleId="280">
    <w:name w:val="文字"/>
    <w:basedOn w:val="1"/>
    <w:qFormat/>
    <w:uiPriority w:val="0"/>
    <w:pPr>
      <w:tabs>
        <w:tab w:val="left" w:pos="8520"/>
      </w:tabs>
      <w:spacing w:line="312" w:lineRule="auto"/>
      <w:ind w:right="-210" w:firstLine="556"/>
    </w:pPr>
    <w:rPr>
      <w:sz w:val="28"/>
    </w:rPr>
  </w:style>
  <w:style w:type="paragraph" w:customStyle="1" w:styleId="281">
    <w:name w:val="重点"/>
    <w:basedOn w:val="1"/>
    <w:qFormat/>
    <w:uiPriority w:val="0"/>
    <w:pPr>
      <w:shd w:val="pct10" w:color="auto" w:fill="auto"/>
      <w:adjustRightInd w:val="0"/>
      <w:spacing w:after="20" w:line="288" w:lineRule="auto"/>
      <w:ind w:firstLine="420"/>
      <w:textAlignment w:val="baseline"/>
    </w:pPr>
    <w:rPr>
      <w:rFonts w:eastAsia="黑体"/>
      <w:b/>
    </w:rPr>
  </w:style>
  <w:style w:type="paragraph" w:customStyle="1" w:styleId="28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sz w:val="13"/>
      <w:szCs w:val="13"/>
    </w:rPr>
  </w:style>
  <w:style w:type="paragraph" w:customStyle="1" w:styleId="283">
    <w:name w:val="方案项目"/>
    <w:basedOn w:val="284"/>
    <w:qFormat/>
    <w:uiPriority w:val="0"/>
    <w:pPr>
      <w:tabs>
        <w:tab w:val="left" w:pos="360"/>
      </w:tabs>
      <w:ind w:left="567" w:firstLine="0"/>
    </w:pPr>
  </w:style>
  <w:style w:type="paragraph" w:customStyle="1" w:styleId="284">
    <w:name w:val="方案正文"/>
    <w:basedOn w:val="1"/>
    <w:qFormat/>
    <w:uiPriority w:val="0"/>
    <w:pPr>
      <w:adjustRightInd w:val="0"/>
      <w:snapToGrid w:val="0"/>
      <w:spacing w:line="360" w:lineRule="auto"/>
      <w:ind w:firstLine="454"/>
      <w:jc w:val="left"/>
      <w:textAlignment w:val="baseline"/>
    </w:pPr>
    <w:rPr>
      <w:rFonts w:ascii="Arial" w:hAnsi="Arial"/>
      <w:bCs/>
      <w:snapToGrid w:val="0"/>
    </w:rPr>
  </w:style>
  <w:style w:type="paragraph" w:customStyle="1" w:styleId="285">
    <w:name w:val="列表段落1"/>
    <w:basedOn w:val="1"/>
    <w:qFormat/>
    <w:uiPriority w:val="0"/>
    <w:pPr>
      <w:ind w:firstLine="420" w:firstLineChars="200"/>
    </w:pPr>
    <w:rPr>
      <w:rFonts w:ascii="Calibri" w:hAnsi="Calibri"/>
      <w:szCs w:val="22"/>
    </w:rPr>
  </w:style>
  <w:style w:type="paragraph" w:customStyle="1" w:styleId="286">
    <w:name w:val="font5"/>
    <w:basedOn w:val="1"/>
    <w:qFormat/>
    <w:uiPriority w:val="0"/>
    <w:pPr>
      <w:widowControl/>
      <w:spacing w:before="100" w:beforeAutospacing="1" w:after="100" w:afterAutospacing="1"/>
      <w:jc w:val="left"/>
    </w:pPr>
    <w:rPr>
      <w:rFonts w:hint="eastAsia" w:hAnsi="宋体"/>
      <w:sz w:val="18"/>
      <w:szCs w:val="18"/>
    </w:rPr>
  </w:style>
  <w:style w:type="paragraph" w:customStyle="1" w:styleId="28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288">
    <w:name w:val="标书表格字体格式"/>
    <w:next w:val="89"/>
    <w:qFormat/>
    <w:uiPriority w:val="0"/>
    <w:rPr>
      <w:rFonts w:ascii="Times New Roman" w:hAnsi="Times New Roman" w:eastAsia="宋体" w:cs="Times New Roman"/>
      <w:kern w:val="2"/>
      <w:sz w:val="21"/>
      <w:szCs w:val="24"/>
      <w:lang w:val="en-US" w:eastAsia="zh-CN" w:bidi="ar-SA"/>
    </w:rPr>
  </w:style>
  <w:style w:type="paragraph" w:customStyle="1" w:styleId="289">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sz w:val="13"/>
      <w:szCs w:val="13"/>
    </w:rPr>
  </w:style>
  <w:style w:type="paragraph" w:customStyle="1" w:styleId="29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4"/>
    </w:rPr>
  </w:style>
  <w:style w:type="paragraph" w:customStyle="1" w:styleId="291">
    <w:name w:val="Char Char Char1 Char Char Char"/>
    <w:basedOn w:val="1"/>
    <w:qFormat/>
    <w:uiPriority w:val="0"/>
    <w:pPr>
      <w:ind w:firstLine="200" w:firstLineChars="200"/>
    </w:pPr>
    <w:rPr>
      <w:rFonts w:ascii="Tahoma" w:hAnsi="Tahoma"/>
      <w:sz w:val="24"/>
    </w:rPr>
  </w:style>
  <w:style w:type="paragraph" w:customStyle="1" w:styleId="292">
    <w:name w:val="Char Char Char Char Char Char1"/>
    <w:basedOn w:val="1"/>
    <w:qFormat/>
    <w:uiPriority w:val="0"/>
    <w:rPr>
      <w:rFonts w:ascii="Tahoma" w:hAnsi="Tahoma"/>
      <w:sz w:val="24"/>
    </w:rPr>
  </w:style>
  <w:style w:type="paragraph" w:customStyle="1" w:styleId="293">
    <w:name w:val="a14"/>
    <w:basedOn w:val="1"/>
    <w:qFormat/>
    <w:uiPriority w:val="0"/>
    <w:pPr>
      <w:widowControl/>
      <w:spacing w:before="100" w:beforeAutospacing="1" w:after="100" w:afterAutospacing="1" w:line="300" w:lineRule="atLeast"/>
      <w:ind w:firstLine="375"/>
      <w:jc w:val="left"/>
    </w:pPr>
    <w:rPr>
      <w:rFonts w:hAnsi="宋体"/>
      <w:szCs w:val="21"/>
    </w:rPr>
  </w:style>
  <w:style w:type="paragraph" w:customStyle="1" w:styleId="294">
    <w:name w:val="标题0"/>
    <w:basedOn w:val="54"/>
    <w:next w:val="54"/>
    <w:qFormat/>
    <w:uiPriority w:val="0"/>
    <w:rPr>
      <w:sz w:val="52"/>
    </w:rPr>
  </w:style>
  <w:style w:type="paragraph" w:customStyle="1" w:styleId="295">
    <w:name w:val="Char1 Char Char Char Char Char Char1"/>
    <w:basedOn w:val="1"/>
    <w:qFormat/>
    <w:uiPriority w:val="0"/>
    <w:rPr>
      <w:rFonts w:ascii="Tahoma" w:hAnsi="Tahoma"/>
      <w:sz w:val="24"/>
    </w:rPr>
  </w:style>
  <w:style w:type="paragraph" w:customStyle="1" w:styleId="296">
    <w:name w:val="xl29"/>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hAnsi="宋体"/>
      <w:b/>
      <w:bCs/>
      <w:sz w:val="20"/>
    </w:rPr>
  </w:style>
  <w:style w:type="paragraph" w:customStyle="1" w:styleId="297">
    <w:name w:val="默认段落字体 Para Char Char Char1 Char"/>
    <w:basedOn w:val="1"/>
    <w:qFormat/>
    <w:uiPriority w:val="0"/>
    <w:pPr>
      <w:spacing w:line="360" w:lineRule="auto"/>
      <w:ind w:left="420" w:firstLine="420"/>
    </w:pPr>
    <w:rPr>
      <w:sz w:val="24"/>
      <w:szCs w:val="21"/>
    </w:rPr>
  </w:style>
  <w:style w:type="paragraph" w:customStyle="1" w:styleId="29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4"/>
    </w:rPr>
  </w:style>
  <w:style w:type="paragraph" w:customStyle="1" w:styleId="299">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b/>
      <w:bCs/>
      <w:sz w:val="20"/>
    </w:rPr>
  </w:style>
  <w:style w:type="paragraph" w:customStyle="1" w:styleId="3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20"/>
    </w:rPr>
  </w:style>
  <w:style w:type="paragraph" w:customStyle="1" w:styleId="301">
    <w:name w:val="Char Char Char Char Char Char Char Char"/>
    <w:basedOn w:val="1"/>
    <w:qFormat/>
    <w:uiPriority w:val="0"/>
  </w:style>
  <w:style w:type="paragraph" w:customStyle="1" w:styleId="302">
    <w:name w:val="Char Char Char Char Char Char Char Char Char Char"/>
    <w:basedOn w:val="1"/>
    <w:qFormat/>
    <w:uiPriority w:val="0"/>
    <w:pPr>
      <w:numPr>
        <w:ilvl w:val="0"/>
        <w:numId w:val="5"/>
      </w:numPr>
    </w:pPr>
    <w:rPr>
      <w:sz w:val="24"/>
    </w:rPr>
  </w:style>
  <w:style w:type="paragraph" w:customStyle="1" w:styleId="303">
    <w:name w:val="并列项-点"/>
    <w:basedOn w:val="1"/>
    <w:qFormat/>
    <w:uiPriority w:val="0"/>
    <w:pPr>
      <w:widowControl/>
      <w:tabs>
        <w:tab w:val="left" w:pos="851"/>
        <w:tab w:val="left" w:pos="927"/>
      </w:tabs>
      <w:adjustRightInd w:val="0"/>
      <w:snapToGrid w:val="0"/>
      <w:spacing w:before="120" w:line="360" w:lineRule="auto"/>
      <w:ind w:left="851" w:hanging="284"/>
      <w:textAlignment w:val="baseline"/>
    </w:pPr>
    <w:rPr>
      <w:sz w:val="24"/>
    </w:rPr>
  </w:style>
  <w:style w:type="paragraph" w:customStyle="1" w:styleId="30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cs="宋体"/>
      <w:sz w:val="22"/>
      <w:szCs w:val="22"/>
    </w:rPr>
  </w:style>
  <w:style w:type="paragraph" w:customStyle="1" w:styleId="305">
    <w:name w:val="样式 标题4 楷体_GB2312 四号 加粗 两端对齐 段前: 7.8 磅 段后: 7.8 磅 行距: 1.5 倍行距 + 段前..."/>
    <w:basedOn w:val="7"/>
    <w:next w:val="274"/>
    <w:qFormat/>
    <w:uiPriority w:val="0"/>
    <w:pPr>
      <w:numPr>
        <w:numId w:val="0"/>
      </w:numPr>
      <w:tabs>
        <w:tab w:val="left" w:pos="1080"/>
      </w:tabs>
      <w:spacing w:before="100" w:after="100"/>
    </w:pPr>
    <w:rPr>
      <w:rFonts w:eastAsia="仿宋_GB2312"/>
      <w:bCs/>
    </w:rPr>
  </w:style>
  <w:style w:type="paragraph" w:customStyle="1" w:styleId="306">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sz w:val="13"/>
      <w:szCs w:val="13"/>
    </w:rPr>
  </w:style>
  <w:style w:type="paragraph" w:customStyle="1" w:styleId="307">
    <w:name w:val="默认段落字体 Para Char Char Char Char Char Char Char Char Char Char"/>
    <w:basedOn w:val="1"/>
    <w:qFormat/>
    <w:uiPriority w:val="0"/>
    <w:rPr>
      <w:rFonts w:ascii="Tahoma" w:hAnsi="Tahoma"/>
      <w:sz w:val="24"/>
    </w:rPr>
  </w:style>
  <w:style w:type="paragraph" w:customStyle="1" w:styleId="308">
    <w:name w:val="函数注释1"/>
    <w:basedOn w:val="1"/>
    <w:qFormat/>
    <w:uiPriority w:val="0"/>
    <w:pPr>
      <w:adjustRightInd w:val="0"/>
      <w:spacing w:after="20" w:line="320" w:lineRule="exact"/>
      <w:ind w:left="1678" w:right="210" w:hanging="1049"/>
      <w:jc w:val="left"/>
      <w:textAlignment w:val="baseline"/>
    </w:pPr>
  </w:style>
  <w:style w:type="paragraph" w:customStyle="1" w:styleId="309">
    <w:name w:val="font13"/>
    <w:basedOn w:val="1"/>
    <w:qFormat/>
    <w:uiPriority w:val="0"/>
    <w:pPr>
      <w:widowControl/>
      <w:spacing w:before="100" w:beforeAutospacing="1" w:after="100" w:afterAutospacing="1"/>
      <w:jc w:val="left"/>
    </w:pPr>
    <w:rPr>
      <w:i/>
      <w:iCs/>
      <w:sz w:val="36"/>
      <w:szCs w:val="36"/>
    </w:rPr>
  </w:style>
  <w:style w:type="paragraph" w:customStyle="1" w:styleId="310">
    <w:name w:val="Char Char Char Char"/>
    <w:basedOn w:val="1"/>
    <w:qFormat/>
    <w:uiPriority w:val="0"/>
    <w:rPr>
      <w:rFonts w:ascii="Tahoma" w:hAnsi="Tahoma"/>
      <w:sz w:val="24"/>
    </w:rPr>
  </w:style>
  <w:style w:type="paragraph" w:customStyle="1" w:styleId="311">
    <w:name w:val="font9"/>
    <w:basedOn w:val="1"/>
    <w:qFormat/>
    <w:uiPriority w:val="0"/>
    <w:pPr>
      <w:widowControl/>
      <w:spacing w:before="100" w:beforeAutospacing="1" w:after="100" w:afterAutospacing="1"/>
      <w:jc w:val="left"/>
    </w:pPr>
    <w:rPr>
      <w:b/>
      <w:bCs/>
      <w:sz w:val="20"/>
    </w:rPr>
  </w:style>
  <w:style w:type="paragraph" w:customStyle="1" w:styleId="312">
    <w:name w:val="font11"/>
    <w:basedOn w:val="1"/>
    <w:qFormat/>
    <w:uiPriority w:val="0"/>
    <w:pPr>
      <w:widowControl/>
      <w:spacing w:before="100" w:beforeAutospacing="1" w:after="100" w:afterAutospacing="1"/>
      <w:jc w:val="left"/>
    </w:pPr>
    <w:rPr>
      <w:b/>
      <w:bCs/>
      <w:sz w:val="18"/>
      <w:szCs w:val="18"/>
    </w:rPr>
  </w:style>
  <w:style w:type="paragraph" w:customStyle="1" w:styleId="313">
    <w:name w:val="font10"/>
    <w:basedOn w:val="1"/>
    <w:qFormat/>
    <w:uiPriority w:val="0"/>
    <w:pPr>
      <w:widowControl/>
      <w:spacing w:before="100" w:beforeAutospacing="1" w:after="100" w:afterAutospacing="1"/>
      <w:jc w:val="left"/>
    </w:pPr>
    <w:rPr>
      <w:rFonts w:hint="eastAsia" w:ascii="楷体_GB2312" w:hAnsi="宋体" w:eastAsia="楷体_GB2312"/>
      <w:b/>
      <w:bCs/>
      <w:sz w:val="18"/>
      <w:szCs w:val="18"/>
    </w:rPr>
  </w:style>
  <w:style w:type="paragraph" w:customStyle="1" w:styleId="314">
    <w:name w:val="样式 小四 行距: 1.5 倍行距 首行缩进:  2 字符"/>
    <w:basedOn w:val="1"/>
    <w:qFormat/>
    <w:uiPriority w:val="0"/>
    <w:pPr>
      <w:spacing w:line="360" w:lineRule="auto"/>
      <w:ind w:firstLine="480" w:firstLineChars="200"/>
    </w:pPr>
    <w:rPr>
      <w:rFonts w:cs="宋体"/>
      <w:sz w:val="24"/>
    </w:rPr>
  </w:style>
  <w:style w:type="paragraph" w:customStyle="1" w:styleId="315">
    <w:name w:val="Char Char Char Char1"/>
    <w:basedOn w:val="1"/>
    <w:qFormat/>
    <w:uiPriority w:val="0"/>
    <w:rPr>
      <w:rFonts w:ascii="Tahoma" w:hAnsi="Tahoma"/>
      <w:sz w:val="24"/>
    </w:rPr>
  </w:style>
  <w:style w:type="paragraph" w:customStyle="1" w:styleId="316">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17">
    <w:name w:val="List 1"/>
    <w:basedOn w:val="1"/>
    <w:qFormat/>
    <w:uiPriority w:val="0"/>
    <w:pPr>
      <w:widowControl/>
      <w:overflowPunct w:val="0"/>
      <w:autoSpaceDE w:val="0"/>
      <w:autoSpaceDN w:val="0"/>
      <w:adjustRightInd w:val="0"/>
      <w:spacing w:line="360" w:lineRule="auto"/>
      <w:ind w:left="2520" w:hanging="360"/>
    </w:pPr>
    <w:rPr>
      <w:sz w:val="24"/>
    </w:rPr>
  </w:style>
  <w:style w:type="paragraph" w:customStyle="1" w:styleId="31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sz w:val="24"/>
    </w:rPr>
  </w:style>
  <w:style w:type="paragraph" w:customStyle="1" w:styleId="319">
    <w:name w:val="表内容"/>
    <w:qFormat/>
    <w:uiPriority w:val="0"/>
    <w:rPr>
      <w:rFonts w:ascii="宋体" w:hAnsi="Times New Roman" w:eastAsia="宋体" w:cs="Times New Roman"/>
      <w:kern w:val="21"/>
      <w:sz w:val="24"/>
      <w:szCs w:val="24"/>
      <w:lang w:val="en-US" w:eastAsia="zh-CN" w:bidi="ar-SA"/>
    </w:rPr>
  </w:style>
  <w:style w:type="paragraph" w:customStyle="1" w:styleId="320">
    <w:name w:val="样式2"/>
    <w:basedOn w:val="4"/>
    <w:qFormat/>
    <w:uiPriority w:val="0"/>
    <w:pPr>
      <w:numPr>
        <w:ilvl w:val="0"/>
        <w:numId w:val="6"/>
      </w:numPr>
      <w:tabs>
        <w:tab w:val="left" w:pos="1800"/>
      </w:tabs>
      <w:jc w:val="both"/>
    </w:pPr>
    <w:rPr>
      <w:rFonts w:ascii="Times New Roman"/>
      <w:sz w:val="32"/>
    </w:rPr>
  </w:style>
  <w:style w:type="paragraph" w:customStyle="1" w:styleId="321">
    <w:name w:val="图样式"/>
    <w:basedOn w:val="1"/>
    <w:qFormat/>
    <w:uiPriority w:val="0"/>
    <w:pPr>
      <w:widowControl/>
      <w:autoSpaceDE w:val="0"/>
      <w:autoSpaceDN w:val="0"/>
      <w:adjustRightInd w:val="0"/>
      <w:spacing w:before="80" w:after="80" w:line="360" w:lineRule="auto"/>
      <w:jc w:val="center"/>
    </w:pPr>
    <w:rPr>
      <w:sz w:val="20"/>
    </w:rPr>
  </w:style>
  <w:style w:type="paragraph" w:customStyle="1" w:styleId="322">
    <w:name w:val="MM Topic 1"/>
    <w:basedOn w:val="4"/>
    <w:qFormat/>
    <w:uiPriority w:val="0"/>
    <w:pPr>
      <w:tabs>
        <w:tab w:val="left" w:pos="360"/>
        <w:tab w:val="left" w:pos="1800"/>
      </w:tabs>
      <w:ind w:left="360" w:hanging="360"/>
    </w:pPr>
    <w:rPr>
      <w:rFonts w:ascii="Times New Roman"/>
      <w:bCs/>
      <w:szCs w:val="20"/>
    </w:rPr>
  </w:style>
  <w:style w:type="paragraph" w:customStyle="1" w:styleId="323">
    <w:name w:val="MM Topic 2"/>
    <w:basedOn w:val="5"/>
    <w:qFormat/>
    <w:uiPriority w:val="0"/>
    <w:pPr>
      <w:tabs>
        <w:tab w:val="left" w:pos="360"/>
        <w:tab w:val="left" w:pos="567"/>
      </w:tabs>
      <w:adjustRightInd w:val="0"/>
      <w:spacing w:line="416" w:lineRule="atLeast"/>
      <w:ind w:hanging="360" w:firstLineChars="0"/>
      <w:textAlignment w:val="baseline"/>
    </w:pPr>
  </w:style>
  <w:style w:type="paragraph" w:customStyle="1" w:styleId="324">
    <w:name w:val="名词解释11"/>
    <w:basedOn w:val="325"/>
    <w:qFormat/>
    <w:uiPriority w:val="0"/>
    <w:pPr>
      <w:spacing w:after="0"/>
      <w:ind w:firstLine="0"/>
    </w:pPr>
  </w:style>
  <w:style w:type="paragraph" w:customStyle="1" w:styleId="325">
    <w:name w:val="名词解释"/>
    <w:basedOn w:val="1"/>
    <w:qFormat/>
    <w:uiPriority w:val="0"/>
    <w:pPr>
      <w:adjustRightInd w:val="0"/>
      <w:spacing w:after="20" w:line="288" w:lineRule="auto"/>
      <w:ind w:left="2325" w:hanging="2325"/>
      <w:textAlignment w:val="baseline"/>
    </w:pPr>
  </w:style>
  <w:style w:type="paragraph" w:customStyle="1" w:styleId="32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sz w:val="20"/>
    </w:rPr>
  </w:style>
  <w:style w:type="paragraph" w:customStyle="1" w:styleId="327">
    <w:name w:val="xl2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Ansi="宋体"/>
      <w:b/>
      <w:bCs/>
      <w:sz w:val="20"/>
    </w:rPr>
  </w:style>
  <w:style w:type="paragraph" w:customStyle="1" w:styleId="328">
    <w:name w:val="页眉1"/>
    <w:basedOn w:val="1"/>
    <w:qFormat/>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sz w:val="18"/>
    </w:rPr>
  </w:style>
  <w:style w:type="paragraph" w:customStyle="1" w:styleId="3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330">
    <w:name w:val="Char Char Char1 Char Char Char1"/>
    <w:basedOn w:val="1"/>
    <w:qFormat/>
    <w:uiPriority w:val="0"/>
    <w:pPr>
      <w:ind w:firstLine="200" w:firstLineChars="200"/>
    </w:pPr>
    <w:rPr>
      <w:rFonts w:ascii="Tahoma" w:hAnsi="Tahoma"/>
      <w:sz w:val="24"/>
    </w:rPr>
  </w:style>
  <w:style w:type="paragraph" w:customStyle="1" w:styleId="331">
    <w:name w:val="列表2"/>
    <w:basedOn w:val="1"/>
    <w:qFormat/>
    <w:uiPriority w:val="0"/>
    <w:pPr>
      <w:tabs>
        <w:tab w:val="left" w:pos="1470"/>
      </w:tabs>
      <w:adjustRightInd w:val="0"/>
      <w:spacing w:after="20" w:line="288" w:lineRule="auto"/>
      <w:ind w:left="1469" w:hanging="420"/>
      <w:textAlignment w:val="baseline"/>
    </w:pPr>
  </w:style>
  <w:style w:type="paragraph" w:customStyle="1" w:styleId="33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2"/>
      <w:szCs w:val="22"/>
    </w:rPr>
  </w:style>
  <w:style w:type="paragraph" w:customStyle="1" w:styleId="33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334">
    <w:name w:val="xl120"/>
    <w:basedOn w:val="1"/>
    <w:qFormat/>
    <w:uiPriority w:val="0"/>
    <w:pPr>
      <w:widowControl/>
      <w:spacing w:before="100" w:beforeAutospacing="1" w:after="100" w:afterAutospacing="1"/>
      <w:jc w:val="left"/>
      <w:textAlignment w:val="center"/>
    </w:pPr>
    <w:rPr>
      <w:rFonts w:hAnsi="宋体" w:cs="宋体"/>
      <w:sz w:val="24"/>
    </w:rPr>
  </w:style>
  <w:style w:type="paragraph" w:customStyle="1" w:styleId="335">
    <w:name w:val="2 Char Char Char Char Char Char Char"/>
    <w:basedOn w:val="1"/>
    <w:qFormat/>
    <w:uiPriority w:val="0"/>
    <w:rPr>
      <w:rFonts w:ascii="Tahoma" w:hAnsi="Tahoma"/>
      <w:sz w:val="24"/>
    </w:rPr>
  </w:style>
  <w:style w:type="paragraph" w:customStyle="1" w:styleId="336">
    <w:name w:val="Table"/>
    <w:basedOn w:val="1"/>
    <w:qFormat/>
    <w:uiPriority w:val="0"/>
    <w:pPr>
      <w:snapToGrid w:val="0"/>
      <w:spacing w:before="20" w:after="20"/>
      <w:ind w:left="2268" w:right="709"/>
      <w:jc w:val="center"/>
    </w:pPr>
    <w:rPr>
      <w:rFonts w:ascii="Arial" w:hAnsi="Arial" w:eastAsia="2OcuAe"/>
      <w:spacing w:val="2"/>
      <w:sz w:val="18"/>
    </w:rPr>
  </w:style>
  <w:style w:type="paragraph" w:customStyle="1" w:styleId="33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sz w:val="20"/>
    </w:rPr>
  </w:style>
  <w:style w:type="paragraph" w:customStyle="1" w:styleId="338">
    <w:name w:val="xl2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hAnsi="宋体"/>
      <w:b/>
      <w:bCs/>
      <w:sz w:val="20"/>
    </w:rPr>
  </w:style>
  <w:style w:type="paragraph" w:customStyle="1" w:styleId="339">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b/>
      <w:bCs/>
      <w:sz w:val="20"/>
    </w:rPr>
  </w:style>
  <w:style w:type="paragraph" w:customStyle="1" w:styleId="340">
    <w:name w:val="表格文字"/>
    <w:basedOn w:val="1"/>
    <w:qFormat/>
    <w:uiPriority w:val="0"/>
    <w:pPr>
      <w:adjustRightInd w:val="0"/>
      <w:spacing w:line="288" w:lineRule="auto"/>
      <w:jc w:val="left"/>
      <w:textAlignment w:val="baseline"/>
    </w:pPr>
  </w:style>
  <w:style w:type="paragraph" w:customStyle="1" w:styleId="341">
    <w:name w:val="列出段落21"/>
    <w:basedOn w:val="1"/>
    <w:qFormat/>
    <w:uiPriority w:val="0"/>
    <w:pPr>
      <w:ind w:firstLine="420" w:firstLineChars="200"/>
    </w:pPr>
    <w:rPr>
      <w:rFonts w:ascii="Calibri" w:hAnsi="Calibri" w:cs="Calibri"/>
      <w:kern w:val="2"/>
      <w:sz w:val="24"/>
      <w:szCs w:val="24"/>
    </w:rPr>
  </w:style>
  <w:style w:type="paragraph" w:customStyle="1" w:styleId="342">
    <w:name w:val="00"/>
    <w:basedOn w:val="1"/>
    <w:qFormat/>
    <w:uiPriority w:val="0"/>
    <w:pPr>
      <w:autoSpaceDE w:val="0"/>
      <w:autoSpaceDN w:val="0"/>
      <w:adjustRightInd w:val="0"/>
      <w:jc w:val="left"/>
    </w:pPr>
    <w:rPr>
      <w:rFonts w:ascii="黑体" w:eastAsia="黑体"/>
      <w:b/>
      <w:bCs/>
      <w:sz w:val="20"/>
    </w:rPr>
  </w:style>
  <w:style w:type="paragraph" w:customStyle="1" w:styleId="343">
    <w:name w:val="表格"/>
    <w:basedOn w:val="1"/>
    <w:qFormat/>
    <w:uiPriority w:val="0"/>
    <w:pPr>
      <w:jc w:val="center"/>
    </w:pPr>
    <w:rPr>
      <w:szCs w:val="21"/>
    </w:rPr>
  </w:style>
  <w:style w:type="paragraph" w:customStyle="1" w:styleId="34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3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34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sz w:val="20"/>
    </w:rPr>
  </w:style>
  <w:style w:type="paragraph" w:customStyle="1" w:styleId="347">
    <w:name w:val="默认段落字体 Para Char Char Char"/>
    <w:basedOn w:val="1"/>
    <w:qFormat/>
    <w:uiPriority w:val="0"/>
  </w:style>
  <w:style w:type="paragraph" w:customStyle="1" w:styleId="348">
    <w:name w:val="Birdseed"/>
    <w:basedOn w:val="1"/>
    <w:qFormat/>
    <w:uiPriority w:val="0"/>
    <w:pPr>
      <w:widowControl/>
      <w:jc w:val="left"/>
    </w:pPr>
    <w:rPr>
      <w:rFonts w:ascii="Palatino Linotype" w:hAnsi="Palatino Linotype"/>
      <w:sz w:val="18"/>
    </w:rPr>
  </w:style>
  <w:style w:type="paragraph" w:customStyle="1" w:styleId="349">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sz w:val="20"/>
    </w:rPr>
  </w:style>
  <w:style w:type="paragraph" w:customStyle="1" w:styleId="350">
    <w:name w:val="表格标题"/>
    <w:basedOn w:val="1"/>
    <w:qFormat/>
    <w:uiPriority w:val="0"/>
    <w:pPr>
      <w:adjustRightInd w:val="0"/>
      <w:spacing w:before="120" w:line="400" w:lineRule="exact"/>
      <w:jc w:val="center"/>
      <w:textAlignment w:val="baseline"/>
    </w:pPr>
    <w:rPr>
      <w:rFonts w:eastAsia="文鼎CS中宋"/>
      <w:spacing w:val="8"/>
      <w:sz w:val="24"/>
    </w:rPr>
  </w:style>
  <w:style w:type="paragraph" w:customStyle="1" w:styleId="351">
    <w:name w:val="Table Text"/>
    <w:basedOn w:val="1"/>
    <w:qFormat/>
    <w:uiPriority w:val="0"/>
    <w:pPr>
      <w:widowControl/>
      <w:tabs>
        <w:tab w:val="decimal" w:pos="0"/>
      </w:tabs>
      <w:autoSpaceDE w:val="0"/>
      <w:autoSpaceDN w:val="0"/>
      <w:adjustRightInd w:val="0"/>
      <w:spacing w:before="80" w:after="80"/>
    </w:pPr>
    <w:rPr>
      <w:rFonts w:ascii="Arial" w:hAnsi="Arial"/>
      <w:color w:val="000000"/>
      <w:sz w:val="18"/>
    </w:rPr>
  </w:style>
  <w:style w:type="paragraph" w:styleId="352">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3">
    <w:name w:val="列表_名词"/>
    <w:basedOn w:val="324"/>
    <w:qFormat/>
    <w:uiPriority w:val="0"/>
    <w:pPr>
      <w:tabs>
        <w:tab w:val="left" w:pos="2745"/>
      </w:tabs>
      <w:ind w:left="2745" w:hanging="420"/>
    </w:pPr>
  </w:style>
  <w:style w:type="paragraph" w:customStyle="1" w:styleId="354">
    <w:name w:val="Char Char Char Char Char Char Char Char Char Char1"/>
    <w:basedOn w:val="1"/>
    <w:qFormat/>
    <w:uiPriority w:val="0"/>
    <w:pPr>
      <w:tabs>
        <w:tab w:val="left" w:pos="425"/>
      </w:tabs>
      <w:ind w:left="425" w:hanging="425"/>
    </w:pPr>
    <w:rPr>
      <w:sz w:val="28"/>
    </w:rPr>
  </w:style>
  <w:style w:type="paragraph" w:customStyle="1" w:styleId="3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2"/>
      <w:szCs w:val="22"/>
    </w:rPr>
  </w:style>
  <w:style w:type="paragraph" w:customStyle="1" w:styleId="356">
    <w:name w:val="表"/>
    <w:basedOn w:val="1"/>
    <w:qFormat/>
    <w:uiPriority w:val="0"/>
    <w:pPr>
      <w:suppressLineNumbers/>
      <w:tabs>
        <w:tab w:val="left" w:pos="-17"/>
      </w:tabs>
      <w:autoSpaceDE w:val="0"/>
      <w:autoSpaceDN w:val="0"/>
      <w:adjustRightInd w:val="0"/>
      <w:snapToGrid w:val="0"/>
      <w:spacing w:line="0" w:lineRule="atLeast"/>
    </w:pPr>
    <w:rPr>
      <w:rFonts w:hAnsi="宋体"/>
    </w:rPr>
  </w:style>
  <w:style w:type="paragraph" w:customStyle="1" w:styleId="357">
    <w:name w:val="font8"/>
    <w:basedOn w:val="1"/>
    <w:qFormat/>
    <w:uiPriority w:val="0"/>
    <w:pPr>
      <w:widowControl/>
      <w:spacing w:before="100" w:beforeAutospacing="1" w:after="100" w:afterAutospacing="1"/>
      <w:jc w:val="left"/>
    </w:pPr>
    <w:rPr>
      <w:rFonts w:hint="eastAsia" w:hAnsi="宋体"/>
      <w:b/>
      <w:bCs/>
      <w:i/>
      <w:iCs/>
      <w:sz w:val="20"/>
    </w:rPr>
  </w:style>
  <w:style w:type="paragraph" w:customStyle="1" w:styleId="35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3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36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sz w:val="22"/>
      <w:szCs w:val="22"/>
    </w:rPr>
  </w:style>
  <w:style w:type="paragraph" w:customStyle="1" w:styleId="36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sz w:val="13"/>
      <w:szCs w:val="13"/>
    </w:rPr>
  </w:style>
  <w:style w:type="paragraph" w:customStyle="1" w:styleId="362">
    <w:name w:val="RPT_AbstractBullet"/>
    <w:basedOn w:val="1"/>
    <w:qFormat/>
    <w:uiPriority w:val="0"/>
    <w:pPr>
      <w:spacing w:before="75" w:afterLines="50" w:line="240" w:lineRule="exact"/>
      <w:ind w:left="1555" w:right="1555" w:firstLine="360"/>
    </w:pPr>
    <w:rPr>
      <w:rFonts w:ascii="IDCSerif" w:hAnsi="IDCSerif"/>
      <w:kern w:val="16"/>
      <w:sz w:val="22"/>
    </w:rPr>
  </w:style>
  <w:style w:type="paragraph" w:customStyle="1" w:styleId="363">
    <w:name w:val="正文(缩进)"/>
    <w:basedOn w:val="1"/>
    <w:qFormat/>
    <w:uiPriority w:val="0"/>
    <w:pPr>
      <w:widowControl/>
      <w:spacing w:line="360" w:lineRule="auto"/>
      <w:ind w:firstLine="200" w:firstLineChars="200"/>
    </w:pPr>
    <w:rPr>
      <w:rFonts w:eastAsia="仿宋_GB2312"/>
      <w:sz w:val="24"/>
    </w:rPr>
  </w:style>
  <w:style w:type="paragraph" w:customStyle="1" w:styleId="36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2"/>
      <w:szCs w:val="22"/>
    </w:rPr>
  </w:style>
  <w:style w:type="paragraph" w:customStyle="1" w:styleId="36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sz w:val="24"/>
    </w:rPr>
  </w:style>
  <w:style w:type="paragraph" w:customStyle="1" w:styleId="366">
    <w:name w:val="回信地址"/>
    <w:basedOn w:val="1"/>
    <w:qFormat/>
    <w:uiPriority w:val="0"/>
    <w:pPr>
      <w:keepLines/>
      <w:widowControl/>
      <w:adjustRightInd w:val="0"/>
      <w:spacing w:after="20" w:line="200" w:lineRule="atLeast"/>
      <w:ind w:right="-120" w:firstLine="420"/>
      <w:jc w:val="left"/>
      <w:textAlignment w:val="baseline"/>
    </w:pPr>
    <w:rPr>
      <w:sz w:val="16"/>
    </w:rPr>
  </w:style>
  <w:style w:type="paragraph" w:customStyle="1" w:styleId="367">
    <w:name w:val="0表格"/>
    <w:basedOn w:val="1"/>
    <w:qFormat/>
    <w:uiPriority w:val="99"/>
    <w:pPr>
      <w:jc w:val="left"/>
    </w:pPr>
    <w:rPr>
      <w:rFonts w:ascii="Times New Roman"/>
      <w:kern w:val="2"/>
      <w:sz w:val="21"/>
      <w:szCs w:val="21"/>
    </w:rPr>
  </w:style>
  <w:style w:type="paragraph" w:customStyle="1" w:styleId="368">
    <w:name w:val="font12"/>
    <w:basedOn w:val="1"/>
    <w:qFormat/>
    <w:uiPriority w:val="0"/>
    <w:pPr>
      <w:widowControl/>
      <w:spacing w:before="100" w:beforeAutospacing="1" w:after="100" w:afterAutospacing="1"/>
      <w:jc w:val="left"/>
    </w:pPr>
    <w:rPr>
      <w:rFonts w:hint="eastAsia" w:hAnsi="宋体"/>
      <w:sz w:val="36"/>
      <w:szCs w:val="36"/>
    </w:rPr>
  </w:style>
  <w:style w:type="paragraph" w:customStyle="1" w:styleId="3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sz w:val="13"/>
      <w:szCs w:val="13"/>
    </w:rPr>
  </w:style>
  <w:style w:type="paragraph" w:customStyle="1" w:styleId="370">
    <w:name w:val="font6"/>
    <w:basedOn w:val="1"/>
    <w:qFormat/>
    <w:uiPriority w:val="0"/>
    <w:pPr>
      <w:widowControl/>
      <w:adjustRightInd w:val="0"/>
      <w:spacing w:before="100" w:beforeAutospacing="1" w:after="100" w:afterAutospacing="1" w:line="288" w:lineRule="auto"/>
      <w:ind w:firstLine="420"/>
      <w:jc w:val="left"/>
      <w:textAlignment w:val="baseline"/>
    </w:pPr>
    <w:rPr>
      <w:sz w:val="24"/>
    </w:rPr>
  </w:style>
  <w:style w:type="paragraph" w:customStyle="1" w:styleId="371">
    <w:name w:val="Char Char1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372">
    <w:name w:val="菲页2"/>
    <w:basedOn w:val="6"/>
    <w:qFormat/>
    <w:uiPriority w:val="0"/>
    <w:pPr>
      <w:widowControl/>
      <w:tabs>
        <w:tab w:val="left" w:pos="360"/>
      </w:tabs>
      <w:spacing w:before="120" w:after="120"/>
      <w:ind w:left="720" w:hanging="720"/>
      <w:jc w:val="center"/>
    </w:pPr>
    <w:rPr>
      <w:b w:val="0"/>
      <w:bCs w:val="0"/>
      <w:kern w:val="0"/>
      <w:sz w:val="44"/>
      <w:szCs w:val="20"/>
    </w:rPr>
  </w:style>
  <w:style w:type="paragraph" w:customStyle="1" w:styleId="37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2"/>
      <w:szCs w:val="22"/>
    </w:rPr>
  </w:style>
  <w:style w:type="paragraph" w:customStyle="1" w:styleId="3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375">
    <w:name w:val="Char Char1 Char Char Char Char1 Char Char Char Char Char Char"/>
    <w:basedOn w:val="1"/>
    <w:qFormat/>
    <w:uiPriority w:val="0"/>
    <w:rPr>
      <w:rFonts w:ascii="Tahoma" w:hAnsi="Tahoma"/>
      <w:sz w:val="24"/>
    </w:rPr>
  </w:style>
  <w:style w:type="paragraph" w:customStyle="1" w:styleId="376">
    <w:name w:val="喜"/>
    <w:basedOn w:val="6"/>
    <w:qFormat/>
    <w:uiPriority w:val="0"/>
    <w:pPr>
      <w:tabs>
        <w:tab w:val="left" w:pos="600"/>
      </w:tabs>
      <w:adjustRightInd w:val="0"/>
      <w:spacing w:line="416" w:lineRule="atLeast"/>
      <w:ind w:left="600" w:hanging="420"/>
      <w:jc w:val="left"/>
      <w:textAlignment w:val="baseline"/>
    </w:pPr>
    <w:rPr>
      <w:rFonts w:ascii="Times New Roman"/>
      <w:kern w:val="0"/>
      <w:sz w:val="28"/>
      <w:szCs w:val="28"/>
    </w:rPr>
  </w:style>
  <w:style w:type="paragraph" w:customStyle="1" w:styleId="377">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hAnsi="宋体"/>
      <w:b/>
      <w:bCs/>
      <w:sz w:val="20"/>
    </w:rPr>
  </w:style>
  <w:style w:type="paragraph" w:customStyle="1" w:styleId="3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2"/>
      <w:szCs w:val="22"/>
    </w:rPr>
  </w:style>
  <w:style w:type="paragraph" w:customStyle="1" w:styleId="379">
    <w:name w:val="四号线第四级"/>
    <w:basedOn w:val="1"/>
    <w:qFormat/>
    <w:uiPriority w:val="0"/>
    <w:pPr>
      <w:tabs>
        <w:tab w:val="left" w:pos="600"/>
      </w:tabs>
      <w:ind w:left="600" w:hanging="420"/>
    </w:pPr>
  </w:style>
  <w:style w:type="paragraph" w:customStyle="1" w:styleId="380">
    <w:name w:val="普通正文"/>
    <w:basedOn w:val="1"/>
    <w:qFormat/>
    <w:uiPriority w:val="0"/>
    <w:pPr>
      <w:adjustRightInd w:val="0"/>
      <w:spacing w:before="120" w:after="120" w:line="360" w:lineRule="auto"/>
      <w:ind w:firstLine="480"/>
      <w:jc w:val="left"/>
      <w:textAlignment w:val="baseline"/>
    </w:pPr>
    <w:rPr>
      <w:rFonts w:ascii="Arial" w:hAnsi="Arial"/>
      <w:sz w:val="24"/>
    </w:rPr>
  </w:style>
  <w:style w:type="paragraph" w:customStyle="1" w:styleId="38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sz w:val="20"/>
    </w:rPr>
  </w:style>
  <w:style w:type="paragraph" w:customStyle="1" w:styleId="382">
    <w:name w:val="1-二级标题"/>
    <w:basedOn w:val="1"/>
    <w:qFormat/>
    <w:uiPriority w:val="0"/>
    <w:pPr>
      <w:spacing w:line="360" w:lineRule="auto"/>
      <w:ind w:firstLine="200" w:firstLineChars="200"/>
      <w:outlineLvl w:val="1"/>
    </w:pPr>
    <w:rPr>
      <w:rFonts w:hAnsi="宋体"/>
      <w:b/>
      <w:sz w:val="24"/>
    </w:rPr>
  </w:style>
  <w:style w:type="paragraph" w:customStyle="1" w:styleId="383">
    <w:name w:val="正文加重首行缩进2字"/>
    <w:basedOn w:val="1"/>
    <w:qFormat/>
    <w:uiPriority w:val="0"/>
    <w:pPr>
      <w:spacing w:before="100" w:beforeAutospacing="1" w:after="100" w:afterAutospacing="1"/>
      <w:ind w:firstLine="560" w:firstLineChars="200"/>
    </w:pPr>
    <w:rPr>
      <w:rFonts w:eastAsia="仿宋_GB2312"/>
      <w:b/>
      <w:bCs/>
      <w:sz w:val="24"/>
    </w:rPr>
  </w:style>
  <w:style w:type="paragraph" w:customStyle="1" w:styleId="384">
    <w:name w:val="PPAR1"/>
    <w:basedOn w:val="1"/>
    <w:qFormat/>
    <w:uiPriority w:val="0"/>
    <w:pPr>
      <w:keepNext/>
      <w:widowControl/>
      <w:spacing w:before="120" w:after="120"/>
      <w:jc w:val="center"/>
    </w:pPr>
    <w:rPr>
      <w:rFonts w:ascii="Arial" w:hAnsi="Arial"/>
      <w:b/>
      <w:caps/>
      <w:sz w:val="22"/>
      <w:lang w:eastAsia="en-US"/>
    </w:rPr>
  </w:style>
  <w:style w:type="paragraph" w:customStyle="1" w:styleId="385">
    <w:name w:val="Default"/>
    <w:qFormat/>
    <w:uiPriority w:val="0"/>
    <w:pPr>
      <w:widowControl w:val="0"/>
      <w:autoSpaceDE w:val="0"/>
      <w:autoSpaceDN w:val="0"/>
      <w:adjustRightInd w:val="0"/>
    </w:pPr>
    <w:rPr>
      <w:rFonts w:ascii="Verdana" w:hAnsi="Verdana" w:eastAsia="宋体" w:cs="Times New Roman"/>
      <w:color w:val="000000"/>
      <w:sz w:val="24"/>
      <w:lang w:val="en-US" w:eastAsia="zh-CN" w:bidi="ar-SA"/>
    </w:rPr>
  </w:style>
  <w:style w:type="paragraph" w:customStyle="1" w:styleId="38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38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2"/>
      <w:szCs w:val="22"/>
    </w:rPr>
  </w:style>
  <w:style w:type="paragraph" w:customStyle="1" w:styleId="38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sz w:val="13"/>
      <w:szCs w:val="13"/>
    </w:rPr>
  </w:style>
  <w:style w:type="paragraph" w:customStyle="1" w:styleId="389">
    <w:name w:val="Char11"/>
    <w:basedOn w:val="1"/>
    <w:qFormat/>
    <w:uiPriority w:val="0"/>
    <w:rPr>
      <w:rFonts w:ascii="仿宋_GB2312" w:eastAsia="仿宋_GB2312"/>
      <w:b/>
      <w:sz w:val="32"/>
      <w:szCs w:val="32"/>
    </w:rPr>
  </w:style>
  <w:style w:type="paragraph" w:customStyle="1" w:styleId="390">
    <w:name w:val="Item Step in Table"/>
    <w:qFormat/>
    <w:uiPriority w:val="0"/>
    <w:pPr>
      <w:tabs>
        <w:tab w:val="left" w:pos="397"/>
      </w:tabs>
      <w:spacing w:before="40" w:after="40"/>
      <w:ind w:left="432" w:hanging="432"/>
      <w:jc w:val="both"/>
    </w:pPr>
    <w:rPr>
      <w:rFonts w:ascii="Arial" w:hAnsi="Arial" w:eastAsia="宋体" w:cs="Times New Roman"/>
      <w:sz w:val="18"/>
      <w:lang w:val="en-US" w:eastAsia="zh-CN" w:bidi="ar-SA"/>
    </w:rPr>
  </w:style>
  <w:style w:type="paragraph" w:customStyle="1" w:styleId="391">
    <w:name w:val="xl4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Ansi="宋体"/>
      <w:sz w:val="24"/>
    </w:rPr>
  </w:style>
  <w:style w:type="paragraph" w:customStyle="1" w:styleId="392">
    <w:name w:val="宏图高科"/>
    <w:basedOn w:val="1"/>
    <w:qFormat/>
    <w:uiPriority w:val="0"/>
    <w:pPr>
      <w:spacing w:line="360" w:lineRule="auto"/>
      <w:ind w:firstLine="480"/>
    </w:pPr>
    <w:rPr>
      <w:rFonts w:eastAsia="楷体_GB2312"/>
      <w:sz w:val="24"/>
    </w:rPr>
  </w:style>
  <w:style w:type="paragraph" w:customStyle="1" w:styleId="393">
    <w:name w:val="样式 标题4 + 首行缩进:  2 字符"/>
    <w:basedOn w:val="1"/>
    <w:qFormat/>
    <w:uiPriority w:val="99"/>
    <w:pPr>
      <w:ind w:firstLine="100" w:firstLineChars="100"/>
    </w:pPr>
    <w:rPr>
      <w:rFonts w:ascii="仿宋体-10Point" w:eastAsia="仿宋_GB2312" w:cs="仿宋体-10Point"/>
      <w:kern w:val="2"/>
      <w:sz w:val="24"/>
      <w:szCs w:val="24"/>
    </w:rPr>
  </w:style>
  <w:style w:type="paragraph" w:customStyle="1" w:styleId="39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396">
    <w:name w:val="大标题"/>
    <w:basedOn w:val="4"/>
    <w:qFormat/>
    <w:uiPriority w:val="0"/>
    <w:pPr>
      <w:pageBreakBefore/>
      <w:tabs>
        <w:tab w:val="left" w:pos="780"/>
        <w:tab w:val="left" w:pos="1800"/>
      </w:tabs>
      <w:adjustRightInd w:val="0"/>
      <w:spacing w:line="440" w:lineRule="exact"/>
      <w:textAlignment w:val="baseline"/>
      <w:outlineLvl w:val="9"/>
    </w:pPr>
    <w:rPr>
      <w:rFonts w:hAnsi="Arial"/>
      <w:b w:val="0"/>
      <w:bCs/>
      <w:sz w:val="36"/>
      <w:szCs w:val="36"/>
    </w:rPr>
  </w:style>
  <w:style w:type="paragraph" w:customStyle="1" w:styleId="397">
    <w:name w:val="xl49"/>
    <w:basedOn w:val="1"/>
    <w:qFormat/>
    <w:uiPriority w:val="0"/>
    <w:pPr>
      <w:widowControl/>
      <w:spacing w:before="100" w:beforeAutospacing="1" w:after="100" w:afterAutospacing="1"/>
      <w:jc w:val="center"/>
      <w:textAlignment w:val="center"/>
    </w:pPr>
    <w:rPr>
      <w:rFonts w:hAnsi="宋体"/>
      <w:b/>
      <w:bCs/>
      <w:color w:val="000000"/>
      <w:sz w:val="40"/>
      <w:szCs w:val="40"/>
    </w:rPr>
  </w:style>
  <w:style w:type="paragraph" w:customStyle="1" w:styleId="398">
    <w:name w:val="修订1"/>
    <w:hidden/>
    <w:semiHidden/>
    <w:qFormat/>
    <w:uiPriority w:val="99"/>
    <w:rPr>
      <w:rFonts w:ascii="宋体" w:hAnsi="Times New Roman" w:eastAsia="宋体" w:cs="Times New Roman"/>
      <w:sz w:val="34"/>
      <w:lang w:val="en-US" w:eastAsia="zh-CN" w:bidi="ar-SA"/>
    </w:rPr>
  </w:style>
  <w:style w:type="table" w:customStyle="1" w:styleId="399">
    <w:name w:val="网格型1"/>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0">
    <w:name w:val="List Paragraph"/>
    <w:basedOn w:val="1"/>
    <w:link w:val="415"/>
    <w:qFormat/>
    <w:uiPriority w:val="34"/>
    <w:pPr>
      <w:ind w:firstLine="420" w:firstLineChars="200"/>
    </w:pPr>
    <w:rPr>
      <w:rFonts w:ascii="Calibri" w:hAnsi="Calibri"/>
      <w:kern w:val="2"/>
      <w:sz w:val="21"/>
      <w:szCs w:val="22"/>
    </w:rPr>
  </w:style>
  <w:style w:type="paragraph" w:customStyle="1" w:styleId="401">
    <w:name w:val="图"/>
    <w:basedOn w:val="1"/>
    <w:qFormat/>
    <w:uiPriority w:val="0"/>
    <w:pPr>
      <w:keepNext/>
      <w:adjustRightInd w:val="0"/>
      <w:spacing w:before="60" w:after="60" w:line="300" w:lineRule="auto"/>
      <w:jc w:val="center"/>
      <w:textAlignment w:val="center"/>
    </w:pPr>
    <w:rPr>
      <w:rFonts w:ascii="Times New Roman"/>
      <w:snapToGrid w:val="0"/>
      <w:spacing w:val="20"/>
      <w:sz w:val="24"/>
    </w:rPr>
  </w:style>
  <w:style w:type="paragraph" w:customStyle="1" w:styleId="402">
    <w:name w:val="Cap 层级 1"/>
    <w:qFormat/>
    <w:uiPriority w:val="0"/>
    <w:pPr>
      <w:numPr>
        <w:ilvl w:val="0"/>
        <w:numId w:val="7"/>
      </w:numPr>
      <w:tabs>
        <w:tab w:val="left" w:pos="1800"/>
        <w:tab w:val="clear" w:pos="697"/>
      </w:tabs>
      <w:ind w:left="425" w:hanging="425"/>
    </w:pPr>
    <w:rPr>
      <w:rFonts w:ascii="Times New Roman" w:hAnsi="Times New Roman" w:eastAsia="宋体" w:cs="Times New Roman"/>
      <w:sz w:val="22"/>
      <w:szCs w:val="24"/>
      <w:lang w:val="en-US" w:eastAsia="en-CA" w:bidi="ar-SA"/>
    </w:rPr>
  </w:style>
  <w:style w:type="paragraph" w:customStyle="1" w:styleId="403">
    <w:name w:val="普通文字"/>
    <w:basedOn w:val="1"/>
    <w:next w:val="1"/>
    <w:qFormat/>
    <w:uiPriority w:val="0"/>
    <w:rPr>
      <w:sz w:val="24"/>
      <w:u w:color="000000"/>
    </w:rPr>
  </w:style>
  <w:style w:type="paragraph" w:customStyle="1" w:styleId="404">
    <w:name w:val="书籍标题4"/>
    <w:basedOn w:val="1"/>
    <w:next w:val="1"/>
    <w:qFormat/>
    <w:uiPriority w:val="0"/>
    <w:pPr>
      <w:tabs>
        <w:tab w:val="left" w:pos="1680"/>
      </w:tabs>
      <w:ind w:left="567"/>
      <w:jc w:val="left"/>
      <w:outlineLvl w:val="3"/>
    </w:pPr>
    <w:rPr>
      <w:rFonts w:ascii="Times New Roman"/>
      <w:b/>
      <w:bCs/>
      <w:spacing w:val="20"/>
      <w:kern w:val="2"/>
      <w:sz w:val="24"/>
      <w:szCs w:val="24"/>
      <w:lang w:val="zh-CN"/>
    </w:rPr>
  </w:style>
  <w:style w:type="paragraph" w:customStyle="1" w:styleId="405">
    <w:name w:val="书籍标题1"/>
    <w:basedOn w:val="1"/>
    <w:next w:val="1"/>
    <w:qFormat/>
    <w:uiPriority w:val="0"/>
    <w:pPr>
      <w:pageBreakBefore/>
      <w:widowControl/>
      <w:numPr>
        <w:ilvl w:val="0"/>
        <w:numId w:val="8"/>
      </w:numPr>
      <w:spacing w:beforeLines="200" w:afterLines="200"/>
      <w:ind w:left="0"/>
      <w:jc w:val="center"/>
      <w:outlineLvl w:val="0"/>
    </w:pPr>
    <w:rPr>
      <w:rFonts w:ascii="Times New Roman" w:eastAsia="黑体"/>
      <w:b/>
      <w:bCs/>
      <w:spacing w:val="20"/>
      <w:kern w:val="44"/>
      <w:sz w:val="44"/>
    </w:rPr>
  </w:style>
  <w:style w:type="paragraph" w:customStyle="1" w:styleId="406">
    <w:name w:val="yyn"/>
    <w:basedOn w:val="1"/>
    <w:qFormat/>
    <w:uiPriority w:val="0"/>
    <w:pPr>
      <w:keepNext/>
      <w:widowControl/>
      <w:overflowPunct w:val="0"/>
      <w:autoSpaceDE w:val="0"/>
      <w:autoSpaceDN w:val="0"/>
      <w:adjustRightInd w:val="0"/>
      <w:spacing w:line="360" w:lineRule="auto"/>
      <w:ind w:right="562" w:firstLine="576"/>
      <w:textAlignment w:val="baseline"/>
    </w:pPr>
    <w:rPr>
      <w:kern w:val="16"/>
      <w:sz w:val="28"/>
    </w:rPr>
  </w:style>
  <w:style w:type="paragraph" w:customStyle="1" w:styleId="40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408">
    <w:name w:val="题注3"/>
    <w:basedOn w:val="1"/>
    <w:next w:val="16"/>
    <w:qFormat/>
    <w:uiPriority w:val="0"/>
    <w:pPr>
      <w:ind w:left="-107" w:leftChars="-51" w:firstLine="1"/>
      <w:jc w:val="center"/>
    </w:pPr>
    <w:rPr>
      <w:rFonts w:ascii="Times New Roman" w:eastAsia="华文中宋"/>
      <w:b/>
      <w:kern w:val="2"/>
      <w:sz w:val="32"/>
      <w:szCs w:val="24"/>
    </w:rPr>
  </w:style>
  <w:style w:type="paragraph" w:customStyle="1" w:styleId="409">
    <w:name w:val="题注5"/>
    <w:basedOn w:val="1"/>
    <w:next w:val="16"/>
    <w:qFormat/>
    <w:uiPriority w:val="0"/>
    <w:pPr>
      <w:spacing w:line="360" w:lineRule="auto"/>
      <w:ind w:left="180" w:hanging="180"/>
    </w:pPr>
    <w:rPr>
      <w:rFonts w:ascii="Times New Roman"/>
      <w:color w:val="FF0000"/>
      <w:kern w:val="2"/>
      <w:sz w:val="21"/>
      <w:szCs w:val="24"/>
    </w:rPr>
  </w:style>
  <w:style w:type="paragraph" w:customStyle="1" w:styleId="410">
    <w:name w:val="纯文本1"/>
    <w:basedOn w:val="1"/>
    <w:next w:val="1"/>
    <w:qFormat/>
    <w:uiPriority w:val="0"/>
    <w:pPr>
      <w:widowControl/>
      <w:jc w:val="left"/>
      <w:textAlignment w:val="baseline"/>
    </w:pPr>
    <w:rPr>
      <w:color w:val="000000"/>
      <w:kern w:val="2"/>
      <w:sz w:val="24"/>
    </w:rPr>
  </w:style>
  <w:style w:type="paragraph" w:customStyle="1" w:styleId="411">
    <w:name w:val="题注6"/>
    <w:basedOn w:val="1"/>
    <w:next w:val="16"/>
    <w:qFormat/>
    <w:uiPriority w:val="0"/>
    <w:pPr>
      <w:ind w:left="632"/>
    </w:pPr>
    <w:rPr>
      <w:rFonts w:ascii="Times New Roman"/>
      <w:bCs/>
      <w:color w:val="FF0000"/>
      <w:kern w:val="2"/>
      <w:sz w:val="21"/>
      <w:szCs w:val="24"/>
      <w:lang w:val="en-GB"/>
    </w:rPr>
  </w:style>
  <w:style w:type="character" w:customStyle="1" w:styleId="412">
    <w:name w:val="fontstyle01"/>
    <w:qFormat/>
    <w:uiPriority w:val="0"/>
    <w:rPr>
      <w:rFonts w:hint="default" w:ascii="CIDFont+F1" w:hAnsi="CIDFont+F1"/>
      <w:color w:val="000000"/>
      <w:sz w:val="22"/>
      <w:szCs w:val="22"/>
    </w:rPr>
  </w:style>
  <w:style w:type="character" w:customStyle="1" w:styleId="413">
    <w:name w:val="脚注文本 Char1"/>
    <w:semiHidden/>
    <w:qFormat/>
    <w:uiPriority w:val="99"/>
    <w:rPr>
      <w:rFonts w:ascii="Times New Roman" w:hAnsi="Times New Roman" w:eastAsia="宋体" w:cs="Times New Roman"/>
      <w:sz w:val="18"/>
      <w:szCs w:val="18"/>
    </w:rPr>
  </w:style>
  <w:style w:type="character" w:customStyle="1" w:styleId="414">
    <w:name w:val="文档结构图 字符"/>
    <w:link w:val="19"/>
    <w:qFormat/>
    <w:uiPriority w:val="0"/>
    <w:rPr>
      <w:rFonts w:ascii="宋体"/>
      <w:sz w:val="34"/>
      <w:shd w:val="clear" w:color="auto" w:fill="000080"/>
    </w:rPr>
  </w:style>
  <w:style w:type="character" w:customStyle="1" w:styleId="415">
    <w:name w:val="列表段落 字符"/>
    <w:link w:val="400"/>
    <w:qFormat/>
    <w:uiPriority w:val="34"/>
    <w:rPr>
      <w:rFonts w:ascii="Calibri" w:hAnsi="Calibri"/>
      <w:kern w:val="2"/>
      <w:sz w:val="21"/>
      <w:szCs w:val="22"/>
    </w:rPr>
  </w:style>
  <w:style w:type="character" w:customStyle="1" w:styleId="416">
    <w:name w:val="页脚 Char1"/>
    <w:semiHidden/>
    <w:qFormat/>
    <w:uiPriority w:val="99"/>
    <w:rPr>
      <w:rFonts w:ascii="Times New Roman" w:hAnsi="Times New Roman" w:eastAsia="宋体" w:cs="Times New Roman"/>
      <w:sz w:val="18"/>
      <w:szCs w:val="18"/>
    </w:rPr>
  </w:style>
  <w:style w:type="character" w:customStyle="1" w:styleId="417">
    <w:name w:val="页眉 Char1"/>
    <w:semiHidden/>
    <w:qFormat/>
    <w:uiPriority w:val="99"/>
    <w:rPr>
      <w:rFonts w:ascii="Times New Roman" w:hAnsi="Times New Roman" w:eastAsia="宋体" w:cs="Times New Roman"/>
      <w:sz w:val="18"/>
      <w:szCs w:val="18"/>
    </w:rPr>
  </w:style>
  <w:style w:type="paragraph" w:customStyle="1" w:styleId="418">
    <w:name w:val="WPSOffice手动目录 1"/>
    <w:qFormat/>
    <w:uiPriority w:val="0"/>
    <w:rPr>
      <w:rFonts w:ascii="Times New Roman" w:hAnsi="Times New Roman" w:eastAsia="宋体" w:cs="Times New Roman"/>
      <w:lang w:val="en-US" w:eastAsia="zh-CN" w:bidi="ar-SA"/>
    </w:rPr>
  </w:style>
  <w:style w:type="paragraph" w:customStyle="1" w:styleId="4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0">
    <w:name w:val="标题5"/>
    <w:qFormat/>
    <w:uiPriority w:val="0"/>
    <w:pPr>
      <w:widowControl w:val="0"/>
      <w:numPr>
        <w:ilvl w:val="0"/>
        <w:numId w:val="9"/>
      </w:numPr>
      <w:spacing w:before="100" w:beforeAutospacing="1" w:after="100" w:afterAutospacing="1"/>
      <w:jc w:val="both"/>
      <w:outlineLvl w:val="4"/>
    </w:pPr>
    <w:rPr>
      <w:rFonts w:ascii="Times New Roman" w:hAnsi="Times New Roman" w:eastAsia="宋体" w:cs="Times New Roman"/>
      <w:kern w:val="2"/>
      <w:sz w:val="21"/>
      <w:szCs w:val="24"/>
      <w:lang w:val="en-US" w:eastAsia="zh-CN" w:bidi="ar-SA"/>
    </w:rPr>
  </w:style>
  <w:style w:type="character" w:customStyle="1" w:styleId="421">
    <w:name w:val="font01"/>
    <w:basedOn w:val="58"/>
    <w:qFormat/>
    <w:uiPriority w:val="0"/>
    <w:rPr>
      <w:rFonts w:hint="eastAsia" w:ascii="宋体" w:hAnsi="宋体" w:eastAsia="宋体" w:cs="宋体"/>
      <w:color w:val="000000"/>
      <w:sz w:val="24"/>
      <w:szCs w:val="24"/>
      <w:u w:val="none"/>
    </w:rPr>
  </w:style>
  <w:style w:type="paragraph" w:customStyle="1" w:styleId="422">
    <w:name w:val="二级条标题"/>
    <w:next w:val="1"/>
    <w:qFormat/>
    <w:uiPriority w:val="0"/>
    <w:pPr>
      <w:spacing w:beforeLines="50" w:afterLines="50"/>
      <w:outlineLvl w:val="3"/>
    </w:pPr>
    <w:rPr>
      <w:rFonts w:ascii="黑体" w:hAnsi="Times New Roman" w:eastAsia="黑体" w:cs="Times New Roman"/>
      <w:sz w:val="21"/>
      <w:szCs w:val="21"/>
      <w:lang w:val="en-US" w:eastAsia="zh-CN" w:bidi="ar-SA"/>
    </w:rPr>
  </w:style>
  <w:style w:type="paragraph" w:customStyle="1" w:styleId="423">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24">
    <w:name w:val="正文图标题"/>
    <w:next w:val="1"/>
    <w:qFormat/>
    <w:uiPriority w:val="0"/>
    <w:pPr>
      <w:numPr>
        <w:ilvl w:val="0"/>
        <w:numId w:val="10"/>
      </w:numPr>
      <w:spacing w:beforeLines="50" w:afterLines="50"/>
      <w:jc w:val="center"/>
    </w:pPr>
    <w:rPr>
      <w:rFonts w:ascii="黑体" w:hAnsi="Times New Roman" w:eastAsia="黑体" w:cs="Times New Roman"/>
      <w:sz w:val="21"/>
      <w:lang w:val="en-US" w:eastAsia="zh-CN" w:bidi="ar-SA"/>
    </w:rPr>
  </w:style>
  <w:style w:type="paragraph" w:customStyle="1" w:styleId="425">
    <w:name w:val="正文表标题"/>
    <w:next w:val="1"/>
    <w:qFormat/>
    <w:uiPriority w:val="0"/>
    <w:pPr>
      <w:numPr>
        <w:ilvl w:val="0"/>
        <w:numId w:val="11"/>
      </w:numPr>
      <w:spacing w:beforeLines="50" w:afterLines="50"/>
      <w:jc w:val="center"/>
    </w:pPr>
    <w:rPr>
      <w:rFonts w:ascii="黑体" w:hAnsi="Times New Roman" w:eastAsia="黑体" w:cs="Times New Roman"/>
      <w:sz w:val="21"/>
      <w:lang w:val="en-US" w:eastAsia="zh-CN" w:bidi="ar-SA"/>
    </w:rPr>
  </w:style>
  <w:style w:type="paragraph" w:customStyle="1" w:styleId="426">
    <w:name w:val="修订2"/>
    <w:hidden/>
    <w:unhideWhenUsed/>
    <w:qFormat/>
    <w:uiPriority w:val="99"/>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47DC0-22C0-40B6-9FB2-788F418B22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41719</Words>
  <Characters>43636</Characters>
  <Lines>40</Lines>
  <Paragraphs>80</Paragraphs>
  <TotalTime>18</TotalTime>
  <ScaleCrop>false</ScaleCrop>
  <LinksUpToDate>false</LinksUpToDate>
  <CharactersWithSpaces>44801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2021-06-16T08:55:00Z</dcterms:created>
  <dc:creator>ly</dc:creator>
  <cp:lastModifiedBy>邵佳</cp:lastModifiedBy>
  <cp:lastPrinted>2021-06-08T01:34:00Z</cp:lastPrinted>
  <dcterms:modified xsi:type="dcterms:W3CDTF">2022-07-13T02:29:48Z</dcterms:modified>
  <dc:title>竞争性谈判采购文件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7810283125F24737B8DE91842A7AEFFA</vt:lpwstr>
  </property>
</Properties>
</file>