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rPr>
          <w:rFonts w:ascii="宋体" w:hAnsi="宋体"/>
          <w:b/>
          <w:sz w:val="52"/>
          <w:szCs w:val="52"/>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 锡 市 政 府 采 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 xml:space="preserve">公  开   </w:t>
      </w:r>
    </w:p>
    <w:p>
      <w:pPr>
        <w:jc w:val="center"/>
        <w:rPr>
          <w:rFonts w:ascii="华文中宋" w:hAnsi="华文中宋" w:eastAsia="华文中宋"/>
          <w:bCs/>
          <w:spacing w:val="20"/>
          <w:sz w:val="52"/>
          <w:szCs w:val="52"/>
        </w:rPr>
      </w:pPr>
      <w:r>
        <w:rPr>
          <w:rFonts w:ascii="黑体" w:hAnsi="华文中宋" w:eastAsia="黑体"/>
          <w:bCs/>
          <w:spacing w:val="20"/>
          <w:sz w:val="52"/>
          <w:szCs w:val="52"/>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0" name="直线 20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209" o:spid="_x0000_s1026" o:spt="20" style="position:absolute;left:0pt;margin-left:-9pt;margin-top:15.6pt;height:0pt;width:0.05pt;z-index:251660288;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9/61wAAAAkBAAAPAAAAAAAA&#10;AAEAIAAAACIAAABkcnMvZG93bnJldi54bWxQSwECFAAUAAAACACHTuJALpqbzNoBAACuAwAADgAA&#10;AAAAAAABACAAAAAmAQAAZHJzL2Uyb0RvYy54bWxQSwUGAAAAAAYABgBZAQAAcgU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w:t>
      </w:r>
      <w:r>
        <w:rPr>
          <w:rFonts w:ascii="黑体" w:hAnsi="华文中宋" w:eastAsia="黑体"/>
          <w:bCs/>
          <w:spacing w:val="20"/>
          <w:sz w:val="52"/>
          <w:szCs w:val="52"/>
        </w:rPr>
        <w:t xml:space="preserve">  </w:t>
      </w:r>
      <w:r>
        <w:rPr>
          <w:rFonts w:hint="eastAsia" w:ascii="黑体" w:hAnsi="华文中宋" w:eastAsia="黑体"/>
          <w:bCs/>
          <w:spacing w:val="20"/>
          <w:sz w:val="52"/>
          <w:szCs w:val="52"/>
        </w:rPr>
        <w:t>文  件</w:t>
      </w:r>
    </w:p>
    <w:p>
      <w:pPr>
        <w:rPr>
          <w:rFonts w:ascii="华文中宋" w:hAnsi="华文中宋" w:eastAsia="华文中宋"/>
          <w:bCs/>
          <w:sz w:val="30"/>
        </w:rPr>
      </w:pPr>
    </w:p>
    <w:p>
      <w:pPr>
        <w:rPr>
          <w:rFonts w:ascii="华文中宋" w:hAnsi="华文中宋" w:eastAsia="华文中宋"/>
          <w:bCs/>
          <w:sz w:val="30"/>
        </w:rPr>
      </w:pPr>
    </w:p>
    <w:p>
      <w:pPr>
        <w:rPr>
          <w:rFonts w:ascii="黑体" w:hAnsi="华文中宋" w:eastAsia="黑体"/>
          <w:bCs/>
          <w:sz w:val="30"/>
          <w:szCs w:val="30"/>
        </w:rPr>
      </w:pPr>
    </w:p>
    <w:p>
      <w:pPr>
        <w:rPr>
          <w:rFonts w:ascii="黑体" w:hAnsi="华文中宋" w:eastAsia="黑体"/>
          <w:bCs/>
          <w:sz w:val="30"/>
          <w:szCs w:val="30"/>
        </w:rPr>
      </w:pPr>
    </w:p>
    <w:p>
      <w:pPr>
        <w:rPr>
          <w:rFonts w:ascii="黑体" w:hAnsi="华文中宋" w:eastAsia="黑体"/>
          <w:bCs/>
          <w:sz w:val="30"/>
          <w:szCs w:val="30"/>
        </w:rPr>
      </w:pPr>
    </w:p>
    <w:p>
      <w:pPr>
        <w:rPr>
          <w:rFonts w:ascii="黑体" w:hAnsi="华文中宋" w:eastAsia="黑体"/>
          <w:bCs/>
          <w:sz w:val="30"/>
          <w:szCs w:val="30"/>
        </w:rPr>
      </w:pPr>
      <w:r>
        <w:rPr>
          <w:rFonts w:hint="eastAsia" w:ascii="黑体" w:hAnsi="华文中宋" w:eastAsia="黑体"/>
          <w:bCs/>
          <w:sz w:val="30"/>
          <w:szCs w:val="30"/>
        </w:rPr>
        <w:t xml:space="preserve">政府采购编号：PXGJCG2022-178 </w:t>
      </w:r>
    </w:p>
    <w:p>
      <w:pPr>
        <w:rPr>
          <w:rFonts w:ascii="黑体" w:hAnsi="华文中宋" w:eastAsia="黑体"/>
          <w:bCs/>
          <w:sz w:val="30"/>
          <w:szCs w:val="30"/>
        </w:rPr>
      </w:pPr>
      <w:r>
        <w:rPr>
          <w:rFonts w:hint="eastAsia" w:ascii="黑体" w:hAnsi="华文中宋" w:eastAsia="黑体"/>
          <w:bCs/>
          <w:sz w:val="30"/>
          <w:szCs w:val="30"/>
        </w:rPr>
        <w:t>采购项目名称：垃圾分类测评</w:t>
      </w:r>
    </w:p>
    <w:p>
      <w:pPr>
        <w:rPr>
          <w:rFonts w:ascii="黑体" w:hAnsi="华文中宋" w:eastAsia="黑体"/>
          <w:bCs/>
          <w:sz w:val="30"/>
          <w:szCs w:val="30"/>
        </w:rPr>
      </w:pPr>
      <w:r>
        <w:rPr>
          <w:rFonts w:hint="eastAsia" w:ascii="黑体" w:hAnsi="华文中宋" w:eastAsia="黑体"/>
          <w:bCs/>
          <w:sz w:val="30"/>
          <w:szCs w:val="30"/>
        </w:rPr>
        <w:t>采   购   人：无锡市城市管理局</w:t>
      </w:r>
    </w:p>
    <w:p>
      <w:pPr>
        <w:rPr>
          <w:rFonts w:ascii="黑体" w:hAnsi="华文中宋" w:eastAsia="黑体"/>
          <w:bCs/>
          <w:sz w:val="30"/>
          <w:szCs w:val="30"/>
        </w:rPr>
      </w:pPr>
      <w:r>
        <w:rPr>
          <w:rFonts w:hint="eastAsia" w:ascii="黑体" w:hAnsi="华文中宋" w:eastAsia="黑体"/>
          <w:bCs/>
          <w:sz w:val="30"/>
          <w:szCs w:val="30"/>
        </w:rPr>
        <w:t>招标代理机构:普信国际工程咨询有限公司</w:t>
      </w:r>
    </w:p>
    <w:p>
      <w:pPr>
        <w:rPr>
          <w:rFonts w:ascii="黑体" w:hAnsi="华文中宋" w:eastAsia="黑体"/>
          <w:bCs/>
          <w:sz w:val="30"/>
          <w:szCs w:val="30"/>
        </w:rPr>
      </w:pPr>
    </w:p>
    <w:p>
      <w:pPr>
        <w:jc w:val="center"/>
        <w:rPr>
          <w:rFonts w:ascii="宋体" w:hAnsi="宋体"/>
          <w:b/>
          <w:color w:val="000000"/>
          <w:sz w:val="44"/>
          <w:szCs w:val="44"/>
        </w:rPr>
        <w:sectPr>
          <w:pgSz w:w="11906" w:h="16838"/>
          <w:pgMar w:top="1440" w:right="1800" w:bottom="1440" w:left="1800" w:header="851" w:footer="992" w:gutter="0"/>
          <w:cols w:space="720" w:num="1"/>
          <w:docGrid w:type="lines" w:linePitch="312" w:charSpace="0"/>
        </w:sectPr>
      </w:pPr>
      <w:r>
        <w:rPr>
          <w:rFonts w:hint="eastAsia" w:ascii="黑体" w:hAnsi="华文中宋" w:eastAsia="黑体"/>
          <w:bCs/>
          <w:sz w:val="30"/>
          <w:szCs w:val="30"/>
        </w:rPr>
        <w:t>二○二二年</w:t>
      </w:r>
      <w:r>
        <w:rPr>
          <w:rFonts w:hint="eastAsia" w:ascii="黑体" w:hAnsi="华文中宋" w:eastAsia="黑体"/>
          <w:bCs/>
          <w:sz w:val="30"/>
          <w:szCs w:val="30"/>
          <w:lang w:val="en-US" w:eastAsia="zh-CN"/>
        </w:rPr>
        <w:t>八</w:t>
      </w:r>
      <w:r>
        <w:rPr>
          <w:rFonts w:hint="eastAsia" w:ascii="黑体" w:hAnsi="华文中宋" w:eastAsia="黑体"/>
          <w:bCs/>
          <w:sz w:val="30"/>
          <w:szCs w:val="30"/>
        </w:rPr>
        <w:t>月</w:t>
      </w:r>
    </w:p>
    <w:p>
      <w:pPr>
        <w:pStyle w:val="2"/>
        <w:numPr>
          <w:ilvl w:val="4"/>
          <w:numId w:val="0"/>
        </w:numPr>
      </w:pPr>
    </w:p>
    <w:p>
      <w:pPr>
        <w:spacing w:line="720" w:lineRule="auto"/>
        <w:ind w:firstLine="600" w:firstLineChars="150"/>
        <w:jc w:val="center"/>
        <w:rPr>
          <w:rFonts w:ascii="宋体" w:hAnsi="宋体"/>
          <w:bCs/>
          <w:sz w:val="40"/>
          <w:szCs w:val="30"/>
        </w:rPr>
      </w:pPr>
      <w:r>
        <w:rPr>
          <w:rFonts w:hint="eastAsia" w:ascii="宋体" w:hAnsi="宋体"/>
          <w:bCs/>
          <w:sz w:val="40"/>
          <w:szCs w:val="30"/>
        </w:rPr>
        <w:t>目  录</w:t>
      </w:r>
    </w:p>
    <w:p>
      <w:pPr>
        <w:topLinePunct/>
        <w:snapToGrid w:val="0"/>
        <w:spacing w:line="360" w:lineRule="auto"/>
        <w:jc w:val="center"/>
        <w:rPr>
          <w:rFonts w:ascii="宋体" w:hAnsi="宋体"/>
          <w:b/>
          <w:color w:val="000000"/>
          <w:sz w:val="30"/>
          <w:szCs w:val="30"/>
        </w:rPr>
      </w:pPr>
    </w:p>
    <w:p>
      <w:pPr>
        <w:spacing w:line="720" w:lineRule="auto"/>
        <w:ind w:firstLine="450" w:firstLineChars="150"/>
        <w:rPr>
          <w:rFonts w:ascii="宋体" w:hAnsi="宋体"/>
          <w:bCs/>
          <w:sz w:val="30"/>
          <w:szCs w:val="30"/>
        </w:rPr>
      </w:pPr>
      <w:r>
        <w:rPr>
          <w:rFonts w:hint="eastAsia" w:ascii="宋体" w:hAnsi="宋体"/>
          <w:bCs/>
          <w:sz w:val="30"/>
          <w:szCs w:val="30"/>
        </w:rPr>
        <w:t>一．投标邀请</w:t>
      </w:r>
    </w:p>
    <w:p>
      <w:pPr>
        <w:spacing w:line="720" w:lineRule="auto"/>
        <w:ind w:firstLine="450" w:firstLineChars="150"/>
        <w:rPr>
          <w:rFonts w:ascii="宋体" w:hAnsi="宋体"/>
          <w:bCs/>
          <w:sz w:val="30"/>
          <w:szCs w:val="30"/>
        </w:rPr>
      </w:pPr>
      <w:r>
        <w:rPr>
          <w:rFonts w:hint="eastAsia" w:ascii="宋体" w:hAnsi="宋体"/>
          <w:bCs/>
          <w:sz w:val="30"/>
          <w:szCs w:val="30"/>
        </w:rPr>
        <w:t>二．投</w:t>
      </w:r>
      <w:bookmarkStart w:id="0" w:name="_Hlt49673248"/>
      <w:r>
        <w:rPr>
          <w:rFonts w:hint="eastAsia" w:ascii="宋体" w:hAnsi="宋体"/>
          <w:bCs/>
          <w:sz w:val="30"/>
          <w:szCs w:val="30"/>
        </w:rPr>
        <w:t>标</w:t>
      </w:r>
      <w:bookmarkEnd w:id="0"/>
      <w:bookmarkStart w:id="1" w:name="_Hlt49764523"/>
      <w:bookmarkStart w:id="2" w:name="_Hlt49764513"/>
      <w:r>
        <w:rPr>
          <w:rFonts w:hint="eastAsia" w:ascii="宋体" w:hAnsi="宋体"/>
          <w:bCs/>
          <w:sz w:val="30"/>
          <w:szCs w:val="30"/>
        </w:rPr>
        <w:t>人</w:t>
      </w:r>
      <w:bookmarkEnd w:id="1"/>
      <w:bookmarkEnd w:id="2"/>
      <w:r>
        <w:rPr>
          <w:rFonts w:hint="eastAsia" w:ascii="宋体" w:hAnsi="宋体"/>
          <w:bCs/>
          <w:sz w:val="30"/>
          <w:szCs w:val="30"/>
        </w:rPr>
        <w:t>须知</w:t>
      </w:r>
    </w:p>
    <w:p>
      <w:pPr>
        <w:spacing w:line="720" w:lineRule="auto"/>
        <w:ind w:firstLine="450" w:firstLineChars="150"/>
        <w:rPr>
          <w:rFonts w:ascii="宋体" w:hAnsi="宋体"/>
          <w:bCs/>
          <w:sz w:val="30"/>
          <w:szCs w:val="30"/>
        </w:rPr>
      </w:pPr>
      <w:r>
        <w:rPr>
          <w:rFonts w:hint="eastAsia" w:ascii="宋体" w:hAnsi="宋体"/>
          <w:bCs/>
          <w:sz w:val="30"/>
          <w:szCs w:val="30"/>
        </w:rPr>
        <w:t>三．项目需求及有关说明</w:t>
      </w:r>
    </w:p>
    <w:p>
      <w:pPr>
        <w:spacing w:line="720" w:lineRule="auto"/>
        <w:ind w:firstLine="450" w:firstLineChars="150"/>
        <w:rPr>
          <w:rFonts w:ascii="宋体" w:hAnsi="宋体"/>
          <w:bCs/>
          <w:sz w:val="30"/>
          <w:szCs w:val="30"/>
        </w:rPr>
      </w:pPr>
      <w:r>
        <w:rPr>
          <w:rFonts w:hint="eastAsia" w:ascii="宋体" w:hAnsi="宋体"/>
          <w:bCs/>
          <w:sz w:val="30"/>
          <w:szCs w:val="30"/>
        </w:rPr>
        <w:t>四．合同格式</w:t>
      </w:r>
    </w:p>
    <w:p>
      <w:pPr>
        <w:spacing w:line="720" w:lineRule="auto"/>
        <w:ind w:firstLine="450" w:firstLineChars="150"/>
        <w:rPr>
          <w:rFonts w:ascii="宋体" w:hAnsi="宋体"/>
          <w:bCs/>
          <w:sz w:val="30"/>
          <w:szCs w:val="30"/>
        </w:rPr>
      </w:pPr>
      <w:r>
        <w:rPr>
          <w:rFonts w:hint="eastAsia" w:ascii="宋体" w:hAnsi="宋体"/>
          <w:bCs/>
          <w:sz w:val="30"/>
          <w:szCs w:val="30"/>
        </w:rPr>
        <w:t>五. 投标文件格式</w:t>
      </w:r>
    </w:p>
    <w:p>
      <w:pPr>
        <w:spacing w:line="720" w:lineRule="auto"/>
        <w:rPr>
          <w:rFonts w:ascii="宋体" w:hAnsi="宋体"/>
          <w:bCs/>
          <w:sz w:val="30"/>
        </w:rPr>
      </w:pPr>
      <w:r>
        <w:rPr>
          <w:rFonts w:hint="eastAsia" w:ascii="宋体" w:hAnsi="宋体"/>
          <w:bCs/>
          <w:sz w:val="30"/>
        </w:rPr>
        <w:t xml:space="preserve">   六．附件</w:t>
      </w: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pacing w:before="470"/>
        <w:rPr>
          <w:rFonts w:ascii="宋体" w:hAnsi="宋体"/>
          <w:b/>
          <w:color w:val="000000"/>
          <w:sz w:val="24"/>
        </w:rPr>
      </w:pPr>
    </w:p>
    <w:p>
      <w:pPr>
        <w:widowControl/>
        <w:topLinePunct/>
        <w:spacing w:before="470"/>
        <w:rPr>
          <w:rFonts w:ascii="宋体" w:hAnsi="宋体"/>
          <w:b/>
          <w:color w:val="000000"/>
          <w:sz w:val="24"/>
        </w:rPr>
      </w:pPr>
    </w:p>
    <w:p>
      <w:pPr>
        <w:widowControl/>
        <w:topLinePunct/>
        <w:jc w:val="center"/>
        <w:rPr>
          <w:rFonts w:ascii="宋体" w:hAnsi="宋体"/>
          <w:b/>
          <w:sz w:val="36"/>
          <w:szCs w:val="36"/>
        </w:rPr>
      </w:pPr>
    </w:p>
    <w:p>
      <w:pPr>
        <w:widowControl/>
        <w:topLinePunct/>
        <w:jc w:val="center"/>
        <w:rPr>
          <w:rFonts w:ascii="宋体" w:hAnsi="宋体"/>
          <w:b/>
          <w:sz w:val="36"/>
          <w:szCs w:val="36"/>
        </w:rPr>
      </w:pPr>
    </w:p>
    <w:p>
      <w:pPr>
        <w:widowControl/>
        <w:topLinePunct/>
        <w:rPr>
          <w:rFonts w:ascii="宋体" w:hAnsi="宋体"/>
          <w:b/>
          <w:sz w:val="36"/>
          <w:szCs w:val="36"/>
        </w:rPr>
      </w:pPr>
    </w:p>
    <w:p>
      <w:pPr>
        <w:jc w:val="center"/>
        <w:rPr>
          <w:rFonts w:ascii="黑体" w:eastAsia="黑体"/>
          <w:bCs/>
          <w:sz w:val="28"/>
          <w:szCs w:val="28"/>
        </w:rPr>
      </w:pPr>
      <w:r>
        <w:rPr>
          <w:rFonts w:hint="eastAsia" w:ascii="黑体" w:eastAsia="黑体"/>
          <w:bCs/>
          <w:sz w:val="28"/>
          <w:szCs w:val="28"/>
        </w:rPr>
        <w:t>一．投标邀请</w:t>
      </w:r>
    </w:p>
    <w:p>
      <w:pPr>
        <w:widowControl/>
        <w:topLinePunct/>
        <w:spacing w:line="360" w:lineRule="auto"/>
        <w:ind w:firstLine="480" w:firstLineChars="200"/>
        <w:rPr>
          <w:rFonts w:ascii="宋体" w:hAnsi="宋体"/>
          <w:color w:val="000000"/>
          <w:sz w:val="24"/>
        </w:rPr>
      </w:pPr>
      <w:r>
        <w:rPr>
          <w:rFonts w:hint="eastAsia" w:ascii="宋体" w:hAnsi="宋体"/>
          <w:color w:val="000000"/>
          <w:sz w:val="24"/>
        </w:rPr>
        <w:t>我公司受</w:t>
      </w:r>
      <w:r>
        <w:rPr>
          <w:rFonts w:hint="eastAsia" w:ascii="宋体" w:hAnsi="宋体"/>
          <w:bCs/>
          <w:sz w:val="24"/>
        </w:rPr>
        <w:t>无锡市城市管理局</w:t>
      </w:r>
      <w:r>
        <w:rPr>
          <w:rFonts w:ascii="宋体" w:hAnsi="宋体"/>
          <w:color w:val="000000"/>
          <w:sz w:val="24"/>
        </w:rPr>
        <w:t>委托，</w:t>
      </w:r>
      <w:r>
        <w:rPr>
          <w:rFonts w:hint="eastAsia" w:ascii="宋体" w:hAnsi="宋体"/>
          <w:color w:val="000000"/>
          <w:sz w:val="24"/>
        </w:rPr>
        <w:t>就</w:t>
      </w:r>
      <w:r>
        <w:rPr>
          <w:rFonts w:hint="eastAsia" w:ascii="宋体" w:hAnsi="宋体"/>
          <w:bCs/>
          <w:sz w:val="24"/>
        </w:rPr>
        <w:t>垃圾分类测评进行</w:t>
      </w:r>
      <w:r>
        <w:rPr>
          <w:rFonts w:hint="eastAsia" w:ascii="宋体" w:hAnsi="宋体"/>
          <w:color w:val="000000"/>
          <w:sz w:val="24"/>
        </w:rPr>
        <w:t>公开招标。现欢迎符合相关条件的施工单位参加投标。</w:t>
      </w:r>
    </w:p>
    <w:tbl>
      <w:tblPr>
        <w:tblStyle w:val="5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序号</w:t>
            </w:r>
          </w:p>
        </w:tc>
        <w:tc>
          <w:tcPr>
            <w:tcW w:w="9146" w:type="dxa"/>
            <w:vAlign w:val="center"/>
          </w:tcPr>
          <w:p>
            <w:pPr>
              <w:widowControl/>
              <w:topLinePunct/>
              <w:jc w:val="center"/>
              <w:rPr>
                <w:rFonts w:ascii="宋体" w:hAnsi="宋体"/>
                <w:color w:val="auto"/>
                <w:sz w:val="24"/>
              </w:rPr>
            </w:pPr>
            <w:r>
              <w:rPr>
                <w:rFonts w:hint="eastAsia" w:ascii="宋体" w:hAnsi="宋体"/>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1</w:t>
            </w:r>
          </w:p>
        </w:tc>
        <w:tc>
          <w:tcPr>
            <w:tcW w:w="9146" w:type="dxa"/>
            <w:vAlign w:val="center"/>
          </w:tcPr>
          <w:p>
            <w:pPr>
              <w:spacing w:line="360" w:lineRule="auto"/>
              <w:rPr>
                <w:rFonts w:ascii="宋体" w:hAnsi="宋体"/>
                <w:bCs/>
                <w:color w:val="auto"/>
                <w:sz w:val="24"/>
              </w:rPr>
            </w:pPr>
            <w:r>
              <w:rPr>
                <w:rFonts w:hint="eastAsia" w:ascii="宋体" w:hAnsi="宋体"/>
                <w:bCs/>
                <w:color w:val="auto"/>
                <w:sz w:val="24"/>
              </w:rPr>
              <w:t xml:space="preserve">项目名称：垃圾分类测评        </w:t>
            </w:r>
          </w:p>
          <w:p>
            <w:pPr>
              <w:spacing w:line="360" w:lineRule="auto"/>
              <w:rPr>
                <w:rFonts w:ascii="宋体" w:hAnsi="宋体"/>
                <w:bCs/>
                <w:color w:val="auto"/>
                <w:sz w:val="24"/>
              </w:rPr>
            </w:pPr>
            <w:r>
              <w:rPr>
                <w:rFonts w:hint="eastAsia" w:ascii="宋体" w:hAnsi="宋体"/>
                <w:bCs/>
                <w:color w:val="auto"/>
                <w:sz w:val="24"/>
              </w:rPr>
              <w:t>项目编号：PXGJCG2022-178</w:t>
            </w:r>
          </w:p>
          <w:p>
            <w:pPr>
              <w:spacing w:line="360" w:lineRule="auto"/>
              <w:rPr>
                <w:rFonts w:ascii="宋体" w:hAnsi="宋体"/>
                <w:bCs/>
                <w:color w:val="auto"/>
                <w:sz w:val="24"/>
              </w:rPr>
            </w:pPr>
            <w:r>
              <w:rPr>
                <w:rFonts w:hint="eastAsia" w:ascii="宋体" w:hAnsi="宋体"/>
                <w:bCs/>
                <w:color w:val="auto"/>
                <w:sz w:val="24"/>
              </w:rPr>
              <w:t xml:space="preserve">采购人：无锡市城市管理局                            </w:t>
            </w:r>
          </w:p>
          <w:p>
            <w:pPr>
              <w:spacing w:line="360" w:lineRule="auto"/>
              <w:rPr>
                <w:rFonts w:ascii="宋体" w:hAnsi="宋体"/>
                <w:bCs/>
                <w:color w:val="auto"/>
                <w:sz w:val="24"/>
              </w:rPr>
            </w:pPr>
            <w:r>
              <w:rPr>
                <w:rFonts w:hint="eastAsia" w:ascii="宋体" w:hAnsi="宋体"/>
                <w:bCs/>
                <w:color w:val="auto"/>
                <w:sz w:val="24"/>
              </w:rPr>
              <w:t>采购方式：公开招标</w:t>
            </w:r>
          </w:p>
          <w:p>
            <w:pPr>
              <w:widowControl/>
              <w:tabs>
                <w:tab w:val="left" w:pos="0"/>
              </w:tabs>
              <w:spacing w:line="360" w:lineRule="auto"/>
              <w:jc w:val="left"/>
              <w:rPr>
                <w:rFonts w:ascii="宋体" w:hAnsi="宋体"/>
                <w:bCs/>
                <w:color w:val="auto"/>
                <w:sz w:val="24"/>
              </w:rPr>
            </w:pPr>
            <w:r>
              <w:rPr>
                <w:rFonts w:hint="eastAsia" w:ascii="宋体" w:hAnsi="宋体"/>
                <w:bCs/>
                <w:color w:val="auto"/>
                <w:sz w:val="24"/>
              </w:rPr>
              <w:t>项目概况：2022年起我市全面推进生活垃圾分类工作，力争通过三年努力进入全国生活垃圾分类评估第一档次，为全面掌握分析无锡市城乡生活垃圾分类情况，拟聘请生活垃圾分类测评第三方参与垃圾分类测评工作。第三方评价咨询服务单位将采取现场实地检查的方式对无锡市开展生活垃圾分类的居民小区、自然村巷、公共机构、公共场所进行日常测评工作。测评内容主要包括垃圾分类设施的设置与维护、宣传氛围的营造，分类收运落实情况以及居民垃圾分类投放的准确率等，同时对市民进行问卷调查工作。测评调查完成后，将检查情况结果及时反馈，并以此为依据加强对各区生活垃圾分类工作的指导与监督。</w:t>
            </w:r>
          </w:p>
          <w:p>
            <w:pPr>
              <w:spacing w:line="360" w:lineRule="auto"/>
              <w:rPr>
                <w:rFonts w:ascii="宋体" w:hAnsi="宋体"/>
                <w:bCs/>
                <w:color w:val="auto"/>
                <w:sz w:val="24"/>
              </w:rPr>
            </w:pPr>
            <w:r>
              <w:rPr>
                <w:rFonts w:hint="eastAsia" w:ascii="宋体" w:hAnsi="宋体"/>
                <w:bCs/>
                <w:color w:val="auto"/>
                <w:sz w:val="24"/>
              </w:rPr>
              <w:t>质量要求: 符合采购人要求；</w:t>
            </w:r>
          </w:p>
          <w:p>
            <w:pPr>
              <w:widowControl/>
              <w:tabs>
                <w:tab w:val="left" w:pos="0"/>
              </w:tabs>
              <w:spacing w:line="360" w:lineRule="auto"/>
              <w:jc w:val="left"/>
              <w:rPr>
                <w:rFonts w:ascii="宋体" w:hAnsi="宋体"/>
                <w:bCs/>
                <w:color w:val="auto"/>
                <w:sz w:val="24"/>
              </w:rPr>
            </w:pPr>
            <w:r>
              <w:rPr>
                <w:rFonts w:hint="eastAsia" w:ascii="宋体" w:hAnsi="宋体"/>
                <w:bCs/>
                <w:color w:val="auto"/>
                <w:sz w:val="24"/>
              </w:rPr>
              <w:t>服务期限：三年，合同一年一签；</w:t>
            </w:r>
          </w:p>
          <w:p>
            <w:pPr>
              <w:widowControl/>
              <w:tabs>
                <w:tab w:val="left" w:pos="0"/>
              </w:tabs>
              <w:spacing w:line="360" w:lineRule="auto"/>
              <w:jc w:val="left"/>
              <w:rPr>
                <w:rFonts w:ascii="宋体" w:hAnsi="宋体"/>
                <w:bCs/>
                <w:color w:val="auto"/>
                <w:sz w:val="24"/>
              </w:rPr>
            </w:pPr>
            <w:r>
              <w:rPr>
                <w:rFonts w:hint="eastAsia" w:ascii="宋体" w:hAnsi="宋体"/>
                <w:bCs/>
                <w:color w:val="auto"/>
                <w:sz w:val="24"/>
              </w:rPr>
              <w:t>本项目最高限价：810万/三年，270万/年；</w:t>
            </w:r>
          </w:p>
          <w:p>
            <w:pPr>
              <w:widowControl/>
              <w:tabs>
                <w:tab w:val="left" w:pos="0"/>
              </w:tabs>
              <w:spacing w:line="360" w:lineRule="auto"/>
              <w:jc w:val="left"/>
              <w:rPr>
                <w:rFonts w:ascii="宋体" w:hAnsi="宋体"/>
                <w:bCs/>
                <w:color w:val="auto"/>
                <w:sz w:val="24"/>
              </w:rPr>
            </w:pPr>
            <w:r>
              <w:rPr>
                <w:rFonts w:hint="eastAsia" w:ascii="宋体" w:hAnsi="宋体"/>
                <w:bCs/>
                <w:color w:val="auto"/>
                <w:sz w:val="24"/>
              </w:rPr>
              <w:t>本项目标的所属行业：其他未列明行业（水利、环境和公共设施管理业）。根据《中小企业划型标准规定》工信部联企业[2011]300号规定，其他未列明行业：从业人员300人以下的为中小微型企业。其中，从业人员100人及以上的为中型企业；从业人员10人及以上的为小型企业；从业人员10人以下的为微型企业。</w:t>
            </w:r>
          </w:p>
          <w:p>
            <w:pPr>
              <w:widowControl/>
              <w:tabs>
                <w:tab w:val="left" w:pos="0"/>
              </w:tabs>
              <w:spacing w:line="360" w:lineRule="auto"/>
              <w:jc w:val="left"/>
              <w:rPr>
                <w:rFonts w:ascii="宋体" w:hAnsi="宋体"/>
                <w:color w:val="auto"/>
                <w:sz w:val="24"/>
              </w:rPr>
            </w:pPr>
            <w:r>
              <w:rPr>
                <w:rFonts w:hint="eastAsia" w:ascii="宋体" w:hAnsi="宋体"/>
                <w:bCs/>
                <w:color w:val="auto"/>
                <w:sz w:val="24"/>
              </w:rPr>
              <w:t>本项目是否专门面向中小企业：否；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2</w:t>
            </w:r>
          </w:p>
        </w:tc>
        <w:tc>
          <w:tcPr>
            <w:tcW w:w="9146" w:type="dxa"/>
            <w:vAlign w:val="center"/>
          </w:tcPr>
          <w:p>
            <w:pPr>
              <w:spacing w:line="360" w:lineRule="auto"/>
              <w:rPr>
                <w:rFonts w:ascii="宋体" w:hAnsi="宋体"/>
                <w:color w:val="auto"/>
                <w:sz w:val="24"/>
                <w:szCs w:val="22"/>
              </w:rPr>
            </w:pPr>
            <w:r>
              <w:rPr>
                <w:rFonts w:hint="eastAsia" w:ascii="宋体" w:hAnsi="宋体"/>
                <w:color w:val="auto"/>
                <w:sz w:val="24"/>
                <w:szCs w:val="22"/>
              </w:rPr>
              <w:t>招标代理机构：普信国际工程咨询有限公司</w:t>
            </w:r>
          </w:p>
          <w:p>
            <w:pPr>
              <w:spacing w:line="360" w:lineRule="auto"/>
              <w:rPr>
                <w:rFonts w:ascii="宋体" w:hAnsi="宋体"/>
                <w:color w:val="auto"/>
                <w:sz w:val="24"/>
                <w:szCs w:val="22"/>
              </w:rPr>
            </w:pPr>
            <w:r>
              <w:rPr>
                <w:rFonts w:hint="eastAsia" w:ascii="宋体" w:hAnsi="宋体"/>
                <w:color w:val="auto"/>
                <w:sz w:val="24"/>
                <w:szCs w:val="22"/>
              </w:rPr>
              <w:t>地址：无锡市蠡湖大道2018号（普信COPO）</w:t>
            </w:r>
          </w:p>
          <w:p>
            <w:pPr>
              <w:spacing w:line="360" w:lineRule="auto"/>
              <w:rPr>
                <w:rFonts w:ascii="宋体" w:hAnsi="宋体"/>
                <w:color w:val="auto"/>
                <w:sz w:val="24"/>
                <w:szCs w:val="22"/>
              </w:rPr>
            </w:pPr>
            <w:r>
              <w:rPr>
                <w:rFonts w:hint="eastAsia" w:ascii="宋体" w:hAnsi="宋体"/>
                <w:color w:val="auto"/>
                <w:sz w:val="24"/>
                <w:szCs w:val="22"/>
              </w:rPr>
              <w:t>采购人：无锡市城市管理局</w:t>
            </w:r>
          </w:p>
          <w:p>
            <w:pPr>
              <w:widowControl/>
              <w:topLinePunct/>
              <w:spacing w:line="360" w:lineRule="auto"/>
              <w:rPr>
                <w:rFonts w:ascii="宋体" w:hAnsi="宋体"/>
                <w:color w:val="auto"/>
                <w:sz w:val="24"/>
              </w:rPr>
            </w:pPr>
            <w:r>
              <w:rPr>
                <w:rFonts w:hint="eastAsia" w:ascii="宋体" w:hAnsi="宋体"/>
                <w:color w:val="auto"/>
                <w:sz w:val="24"/>
                <w:szCs w:val="22"/>
              </w:rPr>
              <w:t xml:space="preserve">联系地址：无锡市建筑路301号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3</w:t>
            </w:r>
          </w:p>
        </w:tc>
        <w:tc>
          <w:tcPr>
            <w:tcW w:w="9146" w:type="dxa"/>
            <w:vAlign w:val="center"/>
          </w:tcPr>
          <w:p>
            <w:pPr>
              <w:spacing w:line="360" w:lineRule="auto"/>
              <w:rPr>
                <w:rFonts w:ascii="宋体" w:hAnsi="宋体"/>
                <w:color w:val="auto"/>
                <w:sz w:val="24"/>
                <w:szCs w:val="22"/>
              </w:rPr>
            </w:pPr>
            <w:r>
              <w:rPr>
                <w:rFonts w:hint="eastAsia" w:ascii="宋体" w:hAnsi="宋体"/>
                <w:color w:val="auto"/>
                <w:sz w:val="24"/>
                <w:szCs w:val="22"/>
              </w:rPr>
              <w:t>报价人条件：</w:t>
            </w:r>
            <w:r>
              <w:rPr>
                <w:rFonts w:ascii="宋体" w:hAnsi="宋体"/>
                <w:color w:val="auto"/>
                <w:sz w:val="24"/>
                <w:szCs w:val="22"/>
              </w:rPr>
              <w:t>投标供应商参加本次政府采购活动除应当符合《中华人民共和国政府采购法》第二十二条的规定外，还必须具备以下条件：</w:t>
            </w:r>
          </w:p>
          <w:p>
            <w:pPr>
              <w:numPr>
                <w:ilvl w:val="0"/>
                <w:numId w:val="12"/>
              </w:numPr>
              <w:spacing w:line="360" w:lineRule="auto"/>
              <w:rPr>
                <w:rFonts w:ascii="宋体" w:hAnsi="宋体"/>
                <w:color w:val="auto"/>
                <w:sz w:val="24"/>
                <w:szCs w:val="22"/>
              </w:rPr>
            </w:pPr>
            <w:r>
              <w:rPr>
                <w:rFonts w:hint="eastAsia" w:ascii="宋体" w:hAnsi="宋体"/>
                <w:color w:val="auto"/>
                <w:sz w:val="24"/>
                <w:szCs w:val="22"/>
              </w:rPr>
              <w:t>投标供应商应为中国大陆境内合法注册，具有独立法人资格的法人、其他组织或者自然人，具有独立签订合同的权利和良好履行合同的能力，企业财务状况良好；</w:t>
            </w:r>
          </w:p>
          <w:p>
            <w:pPr>
              <w:numPr>
                <w:ilvl w:val="0"/>
                <w:numId w:val="12"/>
              </w:numPr>
              <w:spacing w:line="360" w:lineRule="auto"/>
              <w:rPr>
                <w:rFonts w:ascii="宋体" w:hAnsi="宋体"/>
                <w:color w:val="auto"/>
                <w:sz w:val="24"/>
                <w:szCs w:val="22"/>
              </w:rPr>
            </w:pPr>
            <w:r>
              <w:rPr>
                <w:rFonts w:hint="eastAsia" w:ascii="宋体" w:hAnsi="宋体"/>
                <w:color w:val="auto"/>
                <w:sz w:val="24"/>
                <w:szCs w:val="22"/>
              </w:rPr>
              <w:t>未被“信用中国（江苏）”网站（www.jscredit.gov.cn）或中国政府采购网（www.ccgp.gov.cn）“信用中国”网站（www.creditchina.gov.cn）列入失信被执行人、重大税收违法案件当事人名单、政府采购严重失信行为记录名单。</w:t>
            </w:r>
          </w:p>
          <w:p>
            <w:pPr>
              <w:numPr>
                <w:ilvl w:val="0"/>
                <w:numId w:val="12"/>
              </w:numPr>
              <w:spacing w:line="360" w:lineRule="auto"/>
              <w:rPr>
                <w:rFonts w:ascii="宋体" w:hAnsi="宋体"/>
                <w:color w:val="auto"/>
                <w:sz w:val="24"/>
                <w:szCs w:val="22"/>
              </w:rPr>
            </w:pPr>
            <w:r>
              <w:rPr>
                <w:rFonts w:hint="eastAsia" w:ascii="宋体" w:hAnsi="宋体"/>
                <w:color w:val="auto"/>
                <w:sz w:val="24"/>
                <w:szCs w:val="22"/>
              </w:rPr>
              <w:t>授权委托人和项目负责人应具备与本企业签订的劳动合同和《职工养老保险手册》（内附近2022年</w:t>
            </w:r>
            <w:r>
              <w:rPr>
                <w:rFonts w:hint="eastAsia" w:ascii="宋体" w:hAnsi="宋体"/>
                <w:color w:val="auto"/>
                <w:sz w:val="24"/>
                <w:szCs w:val="22"/>
                <w:lang w:val="en-US" w:eastAsia="zh-CN"/>
              </w:rPr>
              <w:t>2</w:t>
            </w:r>
            <w:r>
              <w:rPr>
                <w:rFonts w:hint="eastAsia" w:ascii="宋体" w:hAnsi="宋体"/>
                <w:color w:val="auto"/>
                <w:sz w:val="24"/>
                <w:szCs w:val="22"/>
              </w:rPr>
              <w:t>月-2022年</w:t>
            </w:r>
            <w:r>
              <w:rPr>
                <w:rFonts w:hint="eastAsia" w:ascii="宋体" w:hAnsi="宋体"/>
                <w:color w:val="auto"/>
                <w:sz w:val="24"/>
                <w:szCs w:val="22"/>
                <w:lang w:val="en-US" w:eastAsia="zh-CN"/>
              </w:rPr>
              <w:t>7</w:t>
            </w:r>
            <w:r>
              <w:rPr>
                <w:rFonts w:hint="eastAsia" w:ascii="宋体" w:hAnsi="宋体"/>
                <w:color w:val="auto"/>
                <w:sz w:val="24"/>
                <w:szCs w:val="22"/>
              </w:rPr>
              <w:t>月的缴费清单）或由社保机构出具本企业的2022年</w:t>
            </w:r>
            <w:r>
              <w:rPr>
                <w:rFonts w:hint="eastAsia" w:ascii="宋体" w:hAnsi="宋体"/>
                <w:color w:val="auto"/>
                <w:sz w:val="24"/>
                <w:szCs w:val="22"/>
                <w:lang w:val="en-US" w:eastAsia="zh-CN"/>
              </w:rPr>
              <w:t>2</w:t>
            </w:r>
            <w:r>
              <w:rPr>
                <w:rFonts w:hint="eastAsia" w:ascii="宋体" w:hAnsi="宋体"/>
                <w:color w:val="auto"/>
                <w:sz w:val="24"/>
                <w:szCs w:val="22"/>
              </w:rPr>
              <w:t>月-2022年</w:t>
            </w:r>
            <w:r>
              <w:rPr>
                <w:rFonts w:hint="eastAsia" w:ascii="宋体" w:hAnsi="宋体"/>
                <w:color w:val="auto"/>
                <w:sz w:val="24"/>
                <w:szCs w:val="22"/>
                <w:lang w:val="en-US" w:eastAsia="zh-CN"/>
              </w:rPr>
              <w:t>7</w:t>
            </w:r>
            <w:r>
              <w:rPr>
                <w:rFonts w:hint="eastAsia" w:ascii="宋体" w:hAnsi="宋体"/>
                <w:color w:val="auto"/>
                <w:sz w:val="24"/>
                <w:szCs w:val="22"/>
              </w:rPr>
              <w:t>月的缴费证明；（如投标供应商成立时间迟于要求开始的时间，则提供成立时间至</w:t>
            </w:r>
            <w:r>
              <w:rPr>
                <w:rFonts w:hint="eastAsia" w:ascii="宋体" w:hAnsi="宋体"/>
                <w:color w:val="auto"/>
                <w:sz w:val="24"/>
                <w:szCs w:val="22"/>
                <w:lang w:val="en-US" w:eastAsia="zh-CN"/>
              </w:rPr>
              <w:t>招标</w:t>
            </w:r>
            <w:r>
              <w:rPr>
                <w:rFonts w:hint="eastAsia" w:ascii="宋体" w:hAnsi="宋体"/>
                <w:color w:val="auto"/>
                <w:sz w:val="24"/>
                <w:szCs w:val="22"/>
              </w:rPr>
              <w:t>文件中社保要求的截止时间内的社保缴费证明）</w:t>
            </w:r>
          </w:p>
          <w:p>
            <w:pPr>
              <w:numPr>
                <w:ilvl w:val="0"/>
                <w:numId w:val="12"/>
              </w:numPr>
              <w:spacing w:line="360" w:lineRule="auto"/>
              <w:rPr>
                <w:rFonts w:ascii="Helvetica" w:hAnsi="Helvetica" w:cs="Arial"/>
                <w:color w:val="auto"/>
              </w:rPr>
            </w:pPr>
            <w:r>
              <w:rPr>
                <w:rFonts w:hint="eastAsia" w:ascii="宋体" w:hAnsi="宋体"/>
                <w:color w:val="auto"/>
                <w:sz w:val="24"/>
                <w:szCs w:val="22"/>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9" w:type="dxa"/>
            <w:vAlign w:val="center"/>
          </w:tcPr>
          <w:p>
            <w:pPr>
              <w:pStyle w:val="49"/>
              <w:tabs>
                <w:tab w:val="left" w:pos="0"/>
              </w:tabs>
              <w:adjustRightInd/>
              <w:spacing w:beforeAutospacing="0" w:afterAutospacing="0" w:line="320" w:lineRule="exact"/>
              <w:ind w:firstLine="240" w:firstLineChars="100"/>
              <w:textAlignment w:val="auto"/>
              <w:rPr>
                <w:rFonts w:hAnsi="宋体" w:cs="Droid Sans"/>
                <w:color w:val="auto"/>
                <w:kern w:val="2"/>
              </w:rPr>
            </w:pPr>
            <w:r>
              <w:rPr>
                <w:rFonts w:hint="eastAsia" w:hAnsi="宋体" w:cs="Droid Sans"/>
                <w:color w:val="auto"/>
                <w:kern w:val="2"/>
              </w:rPr>
              <w:t>4</w:t>
            </w:r>
          </w:p>
        </w:tc>
        <w:tc>
          <w:tcPr>
            <w:tcW w:w="9146" w:type="dxa"/>
            <w:vAlign w:val="center"/>
          </w:tcPr>
          <w:p>
            <w:pPr>
              <w:spacing w:line="360" w:lineRule="auto"/>
              <w:rPr>
                <w:rFonts w:ascii="宋体" w:hAnsi="宋体" w:cs="宋体"/>
                <w:bCs/>
                <w:color w:val="auto"/>
                <w:sz w:val="24"/>
              </w:rPr>
            </w:pPr>
            <w:r>
              <w:rPr>
                <w:rFonts w:hint="eastAsia" w:ascii="宋体" w:hAnsi="宋体" w:cs="宋体"/>
                <w:bCs/>
                <w:color w:val="auto"/>
                <w:sz w:val="24"/>
              </w:rPr>
              <w:t>采购文件提供时间：</w:t>
            </w:r>
            <w:r>
              <w:rPr>
                <w:rFonts w:hint="eastAsia" w:ascii="宋体" w:hAnsi="宋体" w:cs="宋体"/>
                <w:color w:val="auto"/>
                <w:sz w:val="24"/>
              </w:rPr>
              <w:t>2022年8月</w:t>
            </w:r>
            <w:r>
              <w:rPr>
                <w:rFonts w:hint="eastAsia" w:ascii="宋体" w:hAnsi="宋体" w:cs="宋体"/>
                <w:color w:val="auto"/>
                <w:sz w:val="24"/>
                <w:lang w:val="en-US" w:eastAsia="zh-CN"/>
              </w:rPr>
              <w:t>19</w:t>
            </w:r>
            <w:r>
              <w:rPr>
                <w:rFonts w:hint="eastAsia" w:ascii="宋体" w:hAnsi="宋体" w:cs="宋体"/>
                <w:color w:val="auto"/>
                <w:sz w:val="24"/>
              </w:rPr>
              <w:t>日-2022年8月</w:t>
            </w:r>
            <w:r>
              <w:rPr>
                <w:rFonts w:hint="eastAsia" w:ascii="宋体" w:hAnsi="宋体" w:cs="宋体"/>
                <w:color w:val="auto"/>
                <w:sz w:val="24"/>
                <w:lang w:val="en-US" w:eastAsia="zh-CN"/>
              </w:rPr>
              <w:t>26</w:t>
            </w:r>
            <w:r>
              <w:rPr>
                <w:rFonts w:hint="eastAsia" w:ascii="宋体" w:hAnsi="宋体" w:cs="宋体"/>
                <w:color w:val="auto"/>
                <w:sz w:val="24"/>
              </w:rPr>
              <w:t>日</w:t>
            </w:r>
          </w:p>
          <w:p>
            <w:pPr>
              <w:spacing w:line="360" w:lineRule="auto"/>
              <w:ind w:firstLine="1920" w:firstLineChars="800"/>
              <w:rPr>
                <w:rFonts w:ascii="宋体" w:hAnsi="宋体" w:cs="宋体"/>
                <w:color w:val="auto"/>
                <w:sz w:val="24"/>
              </w:rPr>
            </w:pPr>
            <w:r>
              <w:rPr>
                <w:rFonts w:hint="eastAsia" w:ascii="宋体" w:hAnsi="宋体" w:cs="宋体"/>
                <w:color w:val="auto"/>
                <w:sz w:val="24"/>
              </w:rPr>
              <w:t>（法定假日除外，每天9:00-11:00，13:00-16：00时）</w:t>
            </w:r>
          </w:p>
          <w:p>
            <w:pPr>
              <w:spacing w:line="360" w:lineRule="auto"/>
              <w:rPr>
                <w:rFonts w:ascii="宋体" w:hAnsi="宋体" w:cs="宋体"/>
                <w:bCs/>
                <w:color w:val="auto"/>
                <w:sz w:val="24"/>
              </w:rPr>
            </w:pPr>
            <w:r>
              <w:rPr>
                <w:rFonts w:hint="eastAsia" w:ascii="宋体" w:hAnsi="宋体" w:cs="宋体"/>
                <w:bCs/>
                <w:color w:val="auto"/>
                <w:sz w:val="24"/>
              </w:rPr>
              <w:t>采购文件提供地点：普信国际工程咨询有限公司</w:t>
            </w:r>
          </w:p>
          <w:p>
            <w:pPr>
              <w:spacing w:line="360" w:lineRule="auto"/>
              <w:ind w:firstLine="1920" w:firstLineChars="800"/>
              <w:rPr>
                <w:rFonts w:ascii="宋体" w:hAnsi="宋体" w:cs="宋体"/>
                <w:bCs/>
                <w:color w:val="auto"/>
                <w:sz w:val="24"/>
              </w:rPr>
            </w:pPr>
            <w:r>
              <w:rPr>
                <w:rFonts w:hint="eastAsia" w:ascii="宋体" w:hAnsi="宋体" w:cs="宋体"/>
                <w:bCs/>
                <w:color w:val="auto"/>
                <w:sz w:val="24"/>
              </w:rPr>
              <w:t>（</w:t>
            </w:r>
            <w:r>
              <w:rPr>
                <w:rFonts w:hint="eastAsia" w:ascii="宋体" w:hAnsi="宋体" w:cs="宋体"/>
                <w:color w:val="auto"/>
                <w:sz w:val="24"/>
                <w:szCs w:val="22"/>
              </w:rPr>
              <w:t>无锡市蠡湖大道2018号普信COPO 8号楼6楼8603</w:t>
            </w:r>
            <w:r>
              <w:rPr>
                <w:rFonts w:hint="eastAsia" w:ascii="宋体" w:hAnsi="宋体" w:cs="宋体"/>
                <w:bCs/>
                <w:color w:val="auto"/>
                <w:sz w:val="24"/>
              </w:rPr>
              <w:t>）</w:t>
            </w:r>
          </w:p>
          <w:p>
            <w:pPr>
              <w:snapToGrid w:val="0"/>
              <w:spacing w:line="440" w:lineRule="exact"/>
              <w:ind w:left="-59" w:leftChars="-28" w:firstLine="120" w:firstLineChars="50"/>
              <w:rPr>
                <w:rFonts w:ascii="宋体" w:hAnsi="宋体" w:cs="宋体"/>
                <w:color w:val="auto"/>
                <w:sz w:val="24"/>
              </w:rPr>
            </w:pPr>
            <w:r>
              <w:rPr>
                <w:rFonts w:hint="eastAsia" w:ascii="宋体" w:hAnsi="宋体" w:cs="宋体"/>
                <w:color w:val="auto"/>
                <w:sz w:val="24"/>
              </w:rPr>
              <w:t>采购文件提供方式：纸质文档介质。</w:t>
            </w:r>
          </w:p>
          <w:p>
            <w:pPr>
              <w:pStyle w:val="49"/>
              <w:shd w:val="clear" w:color="auto" w:fill="FFFFFF"/>
              <w:spacing w:beforeAutospacing="0" w:afterAutospacing="0" w:line="440" w:lineRule="exact"/>
              <w:ind w:firstLine="0"/>
              <w:rPr>
                <w:color w:val="auto"/>
              </w:rPr>
            </w:pPr>
            <w:r>
              <w:rPr>
                <w:rFonts w:hint="eastAsia" w:hAnsi="宋体" w:cs="宋体"/>
                <w:color w:val="auto"/>
              </w:rPr>
              <w:t>采购文件售价：捌佰元/份，售后不退。</w:t>
            </w:r>
            <w:r>
              <w:rPr>
                <w:rFonts w:hint="eastAsia" w:hAnsi="宋体"/>
                <w:color w:val="auto"/>
              </w:rPr>
              <w:t>投标人应承担其编制投标文件以及递交投标文件所涉及的一切费用。无论报价结果如何，招标人对上述费用不负任何责任。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topLinePunct/>
              <w:jc w:val="center"/>
              <w:rPr>
                <w:rFonts w:ascii="宋体" w:hAnsi="宋体"/>
                <w:color w:val="auto"/>
                <w:sz w:val="24"/>
              </w:rPr>
            </w:pPr>
            <w:r>
              <w:rPr>
                <w:rFonts w:hint="eastAsia" w:ascii="宋体" w:hAnsi="宋体"/>
                <w:color w:val="auto"/>
                <w:sz w:val="24"/>
              </w:rPr>
              <w:t>5</w:t>
            </w:r>
          </w:p>
        </w:tc>
        <w:tc>
          <w:tcPr>
            <w:tcW w:w="9146" w:type="dxa"/>
            <w:vAlign w:val="center"/>
          </w:tcPr>
          <w:p>
            <w:pPr>
              <w:spacing w:line="420" w:lineRule="exact"/>
              <w:ind w:left="-59" w:leftChars="-28" w:firstLine="120" w:firstLineChars="50"/>
              <w:rPr>
                <w:rFonts w:ascii="宋体" w:hAnsi="宋体" w:cs="宋体"/>
                <w:bCs/>
                <w:color w:val="auto"/>
                <w:sz w:val="24"/>
              </w:rPr>
            </w:pPr>
            <w:r>
              <w:rPr>
                <w:rFonts w:hint="eastAsia" w:ascii="宋体" w:hAnsi="宋体" w:cs="宋体"/>
                <w:bCs/>
                <w:color w:val="auto"/>
                <w:sz w:val="24"/>
              </w:rPr>
              <w:t>提疑截止时间：</w:t>
            </w:r>
            <w:r>
              <w:rPr>
                <w:rFonts w:hint="eastAsia" w:ascii="宋体" w:hAnsi="宋体" w:cs="宋体"/>
                <w:color w:val="auto"/>
                <w:sz w:val="24"/>
              </w:rPr>
              <w:t>2022年8月</w:t>
            </w:r>
            <w:r>
              <w:rPr>
                <w:rFonts w:hint="eastAsia" w:ascii="宋体" w:hAnsi="宋体" w:cs="宋体"/>
                <w:color w:val="auto"/>
                <w:sz w:val="24"/>
                <w:lang w:val="en-US" w:eastAsia="zh-CN"/>
              </w:rPr>
              <w:t>29</w:t>
            </w:r>
            <w:r>
              <w:rPr>
                <w:rFonts w:hint="eastAsia" w:ascii="宋体" w:hAnsi="宋体" w:cs="宋体"/>
                <w:color w:val="auto"/>
                <w:sz w:val="24"/>
              </w:rPr>
              <w:t>日</w:t>
            </w:r>
            <w:r>
              <w:rPr>
                <w:rFonts w:hint="eastAsia" w:ascii="宋体" w:hAnsi="宋体" w:cs="宋体"/>
                <w:bCs/>
                <w:color w:val="auto"/>
                <w:sz w:val="24"/>
              </w:rPr>
              <w:t>10:00时前；</w:t>
            </w:r>
          </w:p>
          <w:p>
            <w:pPr>
              <w:spacing w:line="420" w:lineRule="exact"/>
              <w:ind w:left="-59" w:leftChars="-28" w:firstLine="1920" w:firstLineChars="800"/>
              <w:rPr>
                <w:rFonts w:ascii="宋体" w:hAnsi="宋体" w:cs="宋体"/>
                <w:bCs/>
                <w:color w:val="auto"/>
                <w:sz w:val="24"/>
              </w:rPr>
            </w:pPr>
            <w:r>
              <w:rPr>
                <w:rFonts w:hint="eastAsia" w:ascii="宋体" w:hAnsi="宋体" w:cs="宋体"/>
                <w:bCs/>
                <w:color w:val="auto"/>
                <w:sz w:val="24"/>
              </w:rPr>
              <w:t>以书面及电子文档形式同时送至采购代理机构。</w:t>
            </w:r>
          </w:p>
          <w:p>
            <w:pPr>
              <w:spacing w:line="420" w:lineRule="exact"/>
              <w:ind w:left="-59" w:leftChars="-28" w:firstLine="120" w:firstLineChars="50"/>
              <w:rPr>
                <w:rFonts w:ascii="宋体" w:hAnsi="宋体" w:cs="宋体"/>
                <w:bCs/>
                <w:color w:val="auto"/>
                <w:sz w:val="24"/>
              </w:rPr>
            </w:pPr>
            <w:r>
              <w:rPr>
                <w:rFonts w:hint="eastAsia" w:ascii="宋体" w:hAnsi="宋体" w:cs="宋体"/>
                <w:bCs/>
                <w:color w:val="auto"/>
                <w:sz w:val="24"/>
              </w:rPr>
              <w:t>答疑时间：</w:t>
            </w:r>
            <w:r>
              <w:rPr>
                <w:rFonts w:hint="eastAsia" w:ascii="宋体" w:hAnsi="宋体" w:cs="宋体"/>
                <w:color w:val="auto"/>
                <w:sz w:val="24"/>
              </w:rPr>
              <w:t>2022年8月</w:t>
            </w:r>
            <w:r>
              <w:rPr>
                <w:rFonts w:hint="eastAsia" w:ascii="宋体" w:hAnsi="宋体" w:cs="宋体"/>
                <w:color w:val="auto"/>
                <w:sz w:val="24"/>
                <w:lang w:val="en-US" w:eastAsia="zh-CN"/>
              </w:rPr>
              <w:t>29</w:t>
            </w:r>
            <w:r>
              <w:rPr>
                <w:rFonts w:hint="eastAsia" w:ascii="宋体" w:hAnsi="宋体" w:cs="宋体"/>
                <w:color w:val="auto"/>
                <w:sz w:val="24"/>
              </w:rPr>
              <w:t>日</w:t>
            </w:r>
            <w:r>
              <w:rPr>
                <w:rFonts w:hint="eastAsia" w:ascii="宋体" w:hAnsi="宋体" w:cs="宋体"/>
                <w:bCs/>
                <w:color w:val="auto"/>
                <w:sz w:val="24"/>
              </w:rPr>
              <w:t>16：00</w:t>
            </w:r>
          </w:p>
          <w:p>
            <w:pPr>
              <w:spacing w:line="420" w:lineRule="exact"/>
              <w:ind w:left="-59" w:leftChars="-28" w:firstLine="120" w:firstLineChars="50"/>
              <w:rPr>
                <w:rFonts w:ascii="宋体" w:hAnsi="宋体" w:cs="宋体"/>
                <w:bCs/>
                <w:color w:val="auto"/>
                <w:sz w:val="24"/>
              </w:rPr>
            </w:pPr>
            <w:r>
              <w:rPr>
                <w:rFonts w:hint="eastAsia" w:ascii="宋体" w:hAnsi="宋体" w:cs="宋体"/>
                <w:bCs/>
                <w:color w:val="auto"/>
                <w:sz w:val="24"/>
              </w:rPr>
              <w:t>答疑地点：普信国际工程咨询有限公司会议室</w:t>
            </w:r>
          </w:p>
          <w:p>
            <w:pPr>
              <w:spacing w:line="420" w:lineRule="exact"/>
              <w:ind w:left="-59" w:leftChars="-28" w:firstLine="1320" w:firstLineChars="550"/>
              <w:rPr>
                <w:rFonts w:ascii="宋体" w:hAnsi="宋体" w:cs="宋体"/>
                <w:bCs/>
                <w:color w:val="auto"/>
                <w:sz w:val="24"/>
              </w:rPr>
            </w:pPr>
            <w:r>
              <w:rPr>
                <w:rFonts w:hint="eastAsia" w:ascii="宋体" w:hAnsi="宋体" w:cs="宋体"/>
                <w:bCs/>
                <w:color w:val="auto"/>
                <w:sz w:val="24"/>
              </w:rPr>
              <w:t>（</w:t>
            </w:r>
            <w:r>
              <w:rPr>
                <w:rFonts w:hint="eastAsia" w:ascii="宋体" w:hAnsi="宋体" w:cs="宋体"/>
                <w:color w:val="auto"/>
                <w:sz w:val="24"/>
                <w:szCs w:val="22"/>
              </w:rPr>
              <w:t>无锡市蠡湖大道2018号普信COPO 8号楼6楼8603</w:t>
            </w:r>
            <w:r>
              <w:rPr>
                <w:rFonts w:hint="eastAsia" w:ascii="宋体" w:hAnsi="宋体" w:cs="宋体"/>
                <w:bCs/>
                <w:color w:val="auto"/>
                <w:sz w:val="24"/>
              </w:rPr>
              <w:t>）</w:t>
            </w:r>
          </w:p>
          <w:p>
            <w:pPr>
              <w:snapToGrid w:val="0"/>
              <w:spacing w:line="440" w:lineRule="exact"/>
              <w:ind w:left="-59" w:leftChars="-28" w:firstLine="120" w:firstLineChars="50"/>
              <w:rPr>
                <w:rFonts w:ascii="宋体" w:hAnsi="宋体" w:cs="宋体"/>
                <w:bCs/>
                <w:color w:val="auto"/>
                <w:sz w:val="24"/>
              </w:rPr>
            </w:pPr>
            <w:r>
              <w:rPr>
                <w:rFonts w:hint="eastAsia" w:ascii="宋体" w:hAnsi="宋体" w:cs="宋体"/>
                <w:bCs/>
                <w:color w:val="auto"/>
                <w:sz w:val="24"/>
              </w:rPr>
              <w:t>答疑方式：以书面或电子文档形式</w:t>
            </w:r>
          </w:p>
          <w:p>
            <w:pPr>
              <w:widowControl/>
              <w:topLinePunct/>
              <w:spacing w:line="360" w:lineRule="auto"/>
              <w:rPr>
                <w:rFonts w:ascii="宋体" w:hAnsi="宋体"/>
                <w:color w:val="auto"/>
                <w:sz w:val="24"/>
              </w:rPr>
            </w:pPr>
            <w:r>
              <w:rPr>
                <w:rFonts w:hint="eastAsia" w:ascii="宋体" w:hAnsi="宋体" w:cs="宋体"/>
                <w:bCs/>
                <w:color w:val="auto"/>
                <w:sz w:val="24"/>
              </w:rPr>
              <w:t>传真：0510-82830057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6</w:t>
            </w:r>
          </w:p>
        </w:tc>
        <w:tc>
          <w:tcPr>
            <w:tcW w:w="9146" w:type="dxa"/>
            <w:vAlign w:val="center"/>
          </w:tcPr>
          <w:p>
            <w:pPr>
              <w:widowControl/>
              <w:topLinePunct/>
              <w:spacing w:line="360" w:lineRule="auto"/>
              <w:rPr>
                <w:rFonts w:ascii="宋体" w:hAnsi="宋体"/>
                <w:color w:val="auto"/>
                <w:sz w:val="24"/>
              </w:rPr>
            </w:pPr>
            <w:r>
              <w:rPr>
                <w:rFonts w:hint="eastAsia" w:ascii="宋体" w:hAnsi="宋体" w:cs="宋体"/>
                <w:bCs/>
                <w:color w:val="auto"/>
                <w:sz w:val="24"/>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topLinePunct/>
              <w:jc w:val="center"/>
              <w:rPr>
                <w:rFonts w:ascii="宋体" w:hAnsi="宋体"/>
                <w:color w:val="auto"/>
                <w:sz w:val="24"/>
              </w:rPr>
            </w:pPr>
            <w:r>
              <w:rPr>
                <w:rFonts w:hint="eastAsia" w:ascii="宋体" w:hAnsi="宋体"/>
                <w:color w:val="auto"/>
                <w:sz w:val="24"/>
              </w:rPr>
              <w:t>8</w:t>
            </w:r>
          </w:p>
        </w:tc>
        <w:tc>
          <w:tcPr>
            <w:tcW w:w="9146" w:type="dxa"/>
            <w:vAlign w:val="center"/>
          </w:tcPr>
          <w:p>
            <w:pPr>
              <w:snapToGrid w:val="0"/>
              <w:spacing w:line="440" w:lineRule="exact"/>
              <w:rPr>
                <w:rFonts w:ascii="宋体" w:hAnsi="宋体" w:cs="宋体"/>
                <w:bCs/>
                <w:color w:val="auto"/>
                <w:sz w:val="24"/>
              </w:rPr>
            </w:pPr>
            <w:r>
              <w:rPr>
                <w:rFonts w:hint="eastAsia" w:ascii="宋体" w:hAnsi="宋体" w:cs="宋体"/>
                <w:bCs/>
                <w:color w:val="auto"/>
                <w:sz w:val="24"/>
              </w:rPr>
              <w:t>投标文件开始接收时间：</w:t>
            </w:r>
            <w:r>
              <w:rPr>
                <w:rFonts w:hint="eastAsia" w:ascii="宋体" w:hAnsi="宋体" w:cs="宋体"/>
                <w:color w:val="auto"/>
                <w:sz w:val="24"/>
              </w:rPr>
              <w:t>2022年9月</w:t>
            </w:r>
            <w:r>
              <w:rPr>
                <w:rFonts w:hint="eastAsia" w:ascii="宋体" w:hAnsi="宋体" w:cs="宋体"/>
                <w:color w:val="auto"/>
                <w:sz w:val="24"/>
                <w:lang w:val="en-US" w:eastAsia="zh-CN"/>
              </w:rPr>
              <w:t>14</w:t>
            </w:r>
            <w:r>
              <w:rPr>
                <w:rFonts w:hint="eastAsia" w:ascii="宋体" w:hAnsi="宋体" w:cs="宋体"/>
                <w:color w:val="auto"/>
                <w:sz w:val="24"/>
              </w:rPr>
              <w:t>日</w:t>
            </w:r>
            <w:r>
              <w:rPr>
                <w:rFonts w:hint="eastAsia" w:ascii="宋体" w:hAnsi="宋体" w:cs="宋体"/>
                <w:bCs/>
                <w:color w:val="auto"/>
                <w:sz w:val="24"/>
              </w:rPr>
              <w:t>下午13：30始</w:t>
            </w:r>
          </w:p>
          <w:p>
            <w:pPr>
              <w:snapToGrid w:val="0"/>
              <w:spacing w:line="440" w:lineRule="exact"/>
              <w:rPr>
                <w:rFonts w:ascii="宋体" w:hAnsi="宋体" w:cs="宋体"/>
                <w:bCs/>
                <w:color w:val="auto"/>
                <w:sz w:val="24"/>
              </w:rPr>
            </w:pPr>
            <w:r>
              <w:rPr>
                <w:rFonts w:hint="eastAsia" w:ascii="宋体" w:hAnsi="宋体" w:cs="宋体"/>
                <w:bCs/>
                <w:color w:val="auto"/>
                <w:sz w:val="24"/>
              </w:rPr>
              <w:t>投标文件接收截止时间：</w:t>
            </w:r>
            <w:r>
              <w:rPr>
                <w:rFonts w:hint="eastAsia" w:ascii="宋体" w:hAnsi="宋体" w:cs="宋体"/>
                <w:color w:val="auto"/>
                <w:sz w:val="24"/>
              </w:rPr>
              <w:t>2022年9月</w:t>
            </w:r>
            <w:r>
              <w:rPr>
                <w:rFonts w:hint="eastAsia" w:ascii="宋体" w:hAnsi="宋体" w:cs="宋体"/>
                <w:color w:val="auto"/>
                <w:sz w:val="24"/>
                <w:lang w:val="en-US" w:eastAsia="zh-CN"/>
              </w:rPr>
              <w:t>14</w:t>
            </w:r>
            <w:r>
              <w:rPr>
                <w:rFonts w:hint="eastAsia" w:ascii="宋体" w:hAnsi="宋体" w:cs="宋体"/>
                <w:color w:val="auto"/>
                <w:sz w:val="24"/>
              </w:rPr>
              <w:t>日</w:t>
            </w:r>
            <w:r>
              <w:rPr>
                <w:rFonts w:hint="eastAsia" w:ascii="宋体" w:hAnsi="宋体" w:cs="宋体"/>
                <w:bCs/>
                <w:color w:val="auto"/>
                <w:sz w:val="24"/>
              </w:rPr>
              <w:t>下午14：00止，</w:t>
            </w:r>
            <w:r>
              <w:rPr>
                <w:rFonts w:hint="eastAsia" w:ascii="宋体" w:hAnsi="宋体" w:cs="宋体"/>
                <w:color w:val="auto"/>
                <w:sz w:val="24"/>
              </w:rPr>
              <w:t>截止期后的投标文件恕不接受。</w:t>
            </w:r>
          </w:p>
          <w:p>
            <w:pPr>
              <w:snapToGrid w:val="0"/>
              <w:spacing w:line="440" w:lineRule="exact"/>
              <w:rPr>
                <w:rFonts w:ascii="宋体" w:hAnsi="宋体" w:cs="宋体"/>
                <w:color w:val="auto"/>
                <w:sz w:val="24"/>
              </w:rPr>
            </w:pPr>
            <w:r>
              <w:rPr>
                <w:rFonts w:hint="eastAsia" w:ascii="宋体" w:hAnsi="宋体" w:cs="宋体"/>
                <w:bCs/>
                <w:color w:val="auto"/>
                <w:sz w:val="24"/>
              </w:rPr>
              <w:t>投标地点：</w:t>
            </w:r>
            <w:r>
              <w:rPr>
                <w:rFonts w:hint="eastAsia" w:ascii="宋体" w:hAnsi="宋体" w:cs="宋体"/>
                <w:color w:val="auto"/>
                <w:sz w:val="24"/>
              </w:rPr>
              <w:t>普信国际工程咨询有限公司</w:t>
            </w:r>
          </w:p>
          <w:p>
            <w:pPr>
              <w:snapToGrid w:val="0"/>
              <w:spacing w:line="440" w:lineRule="exact"/>
              <w:ind w:firstLine="1080" w:firstLineChars="450"/>
              <w:jc w:val="left"/>
              <w:rPr>
                <w:rFonts w:hAnsi="宋体"/>
                <w:b/>
                <w:color w:val="auto"/>
                <w:sz w:val="24"/>
              </w:rPr>
            </w:pPr>
            <w:r>
              <w:rPr>
                <w:rFonts w:hint="eastAsia" w:ascii="宋体" w:hAnsi="宋体" w:cs="宋体"/>
                <w:color w:val="auto"/>
                <w:sz w:val="24"/>
              </w:rPr>
              <w:t>（</w:t>
            </w:r>
            <w:r>
              <w:rPr>
                <w:rFonts w:hint="eastAsia" w:ascii="宋体" w:hAnsi="宋体" w:cs="宋体"/>
                <w:bCs/>
                <w:color w:val="auto"/>
                <w:sz w:val="24"/>
              </w:rPr>
              <w:t>无锡市蠡湖大道2018号普信COPO 2号楼1楼101</w:t>
            </w:r>
            <w:r>
              <w:rPr>
                <w:rFonts w:hint="eastAsia" w:ascii="宋体" w:hAnsi="宋体" w:cs="宋体"/>
                <w:color w:val="auto"/>
                <w:sz w:val="24"/>
              </w:rPr>
              <w:t xml:space="preserve">）                   </w:t>
            </w:r>
            <w:r>
              <w:rPr>
                <w:rFonts w:hint="eastAsia" w:hAnsi="宋体"/>
                <w:b/>
                <w:color w:val="auto"/>
                <w:sz w:val="24"/>
                <w:szCs w:val="22"/>
              </w:rPr>
              <w:t>注：投</w:t>
            </w:r>
            <w:r>
              <w:rPr>
                <w:rFonts w:hint="eastAsia" w:hAnsi="宋体"/>
                <w:b/>
                <w:color w:val="auto"/>
                <w:sz w:val="24"/>
              </w:rPr>
              <w:t>标文件接收截止时间视疫情发展情况而定，如需调整，另行通知。请各投标供</w:t>
            </w:r>
          </w:p>
          <w:p>
            <w:pPr>
              <w:pStyle w:val="49"/>
              <w:tabs>
                <w:tab w:val="left" w:pos="284"/>
              </w:tabs>
              <w:spacing w:beforeAutospacing="0" w:afterAutospacing="0" w:line="400" w:lineRule="exact"/>
              <w:ind w:firstLine="0"/>
              <w:rPr>
                <w:rFonts w:hAnsi="宋体" w:cs="Droid Sans"/>
                <w:color w:val="auto"/>
                <w:kern w:val="2"/>
              </w:rPr>
            </w:pPr>
            <w:r>
              <w:rPr>
                <w:rFonts w:hint="eastAsia" w:hAnsi="宋体"/>
                <w:b/>
                <w:color w:val="auto"/>
              </w:rPr>
              <w:t>应商</w:t>
            </w:r>
            <w:r>
              <w:rPr>
                <w:b/>
                <w:color w:val="auto"/>
              </w:rPr>
              <w:t>在</w:t>
            </w:r>
            <w:r>
              <w:rPr>
                <w:rFonts w:hint="eastAsia"/>
                <w:b/>
                <w:color w:val="auto"/>
              </w:rPr>
              <w:t>提交投标文件截止时间</w:t>
            </w:r>
            <w:r>
              <w:rPr>
                <w:b/>
                <w:color w:val="auto"/>
              </w:rPr>
              <w:t>前关注原</w:t>
            </w:r>
            <w:r>
              <w:rPr>
                <w:rFonts w:hint="eastAsia"/>
                <w:b/>
                <w:color w:val="auto"/>
              </w:rPr>
              <w:t>招标</w:t>
            </w:r>
            <w:r>
              <w:rPr>
                <w:b/>
                <w:color w:val="auto"/>
              </w:rPr>
              <w:t>公告媒体上发布的相关更正公告</w:t>
            </w:r>
            <w:r>
              <w:rPr>
                <w:rFonts w:hint="eastAsia" w:hAnsi="宋体"/>
                <w:b/>
                <w:color w:val="auto"/>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topLinePunct/>
              <w:jc w:val="center"/>
              <w:rPr>
                <w:rFonts w:ascii="宋体" w:hAnsi="宋体"/>
                <w:color w:val="auto"/>
                <w:sz w:val="24"/>
              </w:rPr>
            </w:pPr>
            <w:r>
              <w:rPr>
                <w:rFonts w:hint="eastAsia" w:ascii="宋体" w:hAnsi="宋体"/>
                <w:color w:val="auto"/>
                <w:sz w:val="24"/>
              </w:rPr>
              <w:t>9</w:t>
            </w:r>
          </w:p>
        </w:tc>
        <w:tc>
          <w:tcPr>
            <w:tcW w:w="9146" w:type="dxa"/>
            <w:vAlign w:val="center"/>
          </w:tcPr>
          <w:p>
            <w:pPr>
              <w:snapToGrid w:val="0"/>
              <w:spacing w:line="440" w:lineRule="exact"/>
              <w:rPr>
                <w:rFonts w:ascii="宋体" w:hAnsi="宋体" w:cs="宋体"/>
                <w:bCs/>
                <w:color w:val="auto"/>
                <w:sz w:val="24"/>
              </w:rPr>
            </w:pPr>
            <w:r>
              <w:rPr>
                <w:rFonts w:hint="eastAsia" w:ascii="宋体" w:hAnsi="宋体" w:cs="宋体"/>
                <w:bCs/>
                <w:color w:val="auto"/>
                <w:sz w:val="24"/>
              </w:rPr>
              <w:t>开标时间：</w:t>
            </w:r>
            <w:r>
              <w:rPr>
                <w:rFonts w:hint="eastAsia" w:ascii="宋体" w:hAnsi="宋体" w:cs="宋体"/>
                <w:color w:val="auto"/>
                <w:sz w:val="24"/>
              </w:rPr>
              <w:t>2022年9月</w:t>
            </w:r>
            <w:r>
              <w:rPr>
                <w:rFonts w:hint="eastAsia" w:ascii="宋体" w:hAnsi="宋体" w:cs="宋体"/>
                <w:color w:val="auto"/>
                <w:sz w:val="24"/>
                <w:lang w:val="en-US" w:eastAsia="zh-CN"/>
              </w:rPr>
              <w:t>14</w:t>
            </w:r>
            <w:r>
              <w:rPr>
                <w:rFonts w:hint="eastAsia" w:ascii="宋体" w:hAnsi="宋体" w:cs="宋体"/>
                <w:color w:val="auto"/>
                <w:sz w:val="24"/>
              </w:rPr>
              <w:t>日</w:t>
            </w:r>
            <w:r>
              <w:rPr>
                <w:rFonts w:hint="eastAsia" w:ascii="宋体" w:hAnsi="宋体" w:cs="宋体"/>
                <w:bCs/>
                <w:color w:val="auto"/>
                <w:sz w:val="24"/>
              </w:rPr>
              <w:t>下午14：00</w:t>
            </w:r>
          </w:p>
          <w:p>
            <w:pPr>
              <w:snapToGrid w:val="0"/>
              <w:spacing w:line="440" w:lineRule="exact"/>
              <w:rPr>
                <w:rFonts w:ascii="宋体" w:hAnsi="宋体" w:cs="宋体"/>
                <w:color w:val="auto"/>
                <w:sz w:val="24"/>
              </w:rPr>
            </w:pPr>
            <w:r>
              <w:rPr>
                <w:rFonts w:hint="eastAsia" w:ascii="宋体" w:hAnsi="宋体" w:cs="宋体"/>
                <w:bCs/>
                <w:color w:val="auto"/>
                <w:sz w:val="24"/>
              </w:rPr>
              <w:t>开标地点：</w:t>
            </w:r>
            <w:r>
              <w:rPr>
                <w:rFonts w:hint="eastAsia" w:ascii="宋体" w:hAnsi="宋体" w:cs="宋体"/>
                <w:color w:val="auto"/>
                <w:sz w:val="24"/>
              </w:rPr>
              <w:t>普信国际工程咨询有限公司</w:t>
            </w:r>
          </w:p>
          <w:p>
            <w:pPr>
              <w:widowControl/>
              <w:topLinePunct/>
              <w:spacing w:line="360" w:lineRule="auto"/>
              <w:rPr>
                <w:rFonts w:ascii="宋体" w:hAnsi="宋体"/>
                <w:color w:val="auto"/>
                <w:sz w:val="24"/>
              </w:rPr>
            </w:pPr>
            <w:r>
              <w:rPr>
                <w:rFonts w:hint="eastAsia" w:ascii="宋体" w:hAnsi="宋体" w:cs="宋体"/>
                <w:color w:val="auto"/>
                <w:sz w:val="24"/>
              </w:rPr>
              <w:t>（</w:t>
            </w:r>
            <w:r>
              <w:rPr>
                <w:rFonts w:hint="eastAsia" w:ascii="宋体" w:hAnsi="宋体" w:cs="宋体"/>
                <w:bCs/>
                <w:color w:val="auto"/>
                <w:sz w:val="24"/>
              </w:rPr>
              <w:t>无锡市蠡湖大道2018号普信COPO 2号楼1楼101</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10</w:t>
            </w:r>
          </w:p>
        </w:tc>
        <w:tc>
          <w:tcPr>
            <w:tcW w:w="9146" w:type="dxa"/>
            <w:vAlign w:val="center"/>
          </w:tcPr>
          <w:p>
            <w:pPr>
              <w:snapToGrid w:val="0"/>
              <w:spacing w:line="440" w:lineRule="exact"/>
              <w:rPr>
                <w:rFonts w:ascii="宋体" w:hAnsi="宋体" w:cs="宋体"/>
                <w:bCs/>
                <w:color w:val="auto"/>
                <w:sz w:val="24"/>
              </w:rPr>
            </w:pPr>
            <w:r>
              <w:rPr>
                <w:rFonts w:hint="eastAsia" w:ascii="宋体" w:hAnsi="宋体" w:cs="宋体"/>
                <w:bCs/>
                <w:color w:val="auto"/>
                <w:sz w:val="24"/>
              </w:rPr>
              <w:t>定标时间：</w:t>
            </w:r>
            <w:r>
              <w:rPr>
                <w:rFonts w:hint="eastAsia" w:ascii="宋体" w:hAnsi="宋体" w:cs="宋体"/>
                <w:color w:val="auto"/>
                <w:sz w:val="24"/>
              </w:rPr>
              <w:t>2022年9月</w:t>
            </w:r>
            <w:r>
              <w:rPr>
                <w:rFonts w:hint="eastAsia" w:ascii="宋体" w:hAnsi="宋体" w:cs="宋体"/>
                <w:color w:val="auto"/>
                <w:sz w:val="24"/>
                <w:lang w:val="en-US" w:eastAsia="zh-CN"/>
              </w:rPr>
              <w:t>14</w:t>
            </w:r>
            <w:r>
              <w:rPr>
                <w:rFonts w:hint="eastAsia" w:ascii="宋体" w:hAnsi="宋体" w:cs="宋体"/>
                <w:color w:val="auto"/>
                <w:sz w:val="24"/>
              </w:rPr>
              <w:t>日</w:t>
            </w:r>
            <w:r>
              <w:rPr>
                <w:rFonts w:hint="eastAsia" w:ascii="宋体" w:hAnsi="宋体" w:cs="宋体"/>
                <w:bCs/>
                <w:color w:val="auto"/>
                <w:sz w:val="24"/>
              </w:rPr>
              <w:t>评标结束</w:t>
            </w:r>
          </w:p>
          <w:p>
            <w:pPr>
              <w:snapToGrid w:val="0"/>
              <w:spacing w:line="440" w:lineRule="exact"/>
              <w:rPr>
                <w:rFonts w:ascii="宋体" w:hAnsi="宋体" w:cs="宋体"/>
                <w:color w:val="auto"/>
                <w:sz w:val="24"/>
              </w:rPr>
            </w:pPr>
            <w:r>
              <w:rPr>
                <w:rFonts w:hint="eastAsia" w:ascii="宋体" w:hAnsi="宋体" w:cs="宋体"/>
                <w:bCs/>
                <w:color w:val="auto"/>
                <w:sz w:val="24"/>
              </w:rPr>
              <w:t>定标地点：</w:t>
            </w:r>
            <w:r>
              <w:rPr>
                <w:rFonts w:hint="eastAsia" w:ascii="宋体" w:hAnsi="宋体" w:cs="宋体"/>
                <w:color w:val="auto"/>
                <w:sz w:val="24"/>
              </w:rPr>
              <w:t>普信国际工程咨询有限公司</w:t>
            </w:r>
          </w:p>
          <w:p>
            <w:pPr>
              <w:pStyle w:val="49"/>
              <w:tabs>
                <w:tab w:val="left" w:pos="284"/>
              </w:tabs>
              <w:spacing w:beforeAutospacing="0" w:afterAutospacing="0" w:line="400" w:lineRule="exact"/>
              <w:ind w:firstLine="0"/>
              <w:rPr>
                <w:rFonts w:hAnsi="宋体" w:cs="Droid Sans"/>
                <w:color w:val="auto"/>
                <w:kern w:val="2"/>
              </w:rPr>
            </w:pPr>
            <w:r>
              <w:rPr>
                <w:rFonts w:hint="eastAsia" w:hAnsi="宋体" w:cs="宋体"/>
                <w:color w:val="auto"/>
              </w:rPr>
              <w:t>（</w:t>
            </w:r>
            <w:r>
              <w:rPr>
                <w:rFonts w:hint="eastAsia" w:hAnsi="宋体" w:cs="宋体"/>
                <w:bCs/>
                <w:color w:val="auto"/>
              </w:rPr>
              <w:t>无锡市蠡湖大道2018号普信COPO 2号楼1楼101</w:t>
            </w:r>
            <w:r>
              <w:rPr>
                <w:rFonts w:hint="eastAsia"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11</w:t>
            </w:r>
          </w:p>
        </w:tc>
        <w:tc>
          <w:tcPr>
            <w:tcW w:w="9146" w:type="dxa"/>
            <w:vAlign w:val="center"/>
          </w:tcPr>
          <w:p>
            <w:pPr>
              <w:widowControl/>
              <w:topLinePunct/>
              <w:spacing w:line="360" w:lineRule="auto"/>
              <w:rPr>
                <w:rFonts w:ascii="宋体" w:hAnsi="宋体"/>
                <w:color w:val="auto"/>
                <w:sz w:val="24"/>
              </w:rPr>
            </w:pPr>
            <w:r>
              <w:rPr>
                <w:rFonts w:hint="eastAsia" w:ascii="宋体" w:hAnsi="宋体"/>
                <w:color w:val="auto"/>
                <w:sz w:val="24"/>
              </w:rPr>
              <w:t>投标文件：明标部分一正二副，暗标部分一正五副。另附电子光盘两张，明标部分一张光盘，暗标部分一张光盘。（不可擦写光盘）（在光盘上清楚的标明投标人名称、项目名称、光盘内容名称）。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12</w:t>
            </w:r>
          </w:p>
        </w:tc>
        <w:tc>
          <w:tcPr>
            <w:tcW w:w="9146" w:type="dxa"/>
            <w:vAlign w:val="center"/>
          </w:tcPr>
          <w:p>
            <w:pPr>
              <w:snapToGrid w:val="0"/>
              <w:spacing w:line="440" w:lineRule="exact"/>
              <w:rPr>
                <w:rFonts w:hAnsi="宋体"/>
                <w:bCs/>
                <w:color w:val="auto"/>
                <w:sz w:val="24"/>
                <w:szCs w:val="22"/>
              </w:rPr>
            </w:pPr>
            <w:r>
              <w:rPr>
                <w:rFonts w:hint="eastAsia" w:hAnsi="宋体"/>
                <w:bCs/>
                <w:color w:val="auto"/>
                <w:sz w:val="24"/>
                <w:szCs w:val="22"/>
              </w:rPr>
              <w:t>有关本次采购活动程序方面的问题，可来人、来函（传真）或电话联系。</w:t>
            </w:r>
          </w:p>
          <w:p>
            <w:pPr>
              <w:snapToGrid w:val="0"/>
              <w:spacing w:line="440" w:lineRule="exact"/>
              <w:rPr>
                <w:rFonts w:hAnsi="宋体"/>
                <w:bCs/>
                <w:color w:val="auto"/>
                <w:sz w:val="24"/>
                <w:szCs w:val="22"/>
              </w:rPr>
            </w:pPr>
            <w:r>
              <w:rPr>
                <w:rFonts w:hint="eastAsia" w:hAnsi="宋体"/>
                <w:bCs/>
                <w:color w:val="auto"/>
                <w:sz w:val="24"/>
                <w:szCs w:val="22"/>
              </w:rPr>
              <w:t>采购人：</w:t>
            </w:r>
            <w:r>
              <w:rPr>
                <w:rFonts w:hint="eastAsia" w:hAnsi="宋体" w:cs="宋体"/>
                <w:color w:val="auto"/>
                <w:sz w:val="24"/>
                <w:szCs w:val="22"/>
              </w:rPr>
              <w:t>无锡市城市管理局</w:t>
            </w:r>
          </w:p>
          <w:p>
            <w:pPr>
              <w:snapToGrid w:val="0"/>
              <w:spacing w:line="440" w:lineRule="exact"/>
              <w:rPr>
                <w:rFonts w:hAnsi="宋体"/>
                <w:bCs/>
                <w:color w:val="auto"/>
                <w:sz w:val="24"/>
                <w:szCs w:val="22"/>
              </w:rPr>
            </w:pPr>
            <w:r>
              <w:rPr>
                <w:rFonts w:hint="eastAsia" w:hAnsi="宋体"/>
                <w:bCs/>
                <w:color w:val="auto"/>
                <w:sz w:val="24"/>
                <w:szCs w:val="22"/>
              </w:rPr>
              <w:t>联系人：</w:t>
            </w:r>
            <w:r>
              <w:rPr>
                <w:rFonts w:hint="eastAsia" w:hAnsi="宋体"/>
                <w:color w:val="auto"/>
                <w:sz w:val="24"/>
                <w:szCs w:val="22"/>
              </w:rPr>
              <w:t>陈科</w:t>
            </w:r>
          </w:p>
          <w:p>
            <w:pPr>
              <w:snapToGrid w:val="0"/>
              <w:spacing w:line="440" w:lineRule="exact"/>
              <w:rPr>
                <w:rFonts w:hAnsi="宋体" w:cs="宋体"/>
                <w:color w:val="auto"/>
                <w:sz w:val="24"/>
                <w:szCs w:val="22"/>
              </w:rPr>
            </w:pPr>
            <w:r>
              <w:rPr>
                <w:rFonts w:hint="eastAsia" w:hAnsi="宋体"/>
                <w:bCs/>
                <w:color w:val="auto"/>
                <w:sz w:val="24"/>
                <w:szCs w:val="22"/>
              </w:rPr>
              <w:t>联系电话：</w:t>
            </w:r>
            <w:r>
              <w:rPr>
                <w:rFonts w:hint="eastAsia" w:hAnsi="宋体" w:cs="宋体"/>
                <w:color w:val="auto"/>
                <w:sz w:val="24"/>
                <w:szCs w:val="22"/>
              </w:rPr>
              <w:t>0510-85859279</w:t>
            </w:r>
          </w:p>
          <w:p>
            <w:pPr>
              <w:snapToGrid w:val="0"/>
              <w:spacing w:line="440" w:lineRule="exact"/>
              <w:rPr>
                <w:rFonts w:hAnsi="宋体"/>
                <w:bCs/>
                <w:color w:val="auto"/>
                <w:sz w:val="24"/>
                <w:szCs w:val="22"/>
              </w:rPr>
            </w:pPr>
            <w:r>
              <w:rPr>
                <w:rFonts w:hint="eastAsia" w:hAnsi="宋体" w:cs="宋体"/>
                <w:color w:val="auto"/>
                <w:sz w:val="24"/>
                <w:szCs w:val="22"/>
              </w:rPr>
              <w:t xml:space="preserve">联系地址：无锡市建筑路301号 </w:t>
            </w:r>
          </w:p>
          <w:p>
            <w:pPr>
              <w:snapToGrid w:val="0"/>
              <w:spacing w:line="440" w:lineRule="exact"/>
              <w:rPr>
                <w:rFonts w:hAnsi="宋体"/>
                <w:bCs/>
                <w:color w:val="auto"/>
                <w:sz w:val="24"/>
                <w:szCs w:val="22"/>
              </w:rPr>
            </w:pPr>
            <w:r>
              <w:rPr>
                <w:rFonts w:hint="eastAsia" w:hAnsi="宋体"/>
                <w:bCs/>
                <w:color w:val="auto"/>
                <w:sz w:val="24"/>
                <w:szCs w:val="22"/>
              </w:rPr>
              <w:t>采购代理机构：普信国际工程咨询有限公司</w:t>
            </w:r>
          </w:p>
          <w:p>
            <w:pPr>
              <w:snapToGrid w:val="0"/>
              <w:spacing w:line="440" w:lineRule="exact"/>
              <w:rPr>
                <w:rFonts w:hAnsi="宋体"/>
                <w:bCs/>
                <w:color w:val="auto"/>
                <w:sz w:val="24"/>
                <w:szCs w:val="22"/>
              </w:rPr>
            </w:pPr>
            <w:r>
              <w:rPr>
                <w:rFonts w:hint="eastAsia" w:hAnsi="宋体"/>
                <w:bCs/>
                <w:color w:val="auto"/>
                <w:sz w:val="24"/>
                <w:szCs w:val="22"/>
              </w:rPr>
              <w:t>联系人：顾昱昂、吕红菲、胡杰</w:t>
            </w:r>
          </w:p>
          <w:p>
            <w:pPr>
              <w:snapToGrid w:val="0"/>
              <w:spacing w:line="440" w:lineRule="exact"/>
              <w:rPr>
                <w:rFonts w:hAnsi="宋体"/>
                <w:bCs/>
                <w:color w:val="auto"/>
                <w:sz w:val="24"/>
                <w:szCs w:val="22"/>
              </w:rPr>
            </w:pPr>
            <w:r>
              <w:rPr>
                <w:rFonts w:hint="eastAsia" w:hAnsi="宋体"/>
                <w:bCs/>
                <w:color w:val="auto"/>
                <w:sz w:val="24"/>
                <w:szCs w:val="22"/>
              </w:rPr>
              <w:t>联系电话、传真：0510-82830057</w:t>
            </w:r>
          </w:p>
          <w:p>
            <w:pPr>
              <w:snapToGrid w:val="0"/>
              <w:spacing w:line="440" w:lineRule="exact"/>
              <w:rPr>
                <w:rFonts w:hAnsi="宋体"/>
                <w:bCs/>
                <w:color w:val="auto"/>
                <w:sz w:val="24"/>
                <w:szCs w:val="22"/>
              </w:rPr>
            </w:pPr>
            <w:r>
              <w:rPr>
                <w:rFonts w:hint="eastAsia" w:hAnsi="宋体"/>
                <w:bCs/>
                <w:color w:val="auto"/>
                <w:sz w:val="24"/>
                <w:szCs w:val="22"/>
              </w:rPr>
              <w:t>联系地址：无锡市蠡湖大道2018号普信COPO 8号楼6楼8603</w:t>
            </w:r>
          </w:p>
          <w:p>
            <w:pPr>
              <w:pStyle w:val="49"/>
              <w:shd w:val="clear" w:color="auto" w:fill="FFFFFF"/>
              <w:spacing w:beforeAutospacing="0" w:afterAutospacing="0" w:line="360" w:lineRule="auto"/>
              <w:ind w:firstLine="0"/>
              <w:rPr>
                <w:color w:val="auto"/>
              </w:rPr>
            </w:pPr>
            <w:r>
              <w:rPr>
                <w:rFonts w:hint="eastAsia" w:hAnsi="宋体"/>
                <w:bCs/>
                <w:color w:val="auto"/>
                <w:szCs w:val="22"/>
              </w:rPr>
              <w:t>邮政编码：214000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19" w:type="dxa"/>
            <w:vAlign w:val="center"/>
          </w:tcPr>
          <w:p>
            <w:pPr>
              <w:widowControl/>
              <w:topLinePunct/>
              <w:jc w:val="center"/>
              <w:rPr>
                <w:rFonts w:ascii="宋体" w:hAnsi="宋体"/>
                <w:color w:val="auto"/>
                <w:sz w:val="24"/>
              </w:rPr>
            </w:pPr>
            <w:r>
              <w:rPr>
                <w:rFonts w:hint="eastAsia" w:ascii="宋体" w:hAnsi="宋体"/>
                <w:color w:val="auto"/>
                <w:sz w:val="24"/>
              </w:rPr>
              <w:t>13</w:t>
            </w:r>
          </w:p>
        </w:tc>
        <w:tc>
          <w:tcPr>
            <w:tcW w:w="9146" w:type="dxa"/>
            <w:vAlign w:val="center"/>
          </w:tcPr>
          <w:p>
            <w:pPr>
              <w:pStyle w:val="49"/>
              <w:shd w:val="clear" w:color="auto" w:fill="FFFFFF"/>
              <w:spacing w:beforeAutospacing="0" w:afterAutospacing="0" w:line="360" w:lineRule="auto"/>
              <w:ind w:firstLine="0"/>
              <w:rPr>
                <w:rFonts w:hAnsi="宋体"/>
                <w:bCs/>
                <w:color w:val="auto"/>
                <w:szCs w:val="22"/>
              </w:rPr>
            </w:pPr>
            <w:r>
              <w:rPr>
                <w:rFonts w:hint="eastAsia" w:hAnsi="宋体"/>
                <w:b/>
                <w:color w:val="auto"/>
                <w:szCs w:val="22"/>
                <w:shd w:val="clear" w:color="auto" w:fill="FFFFFF"/>
              </w:rPr>
              <w:t>疫情防控期间注意事项：根据锡财购函【2021】3号《关于近期政府采购领域疫情防控有关要求的通知》要求，参加政府采购活动的供应商代表（委派人数为1人），座位保持安全间距。凡进入活动（开评标）现场的人员，必须戴口罩并出示“苏康码”与“行程码”（实时查验图，截图无效），采取“测温+扫码”进，“扫码”出。“苏康码”、“行程码”为绿码，可进场；“苏康码”、“行程码”为绿码，但行程中有涉及中高风险地区的，应持48小时核酸阴性证明进场；“苏康码”验证结果为黄色或红色、体温≥37.3℃的，严禁进场并上报采购代理机构所在地社区与同级财政部门。《“苏康码”申领使用操作手册》详见无锡政府采购网首页“工作动态”栏，或者无锡市公共资源交易中心网政府采购（市级）“公示栏”。投标供应商应考虑完成上述程序所需时间，提前进入开标地点，不能在投标截止时间前参加投标所造成的风险及损失，由投标供应商自行承担。</w:t>
            </w:r>
          </w:p>
        </w:tc>
      </w:tr>
    </w:tbl>
    <w:p>
      <w:pPr>
        <w:pageBreakBefore/>
        <w:spacing w:line="490" w:lineRule="exact"/>
        <w:jc w:val="center"/>
        <w:rPr>
          <w:rFonts w:ascii="黑体" w:eastAsia="黑体"/>
          <w:bCs/>
          <w:sz w:val="28"/>
          <w:szCs w:val="28"/>
        </w:rPr>
      </w:pPr>
      <w:r>
        <w:rPr>
          <w:rFonts w:hint="eastAsia" w:ascii="黑体" w:eastAsia="黑体"/>
          <w:bCs/>
          <w:sz w:val="28"/>
          <w:szCs w:val="28"/>
        </w:rPr>
        <w:t>二．投标人须知</w:t>
      </w:r>
    </w:p>
    <w:p>
      <w:pPr>
        <w:spacing w:line="490" w:lineRule="exact"/>
        <w:jc w:val="center"/>
        <w:rPr>
          <w:rFonts w:ascii="黑体" w:eastAsia="黑体"/>
          <w:bCs/>
          <w:sz w:val="30"/>
          <w:szCs w:val="30"/>
        </w:rPr>
      </w:pPr>
    </w:p>
    <w:p>
      <w:pPr>
        <w:numPr>
          <w:ilvl w:val="0"/>
          <w:numId w:val="13"/>
        </w:numPr>
        <w:tabs>
          <w:tab w:val="left" w:pos="735"/>
        </w:tabs>
        <w:spacing w:line="360" w:lineRule="auto"/>
        <w:rPr>
          <w:rFonts w:ascii="黑体" w:hAnsi="宋体" w:eastAsia="黑体"/>
          <w:bCs/>
          <w:sz w:val="24"/>
        </w:rPr>
      </w:pPr>
      <w:bookmarkStart w:id="3" w:name="四．合同书"/>
      <w:bookmarkEnd w:id="3"/>
      <w:bookmarkStart w:id="4" w:name="三．项目技术配置和有关说明"/>
      <w:bookmarkEnd w:id="4"/>
      <w:r>
        <w:rPr>
          <w:rFonts w:hint="eastAsia" w:ascii="黑体" w:hAnsi="宋体" w:eastAsia="黑体"/>
          <w:bCs/>
          <w:sz w:val="24"/>
        </w:rPr>
        <w:t>遵循原则：</w:t>
      </w:r>
    </w:p>
    <w:p>
      <w:pPr>
        <w:spacing w:line="360" w:lineRule="auto"/>
        <w:ind w:firstLine="523" w:firstLineChars="218"/>
        <w:rPr>
          <w:rFonts w:ascii="宋体" w:hAnsi="宋体"/>
          <w:bCs/>
          <w:sz w:val="24"/>
        </w:rPr>
      </w:pPr>
      <w:r>
        <w:rPr>
          <w:rFonts w:hint="eastAsia" w:ascii="宋体" w:hAnsi="宋体"/>
          <w:bCs/>
          <w:sz w:val="24"/>
        </w:rPr>
        <w:t>公开透明原则、公平竞争原则、公正原则和诚实信用原则。</w:t>
      </w:r>
    </w:p>
    <w:p>
      <w:pPr>
        <w:numPr>
          <w:ilvl w:val="0"/>
          <w:numId w:val="13"/>
        </w:numPr>
        <w:tabs>
          <w:tab w:val="left" w:pos="735"/>
        </w:tabs>
        <w:spacing w:line="360" w:lineRule="auto"/>
        <w:rPr>
          <w:rFonts w:ascii="黑体" w:hAnsi="宋体" w:eastAsia="黑体"/>
          <w:bCs/>
          <w:sz w:val="24"/>
        </w:rPr>
      </w:pPr>
      <w:r>
        <w:rPr>
          <w:rFonts w:hint="eastAsia" w:ascii="黑体" w:hAnsi="宋体" w:eastAsia="黑体"/>
          <w:bCs/>
          <w:sz w:val="24"/>
        </w:rPr>
        <w:t>招标文件：</w:t>
      </w:r>
    </w:p>
    <w:p>
      <w:pPr>
        <w:numPr>
          <w:ilvl w:val="0"/>
          <w:numId w:val="14"/>
        </w:numPr>
        <w:tabs>
          <w:tab w:val="left" w:pos="-1260"/>
          <w:tab w:val="left" w:pos="525"/>
          <w:tab w:val="left" w:pos="1050"/>
          <w:tab w:val="clear" w:pos="552"/>
        </w:tabs>
        <w:spacing w:line="360" w:lineRule="auto"/>
        <w:ind w:left="0" w:firstLine="628" w:firstLineChars="262"/>
        <w:rPr>
          <w:rFonts w:ascii="宋体" w:hAnsi="宋体"/>
          <w:bCs/>
          <w:sz w:val="24"/>
        </w:rPr>
      </w:pPr>
      <w:r>
        <w:rPr>
          <w:rFonts w:hint="eastAsia" w:ascii="宋体" w:hAnsi="宋体"/>
          <w:bCs/>
          <w:sz w:val="24"/>
        </w:rPr>
        <w:t>招标文件包括本文件目录所列全部内容，投标人应仔细阅读，并在投标文件中充分反映招标文件的所有要求。</w:t>
      </w:r>
    </w:p>
    <w:p>
      <w:pPr>
        <w:numPr>
          <w:ilvl w:val="0"/>
          <w:numId w:val="14"/>
        </w:numPr>
        <w:tabs>
          <w:tab w:val="left" w:pos="0"/>
          <w:tab w:val="left" w:pos="525"/>
          <w:tab w:val="left" w:pos="1050"/>
          <w:tab w:val="clear" w:pos="552"/>
        </w:tabs>
        <w:spacing w:line="360" w:lineRule="auto"/>
        <w:ind w:left="0" w:firstLine="628" w:firstLineChars="262"/>
        <w:rPr>
          <w:rFonts w:ascii="宋体" w:hAnsi="宋体"/>
          <w:bCs/>
          <w:sz w:val="24"/>
        </w:rPr>
      </w:pPr>
      <w:r>
        <w:rPr>
          <w:rFonts w:hint="eastAsia" w:ascii="宋体" w:hAnsi="宋体"/>
          <w:bCs/>
          <w:sz w:val="24"/>
        </w:rPr>
        <w:t>投标人应向招标代理机构购买招标文件及有关资料，按招标文件要求提交全部资料并对招标文件各项内容做出实质性响应，否则投标无效。</w:t>
      </w:r>
    </w:p>
    <w:p>
      <w:pPr>
        <w:numPr>
          <w:ilvl w:val="0"/>
          <w:numId w:val="14"/>
        </w:numPr>
        <w:tabs>
          <w:tab w:val="left" w:pos="0"/>
          <w:tab w:val="left" w:pos="525"/>
          <w:tab w:val="left" w:pos="1050"/>
          <w:tab w:val="clear" w:pos="552"/>
        </w:tabs>
        <w:spacing w:line="360" w:lineRule="auto"/>
        <w:ind w:left="0" w:firstLine="628" w:firstLineChars="262"/>
        <w:rPr>
          <w:rFonts w:ascii="宋体" w:hAnsi="宋体"/>
          <w:bCs/>
          <w:sz w:val="24"/>
        </w:rPr>
      </w:pPr>
      <w:r>
        <w:rPr>
          <w:rFonts w:hint="eastAsia" w:ascii="宋体" w:hAnsi="宋体"/>
          <w:bCs/>
          <w:sz w:val="24"/>
        </w:rPr>
        <w:t>投标人一旦参加本项目投标，即表明承诺接受了本招标文件中的所有条件和规定。</w:t>
      </w:r>
    </w:p>
    <w:p>
      <w:pPr>
        <w:numPr>
          <w:ilvl w:val="0"/>
          <w:numId w:val="14"/>
        </w:numPr>
        <w:tabs>
          <w:tab w:val="left" w:pos="0"/>
          <w:tab w:val="left" w:pos="525"/>
          <w:tab w:val="left" w:pos="1050"/>
          <w:tab w:val="clear" w:pos="552"/>
        </w:tabs>
        <w:spacing w:line="360" w:lineRule="auto"/>
        <w:ind w:left="0" w:firstLine="628" w:firstLineChars="262"/>
        <w:rPr>
          <w:rFonts w:ascii="宋体" w:hAnsi="宋体"/>
          <w:bCs/>
          <w:sz w:val="24"/>
        </w:rPr>
      </w:pPr>
      <w:r>
        <w:rPr>
          <w:rFonts w:hint="eastAsia" w:ascii="宋体" w:hAnsi="宋体"/>
          <w:bCs/>
          <w:sz w:val="24"/>
        </w:rPr>
        <w:t>招标文件一经售出、一律不退，且仅作为本次招投标使用。</w:t>
      </w:r>
    </w:p>
    <w:p>
      <w:pPr>
        <w:numPr>
          <w:ilvl w:val="0"/>
          <w:numId w:val="13"/>
        </w:numPr>
        <w:tabs>
          <w:tab w:val="left" w:pos="630"/>
        </w:tabs>
        <w:spacing w:line="360" w:lineRule="auto"/>
        <w:rPr>
          <w:rFonts w:ascii="黑体" w:hAnsi="宋体" w:eastAsia="黑体"/>
          <w:bCs/>
          <w:sz w:val="24"/>
        </w:rPr>
      </w:pPr>
      <w:r>
        <w:rPr>
          <w:rFonts w:hint="eastAsia" w:ascii="黑体" w:hAnsi="宋体" w:eastAsia="黑体"/>
          <w:bCs/>
          <w:sz w:val="24"/>
        </w:rPr>
        <w:t>招标文件的解释：</w:t>
      </w:r>
    </w:p>
    <w:p>
      <w:pPr>
        <w:spacing w:line="360" w:lineRule="auto"/>
        <w:ind w:firstLine="480" w:firstLineChars="200"/>
        <w:rPr>
          <w:rFonts w:ascii="宋体" w:hAnsi="宋体"/>
          <w:sz w:val="24"/>
        </w:rPr>
      </w:pPr>
      <w:r>
        <w:rPr>
          <w:rFonts w:hint="eastAsia" w:ascii="宋体" w:hAnsi="宋体"/>
          <w:sz w:val="24"/>
        </w:rPr>
        <w:t>1．投标人如有需要对招标文件要求澄清的问题，请以书面方式提出，必须加盖投标人公章，并按“投标邀请”第5项规定的时间将电子邮件及书面传真（两种形式均须发送）至普信国际工程咨询有限公司，联系方式详见“投标邀请”12项。</w:t>
      </w:r>
    </w:p>
    <w:p>
      <w:pPr>
        <w:spacing w:line="360" w:lineRule="auto"/>
        <w:ind w:firstLine="480" w:firstLineChars="200"/>
        <w:rPr>
          <w:rFonts w:ascii="宋体" w:hAnsi="宋体"/>
          <w:sz w:val="24"/>
        </w:rPr>
      </w:pPr>
      <w:r>
        <w:rPr>
          <w:rFonts w:hint="eastAsia" w:ascii="宋体" w:hAnsi="宋体"/>
          <w:sz w:val="24"/>
        </w:rPr>
        <w:t>2．招标人、普信国际工程咨询有限公司将按“投标邀请”第5项规定的时间对投标人针对招标文件书面提出的要求澄清的问题进行答疑。</w:t>
      </w:r>
    </w:p>
    <w:p>
      <w:pPr>
        <w:spacing w:line="360" w:lineRule="auto"/>
        <w:ind w:left="-2" w:leftChars="-1" w:firstLine="420" w:firstLineChars="175"/>
        <w:rPr>
          <w:rFonts w:ascii="宋体" w:hAnsi="宋体"/>
          <w:sz w:val="24"/>
        </w:rPr>
      </w:pPr>
      <w:r>
        <w:rPr>
          <w:rFonts w:hint="eastAsia" w:ascii="宋体" w:hAnsi="宋体"/>
          <w:sz w:val="24"/>
        </w:rPr>
        <w:t>3．本文件的最终解释权归招标人。</w:t>
      </w:r>
    </w:p>
    <w:p>
      <w:pPr>
        <w:numPr>
          <w:ilvl w:val="0"/>
          <w:numId w:val="13"/>
        </w:numPr>
        <w:spacing w:line="360" w:lineRule="auto"/>
        <w:rPr>
          <w:rFonts w:ascii="黑体" w:hAnsi="宋体" w:eastAsia="黑体"/>
          <w:bCs/>
          <w:sz w:val="24"/>
        </w:rPr>
      </w:pPr>
      <w:r>
        <w:rPr>
          <w:rFonts w:hint="eastAsia" w:ascii="黑体" w:hAnsi="宋体" w:eastAsia="黑体"/>
          <w:bCs/>
          <w:sz w:val="24"/>
        </w:rPr>
        <w:t xml:space="preserve">招标文件的补充或修正： </w:t>
      </w:r>
    </w:p>
    <w:p>
      <w:pPr>
        <w:numPr>
          <w:ilvl w:val="0"/>
          <w:numId w:val="15"/>
        </w:numPr>
        <w:tabs>
          <w:tab w:val="left" w:pos="525"/>
          <w:tab w:val="left" w:pos="945"/>
          <w:tab w:val="clear" w:pos="898"/>
        </w:tabs>
        <w:spacing w:line="360" w:lineRule="auto"/>
        <w:ind w:left="1" w:firstLine="523" w:firstLineChars="218"/>
        <w:rPr>
          <w:rFonts w:ascii="宋体" w:hAnsi="宋体"/>
          <w:bCs/>
          <w:sz w:val="24"/>
        </w:rPr>
      </w:pPr>
      <w:r>
        <w:rPr>
          <w:rFonts w:hint="eastAsia" w:ascii="宋体" w:hAnsi="宋体"/>
          <w:bCs/>
          <w:sz w:val="24"/>
        </w:rPr>
        <w:t>招标人或者招标代理机构可以对已发出的招标文件进行必要的澄清或者修改，但不得改变采购标的和资格条件。澄清或者修改应当在</w:t>
      </w:r>
      <w:r>
        <w:rPr>
          <w:rFonts w:hint="eastAsia" w:ascii="宋体" w:hAnsi="宋体"/>
          <w:sz w:val="24"/>
        </w:rPr>
        <w:t>无锡市政府采购网、江苏省政府采购网、中国政府采购网</w:t>
      </w:r>
      <w:r>
        <w:rPr>
          <w:rFonts w:hint="eastAsia" w:ascii="宋体" w:hAnsi="宋体"/>
          <w:bCs/>
          <w:sz w:val="24"/>
        </w:rPr>
        <w:t>上发布澄清公告。澄清或者修改的内容为招标文件的组成部分，</w:t>
      </w:r>
      <w:r>
        <w:rPr>
          <w:rFonts w:hint="eastAsia" w:ascii="宋体" w:hAnsi="宋体"/>
          <w:sz w:val="24"/>
        </w:rPr>
        <w:t>投标人应立即以书面形式回复普信国际工程咨询有限公司，确认已收到修改文件</w:t>
      </w:r>
      <w:r>
        <w:rPr>
          <w:rFonts w:hint="eastAsia" w:ascii="宋体" w:hAnsi="宋体"/>
          <w:bCs/>
          <w:sz w:val="24"/>
        </w:rPr>
        <w:t>。</w:t>
      </w:r>
    </w:p>
    <w:p>
      <w:pPr>
        <w:numPr>
          <w:ilvl w:val="0"/>
          <w:numId w:val="15"/>
        </w:numPr>
        <w:tabs>
          <w:tab w:val="left" w:pos="525"/>
          <w:tab w:val="left" w:pos="945"/>
          <w:tab w:val="clear" w:pos="898"/>
        </w:tabs>
        <w:spacing w:line="360" w:lineRule="auto"/>
        <w:ind w:left="1" w:firstLine="523" w:firstLineChars="218"/>
        <w:rPr>
          <w:rFonts w:ascii="宋体" w:hAnsi="宋体"/>
          <w:bCs/>
          <w:sz w:val="24"/>
        </w:rPr>
      </w:pPr>
      <w:r>
        <w:rPr>
          <w:rFonts w:hint="eastAsia" w:ascii="宋体" w:hAnsi="宋体"/>
          <w:bCs/>
          <w:sz w:val="24"/>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0"/>
          <w:numId w:val="13"/>
        </w:numPr>
        <w:spacing w:line="360" w:lineRule="auto"/>
        <w:rPr>
          <w:rFonts w:ascii="黑体" w:hAnsi="宋体" w:eastAsia="黑体"/>
          <w:bCs/>
          <w:sz w:val="24"/>
        </w:rPr>
      </w:pPr>
      <w:r>
        <w:rPr>
          <w:rFonts w:hint="eastAsia" w:ascii="黑体" w:hAnsi="宋体" w:eastAsia="黑体"/>
          <w:bCs/>
          <w:sz w:val="24"/>
        </w:rPr>
        <w:t>投标文件的组成：</w:t>
      </w:r>
    </w:p>
    <w:p>
      <w:pPr>
        <w:spacing w:line="360" w:lineRule="auto"/>
        <w:ind w:firstLine="361" w:firstLineChars="150"/>
        <w:rPr>
          <w:rFonts w:ascii="宋体" w:hAnsi="宋体"/>
          <w:b/>
          <w:bCs/>
          <w:sz w:val="24"/>
        </w:rPr>
      </w:pPr>
      <w:r>
        <w:rPr>
          <w:rFonts w:hint="eastAsia" w:ascii="宋体" w:hAnsi="宋体"/>
          <w:b/>
          <w:bCs/>
          <w:sz w:val="24"/>
        </w:rPr>
        <w:t>投标文件分为明标和暗标两部分，明标由证明文件、响应函两部分组成，暗标为技术文件部分（单独成册）。另附电子光盘两张，明标部分一张光盘，暗标部分一张光盘。</w:t>
      </w:r>
    </w:p>
    <w:p>
      <w:pPr>
        <w:spacing w:line="360" w:lineRule="auto"/>
        <w:ind w:firstLine="602" w:firstLineChars="250"/>
        <w:rPr>
          <w:rFonts w:ascii="黑体" w:hAnsi="宋体" w:eastAsia="黑体"/>
          <w:bCs/>
          <w:sz w:val="24"/>
        </w:rPr>
      </w:pPr>
      <w:r>
        <w:rPr>
          <w:rFonts w:hint="eastAsia" w:ascii="宋体" w:hAnsi="宋体"/>
          <w:b/>
          <w:bCs/>
          <w:sz w:val="24"/>
        </w:rPr>
        <w:t>明标部分：</w:t>
      </w:r>
    </w:p>
    <w:p>
      <w:pPr>
        <w:spacing w:line="430" w:lineRule="exact"/>
        <w:ind w:firstLine="482" w:firstLineChars="200"/>
        <w:rPr>
          <w:rFonts w:ascii="宋体" w:hAnsi="宋体"/>
          <w:b/>
          <w:sz w:val="24"/>
        </w:rPr>
      </w:pPr>
      <w:r>
        <w:rPr>
          <w:rFonts w:hint="eastAsia" w:ascii="宋体" w:hAnsi="宋体"/>
          <w:b/>
          <w:sz w:val="24"/>
        </w:rPr>
        <w:t>1.证明文件部分：</w:t>
      </w:r>
    </w:p>
    <w:p>
      <w:pPr>
        <w:spacing w:line="360" w:lineRule="auto"/>
        <w:ind w:left="630"/>
        <w:rPr>
          <w:rFonts w:ascii="宋体" w:hAnsi="宋体"/>
          <w:sz w:val="24"/>
        </w:rPr>
      </w:pPr>
      <w:r>
        <w:rPr>
          <w:rFonts w:hint="eastAsia" w:ascii="宋体" w:hAnsi="宋体"/>
          <w:sz w:val="24"/>
        </w:rPr>
        <w:t>第一部分：资格证明文件</w:t>
      </w:r>
    </w:p>
    <w:p>
      <w:pPr>
        <w:numPr>
          <w:ilvl w:val="0"/>
          <w:numId w:val="16"/>
        </w:numPr>
        <w:tabs>
          <w:tab w:val="left" w:pos="525"/>
          <w:tab w:val="left" w:pos="945"/>
        </w:tabs>
        <w:spacing w:line="360" w:lineRule="auto"/>
        <w:ind w:left="0" w:firstLine="523" w:firstLineChars="218"/>
        <w:rPr>
          <w:rFonts w:ascii="宋体" w:hAnsi="宋体"/>
          <w:bCs/>
          <w:sz w:val="24"/>
        </w:rPr>
      </w:pPr>
      <w:r>
        <w:rPr>
          <w:rFonts w:hint="eastAsia" w:ascii="宋体" w:hAnsi="宋体"/>
          <w:bCs/>
          <w:sz w:val="24"/>
        </w:rPr>
        <w:t>资格、资信证明文件：</w:t>
      </w:r>
    </w:p>
    <w:p>
      <w:pPr>
        <w:tabs>
          <w:tab w:val="left" w:pos="525"/>
          <w:tab w:val="left" w:pos="945"/>
        </w:tabs>
        <w:spacing w:line="360" w:lineRule="auto"/>
        <w:ind w:left="458" w:leftChars="218"/>
        <w:rPr>
          <w:rFonts w:ascii="宋体" w:hAnsi="宋体"/>
          <w:bCs/>
          <w:sz w:val="24"/>
        </w:rPr>
      </w:pPr>
      <w:r>
        <w:rPr>
          <w:rFonts w:hint="eastAsia" w:ascii="宋体" w:hAnsi="宋体"/>
          <w:bCs/>
          <w:sz w:val="24"/>
        </w:rPr>
        <w:t>（1）关于资格的声明函（</w:t>
      </w:r>
      <w:r>
        <w:rPr>
          <w:rFonts w:hint="eastAsia" w:ascii="宋体" w:hAnsi="宋体"/>
          <w:b/>
          <w:bCs/>
          <w:sz w:val="24"/>
        </w:rPr>
        <w:t>格式见附件</w:t>
      </w:r>
      <w:r>
        <w:rPr>
          <w:rFonts w:hint="eastAsia" w:ascii="宋体" w:hAnsi="宋体"/>
          <w:bCs/>
          <w:sz w:val="24"/>
        </w:rPr>
        <w:t>）</w:t>
      </w:r>
    </w:p>
    <w:p>
      <w:pPr>
        <w:tabs>
          <w:tab w:val="left" w:pos="1276"/>
        </w:tabs>
        <w:spacing w:line="360" w:lineRule="auto"/>
        <w:ind w:firstLine="480" w:firstLineChars="200"/>
        <w:rPr>
          <w:rFonts w:ascii="宋体" w:hAnsi="宋体"/>
          <w:bCs/>
          <w:sz w:val="24"/>
        </w:rPr>
      </w:pPr>
      <w:r>
        <w:rPr>
          <w:rFonts w:hint="eastAsia" w:ascii="宋体" w:hAnsi="宋体"/>
          <w:bCs/>
          <w:sz w:val="24"/>
        </w:rPr>
        <w:t>（2）法人或者其他组织提供具有独立承担民事责任能力的报价供应商营业执照副本或相关部门的登记证明文件复印件、税务登记证复印件（注：已办理三证合一的，可提供三证合一后的营业执照副本）；自然人提供自然人的身份证明；</w:t>
      </w:r>
      <w:r>
        <w:rPr>
          <w:rFonts w:hint="eastAsia" w:hAnsi="宋体"/>
          <w:b/>
          <w:sz w:val="24"/>
        </w:rPr>
        <w:t>（投标时提供原件或公证件）</w:t>
      </w:r>
      <w:r>
        <w:rPr>
          <w:rFonts w:hint="eastAsia" w:ascii="宋体" w:hAnsi="宋体"/>
          <w:bCs/>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（3）投标人法定代表人授权委托书</w:t>
      </w:r>
      <w:r>
        <w:rPr>
          <w:rFonts w:hint="eastAsia" w:ascii="宋体" w:hAnsi="宋体"/>
          <w:sz w:val="24"/>
        </w:rPr>
        <w:t>（</w:t>
      </w:r>
      <w:r>
        <w:rPr>
          <w:rFonts w:hint="eastAsia" w:ascii="宋体" w:hAnsi="宋体"/>
          <w:b/>
          <w:bCs/>
          <w:sz w:val="24"/>
        </w:rPr>
        <w:t>格式见附件，法定代表人亲自参加报价的除外</w:t>
      </w:r>
      <w:r>
        <w:rPr>
          <w:rFonts w:hint="eastAsia" w:ascii="宋体" w:hAnsi="宋体"/>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（4）投标人法定代表人身份证复印件；</w:t>
      </w:r>
    </w:p>
    <w:p>
      <w:pPr>
        <w:tabs>
          <w:tab w:val="left" w:pos="420"/>
          <w:tab w:val="left" w:pos="1155"/>
        </w:tabs>
        <w:spacing w:line="360" w:lineRule="auto"/>
        <w:ind w:left="630"/>
        <w:rPr>
          <w:rFonts w:ascii="宋体" w:hAnsi="宋体"/>
          <w:bCs/>
          <w:sz w:val="24"/>
        </w:rPr>
      </w:pPr>
      <w:r>
        <w:rPr>
          <w:rFonts w:hint="eastAsia" w:ascii="宋体" w:hAnsi="宋体"/>
          <w:bCs/>
          <w:sz w:val="24"/>
        </w:rPr>
        <w:t>（5）投标人法定代表人授权代表身份证复印件（法定代表人亲自参加</w:t>
      </w:r>
      <w:r>
        <w:rPr>
          <w:rFonts w:hint="eastAsia" w:ascii="宋体" w:hAnsi="宋体"/>
          <w:bCs/>
          <w:sz w:val="24"/>
          <w:lang w:val="en-US" w:eastAsia="zh-CN"/>
        </w:rPr>
        <w:t>投标</w:t>
      </w:r>
      <w:r>
        <w:rPr>
          <w:rFonts w:hint="eastAsia" w:ascii="宋体" w:hAnsi="宋体"/>
          <w:bCs/>
          <w:sz w:val="24"/>
        </w:rPr>
        <w:t>的除外）；</w:t>
      </w:r>
    </w:p>
    <w:p>
      <w:pPr>
        <w:tabs>
          <w:tab w:val="left" w:pos="420"/>
          <w:tab w:val="left" w:pos="1155"/>
        </w:tabs>
        <w:spacing w:line="360" w:lineRule="auto"/>
        <w:ind w:left="630"/>
        <w:rPr>
          <w:rFonts w:ascii="宋体" w:hAnsi="宋体"/>
          <w:bCs/>
          <w:sz w:val="24"/>
        </w:rPr>
      </w:pPr>
      <w:r>
        <w:rPr>
          <w:rFonts w:hint="eastAsia" w:ascii="宋体" w:hAnsi="宋体"/>
          <w:bCs/>
          <w:sz w:val="24"/>
        </w:rPr>
        <w:t>（6）投标人近三个月中任意一个月份(不含投标当月) 的财务状况报告（资产负债表和利润表）或由会计师事务所出具的近两年任意一个年度的审计报告复印件加盖公章；</w:t>
      </w:r>
    </w:p>
    <w:p>
      <w:pPr>
        <w:tabs>
          <w:tab w:val="left" w:pos="420"/>
          <w:tab w:val="left" w:pos="1155"/>
        </w:tabs>
        <w:spacing w:line="360" w:lineRule="auto"/>
        <w:ind w:left="630"/>
        <w:rPr>
          <w:rFonts w:ascii="宋体" w:hAnsi="宋体"/>
          <w:bCs/>
          <w:sz w:val="24"/>
        </w:rPr>
      </w:pPr>
      <w:r>
        <w:rPr>
          <w:rFonts w:hint="eastAsia" w:ascii="宋体" w:hAnsi="宋体"/>
          <w:bCs/>
          <w:sz w:val="24"/>
        </w:rPr>
        <w:t>（7）投标人近三个月中任意一个月份(不含投标当月) 的依法缴纳税收的相关材料（提供相关主管部门证明或银行代扣证明）复印件；</w:t>
      </w:r>
    </w:p>
    <w:p>
      <w:pPr>
        <w:tabs>
          <w:tab w:val="left" w:pos="420"/>
          <w:tab w:val="left" w:pos="1155"/>
        </w:tabs>
        <w:spacing w:line="360" w:lineRule="auto"/>
        <w:ind w:left="630"/>
        <w:rPr>
          <w:rFonts w:ascii="宋体" w:hAnsi="宋体"/>
          <w:sz w:val="24"/>
        </w:rPr>
      </w:pPr>
      <w:r>
        <w:rPr>
          <w:rFonts w:hint="eastAsia" w:ascii="宋体" w:hAnsi="宋体"/>
          <w:bCs/>
          <w:sz w:val="24"/>
        </w:rPr>
        <w:t>（8）投标人近三个月中任意一个月份(不含投标当月)的依法</w:t>
      </w:r>
      <w:r>
        <w:rPr>
          <w:rFonts w:ascii="宋体" w:hAnsi="宋体"/>
          <w:bCs/>
          <w:sz w:val="24"/>
        </w:rPr>
        <w:t>缴纳</w:t>
      </w:r>
      <w:r>
        <w:rPr>
          <w:rFonts w:hint="eastAsia" w:ascii="宋体" w:hAnsi="宋体"/>
          <w:bCs/>
          <w:sz w:val="24"/>
        </w:rPr>
        <w:t>社会保障资金的相关材料（提供相关主管部门证明或银行代扣证明）复印件；</w:t>
      </w:r>
    </w:p>
    <w:p>
      <w:pPr>
        <w:tabs>
          <w:tab w:val="left" w:pos="420"/>
          <w:tab w:val="left" w:pos="1155"/>
        </w:tabs>
        <w:spacing w:line="360" w:lineRule="auto"/>
        <w:ind w:left="630"/>
        <w:rPr>
          <w:rFonts w:hint="eastAsia" w:ascii="宋体" w:hAnsi="宋体" w:eastAsia="宋体"/>
          <w:b/>
          <w:bCs/>
          <w:sz w:val="24"/>
          <w:lang w:eastAsia="zh-CN"/>
        </w:rPr>
      </w:pPr>
      <w:r>
        <w:rPr>
          <w:rFonts w:hint="eastAsia" w:ascii="宋体" w:hAnsi="宋体"/>
          <w:sz w:val="24"/>
        </w:rPr>
        <w:t>（9）被授权代表、项目负责人与企业签订的劳动合同和养老保险证明（《职工养老保险手册》（内附2022年</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rPr>
        <w:t>月至2022年</w:t>
      </w:r>
      <w:r>
        <w:rPr>
          <w:rFonts w:hint="eastAsia" w:ascii="宋体" w:hAnsi="宋体"/>
          <w:sz w:val="24"/>
          <w:u w:val="single"/>
          <w:lang w:val="en-US" w:eastAsia="zh-CN"/>
        </w:rPr>
        <w:t>7</w:t>
      </w:r>
      <w:r>
        <w:rPr>
          <w:rFonts w:hint="eastAsia" w:ascii="宋体" w:hAnsi="宋体"/>
          <w:sz w:val="24"/>
        </w:rPr>
        <w:t>月的缴费清单）或由社保机构出具的2022年</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月至2022年</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rPr>
        <w:t>月的缴费证明）复印件；</w:t>
      </w:r>
      <w:r>
        <w:rPr>
          <w:rFonts w:hint="eastAsia" w:ascii="宋体" w:hAnsi="宋体"/>
          <w:b/>
          <w:bCs/>
          <w:sz w:val="24"/>
        </w:rPr>
        <w:t>（网上查询带有二维码/验证码的打印件可做原件使用,如投标供应商成立时间迟于要求开始的时间，则提供成立时间至采购文件中社保要求的截止时间内的社保缴费证明）</w:t>
      </w:r>
    </w:p>
    <w:p>
      <w:pPr>
        <w:tabs>
          <w:tab w:val="left" w:pos="420"/>
          <w:tab w:val="left" w:pos="1155"/>
        </w:tabs>
        <w:spacing w:line="360" w:lineRule="auto"/>
        <w:ind w:left="630"/>
        <w:rPr>
          <w:rFonts w:ascii="宋体" w:hAnsi="宋体"/>
          <w:bCs/>
          <w:sz w:val="24"/>
        </w:rPr>
      </w:pPr>
      <w:r>
        <w:rPr>
          <w:rFonts w:hint="eastAsia" w:ascii="宋体" w:hAnsi="宋体"/>
          <w:bCs/>
          <w:sz w:val="24"/>
        </w:rPr>
        <w:t>（10）承诺书（</w:t>
      </w:r>
      <w:r>
        <w:rPr>
          <w:rFonts w:hint="eastAsia" w:ascii="宋体" w:hAnsi="宋体"/>
          <w:b/>
          <w:bCs/>
          <w:sz w:val="24"/>
        </w:rPr>
        <w:t>格式见附件</w:t>
      </w:r>
      <w:r>
        <w:rPr>
          <w:rFonts w:hint="eastAsia" w:ascii="宋体" w:hAnsi="宋体"/>
          <w:bCs/>
          <w:sz w:val="24"/>
        </w:rPr>
        <w:t>）。</w:t>
      </w:r>
    </w:p>
    <w:p>
      <w:pPr>
        <w:tabs>
          <w:tab w:val="left" w:pos="420"/>
          <w:tab w:val="left" w:pos="945"/>
          <w:tab w:val="left" w:pos="1155"/>
        </w:tabs>
        <w:spacing w:line="360" w:lineRule="auto"/>
        <w:ind w:left="141" w:leftChars="67" w:firstLine="480" w:firstLineChars="200"/>
        <w:rPr>
          <w:rFonts w:ascii="Tahoma" w:hAnsi="Tahoma" w:cs="Tahoma"/>
          <w:sz w:val="24"/>
        </w:rPr>
      </w:pPr>
      <w:r>
        <w:rPr>
          <w:rFonts w:ascii="Tahoma" w:hAnsi="Tahoma" w:cs="Tahoma"/>
          <w:sz w:val="24"/>
        </w:rPr>
        <w:t>*注：</w:t>
      </w:r>
      <w:r>
        <w:rPr>
          <w:rFonts w:hint="eastAsia" w:ascii="Tahoma" w:hAnsi="Tahoma" w:cs="Tahoma"/>
          <w:sz w:val="24"/>
        </w:rPr>
        <w:t>投标人</w:t>
      </w:r>
      <w:r>
        <w:rPr>
          <w:rFonts w:ascii="Tahoma" w:hAnsi="Tahoma" w:cs="Tahoma"/>
          <w:sz w:val="24"/>
        </w:rPr>
        <w:t>已按《无锡市政府采购供应商注册登记管理办法》（锡财购〔2012〕3号）文件要求入供应商库的，可注册入库（详见</w:t>
      </w:r>
      <w:r>
        <w:rPr>
          <w:rFonts w:ascii="Tahoma" w:hAnsi="Tahoma" w:cs="Tahoma"/>
          <w:sz w:val="24"/>
        </w:rPr>
        <w:drawing>
          <wp:inline distT="0" distB="0" distL="0" distR="0">
            <wp:extent cx="190500" cy="142875"/>
            <wp:effectExtent l="19050" t="0" r="0" b="0"/>
            <wp:docPr id="5"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GJ$ACOF(TYDYECOKVDYB"/>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ahoma" w:hAnsi="Tahoma" w:cs="Tahoma"/>
          <w:sz w:val="24"/>
        </w:rPr>
        <w:drawing>
          <wp:inline distT="0" distB="0" distL="0" distR="0">
            <wp:extent cx="190500" cy="142875"/>
            <wp:effectExtent l="19050" t="0" r="0" b="0"/>
            <wp:docPr id="4"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GJ$ACOF(TYDYECOKVDYB"/>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ahoma" w:hAnsi="Tahoma" w:cs="Tahoma"/>
          <w:sz w:val="24"/>
        </w:rPr>
        <w:t>http://cz.wuxi.gov.cn/doc /2012/10/11/51585.shtml）成功后，从网上下载打印《无锡市政府采购注册供应商资格信息登记表》（以下简称信息登记表），并经法定代表人签字和加盖公章后,可作为供应商投标文件的有效组成部分提交</w:t>
      </w:r>
      <w:r>
        <w:rPr>
          <w:rFonts w:hint="eastAsia" w:ascii="Tahoma" w:hAnsi="Tahoma" w:cs="Tahoma"/>
          <w:sz w:val="24"/>
        </w:rPr>
        <w:t>招标代理</w:t>
      </w:r>
      <w:r>
        <w:rPr>
          <w:rFonts w:ascii="Tahoma" w:hAnsi="Tahoma" w:cs="Tahoma"/>
          <w:sz w:val="24"/>
        </w:rPr>
        <w:t>机构。信息登记表所记录的信息如能反映投标人具备对应资格条件项的，在本项目评审时，可凭信息登记表免于提供相应的资格证明材料的原件或公证件，否则必须按要求提供相应的资格</w:t>
      </w:r>
      <w:r>
        <w:rPr>
          <w:rFonts w:hint="eastAsia" w:ascii="Tahoma" w:hAnsi="Tahoma" w:cs="Tahoma"/>
          <w:sz w:val="24"/>
        </w:rPr>
        <w:t>、资信</w:t>
      </w:r>
      <w:r>
        <w:rPr>
          <w:rFonts w:ascii="Tahoma" w:hAnsi="Tahoma" w:cs="Tahoma"/>
          <w:sz w:val="24"/>
        </w:rPr>
        <w:t>证明材料原件或公证件来予以证明。</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（1）投标人简介和经营情况说明；</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（2）投标人认为有必要提供的其他证明材料（参照评分标准要求）；</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（3）如是中小企业的，提供《中小企业声明函》；（格式见附件）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（4）残疾人福利性单位声明函；（供应商为残疾人福利性单位的必须提供，格式见附件）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（5）由省级以上监狱管理局、戒毒管理局出具的属于监狱企业的证明文件；（如是）</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6）《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numPr>
          <w:ilvl w:val="0"/>
          <w:numId w:val="16"/>
        </w:numPr>
        <w:tabs>
          <w:tab w:val="left" w:pos="525"/>
          <w:tab w:val="left" w:pos="945"/>
        </w:tabs>
        <w:spacing w:line="360" w:lineRule="auto"/>
        <w:ind w:left="0" w:firstLine="523" w:firstLineChars="218"/>
        <w:rPr>
          <w:rFonts w:ascii="宋体" w:hAnsi="宋体"/>
          <w:bCs/>
          <w:sz w:val="24"/>
        </w:rPr>
      </w:pPr>
      <w:r>
        <w:rPr>
          <w:rFonts w:hint="eastAsia" w:ascii="宋体" w:hAnsi="宋体"/>
          <w:bCs/>
          <w:sz w:val="24"/>
        </w:rPr>
        <w:t>投标函部分：</w:t>
      </w:r>
    </w:p>
    <w:p>
      <w:pPr>
        <w:widowControl/>
        <w:tabs>
          <w:tab w:val="left" w:pos="1155"/>
        </w:tabs>
        <w:spacing w:line="360" w:lineRule="auto"/>
        <w:ind w:left="420"/>
        <w:jc w:val="left"/>
        <w:rPr>
          <w:rFonts w:ascii="宋体" w:hAnsi="宋体" w:cs="宋体"/>
          <w:kern w:val="0"/>
          <w:sz w:val="24"/>
        </w:rPr>
      </w:pPr>
      <w:r>
        <w:rPr>
          <w:rFonts w:hint="eastAsia" w:ascii="宋体" w:hAnsi="宋体" w:cs="宋体"/>
          <w:kern w:val="0"/>
          <w:sz w:val="24"/>
        </w:rPr>
        <w:t>（1）投标函</w:t>
      </w:r>
      <w:r>
        <w:rPr>
          <w:rFonts w:hint="eastAsia" w:ascii="宋体" w:hAnsi="宋体"/>
          <w:bCs/>
          <w:sz w:val="24"/>
        </w:rPr>
        <w:t>（格式见附件）</w:t>
      </w:r>
    </w:p>
    <w:p>
      <w:pPr>
        <w:tabs>
          <w:tab w:val="left" w:pos="525"/>
          <w:tab w:val="left" w:pos="945"/>
        </w:tabs>
        <w:spacing w:line="360" w:lineRule="auto"/>
        <w:ind w:left="420"/>
        <w:rPr>
          <w:rFonts w:ascii="宋体" w:hAnsi="宋体"/>
          <w:bCs/>
          <w:sz w:val="24"/>
        </w:rPr>
      </w:pPr>
      <w:r>
        <w:rPr>
          <w:rFonts w:hint="eastAsia" w:ascii="宋体" w:hAnsi="宋体"/>
          <w:bCs/>
          <w:sz w:val="24"/>
        </w:rPr>
        <w:t>（2）投标人基本状况一览表（</w:t>
      </w:r>
      <w:r>
        <w:rPr>
          <w:rFonts w:hint="eastAsia" w:ascii="宋体" w:hAnsi="宋体"/>
          <w:b/>
          <w:bCs/>
          <w:sz w:val="24"/>
        </w:rPr>
        <w:t>格式见附件</w:t>
      </w:r>
      <w:r>
        <w:rPr>
          <w:rFonts w:hint="eastAsia" w:ascii="宋体" w:hAnsi="宋体"/>
          <w:bCs/>
          <w:sz w:val="24"/>
        </w:rPr>
        <w:t>）</w:t>
      </w:r>
    </w:p>
    <w:p>
      <w:pPr>
        <w:tabs>
          <w:tab w:val="left" w:pos="525"/>
          <w:tab w:val="left" w:pos="945"/>
        </w:tabs>
        <w:spacing w:line="360" w:lineRule="auto"/>
        <w:ind w:left="420"/>
        <w:rPr>
          <w:rFonts w:ascii="宋体" w:hAnsi="宋体"/>
          <w:bCs/>
          <w:sz w:val="24"/>
        </w:rPr>
      </w:pPr>
      <w:r>
        <w:rPr>
          <w:rFonts w:hint="eastAsia" w:ascii="宋体" w:hAnsi="宋体"/>
          <w:bCs/>
          <w:sz w:val="24"/>
        </w:rPr>
        <w:t>（3）开标一览表（格式见附件）</w:t>
      </w:r>
    </w:p>
    <w:p>
      <w:pPr>
        <w:tabs>
          <w:tab w:val="left" w:pos="525"/>
          <w:tab w:val="left" w:pos="945"/>
        </w:tabs>
        <w:spacing w:line="360" w:lineRule="auto"/>
        <w:ind w:left="420"/>
        <w:rPr>
          <w:rFonts w:ascii="宋体" w:hAnsi="宋体"/>
          <w:bCs/>
          <w:sz w:val="24"/>
        </w:rPr>
      </w:pPr>
      <w:r>
        <w:rPr>
          <w:rFonts w:hint="eastAsia" w:ascii="宋体" w:hAnsi="宋体"/>
          <w:bCs/>
          <w:sz w:val="24"/>
        </w:rPr>
        <w:t>（4）报价细目表。</w:t>
      </w:r>
    </w:p>
    <w:p>
      <w:pPr>
        <w:tabs>
          <w:tab w:val="left" w:pos="525"/>
          <w:tab w:val="left" w:pos="945"/>
        </w:tabs>
        <w:spacing w:line="360" w:lineRule="auto"/>
        <w:ind w:left="420"/>
        <w:rPr>
          <w:rFonts w:ascii="宋体" w:hAnsi="宋体"/>
          <w:bCs/>
          <w:sz w:val="24"/>
        </w:rPr>
      </w:pPr>
      <w:r>
        <w:rPr>
          <w:rFonts w:hint="eastAsia" w:ascii="宋体" w:hAnsi="宋体"/>
          <w:bCs/>
          <w:sz w:val="24"/>
        </w:rPr>
        <w:t>（5）人员配置情况：人员配置表及拟派项目负责人简历表（格式见附件）。</w:t>
      </w:r>
    </w:p>
    <w:p>
      <w:pPr>
        <w:tabs>
          <w:tab w:val="left" w:pos="525"/>
          <w:tab w:val="left" w:pos="945"/>
        </w:tabs>
        <w:spacing w:line="360" w:lineRule="auto"/>
        <w:ind w:left="420"/>
        <w:rPr>
          <w:rFonts w:ascii="宋体" w:hAnsi="宋体"/>
          <w:bCs/>
          <w:sz w:val="24"/>
        </w:rPr>
      </w:pPr>
      <w:r>
        <w:rPr>
          <w:rFonts w:hint="eastAsia" w:ascii="宋体" w:hAnsi="宋体"/>
          <w:bCs/>
          <w:sz w:val="24"/>
        </w:rPr>
        <w:t>（6）服务保障承诺书。</w:t>
      </w:r>
    </w:p>
    <w:p>
      <w:pPr>
        <w:tabs>
          <w:tab w:val="left" w:pos="525"/>
          <w:tab w:val="left" w:pos="945"/>
        </w:tabs>
        <w:spacing w:line="360" w:lineRule="auto"/>
        <w:ind w:left="420"/>
        <w:rPr>
          <w:rFonts w:ascii="宋体" w:hAnsi="宋体"/>
          <w:bCs/>
          <w:sz w:val="24"/>
        </w:rPr>
      </w:pPr>
      <w:r>
        <w:rPr>
          <w:rFonts w:hint="eastAsia" w:ascii="宋体" w:hAnsi="宋体"/>
          <w:bCs/>
          <w:sz w:val="24"/>
        </w:rPr>
        <w:t>（7）其它</w:t>
      </w:r>
      <w:r>
        <w:rPr>
          <w:rFonts w:hint="eastAsia" w:ascii="宋体" w:hAnsi="宋体"/>
          <w:b/>
          <w:bCs/>
          <w:sz w:val="24"/>
        </w:rPr>
        <w:t>（投标人认为有必要提供的声明和文件，如有自拟并自行添加）</w:t>
      </w:r>
    </w:p>
    <w:p>
      <w:pPr>
        <w:spacing w:line="430" w:lineRule="exact"/>
        <w:ind w:firstLine="482" w:firstLineChars="200"/>
        <w:rPr>
          <w:rFonts w:ascii="宋体" w:hAnsi="宋体"/>
          <w:b/>
          <w:bCs/>
          <w:sz w:val="24"/>
        </w:rPr>
      </w:pPr>
      <w:r>
        <w:rPr>
          <w:rFonts w:ascii="宋体" w:hAnsi="宋体"/>
          <w:b/>
          <w:bCs/>
          <w:sz w:val="24"/>
        </w:rPr>
        <w:t>暗标部分</w:t>
      </w:r>
      <w:r>
        <w:rPr>
          <w:rFonts w:hint="eastAsia" w:ascii="宋体" w:hAnsi="宋体"/>
          <w:b/>
          <w:bCs/>
          <w:sz w:val="24"/>
        </w:rPr>
        <w:t>：</w:t>
      </w:r>
    </w:p>
    <w:p>
      <w:pPr>
        <w:spacing w:line="430" w:lineRule="exact"/>
        <w:ind w:firstLine="480" w:firstLineChars="200"/>
        <w:rPr>
          <w:rFonts w:ascii="宋体" w:hAnsi="宋体"/>
          <w:sz w:val="24"/>
        </w:rPr>
      </w:pPr>
      <w:r>
        <w:rPr>
          <w:rFonts w:hint="eastAsia" w:ascii="宋体" w:hAnsi="宋体"/>
          <w:sz w:val="24"/>
        </w:rPr>
        <w:t>3.技术标的组成：</w:t>
      </w:r>
    </w:p>
    <w:p>
      <w:pPr>
        <w:spacing w:line="360" w:lineRule="auto"/>
        <w:ind w:firstLine="480" w:firstLineChars="200"/>
        <w:rPr>
          <w:rFonts w:ascii="宋体" w:hAnsi="宋体"/>
          <w:bCs/>
          <w:sz w:val="24"/>
        </w:rPr>
      </w:pPr>
      <w:r>
        <w:rPr>
          <w:rFonts w:hint="eastAsia" w:ascii="宋体" w:hAnsi="宋体"/>
          <w:bCs/>
          <w:sz w:val="24"/>
        </w:rPr>
        <w:t>3.1 封面</w:t>
      </w:r>
    </w:p>
    <w:p>
      <w:pPr>
        <w:spacing w:line="360" w:lineRule="auto"/>
        <w:ind w:firstLine="480" w:firstLineChars="200"/>
        <w:rPr>
          <w:rFonts w:ascii="宋体" w:hAnsi="宋体"/>
          <w:bCs/>
          <w:sz w:val="24"/>
        </w:rPr>
      </w:pPr>
      <w:r>
        <w:rPr>
          <w:rFonts w:hint="eastAsia" w:ascii="宋体" w:hAnsi="宋体"/>
          <w:bCs/>
          <w:sz w:val="24"/>
        </w:rPr>
        <w:t>3.2 技术标目录</w:t>
      </w:r>
    </w:p>
    <w:p>
      <w:pPr>
        <w:spacing w:line="360" w:lineRule="auto"/>
        <w:ind w:firstLine="480" w:firstLineChars="200"/>
        <w:rPr>
          <w:rFonts w:ascii="宋体" w:hAnsi="宋体"/>
          <w:bCs/>
          <w:sz w:val="24"/>
        </w:rPr>
      </w:pPr>
      <w:r>
        <w:rPr>
          <w:rFonts w:hint="eastAsia" w:ascii="宋体" w:hAnsi="宋体"/>
          <w:bCs/>
          <w:sz w:val="24"/>
        </w:rPr>
        <w:t xml:space="preserve">3.3暗标 </w:t>
      </w:r>
    </w:p>
    <w:p>
      <w:pPr>
        <w:tabs>
          <w:tab w:val="left" w:pos="840"/>
          <w:tab w:val="left" w:pos="1050"/>
        </w:tabs>
        <w:spacing w:line="360" w:lineRule="auto"/>
        <w:ind w:firstLine="480" w:firstLineChars="200"/>
        <w:rPr>
          <w:rFonts w:hint="eastAsia" w:ascii="宋体" w:hAnsi="宋体"/>
          <w:sz w:val="24"/>
        </w:rPr>
      </w:pPr>
      <w:r>
        <w:rPr>
          <w:rFonts w:hint="eastAsia" w:ascii="宋体" w:hAnsi="宋体"/>
          <w:sz w:val="24"/>
        </w:rPr>
        <w:t>3.3.1开展第三方测评工作的重点，难点及对策的分析</w:t>
      </w:r>
    </w:p>
    <w:p>
      <w:pPr>
        <w:tabs>
          <w:tab w:val="left" w:pos="840"/>
          <w:tab w:val="left" w:pos="105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.2.2生活垃圾测评工作措施方案</w:t>
      </w:r>
    </w:p>
    <w:p>
      <w:pPr>
        <w:tabs>
          <w:tab w:val="left" w:pos="840"/>
          <w:tab w:val="left" w:pos="105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 xml:space="preserve">.2.3项目组工作人员的培训方案                  </w:t>
      </w:r>
    </w:p>
    <w:p>
      <w:pPr>
        <w:tabs>
          <w:tab w:val="left" w:pos="840"/>
          <w:tab w:val="left" w:pos="105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 xml:space="preserve">.2.4其他优化措施及后续服务承诺（围绕采购需求和市城管局考核办法）  </w:t>
      </w:r>
    </w:p>
    <w:p>
      <w:pPr>
        <w:tabs>
          <w:tab w:val="left" w:pos="840"/>
          <w:tab w:val="left" w:pos="105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 xml:space="preserve">.2.5服务于本项目的《城市生活垃圾分类第三方测评手册》        </w:t>
      </w:r>
      <w:r>
        <w:rPr>
          <w:rFonts w:hint="eastAsia" w:ascii="宋体" w:hAnsi="宋体"/>
          <w:bCs/>
          <w:sz w:val="24"/>
        </w:rPr>
        <w:t xml:space="preserve">        </w:t>
      </w:r>
      <w:r>
        <w:rPr>
          <w:rFonts w:hint="eastAsia"/>
          <w:szCs w:val="21"/>
        </w:rPr>
        <w:t xml:space="preserve">                        </w:t>
      </w:r>
    </w:p>
    <w:p>
      <w:pPr>
        <w:numPr>
          <w:ilvl w:val="0"/>
          <w:numId w:val="13"/>
        </w:numPr>
        <w:spacing w:line="360" w:lineRule="auto"/>
        <w:rPr>
          <w:rFonts w:ascii="黑体" w:hAnsi="宋体" w:eastAsia="黑体"/>
          <w:bCs/>
          <w:sz w:val="24"/>
        </w:rPr>
      </w:pPr>
      <w:r>
        <w:rPr>
          <w:rFonts w:hint="eastAsia" w:ascii="黑体" w:hAnsi="宋体" w:eastAsia="黑体"/>
          <w:bCs/>
          <w:sz w:val="24"/>
        </w:rPr>
        <w:t>投标文件的要求</w:t>
      </w:r>
    </w:p>
    <w:p>
      <w:pPr>
        <w:tabs>
          <w:tab w:val="left" w:pos="0"/>
        </w:tabs>
        <w:spacing w:line="430" w:lineRule="exact"/>
        <w:ind w:firstLine="480" w:firstLineChars="200"/>
        <w:rPr>
          <w:rFonts w:ascii="宋体" w:hAnsi="宋体"/>
          <w:sz w:val="24"/>
        </w:rPr>
      </w:pPr>
      <w:r>
        <w:rPr>
          <w:rFonts w:hint="eastAsia" w:ascii="宋体" w:hAnsi="宋体"/>
          <w:sz w:val="24"/>
        </w:rPr>
        <w:t>1.所有文件、往来函件均应使用简体中文（规格、型号辅助符号除外）。</w:t>
      </w:r>
    </w:p>
    <w:p>
      <w:pPr>
        <w:tabs>
          <w:tab w:val="left" w:pos="0"/>
        </w:tabs>
        <w:spacing w:line="430" w:lineRule="exact"/>
        <w:ind w:firstLine="480" w:firstLineChars="200"/>
        <w:rPr>
          <w:rFonts w:ascii="宋体" w:hAnsi="宋体"/>
          <w:sz w:val="24"/>
        </w:rPr>
      </w:pPr>
      <w:r>
        <w:rPr>
          <w:rFonts w:hint="eastAsia" w:ascii="宋体" w:hAnsi="宋体"/>
          <w:sz w:val="24"/>
        </w:rPr>
        <w:t>2.投标文件由投标供应商按给定格式如实填写（编写），须有法人（盖章）、法定代表人或法定代表人授权代表签字或盖章，方为有效，未尽事宜可自行补充。</w:t>
      </w:r>
    </w:p>
    <w:p>
      <w:pPr>
        <w:tabs>
          <w:tab w:val="left" w:pos="0"/>
        </w:tabs>
        <w:spacing w:line="430" w:lineRule="exact"/>
        <w:ind w:firstLine="480" w:firstLineChars="200"/>
        <w:rPr>
          <w:rFonts w:ascii="宋体" w:hAnsi="宋体"/>
          <w:sz w:val="24"/>
        </w:rPr>
      </w:pPr>
      <w:r>
        <w:rPr>
          <w:rFonts w:hint="eastAsia" w:ascii="宋体" w:hAnsi="宋体"/>
          <w:sz w:val="24"/>
        </w:rPr>
        <w:t>3.投标供应商报价一律以人民币为报价结算货币，结算单位为“元”。</w:t>
      </w:r>
    </w:p>
    <w:p>
      <w:pPr>
        <w:tabs>
          <w:tab w:val="left" w:pos="0"/>
        </w:tabs>
        <w:spacing w:line="430" w:lineRule="exact"/>
        <w:ind w:firstLine="480" w:firstLineChars="200"/>
        <w:rPr>
          <w:rFonts w:ascii="宋体" w:hAnsi="宋体"/>
          <w:sz w:val="24"/>
        </w:rPr>
      </w:pPr>
      <w:r>
        <w:rPr>
          <w:rFonts w:hint="eastAsia" w:ascii="宋体" w:hAnsi="宋体"/>
          <w:sz w:val="24"/>
        </w:rPr>
        <w:t>4.投标文件格式部分，应由投标供应商按给定格式提供，不得更改。</w:t>
      </w:r>
    </w:p>
    <w:p>
      <w:pPr>
        <w:tabs>
          <w:tab w:val="left" w:pos="0"/>
        </w:tabs>
        <w:spacing w:line="430" w:lineRule="exact"/>
        <w:ind w:firstLine="480" w:firstLineChars="200"/>
        <w:rPr>
          <w:rFonts w:ascii="宋体" w:hAnsi="宋体"/>
          <w:sz w:val="24"/>
        </w:rPr>
      </w:pPr>
      <w:r>
        <w:rPr>
          <w:rFonts w:hint="eastAsia" w:ascii="宋体" w:hAnsi="宋体"/>
          <w:sz w:val="24"/>
        </w:rPr>
        <w:t>5.投标文件应用不褪色的黑色墨水书写或打印。</w:t>
      </w:r>
    </w:p>
    <w:p>
      <w:pPr>
        <w:tabs>
          <w:tab w:val="left" w:pos="0"/>
        </w:tabs>
        <w:spacing w:line="430" w:lineRule="exact"/>
        <w:ind w:firstLine="480" w:firstLineChars="200"/>
        <w:jc w:val="left"/>
        <w:rPr>
          <w:rFonts w:ascii="宋体" w:hAnsi="宋体"/>
          <w:sz w:val="24"/>
        </w:rPr>
      </w:pPr>
      <w:r>
        <w:rPr>
          <w:rFonts w:hint="eastAsia" w:ascii="宋体" w:hAnsi="宋体"/>
          <w:sz w:val="24"/>
        </w:rPr>
        <w:t>6.投标文件统一采用A4纸，按照响应函格式中的顺序制作，并请编制目录及页码。</w:t>
      </w:r>
    </w:p>
    <w:p>
      <w:pPr>
        <w:tabs>
          <w:tab w:val="left" w:pos="1620"/>
        </w:tabs>
        <w:spacing w:line="360" w:lineRule="auto"/>
        <w:ind w:firstLine="482" w:firstLineChars="200"/>
        <w:rPr>
          <w:rFonts w:ascii="宋体" w:hAnsi="宋体"/>
          <w:b/>
          <w:sz w:val="24"/>
        </w:rPr>
      </w:pPr>
      <w:r>
        <w:rPr>
          <w:rFonts w:hint="eastAsia" w:ascii="宋体" w:hAnsi="宋体"/>
          <w:b/>
          <w:sz w:val="24"/>
        </w:rPr>
        <w:t>7. 投标文件份数：明标部分一正二副，暗标部分一正五副。投标人应（1）将明标部分正本、电子光盘密封在一个封袋中并在封袋上清楚地标明“明标正本”，将明标部分所有副本密封在另一个封袋中并在密封袋上清楚地标明</w:t>
      </w:r>
      <w:r>
        <w:rPr>
          <w:rFonts w:ascii="宋体" w:hAnsi="宋体"/>
          <w:b/>
          <w:sz w:val="24"/>
        </w:rPr>
        <w:t xml:space="preserve"> “</w:t>
      </w:r>
      <w:r>
        <w:rPr>
          <w:rFonts w:hint="eastAsia" w:ascii="宋体" w:hAnsi="宋体"/>
          <w:b/>
          <w:sz w:val="24"/>
        </w:rPr>
        <w:t>明标副本</w:t>
      </w:r>
      <w:r>
        <w:rPr>
          <w:rFonts w:ascii="宋体" w:hAnsi="宋体"/>
          <w:b/>
          <w:sz w:val="24"/>
        </w:rPr>
        <w:t>”</w:t>
      </w:r>
      <w:r>
        <w:rPr>
          <w:rFonts w:hint="eastAsia" w:ascii="宋体" w:hAnsi="宋体"/>
          <w:b/>
          <w:sz w:val="24"/>
        </w:rPr>
        <w:t>；（2）将技术文件（暗标）正本、电子光盘密封在一个封袋中并在密封袋上清楚地标明“技术文件正本”，将技术文件（暗标）所有副本密封在另一个封袋中并在密封袋上清楚地标明“技术文件副本”；（3）招标文件中证明文件部分及评标办法中所需提供的原件资料需单独密封在一个封袋中，并在密封袋上清楚地标明“原件资料”； （4）授权委托人身份证、授权委托书随身携带，不放入原件密封袋；（5）所有投标文件封袋的封口处应加盖投标人印章。密封袋上还均应注明采购编号、项目名称、投标人名称。</w:t>
      </w:r>
    </w:p>
    <w:p>
      <w:pPr>
        <w:spacing w:line="430" w:lineRule="exact"/>
        <w:ind w:firstLine="480" w:firstLineChars="200"/>
        <w:jc w:val="left"/>
        <w:rPr>
          <w:rFonts w:ascii="宋体" w:hAnsi="宋体"/>
          <w:b/>
          <w:sz w:val="24"/>
        </w:rPr>
      </w:pPr>
      <w:r>
        <w:rPr>
          <w:rFonts w:hint="eastAsia" w:ascii="宋体" w:hAnsi="宋体"/>
          <w:sz w:val="24"/>
        </w:rPr>
        <w:t>8.投标文件不应有涂改、增删和潦草之处，如有必须修改时，修改处必须有法人、法定代表人或法定代表人授权代表的签章。</w:t>
      </w:r>
    </w:p>
    <w:p>
      <w:pPr>
        <w:tabs>
          <w:tab w:val="left" w:pos="0"/>
          <w:tab w:val="left" w:pos="704"/>
        </w:tabs>
        <w:spacing w:line="360" w:lineRule="auto"/>
        <w:ind w:firstLine="482" w:firstLineChars="200"/>
        <w:rPr>
          <w:rFonts w:ascii="宋体" w:hAnsi="宋体"/>
          <w:b/>
          <w:sz w:val="24"/>
        </w:rPr>
      </w:pPr>
      <w:r>
        <w:rPr>
          <w:rFonts w:ascii="宋体" w:hAnsi="宋体"/>
          <w:b/>
          <w:sz w:val="24"/>
        </w:rPr>
        <w:t>9.</w:t>
      </w:r>
      <w:r>
        <w:rPr>
          <w:rFonts w:hint="eastAsia" w:ascii="宋体" w:hAnsi="宋体"/>
          <w:b/>
          <w:sz w:val="24"/>
        </w:rPr>
        <w:t>暗标编制、装订要求：</w:t>
      </w:r>
    </w:p>
    <w:p>
      <w:pPr>
        <w:spacing w:line="360" w:lineRule="auto"/>
        <w:ind w:firstLine="482" w:firstLineChars="200"/>
        <w:rPr>
          <w:rFonts w:ascii="宋体" w:hAnsi="宋体"/>
          <w:b/>
          <w:sz w:val="24"/>
        </w:rPr>
      </w:pPr>
      <w:r>
        <w:rPr>
          <w:rFonts w:hint="eastAsia" w:ascii="宋体" w:hAnsi="宋体"/>
          <w:b/>
          <w:sz w:val="24"/>
        </w:rPr>
        <w:t>暗标需单独成册，不得有分册。暗标的封面、封底及目录由采购代理机构提供统一格式（PDF版），纸张要求：A4白色复印纸，70克/平方米。暗标装订夹采用采购代理机构提供的统一样品（铁皮盖板式装订夹）。</w:t>
      </w:r>
    </w:p>
    <w:p>
      <w:pPr>
        <w:spacing w:line="360" w:lineRule="auto"/>
        <w:ind w:firstLine="482" w:firstLineChars="200"/>
        <w:rPr>
          <w:rFonts w:ascii="宋体" w:hAnsi="宋体"/>
          <w:b/>
          <w:sz w:val="24"/>
        </w:rPr>
      </w:pPr>
      <w:r>
        <w:rPr>
          <w:rFonts w:hint="eastAsia" w:ascii="宋体" w:hAnsi="宋体"/>
          <w:b/>
          <w:sz w:val="24"/>
        </w:rPr>
        <w:t>暗标中不得出现投标供应商名称、人员姓名；要求版面整洁、字迹清楚、不许涂改，不得出现能显示企业特征或其它提示性的标记或标识，也不得采用任何不符合常规、有别于其他投标供应商的特殊做法；</w:t>
      </w:r>
    </w:p>
    <w:p>
      <w:pPr>
        <w:spacing w:line="360" w:lineRule="auto"/>
        <w:ind w:firstLine="482" w:firstLineChars="200"/>
        <w:rPr>
          <w:rFonts w:ascii="宋体" w:hAnsi="宋体"/>
          <w:b/>
          <w:sz w:val="24"/>
        </w:rPr>
      </w:pPr>
      <w:r>
        <w:rPr>
          <w:rFonts w:hint="eastAsia" w:ascii="宋体" w:hAnsi="宋体"/>
          <w:b/>
          <w:sz w:val="24"/>
        </w:rPr>
        <w:t>排版要求：使用word文件形式，A4白色复印纸单面黑色打印，字体为小四号宋体，不得出现手写，单倍行间距，不得有任何加粗、斜体、下划线、边框、底纹、阴影等标记，不得设置页眉，页脚只准出现页码，采用小5号阿拉伯数字格式，设在页脚对中位置，页码应当连续，不得有空白页，装订必须在左侧装订。</w:t>
      </w:r>
    </w:p>
    <w:p>
      <w:pPr>
        <w:spacing w:line="360" w:lineRule="auto"/>
        <w:ind w:firstLine="480" w:firstLineChars="200"/>
        <w:rPr>
          <w:rFonts w:ascii="宋体" w:hAnsi="宋体"/>
          <w:bCs/>
          <w:sz w:val="24"/>
        </w:rPr>
      </w:pPr>
      <w:r>
        <w:rPr>
          <w:rFonts w:ascii="宋体" w:hAnsi="宋体"/>
          <w:sz w:val="24"/>
        </w:rPr>
        <w:t>10.</w:t>
      </w:r>
      <w:r>
        <w:rPr>
          <w:rFonts w:hint="eastAsia" w:ascii="宋体" w:hAnsi="宋体"/>
          <w:sz w:val="24"/>
        </w:rPr>
        <w:t>投标费用自理。</w:t>
      </w:r>
    </w:p>
    <w:p>
      <w:pPr>
        <w:numPr>
          <w:ilvl w:val="0"/>
          <w:numId w:val="13"/>
        </w:numPr>
        <w:spacing w:line="360" w:lineRule="auto"/>
        <w:rPr>
          <w:rFonts w:ascii="黑体" w:hAnsi="宋体" w:eastAsia="黑体"/>
          <w:bCs/>
          <w:sz w:val="24"/>
        </w:rPr>
      </w:pPr>
      <w:r>
        <w:rPr>
          <w:rFonts w:hint="eastAsia" w:ascii="黑体" w:hAnsi="宋体" w:eastAsia="黑体"/>
          <w:bCs/>
          <w:sz w:val="24"/>
        </w:rPr>
        <w:t>报价要求：</w:t>
      </w:r>
    </w:p>
    <w:p>
      <w:pPr>
        <w:pStyle w:val="17"/>
        <w:spacing w:line="360" w:lineRule="auto"/>
        <w:ind w:left="142" w:firstLine="480" w:firstLineChars="200"/>
        <w:rPr>
          <w:rFonts w:hAnsi="宋体" w:cs="Arial"/>
          <w:sz w:val="24"/>
        </w:rPr>
      </w:pPr>
      <w:r>
        <w:rPr>
          <w:rFonts w:hint="eastAsia" w:hAnsi="宋体" w:cs="Arial"/>
          <w:sz w:val="24"/>
        </w:rPr>
        <w:t>1.投标供应商应按采购文件规定的供货及服务要求、责任范围和合同条件，以人民币进行报价；</w:t>
      </w:r>
    </w:p>
    <w:p>
      <w:pPr>
        <w:pStyle w:val="17"/>
        <w:spacing w:line="360" w:lineRule="auto"/>
        <w:ind w:left="142" w:firstLine="480" w:firstLineChars="200"/>
        <w:rPr>
          <w:rFonts w:hAnsi="宋体" w:cs="Arial"/>
          <w:sz w:val="24"/>
        </w:rPr>
      </w:pPr>
      <w:r>
        <w:rPr>
          <w:rFonts w:hint="eastAsia" w:hAnsi="宋体" w:cs="Arial"/>
          <w:sz w:val="24"/>
        </w:rPr>
        <w:t>2.投标供应商应按开标一览表和分项价格表的内容和格式要求填写各项服务的分项价格和总价；</w:t>
      </w:r>
    </w:p>
    <w:p>
      <w:pPr>
        <w:pStyle w:val="17"/>
        <w:spacing w:line="360" w:lineRule="auto"/>
        <w:ind w:left="142" w:firstLine="480" w:firstLineChars="200"/>
        <w:rPr>
          <w:rFonts w:hAnsi="宋体" w:cs="Arial"/>
          <w:sz w:val="24"/>
        </w:rPr>
      </w:pPr>
      <w:r>
        <w:rPr>
          <w:rFonts w:hint="eastAsia" w:hAnsi="宋体" w:cs="Arial"/>
          <w:sz w:val="24"/>
        </w:rPr>
        <w:t>3.除投标供应商须知前附表允许提交备选方案外，投标供应商对每种服务只允许有一个报价，不接受可变动性报价，否则，在评标时将其视为无效投标；</w:t>
      </w:r>
    </w:p>
    <w:p>
      <w:pPr>
        <w:pStyle w:val="17"/>
        <w:spacing w:line="360" w:lineRule="auto"/>
        <w:ind w:left="142" w:firstLine="480" w:firstLineChars="200"/>
        <w:rPr>
          <w:rFonts w:hAnsi="宋体" w:cs="Arial"/>
          <w:sz w:val="24"/>
        </w:rPr>
      </w:pPr>
      <w:r>
        <w:rPr>
          <w:rFonts w:hint="eastAsia" w:hAnsi="宋体" w:cs="Arial"/>
          <w:sz w:val="24"/>
        </w:rPr>
        <w:t>4.投标供应商的报价均超过了采购预算，采购人不能支付的，本项目予以废标；</w:t>
      </w:r>
    </w:p>
    <w:p>
      <w:pPr>
        <w:pStyle w:val="17"/>
        <w:spacing w:line="360" w:lineRule="auto"/>
        <w:ind w:left="142" w:firstLine="480" w:firstLineChars="200"/>
        <w:rPr>
          <w:rFonts w:hAnsi="宋体" w:cs="Arial"/>
          <w:sz w:val="24"/>
        </w:rPr>
      </w:pPr>
      <w:r>
        <w:rPr>
          <w:rFonts w:hint="eastAsia" w:hAnsi="宋体" w:cs="Arial"/>
          <w:sz w:val="24"/>
        </w:rPr>
        <w:t>5.投标供应商之间不得相互串通投标报价，不得妨碍其他投标供应商的公平竞争，不得损害招标采购单位或者其他投标供应商的合法权益；</w:t>
      </w:r>
    </w:p>
    <w:p>
      <w:pPr>
        <w:pStyle w:val="17"/>
        <w:spacing w:line="360" w:lineRule="auto"/>
        <w:ind w:left="142" w:firstLine="480" w:firstLineChars="200"/>
        <w:rPr>
          <w:rFonts w:hAnsi="宋体" w:cs="Arial"/>
          <w:sz w:val="24"/>
        </w:rPr>
      </w:pPr>
      <w:r>
        <w:rPr>
          <w:rFonts w:hint="eastAsia" w:hAnsi="宋体" w:cs="Arial"/>
          <w:sz w:val="24"/>
        </w:rPr>
        <w:t>6.投标文件中的报价为一次性报价，在项目实施中如有疏漏，后果由中标供应商负责，采购人在项目实施上，不再支付任何费用；</w:t>
      </w:r>
    </w:p>
    <w:p>
      <w:pPr>
        <w:pStyle w:val="17"/>
        <w:spacing w:line="360" w:lineRule="auto"/>
        <w:ind w:left="142" w:firstLine="482" w:firstLineChars="200"/>
        <w:rPr>
          <w:rFonts w:ascii="宋体" w:hAnsi="宋体"/>
          <w:bCs/>
          <w:sz w:val="24"/>
        </w:rPr>
      </w:pPr>
      <w:r>
        <w:rPr>
          <w:rFonts w:hint="eastAsia" w:ascii="宋体" w:hAnsi="宋体"/>
          <w:b/>
          <w:sz w:val="24"/>
        </w:rPr>
        <w:t>评标委员会认为投标人的报价明显低于其他通过符合性审查投标人的报价，有可能影响产品质量或者不能诚信履约的，应当要求该投标人在半小时内提供书面说明，并提交相关证明材料。</w:t>
      </w:r>
    </w:p>
    <w:p>
      <w:pPr>
        <w:numPr>
          <w:ilvl w:val="0"/>
          <w:numId w:val="13"/>
        </w:numPr>
        <w:spacing w:line="360" w:lineRule="auto"/>
        <w:rPr>
          <w:rFonts w:ascii="黑体" w:hAnsi="宋体" w:eastAsia="黑体"/>
          <w:bCs/>
          <w:sz w:val="24"/>
        </w:rPr>
      </w:pPr>
      <w:r>
        <w:rPr>
          <w:rFonts w:hint="eastAsia" w:ascii="黑体" w:hAnsi="宋体" w:eastAsia="黑体"/>
          <w:bCs/>
          <w:sz w:val="24"/>
        </w:rPr>
        <w:t>无效投标文件的确认</w:t>
      </w:r>
    </w:p>
    <w:p>
      <w:pPr>
        <w:spacing w:line="430" w:lineRule="exact"/>
        <w:ind w:left="-2" w:leftChars="-1" w:firstLine="480" w:firstLineChars="200"/>
        <w:outlineLvl w:val="0"/>
        <w:rPr>
          <w:rFonts w:ascii="宋体" w:hAnsi="宋体"/>
          <w:sz w:val="24"/>
        </w:rPr>
      </w:pPr>
      <w:r>
        <w:rPr>
          <w:rFonts w:hint="eastAsia" w:ascii="宋体" w:hAnsi="宋体"/>
          <w:sz w:val="24"/>
        </w:rPr>
        <w:t>投标供应商有下列情况之一者，其投标文件无效：</w:t>
      </w:r>
    </w:p>
    <w:p>
      <w:pPr>
        <w:tabs>
          <w:tab w:val="left" w:pos="900"/>
        </w:tabs>
        <w:spacing w:line="360" w:lineRule="auto"/>
        <w:ind w:firstLine="480" w:firstLineChars="200"/>
        <w:rPr>
          <w:rFonts w:ascii="宋体" w:hAnsi="宋体"/>
          <w:sz w:val="24"/>
        </w:rPr>
      </w:pPr>
      <w:r>
        <w:rPr>
          <w:rFonts w:hint="eastAsia" w:ascii="宋体" w:hAnsi="宋体"/>
          <w:sz w:val="24"/>
        </w:rPr>
        <w:t>1.未按规定交纳投标保证金（若有）的；</w:t>
      </w:r>
    </w:p>
    <w:p>
      <w:pPr>
        <w:tabs>
          <w:tab w:val="left" w:pos="900"/>
        </w:tabs>
        <w:spacing w:line="360" w:lineRule="auto"/>
        <w:ind w:firstLine="480" w:firstLineChars="200"/>
        <w:rPr>
          <w:rFonts w:ascii="宋体" w:hAnsi="宋体"/>
          <w:sz w:val="24"/>
        </w:rPr>
      </w:pPr>
      <w:r>
        <w:rPr>
          <w:rFonts w:hint="eastAsia" w:ascii="宋体" w:hAnsi="宋体"/>
          <w:sz w:val="24"/>
        </w:rPr>
        <w:t>2.投标文件未按规定的期限、地点送达的；</w:t>
      </w:r>
    </w:p>
    <w:p>
      <w:pPr>
        <w:tabs>
          <w:tab w:val="left" w:pos="900"/>
        </w:tabs>
        <w:spacing w:line="360" w:lineRule="auto"/>
        <w:ind w:firstLine="480" w:firstLineChars="200"/>
        <w:rPr>
          <w:rFonts w:ascii="宋体" w:hAnsi="宋体"/>
          <w:sz w:val="24"/>
        </w:rPr>
      </w:pPr>
      <w:r>
        <w:rPr>
          <w:rFonts w:hint="eastAsia" w:ascii="宋体" w:hAnsi="宋体"/>
          <w:sz w:val="24"/>
        </w:rPr>
        <w:t>3.投标文件未按要求签署、盖章的；</w:t>
      </w:r>
    </w:p>
    <w:p>
      <w:pPr>
        <w:tabs>
          <w:tab w:val="left" w:pos="900"/>
        </w:tabs>
        <w:spacing w:line="360" w:lineRule="auto"/>
        <w:ind w:firstLine="480" w:firstLineChars="200"/>
        <w:rPr>
          <w:rFonts w:ascii="宋体" w:hAnsi="宋体"/>
          <w:sz w:val="24"/>
        </w:rPr>
      </w:pPr>
      <w:r>
        <w:rPr>
          <w:rFonts w:hint="eastAsia" w:ascii="宋体" w:hAnsi="宋体"/>
          <w:sz w:val="24"/>
        </w:rPr>
        <w:t>4.不具备招标文件中规定的资格要求的；</w:t>
      </w:r>
    </w:p>
    <w:p>
      <w:pPr>
        <w:tabs>
          <w:tab w:val="left" w:pos="900"/>
        </w:tabs>
        <w:spacing w:line="360" w:lineRule="auto"/>
        <w:ind w:firstLine="480" w:firstLineChars="200"/>
        <w:rPr>
          <w:rFonts w:ascii="宋体" w:hAnsi="宋体"/>
          <w:sz w:val="24"/>
        </w:rPr>
      </w:pPr>
      <w:r>
        <w:rPr>
          <w:rFonts w:hint="eastAsia" w:ascii="宋体" w:hAnsi="宋体"/>
          <w:sz w:val="24"/>
        </w:rPr>
        <w:t>5.报价超过招标文件中规定的预算金额的；</w:t>
      </w:r>
    </w:p>
    <w:p>
      <w:pPr>
        <w:tabs>
          <w:tab w:val="left" w:pos="900"/>
        </w:tabs>
        <w:spacing w:line="360" w:lineRule="auto"/>
        <w:ind w:firstLine="480" w:firstLineChars="200"/>
        <w:rPr>
          <w:rFonts w:ascii="宋体" w:hAnsi="宋体"/>
          <w:sz w:val="24"/>
        </w:rPr>
      </w:pPr>
      <w:r>
        <w:rPr>
          <w:rFonts w:hint="eastAsia" w:ascii="宋体" w:hAnsi="宋体"/>
          <w:sz w:val="24"/>
        </w:rPr>
        <w:t>6.投标人的法定代表人或法定代表人授权代表，未准时参加投标会议的；</w:t>
      </w:r>
    </w:p>
    <w:p>
      <w:pPr>
        <w:tabs>
          <w:tab w:val="left" w:pos="900"/>
        </w:tabs>
        <w:spacing w:line="360" w:lineRule="auto"/>
        <w:ind w:firstLine="480" w:firstLineChars="200"/>
        <w:rPr>
          <w:rFonts w:ascii="宋体" w:hAnsi="宋体"/>
          <w:sz w:val="24"/>
        </w:rPr>
      </w:pPr>
      <w:r>
        <w:rPr>
          <w:rFonts w:hint="eastAsia" w:ascii="宋体" w:hAnsi="宋体"/>
          <w:sz w:val="24"/>
        </w:rPr>
        <w:t>7.投标人的法定代表人授权代表无法定代表人授权委托书的；</w:t>
      </w:r>
    </w:p>
    <w:p>
      <w:pPr>
        <w:tabs>
          <w:tab w:val="left" w:pos="900"/>
        </w:tabs>
        <w:spacing w:line="360" w:lineRule="auto"/>
        <w:ind w:firstLine="480" w:firstLineChars="200"/>
        <w:rPr>
          <w:rFonts w:ascii="宋体" w:hAnsi="宋体"/>
          <w:sz w:val="24"/>
        </w:rPr>
      </w:pPr>
      <w:r>
        <w:rPr>
          <w:rFonts w:hint="eastAsia" w:ascii="宋体" w:hAnsi="宋体"/>
          <w:sz w:val="24"/>
        </w:rPr>
        <w:t>8.投标文件含有招标人不能接受的附加条件的；</w:t>
      </w:r>
    </w:p>
    <w:p>
      <w:pPr>
        <w:tabs>
          <w:tab w:val="left" w:pos="900"/>
        </w:tabs>
        <w:spacing w:line="360" w:lineRule="auto"/>
        <w:ind w:firstLine="480" w:firstLineChars="200"/>
        <w:rPr>
          <w:rFonts w:ascii="宋体" w:hAnsi="宋体"/>
          <w:sz w:val="24"/>
        </w:rPr>
      </w:pPr>
      <w:r>
        <w:rPr>
          <w:rFonts w:hint="eastAsia" w:ascii="宋体" w:hAnsi="宋体"/>
          <w:sz w:val="24"/>
        </w:rPr>
        <w:t>9.投标文件未按招标文件规定的格式、内容和要求填写、制作的；</w:t>
      </w:r>
    </w:p>
    <w:p>
      <w:pPr>
        <w:tabs>
          <w:tab w:val="left" w:pos="900"/>
        </w:tabs>
        <w:spacing w:line="360" w:lineRule="auto"/>
        <w:ind w:firstLine="480" w:firstLineChars="200"/>
        <w:rPr>
          <w:rFonts w:ascii="宋体" w:hAnsi="宋体"/>
          <w:sz w:val="24"/>
        </w:rPr>
      </w:pPr>
      <w:r>
        <w:rPr>
          <w:rFonts w:hint="eastAsia" w:ascii="宋体" w:hAnsi="宋体"/>
          <w:sz w:val="24"/>
        </w:rPr>
        <w:t>10.投标文件书写潦草、字迹模糊不清、无法辨认的；</w:t>
      </w:r>
    </w:p>
    <w:p>
      <w:pPr>
        <w:tabs>
          <w:tab w:val="left" w:pos="900"/>
        </w:tabs>
        <w:spacing w:line="360" w:lineRule="auto"/>
        <w:ind w:firstLine="480" w:firstLineChars="200"/>
        <w:rPr>
          <w:rFonts w:ascii="宋体" w:hAnsi="宋体"/>
          <w:sz w:val="24"/>
        </w:rPr>
      </w:pPr>
      <w:r>
        <w:rPr>
          <w:rFonts w:hint="eastAsia" w:ascii="宋体" w:hAnsi="宋体"/>
          <w:sz w:val="24"/>
        </w:rPr>
        <w:t>11.投标文件中有招标文件未允许提供的选择性内容的；</w:t>
      </w:r>
    </w:p>
    <w:p>
      <w:pPr>
        <w:tabs>
          <w:tab w:val="left" w:pos="900"/>
        </w:tabs>
        <w:spacing w:line="360" w:lineRule="auto"/>
        <w:ind w:firstLine="480" w:firstLineChars="200"/>
        <w:rPr>
          <w:rFonts w:ascii="宋体" w:hAnsi="宋体"/>
          <w:sz w:val="24"/>
        </w:rPr>
      </w:pPr>
      <w:r>
        <w:rPr>
          <w:rFonts w:hint="eastAsia" w:ascii="宋体" w:hAnsi="宋体"/>
          <w:sz w:val="24"/>
        </w:rPr>
        <w:t>12.恶意串通其他投标人，故意哄抬价格或压价的；</w:t>
      </w:r>
    </w:p>
    <w:p>
      <w:pPr>
        <w:tabs>
          <w:tab w:val="left" w:pos="900"/>
        </w:tabs>
        <w:spacing w:line="360" w:lineRule="auto"/>
        <w:ind w:firstLine="480" w:firstLineChars="200"/>
        <w:rPr>
          <w:rFonts w:ascii="宋体" w:hAnsi="宋体"/>
          <w:sz w:val="24"/>
        </w:rPr>
      </w:pPr>
      <w:r>
        <w:rPr>
          <w:rFonts w:hint="eastAsia" w:ascii="宋体" w:hAnsi="宋体"/>
          <w:sz w:val="24"/>
        </w:rPr>
        <w:t>13.提供虚假材料的（包括工商营业执照、财务报表、资格证明文件等）；</w:t>
      </w:r>
    </w:p>
    <w:p>
      <w:pPr>
        <w:tabs>
          <w:tab w:val="left" w:pos="900"/>
        </w:tabs>
        <w:spacing w:line="360" w:lineRule="auto"/>
        <w:ind w:firstLine="480" w:firstLineChars="200"/>
        <w:rPr>
          <w:rFonts w:ascii="宋体" w:hAnsi="宋体"/>
          <w:sz w:val="24"/>
        </w:rPr>
      </w:pPr>
      <w:r>
        <w:rPr>
          <w:rFonts w:hint="eastAsia" w:ascii="宋体" w:hAnsi="宋体"/>
          <w:sz w:val="24"/>
        </w:rPr>
        <w:t>14.投标文件商务标未加盖投标人公章及法定代表人或授权代表签字和盖章的；</w:t>
      </w:r>
    </w:p>
    <w:p>
      <w:pPr>
        <w:tabs>
          <w:tab w:val="left" w:pos="900"/>
        </w:tabs>
        <w:spacing w:line="360" w:lineRule="auto"/>
        <w:ind w:firstLine="480" w:firstLineChars="200"/>
        <w:rPr>
          <w:rFonts w:ascii="宋体" w:hAnsi="宋体"/>
          <w:sz w:val="24"/>
        </w:rPr>
      </w:pPr>
      <w:r>
        <w:rPr>
          <w:rFonts w:hint="eastAsia" w:ascii="宋体" w:hAnsi="宋体"/>
          <w:sz w:val="24"/>
        </w:rPr>
        <w:t>15.不同投标人投标文件相互混装的；</w:t>
      </w:r>
    </w:p>
    <w:p>
      <w:pPr>
        <w:tabs>
          <w:tab w:val="left" w:pos="900"/>
        </w:tabs>
        <w:spacing w:line="360" w:lineRule="auto"/>
        <w:ind w:firstLine="480" w:firstLineChars="200"/>
        <w:rPr>
          <w:rFonts w:ascii="宋体" w:hAnsi="宋体"/>
          <w:sz w:val="24"/>
        </w:rPr>
      </w:pPr>
      <w:r>
        <w:rPr>
          <w:rFonts w:hint="eastAsia" w:ascii="宋体" w:hAnsi="宋体"/>
          <w:sz w:val="24"/>
        </w:rPr>
        <w:t>16.不同投标人投标文件中的项目相关人员出现同一人的；</w:t>
      </w:r>
    </w:p>
    <w:p>
      <w:pPr>
        <w:tabs>
          <w:tab w:val="left" w:pos="900"/>
        </w:tabs>
        <w:spacing w:line="360" w:lineRule="auto"/>
        <w:ind w:firstLine="480" w:firstLineChars="200"/>
        <w:rPr>
          <w:rFonts w:ascii="宋体" w:hAnsi="宋体"/>
          <w:sz w:val="24"/>
        </w:rPr>
      </w:pPr>
      <w:r>
        <w:rPr>
          <w:rFonts w:hint="eastAsia" w:ascii="宋体" w:hAnsi="宋体"/>
          <w:sz w:val="24"/>
        </w:rPr>
        <w:t>17.不同投标人聘请同一人为其投标提供技术或经济咨询服务的；</w:t>
      </w:r>
    </w:p>
    <w:p>
      <w:pPr>
        <w:tabs>
          <w:tab w:val="left" w:pos="900"/>
        </w:tabs>
        <w:spacing w:line="360" w:lineRule="auto"/>
        <w:ind w:firstLine="480" w:firstLineChars="200"/>
        <w:rPr>
          <w:rFonts w:ascii="宋体" w:hAnsi="宋体"/>
          <w:sz w:val="24"/>
        </w:rPr>
      </w:pPr>
      <w:r>
        <w:rPr>
          <w:rFonts w:hint="eastAsia" w:ascii="宋体" w:hAnsi="宋体"/>
          <w:sz w:val="24"/>
        </w:rPr>
        <w:t>18.不同投标人的单位负责人为同一人或者存在直接控股、管理关系的；</w:t>
      </w:r>
    </w:p>
    <w:p>
      <w:pPr>
        <w:tabs>
          <w:tab w:val="left" w:pos="900"/>
        </w:tabs>
        <w:spacing w:line="360" w:lineRule="auto"/>
        <w:ind w:firstLine="480" w:firstLineChars="200"/>
        <w:rPr>
          <w:rFonts w:ascii="宋体" w:hAnsi="宋体"/>
          <w:sz w:val="24"/>
        </w:rPr>
      </w:pPr>
      <w:r>
        <w:rPr>
          <w:rFonts w:hint="eastAsia" w:ascii="宋体" w:hAnsi="宋体"/>
          <w:sz w:val="24"/>
        </w:rPr>
        <w:t>19.投标人为本项目提供整体设计、规范编制或者项目管理、监理、检测等服务的；</w:t>
      </w:r>
    </w:p>
    <w:p>
      <w:pPr>
        <w:tabs>
          <w:tab w:val="left" w:pos="900"/>
        </w:tabs>
        <w:spacing w:line="360" w:lineRule="auto"/>
        <w:ind w:firstLine="480" w:firstLineChars="200"/>
        <w:rPr>
          <w:rFonts w:ascii="宋体" w:hAnsi="宋体"/>
          <w:sz w:val="24"/>
        </w:rPr>
      </w:pPr>
      <w:r>
        <w:rPr>
          <w:rFonts w:hint="eastAsia" w:ascii="宋体" w:hAnsi="宋体"/>
          <w:sz w:val="24"/>
        </w:rPr>
        <w:t>20.不同投标人的投标文件异常一致或者投标报价呈规律性差异；</w:t>
      </w:r>
    </w:p>
    <w:p>
      <w:pPr>
        <w:tabs>
          <w:tab w:val="left" w:pos="900"/>
        </w:tabs>
        <w:spacing w:line="360" w:lineRule="auto"/>
        <w:ind w:firstLine="480" w:firstLineChars="200"/>
        <w:rPr>
          <w:rFonts w:ascii="宋体" w:hAnsi="宋体"/>
          <w:sz w:val="24"/>
        </w:rPr>
      </w:pPr>
      <w:r>
        <w:rPr>
          <w:rFonts w:hint="eastAsia" w:ascii="宋体" w:hAnsi="宋体"/>
          <w:sz w:val="24"/>
        </w:rPr>
        <w:t>21.投标文件商务标中同一方案有选择性报价且未声明以哪一个为准的；</w:t>
      </w:r>
    </w:p>
    <w:p>
      <w:pPr>
        <w:spacing w:line="360" w:lineRule="auto"/>
        <w:ind w:firstLine="480" w:firstLineChars="200"/>
        <w:rPr>
          <w:sz w:val="24"/>
        </w:rPr>
      </w:pPr>
      <w:r>
        <w:rPr>
          <w:rFonts w:hint="eastAsia" w:ascii="宋体" w:hAnsi="宋体"/>
          <w:sz w:val="24"/>
        </w:rPr>
        <w:t>22.技术标（暗标）中出现该投标人单位名称、简称、人员姓名、Logo、商标、电话号码等任何标识标记及其他暗示性标志的；</w:t>
      </w:r>
    </w:p>
    <w:p>
      <w:pPr>
        <w:spacing w:line="360" w:lineRule="auto"/>
        <w:ind w:firstLine="480" w:firstLineChars="200"/>
        <w:rPr>
          <w:sz w:val="24"/>
        </w:rPr>
      </w:pPr>
      <w:r>
        <w:rPr>
          <w:rFonts w:hint="eastAsia" w:ascii="宋体" w:hAnsi="宋体"/>
          <w:sz w:val="24"/>
        </w:rPr>
        <w:t>23.商务标（明标）和技术标（暗标），其中某一标被本项目评委确认为无效投标文件的；</w:t>
      </w:r>
    </w:p>
    <w:p>
      <w:pPr>
        <w:tabs>
          <w:tab w:val="left" w:pos="900"/>
        </w:tabs>
        <w:spacing w:line="360" w:lineRule="auto"/>
        <w:ind w:firstLine="480" w:firstLineChars="200"/>
        <w:rPr>
          <w:rFonts w:ascii="宋体" w:hAnsi="宋体"/>
          <w:sz w:val="24"/>
        </w:rPr>
      </w:pPr>
      <w:r>
        <w:rPr>
          <w:rFonts w:hint="eastAsia" w:ascii="宋体" w:hAnsi="宋体"/>
          <w:sz w:val="24"/>
        </w:rPr>
        <w:t>24.未按要求提供技术文件的；</w:t>
      </w:r>
    </w:p>
    <w:p>
      <w:pPr>
        <w:tabs>
          <w:tab w:val="left" w:pos="900"/>
        </w:tabs>
        <w:spacing w:line="360" w:lineRule="auto"/>
        <w:ind w:firstLine="480" w:firstLineChars="200"/>
        <w:rPr>
          <w:rFonts w:ascii="宋体" w:hAnsi="宋体"/>
          <w:sz w:val="24"/>
        </w:rPr>
      </w:pPr>
      <w:r>
        <w:rPr>
          <w:rFonts w:hint="eastAsia" w:ascii="宋体" w:hAnsi="宋体"/>
          <w:sz w:val="24"/>
        </w:rPr>
        <w:t>25.未按要求提供电子光盘或光盘内容不全、格式不符要求的；</w:t>
      </w:r>
    </w:p>
    <w:p>
      <w:pPr>
        <w:tabs>
          <w:tab w:val="left" w:pos="900"/>
        </w:tabs>
        <w:spacing w:line="360" w:lineRule="auto"/>
        <w:ind w:firstLine="480" w:firstLineChars="200"/>
        <w:rPr>
          <w:rFonts w:ascii="宋体" w:hAnsi="宋体"/>
          <w:sz w:val="24"/>
        </w:rPr>
      </w:pPr>
      <w:r>
        <w:rPr>
          <w:rFonts w:hint="eastAsia" w:ascii="宋体" w:hAnsi="宋体"/>
          <w:sz w:val="24"/>
        </w:rPr>
        <w:t>26.投标文件报价出现前后不一致，投标人拒不确认修正后的报价的；</w:t>
      </w:r>
    </w:p>
    <w:p>
      <w:pPr>
        <w:tabs>
          <w:tab w:val="left" w:pos="900"/>
        </w:tabs>
        <w:spacing w:line="360" w:lineRule="auto"/>
        <w:ind w:firstLine="480" w:firstLineChars="200"/>
        <w:rPr>
          <w:rFonts w:ascii="宋体" w:hAnsi="宋体"/>
          <w:sz w:val="24"/>
        </w:rPr>
      </w:pPr>
      <w:r>
        <w:rPr>
          <w:rFonts w:hint="eastAsia" w:ascii="宋体" w:hAnsi="宋体"/>
          <w:sz w:val="24"/>
        </w:rPr>
        <w:t>27.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w:t>
      </w:r>
    </w:p>
    <w:p>
      <w:pPr>
        <w:tabs>
          <w:tab w:val="left" w:pos="900"/>
        </w:tabs>
        <w:spacing w:line="360" w:lineRule="auto"/>
        <w:ind w:firstLine="480" w:firstLineChars="200"/>
        <w:rPr>
          <w:rFonts w:ascii="宋体" w:hAnsi="宋体"/>
          <w:sz w:val="24"/>
        </w:rPr>
      </w:pPr>
      <w:r>
        <w:rPr>
          <w:rFonts w:hint="eastAsia" w:ascii="宋体" w:hAnsi="宋体"/>
          <w:sz w:val="24"/>
        </w:rPr>
        <w:t>28.未通过初步资格性审查、投标文件资格性检查、 投标文件符合性检查的；</w:t>
      </w:r>
    </w:p>
    <w:p>
      <w:pPr>
        <w:tabs>
          <w:tab w:val="left" w:pos="900"/>
        </w:tabs>
        <w:spacing w:line="360" w:lineRule="auto"/>
        <w:ind w:firstLine="480" w:firstLineChars="200"/>
        <w:rPr>
          <w:rFonts w:ascii="宋体" w:hAnsi="宋体"/>
          <w:sz w:val="24"/>
        </w:rPr>
      </w:pPr>
      <w:r>
        <w:rPr>
          <w:rFonts w:hint="eastAsia" w:ascii="宋体" w:hAnsi="宋体"/>
          <w:sz w:val="24"/>
        </w:rPr>
        <w:t>29.列入失信被执行人、重大税收违法案件当事人名单、政府采购严重违法失信行为记录名单及其他不符合《中华人民共和国政府采购法》第二十二条规定条件的；</w:t>
      </w:r>
    </w:p>
    <w:p>
      <w:pPr>
        <w:tabs>
          <w:tab w:val="left" w:pos="900"/>
        </w:tabs>
        <w:spacing w:line="360" w:lineRule="auto"/>
        <w:ind w:firstLine="480" w:firstLineChars="200"/>
        <w:rPr>
          <w:rFonts w:ascii="宋体" w:hAnsi="宋体"/>
          <w:sz w:val="24"/>
        </w:rPr>
      </w:pPr>
      <w:r>
        <w:rPr>
          <w:rFonts w:hint="eastAsia" w:ascii="宋体" w:hAnsi="宋体"/>
          <w:sz w:val="24"/>
        </w:rPr>
        <w:t>30.技术文件编制粗糙、缺漏项较多或技术标页数偏少（少于60页）；</w:t>
      </w:r>
    </w:p>
    <w:p>
      <w:pPr>
        <w:tabs>
          <w:tab w:val="left" w:pos="900"/>
        </w:tabs>
        <w:spacing w:line="360" w:lineRule="auto"/>
        <w:ind w:firstLine="480" w:firstLineChars="200"/>
        <w:rPr>
          <w:rFonts w:ascii="宋体" w:hAnsi="宋体"/>
          <w:sz w:val="24"/>
        </w:rPr>
      </w:pPr>
      <w:r>
        <w:rPr>
          <w:rFonts w:hint="eastAsia" w:ascii="宋体" w:hAnsi="宋体"/>
          <w:sz w:val="24"/>
        </w:rPr>
        <w:t>31.投标人的投标报价畸高或畸低，但投标总报价与各分项报价不能相互对应，在询标时没有合理的解释或者不能提供计算依据和报价依据的；</w:t>
      </w:r>
    </w:p>
    <w:p>
      <w:pPr>
        <w:tabs>
          <w:tab w:val="left" w:pos="900"/>
        </w:tabs>
        <w:spacing w:line="360" w:lineRule="auto"/>
        <w:ind w:firstLine="480" w:firstLineChars="200"/>
        <w:rPr>
          <w:rFonts w:ascii="宋体" w:hAnsi="宋体"/>
          <w:sz w:val="24"/>
        </w:rPr>
      </w:pPr>
      <w:r>
        <w:rPr>
          <w:rFonts w:hint="eastAsia" w:ascii="宋体" w:hAnsi="宋体"/>
          <w:sz w:val="24"/>
        </w:rPr>
        <w:t>32.不同投标人的投标文件的装订形式、纸张情况、目录序号、排版格式、文字风格等存在明显的相似性或一致性，特征显示由同一单位或者同一个人编制的；</w:t>
      </w:r>
    </w:p>
    <w:p>
      <w:pPr>
        <w:tabs>
          <w:tab w:val="left" w:pos="900"/>
        </w:tabs>
        <w:spacing w:line="360" w:lineRule="auto"/>
        <w:ind w:firstLine="480" w:firstLineChars="200"/>
        <w:rPr>
          <w:rFonts w:ascii="宋体" w:hAnsi="宋体"/>
          <w:sz w:val="24"/>
        </w:rPr>
      </w:pPr>
      <w:r>
        <w:rPr>
          <w:rFonts w:hint="eastAsia" w:ascii="宋体" w:hAnsi="宋体"/>
          <w:sz w:val="24"/>
        </w:rPr>
        <w:t>33.不同投标人投标文件内容存在非正常一致、项目组成员或者联系人员出现同一人、投标文件中错误（或异常）一致或雷同、电子文档信息一致或雷同的；</w:t>
      </w:r>
    </w:p>
    <w:p>
      <w:pPr>
        <w:tabs>
          <w:tab w:val="left" w:pos="900"/>
        </w:tabs>
        <w:spacing w:line="360" w:lineRule="auto"/>
        <w:ind w:firstLine="480" w:firstLineChars="200"/>
        <w:rPr>
          <w:rFonts w:ascii="宋体" w:hAnsi="宋体"/>
          <w:sz w:val="24"/>
        </w:rPr>
      </w:pPr>
      <w:r>
        <w:rPr>
          <w:rFonts w:hint="eastAsia" w:ascii="宋体" w:hAnsi="宋体"/>
          <w:sz w:val="24"/>
        </w:rPr>
        <w:t>34.不同投标人的投标保证金从同一单位或者个人的账户转出的；</w:t>
      </w:r>
    </w:p>
    <w:p>
      <w:pPr>
        <w:tabs>
          <w:tab w:val="left" w:pos="900"/>
        </w:tabs>
        <w:spacing w:line="360" w:lineRule="auto"/>
        <w:ind w:firstLine="480" w:firstLineChars="200"/>
        <w:rPr>
          <w:rFonts w:ascii="宋体" w:hAnsi="宋体"/>
          <w:sz w:val="24"/>
        </w:rPr>
      </w:pPr>
      <w:r>
        <w:rPr>
          <w:rFonts w:hint="eastAsia" w:ascii="宋体" w:hAnsi="宋体"/>
          <w:sz w:val="24"/>
        </w:rPr>
        <w:t>35.不同投标人的委托代理人、项目负责人以及其他相关人员有在同一个单位缴纳社会保险的；</w:t>
      </w:r>
    </w:p>
    <w:p>
      <w:pPr>
        <w:tabs>
          <w:tab w:val="left" w:pos="900"/>
        </w:tabs>
        <w:spacing w:line="360" w:lineRule="auto"/>
        <w:ind w:firstLine="480" w:firstLineChars="200"/>
        <w:rPr>
          <w:rFonts w:ascii="宋体" w:hAnsi="宋体"/>
          <w:sz w:val="24"/>
        </w:rPr>
      </w:pPr>
      <w:r>
        <w:rPr>
          <w:rFonts w:hint="eastAsia" w:ascii="宋体" w:hAnsi="宋体"/>
          <w:sz w:val="24"/>
        </w:rPr>
        <w:t>36.同一投标文件中单位名称落款与公章不是同一单位的；</w:t>
      </w:r>
    </w:p>
    <w:p>
      <w:pPr>
        <w:tabs>
          <w:tab w:val="left" w:pos="900"/>
        </w:tabs>
        <w:spacing w:line="360" w:lineRule="auto"/>
        <w:ind w:firstLine="480" w:firstLineChars="200"/>
        <w:rPr>
          <w:rFonts w:ascii="宋体" w:hAnsi="宋体"/>
          <w:sz w:val="24"/>
        </w:rPr>
      </w:pPr>
      <w:r>
        <w:rPr>
          <w:rFonts w:hint="eastAsia" w:ascii="宋体" w:hAnsi="宋体"/>
          <w:sz w:val="24"/>
        </w:rPr>
        <w:t>37.不同投标人委托同一单位或者个人办理投标事宜的；</w:t>
      </w:r>
    </w:p>
    <w:p>
      <w:pPr>
        <w:tabs>
          <w:tab w:val="left" w:pos="900"/>
        </w:tabs>
        <w:spacing w:line="360" w:lineRule="auto"/>
        <w:ind w:firstLine="480" w:firstLineChars="200"/>
        <w:rPr>
          <w:rFonts w:ascii="黑体" w:hAnsi="宋体" w:eastAsia="黑体"/>
          <w:bCs/>
          <w:sz w:val="24"/>
        </w:rPr>
      </w:pPr>
      <w:r>
        <w:rPr>
          <w:rFonts w:hint="eastAsia" w:ascii="宋体" w:hAnsi="宋体"/>
          <w:sz w:val="24"/>
        </w:rPr>
        <w:t>38.投标文件内容不全或不符合法律法规和招标文件中规定的其他实质性要求的。</w:t>
      </w:r>
      <w:r>
        <w:rPr>
          <w:rFonts w:hint="eastAsia" w:ascii="黑体" w:hAnsi="宋体" w:eastAsia="黑体"/>
          <w:bCs/>
          <w:sz w:val="24"/>
        </w:rPr>
        <w:t xml:space="preserve"> </w:t>
      </w:r>
    </w:p>
    <w:p>
      <w:pPr>
        <w:numPr>
          <w:ilvl w:val="0"/>
          <w:numId w:val="13"/>
        </w:numPr>
        <w:spacing w:line="360" w:lineRule="auto"/>
        <w:rPr>
          <w:rFonts w:ascii="黑体" w:hAnsi="宋体" w:eastAsia="黑体"/>
          <w:bCs/>
          <w:sz w:val="24"/>
        </w:rPr>
      </w:pPr>
      <w:r>
        <w:rPr>
          <w:rFonts w:hint="eastAsia" w:ascii="黑体" w:hAnsi="宋体" w:eastAsia="黑体"/>
          <w:bCs/>
          <w:sz w:val="24"/>
        </w:rPr>
        <w:t>开标、评标</w:t>
      </w:r>
    </w:p>
    <w:p>
      <w:pPr>
        <w:tabs>
          <w:tab w:val="left" w:pos="525"/>
          <w:tab w:val="left" w:pos="1050"/>
        </w:tabs>
        <w:spacing w:line="360" w:lineRule="auto"/>
        <w:ind w:firstLine="720" w:firstLineChars="300"/>
        <w:rPr>
          <w:rFonts w:ascii="宋体" w:hAnsi="宋体"/>
          <w:bCs/>
          <w:sz w:val="24"/>
        </w:rPr>
      </w:pPr>
      <w:r>
        <w:rPr>
          <w:rFonts w:hint="eastAsia" w:ascii="宋体" w:hAnsi="宋体"/>
          <w:bCs/>
          <w:sz w:val="24"/>
        </w:rPr>
        <w:t>1.由专家及招标人代表组成评标委员会，并实行回避制度。</w:t>
      </w:r>
    </w:p>
    <w:p>
      <w:pPr>
        <w:tabs>
          <w:tab w:val="left" w:pos="525"/>
          <w:tab w:val="left" w:pos="1050"/>
        </w:tabs>
        <w:spacing w:line="360" w:lineRule="auto"/>
        <w:ind w:firstLine="720" w:firstLineChars="300"/>
        <w:rPr>
          <w:rFonts w:ascii="宋体" w:hAnsi="宋体"/>
          <w:bCs/>
          <w:sz w:val="24"/>
        </w:rPr>
      </w:pPr>
      <w:r>
        <w:rPr>
          <w:rFonts w:hint="eastAsia" w:ascii="宋体" w:hAnsi="宋体"/>
          <w:bCs/>
          <w:sz w:val="24"/>
        </w:rPr>
        <w:t>2.投标文件的出现不一致情形的处理：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2.1投标文件的纸质文件,正本与副本不符，以正本为准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2.2报价：</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2.2.1投标文件中开标一览表（报价表）内容与投标文件中相应内容不一致的，以开标一览表（报价表）为准；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2.2.2大写金额和小写金额不一致的，以大写金额为准；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2.2.3单价金额小数点或者百分比有明显错位的，以开标一览表的总价为准，并修改单价；</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2.2.4总价金额与按单价汇总金额不一致的，以单价金额计算结果为准；</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2.2.5商务标（明标）和技术标（暗标）的纸质文件,正本与副本不符，以正本为准。</w:t>
      </w:r>
    </w:p>
    <w:p>
      <w:pPr>
        <w:tabs>
          <w:tab w:val="left" w:pos="840"/>
          <w:tab w:val="left" w:pos="1050"/>
        </w:tabs>
        <w:spacing w:line="360" w:lineRule="auto"/>
        <w:ind w:firstLine="482" w:firstLineChars="200"/>
        <w:rPr>
          <w:rFonts w:ascii="宋体" w:hAnsi="宋体"/>
          <w:b/>
          <w:sz w:val="24"/>
        </w:rPr>
      </w:pPr>
      <w:r>
        <w:rPr>
          <w:rFonts w:hint="eastAsia" w:ascii="宋体" w:hAnsi="宋体"/>
          <w:b/>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3.开标工作程序：</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3.1 密封性审查：</w:t>
      </w:r>
    </w:p>
    <w:p>
      <w:pPr>
        <w:tabs>
          <w:tab w:val="left" w:pos="0"/>
          <w:tab w:val="left" w:pos="1050"/>
        </w:tabs>
        <w:spacing w:line="360" w:lineRule="auto"/>
        <w:ind w:firstLine="480" w:firstLineChars="200"/>
        <w:rPr>
          <w:rFonts w:ascii="宋体" w:hAnsi="宋体"/>
          <w:bCs/>
          <w:sz w:val="24"/>
        </w:rPr>
      </w:pPr>
      <w:r>
        <w:rPr>
          <w:rFonts w:hint="eastAsia" w:ascii="宋体" w:hAnsi="宋体"/>
          <w:bCs/>
          <w:sz w:val="24"/>
        </w:rPr>
        <w:t>由投标人或其推选的代表检查投标文件的密封、签署、盖章情况，也可以由公证人员检查并公证；</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3.2初步资格性审查：</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由工作人员在公证或监督下，按照投标人签到时间顺序进行。审查内容有：</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3.2.1投标人的投标文件是否规定的期限、地点送达；</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3.2.2投标人的法定代表人或授权代表是否准时参加开标会议。</w:t>
      </w:r>
    </w:p>
    <w:p>
      <w:pPr>
        <w:tabs>
          <w:tab w:val="left" w:pos="840"/>
          <w:tab w:val="left" w:pos="1050"/>
        </w:tabs>
        <w:spacing w:line="360" w:lineRule="auto"/>
        <w:ind w:left="1" w:firstLine="477" w:firstLineChars="199"/>
        <w:rPr>
          <w:rFonts w:ascii="宋体" w:hAnsi="宋体"/>
          <w:bCs/>
          <w:sz w:val="24"/>
        </w:rPr>
      </w:pPr>
      <w:r>
        <w:rPr>
          <w:rFonts w:hint="eastAsia" w:ascii="宋体" w:hAnsi="宋体"/>
          <w:bCs/>
          <w:sz w:val="24"/>
        </w:rPr>
        <w:t>3.2.3投标人的法定代表人授权代表是否提供有效的身份证明和法定代表人授权委托书</w:t>
      </w:r>
      <w:r>
        <w:rPr>
          <w:rFonts w:hint="eastAsia" w:ascii="宋体" w:hAnsi="宋体"/>
          <w:b/>
          <w:bCs/>
          <w:sz w:val="24"/>
        </w:rPr>
        <w:t>（必须单独出具授权委托书原件、法定代表人参加的无须提供，不另行拆封投标原件资料封袋）</w:t>
      </w:r>
      <w:r>
        <w:rPr>
          <w:rFonts w:hint="eastAsia" w:ascii="宋体" w:hAnsi="宋体"/>
          <w:bCs/>
          <w:sz w:val="24"/>
        </w:rPr>
        <w:t>。</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3.3  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3.3.1经初步资格性审查确认无误后的明标投标文件，由工作人员在公证员公证或监督下，按照投标人签到时间顺序，当众拆封交唱标人唱标。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3.3.2唱标内容仅涉及</w:t>
      </w:r>
      <w:r>
        <w:rPr>
          <w:rFonts w:hint="eastAsia" w:ascii="宋体" w:hAnsi="宋体"/>
          <w:sz w:val="24"/>
        </w:rPr>
        <w:t>开标一览表</w:t>
      </w:r>
      <w:r>
        <w:rPr>
          <w:rFonts w:hint="eastAsia" w:ascii="宋体" w:hAnsi="宋体"/>
          <w:bCs/>
          <w:sz w:val="24"/>
        </w:rPr>
        <w:t>。</w:t>
      </w:r>
    </w:p>
    <w:p>
      <w:pPr>
        <w:tabs>
          <w:tab w:val="left" w:pos="840"/>
          <w:tab w:val="left" w:pos="1050"/>
        </w:tabs>
        <w:spacing w:line="360" w:lineRule="auto"/>
        <w:ind w:firstLine="480" w:firstLineChars="200"/>
        <w:rPr>
          <w:rFonts w:ascii="宋体" w:hAnsi="宋体"/>
          <w:sz w:val="24"/>
        </w:rPr>
      </w:pPr>
      <w:r>
        <w:rPr>
          <w:rFonts w:hint="eastAsia" w:ascii="宋体" w:hAnsi="宋体"/>
          <w:sz w:val="24"/>
        </w:rPr>
        <w:t>3.4唱标结束，投标人退场。</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3.5编制投标人暗标编号</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3.5.1由现场纪委监督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2" w:firstLineChars="200"/>
        <w:rPr>
          <w:rFonts w:ascii="宋体" w:hAnsi="宋体"/>
          <w:b/>
          <w:bCs/>
          <w:sz w:val="24"/>
        </w:rPr>
      </w:pPr>
      <w:r>
        <w:rPr>
          <w:rFonts w:hint="eastAsia" w:ascii="宋体" w:hAnsi="宋体"/>
          <w:b/>
          <w:bCs/>
          <w:sz w:val="24"/>
        </w:rPr>
        <w:t>4. 信用信息审查</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4.1投标供应商提供信用状况</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采购人或采购代理机构在开标前通过“信用中国”网站（www.creditchina.gov.cn）、“信用中国（江苏）”网站（www.jscredit.gov.cn）或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4.2采购人或采购代理机构通过相关渠道查询的供应商主体信用记录，与项目其他采购资料一并保存。</w:t>
      </w:r>
    </w:p>
    <w:p>
      <w:pPr>
        <w:tabs>
          <w:tab w:val="left" w:pos="840"/>
          <w:tab w:val="left" w:pos="1050"/>
        </w:tabs>
        <w:spacing w:line="360" w:lineRule="auto"/>
        <w:ind w:firstLine="482" w:firstLineChars="200"/>
        <w:rPr>
          <w:rFonts w:ascii="宋体" w:hAnsi="宋体"/>
          <w:bCs/>
          <w:sz w:val="24"/>
        </w:rPr>
      </w:pPr>
      <w:r>
        <w:rPr>
          <w:rFonts w:hint="eastAsia" w:ascii="宋体" w:hAnsi="宋体"/>
          <w:b/>
          <w:bCs/>
          <w:sz w:val="24"/>
        </w:rPr>
        <w:t>5</w:t>
      </w:r>
      <w:r>
        <w:rPr>
          <w:rFonts w:ascii="宋体" w:hAnsi="宋体"/>
          <w:b/>
          <w:bCs/>
          <w:sz w:val="24"/>
        </w:rPr>
        <w:t>评标工作程序</w:t>
      </w:r>
    </w:p>
    <w:p>
      <w:pPr>
        <w:tabs>
          <w:tab w:val="left" w:pos="1365"/>
        </w:tabs>
        <w:spacing w:line="360" w:lineRule="auto"/>
        <w:ind w:firstLine="480" w:firstLineChars="200"/>
        <w:rPr>
          <w:rFonts w:ascii="宋体" w:hAnsi="宋体"/>
          <w:bCs/>
          <w:sz w:val="24"/>
        </w:rPr>
      </w:pPr>
      <w:r>
        <w:rPr>
          <w:rFonts w:hint="eastAsia" w:ascii="宋体" w:hAnsi="宋体"/>
          <w:bCs/>
          <w:sz w:val="24"/>
        </w:rPr>
        <w:t xml:space="preserve">5.1 </w:t>
      </w:r>
      <w:r>
        <w:rPr>
          <w:rFonts w:ascii="宋体" w:hAnsi="宋体"/>
          <w:bCs/>
          <w:sz w:val="24"/>
        </w:rPr>
        <w:t>投标文件资格性检查。</w:t>
      </w:r>
    </w:p>
    <w:p>
      <w:pPr>
        <w:tabs>
          <w:tab w:val="left" w:pos="525"/>
        </w:tabs>
        <w:spacing w:line="360" w:lineRule="auto"/>
        <w:ind w:firstLine="480" w:firstLineChars="200"/>
        <w:rPr>
          <w:rFonts w:ascii="宋体" w:hAnsi="宋体"/>
          <w:bCs/>
          <w:sz w:val="24"/>
        </w:rPr>
      </w:pPr>
      <w:r>
        <w:rPr>
          <w:rFonts w:hint="eastAsia" w:ascii="宋体" w:hAnsi="宋体"/>
          <w:bCs/>
          <w:sz w:val="24"/>
        </w:rPr>
        <w:t>5.1.1</w:t>
      </w:r>
      <w:r>
        <w:rPr>
          <w:rFonts w:ascii="宋体" w:hAnsi="宋体"/>
          <w:bCs/>
          <w:sz w:val="24"/>
        </w:rPr>
        <w:t>投标文件资格性检查</w:t>
      </w:r>
      <w:r>
        <w:rPr>
          <w:rFonts w:hint="eastAsia" w:ascii="宋体" w:hAnsi="宋体"/>
          <w:bCs/>
          <w:sz w:val="24"/>
        </w:rPr>
        <w:t>由采购人负责。</w:t>
      </w:r>
    </w:p>
    <w:p>
      <w:pPr>
        <w:tabs>
          <w:tab w:val="left" w:pos="525"/>
        </w:tabs>
        <w:spacing w:line="360" w:lineRule="auto"/>
        <w:ind w:firstLine="480" w:firstLineChars="200"/>
        <w:rPr>
          <w:rFonts w:ascii="宋体" w:hAnsi="宋体"/>
          <w:bCs/>
          <w:sz w:val="24"/>
        </w:rPr>
      </w:pPr>
      <w:r>
        <w:rPr>
          <w:rFonts w:hint="eastAsia" w:ascii="宋体" w:hAnsi="宋体"/>
          <w:bCs/>
          <w:sz w:val="24"/>
        </w:rPr>
        <w:t>5.1.2</w:t>
      </w:r>
      <w:r>
        <w:rPr>
          <w:rFonts w:ascii="宋体" w:hAnsi="宋体"/>
          <w:bCs/>
          <w:sz w:val="24"/>
        </w:rPr>
        <w:t>依据法律法规和招标文件的规定，对投标文件中的资格证明等进行审查，以确定</w:t>
      </w:r>
      <w:r>
        <w:rPr>
          <w:rFonts w:hint="eastAsia" w:ascii="宋体" w:hAnsi="宋体"/>
          <w:bCs/>
          <w:sz w:val="24"/>
        </w:rPr>
        <w:t>投标人提供</w:t>
      </w:r>
      <w:r>
        <w:rPr>
          <w:rFonts w:ascii="宋体" w:hAnsi="宋体"/>
          <w:bCs/>
          <w:sz w:val="24"/>
        </w:rPr>
        <w:t>资格证明</w:t>
      </w:r>
      <w:r>
        <w:rPr>
          <w:rFonts w:hint="eastAsia" w:ascii="宋体" w:hAnsi="宋体"/>
          <w:bCs/>
          <w:sz w:val="24"/>
        </w:rPr>
        <w:t>的合法性、真实性，</w:t>
      </w:r>
      <w:r>
        <w:rPr>
          <w:rFonts w:ascii="宋体" w:hAnsi="宋体"/>
          <w:bCs/>
          <w:sz w:val="24"/>
        </w:rPr>
        <w:t>是否具备投标资格</w:t>
      </w:r>
      <w:r>
        <w:rPr>
          <w:rFonts w:hint="eastAsia" w:ascii="宋体" w:hAnsi="宋体"/>
          <w:bCs/>
          <w:sz w:val="24"/>
        </w:rPr>
        <w:t>。</w:t>
      </w:r>
    </w:p>
    <w:p>
      <w:pPr>
        <w:tabs>
          <w:tab w:val="left" w:pos="1365"/>
        </w:tabs>
        <w:spacing w:line="360" w:lineRule="auto"/>
        <w:ind w:firstLine="480" w:firstLineChars="200"/>
        <w:rPr>
          <w:rFonts w:ascii="宋体" w:hAnsi="宋体"/>
          <w:bCs/>
          <w:sz w:val="24"/>
        </w:rPr>
      </w:pPr>
      <w:r>
        <w:rPr>
          <w:rFonts w:hint="eastAsia" w:ascii="宋体" w:hAnsi="宋体"/>
          <w:bCs/>
          <w:sz w:val="24"/>
        </w:rPr>
        <w:t>5.2 投标文件符合性检查。</w:t>
      </w:r>
    </w:p>
    <w:p>
      <w:pPr>
        <w:tabs>
          <w:tab w:val="left" w:pos="525"/>
        </w:tabs>
        <w:spacing w:line="360" w:lineRule="auto"/>
        <w:ind w:firstLine="480" w:firstLineChars="200"/>
        <w:rPr>
          <w:rFonts w:ascii="宋体" w:hAnsi="宋体"/>
          <w:bCs/>
          <w:sz w:val="24"/>
        </w:rPr>
      </w:pPr>
      <w:r>
        <w:rPr>
          <w:rFonts w:hint="eastAsia" w:ascii="宋体" w:hAnsi="宋体"/>
          <w:bCs/>
          <w:sz w:val="24"/>
        </w:rPr>
        <w:t>5.2.1 投标文件的符合性检查由评标委员会负责。</w:t>
      </w:r>
    </w:p>
    <w:p>
      <w:pPr>
        <w:tabs>
          <w:tab w:val="left" w:pos="525"/>
        </w:tabs>
        <w:spacing w:line="360" w:lineRule="auto"/>
        <w:ind w:firstLine="480" w:firstLineChars="200"/>
        <w:rPr>
          <w:rFonts w:ascii="宋体" w:hAnsi="宋体"/>
          <w:bCs/>
          <w:sz w:val="24"/>
        </w:rPr>
      </w:pPr>
      <w:r>
        <w:rPr>
          <w:rFonts w:hint="eastAsia" w:ascii="宋体" w:hAnsi="宋体"/>
          <w:bCs/>
          <w:sz w:val="24"/>
        </w:rPr>
        <w:t>5.2.2对投标文件的有效性、完整性和对</w:t>
      </w:r>
      <w:r>
        <w:rPr>
          <w:rFonts w:ascii="宋体" w:hAnsi="宋体"/>
          <w:bCs/>
          <w:sz w:val="24"/>
        </w:rPr>
        <w:t>招标文件</w:t>
      </w:r>
      <w:r>
        <w:rPr>
          <w:rFonts w:hint="eastAsia" w:ascii="宋体" w:hAnsi="宋体"/>
          <w:bCs/>
          <w:sz w:val="24"/>
        </w:rPr>
        <w:t>要求</w:t>
      </w:r>
      <w:r>
        <w:rPr>
          <w:rFonts w:ascii="宋体" w:hAnsi="宋体"/>
          <w:bCs/>
          <w:sz w:val="24"/>
        </w:rPr>
        <w:t>的</w:t>
      </w:r>
      <w:r>
        <w:rPr>
          <w:rFonts w:hint="eastAsia" w:ascii="宋体" w:hAnsi="宋体"/>
          <w:bCs/>
          <w:sz w:val="24"/>
        </w:rPr>
        <w:t>符合性</w:t>
      </w:r>
      <w:r>
        <w:rPr>
          <w:rFonts w:ascii="宋体" w:hAnsi="宋体"/>
          <w:bCs/>
          <w:sz w:val="24"/>
        </w:rPr>
        <w:t>进行审查，以确定是否对招标文件的实质性要求</w:t>
      </w:r>
      <w:r>
        <w:rPr>
          <w:rFonts w:hint="eastAsia" w:ascii="宋体" w:hAnsi="宋体"/>
          <w:bCs/>
          <w:sz w:val="24"/>
        </w:rPr>
        <w:t>做出</w:t>
      </w:r>
      <w:r>
        <w:rPr>
          <w:rFonts w:ascii="宋体" w:hAnsi="宋体"/>
          <w:bCs/>
          <w:sz w:val="24"/>
        </w:rPr>
        <w:t>响应</w:t>
      </w:r>
      <w:r>
        <w:rPr>
          <w:rFonts w:hint="eastAsia" w:ascii="宋体" w:hAnsi="宋体"/>
          <w:bCs/>
          <w:sz w:val="24"/>
        </w:rPr>
        <w:t>。</w:t>
      </w:r>
    </w:p>
    <w:p>
      <w:pPr>
        <w:tabs>
          <w:tab w:val="left" w:pos="525"/>
        </w:tabs>
        <w:spacing w:line="360" w:lineRule="auto"/>
        <w:ind w:firstLine="602" w:firstLineChars="250"/>
        <w:rPr>
          <w:rFonts w:ascii="宋体" w:hAnsi="宋体"/>
          <w:b/>
          <w:bCs/>
          <w:sz w:val="24"/>
        </w:rPr>
      </w:pPr>
      <w:r>
        <w:rPr>
          <w:rFonts w:hint="eastAsia" w:ascii="宋体" w:hAnsi="宋体"/>
          <w:b/>
          <w:bCs/>
          <w:sz w:val="24"/>
        </w:rPr>
        <w:t>5.3评标委员会认为投标文件中有含义不明确、同类问题表述不一致或者有明显文字和计算错误的，应以书面形式提出询标内容，由招标工作人员传递给投标人授权代表。投标人授权代表应当以书面形式作出澄清、说明或者补正，明标部分</w:t>
      </w:r>
      <w:r>
        <w:rPr>
          <w:rFonts w:ascii="宋体" w:hAnsi="宋体"/>
          <w:b/>
          <w:bCs/>
          <w:sz w:val="24"/>
        </w:rPr>
        <w:t>加盖公章，或者由法定代表人或其授权的代表签字</w:t>
      </w:r>
      <w:r>
        <w:rPr>
          <w:rFonts w:hint="eastAsia" w:ascii="宋体" w:hAnsi="宋体"/>
          <w:b/>
          <w:bCs/>
          <w:sz w:val="24"/>
        </w:rPr>
        <w:t>确认，暗标部分</w:t>
      </w:r>
      <w:r>
        <w:rPr>
          <w:rFonts w:ascii="宋体" w:hAnsi="宋体"/>
          <w:b/>
          <w:bCs/>
          <w:sz w:val="24"/>
        </w:rPr>
        <w:t>由法定代表人或其授权的代表</w:t>
      </w:r>
      <w:r>
        <w:rPr>
          <w:rFonts w:hint="eastAsia" w:ascii="宋体" w:hAnsi="宋体"/>
          <w:b/>
          <w:bCs/>
          <w:sz w:val="24"/>
        </w:rPr>
        <w:t>按手印代替签字。在暗标评审小组确认签字时，签署“×（技术标编号）号供应商”。</w:t>
      </w:r>
    </w:p>
    <w:p>
      <w:pPr>
        <w:tabs>
          <w:tab w:val="left" w:pos="1365"/>
        </w:tabs>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 xml:space="preserve"> </w:t>
      </w:r>
      <w:r>
        <w:rPr>
          <w:rFonts w:ascii="宋体" w:hAnsi="宋体"/>
          <w:bCs/>
          <w:sz w:val="24"/>
        </w:rPr>
        <w:t>比较与评价</w:t>
      </w:r>
    </w:p>
    <w:p>
      <w:pPr>
        <w:tabs>
          <w:tab w:val="left" w:pos="1365"/>
        </w:tabs>
        <w:spacing w:line="360" w:lineRule="auto"/>
        <w:ind w:firstLine="480" w:firstLineChars="200"/>
        <w:rPr>
          <w:rFonts w:ascii="宋体" w:hAnsi="宋体"/>
          <w:sz w:val="24"/>
        </w:rPr>
      </w:pPr>
      <w:r>
        <w:rPr>
          <w:rFonts w:hint="eastAsia" w:ascii="宋体" w:hAnsi="宋体"/>
          <w:bCs/>
          <w:sz w:val="24"/>
        </w:rPr>
        <w:t>5.</w:t>
      </w:r>
      <w:r>
        <w:rPr>
          <w:rFonts w:ascii="宋体" w:hAnsi="宋体"/>
          <w:bCs/>
          <w:sz w:val="24"/>
        </w:rPr>
        <w:t>4.1投标文件资格性检查</w:t>
      </w:r>
      <w:r>
        <w:rPr>
          <w:rFonts w:hint="eastAsia" w:ascii="宋体" w:hAnsi="宋体"/>
          <w:bCs/>
          <w:sz w:val="24"/>
        </w:rPr>
        <w:t>和符合性检</w:t>
      </w:r>
      <w:r>
        <w:rPr>
          <w:rFonts w:ascii="宋体" w:hAnsi="宋体"/>
          <w:bCs/>
          <w:sz w:val="24"/>
        </w:rPr>
        <w:t>查</w:t>
      </w:r>
      <w:r>
        <w:rPr>
          <w:rFonts w:hint="eastAsia" w:ascii="宋体" w:hAnsi="宋体"/>
          <w:bCs/>
          <w:sz w:val="24"/>
        </w:rPr>
        <w:t>结束后，</w:t>
      </w:r>
      <w:r>
        <w:rPr>
          <w:rFonts w:hint="eastAsia" w:ascii="宋体" w:hAnsi="宋体"/>
          <w:sz w:val="24"/>
        </w:rPr>
        <w:t>凡属于“（八）无效投标文件的确认”的投标文件不进入比较与评价程序。</w:t>
      </w:r>
    </w:p>
    <w:p>
      <w:pPr>
        <w:tabs>
          <w:tab w:val="left" w:pos="1365"/>
        </w:tabs>
        <w:spacing w:line="360" w:lineRule="auto"/>
        <w:ind w:firstLine="480" w:firstLineChars="200"/>
        <w:rPr>
          <w:rFonts w:ascii="宋体" w:hAnsi="宋体"/>
          <w:bCs/>
          <w:sz w:val="24"/>
        </w:rPr>
      </w:pPr>
      <w:r>
        <w:rPr>
          <w:rFonts w:hint="eastAsia" w:ascii="宋体" w:hAnsi="宋体"/>
          <w:sz w:val="24"/>
        </w:rPr>
        <w:t>5</w:t>
      </w:r>
      <w:r>
        <w:rPr>
          <w:rFonts w:ascii="宋体" w:hAnsi="宋体"/>
          <w:sz w:val="24"/>
        </w:rPr>
        <w:t xml:space="preserve">.4.2 </w:t>
      </w:r>
      <w:r>
        <w:rPr>
          <w:rFonts w:hint="eastAsia" w:ascii="宋体" w:hAnsi="宋体"/>
          <w:sz w:val="24"/>
        </w:rPr>
        <w:t>经评审有效的投标文件</w:t>
      </w:r>
      <w:r>
        <w:rPr>
          <w:rFonts w:ascii="宋体" w:hAnsi="宋体"/>
          <w:bCs/>
          <w:sz w:val="24"/>
        </w:rPr>
        <w:t>按招标文件中规定的评标方法和标准，</w:t>
      </w:r>
      <w:r>
        <w:rPr>
          <w:rFonts w:hint="eastAsia" w:ascii="宋体" w:hAnsi="宋体"/>
          <w:sz w:val="24"/>
        </w:rPr>
        <w:t>由评标委员会</w:t>
      </w:r>
      <w:r>
        <w:rPr>
          <w:rFonts w:hint="eastAsia" w:ascii="宋体" w:hAnsi="宋体"/>
          <w:bCs/>
          <w:sz w:val="24"/>
        </w:rPr>
        <w:t>进行</w:t>
      </w:r>
      <w:r>
        <w:rPr>
          <w:rFonts w:ascii="宋体" w:hAnsi="宋体"/>
          <w:bCs/>
          <w:sz w:val="24"/>
        </w:rPr>
        <w:t>比较与评价</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3</w:t>
      </w:r>
      <w:r>
        <w:rPr>
          <w:rFonts w:ascii="宋体" w:hAnsi="宋体"/>
          <w:bCs/>
          <w:sz w:val="24"/>
        </w:rPr>
        <w:t xml:space="preserve"> </w:t>
      </w:r>
      <w:r>
        <w:rPr>
          <w:rFonts w:hint="eastAsia" w:ascii="宋体" w:hAnsi="宋体"/>
          <w:bCs/>
          <w:sz w:val="24"/>
        </w:rPr>
        <w:t>明标评审小组负责对招标文件评分标准中涉及的投标人投标价格、答辩等明标部分内容进行评审。</w:t>
      </w:r>
    </w:p>
    <w:p>
      <w:pPr>
        <w:spacing w:line="360" w:lineRule="auto"/>
        <w:ind w:firstLine="480" w:firstLineChars="200"/>
        <w:rPr>
          <w:rFonts w:ascii="宋体" w:hAnsi="宋体"/>
          <w:bCs/>
          <w:sz w:val="24"/>
        </w:rPr>
      </w:pPr>
      <w:r>
        <w:rPr>
          <w:rFonts w:hint="eastAsia" w:ascii="宋体" w:hAnsi="宋体"/>
          <w:bCs/>
          <w:sz w:val="24"/>
        </w:rPr>
        <w:t>5.4.</w:t>
      </w:r>
      <w:r>
        <w:rPr>
          <w:rFonts w:ascii="宋体" w:hAnsi="宋体"/>
          <w:bCs/>
          <w:sz w:val="24"/>
        </w:rPr>
        <w:t xml:space="preserve">4 </w:t>
      </w:r>
      <w:r>
        <w:rPr>
          <w:rFonts w:hint="eastAsia" w:ascii="宋体" w:hAnsi="宋体"/>
          <w:bCs/>
          <w:sz w:val="24"/>
        </w:rPr>
        <w:t>暗标评审小组负责对招标文件评分标准中涉及的技术方案、性能、服务质量等暗标部分内容进行评审。</w:t>
      </w:r>
    </w:p>
    <w:p>
      <w:pPr>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w:t>
      </w:r>
      <w:r>
        <w:rPr>
          <w:rFonts w:ascii="宋体" w:hAnsi="宋体"/>
          <w:bCs/>
          <w:sz w:val="24"/>
        </w:rPr>
        <w:t xml:space="preserve">5 </w:t>
      </w:r>
      <w:r>
        <w:rPr>
          <w:rFonts w:hint="eastAsia" w:ascii="宋体" w:hAnsi="宋体"/>
          <w:bCs/>
          <w:sz w:val="24"/>
        </w:rPr>
        <w:t>技术标（暗标）和商务标（明标）评审全部结束后，由工作人员在公证或监督下，在评标室当场核对、公布各投标人技术标编号，汇总各投标人商务标和技术标得分，确定各投标人总分和最终排序。</w:t>
      </w:r>
    </w:p>
    <w:p>
      <w:pPr>
        <w:tabs>
          <w:tab w:val="left" w:pos="525"/>
        </w:tabs>
        <w:spacing w:line="360" w:lineRule="auto"/>
        <w:ind w:firstLine="602" w:firstLineChars="250"/>
        <w:rPr>
          <w:rFonts w:ascii="宋体" w:hAnsi="宋体"/>
          <w:b/>
          <w:bCs/>
          <w:sz w:val="24"/>
        </w:rPr>
      </w:pPr>
      <w:r>
        <w:rPr>
          <w:rFonts w:hint="eastAsia" w:ascii="宋体" w:hAnsi="宋体"/>
          <w:b/>
          <w:bCs/>
          <w:sz w:val="24"/>
        </w:rPr>
        <w:t xml:space="preserve">6.评标标准 </w:t>
      </w:r>
    </w:p>
    <w:p>
      <w:pPr>
        <w:tabs>
          <w:tab w:val="left" w:pos="525"/>
          <w:tab w:val="left" w:pos="1050"/>
        </w:tabs>
        <w:spacing w:line="360" w:lineRule="auto"/>
        <w:ind w:firstLine="480" w:firstLineChars="200"/>
        <w:rPr>
          <w:sz w:val="24"/>
        </w:rPr>
      </w:pPr>
      <w:r>
        <w:rPr>
          <w:rFonts w:hint="eastAsia" w:ascii="宋体" w:hAnsi="宋体"/>
          <w:sz w:val="24"/>
        </w:rPr>
        <w:t>投标人通过初审的，方可进入比较与评价程序。</w:t>
      </w:r>
    </w:p>
    <w:p>
      <w:pPr>
        <w:spacing w:line="360" w:lineRule="auto"/>
        <w:ind w:firstLine="480" w:firstLineChars="200"/>
        <w:rPr>
          <w:sz w:val="24"/>
        </w:rPr>
      </w:pPr>
      <w:r>
        <w:rPr>
          <w:rFonts w:hint="eastAsia" w:ascii="宋体" w:hAnsi="宋体"/>
          <w:sz w:val="24"/>
        </w:rPr>
        <w:t>比较与评价采用综合评分法（计分均保留2位小数）。</w:t>
      </w:r>
    </w:p>
    <w:p>
      <w:pPr>
        <w:spacing w:line="360" w:lineRule="auto"/>
        <w:ind w:firstLine="480" w:firstLineChars="200"/>
        <w:rPr>
          <w:rFonts w:ascii="宋体" w:hAnsi="宋体"/>
          <w:sz w:val="24"/>
        </w:rPr>
      </w:pPr>
      <w:r>
        <w:rPr>
          <w:rFonts w:hint="eastAsia" w:ascii="宋体" w:hAnsi="宋体"/>
          <w:sz w:val="24"/>
        </w:rPr>
        <w:t>评标委员会遵循公平、公正、择优原则，独立按照评分标准分别评定投标人的分值；各投标人的最终得分为各评委所评定分值的平均值，并按高低顺序排列，确定排名第一的投标人为中标候选人。若总得分相同，按投标人报价得分由高到低顺序排列；总得分且投标人报价得分相同，按技术指标得分由高到低顺序排列。</w:t>
      </w:r>
    </w:p>
    <w:p>
      <w:pPr>
        <w:spacing w:line="360" w:lineRule="auto"/>
        <w:rPr>
          <w:rFonts w:ascii="宋体" w:hAnsi="宋体"/>
          <w:b/>
          <w:sz w:val="28"/>
          <w:szCs w:val="28"/>
        </w:rPr>
      </w:pPr>
      <w:r>
        <w:rPr>
          <w:rFonts w:hint="eastAsia" w:ascii="宋体" w:hAnsi="宋体"/>
          <w:b/>
          <w:bCs/>
          <w:sz w:val="24"/>
        </w:rPr>
        <w:t>6.1  商务标（明标部分）</w:t>
      </w:r>
      <w:r>
        <w:rPr>
          <w:rFonts w:hint="eastAsia" w:ascii="宋体" w:hAnsi="宋体"/>
          <w:b/>
          <w:sz w:val="28"/>
          <w:szCs w:val="28"/>
        </w:rPr>
        <w:t xml:space="preserve">    </w:t>
      </w:r>
    </w:p>
    <w:p>
      <w:pPr>
        <w:tabs>
          <w:tab w:val="left" w:pos="1050"/>
        </w:tabs>
        <w:spacing w:line="360" w:lineRule="auto"/>
        <w:rPr>
          <w:rFonts w:ascii="宋体" w:hAnsi="宋体"/>
          <w:b/>
          <w:bCs/>
          <w:sz w:val="24"/>
        </w:rPr>
      </w:pPr>
      <w:r>
        <w:rPr>
          <w:rFonts w:hint="eastAsia" w:ascii="宋体" w:hAnsi="宋体"/>
          <w:b/>
          <w:bCs/>
          <w:sz w:val="24"/>
        </w:rPr>
        <w:t>6.1.1价格（15分）</w:t>
      </w:r>
    </w:p>
    <w:p>
      <w:pPr>
        <w:tabs>
          <w:tab w:val="left" w:pos="840"/>
          <w:tab w:val="left" w:pos="1050"/>
        </w:tabs>
        <w:spacing w:line="360" w:lineRule="auto"/>
        <w:ind w:firstLine="720" w:firstLineChars="300"/>
        <w:rPr>
          <w:rFonts w:ascii="宋体" w:hAnsi="宋体"/>
          <w:bCs/>
          <w:sz w:val="24"/>
        </w:rPr>
      </w:pPr>
      <w:r>
        <w:rPr>
          <w:rFonts w:hint="eastAsia" w:ascii="宋体" w:hAnsi="宋体"/>
          <w:bCs/>
          <w:color w:val="000000"/>
          <w:sz w:val="24"/>
        </w:rPr>
        <w:t>采用低价优先法计算，即满足招标文件要求且投标价格最低的投标报价为评标基准价，其价格分为满分。其他投标人的价格分统一按照下列公式计算：</w:t>
      </w:r>
    </w:p>
    <w:p>
      <w:pPr>
        <w:tabs>
          <w:tab w:val="left" w:pos="840"/>
          <w:tab w:val="left" w:pos="1050"/>
        </w:tabs>
        <w:spacing w:line="360" w:lineRule="auto"/>
        <w:ind w:left="210" w:leftChars="100" w:firstLine="482" w:firstLineChars="200"/>
        <w:rPr>
          <w:rFonts w:ascii="宋体" w:hAnsi="宋体"/>
          <w:b/>
          <w:sz w:val="24"/>
        </w:rPr>
      </w:pPr>
      <w:r>
        <w:rPr>
          <w:rFonts w:hint="eastAsia" w:ascii="宋体" w:hAnsi="宋体"/>
          <w:b/>
          <w:sz w:val="24"/>
        </w:rPr>
        <w:t>投标报价得分=（评标基准价/投标报价）*价格权值*100</w:t>
      </w:r>
    </w:p>
    <w:p>
      <w:pPr>
        <w:spacing w:line="360" w:lineRule="auto"/>
        <w:ind w:firstLine="475" w:firstLineChars="197"/>
        <w:rPr>
          <w:rFonts w:ascii="宋体" w:hAnsi="宋体"/>
          <w:b/>
          <w:sz w:val="24"/>
        </w:rPr>
      </w:pPr>
      <w:r>
        <w:rPr>
          <w:rFonts w:hint="eastAsia" w:ascii="宋体" w:hAnsi="宋体"/>
          <w:b/>
          <w:sz w:val="24"/>
        </w:rPr>
        <w:t>价格扣除：根据省财政厅《江苏省财政厅关于进一步加大政府采购支持中小企业力度的通知》（苏财购[2022]45号）的要求，对于非专门面向中小微企业的项目，对小型和微型企业产品价格给予10%的扣除，用扣除后的价格参与评审。</w:t>
      </w:r>
    </w:p>
    <w:p>
      <w:pPr>
        <w:tabs>
          <w:tab w:val="left" w:pos="840"/>
          <w:tab w:val="left" w:pos="1050"/>
        </w:tabs>
        <w:spacing w:line="360" w:lineRule="auto"/>
        <w:ind w:firstLine="480" w:firstLineChars="200"/>
        <w:rPr>
          <w:rFonts w:ascii="宋体" w:hAnsi="宋体"/>
          <w:bCs/>
          <w:color w:val="000000"/>
          <w:sz w:val="24"/>
        </w:rPr>
      </w:pPr>
      <w:r>
        <w:rPr>
          <w:rFonts w:hint="eastAsia" w:ascii="宋体" w:hAnsi="宋体"/>
          <w:bCs/>
          <w:color w:val="000000"/>
          <w:sz w:val="24"/>
        </w:rPr>
        <w:t>①对小型和微型企业产品的价格给予10%的扣除，用扣除后的价格参与评审。参加投标的中小企业，应当按照《江苏省财政厅关于进一步加大政府采购支持中小企业力度的通知》（苏财购[2022]45号）的规定提供《中小企业声明函》（中小企业划型标准详见《关于印发中小企业划型标准规定的通知》工信部联企业〔2011〕300号）。</w:t>
      </w:r>
    </w:p>
    <w:p>
      <w:pPr>
        <w:tabs>
          <w:tab w:val="left" w:pos="840"/>
          <w:tab w:val="left" w:pos="1050"/>
        </w:tabs>
        <w:spacing w:line="360" w:lineRule="auto"/>
        <w:ind w:firstLine="480" w:firstLineChars="200"/>
        <w:rPr>
          <w:rFonts w:ascii="宋体" w:hAnsi="宋体"/>
          <w:bCs/>
          <w:color w:val="000000"/>
          <w:sz w:val="24"/>
        </w:rPr>
      </w:pPr>
      <w:r>
        <w:rPr>
          <w:rFonts w:hint="eastAsia" w:ascii="宋体" w:hAnsi="宋体"/>
          <w:bCs/>
          <w:color w:val="000000"/>
          <w:sz w:val="24"/>
        </w:rPr>
        <w:t xml:space="preserve"> 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840"/>
          <w:tab w:val="left" w:pos="1050"/>
        </w:tabs>
        <w:spacing w:line="360" w:lineRule="auto"/>
        <w:ind w:firstLine="480" w:firstLineChars="200"/>
        <w:rPr>
          <w:rFonts w:ascii="宋体" w:hAnsi="宋体"/>
          <w:bCs/>
          <w:color w:val="000000"/>
          <w:sz w:val="24"/>
        </w:rPr>
      </w:pPr>
      <w:r>
        <w:rPr>
          <w:rFonts w:hint="eastAsia" w:ascii="宋体" w:hAnsi="宋体"/>
          <w:bCs/>
          <w:color w:val="000000"/>
          <w:sz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840"/>
          <w:tab w:val="left" w:pos="1050"/>
        </w:tabs>
        <w:spacing w:line="360" w:lineRule="auto"/>
        <w:ind w:firstLine="480" w:firstLineChars="200"/>
        <w:rPr>
          <w:rFonts w:ascii="宋体" w:hAnsi="宋体"/>
          <w:bCs/>
          <w:color w:val="000000"/>
          <w:sz w:val="24"/>
        </w:rPr>
      </w:pPr>
      <w:r>
        <w:rPr>
          <w:rFonts w:hint="eastAsia" w:ascii="宋体" w:hAnsi="宋体"/>
          <w:bCs/>
          <w:color w:val="000000"/>
          <w:sz w:val="24"/>
        </w:rPr>
        <w:t>同一报价供应商，上述三项价格扣除优惠不得重复享受。</w:t>
      </w:r>
    </w:p>
    <w:p>
      <w:pPr>
        <w:tabs>
          <w:tab w:val="left" w:pos="525"/>
          <w:tab w:val="left" w:pos="945"/>
          <w:tab w:val="left" w:pos="1130"/>
          <w:tab w:val="left" w:pos="1155"/>
        </w:tabs>
        <w:spacing w:line="360" w:lineRule="auto"/>
        <w:rPr>
          <w:rFonts w:ascii="宋体" w:hAnsi="宋体"/>
          <w:b/>
          <w:bCs/>
          <w:color w:val="000000"/>
          <w:sz w:val="24"/>
        </w:rPr>
      </w:pPr>
      <w:r>
        <w:rPr>
          <w:rFonts w:hint="eastAsia" w:ascii="宋体" w:hAnsi="宋体"/>
          <w:b/>
          <w:bCs/>
          <w:color w:val="000000"/>
          <w:sz w:val="24"/>
        </w:rPr>
        <w:t>6.1.2投标供应商评价（</w:t>
      </w:r>
      <w:r>
        <w:rPr>
          <w:rFonts w:hint="eastAsia" w:ascii="宋体" w:hAnsi="宋体"/>
          <w:b/>
          <w:bCs/>
          <w:color w:val="000000"/>
          <w:sz w:val="24"/>
          <w:lang w:val="en-US" w:eastAsia="zh-CN"/>
        </w:rPr>
        <w:t>29</w:t>
      </w:r>
      <w:r>
        <w:rPr>
          <w:rFonts w:hint="eastAsia" w:ascii="宋体" w:hAnsi="宋体"/>
          <w:b/>
          <w:bCs/>
          <w:color w:val="000000"/>
          <w:sz w:val="24"/>
        </w:rPr>
        <w:t>分)</w:t>
      </w:r>
    </w:p>
    <w:p>
      <w:pPr>
        <w:numPr>
          <w:ilvl w:val="0"/>
          <w:numId w:val="17"/>
        </w:numPr>
        <w:spacing w:line="360" w:lineRule="auto"/>
        <w:ind w:left="0" w:firstLine="425"/>
        <w:jc w:val="left"/>
        <w:rPr>
          <w:rFonts w:ascii="宋体" w:hAnsi="宋体"/>
          <w:sz w:val="24"/>
          <w:highlight w:val="none"/>
        </w:rPr>
      </w:pPr>
      <w:r>
        <w:rPr>
          <w:rFonts w:hint="eastAsia" w:ascii="宋体" w:hAnsi="宋体"/>
          <w:sz w:val="24"/>
          <w:highlight w:val="none"/>
        </w:rPr>
        <w:t>供应商团队要求（1</w:t>
      </w:r>
      <w:r>
        <w:rPr>
          <w:rFonts w:hint="eastAsia" w:ascii="宋体" w:hAnsi="宋体"/>
          <w:sz w:val="24"/>
          <w:highlight w:val="none"/>
          <w:lang w:val="en-US" w:eastAsia="zh-CN"/>
        </w:rPr>
        <w:t>8</w:t>
      </w:r>
      <w:r>
        <w:rPr>
          <w:rFonts w:hint="eastAsia" w:ascii="宋体" w:hAnsi="宋体"/>
          <w:sz w:val="24"/>
          <w:highlight w:val="none"/>
        </w:rPr>
        <w:t>分）</w:t>
      </w:r>
    </w:p>
    <w:p>
      <w:pPr>
        <w:spacing w:line="360" w:lineRule="auto"/>
        <w:ind w:firstLine="480" w:firstLineChars="200"/>
        <w:rPr>
          <w:rFonts w:hint="eastAsia" w:ascii="宋体" w:hAnsi="宋体" w:eastAsia="宋体"/>
          <w:b/>
          <w:bCs/>
          <w:sz w:val="24"/>
          <w:lang w:eastAsia="zh-CN"/>
        </w:rPr>
      </w:pPr>
      <w:r>
        <w:rPr>
          <w:rFonts w:hint="eastAsia" w:ascii="宋体" w:hAnsi="宋体"/>
          <w:sz w:val="24"/>
          <w:highlight w:val="none"/>
        </w:rPr>
        <w:t>①投标供应商团队成员具备注册环保工程师资格,</w:t>
      </w:r>
      <w:r>
        <w:rPr>
          <w:rFonts w:hint="eastAsia" w:ascii="宋体" w:hAnsi="宋体"/>
          <w:sz w:val="24"/>
          <w:highlight w:val="none"/>
          <w:lang w:val="en-US" w:eastAsia="zh-CN"/>
        </w:rPr>
        <w:t>每有一人得2分，</w:t>
      </w:r>
      <w:r>
        <w:rPr>
          <w:rFonts w:hint="eastAsia" w:ascii="宋体" w:hAnsi="宋体"/>
          <w:sz w:val="24"/>
          <w:highlight w:val="none"/>
        </w:rPr>
        <w:t>本项最高</w:t>
      </w:r>
      <w:r>
        <w:rPr>
          <w:rFonts w:hint="eastAsia" w:ascii="宋体" w:hAnsi="宋体"/>
          <w:sz w:val="24"/>
          <w:highlight w:val="none"/>
          <w:lang w:val="en-US" w:eastAsia="zh-CN"/>
        </w:rPr>
        <w:t>4</w:t>
      </w:r>
      <w:r>
        <w:rPr>
          <w:rFonts w:hint="eastAsia" w:ascii="宋体" w:hAnsi="宋体"/>
          <w:sz w:val="24"/>
          <w:highlight w:val="none"/>
        </w:rPr>
        <w:t>分。</w:t>
      </w:r>
      <w:r>
        <w:rPr>
          <w:rFonts w:hint="eastAsia" w:ascii="宋体" w:hAnsi="宋体"/>
          <w:b/>
          <w:bCs/>
          <w:sz w:val="24"/>
          <w:highlight w:val="none"/>
        </w:rPr>
        <w:t>（投标时必须提供有效证书及本企业与其签订的《劳动合同》及由社保机构出具的2022年</w:t>
      </w:r>
      <w:r>
        <w:rPr>
          <w:rFonts w:hint="eastAsia" w:ascii="宋体" w:hAnsi="宋体"/>
          <w:b/>
          <w:bCs/>
          <w:sz w:val="24"/>
          <w:highlight w:val="none"/>
          <w:lang w:val="en-US" w:eastAsia="zh-CN"/>
        </w:rPr>
        <w:t>2</w:t>
      </w:r>
      <w:r>
        <w:rPr>
          <w:rFonts w:hint="eastAsia" w:ascii="宋体" w:hAnsi="宋体"/>
          <w:b/>
          <w:bCs/>
          <w:sz w:val="24"/>
        </w:rPr>
        <w:t>月～2022年</w:t>
      </w:r>
      <w:r>
        <w:rPr>
          <w:rFonts w:hint="eastAsia" w:ascii="宋体" w:hAnsi="宋体"/>
          <w:b/>
          <w:bCs/>
          <w:sz w:val="24"/>
          <w:lang w:val="en-US" w:eastAsia="zh-CN"/>
        </w:rPr>
        <w:t>7</w:t>
      </w:r>
      <w:r>
        <w:rPr>
          <w:rFonts w:hint="eastAsia" w:ascii="宋体" w:hAnsi="宋体"/>
          <w:b/>
          <w:bCs/>
          <w:sz w:val="24"/>
        </w:rPr>
        <w:t>月缴费证明原件核查</w:t>
      </w:r>
      <w:r>
        <w:rPr>
          <w:rFonts w:hint="eastAsia" w:ascii="宋体" w:hAnsi="宋体"/>
          <w:b/>
          <w:bCs/>
          <w:sz w:val="24"/>
          <w:lang w:eastAsia="zh-CN"/>
        </w:rPr>
        <w:t>，</w:t>
      </w:r>
      <w:r>
        <w:rPr>
          <w:rFonts w:hint="eastAsia" w:ascii="宋体" w:hAnsi="宋体"/>
          <w:b/>
          <w:bCs/>
          <w:sz w:val="24"/>
        </w:rPr>
        <w:t>复印件加盖公章放入补充证明文件中，不提供或提供不全者不得分，年限截止时间为投标截止时间</w:t>
      </w:r>
      <w:r>
        <w:rPr>
          <w:rFonts w:hint="eastAsia" w:ascii="宋体" w:hAnsi="宋体"/>
          <w:b/>
          <w:bCs/>
          <w:sz w:val="24"/>
          <w:lang w:eastAsia="zh-CN"/>
        </w:rPr>
        <w:t>，</w:t>
      </w:r>
      <w:r>
        <w:rPr>
          <w:rFonts w:hint="eastAsia" w:ascii="宋体" w:hAnsi="宋体"/>
          <w:b/>
          <w:bCs/>
          <w:sz w:val="24"/>
        </w:rPr>
        <w:t>网上查询带有二维码/验证码的打印件可做原件使用,如投标供应商成立时间迟于要求开始的时间，则提供成立时间至采购文件中社保要求的截止时间内的社保缴费证明</w:t>
      </w:r>
      <w:r>
        <w:rPr>
          <w:rFonts w:hint="eastAsia" w:ascii="宋体" w:hAnsi="宋体"/>
          <w:b/>
          <w:bCs/>
          <w:sz w:val="24"/>
          <w:lang w:eastAsia="zh-CN"/>
        </w:rPr>
        <w:t>）</w:t>
      </w:r>
    </w:p>
    <w:p>
      <w:pPr>
        <w:spacing w:line="360" w:lineRule="auto"/>
        <w:ind w:firstLine="480" w:firstLineChars="200"/>
        <w:rPr>
          <w:rFonts w:hint="eastAsia" w:ascii="宋体" w:hAnsi="宋体" w:eastAsia="宋体"/>
          <w:sz w:val="24"/>
          <w:lang w:eastAsia="zh-CN"/>
        </w:rPr>
      </w:pPr>
      <w:r>
        <w:rPr>
          <w:rFonts w:hint="eastAsia" w:ascii="宋体" w:hAnsi="宋体"/>
          <w:sz w:val="24"/>
        </w:rPr>
        <w:t>②投标供应商团队成员具有环境工程专业教授级高级工程师职称的得5分；具有环境工程专业高级工程师职称的得3分；具有环境工程专业工程师职称的得1分，本项最高得5分。</w:t>
      </w:r>
      <w:r>
        <w:rPr>
          <w:rFonts w:hint="eastAsia" w:ascii="宋体" w:hAnsi="宋体"/>
          <w:b/>
          <w:bCs/>
          <w:sz w:val="24"/>
        </w:rPr>
        <w:t>（以上工程师职称以投标供应商提供的最高职称证书计分，不得累计。投标时必须提供职称证书及本企业与其签订的《劳动合同》及由社保机构出具的2022年</w:t>
      </w:r>
      <w:r>
        <w:rPr>
          <w:rFonts w:hint="eastAsia" w:ascii="宋体" w:hAnsi="宋体"/>
          <w:b/>
          <w:bCs/>
          <w:sz w:val="24"/>
          <w:lang w:val="en-US" w:eastAsia="zh-CN"/>
        </w:rPr>
        <w:t>2</w:t>
      </w:r>
      <w:r>
        <w:rPr>
          <w:rFonts w:hint="eastAsia" w:ascii="宋体" w:hAnsi="宋体"/>
          <w:b/>
          <w:bCs/>
          <w:sz w:val="24"/>
        </w:rPr>
        <w:t>月～2022年</w:t>
      </w:r>
      <w:r>
        <w:rPr>
          <w:rFonts w:hint="eastAsia" w:ascii="宋体" w:hAnsi="宋体"/>
          <w:b/>
          <w:bCs/>
          <w:sz w:val="24"/>
          <w:lang w:val="en-US" w:eastAsia="zh-CN"/>
        </w:rPr>
        <w:t>7</w:t>
      </w:r>
      <w:r>
        <w:rPr>
          <w:rFonts w:hint="eastAsia" w:ascii="宋体" w:hAnsi="宋体"/>
          <w:b/>
          <w:bCs/>
          <w:sz w:val="24"/>
        </w:rPr>
        <w:t>月缴费证明原件核查</w:t>
      </w:r>
      <w:r>
        <w:rPr>
          <w:rFonts w:hint="eastAsia" w:ascii="宋体" w:hAnsi="宋体"/>
          <w:b/>
          <w:bCs/>
          <w:sz w:val="24"/>
          <w:lang w:eastAsia="zh-CN"/>
        </w:rPr>
        <w:t>，</w:t>
      </w:r>
      <w:r>
        <w:rPr>
          <w:rFonts w:hint="eastAsia" w:ascii="宋体" w:hAnsi="宋体"/>
          <w:b/>
          <w:bCs/>
          <w:sz w:val="24"/>
        </w:rPr>
        <w:t>复印件加盖公章放入补充证明文件中，不提供或提供不全者不得分）</w:t>
      </w:r>
      <w:r>
        <w:rPr>
          <w:rFonts w:hint="eastAsia" w:ascii="宋体" w:hAnsi="宋体"/>
          <w:b/>
          <w:bCs/>
          <w:sz w:val="24"/>
          <w:lang w:eastAsia="zh-CN"/>
        </w:rPr>
        <w:t>，网上查询带有二维码/验证码的打印件可做原件使用,如投标供应商成立时间迟于要求开始的时间，则提供成立时间至采购文件中社保要求的截止时间内的社保缴费证明）</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rPr>
        <w:t>③投标供应</w:t>
      </w:r>
      <w:r>
        <w:rPr>
          <w:rFonts w:hint="eastAsia" w:ascii="宋体" w:hAnsi="宋体"/>
          <w:sz w:val="24"/>
          <w:highlight w:val="none"/>
        </w:rPr>
        <w:t>商团队成员具备省级(或直辖市)政</w:t>
      </w:r>
      <w:r>
        <w:rPr>
          <w:rFonts w:hint="eastAsia" w:ascii="宋体" w:hAnsi="宋体"/>
          <w:sz w:val="24"/>
        </w:rPr>
        <w:t>府固废处理/监管项目评审专家资格的有一个得5分；具市级政府固废处理/监管项目评审专家资格的有一个得2.5分,本项最高得5分。</w:t>
      </w:r>
      <w:r>
        <w:rPr>
          <w:rFonts w:hint="eastAsia" w:ascii="宋体" w:hAnsi="宋体"/>
          <w:b/>
          <w:bCs/>
          <w:sz w:val="24"/>
        </w:rPr>
        <w:t>（投标时必须提供</w:t>
      </w:r>
      <w:r>
        <w:rPr>
          <w:rFonts w:hint="eastAsia" w:ascii="宋体" w:hAnsi="宋体"/>
          <w:b/>
          <w:bCs/>
          <w:sz w:val="24"/>
          <w:lang w:val="en-US" w:eastAsia="zh-CN"/>
        </w:rPr>
        <w:t>资格</w:t>
      </w:r>
      <w:r>
        <w:rPr>
          <w:rFonts w:hint="eastAsia" w:ascii="宋体" w:hAnsi="宋体"/>
          <w:b/>
          <w:bCs/>
          <w:sz w:val="24"/>
        </w:rPr>
        <w:t>文件复印件</w:t>
      </w:r>
      <w:r>
        <w:rPr>
          <w:rFonts w:hint="eastAsia" w:ascii="宋体" w:hAnsi="宋体"/>
          <w:b/>
          <w:bCs/>
          <w:sz w:val="24"/>
          <w:lang w:val="en-US" w:eastAsia="zh-CN"/>
        </w:rPr>
        <w:t>或网上公示链接及截图或其他证明资料复印件，提供</w:t>
      </w:r>
      <w:r>
        <w:rPr>
          <w:rFonts w:hint="eastAsia" w:ascii="宋体" w:hAnsi="宋体"/>
          <w:b/>
          <w:bCs/>
          <w:sz w:val="24"/>
        </w:rPr>
        <w:t>本企业与其签订的《劳动合同》及由社保机构出具的2022年</w:t>
      </w:r>
      <w:r>
        <w:rPr>
          <w:rFonts w:hint="eastAsia" w:ascii="宋体" w:hAnsi="宋体"/>
          <w:b/>
          <w:bCs/>
          <w:sz w:val="24"/>
          <w:lang w:val="en-US" w:eastAsia="zh-CN"/>
        </w:rPr>
        <w:t>2</w:t>
      </w:r>
      <w:r>
        <w:rPr>
          <w:rFonts w:hint="eastAsia" w:ascii="宋体" w:hAnsi="宋体"/>
          <w:b/>
          <w:bCs/>
          <w:sz w:val="24"/>
        </w:rPr>
        <w:t>月～2022年</w:t>
      </w:r>
      <w:r>
        <w:rPr>
          <w:rFonts w:hint="eastAsia" w:ascii="宋体" w:hAnsi="宋体"/>
          <w:b/>
          <w:bCs/>
          <w:sz w:val="24"/>
          <w:lang w:val="en-US" w:eastAsia="zh-CN"/>
        </w:rPr>
        <w:t>7</w:t>
      </w:r>
      <w:r>
        <w:rPr>
          <w:rFonts w:hint="eastAsia" w:ascii="宋体" w:hAnsi="宋体"/>
          <w:b/>
          <w:bCs/>
          <w:sz w:val="24"/>
        </w:rPr>
        <w:t>月缴费证明原件核查</w:t>
      </w:r>
      <w:r>
        <w:rPr>
          <w:rFonts w:hint="eastAsia" w:ascii="宋体" w:hAnsi="宋体"/>
          <w:b/>
          <w:bCs/>
          <w:sz w:val="24"/>
          <w:lang w:eastAsia="zh-CN"/>
        </w:rPr>
        <w:t>，</w:t>
      </w:r>
      <w:r>
        <w:rPr>
          <w:rFonts w:hint="eastAsia" w:ascii="宋体" w:hAnsi="宋体"/>
          <w:b/>
          <w:bCs/>
          <w:sz w:val="24"/>
        </w:rPr>
        <w:t>复印件加盖公章放入补充证明文件中，不提供或提供不全者不得分</w:t>
      </w:r>
      <w:r>
        <w:rPr>
          <w:rFonts w:hint="eastAsia" w:ascii="宋体" w:hAnsi="宋体"/>
          <w:b/>
          <w:bCs/>
          <w:sz w:val="24"/>
          <w:lang w:eastAsia="zh-CN"/>
        </w:rPr>
        <w:t>，网上查询带有二维码/验证码的打印件可做原件使用,如投标供应商成立时间迟于要求开始的时间，则</w:t>
      </w:r>
      <w:r>
        <w:rPr>
          <w:rFonts w:hint="eastAsia" w:ascii="宋体" w:hAnsi="宋体"/>
          <w:b/>
          <w:bCs/>
          <w:sz w:val="24"/>
          <w:highlight w:val="none"/>
          <w:lang w:eastAsia="zh-CN"/>
        </w:rPr>
        <w:t>提供成立时间至采购文件中社保要求的截止时间内的社保缴费证明）</w:t>
      </w:r>
    </w:p>
    <w:p>
      <w:pPr>
        <w:spacing w:line="360" w:lineRule="auto"/>
        <w:ind w:firstLine="480" w:firstLineChars="200"/>
        <w:rPr>
          <w:highlight w:val="none"/>
        </w:rPr>
      </w:pPr>
      <w:r>
        <w:rPr>
          <w:rFonts w:hint="eastAsia" w:ascii="宋体" w:hAnsi="宋体"/>
          <w:sz w:val="24"/>
          <w:highlight w:val="none"/>
        </w:rPr>
        <w:t>④投标供应商拟派驻项目负责人自2019年</w:t>
      </w:r>
      <w:r>
        <w:rPr>
          <w:rFonts w:hint="eastAsia" w:ascii="宋体" w:hAnsi="宋体"/>
          <w:sz w:val="24"/>
          <w:highlight w:val="none"/>
          <w:lang w:val="en-US" w:eastAsia="zh-CN"/>
        </w:rPr>
        <w:t>1月1日</w:t>
      </w:r>
      <w:r>
        <w:rPr>
          <w:rFonts w:hint="eastAsia" w:ascii="宋体" w:hAnsi="宋体"/>
          <w:sz w:val="24"/>
          <w:highlight w:val="none"/>
        </w:rPr>
        <w:t>起承接过生活垃圾分类业绩的</w:t>
      </w:r>
      <w:r>
        <w:rPr>
          <w:rFonts w:hint="eastAsia" w:ascii="宋体" w:hAnsi="宋体"/>
          <w:sz w:val="24"/>
          <w:highlight w:val="none"/>
          <w:lang w:val="en-US" w:eastAsia="zh-CN"/>
        </w:rPr>
        <w:t>有一个</w:t>
      </w:r>
      <w:r>
        <w:rPr>
          <w:rFonts w:hint="eastAsia" w:ascii="宋体" w:hAnsi="宋体"/>
          <w:sz w:val="24"/>
          <w:highlight w:val="none"/>
        </w:rPr>
        <w:t>得2分，本项最高得4分。</w:t>
      </w:r>
      <w:r>
        <w:rPr>
          <w:rFonts w:hint="eastAsia" w:ascii="宋体" w:hAnsi="宋体"/>
          <w:b/>
          <w:bCs/>
          <w:sz w:val="24"/>
          <w:highlight w:val="none"/>
        </w:rPr>
        <w:t>（投标时提供合同原件核查</w:t>
      </w:r>
      <w:r>
        <w:rPr>
          <w:rFonts w:hint="eastAsia" w:ascii="宋体" w:hAnsi="宋体"/>
          <w:b/>
          <w:bCs/>
          <w:sz w:val="24"/>
          <w:highlight w:val="none"/>
          <w:lang w:eastAsia="zh-CN"/>
        </w:rPr>
        <w:t>，</w:t>
      </w:r>
      <w:r>
        <w:rPr>
          <w:rFonts w:hint="eastAsia" w:ascii="宋体" w:hAnsi="宋体"/>
          <w:b/>
          <w:bCs/>
          <w:sz w:val="24"/>
          <w:highlight w:val="none"/>
        </w:rPr>
        <w:t>复印件加盖公章放入补充证明文件中，不提供或提供不全者不得分</w:t>
      </w:r>
      <w:r>
        <w:rPr>
          <w:rFonts w:hint="eastAsia" w:ascii="宋体" w:hAnsi="宋体"/>
          <w:b/>
          <w:bCs/>
          <w:sz w:val="24"/>
          <w:highlight w:val="none"/>
          <w:lang w:eastAsia="zh-CN"/>
        </w:rPr>
        <w:t>，</w:t>
      </w:r>
      <w:r>
        <w:rPr>
          <w:rFonts w:hint="eastAsia" w:ascii="宋体" w:hAnsi="宋体"/>
          <w:b/>
          <w:bCs/>
          <w:sz w:val="24"/>
          <w:highlight w:val="none"/>
        </w:rPr>
        <w:t>如合同中无项目负责人信息需提供由项目业主盖章资料或其他业主盖章证明材料</w:t>
      </w:r>
      <w:r>
        <w:rPr>
          <w:rFonts w:hint="eastAsia" w:ascii="宋体" w:hAnsi="宋体"/>
          <w:b/>
          <w:bCs/>
          <w:sz w:val="24"/>
          <w:highlight w:val="none"/>
          <w:lang w:eastAsia="zh-CN"/>
        </w:rPr>
        <w:t>，</w:t>
      </w:r>
      <w:r>
        <w:rPr>
          <w:rFonts w:hint="eastAsia" w:ascii="宋体" w:hAnsi="宋体"/>
          <w:b/>
          <w:bCs/>
          <w:sz w:val="24"/>
          <w:highlight w:val="none"/>
          <w:lang w:val="en-US" w:eastAsia="zh-CN"/>
        </w:rPr>
        <w:t>同一业绩如为驻派项目负责人业绩不与投标供应商业绩重复得分</w:t>
      </w:r>
      <w:r>
        <w:rPr>
          <w:rFonts w:hint="eastAsia" w:ascii="宋体" w:hAnsi="宋体"/>
          <w:b/>
          <w:bCs/>
          <w:sz w:val="24"/>
          <w:highlight w:val="none"/>
        </w:rPr>
        <w:t xml:space="preserve">）                                                                                            </w:t>
      </w:r>
    </w:p>
    <w:p>
      <w:pPr>
        <w:numPr>
          <w:ilvl w:val="0"/>
          <w:numId w:val="17"/>
        </w:numPr>
        <w:spacing w:line="360" w:lineRule="auto"/>
        <w:ind w:left="0" w:firstLine="425"/>
        <w:jc w:val="left"/>
        <w:rPr>
          <w:highlight w:val="none"/>
        </w:rPr>
      </w:pPr>
      <w:r>
        <w:rPr>
          <w:rFonts w:hint="eastAsia" w:ascii="宋体" w:hAnsi="宋体"/>
          <w:sz w:val="24"/>
          <w:highlight w:val="none"/>
        </w:rPr>
        <w:t>投标供应商具备有效期内的质量管理体系认证、环境管理体系认证、职业健康安全管理体系认证的每项得1分，本项最高得3分。</w:t>
      </w:r>
      <w:r>
        <w:rPr>
          <w:rFonts w:hint="eastAsia" w:ascii="宋体" w:hAnsi="宋体"/>
          <w:b/>
          <w:bCs/>
          <w:sz w:val="24"/>
          <w:highlight w:val="none"/>
        </w:rPr>
        <w:t>（上述认证证书范围需包括“第三方运维监管”内容，投标时必须提供原件核查，复印件加盖公章放入补充证明文件中，不提供</w:t>
      </w:r>
      <w:r>
        <w:rPr>
          <w:rFonts w:hint="eastAsia" w:ascii="宋体" w:hAnsi="宋体"/>
          <w:b/>
          <w:bCs/>
          <w:sz w:val="24"/>
          <w:highlight w:val="none"/>
          <w:lang w:val="en-US" w:eastAsia="zh-CN"/>
        </w:rPr>
        <w:t>或提供不全</w:t>
      </w:r>
      <w:r>
        <w:rPr>
          <w:rFonts w:hint="eastAsia" w:ascii="宋体" w:hAnsi="宋体"/>
          <w:b/>
          <w:bCs/>
          <w:sz w:val="24"/>
          <w:highlight w:val="none"/>
        </w:rPr>
        <w:t>者不得分）</w:t>
      </w:r>
    </w:p>
    <w:p>
      <w:pPr>
        <w:numPr>
          <w:ilvl w:val="0"/>
          <w:numId w:val="17"/>
        </w:numPr>
        <w:spacing w:line="360" w:lineRule="auto"/>
        <w:ind w:left="0" w:firstLine="425"/>
        <w:jc w:val="left"/>
        <w:rPr>
          <w:rFonts w:ascii="宋体" w:hAnsi="宋体"/>
          <w:b/>
          <w:bCs/>
          <w:sz w:val="24"/>
          <w:highlight w:val="none"/>
        </w:rPr>
      </w:pPr>
      <w:r>
        <w:rPr>
          <w:rFonts w:hint="eastAsia" w:ascii="宋体" w:hAnsi="宋体"/>
          <w:sz w:val="24"/>
          <w:highlight w:val="none"/>
        </w:rPr>
        <w:t>投标供应商具有自2019年1月1日起签订的独立承接垃圾分类测评业绩合同的，每有一个得2分，本项最高得</w:t>
      </w:r>
      <w:r>
        <w:rPr>
          <w:rFonts w:hint="eastAsia" w:ascii="宋体" w:hAnsi="宋体"/>
          <w:sz w:val="24"/>
          <w:highlight w:val="none"/>
          <w:lang w:val="en-US" w:eastAsia="zh-CN"/>
        </w:rPr>
        <w:t>4</w:t>
      </w:r>
      <w:r>
        <w:rPr>
          <w:rFonts w:hint="eastAsia" w:ascii="宋体" w:hAnsi="宋体"/>
          <w:sz w:val="24"/>
          <w:highlight w:val="none"/>
        </w:rPr>
        <w:t>分。</w:t>
      </w:r>
      <w:r>
        <w:rPr>
          <w:rFonts w:hint="eastAsia" w:ascii="宋体" w:hAnsi="宋体"/>
          <w:b/>
          <w:bCs/>
          <w:sz w:val="24"/>
          <w:highlight w:val="none"/>
        </w:rPr>
        <w:t>(投标时提供合同原件核查，一年一签为一个业绩，业绩时间按签订合同时间为准，复印件加盖公章放入补充证明文件中，不提供</w:t>
      </w:r>
      <w:r>
        <w:rPr>
          <w:rFonts w:hint="eastAsia" w:ascii="宋体" w:hAnsi="宋体"/>
          <w:b/>
          <w:bCs/>
          <w:sz w:val="24"/>
          <w:highlight w:val="none"/>
          <w:lang w:val="en-US" w:eastAsia="zh-CN"/>
        </w:rPr>
        <w:t>或提供不全</w:t>
      </w:r>
      <w:r>
        <w:rPr>
          <w:rFonts w:hint="eastAsia" w:ascii="宋体" w:hAnsi="宋体"/>
          <w:b/>
          <w:bCs/>
          <w:sz w:val="24"/>
          <w:highlight w:val="none"/>
        </w:rPr>
        <w:t>者不得分</w:t>
      </w:r>
      <w:r>
        <w:rPr>
          <w:rFonts w:hint="eastAsia" w:ascii="宋体" w:hAnsi="宋体"/>
          <w:b/>
          <w:bCs/>
          <w:sz w:val="24"/>
          <w:highlight w:val="none"/>
          <w:lang w:eastAsia="zh-CN"/>
        </w:rPr>
        <w:t>，同一业绩如为</w:t>
      </w:r>
      <w:r>
        <w:rPr>
          <w:rFonts w:hint="eastAsia" w:ascii="宋体" w:hAnsi="宋体"/>
          <w:b/>
          <w:bCs/>
          <w:sz w:val="24"/>
          <w:highlight w:val="none"/>
          <w:lang w:val="en-US" w:eastAsia="zh-CN"/>
        </w:rPr>
        <w:t>投标供应商</w:t>
      </w:r>
      <w:r>
        <w:rPr>
          <w:rFonts w:hint="eastAsia" w:ascii="宋体" w:hAnsi="宋体"/>
          <w:b/>
          <w:bCs/>
          <w:sz w:val="24"/>
          <w:highlight w:val="none"/>
          <w:lang w:eastAsia="zh-CN"/>
        </w:rPr>
        <w:t>业绩不与驻</w:t>
      </w:r>
      <w:r>
        <w:rPr>
          <w:rFonts w:hint="eastAsia" w:ascii="宋体" w:hAnsi="宋体"/>
          <w:b/>
          <w:bCs/>
          <w:sz w:val="24"/>
          <w:highlight w:val="none"/>
          <w:lang w:val="en-US" w:eastAsia="zh-CN"/>
        </w:rPr>
        <w:t>派</w:t>
      </w:r>
      <w:r>
        <w:rPr>
          <w:rFonts w:hint="eastAsia" w:ascii="宋体" w:hAnsi="宋体"/>
          <w:b/>
          <w:bCs/>
          <w:sz w:val="24"/>
          <w:highlight w:val="none"/>
          <w:lang w:eastAsia="zh-CN"/>
        </w:rPr>
        <w:t>项目负责人</w:t>
      </w:r>
      <w:r>
        <w:rPr>
          <w:rFonts w:hint="eastAsia" w:ascii="宋体" w:hAnsi="宋体"/>
          <w:b/>
          <w:bCs/>
          <w:sz w:val="24"/>
          <w:highlight w:val="none"/>
          <w:lang w:val="en-US" w:eastAsia="zh-CN"/>
        </w:rPr>
        <w:t>业绩</w:t>
      </w:r>
      <w:r>
        <w:rPr>
          <w:rFonts w:hint="eastAsia" w:ascii="宋体" w:hAnsi="宋体"/>
          <w:b/>
          <w:bCs/>
          <w:sz w:val="24"/>
          <w:highlight w:val="none"/>
          <w:lang w:eastAsia="zh-CN"/>
        </w:rPr>
        <w:t>重复得分</w:t>
      </w:r>
      <w:r>
        <w:rPr>
          <w:rFonts w:hint="eastAsia" w:ascii="宋体" w:hAnsi="宋体"/>
          <w:b/>
          <w:bCs/>
          <w:sz w:val="24"/>
          <w:highlight w:val="none"/>
        </w:rPr>
        <w:t xml:space="preserve">) </w:t>
      </w:r>
    </w:p>
    <w:p>
      <w:pPr>
        <w:numPr>
          <w:ilvl w:val="0"/>
          <w:numId w:val="17"/>
        </w:numPr>
        <w:spacing w:line="360" w:lineRule="auto"/>
        <w:ind w:left="0" w:firstLine="425"/>
        <w:jc w:val="left"/>
        <w:rPr>
          <w:rFonts w:ascii="宋体" w:hAnsi="宋体"/>
          <w:sz w:val="24"/>
          <w:highlight w:val="none"/>
        </w:rPr>
      </w:pPr>
      <w:r>
        <w:rPr>
          <w:rFonts w:hint="eastAsia" w:ascii="宋体" w:hAnsi="宋体"/>
          <w:sz w:val="24"/>
          <w:highlight w:val="none"/>
        </w:rPr>
        <w:t>投标供应商或投标供应商团队成员获得过政府部门颁发</w:t>
      </w:r>
      <w:r>
        <w:rPr>
          <w:rFonts w:hint="eastAsia" w:ascii="宋体" w:hAnsi="宋体"/>
          <w:sz w:val="24"/>
          <w:highlight w:val="none"/>
          <w:lang w:val="en-US" w:eastAsia="zh-CN"/>
        </w:rPr>
        <w:t>的市</w:t>
      </w:r>
      <w:r>
        <w:rPr>
          <w:rFonts w:hint="eastAsia" w:ascii="宋体" w:hAnsi="宋体"/>
          <w:sz w:val="24"/>
          <w:highlight w:val="none"/>
        </w:rPr>
        <w:t>级</w:t>
      </w:r>
      <w:r>
        <w:rPr>
          <w:rFonts w:hint="eastAsia" w:ascii="宋体" w:hAnsi="宋体"/>
          <w:sz w:val="24"/>
          <w:highlight w:val="none"/>
          <w:lang w:val="en-US" w:eastAsia="zh-CN"/>
        </w:rPr>
        <w:t>及以上</w:t>
      </w:r>
      <w:r>
        <w:rPr>
          <w:rFonts w:hint="eastAsia" w:ascii="宋体" w:hAnsi="宋体"/>
          <w:sz w:val="24"/>
          <w:highlight w:val="none"/>
        </w:rPr>
        <w:t>生活垃圾分类相关（包含生活垃圾收运、处置）荣誉奖项的，</w:t>
      </w:r>
      <w:r>
        <w:rPr>
          <w:rFonts w:hint="eastAsia" w:ascii="宋体" w:hAnsi="宋体"/>
          <w:sz w:val="24"/>
          <w:highlight w:val="none"/>
          <w:lang w:val="en-US" w:eastAsia="zh-CN"/>
        </w:rPr>
        <w:t>市级</w:t>
      </w:r>
      <w:r>
        <w:rPr>
          <w:rFonts w:hint="eastAsia" w:ascii="宋体" w:hAnsi="宋体"/>
          <w:sz w:val="24"/>
          <w:highlight w:val="none"/>
        </w:rPr>
        <w:t>每有一个得</w:t>
      </w:r>
      <w:r>
        <w:rPr>
          <w:rFonts w:hint="eastAsia" w:ascii="宋体" w:hAnsi="宋体"/>
          <w:sz w:val="24"/>
          <w:highlight w:val="none"/>
          <w:lang w:val="en-US" w:eastAsia="zh-CN"/>
        </w:rPr>
        <w:t>1</w:t>
      </w:r>
      <w:r>
        <w:rPr>
          <w:rFonts w:hint="eastAsia" w:ascii="宋体" w:hAnsi="宋体"/>
          <w:sz w:val="24"/>
          <w:highlight w:val="none"/>
        </w:rPr>
        <w:t>分</w:t>
      </w:r>
      <w:r>
        <w:rPr>
          <w:rFonts w:hint="eastAsia" w:ascii="宋体" w:hAnsi="宋体"/>
          <w:sz w:val="24"/>
          <w:highlight w:val="none"/>
          <w:lang w:val="en-US" w:eastAsia="zh-CN"/>
        </w:rPr>
        <w:t>且不得超过2分</w:t>
      </w:r>
      <w:r>
        <w:rPr>
          <w:rFonts w:hint="eastAsia" w:ascii="宋体" w:hAnsi="宋体"/>
          <w:sz w:val="24"/>
          <w:highlight w:val="none"/>
        </w:rPr>
        <w:t>，</w:t>
      </w:r>
      <w:r>
        <w:rPr>
          <w:rFonts w:hint="eastAsia" w:ascii="宋体" w:hAnsi="宋体"/>
          <w:sz w:val="24"/>
          <w:highlight w:val="none"/>
          <w:lang w:val="en-US" w:eastAsia="zh-CN"/>
        </w:rPr>
        <w:t>省级及以上每有一个得2分，</w:t>
      </w:r>
      <w:r>
        <w:rPr>
          <w:rFonts w:hint="eastAsia" w:ascii="宋体" w:hAnsi="宋体"/>
          <w:sz w:val="24"/>
          <w:highlight w:val="none"/>
        </w:rPr>
        <w:t>本项最高得</w:t>
      </w:r>
      <w:r>
        <w:rPr>
          <w:rFonts w:hint="eastAsia" w:ascii="宋体" w:hAnsi="宋体"/>
          <w:sz w:val="24"/>
          <w:highlight w:val="none"/>
          <w:lang w:val="en-US" w:eastAsia="zh-CN"/>
        </w:rPr>
        <w:t>4</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b/>
          <w:bCs/>
          <w:sz w:val="24"/>
          <w:highlight w:val="none"/>
          <w:lang w:eastAsia="zh-CN"/>
        </w:rPr>
        <w:t>（</w:t>
      </w:r>
      <w:r>
        <w:rPr>
          <w:rFonts w:hint="eastAsia" w:ascii="宋体" w:hAnsi="宋体"/>
          <w:b/>
          <w:bCs/>
          <w:sz w:val="24"/>
          <w:highlight w:val="none"/>
        </w:rPr>
        <w:t>提供获奖证书原件或团队成员提供证书原件，团队成员还需提供</w:t>
      </w:r>
      <w:r>
        <w:rPr>
          <w:rFonts w:hint="eastAsia" w:ascii="宋体" w:hAnsi="宋体"/>
          <w:b/>
          <w:bCs/>
          <w:sz w:val="24"/>
          <w:highlight w:val="none"/>
          <w:lang w:val="en-US" w:eastAsia="zh-CN"/>
        </w:rPr>
        <w:t>本企业</w:t>
      </w:r>
      <w:r>
        <w:rPr>
          <w:rFonts w:hint="eastAsia" w:ascii="宋体" w:hAnsi="宋体"/>
          <w:b/>
          <w:bCs/>
          <w:sz w:val="24"/>
          <w:highlight w:val="none"/>
        </w:rPr>
        <w:t>由社保机构出具的2022年</w:t>
      </w:r>
      <w:r>
        <w:rPr>
          <w:rFonts w:hint="eastAsia" w:ascii="宋体" w:hAnsi="宋体"/>
          <w:b/>
          <w:bCs/>
          <w:sz w:val="24"/>
          <w:highlight w:val="none"/>
          <w:lang w:val="en-US" w:eastAsia="zh-CN"/>
        </w:rPr>
        <w:t>2</w:t>
      </w:r>
      <w:r>
        <w:rPr>
          <w:rFonts w:hint="eastAsia" w:ascii="宋体" w:hAnsi="宋体"/>
          <w:b/>
          <w:bCs/>
          <w:sz w:val="24"/>
          <w:highlight w:val="none"/>
        </w:rPr>
        <w:t>月～2022年</w:t>
      </w:r>
      <w:r>
        <w:rPr>
          <w:rFonts w:hint="eastAsia" w:ascii="宋体" w:hAnsi="宋体"/>
          <w:b/>
          <w:bCs/>
          <w:sz w:val="24"/>
          <w:highlight w:val="none"/>
          <w:lang w:val="en-US" w:eastAsia="zh-CN"/>
        </w:rPr>
        <w:t>7</w:t>
      </w:r>
      <w:r>
        <w:rPr>
          <w:rFonts w:hint="eastAsia" w:ascii="宋体" w:hAnsi="宋体"/>
          <w:b/>
          <w:bCs/>
          <w:sz w:val="24"/>
          <w:highlight w:val="none"/>
        </w:rPr>
        <w:t>月缴费证明原件核查，复印件加盖公章放入响应文件中，不提供</w:t>
      </w:r>
      <w:r>
        <w:rPr>
          <w:rFonts w:hint="eastAsia" w:ascii="宋体" w:hAnsi="宋体"/>
          <w:b/>
          <w:bCs/>
          <w:sz w:val="24"/>
          <w:highlight w:val="none"/>
          <w:lang w:val="en-US" w:eastAsia="zh-CN"/>
        </w:rPr>
        <w:t>或提供不全</w:t>
      </w:r>
      <w:r>
        <w:rPr>
          <w:rFonts w:hint="eastAsia" w:ascii="宋体" w:hAnsi="宋体"/>
          <w:b/>
          <w:bCs/>
          <w:sz w:val="24"/>
          <w:highlight w:val="none"/>
        </w:rPr>
        <w:t>者不得分</w:t>
      </w:r>
      <w:r>
        <w:rPr>
          <w:rFonts w:hint="eastAsia" w:ascii="宋体" w:hAnsi="宋体"/>
          <w:b/>
          <w:bCs/>
          <w:sz w:val="24"/>
          <w:highlight w:val="none"/>
          <w:lang w:eastAsia="zh-CN"/>
        </w:rPr>
        <w:t>，网上查询带有二维码/验证码的打印件</w:t>
      </w:r>
      <w:r>
        <w:rPr>
          <w:rFonts w:hint="eastAsia" w:ascii="宋体" w:hAnsi="宋体"/>
          <w:b/>
          <w:bCs/>
          <w:sz w:val="24"/>
          <w:highlight w:val="none"/>
          <w:lang w:val="en-US" w:eastAsia="zh-CN"/>
        </w:rPr>
        <w:t>或提供政府网站发布的获奖项目人员名单截图</w:t>
      </w:r>
      <w:bookmarkStart w:id="11" w:name="_GoBack"/>
      <w:bookmarkEnd w:id="11"/>
      <w:r>
        <w:rPr>
          <w:rFonts w:hint="eastAsia" w:ascii="宋体" w:hAnsi="宋体"/>
          <w:b/>
          <w:bCs/>
          <w:sz w:val="24"/>
          <w:highlight w:val="none"/>
          <w:lang w:eastAsia="zh-CN"/>
        </w:rPr>
        <w:t>可做原件使用,如投标供应商成立时间迟于要求开始的时间，则提供成立时间至采购文件中社保要求的截止时间内的社保缴费证明）</w:t>
      </w:r>
    </w:p>
    <w:p>
      <w:pPr>
        <w:tabs>
          <w:tab w:val="left" w:pos="840"/>
          <w:tab w:val="left" w:pos="1050"/>
        </w:tabs>
        <w:spacing w:line="360" w:lineRule="auto"/>
        <w:rPr>
          <w:rFonts w:hint="eastAsia" w:ascii="宋体" w:hAnsi="宋体" w:eastAsia="宋体"/>
          <w:b/>
          <w:bCs/>
          <w:sz w:val="24"/>
          <w:lang w:eastAsia="zh-CN"/>
        </w:rPr>
      </w:pPr>
      <w:r>
        <w:rPr>
          <w:rFonts w:hint="eastAsia" w:ascii="宋体" w:hAnsi="宋体"/>
          <w:b/>
          <w:bCs/>
          <w:sz w:val="24"/>
        </w:rPr>
        <w:t>6</w:t>
      </w:r>
      <w:r>
        <w:rPr>
          <w:rFonts w:ascii="宋体" w:hAnsi="宋体"/>
          <w:b/>
          <w:bCs/>
          <w:sz w:val="24"/>
        </w:rPr>
        <w:t>.</w:t>
      </w:r>
      <w:r>
        <w:rPr>
          <w:rFonts w:hint="eastAsia" w:ascii="宋体" w:hAnsi="宋体"/>
          <w:b/>
          <w:bCs/>
          <w:sz w:val="24"/>
        </w:rPr>
        <w:t>2技术标 （暗标部分）</w:t>
      </w:r>
      <w:r>
        <w:rPr>
          <w:rFonts w:hint="eastAsia" w:ascii="宋体" w:hAnsi="宋体"/>
          <w:b/>
          <w:bCs/>
          <w:sz w:val="24"/>
          <w:lang w:eastAsia="zh-CN"/>
        </w:rPr>
        <w:t>（</w:t>
      </w:r>
      <w:r>
        <w:rPr>
          <w:rFonts w:hint="eastAsia" w:ascii="宋体" w:hAnsi="宋体"/>
          <w:b/>
          <w:bCs/>
          <w:sz w:val="24"/>
        </w:rPr>
        <w:t>5</w:t>
      </w:r>
      <w:r>
        <w:rPr>
          <w:rFonts w:hint="eastAsia" w:ascii="宋体" w:hAnsi="宋体"/>
          <w:b/>
          <w:bCs/>
          <w:sz w:val="24"/>
          <w:lang w:val="en-US" w:eastAsia="zh-CN"/>
        </w:rPr>
        <w:t>6</w:t>
      </w:r>
      <w:r>
        <w:rPr>
          <w:rFonts w:hint="eastAsia" w:ascii="宋体" w:hAnsi="宋体"/>
          <w:b/>
          <w:bCs/>
          <w:sz w:val="24"/>
        </w:rPr>
        <w:t>分</w:t>
      </w:r>
      <w:r>
        <w:rPr>
          <w:rFonts w:hint="eastAsia" w:ascii="宋体" w:hAnsi="宋体"/>
          <w:b/>
          <w:bCs/>
          <w:sz w:val="24"/>
          <w:lang w:eastAsia="zh-CN"/>
        </w:rPr>
        <w:t>）</w:t>
      </w:r>
    </w:p>
    <w:p>
      <w:pPr>
        <w:tabs>
          <w:tab w:val="left" w:pos="840"/>
          <w:tab w:val="left" w:pos="1050"/>
        </w:tabs>
        <w:spacing w:line="360" w:lineRule="auto"/>
        <w:ind w:firstLine="480" w:firstLineChars="200"/>
        <w:jc w:val="left"/>
        <w:rPr>
          <w:rFonts w:hint="eastAsia" w:ascii="宋体" w:hAnsi="宋体" w:eastAsia="宋体"/>
          <w:sz w:val="24"/>
          <w:highlight w:val="none"/>
          <w:lang w:eastAsia="zh-CN"/>
        </w:rPr>
      </w:pPr>
      <w:r>
        <w:rPr>
          <w:rFonts w:hint="eastAsia" w:ascii="宋体" w:hAnsi="宋体"/>
          <w:sz w:val="24"/>
          <w:highlight w:val="none"/>
        </w:rPr>
        <w:t>6.2.1开展第三方测评工作的重点，难点及对策的分析（</w:t>
      </w:r>
      <w:r>
        <w:rPr>
          <w:rFonts w:hint="eastAsia" w:ascii="宋体" w:hAnsi="宋体"/>
          <w:sz w:val="24"/>
          <w:highlight w:val="none"/>
          <w:lang w:val="en-US" w:eastAsia="zh-CN"/>
        </w:rPr>
        <w:t>12</w:t>
      </w:r>
      <w:r>
        <w:rPr>
          <w:rFonts w:hint="eastAsia" w:ascii="宋体" w:hAnsi="宋体"/>
          <w:sz w:val="24"/>
          <w:highlight w:val="none"/>
        </w:rPr>
        <w:t>分）</w:t>
      </w:r>
      <w:r>
        <w:rPr>
          <w:rFonts w:hint="eastAsia" w:ascii="宋体" w:hAnsi="宋体"/>
          <w:sz w:val="24"/>
          <w:highlight w:val="none"/>
          <w:lang w:eastAsia="zh-CN"/>
        </w:rPr>
        <w:t>：完全满足招标文件的整体要求，</w:t>
      </w:r>
      <w:r>
        <w:rPr>
          <w:rFonts w:hint="eastAsia" w:ascii="宋体" w:hAnsi="宋体"/>
          <w:sz w:val="24"/>
          <w:highlight w:val="none"/>
          <w:lang w:val="en-US" w:eastAsia="zh-CN"/>
        </w:rPr>
        <w:t>重点、难点及对策</w:t>
      </w:r>
      <w:r>
        <w:rPr>
          <w:rFonts w:hint="eastAsia" w:ascii="宋体" w:hAnsi="宋体"/>
          <w:sz w:val="24"/>
          <w:highlight w:val="none"/>
          <w:lang w:eastAsia="zh-CN"/>
        </w:rPr>
        <w:t>处理全面，路线合理，布局清晰，吻合</w:t>
      </w:r>
      <w:r>
        <w:rPr>
          <w:rFonts w:hint="eastAsia" w:ascii="宋体" w:hAnsi="宋体"/>
          <w:sz w:val="24"/>
          <w:highlight w:val="none"/>
          <w:lang w:val="en-US" w:eastAsia="zh-CN"/>
        </w:rPr>
        <w:t>采购</w:t>
      </w:r>
      <w:r>
        <w:rPr>
          <w:rFonts w:hint="eastAsia" w:ascii="宋体" w:hAnsi="宋体"/>
          <w:sz w:val="24"/>
          <w:highlight w:val="none"/>
          <w:lang w:eastAsia="zh-CN"/>
        </w:rPr>
        <w:t>需求，得</w:t>
      </w:r>
      <w:r>
        <w:rPr>
          <w:rFonts w:hint="eastAsia" w:ascii="宋体" w:hAnsi="宋体"/>
          <w:sz w:val="24"/>
          <w:highlight w:val="none"/>
          <w:lang w:val="en-US" w:eastAsia="zh-CN"/>
        </w:rPr>
        <w:t>12</w:t>
      </w:r>
      <w:r>
        <w:rPr>
          <w:rFonts w:hint="eastAsia" w:ascii="宋体" w:hAnsi="宋体"/>
          <w:sz w:val="24"/>
          <w:highlight w:val="none"/>
          <w:lang w:eastAsia="zh-CN"/>
        </w:rPr>
        <w:t>分；基本符合</w:t>
      </w:r>
      <w:r>
        <w:rPr>
          <w:rFonts w:hint="eastAsia" w:ascii="宋体" w:hAnsi="宋体"/>
          <w:sz w:val="24"/>
          <w:highlight w:val="none"/>
          <w:lang w:val="en-US" w:eastAsia="zh-CN"/>
        </w:rPr>
        <w:t>招标文件的整体</w:t>
      </w:r>
      <w:r>
        <w:rPr>
          <w:rFonts w:hint="eastAsia" w:ascii="宋体" w:hAnsi="宋体"/>
          <w:sz w:val="24"/>
          <w:highlight w:val="none"/>
          <w:lang w:eastAsia="zh-CN"/>
        </w:rPr>
        <w:t>要求，重点、难点及对策处理全面不全面，但路线较合理，布局清楚，基本吻合采购需求，得</w:t>
      </w:r>
      <w:r>
        <w:rPr>
          <w:rFonts w:hint="eastAsia" w:ascii="宋体" w:hAnsi="宋体"/>
          <w:sz w:val="24"/>
          <w:highlight w:val="none"/>
          <w:lang w:val="en-US" w:eastAsia="zh-CN"/>
        </w:rPr>
        <w:t>9</w:t>
      </w:r>
      <w:r>
        <w:rPr>
          <w:rFonts w:hint="eastAsia" w:ascii="宋体" w:hAnsi="宋体"/>
          <w:sz w:val="24"/>
          <w:highlight w:val="none"/>
          <w:lang w:eastAsia="zh-CN"/>
        </w:rPr>
        <w:t>分；与招标文件的整体要求内容存在偏离，技术路线不合理，布局不合理，得</w:t>
      </w:r>
      <w:r>
        <w:rPr>
          <w:rFonts w:hint="eastAsia" w:ascii="宋体" w:hAnsi="宋体"/>
          <w:sz w:val="24"/>
          <w:highlight w:val="none"/>
          <w:lang w:val="en-US" w:eastAsia="zh-CN"/>
        </w:rPr>
        <w:t>7</w:t>
      </w:r>
      <w:r>
        <w:rPr>
          <w:rFonts w:hint="eastAsia" w:ascii="宋体" w:hAnsi="宋体"/>
          <w:sz w:val="24"/>
          <w:highlight w:val="none"/>
          <w:lang w:eastAsia="zh-CN"/>
        </w:rPr>
        <w:t>分；与招标文件的整体要求偏离较多，很难实现</w:t>
      </w:r>
      <w:r>
        <w:rPr>
          <w:rFonts w:hint="eastAsia" w:ascii="宋体" w:hAnsi="宋体"/>
          <w:sz w:val="24"/>
          <w:highlight w:val="none"/>
          <w:lang w:val="en-US" w:eastAsia="zh-CN"/>
        </w:rPr>
        <w:t>采购</w:t>
      </w:r>
      <w:r>
        <w:rPr>
          <w:rFonts w:hint="eastAsia" w:ascii="宋体" w:hAnsi="宋体"/>
          <w:sz w:val="24"/>
          <w:highlight w:val="none"/>
          <w:lang w:eastAsia="zh-CN"/>
        </w:rPr>
        <w:t>需求，</w:t>
      </w:r>
      <w:r>
        <w:rPr>
          <w:rFonts w:hint="eastAsia" w:ascii="宋体" w:hAnsi="宋体"/>
          <w:sz w:val="24"/>
          <w:highlight w:val="none"/>
          <w:lang w:val="en-US" w:eastAsia="zh-CN"/>
        </w:rPr>
        <w:t>不得分</w:t>
      </w:r>
      <w:r>
        <w:rPr>
          <w:rFonts w:hint="eastAsia" w:ascii="宋体" w:hAnsi="宋体"/>
          <w:sz w:val="24"/>
          <w:highlight w:val="none"/>
          <w:lang w:eastAsia="zh-CN"/>
        </w:rPr>
        <w:t>。</w:t>
      </w:r>
    </w:p>
    <w:p>
      <w:pPr>
        <w:tabs>
          <w:tab w:val="left" w:pos="840"/>
          <w:tab w:val="left" w:pos="1050"/>
        </w:tabs>
        <w:spacing w:line="360" w:lineRule="auto"/>
        <w:ind w:firstLine="480" w:firstLineChars="200"/>
        <w:jc w:val="left"/>
        <w:rPr>
          <w:rFonts w:hint="eastAsia" w:ascii="宋体" w:hAnsi="宋体" w:eastAsia="宋体"/>
          <w:sz w:val="24"/>
          <w:highlight w:val="none"/>
          <w:lang w:eastAsia="zh-CN"/>
        </w:rPr>
      </w:pPr>
      <w:r>
        <w:rPr>
          <w:rFonts w:hint="eastAsia" w:ascii="宋体" w:hAnsi="宋体"/>
          <w:sz w:val="24"/>
          <w:highlight w:val="none"/>
        </w:rPr>
        <w:t>6.2.2生活垃圾</w:t>
      </w:r>
      <w:r>
        <w:rPr>
          <w:rFonts w:hint="eastAsia" w:ascii="宋体" w:hAnsi="宋体"/>
          <w:color w:val="auto"/>
          <w:sz w:val="24"/>
          <w:highlight w:val="none"/>
        </w:rPr>
        <w:t>测评工作措</w:t>
      </w:r>
      <w:r>
        <w:rPr>
          <w:rFonts w:hint="eastAsia" w:ascii="宋体" w:hAnsi="宋体"/>
          <w:sz w:val="24"/>
          <w:highlight w:val="none"/>
        </w:rPr>
        <w:t>施方案（1</w:t>
      </w:r>
      <w:r>
        <w:rPr>
          <w:rFonts w:hint="eastAsia" w:ascii="宋体" w:hAnsi="宋体"/>
          <w:sz w:val="24"/>
          <w:highlight w:val="none"/>
          <w:lang w:val="en-US" w:eastAsia="zh-CN"/>
        </w:rPr>
        <w:t>2</w:t>
      </w:r>
      <w:r>
        <w:rPr>
          <w:rFonts w:hint="eastAsia" w:ascii="宋体" w:hAnsi="宋体"/>
          <w:sz w:val="24"/>
          <w:highlight w:val="none"/>
        </w:rPr>
        <w:t>分）</w:t>
      </w:r>
      <w:r>
        <w:rPr>
          <w:rFonts w:hint="eastAsia" w:ascii="宋体" w:hAnsi="宋体"/>
          <w:sz w:val="24"/>
          <w:highlight w:val="none"/>
          <w:lang w:eastAsia="zh-CN"/>
        </w:rPr>
        <w:t>：对投标人提供的</w:t>
      </w:r>
      <w:r>
        <w:rPr>
          <w:rFonts w:hint="eastAsia" w:ascii="宋体" w:hAnsi="宋体"/>
          <w:sz w:val="24"/>
          <w:highlight w:val="none"/>
          <w:lang w:val="en-US" w:eastAsia="zh-CN"/>
        </w:rPr>
        <w:t>措施</w:t>
      </w:r>
      <w:r>
        <w:rPr>
          <w:rFonts w:hint="eastAsia" w:ascii="宋体" w:hAnsi="宋体"/>
          <w:sz w:val="24"/>
          <w:highlight w:val="none"/>
          <w:lang w:eastAsia="zh-CN"/>
        </w:rPr>
        <w:t>方案完整性、合理性进行综合评审。方案清晰、合理、详细、全面、针对性强、可行性强1</w:t>
      </w:r>
      <w:r>
        <w:rPr>
          <w:rFonts w:hint="eastAsia" w:ascii="宋体" w:hAnsi="宋体"/>
          <w:sz w:val="24"/>
          <w:highlight w:val="none"/>
          <w:lang w:val="en-US" w:eastAsia="zh-CN"/>
        </w:rPr>
        <w:t>2</w:t>
      </w:r>
      <w:r>
        <w:rPr>
          <w:rFonts w:hint="eastAsia" w:ascii="宋体" w:hAnsi="宋体"/>
          <w:sz w:val="24"/>
          <w:highlight w:val="none"/>
          <w:lang w:eastAsia="zh-CN"/>
        </w:rPr>
        <w:t>分；方案清晰、合理、详细、全面</w:t>
      </w:r>
      <w:r>
        <w:rPr>
          <w:rFonts w:hint="eastAsia" w:ascii="宋体" w:hAnsi="宋体"/>
          <w:sz w:val="24"/>
          <w:highlight w:val="none"/>
          <w:lang w:val="en-US" w:eastAsia="zh-CN"/>
        </w:rPr>
        <w:t>9</w:t>
      </w:r>
      <w:r>
        <w:rPr>
          <w:rFonts w:hint="eastAsia" w:ascii="宋体" w:hAnsi="宋体"/>
          <w:sz w:val="24"/>
          <w:highlight w:val="none"/>
          <w:lang w:eastAsia="zh-CN"/>
        </w:rPr>
        <w:t>分；方案基本满足招标文件要求</w:t>
      </w:r>
      <w:r>
        <w:rPr>
          <w:rFonts w:hint="eastAsia" w:ascii="宋体" w:hAnsi="宋体"/>
          <w:sz w:val="24"/>
          <w:highlight w:val="none"/>
          <w:lang w:val="en-US" w:eastAsia="zh-CN"/>
        </w:rPr>
        <w:t>7</w:t>
      </w:r>
      <w:r>
        <w:rPr>
          <w:rFonts w:hint="eastAsia" w:ascii="宋体" w:hAnsi="宋体"/>
          <w:sz w:val="24"/>
          <w:highlight w:val="none"/>
          <w:lang w:eastAsia="zh-CN"/>
        </w:rPr>
        <w:t>分；</w:t>
      </w:r>
      <w:r>
        <w:rPr>
          <w:rFonts w:hint="eastAsia" w:ascii="宋体" w:hAnsi="宋体"/>
          <w:sz w:val="24"/>
          <w:highlight w:val="none"/>
          <w:lang w:val="en-US" w:eastAsia="zh-CN"/>
        </w:rPr>
        <w:t>方</w:t>
      </w:r>
      <w:r>
        <w:rPr>
          <w:rFonts w:hint="eastAsia" w:ascii="宋体" w:hAnsi="宋体"/>
          <w:sz w:val="24"/>
          <w:highlight w:val="none"/>
          <w:lang w:eastAsia="zh-CN"/>
        </w:rPr>
        <w:t>案没有针对性、不完整合理、不切实可行，不得分。</w:t>
      </w:r>
    </w:p>
    <w:p>
      <w:pPr>
        <w:tabs>
          <w:tab w:val="left" w:pos="840"/>
          <w:tab w:val="left" w:pos="1050"/>
        </w:tabs>
        <w:spacing w:line="360" w:lineRule="auto"/>
        <w:ind w:firstLine="480" w:firstLineChars="200"/>
        <w:jc w:val="left"/>
        <w:rPr>
          <w:rFonts w:ascii="宋体" w:hAnsi="宋体"/>
          <w:sz w:val="24"/>
          <w:highlight w:val="none"/>
        </w:rPr>
      </w:pPr>
      <w:r>
        <w:rPr>
          <w:rFonts w:hint="eastAsia" w:ascii="宋体" w:hAnsi="宋体"/>
          <w:sz w:val="24"/>
          <w:highlight w:val="none"/>
        </w:rPr>
        <w:t>6.2.3项目组工作人员的培训方案 （10分）</w:t>
      </w:r>
      <w:r>
        <w:rPr>
          <w:rFonts w:hint="eastAsia" w:ascii="宋体" w:hAnsi="宋体"/>
          <w:sz w:val="24"/>
          <w:highlight w:val="none"/>
          <w:lang w:eastAsia="zh-CN"/>
        </w:rPr>
        <w:t>：</w:t>
      </w:r>
      <w:r>
        <w:rPr>
          <w:rFonts w:hint="eastAsia" w:ascii="宋体" w:hAnsi="宋体"/>
          <w:sz w:val="24"/>
          <w:highlight w:val="none"/>
        </w:rPr>
        <w:t xml:space="preserve"> 有完整培训计划、针对性的培训内容，聘请专业的培训老师得</w:t>
      </w:r>
      <w:r>
        <w:rPr>
          <w:rFonts w:hint="eastAsia" w:ascii="宋体" w:hAnsi="宋体"/>
          <w:sz w:val="24"/>
          <w:highlight w:val="none"/>
          <w:lang w:val="en-US" w:eastAsia="zh-CN"/>
        </w:rPr>
        <w:t>10</w:t>
      </w:r>
      <w:r>
        <w:rPr>
          <w:rFonts w:hint="eastAsia" w:ascii="宋体" w:hAnsi="宋体"/>
          <w:sz w:val="24"/>
          <w:highlight w:val="none"/>
        </w:rPr>
        <w:t>分；培训计划、培训内容较简单得</w:t>
      </w:r>
      <w:r>
        <w:rPr>
          <w:rFonts w:hint="eastAsia" w:ascii="宋体" w:hAnsi="宋体"/>
          <w:sz w:val="24"/>
          <w:highlight w:val="none"/>
          <w:lang w:val="en-US" w:eastAsia="zh-CN"/>
        </w:rPr>
        <w:t>8</w:t>
      </w:r>
      <w:r>
        <w:rPr>
          <w:rFonts w:hint="eastAsia" w:ascii="宋体" w:hAnsi="宋体"/>
          <w:sz w:val="24"/>
          <w:highlight w:val="none"/>
        </w:rPr>
        <w:t>分；</w:t>
      </w:r>
      <w:r>
        <w:rPr>
          <w:rFonts w:hint="eastAsia" w:ascii="宋体" w:hAnsi="宋体"/>
          <w:sz w:val="24"/>
          <w:highlight w:val="none"/>
          <w:lang w:val="en-US" w:eastAsia="zh-CN"/>
        </w:rPr>
        <w:t>培训计划、培训内容基本满足招标文件要求的得6分；</w:t>
      </w:r>
      <w:r>
        <w:rPr>
          <w:rFonts w:hint="eastAsia" w:ascii="宋体" w:hAnsi="宋体"/>
          <w:sz w:val="24"/>
          <w:highlight w:val="none"/>
        </w:rPr>
        <w:t xml:space="preserve">没有或不合理的不得分。                 </w:t>
      </w:r>
    </w:p>
    <w:p>
      <w:pPr>
        <w:tabs>
          <w:tab w:val="left" w:pos="840"/>
          <w:tab w:val="left" w:pos="1050"/>
        </w:tabs>
        <w:spacing w:line="360" w:lineRule="auto"/>
        <w:ind w:firstLine="480" w:firstLineChars="200"/>
        <w:jc w:val="left"/>
        <w:rPr>
          <w:rFonts w:ascii="宋体" w:hAnsi="宋体"/>
          <w:sz w:val="24"/>
          <w:highlight w:val="none"/>
        </w:rPr>
      </w:pPr>
      <w:r>
        <w:rPr>
          <w:rFonts w:hint="eastAsia" w:ascii="宋体" w:hAnsi="宋体"/>
          <w:sz w:val="24"/>
          <w:highlight w:val="none"/>
        </w:rPr>
        <w:t>6.2.4其他优化措施及后续服务承诺（围绕采购需求和市城管局考核办法）（10分）</w:t>
      </w:r>
      <w:r>
        <w:rPr>
          <w:rFonts w:hint="eastAsia" w:ascii="宋体" w:hAnsi="宋体"/>
          <w:sz w:val="24"/>
          <w:highlight w:val="none"/>
          <w:lang w:eastAsia="zh-CN"/>
        </w:rPr>
        <w:t>：</w:t>
      </w:r>
      <w:r>
        <w:rPr>
          <w:rFonts w:hint="eastAsia" w:ascii="宋体" w:hAnsi="宋体"/>
          <w:sz w:val="24"/>
          <w:highlight w:val="none"/>
        </w:rPr>
        <w:t xml:space="preserve"> 有完整的</w:t>
      </w:r>
      <w:r>
        <w:rPr>
          <w:rFonts w:hint="eastAsia" w:ascii="宋体" w:hAnsi="宋体"/>
          <w:sz w:val="24"/>
          <w:highlight w:val="none"/>
          <w:lang w:val="en-US" w:eastAsia="zh-CN"/>
        </w:rPr>
        <w:t>优化服务</w:t>
      </w:r>
      <w:r>
        <w:rPr>
          <w:rFonts w:hint="eastAsia" w:ascii="宋体" w:hAnsi="宋体"/>
          <w:sz w:val="24"/>
          <w:highlight w:val="none"/>
        </w:rPr>
        <w:t>工作流程</w:t>
      </w:r>
      <w:r>
        <w:rPr>
          <w:rFonts w:hint="eastAsia" w:ascii="宋体" w:hAnsi="宋体"/>
          <w:sz w:val="24"/>
          <w:highlight w:val="none"/>
          <w:lang w:val="en-US" w:eastAsia="zh-CN"/>
        </w:rPr>
        <w:t>且</w:t>
      </w:r>
      <w:r>
        <w:rPr>
          <w:rFonts w:hint="eastAsia" w:ascii="宋体" w:hAnsi="宋体"/>
          <w:sz w:val="24"/>
          <w:highlight w:val="none"/>
        </w:rPr>
        <w:t>安排合理，</w:t>
      </w:r>
      <w:r>
        <w:rPr>
          <w:rFonts w:hint="eastAsia" w:ascii="宋体" w:hAnsi="宋体"/>
          <w:sz w:val="24"/>
          <w:highlight w:val="none"/>
          <w:lang w:val="en-US" w:eastAsia="zh-CN"/>
        </w:rPr>
        <w:t>包括但不限于后续服务承诺、对发生各类事故善后处理承诺及应对履约期内各类风险承诺；</w:t>
      </w:r>
      <w:r>
        <w:rPr>
          <w:rFonts w:hint="eastAsia" w:ascii="宋体" w:hAnsi="宋体"/>
          <w:sz w:val="24"/>
          <w:highlight w:val="none"/>
        </w:rPr>
        <w:t>非常科学、合理的得</w:t>
      </w:r>
      <w:r>
        <w:rPr>
          <w:rFonts w:hint="eastAsia" w:ascii="宋体" w:hAnsi="宋体"/>
          <w:sz w:val="24"/>
          <w:highlight w:val="none"/>
          <w:lang w:val="en-US" w:eastAsia="zh-CN"/>
        </w:rPr>
        <w:t>10</w:t>
      </w:r>
      <w:r>
        <w:rPr>
          <w:rFonts w:hint="eastAsia" w:ascii="宋体" w:hAnsi="宋体"/>
          <w:sz w:val="24"/>
          <w:highlight w:val="none"/>
        </w:rPr>
        <w:t>分；比较科学、合理的得</w:t>
      </w:r>
      <w:r>
        <w:rPr>
          <w:rFonts w:hint="eastAsia" w:ascii="宋体" w:hAnsi="宋体"/>
          <w:sz w:val="24"/>
          <w:highlight w:val="none"/>
          <w:lang w:val="en-US" w:eastAsia="zh-CN"/>
        </w:rPr>
        <w:t>8</w:t>
      </w:r>
      <w:r>
        <w:rPr>
          <w:rFonts w:hint="eastAsia" w:ascii="宋体" w:hAnsi="宋体"/>
          <w:sz w:val="24"/>
          <w:highlight w:val="none"/>
        </w:rPr>
        <w:t>分；一般的得</w:t>
      </w:r>
      <w:r>
        <w:rPr>
          <w:rFonts w:hint="eastAsia" w:ascii="宋体" w:hAnsi="宋体"/>
          <w:sz w:val="24"/>
          <w:highlight w:val="none"/>
          <w:lang w:val="en-US" w:eastAsia="zh-CN"/>
        </w:rPr>
        <w:t>6</w:t>
      </w:r>
      <w:r>
        <w:rPr>
          <w:rFonts w:hint="eastAsia" w:ascii="宋体" w:hAnsi="宋体"/>
          <w:sz w:val="24"/>
          <w:highlight w:val="none"/>
        </w:rPr>
        <w:t xml:space="preserve">分；不科学合理的不得分。   </w:t>
      </w:r>
    </w:p>
    <w:p>
      <w:pPr>
        <w:tabs>
          <w:tab w:val="left" w:pos="840"/>
          <w:tab w:val="left" w:pos="1050"/>
        </w:tabs>
        <w:spacing w:line="360" w:lineRule="auto"/>
        <w:ind w:firstLine="480" w:firstLineChars="200"/>
        <w:jc w:val="left"/>
        <w:rPr>
          <w:rFonts w:ascii="宋体" w:hAnsi="宋体"/>
          <w:sz w:val="24"/>
          <w:highlight w:val="none"/>
        </w:rPr>
      </w:pPr>
      <w:r>
        <w:rPr>
          <w:rFonts w:hint="eastAsia" w:ascii="宋体" w:hAnsi="宋体"/>
          <w:sz w:val="24"/>
          <w:highlight w:val="none"/>
        </w:rPr>
        <w:t>6.2.5服务于本项目的《城市生活垃圾分类第三方测评手册》（12分）</w:t>
      </w:r>
      <w:r>
        <w:rPr>
          <w:rFonts w:hint="eastAsia" w:ascii="宋体" w:hAnsi="宋体"/>
          <w:sz w:val="24"/>
          <w:highlight w:val="none"/>
          <w:lang w:eastAsia="zh-CN"/>
        </w:rPr>
        <w:t>：内容描述清晰、具有针对性、完整合理、切实可行，得</w:t>
      </w:r>
      <w:r>
        <w:rPr>
          <w:rFonts w:hint="eastAsia" w:ascii="宋体" w:hAnsi="宋体"/>
          <w:sz w:val="24"/>
          <w:highlight w:val="none"/>
          <w:lang w:val="en-US" w:eastAsia="zh-CN"/>
        </w:rPr>
        <w:t>12</w:t>
      </w:r>
      <w:r>
        <w:rPr>
          <w:rFonts w:hint="eastAsia" w:ascii="宋体" w:hAnsi="宋体"/>
          <w:sz w:val="24"/>
          <w:highlight w:val="none"/>
          <w:lang w:eastAsia="zh-CN"/>
        </w:rPr>
        <w:t>分；内容描述一般、针对性一般、合理性一般、可行性一般，得</w:t>
      </w:r>
      <w:r>
        <w:rPr>
          <w:rFonts w:hint="eastAsia" w:ascii="宋体" w:hAnsi="宋体"/>
          <w:sz w:val="24"/>
          <w:highlight w:val="none"/>
          <w:lang w:val="en-US" w:eastAsia="zh-CN"/>
        </w:rPr>
        <w:t>9</w:t>
      </w:r>
      <w:r>
        <w:rPr>
          <w:rFonts w:hint="eastAsia" w:ascii="宋体" w:hAnsi="宋体"/>
          <w:sz w:val="24"/>
          <w:highlight w:val="none"/>
          <w:lang w:eastAsia="zh-CN"/>
        </w:rPr>
        <w:t>分；内容描述不清晰、没有针对性、内容不合理、没有可行性，不得分；</w:t>
      </w:r>
      <w:r>
        <w:rPr>
          <w:rFonts w:hint="eastAsia" w:ascii="宋体" w:hAnsi="宋体"/>
          <w:sz w:val="24"/>
          <w:highlight w:val="none"/>
        </w:rPr>
        <w:t xml:space="preserve">               </w:t>
      </w:r>
    </w:p>
    <w:p>
      <w:pPr>
        <w:spacing w:line="360" w:lineRule="auto"/>
        <w:ind w:firstLine="422" w:firstLineChars="175"/>
        <w:outlineLvl w:val="0"/>
        <w:rPr>
          <w:rFonts w:hint="eastAsia" w:ascii="宋体" w:hAnsi="宋体"/>
          <w:b/>
          <w:bCs/>
          <w:sz w:val="24"/>
          <w:highlight w:val="none"/>
        </w:rPr>
      </w:pPr>
      <w:r>
        <w:rPr>
          <w:rFonts w:hint="eastAsia" w:ascii="宋体" w:hAnsi="宋体"/>
          <w:b/>
          <w:bCs/>
          <w:sz w:val="24"/>
          <w:highlight w:val="none"/>
        </w:rPr>
        <w:t>技术文件编制粗糙、缺漏项较多或技术标页数偏少（少于60页）</w:t>
      </w:r>
      <w:r>
        <w:rPr>
          <w:rFonts w:hint="eastAsia" w:ascii="宋体" w:hAnsi="宋体"/>
          <w:b/>
          <w:bCs/>
          <w:sz w:val="24"/>
          <w:highlight w:val="none"/>
          <w:lang w:eastAsia="zh-CN"/>
        </w:rPr>
        <w:t>，</w:t>
      </w:r>
      <w:r>
        <w:rPr>
          <w:rFonts w:hint="eastAsia" w:ascii="宋体" w:hAnsi="宋体"/>
          <w:b/>
          <w:bCs/>
          <w:sz w:val="24"/>
          <w:highlight w:val="none"/>
        </w:rPr>
        <w:t>投标文件无相应评分内容时，该项目为零分。评分办法及评分细则的解释权属采购人。未列入本评分细则的其他条件不作为评分内容。</w:t>
      </w:r>
    </w:p>
    <w:p>
      <w:pPr>
        <w:spacing w:line="360" w:lineRule="auto"/>
        <w:ind w:firstLine="422" w:firstLineChars="175"/>
        <w:outlineLvl w:val="0"/>
        <w:rPr>
          <w:rFonts w:ascii="宋体" w:hAnsi="宋体"/>
          <w:b/>
          <w:sz w:val="24"/>
        </w:rPr>
      </w:pPr>
      <w:r>
        <w:rPr>
          <w:rFonts w:hint="eastAsia" w:ascii="宋体" w:hAnsi="宋体"/>
          <w:b/>
          <w:sz w:val="24"/>
        </w:rPr>
        <w:t>评标说明：评委为5人以上的单数（含5人）时，计算分项得分时取平均值为投标单位的得分，各分项得分合计即为投标单位的最终得分，按最终得分的高低进行排名。推荐前3名为第一、第二、第三中标候选单位。每项评分的具体内容和方法由评委集体讨论，评委独立评分。评分办法及评分细则的解释权归属采购人。未列入本评分细则的其他条件不作为评分内容。</w:t>
      </w:r>
    </w:p>
    <w:p>
      <w:pPr>
        <w:spacing w:line="360" w:lineRule="auto"/>
        <w:ind w:firstLine="420" w:firstLineChars="175"/>
        <w:outlineLvl w:val="0"/>
        <w:rPr>
          <w:rFonts w:ascii="宋体" w:hAnsi="宋体"/>
          <w:b/>
          <w:sz w:val="24"/>
        </w:rPr>
      </w:pPr>
      <w:r>
        <w:rPr>
          <w:rFonts w:hint="eastAsia" w:ascii="宋体" w:hAnsi="宋体" w:cs="宋体"/>
          <w:sz w:val="24"/>
          <w:shd w:val="clear" w:color="auto" w:fill="FFFFFF"/>
        </w:rPr>
        <w:t>*加分因素（2分）：</w:t>
      </w:r>
      <w:r>
        <w:rPr>
          <w:rFonts w:hint="eastAsia" w:hAnsi="宋体"/>
          <w:sz w:val="24"/>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强制采购的产品除外。</w:t>
      </w:r>
    </w:p>
    <w:p>
      <w:pPr>
        <w:spacing w:line="360" w:lineRule="auto"/>
        <w:ind w:firstLine="360" w:firstLineChars="150"/>
        <w:rPr>
          <w:rFonts w:ascii="宋体" w:hAnsi="宋体"/>
          <w:sz w:val="24"/>
        </w:rPr>
      </w:pPr>
      <w:r>
        <w:rPr>
          <w:rFonts w:hint="eastAsia" w:ascii="宋体" w:hAnsi="宋体"/>
          <w:sz w:val="24"/>
        </w:rPr>
        <w:t>7.评标说明：</w:t>
      </w:r>
    </w:p>
    <w:p>
      <w:pPr>
        <w:spacing w:line="360" w:lineRule="auto"/>
        <w:ind w:firstLine="360" w:firstLineChars="150"/>
        <w:rPr>
          <w:rFonts w:ascii="宋体" w:hAnsi="宋体"/>
          <w:bCs/>
          <w:sz w:val="24"/>
        </w:rPr>
      </w:pPr>
      <w:r>
        <w:rPr>
          <w:rFonts w:hint="eastAsia" w:ascii="宋体" w:hAnsi="宋体" w:cs="宋体"/>
          <w:kern w:val="0"/>
          <w:sz w:val="24"/>
        </w:rPr>
        <w:t>7</w:t>
      </w:r>
      <w:r>
        <w:rPr>
          <w:rFonts w:ascii="宋体" w:hAnsi="宋体" w:cs="宋体"/>
          <w:kern w:val="0"/>
          <w:sz w:val="24"/>
        </w:rPr>
        <w:t xml:space="preserve">.1 </w:t>
      </w:r>
      <w:r>
        <w:rPr>
          <w:rFonts w:hint="eastAsia" w:ascii="宋体" w:hAnsi="宋体"/>
          <w:bCs/>
          <w:sz w:val="24"/>
        </w:rPr>
        <w:t>未列入本评分细则的其他条件不作为评分内容。</w:t>
      </w:r>
    </w:p>
    <w:p>
      <w:pPr>
        <w:spacing w:line="360" w:lineRule="auto"/>
        <w:ind w:firstLine="360" w:firstLineChars="150"/>
        <w:rPr>
          <w:rFonts w:ascii="宋体" w:hAnsi="宋体"/>
          <w:b/>
          <w:bCs/>
          <w:sz w:val="24"/>
        </w:rPr>
      </w:pPr>
      <w:r>
        <w:rPr>
          <w:rFonts w:hint="eastAsia" w:ascii="宋体" w:hAnsi="宋体"/>
          <w:bCs/>
          <w:sz w:val="24"/>
        </w:rPr>
        <w:t>7.2</w:t>
      </w:r>
      <w:r>
        <w:rPr>
          <w:rFonts w:hint="eastAsia" w:ascii="宋体" w:hAnsi="宋体"/>
          <w:b/>
          <w:bCs/>
          <w:sz w:val="24"/>
        </w:rPr>
        <w:t>评分办法及评分细则的解释权属招标人</w:t>
      </w:r>
    </w:p>
    <w:p>
      <w:pPr>
        <w:numPr>
          <w:ilvl w:val="0"/>
          <w:numId w:val="13"/>
        </w:numPr>
        <w:spacing w:line="360" w:lineRule="auto"/>
        <w:rPr>
          <w:rFonts w:ascii="黑体" w:hAnsi="宋体" w:eastAsia="黑体"/>
          <w:bCs/>
          <w:sz w:val="24"/>
        </w:rPr>
      </w:pPr>
      <w:r>
        <w:rPr>
          <w:rFonts w:hint="eastAsia" w:ascii="黑体" w:hAnsi="宋体" w:eastAsia="黑体"/>
          <w:bCs/>
          <w:sz w:val="24"/>
        </w:rPr>
        <w:t>定标：</w:t>
      </w:r>
    </w:p>
    <w:p>
      <w:pPr>
        <w:numPr>
          <w:ilvl w:val="0"/>
          <w:numId w:val="18"/>
        </w:numPr>
        <w:tabs>
          <w:tab w:val="left" w:pos="525"/>
          <w:tab w:val="left" w:pos="945"/>
          <w:tab w:val="left" w:pos="1155"/>
          <w:tab w:val="clear" w:pos="988"/>
        </w:tabs>
        <w:spacing w:line="360" w:lineRule="auto"/>
        <w:ind w:left="0" w:firstLine="523" w:firstLineChars="218"/>
        <w:rPr>
          <w:rFonts w:ascii="宋体" w:hAnsi="宋体"/>
          <w:bCs/>
          <w:sz w:val="24"/>
        </w:rPr>
      </w:pPr>
      <w:r>
        <w:rPr>
          <w:rFonts w:ascii="宋体" w:hAnsi="宋体"/>
          <w:bCs/>
          <w:sz w:val="24"/>
        </w:rPr>
        <w:t>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pPr>
        <w:numPr>
          <w:ilvl w:val="0"/>
          <w:numId w:val="18"/>
        </w:numPr>
        <w:tabs>
          <w:tab w:val="left" w:pos="525"/>
          <w:tab w:val="left" w:pos="945"/>
          <w:tab w:val="left" w:pos="1155"/>
          <w:tab w:val="clear" w:pos="988"/>
        </w:tabs>
        <w:spacing w:line="360" w:lineRule="auto"/>
        <w:ind w:left="0" w:firstLine="523" w:firstLineChars="218"/>
        <w:rPr>
          <w:rFonts w:ascii="宋体" w:hAnsi="宋体"/>
          <w:bCs/>
          <w:sz w:val="24"/>
        </w:rPr>
      </w:pPr>
      <w:r>
        <w:rPr>
          <w:rFonts w:hint="eastAsia" w:ascii="宋体" w:hAnsi="宋体"/>
          <w:bCs/>
          <w:sz w:val="24"/>
        </w:rPr>
        <w:t>评标委员会根据招标文件规定的评标方法和评标标准进行评审，依法确定中标供应商。采购人将在财政部门指定的政府采购信息发布媒体（中国政府采购网、江苏政府采购网、无锡政府采购网）发布公告中标、成交结果公告。如有质疑，应在法定质疑期限内，即中标公告期限届满之日起7个工作日内，以书面形式送达普信国际工程咨询有限公司。普信国际工程咨询有限公司将在收到符合要求的书面质疑后七个工作日内，对质疑内容做出答复。供应商在法定质疑期限外送达的质疑函或法定质疑期限内送达的质疑函不符合上述要求的均为无效质疑，普信国际工程咨询有限公司对无效质疑不予受理。供应商在法定质疑期内一次性提出针对同一采购程序环节的质疑。如质疑查无实据或供应商捏造事实，提供虚假材料进行恶意举报，不配合或采用不正当手段干扰政府采购质疑的，将记入供应商在江苏省和无锡市的政府采购“供应商诚信记录”，并按相关规定处理。</w:t>
      </w:r>
    </w:p>
    <w:p>
      <w:pPr>
        <w:pStyle w:val="118"/>
        <w:numPr>
          <w:ilvl w:val="0"/>
          <w:numId w:val="16"/>
        </w:numPr>
        <w:spacing w:line="360" w:lineRule="auto"/>
        <w:ind w:firstLineChars="0"/>
        <w:outlineLvl w:val="0"/>
        <w:rPr>
          <w:rFonts w:ascii="宋体" w:hAnsi="宋体"/>
          <w:bCs/>
          <w:sz w:val="24"/>
        </w:rPr>
      </w:pPr>
      <w:r>
        <w:rPr>
          <w:rFonts w:hint="eastAsia" w:ascii="宋体" w:hAnsi="宋体"/>
          <w:bCs/>
          <w:sz w:val="24"/>
        </w:rPr>
        <w:t>招标人向中标供应商发中标通知书。</w:t>
      </w:r>
    </w:p>
    <w:p>
      <w:pPr>
        <w:numPr>
          <w:ilvl w:val="0"/>
          <w:numId w:val="13"/>
        </w:numPr>
        <w:spacing w:line="360" w:lineRule="auto"/>
        <w:rPr>
          <w:rFonts w:ascii="黑体" w:hAnsi="宋体" w:eastAsia="黑体"/>
          <w:bCs/>
          <w:sz w:val="24"/>
        </w:rPr>
      </w:pPr>
      <w:r>
        <w:rPr>
          <w:rFonts w:hint="eastAsia" w:ascii="黑体" w:hAnsi="宋体" w:eastAsia="黑体"/>
          <w:bCs/>
          <w:sz w:val="24"/>
        </w:rPr>
        <w:t>废标的确认：</w:t>
      </w:r>
    </w:p>
    <w:p>
      <w:pPr>
        <w:spacing w:line="360" w:lineRule="auto"/>
        <w:ind w:firstLine="480" w:firstLineChars="200"/>
        <w:rPr>
          <w:rFonts w:ascii="宋体" w:hAnsi="宋体"/>
          <w:bCs/>
          <w:sz w:val="24"/>
        </w:rPr>
      </w:pPr>
      <w:r>
        <w:rPr>
          <w:rFonts w:hint="eastAsia" w:ascii="宋体" w:hAnsi="宋体"/>
          <w:bCs/>
          <w:sz w:val="24"/>
        </w:rPr>
        <w:t>在招标采购中，出现下列情况之一的，应予废标：</w:t>
      </w:r>
    </w:p>
    <w:p>
      <w:pPr>
        <w:tabs>
          <w:tab w:val="left" w:pos="1155"/>
          <w:tab w:val="left" w:pos="1260"/>
        </w:tabs>
        <w:spacing w:line="360" w:lineRule="auto"/>
        <w:ind w:firstLine="480" w:firstLineChars="200"/>
        <w:rPr>
          <w:rFonts w:ascii="宋体" w:hAnsi="宋体"/>
          <w:bCs/>
          <w:sz w:val="24"/>
        </w:rPr>
      </w:pPr>
      <w:r>
        <w:rPr>
          <w:rFonts w:ascii="宋体" w:hAnsi="宋体"/>
          <w:bCs/>
          <w:sz w:val="24"/>
        </w:rPr>
        <w:t xml:space="preserve">1. </w:t>
      </w:r>
      <w:r>
        <w:rPr>
          <w:rFonts w:hint="eastAsia" w:ascii="宋体" w:hAnsi="宋体"/>
          <w:bCs/>
          <w:sz w:val="24"/>
        </w:rPr>
        <w:t>符合专业条件的投标人或者对招标文件作出实质性响应的投标人不足三家；</w:t>
      </w:r>
    </w:p>
    <w:p>
      <w:pPr>
        <w:tabs>
          <w:tab w:val="left" w:pos="1155"/>
          <w:tab w:val="left" w:pos="1260"/>
        </w:tabs>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 xml:space="preserve"> </w:t>
      </w:r>
      <w:r>
        <w:rPr>
          <w:rFonts w:hint="eastAsia" w:ascii="宋体" w:hAnsi="宋体"/>
          <w:bCs/>
          <w:sz w:val="24"/>
        </w:rPr>
        <w:t>出现影响采购公正的违法、违规行为；</w:t>
      </w:r>
    </w:p>
    <w:p>
      <w:pPr>
        <w:tabs>
          <w:tab w:val="left" w:pos="1155"/>
          <w:tab w:val="left" w:pos="1260"/>
        </w:tabs>
        <w:spacing w:line="360" w:lineRule="auto"/>
        <w:ind w:firstLine="480" w:firstLineChars="200"/>
        <w:rPr>
          <w:rFonts w:ascii="宋体" w:hAnsi="宋体"/>
          <w:bCs/>
          <w:sz w:val="24"/>
        </w:rPr>
      </w:pPr>
      <w:r>
        <w:rPr>
          <w:rFonts w:ascii="宋体" w:hAnsi="宋体"/>
          <w:bCs/>
          <w:sz w:val="24"/>
        </w:rPr>
        <w:t xml:space="preserve">3. </w:t>
      </w:r>
      <w:r>
        <w:rPr>
          <w:rFonts w:hint="eastAsia" w:ascii="宋体" w:hAnsi="宋体"/>
          <w:bCs/>
          <w:sz w:val="24"/>
        </w:rPr>
        <w:t>投标人的报价均超过采购预算，招标人不能支付的；</w:t>
      </w:r>
    </w:p>
    <w:p>
      <w:pPr>
        <w:spacing w:line="360" w:lineRule="auto"/>
        <w:ind w:firstLine="480" w:firstLineChars="200"/>
        <w:outlineLvl w:val="0"/>
        <w:rPr>
          <w:rFonts w:ascii="宋体" w:hAnsi="宋体"/>
          <w:bCs/>
          <w:sz w:val="24"/>
        </w:rPr>
      </w:pPr>
      <w:r>
        <w:rPr>
          <w:rFonts w:hint="eastAsia" w:ascii="宋体" w:hAnsi="宋体"/>
          <w:bCs/>
          <w:sz w:val="24"/>
        </w:rPr>
        <w:t>4.</w:t>
      </w:r>
      <w:r>
        <w:rPr>
          <w:rFonts w:ascii="宋体" w:hAnsi="宋体"/>
          <w:bCs/>
          <w:sz w:val="24"/>
        </w:rPr>
        <w:t xml:space="preserve"> </w:t>
      </w:r>
      <w:r>
        <w:rPr>
          <w:rFonts w:hint="eastAsia" w:ascii="宋体" w:hAnsi="宋体"/>
          <w:bCs/>
          <w:sz w:val="24"/>
        </w:rPr>
        <w:t>因重大变故，采购任务取消。</w:t>
      </w:r>
    </w:p>
    <w:p>
      <w:pPr>
        <w:numPr>
          <w:ilvl w:val="0"/>
          <w:numId w:val="13"/>
        </w:numPr>
        <w:spacing w:line="360" w:lineRule="auto"/>
        <w:rPr>
          <w:rFonts w:ascii="黑体" w:hAnsi="宋体" w:eastAsia="黑体"/>
          <w:bCs/>
          <w:sz w:val="24"/>
        </w:rPr>
      </w:pPr>
      <w:r>
        <w:rPr>
          <w:rFonts w:hint="eastAsia" w:ascii="黑体" w:hAnsi="宋体" w:eastAsia="黑体"/>
          <w:bCs/>
          <w:sz w:val="24"/>
        </w:rPr>
        <w:t>中标无效的确认：</w:t>
      </w:r>
    </w:p>
    <w:p>
      <w:pPr>
        <w:spacing w:line="360" w:lineRule="auto"/>
        <w:ind w:firstLine="480" w:firstLineChars="200"/>
        <w:outlineLvl w:val="0"/>
        <w:rPr>
          <w:rFonts w:ascii="宋体" w:hAnsi="宋体"/>
          <w:bCs/>
          <w:sz w:val="24"/>
        </w:rPr>
      </w:pPr>
      <w:r>
        <w:rPr>
          <w:rFonts w:hint="eastAsia" w:ascii="宋体" w:hAnsi="宋体"/>
          <w:bCs/>
          <w:sz w:val="24"/>
        </w:rPr>
        <w:t>1.提供虚假材料谋取中标的；</w:t>
      </w:r>
    </w:p>
    <w:p>
      <w:pPr>
        <w:spacing w:line="360" w:lineRule="auto"/>
        <w:ind w:firstLine="480" w:firstLineChars="200"/>
        <w:outlineLvl w:val="0"/>
        <w:rPr>
          <w:rFonts w:ascii="宋体" w:hAnsi="宋体"/>
          <w:bCs/>
          <w:sz w:val="24"/>
        </w:rPr>
      </w:pPr>
      <w:r>
        <w:rPr>
          <w:rFonts w:hint="eastAsia" w:ascii="宋体" w:hAnsi="宋体"/>
          <w:bCs/>
          <w:sz w:val="24"/>
        </w:rPr>
        <w:t>2.采取不正当手段诋毁、排挤其他投标人的；</w:t>
      </w:r>
    </w:p>
    <w:p>
      <w:pPr>
        <w:spacing w:line="360" w:lineRule="auto"/>
        <w:ind w:firstLine="480" w:firstLineChars="200"/>
        <w:outlineLvl w:val="0"/>
        <w:rPr>
          <w:rFonts w:ascii="宋体" w:hAnsi="宋体"/>
          <w:bCs/>
          <w:sz w:val="24"/>
        </w:rPr>
      </w:pPr>
      <w:r>
        <w:rPr>
          <w:rFonts w:hint="eastAsia" w:ascii="宋体" w:hAnsi="宋体"/>
          <w:bCs/>
          <w:sz w:val="24"/>
        </w:rPr>
        <w:t>3.与招标采购单位、其他投标人恶意串通的：</w:t>
      </w:r>
    </w:p>
    <w:p>
      <w:pPr>
        <w:spacing w:line="360" w:lineRule="auto"/>
        <w:ind w:firstLine="480" w:firstLineChars="200"/>
        <w:outlineLvl w:val="0"/>
        <w:rPr>
          <w:rFonts w:ascii="宋体" w:hAnsi="宋体"/>
          <w:bCs/>
          <w:sz w:val="24"/>
        </w:rPr>
      </w:pPr>
      <w:r>
        <w:rPr>
          <w:rFonts w:hint="eastAsia" w:ascii="宋体" w:hAnsi="宋体"/>
          <w:bCs/>
          <w:sz w:val="24"/>
        </w:rPr>
        <w:t>4.向招标采购单位行贿或者提供其他不正当利益的；</w:t>
      </w:r>
    </w:p>
    <w:p>
      <w:pPr>
        <w:spacing w:line="360" w:lineRule="auto"/>
        <w:ind w:left="-2" w:leftChars="-1" w:firstLine="480" w:firstLineChars="200"/>
        <w:outlineLvl w:val="0"/>
        <w:rPr>
          <w:rFonts w:ascii="宋体" w:hAnsi="宋体"/>
          <w:bCs/>
          <w:sz w:val="24"/>
        </w:rPr>
      </w:pPr>
      <w:r>
        <w:rPr>
          <w:rFonts w:hint="eastAsia" w:ascii="宋体" w:hAnsi="宋体"/>
          <w:bCs/>
          <w:sz w:val="24"/>
        </w:rPr>
        <w:t>5.在招标过程中与招标采购单位进行协商谈判、不按照招标文件和中标单位的投标文件订立合同，或者与采购单位另行订立背离合同实质性内容的协议的；</w:t>
      </w:r>
    </w:p>
    <w:p>
      <w:pPr>
        <w:spacing w:line="360" w:lineRule="auto"/>
        <w:ind w:firstLine="480" w:firstLineChars="200"/>
        <w:outlineLvl w:val="0"/>
        <w:rPr>
          <w:rFonts w:ascii="宋体" w:hAnsi="宋体"/>
          <w:bCs/>
          <w:sz w:val="24"/>
        </w:rPr>
      </w:pPr>
      <w:r>
        <w:rPr>
          <w:rFonts w:hint="eastAsia" w:ascii="宋体" w:hAnsi="宋体"/>
          <w:bCs/>
          <w:sz w:val="24"/>
        </w:rPr>
        <w:t>6.拒绝有关部门监督检查或者提供虚假情况的。</w:t>
      </w:r>
    </w:p>
    <w:p>
      <w:pPr>
        <w:spacing w:line="360" w:lineRule="auto"/>
        <w:ind w:firstLine="480" w:firstLineChars="200"/>
        <w:outlineLvl w:val="0"/>
        <w:rPr>
          <w:rFonts w:ascii="宋体" w:hAnsi="宋体"/>
          <w:bCs/>
          <w:sz w:val="24"/>
        </w:rPr>
      </w:pPr>
      <w:r>
        <w:rPr>
          <w:rFonts w:hint="eastAsia" w:ascii="宋体" w:hAnsi="宋体"/>
          <w:bCs/>
          <w:sz w:val="24"/>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numPr>
          <w:ilvl w:val="0"/>
          <w:numId w:val="13"/>
        </w:numPr>
        <w:spacing w:line="360" w:lineRule="auto"/>
        <w:rPr>
          <w:rFonts w:ascii="黑体" w:hAnsi="宋体" w:eastAsia="黑体"/>
          <w:bCs/>
          <w:sz w:val="24"/>
        </w:rPr>
      </w:pPr>
      <w:r>
        <w:rPr>
          <w:rFonts w:hint="eastAsia" w:ascii="黑体" w:hAnsi="宋体" w:eastAsia="黑体"/>
          <w:bCs/>
          <w:sz w:val="24"/>
        </w:rPr>
        <w:t>签订、履行合同：</w:t>
      </w:r>
    </w:p>
    <w:p>
      <w:pPr>
        <w:tabs>
          <w:tab w:val="left" w:pos="780"/>
          <w:tab w:val="left" w:pos="1050"/>
          <w:tab w:val="left" w:pos="1140"/>
        </w:tabs>
        <w:spacing w:line="360" w:lineRule="auto"/>
        <w:ind w:firstLine="480" w:firstLineChars="200"/>
        <w:rPr>
          <w:rFonts w:ascii="宋体" w:hAnsi="宋体"/>
          <w:bCs/>
          <w:sz w:val="24"/>
        </w:rPr>
      </w:pPr>
      <w:r>
        <w:rPr>
          <w:rFonts w:hint="eastAsia" w:ascii="宋体" w:hAnsi="宋体"/>
          <w:bCs/>
          <w:sz w:val="24"/>
        </w:rPr>
        <w:t>1.招标代理机构宣布中标结果，</w:t>
      </w:r>
      <w:r>
        <w:rPr>
          <w:rFonts w:ascii="宋体" w:hAnsi="宋体"/>
          <w:bCs/>
          <w:sz w:val="24"/>
        </w:rPr>
        <w:t>按照</w:t>
      </w:r>
      <w:r>
        <w:rPr>
          <w:rFonts w:hint="eastAsia" w:ascii="宋体" w:hAnsi="宋体"/>
          <w:bCs/>
          <w:sz w:val="24"/>
        </w:rPr>
        <w:t>本</w:t>
      </w:r>
      <w:r>
        <w:rPr>
          <w:rFonts w:ascii="宋体" w:hAnsi="宋体"/>
          <w:bCs/>
          <w:sz w:val="24"/>
        </w:rPr>
        <w:t>招标文件</w:t>
      </w:r>
      <w:r>
        <w:rPr>
          <w:rFonts w:hint="eastAsia" w:ascii="宋体" w:hAnsi="宋体"/>
          <w:bCs/>
          <w:sz w:val="24"/>
        </w:rPr>
        <w:t>和</w:t>
      </w:r>
      <w:r>
        <w:rPr>
          <w:rFonts w:ascii="宋体" w:hAnsi="宋体"/>
          <w:bCs/>
          <w:sz w:val="24"/>
        </w:rPr>
        <w:t>中标</w:t>
      </w:r>
      <w:r>
        <w:rPr>
          <w:rFonts w:hint="eastAsia" w:ascii="宋体" w:hAnsi="宋体"/>
          <w:bCs/>
          <w:sz w:val="24"/>
        </w:rPr>
        <w:t>单位</w:t>
      </w:r>
      <w:r>
        <w:rPr>
          <w:rFonts w:ascii="宋体" w:hAnsi="宋体"/>
          <w:bCs/>
          <w:sz w:val="24"/>
        </w:rPr>
        <w:t>投标文件的约定，中标</w:t>
      </w:r>
      <w:r>
        <w:rPr>
          <w:rFonts w:hint="eastAsia" w:ascii="宋体" w:hAnsi="宋体"/>
          <w:bCs/>
          <w:sz w:val="24"/>
        </w:rPr>
        <w:t>单位</w:t>
      </w:r>
      <w:r>
        <w:rPr>
          <w:rFonts w:ascii="宋体" w:hAnsi="宋体"/>
          <w:bCs/>
          <w:sz w:val="24"/>
        </w:rPr>
        <w:t>应当自中标通知书发出之日起</w:t>
      </w:r>
      <w:r>
        <w:rPr>
          <w:rFonts w:hint="eastAsia" w:ascii="宋体" w:hAnsi="宋体"/>
          <w:bCs/>
          <w:sz w:val="24"/>
        </w:rPr>
        <w:t>三十</w:t>
      </w:r>
      <w:r>
        <w:rPr>
          <w:rFonts w:ascii="宋体" w:hAnsi="宋体"/>
          <w:bCs/>
          <w:sz w:val="24"/>
        </w:rPr>
        <w:t>日内，</w:t>
      </w:r>
      <w:r>
        <w:rPr>
          <w:rFonts w:hint="eastAsia" w:ascii="宋体" w:hAnsi="宋体"/>
          <w:bCs/>
          <w:sz w:val="24"/>
        </w:rPr>
        <w:t>与</w:t>
      </w:r>
      <w:r>
        <w:rPr>
          <w:rFonts w:ascii="宋体" w:hAnsi="宋体"/>
          <w:bCs/>
          <w:sz w:val="24"/>
        </w:rPr>
        <w:t>招标人签订书面合同。所签订的合同不得对招标文件</w:t>
      </w:r>
      <w:r>
        <w:rPr>
          <w:rFonts w:hint="eastAsia" w:ascii="宋体" w:hAnsi="宋体"/>
          <w:bCs/>
          <w:sz w:val="24"/>
        </w:rPr>
        <w:t>确定的事项</w:t>
      </w:r>
      <w:r>
        <w:rPr>
          <w:rFonts w:ascii="宋体" w:hAnsi="宋体"/>
          <w:bCs/>
          <w:sz w:val="24"/>
        </w:rPr>
        <w:t>和中标</w:t>
      </w:r>
      <w:r>
        <w:rPr>
          <w:rFonts w:hint="eastAsia" w:ascii="宋体" w:hAnsi="宋体"/>
          <w:bCs/>
          <w:sz w:val="24"/>
        </w:rPr>
        <w:t>单位</w:t>
      </w:r>
      <w:r>
        <w:rPr>
          <w:rFonts w:ascii="宋体" w:hAnsi="宋体"/>
          <w:bCs/>
          <w:sz w:val="24"/>
        </w:rPr>
        <w:t>投标文件作实质性修改。</w:t>
      </w:r>
    </w:p>
    <w:p>
      <w:pPr>
        <w:spacing w:line="360" w:lineRule="auto"/>
        <w:ind w:firstLine="480" w:firstLineChars="200"/>
        <w:rPr>
          <w:rFonts w:ascii="宋体" w:hAnsi="宋体"/>
          <w:bCs/>
          <w:sz w:val="24"/>
        </w:rPr>
      </w:pPr>
      <w:r>
        <w:rPr>
          <w:rFonts w:hint="eastAsia" w:ascii="宋体" w:hAnsi="宋体"/>
          <w:bCs/>
          <w:sz w:val="24"/>
        </w:rPr>
        <w:t>2.招标人跟踪中标单位的合同履行情况。中标方非因不可抗力未履行招、投标文件和合同规定的义务，一经查实，将根据具体情况提请招标人做出相应处理。</w:t>
      </w:r>
    </w:p>
    <w:p>
      <w:pPr>
        <w:numPr>
          <w:ilvl w:val="0"/>
          <w:numId w:val="13"/>
        </w:numPr>
        <w:spacing w:line="360" w:lineRule="auto"/>
        <w:rPr>
          <w:rFonts w:ascii="黑体" w:hAnsi="宋体" w:eastAsia="黑体"/>
          <w:bCs/>
          <w:sz w:val="24"/>
        </w:rPr>
      </w:pPr>
      <w:r>
        <w:rPr>
          <w:rFonts w:hint="eastAsia" w:ascii="黑体" w:hAnsi="宋体" w:eastAsia="黑体"/>
          <w:bCs/>
          <w:sz w:val="24"/>
        </w:rPr>
        <w:t>政府采购信用担保</w:t>
      </w:r>
    </w:p>
    <w:p>
      <w:pPr>
        <w:spacing w:line="360" w:lineRule="auto"/>
        <w:ind w:firstLine="480" w:firstLineChars="200"/>
        <w:rPr>
          <w:rFonts w:ascii="宋体" w:hAnsi="宋体"/>
          <w:bCs/>
          <w:sz w:val="24"/>
        </w:rPr>
      </w:pPr>
      <w:r>
        <w:rPr>
          <w:rFonts w:hint="eastAsia" w:ascii="宋体" w:hAnsi="宋体"/>
          <w:bCs/>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360" w:lineRule="auto"/>
        <w:ind w:firstLine="480" w:firstLineChars="200"/>
        <w:rPr>
          <w:color w:val="000000"/>
          <w:sz w:val="24"/>
        </w:rPr>
      </w:pPr>
      <w:r>
        <w:rPr>
          <w:rFonts w:hint="eastAsia" w:ascii="宋体" w:hAnsi="宋体"/>
          <w:bCs/>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0"/>
          <w:numId w:val="13"/>
        </w:numPr>
        <w:spacing w:line="360" w:lineRule="auto"/>
        <w:rPr>
          <w:rFonts w:ascii="黑体" w:hAnsi="宋体" w:eastAsia="黑体"/>
          <w:bCs/>
          <w:sz w:val="24"/>
        </w:rPr>
      </w:pPr>
      <w:r>
        <w:rPr>
          <w:rFonts w:hint="eastAsia" w:ascii="黑体" w:hAnsi="宋体" w:eastAsia="黑体"/>
          <w:bCs/>
          <w:sz w:val="24"/>
        </w:rPr>
        <w:t>政府采购合同融资</w:t>
      </w:r>
    </w:p>
    <w:p>
      <w:pPr>
        <w:spacing w:line="360" w:lineRule="auto"/>
        <w:ind w:firstLine="480" w:firstLineChars="200"/>
        <w:rPr>
          <w:rFonts w:ascii="宋体" w:hAnsi="宋体"/>
          <w:bCs/>
          <w:sz w:val="24"/>
        </w:rPr>
      </w:pPr>
      <w:r>
        <w:rPr>
          <w:rFonts w:hint="eastAsia" w:ascii="宋体" w:hAnsi="宋体"/>
          <w:bCs/>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bCs/>
          <w:sz w:val="24"/>
        </w:rPr>
      </w:pPr>
      <w:r>
        <w:rPr>
          <w:rFonts w:hint="eastAsia" w:ascii="宋体" w:hAnsi="宋体"/>
          <w:bCs/>
          <w:sz w:val="24"/>
        </w:rPr>
        <w:t>中标、成交供应商可根据自身情况，自行决定是否选择采用合同融资形式，在无锡政府采购网——政采贷专栏提供的银行名录内自主选择合作银行。</w:t>
      </w:r>
    </w:p>
    <w:p>
      <w:pPr>
        <w:numPr>
          <w:ilvl w:val="0"/>
          <w:numId w:val="13"/>
        </w:numPr>
        <w:spacing w:line="360" w:lineRule="auto"/>
        <w:rPr>
          <w:rFonts w:ascii="黑体" w:hAnsi="宋体" w:eastAsia="黑体"/>
          <w:bCs/>
          <w:sz w:val="24"/>
        </w:rPr>
      </w:pPr>
      <w:r>
        <w:rPr>
          <w:rFonts w:hint="eastAsia" w:ascii="黑体" w:hAnsi="宋体" w:eastAsia="黑体"/>
          <w:bCs/>
          <w:sz w:val="24"/>
        </w:rPr>
        <w:t>代理服务费：</w:t>
      </w:r>
    </w:p>
    <w:p>
      <w:pPr>
        <w:spacing w:line="360" w:lineRule="auto"/>
        <w:ind w:firstLine="480" w:firstLineChars="200"/>
        <w:rPr>
          <w:rFonts w:ascii="黑体" w:hAnsi="黑体" w:eastAsia="黑体"/>
          <w:sz w:val="24"/>
        </w:rPr>
      </w:pPr>
      <w:r>
        <w:rPr>
          <w:rFonts w:hint="eastAsia" w:ascii="宋体" w:hAnsi="宋体"/>
          <w:bCs/>
          <w:sz w:val="24"/>
        </w:rPr>
        <w:t>本项目招标代理服务费由中标方支付，招标代理服务费按以下要求打五折计取：100万以内按中标价的1.5%、100万（不含）-500万按中标价的0.8%、500万（不含）-1000万按中标价的0.45%计取。</w:t>
      </w:r>
    </w:p>
    <w:p>
      <w:pPr>
        <w:numPr>
          <w:ilvl w:val="0"/>
          <w:numId w:val="13"/>
        </w:numPr>
        <w:spacing w:line="360" w:lineRule="auto"/>
        <w:rPr>
          <w:rFonts w:ascii="黑体" w:hAnsi="宋体" w:eastAsia="黑体"/>
          <w:bCs/>
          <w:sz w:val="24"/>
        </w:rPr>
      </w:pPr>
      <w:r>
        <w:rPr>
          <w:rFonts w:hint="eastAsia" w:ascii="黑体" w:hAnsi="宋体" w:eastAsia="黑体"/>
          <w:bCs/>
          <w:sz w:val="24"/>
        </w:rPr>
        <w:t>其他：</w:t>
      </w:r>
    </w:p>
    <w:p>
      <w:pPr>
        <w:spacing w:line="360" w:lineRule="auto"/>
        <w:ind w:left="-76" w:leftChars="-36" w:firstLine="477" w:firstLineChars="199"/>
        <w:rPr>
          <w:rFonts w:ascii="黑体" w:eastAsia="黑体"/>
          <w:bCs/>
          <w:sz w:val="28"/>
          <w:szCs w:val="28"/>
        </w:rPr>
      </w:pPr>
      <w:r>
        <w:rPr>
          <w:rFonts w:hint="eastAsia" w:ascii="宋体" w:hAnsi="宋体"/>
          <w:bCs/>
          <w:sz w:val="24"/>
        </w:rPr>
        <w:t>招标文件的条款必须认真审阅，投标人应自行检查招标文件页数是否齐全。若有遗漏、重复或不清楚，需立刻通知招标人予以更正；凡属对条款的误解所造成的投标价格失误，由投标人负责。</w:t>
      </w:r>
    </w:p>
    <w:p>
      <w:pPr>
        <w:widowControl/>
        <w:jc w:val="left"/>
        <w:rPr>
          <w:rFonts w:ascii="黑体" w:eastAsia="黑体"/>
          <w:bCs/>
          <w:sz w:val="28"/>
          <w:szCs w:val="28"/>
        </w:rPr>
      </w:pPr>
      <w:r>
        <w:rPr>
          <w:rFonts w:ascii="黑体" w:eastAsia="黑体"/>
          <w:bCs/>
          <w:sz w:val="28"/>
          <w:szCs w:val="28"/>
        </w:rPr>
        <w:br w:type="page"/>
      </w:r>
    </w:p>
    <w:p>
      <w:pPr>
        <w:pStyle w:val="118"/>
        <w:numPr>
          <w:ilvl w:val="0"/>
          <w:numId w:val="19"/>
        </w:numPr>
        <w:spacing w:line="360" w:lineRule="auto"/>
        <w:ind w:firstLineChars="0"/>
        <w:jc w:val="center"/>
        <w:rPr>
          <w:rFonts w:ascii="黑体" w:eastAsia="黑体"/>
          <w:b/>
          <w:sz w:val="30"/>
          <w:szCs w:val="30"/>
        </w:rPr>
      </w:pPr>
      <w:bookmarkStart w:id="5" w:name="五．合同条款"/>
      <w:bookmarkEnd w:id="5"/>
      <w:bookmarkStart w:id="6" w:name="_Toc245033596"/>
      <w:r>
        <w:rPr>
          <w:rFonts w:hint="eastAsia" w:ascii="黑体" w:eastAsia="黑体"/>
          <w:b/>
          <w:sz w:val="30"/>
          <w:szCs w:val="30"/>
        </w:rPr>
        <w:t>项目技术要求和有关说明</w:t>
      </w:r>
    </w:p>
    <w:p>
      <w:pPr>
        <w:widowControl/>
        <w:shd w:val="clear" w:color="auto" w:fill="FFFFFF"/>
        <w:snapToGrid w:val="0"/>
        <w:spacing w:before="90" w:after="90"/>
        <w:ind w:firstLine="482" w:firstLineChars="200"/>
        <w:jc w:val="left"/>
        <w:rPr>
          <w:rFonts w:hAnsi="宋体" w:cs="宋体"/>
          <w:b/>
          <w:bCs/>
          <w:sz w:val="24"/>
        </w:rPr>
      </w:pPr>
      <w:r>
        <w:rPr>
          <w:rFonts w:hint="eastAsia" w:hAnsi="宋体" w:cs="宋体"/>
          <w:b/>
          <w:bCs/>
          <w:sz w:val="24"/>
        </w:rPr>
        <w:t>一、采购标的需实现的功能或者目标，以及为落实政府采购政策需满足的要求</w:t>
      </w:r>
    </w:p>
    <w:p>
      <w:pPr>
        <w:spacing w:line="360" w:lineRule="auto"/>
        <w:ind w:firstLine="482" w:firstLineChars="200"/>
        <w:rPr>
          <w:rFonts w:ascii="宋体" w:hAnsi="宋体"/>
          <w:b/>
          <w:sz w:val="24"/>
        </w:rPr>
      </w:pPr>
      <w:r>
        <w:rPr>
          <w:rFonts w:hint="eastAsia" w:ascii="宋体" w:hAnsi="宋体"/>
          <w:b/>
          <w:sz w:val="24"/>
        </w:rPr>
        <w:t>1、项目概况</w:t>
      </w:r>
    </w:p>
    <w:p>
      <w:pPr>
        <w:spacing w:line="360" w:lineRule="auto"/>
        <w:ind w:firstLine="480" w:firstLineChars="200"/>
        <w:rPr>
          <w:rFonts w:ascii="宋体" w:hAnsi="宋体"/>
          <w:bCs/>
          <w:sz w:val="24"/>
        </w:rPr>
      </w:pPr>
      <w:r>
        <w:rPr>
          <w:rFonts w:hint="eastAsia" w:ascii="宋体" w:hAnsi="宋体"/>
          <w:bCs/>
          <w:sz w:val="24"/>
        </w:rPr>
        <w:t>2022年起我市全面推进生活垃圾分类工作，力争通过三年努力进入全国生活垃圾分类评估第一档次，为全面掌握分析无锡市城乡生活垃圾分类情况，拟聘请生活垃圾分类测评第三方参与垃圾分类测评工作。第三方评价咨询服务单位将采取现场实地检查的方式对无锡市开展生活垃圾分类的居民小区、自然村巷、公共机构、公共场所进行</w:t>
      </w:r>
      <w:r>
        <w:rPr>
          <w:rFonts w:hint="eastAsia" w:ascii="宋体" w:hAnsi="宋体"/>
          <w:bCs/>
          <w:color w:val="auto"/>
          <w:sz w:val="24"/>
        </w:rPr>
        <w:t>日常测评工作。测评内容</w:t>
      </w:r>
      <w:r>
        <w:rPr>
          <w:rFonts w:hint="eastAsia" w:ascii="宋体" w:hAnsi="宋体"/>
          <w:bCs/>
          <w:sz w:val="24"/>
        </w:rPr>
        <w:t>主要包括垃圾分类设施的设置与维护、宣传氛围的营造，分类收运落实情况以及居民垃圾分类投放的准确率等，同时对市民进行问卷调查工作。测评调查完成后，将检查情况结果及时反馈，并以此为依据加强对各区生活垃圾分类工作的指导与监督。</w:t>
      </w:r>
    </w:p>
    <w:p>
      <w:pPr>
        <w:spacing w:line="360" w:lineRule="auto"/>
        <w:ind w:firstLine="482" w:firstLineChars="200"/>
        <w:rPr>
          <w:rFonts w:ascii="宋体" w:hAnsi="宋体"/>
          <w:b/>
          <w:sz w:val="24"/>
        </w:rPr>
      </w:pPr>
      <w:r>
        <w:rPr>
          <w:rFonts w:hint="eastAsia" w:ascii="宋体" w:hAnsi="宋体"/>
          <w:b/>
          <w:sz w:val="24"/>
        </w:rPr>
        <w:t>2、实现目标</w:t>
      </w:r>
    </w:p>
    <w:p>
      <w:pPr>
        <w:spacing w:line="360" w:lineRule="auto"/>
        <w:ind w:firstLine="480" w:firstLineChars="200"/>
        <w:rPr>
          <w:rFonts w:ascii="宋体" w:hAnsi="宋体"/>
          <w:bCs/>
          <w:sz w:val="24"/>
        </w:rPr>
      </w:pPr>
      <w:r>
        <w:rPr>
          <w:rFonts w:hint="eastAsia" w:ascii="宋体" w:hAnsi="宋体"/>
          <w:bCs/>
          <w:sz w:val="24"/>
        </w:rPr>
        <w:t>坚持独立、公开、公正、诚信为原则，以相关法律法规为依据，配置专业的第三方驻无锡测评团队和咨询专家组，以生活垃圾分类宣传（指导/培训）、分类投放、收运、分类处理等全过程为测评范围；以设备设施覆盖率、全民参与率、分类准确率等作为重点测评指标，通过文件审查、现场抽查、重点追查等方式，对生活垃圾分类的全过程进行抽查测评，为采购人对各市（县）区生活垃圾分类考核提供依据，提供关于垃圾分类相关工作的行业咨询服务，通过三年努力进入全国生活垃圾分类评估第一档次。</w:t>
      </w:r>
    </w:p>
    <w:p>
      <w:pPr>
        <w:spacing w:line="360" w:lineRule="auto"/>
        <w:ind w:firstLine="482" w:firstLineChars="200"/>
        <w:rPr>
          <w:rFonts w:ascii="宋体" w:hAnsi="宋体"/>
          <w:b/>
          <w:sz w:val="24"/>
        </w:rPr>
      </w:pPr>
      <w:r>
        <w:rPr>
          <w:rFonts w:hint="eastAsia" w:ascii="宋体" w:hAnsi="宋体"/>
          <w:b/>
          <w:sz w:val="24"/>
        </w:rPr>
        <w:t>3、为落实政府采购政策需满足的要求</w:t>
      </w:r>
    </w:p>
    <w:p>
      <w:pPr>
        <w:spacing w:line="360" w:lineRule="auto"/>
        <w:ind w:firstLine="480" w:firstLineChars="200"/>
        <w:rPr>
          <w:rFonts w:ascii="宋体" w:hAnsi="宋体"/>
          <w:bCs/>
          <w:sz w:val="24"/>
        </w:rPr>
      </w:pPr>
      <w:r>
        <w:rPr>
          <w:rFonts w:hint="eastAsia" w:ascii="宋体" w:hAnsi="宋体"/>
          <w:bCs/>
          <w:sz w:val="24"/>
        </w:rPr>
        <w:t>根据省财政厅《江苏省财政厅关于进一步加大政府采购支持中小企业力度的通知》（苏财购[2022]45号）的要求，对于非专门面向中小微企业的项目，对小型和微型企业产品价格给予10%的扣除，用扣除后的价格参与评审。（监狱企业、残疾人福利性单位视同小、微型企业）。</w:t>
      </w:r>
    </w:p>
    <w:p>
      <w:pPr>
        <w:spacing w:line="360" w:lineRule="auto"/>
        <w:ind w:firstLine="480" w:firstLineChars="200"/>
        <w:rPr>
          <w:rFonts w:ascii="宋体" w:hAnsi="宋体"/>
          <w:bCs/>
          <w:sz w:val="24"/>
        </w:rPr>
      </w:pPr>
      <w:r>
        <w:rPr>
          <w:rFonts w:hint="eastAsia" w:ascii="宋体" w:hAnsi="宋体"/>
          <w:bCs/>
          <w:sz w:val="24"/>
        </w:rPr>
        <w:t>执行《关于政府采购支持监狱企业发展有关问题的通知》（财库[2014]68号）第二条规定，监狱企业视同小型、微型企业，享受预留份额、评审中价格扣除等政府采购促进中小企业发展的政府采购政策。 </w:t>
      </w:r>
    </w:p>
    <w:p>
      <w:pPr>
        <w:spacing w:line="360" w:lineRule="auto"/>
        <w:ind w:firstLine="480" w:firstLineChars="200"/>
        <w:rPr>
          <w:rFonts w:ascii="宋体" w:hAnsi="宋体"/>
          <w:bCs/>
          <w:sz w:val="24"/>
        </w:rPr>
      </w:pPr>
      <w:r>
        <w:rPr>
          <w:rFonts w:hint="eastAsia" w:ascii="宋体" w:hAnsi="宋体"/>
          <w:bCs/>
          <w:sz w:val="24"/>
        </w:rPr>
        <w:t>执行《财政部、民政部、中国残疾人联合会关于促进残疾人就业政府采购政策的通知》（财库〔2017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p>
    <w:p>
      <w:pPr>
        <w:spacing w:line="360" w:lineRule="auto"/>
        <w:ind w:firstLine="482" w:firstLineChars="200"/>
        <w:rPr>
          <w:rFonts w:ascii="宋体" w:hAnsi="宋体"/>
          <w:b/>
          <w:bCs/>
          <w:sz w:val="24"/>
        </w:rPr>
      </w:pPr>
      <w:r>
        <w:rPr>
          <w:rFonts w:hint="eastAsia" w:hAnsi="宋体" w:cs="宋体"/>
          <w:b/>
          <w:bCs/>
          <w:sz w:val="24"/>
        </w:rPr>
        <w:t>二、采购标的需执行的国家相关标准、行业标准、地方标准或者其他标准、规范</w:t>
      </w:r>
    </w:p>
    <w:p>
      <w:pPr>
        <w:pStyle w:val="5"/>
        <w:spacing w:line="360" w:lineRule="auto"/>
        <w:ind w:firstLine="420" w:firstLineChars="200"/>
        <w:rPr>
          <w:rFonts w:hAnsi="宋体" w:eastAsia="宋体" w:cs="宋体"/>
          <w:b w:val="0"/>
          <w:sz w:val="21"/>
          <w:szCs w:val="21"/>
        </w:rPr>
      </w:pPr>
      <w:r>
        <w:rPr>
          <w:rFonts w:hint="eastAsia" w:ascii="Times New Roman" w:hAnsi="宋体" w:eastAsia="宋体" w:cs="宋体"/>
          <w:b w:val="0"/>
          <w:bCs w:val="0"/>
          <w:sz w:val="21"/>
          <w:szCs w:val="21"/>
        </w:rPr>
        <w:t>1.</w:t>
      </w:r>
      <w:r>
        <w:rPr>
          <w:rFonts w:hint="eastAsia" w:hAnsi="宋体" w:eastAsia="宋体" w:cs="宋体"/>
          <w:b w:val="0"/>
          <w:sz w:val="21"/>
          <w:szCs w:val="21"/>
        </w:rPr>
        <w:t>当前国家政策</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1.1《生活垃圾分类制度实施方案》（国办发【2017】26号）</w:t>
      </w:r>
    </w:p>
    <w:p>
      <w:pPr>
        <w:widowControl/>
        <w:shd w:val="clear" w:color="auto" w:fill="FFFFFF"/>
        <w:spacing w:line="360" w:lineRule="auto"/>
        <w:ind w:left="420" w:leftChars="200"/>
        <w:jc w:val="left"/>
        <w:rPr>
          <w:rFonts w:hAnsi="宋体" w:cs="宋体"/>
          <w:szCs w:val="21"/>
        </w:rPr>
      </w:pPr>
      <w:r>
        <w:rPr>
          <w:rFonts w:hint="eastAsia" w:hAnsi="宋体" w:cs="宋体"/>
          <w:szCs w:val="21"/>
        </w:rPr>
        <w:t>1.2省住房城乡建设厅关于转发《住房城乡建设部关于印发省级统筹推进生活垃圾分类工作评估办法和城市生活垃圾分类工作评估办法的通知》（苏建城管【2021】136号）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1.3《关于推进党政机关等公共机构生活垃圾分类工作的通知》（国管节能[2017]180号）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1.4《关于加快推进部分重点城市生活垃圾分类工作的通知》（住建部，建城 [2017]253号）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1.5《关于在学校推进生活垃圾分类管理工作的通知》（教育部办公厅等6部门，2019年1月发布）</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1.6《中华人民共和国固体废物污染环境防治法》</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1.7《城市生活垃圾分类工作考核暂行办法》（住建部办公厅，建办城函[2018]304号）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1.8《关于军队单位落实生活垃圾分类制度的意见》（军后建[2017]485号）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1.9《关于在医疗机构推进生活垃圾分类管理的通知》（国卫办医发[2017]30号）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1.10《生活垃圾分类标志》（GB/T 19095-2019）</w:t>
      </w:r>
    </w:p>
    <w:p>
      <w:pPr>
        <w:pStyle w:val="5"/>
        <w:spacing w:line="360" w:lineRule="auto"/>
        <w:ind w:firstLine="420" w:firstLineChars="200"/>
        <w:rPr>
          <w:rFonts w:ascii="Times New Roman" w:hAnsi="宋体" w:eastAsia="宋体" w:cs="宋体"/>
          <w:b w:val="0"/>
          <w:bCs w:val="0"/>
          <w:sz w:val="21"/>
          <w:szCs w:val="21"/>
        </w:rPr>
      </w:pPr>
      <w:bookmarkStart w:id="7" w:name="_Toc26438191"/>
      <w:r>
        <w:rPr>
          <w:rFonts w:hint="eastAsia" w:ascii="Times New Roman" w:hAnsi="宋体" w:eastAsia="宋体" w:cs="宋体"/>
          <w:b w:val="0"/>
          <w:bCs w:val="0"/>
          <w:sz w:val="21"/>
          <w:szCs w:val="21"/>
        </w:rPr>
        <w:t>2.省、市有关环卫方面管理规定、条例、办法等</w:t>
      </w:r>
      <w:bookmarkEnd w:id="7"/>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2.1《市政府办公室关于进一步加快推进城乡生活垃圾分类工作的实施意见》（锡政发【2022】14号）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2.2关于印发《市（县）、区全面推进生活垃圾分类工作考核办法》、《街道生活垃圾分类工作考核办法》、《居住小区生活垃圾分类考核标准》的通知（锡城管委发【2022】4 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2.3省住房和城乡建设厅等部门印发《关于进一步推进城乡生活垃圾分类工作的实施意见》的通知（苏建城管【2021】152 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2.4《市政府办公室关于成立无锡市城乡生活垃圾 分类工作领导小组的通知》（锡政办函【2022】8 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2.5《无锡市生活垃圾分类管理条例》(2019年4月25日无锡市第十六届人民代表大会常务委员会第十九次会议通过2019年5月30日江苏省第十三届人民代表大会常务委员会第九次会议批准)</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2.6《关于印发&lt;无锡市2020版生活垃圾分类标志&gt;的通知》（锡垃圾分类办〔2020〕1号）</w:t>
      </w:r>
    </w:p>
    <w:p>
      <w:pPr>
        <w:widowControl/>
        <w:shd w:val="clear" w:color="auto" w:fill="FFFFFF"/>
        <w:spacing w:line="360" w:lineRule="auto"/>
        <w:ind w:firstLine="420" w:firstLineChars="200"/>
        <w:jc w:val="left"/>
        <w:rPr>
          <w:rFonts w:hAnsi="宋体" w:cs="宋体"/>
          <w:szCs w:val="21"/>
        </w:rPr>
      </w:pPr>
      <w:r>
        <w:rPr>
          <w:rFonts w:hint="eastAsia" w:hAnsi="宋体" w:cs="宋体"/>
          <w:szCs w:val="21"/>
        </w:rPr>
        <w:t>2.7其他</w:t>
      </w:r>
    </w:p>
    <w:p>
      <w:pPr>
        <w:widowControl/>
        <w:shd w:val="clear" w:color="auto" w:fill="FFFFFF"/>
        <w:snapToGrid w:val="0"/>
        <w:spacing w:before="90" w:after="90" w:line="360" w:lineRule="auto"/>
        <w:ind w:firstLine="482" w:firstLineChars="200"/>
        <w:jc w:val="left"/>
        <w:rPr>
          <w:rFonts w:hAnsi="宋体" w:cs="宋体"/>
          <w:szCs w:val="21"/>
        </w:rPr>
      </w:pPr>
      <w:r>
        <w:rPr>
          <w:rFonts w:hint="eastAsia" w:hAnsi="宋体" w:cs="宋体"/>
          <w:b/>
          <w:bCs/>
          <w:sz w:val="24"/>
        </w:rPr>
        <w:t>三、采购标的需满足的质量、安全、技术规格、物理特性等要求：无。</w:t>
      </w:r>
    </w:p>
    <w:p>
      <w:pPr>
        <w:widowControl/>
        <w:shd w:val="clear" w:color="auto" w:fill="FFFFFF"/>
        <w:snapToGrid w:val="0"/>
        <w:spacing w:before="90" w:after="90" w:line="360" w:lineRule="auto"/>
        <w:ind w:firstLine="482" w:firstLineChars="200"/>
        <w:jc w:val="left"/>
        <w:rPr>
          <w:rFonts w:hAnsi="宋体" w:cs="宋体"/>
          <w:b/>
          <w:bCs/>
          <w:sz w:val="24"/>
        </w:rPr>
      </w:pPr>
      <w:r>
        <w:rPr>
          <w:rFonts w:hint="eastAsia" w:hAnsi="宋体" w:cs="宋体"/>
          <w:b/>
          <w:bCs/>
          <w:sz w:val="24"/>
        </w:rPr>
        <w:t>四、采购标的的数量、采购项目交付或者实施的时间和地点</w:t>
      </w:r>
    </w:p>
    <w:p>
      <w:pPr>
        <w:widowControl/>
        <w:shd w:val="clear" w:color="auto" w:fill="FFFFFF"/>
        <w:spacing w:line="360" w:lineRule="auto"/>
        <w:ind w:firstLine="420" w:firstLineChars="200"/>
        <w:rPr>
          <w:rFonts w:hAnsi="宋体" w:cs="宋体"/>
          <w:szCs w:val="21"/>
        </w:rPr>
      </w:pPr>
      <w:r>
        <w:rPr>
          <w:rFonts w:hint="eastAsia" w:hAnsi="宋体" w:cs="宋体"/>
          <w:szCs w:val="21"/>
        </w:rPr>
        <w:t>1.采购标的的数量：本项目设1个标段。</w:t>
      </w:r>
    </w:p>
    <w:p>
      <w:pPr>
        <w:widowControl/>
        <w:shd w:val="clear" w:color="auto" w:fill="FFFFFF"/>
        <w:spacing w:line="360" w:lineRule="auto"/>
        <w:ind w:firstLine="420" w:firstLineChars="200"/>
        <w:rPr>
          <w:rFonts w:hAnsi="宋体" w:cs="宋体"/>
          <w:b/>
          <w:bCs/>
          <w:sz w:val="24"/>
        </w:rPr>
      </w:pPr>
      <w:r>
        <w:rPr>
          <w:rFonts w:hint="eastAsia" w:hAnsi="宋体" w:cs="宋体"/>
          <w:szCs w:val="21"/>
        </w:rPr>
        <w:t>2.采购项目交付或者实施的时间和地点：本项目</w:t>
      </w:r>
      <w:r>
        <w:rPr>
          <w:rFonts w:hint="eastAsia" w:hAnsi="宋体" w:cs="宋体"/>
          <w:color w:val="000000"/>
          <w:szCs w:val="21"/>
        </w:rPr>
        <w:t>实施时间为三年（自合同签订之日起），实施地点为无锡市。</w:t>
      </w:r>
    </w:p>
    <w:p>
      <w:pPr>
        <w:widowControl/>
        <w:shd w:val="clear" w:color="auto" w:fill="FFFFFF"/>
        <w:snapToGrid w:val="0"/>
        <w:spacing w:before="90" w:after="90" w:line="360" w:lineRule="auto"/>
        <w:ind w:firstLine="482" w:firstLineChars="200"/>
        <w:jc w:val="left"/>
        <w:rPr>
          <w:rFonts w:hAnsi="宋体" w:cs="宋体"/>
          <w:b/>
          <w:bCs/>
          <w:sz w:val="24"/>
        </w:rPr>
      </w:pPr>
      <w:r>
        <w:rPr>
          <w:rFonts w:hint="eastAsia" w:hAnsi="宋体" w:cs="宋体"/>
          <w:b/>
          <w:bCs/>
          <w:sz w:val="24"/>
        </w:rPr>
        <w:t>五、采购标的需满足的服务标准、期限、效率等要求</w:t>
      </w:r>
    </w:p>
    <w:p>
      <w:pPr>
        <w:spacing w:line="360" w:lineRule="auto"/>
        <w:ind w:firstLine="482" w:firstLineChars="200"/>
        <w:rPr>
          <w:rFonts w:ascii="宋体" w:hAnsi="宋体"/>
          <w:b/>
          <w:sz w:val="24"/>
        </w:rPr>
      </w:pPr>
      <w:r>
        <w:rPr>
          <w:rFonts w:hint="eastAsia" w:ascii="宋体" w:hAnsi="宋体"/>
          <w:b/>
          <w:sz w:val="24"/>
        </w:rPr>
        <w:t>1、项目服务内容</w:t>
      </w:r>
    </w:p>
    <w:p>
      <w:pPr>
        <w:spacing w:line="360" w:lineRule="auto"/>
        <w:ind w:firstLine="480" w:firstLineChars="200"/>
        <w:rPr>
          <w:rFonts w:ascii="宋体" w:hAnsi="宋体"/>
          <w:bCs/>
          <w:sz w:val="24"/>
        </w:rPr>
      </w:pPr>
      <w:r>
        <w:rPr>
          <w:rFonts w:hint="eastAsia" w:ascii="宋体" w:hAnsi="宋体"/>
          <w:bCs/>
          <w:sz w:val="24"/>
        </w:rPr>
        <w:t>测评服务范围为全市（含江阴、宜兴）各街道（乡镇），测评对象包含居民小区、公共机构、公共场所和农村村巷。</w:t>
      </w:r>
    </w:p>
    <w:p>
      <w:pPr>
        <w:spacing w:line="360" w:lineRule="auto"/>
        <w:ind w:firstLine="480" w:firstLineChars="200"/>
        <w:rPr>
          <w:rFonts w:ascii="宋体" w:hAnsi="宋体"/>
          <w:bCs/>
          <w:sz w:val="24"/>
        </w:rPr>
      </w:pPr>
      <w:r>
        <w:rPr>
          <w:rFonts w:hint="eastAsia" w:ascii="宋体" w:hAnsi="宋体"/>
          <w:bCs/>
          <w:sz w:val="24"/>
        </w:rPr>
        <w:t>1.1居民小区测评</w:t>
      </w:r>
    </w:p>
    <w:p>
      <w:pPr>
        <w:spacing w:line="360" w:lineRule="auto"/>
        <w:ind w:firstLine="480" w:firstLineChars="200"/>
        <w:rPr>
          <w:rFonts w:ascii="宋体" w:hAnsi="宋体"/>
          <w:bCs/>
          <w:sz w:val="24"/>
        </w:rPr>
      </w:pPr>
      <w:r>
        <w:rPr>
          <w:rFonts w:hint="eastAsia" w:ascii="宋体" w:hAnsi="宋体"/>
          <w:bCs/>
          <w:sz w:val="24"/>
        </w:rPr>
        <w:t>居民小区测评服务范围为全市开展“三定一督”垃圾分类工作的居民小区，测评包含小区内垃圾分类基础设施设置、分类容器及投放点日常维护、分类投放准确率等。合同周期内每季度每街道(乡镇)抽取15个居民小区进行测评，原则上每半年对所有开展“三定一督”的居住小区进行一轮测评。采购单位不定期对测评工作进行随车检查，中标供应商应无条件配合。</w:t>
      </w:r>
    </w:p>
    <w:p>
      <w:pPr>
        <w:spacing w:line="360" w:lineRule="auto"/>
        <w:ind w:firstLine="480" w:firstLineChars="200"/>
        <w:rPr>
          <w:rFonts w:ascii="宋体" w:hAnsi="宋体"/>
          <w:bCs/>
          <w:sz w:val="24"/>
        </w:rPr>
      </w:pPr>
      <w:r>
        <w:rPr>
          <w:rFonts w:hint="eastAsia" w:ascii="宋体" w:hAnsi="宋体"/>
          <w:bCs/>
          <w:sz w:val="24"/>
        </w:rPr>
        <w:t>1.2公共机构测评</w:t>
      </w:r>
    </w:p>
    <w:p>
      <w:pPr>
        <w:spacing w:line="360" w:lineRule="auto"/>
        <w:ind w:firstLine="480" w:firstLineChars="200"/>
        <w:rPr>
          <w:rFonts w:ascii="宋体" w:hAnsi="宋体"/>
          <w:bCs/>
          <w:sz w:val="24"/>
        </w:rPr>
      </w:pPr>
      <w:r>
        <w:rPr>
          <w:rFonts w:hint="eastAsia" w:ascii="宋体" w:hAnsi="宋体"/>
          <w:bCs/>
          <w:sz w:val="24"/>
        </w:rPr>
        <w:t>公共机构专项测评服务范围是开展垃圾分类工作的党政机关、学校、医院、部队及其他企事业单位等，测评包含公共机构的生活垃圾分类覆盖率、分类投放收集设施完备、标识清晰规范、生活垃圾分类投放准确率、规范设置分类类别及分类标志、分类投放容器颜色规范、分类投放容器管理规范、落实分类收运等七个方面。合同周期内每个街道（乡镇）每季度抽考5个公共机构，原则上每年对公共机构进行一轮测评。</w:t>
      </w:r>
    </w:p>
    <w:p>
      <w:pPr>
        <w:spacing w:line="360" w:lineRule="auto"/>
        <w:ind w:firstLine="480" w:firstLineChars="200"/>
        <w:rPr>
          <w:rFonts w:ascii="宋体" w:hAnsi="宋体"/>
          <w:bCs/>
          <w:sz w:val="24"/>
        </w:rPr>
      </w:pPr>
      <w:r>
        <w:rPr>
          <w:rFonts w:hint="eastAsia" w:ascii="宋体" w:hAnsi="宋体"/>
          <w:bCs/>
          <w:sz w:val="24"/>
        </w:rPr>
        <w:t>1.3公共场所测评</w:t>
      </w:r>
    </w:p>
    <w:p>
      <w:pPr>
        <w:spacing w:line="360" w:lineRule="auto"/>
        <w:ind w:firstLine="480" w:firstLineChars="200"/>
        <w:rPr>
          <w:rFonts w:ascii="宋体" w:hAnsi="宋体"/>
          <w:bCs/>
          <w:sz w:val="24"/>
        </w:rPr>
      </w:pPr>
      <w:r>
        <w:rPr>
          <w:rFonts w:hint="eastAsia" w:ascii="宋体" w:hAnsi="宋体"/>
          <w:bCs/>
          <w:sz w:val="24"/>
        </w:rPr>
        <w:t>公共场所专项测评服务范围是开展垃圾分类的风景名胜区、公园、展览馆、图书馆、纪念馆、体育馆（场）、影剧院、车站、港口、机场、地铁、大型广场、商场、酒店、餐厅、农贸市场、批发市场、银行、加油站等公共区域或场所，测评包含公共场所的生活垃圾分类覆盖率、分类投放收集设施完备、标识清晰规范、生活垃圾分类投放准确率、规范设置分类类别及分类标志、分类投放容器颜色规范、分类投放容器管理规范、落实分类收运等七个方面。测评合同周期内每个街道（乡镇）每季度抽考2个公共场所。</w:t>
      </w:r>
    </w:p>
    <w:p>
      <w:pPr>
        <w:spacing w:line="360" w:lineRule="auto"/>
        <w:ind w:firstLine="480" w:firstLineChars="200"/>
        <w:rPr>
          <w:rFonts w:ascii="宋体" w:hAnsi="宋体"/>
          <w:bCs/>
          <w:sz w:val="24"/>
        </w:rPr>
      </w:pPr>
      <w:r>
        <w:rPr>
          <w:rFonts w:hint="eastAsia" w:ascii="宋体" w:hAnsi="宋体"/>
          <w:bCs/>
          <w:sz w:val="24"/>
        </w:rPr>
        <w:t>1.4农村村巷测评</w:t>
      </w:r>
    </w:p>
    <w:p>
      <w:pPr>
        <w:spacing w:line="360" w:lineRule="auto"/>
        <w:ind w:firstLine="480" w:firstLineChars="200"/>
        <w:rPr>
          <w:rFonts w:ascii="宋体" w:hAnsi="宋体"/>
          <w:bCs/>
          <w:sz w:val="24"/>
        </w:rPr>
      </w:pPr>
      <w:r>
        <w:rPr>
          <w:rFonts w:hint="eastAsia" w:ascii="宋体" w:hAnsi="宋体"/>
          <w:bCs/>
          <w:sz w:val="24"/>
        </w:rPr>
        <w:t>农村村巷生活垃圾分类测评服务范围是全市的乡镇及涉农街道，测评对象为自然村巷。农村考核按照《江苏省农村生活垃圾分类工作评估办法（2022年版）》进行，包含生活垃圾分类投放设施设备、分类宣传设施设备、分类投放点维护、投放准确率、收运设施、转运设施、处理设施等的测评，每季度无锡市市区的乡镇考核覆盖率为100%，其余涉农街道（乡镇）考核覆盖率为</w:t>
      </w:r>
      <w:r>
        <w:rPr>
          <w:rFonts w:hint="eastAsia" w:ascii="宋体" w:hAnsi="宋体"/>
          <w:bCs/>
          <w:sz w:val="24"/>
          <w:lang w:val="en-US" w:eastAsia="zh-CN"/>
        </w:rPr>
        <w:t>50</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1.5其他测评工作</w:t>
      </w:r>
    </w:p>
    <w:p>
      <w:pPr>
        <w:spacing w:line="360" w:lineRule="auto"/>
        <w:ind w:firstLine="480" w:firstLineChars="200"/>
        <w:rPr>
          <w:rFonts w:ascii="宋体" w:hAnsi="宋体"/>
          <w:bCs/>
          <w:sz w:val="24"/>
        </w:rPr>
      </w:pPr>
      <w:r>
        <w:rPr>
          <w:rFonts w:hint="eastAsia" w:ascii="宋体" w:hAnsi="宋体"/>
          <w:bCs/>
          <w:sz w:val="24"/>
        </w:rPr>
        <w:t>中标供应商无条件按时保质保量完成采购单位临时增加生活垃圾分类工作测评的任务，费用不另增。</w:t>
      </w:r>
    </w:p>
    <w:p>
      <w:pPr>
        <w:spacing w:line="360" w:lineRule="auto"/>
        <w:ind w:firstLine="482" w:firstLineChars="200"/>
        <w:rPr>
          <w:rFonts w:ascii="宋体" w:hAnsi="宋体"/>
          <w:b/>
          <w:sz w:val="24"/>
        </w:rPr>
      </w:pPr>
      <w:r>
        <w:rPr>
          <w:rFonts w:hint="eastAsia" w:ascii="宋体" w:hAnsi="宋体"/>
          <w:b/>
          <w:sz w:val="24"/>
        </w:rPr>
        <w:t>2、人员要求</w:t>
      </w:r>
    </w:p>
    <w:tbl>
      <w:tblPr>
        <w:tblStyle w:val="55"/>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3" w:type="dxa"/>
            <w:vAlign w:val="center"/>
          </w:tcPr>
          <w:p>
            <w:pPr>
              <w:spacing w:line="360" w:lineRule="auto"/>
              <w:ind w:firstLine="480" w:firstLineChars="200"/>
              <w:rPr>
                <w:rFonts w:ascii="宋体" w:hAnsi="宋体"/>
                <w:bCs/>
                <w:sz w:val="24"/>
              </w:rPr>
            </w:pPr>
            <w:r>
              <w:rPr>
                <w:rFonts w:hint="eastAsia" w:ascii="宋体" w:hAnsi="宋体"/>
                <w:bCs/>
                <w:sz w:val="24"/>
              </w:rPr>
              <w:t>名称</w:t>
            </w:r>
          </w:p>
        </w:tc>
        <w:tc>
          <w:tcPr>
            <w:tcW w:w="7150" w:type="dxa"/>
            <w:vAlign w:val="center"/>
          </w:tcPr>
          <w:p>
            <w:pPr>
              <w:spacing w:line="360" w:lineRule="auto"/>
              <w:ind w:firstLine="480" w:firstLineChars="200"/>
              <w:rPr>
                <w:rFonts w:ascii="宋体" w:hAnsi="宋体"/>
                <w:bCs/>
                <w:sz w:val="24"/>
              </w:rPr>
            </w:pPr>
            <w:r>
              <w:rPr>
                <w:rFonts w:hint="eastAsia" w:ascii="宋体" w:hAnsi="宋体"/>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3" w:type="dxa"/>
            <w:vAlign w:val="center"/>
          </w:tcPr>
          <w:p>
            <w:pPr>
              <w:spacing w:line="360" w:lineRule="auto"/>
              <w:rPr>
                <w:rFonts w:ascii="宋体" w:hAnsi="宋体"/>
                <w:bCs/>
                <w:sz w:val="24"/>
              </w:rPr>
            </w:pPr>
            <w:r>
              <w:rPr>
                <w:rFonts w:hint="eastAsia" w:ascii="宋体" w:hAnsi="宋体"/>
                <w:bCs/>
                <w:sz w:val="24"/>
              </w:rPr>
              <w:t>项目负责人</w:t>
            </w:r>
          </w:p>
        </w:tc>
        <w:tc>
          <w:tcPr>
            <w:tcW w:w="7150" w:type="dxa"/>
            <w:vAlign w:val="center"/>
          </w:tcPr>
          <w:p>
            <w:pPr>
              <w:spacing w:line="360" w:lineRule="auto"/>
              <w:rPr>
                <w:rFonts w:ascii="宋体" w:hAnsi="宋体"/>
                <w:bCs/>
                <w:sz w:val="24"/>
              </w:rPr>
            </w:pPr>
            <w:r>
              <w:rPr>
                <w:rFonts w:hint="eastAsia" w:ascii="宋体" w:hAnsi="宋体"/>
                <w:bCs/>
                <w:sz w:val="24"/>
              </w:rPr>
              <w:t>具备管理复杂信息系统项目和多项目的经验和能力；能根据需求组织制订可行的</w:t>
            </w:r>
            <w:r>
              <w:fldChar w:fldCharType="begin"/>
            </w:r>
            <w:r>
              <w:instrText xml:space="preserve"> HYPERLINK "https://baike.baidu.com/item/%E9%A1%B9%E7%9B%AE%E7%AE%A1%E7%90%86%E8%AE%A1%E5%88%92/2256113" </w:instrText>
            </w:r>
            <w:r>
              <w:fldChar w:fldCharType="separate"/>
            </w:r>
            <w:r>
              <w:rPr>
                <w:rFonts w:hint="eastAsia" w:ascii="宋体" w:hAnsi="宋体"/>
                <w:bCs/>
                <w:sz w:val="24"/>
              </w:rPr>
              <w:t>项目管理计划</w:t>
            </w:r>
            <w:r>
              <w:rPr>
                <w:rFonts w:hint="eastAsia" w:ascii="宋体" w:hAnsi="宋体"/>
                <w:bCs/>
                <w:sz w:val="24"/>
              </w:rPr>
              <w:fldChar w:fldCharType="end"/>
            </w:r>
            <w:r>
              <w:rPr>
                <w:rFonts w:hint="eastAsia" w:ascii="宋体" w:hAnsi="宋体"/>
                <w:bCs/>
                <w:sz w:val="24"/>
              </w:rPr>
              <w:t>；能够组织项目实施；对项目的人员、资金、设备、进度和质量等进行管理；并能根据实际情况及时做出调整，形成季度、年度报告（不少于1人）。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3" w:type="dxa"/>
            <w:vAlign w:val="center"/>
          </w:tcPr>
          <w:p>
            <w:pPr>
              <w:spacing w:line="360" w:lineRule="auto"/>
              <w:rPr>
                <w:rFonts w:ascii="宋体" w:hAnsi="宋体"/>
                <w:bCs/>
                <w:sz w:val="24"/>
              </w:rPr>
            </w:pPr>
            <w:r>
              <w:rPr>
                <w:rFonts w:hint="eastAsia" w:ascii="宋体" w:hAnsi="宋体"/>
                <w:bCs/>
                <w:sz w:val="24"/>
              </w:rPr>
              <w:t>数据统计人员</w:t>
            </w:r>
          </w:p>
        </w:tc>
        <w:tc>
          <w:tcPr>
            <w:tcW w:w="7150" w:type="dxa"/>
            <w:vAlign w:val="center"/>
          </w:tcPr>
          <w:p>
            <w:pPr>
              <w:spacing w:line="360" w:lineRule="auto"/>
              <w:rPr>
                <w:rFonts w:ascii="宋体" w:hAnsi="宋体"/>
                <w:bCs/>
                <w:sz w:val="24"/>
              </w:rPr>
            </w:pPr>
            <w:r>
              <w:rPr>
                <w:rFonts w:hint="eastAsia" w:ascii="宋体" w:hAnsi="宋体"/>
                <w:bCs/>
                <w:sz w:val="24"/>
              </w:rPr>
              <w:t>驻点在采购单位办公（不少于2人），具有较强的写作能力，熟练掌握主流办公软件，主要负责：</w:t>
            </w:r>
          </w:p>
          <w:p>
            <w:pPr>
              <w:spacing w:line="360" w:lineRule="auto"/>
              <w:ind w:firstLine="480" w:firstLineChars="200"/>
              <w:rPr>
                <w:rFonts w:ascii="宋体" w:hAnsi="宋体"/>
                <w:bCs/>
                <w:sz w:val="24"/>
              </w:rPr>
            </w:pPr>
            <w:r>
              <w:rPr>
                <w:rFonts w:hint="eastAsia" w:ascii="宋体" w:hAnsi="宋体"/>
                <w:bCs/>
                <w:sz w:val="24"/>
              </w:rPr>
              <w:t>（1）督查日报的核对制发工作。</w:t>
            </w:r>
          </w:p>
          <w:p>
            <w:pPr>
              <w:spacing w:line="360" w:lineRule="auto"/>
              <w:ind w:firstLine="480" w:firstLineChars="200"/>
              <w:rPr>
                <w:rFonts w:ascii="宋体" w:hAnsi="宋体"/>
                <w:bCs/>
                <w:sz w:val="24"/>
              </w:rPr>
            </w:pPr>
            <w:r>
              <w:rPr>
                <w:rFonts w:hint="eastAsia" w:ascii="宋体" w:hAnsi="宋体"/>
                <w:bCs/>
                <w:sz w:val="24"/>
              </w:rPr>
              <w:t>（2）定期整理汇总日常督查问题、督查数据统计等。</w:t>
            </w:r>
          </w:p>
          <w:p>
            <w:pPr>
              <w:spacing w:line="360" w:lineRule="auto"/>
              <w:ind w:firstLine="480" w:firstLineChars="200"/>
              <w:rPr>
                <w:rFonts w:ascii="宋体" w:hAnsi="宋体"/>
                <w:bCs/>
                <w:sz w:val="24"/>
              </w:rPr>
            </w:pPr>
            <w:r>
              <w:rPr>
                <w:rFonts w:hint="eastAsia" w:ascii="宋体" w:hAnsi="宋体"/>
                <w:bCs/>
                <w:sz w:val="24"/>
              </w:rPr>
              <w:t>（3）服从采购单位安排配合参与检查。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3" w:type="dxa"/>
            <w:vAlign w:val="center"/>
          </w:tcPr>
          <w:p>
            <w:pPr>
              <w:spacing w:line="360" w:lineRule="auto"/>
              <w:rPr>
                <w:rFonts w:ascii="宋体" w:hAnsi="宋体"/>
                <w:bCs/>
                <w:sz w:val="24"/>
              </w:rPr>
            </w:pPr>
            <w:r>
              <w:rPr>
                <w:rFonts w:hint="eastAsia" w:ascii="宋体" w:hAnsi="宋体"/>
                <w:bCs/>
                <w:sz w:val="24"/>
              </w:rPr>
              <w:t>考核监管工作人员（考核组）</w:t>
            </w:r>
          </w:p>
        </w:tc>
        <w:tc>
          <w:tcPr>
            <w:tcW w:w="7150" w:type="dxa"/>
            <w:vAlign w:val="center"/>
          </w:tcPr>
          <w:p>
            <w:pPr>
              <w:spacing w:line="360" w:lineRule="auto"/>
              <w:rPr>
                <w:rFonts w:ascii="宋体" w:hAnsi="宋体"/>
                <w:bCs/>
                <w:sz w:val="24"/>
              </w:rPr>
            </w:pPr>
            <w:r>
              <w:rPr>
                <w:rFonts w:hint="eastAsia" w:ascii="宋体" w:hAnsi="宋体"/>
                <w:bCs/>
                <w:sz w:val="24"/>
              </w:rPr>
              <w:t>负责各区域外</w:t>
            </w:r>
            <w:r>
              <w:rPr>
                <w:rFonts w:hint="eastAsia" w:ascii="宋体" w:hAnsi="宋体"/>
                <w:bCs/>
                <w:color w:val="auto"/>
                <w:sz w:val="24"/>
              </w:rPr>
              <w:t>巡测评工</w:t>
            </w:r>
            <w:r>
              <w:rPr>
                <w:rFonts w:hint="eastAsia" w:ascii="宋体" w:hAnsi="宋体"/>
                <w:bCs/>
                <w:sz w:val="24"/>
              </w:rPr>
              <w:t>作，采集上报问题（不少于12人）。</w:t>
            </w:r>
          </w:p>
        </w:tc>
      </w:tr>
    </w:tbl>
    <w:p>
      <w:pPr>
        <w:spacing w:line="360" w:lineRule="auto"/>
        <w:ind w:firstLine="480" w:firstLineChars="200"/>
        <w:rPr>
          <w:rFonts w:ascii="宋体" w:hAnsi="宋体"/>
          <w:bCs/>
          <w:sz w:val="24"/>
        </w:rPr>
      </w:pPr>
      <w:r>
        <w:rPr>
          <w:rFonts w:hint="eastAsia" w:ascii="宋体" w:hAnsi="宋体"/>
          <w:bCs/>
          <w:sz w:val="24"/>
        </w:rPr>
        <w:t>注：本项目配备的所有服务人员需在无锡市（含江阴、宜兴）常驻办公，按规定缴纳社会保险及人身意外险，若工作人员在服务期间内出现的工伤及其他意外事故，均由中标单位自行负</w:t>
      </w:r>
      <w:r>
        <w:rPr>
          <w:rFonts w:hint="eastAsia" w:ascii="宋体" w:hAnsi="宋体"/>
          <w:bCs/>
          <w:color w:val="auto"/>
          <w:sz w:val="24"/>
        </w:rPr>
        <w:t>责。派驻人员在甲方指定场所驻点办公，并</w:t>
      </w:r>
      <w:r>
        <w:rPr>
          <w:rFonts w:hint="eastAsia" w:ascii="宋体" w:hAnsi="宋体"/>
          <w:bCs/>
          <w:sz w:val="24"/>
        </w:rPr>
        <w:t>配置检查备用车辆（轿车）七辆，办公所需物品等由中标单位自行承担。</w:t>
      </w:r>
    </w:p>
    <w:p>
      <w:pPr>
        <w:spacing w:line="360" w:lineRule="auto"/>
        <w:ind w:firstLine="482" w:firstLineChars="200"/>
        <w:rPr>
          <w:rFonts w:ascii="宋体" w:hAnsi="宋体"/>
          <w:b/>
          <w:sz w:val="24"/>
        </w:rPr>
      </w:pPr>
      <w:r>
        <w:rPr>
          <w:rFonts w:hint="eastAsia" w:ascii="宋体" w:hAnsi="宋体"/>
          <w:b/>
          <w:sz w:val="24"/>
        </w:rPr>
        <w:t>3、检查方式</w:t>
      </w:r>
    </w:p>
    <w:p>
      <w:pPr>
        <w:spacing w:line="360" w:lineRule="auto"/>
        <w:ind w:firstLine="480" w:firstLineChars="200"/>
        <w:rPr>
          <w:rFonts w:ascii="宋体" w:hAnsi="宋体"/>
          <w:bCs/>
          <w:sz w:val="24"/>
        </w:rPr>
      </w:pPr>
      <w:r>
        <w:rPr>
          <w:rFonts w:hint="eastAsia" w:ascii="宋体" w:hAnsi="宋体"/>
          <w:bCs/>
          <w:sz w:val="24"/>
        </w:rPr>
        <w:t>3.1日常检查：每月对全市各街道（乡镇）进行随访，重点对分类设施、分类宣传、分类指导员、分类知晓率、分类准确率、分类收运等情</w:t>
      </w:r>
      <w:r>
        <w:rPr>
          <w:rFonts w:hint="eastAsia" w:ascii="宋体" w:hAnsi="宋体"/>
          <w:bCs/>
          <w:color w:val="auto"/>
          <w:sz w:val="24"/>
        </w:rPr>
        <w:t>况进行测评</w:t>
      </w:r>
      <w:r>
        <w:rPr>
          <w:rFonts w:hint="eastAsia" w:ascii="宋体" w:hAnsi="宋体"/>
          <w:bCs/>
          <w:sz w:val="24"/>
        </w:rPr>
        <w:t>，发现问题取证记录；全年对全市所有“三定一督”小区至少随访两遍；每月为无锡市城市精细化考核（垃圾分类）红黑榜提供基础信息；编制统计报表，及时统计分析测评数据，于下月5日前提交采购人。分析问题，提出解决办法和建议，完成工作报告。</w:t>
      </w:r>
    </w:p>
    <w:p>
      <w:pPr>
        <w:spacing w:line="360" w:lineRule="auto"/>
        <w:ind w:firstLine="480" w:firstLineChars="200"/>
        <w:rPr>
          <w:rFonts w:ascii="宋体" w:hAnsi="宋体"/>
          <w:bCs/>
          <w:sz w:val="24"/>
        </w:rPr>
      </w:pPr>
      <w:r>
        <w:rPr>
          <w:rFonts w:hint="eastAsia" w:ascii="宋体" w:hAnsi="宋体"/>
          <w:bCs/>
          <w:sz w:val="24"/>
        </w:rPr>
        <w:t>3.2季度评价：根据每月检查情况，按季度进行汇总并形成评价报告，</w:t>
      </w:r>
      <w:r>
        <w:rPr>
          <w:rFonts w:hint="eastAsia" w:ascii="宋体"/>
          <w:bCs/>
          <w:color w:val="000000"/>
          <w:sz w:val="24"/>
        </w:rPr>
        <w:t>报告应能够全面如实地反映本周期内测评情况，保证测评的客观、公正性，</w:t>
      </w:r>
      <w:r>
        <w:rPr>
          <w:rFonts w:hint="eastAsia" w:ascii="宋体" w:hAnsi="宋体"/>
          <w:bCs/>
          <w:sz w:val="24"/>
        </w:rPr>
        <w:t>同步公布各市县区、各街道（镇）季度评价结果（含农村地区）；每季度协助采购人组织生活垃圾分类测评工作汇报内部交流会议至少1次（可与月度内部会议合并）；</w:t>
      </w:r>
    </w:p>
    <w:p>
      <w:pPr>
        <w:spacing w:line="360" w:lineRule="auto"/>
        <w:ind w:firstLine="480" w:firstLineChars="200"/>
        <w:rPr>
          <w:rFonts w:ascii="宋体" w:hAnsi="宋体"/>
          <w:bCs/>
          <w:sz w:val="24"/>
        </w:rPr>
      </w:pPr>
      <w:r>
        <w:rPr>
          <w:rFonts w:hint="eastAsia" w:ascii="宋体" w:hAnsi="宋体"/>
          <w:bCs/>
          <w:sz w:val="24"/>
        </w:rPr>
        <w:t>3.3年终报告：中标单位在每年测评完成后需编制年度测评报告，需对本年度测评成绩进行汇总、分析，并提交采购单位本年度垃圾分类成效及发展趋势报告（1次/年），并对下一年度生活垃圾分类工作重点提出建议；年终报告编制在季报基础</w:t>
      </w:r>
      <w:r>
        <w:rPr>
          <w:rFonts w:hint="eastAsia" w:ascii="宋体" w:hAnsi="宋体"/>
          <w:bCs/>
          <w:color w:val="auto"/>
          <w:sz w:val="24"/>
        </w:rPr>
        <w:t>上，对全市</w:t>
      </w:r>
      <w:r>
        <w:rPr>
          <w:rFonts w:ascii="宋体" w:hAnsi="宋体"/>
          <w:bCs/>
          <w:color w:val="auto"/>
          <w:sz w:val="24"/>
        </w:rPr>
        <w:t>城乡生活垃圾分类工作</w:t>
      </w:r>
      <w:r>
        <w:rPr>
          <w:rFonts w:hint="eastAsia" w:ascii="宋体" w:hAnsi="宋体"/>
          <w:bCs/>
          <w:color w:val="auto"/>
          <w:sz w:val="24"/>
        </w:rPr>
        <w:t>测评</w:t>
      </w:r>
      <w:r>
        <w:rPr>
          <w:rFonts w:hint="eastAsia" w:ascii="宋体" w:hAnsi="宋体"/>
          <w:bCs/>
          <w:sz w:val="24"/>
        </w:rPr>
        <w:t>情况进行统计汇总，获得最后评分；完成调查问卷，包括参与度、满意度、知晓度。</w:t>
      </w:r>
    </w:p>
    <w:p>
      <w:pPr>
        <w:spacing w:line="360" w:lineRule="auto"/>
        <w:ind w:firstLine="480" w:firstLineChars="200"/>
        <w:rPr>
          <w:rFonts w:ascii="宋体" w:hAnsi="宋体"/>
          <w:bCs/>
          <w:sz w:val="24"/>
        </w:rPr>
      </w:pPr>
      <w:r>
        <w:rPr>
          <w:rFonts w:hint="eastAsia" w:ascii="宋体" w:hAnsi="宋体"/>
          <w:bCs/>
          <w:sz w:val="24"/>
        </w:rPr>
        <w:t>3.4咨询服务：中标单位为采购人随时提供垃圾分类有关方面的咨询服务。</w:t>
      </w:r>
    </w:p>
    <w:p>
      <w:pPr>
        <w:spacing w:line="360" w:lineRule="auto"/>
        <w:ind w:firstLine="482" w:firstLineChars="200"/>
        <w:rPr>
          <w:rFonts w:ascii="宋体" w:hAnsi="宋体"/>
          <w:b/>
          <w:sz w:val="24"/>
        </w:rPr>
      </w:pPr>
      <w:r>
        <w:rPr>
          <w:rFonts w:hint="eastAsia" w:ascii="宋体" w:hAnsi="宋体"/>
          <w:b/>
          <w:sz w:val="24"/>
        </w:rPr>
        <w:t>4、保密要求</w:t>
      </w:r>
    </w:p>
    <w:p>
      <w:pPr>
        <w:spacing w:line="360" w:lineRule="auto"/>
        <w:ind w:firstLine="480" w:firstLineChars="200"/>
        <w:rPr>
          <w:rFonts w:ascii="宋体" w:hAnsi="宋体"/>
          <w:bCs/>
          <w:sz w:val="24"/>
        </w:rPr>
      </w:pPr>
      <w:r>
        <w:rPr>
          <w:rFonts w:hint="eastAsia" w:ascii="宋体" w:hAnsi="宋体"/>
          <w:bCs/>
          <w:sz w:val="24"/>
        </w:rPr>
        <w:t>中标供应商不得擅自对采购人以外的人员发布、透露测评计划、成绩等相关信息，对第三方生活垃圾测评内容予以保密。</w:t>
      </w:r>
    </w:p>
    <w:p>
      <w:pPr>
        <w:spacing w:line="360" w:lineRule="auto"/>
        <w:ind w:firstLine="482" w:firstLineChars="200"/>
        <w:rPr>
          <w:rFonts w:ascii="宋体" w:hAnsi="宋体"/>
          <w:b/>
          <w:sz w:val="24"/>
        </w:rPr>
      </w:pPr>
      <w:r>
        <w:rPr>
          <w:rFonts w:hint="eastAsia" w:ascii="宋体" w:hAnsi="宋体"/>
          <w:b/>
          <w:sz w:val="24"/>
        </w:rPr>
        <w:t>5、廉政要求</w:t>
      </w:r>
    </w:p>
    <w:p>
      <w:pPr>
        <w:spacing w:line="360" w:lineRule="auto"/>
        <w:ind w:firstLine="480" w:firstLineChars="200"/>
        <w:rPr>
          <w:rFonts w:ascii="宋体" w:hAnsi="宋体"/>
          <w:bCs/>
          <w:sz w:val="24"/>
        </w:rPr>
      </w:pPr>
      <w:r>
        <w:rPr>
          <w:rFonts w:hint="eastAsia" w:ascii="宋体" w:hAnsi="宋体"/>
          <w:bCs/>
          <w:sz w:val="24"/>
        </w:rPr>
        <w:t>中标供应商在服务期间不得以任何方式接受被测评对象的礼品、礼金及有价证券，不得接受被测评对象的宴请或邀请参加高档娱乐消费、旅游、考察、参观等违反廉政纪律的事项,一有发现采购人有权终止服务合同。</w:t>
      </w:r>
    </w:p>
    <w:p>
      <w:pPr>
        <w:spacing w:line="360" w:lineRule="auto"/>
        <w:ind w:firstLine="480" w:firstLineChars="200"/>
        <w:rPr>
          <w:rFonts w:ascii="宋体" w:hAnsi="宋体"/>
          <w:bCs/>
          <w:sz w:val="24"/>
        </w:rPr>
      </w:pPr>
      <w:r>
        <w:rPr>
          <w:rFonts w:hint="eastAsia" w:ascii="宋体" w:hAnsi="宋体"/>
          <w:bCs/>
          <w:sz w:val="24"/>
        </w:rPr>
        <w:t>中标供应商无条件按时保质保量完成采购人临时增加生活垃圾分类工作测评的任务，费用不另增。</w:t>
      </w:r>
    </w:p>
    <w:bookmarkEnd w:id="6"/>
    <w:p>
      <w:pPr>
        <w:widowControl/>
        <w:snapToGrid w:val="0"/>
        <w:spacing w:line="360" w:lineRule="auto"/>
        <w:ind w:firstLine="482" w:firstLineChars="200"/>
        <w:jc w:val="left"/>
        <w:rPr>
          <w:rFonts w:hAnsi="宋体" w:cs="宋体"/>
          <w:b/>
          <w:bCs/>
          <w:sz w:val="24"/>
        </w:rPr>
      </w:pPr>
      <w:r>
        <w:rPr>
          <w:rFonts w:hint="eastAsia" w:hAnsi="宋体" w:cs="宋体"/>
          <w:b/>
          <w:bCs/>
          <w:sz w:val="24"/>
        </w:rPr>
        <w:t>六、采购标的验收标准</w:t>
      </w:r>
    </w:p>
    <w:p>
      <w:pPr>
        <w:spacing w:line="360" w:lineRule="auto"/>
        <w:ind w:firstLine="480" w:firstLineChars="200"/>
        <w:rPr>
          <w:rFonts w:ascii="宋体" w:hAnsi="宋体"/>
          <w:bCs/>
          <w:sz w:val="24"/>
        </w:rPr>
      </w:pPr>
      <w:r>
        <w:rPr>
          <w:rFonts w:hint="eastAsia" w:ascii="宋体" w:hAnsi="宋体"/>
          <w:bCs/>
          <w:sz w:val="24"/>
        </w:rPr>
        <w:t>根据《无锡市城市管理局第三方生活垃圾分类测评机构考核管理办法》（附件）对中标供应商提供的第三方生活垃圾分类测评服务进行考核，连续两个季度考核得分＜70分的，采购人有权终止服务合同，且不再支付剩余服务项目经费。</w:t>
      </w:r>
    </w:p>
    <w:p>
      <w:pPr>
        <w:spacing w:line="360" w:lineRule="auto"/>
        <w:ind w:firstLine="482" w:firstLineChars="200"/>
        <w:rPr>
          <w:rFonts w:hAnsi="宋体" w:cs="宋体"/>
          <w:b/>
          <w:bCs/>
          <w:sz w:val="24"/>
        </w:rPr>
      </w:pPr>
      <w:r>
        <w:rPr>
          <w:rFonts w:hint="eastAsia" w:hAnsi="宋体" w:cs="宋体"/>
          <w:b/>
          <w:bCs/>
          <w:sz w:val="24"/>
        </w:rPr>
        <w:t>七、采购标的其他技术、服务等要求：无。</w:t>
      </w:r>
    </w:p>
    <w:p>
      <w:pPr>
        <w:spacing w:line="360" w:lineRule="auto"/>
        <w:rPr>
          <w:rFonts w:ascii="黑体" w:eastAsia="黑体"/>
          <w:bCs/>
          <w:sz w:val="28"/>
          <w:szCs w:val="28"/>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pStyle w:val="2"/>
        <w:numPr>
          <w:ilvl w:val="4"/>
          <w:numId w:val="0"/>
        </w:numPr>
      </w:pPr>
    </w:p>
    <w:p>
      <w:pPr>
        <w:rPr>
          <w:rFonts w:hAnsi="宋体" w:cs="宋体"/>
          <w:b/>
          <w:bCs/>
          <w:color w:val="000000"/>
          <w:sz w:val="28"/>
          <w:szCs w:val="28"/>
          <w:lang w:bidi="ar"/>
        </w:rPr>
      </w:pPr>
    </w:p>
    <w:p>
      <w:pPr>
        <w:pStyle w:val="2"/>
        <w:numPr>
          <w:ilvl w:val="4"/>
          <w:numId w:val="0"/>
        </w:num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pStyle w:val="2"/>
        <w:numPr>
          <w:ilvl w:val="4"/>
          <w:numId w:val="0"/>
        </w:numPr>
      </w:pPr>
    </w:p>
    <w:p>
      <w:pPr>
        <w:rPr>
          <w:rFonts w:hAnsi="宋体" w:cs="宋体"/>
          <w:b/>
          <w:bCs/>
          <w:color w:val="000000"/>
          <w:sz w:val="28"/>
          <w:szCs w:val="28"/>
          <w:lang w:bidi="ar"/>
        </w:rPr>
      </w:pPr>
    </w:p>
    <w:p>
      <w:pPr>
        <w:pStyle w:val="2"/>
        <w:numPr>
          <w:ilvl w:val="4"/>
          <w:numId w:val="0"/>
        </w:num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hAnsi="宋体" w:cs="宋体"/>
          <w:b/>
          <w:bCs/>
          <w:color w:val="000000"/>
          <w:sz w:val="28"/>
          <w:szCs w:val="28"/>
          <w:lang w:bidi="ar"/>
        </w:rPr>
      </w:pPr>
    </w:p>
    <w:p>
      <w:pPr>
        <w:widowControl/>
        <w:spacing w:line="400" w:lineRule="exact"/>
        <w:textAlignment w:val="center"/>
        <w:rPr>
          <w:rFonts w:cs="宋体"/>
          <w:b/>
          <w:bCs/>
          <w:color w:val="121212"/>
          <w:sz w:val="28"/>
          <w:szCs w:val="28"/>
          <w:lang w:bidi="ar"/>
        </w:rPr>
      </w:pPr>
    </w:p>
    <w:p>
      <w:pPr>
        <w:widowControl/>
        <w:spacing w:line="400" w:lineRule="exact"/>
        <w:textAlignment w:val="center"/>
        <w:rPr>
          <w:rFonts w:cs="宋体"/>
          <w:b/>
          <w:bCs/>
          <w:color w:val="121212"/>
          <w:sz w:val="28"/>
          <w:szCs w:val="28"/>
          <w:lang w:bidi="ar"/>
        </w:rPr>
      </w:pPr>
    </w:p>
    <w:p>
      <w:pPr>
        <w:widowControl/>
        <w:spacing w:line="400" w:lineRule="exact"/>
        <w:textAlignment w:val="center"/>
        <w:rPr>
          <w:rFonts w:cs="宋体"/>
          <w:b/>
          <w:bCs/>
          <w:color w:val="121212"/>
          <w:sz w:val="28"/>
          <w:szCs w:val="28"/>
          <w:lang w:bidi="ar"/>
        </w:rPr>
      </w:pPr>
    </w:p>
    <w:p>
      <w:pPr>
        <w:widowControl/>
        <w:spacing w:line="400" w:lineRule="exact"/>
        <w:textAlignment w:val="center"/>
        <w:rPr>
          <w:rFonts w:cs="宋体"/>
          <w:b/>
          <w:bCs/>
          <w:color w:val="121212"/>
          <w:sz w:val="28"/>
          <w:szCs w:val="28"/>
          <w:lang w:bidi="ar"/>
        </w:rPr>
      </w:pPr>
    </w:p>
    <w:p>
      <w:pPr>
        <w:widowControl/>
        <w:spacing w:line="400" w:lineRule="exact"/>
        <w:textAlignment w:val="center"/>
        <w:rPr>
          <w:rFonts w:cs="宋体"/>
          <w:b/>
          <w:bCs/>
          <w:color w:val="121212"/>
          <w:sz w:val="28"/>
          <w:szCs w:val="28"/>
          <w:lang w:bidi="ar"/>
        </w:rPr>
      </w:pPr>
    </w:p>
    <w:p>
      <w:pPr>
        <w:widowControl/>
        <w:spacing w:line="400" w:lineRule="exact"/>
        <w:textAlignment w:val="center"/>
        <w:rPr>
          <w:rFonts w:cs="宋体"/>
          <w:b/>
          <w:bCs/>
          <w:color w:val="121212"/>
          <w:sz w:val="28"/>
          <w:szCs w:val="28"/>
          <w:lang w:bidi="ar"/>
        </w:rPr>
      </w:pPr>
      <w:r>
        <w:rPr>
          <w:rFonts w:hint="eastAsia" w:cs="宋体"/>
          <w:b/>
          <w:bCs/>
          <w:color w:val="121212"/>
          <w:sz w:val="28"/>
          <w:szCs w:val="28"/>
          <w:lang w:bidi="ar"/>
        </w:rPr>
        <w:t>附表一：</w:t>
      </w:r>
    </w:p>
    <w:p>
      <w:pPr>
        <w:widowControl/>
        <w:shd w:val="clear" w:color="auto" w:fill="FFFFFF"/>
        <w:snapToGrid w:val="0"/>
        <w:spacing w:before="90" w:after="90"/>
        <w:ind w:firstLine="482" w:firstLineChars="200"/>
        <w:jc w:val="center"/>
        <w:rPr>
          <w:rFonts w:cs="宋体"/>
          <w:b/>
          <w:bCs/>
          <w:color w:val="121212"/>
          <w:sz w:val="24"/>
        </w:rPr>
      </w:pPr>
      <w:r>
        <w:rPr>
          <w:rFonts w:hint="eastAsia" w:cs="宋体"/>
          <w:b/>
          <w:bCs/>
          <w:color w:val="121212"/>
          <w:sz w:val="24"/>
        </w:rPr>
        <w:t>无锡市城市管理局</w:t>
      </w:r>
    </w:p>
    <w:p>
      <w:pPr>
        <w:widowControl/>
        <w:shd w:val="clear" w:color="auto" w:fill="FFFFFF"/>
        <w:snapToGrid w:val="0"/>
        <w:spacing w:before="90" w:after="90"/>
        <w:ind w:firstLine="482" w:firstLineChars="200"/>
        <w:jc w:val="center"/>
        <w:rPr>
          <w:rFonts w:cs="宋体"/>
          <w:b/>
          <w:bCs/>
          <w:color w:val="121212"/>
          <w:sz w:val="24"/>
        </w:rPr>
      </w:pPr>
      <w:r>
        <w:rPr>
          <w:rFonts w:hint="eastAsia" w:cs="宋体"/>
          <w:b/>
          <w:bCs/>
          <w:color w:val="121212"/>
          <w:sz w:val="24"/>
        </w:rPr>
        <w:t>第三方生活垃圾分类测评机构考核管理办法</w:t>
      </w:r>
    </w:p>
    <w:p>
      <w:pPr>
        <w:spacing w:line="360" w:lineRule="auto"/>
        <w:ind w:firstLine="482" w:firstLineChars="200"/>
        <w:rPr>
          <w:rFonts w:cs="宋体"/>
          <w:b/>
          <w:bCs/>
          <w:color w:val="121212"/>
          <w:sz w:val="24"/>
        </w:rPr>
      </w:pPr>
      <w:r>
        <w:rPr>
          <w:rFonts w:hint="eastAsia" w:cs="宋体"/>
          <w:b/>
          <w:bCs/>
          <w:color w:val="121212"/>
          <w:sz w:val="24"/>
        </w:rPr>
        <w:t>一、考核目的</w:t>
      </w:r>
    </w:p>
    <w:p>
      <w:pPr>
        <w:spacing w:line="360" w:lineRule="auto"/>
        <w:ind w:firstLine="420" w:firstLineChars="200"/>
        <w:rPr>
          <w:rFonts w:cs="宋体"/>
          <w:szCs w:val="21"/>
        </w:rPr>
      </w:pPr>
      <w:r>
        <w:rPr>
          <w:rFonts w:hint="eastAsia" w:cs="宋体"/>
          <w:color w:val="121212"/>
          <w:szCs w:val="21"/>
        </w:rPr>
        <w:t>为加强对第三方生活垃圾分类测评机构的</w:t>
      </w:r>
      <w:r>
        <w:rPr>
          <w:rFonts w:hint="eastAsia" w:cs="宋体"/>
          <w:color w:val="auto"/>
          <w:szCs w:val="21"/>
        </w:rPr>
        <w:t>考核管理</w:t>
      </w:r>
      <w:r>
        <w:rPr>
          <w:rFonts w:hint="eastAsia" w:cs="宋体"/>
          <w:color w:val="121212"/>
          <w:szCs w:val="21"/>
        </w:rPr>
        <w:t>，全面了解第三方机构的工作绩效，对第三方工作进展情况进行</w:t>
      </w:r>
      <w:r>
        <w:rPr>
          <w:rFonts w:hint="eastAsia" w:cs="宋体"/>
          <w:szCs w:val="21"/>
        </w:rPr>
        <w:t>有效跟进和调控，依据《关于印发&lt;市(县)、</w:t>
      </w:r>
      <w:r>
        <w:rPr>
          <w:rFonts w:cs="宋体"/>
          <w:szCs w:val="21"/>
        </w:rPr>
        <w:t>区全面推进生活垃圾分类工作考核办法</w:t>
      </w:r>
      <w:r>
        <w:rPr>
          <w:rFonts w:hint="eastAsia" w:cs="宋体"/>
          <w:szCs w:val="21"/>
        </w:rPr>
        <w:t>&gt;、</w:t>
      </w:r>
      <w:r>
        <w:rPr>
          <w:rFonts w:cs="宋体"/>
          <w:szCs w:val="21"/>
        </w:rPr>
        <w:t>&lt;</w:t>
      </w:r>
      <w:r>
        <w:rPr>
          <w:rFonts w:hint="eastAsia" w:cs="宋体"/>
          <w:szCs w:val="21"/>
        </w:rPr>
        <w:t>街道</w:t>
      </w:r>
      <w:r>
        <w:rPr>
          <w:rFonts w:cs="宋体"/>
          <w:szCs w:val="21"/>
        </w:rPr>
        <w:t>生活垃圾分类工作考核办法&gt;</w:t>
      </w:r>
      <w:r>
        <w:rPr>
          <w:rFonts w:hint="eastAsia" w:cs="宋体"/>
          <w:szCs w:val="21"/>
        </w:rPr>
        <w:t>、</w:t>
      </w:r>
      <w:r>
        <w:rPr>
          <w:rFonts w:cs="宋体"/>
          <w:szCs w:val="21"/>
        </w:rPr>
        <w:t>&lt;</w:t>
      </w:r>
      <w:r>
        <w:rPr>
          <w:rFonts w:hint="eastAsia" w:cs="宋体"/>
          <w:szCs w:val="21"/>
        </w:rPr>
        <w:t>居住</w:t>
      </w:r>
      <w:r>
        <w:rPr>
          <w:rFonts w:cs="宋体"/>
          <w:szCs w:val="21"/>
        </w:rPr>
        <w:t>小区生活垃圾分类考核标准&gt;</w:t>
      </w:r>
      <w:r>
        <w:rPr>
          <w:rFonts w:hint="eastAsia" w:cs="宋体"/>
          <w:szCs w:val="21"/>
        </w:rPr>
        <w:t>的</w:t>
      </w:r>
      <w:r>
        <w:rPr>
          <w:rFonts w:cs="宋体"/>
          <w:szCs w:val="21"/>
        </w:rPr>
        <w:t>通知</w:t>
      </w:r>
      <w:r>
        <w:rPr>
          <w:rFonts w:hint="eastAsia" w:cs="宋体"/>
          <w:szCs w:val="21"/>
        </w:rPr>
        <w:t xml:space="preserve">》（锡城管委发[2022] </w:t>
      </w:r>
      <w:r>
        <w:rPr>
          <w:rFonts w:cs="宋体"/>
          <w:szCs w:val="21"/>
        </w:rPr>
        <w:t>4</w:t>
      </w:r>
      <w:r>
        <w:rPr>
          <w:rFonts w:hint="eastAsia" w:cs="宋体"/>
          <w:szCs w:val="21"/>
        </w:rPr>
        <w:t>号）等相关内容，制定本办法。</w:t>
      </w:r>
    </w:p>
    <w:p>
      <w:pPr>
        <w:spacing w:line="360" w:lineRule="auto"/>
        <w:ind w:firstLine="482" w:firstLineChars="200"/>
        <w:rPr>
          <w:rFonts w:cs="宋体"/>
          <w:b/>
          <w:bCs/>
          <w:sz w:val="24"/>
        </w:rPr>
      </w:pPr>
      <w:r>
        <w:rPr>
          <w:rFonts w:hint="eastAsia" w:cs="宋体"/>
          <w:b/>
          <w:bCs/>
          <w:sz w:val="24"/>
        </w:rPr>
        <w:t>二、考核机构</w:t>
      </w:r>
    </w:p>
    <w:p>
      <w:pPr>
        <w:spacing w:line="360" w:lineRule="auto"/>
        <w:ind w:firstLine="420" w:firstLineChars="200"/>
        <w:rPr>
          <w:rFonts w:cs="宋体"/>
          <w:color w:val="121212"/>
          <w:szCs w:val="21"/>
        </w:rPr>
      </w:pPr>
      <w:r>
        <w:rPr>
          <w:rFonts w:hint="eastAsia" w:cs="宋体"/>
          <w:color w:val="121212"/>
          <w:szCs w:val="21"/>
        </w:rPr>
        <w:t>本办法由无锡市城市管理局负责组织实施。</w:t>
      </w:r>
    </w:p>
    <w:p>
      <w:pPr>
        <w:spacing w:line="360" w:lineRule="auto"/>
        <w:ind w:firstLine="482" w:firstLineChars="200"/>
        <w:rPr>
          <w:rFonts w:cs="宋体"/>
          <w:b/>
          <w:bCs/>
          <w:color w:val="121212"/>
          <w:sz w:val="24"/>
        </w:rPr>
      </w:pPr>
      <w:r>
        <w:rPr>
          <w:rFonts w:hint="eastAsia" w:cs="宋体"/>
          <w:b/>
          <w:bCs/>
          <w:color w:val="121212"/>
          <w:sz w:val="24"/>
        </w:rPr>
        <w:t>三、考核内容</w:t>
      </w:r>
    </w:p>
    <w:p>
      <w:pPr>
        <w:spacing w:line="360" w:lineRule="auto"/>
        <w:ind w:firstLine="420" w:firstLineChars="200"/>
        <w:rPr>
          <w:rFonts w:cs="宋体"/>
          <w:szCs w:val="21"/>
        </w:rPr>
      </w:pPr>
      <w:r>
        <w:rPr>
          <w:rFonts w:hint="eastAsia" w:cs="宋体"/>
          <w:szCs w:val="21"/>
        </w:rPr>
        <w:t>1、成果报告实效和质量情况。</w:t>
      </w:r>
    </w:p>
    <w:p>
      <w:pPr>
        <w:spacing w:line="360" w:lineRule="auto"/>
        <w:ind w:firstLine="420" w:firstLineChars="200"/>
        <w:rPr>
          <w:rFonts w:cs="宋体"/>
          <w:szCs w:val="21"/>
        </w:rPr>
      </w:pPr>
      <w:r>
        <w:rPr>
          <w:rFonts w:hint="eastAsia" w:cs="宋体"/>
          <w:szCs w:val="21"/>
        </w:rPr>
        <w:t>2、机构工作质量及管理情况。</w:t>
      </w:r>
    </w:p>
    <w:p>
      <w:pPr>
        <w:spacing w:line="360" w:lineRule="auto"/>
        <w:ind w:firstLine="420" w:firstLineChars="200"/>
        <w:rPr>
          <w:rFonts w:cs="宋体"/>
          <w:szCs w:val="21"/>
        </w:rPr>
      </w:pPr>
      <w:r>
        <w:rPr>
          <w:rFonts w:hint="eastAsia" w:cs="宋体"/>
          <w:szCs w:val="21"/>
        </w:rPr>
        <w:t>3、机构日常管理情况。</w:t>
      </w:r>
    </w:p>
    <w:p>
      <w:pPr>
        <w:spacing w:line="360" w:lineRule="auto"/>
        <w:ind w:firstLine="420" w:firstLineChars="200"/>
        <w:rPr>
          <w:rFonts w:cs="宋体"/>
          <w:szCs w:val="21"/>
        </w:rPr>
      </w:pPr>
      <w:r>
        <w:rPr>
          <w:rFonts w:hint="eastAsia" w:cs="宋体"/>
          <w:szCs w:val="21"/>
        </w:rPr>
        <w:t>4、信息保密、曝光投诉、安全事故等其他情况以及奖励情况。</w:t>
      </w:r>
    </w:p>
    <w:p>
      <w:pPr>
        <w:spacing w:line="360" w:lineRule="auto"/>
        <w:ind w:firstLine="422" w:firstLineChars="200"/>
        <w:rPr>
          <w:rFonts w:cs="宋体"/>
          <w:b/>
          <w:szCs w:val="21"/>
        </w:rPr>
      </w:pPr>
      <w:r>
        <w:rPr>
          <w:rFonts w:hint="eastAsia" w:cs="宋体"/>
          <w:b/>
          <w:szCs w:val="21"/>
        </w:rPr>
        <w:t>四、考核实施</w:t>
      </w:r>
    </w:p>
    <w:p>
      <w:pPr>
        <w:spacing w:line="360" w:lineRule="auto"/>
        <w:ind w:firstLine="420" w:firstLineChars="200"/>
        <w:rPr>
          <w:rFonts w:cs="宋体"/>
          <w:color w:val="121212"/>
          <w:szCs w:val="21"/>
        </w:rPr>
      </w:pPr>
      <w:r>
        <w:rPr>
          <w:rFonts w:hint="eastAsia" w:cs="宋体"/>
          <w:color w:val="121212"/>
          <w:szCs w:val="21"/>
        </w:rPr>
        <w:t>(一)考核时间</w:t>
      </w:r>
    </w:p>
    <w:p>
      <w:pPr>
        <w:spacing w:line="360" w:lineRule="auto"/>
        <w:ind w:firstLine="420" w:firstLineChars="200"/>
        <w:rPr>
          <w:rFonts w:cs="宋体"/>
          <w:color w:val="121212"/>
          <w:szCs w:val="21"/>
        </w:rPr>
      </w:pPr>
      <w:r>
        <w:rPr>
          <w:rFonts w:hint="eastAsia" w:cs="宋体"/>
          <w:color w:val="121212"/>
          <w:szCs w:val="21"/>
        </w:rPr>
        <w:t>1、实行定期抽查、随机督查相结合的考核制度，每季形成一次考核结果。</w:t>
      </w:r>
    </w:p>
    <w:p>
      <w:pPr>
        <w:spacing w:line="360" w:lineRule="auto"/>
        <w:ind w:firstLine="420" w:firstLineChars="200"/>
        <w:rPr>
          <w:rFonts w:cs="宋体"/>
          <w:color w:val="121212"/>
          <w:szCs w:val="21"/>
        </w:rPr>
      </w:pPr>
      <w:r>
        <w:rPr>
          <w:rFonts w:hint="eastAsia" w:cs="宋体"/>
          <w:color w:val="121212"/>
          <w:szCs w:val="21"/>
        </w:rPr>
        <w:t>2、定期抽查每季一次，随机抽检每月不少于一次。</w:t>
      </w:r>
    </w:p>
    <w:p>
      <w:pPr>
        <w:spacing w:line="360" w:lineRule="auto"/>
        <w:ind w:firstLine="420" w:firstLineChars="200"/>
        <w:rPr>
          <w:rFonts w:cs="宋体"/>
          <w:color w:val="121212"/>
          <w:szCs w:val="21"/>
        </w:rPr>
      </w:pPr>
      <w:r>
        <w:rPr>
          <w:rFonts w:hint="eastAsia" w:cs="宋体"/>
          <w:color w:val="121212"/>
          <w:szCs w:val="21"/>
        </w:rPr>
        <w:t>(二)考核办法</w:t>
      </w:r>
    </w:p>
    <w:p>
      <w:pPr>
        <w:spacing w:line="360" w:lineRule="auto"/>
        <w:ind w:firstLine="420" w:firstLineChars="200"/>
        <w:rPr>
          <w:rFonts w:cs="宋体"/>
          <w:color w:val="121212"/>
          <w:szCs w:val="21"/>
        </w:rPr>
      </w:pPr>
      <w:r>
        <w:rPr>
          <w:rFonts w:hint="eastAsia" w:cs="宋体"/>
          <w:color w:val="121212"/>
          <w:szCs w:val="21"/>
        </w:rPr>
        <w:t>1、定期抽查，按照《无锡市城市生活垃圾分类第三方测评工作质量考核评分表》（附件）实施检查；随机督查，采取动态随机检（巡）查方式进行。</w:t>
      </w:r>
    </w:p>
    <w:p>
      <w:pPr>
        <w:spacing w:line="360" w:lineRule="auto"/>
        <w:ind w:firstLine="420" w:firstLineChars="200"/>
        <w:rPr>
          <w:rFonts w:cs="宋体"/>
          <w:color w:val="121212"/>
          <w:szCs w:val="21"/>
        </w:rPr>
      </w:pPr>
      <w:r>
        <w:rPr>
          <w:rFonts w:hint="eastAsia" w:cs="宋体"/>
          <w:color w:val="121212"/>
          <w:szCs w:val="21"/>
        </w:rPr>
        <w:t>2、季度考核成绩将依据定期抽查、随机督查结果进行综合评定。</w:t>
      </w:r>
    </w:p>
    <w:p>
      <w:pPr>
        <w:spacing w:line="360" w:lineRule="auto"/>
        <w:ind w:firstLine="482" w:firstLineChars="200"/>
        <w:rPr>
          <w:rFonts w:cs="宋体"/>
          <w:b/>
          <w:bCs/>
          <w:color w:val="121212"/>
          <w:sz w:val="24"/>
        </w:rPr>
      </w:pPr>
      <w:r>
        <w:rPr>
          <w:rFonts w:hint="eastAsia" w:cs="宋体"/>
          <w:b/>
          <w:bCs/>
          <w:color w:val="121212"/>
          <w:sz w:val="24"/>
        </w:rPr>
        <w:t>五、考核结果应用</w:t>
      </w:r>
    </w:p>
    <w:p>
      <w:pPr>
        <w:spacing w:line="360" w:lineRule="auto"/>
        <w:ind w:firstLine="420" w:firstLineChars="200"/>
        <w:rPr>
          <w:rFonts w:cs="宋体"/>
          <w:color w:val="121212"/>
          <w:szCs w:val="21"/>
        </w:rPr>
      </w:pPr>
      <w:r>
        <w:rPr>
          <w:rFonts w:hint="eastAsia" w:cs="宋体"/>
          <w:color w:val="121212"/>
          <w:szCs w:val="21"/>
        </w:rPr>
        <w:t>根据季度考核情况，本季度得分≧90分的采购人按合同付款方式全额支付服务项目经费；＜90本季度得分≧80的按合同付款方式打八折支付服务项目经费；＜80本季度得分≧70的按合同付款方式打七折支付服务项目经费；本季度得分＜70分采购人不支付该季度服务项目经费，连续两个季度考核得分＜70分的，采购人有权终止服务合同，且不再支付剩余服务项目经费。</w:t>
      </w:r>
    </w:p>
    <w:p>
      <w:pPr>
        <w:spacing w:line="360" w:lineRule="auto"/>
        <w:ind w:firstLine="482" w:firstLineChars="200"/>
        <w:rPr>
          <w:rFonts w:cs="宋体"/>
          <w:b/>
          <w:bCs/>
          <w:color w:val="121212"/>
          <w:sz w:val="24"/>
        </w:rPr>
      </w:pPr>
      <w:r>
        <w:rPr>
          <w:rFonts w:hint="eastAsia" w:cs="宋体"/>
          <w:b/>
          <w:bCs/>
          <w:color w:val="121212"/>
          <w:sz w:val="24"/>
        </w:rPr>
        <w:t>六、本办法解释权为无锡市城市管理局。</w:t>
      </w:r>
    </w:p>
    <w:p>
      <w:p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s="宋体"/>
          <w:b/>
          <w:bCs/>
          <w:color w:val="121212"/>
          <w:sz w:val="24"/>
        </w:rPr>
        <w:br w:type="page"/>
      </w:r>
    </w:p>
    <w:tbl>
      <w:tblPr>
        <w:tblStyle w:val="55"/>
        <w:tblW w:w="0" w:type="auto"/>
        <w:tblInd w:w="15" w:type="dxa"/>
        <w:tblLayout w:type="fixed"/>
        <w:tblCellMar>
          <w:top w:w="0" w:type="dxa"/>
          <w:left w:w="0" w:type="dxa"/>
          <w:bottom w:w="0" w:type="dxa"/>
          <w:right w:w="0" w:type="dxa"/>
        </w:tblCellMar>
      </w:tblPr>
      <w:tblGrid>
        <w:gridCol w:w="1159"/>
        <w:gridCol w:w="943"/>
        <w:gridCol w:w="9354"/>
        <w:gridCol w:w="682"/>
        <w:gridCol w:w="654"/>
        <w:gridCol w:w="519"/>
        <w:gridCol w:w="463"/>
      </w:tblGrid>
      <w:tr>
        <w:tblPrEx>
          <w:tblCellMar>
            <w:top w:w="0" w:type="dxa"/>
            <w:left w:w="0" w:type="dxa"/>
            <w:bottom w:w="0" w:type="dxa"/>
            <w:right w:w="0" w:type="dxa"/>
          </w:tblCellMar>
        </w:tblPrEx>
        <w:trPr>
          <w:trHeight w:val="735" w:hRule="atLeast"/>
        </w:trPr>
        <w:tc>
          <w:tcPr>
            <w:tcW w:w="13774" w:type="dxa"/>
            <w:gridSpan w:val="7"/>
            <w:tcBorders>
              <w:top w:val="nil"/>
              <w:left w:val="nil"/>
              <w:bottom w:val="nil"/>
              <w:right w:val="nil"/>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b/>
                <w:bCs/>
                <w:color w:val="121212"/>
                <w:sz w:val="24"/>
              </w:rPr>
              <w:t>附件：无锡市生活垃圾分类第三方测评工作质量考核评分表</w:t>
            </w:r>
          </w:p>
        </w:tc>
      </w:tr>
      <w:tr>
        <w:tblPrEx>
          <w:tblCellMar>
            <w:top w:w="0" w:type="dxa"/>
            <w:left w:w="0" w:type="dxa"/>
            <w:bottom w:w="0" w:type="dxa"/>
            <w:right w:w="0" w:type="dxa"/>
          </w:tblCellMar>
        </w:tblPrEx>
        <w:trPr>
          <w:trHeight w:val="630" w:hRule="atLeast"/>
        </w:trPr>
        <w:tc>
          <w:tcPr>
            <w:tcW w:w="13774" w:type="dxa"/>
            <w:gridSpan w:val="7"/>
            <w:tcBorders>
              <w:top w:val="nil"/>
              <w:left w:val="nil"/>
              <w:bottom w:val="nil"/>
              <w:right w:val="nil"/>
            </w:tcBorders>
            <w:tcMar>
              <w:top w:w="15" w:type="dxa"/>
              <w:left w:w="15" w:type="dxa"/>
              <w:right w:w="15" w:type="dxa"/>
            </w:tcMar>
            <w:vAlign w:val="center"/>
          </w:tcPr>
          <w:p>
            <w:pPr>
              <w:widowControl/>
              <w:spacing w:line="400" w:lineRule="exact"/>
              <w:jc w:val="left"/>
              <w:textAlignment w:val="center"/>
              <w:rPr>
                <w:rFonts w:cs="宋体"/>
                <w:color w:val="121212"/>
                <w:szCs w:val="21"/>
              </w:rPr>
            </w:pPr>
            <w:r>
              <w:rPr>
                <w:rFonts w:hint="eastAsia" w:cs="宋体"/>
                <w:color w:val="121212"/>
                <w:szCs w:val="21"/>
                <w:lang w:bidi="ar"/>
              </w:rPr>
              <w:t>考核对象:                         考核时间：                         得分：</w:t>
            </w:r>
          </w:p>
        </w:tc>
      </w:tr>
      <w:tr>
        <w:tblPrEx>
          <w:tblCellMar>
            <w:top w:w="0" w:type="dxa"/>
            <w:left w:w="0" w:type="dxa"/>
            <w:bottom w:w="0" w:type="dxa"/>
            <w:right w:w="0" w:type="dxa"/>
          </w:tblCellMar>
        </w:tblPrEx>
        <w:trPr>
          <w:trHeight w:val="375" w:hRule="atLeast"/>
        </w:trPr>
        <w:tc>
          <w:tcPr>
            <w:tcW w:w="1159"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考核项目</w:t>
            </w:r>
          </w:p>
        </w:tc>
        <w:tc>
          <w:tcPr>
            <w:tcW w:w="94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内容</w:t>
            </w:r>
          </w:p>
        </w:tc>
        <w:tc>
          <w:tcPr>
            <w:tcW w:w="935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评分要求</w:t>
            </w:r>
          </w:p>
        </w:tc>
        <w:tc>
          <w:tcPr>
            <w:tcW w:w="68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分值</w:t>
            </w:r>
          </w:p>
        </w:tc>
        <w:tc>
          <w:tcPr>
            <w:tcW w:w="65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jc w:val="center"/>
              <w:textAlignment w:val="top"/>
              <w:rPr>
                <w:rFonts w:cs="宋体"/>
                <w:color w:val="121212"/>
                <w:szCs w:val="21"/>
              </w:rPr>
            </w:pPr>
            <w:r>
              <w:rPr>
                <w:rFonts w:hint="eastAsia" w:cs="宋体"/>
                <w:color w:val="121212"/>
                <w:szCs w:val="21"/>
                <w:lang w:bidi="ar"/>
              </w:rPr>
              <w:t>扣分</w:t>
            </w:r>
          </w:p>
        </w:tc>
        <w:tc>
          <w:tcPr>
            <w:tcW w:w="51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得分</w:t>
            </w:r>
          </w:p>
        </w:tc>
        <w:tc>
          <w:tcPr>
            <w:tcW w:w="463"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备注</w:t>
            </w:r>
          </w:p>
        </w:tc>
      </w:tr>
      <w:tr>
        <w:tblPrEx>
          <w:tblCellMar>
            <w:top w:w="0" w:type="dxa"/>
            <w:left w:w="0" w:type="dxa"/>
            <w:bottom w:w="0" w:type="dxa"/>
            <w:right w:w="0" w:type="dxa"/>
          </w:tblCellMar>
        </w:tblPrEx>
        <w:trPr>
          <w:trHeight w:val="689" w:hRule="atLeast"/>
        </w:trPr>
        <w:tc>
          <w:tcPr>
            <w:tcW w:w="115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成果</w:t>
            </w:r>
          </w:p>
          <w:p>
            <w:pPr>
              <w:widowControl/>
              <w:spacing w:line="400" w:lineRule="exact"/>
              <w:jc w:val="center"/>
              <w:textAlignment w:val="center"/>
              <w:rPr>
                <w:rFonts w:cs="宋体"/>
                <w:color w:val="121212"/>
                <w:szCs w:val="21"/>
                <w:lang w:bidi="ar"/>
              </w:rPr>
            </w:pPr>
            <w:r>
              <w:rPr>
                <w:rFonts w:hint="eastAsia" w:cs="宋体"/>
                <w:color w:val="121212"/>
                <w:szCs w:val="21"/>
                <w:lang w:bidi="ar"/>
              </w:rPr>
              <w:t>报告</w:t>
            </w:r>
          </w:p>
          <w:p>
            <w:pPr>
              <w:widowControl/>
              <w:spacing w:line="400" w:lineRule="exact"/>
              <w:jc w:val="center"/>
              <w:textAlignment w:val="center"/>
              <w:rPr>
                <w:rFonts w:cs="宋体"/>
                <w:color w:val="121212"/>
                <w:szCs w:val="21"/>
                <w:lang w:bidi="ar"/>
              </w:rPr>
            </w:pPr>
            <w:r>
              <w:rPr>
                <w:rFonts w:hint="eastAsia" w:cs="宋体"/>
                <w:color w:val="121212"/>
                <w:szCs w:val="21"/>
                <w:lang w:bidi="ar"/>
              </w:rPr>
              <w:t>考评</w:t>
            </w:r>
          </w:p>
          <w:p>
            <w:pPr>
              <w:widowControl/>
              <w:spacing w:line="400" w:lineRule="exact"/>
              <w:jc w:val="center"/>
              <w:textAlignment w:val="center"/>
              <w:rPr>
                <w:rFonts w:cs="宋体"/>
                <w:color w:val="121212"/>
                <w:szCs w:val="21"/>
              </w:rPr>
            </w:pPr>
            <w:r>
              <w:rPr>
                <w:rFonts w:hint="eastAsia" w:cs="宋体"/>
                <w:color w:val="121212"/>
                <w:szCs w:val="21"/>
                <w:lang w:bidi="ar"/>
              </w:rPr>
              <w:t>（30分）</w:t>
            </w:r>
          </w:p>
        </w:tc>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报告时效(17分)</w:t>
            </w:r>
          </w:p>
        </w:tc>
        <w:tc>
          <w:tcPr>
            <w:tcW w:w="935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auto"/>
                <w:szCs w:val="21"/>
              </w:rPr>
            </w:pPr>
            <w:r>
              <w:rPr>
                <w:rFonts w:hint="eastAsia" w:cs="宋体"/>
                <w:color w:val="auto"/>
                <w:szCs w:val="21"/>
                <w:lang w:bidi="ar"/>
              </w:rPr>
              <w:t>《无锡市城乡生活垃圾分类工作质量第三方测评季度测评服务讲评材料》次季度首月5号前完成，超过1个工作日扣1分</w:t>
            </w:r>
          </w:p>
        </w:tc>
        <w:tc>
          <w:tcPr>
            <w:tcW w:w="68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7</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pPr>
              <w:spacing w:line="400" w:lineRule="exact"/>
              <w:jc w:val="left"/>
              <w:rPr>
                <w:rFonts w:cs="宋体"/>
                <w:color w:val="121212"/>
                <w:szCs w:val="21"/>
              </w:rPr>
            </w:pPr>
          </w:p>
        </w:tc>
      </w:tr>
      <w:tr>
        <w:tblPrEx>
          <w:tblCellMar>
            <w:top w:w="0" w:type="dxa"/>
            <w:left w:w="0" w:type="dxa"/>
            <w:bottom w:w="0" w:type="dxa"/>
            <w:right w:w="0" w:type="dxa"/>
          </w:tblCellMar>
        </w:tblPrEx>
        <w:trPr>
          <w:trHeight w:val="70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textAlignment w:val="center"/>
              <w:rPr>
                <w:rFonts w:cs="宋体"/>
                <w:color w:val="auto"/>
                <w:szCs w:val="21"/>
                <w:lang w:bidi="ar"/>
              </w:rPr>
            </w:pPr>
            <w:r>
              <w:rPr>
                <w:rFonts w:hint="eastAsia" w:cs="宋体"/>
                <w:color w:val="auto"/>
                <w:szCs w:val="21"/>
                <w:lang w:bidi="ar"/>
              </w:rPr>
              <w:t>《无锡市城乡生活垃圾分类工作质量第三方年度测评服务工作报告》次年度首月10号前完成，超过1个工作日扣1分</w:t>
            </w:r>
          </w:p>
        </w:tc>
        <w:tc>
          <w:tcPr>
            <w:tcW w:w="6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10</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53"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报告质量（13分）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测评报告不完整、漏项，每次扣1分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8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虚报、瞒报，每次扣3分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54"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文字错误，每次扣0.1分；排版不规范，每次扣0.5分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6</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500" w:hRule="atLeast"/>
        </w:trPr>
        <w:tc>
          <w:tcPr>
            <w:tcW w:w="115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检查</w:t>
            </w:r>
          </w:p>
          <w:p>
            <w:pPr>
              <w:widowControl/>
              <w:spacing w:line="400" w:lineRule="exact"/>
              <w:jc w:val="center"/>
              <w:textAlignment w:val="center"/>
              <w:rPr>
                <w:rFonts w:cs="宋体"/>
                <w:color w:val="121212"/>
                <w:szCs w:val="21"/>
                <w:lang w:bidi="ar"/>
              </w:rPr>
            </w:pPr>
            <w:r>
              <w:rPr>
                <w:rFonts w:hint="eastAsia" w:cs="宋体"/>
                <w:color w:val="121212"/>
                <w:szCs w:val="21"/>
                <w:lang w:bidi="ar"/>
              </w:rPr>
              <w:t>质量</w:t>
            </w:r>
          </w:p>
          <w:p>
            <w:pPr>
              <w:widowControl/>
              <w:spacing w:line="400" w:lineRule="exact"/>
              <w:jc w:val="center"/>
              <w:textAlignment w:val="center"/>
              <w:rPr>
                <w:rFonts w:cs="宋体"/>
                <w:color w:val="121212"/>
                <w:szCs w:val="21"/>
              </w:rPr>
            </w:pPr>
            <w:r>
              <w:rPr>
                <w:rFonts w:hint="eastAsia" w:cs="宋体"/>
                <w:color w:val="121212"/>
                <w:szCs w:val="21"/>
                <w:lang w:bidi="ar"/>
              </w:rPr>
              <w:t>（34分）</w:t>
            </w:r>
          </w:p>
        </w:tc>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作业质量（20分）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未完成合同规定数量、时间工作任务的，每一项扣2分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6</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pPr>
              <w:spacing w:line="400" w:lineRule="exact"/>
              <w:jc w:val="left"/>
              <w:rPr>
                <w:rFonts w:cs="宋体"/>
                <w:color w:val="121212"/>
                <w:szCs w:val="21"/>
              </w:rPr>
            </w:pPr>
          </w:p>
        </w:tc>
      </w:tr>
      <w:tr>
        <w:tblPrEx>
          <w:tblCellMar>
            <w:top w:w="0" w:type="dxa"/>
            <w:left w:w="0" w:type="dxa"/>
            <w:bottom w:w="0" w:type="dxa"/>
            <w:right w:w="0" w:type="dxa"/>
          </w:tblCellMar>
        </w:tblPrEx>
        <w:trPr>
          <w:trHeight w:val="9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测评区域与计划不相符，每处扣2分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549"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测评人员测评过程中出现评分不公正，标准不统一的，发现一次扣3分</w:t>
            </w:r>
          </w:p>
        </w:tc>
        <w:tc>
          <w:tcPr>
            <w:tcW w:w="6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szCs w:val="21"/>
              </w:rPr>
            </w:pPr>
            <w:r>
              <w:rPr>
                <w:rFonts w:hint="eastAsia" w:cs="宋体"/>
                <w:szCs w:val="21"/>
              </w:rPr>
              <w:t>6</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71"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测评人员未佩戴测评证，发现一次扣1分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szCs w:val="21"/>
              </w:rPr>
            </w:pPr>
            <w:r>
              <w:rPr>
                <w:rFonts w:hint="eastAsia" w:cs="宋体"/>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26"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auto"/>
                <w:szCs w:val="21"/>
              </w:rPr>
            </w:pPr>
            <w:r>
              <w:rPr>
                <w:rFonts w:hint="eastAsia" w:cs="宋体"/>
                <w:color w:val="auto"/>
                <w:szCs w:val="21"/>
                <w:lang w:bidi="ar"/>
              </w:rPr>
              <w:t>测评人员测评时必须规范着装，保持服装整洁，发现一次扣1分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szCs w:val="21"/>
              </w:rPr>
            </w:pPr>
            <w:r>
              <w:rPr>
                <w:rFonts w:hint="eastAsia" w:cs="宋体"/>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26"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lang w:bidi="ar"/>
              </w:rPr>
            </w:p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auto"/>
                <w:szCs w:val="21"/>
                <w:lang w:bidi="ar"/>
              </w:rPr>
            </w:pPr>
            <w:r>
              <w:rPr>
                <w:rFonts w:hint="eastAsia" w:cs="宋体"/>
                <w:color w:val="auto"/>
                <w:szCs w:val="21"/>
                <w:lang w:bidi="ar"/>
              </w:rPr>
              <w:t>测评人员测评时态度要端正、友善，举止文明。态度简单粗暴，有违工作人员形象的发现一次扣1分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szCs w:val="21"/>
              </w:rPr>
            </w:pPr>
            <w:r>
              <w:rPr>
                <w:rFonts w:hint="eastAsia" w:cs="宋体"/>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12"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作业记录（14分）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记录不准确,每发现一次扣1分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8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测评成绩计算错误，每处扣1分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518"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测评成绩弄虚作假、背离实际情况的，发现一次扣5分</w:t>
            </w:r>
          </w:p>
        </w:tc>
        <w:tc>
          <w:tcPr>
            <w:tcW w:w="6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5</w:t>
            </w:r>
          </w:p>
        </w:tc>
        <w:tc>
          <w:tcPr>
            <w:tcW w:w="6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270" w:hRule="atLeast"/>
        </w:trPr>
        <w:tc>
          <w:tcPr>
            <w:tcW w:w="115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日常管理（21分）</w:t>
            </w:r>
          </w:p>
        </w:tc>
        <w:tc>
          <w:tcPr>
            <w:tcW w:w="94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测评团队</w:t>
            </w:r>
          </w:p>
          <w:p>
            <w:pPr>
              <w:widowControl/>
              <w:spacing w:line="400" w:lineRule="exact"/>
              <w:jc w:val="center"/>
              <w:textAlignment w:val="center"/>
              <w:rPr>
                <w:rFonts w:cs="宋体"/>
                <w:color w:val="121212"/>
                <w:szCs w:val="21"/>
              </w:rPr>
            </w:pPr>
            <w:r>
              <w:rPr>
                <w:rFonts w:hint="eastAsia" w:cs="宋体"/>
                <w:color w:val="121212"/>
                <w:szCs w:val="21"/>
                <w:lang w:bidi="ar"/>
              </w:rPr>
              <w:t>（6分）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测评人员与投标文件不相符的、测评人员未固定、存在临时拼凑现象的、新进变更调整人员未在3天内上报的未向采购人报备的，发现1次，1人扣2分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pPr>
              <w:spacing w:line="400" w:lineRule="exact"/>
              <w:jc w:val="left"/>
              <w:rPr>
                <w:rFonts w:cs="宋体"/>
                <w:color w:val="121212"/>
                <w:szCs w:val="21"/>
              </w:rPr>
            </w:pPr>
          </w:p>
        </w:tc>
      </w:tr>
      <w:tr>
        <w:tblPrEx>
          <w:tblCellMar>
            <w:top w:w="0" w:type="dxa"/>
            <w:left w:w="0" w:type="dxa"/>
            <w:bottom w:w="0" w:type="dxa"/>
            <w:right w:w="0" w:type="dxa"/>
          </w:tblCellMar>
        </w:tblPrEx>
        <w:trPr>
          <w:trHeight w:val="51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nil"/>
              <w:left w:val="single" w:color="000000" w:sz="4" w:space="0"/>
              <w:bottom w:val="nil"/>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管理、技术、测评人数和分组未达合同要求，发现1次，1人扣0.5分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51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lang w:bidi="ar"/>
              </w:rPr>
            </w:pPr>
            <w:r>
              <w:rPr>
                <w:rFonts w:hint="eastAsia" w:cs="宋体"/>
                <w:szCs w:val="21"/>
                <w:lang w:bidi="ar"/>
              </w:rPr>
              <w:t>采购方组织开展的培训，测评人员无故缺席的，每缺席一人扣2分，未按照采购方要求定期组织开展内部培训的，每少组织一次扣5分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0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设施设备</w:t>
            </w:r>
          </w:p>
          <w:p>
            <w:pPr>
              <w:widowControl/>
              <w:spacing w:line="400" w:lineRule="exact"/>
              <w:jc w:val="center"/>
              <w:textAlignment w:val="center"/>
              <w:rPr>
                <w:rFonts w:cs="宋体"/>
                <w:color w:val="121212"/>
                <w:szCs w:val="21"/>
              </w:rPr>
            </w:pPr>
            <w:r>
              <w:rPr>
                <w:rFonts w:hint="eastAsia" w:cs="宋体"/>
                <w:color w:val="121212"/>
                <w:szCs w:val="21"/>
                <w:lang w:bidi="ar"/>
              </w:rPr>
              <w:t>（2分）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szCs w:val="21"/>
              </w:rPr>
            </w:pPr>
            <w:r>
              <w:rPr>
                <w:rFonts w:hint="eastAsia" w:cs="宋体"/>
                <w:szCs w:val="21"/>
                <w:lang w:bidi="ar"/>
              </w:rPr>
              <w:t>测评设施、设备、车辆（7辆）未按投标文件要求配置到位的，发现一次，每设施、设备、车辆扣1分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9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测评作业</w:t>
            </w:r>
          </w:p>
          <w:p>
            <w:pPr>
              <w:widowControl/>
              <w:spacing w:line="400" w:lineRule="exact"/>
              <w:jc w:val="center"/>
              <w:textAlignment w:val="center"/>
              <w:rPr>
                <w:rFonts w:cs="宋体"/>
                <w:color w:val="121212"/>
                <w:szCs w:val="21"/>
              </w:rPr>
            </w:pPr>
            <w:r>
              <w:rPr>
                <w:rFonts w:hint="eastAsia" w:cs="宋体"/>
                <w:color w:val="121212"/>
                <w:szCs w:val="21"/>
                <w:lang w:bidi="ar"/>
              </w:rPr>
              <w:t>（11分）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项目负责人在日常测评工作响应达不到投标文件要求的、工作期间从事与第三方测评无关工作的，发现一次扣3分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9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nil"/>
              <w:left w:val="single" w:color="000000" w:sz="4" w:space="0"/>
              <w:bottom w:val="nil"/>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lang w:bidi="ar"/>
              </w:rPr>
            </w:pPr>
            <w:r>
              <w:rPr>
                <w:rFonts w:hint="eastAsia" w:cs="宋体"/>
                <w:color w:val="121212"/>
                <w:szCs w:val="21"/>
                <w:lang w:bidi="ar"/>
              </w:rPr>
              <w:t>在各类专项行动中未制定行动计划、落实任务的，行动中不按计划完成任务的、虚报、瞒报实际数据的，发现一次扣3分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87"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nil"/>
              <w:left w:val="single" w:color="000000" w:sz="4" w:space="0"/>
              <w:bottom w:val="nil"/>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lang w:bidi="ar"/>
              </w:rPr>
            </w:pPr>
            <w:r>
              <w:rPr>
                <w:rFonts w:hint="eastAsia" w:cs="宋体"/>
                <w:color w:val="121212"/>
                <w:szCs w:val="21"/>
                <w:lang w:bidi="ar"/>
              </w:rPr>
              <w:t>按上报的工作计划，在规定的日常测评作业时间内，测评人员不在岗的，每缺少一人扣1分</w:t>
            </w:r>
          </w:p>
        </w:tc>
        <w:tc>
          <w:tcPr>
            <w:tcW w:w="68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497"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lang w:bidi="ar"/>
              </w:rPr>
            </w:pPr>
            <w:r>
              <w:rPr>
                <w:rFonts w:hint="eastAsia" w:cs="宋体"/>
                <w:color w:val="121212"/>
                <w:szCs w:val="21"/>
                <w:lang w:bidi="ar"/>
              </w:rPr>
              <w:t>专项</w:t>
            </w:r>
            <w:r>
              <w:rPr>
                <w:rFonts w:hint="eastAsia" w:cs="宋体"/>
                <w:color w:val="auto"/>
                <w:szCs w:val="21"/>
                <w:lang w:bidi="ar"/>
              </w:rPr>
              <w:t>测评响应不及时或者测评不到位，</w:t>
            </w:r>
            <w:r>
              <w:rPr>
                <w:rFonts w:hint="eastAsia" w:cs="宋体"/>
                <w:color w:val="121212"/>
                <w:szCs w:val="21"/>
                <w:lang w:bidi="ar"/>
              </w:rPr>
              <w:t>每发现一次扣1分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1</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709"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台账管理</w:t>
            </w:r>
          </w:p>
          <w:p>
            <w:pPr>
              <w:widowControl/>
              <w:spacing w:line="400" w:lineRule="exact"/>
              <w:jc w:val="center"/>
              <w:textAlignment w:val="center"/>
              <w:rPr>
                <w:rFonts w:cs="宋体"/>
                <w:color w:val="121212"/>
                <w:szCs w:val="21"/>
              </w:rPr>
            </w:pPr>
            <w:r>
              <w:rPr>
                <w:rFonts w:hint="eastAsia" w:cs="宋体"/>
                <w:color w:val="121212"/>
                <w:szCs w:val="21"/>
                <w:lang w:bidi="ar"/>
              </w:rPr>
              <w:t>（2分）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建立测评信息台账（含电子台账）管理制度，未建立相关台账或建立不健全的，发现一次扣1分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55" w:hRule="atLeast"/>
        </w:trPr>
        <w:tc>
          <w:tcPr>
            <w:tcW w:w="1159" w:type="dxa"/>
            <w:vMerge w:val="restart"/>
            <w:tcBorders>
              <w:top w:val="single" w:color="000000" w:sz="4" w:space="0"/>
              <w:left w:val="single" w:color="000000" w:sz="8"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其它情况（15分）</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信息保密</w:t>
            </w:r>
          </w:p>
          <w:p>
            <w:pPr>
              <w:widowControl/>
              <w:spacing w:line="400" w:lineRule="exact"/>
              <w:jc w:val="center"/>
              <w:textAlignment w:val="center"/>
              <w:rPr>
                <w:rFonts w:cs="宋体"/>
                <w:color w:val="121212"/>
                <w:szCs w:val="21"/>
              </w:rPr>
            </w:pPr>
            <w:r>
              <w:rPr>
                <w:rFonts w:hint="eastAsia" w:cs="宋体"/>
                <w:color w:val="121212"/>
                <w:szCs w:val="21"/>
                <w:lang w:bidi="ar"/>
              </w:rPr>
              <w:t>（5分）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擅自对采购人以外人员发布、透露测评计划、成绩相关信息的，经核实第一次扣5分，第二次判定不及格。</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5</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pPr>
              <w:spacing w:line="400" w:lineRule="exact"/>
              <w:jc w:val="left"/>
              <w:rPr>
                <w:rFonts w:cs="宋体"/>
                <w:color w:val="121212"/>
                <w:szCs w:val="21"/>
              </w:rPr>
            </w:pPr>
          </w:p>
        </w:tc>
      </w:tr>
      <w:tr>
        <w:tblPrEx>
          <w:tblCellMar>
            <w:top w:w="0" w:type="dxa"/>
            <w:left w:w="0" w:type="dxa"/>
            <w:bottom w:w="0" w:type="dxa"/>
            <w:right w:w="0" w:type="dxa"/>
          </w:tblCellMar>
        </w:tblPrEx>
        <w:trPr>
          <w:trHeight w:val="675" w:hRule="atLeast"/>
        </w:trPr>
        <w:tc>
          <w:tcPr>
            <w:tcW w:w="1159" w:type="dxa"/>
            <w:vMerge w:val="continue"/>
            <w:tcBorders>
              <w:left w:val="single" w:color="000000" w:sz="8"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曝光投诉</w:t>
            </w:r>
          </w:p>
          <w:p>
            <w:pPr>
              <w:widowControl/>
              <w:spacing w:line="400" w:lineRule="exact"/>
              <w:jc w:val="center"/>
              <w:textAlignment w:val="center"/>
              <w:rPr>
                <w:rFonts w:cs="宋体"/>
                <w:color w:val="121212"/>
                <w:szCs w:val="21"/>
              </w:rPr>
            </w:pPr>
            <w:r>
              <w:rPr>
                <w:rFonts w:hint="eastAsia" w:cs="宋体"/>
                <w:color w:val="121212"/>
                <w:szCs w:val="21"/>
                <w:lang w:bidi="ar"/>
              </w:rPr>
              <w:t>（3分）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000000"/>
                <w:szCs w:val="21"/>
              </w:rPr>
            </w:pPr>
            <w:r>
              <w:rPr>
                <w:rFonts w:hint="eastAsia" w:cs="宋体"/>
                <w:color w:val="000000"/>
                <w:szCs w:val="21"/>
                <w:lang w:bidi="ar"/>
              </w:rPr>
              <w:t>如被媒体曝光及群众投诉，或是受被监管方投诉，经查有责的，每件次扣1.5分,若连续发生此类事件的，三次及以上</w:t>
            </w:r>
            <w:r>
              <w:rPr>
                <w:rFonts w:hint="eastAsia" w:cs="宋体"/>
                <w:color w:val="121212"/>
                <w:szCs w:val="21"/>
                <w:lang w:bidi="ar"/>
              </w:rPr>
              <w:t>判定不及格</w:t>
            </w:r>
            <w:r>
              <w:rPr>
                <w:rFonts w:hint="eastAsia" w:cs="宋体"/>
                <w:color w:val="000000"/>
                <w:szCs w:val="21"/>
                <w:lang w:bidi="ar"/>
              </w:rPr>
              <w:t>。</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735" w:hRule="atLeast"/>
        </w:trPr>
        <w:tc>
          <w:tcPr>
            <w:tcW w:w="1159" w:type="dxa"/>
            <w:vMerge w:val="continue"/>
            <w:tcBorders>
              <w:left w:val="single" w:color="000000" w:sz="8"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安全事故</w:t>
            </w:r>
          </w:p>
          <w:p>
            <w:pPr>
              <w:widowControl/>
              <w:spacing w:line="400" w:lineRule="exact"/>
              <w:jc w:val="center"/>
              <w:textAlignment w:val="center"/>
              <w:rPr>
                <w:rFonts w:cs="宋体"/>
                <w:color w:val="121212"/>
                <w:szCs w:val="21"/>
              </w:rPr>
            </w:pPr>
            <w:r>
              <w:rPr>
                <w:rFonts w:hint="eastAsia" w:cs="宋体"/>
                <w:color w:val="121212"/>
                <w:szCs w:val="21"/>
                <w:lang w:bidi="ar"/>
              </w:rPr>
              <w:t>（3分）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000000"/>
                <w:szCs w:val="21"/>
              </w:rPr>
            </w:pPr>
            <w:r>
              <w:rPr>
                <w:rFonts w:hint="eastAsia" w:cs="宋体"/>
                <w:color w:val="000000"/>
                <w:szCs w:val="21"/>
                <w:lang w:bidi="ar"/>
              </w:rPr>
              <w:t>测评期间测评人员发生安全事故的或造成伤害的，每人次扣1.5分，若连续发生此类事件的，三次及以上</w:t>
            </w:r>
            <w:r>
              <w:rPr>
                <w:rFonts w:hint="eastAsia" w:cs="宋体"/>
                <w:color w:val="121212"/>
                <w:szCs w:val="21"/>
                <w:lang w:bidi="ar"/>
              </w:rPr>
              <w:t>判定不及格</w:t>
            </w:r>
            <w:r>
              <w:rPr>
                <w:rFonts w:hint="eastAsia" w:cs="宋体"/>
                <w:color w:val="000000"/>
                <w:szCs w:val="21"/>
                <w:lang w:bidi="ar"/>
              </w:rPr>
              <w:t>。</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3</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715" w:hRule="atLeast"/>
        </w:trPr>
        <w:tc>
          <w:tcPr>
            <w:tcW w:w="1159" w:type="dxa"/>
            <w:vMerge w:val="continue"/>
            <w:tcBorders>
              <w:left w:val="single" w:color="000000" w:sz="8"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工作态度</w:t>
            </w:r>
          </w:p>
          <w:p>
            <w:pPr>
              <w:widowControl/>
              <w:spacing w:line="400" w:lineRule="exact"/>
              <w:jc w:val="center"/>
              <w:textAlignment w:val="center"/>
              <w:rPr>
                <w:rFonts w:cs="宋体"/>
                <w:color w:val="121212"/>
                <w:szCs w:val="21"/>
              </w:rPr>
            </w:pPr>
            <w:r>
              <w:rPr>
                <w:rFonts w:hint="eastAsia" w:cs="宋体"/>
                <w:color w:val="121212"/>
                <w:szCs w:val="21"/>
                <w:lang w:bidi="ar"/>
              </w:rPr>
              <w:t>（2分）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000000"/>
                <w:szCs w:val="21"/>
              </w:rPr>
            </w:pPr>
            <w:r>
              <w:rPr>
                <w:rFonts w:hint="eastAsia" w:cs="宋体"/>
                <w:color w:val="000000"/>
                <w:szCs w:val="21"/>
                <w:lang w:bidi="ar"/>
              </w:rPr>
              <w:t>测评人员在开展工作时对待社区居民、单位员工应态度友善，发现问题应协商解决，严禁争吵，违者给予严肃处理，每发现一次扣</w:t>
            </w:r>
            <w:r>
              <w:rPr>
                <w:rFonts w:hint="eastAsia" w:cs="宋体"/>
                <w:color w:val="auto"/>
                <w:szCs w:val="21"/>
                <w:lang w:bidi="ar"/>
              </w:rPr>
              <w:t>1分，若连续发生此类事件的，三次及以上，判定为不及格。</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45" w:hRule="atLeast"/>
        </w:trPr>
        <w:tc>
          <w:tcPr>
            <w:tcW w:w="1159" w:type="dxa"/>
            <w:vMerge w:val="continue"/>
            <w:tcBorders>
              <w:left w:val="single" w:color="000000" w:sz="8"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重大问题</w:t>
            </w:r>
          </w:p>
          <w:p>
            <w:pPr>
              <w:widowControl/>
              <w:spacing w:line="400" w:lineRule="exact"/>
              <w:jc w:val="center"/>
              <w:textAlignment w:val="center"/>
              <w:rPr>
                <w:rFonts w:cs="宋体"/>
                <w:color w:val="121212"/>
                <w:szCs w:val="21"/>
              </w:rPr>
            </w:pPr>
            <w:r>
              <w:rPr>
                <w:rFonts w:hint="eastAsia" w:cs="宋体"/>
                <w:color w:val="121212"/>
                <w:szCs w:val="21"/>
                <w:lang w:bidi="ar"/>
              </w:rPr>
              <w:t>（2分）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000000"/>
                <w:szCs w:val="21"/>
              </w:rPr>
            </w:pPr>
            <w:r>
              <w:rPr>
                <w:rFonts w:hint="eastAsia" w:cs="宋体"/>
                <w:color w:val="000000"/>
                <w:szCs w:val="21"/>
                <w:lang w:bidi="ar"/>
              </w:rPr>
              <w:t>发生重大业务问题和安全问题应及时上报，未及时上报扣1分，瞒报扣2分，若连续发生此类事件的，三次及以上，判定为不及格。</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2</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45" w:hRule="atLeast"/>
        </w:trPr>
        <w:tc>
          <w:tcPr>
            <w:tcW w:w="1159" w:type="dxa"/>
            <w:vMerge w:val="continue"/>
            <w:tcBorders>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廉政问题</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000000"/>
                <w:szCs w:val="21"/>
                <w:lang w:bidi="ar"/>
              </w:rPr>
            </w:pPr>
            <w:r>
              <w:rPr>
                <w:rFonts w:hint="eastAsia" w:cs="宋体"/>
                <w:color w:val="000000"/>
                <w:szCs w:val="21"/>
                <w:lang w:bidi="ar"/>
              </w:rPr>
              <w:t>测评人员禁止同作业单位发生工作以外的接触，不得收受被监管单位的 任何礼品、礼券等物件，发生其中任何一项行为者，一旦情况查属无误，扣</w:t>
            </w:r>
            <w:r>
              <w:rPr>
                <w:rFonts w:hint="eastAsia" w:cs="宋体"/>
                <w:color w:val="auto"/>
                <w:szCs w:val="21"/>
                <w:lang w:bidi="ar"/>
              </w:rPr>
              <w:t>10分，测评</w:t>
            </w:r>
            <w:r>
              <w:rPr>
                <w:rFonts w:cs="宋体"/>
                <w:color w:val="auto"/>
                <w:szCs w:val="21"/>
                <w:lang w:bidi="ar"/>
              </w:rPr>
              <w:t>服务</w:t>
            </w:r>
            <w:r>
              <w:rPr>
                <w:rFonts w:hint="eastAsia" w:cs="宋体"/>
                <w:color w:val="auto"/>
                <w:szCs w:val="21"/>
                <w:lang w:bidi="ar"/>
              </w:rPr>
              <w:t>第三方公司应作出相应处罚。如连续发生两次将督促测评</w:t>
            </w:r>
            <w:r>
              <w:rPr>
                <w:rFonts w:cs="宋体"/>
                <w:color w:val="auto"/>
                <w:szCs w:val="21"/>
                <w:lang w:bidi="ar"/>
              </w:rPr>
              <w:t>服务</w:t>
            </w:r>
            <w:r>
              <w:rPr>
                <w:rFonts w:hint="eastAsia" w:cs="宋体"/>
                <w:color w:val="auto"/>
                <w:szCs w:val="21"/>
                <w:lang w:bidi="ar"/>
              </w:rPr>
              <w:t>第三方公司作出解除用工合同的决定。</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645" w:hRule="atLeast"/>
        </w:trPr>
        <w:tc>
          <w:tcPr>
            <w:tcW w:w="115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奖励情况（10分）</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突出表现</w:t>
            </w:r>
          </w:p>
          <w:p>
            <w:pPr>
              <w:widowControl/>
              <w:spacing w:line="400" w:lineRule="exact"/>
              <w:jc w:val="center"/>
              <w:textAlignment w:val="center"/>
              <w:rPr>
                <w:rFonts w:cs="宋体"/>
                <w:color w:val="121212"/>
                <w:szCs w:val="21"/>
              </w:rPr>
            </w:pPr>
            <w:r>
              <w:rPr>
                <w:rFonts w:hint="eastAsia" w:cs="宋体"/>
                <w:color w:val="121212"/>
                <w:szCs w:val="21"/>
                <w:lang w:bidi="ar"/>
              </w:rPr>
              <w:t>（6分）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cs="宋体"/>
                <w:color w:val="121212"/>
                <w:szCs w:val="21"/>
              </w:rPr>
            </w:pPr>
            <w:r>
              <w:rPr>
                <w:rFonts w:hint="eastAsia" w:cs="宋体"/>
                <w:color w:val="121212"/>
                <w:szCs w:val="21"/>
                <w:lang w:bidi="ar"/>
              </w:rPr>
              <w:t>各类专项治理行动中有突出表现的，以及主动完成职责范围外的额外任务的，收到政府、行业部门、社会媒体及市民表扬的，每件次加2分。</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6</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pPr>
              <w:spacing w:line="400" w:lineRule="exact"/>
              <w:jc w:val="center"/>
              <w:rPr>
                <w:rFonts w:cs="宋体"/>
                <w:color w:val="121212"/>
                <w:szCs w:val="21"/>
              </w:rPr>
            </w:pPr>
          </w:p>
        </w:tc>
      </w:tr>
      <w:tr>
        <w:tblPrEx>
          <w:tblCellMar>
            <w:top w:w="0" w:type="dxa"/>
            <w:left w:w="0" w:type="dxa"/>
            <w:bottom w:w="0" w:type="dxa"/>
            <w:right w:w="0" w:type="dxa"/>
          </w:tblCellMar>
        </w:tblPrEx>
        <w:trPr>
          <w:trHeight w:val="660" w:hRule="atLeast"/>
        </w:trPr>
        <w:tc>
          <w:tcPr>
            <w:tcW w:w="115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lang w:bidi="ar"/>
              </w:rPr>
            </w:pPr>
            <w:r>
              <w:rPr>
                <w:rFonts w:hint="eastAsia" w:cs="宋体"/>
                <w:color w:val="121212"/>
                <w:szCs w:val="21"/>
                <w:lang w:bidi="ar"/>
              </w:rPr>
              <w:t>论文奖励</w:t>
            </w:r>
          </w:p>
          <w:p>
            <w:pPr>
              <w:widowControl/>
              <w:spacing w:line="400" w:lineRule="exact"/>
              <w:jc w:val="center"/>
              <w:textAlignment w:val="center"/>
              <w:rPr>
                <w:rFonts w:cs="宋体"/>
                <w:color w:val="121212"/>
                <w:szCs w:val="21"/>
              </w:rPr>
            </w:pPr>
            <w:r>
              <w:rPr>
                <w:rFonts w:hint="eastAsia" w:cs="宋体"/>
                <w:color w:val="121212"/>
                <w:szCs w:val="21"/>
                <w:lang w:bidi="ar"/>
              </w:rPr>
              <w:t>（4分）</w:t>
            </w:r>
          </w:p>
        </w:tc>
        <w:tc>
          <w:tcPr>
            <w:tcW w:w="9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hint="eastAsia" w:cs="宋体"/>
                <w:color w:val="121212"/>
                <w:szCs w:val="21"/>
              </w:rPr>
            </w:pPr>
            <w:r>
              <w:rPr>
                <w:rFonts w:hint="eastAsia" w:cs="宋体"/>
                <w:color w:val="121212"/>
                <w:szCs w:val="21"/>
                <w:lang w:bidi="ar"/>
              </w:rPr>
              <w:t>发表的论文获得省级及以上专题优秀论文奖的，每篇加1分；获得国家级奖励的加3分</w:t>
            </w:r>
            <w:r>
              <w:rPr>
                <w:rFonts w:cs="宋体"/>
                <w:color w:val="121212"/>
                <w:szCs w:val="21"/>
                <w:lang w:bidi="ar"/>
              </w:rPr>
              <w:t>。</w:t>
            </w:r>
          </w:p>
        </w:tc>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rPr>
              <w:t>4</w:t>
            </w:r>
          </w:p>
        </w:tc>
        <w:tc>
          <w:tcPr>
            <w:tcW w:w="6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63"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tcPr>
          <w:p/>
        </w:tc>
      </w:tr>
      <w:tr>
        <w:tblPrEx>
          <w:tblCellMar>
            <w:top w:w="0" w:type="dxa"/>
            <w:left w:w="0" w:type="dxa"/>
            <w:bottom w:w="0" w:type="dxa"/>
            <w:right w:w="0" w:type="dxa"/>
          </w:tblCellMar>
        </w:tblPrEx>
        <w:trPr>
          <w:trHeight w:val="390" w:hRule="atLeast"/>
        </w:trPr>
        <w:tc>
          <w:tcPr>
            <w:tcW w:w="12138" w:type="dxa"/>
            <w:gridSpan w:val="4"/>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pacing w:line="400" w:lineRule="exact"/>
              <w:jc w:val="center"/>
              <w:textAlignment w:val="center"/>
              <w:rPr>
                <w:rFonts w:cs="宋体"/>
                <w:color w:val="121212"/>
                <w:szCs w:val="21"/>
              </w:rPr>
            </w:pPr>
            <w:r>
              <w:rPr>
                <w:rFonts w:hint="eastAsia" w:cs="宋体"/>
                <w:color w:val="121212"/>
                <w:szCs w:val="21"/>
                <w:lang w:bidi="ar"/>
              </w:rPr>
              <w:t>总分</w:t>
            </w:r>
          </w:p>
        </w:tc>
        <w:tc>
          <w:tcPr>
            <w:tcW w:w="6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5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400" w:lineRule="exact"/>
              <w:jc w:val="center"/>
              <w:rPr>
                <w:rFonts w:cs="宋体"/>
                <w:color w:val="121212"/>
                <w:szCs w:val="21"/>
              </w:rPr>
            </w:pPr>
          </w:p>
        </w:tc>
        <w:tc>
          <w:tcPr>
            <w:tcW w:w="46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spacing w:line="400" w:lineRule="exact"/>
              <w:jc w:val="center"/>
              <w:rPr>
                <w:rFonts w:cs="宋体"/>
                <w:color w:val="121212"/>
                <w:szCs w:val="21"/>
              </w:rPr>
            </w:pPr>
          </w:p>
        </w:tc>
      </w:tr>
      <w:tr>
        <w:tblPrEx>
          <w:tblCellMar>
            <w:top w:w="0" w:type="dxa"/>
            <w:left w:w="0" w:type="dxa"/>
            <w:bottom w:w="0" w:type="dxa"/>
            <w:right w:w="0" w:type="dxa"/>
          </w:tblCellMar>
        </w:tblPrEx>
        <w:trPr>
          <w:trHeight w:val="355" w:hRule="atLeast"/>
        </w:trPr>
        <w:tc>
          <w:tcPr>
            <w:tcW w:w="13774" w:type="dxa"/>
            <w:gridSpan w:val="7"/>
            <w:tcBorders>
              <w:top w:val="nil"/>
              <w:left w:val="nil"/>
              <w:bottom w:val="nil"/>
              <w:right w:val="nil"/>
            </w:tcBorders>
            <w:tcMar>
              <w:top w:w="15" w:type="dxa"/>
              <w:left w:w="15" w:type="dxa"/>
              <w:right w:w="15" w:type="dxa"/>
            </w:tcMar>
            <w:vAlign w:val="center"/>
          </w:tcPr>
          <w:p>
            <w:pPr>
              <w:widowControl/>
              <w:spacing w:line="400" w:lineRule="exact"/>
              <w:jc w:val="left"/>
              <w:textAlignment w:val="center"/>
              <w:rPr>
                <w:rFonts w:cs="宋体"/>
                <w:color w:val="121212"/>
                <w:szCs w:val="21"/>
              </w:rPr>
            </w:pPr>
            <w:r>
              <w:rPr>
                <w:rFonts w:hint="eastAsia" w:cs="宋体"/>
                <w:color w:val="121212"/>
                <w:szCs w:val="21"/>
                <w:lang w:bidi="ar"/>
              </w:rPr>
              <w:t>分管领导：            科室负责人：             考核人员：               被考核单位负责人：</w:t>
            </w:r>
          </w:p>
        </w:tc>
      </w:tr>
    </w:tbl>
    <w:p>
      <w:pPr>
        <w:sectPr>
          <w:headerReference r:id="rId4" w:type="default"/>
          <w:footerReference r:id="rId5" w:type="default"/>
          <w:pgSz w:w="16838" w:h="11906" w:orient="landscape"/>
          <w:pgMar w:top="1803" w:right="1440" w:bottom="1803" w:left="1440" w:header="851" w:footer="992" w:gutter="0"/>
          <w:cols w:space="0" w:num="1"/>
          <w:docGrid w:type="lines" w:linePitch="319" w:charSpace="0"/>
        </w:sectPr>
      </w:pPr>
      <w:r>
        <w:rPr>
          <w:rFonts w:hint="eastAsia"/>
          <w:b/>
          <w:bCs/>
          <w:color w:val="121212"/>
          <w:sz w:val="24"/>
        </w:rPr>
        <w:t>注: 本表每项考核内容分数扣完为止。</w:t>
      </w:r>
    </w:p>
    <w:p>
      <w:pPr>
        <w:spacing w:line="360" w:lineRule="auto"/>
        <w:jc w:val="center"/>
        <w:rPr>
          <w:rFonts w:ascii="黑体" w:eastAsia="黑体"/>
          <w:bCs/>
          <w:sz w:val="28"/>
          <w:szCs w:val="28"/>
        </w:rPr>
      </w:pPr>
      <w:r>
        <w:rPr>
          <w:rFonts w:hint="eastAsia" w:ascii="黑体" w:eastAsia="黑体"/>
          <w:bCs/>
          <w:sz w:val="28"/>
          <w:szCs w:val="28"/>
        </w:rPr>
        <w:t>四．</w:t>
      </w:r>
      <w:r>
        <w:rPr>
          <w:rFonts w:hint="eastAsia" w:ascii="黑体" w:hAnsi="宋体" w:eastAsia="黑体"/>
          <w:b/>
          <w:sz w:val="28"/>
          <w:szCs w:val="28"/>
        </w:rPr>
        <w:t>合同书（</w:t>
      </w:r>
      <w:r>
        <w:rPr>
          <w:rFonts w:hint="eastAsia" w:ascii="黑体" w:hAnsi="宋体" w:eastAsia="黑体"/>
          <w:sz w:val="28"/>
          <w:szCs w:val="28"/>
        </w:rPr>
        <w:t>格式文本</w:t>
      </w:r>
      <w:r>
        <w:rPr>
          <w:rFonts w:hint="eastAsia" w:ascii="黑体" w:hAnsi="宋体" w:eastAsia="黑体"/>
          <w:b/>
          <w:sz w:val="28"/>
          <w:szCs w:val="28"/>
        </w:rPr>
        <w:t>）</w:t>
      </w:r>
    </w:p>
    <w:p>
      <w:pPr>
        <w:pStyle w:val="28"/>
        <w:spacing w:line="360" w:lineRule="auto"/>
        <w:ind w:firstLine="420" w:firstLineChars="200"/>
        <w:rPr>
          <w:rFonts w:hAnsi="宋体" w:cs="宋体"/>
        </w:rPr>
      </w:pPr>
      <w:r>
        <w:rPr>
          <w:rFonts w:hint="eastAsia" w:hAnsi="宋体" w:cs="宋体"/>
        </w:rPr>
        <w:t xml:space="preserve">甲方: </w:t>
      </w:r>
      <w:r>
        <w:rPr>
          <w:rFonts w:hint="eastAsia" w:hAnsi="宋体" w:cs="宋体"/>
          <w:u w:val="single"/>
        </w:rPr>
        <w:t xml:space="preserve">                              </w:t>
      </w:r>
      <w:r>
        <w:rPr>
          <w:rFonts w:hint="eastAsia" w:hAnsi="宋体" w:cs="宋体"/>
        </w:rPr>
        <w:t xml:space="preserve"> </w:t>
      </w:r>
    </w:p>
    <w:p>
      <w:pPr>
        <w:pStyle w:val="28"/>
        <w:spacing w:line="360" w:lineRule="auto"/>
        <w:ind w:firstLine="420" w:firstLineChars="200"/>
        <w:rPr>
          <w:rFonts w:hAnsi="宋体" w:cs="宋体"/>
        </w:rPr>
      </w:pPr>
      <w:r>
        <w:rPr>
          <w:rFonts w:hint="eastAsia" w:hAnsi="宋体" w:cs="宋体"/>
        </w:rPr>
        <w:t>乙方：</w:t>
      </w:r>
      <w:r>
        <w:rPr>
          <w:rFonts w:hint="eastAsia" w:hAnsi="宋体" w:cs="宋体"/>
          <w:u w:val="single"/>
        </w:rPr>
        <w:t xml:space="preserve">                             </w:t>
      </w:r>
      <w:r>
        <w:rPr>
          <w:rFonts w:hint="eastAsia" w:hAnsi="宋体" w:cs="宋体"/>
        </w:rPr>
        <w:t xml:space="preserve">  </w:t>
      </w:r>
    </w:p>
    <w:p>
      <w:pPr>
        <w:pStyle w:val="28"/>
        <w:spacing w:line="360" w:lineRule="auto"/>
        <w:ind w:firstLine="420" w:firstLineChars="200"/>
        <w:rPr>
          <w:rFonts w:hAnsi="宋体" w:cs="宋体"/>
        </w:rPr>
      </w:pPr>
      <w:r>
        <w:rPr>
          <w:rFonts w:hint="eastAsia" w:hAnsi="宋体" w:cs="宋体"/>
        </w:rPr>
        <w:t>根据招标编号为</w:t>
      </w:r>
      <w:r>
        <w:rPr>
          <w:rFonts w:hint="eastAsia" w:hAnsi="宋体" w:cs="宋体"/>
          <w:u w:val="single"/>
        </w:rPr>
        <w:t xml:space="preserve">               </w:t>
      </w:r>
      <w:r>
        <w:rPr>
          <w:rFonts w:hint="eastAsia" w:hAnsi="宋体" w:cs="宋体"/>
        </w:rPr>
        <w:t>的</w:t>
      </w:r>
      <w:r>
        <w:rPr>
          <w:rFonts w:hint="eastAsia" w:hAnsi="宋体" w:cs="宋体"/>
          <w:u w:val="single"/>
        </w:rPr>
        <w:t xml:space="preserve">               </w:t>
      </w:r>
      <w:r>
        <w:rPr>
          <w:rFonts w:hint="eastAsia" w:hAnsi="宋体" w:cs="宋体"/>
        </w:rPr>
        <w:t>项目（以下简称：“本项目”）的招标结果，乙方为中标供应商。现经甲乙双方友好协商，就以下事项达成一致并签订本合同：</w:t>
      </w:r>
    </w:p>
    <w:p>
      <w:pPr>
        <w:pStyle w:val="28"/>
        <w:spacing w:line="360" w:lineRule="auto"/>
        <w:ind w:left="150"/>
        <w:rPr>
          <w:rFonts w:hAnsi="宋体" w:cs="宋体"/>
        </w:rPr>
      </w:pPr>
      <w:r>
        <w:rPr>
          <w:rFonts w:hint="eastAsia" w:hAnsi="宋体" w:cs="宋体"/>
        </w:rPr>
        <w:t>一、下列合同文件是构成本合同不可分割的部分：</w:t>
      </w:r>
    </w:p>
    <w:p>
      <w:pPr>
        <w:pStyle w:val="28"/>
        <w:spacing w:line="360" w:lineRule="auto"/>
        <w:ind w:firstLine="420" w:firstLineChars="200"/>
        <w:rPr>
          <w:rFonts w:hAnsi="宋体" w:cs="宋体"/>
        </w:rPr>
      </w:pPr>
      <w:r>
        <w:rPr>
          <w:rFonts w:hint="eastAsia" w:hAnsi="宋体" w:cs="宋体"/>
        </w:rPr>
        <w:t>1.合同条款；</w:t>
      </w:r>
    </w:p>
    <w:p>
      <w:pPr>
        <w:pStyle w:val="28"/>
        <w:spacing w:line="360" w:lineRule="auto"/>
        <w:ind w:firstLine="420" w:firstLineChars="200"/>
        <w:rPr>
          <w:rFonts w:hAnsi="宋体" w:cs="宋体"/>
        </w:rPr>
      </w:pPr>
      <w:r>
        <w:rPr>
          <w:rFonts w:hint="eastAsia" w:hAnsi="宋体" w:cs="宋体"/>
        </w:rPr>
        <w:t>2.采购文件、乙方的投标文件；</w:t>
      </w:r>
    </w:p>
    <w:p>
      <w:pPr>
        <w:pStyle w:val="28"/>
        <w:spacing w:line="360" w:lineRule="auto"/>
        <w:ind w:firstLine="420" w:firstLineChars="200"/>
        <w:rPr>
          <w:rFonts w:hAnsi="宋体" w:cs="宋体"/>
        </w:rPr>
      </w:pPr>
      <w:r>
        <w:rPr>
          <w:rFonts w:hint="eastAsia" w:hAnsi="宋体" w:cs="宋体"/>
        </w:rPr>
        <w:t>3.其他文件或材料：</w:t>
      </w:r>
      <w:r>
        <w:rPr>
          <w:rFonts w:hint="eastAsia" w:hAnsi="宋体" w:cs="宋体"/>
          <w:u w:val="single"/>
        </w:rPr>
        <w:t>相关标准、规范及有关技术文件，双方签订的其他补充协议</w:t>
      </w:r>
      <w:r>
        <w:rPr>
          <w:rFonts w:hint="eastAsia" w:hAnsi="宋体" w:cs="宋体"/>
        </w:rPr>
        <w:t>。</w:t>
      </w:r>
    </w:p>
    <w:p>
      <w:pPr>
        <w:pStyle w:val="28"/>
        <w:spacing w:line="360" w:lineRule="auto"/>
        <w:ind w:left="150"/>
        <w:rPr>
          <w:rFonts w:hAnsi="宋体" w:cs="宋体"/>
        </w:rPr>
      </w:pPr>
      <w:r>
        <w:rPr>
          <w:rFonts w:hint="eastAsia" w:hAnsi="宋体" w:cs="宋体"/>
        </w:rPr>
        <w:t>二、合同标的</w:t>
      </w:r>
    </w:p>
    <w:p>
      <w:pPr>
        <w:pStyle w:val="28"/>
        <w:spacing w:line="360" w:lineRule="auto"/>
        <w:ind w:firstLine="420" w:firstLineChars="200"/>
        <w:rPr>
          <w:rFonts w:hAnsi="宋体" w:cs="宋体"/>
        </w:rPr>
      </w:pPr>
      <w:r>
        <w:rPr>
          <w:rFonts w:hint="eastAsia" w:hAnsi="宋体" w:cs="宋体"/>
        </w:rPr>
        <w:t>测评内容和比例：参见招标书。</w:t>
      </w:r>
    </w:p>
    <w:p>
      <w:pPr>
        <w:pStyle w:val="28"/>
        <w:spacing w:line="360" w:lineRule="auto"/>
        <w:ind w:left="150"/>
        <w:rPr>
          <w:rFonts w:hAnsi="宋体" w:cs="宋体"/>
        </w:rPr>
      </w:pPr>
      <w:r>
        <w:rPr>
          <w:rFonts w:hint="eastAsia" w:hAnsi="宋体" w:cs="宋体"/>
        </w:rPr>
        <w:t>三、合同总金额</w:t>
      </w:r>
    </w:p>
    <w:p>
      <w:pPr>
        <w:adjustRightInd w:val="0"/>
        <w:snapToGrid w:val="0"/>
        <w:spacing w:line="360" w:lineRule="auto"/>
        <w:ind w:firstLine="420"/>
        <w:rPr>
          <w:rFonts w:hAnsi="宋体" w:cs="宋体"/>
          <w:szCs w:val="21"/>
        </w:rPr>
      </w:pPr>
      <w:r>
        <w:rPr>
          <w:rFonts w:hint="eastAsia" w:hAnsi="宋体" w:cs="宋体"/>
          <w:szCs w:val="21"/>
        </w:rPr>
        <w:t>1.合同总金额为人民币大写：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adjustRightInd w:val="0"/>
        <w:snapToGrid w:val="0"/>
        <w:spacing w:line="360" w:lineRule="auto"/>
        <w:ind w:firstLine="630" w:firstLineChars="300"/>
        <w:rPr>
          <w:rFonts w:hAnsi="宋体" w:cs="宋体"/>
          <w:szCs w:val="21"/>
        </w:rPr>
      </w:pPr>
      <w:r>
        <w:rPr>
          <w:rFonts w:hint="eastAsia" w:hAnsi="宋体" w:cs="宋体"/>
          <w:szCs w:val="21"/>
        </w:rPr>
        <w:t>合同当年金额为人民币大写：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合同总价包括完成本项工作所需的技术服务费、材料、机械、仓储、管理、维护、保险、检测、验收、维护及相关劳务支出所发生的全部费用以及投标供应商企业利润、税金和政策性文件规定及合同包含的所有风险、责任等各项应有费用。投标供应商自行承担项目实施过程中的各项风险、安全责任。）</w:t>
      </w:r>
    </w:p>
    <w:p>
      <w:pPr>
        <w:adjustRightInd w:val="0"/>
        <w:snapToGrid w:val="0"/>
        <w:spacing w:line="360" w:lineRule="auto"/>
        <w:ind w:firstLine="420"/>
        <w:rPr>
          <w:rFonts w:hAnsi="宋体" w:cs="宋体"/>
          <w:szCs w:val="21"/>
        </w:rPr>
      </w:pPr>
      <w:r>
        <w:rPr>
          <w:rFonts w:hint="eastAsia" w:hAnsi="宋体" w:cs="宋体"/>
          <w:szCs w:val="21"/>
        </w:rPr>
        <w:t>2.服务项目经费具体支付方式和时间如下：</w:t>
      </w:r>
    </w:p>
    <w:p>
      <w:pPr>
        <w:pStyle w:val="28"/>
        <w:spacing w:line="360" w:lineRule="auto"/>
        <w:ind w:firstLine="420" w:firstLineChars="200"/>
        <w:rPr>
          <w:rFonts w:hAnsi="宋体" w:cs="宋体"/>
          <w:u w:val="single"/>
        </w:rPr>
      </w:pPr>
      <w:r>
        <w:rPr>
          <w:rFonts w:hint="eastAsia" w:hAnsi="宋体" w:cs="宋体"/>
          <w:u w:val="single"/>
        </w:rPr>
        <w:t>（1） 合同成立后，甲方向乙方预付单年合同价款的10%，余款甲方向乙方按季度支付服务费，每个季度支付服务费单年总金额的20%，余款（单年合同价款的10%）年度考核满足甲方要求后付清。</w:t>
      </w:r>
    </w:p>
    <w:p>
      <w:pPr>
        <w:pStyle w:val="28"/>
        <w:spacing w:line="360" w:lineRule="auto"/>
        <w:ind w:firstLine="420" w:firstLineChars="200"/>
        <w:rPr>
          <w:rFonts w:hAnsi="宋体" w:cs="宋体"/>
        </w:rPr>
      </w:pPr>
      <w:r>
        <w:rPr>
          <w:rFonts w:hint="eastAsia" w:hAnsi="宋体" w:cs="宋体"/>
        </w:rPr>
        <w:t>（2）</w:t>
      </w:r>
      <w:r>
        <w:rPr>
          <w:rFonts w:hint="eastAsia" w:hAnsi="宋体" w:cs="宋体"/>
          <w:u w:val="single"/>
        </w:rPr>
        <w:t>付款时乙方须提供等额的税务发票</w:t>
      </w:r>
      <w:r>
        <w:rPr>
          <w:rFonts w:hint="eastAsia" w:hAnsi="宋体" w:cs="宋体"/>
        </w:rPr>
        <w:t>。</w:t>
      </w:r>
    </w:p>
    <w:p>
      <w:pPr>
        <w:pStyle w:val="28"/>
        <w:spacing w:line="360" w:lineRule="auto"/>
        <w:ind w:firstLine="420" w:firstLineChars="200"/>
        <w:rPr>
          <w:rFonts w:hAnsi="宋体" w:cs="宋体"/>
        </w:rPr>
      </w:pPr>
      <w:r>
        <w:rPr>
          <w:rFonts w:hint="eastAsia" w:hAnsi="宋体" w:cs="宋体"/>
        </w:rPr>
        <w:t>3.支付方式：转账</w:t>
      </w:r>
    </w:p>
    <w:p>
      <w:pPr>
        <w:pStyle w:val="28"/>
        <w:spacing w:line="360" w:lineRule="auto"/>
        <w:ind w:left="150"/>
        <w:rPr>
          <w:rFonts w:hAnsi="宋体" w:cs="宋体"/>
        </w:rPr>
      </w:pPr>
      <w:r>
        <w:rPr>
          <w:rFonts w:hint="eastAsia" w:hAnsi="宋体" w:cs="宋体"/>
        </w:rPr>
        <w:t>四、合同标的交付时间、要求</w:t>
      </w:r>
    </w:p>
    <w:p>
      <w:pPr>
        <w:pStyle w:val="28"/>
        <w:spacing w:line="360" w:lineRule="auto"/>
        <w:rPr>
          <w:rFonts w:hAnsi="宋体" w:cs="宋体"/>
        </w:rPr>
      </w:pPr>
      <w:r>
        <w:rPr>
          <w:rFonts w:hint="eastAsia" w:hAnsi="宋体" w:cs="宋体"/>
        </w:rPr>
        <w:t xml:space="preserve">    1.交付时间：</w:t>
      </w:r>
      <w:r>
        <w:rPr>
          <w:rFonts w:hint="eastAsia" w:hAnsi="宋体" w:cs="宋体"/>
          <w:u w:val="single"/>
        </w:rPr>
        <w:t xml:space="preserve">合同期内，按周进行计划分解和检查安排，按季度提交测评报告，首期测评报告需在合同签订后（40）天内提交； </w:t>
      </w:r>
      <w:r>
        <w:rPr>
          <w:rFonts w:hint="eastAsia" w:hAnsi="宋体" w:cs="宋体"/>
        </w:rPr>
        <w:t xml:space="preserve">                                             </w:t>
      </w:r>
    </w:p>
    <w:p>
      <w:pPr>
        <w:pStyle w:val="28"/>
        <w:spacing w:line="360" w:lineRule="auto"/>
        <w:ind w:firstLine="420" w:firstLineChars="200"/>
        <w:rPr>
          <w:rFonts w:hAnsi="宋体" w:cs="宋体"/>
        </w:rPr>
      </w:pPr>
      <w:r>
        <w:rPr>
          <w:rFonts w:hint="eastAsia" w:hAnsi="宋体" w:cs="宋体"/>
        </w:rPr>
        <w:t>2.交付要求：</w:t>
      </w:r>
      <w:r>
        <w:rPr>
          <w:rFonts w:hint="eastAsia" w:hAnsi="宋体" w:cs="宋体"/>
          <w:u w:val="single"/>
        </w:rPr>
        <w:t xml:space="preserve">  按甲方考核表要求 （详见附表一） 。</w:t>
      </w:r>
      <w:r>
        <w:rPr>
          <w:rFonts w:hint="eastAsia" w:hAnsi="宋体" w:cs="宋体"/>
        </w:rPr>
        <w:t xml:space="preserve">    </w:t>
      </w:r>
    </w:p>
    <w:p>
      <w:pPr>
        <w:pStyle w:val="28"/>
        <w:spacing w:line="360" w:lineRule="auto"/>
        <w:ind w:firstLine="210" w:firstLineChars="100"/>
        <w:rPr>
          <w:rFonts w:hAnsi="宋体" w:cs="宋体"/>
          <w:u w:val="single"/>
        </w:rPr>
      </w:pPr>
      <w:r>
        <w:rPr>
          <w:rFonts w:hint="eastAsia" w:hAnsi="宋体" w:cs="宋体"/>
        </w:rPr>
        <w:t>五、合同标的应符合采购文件、乙方投标文件的规定或约定，具体如下：</w:t>
      </w:r>
    </w:p>
    <w:p>
      <w:pPr>
        <w:pStyle w:val="28"/>
        <w:spacing w:line="360" w:lineRule="auto"/>
        <w:ind w:firstLine="420" w:firstLineChars="200"/>
        <w:rPr>
          <w:rFonts w:hAnsi="宋体" w:cs="宋体"/>
        </w:rPr>
      </w:pPr>
      <w:r>
        <w:rPr>
          <w:rFonts w:hint="eastAsia" w:hAnsi="宋体" w:cs="宋体"/>
        </w:rPr>
        <w:t>1.乙方应根据本项目的要求，提供切实可行的实施方案、人员配备和培训计划，并承诺其方案将根据甲方的实际需要进行完善和补充，不得追加任何费用；</w:t>
      </w:r>
    </w:p>
    <w:p>
      <w:pPr>
        <w:pStyle w:val="28"/>
        <w:spacing w:line="360" w:lineRule="auto"/>
        <w:ind w:firstLine="420" w:firstLineChars="200"/>
        <w:rPr>
          <w:rFonts w:hAnsi="宋体" w:cs="宋体"/>
        </w:rPr>
      </w:pPr>
      <w:r>
        <w:rPr>
          <w:rFonts w:hint="eastAsia" w:hAnsi="宋体" w:cs="宋体"/>
        </w:rPr>
        <w:t>2.乙方须提供项目实施工作计划，经甲方同意后，严格执行，如果遇到问题，由乙方提出项目变更说明，经甲方确定后，修改计划，乙方必须进行项目跟踪和报告，提交项目交付文件，配合甲方组织项目验收；</w:t>
      </w:r>
    </w:p>
    <w:p>
      <w:pPr>
        <w:pStyle w:val="28"/>
        <w:spacing w:line="360" w:lineRule="auto"/>
        <w:ind w:firstLine="420" w:firstLineChars="200"/>
        <w:rPr>
          <w:rFonts w:hAnsi="宋体" w:cs="宋体"/>
        </w:rPr>
      </w:pPr>
      <w:r>
        <w:rPr>
          <w:rFonts w:hint="eastAsia" w:hAnsi="宋体" w:cs="宋体"/>
        </w:rPr>
        <w:t>3.乙方团队配置：</w:t>
      </w:r>
    </w:p>
    <w:p>
      <w:pPr>
        <w:pStyle w:val="28"/>
        <w:spacing w:line="360" w:lineRule="auto"/>
        <w:ind w:firstLine="420" w:firstLineChars="200"/>
        <w:rPr>
          <w:rFonts w:hAnsi="宋体" w:cs="宋体"/>
        </w:rPr>
      </w:pPr>
      <w:r>
        <w:rPr>
          <w:rFonts w:hint="eastAsia" w:hAnsi="宋体" w:cs="宋体"/>
        </w:rPr>
        <w:t>3.1人员配置</w:t>
      </w:r>
    </w:p>
    <w:p>
      <w:pPr>
        <w:pStyle w:val="28"/>
        <w:spacing w:line="360" w:lineRule="auto"/>
        <w:ind w:firstLine="420" w:firstLineChars="200"/>
        <w:rPr>
          <w:rFonts w:hAnsi="宋体" w:cs="宋体"/>
        </w:rPr>
      </w:pPr>
      <w:r>
        <w:rPr>
          <w:rFonts w:hint="eastAsia" w:hAnsi="宋体" w:cs="宋体"/>
        </w:rPr>
        <w:t>3.1.1现场</w:t>
      </w:r>
      <w:r>
        <w:rPr>
          <w:rFonts w:hint="eastAsia" w:hAnsi="宋体" w:cs="宋体"/>
          <w:color w:val="auto"/>
        </w:rPr>
        <w:t>测评人</w:t>
      </w:r>
      <w:r>
        <w:rPr>
          <w:rFonts w:hint="eastAsia" w:hAnsi="宋体" w:cs="宋体"/>
        </w:rPr>
        <w:t>员考虑设计</w:t>
      </w:r>
      <w:r>
        <w:rPr>
          <w:rFonts w:hint="eastAsia" w:hAnsi="宋体" w:cs="宋体"/>
          <w:u w:val="single"/>
        </w:rPr>
        <w:t xml:space="preserve">     </w:t>
      </w:r>
      <w:r>
        <w:rPr>
          <w:rFonts w:hint="eastAsia" w:hAnsi="宋体" w:cs="宋体"/>
        </w:rPr>
        <w:t>人，其中包括项目经理、数据统计人员、测评组长、测评员等组成的测评团队；</w:t>
      </w:r>
    </w:p>
    <w:p>
      <w:pPr>
        <w:widowControl/>
        <w:spacing w:line="360" w:lineRule="auto"/>
        <w:ind w:firstLine="420" w:firstLineChars="200"/>
        <w:jc w:val="left"/>
        <w:rPr>
          <w:rFonts w:hAnsi="宋体" w:cs="宋体"/>
        </w:rPr>
      </w:pPr>
      <w:r>
        <w:rPr>
          <w:rFonts w:hint="eastAsia" w:ascii="宋体" w:hAnsi="宋体" w:cs="宋体"/>
          <w:szCs w:val="21"/>
        </w:rPr>
        <w:t>3.1.2综合咨询组考虑设计</w:t>
      </w:r>
      <w:r>
        <w:rPr>
          <w:rFonts w:hint="eastAsia" w:hAnsi="宋体" w:cs="宋体"/>
          <w:u w:val="single"/>
        </w:rPr>
        <w:t xml:space="preserve">     </w:t>
      </w:r>
      <w:r>
        <w:rPr>
          <w:rFonts w:hint="eastAsia" w:hAnsi="宋体" w:cs="宋体"/>
        </w:rPr>
        <w:t>人，其中包括</w:t>
      </w:r>
      <w:r>
        <w:rPr>
          <w:rFonts w:hint="eastAsia" w:ascii="宋体" w:hAnsi="宋体" w:cs="宋体"/>
          <w:szCs w:val="21"/>
        </w:rPr>
        <w:t>环保、环卫、安全、法律等专业人员组成的咨询团队。</w:t>
      </w:r>
    </w:p>
    <w:p>
      <w:pPr>
        <w:pStyle w:val="28"/>
        <w:spacing w:line="360" w:lineRule="auto"/>
        <w:ind w:firstLine="420" w:firstLineChars="200"/>
        <w:rPr>
          <w:rFonts w:hAnsi="宋体" w:cs="宋体"/>
        </w:rPr>
      </w:pPr>
      <w:r>
        <w:rPr>
          <w:rFonts w:hint="eastAsia" w:hAnsi="宋体" w:cs="宋体"/>
        </w:rPr>
        <w:t>3.2设备配置</w:t>
      </w:r>
    </w:p>
    <w:p>
      <w:pPr>
        <w:pStyle w:val="28"/>
        <w:spacing w:line="360" w:lineRule="auto"/>
        <w:ind w:firstLine="420" w:firstLineChars="200"/>
        <w:rPr>
          <w:rFonts w:hAnsi="宋体" w:cs="宋体"/>
          <w:u w:val="single"/>
        </w:rPr>
      </w:pPr>
      <w:r>
        <w:rPr>
          <w:rFonts w:hint="eastAsia" w:hAnsi="宋体" w:cs="宋体"/>
        </w:rPr>
        <w:t>乙方将为本项目投入充足的资源配置，确保项目顺利完成，其中包括测评终端</w:t>
      </w:r>
      <w:r>
        <w:rPr>
          <w:rFonts w:hint="eastAsia" w:hAnsi="宋体" w:cs="宋体"/>
          <w:u w:val="single"/>
        </w:rPr>
        <w:t xml:space="preserve">     </w:t>
      </w:r>
      <w:r>
        <w:rPr>
          <w:rFonts w:hint="eastAsia" w:hAnsi="宋体" w:cs="宋体"/>
        </w:rPr>
        <w:t>台以上，办公电脑</w:t>
      </w:r>
      <w:r>
        <w:rPr>
          <w:rFonts w:hint="eastAsia" w:hAnsi="宋体" w:cs="宋体"/>
          <w:u w:val="single"/>
        </w:rPr>
        <w:t xml:space="preserve">     </w:t>
      </w:r>
      <w:r>
        <w:rPr>
          <w:rFonts w:hint="eastAsia" w:hAnsi="宋体" w:cs="宋体"/>
        </w:rPr>
        <w:t>台以上，巡查车辆投入</w:t>
      </w:r>
      <w:r>
        <w:rPr>
          <w:rFonts w:hint="eastAsia" w:hAnsi="宋体" w:cs="宋体"/>
          <w:u w:val="single"/>
        </w:rPr>
        <w:t xml:space="preserve">    </w:t>
      </w:r>
      <w:r>
        <w:rPr>
          <w:rFonts w:hint="eastAsia" w:hAnsi="宋体" w:cs="宋体"/>
        </w:rPr>
        <w:t>台以上（包括公司自购、租赁等不同形式投入）。</w:t>
      </w:r>
    </w:p>
    <w:p>
      <w:pPr>
        <w:pStyle w:val="28"/>
        <w:spacing w:line="360" w:lineRule="auto"/>
        <w:ind w:firstLine="210" w:firstLineChars="100"/>
        <w:rPr>
          <w:rFonts w:hAnsi="宋体" w:cs="宋体"/>
        </w:rPr>
      </w:pPr>
      <w:r>
        <w:rPr>
          <w:rFonts w:hint="eastAsia" w:hAnsi="宋体" w:cs="宋体"/>
        </w:rPr>
        <w:t>六、履行的期限、地点</w:t>
      </w:r>
    </w:p>
    <w:p>
      <w:pPr>
        <w:pStyle w:val="28"/>
        <w:spacing w:line="360" w:lineRule="auto"/>
        <w:ind w:firstLine="420" w:firstLineChars="200"/>
        <w:rPr>
          <w:rFonts w:hAnsi="宋体" w:cs="宋体"/>
        </w:rPr>
      </w:pPr>
      <w:r>
        <w:rPr>
          <w:rFonts w:hint="eastAsia" w:hAnsi="宋体" w:cs="宋体"/>
        </w:rPr>
        <w:t>1.履行期限：</w:t>
      </w:r>
      <w:r>
        <w:rPr>
          <w:rFonts w:hint="eastAsia" w:hAnsi="宋体" w:cs="宋体"/>
          <w:color w:val="000000"/>
        </w:rPr>
        <w:t>叁年，合同一年一签</w:t>
      </w:r>
      <w:r>
        <w:rPr>
          <w:rFonts w:hint="eastAsia" w:hAnsi="宋体" w:cs="宋体"/>
        </w:rPr>
        <w:t>；</w:t>
      </w:r>
    </w:p>
    <w:p>
      <w:pPr>
        <w:pStyle w:val="28"/>
        <w:spacing w:line="360" w:lineRule="auto"/>
        <w:ind w:firstLine="420" w:firstLineChars="200"/>
        <w:rPr>
          <w:rFonts w:hAnsi="宋体" w:cs="宋体"/>
        </w:rPr>
      </w:pPr>
      <w:r>
        <w:rPr>
          <w:rFonts w:hint="eastAsia" w:hAnsi="宋体" w:cs="宋体"/>
        </w:rPr>
        <w:t>2.履行</w:t>
      </w:r>
      <w:r>
        <w:rPr>
          <w:rFonts w:hint="eastAsia" w:hAnsi="宋体" w:cs="宋体"/>
          <w:color w:val="auto"/>
        </w:rPr>
        <w:t>地点：无锡市（包括</w:t>
      </w:r>
      <w:r>
        <w:rPr>
          <w:rFonts w:hAnsi="宋体" w:cs="宋体"/>
          <w:color w:val="auto"/>
        </w:rPr>
        <w:t>江阴、宜兴市</w:t>
      </w:r>
      <w:r>
        <w:rPr>
          <w:rFonts w:hint="eastAsia" w:hAnsi="宋体" w:cs="宋体"/>
          <w:color w:val="auto"/>
        </w:rPr>
        <w:t>）。</w:t>
      </w:r>
    </w:p>
    <w:p>
      <w:pPr>
        <w:pStyle w:val="28"/>
        <w:spacing w:line="360" w:lineRule="auto"/>
        <w:ind w:firstLine="210" w:firstLineChars="100"/>
        <w:rPr>
          <w:rFonts w:hAnsi="宋体" w:cs="宋体"/>
        </w:rPr>
      </w:pPr>
      <w:r>
        <w:rPr>
          <w:rFonts w:hint="eastAsia" w:hAnsi="宋体" w:cs="宋体"/>
        </w:rPr>
        <w:t>七、技术情报和资料的保密</w:t>
      </w:r>
    </w:p>
    <w:p>
      <w:pPr>
        <w:snapToGrid w:val="0"/>
        <w:spacing w:line="360" w:lineRule="auto"/>
        <w:ind w:firstLine="210" w:firstLineChars="100"/>
        <w:rPr>
          <w:rFonts w:hAnsi="宋体" w:cs="宋体"/>
          <w:szCs w:val="21"/>
        </w:rPr>
      </w:pPr>
      <w:r>
        <w:rPr>
          <w:rFonts w:hint="eastAsia" w:hAnsi="宋体" w:cs="宋体"/>
          <w:szCs w:val="21"/>
        </w:rPr>
        <w:t>乙方对第三方生活垃圾测评内容予以保密。</w:t>
      </w:r>
    </w:p>
    <w:p>
      <w:pPr>
        <w:pStyle w:val="28"/>
        <w:spacing w:line="360" w:lineRule="auto"/>
        <w:ind w:firstLine="210" w:firstLineChars="100"/>
        <w:rPr>
          <w:rFonts w:hAnsi="宋体" w:cs="宋体"/>
        </w:rPr>
      </w:pPr>
      <w:r>
        <w:rPr>
          <w:rFonts w:hint="eastAsia" w:hAnsi="宋体" w:cs="宋体"/>
        </w:rPr>
        <w:t>八、风险责任的承担</w:t>
      </w:r>
    </w:p>
    <w:p>
      <w:pPr>
        <w:pStyle w:val="28"/>
        <w:spacing w:line="360" w:lineRule="auto"/>
        <w:ind w:firstLine="210" w:firstLineChars="100"/>
        <w:rPr>
          <w:rFonts w:hAnsi="宋体" w:cs="宋体"/>
        </w:rPr>
      </w:pPr>
      <w:r>
        <w:rPr>
          <w:rFonts w:hint="eastAsia" w:hAnsi="宋体" w:cs="宋体"/>
        </w:rPr>
        <w:t>技术开发、研究成果的正确性由乙方负责。</w:t>
      </w:r>
    </w:p>
    <w:p>
      <w:pPr>
        <w:pStyle w:val="28"/>
        <w:spacing w:line="360" w:lineRule="auto"/>
        <w:ind w:firstLine="210" w:firstLineChars="100"/>
        <w:rPr>
          <w:rFonts w:hAnsi="宋体" w:cs="宋体"/>
        </w:rPr>
      </w:pPr>
      <w:r>
        <w:rPr>
          <w:rFonts w:hint="eastAsia" w:hAnsi="宋体" w:cs="宋体"/>
        </w:rPr>
        <w:t>九、技术成果的归属和分享</w:t>
      </w:r>
    </w:p>
    <w:p>
      <w:pPr>
        <w:snapToGrid w:val="0"/>
        <w:spacing w:line="360" w:lineRule="auto"/>
        <w:ind w:firstLine="210" w:firstLineChars="100"/>
        <w:rPr>
          <w:rFonts w:hAnsi="宋体" w:cs="宋体"/>
          <w:szCs w:val="21"/>
        </w:rPr>
      </w:pPr>
      <w:r>
        <w:rPr>
          <w:rFonts w:hint="eastAsia" w:hAnsi="宋体" w:cs="宋体"/>
          <w:szCs w:val="21"/>
        </w:rPr>
        <w:t>研究成果权归甲方所有。</w:t>
      </w:r>
    </w:p>
    <w:p>
      <w:pPr>
        <w:snapToGrid w:val="0"/>
        <w:spacing w:line="360" w:lineRule="auto"/>
        <w:ind w:firstLine="210" w:firstLineChars="100"/>
        <w:rPr>
          <w:rFonts w:hAnsi="宋体" w:cs="宋体"/>
          <w:szCs w:val="21"/>
        </w:rPr>
      </w:pPr>
      <w:r>
        <w:rPr>
          <w:rFonts w:hint="eastAsia" w:hAnsi="宋体" w:cs="宋体"/>
          <w:szCs w:val="21"/>
        </w:rPr>
        <w:t>十、验收的标准和方法</w:t>
      </w:r>
    </w:p>
    <w:p>
      <w:pPr>
        <w:spacing w:line="360" w:lineRule="auto"/>
        <w:ind w:firstLine="210" w:firstLineChars="100"/>
        <w:jc w:val="left"/>
        <w:rPr>
          <w:rFonts w:hAnsi="宋体" w:cs="宋体"/>
          <w:color w:val="auto"/>
          <w:szCs w:val="21"/>
        </w:rPr>
      </w:pPr>
      <w:r>
        <w:rPr>
          <w:rFonts w:hint="eastAsia" w:hAnsi="宋体" w:cs="宋体"/>
          <w:color w:val="auto"/>
          <w:szCs w:val="21"/>
        </w:rPr>
        <w:t>《无锡市城市管理局第三方生活垃圾分类测评机构考核管理办法》。</w:t>
      </w:r>
    </w:p>
    <w:p>
      <w:pPr>
        <w:pStyle w:val="28"/>
        <w:spacing w:line="360" w:lineRule="auto"/>
        <w:ind w:firstLine="210" w:firstLineChars="100"/>
        <w:rPr>
          <w:rFonts w:hAnsi="宋体" w:cs="宋体"/>
        </w:rPr>
      </w:pPr>
      <w:r>
        <w:rPr>
          <w:rFonts w:hint="eastAsia" w:hAnsi="宋体" w:cs="宋体"/>
        </w:rPr>
        <w:t>十一、违约责任</w:t>
      </w:r>
    </w:p>
    <w:p>
      <w:pPr>
        <w:pStyle w:val="28"/>
        <w:spacing w:line="360" w:lineRule="auto"/>
        <w:ind w:firstLine="210" w:firstLineChars="100"/>
        <w:rPr>
          <w:rFonts w:hAnsi="宋体" w:cs="宋体"/>
        </w:rPr>
      </w:pPr>
      <w:r>
        <w:rPr>
          <w:rFonts w:hint="eastAsia" w:hAnsi="宋体" w:cs="宋体"/>
        </w:rPr>
        <w:t>1.按《经济合同法》中违约有关条款处理。甲方违约，要承担相应的责任。违约金占合同额5‰。因乙方原因发生延误，成果质量不符合本合同第四条所规定的质量要求，均属乙方违约，应承担违约责任，乙方应自行返工并承担延误的责任。违约金占合同额5‰；</w:t>
      </w:r>
    </w:p>
    <w:p>
      <w:pPr>
        <w:pStyle w:val="28"/>
        <w:spacing w:line="360" w:lineRule="auto"/>
        <w:ind w:firstLine="210" w:firstLineChars="100"/>
        <w:rPr>
          <w:rFonts w:hAnsi="宋体" w:cs="宋体"/>
        </w:rPr>
      </w:pPr>
      <w:r>
        <w:rPr>
          <w:rFonts w:hint="eastAsia" w:hAnsi="宋体" w:cs="宋体"/>
        </w:rPr>
        <w:t>2.乙方不能按时提供服务或服务不合格从而影响甲方按期正常使用的，甲方有权解除合同，乙方向甲方赔偿合同总价款5‰的违约金；</w:t>
      </w:r>
    </w:p>
    <w:p>
      <w:pPr>
        <w:pStyle w:val="28"/>
        <w:spacing w:line="360" w:lineRule="auto"/>
        <w:ind w:firstLine="210" w:firstLineChars="100"/>
        <w:rPr>
          <w:rFonts w:hAnsi="宋体" w:cs="宋体"/>
        </w:rPr>
      </w:pPr>
      <w:r>
        <w:rPr>
          <w:rFonts w:hint="eastAsia" w:hAnsi="宋体" w:cs="宋体"/>
        </w:rPr>
        <w:t>3.乙方逾期提供服务的，应与甲方和协商，甲方仍需求的，乙方应按照合同价款总额的万分之四/每天支付逾期服务违约金。</w:t>
      </w:r>
    </w:p>
    <w:p>
      <w:pPr>
        <w:pStyle w:val="28"/>
        <w:spacing w:line="360" w:lineRule="auto"/>
        <w:ind w:firstLine="210" w:firstLineChars="100"/>
        <w:rPr>
          <w:rFonts w:hAnsi="宋体" w:cs="宋体"/>
        </w:rPr>
      </w:pPr>
      <w:r>
        <w:rPr>
          <w:rFonts w:hint="eastAsia" w:hAnsi="宋体" w:cs="宋体"/>
        </w:rPr>
        <w:t>十二、不可抗力</w:t>
      </w:r>
    </w:p>
    <w:p>
      <w:pPr>
        <w:pStyle w:val="28"/>
        <w:spacing w:line="360" w:lineRule="auto"/>
        <w:ind w:firstLine="210" w:firstLineChars="100"/>
        <w:rPr>
          <w:rFonts w:hAnsi="宋体" w:cs="宋体"/>
        </w:rPr>
      </w:pPr>
      <w:r>
        <w:rPr>
          <w:rFonts w:hint="eastAsia" w:hAnsi="宋体" w:cs="宋体"/>
        </w:rPr>
        <w:t>1.因不可抗力不能履行合同的，根据不可抗力的影响，部分或者全部免除责任。但合同一方延迟履行后发生不可抗力的，不能免除责任；</w:t>
      </w:r>
    </w:p>
    <w:p>
      <w:pPr>
        <w:pStyle w:val="28"/>
        <w:spacing w:line="360" w:lineRule="auto"/>
        <w:ind w:firstLine="210" w:firstLineChars="100"/>
        <w:rPr>
          <w:rFonts w:hAnsi="宋体" w:cs="宋体"/>
        </w:rPr>
      </w:pPr>
      <w:r>
        <w:rPr>
          <w:rFonts w:hint="eastAsia" w:hAnsi="宋体" w:cs="宋体"/>
        </w:rPr>
        <w:t>2.合同一方因不可抗力不能履行合同的，应及时通知对方，以减轻可能给对方造成的损失，并应当在合理期限内提供证明。</w:t>
      </w:r>
    </w:p>
    <w:p>
      <w:pPr>
        <w:pStyle w:val="28"/>
        <w:spacing w:line="360" w:lineRule="auto"/>
        <w:ind w:firstLine="210" w:firstLineChars="100"/>
        <w:rPr>
          <w:rFonts w:hAnsi="宋体" w:cs="宋体"/>
        </w:rPr>
      </w:pPr>
      <w:r>
        <w:rPr>
          <w:rFonts w:hint="eastAsia" w:hAnsi="宋体" w:cs="宋体"/>
        </w:rPr>
        <w:t>十三、合同修改</w:t>
      </w:r>
    </w:p>
    <w:p>
      <w:pPr>
        <w:pStyle w:val="28"/>
        <w:spacing w:line="360" w:lineRule="auto"/>
        <w:ind w:firstLine="210" w:firstLineChars="100"/>
        <w:rPr>
          <w:rFonts w:hAnsi="宋体" w:cs="宋体"/>
        </w:rPr>
      </w:pPr>
      <w:r>
        <w:rPr>
          <w:rFonts w:hint="eastAsia" w:hAnsi="宋体" w:cs="宋体"/>
        </w:rPr>
        <w:t xml:space="preserve">  甲方和乙方都不得擅自变更本合同，但合同继续履行将损害国家和社会公共利益的除外。如必须对合同条款进行改动时，当事人双方须共同签署书面文件，做为合同的补充，并报同级政府采购监督管理部门备案。</w:t>
      </w:r>
    </w:p>
    <w:p>
      <w:pPr>
        <w:pStyle w:val="28"/>
        <w:spacing w:line="360" w:lineRule="auto"/>
        <w:ind w:firstLine="210" w:firstLineChars="100"/>
        <w:rPr>
          <w:rFonts w:hAnsi="宋体" w:cs="宋体"/>
        </w:rPr>
      </w:pPr>
      <w:r>
        <w:rPr>
          <w:rFonts w:hint="eastAsia" w:hAnsi="宋体" w:cs="宋体"/>
        </w:rPr>
        <w:t>十四、转让和分包</w:t>
      </w:r>
    </w:p>
    <w:p>
      <w:pPr>
        <w:pStyle w:val="28"/>
        <w:spacing w:line="360" w:lineRule="auto"/>
        <w:ind w:firstLine="210" w:firstLineChars="100"/>
        <w:rPr>
          <w:rFonts w:hAnsi="宋体" w:cs="宋体"/>
        </w:rPr>
      </w:pPr>
      <w:r>
        <w:rPr>
          <w:rFonts w:hint="eastAsia" w:hAnsi="宋体" w:cs="宋体"/>
        </w:rPr>
        <w:t>1.政府采购合同的部分和全部都不得转让；</w:t>
      </w:r>
    </w:p>
    <w:p>
      <w:pPr>
        <w:pStyle w:val="28"/>
        <w:spacing w:line="360" w:lineRule="auto"/>
        <w:ind w:firstLine="210" w:firstLineChars="100"/>
        <w:rPr>
          <w:rFonts w:hAnsi="宋体" w:cs="宋体"/>
        </w:rPr>
      </w:pPr>
      <w:r>
        <w:rPr>
          <w:rFonts w:hint="eastAsia" w:hAnsi="宋体" w:cs="宋体"/>
        </w:rPr>
        <w:t>2.乙方不得擅自部分或全部转让其应履行的合同义务；乙方擅自转让的，甲方有权解除合同，乙方并按照合同金额的10%支付违约金。</w:t>
      </w:r>
    </w:p>
    <w:p>
      <w:pPr>
        <w:pStyle w:val="28"/>
        <w:spacing w:line="360" w:lineRule="auto"/>
        <w:ind w:firstLine="210" w:firstLineChars="100"/>
        <w:rPr>
          <w:rFonts w:hAnsi="宋体" w:cs="宋体"/>
        </w:rPr>
      </w:pPr>
      <w:r>
        <w:rPr>
          <w:rFonts w:hint="eastAsia" w:hAnsi="宋体" w:cs="宋体"/>
        </w:rPr>
        <w:t>十五、合同的解除</w:t>
      </w:r>
    </w:p>
    <w:p>
      <w:pPr>
        <w:pStyle w:val="28"/>
        <w:spacing w:line="360" w:lineRule="auto"/>
        <w:ind w:firstLine="210" w:firstLineChars="100"/>
        <w:rPr>
          <w:rFonts w:hAnsi="宋体" w:cs="宋体"/>
          <w:color w:val="auto"/>
        </w:rPr>
      </w:pPr>
      <w:r>
        <w:rPr>
          <w:rFonts w:hint="eastAsia" w:hAnsi="宋体" w:cs="宋体"/>
          <w:color w:val="auto"/>
        </w:rPr>
        <w:t>1.甲方和乙方协商一致，可以解除合同；</w:t>
      </w:r>
    </w:p>
    <w:p>
      <w:pPr>
        <w:pStyle w:val="28"/>
        <w:spacing w:line="360" w:lineRule="auto"/>
        <w:ind w:firstLine="210" w:firstLineChars="100"/>
        <w:rPr>
          <w:rFonts w:hAnsi="宋体" w:cs="宋体"/>
          <w:color w:val="auto"/>
        </w:rPr>
      </w:pPr>
      <w:r>
        <w:rPr>
          <w:rFonts w:hint="eastAsia" w:hAnsi="宋体" w:cs="宋体"/>
          <w:color w:val="auto"/>
        </w:rPr>
        <w:t>2.有下列情形之一，合同一方可以解除合同；</w:t>
      </w:r>
    </w:p>
    <w:p>
      <w:pPr>
        <w:pStyle w:val="28"/>
        <w:spacing w:line="360" w:lineRule="auto"/>
        <w:ind w:firstLine="210" w:firstLineChars="100"/>
        <w:rPr>
          <w:rFonts w:hAnsi="宋体" w:cs="宋体"/>
          <w:color w:val="auto"/>
        </w:rPr>
      </w:pPr>
      <w:r>
        <w:rPr>
          <w:rFonts w:hAnsi="宋体" w:cs="宋体"/>
          <w:color w:val="auto"/>
        </w:rPr>
        <w:t>2.1</w:t>
      </w:r>
      <w:r>
        <w:rPr>
          <w:rFonts w:hint="eastAsia" w:hAnsi="宋体" w:cs="宋体"/>
          <w:color w:val="auto"/>
        </w:rPr>
        <w:t>因不可抗力致使不能实现合同目的，未受不可抗力影响的一方有权解除合同；</w:t>
      </w:r>
    </w:p>
    <w:p>
      <w:pPr>
        <w:pStyle w:val="28"/>
        <w:spacing w:line="360" w:lineRule="auto"/>
        <w:ind w:firstLine="210" w:firstLineChars="100"/>
        <w:rPr>
          <w:rFonts w:hAnsi="宋体" w:cs="宋体"/>
          <w:color w:val="auto"/>
        </w:rPr>
      </w:pPr>
      <w:r>
        <w:rPr>
          <w:rFonts w:hAnsi="宋体" w:cs="宋体"/>
          <w:color w:val="auto"/>
        </w:rPr>
        <w:t>2.2</w:t>
      </w:r>
      <w:r>
        <w:rPr>
          <w:rFonts w:hint="eastAsia" w:hAnsi="宋体" w:cs="宋体"/>
          <w:color w:val="auto"/>
        </w:rPr>
        <w:t>因合同一方违约导致合同不能履行，另一方有权解除合同；</w:t>
      </w:r>
    </w:p>
    <w:p>
      <w:pPr>
        <w:pStyle w:val="28"/>
        <w:spacing w:line="360" w:lineRule="auto"/>
        <w:ind w:firstLine="210" w:firstLineChars="100"/>
        <w:rPr>
          <w:rFonts w:hAnsi="宋体" w:cs="宋体"/>
        </w:rPr>
      </w:pPr>
      <w:r>
        <w:rPr>
          <w:rFonts w:hint="eastAsia" w:hAnsi="宋体" w:cs="宋体"/>
          <w:color w:val="auto"/>
          <w:lang w:val="en-US" w:eastAsia="zh-CN"/>
        </w:rPr>
        <w:t>3</w:t>
      </w:r>
      <w:r>
        <w:rPr>
          <w:rFonts w:hint="eastAsia" w:hAnsi="宋体" w:cs="宋体"/>
          <w:color w:val="auto"/>
        </w:rPr>
        <w:t>.有权解除合同的</w:t>
      </w:r>
      <w:r>
        <w:rPr>
          <w:rFonts w:hint="eastAsia" w:hAnsi="宋体" w:cs="宋体"/>
        </w:rPr>
        <w:t>一方，应当在违约事实或不可抗力发生之后三十天内书面通知对方以主张解除合同，合同在书面通知到达对方时解除。</w:t>
      </w:r>
    </w:p>
    <w:p>
      <w:pPr>
        <w:pStyle w:val="28"/>
        <w:spacing w:line="360" w:lineRule="auto"/>
        <w:ind w:firstLine="210" w:firstLineChars="100"/>
        <w:rPr>
          <w:rFonts w:hAnsi="宋体" w:cs="宋体"/>
        </w:rPr>
      </w:pPr>
      <w:r>
        <w:rPr>
          <w:rFonts w:hint="eastAsia" w:hAnsi="宋体" w:cs="宋体"/>
        </w:rPr>
        <w:t>十六、争议的解决方法</w:t>
      </w:r>
    </w:p>
    <w:p>
      <w:pPr>
        <w:pStyle w:val="28"/>
        <w:spacing w:line="360" w:lineRule="auto"/>
        <w:ind w:firstLine="210" w:firstLineChars="100"/>
        <w:rPr>
          <w:rFonts w:hAnsi="宋体" w:cs="宋体"/>
        </w:rPr>
      </w:pPr>
      <w:r>
        <w:rPr>
          <w:rFonts w:hint="eastAsia" w:hAnsi="宋体" w:cs="宋体"/>
        </w:rPr>
        <w:t>甲方和乙方协商解决，协商不成，由无锡仲裁委员会仲裁。</w:t>
      </w:r>
    </w:p>
    <w:p>
      <w:pPr>
        <w:pStyle w:val="28"/>
        <w:spacing w:line="360" w:lineRule="auto"/>
        <w:ind w:firstLine="210" w:firstLineChars="100"/>
        <w:rPr>
          <w:rFonts w:hAnsi="宋体" w:cs="宋体"/>
        </w:rPr>
      </w:pPr>
      <w:r>
        <w:rPr>
          <w:rFonts w:hint="eastAsia" w:hAnsi="宋体" w:cs="宋体"/>
        </w:rPr>
        <w:t>十七、本合同一式陆份，甲方执叁份，乙方执叁份。本合同由甲乙双方盖章并经普信国际工程咨询有限公司见证后生效。</w:t>
      </w:r>
    </w:p>
    <w:p>
      <w:pPr>
        <w:pStyle w:val="28"/>
        <w:spacing w:line="360" w:lineRule="auto"/>
        <w:ind w:firstLine="420" w:firstLineChars="200"/>
        <w:rPr>
          <w:rFonts w:hAnsi="宋体" w:cs="宋体"/>
        </w:rPr>
      </w:pPr>
    </w:p>
    <w:p>
      <w:pPr>
        <w:pStyle w:val="28"/>
        <w:spacing w:line="360" w:lineRule="auto"/>
        <w:ind w:firstLine="420" w:firstLineChars="200"/>
        <w:rPr>
          <w:rFonts w:hAnsi="宋体" w:cs="宋体"/>
        </w:rPr>
      </w:pPr>
      <w:r>
        <w:rPr>
          <w:rFonts w:hint="eastAsia" w:hAnsi="宋体" w:cs="宋体"/>
        </w:rPr>
        <w:t>甲方：(采购人名称)                      乙方：(中标供应商名称)</w:t>
      </w:r>
    </w:p>
    <w:p>
      <w:pPr>
        <w:pStyle w:val="28"/>
        <w:spacing w:line="360" w:lineRule="auto"/>
        <w:ind w:firstLine="420" w:firstLineChars="200"/>
        <w:rPr>
          <w:rFonts w:hAnsi="宋体" w:cs="宋体"/>
        </w:rPr>
      </w:pPr>
      <w:r>
        <w:rPr>
          <w:rFonts w:hint="eastAsia" w:hAnsi="宋体" w:cs="宋体"/>
        </w:rPr>
        <w:t>签字：__________________  　　　　　　　　签字：__________________</w:t>
      </w:r>
    </w:p>
    <w:p>
      <w:pPr>
        <w:pStyle w:val="28"/>
        <w:spacing w:line="360" w:lineRule="auto"/>
        <w:ind w:firstLine="420" w:firstLineChars="200"/>
        <w:rPr>
          <w:rFonts w:hAnsi="宋体" w:cs="宋体"/>
        </w:rPr>
      </w:pPr>
      <w:r>
        <w:rPr>
          <w:rFonts w:hint="eastAsia" w:hAnsi="宋体" w:cs="宋体"/>
        </w:rPr>
        <w:t>盖章：__________________  　　　　　　　　盖章：__________________</w:t>
      </w:r>
    </w:p>
    <w:p>
      <w:pPr>
        <w:spacing w:line="360" w:lineRule="auto"/>
        <w:ind w:firstLine="420" w:firstLineChars="200"/>
        <w:rPr>
          <w:rFonts w:hAnsi="宋体" w:cs="宋体"/>
          <w:bCs/>
          <w:color w:val="000000"/>
          <w:szCs w:val="21"/>
        </w:rPr>
      </w:pPr>
      <w:r>
        <w:rPr>
          <w:rFonts w:hint="eastAsia" w:hAnsi="宋体" w:cs="宋体"/>
          <w:szCs w:val="21"/>
        </w:rPr>
        <w:t>日期：____年____月____日 　　　　　　　　 日期：____年____月____日</w:t>
      </w:r>
      <w:r>
        <w:rPr>
          <w:rFonts w:hint="eastAsia" w:hAnsi="宋体" w:cs="宋体"/>
          <w:bCs/>
          <w:color w:val="000000"/>
          <w:szCs w:val="21"/>
        </w:rPr>
        <w:t xml:space="preserve">     </w:t>
      </w:r>
    </w:p>
    <w:p>
      <w:pPr>
        <w:spacing w:line="360" w:lineRule="auto"/>
        <w:ind w:firstLine="4830" w:firstLineChars="2300"/>
        <w:rPr>
          <w:rFonts w:hAnsi="宋体" w:cs="宋体"/>
          <w:bCs/>
          <w:color w:val="000000"/>
          <w:szCs w:val="21"/>
          <w:u w:val="single"/>
        </w:rPr>
      </w:pPr>
      <w:r>
        <w:rPr>
          <w:rFonts w:hint="eastAsia" w:hAnsi="宋体" w:cs="宋体"/>
          <w:bCs/>
          <w:color w:val="000000"/>
          <w:szCs w:val="21"/>
        </w:rPr>
        <w:t>乙方账号：</w:t>
      </w:r>
      <w:r>
        <w:rPr>
          <w:rFonts w:hint="eastAsia" w:hAnsi="宋体" w:cs="宋体"/>
          <w:bCs/>
          <w:color w:val="000000"/>
          <w:szCs w:val="21"/>
          <w:u w:val="single"/>
        </w:rPr>
        <w:t xml:space="preserve">                   </w:t>
      </w:r>
    </w:p>
    <w:p>
      <w:pPr>
        <w:spacing w:line="360" w:lineRule="auto"/>
        <w:rPr>
          <w:rFonts w:hAnsi="宋体" w:cs="宋体"/>
          <w:bCs/>
          <w:color w:val="000000"/>
          <w:szCs w:val="21"/>
        </w:rPr>
      </w:pPr>
      <w:r>
        <w:rPr>
          <w:rFonts w:hint="eastAsia" w:hAnsi="宋体" w:cs="宋体"/>
          <w:bCs/>
          <w:color w:val="000000"/>
          <w:szCs w:val="21"/>
        </w:rPr>
        <w:t>★备注：</w:t>
      </w:r>
    </w:p>
    <w:p>
      <w:pPr>
        <w:spacing w:line="360" w:lineRule="auto"/>
        <w:rPr>
          <w:rFonts w:hAnsi="宋体" w:cs="宋体"/>
          <w:bCs/>
          <w:color w:val="000000"/>
          <w:szCs w:val="21"/>
          <w:u w:val="single"/>
        </w:rPr>
      </w:pPr>
      <w:r>
        <w:rPr>
          <w:rFonts w:hint="eastAsia" w:hAnsi="宋体" w:cs="宋体"/>
          <w:bCs/>
          <w:color w:val="000000"/>
          <w:szCs w:val="21"/>
        </w:rPr>
        <w:t>甲乙双方必须以本格式文本拟订合同。</w:t>
      </w:r>
    </w:p>
    <w:p>
      <w:pPr>
        <w:widowControl/>
        <w:topLinePunct/>
        <w:rPr>
          <w:rFonts w:ascii="宋体" w:hAnsi="宋体"/>
          <w:b/>
          <w:sz w:val="36"/>
          <w:szCs w:val="36"/>
        </w:rPr>
      </w:pPr>
    </w:p>
    <w:p>
      <w:pPr>
        <w:widowControl/>
        <w:topLinePunct/>
        <w:rPr>
          <w:rFonts w:ascii="宋体" w:hAnsi="宋体"/>
          <w:b/>
          <w:sz w:val="36"/>
          <w:szCs w:val="36"/>
        </w:rPr>
      </w:pPr>
    </w:p>
    <w:p>
      <w:pPr>
        <w:widowControl/>
        <w:topLinePunct/>
        <w:rPr>
          <w:rFonts w:ascii="宋体" w:hAnsi="宋体"/>
          <w:b/>
          <w:sz w:val="36"/>
          <w:szCs w:val="36"/>
        </w:rPr>
      </w:pPr>
    </w:p>
    <w:p>
      <w:pPr>
        <w:pStyle w:val="2"/>
        <w:numPr>
          <w:ilvl w:val="4"/>
          <w:numId w:val="0"/>
        </w:numPr>
        <w:rPr>
          <w:rFonts w:ascii="宋体" w:hAnsi="宋体"/>
          <w:sz w:val="36"/>
          <w:szCs w:val="36"/>
        </w:rPr>
      </w:pPr>
    </w:p>
    <w:p>
      <w:pPr>
        <w:rPr>
          <w:rFonts w:ascii="宋体" w:hAnsi="宋体"/>
          <w:b/>
          <w:sz w:val="36"/>
          <w:szCs w:val="36"/>
        </w:rPr>
      </w:pPr>
    </w:p>
    <w:p>
      <w:pPr>
        <w:pStyle w:val="2"/>
        <w:numPr>
          <w:ilvl w:val="4"/>
          <w:numId w:val="0"/>
        </w:numPr>
      </w:pPr>
    </w:p>
    <w:p/>
    <w:p>
      <w:pPr>
        <w:pStyle w:val="2"/>
        <w:numPr>
          <w:ilvl w:val="4"/>
          <w:numId w:val="0"/>
        </w:numPr>
      </w:pPr>
    </w:p>
    <w:p/>
    <w:p>
      <w:pPr>
        <w:pStyle w:val="2"/>
        <w:numPr>
          <w:ilvl w:val="4"/>
          <w:numId w:val="0"/>
        </w:numPr>
      </w:pPr>
    </w:p>
    <w:p/>
    <w:p>
      <w:pPr>
        <w:pStyle w:val="2"/>
        <w:numPr>
          <w:ilvl w:val="4"/>
          <w:numId w:val="0"/>
        </w:numPr>
      </w:pPr>
    </w:p>
    <w:p>
      <w:pPr>
        <w:pStyle w:val="54"/>
        <w:ind w:firstLine="560"/>
      </w:pPr>
    </w:p>
    <w:p>
      <w:pPr>
        <w:spacing w:line="440" w:lineRule="exact"/>
        <w:rPr>
          <w:rFonts w:ascii="楷体_GB2312" w:eastAsia="楷体_GB2312"/>
          <w:b/>
          <w:sz w:val="30"/>
          <w:szCs w:val="30"/>
        </w:rPr>
      </w:pPr>
    </w:p>
    <w:p>
      <w:pPr>
        <w:spacing w:line="440" w:lineRule="exact"/>
        <w:rPr>
          <w:rFonts w:ascii="楷体_GB2312" w:eastAsia="楷体_GB2312"/>
          <w:b/>
          <w:sz w:val="30"/>
          <w:szCs w:val="30"/>
        </w:rPr>
      </w:pPr>
    </w:p>
    <w:p>
      <w:pPr>
        <w:spacing w:line="440" w:lineRule="exact"/>
        <w:rPr>
          <w:rFonts w:ascii="楷体_GB2312" w:eastAsia="楷体_GB2312"/>
          <w:b/>
          <w:sz w:val="30"/>
          <w:szCs w:val="30"/>
        </w:rPr>
      </w:pPr>
    </w:p>
    <w:p>
      <w:pPr>
        <w:spacing w:line="440" w:lineRule="exact"/>
        <w:rPr>
          <w:rFonts w:ascii="楷体_GB2312" w:eastAsia="楷体_GB2312"/>
          <w:b/>
          <w:sz w:val="30"/>
          <w:szCs w:val="30"/>
        </w:rPr>
      </w:pPr>
    </w:p>
    <w:p>
      <w:pPr>
        <w:spacing w:line="440" w:lineRule="exact"/>
        <w:rPr>
          <w:rFonts w:ascii="楷体_GB2312" w:eastAsia="楷体_GB2312"/>
          <w:b/>
          <w:sz w:val="30"/>
          <w:szCs w:val="30"/>
        </w:rPr>
      </w:pPr>
    </w:p>
    <w:p>
      <w:pPr>
        <w:spacing w:line="440" w:lineRule="exact"/>
        <w:rPr>
          <w:rFonts w:ascii="楷体_GB2312" w:eastAsia="楷体_GB2312"/>
          <w:b/>
          <w:sz w:val="30"/>
          <w:szCs w:val="30"/>
        </w:rPr>
      </w:pPr>
    </w:p>
    <w:p>
      <w:pPr>
        <w:spacing w:line="440" w:lineRule="exact"/>
        <w:rPr>
          <w:rFonts w:hint="eastAsia" w:ascii="楷体_GB2312" w:eastAsia="楷体_GB2312"/>
          <w:b/>
          <w:sz w:val="30"/>
          <w:szCs w:val="30"/>
        </w:rPr>
      </w:pPr>
    </w:p>
    <w:p>
      <w:pPr>
        <w:spacing w:line="440" w:lineRule="exact"/>
        <w:rPr>
          <w:rFonts w:ascii="楷体_GB2312" w:eastAsia="楷体_GB2312"/>
          <w:b/>
          <w:sz w:val="30"/>
          <w:szCs w:val="30"/>
        </w:rPr>
      </w:pPr>
      <w:r>
        <w:rPr>
          <w:rFonts w:hint="eastAsia" w:ascii="楷体_GB2312" w:eastAsia="楷体_GB2312"/>
          <w:b/>
          <w:sz w:val="30"/>
          <w:szCs w:val="30"/>
        </w:rPr>
        <w:t>五、投标文件格式</w:t>
      </w:r>
    </w:p>
    <w:p>
      <w:pPr>
        <w:spacing w:line="360" w:lineRule="auto"/>
        <w:jc w:val="right"/>
        <w:outlineLvl w:val="0"/>
        <w:rPr>
          <w:rFonts w:ascii="宋体" w:hAnsi="宋体"/>
          <w:b/>
          <w:sz w:val="32"/>
          <w:szCs w:val="32"/>
        </w:rPr>
      </w:pPr>
      <w:r>
        <w:rPr>
          <w:rFonts w:hint="eastAsia" w:ascii="宋体" w:hAnsi="宋体"/>
          <w:b/>
          <w:sz w:val="32"/>
          <w:szCs w:val="32"/>
        </w:rPr>
        <w:t>明标部分封面</w:t>
      </w:r>
    </w:p>
    <w:p>
      <w:pPr>
        <w:spacing w:line="360" w:lineRule="auto"/>
        <w:jc w:val="center"/>
        <w:rPr>
          <w:rFonts w:ascii="宋体" w:hAnsi="宋体"/>
          <w:b/>
          <w:sz w:val="48"/>
          <w:u w:val="single"/>
        </w:rPr>
      </w:pPr>
    </w:p>
    <w:p>
      <w:pPr>
        <w:spacing w:line="360" w:lineRule="auto"/>
        <w:jc w:val="center"/>
        <w:rPr>
          <w:rFonts w:ascii="宋体" w:hAnsi="宋体"/>
          <w:b/>
          <w:sz w:val="48"/>
        </w:rPr>
      </w:pPr>
      <w:r>
        <w:rPr>
          <w:rFonts w:hint="eastAsia" w:ascii="宋体" w:hAnsi="宋体"/>
          <w:b/>
          <w:sz w:val="48"/>
          <w:u w:val="single"/>
        </w:rPr>
        <w:t xml:space="preserve">                     </w:t>
      </w:r>
      <w:r>
        <w:rPr>
          <w:rFonts w:hint="eastAsia" w:ascii="宋体" w:hAnsi="宋体"/>
          <w:b/>
          <w:sz w:val="48"/>
        </w:rPr>
        <w:t>公开招标</w:t>
      </w:r>
    </w:p>
    <w:p>
      <w:pPr>
        <w:spacing w:line="360" w:lineRule="auto"/>
        <w:jc w:val="center"/>
        <w:rPr>
          <w:rFonts w:ascii="宋体" w:hAnsi="宋体"/>
          <w:b/>
          <w:sz w:val="72"/>
        </w:rPr>
      </w:pPr>
      <w:r>
        <w:rPr>
          <w:rFonts w:hint="eastAsia" w:ascii="宋体" w:hAnsi="宋体"/>
          <w:b/>
          <w:sz w:val="72"/>
        </w:rPr>
        <w:t>投标文件</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rPr>
          <w:rFonts w:ascii="宋体" w:hAnsi="宋体"/>
          <w:b/>
          <w:sz w:val="48"/>
        </w:rPr>
      </w:pPr>
    </w:p>
    <w:p>
      <w:pPr>
        <w:spacing w:line="360" w:lineRule="auto"/>
        <w:rPr>
          <w:rFonts w:ascii="宋体" w:hAnsi="宋体"/>
          <w:b/>
          <w:sz w:val="48"/>
        </w:rPr>
      </w:pPr>
    </w:p>
    <w:p>
      <w:pPr>
        <w:spacing w:line="360" w:lineRule="auto"/>
        <w:rPr>
          <w:rFonts w:ascii="宋体" w:hAnsi="宋体"/>
          <w:b/>
          <w:sz w:val="48"/>
        </w:rPr>
      </w:pPr>
    </w:p>
    <w:p>
      <w:pPr>
        <w:spacing w:line="360" w:lineRule="auto"/>
        <w:rPr>
          <w:rFonts w:ascii="宋体" w:hAnsi="宋体"/>
          <w:b/>
          <w:sz w:val="48"/>
        </w:rPr>
      </w:pPr>
    </w:p>
    <w:p>
      <w:pPr>
        <w:spacing w:line="360" w:lineRule="auto"/>
        <w:jc w:val="center"/>
        <w:rPr>
          <w:rFonts w:ascii="宋体" w:hAnsi="宋体"/>
          <w:b/>
          <w:sz w:val="48"/>
        </w:rPr>
      </w:pPr>
    </w:p>
    <w:p>
      <w:pPr>
        <w:spacing w:line="360" w:lineRule="auto"/>
        <w:jc w:val="left"/>
        <w:rPr>
          <w:rFonts w:ascii="宋体" w:hAnsi="宋体"/>
          <w:b/>
          <w:sz w:val="30"/>
        </w:rPr>
      </w:pPr>
      <w:r>
        <w:rPr>
          <w:rFonts w:hint="eastAsia" w:ascii="宋体" w:hAnsi="宋体"/>
          <w:b/>
          <w:sz w:val="30"/>
        </w:rPr>
        <w:t xml:space="preserve">项目编号： </w:t>
      </w:r>
      <w:r>
        <w:rPr>
          <w:rFonts w:hint="eastAsia" w:ascii="宋体" w:hAnsi="宋体"/>
          <w:b/>
          <w:sz w:val="30"/>
          <w:u w:val="single"/>
        </w:rPr>
        <w:t xml:space="preserve">                                            </w:t>
      </w:r>
    </w:p>
    <w:p>
      <w:pPr>
        <w:snapToGrid w:val="0"/>
        <w:spacing w:line="360" w:lineRule="auto"/>
        <w:rPr>
          <w:rFonts w:ascii="宋体" w:hAnsi="宋体"/>
          <w:b/>
          <w:sz w:val="30"/>
          <w:u w:val="single"/>
        </w:rPr>
      </w:pPr>
      <w:r>
        <w:rPr>
          <w:rFonts w:hint="eastAsia" w:ascii="宋体" w:hAnsi="宋体"/>
          <w:b/>
          <w:sz w:val="28"/>
        </w:rPr>
        <w:t>项目</w:t>
      </w:r>
      <w:r>
        <w:rPr>
          <w:rFonts w:hint="eastAsia" w:ascii="宋体" w:hAnsi="宋体"/>
          <w:b/>
          <w:sz w:val="30"/>
        </w:rPr>
        <w:t>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p>
    <w:p>
      <w:pPr>
        <w:snapToGrid w:val="0"/>
        <w:spacing w:line="360" w:lineRule="auto"/>
        <w:rPr>
          <w:rFonts w:ascii="宋体" w:hAnsi="宋体"/>
          <w:b/>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ascii="宋体" w:hAnsi="宋体"/>
          <w:b/>
          <w:bCs/>
          <w:sz w:val="30"/>
          <w:szCs w:val="30"/>
          <w:u w:val="single"/>
        </w:rPr>
        <w:t xml:space="preserve"> </w:t>
      </w:r>
      <w:r>
        <w:rPr>
          <w:rFonts w:hint="eastAsia" w:ascii="宋体" w:hAnsi="宋体"/>
          <w:b/>
          <w:bCs/>
          <w:sz w:val="30"/>
          <w:szCs w:val="30"/>
          <w:u w:val="single"/>
        </w:rPr>
        <w:t xml:space="preserve">   </w:t>
      </w:r>
      <w:r>
        <w:rPr>
          <w:rFonts w:hint="eastAsia" w:ascii="宋体" w:hAnsi="宋体"/>
          <w:b/>
          <w:bCs/>
          <w:sz w:val="30"/>
          <w:szCs w:val="30"/>
        </w:rPr>
        <w:t>月</w:t>
      </w:r>
      <w:r>
        <w:rPr>
          <w:rFonts w:ascii="宋体" w:hAnsi="宋体"/>
          <w:b/>
          <w:bCs/>
          <w:sz w:val="30"/>
          <w:szCs w:val="30"/>
          <w:u w:val="single"/>
        </w:rPr>
        <w:t xml:space="preserve"> </w:t>
      </w:r>
      <w:r>
        <w:rPr>
          <w:rFonts w:hint="eastAsia" w:ascii="宋体" w:hAnsi="宋体"/>
          <w:b/>
          <w:bCs/>
          <w:sz w:val="30"/>
          <w:szCs w:val="30"/>
          <w:u w:val="single"/>
        </w:rPr>
        <w:t xml:space="preserve">  </w:t>
      </w:r>
      <w:r>
        <w:rPr>
          <w:rFonts w:hint="eastAsia" w:ascii="宋体" w:hAnsi="宋体"/>
          <w:b/>
          <w:bCs/>
          <w:sz w:val="30"/>
          <w:szCs w:val="30"/>
        </w:rPr>
        <w:t>日</w:t>
      </w:r>
      <w:r>
        <w:rPr>
          <w:rFonts w:hint="eastAsia" w:ascii="宋体" w:hAnsi="宋体"/>
          <w:b/>
          <w:bCs/>
          <w:sz w:val="30"/>
          <w:szCs w:val="30"/>
          <w:u w:val="single"/>
        </w:rPr>
        <w:t xml:space="preserve">    </w:t>
      </w:r>
      <w:r>
        <w:rPr>
          <w:rFonts w:hint="eastAsia" w:ascii="宋体" w:hAnsi="宋体"/>
          <w:b/>
          <w:bCs/>
          <w:sz w:val="30"/>
          <w:szCs w:val="30"/>
        </w:rPr>
        <w:t>时</w:t>
      </w:r>
      <w:r>
        <w:rPr>
          <w:rFonts w:hint="eastAsia" w:ascii="宋体" w:hAnsi="宋体"/>
          <w:b/>
          <w:bCs/>
          <w:sz w:val="30"/>
          <w:szCs w:val="30"/>
          <w:u w:val="single"/>
        </w:rPr>
        <w:t xml:space="preserve">     </w:t>
      </w:r>
      <w:r>
        <w:rPr>
          <w:rFonts w:hint="eastAsia" w:ascii="宋体" w:hAnsi="宋体"/>
          <w:b/>
          <w:bCs/>
          <w:sz w:val="30"/>
          <w:szCs w:val="30"/>
        </w:rPr>
        <w:t>分</w:t>
      </w:r>
      <w:r>
        <w:rPr>
          <w:rFonts w:hint="eastAsia"/>
          <w:sz w:val="30"/>
          <w:szCs w:val="30"/>
        </w:rPr>
        <w:t>开标，此时间以前不得开封；</w:t>
      </w:r>
    </w:p>
    <w:p>
      <w:pPr>
        <w:snapToGrid w:val="0"/>
        <w:spacing w:line="360" w:lineRule="auto"/>
        <w:rPr>
          <w:rFonts w:ascii="宋体" w:hAnsi="宋体"/>
          <w:b/>
          <w:sz w:val="30"/>
        </w:rPr>
      </w:pPr>
    </w:p>
    <w:p>
      <w:pPr>
        <w:snapToGrid w:val="0"/>
        <w:spacing w:line="360" w:lineRule="auto"/>
        <w:rPr>
          <w:rFonts w:ascii="宋体" w:hAnsi="宋体"/>
          <w:b/>
          <w:sz w:val="30"/>
          <w:u w:val="single"/>
        </w:rPr>
      </w:pPr>
      <w:r>
        <w:rPr>
          <w:rFonts w:hint="eastAsia" w:ascii="宋体" w:hAnsi="宋体"/>
          <w:b/>
          <w:sz w:val="30"/>
        </w:rPr>
        <w:t>投标人：</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（盖公章）</w:t>
      </w:r>
    </w:p>
    <w:p>
      <w:pPr>
        <w:snapToGrid w:val="0"/>
        <w:spacing w:line="360" w:lineRule="auto"/>
        <w:rPr>
          <w:rFonts w:ascii="宋体" w:hAnsi="宋体"/>
          <w:b/>
          <w:sz w:val="30"/>
        </w:rPr>
      </w:pPr>
      <w:r>
        <w:rPr>
          <w:rFonts w:hint="eastAsia" w:ascii="宋体" w:hAnsi="宋体"/>
          <w:b/>
          <w:sz w:val="30"/>
        </w:rPr>
        <w:t>法定代表人或</w:t>
      </w:r>
    </w:p>
    <w:p>
      <w:pPr>
        <w:snapToGrid w:val="0"/>
        <w:spacing w:line="360" w:lineRule="auto"/>
        <w:rPr>
          <w:rFonts w:ascii="宋体" w:hAnsi="宋体"/>
          <w:b/>
          <w:sz w:val="30"/>
          <w:u w:val="single"/>
        </w:rPr>
      </w:pPr>
      <w:r>
        <w:rPr>
          <w:rFonts w:hint="eastAsia" w:ascii="宋体" w:hAnsi="宋体"/>
          <w:b/>
          <w:sz w:val="30"/>
        </w:rPr>
        <w:t>其委托代理人：</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（签字或盖章）</w:t>
      </w:r>
    </w:p>
    <w:p>
      <w:pPr>
        <w:snapToGrid w:val="0"/>
        <w:spacing w:line="360" w:lineRule="auto"/>
        <w:rPr>
          <w:rFonts w:ascii="宋体" w:hAnsi="宋体"/>
          <w:b/>
          <w:sz w:val="30"/>
        </w:rPr>
      </w:pPr>
    </w:p>
    <w:p>
      <w:pPr>
        <w:snapToGrid w:val="0"/>
        <w:spacing w:line="360" w:lineRule="auto"/>
        <w:rPr>
          <w:rFonts w:ascii="宋体" w:hAnsi="宋体"/>
          <w:bCs/>
          <w:sz w:val="36"/>
          <w:szCs w:val="36"/>
        </w:rPr>
      </w:pPr>
      <w:r>
        <w:rPr>
          <w:rFonts w:hint="eastAsia" w:ascii="宋体" w:hAnsi="宋体"/>
          <w:b/>
          <w:sz w:val="30"/>
        </w:rPr>
        <w:t>日  期：</w:t>
      </w:r>
      <w:r>
        <w:rPr>
          <w:rFonts w:hint="eastAsia" w:ascii="宋体" w:hAnsi="宋体"/>
          <w:b/>
          <w:sz w:val="30"/>
          <w:u w:val="single"/>
        </w:rPr>
        <w:t xml:space="preserve">            </w:t>
      </w:r>
      <w:r>
        <w:rPr>
          <w:rFonts w:hint="eastAsia" w:ascii="宋体" w:hAnsi="宋体"/>
          <w:b/>
          <w:sz w:val="30"/>
        </w:rPr>
        <w:t xml:space="preserve"> 年</w:t>
      </w:r>
      <w:r>
        <w:rPr>
          <w:rFonts w:hint="eastAsia" w:ascii="宋体" w:hAnsi="宋体"/>
          <w:b/>
          <w:sz w:val="30"/>
          <w:u w:val="single"/>
        </w:rPr>
        <w:t xml:space="preserve">             </w:t>
      </w:r>
      <w:r>
        <w:rPr>
          <w:rFonts w:hint="eastAsia" w:ascii="宋体" w:hAnsi="宋体"/>
          <w:b/>
          <w:sz w:val="30"/>
        </w:rPr>
        <w:t xml:space="preserve"> 月</w:t>
      </w:r>
      <w:r>
        <w:rPr>
          <w:rFonts w:hint="eastAsia" w:ascii="宋体" w:hAnsi="宋体"/>
          <w:b/>
          <w:sz w:val="30"/>
          <w:u w:val="single"/>
        </w:rPr>
        <w:t xml:space="preserve">           </w:t>
      </w:r>
      <w:r>
        <w:rPr>
          <w:rFonts w:hint="eastAsia" w:ascii="宋体" w:hAnsi="宋体"/>
          <w:b/>
          <w:sz w:val="30"/>
        </w:rPr>
        <w:t>日</w:t>
      </w: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r>
        <w:rPr>
          <w:rFonts w:hint="eastAsia" w:ascii="黑体" w:hAnsi="宋体" w:eastAsia="黑体"/>
          <w:bCs/>
          <w:sz w:val="24"/>
        </w:rPr>
        <w:t>（一）投标函（格式）：</w:t>
      </w:r>
    </w:p>
    <w:p>
      <w:pPr>
        <w:rPr>
          <w:rFonts w:ascii="宋体" w:hAnsi="宋体"/>
          <w:bCs/>
          <w:sz w:val="36"/>
          <w:szCs w:val="36"/>
        </w:rPr>
      </w:pPr>
      <w:r>
        <w:rPr>
          <w:rFonts w:hint="eastAsia" w:hAnsi="宋体"/>
          <w:b/>
          <w:color w:val="000000"/>
          <w:sz w:val="30"/>
          <w:szCs w:val="30"/>
        </w:rPr>
        <w:t xml:space="preserve"> </w:t>
      </w:r>
    </w:p>
    <w:p>
      <w:pPr>
        <w:spacing w:line="360" w:lineRule="auto"/>
        <w:jc w:val="center"/>
        <w:rPr>
          <w:rFonts w:ascii="宋体" w:hAnsi="宋体"/>
          <w:bCs/>
          <w:sz w:val="24"/>
        </w:rPr>
      </w:pPr>
      <w:r>
        <w:rPr>
          <w:rFonts w:hint="eastAsia" w:ascii="黑体" w:eastAsia="黑体"/>
          <w:bCs/>
          <w:sz w:val="28"/>
          <w:szCs w:val="28"/>
        </w:rPr>
        <w:t>投标函</w:t>
      </w:r>
    </w:p>
    <w:p>
      <w:pPr>
        <w:widowControl/>
        <w:topLinePunct/>
        <w:spacing w:line="420" w:lineRule="exact"/>
        <w:rPr>
          <w:rFonts w:ascii="宋体" w:hAnsi="宋体"/>
          <w:sz w:val="24"/>
        </w:rPr>
      </w:pPr>
      <w:r>
        <w:rPr>
          <w:rFonts w:hint="eastAsia" w:ascii="宋体" w:hAnsi="宋体"/>
          <w:sz w:val="24"/>
        </w:rPr>
        <w:t>致：普信国际工程咨询有限公司</w:t>
      </w:r>
    </w:p>
    <w:p>
      <w:pPr>
        <w:spacing w:line="440" w:lineRule="exact"/>
        <w:ind w:firstLine="480" w:firstLineChars="200"/>
        <w:rPr>
          <w:rFonts w:ascii="宋体" w:hAnsi="宋体"/>
          <w:bCs/>
          <w:sz w:val="24"/>
        </w:rPr>
      </w:pPr>
      <w:r>
        <w:rPr>
          <w:rFonts w:hint="eastAsia" w:hAnsi="宋体"/>
          <w:bCs/>
          <w:color w:val="000000"/>
          <w:sz w:val="24"/>
        </w:rPr>
        <w:t>我们收到贵方</w:t>
      </w:r>
      <w:r>
        <w:rPr>
          <w:rFonts w:hint="eastAsia" w:ascii="宋体" w:hAnsi="宋体"/>
          <w:bCs/>
          <w:sz w:val="24"/>
        </w:rPr>
        <w:t>编号</w:t>
      </w:r>
      <w:r>
        <w:rPr>
          <w:rFonts w:hint="eastAsia" w:ascii="宋体" w:hAnsi="宋体"/>
          <w:bCs/>
          <w:sz w:val="24"/>
          <w:u w:val="single"/>
        </w:rPr>
        <w:t>PXGJCG2022-178</w:t>
      </w:r>
      <w:r>
        <w:rPr>
          <w:rFonts w:hint="eastAsia" w:ascii="宋体" w:hAnsi="宋体"/>
          <w:bCs/>
          <w:sz w:val="24"/>
        </w:rPr>
        <w:t>采购文件</w:t>
      </w:r>
      <w:r>
        <w:rPr>
          <w:rFonts w:hint="eastAsia" w:hAnsi="宋体"/>
          <w:bCs/>
          <w:color w:val="000000"/>
          <w:sz w:val="24"/>
        </w:rPr>
        <w:t>，经仔细阅读和研究，</w:t>
      </w:r>
      <w:r>
        <w:rPr>
          <w:rFonts w:hint="eastAsia" w:ascii="宋体" w:hAnsi="宋体"/>
          <w:bCs/>
          <w:sz w:val="24"/>
        </w:rPr>
        <w:t>我们决定参加此次</w:t>
      </w:r>
      <w:r>
        <w:rPr>
          <w:rFonts w:hint="eastAsia" w:ascii="宋体" w:hAnsi="宋体"/>
          <w:bCs/>
          <w:sz w:val="24"/>
          <w:u w:val="single"/>
        </w:rPr>
        <w:t>垃圾分类测评</w:t>
      </w:r>
      <w:r>
        <w:rPr>
          <w:rFonts w:hint="eastAsia" w:ascii="宋体" w:hAnsi="宋体"/>
          <w:bCs/>
          <w:sz w:val="24"/>
        </w:rPr>
        <w:t>的投标。</w:t>
      </w:r>
    </w:p>
    <w:p>
      <w:pPr>
        <w:tabs>
          <w:tab w:val="left" w:pos="315"/>
          <w:tab w:val="left" w:pos="525"/>
          <w:tab w:val="left" w:pos="945"/>
          <w:tab w:val="left" w:pos="1155"/>
        </w:tabs>
        <w:spacing w:line="440" w:lineRule="exact"/>
        <w:ind w:firstLine="480" w:firstLineChars="200"/>
        <w:rPr>
          <w:rStyle w:val="62"/>
          <w:rFonts w:ascii="黑体" w:eastAsia="黑体"/>
        </w:rPr>
      </w:pPr>
      <w:r>
        <w:rPr>
          <w:rFonts w:hint="eastAsia" w:ascii="宋体" w:hAnsi="宋体"/>
          <w:sz w:val="24"/>
        </w:rPr>
        <w:t>我方愿意提供普信国际工程咨询有限公司在招标文件中要求的文件、资料（具体内容如下）：</w:t>
      </w:r>
    </w:p>
    <w:p>
      <w:pPr>
        <w:spacing w:line="360" w:lineRule="auto"/>
        <w:ind w:firstLine="361" w:firstLineChars="150"/>
        <w:rPr>
          <w:rFonts w:ascii="宋体" w:hAnsi="宋体"/>
          <w:b/>
          <w:bCs/>
          <w:sz w:val="24"/>
        </w:rPr>
      </w:pPr>
      <w:r>
        <w:rPr>
          <w:rFonts w:hint="eastAsia" w:ascii="宋体" w:hAnsi="宋体"/>
          <w:b/>
          <w:bCs/>
          <w:sz w:val="24"/>
        </w:rPr>
        <w:t>投标文件分为明标和暗标两部分，明标由证明文件、响应函两部分组成，暗标为技术文件部分（单独成册）。另附电子光盘两张，明标部分一张光盘，暗标部分一张光盘。</w:t>
      </w:r>
    </w:p>
    <w:p>
      <w:pPr>
        <w:spacing w:line="360" w:lineRule="auto"/>
        <w:ind w:firstLine="602" w:firstLineChars="250"/>
        <w:rPr>
          <w:rFonts w:ascii="黑体" w:hAnsi="宋体" w:eastAsia="黑体"/>
          <w:bCs/>
          <w:sz w:val="24"/>
        </w:rPr>
      </w:pPr>
      <w:r>
        <w:rPr>
          <w:rFonts w:hint="eastAsia" w:ascii="宋体" w:hAnsi="宋体"/>
          <w:b/>
          <w:bCs/>
          <w:sz w:val="24"/>
        </w:rPr>
        <w:t>明标部分：</w:t>
      </w:r>
    </w:p>
    <w:p>
      <w:pPr>
        <w:spacing w:line="430" w:lineRule="exact"/>
        <w:ind w:firstLine="482" w:firstLineChars="200"/>
        <w:rPr>
          <w:rFonts w:ascii="宋体" w:hAnsi="宋体"/>
          <w:b/>
          <w:sz w:val="24"/>
        </w:rPr>
      </w:pPr>
      <w:r>
        <w:rPr>
          <w:rFonts w:hint="eastAsia" w:ascii="宋体" w:hAnsi="宋体"/>
          <w:b/>
          <w:sz w:val="24"/>
        </w:rPr>
        <w:t>1.证明文件部分：</w:t>
      </w:r>
    </w:p>
    <w:p>
      <w:pPr>
        <w:pStyle w:val="118"/>
        <w:spacing w:line="360" w:lineRule="auto"/>
        <w:ind w:left="883" w:firstLine="0" w:firstLineChars="0"/>
        <w:rPr>
          <w:rFonts w:ascii="宋体" w:hAnsi="宋体"/>
          <w:sz w:val="24"/>
        </w:rPr>
      </w:pPr>
      <w:r>
        <w:rPr>
          <w:rFonts w:hint="eastAsia" w:ascii="宋体" w:hAnsi="宋体"/>
          <w:sz w:val="24"/>
        </w:rPr>
        <w:t>第一部分：资格证明文件</w:t>
      </w:r>
    </w:p>
    <w:p>
      <w:pPr>
        <w:pStyle w:val="118"/>
        <w:tabs>
          <w:tab w:val="left" w:pos="525"/>
          <w:tab w:val="left" w:pos="630"/>
          <w:tab w:val="left" w:pos="945"/>
        </w:tabs>
        <w:spacing w:line="360" w:lineRule="auto"/>
        <w:ind w:left="883" w:firstLine="0" w:firstLineChars="0"/>
        <w:rPr>
          <w:rFonts w:ascii="宋体" w:hAnsi="宋体"/>
          <w:bCs/>
          <w:sz w:val="24"/>
        </w:rPr>
      </w:pPr>
      <w:r>
        <w:rPr>
          <w:rFonts w:hint="eastAsia" w:ascii="宋体" w:hAnsi="宋体"/>
          <w:bCs/>
          <w:sz w:val="24"/>
        </w:rPr>
        <w:t>1.资格、资信证明文件：</w:t>
      </w:r>
    </w:p>
    <w:p>
      <w:pPr>
        <w:tabs>
          <w:tab w:val="left" w:pos="420"/>
          <w:tab w:val="left" w:pos="1155"/>
        </w:tabs>
        <w:spacing w:line="360" w:lineRule="auto"/>
        <w:ind w:left="630"/>
        <w:rPr>
          <w:rFonts w:ascii="宋体" w:hAnsi="宋体"/>
          <w:bCs/>
          <w:sz w:val="24"/>
        </w:rPr>
      </w:pPr>
      <w:r>
        <w:rPr>
          <w:rFonts w:hint="eastAsia" w:ascii="宋体" w:hAnsi="宋体"/>
          <w:bCs/>
          <w:sz w:val="24"/>
        </w:rPr>
        <w:t>（1）关于资格的声明函（</w:t>
      </w:r>
      <w:r>
        <w:rPr>
          <w:rFonts w:hint="eastAsia" w:ascii="宋体" w:hAnsi="宋体"/>
          <w:b/>
          <w:bCs/>
          <w:sz w:val="24"/>
        </w:rPr>
        <w:t>格式见附件</w:t>
      </w:r>
      <w:r>
        <w:rPr>
          <w:rFonts w:hint="eastAsia" w:ascii="宋体" w:hAnsi="宋体"/>
          <w:bCs/>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2）法人或者其他组织提供具有独立承担民事责任能力的报价供应商营业执照副本或相关部门的登记证明文件复印件、税务登记证复印件（注：已办理三证合一的，可提供三证合一后的营业执照副本）；自然人提供自然人的身份证明；</w:t>
      </w:r>
      <w:r>
        <w:rPr>
          <w:rFonts w:hint="eastAsia" w:hAnsi="宋体"/>
          <w:b/>
          <w:sz w:val="24"/>
        </w:rPr>
        <w:t>（投标时提供原件或公证件）</w:t>
      </w:r>
      <w:r>
        <w:rPr>
          <w:rFonts w:hint="eastAsia" w:ascii="宋体" w:hAnsi="宋体"/>
          <w:bCs/>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（3）投标人法定代表人授权委托书</w:t>
      </w:r>
      <w:r>
        <w:rPr>
          <w:rFonts w:hint="eastAsia" w:ascii="宋体" w:hAnsi="宋体"/>
          <w:sz w:val="24"/>
        </w:rPr>
        <w:t>（</w:t>
      </w:r>
      <w:r>
        <w:rPr>
          <w:rFonts w:hint="eastAsia" w:ascii="宋体" w:hAnsi="宋体"/>
          <w:b/>
          <w:bCs/>
          <w:sz w:val="24"/>
        </w:rPr>
        <w:t>格式见附件，法定代表人亲自参加报价的除外</w:t>
      </w:r>
      <w:r>
        <w:rPr>
          <w:rFonts w:hint="eastAsia" w:ascii="宋体" w:hAnsi="宋体"/>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（4）投标人法定代表人身份证复印件；</w:t>
      </w:r>
    </w:p>
    <w:p>
      <w:pPr>
        <w:tabs>
          <w:tab w:val="left" w:pos="420"/>
          <w:tab w:val="left" w:pos="1155"/>
        </w:tabs>
        <w:spacing w:line="360" w:lineRule="auto"/>
        <w:ind w:left="630"/>
        <w:rPr>
          <w:rFonts w:ascii="宋体" w:hAnsi="宋体"/>
          <w:bCs/>
          <w:sz w:val="24"/>
        </w:rPr>
      </w:pPr>
      <w:r>
        <w:rPr>
          <w:rFonts w:hint="eastAsia" w:ascii="宋体" w:hAnsi="宋体"/>
          <w:bCs/>
          <w:sz w:val="24"/>
        </w:rPr>
        <w:t>（5）投标人法定代表人授权代表身份证复印件（法定代表人亲自参加报价的除外）；</w:t>
      </w:r>
    </w:p>
    <w:p>
      <w:pPr>
        <w:tabs>
          <w:tab w:val="left" w:pos="420"/>
          <w:tab w:val="left" w:pos="1155"/>
        </w:tabs>
        <w:spacing w:line="360" w:lineRule="auto"/>
        <w:ind w:left="630"/>
        <w:rPr>
          <w:rFonts w:ascii="宋体" w:hAnsi="宋体"/>
          <w:bCs/>
          <w:sz w:val="24"/>
        </w:rPr>
      </w:pPr>
      <w:r>
        <w:rPr>
          <w:rFonts w:hint="eastAsia" w:ascii="宋体" w:hAnsi="宋体"/>
          <w:bCs/>
          <w:sz w:val="24"/>
        </w:rPr>
        <w:t>（6）投标人近三个月中任意一个月份(不含投标当月) 的财务状况报告（资产负债表和利润表）或由会计师事务所出具的近两年任意一个年度的审计报告复印件加盖公章；</w:t>
      </w:r>
    </w:p>
    <w:p>
      <w:pPr>
        <w:tabs>
          <w:tab w:val="left" w:pos="420"/>
          <w:tab w:val="left" w:pos="1155"/>
        </w:tabs>
        <w:spacing w:line="360" w:lineRule="auto"/>
        <w:ind w:left="630"/>
        <w:rPr>
          <w:rFonts w:ascii="宋体" w:hAnsi="宋体"/>
          <w:bCs/>
          <w:sz w:val="24"/>
        </w:rPr>
      </w:pPr>
      <w:r>
        <w:rPr>
          <w:rFonts w:hint="eastAsia" w:ascii="宋体" w:hAnsi="宋体"/>
          <w:bCs/>
          <w:sz w:val="24"/>
        </w:rPr>
        <w:t>（7）投标人近三个月中任意一个月份(不含投标当月) 的依法缴纳税收的相关材料（提供相关主管部门证明或银行代扣证明）复印件；</w:t>
      </w:r>
    </w:p>
    <w:p>
      <w:pPr>
        <w:tabs>
          <w:tab w:val="left" w:pos="420"/>
          <w:tab w:val="left" w:pos="1155"/>
        </w:tabs>
        <w:spacing w:line="360" w:lineRule="auto"/>
        <w:ind w:left="630"/>
        <w:rPr>
          <w:rFonts w:ascii="宋体" w:hAnsi="宋体"/>
          <w:sz w:val="24"/>
        </w:rPr>
      </w:pPr>
      <w:r>
        <w:rPr>
          <w:rFonts w:hint="eastAsia" w:ascii="宋体" w:hAnsi="宋体"/>
          <w:bCs/>
          <w:sz w:val="24"/>
        </w:rPr>
        <w:t>（8）投标人近三个月中任意一个月份(不含投标当月)的依法</w:t>
      </w:r>
      <w:r>
        <w:rPr>
          <w:rFonts w:ascii="宋体" w:hAnsi="宋体"/>
          <w:bCs/>
          <w:sz w:val="24"/>
        </w:rPr>
        <w:t>缴纳</w:t>
      </w:r>
      <w:r>
        <w:rPr>
          <w:rFonts w:hint="eastAsia" w:ascii="宋体" w:hAnsi="宋体"/>
          <w:bCs/>
          <w:sz w:val="24"/>
        </w:rPr>
        <w:t>社会保障资金的相关材料（提供相关主管部门证明或银行代扣证明）复印件；</w:t>
      </w:r>
    </w:p>
    <w:p>
      <w:pPr>
        <w:tabs>
          <w:tab w:val="left" w:pos="420"/>
          <w:tab w:val="left" w:pos="1155"/>
        </w:tabs>
        <w:spacing w:line="360" w:lineRule="auto"/>
        <w:ind w:left="630"/>
        <w:rPr>
          <w:rFonts w:ascii="宋体" w:hAnsi="宋体"/>
          <w:b/>
          <w:sz w:val="24"/>
        </w:rPr>
      </w:pPr>
      <w:r>
        <w:rPr>
          <w:rFonts w:hint="eastAsia" w:ascii="宋体" w:hAnsi="宋体"/>
          <w:sz w:val="24"/>
        </w:rPr>
        <w:t>（9）被授权代表、项目负责人与企业签订的劳动合同和养老保险证明（《职工养老保险手册》（内附2022年</w:t>
      </w:r>
      <w:r>
        <w:rPr>
          <w:rFonts w:hint="eastAsia" w:ascii="宋体" w:hAnsi="宋体"/>
          <w:sz w:val="24"/>
          <w:u w:val="single"/>
          <w:lang w:val="en-US" w:eastAsia="zh-CN"/>
        </w:rPr>
        <w:t>2</w:t>
      </w:r>
      <w:r>
        <w:rPr>
          <w:rFonts w:hint="eastAsia" w:ascii="宋体" w:hAnsi="宋体"/>
          <w:sz w:val="24"/>
        </w:rPr>
        <w:t>月至2022年</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rPr>
        <w:t>月的缴费清单）或由社保机构出具的2022年</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rPr>
        <w:t>月至2022年</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rPr>
        <w:t>月的缴费证明）复印件</w:t>
      </w:r>
      <w:r>
        <w:rPr>
          <w:rFonts w:hint="eastAsia" w:ascii="宋体" w:hAnsi="宋体"/>
          <w:b/>
          <w:bCs/>
          <w:sz w:val="24"/>
        </w:rPr>
        <w:t>（网上查询带有二维码/验证码的打印件可做原件使用,如投标供应商成立时间迟于要求开始的时间，则提供成立时间至采购文件中社保要求的截止时间内的社保缴费证明）</w:t>
      </w:r>
      <w:r>
        <w:rPr>
          <w:rFonts w:hint="eastAsia" w:ascii="宋体" w:hAnsi="宋体"/>
          <w:sz w:val="24"/>
        </w:rPr>
        <w:t>；</w:t>
      </w:r>
    </w:p>
    <w:p>
      <w:pPr>
        <w:tabs>
          <w:tab w:val="left" w:pos="420"/>
          <w:tab w:val="left" w:pos="1155"/>
        </w:tabs>
        <w:spacing w:line="360" w:lineRule="auto"/>
        <w:ind w:left="630"/>
        <w:rPr>
          <w:rFonts w:ascii="宋体" w:hAnsi="宋体"/>
          <w:bCs/>
          <w:sz w:val="24"/>
        </w:rPr>
      </w:pPr>
      <w:r>
        <w:rPr>
          <w:rFonts w:hint="eastAsia" w:ascii="宋体" w:hAnsi="宋体"/>
          <w:bCs/>
          <w:sz w:val="24"/>
        </w:rPr>
        <w:t>（10）承诺书（</w:t>
      </w:r>
      <w:r>
        <w:rPr>
          <w:rFonts w:hint="eastAsia" w:ascii="宋体" w:hAnsi="宋体"/>
          <w:b/>
          <w:bCs/>
          <w:sz w:val="24"/>
        </w:rPr>
        <w:t>格式见附件</w:t>
      </w:r>
      <w:r>
        <w:rPr>
          <w:rFonts w:hint="eastAsia" w:ascii="宋体" w:hAnsi="宋体"/>
          <w:bCs/>
          <w:sz w:val="24"/>
        </w:rPr>
        <w:t>）。</w:t>
      </w:r>
    </w:p>
    <w:p>
      <w:pPr>
        <w:tabs>
          <w:tab w:val="left" w:pos="420"/>
          <w:tab w:val="left" w:pos="945"/>
          <w:tab w:val="left" w:pos="1155"/>
        </w:tabs>
        <w:spacing w:line="360" w:lineRule="auto"/>
        <w:ind w:left="141" w:leftChars="67" w:firstLine="480" w:firstLineChars="200"/>
        <w:rPr>
          <w:rFonts w:ascii="Tahoma" w:hAnsi="Tahoma" w:cs="Tahoma"/>
          <w:sz w:val="24"/>
        </w:rPr>
      </w:pPr>
      <w:r>
        <w:rPr>
          <w:rFonts w:ascii="Tahoma" w:hAnsi="Tahoma" w:cs="Tahoma"/>
          <w:sz w:val="24"/>
        </w:rPr>
        <w:t>*注：</w:t>
      </w:r>
      <w:r>
        <w:rPr>
          <w:rFonts w:hint="eastAsia" w:ascii="Tahoma" w:hAnsi="Tahoma" w:cs="Tahoma"/>
          <w:sz w:val="24"/>
        </w:rPr>
        <w:t>投标人</w:t>
      </w:r>
      <w:r>
        <w:rPr>
          <w:rFonts w:ascii="Tahoma" w:hAnsi="Tahoma" w:cs="Tahoma"/>
          <w:sz w:val="24"/>
        </w:rPr>
        <w:t>已按《无锡市政府采购供应商注册登记管理办法》（锡财购〔2012〕3号）文件要求入供应商库的，可注册入库（详见</w:t>
      </w:r>
      <w:r>
        <w:rPr>
          <w:rFonts w:ascii="Tahoma" w:hAnsi="Tahoma" w:cs="Tahoma"/>
          <w:sz w:val="24"/>
        </w:rPr>
        <w:drawing>
          <wp:inline distT="0" distB="0" distL="0" distR="0">
            <wp:extent cx="190500" cy="142875"/>
            <wp:effectExtent l="19050" t="0" r="0" b="0"/>
            <wp:docPr id="8"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W@GJ$ACOF(TYDYECOKVDYB"/>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ahoma" w:hAnsi="Tahoma" w:cs="Tahoma"/>
          <w:sz w:val="24"/>
        </w:rPr>
        <w:drawing>
          <wp:inline distT="0" distB="0" distL="0" distR="0">
            <wp:extent cx="190500" cy="142875"/>
            <wp:effectExtent l="19050" t="0" r="0" b="0"/>
            <wp:docPr id="9"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GJ$ACOF(TYDYECOKVDYB"/>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Tahoma" w:hAnsi="Tahoma" w:cs="Tahoma"/>
          <w:sz w:val="24"/>
        </w:rPr>
        <w:t>http://cz.wuxi.gov.cn/doc /2012/10/11/51585.shtml）成功后，从网上下载打印《无锡市政府采购注册供应商资格信息登记表》（以下简称信息登记表），并经法定代表人签字和加盖公章后,可作为供应商投标文件的有效组成部分提交</w:t>
      </w:r>
      <w:r>
        <w:rPr>
          <w:rFonts w:hint="eastAsia" w:ascii="Tahoma" w:hAnsi="Tahoma" w:cs="Tahoma"/>
          <w:sz w:val="24"/>
        </w:rPr>
        <w:t>招标代理</w:t>
      </w:r>
      <w:r>
        <w:rPr>
          <w:rFonts w:ascii="Tahoma" w:hAnsi="Tahoma" w:cs="Tahoma"/>
          <w:sz w:val="24"/>
        </w:rPr>
        <w:t>机构。信息登记表所记录的信息如能反映投标人具备对应资格条件项的，在本项目评审时，可凭信息登记表免于提供相应的资格证明材料的原件或公证件，否则必须按要求提供相应的资格</w:t>
      </w:r>
      <w:r>
        <w:rPr>
          <w:rFonts w:hint="eastAsia" w:ascii="Tahoma" w:hAnsi="Tahoma" w:cs="Tahoma"/>
          <w:sz w:val="24"/>
        </w:rPr>
        <w:t>、资信</w:t>
      </w:r>
      <w:r>
        <w:rPr>
          <w:rFonts w:ascii="Tahoma" w:hAnsi="Tahoma" w:cs="Tahoma"/>
          <w:sz w:val="24"/>
        </w:rPr>
        <w:t>证明材料原件或公证件来予以证明。</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（1）投标人简介和经营情况说明；</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（2）投标人认为有必要提供的其他证明材料（参照评分标准要求）；</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（3）如是中小企业的，提供《中小企业声明函》；（格式见附件）</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（4）残疾人福利性单位声明函；（供应商为残疾人福利性单位的必须提供，格式见附件）</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（5）由省级以上监狱管理局、戒毒管理局出具的属于监狱企业的证明文件；（如是）</w:t>
      </w:r>
    </w:p>
    <w:p>
      <w:pPr>
        <w:tabs>
          <w:tab w:val="left" w:pos="525"/>
          <w:tab w:val="left" w:pos="945"/>
          <w:tab w:val="left" w:pos="1130"/>
        </w:tabs>
        <w:spacing w:line="360" w:lineRule="auto"/>
        <w:ind w:left="523" w:firstLine="240" w:firstLineChars="100"/>
        <w:rPr>
          <w:rFonts w:ascii="宋体" w:hAnsi="宋体" w:cs="宋体"/>
          <w:kern w:val="0"/>
          <w:sz w:val="24"/>
        </w:rPr>
      </w:pPr>
      <w:r>
        <w:rPr>
          <w:rFonts w:hint="eastAsia" w:ascii="宋体" w:hAnsi="宋体" w:cs="宋体"/>
          <w:kern w:val="0"/>
          <w:sz w:val="24"/>
        </w:rPr>
        <w:t>（6）《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tabs>
          <w:tab w:val="left" w:pos="525"/>
          <w:tab w:val="left" w:pos="945"/>
          <w:tab w:val="left" w:pos="1130"/>
        </w:tabs>
        <w:spacing w:line="360" w:lineRule="auto"/>
        <w:ind w:left="523" w:firstLine="240" w:firstLineChars="100"/>
        <w:rPr>
          <w:rFonts w:ascii="宋体" w:hAnsi="宋体"/>
          <w:bCs/>
          <w:sz w:val="24"/>
        </w:rPr>
      </w:pPr>
      <w:r>
        <w:rPr>
          <w:rFonts w:hint="eastAsia" w:ascii="宋体" w:hAnsi="宋体"/>
          <w:bCs/>
          <w:sz w:val="24"/>
        </w:rPr>
        <w:t>2.投标函部分：</w:t>
      </w:r>
    </w:p>
    <w:p>
      <w:pPr>
        <w:widowControl/>
        <w:tabs>
          <w:tab w:val="left" w:pos="1155"/>
        </w:tabs>
        <w:spacing w:line="360" w:lineRule="auto"/>
        <w:ind w:left="420"/>
        <w:jc w:val="left"/>
        <w:rPr>
          <w:rFonts w:ascii="宋体" w:hAnsi="宋体" w:cs="宋体"/>
          <w:kern w:val="0"/>
          <w:sz w:val="24"/>
        </w:rPr>
      </w:pPr>
      <w:r>
        <w:rPr>
          <w:rFonts w:hint="eastAsia" w:ascii="宋体" w:hAnsi="宋体" w:cs="宋体"/>
          <w:kern w:val="0"/>
          <w:sz w:val="24"/>
        </w:rPr>
        <w:t>（1）投标函</w:t>
      </w:r>
      <w:r>
        <w:rPr>
          <w:rFonts w:hint="eastAsia" w:ascii="宋体" w:hAnsi="宋体"/>
          <w:bCs/>
          <w:sz w:val="24"/>
        </w:rPr>
        <w:t>（格式见附件）</w:t>
      </w:r>
    </w:p>
    <w:p>
      <w:pPr>
        <w:tabs>
          <w:tab w:val="left" w:pos="525"/>
          <w:tab w:val="left" w:pos="945"/>
        </w:tabs>
        <w:spacing w:line="360" w:lineRule="auto"/>
        <w:ind w:left="420"/>
        <w:rPr>
          <w:rFonts w:ascii="宋体" w:hAnsi="宋体"/>
          <w:bCs/>
          <w:sz w:val="24"/>
        </w:rPr>
      </w:pPr>
      <w:r>
        <w:rPr>
          <w:rFonts w:hint="eastAsia" w:ascii="宋体" w:hAnsi="宋体"/>
          <w:bCs/>
          <w:sz w:val="24"/>
        </w:rPr>
        <w:t>（2）投标人基本状况一览表（</w:t>
      </w:r>
      <w:r>
        <w:rPr>
          <w:rFonts w:hint="eastAsia" w:ascii="宋体" w:hAnsi="宋体"/>
          <w:b/>
          <w:bCs/>
          <w:sz w:val="24"/>
        </w:rPr>
        <w:t>格式见附件</w:t>
      </w:r>
      <w:r>
        <w:rPr>
          <w:rFonts w:hint="eastAsia" w:ascii="宋体" w:hAnsi="宋体"/>
          <w:bCs/>
          <w:sz w:val="24"/>
        </w:rPr>
        <w:t>）</w:t>
      </w:r>
    </w:p>
    <w:p>
      <w:pPr>
        <w:tabs>
          <w:tab w:val="left" w:pos="525"/>
          <w:tab w:val="left" w:pos="945"/>
        </w:tabs>
        <w:spacing w:line="360" w:lineRule="auto"/>
        <w:ind w:left="420"/>
        <w:rPr>
          <w:rFonts w:ascii="宋体" w:hAnsi="宋体"/>
          <w:bCs/>
          <w:sz w:val="24"/>
        </w:rPr>
      </w:pPr>
      <w:r>
        <w:rPr>
          <w:rFonts w:hint="eastAsia" w:ascii="宋体" w:hAnsi="宋体"/>
          <w:bCs/>
          <w:sz w:val="24"/>
        </w:rPr>
        <w:t>（3）开标一览表（格式见附件）</w:t>
      </w:r>
    </w:p>
    <w:p>
      <w:pPr>
        <w:tabs>
          <w:tab w:val="left" w:pos="525"/>
          <w:tab w:val="left" w:pos="945"/>
        </w:tabs>
        <w:spacing w:line="360" w:lineRule="auto"/>
        <w:ind w:left="420"/>
        <w:rPr>
          <w:rFonts w:ascii="宋体" w:hAnsi="宋体"/>
          <w:bCs/>
          <w:sz w:val="24"/>
        </w:rPr>
      </w:pPr>
      <w:r>
        <w:rPr>
          <w:rFonts w:hint="eastAsia" w:ascii="宋体" w:hAnsi="宋体"/>
          <w:bCs/>
          <w:sz w:val="24"/>
        </w:rPr>
        <w:t>（4）报价细目表。</w:t>
      </w:r>
    </w:p>
    <w:p>
      <w:pPr>
        <w:tabs>
          <w:tab w:val="left" w:pos="525"/>
          <w:tab w:val="left" w:pos="945"/>
        </w:tabs>
        <w:spacing w:line="360" w:lineRule="auto"/>
        <w:ind w:left="420"/>
        <w:rPr>
          <w:rFonts w:ascii="宋体" w:hAnsi="宋体"/>
          <w:bCs/>
          <w:sz w:val="24"/>
        </w:rPr>
      </w:pPr>
      <w:r>
        <w:rPr>
          <w:rFonts w:hint="eastAsia" w:ascii="宋体" w:hAnsi="宋体"/>
          <w:bCs/>
          <w:sz w:val="24"/>
        </w:rPr>
        <w:t>（5）人员配置情况：人员配置表及拟派项目负责人简历表（格式见附件）。</w:t>
      </w:r>
    </w:p>
    <w:p>
      <w:pPr>
        <w:tabs>
          <w:tab w:val="left" w:pos="525"/>
          <w:tab w:val="left" w:pos="945"/>
        </w:tabs>
        <w:spacing w:line="360" w:lineRule="auto"/>
        <w:ind w:left="420"/>
        <w:rPr>
          <w:rFonts w:ascii="宋体" w:hAnsi="宋体"/>
          <w:bCs/>
          <w:sz w:val="24"/>
        </w:rPr>
      </w:pPr>
      <w:r>
        <w:rPr>
          <w:rFonts w:hint="eastAsia" w:ascii="宋体" w:hAnsi="宋体"/>
          <w:bCs/>
          <w:sz w:val="24"/>
        </w:rPr>
        <w:t>（6）服务保障承诺书。</w:t>
      </w:r>
    </w:p>
    <w:p>
      <w:pPr>
        <w:tabs>
          <w:tab w:val="left" w:pos="525"/>
          <w:tab w:val="left" w:pos="945"/>
        </w:tabs>
        <w:spacing w:line="360" w:lineRule="auto"/>
        <w:ind w:left="420"/>
        <w:rPr>
          <w:rFonts w:ascii="宋体" w:hAnsi="宋体"/>
          <w:bCs/>
          <w:sz w:val="24"/>
        </w:rPr>
      </w:pPr>
      <w:r>
        <w:rPr>
          <w:rFonts w:hint="eastAsia" w:ascii="宋体" w:hAnsi="宋体"/>
          <w:bCs/>
          <w:sz w:val="24"/>
        </w:rPr>
        <w:t>（7）其它</w:t>
      </w:r>
      <w:r>
        <w:rPr>
          <w:rFonts w:hint="eastAsia" w:ascii="宋体" w:hAnsi="宋体"/>
          <w:b/>
          <w:bCs/>
          <w:sz w:val="24"/>
        </w:rPr>
        <w:t>（投标人认为有必要提供的声明和文件，如有自拟并自行添加）</w:t>
      </w:r>
    </w:p>
    <w:p>
      <w:pPr>
        <w:spacing w:line="430" w:lineRule="exact"/>
        <w:ind w:firstLine="482" w:firstLineChars="200"/>
        <w:rPr>
          <w:rFonts w:ascii="宋体" w:hAnsi="宋体"/>
          <w:b/>
          <w:bCs/>
          <w:sz w:val="24"/>
        </w:rPr>
      </w:pPr>
      <w:r>
        <w:rPr>
          <w:rFonts w:ascii="宋体" w:hAnsi="宋体"/>
          <w:b/>
          <w:bCs/>
          <w:sz w:val="24"/>
        </w:rPr>
        <w:t>暗标部分</w:t>
      </w:r>
      <w:r>
        <w:rPr>
          <w:rFonts w:hint="eastAsia" w:ascii="宋体" w:hAnsi="宋体"/>
          <w:b/>
          <w:bCs/>
          <w:sz w:val="24"/>
        </w:rPr>
        <w:t>：</w:t>
      </w:r>
    </w:p>
    <w:p>
      <w:pPr>
        <w:spacing w:line="430" w:lineRule="exact"/>
        <w:ind w:firstLine="482" w:firstLineChars="200"/>
        <w:rPr>
          <w:rFonts w:ascii="宋体" w:hAnsi="宋体"/>
          <w:b/>
          <w:bCs/>
          <w:sz w:val="24"/>
        </w:rPr>
      </w:pPr>
      <w:r>
        <w:rPr>
          <w:rFonts w:hint="eastAsia" w:ascii="宋体" w:hAnsi="宋体"/>
          <w:b/>
          <w:bCs/>
          <w:sz w:val="24"/>
        </w:rPr>
        <w:t>3.技术标的组成：</w:t>
      </w:r>
    </w:p>
    <w:p>
      <w:pPr>
        <w:spacing w:line="360" w:lineRule="auto"/>
        <w:ind w:firstLine="600" w:firstLineChars="250"/>
        <w:rPr>
          <w:rFonts w:ascii="宋体" w:hAnsi="宋体"/>
          <w:bCs/>
          <w:sz w:val="24"/>
        </w:rPr>
      </w:pPr>
      <w:r>
        <w:rPr>
          <w:rFonts w:hint="eastAsia" w:ascii="宋体" w:hAnsi="宋体"/>
          <w:bCs/>
          <w:sz w:val="24"/>
        </w:rPr>
        <w:t>3.1 封面</w:t>
      </w:r>
    </w:p>
    <w:p>
      <w:pPr>
        <w:spacing w:line="360" w:lineRule="auto"/>
        <w:ind w:firstLine="600" w:firstLineChars="250"/>
        <w:rPr>
          <w:rFonts w:ascii="宋体" w:hAnsi="宋体"/>
          <w:bCs/>
          <w:sz w:val="24"/>
        </w:rPr>
      </w:pPr>
      <w:r>
        <w:rPr>
          <w:rFonts w:hint="eastAsia" w:ascii="宋体" w:hAnsi="宋体"/>
          <w:bCs/>
          <w:sz w:val="24"/>
        </w:rPr>
        <w:t>3.2 技术标目录</w:t>
      </w:r>
    </w:p>
    <w:p>
      <w:pPr>
        <w:spacing w:line="360" w:lineRule="auto"/>
        <w:ind w:firstLine="600" w:firstLineChars="250"/>
        <w:rPr>
          <w:rFonts w:ascii="宋体" w:hAnsi="宋体"/>
          <w:bCs/>
          <w:sz w:val="24"/>
        </w:rPr>
      </w:pPr>
      <w:r>
        <w:rPr>
          <w:rFonts w:hint="eastAsia" w:ascii="宋体" w:hAnsi="宋体"/>
          <w:bCs/>
          <w:sz w:val="24"/>
        </w:rPr>
        <w:t xml:space="preserve">3.3暗标 </w:t>
      </w:r>
    </w:p>
    <w:p>
      <w:pPr>
        <w:spacing w:line="360" w:lineRule="auto"/>
        <w:ind w:firstLine="600" w:firstLineChars="250"/>
        <w:rPr>
          <w:rFonts w:ascii="宋体" w:hAnsi="宋体"/>
          <w:bCs/>
          <w:sz w:val="24"/>
        </w:rPr>
      </w:pPr>
      <w:r>
        <w:rPr>
          <w:rFonts w:hint="eastAsia" w:ascii="宋体" w:hAnsi="宋体"/>
          <w:bCs/>
          <w:sz w:val="24"/>
        </w:rPr>
        <w:t>3.3.1开展第三方测评工作的重点，难点及对策的分析</w:t>
      </w:r>
    </w:p>
    <w:p>
      <w:pPr>
        <w:spacing w:line="360" w:lineRule="auto"/>
        <w:ind w:firstLine="600" w:firstLineChars="250"/>
        <w:rPr>
          <w:rFonts w:ascii="宋体" w:hAnsi="宋体"/>
          <w:bCs/>
          <w:sz w:val="24"/>
        </w:rPr>
      </w:pPr>
      <w:r>
        <w:rPr>
          <w:rFonts w:hint="eastAsia" w:ascii="宋体" w:hAnsi="宋体"/>
          <w:bCs/>
          <w:sz w:val="24"/>
        </w:rPr>
        <w:t>3.3.2生活垃圾测评</w:t>
      </w:r>
      <w:r>
        <w:rPr>
          <w:rFonts w:hint="eastAsia" w:ascii="宋体" w:hAnsi="宋体"/>
          <w:bCs/>
          <w:color w:val="auto"/>
          <w:sz w:val="24"/>
        </w:rPr>
        <w:t>工作措</w:t>
      </w:r>
      <w:r>
        <w:rPr>
          <w:rFonts w:hint="eastAsia" w:ascii="宋体" w:hAnsi="宋体"/>
          <w:bCs/>
          <w:sz w:val="24"/>
        </w:rPr>
        <w:t>施方案</w:t>
      </w:r>
    </w:p>
    <w:p>
      <w:pPr>
        <w:spacing w:line="360" w:lineRule="auto"/>
        <w:ind w:firstLine="600" w:firstLineChars="250"/>
        <w:rPr>
          <w:rFonts w:ascii="宋体" w:hAnsi="宋体"/>
          <w:bCs/>
          <w:sz w:val="24"/>
        </w:rPr>
      </w:pPr>
      <w:r>
        <w:rPr>
          <w:rFonts w:hint="eastAsia" w:ascii="宋体" w:hAnsi="宋体"/>
          <w:bCs/>
          <w:sz w:val="24"/>
        </w:rPr>
        <w:t xml:space="preserve">3.3.3项目组工作人员的培训方案                  </w:t>
      </w:r>
    </w:p>
    <w:p>
      <w:pPr>
        <w:spacing w:line="360" w:lineRule="auto"/>
        <w:ind w:firstLine="600" w:firstLineChars="250"/>
        <w:rPr>
          <w:rFonts w:ascii="宋体" w:hAnsi="宋体"/>
          <w:bCs/>
          <w:sz w:val="24"/>
        </w:rPr>
      </w:pPr>
      <w:r>
        <w:rPr>
          <w:rFonts w:hint="eastAsia" w:ascii="宋体" w:hAnsi="宋体"/>
          <w:bCs/>
          <w:sz w:val="24"/>
        </w:rPr>
        <w:t xml:space="preserve">3.3.4其他优化措施及后续服务承诺（围绕采购需求和市城管局考核办法）  </w:t>
      </w:r>
    </w:p>
    <w:p>
      <w:pPr>
        <w:spacing w:line="360" w:lineRule="auto"/>
        <w:ind w:firstLine="600" w:firstLineChars="250"/>
        <w:rPr>
          <w:rFonts w:ascii="宋体" w:hAnsi="宋体"/>
          <w:sz w:val="24"/>
        </w:rPr>
      </w:pPr>
      <w:r>
        <w:rPr>
          <w:rFonts w:hint="eastAsia" w:ascii="宋体" w:hAnsi="宋体"/>
          <w:bCs/>
          <w:sz w:val="24"/>
        </w:rPr>
        <w:t xml:space="preserve">3.3.5服务于本项目的《城市生活垃圾分类第三方测评手册》 </w:t>
      </w:r>
      <w:r>
        <w:rPr>
          <w:rFonts w:hint="eastAsia" w:ascii="宋体" w:hAnsi="宋体"/>
          <w:sz w:val="24"/>
        </w:rPr>
        <w:t xml:space="preserve">       </w:t>
      </w:r>
      <w:r>
        <w:rPr>
          <w:rFonts w:hint="eastAsia" w:ascii="宋体" w:hAnsi="宋体"/>
          <w:bCs/>
          <w:sz w:val="24"/>
        </w:rPr>
        <w:t xml:space="preserve">        </w:t>
      </w:r>
      <w:r>
        <w:rPr>
          <w:rFonts w:hint="eastAsia"/>
          <w:szCs w:val="21"/>
        </w:rPr>
        <w:t xml:space="preserve">    </w:t>
      </w:r>
    </w:p>
    <w:p>
      <w:pPr>
        <w:spacing w:line="420" w:lineRule="exact"/>
        <w:ind w:firstLine="600" w:firstLineChars="250"/>
        <w:rPr>
          <w:rFonts w:hAnsi="宋体"/>
          <w:bCs/>
          <w:color w:val="000000"/>
          <w:sz w:val="24"/>
        </w:rPr>
      </w:pPr>
      <w:r>
        <w:rPr>
          <w:rFonts w:hint="eastAsia" w:hAnsi="宋体"/>
          <w:bCs/>
          <w:color w:val="000000"/>
          <w:sz w:val="24"/>
        </w:rPr>
        <w:t>三、我们同意按采购文件中的规定，本投标文件投标的有效期限为中标通知书发出之日起90天。</w:t>
      </w:r>
    </w:p>
    <w:p>
      <w:pPr>
        <w:tabs>
          <w:tab w:val="left" w:pos="525"/>
          <w:tab w:val="left" w:pos="552"/>
          <w:tab w:val="left" w:pos="630"/>
          <w:tab w:val="left" w:pos="945"/>
        </w:tabs>
        <w:spacing w:line="420" w:lineRule="exact"/>
        <w:ind w:firstLine="480" w:firstLineChars="200"/>
        <w:rPr>
          <w:rFonts w:hAnsi="宋体"/>
          <w:bCs/>
          <w:color w:val="000000"/>
          <w:sz w:val="24"/>
        </w:rPr>
      </w:pPr>
      <w:r>
        <w:rPr>
          <w:rFonts w:hint="eastAsia" w:hAnsi="宋体"/>
          <w:color w:val="000000"/>
          <w:sz w:val="24"/>
        </w:rPr>
        <w:t>四、我方同意按采购文件中的规定期限内完成全部工作。</w:t>
      </w:r>
    </w:p>
    <w:p>
      <w:pPr>
        <w:tabs>
          <w:tab w:val="left" w:pos="525"/>
          <w:tab w:val="left" w:pos="552"/>
          <w:tab w:val="left" w:pos="945"/>
        </w:tabs>
        <w:spacing w:line="420" w:lineRule="exact"/>
        <w:ind w:firstLine="480" w:firstLineChars="200"/>
        <w:rPr>
          <w:rFonts w:hAnsi="宋体"/>
          <w:bCs/>
          <w:color w:val="000000"/>
          <w:sz w:val="24"/>
        </w:rPr>
      </w:pPr>
      <w:r>
        <w:rPr>
          <w:rFonts w:hint="eastAsia" w:hAnsi="宋体"/>
          <w:bCs/>
          <w:color w:val="000000"/>
          <w:sz w:val="24"/>
        </w:rPr>
        <w:t>五、如果我们的投标文件被接受，我们将履行采购文件中规定的每一项要求，按期、按质、按量，完成交货任务。</w:t>
      </w:r>
    </w:p>
    <w:p>
      <w:pPr>
        <w:tabs>
          <w:tab w:val="left" w:pos="525"/>
          <w:tab w:val="left" w:pos="552"/>
          <w:tab w:val="left" w:pos="945"/>
        </w:tabs>
        <w:spacing w:line="420" w:lineRule="exact"/>
        <w:ind w:firstLine="480" w:firstLineChars="200"/>
        <w:rPr>
          <w:rFonts w:hAnsi="宋体"/>
          <w:bCs/>
          <w:color w:val="000000"/>
          <w:sz w:val="24"/>
        </w:rPr>
      </w:pPr>
      <w:r>
        <w:rPr>
          <w:rFonts w:hint="eastAsia" w:hAnsi="宋体"/>
          <w:bCs/>
          <w:color w:val="000000"/>
          <w:sz w:val="24"/>
        </w:rPr>
        <w:t>六、我们认为你们有权决定成交者。</w:t>
      </w:r>
    </w:p>
    <w:p>
      <w:pPr>
        <w:tabs>
          <w:tab w:val="left" w:pos="525"/>
          <w:tab w:val="left" w:pos="552"/>
          <w:tab w:val="left" w:pos="945"/>
        </w:tabs>
        <w:spacing w:line="420" w:lineRule="exact"/>
        <w:ind w:firstLine="480" w:firstLineChars="200"/>
        <w:rPr>
          <w:rFonts w:hAnsi="宋体"/>
          <w:bCs/>
          <w:color w:val="000000"/>
          <w:sz w:val="24"/>
        </w:rPr>
      </w:pPr>
      <w:r>
        <w:rPr>
          <w:rFonts w:hint="eastAsia" w:hAnsi="宋体"/>
          <w:bCs/>
          <w:color w:val="000000"/>
          <w:sz w:val="24"/>
        </w:rPr>
        <w:t>七、我方愿意遵守《中华人民共和国政府采购法》，并按《中华人民共和国民法典》和合同条款履行自己的全部责任。在合同履行过程中，双方如有争议，同意由普信国际工程咨询有限公司协调解决，并按相关法规和有关文件规定处理。</w:t>
      </w:r>
    </w:p>
    <w:p>
      <w:pPr>
        <w:tabs>
          <w:tab w:val="left" w:pos="525"/>
          <w:tab w:val="left" w:pos="552"/>
          <w:tab w:val="left" w:pos="945"/>
        </w:tabs>
        <w:spacing w:line="420" w:lineRule="exact"/>
        <w:ind w:firstLine="480" w:firstLineChars="200"/>
        <w:rPr>
          <w:rFonts w:hAnsi="宋体"/>
          <w:bCs/>
          <w:color w:val="000000"/>
          <w:sz w:val="24"/>
        </w:rPr>
      </w:pPr>
      <w:r>
        <w:rPr>
          <w:rFonts w:hint="eastAsia" w:hAnsi="宋体"/>
          <w:bCs/>
          <w:color w:val="000000"/>
          <w:sz w:val="24"/>
        </w:rPr>
        <w:t>八、我们认可并保证遵守采购文件的所有规定，放弃对采购文件提出质疑的权利。</w:t>
      </w:r>
    </w:p>
    <w:p>
      <w:pPr>
        <w:tabs>
          <w:tab w:val="left" w:pos="525"/>
          <w:tab w:val="left" w:pos="552"/>
          <w:tab w:val="left" w:pos="945"/>
        </w:tabs>
        <w:spacing w:line="420" w:lineRule="exact"/>
        <w:ind w:firstLine="480" w:firstLineChars="200"/>
        <w:rPr>
          <w:rFonts w:hAnsi="宋体"/>
          <w:bCs/>
          <w:color w:val="000000"/>
          <w:sz w:val="24"/>
        </w:rPr>
      </w:pPr>
      <w:r>
        <w:rPr>
          <w:rFonts w:hint="eastAsia" w:hAnsi="宋体"/>
          <w:bCs/>
          <w:color w:val="000000"/>
          <w:sz w:val="24"/>
        </w:rPr>
        <w:t>九、如果我方被确定为中标供应商，且我方如无不可抗力，又未履行采购文件、投标文件和合同条款的，一经查实，我方愿意赔偿由此而造成的一切损失，并同意接受按采购文件的相关要求对我方进行的处理。</w:t>
      </w:r>
    </w:p>
    <w:p>
      <w:pPr>
        <w:spacing w:line="420" w:lineRule="exact"/>
        <w:ind w:firstLine="480" w:firstLineChars="200"/>
        <w:rPr>
          <w:rFonts w:hAnsi="宋体"/>
          <w:bCs/>
          <w:color w:val="000000"/>
          <w:sz w:val="24"/>
        </w:rPr>
      </w:pPr>
      <w:r>
        <w:rPr>
          <w:rFonts w:hint="eastAsia" w:hAnsi="宋体"/>
          <w:bCs/>
          <w:color w:val="000000"/>
          <w:sz w:val="24"/>
        </w:rPr>
        <w:t xml:space="preserve">投标供应商（盖章）：     </w:t>
      </w:r>
    </w:p>
    <w:p>
      <w:pPr>
        <w:spacing w:line="420" w:lineRule="exact"/>
        <w:ind w:firstLine="480" w:firstLineChars="200"/>
        <w:rPr>
          <w:rFonts w:hAnsi="宋体"/>
          <w:bCs/>
          <w:color w:val="000000"/>
          <w:sz w:val="24"/>
        </w:rPr>
      </w:pPr>
      <w:r>
        <w:rPr>
          <w:rFonts w:hint="eastAsia" w:hAnsi="宋体"/>
          <w:bCs/>
          <w:color w:val="000000"/>
          <w:sz w:val="24"/>
        </w:rPr>
        <w:t>法定代表人或法定代表人授权代表签字或盖章：</w:t>
      </w:r>
    </w:p>
    <w:p>
      <w:pPr>
        <w:spacing w:line="420" w:lineRule="exact"/>
        <w:ind w:firstLine="480" w:firstLineChars="200"/>
        <w:rPr>
          <w:rFonts w:hAnsi="宋体"/>
          <w:bCs/>
          <w:color w:val="000000"/>
          <w:sz w:val="24"/>
        </w:rPr>
      </w:pPr>
      <w:r>
        <w:rPr>
          <w:rFonts w:hint="eastAsia" w:hAnsi="宋体"/>
          <w:bCs/>
          <w:color w:val="000000"/>
          <w:sz w:val="24"/>
        </w:rPr>
        <w:t xml:space="preserve">电话：                              传真：              </w:t>
      </w:r>
    </w:p>
    <w:p>
      <w:pPr>
        <w:spacing w:line="420" w:lineRule="exact"/>
        <w:ind w:firstLine="480" w:firstLineChars="200"/>
        <w:rPr>
          <w:rFonts w:hAnsi="宋体"/>
          <w:bCs/>
          <w:color w:val="000000"/>
          <w:sz w:val="24"/>
        </w:rPr>
      </w:pPr>
      <w:r>
        <w:rPr>
          <w:rFonts w:hint="eastAsia" w:hAnsi="宋体"/>
          <w:bCs/>
          <w:color w:val="000000"/>
          <w:sz w:val="24"/>
        </w:rPr>
        <w:t xml:space="preserve">地址：                              邮编：                              </w:t>
      </w:r>
    </w:p>
    <w:p>
      <w:pPr>
        <w:spacing w:line="420" w:lineRule="exact"/>
        <w:ind w:firstLine="480" w:firstLineChars="200"/>
        <w:rPr>
          <w:rFonts w:hAnsi="宋体"/>
          <w:bCs/>
          <w:color w:val="000000"/>
          <w:sz w:val="24"/>
        </w:rPr>
      </w:pPr>
      <w:r>
        <w:rPr>
          <w:rFonts w:hint="eastAsia" w:hAnsi="宋体"/>
          <w:bCs/>
          <w:color w:val="000000"/>
          <w:sz w:val="24"/>
        </w:rPr>
        <w:t xml:space="preserve">开户名称：                 </w:t>
      </w:r>
    </w:p>
    <w:p>
      <w:pPr>
        <w:spacing w:line="420" w:lineRule="exact"/>
        <w:ind w:firstLine="480" w:firstLineChars="200"/>
        <w:rPr>
          <w:rFonts w:hAnsi="宋体"/>
          <w:bCs/>
          <w:color w:val="000000"/>
          <w:sz w:val="24"/>
        </w:rPr>
      </w:pPr>
      <w:r>
        <w:rPr>
          <w:rFonts w:hint="eastAsia" w:hAnsi="宋体"/>
          <w:bCs/>
          <w:color w:val="000000"/>
          <w:sz w:val="24"/>
        </w:rPr>
        <w:t xml:space="preserve">开户银行：                </w:t>
      </w:r>
    </w:p>
    <w:p>
      <w:pPr>
        <w:spacing w:line="420" w:lineRule="exact"/>
        <w:ind w:firstLine="480" w:firstLineChars="200"/>
        <w:rPr>
          <w:rFonts w:hAnsi="宋体"/>
          <w:bCs/>
          <w:color w:val="000000"/>
          <w:sz w:val="24"/>
        </w:rPr>
      </w:pPr>
      <w:r>
        <w:rPr>
          <w:rFonts w:hint="eastAsia" w:hAnsi="宋体"/>
          <w:bCs/>
          <w:color w:val="000000"/>
          <w:sz w:val="24"/>
        </w:rPr>
        <w:t>开户账号：</w:t>
      </w:r>
      <w:bookmarkStart w:id="8" w:name="校园网系统报价和服务承诺表（格式）"/>
      <w:bookmarkEnd w:id="8"/>
      <w:bookmarkStart w:id="9" w:name="（报价人）法定代表人授权书（格式）"/>
      <w:bookmarkEnd w:id="9"/>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spacing w:line="400" w:lineRule="exact"/>
        <w:rPr>
          <w:rFonts w:ascii="黑体" w:hAnsi="宋体" w:eastAsia="黑体"/>
          <w:bCs/>
          <w:sz w:val="24"/>
        </w:rPr>
      </w:pPr>
    </w:p>
    <w:p>
      <w:pPr>
        <w:spacing w:line="400" w:lineRule="exact"/>
        <w:rPr>
          <w:rFonts w:ascii="黑体" w:hAnsi="宋体" w:eastAsia="黑体"/>
          <w:bCs/>
          <w:sz w:val="24"/>
        </w:rPr>
      </w:pPr>
    </w:p>
    <w:p>
      <w:pPr>
        <w:spacing w:line="400" w:lineRule="exact"/>
        <w:rPr>
          <w:rFonts w:ascii="黑体" w:hAnsi="宋体" w:eastAsia="黑体"/>
          <w:bCs/>
          <w:sz w:val="24"/>
        </w:rPr>
      </w:pPr>
    </w:p>
    <w:p>
      <w:pPr>
        <w:spacing w:line="400" w:lineRule="exact"/>
        <w:rPr>
          <w:rFonts w:ascii="黑体" w:hAnsi="宋体" w:eastAsia="黑体"/>
          <w:bCs/>
          <w:sz w:val="24"/>
        </w:rPr>
      </w:pPr>
    </w:p>
    <w:p>
      <w:pPr>
        <w:spacing w:line="400" w:lineRule="exact"/>
        <w:rPr>
          <w:rFonts w:ascii="黑体" w:hAnsi="宋体" w:eastAsia="黑体"/>
          <w:bCs/>
          <w:sz w:val="24"/>
        </w:rPr>
      </w:pPr>
    </w:p>
    <w:p>
      <w:pPr>
        <w:spacing w:line="400" w:lineRule="exact"/>
        <w:rPr>
          <w:rFonts w:ascii="黑体" w:eastAsia="黑体"/>
          <w:bCs/>
          <w:sz w:val="28"/>
          <w:szCs w:val="28"/>
        </w:rPr>
      </w:pPr>
      <w:r>
        <w:rPr>
          <w:rFonts w:hint="eastAsia" w:ascii="黑体" w:hAnsi="宋体" w:eastAsia="黑体"/>
          <w:bCs/>
          <w:sz w:val="24"/>
        </w:rPr>
        <w:br w:type="column"/>
      </w:r>
      <w:r>
        <w:rPr>
          <w:rFonts w:hint="eastAsia" w:ascii="黑体" w:hAnsi="宋体" w:eastAsia="黑体"/>
          <w:bCs/>
          <w:sz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10" w:name="报价方关于资格的声明函（格式）"/>
      <w:bookmarkEnd w:id="10"/>
      <w:r>
        <w:rPr>
          <w:rFonts w:hint="eastAsia" w:ascii="黑体" w:eastAsia="黑体"/>
          <w:bCs/>
          <w:sz w:val="28"/>
          <w:szCs w:val="28"/>
        </w:rPr>
        <w:t>关于资格的声明函</w:t>
      </w: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r>
        <w:rPr>
          <w:rFonts w:hint="eastAsia" w:ascii="宋体" w:hAnsi="宋体"/>
          <w:bCs/>
          <w:sz w:val="24"/>
        </w:rPr>
        <w:t>普信国际工程咨询有限公司：</w:t>
      </w:r>
    </w:p>
    <w:p>
      <w:pPr>
        <w:spacing w:line="480" w:lineRule="auto"/>
        <w:rPr>
          <w:rFonts w:ascii="宋体" w:hAnsi="宋体"/>
          <w:bCs/>
          <w:sz w:val="24"/>
        </w:rPr>
      </w:pPr>
      <w:r>
        <w:rPr>
          <w:rFonts w:hint="eastAsia" w:ascii="宋体" w:hAnsi="宋体"/>
          <w:bCs/>
          <w:sz w:val="24"/>
        </w:rPr>
        <w:t xml:space="preserve">   </w:t>
      </w:r>
    </w:p>
    <w:p>
      <w:pPr>
        <w:spacing w:line="480" w:lineRule="auto"/>
        <w:ind w:firstLine="480" w:firstLineChars="200"/>
        <w:rPr>
          <w:rFonts w:ascii="宋体" w:hAnsi="宋体"/>
          <w:bCs/>
          <w:sz w:val="24"/>
        </w:rPr>
      </w:pPr>
      <w:r>
        <w:rPr>
          <w:rFonts w:hint="eastAsia" w:ascii="宋体" w:hAnsi="宋体"/>
          <w:bCs/>
          <w:sz w:val="24"/>
        </w:rPr>
        <w:t>1.我公司在参加政府采购活动前三年内在生产经营活动中没有重大违法记录。</w:t>
      </w:r>
    </w:p>
    <w:p>
      <w:pPr>
        <w:spacing w:line="480" w:lineRule="auto"/>
        <w:ind w:firstLine="480" w:firstLineChars="200"/>
        <w:rPr>
          <w:rFonts w:ascii="宋体" w:hAnsi="宋体"/>
          <w:bCs/>
          <w:sz w:val="24"/>
        </w:rPr>
      </w:pPr>
      <w:r>
        <w:rPr>
          <w:rFonts w:hint="eastAsia" w:ascii="宋体" w:hAnsi="宋体"/>
          <w:bCs/>
          <w:sz w:val="24"/>
        </w:rPr>
        <w:t>2.我公司（单位）愿针对本次项目（</w:t>
      </w:r>
      <w:r>
        <w:rPr>
          <w:rFonts w:hint="eastAsia" w:ascii="黑体" w:eastAsia="黑体"/>
          <w:bCs/>
          <w:sz w:val="24"/>
        </w:rPr>
        <w:t>PXGJCG2022-178   ）</w:t>
      </w:r>
      <w:r>
        <w:rPr>
          <w:rFonts w:hint="eastAsia" w:ascii="宋体" w:hAnsi="宋体"/>
          <w:bCs/>
          <w:sz w:val="24"/>
        </w:rPr>
        <w:t>进行投标，投标文件中所有关于投标资格的文件、证明、陈述均是真实的、准确的。若有违背，我公司（单位）</w:t>
      </w:r>
      <w:r>
        <w:rPr>
          <w:rFonts w:hint="eastAsia" w:ascii="宋体" w:hAnsi="宋体"/>
          <w:bCs/>
          <w:sz w:val="24"/>
          <w:u w:val="single"/>
        </w:rPr>
        <w:t xml:space="preserve">               </w:t>
      </w:r>
      <w:r>
        <w:rPr>
          <w:rFonts w:hint="eastAsia" w:ascii="宋体" w:hAnsi="宋体"/>
          <w:bCs/>
          <w:sz w:val="24"/>
        </w:rPr>
        <w:t>愿意承担由此而产生的一切后果。</w:t>
      </w:r>
    </w:p>
    <w:p>
      <w:pPr>
        <w:spacing w:line="480" w:lineRule="auto"/>
        <w:rPr>
          <w:rFonts w:ascii="宋体" w:hAnsi="宋体"/>
          <w:bCs/>
          <w:sz w:val="24"/>
        </w:rPr>
      </w:pPr>
    </w:p>
    <w:p>
      <w:pPr>
        <w:spacing w:line="480" w:lineRule="auto"/>
        <w:rPr>
          <w:rFonts w:ascii="宋体" w:hAnsi="宋体"/>
          <w:bCs/>
          <w:sz w:val="24"/>
        </w:rPr>
      </w:pPr>
      <w:r>
        <w:rPr>
          <w:rFonts w:hint="eastAsia" w:ascii="宋体" w:hAnsi="宋体"/>
          <w:bCs/>
          <w:sz w:val="24"/>
        </w:rPr>
        <w:t>投标人（盖章）：</w:t>
      </w:r>
    </w:p>
    <w:p>
      <w:pPr>
        <w:spacing w:line="480" w:lineRule="auto"/>
        <w:rPr>
          <w:rFonts w:ascii="宋体" w:hAnsi="宋体"/>
          <w:bCs/>
          <w:sz w:val="24"/>
        </w:rPr>
      </w:pPr>
      <w:r>
        <w:rPr>
          <w:rFonts w:hint="eastAsia" w:ascii="宋体" w:hAnsi="宋体"/>
          <w:bCs/>
          <w:sz w:val="24"/>
        </w:rPr>
        <w:t>法定代表人（签字或盖章）：</w:t>
      </w:r>
    </w:p>
    <w:p>
      <w:pPr>
        <w:spacing w:line="480" w:lineRule="auto"/>
        <w:rPr>
          <w:rFonts w:ascii="宋体" w:hAnsi="宋体"/>
          <w:bCs/>
          <w:sz w:val="24"/>
        </w:rPr>
      </w:pPr>
      <w:r>
        <w:rPr>
          <w:rFonts w:hint="eastAsia" w:ascii="宋体" w:hAnsi="宋体"/>
          <w:bCs/>
          <w:sz w:val="24"/>
        </w:rPr>
        <w:t>日期：</w:t>
      </w: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widowControl/>
        <w:topLinePunct/>
        <w:spacing w:before="4" w:line="440" w:lineRule="exact"/>
        <w:rPr>
          <w:rFonts w:ascii="宋体" w:hAnsi="宋体"/>
          <w:sz w:val="24"/>
        </w:rPr>
      </w:pPr>
    </w:p>
    <w:p>
      <w:pPr>
        <w:rPr>
          <w:rFonts w:ascii="黑体" w:hAnsi="宋体" w:eastAsia="黑体"/>
          <w:bCs/>
          <w:sz w:val="24"/>
        </w:rPr>
      </w:pPr>
      <w:r>
        <w:rPr>
          <w:rFonts w:hint="eastAsia" w:ascii="黑体" w:hAnsi="宋体" w:eastAsia="黑体"/>
          <w:bCs/>
          <w:sz w:val="24"/>
        </w:rPr>
        <w:br w:type="page"/>
      </w:r>
    </w:p>
    <w:p>
      <w:pPr>
        <w:spacing w:line="480" w:lineRule="auto"/>
        <w:rPr>
          <w:rFonts w:ascii="黑体" w:eastAsia="黑体"/>
          <w:bCs/>
          <w:sz w:val="28"/>
          <w:szCs w:val="28"/>
        </w:rPr>
      </w:pPr>
      <w:r>
        <w:rPr>
          <w:rFonts w:hint="eastAsia" w:ascii="黑体" w:hAnsi="宋体" w:eastAsia="黑体"/>
          <w:bCs/>
          <w:sz w:val="24"/>
        </w:rPr>
        <w:t>（三）法定代表人身份证明书（格式）：</w:t>
      </w:r>
    </w:p>
    <w:p>
      <w:pPr>
        <w:jc w:val="center"/>
        <w:outlineLvl w:val="0"/>
        <w:rPr>
          <w:rFonts w:ascii="宋体" w:hAnsi="宋体"/>
          <w:b/>
          <w:bCs/>
          <w:sz w:val="30"/>
          <w:szCs w:val="30"/>
        </w:rPr>
      </w:pPr>
      <w:r>
        <w:rPr>
          <w:rFonts w:hint="eastAsia" w:ascii="宋体" w:hAnsi="宋体" w:cs="宋体"/>
          <w:b/>
          <w:bCs/>
          <w:sz w:val="30"/>
          <w:szCs w:val="30"/>
        </w:rPr>
        <w:t>法定代表人授权委托书</w:t>
      </w:r>
    </w:p>
    <w:p>
      <w:pPr>
        <w:spacing w:line="360" w:lineRule="auto"/>
        <w:rPr>
          <w:rFonts w:ascii="宋体" w:hAnsi="宋体"/>
          <w:sz w:val="24"/>
        </w:rPr>
      </w:pPr>
      <w:r>
        <w:rPr>
          <w:rFonts w:ascii="宋体" w:hAnsi="宋体" w:cs="楷体_GB2312"/>
          <w:sz w:val="30"/>
          <w:szCs w:val="30"/>
        </w:rPr>
        <w:t xml:space="preserve">                        </w:t>
      </w:r>
      <w:r>
        <w:rPr>
          <w:rFonts w:ascii="宋体" w:hAnsi="宋体" w:cs="宋体"/>
          <w:sz w:val="30"/>
          <w:szCs w:val="30"/>
        </w:rPr>
        <w:t xml:space="preserve">   </w:t>
      </w:r>
      <w:r>
        <w:rPr>
          <w:rFonts w:hint="eastAsia" w:ascii="宋体" w:hAnsi="宋体" w:cs="宋体"/>
          <w:sz w:val="30"/>
          <w:szCs w:val="30"/>
        </w:rPr>
        <w:t xml:space="preserve">   </w:t>
      </w:r>
      <w:r>
        <w:rPr>
          <w:rFonts w:hint="eastAsia" w:ascii="宋体" w:hAnsi="宋体" w:cs="宋体"/>
          <w:sz w:val="24"/>
        </w:rPr>
        <w:t>采购编号：</w:t>
      </w:r>
      <w:r>
        <w:rPr>
          <w:rFonts w:hint="eastAsia" w:ascii="黑体" w:eastAsia="黑体"/>
          <w:bCs/>
          <w:sz w:val="24"/>
        </w:rPr>
        <w:t xml:space="preserve">PXGJCG2022-178    </w:t>
      </w:r>
    </w:p>
    <w:p>
      <w:pPr>
        <w:spacing w:line="360" w:lineRule="auto"/>
        <w:rPr>
          <w:rFonts w:ascii="宋体" w:hAnsi="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p>
    <w:p>
      <w:pPr>
        <w:spacing w:line="360" w:lineRule="auto"/>
        <w:rPr>
          <w:rFonts w:ascii="宋体" w:hAnsi="宋体"/>
          <w:sz w:val="24"/>
        </w:rPr>
      </w:pPr>
      <w:r>
        <w:rPr>
          <w:rFonts w:hint="eastAsia" w:ascii="宋体" w:hAnsi="宋体" w:cs="宋体"/>
          <w:sz w:val="24"/>
        </w:rPr>
        <w:t>致：</w:t>
      </w:r>
      <w:r>
        <w:rPr>
          <w:rFonts w:hint="eastAsia" w:ascii="宋体" w:hAnsi="宋体"/>
          <w:bCs/>
          <w:sz w:val="24"/>
        </w:rPr>
        <w:t>普信国际工程咨询有限公司</w:t>
      </w:r>
    </w:p>
    <w:p>
      <w:pPr>
        <w:spacing w:line="360" w:lineRule="auto"/>
        <w:rPr>
          <w:rFonts w:ascii="宋体" w:hAnsi="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（投标人单位名称）</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系中华人民共和国合法企业，</w:t>
      </w:r>
    </w:p>
    <w:p>
      <w:pPr>
        <w:spacing w:line="360" w:lineRule="auto"/>
        <w:rPr>
          <w:rFonts w:ascii="宋体" w:hAnsi="宋体"/>
          <w:sz w:val="24"/>
        </w:rPr>
      </w:pPr>
      <w:r>
        <w:rPr>
          <w:rFonts w:hint="eastAsia" w:ascii="宋体" w:hAnsi="宋体" w:cs="宋体"/>
          <w:sz w:val="24"/>
        </w:rPr>
        <w:t>法定地址：</w:t>
      </w:r>
      <w:r>
        <w:rPr>
          <w:rFonts w:ascii="宋体" w:hAnsi="宋体" w:cs="宋体"/>
          <w:sz w:val="24"/>
          <w:u w:val="single"/>
        </w:rPr>
        <w:t xml:space="preserve">                </w:t>
      </w:r>
      <w:r>
        <w:rPr>
          <w:rFonts w:hint="eastAsia" w:ascii="宋体" w:hAnsi="宋体" w:cs="宋体"/>
          <w:sz w:val="24"/>
        </w:rPr>
        <w:t>，特授权</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代表我公司（单位）全权办理针对本项目（采购编号：PXGJCG2022-178）的投标，参与谈判、签约等具体工作，并签署全部有关的文件、协议及合同。</w:t>
      </w:r>
    </w:p>
    <w:p>
      <w:pPr>
        <w:spacing w:line="360" w:lineRule="auto"/>
        <w:ind w:firstLine="525"/>
        <w:rPr>
          <w:rFonts w:ascii="宋体" w:hAnsi="宋体"/>
          <w:sz w:val="24"/>
        </w:rPr>
      </w:pPr>
      <w:r>
        <w:rPr>
          <w:rFonts w:hint="eastAsia" w:ascii="宋体" w:hAnsi="宋体" w:cs="宋体"/>
          <w:sz w:val="24"/>
        </w:rPr>
        <w:t>我公司（单位）对被授权人的签名负全部责任。</w:t>
      </w:r>
    </w:p>
    <w:p>
      <w:pPr>
        <w:spacing w:line="360" w:lineRule="auto"/>
        <w:ind w:firstLine="523" w:firstLineChars="218"/>
        <w:rPr>
          <w:rFonts w:ascii="宋体" w:hAnsi="宋体"/>
          <w:sz w:val="24"/>
        </w:rPr>
      </w:pPr>
      <w:r>
        <w:rPr>
          <w:rFonts w:hint="eastAsia" w:ascii="宋体" w:hAnsi="宋体" w:cs="宋体"/>
          <w:sz w:val="24"/>
        </w:rPr>
        <w:t>在撤销授权的书面通知送达你处以前，本授权书一直有效，被授权人签署的所有文件（在授权书有效期内签署的）不因授权的撤销而失效。被授权人有（无）转委托权。</w:t>
      </w:r>
    </w:p>
    <w:p>
      <w:pPr>
        <w:spacing w:line="360" w:lineRule="auto"/>
        <w:ind w:firstLine="523" w:firstLineChars="218"/>
        <w:rPr>
          <w:rFonts w:ascii="宋体" w:hAnsi="宋体"/>
          <w:sz w:val="24"/>
        </w:rPr>
      </w:pPr>
    </w:p>
    <w:p>
      <w:pPr>
        <w:spacing w:line="360" w:lineRule="auto"/>
        <w:ind w:firstLine="525"/>
        <w:rPr>
          <w:rFonts w:ascii="宋体" w:hAnsi="宋体"/>
          <w:sz w:val="24"/>
        </w:rPr>
      </w:pPr>
      <w:r>
        <w:rPr>
          <w:rFonts w:hint="eastAsia" w:ascii="宋体" w:hAnsi="宋体" w:cs="宋体"/>
          <w:sz w:val="24"/>
        </w:rPr>
        <w:t>被授权人情况：</w:t>
      </w:r>
    </w:p>
    <w:p>
      <w:pPr>
        <w:spacing w:line="360" w:lineRule="auto"/>
        <w:ind w:firstLine="525"/>
        <w:rPr>
          <w:rFonts w:ascii="宋体" w:hAnsi="宋体"/>
          <w:sz w:val="24"/>
        </w:rPr>
      </w:pPr>
      <w:r>
        <w:rPr>
          <w:rFonts w:hint="eastAsia" w:ascii="宋体" w:hAnsi="宋体" w:cs="宋体"/>
          <w:sz w:val="24"/>
        </w:rPr>
        <w:t>姓名：</w:t>
      </w:r>
      <w:r>
        <w:rPr>
          <w:rFonts w:ascii="宋体" w:hAnsi="宋体" w:cs="宋体"/>
          <w:sz w:val="24"/>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年龄：</w:t>
      </w:r>
      <w:r>
        <w:rPr>
          <w:rFonts w:ascii="宋体" w:hAnsi="宋体" w:cs="宋体"/>
          <w:sz w:val="24"/>
        </w:rPr>
        <w:t xml:space="preserve">        </w:t>
      </w:r>
      <w:r>
        <w:rPr>
          <w:rFonts w:hint="eastAsia" w:ascii="宋体" w:hAnsi="宋体" w:cs="宋体"/>
          <w:sz w:val="24"/>
        </w:rPr>
        <w:t>职务：</w:t>
      </w:r>
    </w:p>
    <w:p>
      <w:pPr>
        <w:spacing w:line="360" w:lineRule="auto"/>
        <w:ind w:firstLine="525"/>
        <w:rPr>
          <w:rFonts w:ascii="宋体" w:hAnsi="宋体"/>
          <w:sz w:val="24"/>
        </w:rPr>
      </w:pPr>
      <w:r>
        <w:rPr>
          <w:rFonts w:hint="eastAsia" w:ascii="宋体" w:hAnsi="宋体" w:cs="宋体"/>
          <w:sz w:val="24"/>
        </w:rPr>
        <w:t>身份证号码：</w:t>
      </w:r>
      <w:r>
        <w:rPr>
          <w:rFonts w:ascii="宋体" w:hAnsi="宋体" w:cs="宋体"/>
          <w:sz w:val="24"/>
        </w:rPr>
        <w:t xml:space="preserve">                    </w:t>
      </w:r>
      <w:r>
        <w:rPr>
          <w:rFonts w:hint="eastAsia" w:ascii="宋体" w:hAnsi="宋体" w:cs="宋体"/>
          <w:sz w:val="24"/>
        </w:rPr>
        <w:t>电话：</w:t>
      </w:r>
    </w:p>
    <w:p>
      <w:pPr>
        <w:spacing w:line="360" w:lineRule="auto"/>
        <w:ind w:firstLine="525"/>
        <w:rPr>
          <w:rFonts w:ascii="宋体" w:hAnsi="宋体"/>
          <w:sz w:val="24"/>
        </w:rPr>
      </w:pPr>
      <w:r>
        <w:rPr>
          <w:rFonts w:hint="eastAsia" w:ascii="宋体" w:hAnsi="宋体" w:cs="宋体"/>
          <w:sz w:val="24"/>
        </w:rPr>
        <w:t>通讯地址：</w:t>
      </w:r>
    </w:p>
    <w:p>
      <w:pPr>
        <w:spacing w:line="360" w:lineRule="auto"/>
        <w:ind w:firstLine="525"/>
        <w:rPr>
          <w:rFonts w:ascii="宋体" w:hAnsi="宋体"/>
          <w:sz w:val="24"/>
        </w:rPr>
      </w:pPr>
      <w:r>
        <w:rPr>
          <w:rFonts w:hint="eastAsia" w:ascii="宋体" w:hAnsi="宋体" w:cs="宋体"/>
          <w:sz w:val="24"/>
        </w:rPr>
        <w:t>被授权人签名：</w:t>
      </w:r>
      <w:r>
        <w:rPr>
          <w:rFonts w:ascii="宋体" w:hAnsi="宋体" w:cs="宋体"/>
          <w:sz w:val="24"/>
        </w:rPr>
        <w:t xml:space="preserve">                </w:t>
      </w:r>
      <w:r>
        <w:rPr>
          <w:rFonts w:hint="eastAsia" w:ascii="宋体" w:hAnsi="宋体" w:cs="宋体"/>
          <w:sz w:val="24"/>
        </w:rPr>
        <w:t>单位名称（盖章）：</w:t>
      </w:r>
    </w:p>
    <w:p>
      <w:pPr>
        <w:spacing w:line="480" w:lineRule="auto"/>
        <w:ind w:firstLine="420"/>
        <w:rPr>
          <w:rFonts w:ascii="宋体" w:hAnsi="宋体" w:cs="宋体"/>
          <w:sz w:val="24"/>
        </w:rPr>
      </w:pPr>
      <w:r>
        <w:rPr>
          <w:rFonts w:ascii="宋体" w:hAnsi="宋体" w:cs="宋体"/>
          <w:sz w:val="24"/>
        </w:rPr>
        <w:t xml:space="preserve">                       </w:t>
      </w:r>
      <w:r>
        <w:rPr>
          <w:rFonts w:hint="eastAsia" w:ascii="宋体" w:hAnsi="宋体" w:cs="宋体"/>
          <w:sz w:val="24"/>
        </w:rPr>
        <w:t>法定代表人（签字或盖章）：</w:t>
      </w:r>
    </w:p>
    <w:p>
      <w:pPr>
        <w:spacing w:line="480" w:lineRule="auto"/>
        <w:ind w:firstLine="420"/>
        <w:rPr>
          <w:rFonts w:ascii="宋体" w:hAnsi="宋体" w:cs="宋体"/>
          <w:sz w:val="24"/>
        </w:rPr>
      </w:pPr>
    </w:p>
    <w:p>
      <w:pPr>
        <w:spacing w:line="480" w:lineRule="auto"/>
        <w:ind w:firstLine="420"/>
        <w:rPr>
          <w:rFonts w:ascii="宋体" w:hAnsi="宋体" w:cs="宋体"/>
          <w:sz w:val="24"/>
        </w:rPr>
      </w:pPr>
    </w:p>
    <w:p>
      <w:pPr>
        <w:spacing w:line="480" w:lineRule="auto"/>
        <w:ind w:firstLine="420"/>
        <w:rPr>
          <w:rFonts w:ascii="宋体" w:hAnsi="宋体"/>
          <w:sz w:val="24"/>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0</wp:posOffset>
                </wp:positionV>
                <wp:extent cx="2867025" cy="2080260"/>
                <wp:effectExtent l="4445" t="4445" r="5080" b="10795"/>
                <wp:wrapNone/>
                <wp:docPr id="7"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2867025" cy="20802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授权代表身份证复印件</w:t>
                            </w:r>
                          </w:p>
                        </w:txbxContent>
                      </wps:txbx>
                      <wps:bodyPr rot="0" vert="horz" wrap="square" lIns="91440" tIns="45720" rIns="91440" bIns="45720" anchor="t" anchorCtr="0" upright="1">
                        <a:noAutofit/>
                      </wps:bodyPr>
                    </wps:wsp>
                  </a:graphicData>
                </a:graphic>
              </wp:anchor>
            </w:drawing>
          </mc:Choice>
          <mc:Fallback>
            <w:pict>
              <v:shape id="文本框 228" o:spid="_x0000_s1026" o:spt="202" type="#_x0000_t202" style="position:absolute;left:0pt;margin-left:243pt;margin-top:0pt;height:163.8pt;width:225.75pt;z-index:251662336;mso-width-relative:page;mso-height-relative:page;" fillcolor="#FFFFFF" filled="t" stroked="t" coordsize="21600,21600" o:gfxdata="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1QPGNkAAAAIAQAADwAAAAAAAAAB&#10;ACAAAAAiAAAAZHJzL2Rvd25yZXYueG1sUEsBAhQAFAAAAAgAh07iQMnUcTZIAgAAmAQAAA4AAAAA&#10;AAAAAQAgAAAAKAEAAGRycy9lMm9Eb2MueG1sUEsFBgAAAAAGAAYAWQEAAOI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授权代表身份证复印件</w:t>
                      </w: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2867025" cy="2080260"/>
                <wp:effectExtent l="4445" t="4445" r="5080" b="10795"/>
                <wp:wrapNone/>
                <wp:docPr id="6"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2867025" cy="2080260"/>
                        </a:xfrm>
                        <a:prstGeom prst="rect">
                          <a:avLst/>
                        </a:prstGeom>
                        <a:solidFill>
                          <a:srgbClr val="FFFFFF"/>
                        </a:solidFill>
                        <a:ln w="9525">
                          <a:solidFill>
                            <a:srgbClr val="000000"/>
                          </a:solidFill>
                          <a:miter lim="800000"/>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 id="文本框 227" o:spid="_x0000_s1026" o:spt="202" type="#_x0000_t202" style="position:absolute;left:0pt;margin-left:9pt;margin-top:0pt;height:163.8pt;width:225.75pt;z-index:251661312;mso-width-relative:page;mso-height-relative:page;" fillcolor="#FFFFFF" filled="t" stroked="t" coordsize="21600,21600" o:gfxdata="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h0RfvYAAAABwEAAA8AAAAAAAAAAQAg&#10;AAAAIgAAAGRycy9kb3ducmV2LnhtbFBLAQIUABQAAAAIAIdO4kBHgekZRwIAAJgEAAAOAAAAAAAA&#10;AAEAIAAAACcBAABkcnMvZTJvRG9jLnhtbFBLBQYAAAAABgAGAFkBAADg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s="黑体"/>
                          <w:sz w:val="32"/>
                          <w:szCs w:val="32"/>
                        </w:rPr>
                        <w:t>法定代表人身份证复印件</w:t>
                      </w:r>
                    </w:p>
                  </w:txbxContent>
                </v:textbox>
              </v:shape>
            </w:pict>
          </mc:Fallback>
        </mc:AlternateContent>
      </w: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rPr>
          <w:rFonts w:ascii="黑体" w:hAnsi="宋体" w:eastAsia="黑体"/>
          <w:bCs/>
          <w:sz w:val="24"/>
        </w:rPr>
      </w:pPr>
      <w:r>
        <w:rPr>
          <w:rFonts w:hint="eastAsia" w:ascii="黑体" w:hAnsi="宋体" w:eastAsia="黑体"/>
          <w:bCs/>
          <w:sz w:val="24"/>
        </w:rPr>
        <w:br w:type="page"/>
      </w:r>
    </w:p>
    <w:p>
      <w:pPr>
        <w:spacing w:line="580" w:lineRule="exact"/>
        <w:rPr>
          <w:rFonts w:ascii="黑体" w:hAnsi="宋体" w:eastAsia="黑体"/>
          <w:bCs/>
          <w:sz w:val="24"/>
        </w:rPr>
      </w:pPr>
      <w:r>
        <w:rPr>
          <w:rFonts w:hint="eastAsia" w:ascii="黑体" w:hAnsi="宋体" w:eastAsia="黑体"/>
          <w:bCs/>
          <w:sz w:val="24"/>
        </w:rPr>
        <w:t>（四）（投标人）</w:t>
      </w:r>
      <w:r>
        <w:rPr>
          <w:rFonts w:hint="eastAsia" w:ascii="黑体" w:eastAsia="黑体"/>
          <w:bCs/>
          <w:sz w:val="24"/>
        </w:rPr>
        <w:t>中小企业声明函（格式）：</w:t>
      </w:r>
    </w:p>
    <w:p/>
    <w:p/>
    <w:p>
      <w:pPr>
        <w:snapToGrid w:val="0"/>
        <w:spacing w:line="360" w:lineRule="auto"/>
        <w:jc w:val="center"/>
        <w:outlineLvl w:val="0"/>
        <w:rPr>
          <w:rFonts w:ascii="黑体" w:eastAsia="黑体"/>
          <w:bCs/>
          <w:sz w:val="28"/>
          <w:szCs w:val="28"/>
        </w:rPr>
      </w:pPr>
      <w:r>
        <w:rPr>
          <w:rFonts w:hint="eastAsia" w:ascii="黑体" w:eastAsia="黑体"/>
          <w:bCs/>
          <w:sz w:val="28"/>
          <w:szCs w:val="28"/>
        </w:rPr>
        <w:t>中小企业声明函</w:t>
      </w:r>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p>
    <w:p>
      <w:pPr>
        <w:spacing w:line="360" w:lineRule="auto"/>
        <w:ind w:firstLine="480" w:firstLineChars="200"/>
        <w:rPr>
          <w:rFonts w:hAnsi="宋体"/>
          <w:bCs/>
          <w:sz w:val="24"/>
        </w:rPr>
      </w:pPr>
      <w:r>
        <w:rPr>
          <w:rFonts w:hint="eastAsia" w:hAnsi="宋体"/>
          <w:bCs/>
          <w:sz w:val="24"/>
        </w:rPr>
        <w:t>本公司郑重声明，根据省财政厅《江苏省财政厅关于进一步加大政府采购支持中小企业力度的通知》（苏财购[2022]45号），本公司参加</w:t>
      </w:r>
      <w:r>
        <w:rPr>
          <w:rFonts w:hint="eastAsia" w:hAnsi="宋体"/>
          <w:bCs/>
          <w:sz w:val="24"/>
          <w:u w:val="single"/>
        </w:rPr>
        <w:t xml:space="preserve">  （单位名称）   </w:t>
      </w:r>
      <w:r>
        <w:rPr>
          <w:rFonts w:hint="eastAsia" w:hAnsi="宋体"/>
          <w:bCs/>
          <w:sz w:val="24"/>
        </w:rPr>
        <w:t>的</w:t>
      </w:r>
      <w:r>
        <w:rPr>
          <w:rFonts w:hint="eastAsia" w:hAnsi="宋体"/>
          <w:bCs/>
          <w:sz w:val="24"/>
          <w:u w:val="single"/>
        </w:rPr>
        <w:t xml:space="preserve">   （项目名称）   </w:t>
      </w:r>
      <w:r>
        <w:rPr>
          <w:rFonts w:hint="eastAsia" w:hAnsi="宋体"/>
          <w:bCs/>
          <w:sz w:val="24"/>
        </w:rPr>
        <w:t>采购活动，服务全部由符合政策要求的中小企业承接。相关企业的具体情况如下：</w:t>
      </w:r>
    </w:p>
    <w:p>
      <w:pPr>
        <w:spacing w:line="360" w:lineRule="auto"/>
        <w:ind w:firstLine="480" w:firstLineChars="200"/>
        <w:rPr>
          <w:rFonts w:hAnsi="宋体"/>
          <w:bCs/>
          <w:sz w:val="24"/>
        </w:rPr>
      </w:pPr>
      <w:r>
        <w:rPr>
          <w:rFonts w:hint="eastAsia" w:hAnsi="宋体"/>
          <w:bCs/>
          <w:sz w:val="24"/>
          <w:u w:val="single"/>
        </w:rPr>
        <w:t xml:space="preserve">  （标的名称）  </w:t>
      </w:r>
      <w:r>
        <w:rPr>
          <w:rFonts w:hint="eastAsia" w:hAnsi="宋体"/>
          <w:bCs/>
          <w:sz w:val="24"/>
        </w:rPr>
        <w:t>，属于（采购文件中明确的所属行业；承接企业为</w:t>
      </w:r>
      <w:r>
        <w:rPr>
          <w:rFonts w:hint="eastAsia" w:hAnsi="宋体"/>
          <w:bCs/>
          <w:sz w:val="24"/>
          <w:u w:val="single"/>
        </w:rPr>
        <w:t xml:space="preserve">   （企业名称）   </w:t>
      </w:r>
      <w:r>
        <w:rPr>
          <w:rFonts w:hint="eastAsia" w:hAnsi="宋体"/>
          <w:bCs/>
          <w:sz w:val="24"/>
        </w:rPr>
        <w:t>，从业人员</w:t>
      </w:r>
      <w:r>
        <w:rPr>
          <w:rFonts w:hint="eastAsia" w:hAnsi="宋体"/>
          <w:bCs/>
          <w:sz w:val="24"/>
          <w:u w:val="single"/>
        </w:rPr>
        <w:t xml:space="preserve">     </w:t>
      </w:r>
      <w:r>
        <w:rPr>
          <w:rFonts w:hint="eastAsia" w:hAnsi="宋体"/>
          <w:bCs/>
          <w:sz w:val="24"/>
        </w:rPr>
        <w:t>人，营业收入为</w:t>
      </w:r>
      <w:r>
        <w:rPr>
          <w:rFonts w:hint="eastAsia" w:hAnsi="宋体"/>
          <w:bCs/>
          <w:sz w:val="24"/>
          <w:u w:val="single"/>
        </w:rPr>
        <w:t xml:space="preserve">      </w:t>
      </w:r>
      <w:r>
        <w:rPr>
          <w:rFonts w:hint="eastAsia" w:hAnsi="宋体"/>
          <w:bCs/>
          <w:sz w:val="24"/>
        </w:rPr>
        <w:t>万元，资产总额为</w:t>
      </w:r>
      <w:r>
        <w:rPr>
          <w:rFonts w:hint="eastAsia" w:hAnsi="宋体"/>
          <w:bCs/>
          <w:sz w:val="24"/>
          <w:u w:val="single"/>
        </w:rPr>
        <w:t xml:space="preserve">      </w:t>
      </w:r>
      <w:r>
        <w:rPr>
          <w:rFonts w:hint="eastAsia" w:hAnsi="宋体"/>
          <w:bCs/>
          <w:sz w:val="24"/>
        </w:rPr>
        <w:t>万元</w:t>
      </w:r>
      <w:r>
        <w:rPr>
          <w:rFonts w:hint="eastAsia" w:hAnsi="宋体"/>
          <w:bCs/>
          <w:sz w:val="24"/>
          <w:vertAlign w:val="superscript"/>
        </w:rPr>
        <w:t>1</w:t>
      </w:r>
      <w:r>
        <w:rPr>
          <w:rFonts w:hint="eastAsia" w:hAnsi="宋体"/>
          <w:bCs/>
          <w:sz w:val="24"/>
        </w:rPr>
        <w:t>，属于</w:t>
      </w:r>
      <w:r>
        <w:rPr>
          <w:rFonts w:hint="eastAsia" w:hAnsi="宋体"/>
          <w:bCs/>
          <w:sz w:val="24"/>
          <w:u w:val="single"/>
        </w:rPr>
        <w:t>（中型企业、小型企业、微型企业）</w:t>
      </w:r>
      <w:r>
        <w:rPr>
          <w:rFonts w:hint="eastAsia" w:hAnsi="宋体"/>
          <w:bCs/>
          <w:sz w:val="24"/>
        </w:rPr>
        <w:t xml:space="preserve">； </w:t>
      </w:r>
    </w:p>
    <w:p>
      <w:pPr>
        <w:spacing w:line="360" w:lineRule="auto"/>
        <w:ind w:firstLine="480" w:firstLineChars="200"/>
        <w:rPr>
          <w:rFonts w:hAnsi="宋体"/>
          <w:bCs/>
          <w:sz w:val="24"/>
        </w:rPr>
      </w:pPr>
      <w:r>
        <w:rPr>
          <w:rFonts w:hint="eastAsia" w:hAnsi="宋体"/>
          <w:bCs/>
          <w:sz w:val="24"/>
        </w:rPr>
        <w:t>......</w:t>
      </w:r>
    </w:p>
    <w:p>
      <w:pPr>
        <w:spacing w:line="360" w:lineRule="auto"/>
        <w:ind w:firstLine="480" w:firstLineChars="200"/>
        <w:rPr>
          <w:rFonts w:hAnsi="宋体"/>
          <w:bCs/>
          <w:sz w:val="24"/>
        </w:rPr>
      </w:pPr>
      <w:r>
        <w:rPr>
          <w:rFonts w:hint="eastAsia" w:hAnsi="宋体"/>
          <w:bCs/>
          <w:sz w:val="24"/>
        </w:rPr>
        <w:t>以上企业，不属于大型企业的分支机构，不存在控股股东为大型企业的情形，也不存在与大企业的负责人为同一人的情形。</w:t>
      </w:r>
    </w:p>
    <w:p>
      <w:pPr>
        <w:spacing w:line="360" w:lineRule="auto"/>
        <w:ind w:firstLine="480" w:firstLineChars="200"/>
        <w:rPr>
          <w:rFonts w:hAnsi="宋体"/>
          <w:bCs/>
          <w:sz w:val="24"/>
        </w:rPr>
      </w:pPr>
      <w:r>
        <w:rPr>
          <w:rFonts w:hint="eastAsia" w:hAnsi="宋体"/>
          <w:bCs/>
          <w:sz w:val="24"/>
        </w:rPr>
        <w:t>本企业对上述声明内容的真实性负责。如有虚假，将依法承担相应责任。</w:t>
      </w:r>
    </w:p>
    <w:p>
      <w:pPr>
        <w:spacing w:line="360" w:lineRule="auto"/>
        <w:rPr>
          <w:rFonts w:hAnsi="宋体"/>
          <w:bCs/>
          <w:sz w:val="24"/>
        </w:rPr>
      </w:pPr>
    </w:p>
    <w:p>
      <w:pPr>
        <w:spacing w:line="360" w:lineRule="auto"/>
        <w:ind w:firstLine="4800" w:firstLineChars="2000"/>
        <w:rPr>
          <w:rFonts w:hAnsi="宋体"/>
          <w:bCs/>
          <w:sz w:val="24"/>
        </w:rPr>
      </w:pPr>
      <w:r>
        <w:rPr>
          <w:rFonts w:hint="eastAsia" w:hAnsi="宋体"/>
          <w:bCs/>
          <w:sz w:val="24"/>
        </w:rPr>
        <w:t>企业名称（盖章）：</w:t>
      </w:r>
    </w:p>
    <w:p>
      <w:pPr>
        <w:spacing w:line="360" w:lineRule="auto"/>
        <w:ind w:firstLine="4800" w:firstLineChars="2000"/>
        <w:rPr>
          <w:rFonts w:hAnsi="宋体"/>
          <w:bCs/>
          <w:sz w:val="24"/>
        </w:rPr>
      </w:pPr>
    </w:p>
    <w:p>
      <w:pPr>
        <w:spacing w:line="480" w:lineRule="auto"/>
        <w:ind w:firstLine="4800" w:firstLineChars="2000"/>
      </w:pPr>
      <w:r>
        <w:rPr>
          <w:rFonts w:hint="eastAsia" w:hAnsi="宋体"/>
          <w:bCs/>
          <w:sz w:val="24"/>
        </w:rPr>
        <w:t>日　　期：</w:t>
      </w:r>
    </w:p>
    <w:p>
      <w:pPr>
        <w:spacing w:line="360" w:lineRule="auto"/>
        <w:rPr>
          <w:rFonts w:hAnsi="宋体"/>
          <w:b/>
          <w:sz w:val="22"/>
          <w:szCs w:val="22"/>
        </w:rPr>
      </w:pPr>
    </w:p>
    <w:p>
      <w:pPr>
        <w:spacing w:line="360" w:lineRule="auto"/>
        <w:ind w:firstLine="442" w:firstLineChars="200"/>
        <w:rPr>
          <w:rFonts w:hAnsi="宋体"/>
          <w:b/>
          <w:sz w:val="22"/>
          <w:szCs w:val="22"/>
        </w:rPr>
      </w:pPr>
    </w:p>
    <w:p>
      <w:pPr>
        <w:spacing w:line="360" w:lineRule="auto"/>
        <w:ind w:firstLine="442" w:firstLineChars="200"/>
      </w:pPr>
      <w:r>
        <w:rPr>
          <w:rFonts w:hint="eastAsia" w:hAnsi="宋体"/>
          <w:b/>
          <w:sz w:val="22"/>
          <w:szCs w:val="22"/>
        </w:rPr>
        <w:t>备注：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480" w:lineRule="auto"/>
        <w:rPr>
          <w:rFonts w:hAnsi="宋体"/>
          <w:bCs/>
          <w:sz w:val="22"/>
          <w:szCs w:val="22"/>
        </w:rPr>
      </w:pPr>
      <w:r>
        <w:rPr>
          <w:rFonts w:hint="eastAsia" w:hAnsi="宋体"/>
          <w:bCs/>
          <w:sz w:val="22"/>
          <w:szCs w:val="22"/>
          <w:vertAlign w:val="superscript"/>
        </w:rPr>
        <w:t>1</w:t>
      </w:r>
      <w:r>
        <w:rPr>
          <w:rFonts w:hint="eastAsia" w:hAnsi="宋体"/>
          <w:bCs/>
          <w:sz w:val="22"/>
          <w:szCs w:val="22"/>
        </w:rPr>
        <w:t>从业人员、营业收入、资产总额填报上一年度数据，无上一年度数据的新成立企业可不填报。</w:t>
      </w:r>
    </w:p>
    <w:p>
      <w:pPr>
        <w:rPr>
          <w:rFonts w:ascii="黑体" w:hAnsi="宋体" w:eastAsia="黑体"/>
          <w:bCs/>
          <w:sz w:val="24"/>
          <w:szCs w:val="22"/>
        </w:rPr>
      </w:pPr>
      <w:r>
        <w:rPr>
          <w:rFonts w:hint="eastAsia" w:hAnsi="宋体"/>
          <w:bCs/>
          <w:sz w:val="22"/>
          <w:szCs w:val="22"/>
        </w:rPr>
        <w:br w:type="page"/>
      </w:r>
      <w:r>
        <w:rPr>
          <w:rFonts w:hint="eastAsia" w:ascii="黑体" w:hAnsi="宋体" w:eastAsia="黑体"/>
          <w:bCs/>
          <w:sz w:val="24"/>
        </w:rPr>
        <w:t>（五）</w:t>
      </w:r>
      <w:r>
        <w:rPr>
          <w:rFonts w:hint="eastAsia" w:ascii="黑体" w:hAnsi="宋体" w:eastAsia="黑体"/>
          <w:bCs/>
          <w:sz w:val="24"/>
          <w:szCs w:val="22"/>
        </w:rPr>
        <w:t>残疾人福利性单位声明函（格式）</w:t>
      </w:r>
    </w:p>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r>
        <w:rPr>
          <w:rFonts w:hint="eastAsia" w:ascii="黑体" w:eastAsia="黑体"/>
          <w:bCs/>
          <w:sz w:val="28"/>
          <w:szCs w:val="28"/>
        </w:rPr>
        <w:t>残疾人福利性单位声明函</w:t>
      </w:r>
    </w:p>
    <w:p>
      <w:pPr>
        <w:snapToGrid w:val="0"/>
        <w:spacing w:line="360" w:lineRule="auto"/>
        <w:jc w:val="center"/>
        <w:outlineLvl w:val="0"/>
        <w:rPr>
          <w:rFonts w:ascii="黑体" w:eastAsia="黑体"/>
          <w:bCs/>
          <w:sz w:val="28"/>
          <w:szCs w:val="28"/>
        </w:rPr>
      </w:pPr>
    </w:p>
    <w:p>
      <w:pPr>
        <w:spacing w:line="440" w:lineRule="exact"/>
        <w:ind w:firstLine="480" w:firstLineChars="200"/>
        <w:outlineLvl w:val="0"/>
        <w:rPr>
          <w:rFonts w:ascii="宋体" w:hAnsi="宋体" w:cs="宋体"/>
          <w:sz w:val="24"/>
        </w:rPr>
      </w:pPr>
      <w:r>
        <w:rPr>
          <w:rFonts w:hint="eastAsia" w:ascii="宋体" w:hAnsi="宋体" w:cs="宋体"/>
          <w:sz w:val="24"/>
        </w:rPr>
        <w:t>本公司郑重承诺，根据《财政部司法部中国残疾人联合会关于促进残疾人就业政府采购政策的通知》（财库（2017）141号）的规定，本单位为符合条件的残疾人福利性单位，且本单位参加单位的项目采购活动提供本企业制造的货物，由本公司承担工程、提供服务，或者提供其他残疾人福利性单位制造的货物（不包括使用非残疾人福利性单位注册商标的货物）。</w:t>
      </w:r>
    </w:p>
    <w:p>
      <w:pPr>
        <w:spacing w:line="440" w:lineRule="exact"/>
        <w:outlineLvl w:val="0"/>
        <w:rPr>
          <w:rFonts w:ascii="宋体" w:hAnsi="宋体" w:cs="宋体"/>
          <w:sz w:val="24"/>
        </w:rPr>
      </w:pPr>
    </w:p>
    <w:p>
      <w:pPr>
        <w:spacing w:line="440" w:lineRule="exact"/>
        <w:ind w:firstLine="480" w:firstLineChars="200"/>
        <w:outlineLvl w:val="0"/>
        <w:rPr>
          <w:rFonts w:ascii="宋体" w:hAnsi="宋体" w:cs="宋体"/>
          <w:sz w:val="24"/>
        </w:rPr>
      </w:pPr>
      <w:r>
        <w:rPr>
          <w:rFonts w:hint="eastAsia" w:ascii="宋体" w:hAnsi="宋体" w:cs="宋体"/>
          <w:sz w:val="24"/>
        </w:rPr>
        <w:t>本公司对上述声明的真实性负责。如有虚假，将依法承担相应责任。</w:t>
      </w:r>
    </w:p>
    <w:p>
      <w:pPr>
        <w:spacing w:line="440" w:lineRule="exact"/>
        <w:outlineLvl w:val="0"/>
        <w:rPr>
          <w:rFonts w:ascii="宋体" w:hAnsi="宋体" w:cs="宋体"/>
          <w:sz w:val="24"/>
        </w:rPr>
      </w:pPr>
    </w:p>
    <w:p>
      <w:pPr>
        <w:spacing w:line="440" w:lineRule="exact"/>
        <w:outlineLvl w:val="0"/>
        <w:rPr>
          <w:rFonts w:ascii="宋体" w:hAnsi="宋体" w:cs="宋体"/>
          <w:sz w:val="24"/>
        </w:rPr>
      </w:pPr>
      <w:r>
        <w:rPr>
          <w:rFonts w:ascii="宋体" w:hAnsi="宋体" w:cs="宋体"/>
          <w:sz w:val="24"/>
        </w:rPr>
        <w:tab/>
      </w:r>
    </w:p>
    <w:p>
      <w:pPr>
        <w:spacing w:line="440" w:lineRule="exact"/>
        <w:outlineLvl w:val="0"/>
        <w:rPr>
          <w:rFonts w:ascii="宋体" w:hAnsi="宋体" w:cs="宋体"/>
          <w:sz w:val="24"/>
        </w:rPr>
      </w:pPr>
    </w:p>
    <w:p>
      <w:pPr>
        <w:spacing w:line="440" w:lineRule="exact"/>
        <w:jc w:val="right"/>
        <w:outlineLvl w:val="0"/>
        <w:rPr>
          <w:rFonts w:ascii="宋体" w:hAnsi="宋体" w:cs="宋体"/>
          <w:sz w:val="24"/>
        </w:rPr>
      </w:pPr>
      <w:r>
        <w:rPr>
          <w:rFonts w:hint="eastAsia" w:ascii="宋体" w:hAnsi="宋体" w:cs="宋体"/>
          <w:sz w:val="24"/>
        </w:rPr>
        <w:t>企业名称（盖章）：</w:t>
      </w:r>
    </w:p>
    <w:p>
      <w:pPr>
        <w:spacing w:line="440" w:lineRule="exact"/>
        <w:jc w:val="right"/>
        <w:outlineLvl w:val="0"/>
        <w:rPr>
          <w:rFonts w:ascii="宋体" w:hAnsi="宋体" w:cs="宋体"/>
          <w:sz w:val="24"/>
        </w:rPr>
      </w:pPr>
    </w:p>
    <w:p>
      <w:pPr>
        <w:spacing w:line="440" w:lineRule="exact"/>
        <w:jc w:val="right"/>
        <w:outlineLvl w:val="0"/>
        <w:rPr>
          <w:rFonts w:ascii="宋体" w:hAnsi="宋体" w:cs="宋体"/>
          <w:sz w:val="24"/>
        </w:rPr>
      </w:pPr>
      <w:r>
        <w:rPr>
          <w:rFonts w:hint="eastAsia" w:ascii="宋体" w:hAnsi="宋体" w:cs="宋体"/>
          <w:sz w:val="24"/>
        </w:rPr>
        <w:t>日　　　　　　期：</w:t>
      </w:r>
    </w:p>
    <w:p>
      <w:pPr>
        <w:jc w:val="center"/>
        <w:rPr>
          <w:rFonts w:ascii="宋体" w:hAnsi="宋体" w:cs="宋体"/>
          <w:b/>
          <w:bCs/>
          <w:sz w:val="32"/>
          <w:szCs w:val="32"/>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ind w:firstLine="480" w:firstLineChars="200"/>
        <w:outlineLvl w:val="0"/>
        <w:rPr>
          <w:rFonts w:ascii="黑体" w:hAnsi="宋体" w:eastAsia="黑体"/>
          <w:bCs/>
          <w:sz w:val="24"/>
        </w:rPr>
      </w:pPr>
    </w:p>
    <w:p>
      <w:pPr>
        <w:rPr>
          <w:rFonts w:ascii="黑体" w:hAnsi="宋体" w:eastAsia="黑体"/>
          <w:bCs/>
          <w:sz w:val="24"/>
        </w:rPr>
      </w:pPr>
      <w:r>
        <w:rPr>
          <w:rFonts w:hint="eastAsia" w:ascii="黑体" w:hAnsi="宋体" w:eastAsia="黑体"/>
          <w:bCs/>
          <w:sz w:val="24"/>
        </w:rPr>
        <w:br w:type="page"/>
      </w:r>
    </w:p>
    <w:p>
      <w:pPr>
        <w:outlineLvl w:val="0"/>
        <w:rPr>
          <w:rFonts w:ascii="黑体" w:hAnsi="宋体" w:eastAsia="黑体"/>
          <w:bCs/>
          <w:sz w:val="24"/>
        </w:rPr>
      </w:pPr>
      <w:r>
        <w:rPr>
          <w:rFonts w:hint="eastAsia" w:ascii="黑体" w:hAnsi="宋体" w:eastAsia="黑体"/>
          <w:bCs/>
          <w:sz w:val="24"/>
        </w:rPr>
        <w:t>（六）服务保障承诺书（格式）：</w:t>
      </w:r>
    </w:p>
    <w:p>
      <w:pPr>
        <w:outlineLvl w:val="0"/>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服务保障承诺书</w:t>
      </w:r>
    </w:p>
    <w:p>
      <w:pPr>
        <w:spacing w:line="480" w:lineRule="auto"/>
        <w:rPr>
          <w:rFonts w:ascii="宋体" w:hAnsi="宋体"/>
          <w:sz w:val="24"/>
        </w:rPr>
      </w:pPr>
      <w:r>
        <w:rPr>
          <w:rFonts w:hint="eastAsia" w:ascii="宋体" w:hAnsi="宋体"/>
          <w:sz w:val="24"/>
          <w:u w:val="single"/>
        </w:rPr>
        <w:t xml:space="preserve">                   </w:t>
      </w:r>
      <w:r>
        <w:rPr>
          <w:rFonts w:hint="eastAsia" w:ascii="宋体" w:hAnsi="宋体"/>
          <w:sz w:val="24"/>
        </w:rPr>
        <w:t>（投标人名称）针</w:t>
      </w:r>
      <w:r>
        <w:rPr>
          <w:rFonts w:hint="eastAsia" w:ascii="宋体" w:hAnsi="宋体"/>
          <w:bCs/>
          <w:sz w:val="24"/>
        </w:rPr>
        <w:t>对本项目（PXGJCG2022-178     ）</w:t>
      </w:r>
      <w:r>
        <w:rPr>
          <w:rFonts w:hint="eastAsia" w:ascii="宋体" w:hAnsi="宋体"/>
          <w:sz w:val="24"/>
        </w:rPr>
        <w:t>在此承诺：</w:t>
      </w:r>
    </w:p>
    <w:p>
      <w:pPr>
        <w:spacing w:line="480" w:lineRule="auto"/>
        <w:rPr>
          <w:rFonts w:ascii="宋体" w:hAnsi="宋体"/>
          <w:sz w:val="24"/>
        </w:rPr>
      </w:pPr>
    </w:p>
    <w:p>
      <w:pPr>
        <w:tabs>
          <w:tab w:val="left" w:pos="945"/>
        </w:tabs>
        <w:spacing w:line="360" w:lineRule="auto"/>
        <w:ind w:firstLine="465"/>
        <w:rPr>
          <w:rFonts w:ascii="宋体" w:hAnsi="宋体"/>
          <w:b/>
          <w:bCs/>
          <w:sz w:val="24"/>
        </w:rPr>
      </w:pPr>
      <w:r>
        <w:rPr>
          <w:rFonts w:hint="eastAsia" w:ascii="宋体" w:hAnsi="宋体" w:cs="宋体"/>
          <w:sz w:val="24"/>
        </w:rPr>
        <w:t>1、</w:t>
      </w:r>
      <w:r>
        <w:rPr>
          <w:rFonts w:hint="eastAsia" w:ascii="宋体" w:hAnsi="宋体"/>
          <w:sz w:val="24"/>
        </w:rPr>
        <w:t>本公司（单位）</w:t>
      </w:r>
      <w:r>
        <w:rPr>
          <w:rFonts w:hint="eastAsia" w:ascii="宋体" w:hAnsi="宋体"/>
          <w:bCs/>
          <w:sz w:val="24"/>
        </w:rPr>
        <w:t>具备履行合同所必需的设备和专业技术能力；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本公司未被“</w:t>
      </w:r>
      <w:r>
        <w:rPr>
          <w:rFonts w:hint="eastAsia" w:ascii="宋体" w:hAnsi="宋体"/>
          <w:bCs/>
          <w:sz w:val="24"/>
        </w:rPr>
        <w:t>信用中国</w:t>
      </w:r>
      <w:r>
        <w:rPr>
          <w:rFonts w:hint="eastAsia" w:ascii="宋体" w:hAnsi="宋体"/>
          <w:sz w:val="24"/>
        </w:rPr>
        <w:t>”</w:t>
      </w:r>
      <w:r>
        <w:rPr>
          <w:rFonts w:hint="eastAsia" w:ascii="宋体" w:hAnsi="宋体"/>
          <w:bCs/>
          <w:sz w:val="24"/>
        </w:rPr>
        <w:t>网站（</w:t>
      </w:r>
      <w:r>
        <w:fldChar w:fldCharType="begin"/>
      </w:r>
      <w:r>
        <w:instrText xml:space="preserve"> HYPERLINK "http://www.creditchina.gov.cn" </w:instrText>
      </w:r>
      <w:r>
        <w:fldChar w:fldCharType="separate"/>
      </w:r>
      <w:r>
        <w:rPr>
          <w:rFonts w:hint="eastAsia" w:ascii="宋体" w:hAnsi="宋体"/>
          <w:bCs/>
          <w:sz w:val="24"/>
        </w:rPr>
        <w:t>www.creditchina.gov.cn</w:t>
      </w:r>
      <w:r>
        <w:rPr>
          <w:rFonts w:hint="eastAsia" w:ascii="宋体" w:hAnsi="宋体"/>
          <w:bCs/>
          <w:sz w:val="24"/>
        </w:rPr>
        <w:fldChar w:fldCharType="end"/>
      </w:r>
      <w:r>
        <w:rPr>
          <w:rFonts w:hint="eastAsia" w:ascii="宋体" w:hAnsi="宋体"/>
          <w:bCs/>
          <w:sz w:val="24"/>
        </w:rPr>
        <w:t>）</w:t>
      </w:r>
      <w:r>
        <w:rPr>
          <w:rFonts w:hint="eastAsia" w:ascii="宋体" w:hAnsi="宋体"/>
          <w:sz w:val="24"/>
        </w:rPr>
        <w:t>列入失信执行人、重大税收违法案件当事人名单、政府采购严重违法失信行为记录名单。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3、本公司投入服务人员承诺常驻无锡市（含江阴、宜兴）办公，为业主提供本地化服务。</w:t>
      </w:r>
    </w:p>
    <w:p>
      <w:pPr>
        <w:tabs>
          <w:tab w:val="left" w:pos="945"/>
        </w:tabs>
        <w:spacing w:line="360" w:lineRule="auto"/>
        <w:ind w:firstLine="465"/>
        <w:rPr>
          <w:rFonts w:ascii="宋体" w:hAnsi="宋体" w:cs="宋体"/>
          <w:sz w:val="24"/>
        </w:rPr>
      </w:pPr>
      <w:r>
        <w:rPr>
          <w:rFonts w:hint="eastAsia" w:ascii="宋体" w:hAnsi="宋体" w:cs="宋体"/>
          <w:sz w:val="24"/>
        </w:rPr>
        <w:t>4、</w:t>
      </w:r>
    </w:p>
    <w:p>
      <w:pPr>
        <w:spacing w:line="360" w:lineRule="auto"/>
        <w:ind w:firstLine="480" w:firstLineChars="200"/>
        <w:rPr>
          <w:rFonts w:ascii="宋体" w:hAnsi="宋体" w:cs="宋体"/>
          <w:sz w:val="24"/>
        </w:rPr>
      </w:pPr>
      <w:r>
        <w:rPr>
          <w:rFonts w:hint="eastAsia" w:ascii="宋体" w:hAnsi="宋体" w:cs="宋体"/>
          <w:sz w:val="24"/>
        </w:rPr>
        <w:t>5、</w:t>
      </w:r>
    </w:p>
    <w:p>
      <w:pPr>
        <w:spacing w:line="360" w:lineRule="auto"/>
        <w:ind w:firstLine="480" w:firstLineChars="200"/>
        <w:rPr>
          <w:rFonts w:ascii="宋体" w:hAnsi="宋体" w:cs="宋体"/>
          <w:sz w:val="24"/>
        </w:rPr>
      </w:pPr>
      <w:r>
        <w:rPr>
          <w:rFonts w:hint="eastAsia" w:ascii="宋体" w:hAnsi="宋体" w:cs="宋体"/>
          <w:sz w:val="24"/>
        </w:rPr>
        <w:t>6、</w:t>
      </w:r>
    </w:p>
    <w:p>
      <w:pPr>
        <w:spacing w:line="360" w:lineRule="auto"/>
        <w:ind w:firstLine="480" w:firstLineChars="200"/>
        <w:rPr>
          <w:rFonts w:ascii="宋体" w:hAnsi="宋体" w:cs="宋体"/>
          <w:sz w:val="24"/>
        </w:rPr>
      </w:pPr>
      <w:r>
        <w:rPr>
          <w:rFonts w:hint="eastAsia" w:ascii="宋体" w:hAnsi="宋体" w:cs="宋体"/>
          <w:sz w:val="24"/>
        </w:rPr>
        <w:t>7、</w:t>
      </w:r>
    </w:p>
    <w:p>
      <w:pPr>
        <w:spacing w:line="360" w:lineRule="auto"/>
        <w:ind w:firstLine="480" w:firstLineChars="200"/>
        <w:rPr>
          <w:rFonts w:ascii="宋体" w:hAnsi="宋体" w:cs="宋体"/>
          <w:sz w:val="24"/>
        </w:rPr>
      </w:pPr>
      <w:r>
        <w:rPr>
          <w:rFonts w:hint="eastAsia" w:ascii="宋体" w:hAnsi="宋体" w:cs="宋体"/>
          <w:sz w:val="24"/>
        </w:rPr>
        <w:t>8、</w:t>
      </w:r>
    </w:p>
    <w:p>
      <w:pPr>
        <w:spacing w:line="360" w:lineRule="auto"/>
        <w:ind w:firstLine="480" w:firstLineChars="200"/>
        <w:rPr>
          <w:rFonts w:ascii="宋体" w:hAnsi="宋体" w:cs="宋体"/>
          <w:sz w:val="24"/>
        </w:rPr>
      </w:pPr>
      <w:r>
        <w:rPr>
          <w:rFonts w:hint="eastAsia" w:ascii="宋体" w:hAnsi="宋体" w:cs="宋体"/>
          <w:sz w:val="24"/>
        </w:rPr>
        <w:t>9、</w:t>
      </w:r>
    </w:p>
    <w:p>
      <w:pPr>
        <w:tabs>
          <w:tab w:val="left" w:pos="945"/>
        </w:tabs>
        <w:spacing w:line="360" w:lineRule="auto"/>
        <w:ind w:firstLine="465"/>
        <w:rPr>
          <w:rFonts w:ascii="宋体" w:hAnsi="宋体" w:cs="宋体"/>
          <w:sz w:val="24"/>
        </w:rPr>
      </w:pPr>
      <w:r>
        <w:rPr>
          <w:rFonts w:hint="eastAsia" w:ascii="宋体" w:hAnsi="宋体" w:cs="宋体"/>
          <w:sz w:val="24"/>
        </w:rPr>
        <w:t>10、</w:t>
      </w:r>
    </w:p>
    <w:p>
      <w:pPr>
        <w:spacing w:line="480" w:lineRule="auto"/>
        <w:ind w:firstLine="960" w:firstLineChars="400"/>
        <w:rPr>
          <w:rFonts w:ascii="宋体" w:hAnsi="宋体"/>
          <w:bCs/>
          <w:sz w:val="24"/>
        </w:rPr>
      </w:pPr>
      <w:r>
        <w:rPr>
          <w:rFonts w:ascii="宋体" w:hAnsi="宋体"/>
          <w:bCs/>
          <w:sz w:val="24"/>
        </w:rPr>
        <w:t>…………………</w:t>
      </w:r>
    </w:p>
    <w:p>
      <w:pPr>
        <w:spacing w:line="480" w:lineRule="auto"/>
        <w:ind w:firstLine="960" w:firstLineChars="400"/>
        <w:rPr>
          <w:rFonts w:ascii="宋体" w:hAnsi="宋体"/>
          <w:bCs/>
          <w:sz w:val="24"/>
        </w:rPr>
      </w:pPr>
      <w:r>
        <w:rPr>
          <w:rFonts w:hint="eastAsia" w:ascii="宋体" w:hAnsi="宋体"/>
          <w:bCs/>
          <w:sz w:val="24"/>
        </w:rPr>
        <w:t>如违背上述承诺，本公司</w:t>
      </w:r>
      <w:r>
        <w:rPr>
          <w:rFonts w:hint="eastAsia" w:ascii="宋体" w:hAnsi="宋体"/>
          <w:sz w:val="24"/>
        </w:rPr>
        <w:t>（单位）</w:t>
      </w:r>
      <w:r>
        <w:rPr>
          <w:rFonts w:hint="eastAsia" w:ascii="宋体" w:hAnsi="宋体"/>
          <w:bCs/>
          <w:sz w:val="24"/>
        </w:rPr>
        <w:t>将承担一切法律责任。</w:t>
      </w:r>
    </w:p>
    <w:p>
      <w:pPr>
        <w:spacing w:line="480" w:lineRule="auto"/>
        <w:ind w:firstLine="480" w:firstLineChars="200"/>
        <w:rPr>
          <w:rFonts w:ascii="宋体" w:hAnsi="宋体"/>
          <w:bCs/>
          <w:sz w:val="24"/>
        </w:rPr>
      </w:pPr>
      <w:r>
        <w:rPr>
          <w:rFonts w:hint="eastAsia" w:ascii="宋体" w:hAnsi="宋体"/>
          <w:sz w:val="24"/>
        </w:rPr>
        <w:t>投标人</w:t>
      </w:r>
      <w:r>
        <w:rPr>
          <w:rFonts w:hint="eastAsia" w:ascii="宋体" w:hAnsi="宋体"/>
          <w:bCs/>
          <w:sz w:val="24"/>
        </w:rPr>
        <w:t>（盖章）：</w:t>
      </w:r>
    </w:p>
    <w:p>
      <w:pPr>
        <w:spacing w:line="480" w:lineRule="auto"/>
        <w:ind w:firstLine="480" w:firstLineChars="200"/>
        <w:rPr>
          <w:rFonts w:ascii="宋体" w:hAnsi="宋体"/>
          <w:bCs/>
          <w:sz w:val="24"/>
        </w:rPr>
      </w:pPr>
      <w:r>
        <w:rPr>
          <w:rFonts w:hint="eastAsia" w:ascii="宋体" w:hAnsi="宋体"/>
          <w:bCs/>
          <w:sz w:val="24"/>
        </w:rPr>
        <w:t>法定代表人或法定代表人授权代表签字或盖章：</w:t>
      </w:r>
    </w:p>
    <w:p>
      <w:pPr>
        <w:spacing w:line="480" w:lineRule="auto"/>
        <w:ind w:firstLine="480" w:firstLineChars="200"/>
        <w:rPr>
          <w:rFonts w:ascii="宋体" w:hAnsi="宋体"/>
          <w:bCs/>
          <w:sz w:val="24"/>
        </w:rPr>
      </w:pPr>
      <w:r>
        <w:rPr>
          <w:rFonts w:hint="eastAsia" w:ascii="宋体" w:hAnsi="宋体"/>
          <w:bCs/>
          <w:sz w:val="24"/>
        </w:rPr>
        <w:t>日期：</w:t>
      </w:r>
    </w:p>
    <w:p>
      <w:pPr>
        <w:spacing w:line="480" w:lineRule="auto"/>
        <w:ind w:firstLine="420" w:firstLineChars="200"/>
        <w:rPr>
          <w:rFonts w:ascii="宋体" w:hAnsi="宋体"/>
          <w:bCs/>
          <w:szCs w:val="21"/>
        </w:rPr>
      </w:pPr>
    </w:p>
    <w:p>
      <w:pPr>
        <w:spacing w:line="480" w:lineRule="auto"/>
        <w:ind w:firstLine="420" w:firstLineChars="200"/>
        <w:rPr>
          <w:rFonts w:ascii="黑体" w:hAnsi="宋体" w:eastAsia="黑体"/>
          <w:bCs/>
          <w:sz w:val="24"/>
        </w:rPr>
      </w:pPr>
      <w:r>
        <w:rPr>
          <w:rFonts w:hint="eastAsia" w:ascii="宋体" w:hAnsi="宋体"/>
          <w:bCs/>
          <w:szCs w:val="21"/>
        </w:rPr>
        <w:t>注：以上内容由投标单位根据采购要求自行完善。</w:t>
      </w:r>
      <w:r>
        <w:rPr>
          <w:rFonts w:hint="eastAsia" w:ascii="黑体" w:hAnsi="宋体" w:eastAsia="黑体"/>
          <w:bCs/>
          <w:sz w:val="24"/>
        </w:rPr>
        <w:br w:type="page"/>
      </w:r>
    </w:p>
    <w:p>
      <w:pPr>
        <w:outlineLvl w:val="0"/>
        <w:rPr>
          <w:rFonts w:ascii="黑体" w:hAnsi="宋体" w:eastAsia="黑体"/>
          <w:bCs/>
          <w:sz w:val="24"/>
        </w:rPr>
      </w:pPr>
      <w:r>
        <w:rPr>
          <w:rFonts w:hint="eastAsia" w:ascii="黑体" w:hAnsi="宋体" w:eastAsia="黑体"/>
          <w:bCs/>
          <w:sz w:val="24"/>
        </w:rPr>
        <w:t>（七）开标一览表（格式）：</w:t>
      </w:r>
    </w:p>
    <w:p>
      <w:pPr>
        <w:jc w:val="center"/>
        <w:outlineLvl w:val="0"/>
        <w:rPr>
          <w:rFonts w:ascii="宋体" w:hAnsi="宋体"/>
          <w:bCs/>
          <w:sz w:val="28"/>
          <w:szCs w:val="28"/>
        </w:rPr>
      </w:pPr>
      <w:r>
        <w:rPr>
          <w:rFonts w:hint="eastAsia" w:ascii="宋体" w:hAnsi="宋体"/>
          <w:bCs/>
          <w:sz w:val="28"/>
          <w:szCs w:val="28"/>
        </w:rPr>
        <w:t xml:space="preserve">报价一览表 </w:t>
      </w:r>
    </w:p>
    <w:p>
      <w:pPr>
        <w:spacing w:line="360" w:lineRule="auto"/>
        <w:ind w:firstLine="120" w:firstLineChars="50"/>
        <w:rPr>
          <w:rFonts w:ascii="宋体" w:hAnsi="宋体"/>
          <w:bCs/>
          <w:sz w:val="24"/>
        </w:rPr>
      </w:pPr>
      <w:r>
        <w:rPr>
          <w:rFonts w:hint="eastAsia" w:ascii="宋体" w:hAnsi="宋体"/>
          <w:bCs/>
          <w:sz w:val="24"/>
        </w:rPr>
        <w:t xml:space="preserve">报价人名称（盖章）                        政府采购编号：PXGJCG2022-178    </w:t>
      </w:r>
    </w:p>
    <w:tbl>
      <w:tblPr>
        <w:tblStyle w:val="5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4200" w:type="dxa"/>
            <w:vMerge w:val="restart"/>
            <w:tcBorders>
              <w:top w:val="single" w:color="auto" w:sz="4" w:space="0"/>
            </w:tcBorders>
            <w:vAlign w:val="center"/>
          </w:tcPr>
          <w:p>
            <w:pPr>
              <w:spacing w:line="360" w:lineRule="auto"/>
              <w:jc w:val="center"/>
              <w:rPr>
                <w:rFonts w:hAnsi="宋体" w:cs="宋体"/>
                <w:color w:val="000000"/>
                <w:szCs w:val="21"/>
              </w:rPr>
            </w:pPr>
            <w:r>
              <w:rPr>
                <w:rFonts w:hint="eastAsia" w:hAnsi="宋体" w:cs="宋体"/>
                <w:color w:val="000000"/>
                <w:szCs w:val="21"/>
              </w:rPr>
              <w:t xml:space="preserve">垃圾分类测评 </w:t>
            </w:r>
          </w:p>
          <w:p>
            <w:pPr>
              <w:spacing w:line="360" w:lineRule="auto"/>
              <w:jc w:val="center"/>
              <w:rPr>
                <w:rFonts w:hAnsi="宋体" w:cs="宋体"/>
                <w:color w:val="000000"/>
                <w:szCs w:val="21"/>
              </w:rPr>
            </w:pPr>
            <w:r>
              <w:rPr>
                <w:rFonts w:hint="eastAsia" w:hAnsi="宋体" w:cs="宋体"/>
                <w:color w:val="000000"/>
                <w:szCs w:val="21"/>
              </w:rPr>
              <w:t>总报价（叁年）</w:t>
            </w:r>
          </w:p>
        </w:tc>
        <w:tc>
          <w:tcPr>
            <w:tcW w:w="5775" w:type="dxa"/>
            <w:vAlign w:val="center"/>
          </w:tcPr>
          <w:p>
            <w:pPr>
              <w:spacing w:line="360" w:lineRule="auto"/>
            </w:pPr>
          </w:p>
          <w:p>
            <w:pPr>
              <w:pStyle w:val="2"/>
              <w:numPr>
                <w:ilvl w:val="4"/>
                <w:numId w:val="0"/>
              </w:numPr>
            </w:pPr>
          </w:p>
          <w:p>
            <w:pPr>
              <w:spacing w:line="360" w:lineRule="auto"/>
            </w:pPr>
            <w:r>
              <w:rPr>
                <w:rFonts w:hint="eastAsia"/>
              </w:rPr>
              <w:t>人民币小写：</w:t>
            </w:r>
            <w:r>
              <w:rPr>
                <w:rFonts w:hint="eastAsia"/>
                <w:u w:val="single"/>
              </w:rPr>
              <w:t xml:space="preserve">    　　　　　    </w:t>
            </w:r>
            <w:r>
              <w:rPr>
                <w:rFonts w:hint="eastAsia"/>
              </w:rPr>
              <w:t>元</w:t>
            </w:r>
          </w:p>
          <w:p>
            <w:pPr>
              <w:pStyle w:val="2"/>
              <w:numPr>
                <w:ilvl w:val="4"/>
                <w:numId w:val="0"/>
              </w:num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200" w:type="dxa"/>
            <w:vMerge w:val="continue"/>
            <w:vAlign w:val="center"/>
          </w:tcPr>
          <w:p>
            <w:pPr>
              <w:spacing w:line="360" w:lineRule="auto"/>
              <w:jc w:val="center"/>
              <w:rPr>
                <w:rFonts w:hAnsi="宋体" w:cs="宋体"/>
                <w:color w:val="000000"/>
                <w:szCs w:val="21"/>
              </w:rPr>
            </w:pPr>
          </w:p>
        </w:tc>
        <w:tc>
          <w:tcPr>
            <w:tcW w:w="5775" w:type="dxa"/>
            <w:vAlign w:val="center"/>
          </w:tcPr>
          <w:p>
            <w:pPr>
              <w:spacing w:line="360" w:lineRule="auto"/>
            </w:pPr>
          </w:p>
          <w:p>
            <w:pPr>
              <w:pStyle w:val="2"/>
              <w:numPr>
                <w:ilvl w:val="4"/>
                <w:numId w:val="0"/>
              </w:numPr>
            </w:pPr>
          </w:p>
          <w:p>
            <w:pPr>
              <w:spacing w:line="360" w:lineRule="auto"/>
            </w:pPr>
            <w:r>
              <w:rPr>
                <w:rFonts w:hint="eastAsia"/>
              </w:rPr>
              <w:t>人民币大写：</w:t>
            </w:r>
            <w:r>
              <w:rPr>
                <w:rFonts w:hint="eastAsia"/>
                <w:u w:val="single"/>
              </w:rPr>
              <w:t xml:space="preserve">   　　　　　     </w:t>
            </w:r>
            <w:r>
              <w:rPr>
                <w:rFonts w:hint="eastAsia"/>
              </w:rPr>
              <w:t>元</w:t>
            </w:r>
          </w:p>
          <w:p>
            <w:pPr>
              <w:spacing w:line="360" w:lineRule="auto"/>
            </w:pPr>
          </w:p>
          <w:p>
            <w:pPr>
              <w:pStyle w:val="2"/>
              <w:numPr>
                <w:ilvl w:val="4"/>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200" w:type="dxa"/>
            <w:vMerge w:val="restart"/>
            <w:vAlign w:val="center"/>
          </w:tcPr>
          <w:p>
            <w:pPr>
              <w:spacing w:line="360" w:lineRule="auto"/>
              <w:jc w:val="center"/>
              <w:rPr>
                <w:rFonts w:hAnsi="宋体" w:cs="宋体"/>
                <w:color w:val="000000"/>
                <w:szCs w:val="21"/>
              </w:rPr>
            </w:pPr>
            <w:r>
              <w:rPr>
                <w:rFonts w:hint="eastAsia" w:hAnsi="宋体" w:cs="宋体"/>
                <w:color w:val="000000"/>
                <w:szCs w:val="21"/>
              </w:rPr>
              <w:t>垃圾分类测评</w:t>
            </w:r>
          </w:p>
          <w:p>
            <w:pPr>
              <w:spacing w:line="360" w:lineRule="auto"/>
              <w:jc w:val="center"/>
              <w:rPr>
                <w:rFonts w:hAnsi="宋体" w:cs="宋体"/>
                <w:color w:val="000000"/>
                <w:szCs w:val="21"/>
              </w:rPr>
            </w:pPr>
            <w:r>
              <w:rPr>
                <w:rFonts w:hint="eastAsia" w:hAnsi="宋体" w:cs="宋体"/>
                <w:color w:val="000000"/>
                <w:szCs w:val="21"/>
              </w:rPr>
              <w:t>报价（壹年）</w:t>
            </w:r>
          </w:p>
        </w:tc>
        <w:tc>
          <w:tcPr>
            <w:tcW w:w="5775" w:type="dxa"/>
            <w:vAlign w:val="center"/>
          </w:tcPr>
          <w:p>
            <w:pPr>
              <w:spacing w:line="360" w:lineRule="auto"/>
              <w:ind w:firstLine="525" w:firstLineChars="250"/>
              <w:rPr>
                <w:rFonts w:hAnsi="宋体" w:cs="宋体"/>
                <w:color w:val="000000"/>
                <w:szCs w:val="21"/>
              </w:rPr>
            </w:pPr>
          </w:p>
          <w:p>
            <w:pPr>
              <w:spacing w:line="360" w:lineRule="auto"/>
              <w:ind w:firstLine="525" w:firstLineChars="250"/>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人民币小写：</w:t>
            </w:r>
            <w:r>
              <w:rPr>
                <w:rFonts w:hint="eastAsia" w:hAnsi="宋体" w:cs="宋体"/>
                <w:color w:val="000000"/>
                <w:szCs w:val="21"/>
                <w:u w:val="single"/>
              </w:rPr>
              <w:t xml:space="preserve">    　　　　　    </w:t>
            </w:r>
            <w:r>
              <w:rPr>
                <w:rFonts w:hint="eastAsia" w:hAnsi="宋体" w:cs="宋体"/>
                <w:color w:val="000000"/>
                <w:szCs w:val="21"/>
              </w:rPr>
              <w:t>元</w:t>
            </w:r>
          </w:p>
          <w:p>
            <w:pPr>
              <w:spacing w:line="360" w:lineRule="auto"/>
              <w:ind w:firstLine="525" w:firstLineChars="250"/>
              <w:rPr>
                <w:rFonts w:hAnsi="宋体" w:cs="宋体"/>
                <w:color w:val="000000"/>
                <w:szCs w:val="21"/>
              </w:rPr>
            </w:pPr>
          </w:p>
          <w:p>
            <w:pPr>
              <w:spacing w:line="360" w:lineRule="auto"/>
              <w:ind w:firstLine="525" w:firstLineChars="250"/>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4200" w:type="dxa"/>
            <w:vMerge w:val="continue"/>
            <w:vAlign w:val="center"/>
          </w:tcPr>
          <w:p>
            <w:pPr>
              <w:spacing w:line="360" w:lineRule="auto"/>
              <w:jc w:val="center"/>
              <w:rPr>
                <w:rFonts w:hAnsi="宋体" w:cs="宋体"/>
                <w:color w:val="000000"/>
                <w:szCs w:val="21"/>
              </w:rPr>
            </w:pPr>
          </w:p>
        </w:tc>
        <w:tc>
          <w:tcPr>
            <w:tcW w:w="5775" w:type="dxa"/>
            <w:vAlign w:val="center"/>
          </w:tcPr>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u w:val="single"/>
              </w:rPr>
            </w:pPr>
            <w:r>
              <w:rPr>
                <w:rFonts w:hint="eastAsia" w:hAnsi="宋体" w:cs="宋体"/>
                <w:color w:val="000000"/>
                <w:szCs w:val="21"/>
              </w:rPr>
              <w:t>人民币大写：</w:t>
            </w:r>
            <w:r>
              <w:rPr>
                <w:rFonts w:hint="eastAsia" w:hAnsi="宋体" w:cs="宋体"/>
                <w:color w:val="000000"/>
                <w:szCs w:val="21"/>
                <w:u w:val="single"/>
              </w:rPr>
              <w:t xml:space="preserve">   　　　　　     </w:t>
            </w:r>
            <w:r>
              <w:rPr>
                <w:rFonts w:hint="eastAsia" w:hAnsi="宋体" w:cs="宋体"/>
                <w:color w:val="000000"/>
                <w:szCs w:val="21"/>
              </w:rPr>
              <w:t>元</w:t>
            </w:r>
          </w:p>
          <w:p>
            <w:pPr>
              <w:spacing w:line="360" w:lineRule="auto"/>
              <w:rPr>
                <w:rFonts w:hAnsi="宋体" w:cs="宋体"/>
                <w:color w:val="000000"/>
                <w:szCs w:val="21"/>
                <w:u w:val="single"/>
              </w:rPr>
            </w:pPr>
          </w:p>
          <w:p>
            <w:pPr>
              <w:spacing w:line="360" w:lineRule="auto"/>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4200" w:type="dxa"/>
            <w:vAlign w:val="center"/>
          </w:tcPr>
          <w:p>
            <w:pPr>
              <w:spacing w:line="360" w:lineRule="auto"/>
              <w:jc w:val="center"/>
              <w:rPr>
                <w:rFonts w:hAnsi="宋体" w:cs="宋体"/>
                <w:color w:val="000000"/>
                <w:szCs w:val="21"/>
              </w:rPr>
            </w:pPr>
            <w:r>
              <w:rPr>
                <w:rFonts w:hint="eastAsia" w:hAnsi="宋体" w:cs="宋体"/>
                <w:color w:val="000000"/>
                <w:szCs w:val="21"/>
              </w:rPr>
              <w:t>人员配备</w:t>
            </w:r>
          </w:p>
        </w:tc>
        <w:tc>
          <w:tcPr>
            <w:tcW w:w="5775" w:type="dxa"/>
            <w:vAlign w:val="center"/>
          </w:tcPr>
          <w:p>
            <w:pPr>
              <w:spacing w:line="360" w:lineRule="auto"/>
              <w:rPr>
                <w:rFonts w:hAnsi="宋体" w:cs="宋体"/>
                <w:color w:val="000000"/>
                <w:szCs w:val="21"/>
              </w:rPr>
            </w:pPr>
            <w:r>
              <w:rPr>
                <w:rFonts w:hint="eastAsia" w:hAnsi="宋体" w:cs="宋体"/>
                <w:color w:val="000000"/>
                <w:szCs w:val="21"/>
                <w:u w:val="single"/>
              </w:rPr>
              <w:t xml:space="preserve">   　　　　　     </w:t>
            </w:r>
            <w:r>
              <w:rPr>
                <w:rFonts w:hint="eastAsia" w:hAnsi="宋体" w:cs="宋体"/>
                <w:color w:val="000000"/>
                <w:szCs w:val="21"/>
              </w:rPr>
              <w:t>人</w:t>
            </w:r>
          </w:p>
        </w:tc>
      </w:tr>
    </w:tbl>
    <w:p>
      <w:pPr>
        <w:spacing w:before="5"/>
        <w:ind w:firstLine="120" w:firstLineChars="50"/>
        <w:rPr>
          <w:rFonts w:ascii="宋体" w:hAnsi="宋体"/>
          <w:b/>
          <w:bCs/>
          <w:sz w:val="24"/>
        </w:rPr>
      </w:pPr>
      <w:r>
        <w:rPr>
          <w:rFonts w:hint="eastAsia" w:ascii="宋体" w:hAnsi="宋体"/>
          <w:b/>
          <w:bCs/>
          <w:sz w:val="24"/>
        </w:rPr>
        <w:t>法定代表人或法定代表人授权代表签字或盖章：</w:t>
      </w:r>
    </w:p>
    <w:p>
      <w:pPr>
        <w:spacing w:before="5"/>
        <w:ind w:firstLine="120" w:firstLineChars="50"/>
        <w:rPr>
          <w:rFonts w:ascii="宋体" w:hAnsi="宋体"/>
          <w:b/>
          <w:bCs/>
          <w:sz w:val="24"/>
        </w:rPr>
      </w:pPr>
      <w:r>
        <w:rPr>
          <w:rFonts w:hint="eastAsia" w:ascii="宋体" w:hAnsi="宋体"/>
          <w:b/>
          <w:bCs/>
          <w:sz w:val="24"/>
        </w:rPr>
        <w:t>日期：</w:t>
      </w:r>
    </w:p>
    <w:p>
      <w:pPr>
        <w:ind w:firstLine="420" w:firstLineChars="175"/>
        <w:outlineLvl w:val="0"/>
        <w:rPr>
          <w:rFonts w:ascii="黑体" w:hAnsi="宋体" w:eastAsia="黑体"/>
          <w:bCs/>
          <w:sz w:val="24"/>
        </w:rPr>
      </w:pPr>
    </w:p>
    <w:p>
      <w:pPr>
        <w:rPr>
          <w:rFonts w:ascii="黑体" w:hAnsi="宋体" w:eastAsia="黑体"/>
          <w:bCs/>
          <w:sz w:val="24"/>
        </w:rPr>
      </w:pPr>
      <w:r>
        <w:rPr>
          <w:rFonts w:hint="eastAsia" w:ascii="黑体" w:hAnsi="宋体" w:eastAsia="黑体"/>
          <w:bCs/>
          <w:sz w:val="24"/>
        </w:rPr>
        <w:br w:type="page"/>
      </w:r>
    </w:p>
    <w:p>
      <w:pPr>
        <w:outlineLvl w:val="0"/>
        <w:rPr>
          <w:rFonts w:ascii="黑体" w:hAnsi="宋体" w:eastAsia="黑体"/>
          <w:bCs/>
          <w:sz w:val="24"/>
        </w:rPr>
      </w:pPr>
      <w:r>
        <w:rPr>
          <w:rFonts w:hint="eastAsia" w:ascii="黑体" w:hAnsi="宋体" w:eastAsia="黑体"/>
          <w:bCs/>
          <w:sz w:val="24"/>
        </w:rPr>
        <w:t>（八）明细报价及采购需求响应表（格式）：</w:t>
      </w:r>
    </w:p>
    <w:p>
      <w:pPr>
        <w:jc w:val="center"/>
        <w:outlineLvl w:val="0"/>
        <w:rPr>
          <w:rFonts w:ascii="宋体" w:hAnsi="宋体"/>
          <w:bCs/>
          <w:sz w:val="28"/>
          <w:szCs w:val="28"/>
        </w:rPr>
      </w:pPr>
      <w:r>
        <w:rPr>
          <w:rFonts w:hint="eastAsia" w:ascii="宋体" w:hAnsi="宋体"/>
          <w:bCs/>
          <w:sz w:val="28"/>
          <w:szCs w:val="28"/>
        </w:rPr>
        <w:t>详细配置一览表</w:t>
      </w:r>
    </w:p>
    <w:p>
      <w:pPr>
        <w:spacing w:line="400" w:lineRule="exact"/>
        <w:rPr>
          <w:rFonts w:ascii="宋体" w:hAnsi="宋体"/>
          <w:bCs/>
          <w:sz w:val="24"/>
        </w:rPr>
      </w:pPr>
      <w:r>
        <w:rPr>
          <w:rFonts w:hint="eastAsia" w:ascii="宋体" w:hAnsi="宋体"/>
          <w:bCs/>
          <w:sz w:val="24"/>
        </w:rPr>
        <w:t xml:space="preserve">报价人名称（盖章）                  政府采购编号：PXGJCG2022-178    </w:t>
      </w:r>
    </w:p>
    <w:tbl>
      <w:tblPr>
        <w:tblStyle w:val="55"/>
        <w:tblpPr w:leftFromText="180" w:rightFromText="180" w:vertAnchor="text" w:horzAnchor="page" w:tblpX="1461"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528"/>
        <w:gridCol w:w="626"/>
        <w:gridCol w:w="1053"/>
        <w:gridCol w:w="990"/>
        <w:gridCol w:w="99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Merge w:val="restart"/>
            <w:vAlign w:val="center"/>
          </w:tcPr>
          <w:p>
            <w:pPr>
              <w:spacing w:line="360" w:lineRule="auto"/>
              <w:jc w:val="center"/>
              <w:rPr>
                <w:szCs w:val="21"/>
              </w:rPr>
            </w:pPr>
            <w:r>
              <w:rPr>
                <w:rFonts w:hint="eastAsia"/>
                <w:szCs w:val="21"/>
              </w:rPr>
              <w:t>项目</w:t>
            </w:r>
          </w:p>
        </w:tc>
        <w:tc>
          <w:tcPr>
            <w:tcW w:w="645" w:type="dxa"/>
            <w:vMerge w:val="restart"/>
            <w:vAlign w:val="center"/>
          </w:tcPr>
          <w:p>
            <w:pPr>
              <w:spacing w:line="360" w:lineRule="auto"/>
              <w:jc w:val="center"/>
              <w:rPr>
                <w:szCs w:val="21"/>
              </w:rPr>
            </w:pPr>
            <w:r>
              <w:rPr>
                <w:rFonts w:hint="eastAsia"/>
                <w:szCs w:val="21"/>
              </w:rPr>
              <w:t>单位</w:t>
            </w:r>
          </w:p>
        </w:tc>
        <w:tc>
          <w:tcPr>
            <w:tcW w:w="855" w:type="dxa"/>
            <w:vMerge w:val="restart"/>
            <w:vAlign w:val="center"/>
          </w:tcPr>
          <w:p>
            <w:pPr>
              <w:spacing w:line="360" w:lineRule="auto"/>
              <w:jc w:val="center"/>
              <w:rPr>
                <w:szCs w:val="21"/>
              </w:rPr>
            </w:pPr>
            <w:r>
              <w:rPr>
                <w:rFonts w:hint="eastAsia"/>
                <w:szCs w:val="21"/>
              </w:rPr>
              <w:t>数量</w:t>
            </w:r>
          </w:p>
        </w:tc>
        <w:tc>
          <w:tcPr>
            <w:tcW w:w="1290" w:type="dxa"/>
            <w:vAlign w:val="center"/>
          </w:tcPr>
          <w:p>
            <w:pPr>
              <w:spacing w:line="360" w:lineRule="auto"/>
              <w:jc w:val="center"/>
              <w:rPr>
                <w:szCs w:val="21"/>
              </w:rPr>
            </w:pPr>
            <w:r>
              <w:rPr>
                <w:rFonts w:hint="eastAsia"/>
                <w:szCs w:val="21"/>
              </w:rPr>
              <w:t>工作时间</w:t>
            </w:r>
          </w:p>
        </w:tc>
        <w:tc>
          <w:tcPr>
            <w:tcW w:w="1395" w:type="dxa"/>
            <w:vAlign w:val="center"/>
          </w:tcPr>
          <w:p>
            <w:pPr>
              <w:spacing w:line="360" w:lineRule="auto"/>
              <w:jc w:val="center"/>
              <w:rPr>
                <w:szCs w:val="21"/>
              </w:rPr>
            </w:pPr>
            <w:r>
              <w:rPr>
                <w:rFonts w:hint="eastAsia"/>
                <w:szCs w:val="21"/>
              </w:rPr>
              <w:t>综合工资</w:t>
            </w:r>
          </w:p>
        </w:tc>
        <w:tc>
          <w:tcPr>
            <w:tcW w:w="1410" w:type="dxa"/>
            <w:vAlign w:val="center"/>
          </w:tcPr>
          <w:p>
            <w:pPr>
              <w:spacing w:line="360" w:lineRule="auto"/>
              <w:jc w:val="center"/>
              <w:rPr>
                <w:szCs w:val="21"/>
              </w:rPr>
            </w:pPr>
            <w:r>
              <w:rPr>
                <w:rFonts w:hint="eastAsia"/>
                <w:szCs w:val="21"/>
              </w:rPr>
              <w:t>金额</w:t>
            </w:r>
          </w:p>
        </w:tc>
        <w:tc>
          <w:tcPr>
            <w:tcW w:w="4635" w:type="dxa"/>
            <w:vMerge w:val="restart"/>
            <w:vAlign w:val="center"/>
          </w:tcPr>
          <w:p>
            <w:pPr>
              <w:spacing w:line="360" w:lineRule="auto"/>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Merge w:val="continue"/>
          </w:tcPr>
          <w:p>
            <w:pPr>
              <w:spacing w:line="360" w:lineRule="auto"/>
              <w:jc w:val="center"/>
              <w:rPr>
                <w:szCs w:val="21"/>
              </w:rPr>
            </w:pPr>
          </w:p>
        </w:tc>
        <w:tc>
          <w:tcPr>
            <w:tcW w:w="645" w:type="dxa"/>
            <w:vMerge w:val="continue"/>
          </w:tcPr>
          <w:p>
            <w:pPr>
              <w:spacing w:line="360" w:lineRule="auto"/>
              <w:jc w:val="center"/>
              <w:rPr>
                <w:szCs w:val="21"/>
              </w:rPr>
            </w:pPr>
          </w:p>
        </w:tc>
        <w:tc>
          <w:tcPr>
            <w:tcW w:w="855" w:type="dxa"/>
            <w:vMerge w:val="continue"/>
          </w:tcPr>
          <w:p>
            <w:pPr>
              <w:spacing w:line="360" w:lineRule="auto"/>
              <w:jc w:val="center"/>
              <w:rPr>
                <w:szCs w:val="21"/>
              </w:rPr>
            </w:pPr>
          </w:p>
        </w:tc>
        <w:tc>
          <w:tcPr>
            <w:tcW w:w="1290" w:type="dxa"/>
          </w:tcPr>
          <w:p>
            <w:pPr>
              <w:spacing w:line="360" w:lineRule="auto"/>
              <w:jc w:val="center"/>
              <w:rPr>
                <w:szCs w:val="21"/>
              </w:rPr>
            </w:pPr>
            <w:r>
              <w:rPr>
                <w:rFonts w:hint="eastAsia"/>
                <w:szCs w:val="21"/>
              </w:rPr>
              <w:t>（月）</w:t>
            </w:r>
          </w:p>
        </w:tc>
        <w:tc>
          <w:tcPr>
            <w:tcW w:w="1395" w:type="dxa"/>
          </w:tcPr>
          <w:p>
            <w:pPr>
              <w:spacing w:line="360" w:lineRule="auto"/>
              <w:jc w:val="center"/>
              <w:rPr>
                <w:szCs w:val="21"/>
              </w:rPr>
            </w:pPr>
            <w:r>
              <w:rPr>
                <w:rFonts w:hint="eastAsia"/>
                <w:szCs w:val="21"/>
              </w:rPr>
              <w:t>（万元/月）</w:t>
            </w:r>
          </w:p>
        </w:tc>
        <w:tc>
          <w:tcPr>
            <w:tcW w:w="1410" w:type="dxa"/>
          </w:tcPr>
          <w:p>
            <w:pPr>
              <w:spacing w:line="360" w:lineRule="auto"/>
              <w:jc w:val="center"/>
              <w:rPr>
                <w:szCs w:val="21"/>
              </w:rPr>
            </w:pPr>
            <w:r>
              <w:rPr>
                <w:rFonts w:hint="eastAsia"/>
                <w:szCs w:val="21"/>
              </w:rPr>
              <w:t>（万元）</w:t>
            </w:r>
          </w:p>
        </w:tc>
        <w:tc>
          <w:tcPr>
            <w:tcW w:w="4635" w:type="dxa"/>
            <w:vMerge w:val="continue"/>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2865" w:type="dxa"/>
            <w:vAlign w:val="center"/>
          </w:tcPr>
          <w:p>
            <w:pPr>
              <w:spacing w:line="360" w:lineRule="auto"/>
              <w:rPr>
                <w:szCs w:val="21"/>
              </w:rPr>
            </w:pPr>
            <w:r>
              <w:rPr>
                <w:rFonts w:hint="eastAsia"/>
                <w:szCs w:val="21"/>
              </w:rPr>
              <w:t>一、人员费工资、福利、社保、节日加班费、津贴等</w:t>
            </w:r>
          </w:p>
        </w:tc>
        <w:tc>
          <w:tcPr>
            <w:tcW w:w="645" w:type="dxa"/>
          </w:tcPr>
          <w:p>
            <w:pPr>
              <w:spacing w:line="360" w:lineRule="auto"/>
              <w:rPr>
                <w:szCs w:val="21"/>
              </w:rPr>
            </w:pP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r>
              <w:rPr>
                <w:rFonts w:hint="eastAsia"/>
                <w:szCs w:val="21"/>
              </w:rPr>
              <w:t>含工资、福利、奖金、节日加班费、五险一金、意外保险等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65" w:type="dxa"/>
          </w:tcPr>
          <w:p>
            <w:pPr>
              <w:spacing w:line="360" w:lineRule="auto"/>
              <w:ind w:right="210"/>
              <w:jc w:val="center"/>
              <w:rPr>
                <w:szCs w:val="21"/>
              </w:rPr>
            </w:pPr>
            <w:r>
              <w:rPr>
                <w:rFonts w:hint="eastAsia"/>
                <w:szCs w:val="21"/>
              </w:rPr>
              <w:t>测评组</w:t>
            </w:r>
          </w:p>
        </w:tc>
        <w:tc>
          <w:tcPr>
            <w:tcW w:w="645" w:type="dxa"/>
            <w:vAlign w:val="center"/>
          </w:tcPr>
          <w:p>
            <w:pPr>
              <w:spacing w:line="360" w:lineRule="auto"/>
              <w:jc w:val="center"/>
              <w:rPr>
                <w:szCs w:val="21"/>
              </w:rPr>
            </w:pPr>
            <w:r>
              <w:rPr>
                <w:rFonts w:hint="eastAsia"/>
                <w:szCs w:val="21"/>
              </w:rPr>
              <w:t>人</w:t>
            </w: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65" w:type="dxa"/>
            <w:vAlign w:val="center"/>
          </w:tcPr>
          <w:p>
            <w:pPr>
              <w:spacing w:line="360" w:lineRule="auto"/>
              <w:rPr>
                <w:szCs w:val="21"/>
              </w:rPr>
            </w:pPr>
            <w:r>
              <w:rPr>
                <w:rFonts w:hint="eastAsia"/>
                <w:szCs w:val="21"/>
              </w:rPr>
              <w:t>二、工作经费</w:t>
            </w:r>
          </w:p>
        </w:tc>
        <w:tc>
          <w:tcPr>
            <w:tcW w:w="645" w:type="dxa"/>
            <w:vAlign w:val="center"/>
          </w:tcPr>
          <w:p>
            <w:pPr>
              <w:spacing w:line="360" w:lineRule="auto"/>
              <w:jc w:val="center"/>
              <w:rPr>
                <w:szCs w:val="21"/>
              </w:rPr>
            </w:pP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r>
              <w:rPr>
                <w:rFonts w:hint="eastAsia"/>
                <w:szCs w:val="21"/>
              </w:rPr>
              <w:t>项目组工作经费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65" w:type="dxa"/>
            <w:vAlign w:val="center"/>
          </w:tcPr>
          <w:p>
            <w:pPr>
              <w:spacing w:line="360" w:lineRule="auto"/>
              <w:jc w:val="center"/>
              <w:rPr>
                <w:szCs w:val="21"/>
              </w:rPr>
            </w:pPr>
            <w:r>
              <w:rPr>
                <w:rFonts w:hint="eastAsia"/>
                <w:szCs w:val="21"/>
              </w:rPr>
              <w:t>2.1办公</w:t>
            </w:r>
          </w:p>
        </w:tc>
        <w:tc>
          <w:tcPr>
            <w:tcW w:w="645" w:type="dxa"/>
            <w:vAlign w:val="center"/>
          </w:tcPr>
          <w:p>
            <w:pPr>
              <w:spacing w:line="360" w:lineRule="auto"/>
              <w:jc w:val="center"/>
              <w:rPr>
                <w:szCs w:val="21"/>
              </w:rPr>
            </w:pPr>
            <w:r>
              <w:rPr>
                <w:rFonts w:hint="eastAsia"/>
                <w:szCs w:val="21"/>
              </w:rPr>
              <w:t>人</w:t>
            </w: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65" w:type="dxa"/>
            <w:vAlign w:val="center"/>
          </w:tcPr>
          <w:p>
            <w:pPr>
              <w:spacing w:line="360" w:lineRule="auto"/>
              <w:jc w:val="center"/>
              <w:rPr>
                <w:szCs w:val="21"/>
              </w:rPr>
            </w:pPr>
            <w:r>
              <w:rPr>
                <w:rFonts w:hint="eastAsia"/>
                <w:szCs w:val="21"/>
              </w:rPr>
              <w:t>2.2办公用品</w:t>
            </w:r>
          </w:p>
        </w:tc>
        <w:tc>
          <w:tcPr>
            <w:tcW w:w="645" w:type="dxa"/>
            <w:vAlign w:val="center"/>
          </w:tcPr>
          <w:p>
            <w:pPr>
              <w:spacing w:line="360" w:lineRule="auto"/>
              <w:jc w:val="center"/>
              <w:rPr>
                <w:szCs w:val="21"/>
              </w:rPr>
            </w:pP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65" w:type="dxa"/>
            <w:vAlign w:val="center"/>
          </w:tcPr>
          <w:p>
            <w:pPr>
              <w:spacing w:line="360" w:lineRule="auto"/>
              <w:jc w:val="center"/>
              <w:rPr>
                <w:szCs w:val="21"/>
              </w:rPr>
            </w:pPr>
            <w:r>
              <w:rPr>
                <w:rFonts w:hint="eastAsia"/>
                <w:szCs w:val="21"/>
              </w:rPr>
              <w:t>2.3</w:t>
            </w:r>
            <w:r>
              <w:rPr>
                <w:rFonts w:hint="eastAsia" w:hAnsi="宋体" w:cs="宋体"/>
                <w:szCs w:val="21"/>
              </w:rPr>
              <w:t>巡查车辆</w:t>
            </w:r>
          </w:p>
        </w:tc>
        <w:tc>
          <w:tcPr>
            <w:tcW w:w="645" w:type="dxa"/>
            <w:vAlign w:val="center"/>
          </w:tcPr>
          <w:p>
            <w:pPr>
              <w:spacing w:line="360" w:lineRule="auto"/>
              <w:jc w:val="center"/>
              <w:rPr>
                <w:szCs w:val="21"/>
              </w:rPr>
            </w:pPr>
            <w:r>
              <w:rPr>
                <w:rFonts w:hint="eastAsia"/>
                <w:szCs w:val="21"/>
              </w:rPr>
              <w:t>辆</w:t>
            </w: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65" w:type="dxa"/>
            <w:vAlign w:val="center"/>
          </w:tcPr>
          <w:p>
            <w:pPr>
              <w:spacing w:line="360" w:lineRule="auto"/>
              <w:jc w:val="center"/>
              <w:rPr>
                <w:szCs w:val="21"/>
              </w:rPr>
            </w:pPr>
            <w:r>
              <w:rPr>
                <w:rFonts w:hint="eastAsia"/>
                <w:szCs w:val="21"/>
              </w:rPr>
              <w:t>2.4劳保工器具</w:t>
            </w:r>
          </w:p>
        </w:tc>
        <w:tc>
          <w:tcPr>
            <w:tcW w:w="645" w:type="dxa"/>
            <w:vAlign w:val="center"/>
          </w:tcPr>
          <w:p>
            <w:pPr>
              <w:spacing w:line="360" w:lineRule="auto"/>
              <w:jc w:val="center"/>
              <w:rPr>
                <w:szCs w:val="21"/>
              </w:rPr>
            </w:pPr>
            <w:r>
              <w:rPr>
                <w:rFonts w:hint="eastAsia"/>
                <w:szCs w:val="21"/>
              </w:rPr>
              <w:t>套</w:t>
            </w: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65" w:type="dxa"/>
            <w:vAlign w:val="center"/>
          </w:tcPr>
          <w:p>
            <w:pPr>
              <w:spacing w:line="360" w:lineRule="auto"/>
              <w:jc w:val="center"/>
              <w:rPr>
                <w:szCs w:val="21"/>
              </w:rPr>
            </w:pPr>
            <w:r>
              <w:rPr>
                <w:rFonts w:hint="eastAsia"/>
                <w:szCs w:val="21"/>
              </w:rPr>
              <w:t>2.5</w:t>
            </w:r>
            <w:r>
              <w:rPr>
                <w:rFonts w:hint="eastAsia"/>
                <w:szCs w:val="21"/>
                <w:lang w:eastAsia="zh-CN"/>
              </w:rPr>
              <w:t>……</w:t>
            </w:r>
          </w:p>
        </w:tc>
        <w:tc>
          <w:tcPr>
            <w:tcW w:w="645" w:type="dxa"/>
            <w:vAlign w:val="center"/>
          </w:tcPr>
          <w:p>
            <w:pPr>
              <w:spacing w:line="360" w:lineRule="auto"/>
              <w:jc w:val="center"/>
              <w:rPr>
                <w:szCs w:val="21"/>
              </w:rPr>
            </w:pP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r>
              <w:rPr>
                <w:rFonts w:hint="eastAsia"/>
                <w:szCs w:val="21"/>
              </w:rPr>
              <w:t>内容自行添加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2865" w:type="dxa"/>
            <w:vAlign w:val="center"/>
          </w:tcPr>
          <w:p>
            <w:pPr>
              <w:spacing w:line="360" w:lineRule="auto"/>
              <w:rPr>
                <w:szCs w:val="21"/>
              </w:rPr>
            </w:pPr>
            <w:r>
              <w:rPr>
                <w:rFonts w:hint="eastAsia"/>
                <w:szCs w:val="21"/>
              </w:rPr>
              <w:t>三、报告编制、咨询费和出版费等</w:t>
            </w:r>
          </w:p>
        </w:tc>
        <w:tc>
          <w:tcPr>
            <w:tcW w:w="645" w:type="dxa"/>
          </w:tcPr>
          <w:p>
            <w:pPr>
              <w:spacing w:line="360" w:lineRule="auto"/>
              <w:rPr>
                <w:szCs w:val="21"/>
              </w:rPr>
            </w:pPr>
          </w:p>
        </w:tc>
        <w:tc>
          <w:tcPr>
            <w:tcW w:w="855" w:type="dxa"/>
          </w:tcPr>
          <w:p>
            <w:pPr>
              <w:spacing w:line="360" w:lineRule="auto"/>
              <w:rPr>
                <w:szCs w:val="21"/>
              </w:rPr>
            </w:pPr>
          </w:p>
        </w:tc>
        <w:tc>
          <w:tcPr>
            <w:tcW w:w="1290" w:type="dxa"/>
          </w:tcPr>
          <w:p>
            <w:pPr>
              <w:spacing w:line="360" w:lineRule="auto"/>
              <w:rPr>
                <w:szCs w:val="21"/>
              </w:rPr>
            </w:pPr>
          </w:p>
        </w:tc>
        <w:tc>
          <w:tcPr>
            <w:tcW w:w="1395" w:type="dxa"/>
          </w:tcPr>
          <w:p>
            <w:pPr>
              <w:spacing w:line="360" w:lineRule="auto"/>
              <w:rPr>
                <w:szCs w:val="21"/>
              </w:rPr>
            </w:pPr>
          </w:p>
        </w:tc>
        <w:tc>
          <w:tcPr>
            <w:tcW w:w="1410" w:type="dxa"/>
          </w:tcPr>
          <w:p>
            <w:pPr>
              <w:spacing w:line="360" w:lineRule="auto"/>
              <w:rPr>
                <w:szCs w:val="21"/>
              </w:rPr>
            </w:pPr>
          </w:p>
        </w:tc>
        <w:tc>
          <w:tcPr>
            <w:tcW w:w="4635" w:type="dxa"/>
            <w:vAlign w:val="center"/>
          </w:tcPr>
          <w:p>
            <w:pPr>
              <w:spacing w:line="360" w:lineRule="auto"/>
              <w:rPr>
                <w:szCs w:val="21"/>
              </w:rPr>
            </w:pPr>
            <w:r>
              <w:rPr>
                <w:rFonts w:hint="eastAsia"/>
                <w:szCs w:val="21"/>
              </w:rPr>
              <w:t>测评服务方案编制、月度报告编制、年终报告编制等咨询费和编制费，装订成册的出版费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865" w:type="dxa"/>
            <w:vAlign w:val="center"/>
          </w:tcPr>
          <w:p>
            <w:pPr>
              <w:spacing w:line="360" w:lineRule="auto"/>
              <w:jc w:val="center"/>
              <w:rPr>
                <w:szCs w:val="21"/>
              </w:rPr>
            </w:pPr>
            <w:r>
              <w:rPr>
                <w:rFonts w:hint="eastAsia"/>
                <w:szCs w:val="21"/>
              </w:rPr>
              <w:t>合计</w:t>
            </w:r>
          </w:p>
        </w:tc>
        <w:tc>
          <w:tcPr>
            <w:tcW w:w="645" w:type="dxa"/>
          </w:tcPr>
          <w:p>
            <w:pPr>
              <w:spacing w:line="360" w:lineRule="auto"/>
              <w:jc w:val="center"/>
              <w:rPr>
                <w:szCs w:val="21"/>
              </w:rPr>
            </w:pPr>
          </w:p>
        </w:tc>
        <w:tc>
          <w:tcPr>
            <w:tcW w:w="855" w:type="dxa"/>
          </w:tcPr>
          <w:p>
            <w:pPr>
              <w:spacing w:line="360" w:lineRule="auto"/>
              <w:jc w:val="center"/>
              <w:rPr>
                <w:szCs w:val="21"/>
              </w:rPr>
            </w:pPr>
          </w:p>
        </w:tc>
        <w:tc>
          <w:tcPr>
            <w:tcW w:w="1290" w:type="dxa"/>
          </w:tcPr>
          <w:p>
            <w:pPr>
              <w:spacing w:line="360" w:lineRule="auto"/>
              <w:jc w:val="center"/>
              <w:rPr>
                <w:szCs w:val="21"/>
              </w:rPr>
            </w:pPr>
          </w:p>
        </w:tc>
        <w:tc>
          <w:tcPr>
            <w:tcW w:w="1395" w:type="dxa"/>
          </w:tcPr>
          <w:p>
            <w:pPr>
              <w:spacing w:line="360" w:lineRule="auto"/>
              <w:jc w:val="center"/>
              <w:rPr>
                <w:szCs w:val="21"/>
              </w:rPr>
            </w:pPr>
          </w:p>
        </w:tc>
        <w:tc>
          <w:tcPr>
            <w:tcW w:w="1410" w:type="dxa"/>
          </w:tcPr>
          <w:p>
            <w:pPr>
              <w:spacing w:line="360" w:lineRule="auto"/>
              <w:jc w:val="center"/>
              <w:rPr>
                <w:szCs w:val="21"/>
              </w:rPr>
            </w:pPr>
          </w:p>
        </w:tc>
        <w:tc>
          <w:tcPr>
            <w:tcW w:w="4635" w:type="dxa"/>
          </w:tcPr>
          <w:p>
            <w:pPr>
              <w:spacing w:line="360" w:lineRule="auto"/>
              <w:jc w:val="center"/>
              <w:rPr>
                <w:szCs w:val="21"/>
              </w:rPr>
            </w:pPr>
          </w:p>
        </w:tc>
      </w:tr>
    </w:tbl>
    <w:p>
      <w:pPr>
        <w:spacing w:line="360" w:lineRule="auto"/>
        <w:ind w:firstLine="331" w:firstLineChars="150"/>
        <w:rPr>
          <w:rFonts w:ascii="宋体" w:hAnsi="宋体" w:cs="宋体"/>
          <w:b/>
          <w:bCs/>
          <w:sz w:val="22"/>
          <w:szCs w:val="28"/>
        </w:rPr>
      </w:pPr>
    </w:p>
    <w:p>
      <w:pPr>
        <w:spacing w:line="360" w:lineRule="auto"/>
        <w:ind w:firstLine="331" w:firstLineChars="150"/>
        <w:rPr>
          <w:rFonts w:ascii="宋体" w:hAnsi="宋体" w:cs="宋体"/>
          <w:b/>
          <w:bCs/>
          <w:sz w:val="22"/>
          <w:szCs w:val="28"/>
        </w:rPr>
      </w:pPr>
    </w:p>
    <w:p>
      <w:pPr>
        <w:spacing w:line="360" w:lineRule="auto"/>
        <w:ind w:firstLine="331" w:firstLineChars="150"/>
        <w:rPr>
          <w:rFonts w:ascii="宋体" w:hAnsi="宋体" w:cs="宋体"/>
          <w:b/>
          <w:bCs/>
          <w:sz w:val="22"/>
          <w:szCs w:val="28"/>
        </w:rPr>
      </w:pPr>
    </w:p>
    <w:p>
      <w:pPr>
        <w:spacing w:line="360" w:lineRule="auto"/>
        <w:ind w:firstLine="331" w:firstLineChars="150"/>
        <w:rPr>
          <w:rFonts w:ascii="宋体" w:hAnsi="宋体" w:cs="宋体"/>
          <w:b/>
          <w:bCs/>
          <w:sz w:val="22"/>
          <w:szCs w:val="28"/>
        </w:rPr>
      </w:pPr>
    </w:p>
    <w:p>
      <w:pPr>
        <w:spacing w:line="360" w:lineRule="auto"/>
        <w:jc w:val="center"/>
        <w:rPr>
          <w:rFonts w:hint="eastAsia" w:hAnsi="宋体" w:cs="宋体"/>
          <w:bCs/>
          <w:sz w:val="24"/>
        </w:rPr>
      </w:pPr>
    </w:p>
    <w:p>
      <w:pPr>
        <w:spacing w:line="360" w:lineRule="auto"/>
        <w:jc w:val="center"/>
        <w:rPr>
          <w:rFonts w:hAnsi="宋体" w:cs="宋体"/>
          <w:b/>
          <w:sz w:val="28"/>
          <w:szCs w:val="28"/>
        </w:rPr>
      </w:pPr>
      <w:r>
        <w:rPr>
          <w:rFonts w:hint="eastAsia" w:hAnsi="宋体" w:cs="宋体"/>
          <w:bCs/>
          <w:sz w:val="24"/>
        </w:rPr>
        <w:t>细目报价表（格式）</w:t>
      </w:r>
    </w:p>
    <w:p>
      <w:pPr>
        <w:spacing w:line="360" w:lineRule="auto"/>
        <w:rPr>
          <w:rFonts w:ascii="宋体" w:hAnsi="宋体" w:cs="宋体"/>
          <w:b/>
          <w:bCs/>
          <w:sz w:val="22"/>
          <w:szCs w:val="28"/>
        </w:rPr>
      </w:pPr>
      <w:r>
        <w:rPr>
          <w:rFonts w:hint="eastAsia" w:hAnsi="宋体" w:cs="宋体"/>
          <w:bCs/>
          <w:sz w:val="24"/>
        </w:rPr>
        <w:t>投标供应商名称（盖章）                                  政府采购编号：</w:t>
      </w:r>
    </w:p>
    <w:tbl>
      <w:tblPr>
        <w:tblStyle w:val="55"/>
        <w:tblW w:w="0" w:type="auto"/>
        <w:tblInd w:w="93" w:type="dxa"/>
        <w:tblLayout w:type="fixed"/>
        <w:tblCellMar>
          <w:top w:w="0" w:type="dxa"/>
          <w:left w:w="108" w:type="dxa"/>
          <w:bottom w:w="0" w:type="dxa"/>
          <w:right w:w="108" w:type="dxa"/>
        </w:tblCellMar>
      </w:tblPr>
      <w:tblGrid>
        <w:gridCol w:w="526"/>
        <w:gridCol w:w="1090"/>
        <w:gridCol w:w="1444"/>
        <w:gridCol w:w="818"/>
        <w:gridCol w:w="957"/>
        <w:gridCol w:w="850"/>
        <w:gridCol w:w="530"/>
        <w:gridCol w:w="530"/>
        <w:gridCol w:w="618"/>
        <w:gridCol w:w="553"/>
        <w:gridCol w:w="680"/>
        <w:gridCol w:w="553"/>
      </w:tblGrid>
      <w:tr>
        <w:tblPrEx>
          <w:tblCellMar>
            <w:top w:w="0" w:type="dxa"/>
            <w:left w:w="108" w:type="dxa"/>
            <w:bottom w:w="0" w:type="dxa"/>
            <w:right w:w="108" w:type="dxa"/>
          </w:tblCellMar>
        </w:tblPrEx>
        <w:trPr>
          <w:trHeight w:val="780" w:hRule="atLeast"/>
        </w:trPr>
        <w:tc>
          <w:tcPr>
            <w:tcW w:w="526" w:type="dxa"/>
            <w:tcBorders>
              <w:top w:val="single" w:color="auto" w:sz="12" w:space="0"/>
              <w:left w:val="single" w:color="auto" w:sz="12" w:space="0"/>
              <w:bottom w:val="single" w:color="auto" w:sz="12" w:space="0"/>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序号</w:t>
            </w:r>
          </w:p>
        </w:tc>
        <w:tc>
          <w:tcPr>
            <w:tcW w:w="1090"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rFonts w:hAnsi="宋体" w:cs="宋体"/>
                <w:szCs w:val="21"/>
              </w:rPr>
            </w:pPr>
            <w:r>
              <w:rPr>
                <w:rFonts w:hint="eastAsia" w:hAnsi="宋体" w:cs="宋体"/>
                <w:szCs w:val="21"/>
              </w:rPr>
              <w:t>摘要</w:t>
            </w:r>
          </w:p>
        </w:tc>
        <w:tc>
          <w:tcPr>
            <w:tcW w:w="1444"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jc w:val="center"/>
              <w:rPr>
                <w:rFonts w:hAnsi="宋体" w:cs="宋体"/>
                <w:szCs w:val="21"/>
              </w:rPr>
            </w:pPr>
            <w:r>
              <w:rPr>
                <w:rFonts w:hint="eastAsia" w:hAnsi="宋体" w:cs="宋体"/>
                <w:szCs w:val="21"/>
              </w:rPr>
              <w:t>项目内容</w:t>
            </w:r>
          </w:p>
        </w:tc>
        <w:tc>
          <w:tcPr>
            <w:tcW w:w="818" w:type="dxa"/>
            <w:tcBorders>
              <w:top w:val="single" w:color="auto" w:sz="12" w:space="0"/>
              <w:left w:val="single" w:color="auto" w:sz="12" w:space="0"/>
              <w:bottom w:val="single" w:color="auto" w:sz="12" w:space="0"/>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单价</w:t>
            </w:r>
          </w:p>
        </w:tc>
        <w:tc>
          <w:tcPr>
            <w:tcW w:w="957" w:type="dxa"/>
            <w:tcBorders>
              <w:top w:val="single" w:color="auto" w:sz="12" w:space="0"/>
              <w:left w:val="nil"/>
              <w:bottom w:val="single" w:color="auto" w:sz="12" w:space="0"/>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小计</w:t>
            </w:r>
          </w:p>
        </w:tc>
        <w:tc>
          <w:tcPr>
            <w:tcW w:w="850" w:type="dxa"/>
            <w:tcBorders>
              <w:top w:val="single" w:color="auto" w:sz="12" w:space="0"/>
              <w:left w:val="nil"/>
              <w:bottom w:val="single" w:color="auto" w:sz="12" w:space="0"/>
              <w:right w:val="single" w:color="auto" w:sz="4" w:space="0"/>
            </w:tcBorders>
            <w:vAlign w:val="center"/>
          </w:tcPr>
          <w:p>
            <w:pPr>
              <w:spacing w:line="360" w:lineRule="auto"/>
              <w:jc w:val="center"/>
              <w:rPr>
                <w:rFonts w:hAnsi="宋体" w:cs="宋体"/>
                <w:szCs w:val="21"/>
              </w:rPr>
            </w:pPr>
            <w:r>
              <w:rPr>
                <w:rFonts w:hint="eastAsia" w:hAnsi="宋体" w:cs="宋体"/>
                <w:szCs w:val="21"/>
              </w:rPr>
              <w:t>是否属于小、微型企业产品</w:t>
            </w:r>
          </w:p>
        </w:tc>
        <w:tc>
          <w:tcPr>
            <w:tcW w:w="530" w:type="dxa"/>
            <w:tcBorders>
              <w:top w:val="single" w:color="auto" w:sz="12" w:space="0"/>
              <w:left w:val="single" w:color="auto" w:sz="4" w:space="0"/>
              <w:bottom w:val="single" w:color="auto" w:sz="12" w:space="0"/>
              <w:right w:val="single" w:color="auto" w:sz="4" w:space="0"/>
            </w:tcBorders>
          </w:tcPr>
          <w:p>
            <w:pPr>
              <w:spacing w:line="360" w:lineRule="auto"/>
              <w:jc w:val="center"/>
              <w:rPr>
                <w:rFonts w:hAnsi="宋体" w:cs="宋体"/>
                <w:szCs w:val="21"/>
              </w:rPr>
            </w:pPr>
            <w:r>
              <w:rPr>
                <w:rFonts w:hint="eastAsia" w:hAnsi="宋体" w:cs="宋体"/>
                <w:szCs w:val="21"/>
              </w:rPr>
              <w:t>是否属于监狱企业产品</w:t>
            </w:r>
          </w:p>
        </w:tc>
        <w:tc>
          <w:tcPr>
            <w:tcW w:w="530" w:type="dxa"/>
            <w:tcBorders>
              <w:top w:val="single" w:color="auto" w:sz="12" w:space="0"/>
              <w:left w:val="single" w:color="auto" w:sz="4" w:space="0"/>
              <w:bottom w:val="single" w:color="auto" w:sz="12" w:space="0"/>
              <w:right w:val="single" w:color="auto" w:sz="4" w:space="0"/>
            </w:tcBorders>
          </w:tcPr>
          <w:p>
            <w:pPr>
              <w:spacing w:line="360" w:lineRule="auto"/>
              <w:jc w:val="center"/>
              <w:rPr>
                <w:rFonts w:hAnsi="宋体" w:cs="宋体"/>
                <w:szCs w:val="21"/>
              </w:rPr>
            </w:pPr>
            <w:r>
              <w:rPr>
                <w:rFonts w:hint="eastAsia" w:hAnsi="宋体" w:cs="宋体"/>
                <w:szCs w:val="21"/>
              </w:rPr>
              <w:t>是否属于残疾人福利性单位产品</w:t>
            </w:r>
          </w:p>
        </w:tc>
        <w:tc>
          <w:tcPr>
            <w:tcW w:w="618" w:type="dxa"/>
            <w:tcBorders>
              <w:top w:val="single" w:color="auto" w:sz="12" w:space="0"/>
              <w:left w:val="single" w:color="auto" w:sz="4" w:space="0"/>
              <w:bottom w:val="single" w:color="auto" w:sz="12" w:space="0"/>
              <w:right w:val="single" w:color="auto" w:sz="4" w:space="0"/>
            </w:tcBorders>
          </w:tcPr>
          <w:p>
            <w:pPr>
              <w:spacing w:line="360" w:lineRule="auto"/>
              <w:jc w:val="center"/>
              <w:rPr>
                <w:rFonts w:hAnsi="宋体" w:cs="宋体"/>
                <w:szCs w:val="21"/>
              </w:rPr>
            </w:pPr>
            <w:r>
              <w:rPr>
                <w:rFonts w:hint="eastAsia" w:hAnsi="宋体" w:cs="宋体"/>
                <w:szCs w:val="21"/>
              </w:rPr>
              <w:t>是否属于节能产品、环境标志产品</w:t>
            </w:r>
          </w:p>
        </w:tc>
        <w:tc>
          <w:tcPr>
            <w:tcW w:w="553"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hAnsi="宋体" w:cs="宋体"/>
                <w:szCs w:val="21"/>
              </w:rPr>
            </w:pPr>
            <w:r>
              <w:rPr>
                <w:rFonts w:hint="eastAsia" w:hAnsi="宋体" w:cs="宋体"/>
                <w:szCs w:val="21"/>
              </w:rPr>
              <w:t>产地</w:t>
            </w:r>
          </w:p>
        </w:tc>
        <w:tc>
          <w:tcPr>
            <w:tcW w:w="680" w:type="dxa"/>
            <w:tcBorders>
              <w:top w:val="single" w:color="auto" w:sz="12" w:space="0"/>
              <w:left w:val="single" w:color="auto" w:sz="4" w:space="0"/>
              <w:bottom w:val="single" w:color="auto" w:sz="12" w:space="0"/>
              <w:right w:val="single" w:color="auto" w:sz="4" w:space="0"/>
            </w:tcBorders>
            <w:vAlign w:val="center"/>
          </w:tcPr>
          <w:p>
            <w:pPr>
              <w:spacing w:line="360" w:lineRule="auto"/>
              <w:rPr>
                <w:rFonts w:hAnsi="宋体" w:cs="宋体"/>
                <w:szCs w:val="21"/>
              </w:rPr>
            </w:pPr>
            <w:r>
              <w:rPr>
                <w:rFonts w:hint="eastAsia" w:hAnsi="宋体" w:cs="宋体"/>
                <w:szCs w:val="21"/>
              </w:rPr>
              <w:t>合计</w:t>
            </w:r>
          </w:p>
        </w:tc>
        <w:tc>
          <w:tcPr>
            <w:tcW w:w="553" w:type="dxa"/>
            <w:tcBorders>
              <w:top w:val="single" w:color="auto" w:sz="12" w:space="0"/>
              <w:left w:val="single" w:color="auto" w:sz="4" w:space="0"/>
              <w:bottom w:val="single" w:color="auto" w:sz="12" w:space="0"/>
              <w:right w:val="single" w:color="auto" w:sz="12" w:space="0"/>
            </w:tcBorders>
            <w:vAlign w:val="center"/>
          </w:tcPr>
          <w:p>
            <w:pPr>
              <w:spacing w:line="360" w:lineRule="auto"/>
              <w:rPr>
                <w:rFonts w:hAnsi="宋体" w:cs="宋体"/>
                <w:szCs w:val="21"/>
              </w:rPr>
            </w:pPr>
            <w:r>
              <w:rPr>
                <w:rFonts w:hint="eastAsia" w:hAnsi="宋体" w:cs="宋体"/>
                <w:szCs w:val="21"/>
              </w:rPr>
              <w:t>备注</w:t>
            </w:r>
          </w:p>
        </w:tc>
      </w:tr>
      <w:tr>
        <w:tblPrEx>
          <w:tblCellMar>
            <w:top w:w="0" w:type="dxa"/>
            <w:left w:w="108" w:type="dxa"/>
            <w:bottom w:w="0" w:type="dxa"/>
            <w:right w:w="108" w:type="dxa"/>
          </w:tblCellMar>
        </w:tblPrEx>
        <w:trPr>
          <w:trHeight w:val="540" w:hRule="atLeast"/>
        </w:trPr>
        <w:tc>
          <w:tcPr>
            <w:tcW w:w="526" w:type="dxa"/>
            <w:vMerge w:val="restart"/>
            <w:tcBorders>
              <w:top w:val="single" w:color="auto" w:sz="12" w:space="0"/>
              <w:left w:val="single" w:color="auto" w:sz="12" w:space="0"/>
              <w:bottom w:val="nil"/>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1</w:t>
            </w:r>
          </w:p>
        </w:tc>
        <w:tc>
          <w:tcPr>
            <w:tcW w:w="1090" w:type="dxa"/>
            <w:vMerge w:val="restart"/>
            <w:tcBorders>
              <w:top w:val="single" w:color="auto" w:sz="12" w:space="0"/>
              <w:left w:val="single" w:color="auto" w:sz="4" w:space="0"/>
              <w:bottom w:val="nil"/>
              <w:right w:val="single" w:color="auto" w:sz="12" w:space="0"/>
            </w:tcBorders>
            <w:vAlign w:val="center"/>
          </w:tcPr>
          <w:p>
            <w:pPr>
              <w:spacing w:line="360" w:lineRule="auto"/>
              <w:jc w:val="center"/>
              <w:rPr>
                <w:rFonts w:hAnsi="宋体" w:cs="宋体"/>
                <w:szCs w:val="21"/>
              </w:rPr>
            </w:pPr>
          </w:p>
        </w:tc>
        <w:tc>
          <w:tcPr>
            <w:tcW w:w="1444" w:type="dxa"/>
            <w:tcBorders>
              <w:top w:val="single" w:color="auto" w:sz="12" w:space="0"/>
              <w:left w:val="single" w:color="auto" w:sz="12" w:space="0"/>
              <w:bottom w:val="single" w:color="auto" w:sz="4" w:space="0"/>
              <w:right w:val="single" w:color="auto" w:sz="12" w:space="0"/>
            </w:tcBorders>
            <w:vAlign w:val="center"/>
          </w:tcPr>
          <w:p>
            <w:pPr>
              <w:widowControl/>
              <w:spacing w:line="360" w:lineRule="auto"/>
              <w:jc w:val="center"/>
              <w:rPr>
                <w:rFonts w:hAnsi="宋体" w:cs="宋体"/>
                <w:szCs w:val="21"/>
              </w:rPr>
            </w:pPr>
          </w:p>
        </w:tc>
        <w:tc>
          <w:tcPr>
            <w:tcW w:w="818" w:type="dxa"/>
            <w:tcBorders>
              <w:top w:val="single" w:color="auto" w:sz="12" w:space="0"/>
              <w:left w:val="single" w:color="auto" w:sz="12" w:space="0"/>
              <w:bottom w:val="single" w:color="auto" w:sz="4" w:space="0"/>
              <w:right w:val="single" w:color="auto" w:sz="4" w:space="0"/>
            </w:tcBorders>
            <w:vAlign w:val="center"/>
          </w:tcPr>
          <w:p>
            <w:pPr>
              <w:widowControl/>
              <w:spacing w:line="360" w:lineRule="auto"/>
              <w:jc w:val="center"/>
              <w:rPr>
                <w:rFonts w:hAnsi="宋体" w:cs="宋体"/>
                <w:szCs w:val="21"/>
              </w:rPr>
            </w:pPr>
          </w:p>
        </w:tc>
        <w:tc>
          <w:tcPr>
            <w:tcW w:w="957" w:type="dxa"/>
            <w:tcBorders>
              <w:top w:val="single" w:color="auto" w:sz="12" w:space="0"/>
              <w:left w:val="nil"/>
              <w:bottom w:val="single" w:color="auto" w:sz="4" w:space="0"/>
              <w:right w:val="single" w:color="auto" w:sz="4" w:space="0"/>
            </w:tcBorders>
            <w:vAlign w:val="center"/>
          </w:tcPr>
          <w:p>
            <w:pPr>
              <w:widowControl/>
              <w:spacing w:line="360" w:lineRule="auto"/>
              <w:jc w:val="center"/>
              <w:rPr>
                <w:rFonts w:hAnsi="宋体" w:cs="宋体"/>
                <w:szCs w:val="21"/>
              </w:rPr>
            </w:pPr>
          </w:p>
        </w:tc>
        <w:tc>
          <w:tcPr>
            <w:tcW w:w="850" w:type="dxa"/>
            <w:tcBorders>
              <w:top w:val="single" w:color="auto" w:sz="12" w:space="0"/>
              <w:left w:val="nil"/>
              <w:bottom w:val="single" w:color="auto" w:sz="4" w:space="0"/>
              <w:right w:val="single" w:color="auto" w:sz="4" w:space="0"/>
            </w:tcBorders>
            <w:vAlign w:val="center"/>
          </w:tcPr>
          <w:p>
            <w:pPr>
              <w:spacing w:line="360" w:lineRule="auto"/>
              <w:jc w:val="center"/>
              <w:rPr>
                <w:rFonts w:hAnsi="宋体" w:cs="宋体"/>
                <w:szCs w:val="21"/>
              </w:rPr>
            </w:pPr>
          </w:p>
        </w:tc>
        <w:tc>
          <w:tcPr>
            <w:tcW w:w="53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3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618"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53"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68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553"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hAnsi="宋体" w:cs="宋体"/>
                <w:szCs w:val="21"/>
              </w:rPr>
            </w:pPr>
          </w:p>
        </w:tc>
      </w:tr>
      <w:tr>
        <w:tblPrEx>
          <w:tblCellMar>
            <w:top w:w="0" w:type="dxa"/>
            <w:left w:w="108" w:type="dxa"/>
            <w:bottom w:w="0" w:type="dxa"/>
            <w:right w:w="108" w:type="dxa"/>
          </w:tblCellMar>
        </w:tblPrEx>
        <w:trPr>
          <w:trHeight w:val="702" w:hRule="atLeast"/>
        </w:trPr>
        <w:tc>
          <w:tcPr>
            <w:tcW w:w="526" w:type="dxa"/>
            <w:vMerge w:val="continue"/>
            <w:tcBorders>
              <w:top w:val="nil"/>
              <w:left w:val="single" w:color="auto" w:sz="12" w:space="0"/>
              <w:bottom w:val="nil"/>
              <w:right w:val="single" w:color="auto" w:sz="4" w:space="0"/>
            </w:tcBorders>
            <w:vAlign w:val="center"/>
          </w:tcPr>
          <w:p>
            <w:pPr>
              <w:widowControl/>
              <w:spacing w:line="360" w:lineRule="auto"/>
              <w:jc w:val="left"/>
              <w:rPr>
                <w:rFonts w:hAnsi="宋体" w:cs="宋体"/>
                <w:szCs w:val="21"/>
              </w:rPr>
            </w:pPr>
          </w:p>
        </w:tc>
        <w:tc>
          <w:tcPr>
            <w:tcW w:w="1090" w:type="dxa"/>
            <w:vMerge w:val="continue"/>
            <w:tcBorders>
              <w:top w:val="nil"/>
              <w:left w:val="single" w:color="auto" w:sz="4" w:space="0"/>
              <w:bottom w:val="nil"/>
              <w:right w:val="single" w:color="auto" w:sz="12" w:space="0"/>
            </w:tcBorders>
            <w:vAlign w:val="center"/>
          </w:tcPr>
          <w:p>
            <w:pPr>
              <w:widowControl/>
              <w:spacing w:line="360" w:lineRule="auto"/>
              <w:jc w:val="left"/>
              <w:rPr>
                <w:rFonts w:hAnsi="宋体" w:cs="宋体"/>
                <w:szCs w:val="21"/>
              </w:rPr>
            </w:pPr>
          </w:p>
        </w:tc>
        <w:tc>
          <w:tcPr>
            <w:tcW w:w="1444" w:type="dxa"/>
            <w:tcBorders>
              <w:top w:val="nil"/>
              <w:left w:val="single" w:color="auto" w:sz="12" w:space="0"/>
              <w:bottom w:val="single" w:color="auto" w:sz="4" w:space="0"/>
              <w:right w:val="single" w:color="auto" w:sz="12" w:space="0"/>
            </w:tcBorders>
            <w:vAlign w:val="center"/>
          </w:tcPr>
          <w:p>
            <w:pPr>
              <w:widowControl/>
              <w:spacing w:line="360" w:lineRule="auto"/>
              <w:ind w:firstLine="105" w:firstLineChars="50"/>
              <w:jc w:val="center"/>
              <w:rPr>
                <w:rFonts w:hAnsi="宋体" w:cs="宋体"/>
                <w:szCs w:val="21"/>
              </w:rPr>
            </w:pPr>
          </w:p>
        </w:tc>
        <w:tc>
          <w:tcPr>
            <w:tcW w:w="818" w:type="dxa"/>
            <w:tcBorders>
              <w:top w:val="nil"/>
              <w:left w:val="single" w:color="auto" w:sz="12" w:space="0"/>
              <w:bottom w:val="single" w:color="auto" w:sz="4" w:space="0"/>
              <w:right w:val="single" w:color="auto" w:sz="4" w:space="0"/>
            </w:tcBorders>
            <w:vAlign w:val="center"/>
          </w:tcPr>
          <w:p>
            <w:pPr>
              <w:widowControl/>
              <w:spacing w:line="360" w:lineRule="auto"/>
              <w:jc w:val="center"/>
              <w:rPr>
                <w:rFonts w:hAnsi="宋体" w:cs="宋体"/>
                <w:szCs w:val="21"/>
              </w:rPr>
            </w:pPr>
          </w:p>
        </w:tc>
        <w:tc>
          <w:tcPr>
            <w:tcW w:w="957"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1"/>
              </w:rPr>
            </w:pPr>
          </w:p>
        </w:tc>
        <w:tc>
          <w:tcPr>
            <w:tcW w:w="850" w:type="dxa"/>
            <w:tcBorders>
              <w:top w:val="nil"/>
              <w:left w:val="nil"/>
              <w:bottom w:val="single" w:color="auto" w:sz="4" w:space="0"/>
              <w:right w:val="single" w:color="auto" w:sz="4" w:space="0"/>
            </w:tcBorders>
            <w:vAlign w:val="center"/>
          </w:tcPr>
          <w:p>
            <w:pPr>
              <w:spacing w:line="360" w:lineRule="auto"/>
              <w:jc w:val="center"/>
              <w:rPr>
                <w:rFonts w:hAnsi="宋体" w:cs="宋体"/>
                <w:szCs w:val="21"/>
              </w:rPr>
            </w:pPr>
          </w:p>
        </w:tc>
        <w:tc>
          <w:tcPr>
            <w:tcW w:w="530"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30"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618"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53" w:type="dxa"/>
            <w:tcBorders>
              <w:top w:val="nil"/>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553" w:type="dxa"/>
            <w:tcBorders>
              <w:top w:val="nil"/>
              <w:left w:val="single" w:color="auto" w:sz="4" w:space="0"/>
              <w:bottom w:val="single" w:color="auto" w:sz="4" w:space="0"/>
              <w:right w:val="single" w:color="auto" w:sz="12" w:space="0"/>
            </w:tcBorders>
            <w:vAlign w:val="center"/>
          </w:tcPr>
          <w:p>
            <w:pPr>
              <w:spacing w:line="360" w:lineRule="auto"/>
              <w:jc w:val="center"/>
              <w:rPr>
                <w:rFonts w:hAnsi="宋体" w:cs="宋体"/>
                <w:szCs w:val="21"/>
              </w:rPr>
            </w:pPr>
          </w:p>
        </w:tc>
      </w:tr>
      <w:tr>
        <w:tblPrEx>
          <w:tblCellMar>
            <w:top w:w="0" w:type="dxa"/>
            <w:left w:w="108" w:type="dxa"/>
            <w:bottom w:w="0" w:type="dxa"/>
            <w:right w:w="108" w:type="dxa"/>
          </w:tblCellMar>
        </w:tblPrEx>
        <w:trPr>
          <w:trHeight w:val="625" w:hRule="atLeast"/>
        </w:trPr>
        <w:tc>
          <w:tcPr>
            <w:tcW w:w="526" w:type="dxa"/>
            <w:vMerge w:val="continue"/>
            <w:tcBorders>
              <w:top w:val="nil"/>
              <w:left w:val="single" w:color="auto" w:sz="12" w:space="0"/>
              <w:bottom w:val="nil"/>
              <w:right w:val="single" w:color="auto" w:sz="4" w:space="0"/>
            </w:tcBorders>
            <w:vAlign w:val="center"/>
          </w:tcPr>
          <w:p>
            <w:pPr>
              <w:widowControl/>
              <w:spacing w:line="360" w:lineRule="auto"/>
              <w:jc w:val="left"/>
              <w:rPr>
                <w:rFonts w:hAnsi="宋体" w:cs="宋体"/>
                <w:szCs w:val="21"/>
              </w:rPr>
            </w:pPr>
          </w:p>
        </w:tc>
        <w:tc>
          <w:tcPr>
            <w:tcW w:w="1090" w:type="dxa"/>
            <w:vMerge w:val="continue"/>
            <w:tcBorders>
              <w:top w:val="nil"/>
              <w:left w:val="single" w:color="auto" w:sz="4" w:space="0"/>
              <w:bottom w:val="nil"/>
              <w:right w:val="single" w:color="auto" w:sz="12" w:space="0"/>
            </w:tcBorders>
            <w:vAlign w:val="center"/>
          </w:tcPr>
          <w:p>
            <w:pPr>
              <w:widowControl/>
              <w:spacing w:line="360" w:lineRule="auto"/>
              <w:jc w:val="left"/>
              <w:rPr>
                <w:rFonts w:hAnsi="宋体" w:cs="宋体"/>
                <w:szCs w:val="21"/>
              </w:rPr>
            </w:pPr>
          </w:p>
        </w:tc>
        <w:tc>
          <w:tcPr>
            <w:tcW w:w="1444" w:type="dxa"/>
            <w:tcBorders>
              <w:top w:val="nil"/>
              <w:left w:val="single" w:color="auto" w:sz="12" w:space="0"/>
              <w:bottom w:val="single" w:color="auto" w:sz="4" w:space="0"/>
              <w:right w:val="single" w:color="auto" w:sz="12" w:space="0"/>
            </w:tcBorders>
            <w:vAlign w:val="center"/>
          </w:tcPr>
          <w:p>
            <w:pPr>
              <w:widowControl/>
              <w:spacing w:line="360" w:lineRule="auto"/>
              <w:ind w:firstLine="105" w:firstLineChars="50"/>
              <w:jc w:val="center"/>
              <w:rPr>
                <w:rFonts w:hAnsi="宋体" w:cs="宋体"/>
                <w:szCs w:val="21"/>
              </w:rPr>
            </w:pPr>
          </w:p>
        </w:tc>
        <w:tc>
          <w:tcPr>
            <w:tcW w:w="818" w:type="dxa"/>
            <w:tcBorders>
              <w:top w:val="nil"/>
              <w:left w:val="single" w:color="auto" w:sz="12" w:space="0"/>
              <w:bottom w:val="single" w:color="auto" w:sz="4" w:space="0"/>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　</w:t>
            </w:r>
          </w:p>
        </w:tc>
        <w:tc>
          <w:tcPr>
            <w:tcW w:w="957"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1"/>
              </w:rPr>
            </w:pPr>
            <w:r>
              <w:rPr>
                <w:rFonts w:hint="eastAsia" w:hAnsi="宋体" w:cs="宋体"/>
                <w:szCs w:val="21"/>
              </w:rPr>
              <w:t>　</w:t>
            </w:r>
          </w:p>
        </w:tc>
        <w:tc>
          <w:tcPr>
            <w:tcW w:w="850" w:type="dxa"/>
            <w:tcBorders>
              <w:top w:val="nil"/>
              <w:left w:val="nil"/>
              <w:bottom w:val="single" w:color="auto" w:sz="4" w:space="0"/>
              <w:right w:val="single" w:color="auto" w:sz="4" w:space="0"/>
            </w:tcBorders>
            <w:vAlign w:val="center"/>
          </w:tcPr>
          <w:p>
            <w:pPr>
              <w:spacing w:line="360" w:lineRule="auto"/>
              <w:jc w:val="center"/>
              <w:rPr>
                <w:rFonts w:hAnsi="宋体" w:cs="宋体"/>
                <w:szCs w:val="21"/>
              </w:rPr>
            </w:pPr>
          </w:p>
        </w:tc>
        <w:tc>
          <w:tcPr>
            <w:tcW w:w="530"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30"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618" w:type="dxa"/>
            <w:tcBorders>
              <w:top w:val="nil"/>
              <w:left w:val="single" w:color="auto" w:sz="4" w:space="0"/>
              <w:bottom w:val="single" w:color="auto" w:sz="4" w:space="0"/>
              <w:right w:val="single" w:color="auto" w:sz="4" w:space="0"/>
            </w:tcBorders>
          </w:tcPr>
          <w:p>
            <w:pPr>
              <w:spacing w:line="360" w:lineRule="auto"/>
              <w:jc w:val="center"/>
              <w:rPr>
                <w:rFonts w:hAnsi="宋体" w:cs="宋体"/>
                <w:szCs w:val="21"/>
              </w:rPr>
            </w:pPr>
          </w:p>
        </w:tc>
        <w:tc>
          <w:tcPr>
            <w:tcW w:w="553" w:type="dxa"/>
            <w:tcBorders>
              <w:top w:val="nil"/>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553" w:type="dxa"/>
            <w:tcBorders>
              <w:top w:val="nil"/>
              <w:left w:val="single" w:color="auto" w:sz="4" w:space="0"/>
              <w:bottom w:val="single" w:color="auto" w:sz="4" w:space="0"/>
              <w:right w:val="single" w:color="auto" w:sz="12" w:space="0"/>
            </w:tcBorders>
            <w:vAlign w:val="center"/>
          </w:tcPr>
          <w:p>
            <w:pPr>
              <w:spacing w:line="360" w:lineRule="auto"/>
              <w:jc w:val="center"/>
              <w:rPr>
                <w:rFonts w:hAnsi="宋体" w:cs="宋体"/>
                <w:szCs w:val="21"/>
              </w:rPr>
            </w:pPr>
          </w:p>
        </w:tc>
      </w:tr>
      <w:tr>
        <w:tblPrEx>
          <w:tblCellMar>
            <w:top w:w="0" w:type="dxa"/>
            <w:left w:w="108" w:type="dxa"/>
            <w:bottom w:w="0" w:type="dxa"/>
            <w:right w:w="108" w:type="dxa"/>
          </w:tblCellMar>
        </w:tblPrEx>
        <w:trPr>
          <w:trHeight w:val="688" w:hRule="atLeast"/>
        </w:trPr>
        <w:tc>
          <w:tcPr>
            <w:tcW w:w="526" w:type="dxa"/>
            <w:vMerge w:val="continue"/>
            <w:tcBorders>
              <w:top w:val="nil"/>
              <w:left w:val="single" w:color="auto" w:sz="12" w:space="0"/>
              <w:bottom w:val="nil"/>
              <w:right w:val="single" w:color="auto" w:sz="4" w:space="0"/>
            </w:tcBorders>
            <w:vAlign w:val="center"/>
          </w:tcPr>
          <w:p>
            <w:pPr>
              <w:widowControl/>
              <w:spacing w:line="360" w:lineRule="auto"/>
              <w:jc w:val="left"/>
              <w:rPr>
                <w:rFonts w:hAnsi="宋体" w:cs="宋体"/>
                <w:szCs w:val="21"/>
              </w:rPr>
            </w:pPr>
          </w:p>
        </w:tc>
        <w:tc>
          <w:tcPr>
            <w:tcW w:w="1090" w:type="dxa"/>
            <w:vMerge w:val="continue"/>
            <w:tcBorders>
              <w:top w:val="nil"/>
              <w:left w:val="single" w:color="auto" w:sz="4" w:space="0"/>
              <w:bottom w:val="nil"/>
              <w:right w:val="single" w:color="auto" w:sz="12" w:space="0"/>
            </w:tcBorders>
            <w:vAlign w:val="center"/>
          </w:tcPr>
          <w:p>
            <w:pPr>
              <w:widowControl/>
              <w:spacing w:line="360" w:lineRule="auto"/>
              <w:jc w:val="left"/>
              <w:rPr>
                <w:rFonts w:hAnsi="宋体" w:cs="宋体"/>
                <w:szCs w:val="21"/>
              </w:rPr>
            </w:pPr>
          </w:p>
        </w:tc>
        <w:tc>
          <w:tcPr>
            <w:tcW w:w="1444" w:type="dxa"/>
            <w:tcBorders>
              <w:top w:val="single" w:color="auto" w:sz="4" w:space="0"/>
              <w:left w:val="single" w:color="auto" w:sz="12" w:space="0"/>
              <w:right w:val="single" w:color="auto" w:sz="12" w:space="0"/>
            </w:tcBorders>
            <w:vAlign w:val="center"/>
          </w:tcPr>
          <w:p>
            <w:pPr>
              <w:spacing w:line="360" w:lineRule="auto"/>
              <w:jc w:val="center"/>
              <w:rPr>
                <w:rFonts w:hAnsi="宋体" w:cs="宋体"/>
                <w:szCs w:val="21"/>
              </w:rPr>
            </w:pPr>
            <w:r>
              <w:rPr>
                <w:rFonts w:hint="eastAsia" w:hAnsi="宋体" w:cs="宋体"/>
                <w:szCs w:val="21"/>
              </w:rPr>
              <w:t>合  计</w:t>
            </w:r>
          </w:p>
        </w:tc>
        <w:tc>
          <w:tcPr>
            <w:tcW w:w="818" w:type="dxa"/>
            <w:tcBorders>
              <w:top w:val="single" w:color="auto" w:sz="4" w:space="0"/>
              <w:left w:val="single" w:color="auto" w:sz="12" w:space="0"/>
              <w:right w:val="single" w:color="auto" w:sz="4" w:space="0"/>
            </w:tcBorders>
            <w:vAlign w:val="center"/>
          </w:tcPr>
          <w:p>
            <w:pPr>
              <w:spacing w:line="360" w:lineRule="auto"/>
              <w:jc w:val="center"/>
              <w:rPr>
                <w:rFonts w:hAnsi="宋体" w:cs="宋体"/>
                <w:szCs w:val="21"/>
              </w:rPr>
            </w:pPr>
          </w:p>
        </w:tc>
        <w:tc>
          <w:tcPr>
            <w:tcW w:w="957" w:type="dxa"/>
            <w:tcBorders>
              <w:top w:val="single" w:color="auto" w:sz="4" w:space="0"/>
              <w:left w:val="nil"/>
              <w:right w:val="single" w:color="auto" w:sz="4" w:space="0"/>
            </w:tcBorders>
            <w:vAlign w:val="center"/>
          </w:tcPr>
          <w:p>
            <w:pPr>
              <w:spacing w:line="360" w:lineRule="auto"/>
              <w:jc w:val="center"/>
              <w:rPr>
                <w:rFonts w:hAnsi="宋体" w:cs="宋体"/>
                <w:szCs w:val="21"/>
              </w:rPr>
            </w:pPr>
          </w:p>
        </w:tc>
        <w:tc>
          <w:tcPr>
            <w:tcW w:w="850" w:type="dxa"/>
            <w:tcBorders>
              <w:top w:val="single" w:color="auto" w:sz="4" w:space="0"/>
              <w:left w:val="nil"/>
              <w:right w:val="single" w:color="auto" w:sz="4" w:space="0"/>
            </w:tcBorders>
            <w:vAlign w:val="center"/>
          </w:tcPr>
          <w:p>
            <w:pPr>
              <w:spacing w:line="360" w:lineRule="auto"/>
              <w:jc w:val="center"/>
              <w:rPr>
                <w:rFonts w:hAnsi="宋体" w:cs="宋体"/>
                <w:szCs w:val="21"/>
              </w:rPr>
            </w:pPr>
          </w:p>
        </w:tc>
        <w:tc>
          <w:tcPr>
            <w:tcW w:w="530" w:type="dxa"/>
            <w:tcBorders>
              <w:top w:val="single" w:color="auto" w:sz="4" w:space="0"/>
              <w:left w:val="single" w:color="auto" w:sz="4" w:space="0"/>
              <w:right w:val="single" w:color="auto" w:sz="4" w:space="0"/>
            </w:tcBorders>
          </w:tcPr>
          <w:p>
            <w:pPr>
              <w:spacing w:line="360" w:lineRule="auto"/>
              <w:jc w:val="center"/>
              <w:rPr>
                <w:rFonts w:hAnsi="宋体" w:cs="宋体"/>
                <w:szCs w:val="21"/>
              </w:rPr>
            </w:pPr>
          </w:p>
        </w:tc>
        <w:tc>
          <w:tcPr>
            <w:tcW w:w="530" w:type="dxa"/>
            <w:tcBorders>
              <w:top w:val="single" w:color="auto" w:sz="4" w:space="0"/>
              <w:left w:val="single" w:color="auto" w:sz="4" w:space="0"/>
              <w:right w:val="single" w:color="auto" w:sz="4" w:space="0"/>
            </w:tcBorders>
          </w:tcPr>
          <w:p>
            <w:pPr>
              <w:spacing w:line="360" w:lineRule="auto"/>
              <w:jc w:val="center"/>
              <w:rPr>
                <w:rFonts w:hAnsi="宋体" w:cs="宋体"/>
                <w:szCs w:val="21"/>
              </w:rPr>
            </w:pPr>
          </w:p>
        </w:tc>
        <w:tc>
          <w:tcPr>
            <w:tcW w:w="618" w:type="dxa"/>
            <w:tcBorders>
              <w:top w:val="single" w:color="auto" w:sz="4" w:space="0"/>
              <w:left w:val="single" w:color="auto" w:sz="4" w:space="0"/>
              <w:right w:val="single" w:color="auto" w:sz="4" w:space="0"/>
            </w:tcBorders>
          </w:tcPr>
          <w:p>
            <w:pPr>
              <w:spacing w:line="360" w:lineRule="auto"/>
              <w:jc w:val="center"/>
              <w:rPr>
                <w:rFonts w:hAnsi="宋体" w:cs="宋体"/>
                <w:szCs w:val="21"/>
              </w:rPr>
            </w:pPr>
          </w:p>
        </w:tc>
        <w:tc>
          <w:tcPr>
            <w:tcW w:w="553" w:type="dxa"/>
            <w:tcBorders>
              <w:top w:val="single" w:color="auto" w:sz="4" w:space="0"/>
              <w:left w:val="single" w:color="auto" w:sz="4" w:space="0"/>
              <w:right w:val="single" w:color="auto" w:sz="4" w:space="0"/>
            </w:tcBorders>
            <w:vAlign w:val="center"/>
          </w:tcPr>
          <w:p>
            <w:pPr>
              <w:spacing w:line="360" w:lineRule="auto"/>
              <w:jc w:val="center"/>
              <w:rPr>
                <w:rFonts w:hAnsi="宋体" w:cs="宋体"/>
                <w:szCs w:val="21"/>
              </w:rPr>
            </w:pPr>
          </w:p>
        </w:tc>
        <w:tc>
          <w:tcPr>
            <w:tcW w:w="680" w:type="dxa"/>
            <w:tcBorders>
              <w:top w:val="single" w:color="auto" w:sz="4" w:space="0"/>
              <w:left w:val="single" w:color="auto" w:sz="4" w:space="0"/>
              <w:right w:val="single" w:color="auto" w:sz="4" w:space="0"/>
            </w:tcBorders>
            <w:vAlign w:val="center"/>
          </w:tcPr>
          <w:p>
            <w:pPr>
              <w:spacing w:line="360" w:lineRule="auto"/>
              <w:jc w:val="center"/>
              <w:rPr>
                <w:rFonts w:hAnsi="宋体" w:cs="宋体"/>
                <w:szCs w:val="21"/>
              </w:rPr>
            </w:pPr>
          </w:p>
        </w:tc>
        <w:tc>
          <w:tcPr>
            <w:tcW w:w="553" w:type="dxa"/>
            <w:tcBorders>
              <w:top w:val="single" w:color="auto" w:sz="4" w:space="0"/>
              <w:left w:val="single" w:color="auto" w:sz="4" w:space="0"/>
              <w:right w:val="single" w:color="auto" w:sz="12" w:space="0"/>
            </w:tcBorders>
            <w:vAlign w:val="center"/>
          </w:tcPr>
          <w:p>
            <w:pPr>
              <w:spacing w:line="360" w:lineRule="auto"/>
              <w:jc w:val="center"/>
              <w:rPr>
                <w:rFonts w:hAnsi="宋体" w:cs="宋体"/>
                <w:szCs w:val="21"/>
              </w:rPr>
            </w:pPr>
          </w:p>
        </w:tc>
      </w:tr>
      <w:tr>
        <w:tblPrEx>
          <w:tblCellMar>
            <w:top w:w="0" w:type="dxa"/>
            <w:left w:w="108" w:type="dxa"/>
            <w:bottom w:w="0" w:type="dxa"/>
            <w:right w:w="108" w:type="dxa"/>
          </w:tblCellMar>
        </w:tblPrEx>
        <w:trPr>
          <w:trHeight w:val="661" w:hRule="atLeast"/>
        </w:trPr>
        <w:tc>
          <w:tcPr>
            <w:tcW w:w="526" w:type="dxa"/>
            <w:tcBorders>
              <w:top w:val="single" w:color="auto" w:sz="12" w:space="0"/>
              <w:left w:val="single" w:color="auto" w:sz="12" w:space="0"/>
              <w:right w:val="single" w:color="auto" w:sz="4" w:space="0"/>
            </w:tcBorders>
            <w:vAlign w:val="center"/>
          </w:tcPr>
          <w:p>
            <w:pPr>
              <w:spacing w:line="360" w:lineRule="auto"/>
              <w:jc w:val="center"/>
              <w:rPr>
                <w:rFonts w:hAnsi="宋体" w:cs="宋体"/>
                <w:szCs w:val="21"/>
              </w:rPr>
            </w:pPr>
            <w:r>
              <w:rPr>
                <w:rFonts w:hint="eastAsia" w:hAnsi="宋体" w:cs="宋体"/>
                <w:szCs w:val="21"/>
              </w:rPr>
              <w:t>2</w:t>
            </w:r>
          </w:p>
        </w:tc>
        <w:tc>
          <w:tcPr>
            <w:tcW w:w="2534" w:type="dxa"/>
            <w:gridSpan w:val="2"/>
            <w:tcBorders>
              <w:top w:val="single" w:color="auto" w:sz="12" w:space="0"/>
              <w:left w:val="single" w:color="auto" w:sz="4" w:space="0"/>
              <w:right w:val="single" w:color="auto" w:sz="12" w:space="0"/>
            </w:tcBorders>
            <w:vAlign w:val="center"/>
          </w:tcPr>
          <w:p>
            <w:pPr>
              <w:spacing w:line="360" w:lineRule="auto"/>
              <w:jc w:val="center"/>
              <w:rPr>
                <w:rFonts w:hAnsi="宋体" w:cs="宋体"/>
                <w:szCs w:val="21"/>
              </w:rPr>
            </w:pPr>
            <w:r>
              <w:rPr>
                <w:rFonts w:hint="eastAsia" w:hAnsi="宋体" w:cs="宋体"/>
                <w:szCs w:val="21"/>
              </w:rPr>
              <w:t>其它费用（包含易耗品、设备等费用）</w:t>
            </w:r>
          </w:p>
        </w:tc>
        <w:tc>
          <w:tcPr>
            <w:tcW w:w="1775"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85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53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530"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618" w:type="dxa"/>
            <w:tcBorders>
              <w:top w:val="single" w:color="auto" w:sz="12"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553"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68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553"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hAnsi="宋体" w:cs="宋体"/>
                <w:b/>
                <w:bCs/>
                <w:szCs w:val="21"/>
              </w:rPr>
            </w:pPr>
          </w:p>
        </w:tc>
      </w:tr>
      <w:tr>
        <w:tblPrEx>
          <w:tblCellMar>
            <w:top w:w="0" w:type="dxa"/>
            <w:left w:w="108" w:type="dxa"/>
            <w:bottom w:w="0" w:type="dxa"/>
            <w:right w:w="108" w:type="dxa"/>
          </w:tblCellMar>
        </w:tblPrEx>
        <w:trPr>
          <w:trHeight w:val="632" w:hRule="atLeast"/>
        </w:trPr>
        <w:tc>
          <w:tcPr>
            <w:tcW w:w="52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Ansi="宋体" w:cs="宋体"/>
                <w:szCs w:val="21"/>
              </w:rPr>
            </w:pPr>
            <w:r>
              <w:rPr>
                <w:rFonts w:hint="eastAsia" w:hAnsi="宋体" w:cs="宋体"/>
                <w:szCs w:val="21"/>
              </w:rPr>
              <w:t>3</w:t>
            </w:r>
          </w:p>
        </w:tc>
        <w:tc>
          <w:tcPr>
            <w:tcW w:w="25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hAnsi="宋体" w:cs="宋体"/>
                <w:szCs w:val="21"/>
              </w:rPr>
            </w:pPr>
            <w:r>
              <w:rPr>
                <w:rFonts w:hint="eastAsia" w:hAnsi="宋体" w:cs="宋体"/>
                <w:szCs w:val="21"/>
              </w:rPr>
              <w:t>综合管理费</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5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5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61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bCs/>
                <w:szCs w:val="21"/>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bCs/>
                <w:szCs w:val="21"/>
              </w:rPr>
            </w:pPr>
          </w:p>
        </w:tc>
        <w:tc>
          <w:tcPr>
            <w:tcW w:w="553"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hAnsi="宋体" w:cs="宋体"/>
                <w:b/>
                <w:bCs/>
                <w:szCs w:val="21"/>
              </w:rPr>
            </w:pPr>
          </w:p>
        </w:tc>
      </w:tr>
      <w:tr>
        <w:tblPrEx>
          <w:tblCellMar>
            <w:top w:w="0" w:type="dxa"/>
            <w:left w:w="108" w:type="dxa"/>
            <w:bottom w:w="0" w:type="dxa"/>
            <w:right w:w="108" w:type="dxa"/>
          </w:tblCellMar>
        </w:tblPrEx>
        <w:trPr>
          <w:trHeight w:val="500" w:hRule="atLeast"/>
        </w:trPr>
        <w:tc>
          <w:tcPr>
            <w:tcW w:w="526"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Ansi="宋体" w:cs="宋体"/>
                <w:szCs w:val="21"/>
              </w:rPr>
            </w:pPr>
          </w:p>
          <w:p>
            <w:pPr>
              <w:spacing w:line="360" w:lineRule="auto"/>
              <w:jc w:val="center"/>
              <w:rPr>
                <w:rFonts w:hAnsi="宋体" w:cs="宋体"/>
                <w:szCs w:val="21"/>
              </w:rPr>
            </w:pPr>
            <w:r>
              <w:rPr>
                <w:rFonts w:hint="eastAsia" w:hAnsi="宋体" w:cs="宋体"/>
                <w:szCs w:val="21"/>
              </w:rPr>
              <w:t>4</w:t>
            </w:r>
          </w:p>
          <w:p>
            <w:pPr>
              <w:spacing w:line="360" w:lineRule="auto"/>
              <w:jc w:val="center"/>
              <w:rPr>
                <w:rFonts w:hAnsi="宋体" w:cs="宋体"/>
                <w:szCs w:val="21"/>
              </w:rPr>
            </w:pPr>
          </w:p>
        </w:tc>
        <w:tc>
          <w:tcPr>
            <w:tcW w:w="2534" w:type="dxa"/>
            <w:gridSpan w:val="2"/>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hAnsi="宋体" w:cs="宋体"/>
                <w:szCs w:val="21"/>
              </w:rPr>
            </w:pPr>
          </w:p>
          <w:p>
            <w:pPr>
              <w:spacing w:line="360" w:lineRule="auto"/>
              <w:jc w:val="center"/>
              <w:rPr>
                <w:rFonts w:hAnsi="宋体" w:cs="宋体"/>
                <w:szCs w:val="21"/>
              </w:rPr>
            </w:pPr>
            <w:r>
              <w:rPr>
                <w:rFonts w:hint="eastAsia" w:hAnsi="宋体" w:cs="宋体"/>
                <w:szCs w:val="21"/>
              </w:rPr>
              <w:t>税   金</w:t>
            </w:r>
          </w:p>
        </w:tc>
        <w:tc>
          <w:tcPr>
            <w:tcW w:w="1775"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Ansi="宋体" w:cs="宋体"/>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Ansi="宋体" w:cs="宋体"/>
                <w:b/>
                <w:bCs/>
                <w:szCs w:val="21"/>
              </w:rPr>
            </w:pPr>
          </w:p>
        </w:tc>
        <w:tc>
          <w:tcPr>
            <w:tcW w:w="530" w:type="dxa"/>
            <w:tcBorders>
              <w:top w:val="single" w:color="auto" w:sz="4" w:space="0"/>
              <w:left w:val="single" w:color="auto" w:sz="4" w:space="0"/>
              <w:bottom w:val="single" w:color="auto" w:sz="12" w:space="0"/>
              <w:right w:val="single" w:color="auto" w:sz="4" w:space="0"/>
            </w:tcBorders>
          </w:tcPr>
          <w:p>
            <w:pPr>
              <w:spacing w:line="360" w:lineRule="auto"/>
              <w:jc w:val="center"/>
              <w:rPr>
                <w:rFonts w:hAnsi="宋体" w:cs="宋体"/>
                <w:b/>
                <w:bCs/>
                <w:szCs w:val="21"/>
              </w:rPr>
            </w:pPr>
          </w:p>
        </w:tc>
        <w:tc>
          <w:tcPr>
            <w:tcW w:w="530" w:type="dxa"/>
            <w:tcBorders>
              <w:top w:val="single" w:color="auto" w:sz="4" w:space="0"/>
              <w:left w:val="single" w:color="auto" w:sz="4" w:space="0"/>
              <w:bottom w:val="single" w:color="auto" w:sz="12" w:space="0"/>
              <w:right w:val="single" w:color="auto" w:sz="4" w:space="0"/>
            </w:tcBorders>
          </w:tcPr>
          <w:p>
            <w:pPr>
              <w:spacing w:line="360" w:lineRule="auto"/>
              <w:jc w:val="center"/>
              <w:rPr>
                <w:rFonts w:hAnsi="宋体" w:cs="宋体"/>
                <w:b/>
                <w:bCs/>
                <w:szCs w:val="21"/>
              </w:rPr>
            </w:pPr>
          </w:p>
        </w:tc>
        <w:tc>
          <w:tcPr>
            <w:tcW w:w="618" w:type="dxa"/>
            <w:tcBorders>
              <w:top w:val="single" w:color="auto" w:sz="4" w:space="0"/>
              <w:left w:val="single" w:color="auto" w:sz="4" w:space="0"/>
              <w:bottom w:val="single" w:color="auto" w:sz="12" w:space="0"/>
              <w:right w:val="single" w:color="auto" w:sz="4" w:space="0"/>
            </w:tcBorders>
          </w:tcPr>
          <w:p>
            <w:pPr>
              <w:spacing w:line="360" w:lineRule="auto"/>
              <w:jc w:val="center"/>
              <w:rPr>
                <w:rFonts w:hAnsi="宋体" w:cs="宋体"/>
                <w:b/>
                <w:bCs/>
                <w:szCs w:val="21"/>
              </w:rPr>
            </w:pPr>
          </w:p>
        </w:tc>
        <w:tc>
          <w:tcPr>
            <w:tcW w:w="553"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Ansi="宋体" w:cs="宋体"/>
                <w:b/>
                <w:bCs/>
                <w:szCs w:val="21"/>
              </w:rPr>
            </w:pPr>
          </w:p>
        </w:tc>
        <w:tc>
          <w:tcPr>
            <w:tcW w:w="68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Ansi="宋体" w:cs="宋体"/>
                <w:b/>
                <w:bCs/>
                <w:szCs w:val="21"/>
              </w:rPr>
            </w:pPr>
          </w:p>
        </w:tc>
        <w:tc>
          <w:tcPr>
            <w:tcW w:w="553"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hAnsi="宋体" w:cs="宋体"/>
                <w:b/>
                <w:bCs/>
                <w:szCs w:val="21"/>
              </w:rPr>
            </w:pPr>
          </w:p>
        </w:tc>
      </w:tr>
      <w:tr>
        <w:tblPrEx>
          <w:tblCellMar>
            <w:top w:w="0" w:type="dxa"/>
            <w:left w:w="108" w:type="dxa"/>
            <w:bottom w:w="0" w:type="dxa"/>
            <w:right w:w="108" w:type="dxa"/>
          </w:tblCellMar>
        </w:tblPrEx>
        <w:trPr>
          <w:trHeight w:val="500" w:hRule="atLeast"/>
        </w:trPr>
        <w:tc>
          <w:tcPr>
            <w:tcW w:w="4835" w:type="dxa"/>
            <w:gridSpan w:val="5"/>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Ansi="宋体" w:cs="宋体"/>
                <w:szCs w:val="21"/>
              </w:rPr>
            </w:pPr>
            <w:r>
              <w:rPr>
                <w:rFonts w:hint="eastAsia" w:hAnsi="宋体" w:cs="宋体"/>
                <w:szCs w:val="21"/>
              </w:rPr>
              <w:t>合计（万元）</w:t>
            </w:r>
          </w:p>
        </w:tc>
        <w:tc>
          <w:tcPr>
            <w:tcW w:w="4314" w:type="dxa"/>
            <w:gridSpan w:val="7"/>
            <w:tcBorders>
              <w:top w:val="single" w:color="auto" w:sz="4" w:space="0"/>
              <w:left w:val="single" w:color="auto" w:sz="4" w:space="0"/>
              <w:bottom w:val="single" w:color="auto" w:sz="12" w:space="0"/>
              <w:right w:val="single" w:color="auto" w:sz="12" w:space="0"/>
            </w:tcBorders>
          </w:tcPr>
          <w:p>
            <w:pPr>
              <w:spacing w:line="360" w:lineRule="auto"/>
              <w:jc w:val="center"/>
              <w:rPr>
                <w:rFonts w:hAnsi="宋体" w:cs="宋体"/>
                <w:b/>
                <w:bCs/>
                <w:szCs w:val="21"/>
              </w:rPr>
            </w:pPr>
          </w:p>
        </w:tc>
      </w:tr>
      <w:tr>
        <w:tblPrEx>
          <w:tblCellMar>
            <w:top w:w="0" w:type="dxa"/>
            <w:left w:w="108" w:type="dxa"/>
            <w:bottom w:w="0" w:type="dxa"/>
            <w:right w:w="108" w:type="dxa"/>
          </w:tblCellMar>
        </w:tblPrEx>
        <w:trPr>
          <w:trHeight w:val="360" w:hRule="atLeast"/>
        </w:trPr>
        <w:tc>
          <w:tcPr>
            <w:tcW w:w="4835" w:type="dxa"/>
            <w:gridSpan w:val="5"/>
            <w:tcBorders>
              <w:top w:val="single" w:color="auto" w:sz="12" w:space="0"/>
              <w:left w:val="single" w:color="auto" w:sz="12" w:space="0"/>
              <w:bottom w:val="single" w:color="auto" w:sz="12" w:space="0"/>
              <w:right w:val="single" w:color="auto" w:sz="4" w:space="0"/>
            </w:tcBorders>
            <w:vAlign w:val="center"/>
          </w:tcPr>
          <w:p>
            <w:pPr>
              <w:widowControl/>
              <w:spacing w:line="360" w:lineRule="auto"/>
              <w:rPr>
                <w:rFonts w:hAnsi="宋体" w:cs="宋体"/>
                <w:szCs w:val="21"/>
              </w:rPr>
            </w:pPr>
            <w:r>
              <w:rPr>
                <w:rFonts w:hint="eastAsia" w:hAnsi="宋体" w:cs="宋体"/>
                <w:szCs w:val="21"/>
              </w:rPr>
              <w:t>其中：小、微型企业产品价格累计（万元）</w:t>
            </w:r>
          </w:p>
        </w:tc>
        <w:tc>
          <w:tcPr>
            <w:tcW w:w="4314" w:type="dxa"/>
            <w:gridSpan w:val="7"/>
            <w:tcBorders>
              <w:top w:val="single" w:color="auto" w:sz="12" w:space="0"/>
              <w:left w:val="single" w:color="auto" w:sz="4" w:space="0"/>
              <w:bottom w:val="single" w:color="auto" w:sz="12" w:space="0"/>
              <w:right w:val="single" w:color="auto" w:sz="12" w:space="0"/>
            </w:tcBorders>
          </w:tcPr>
          <w:p>
            <w:pPr>
              <w:widowControl/>
              <w:spacing w:line="360" w:lineRule="auto"/>
              <w:jc w:val="left"/>
              <w:rPr>
                <w:rFonts w:hAnsi="宋体" w:cs="宋体"/>
                <w:b/>
                <w:bCs/>
                <w:szCs w:val="21"/>
              </w:rPr>
            </w:pPr>
          </w:p>
        </w:tc>
      </w:tr>
      <w:tr>
        <w:tblPrEx>
          <w:tblCellMar>
            <w:top w:w="0" w:type="dxa"/>
            <w:left w:w="108" w:type="dxa"/>
            <w:bottom w:w="0" w:type="dxa"/>
            <w:right w:w="108" w:type="dxa"/>
          </w:tblCellMar>
        </w:tblPrEx>
        <w:trPr>
          <w:trHeight w:val="360" w:hRule="atLeast"/>
        </w:trPr>
        <w:tc>
          <w:tcPr>
            <w:tcW w:w="4835" w:type="dxa"/>
            <w:gridSpan w:val="5"/>
            <w:tcBorders>
              <w:top w:val="single" w:color="auto" w:sz="12" w:space="0"/>
              <w:left w:val="single" w:color="auto" w:sz="12" w:space="0"/>
              <w:bottom w:val="single" w:color="auto" w:sz="12" w:space="0"/>
              <w:right w:val="single" w:color="auto" w:sz="4" w:space="0"/>
            </w:tcBorders>
            <w:vAlign w:val="center"/>
          </w:tcPr>
          <w:p>
            <w:pPr>
              <w:spacing w:line="360" w:lineRule="auto"/>
              <w:rPr>
                <w:rFonts w:hAnsi="宋体" w:cs="宋体"/>
                <w:szCs w:val="21"/>
              </w:rPr>
            </w:pPr>
            <w:r>
              <w:rPr>
                <w:rFonts w:hint="eastAsia" w:hAnsi="宋体" w:cs="宋体"/>
                <w:szCs w:val="21"/>
              </w:rPr>
              <w:t>其中：</w:t>
            </w:r>
            <w:r>
              <w:rPr>
                <w:rFonts w:hint="eastAsia" w:hAnsi="宋体" w:cs="宋体"/>
                <w:szCs w:val="21"/>
                <w:lang w:val="zh-CN"/>
              </w:rPr>
              <w:t>监狱企业</w:t>
            </w:r>
            <w:r>
              <w:rPr>
                <w:rFonts w:hint="eastAsia" w:hAnsi="宋体" w:cs="宋体"/>
                <w:szCs w:val="21"/>
              </w:rPr>
              <w:t>产品价格累计（万元）</w:t>
            </w:r>
          </w:p>
        </w:tc>
        <w:tc>
          <w:tcPr>
            <w:tcW w:w="4314" w:type="dxa"/>
            <w:gridSpan w:val="7"/>
            <w:tcBorders>
              <w:top w:val="single" w:color="auto" w:sz="12" w:space="0"/>
              <w:left w:val="single" w:color="auto" w:sz="4" w:space="0"/>
              <w:bottom w:val="single" w:color="auto" w:sz="12" w:space="0"/>
              <w:right w:val="single" w:color="auto" w:sz="12" w:space="0"/>
            </w:tcBorders>
          </w:tcPr>
          <w:p>
            <w:pPr>
              <w:widowControl/>
              <w:spacing w:line="360" w:lineRule="auto"/>
              <w:jc w:val="left"/>
              <w:rPr>
                <w:rFonts w:hAnsi="宋体" w:cs="宋体"/>
                <w:b/>
                <w:bCs/>
                <w:szCs w:val="21"/>
              </w:rPr>
            </w:pPr>
          </w:p>
        </w:tc>
      </w:tr>
      <w:tr>
        <w:tblPrEx>
          <w:tblCellMar>
            <w:top w:w="0" w:type="dxa"/>
            <w:left w:w="108" w:type="dxa"/>
            <w:bottom w:w="0" w:type="dxa"/>
            <w:right w:w="108" w:type="dxa"/>
          </w:tblCellMar>
        </w:tblPrEx>
        <w:trPr>
          <w:trHeight w:val="360" w:hRule="atLeast"/>
        </w:trPr>
        <w:tc>
          <w:tcPr>
            <w:tcW w:w="4835" w:type="dxa"/>
            <w:gridSpan w:val="5"/>
            <w:tcBorders>
              <w:top w:val="single" w:color="auto" w:sz="12" w:space="0"/>
              <w:left w:val="single" w:color="auto" w:sz="12" w:space="0"/>
              <w:bottom w:val="single" w:color="auto" w:sz="12" w:space="0"/>
              <w:right w:val="single" w:color="auto" w:sz="4" w:space="0"/>
            </w:tcBorders>
            <w:vAlign w:val="center"/>
          </w:tcPr>
          <w:p>
            <w:pPr>
              <w:spacing w:line="360" w:lineRule="auto"/>
              <w:rPr>
                <w:rFonts w:hAnsi="宋体" w:cs="宋体"/>
                <w:szCs w:val="21"/>
              </w:rPr>
            </w:pPr>
            <w:r>
              <w:rPr>
                <w:rFonts w:hint="eastAsia" w:hAnsi="宋体" w:cs="宋体"/>
                <w:szCs w:val="21"/>
              </w:rPr>
              <w:t>其中：</w:t>
            </w:r>
            <w:r>
              <w:rPr>
                <w:rFonts w:hint="eastAsia" w:hAnsi="宋体" w:cs="宋体"/>
                <w:szCs w:val="21"/>
                <w:lang w:val="zh-CN"/>
              </w:rPr>
              <w:t>残疾人福利性单位</w:t>
            </w:r>
            <w:r>
              <w:rPr>
                <w:rFonts w:hint="eastAsia" w:hAnsi="宋体" w:cs="宋体"/>
                <w:szCs w:val="21"/>
              </w:rPr>
              <w:t>产品价格累计（万元）</w:t>
            </w:r>
          </w:p>
        </w:tc>
        <w:tc>
          <w:tcPr>
            <w:tcW w:w="4314" w:type="dxa"/>
            <w:gridSpan w:val="7"/>
            <w:tcBorders>
              <w:top w:val="single" w:color="auto" w:sz="12" w:space="0"/>
              <w:left w:val="single" w:color="auto" w:sz="4" w:space="0"/>
              <w:bottom w:val="single" w:color="auto" w:sz="12" w:space="0"/>
              <w:right w:val="single" w:color="auto" w:sz="12" w:space="0"/>
            </w:tcBorders>
          </w:tcPr>
          <w:p>
            <w:pPr>
              <w:widowControl/>
              <w:spacing w:line="360" w:lineRule="auto"/>
              <w:jc w:val="left"/>
              <w:rPr>
                <w:rFonts w:hAnsi="宋体" w:cs="宋体"/>
                <w:b/>
                <w:bCs/>
                <w:szCs w:val="21"/>
              </w:rPr>
            </w:pPr>
          </w:p>
        </w:tc>
      </w:tr>
      <w:tr>
        <w:tblPrEx>
          <w:tblCellMar>
            <w:top w:w="0" w:type="dxa"/>
            <w:left w:w="108" w:type="dxa"/>
            <w:bottom w:w="0" w:type="dxa"/>
            <w:right w:w="108" w:type="dxa"/>
          </w:tblCellMar>
        </w:tblPrEx>
        <w:trPr>
          <w:trHeight w:val="360" w:hRule="atLeast"/>
        </w:trPr>
        <w:tc>
          <w:tcPr>
            <w:tcW w:w="4835" w:type="dxa"/>
            <w:gridSpan w:val="5"/>
            <w:tcBorders>
              <w:top w:val="single" w:color="auto" w:sz="12" w:space="0"/>
              <w:left w:val="single" w:color="auto" w:sz="12" w:space="0"/>
              <w:bottom w:val="single" w:color="auto" w:sz="4" w:space="0"/>
              <w:right w:val="single" w:color="auto" w:sz="4" w:space="0"/>
            </w:tcBorders>
            <w:vAlign w:val="center"/>
          </w:tcPr>
          <w:p>
            <w:pPr>
              <w:spacing w:line="360" w:lineRule="auto"/>
              <w:rPr>
                <w:rFonts w:hAnsi="宋体" w:cs="宋体"/>
                <w:szCs w:val="21"/>
              </w:rPr>
            </w:pPr>
            <w:r>
              <w:rPr>
                <w:rFonts w:hint="eastAsia" w:hAnsi="宋体" w:cs="宋体"/>
                <w:szCs w:val="21"/>
              </w:rPr>
              <w:t>其中：</w:t>
            </w:r>
            <w:r>
              <w:rPr>
                <w:rFonts w:hint="eastAsia" w:hAnsi="宋体" w:cs="宋体"/>
                <w:szCs w:val="21"/>
                <w:lang w:val="zh-CN"/>
              </w:rPr>
              <w:t>节能产品、环境标志产品</w:t>
            </w:r>
            <w:r>
              <w:rPr>
                <w:rFonts w:hint="eastAsia" w:hAnsi="宋体" w:cs="宋体"/>
                <w:szCs w:val="21"/>
              </w:rPr>
              <w:t>价格累计（万元）</w:t>
            </w:r>
          </w:p>
        </w:tc>
        <w:tc>
          <w:tcPr>
            <w:tcW w:w="4314" w:type="dxa"/>
            <w:gridSpan w:val="7"/>
            <w:tcBorders>
              <w:top w:val="single" w:color="auto" w:sz="12" w:space="0"/>
              <w:left w:val="single" w:color="auto" w:sz="4" w:space="0"/>
              <w:bottom w:val="single" w:color="auto" w:sz="4" w:space="0"/>
              <w:right w:val="single" w:color="auto" w:sz="12" w:space="0"/>
            </w:tcBorders>
          </w:tcPr>
          <w:p>
            <w:pPr>
              <w:widowControl/>
              <w:spacing w:line="360" w:lineRule="auto"/>
              <w:jc w:val="left"/>
              <w:rPr>
                <w:rFonts w:hAnsi="宋体" w:cs="宋体"/>
                <w:b/>
                <w:bCs/>
                <w:szCs w:val="21"/>
              </w:rPr>
            </w:pPr>
          </w:p>
        </w:tc>
      </w:tr>
    </w:tbl>
    <w:p>
      <w:pPr>
        <w:spacing w:line="360" w:lineRule="auto"/>
        <w:ind w:firstLine="331" w:firstLineChars="150"/>
        <w:rPr>
          <w:rFonts w:ascii="宋体"/>
          <w:sz w:val="22"/>
          <w:szCs w:val="28"/>
        </w:rPr>
      </w:pPr>
      <w:r>
        <w:rPr>
          <w:rFonts w:hint="eastAsia" w:ascii="宋体" w:hAnsi="宋体" w:cs="宋体"/>
          <w:b/>
          <w:bCs/>
          <w:sz w:val="22"/>
          <w:szCs w:val="28"/>
        </w:rPr>
        <w:t>备注：</w:t>
      </w:r>
      <w:r>
        <w:rPr>
          <w:rFonts w:hint="eastAsia" w:ascii="宋体" w:hAnsi="宋体" w:cs="宋体"/>
          <w:sz w:val="22"/>
          <w:szCs w:val="28"/>
        </w:rPr>
        <w:t>（</w:t>
      </w:r>
      <w:r>
        <w:rPr>
          <w:rFonts w:ascii="宋体" w:hAnsi="宋体" w:cs="宋体"/>
          <w:sz w:val="22"/>
          <w:szCs w:val="28"/>
        </w:rPr>
        <w:t>1</w:t>
      </w:r>
      <w:r>
        <w:rPr>
          <w:rFonts w:hint="eastAsia" w:ascii="宋体" w:hAnsi="宋体" w:cs="宋体"/>
          <w:sz w:val="22"/>
          <w:szCs w:val="28"/>
        </w:rPr>
        <w:t>）</w:t>
      </w:r>
      <w:r>
        <w:rPr>
          <w:rFonts w:hint="eastAsia" w:ascii="宋体" w:hAnsi="宋体" w:cs="宋体"/>
          <w:sz w:val="22"/>
          <w:szCs w:val="28"/>
          <w:lang w:val="zh-CN"/>
        </w:rPr>
        <w:t>投标供应商</w:t>
      </w:r>
      <w:r>
        <w:rPr>
          <w:rFonts w:hint="eastAsia" w:ascii="宋体" w:hAnsi="宋体" w:cs="宋体"/>
          <w:sz w:val="22"/>
          <w:szCs w:val="28"/>
        </w:rPr>
        <w:t>如为</w:t>
      </w:r>
      <w:r>
        <w:rPr>
          <w:rFonts w:hint="eastAsia" w:ascii="宋体" w:hAnsi="宋体" w:cs="宋体"/>
          <w:sz w:val="22"/>
          <w:szCs w:val="28"/>
          <w:lang w:val="zh-CN"/>
        </w:rPr>
        <w:t>小型和微型企业，应当根据省财政厅《江苏省财政厅关于进一步加大政府采购支持中小企业力度的通知》（苏财购[2022]45号）的规定提供《中小企业声明函》（格式见附件）（中小企业划型标准详见《关于印发中小企业划型标准规定的通知》工信部联企业〔2011〕300号），投标供应商如为“监狱企业”，必须提供由省级以上监狱管理局、戒毒管理局（含新疆生产建设兵团）出具的属于监狱企业的证明文件复印件，投标供应</w:t>
      </w:r>
      <w:r>
        <w:rPr>
          <w:rFonts w:hint="eastAsia" w:ascii="宋体" w:hAnsi="宋体" w:cs="宋体"/>
          <w:sz w:val="22"/>
          <w:szCs w:val="28"/>
        </w:rPr>
        <w:t>商如为</w:t>
      </w:r>
      <w:r>
        <w:rPr>
          <w:rFonts w:hint="eastAsia" w:ascii="宋体" w:hAnsi="宋体" w:cs="宋体"/>
          <w:sz w:val="22"/>
          <w:szCs w:val="28"/>
          <w:lang w:val="zh-CN"/>
        </w:rPr>
        <w:t>残疾人福利性单位，应当按照《财政部、民政部、中国残疾人联合会关于促进残疾人就业政府采购政策的通知》（财库〔2017〕141号）的规定提供《残疾人福利性单位声明函》（格式见附件）。如未按要求提供有效</w:t>
      </w:r>
      <w:r>
        <w:rPr>
          <w:rFonts w:hint="eastAsia" w:ascii="宋体" w:hAnsi="宋体" w:cs="宋体"/>
          <w:sz w:val="22"/>
          <w:szCs w:val="28"/>
        </w:rPr>
        <w:t>声明函或证明资料</w:t>
      </w:r>
      <w:r>
        <w:rPr>
          <w:rFonts w:hint="eastAsia" w:ascii="宋体" w:hAnsi="宋体" w:cs="宋体"/>
          <w:sz w:val="22"/>
          <w:szCs w:val="28"/>
          <w:lang w:val="zh-CN"/>
        </w:rPr>
        <w:t>，不得享受价格扣除。投标供应商对所报相关数据的真实性负责，普信国际工程咨询有限公司有权将相关内容进行公示；</w:t>
      </w:r>
    </w:p>
    <w:p>
      <w:pPr>
        <w:spacing w:line="360" w:lineRule="auto"/>
        <w:ind w:firstLine="440" w:firstLineChars="200"/>
        <w:rPr>
          <w:rFonts w:ascii="宋体"/>
          <w:sz w:val="22"/>
          <w:szCs w:val="28"/>
        </w:rPr>
      </w:pPr>
      <w:r>
        <w:rPr>
          <w:rFonts w:hint="eastAsia" w:ascii="宋体" w:hAnsi="宋体" w:cs="宋体"/>
          <w:sz w:val="22"/>
          <w:szCs w:val="28"/>
        </w:rPr>
        <w:t>（</w:t>
      </w:r>
      <w:r>
        <w:rPr>
          <w:rFonts w:ascii="宋体" w:hAnsi="宋体" w:cs="宋体"/>
          <w:sz w:val="22"/>
          <w:szCs w:val="28"/>
        </w:rPr>
        <w:t>2</w:t>
      </w:r>
      <w:r>
        <w:rPr>
          <w:rFonts w:hint="eastAsia" w:ascii="宋体" w:hAnsi="宋体" w:cs="宋体"/>
          <w:sz w:val="22"/>
          <w:szCs w:val="28"/>
        </w:rPr>
        <w:t>）投标供应商应当根据“采购需求”的内容在上表中详细填写，包含但不限于以上内容，请各投标供应商自行补充完善；</w:t>
      </w:r>
    </w:p>
    <w:p>
      <w:pPr>
        <w:spacing w:line="360" w:lineRule="auto"/>
        <w:ind w:firstLine="440" w:firstLineChars="200"/>
        <w:rPr>
          <w:rFonts w:ascii="宋体"/>
          <w:sz w:val="22"/>
          <w:szCs w:val="28"/>
        </w:rPr>
      </w:pPr>
      <w:r>
        <w:rPr>
          <w:rFonts w:hint="eastAsia" w:ascii="宋体" w:hAnsi="宋体" w:cs="宋体"/>
          <w:sz w:val="22"/>
          <w:szCs w:val="28"/>
        </w:rPr>
        <w:t>（</w:t>
      </w:r>
      <w:r>
        <w:rPr>
          <w:rFonts w:ascii="宋体" w:hAnsi="宋体" w:cs="宋体"/>
          <w:sz w:val="22"/>
          <w:szCs w:val="28"/>
        </w:rPr>
        <w:t>3</w:t>
      </w:r>
      <w:r>
        <w:rPr>
          <w:rFonts w:hint="eastAsia" w:ascii="宋体" w:hAnsi="宋体" w:cs="宋体"/>
          <w:sz w:val="22"/>
          <w:szCs w:val="28"/>
        </w:rPr>
        <w:t>）表格不够可自行延长；</w:t>
      </w:r>
    </w:p>
    <w:p>
      <w:pPr>
        <w:spacing w:line="360" w:lineRule="auto"/>
        <w:ind w:firstLine="440" w:firstLineChars="200"/>
        <w:rPr>
          <w:rFonts w:ascii="宋体" w:hAnsi="宋体" w:cs="宋体"/>
          <w:sz w:val="22"/>
          <w:szCs w:val="28"/>
        </w:rPr>
      </w:pPr>
      <w:r>
        <w:rPr>
          <w:rFonts w:hint="eastAsia" w:ascii="宋体" w:hAnsi="宋体" w:cs="宋体"/>
          <w:sz w:val="22"/>
          <w:szCs w:val="28"/>
        </w:rPr>
        <w:t>（4）所投产品属于节能产品政府采购品目清单、环境标志产品政府采购品目清单中的节能产品、环境标志产品，应当提供《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评审中分别按照强制采购或优先采购政策实施采购。</w:t>
      </w:r>
    </w:p>
    <w:p>
      <w:pPr>
        <w:spacing w:line="360" w:lineRule="auto"/>
        <w:rPr>
          <w:rFonts w:ascii="宋体" w:hAnsi="宋体"/>
          <w:bCs/>
          <w:sz w:val="24"/>
        </w:rPr>
      </w:pPr>
      <w:r>
        <w:rPr>
          <w:rFonts w:hint="eastAsia" w:ascii="宋体" w:hAnsi="宋体" w:cs="宋体"/>
          <w:sz w:val="22"/>
          <w:szCs w:val="28"/>
        </w:rPr>
        <w:t>（5）投标供应商报价时应充分考虑服务期内所有可能影响到报价的因素（包括最低工资标准和社保基数的政策性调整），一旦投标结束最终中标，总价将包定，不予调整。如发生漏、缺、少项，都将被认为是中标供应商的报价让利行为，损失自负。</w:t>
      </w:r>
    </w:p>
    <w:p>
      <w:pPr>
        <w:spacing w:line="360" w:lineRule="auto"/>
        <w:rPr>
          <w:rFonts w:ascii="宋体" w:hAnsi="宋体"/>
          <w:bCs/>
          <w:sz w:val="24"/>
        </w:rPr>
      </w:pPr>
      <w:r>
        <w:rPr>
          <w:rFonts w:hint="eastAsia" w:ascii="宋体" w:hAnsi="宋体"/>
          <w:bCs/>
          <w:sz w:val="24"/>
        </w:rPr>
        <w:t>投标供应商（盖章）：</w:t>
      </w:r>
    </w:p>
    <w:p>
      <w:pPr>
        <w:spacing w:line="360" w:lineRule="auto"/>
        <w:rPr>
          <w:rFonts w:ascii="宋体" w:hAnsi="宋体"/>
          <w:bCs/>
          <w:sz w:val="24"/>
        </w:rPr>
      </w:pPr>
      <w:r>
        <w:rPr>
          <w:rFonts w:hint="eastAsia" w:ascii="宋体" w:hAnsi="宋体"/>
          <w:bCs/>
          <w:sz w:val="24"/>
        </w:rPr>
        <w:t>法定代表人或授权代表签字或盖章：</w:t>
      </w:r>
    </w:p>
    <w:p>
      <w:pPr>
        <w:spacing w:line="360" w:lineRule="auto"/>
        <w:rPr>
          <w:rFonts w:ascii="宋体" w:hAnsi="宋体"/>
          <w:bCs/>
          <w:sz w:val="24"/>
        </w:rPr>
      </w:pPr>
      <w:r>
        <w:rPr>
          <w:rFonts w:hint="eastAsia" w:ascii="宋体" w:hAnsi="宋体"/>
          <w:bCs/>
          <w:sz w:val="24"/>
        </w:rPr>
        <w:t>日    期：</w:t>
      </w:r>
    </w:p>
    <w:p>
      <w:pPr>
        <w:jc w:val="center"/>
        <w:rPr>
          <w:rFonts w:hAnsi="宋体" w:cs="宋体"/>
          <w:b/>
          <w:sz w:val="32"/>
          <w:szCs w:val="32"/>
        </w:rPr>
      </w:pPr>
      <w:r>
        <w:rPr>
          <w:rFonts w:hint="eastAsia" w:hAnsi="宋体" w:cs="宋体"/>
          <w:b/>
          <w:sz w:val="32"/>
          <w:szCs w:val="32"/>
        </w:rPr>
        <w:t>项目团队成员配备表（格式）</w:t>
      </w:r>
    </w:p>
    <w:p>
      <w:pPr>
        <w:spacing w:line="360" w:lineRule="auto"/>
        <w:jc w:val="center"/>
        <w:rPr>
          <w:rFonts w:hAnsi="宋体" w:cs="宋体"/>
          <w:b/>
          <w:sz w:val="28"/>
          <w:szCs w:val="28"/>
        </w:rPr>
      </w:pPr>
      <w:r>
        <w:rPr>
          <w:rFonts w:hint="eastAsia" w:hAnsi="宋体" w:cs="宋体"/>
          <w:b/>
          <w:sz w:val="28"/>
          <w:szCs w:val="28"/>
        </w:rPr>
        <w:t>（1）项目团队成员配备表</w:t>
      </w:r>
    </w:p>
    <w:tbl>
      <w:tblPr>
        <w:tblStyle w:val="55"/>
        <w:tblpPr w:leftFromText="180" w:rightFromText="180" w:vertAnchor="text" w:horzAnchor="page" w:tblpX="1149" w:tblpY="473"/>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vAlign w:val="center"/>
          </w:tcPr>
          <w:p>
            <w:pPr>
              <w:spacing w:line="360" w:lineRule="auto"/>
              <w:jc w:val="center"/>
              <w:rPr>
                <w:rFonts w:hAnsi="宋体" w:cs="宋体"/>
                <w:szCs w:val="21"/>
              </w:rPr>
            </w:pPr>
            <w:r>
              <w:rPr>
                <w:rFonts w:hint="eastAsia" w:hAnsi="宋体" w:cs="宋体"/>
                <w:szCs w:val="21"/>
              </w:rPr>
              <w:t>职务</w:t>
            </w:r>
          </w:p>
        </w:tc>
        <w:tc>
          <w:tcPr>
            <w:tcW w:w="686" w:type="dxa"/>
            <w:vMerge w:val="restart"/>
            <w:vAlign w:val="center"/>
          </w:tcPr>
          <w:p>
            <w:pPr>
              <w:spacing w:line="360" w:lineRule="auto"/>
              <w:jc w:val="center"/>
              <w:rPr>
                <w:rFonts w:hAnsi="宋体" w:cs="宋体"/>
                <w:szCs w:val="21"/>
              </w:rPr>
            </w:pPr>
            <w:r>
              <w:rPr>
                <w:rFonts w:hint="eastAsia" w:hAnsi="宋体" w:cs="宋体"/>
                <w:szCs w:val="21"/>
              </w:rPr>
              <w:t>姓名</w:t>
            </w:r>
          </w:p>
        </w:tc>
        <w:tc>
          <w:tcPr>
            <w:tcW w:w="686" w:type="dxa"/>
            <w:vMerge w:val="restart"/>
            <w:vAlign w:val="center"/>
          </w:tcPr>
          <w:p>
            <w:pPr>
              <w:spacing w:line="360" w:lineRule="auto"/>
              <w:jc w:val="center"/>
              <w:rPr>
                <w:rFonts w:hAnsi="宋体" w:cs="宋体"/>
                <w:szCs w:val="21"/>
              </w:rPr>
            </w:pPr>
            <w:r>
              <w:rPr>
                <w:rFonts w:hint="eastAsia" w:hAnsi="宋体" w:cs="宋体"/>
                <w:szCs w:val="21"/>
              </w:rPr>
              <w:t>本项目中职务安排</w:t>
            </w:r>
          </w:p>
        </w:tc>
        <w:tc>
          <w:tcPr>
            <w:tcW w:w="5081" w:type="dxa"/>
            <w:gridSpan w:val="5"/>
            <w:vAlign w:val="center"/>
          </w:tcPr>
          <w:p>
            <w:pPr>
              <w:spacing w:line="360" w:lineRule="auto"/>
              <w:jc w:val="center"/>
              <w:rPr>
                <w:rFonts w:hAnsi="宋体" w:cs="宋体"/>
                <w:szCs w:val="21"/>
              </w:rPr>
            </w:pPr>
            <w:r>
              <w:rPr>
                <w:rFonts w:hint="eastAsia" w:hAnsi="宋体" w:cs="宋体"/>
                <w:szCs w:val="21"/>
              </w:rPr>
              <w:t>执业或职业资格证明</w:t>
            </w:r>
          </w:p>
        </w:tc>
        <w:tc>
          <w:tcPr>
            <w:tcW w:w="2310" w:type="dxa"/>
            <w:gridSpan w:val="2"/>
            <w:vAlign w:val="center"/>
          </w:tcPr>
          <w:p>
            <w:pPr>
              <w:spacing w:line="360" w:lineRule="auto"/>
              <w:jc w:val="center"/>
              <w:rPr>
                <w:rFonts w:hAnsi="宋体" w:cs="宋体"/>
                <w:szCs w:val="21"/>
              </w:rPr>
            </w:pPr>
            <w:r>
              <w:rPr>
                <w:rFonts w:hint="eastAsia" w:hAnsi="宋体" w:cs="宋体"/>
                <w:szCs w:val="21"/>
              </w:rPr>
              <w:t>已承担</w:t>
            </w:r>
          </w:p>
          <w:p>
            <w:pPr>
              <w:spacing w:line="360" w:lineRule="auto"/>
              <w:jc w:val="center"/>
              <w:rPr>
                <w:rFonts w:hAnsi="宋体" w:cs="宋体"/>
                <w:szCs w:val="21"/>
              </w:rPr>
            </w:pPr>
            <w:r>
              <w:rPr>
                <w:rFonts w:hint="eastAsia" w:hAnsi="宋体" w:cs="宋体"/>
                <w:szCs w:val="21"/>
              </w:rPr>
              <w:t>项 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tcPr>
          <w:p>
            <w:pPr>
              <w:spacing w:line="360" w:lineRule="auto"/>
              <w:rPr>
                <w:rFonts w:hAnsi="宋体" w:cs="宋体"/>
                <w:szCs w:val="21"/>
              </w:rPr>
            </w:pPr>
          </w:p>
        </w:tc>
        <w:tc>
          <w:tcPr>
            <w:tcW w:w="686" w:type="dxa"/>
            <w:vMerge w:val="continue"/>
          </w:tcPr>
          <w:p>
            <w:pPr>
              <w:spacing w:line="360" w:lineRule="auto"/>
              <w:rPr>
                <w:rFonts w:hAnsi="宋体" w:cs="宋体"/>
                <w:szCs w:val="21"/>
              </w:rPr>
            </w:pPr>
          </w:p>
        </w:tc>
        <w:tc>
          <w:tcPr>
            <w:tcW w:w="686" w:type="dxa"/>
            <w:vMerge w:val="continue"/>
          </w:tcPr>
          <w:p>
            <w:pPr>
              <w:spacing w:line="360" w:lineRule="auto"/>
              <w:rPr>
                <w:rFonts w:hAnsi="宋体" w:cs="宋体"/>
                <w:szCs w:val="21"/>
              </w:rPr>
            </w:pPr>
          </w:p>
        </w:tc>
        <w:tc>
          <w:tcPr>
            <w:tcW w:w="1207" w:type="dxa"/>
            <w:vAlign w:val="center"/>
          </w:tcPr>
          <w:p>
            <w:pPr>
              <w:spacing w:line="360" w:lineRule="auto"/>
              <w:jc w:val="center"/>
              <w:rPr>
                <w:rFonts w:hAnsi="宋体" w:cs="宋体"/>
                <w:szCs w:val="21"/>
              </w:rPr>
            </w:pPr>
            <w:r>
              <w:rPr>
                <w:rFonts w:hint="eastAsia" w:hAnsi="宋体" w:cs="宋体"/>
                <w:szCs w:val="21"/>
              </w:rPr>
              <w:t>证书名称</w:t>
            </w:r>
          </w:p>
        </w:tc>
        <w:tc>
          <w:tcPr>
            <w:tcW w:w="686" w:type="dxa"/>
            <w:vAlign w:val="center"/>
          </w:tcPr>
          <w:p>
            <w:pPr>
              <w:spacing w:line="360" w:lineRule="auto"/>
              <w:jc w:val="center"/>
              <w:rPr>
                <w:rFonts w:hAnsi="宋体" w:cs="宋体"/>
                <w:szCs w:val="21"/>
              </w:rPr>
            </w:pPr>
            <w:r>
              <w:rPr>
                <w:rFonts w:hint="eastAsia" w:hAnsi="宋体" w:cs="宋体"/>
                <w:szCs w:val="21"/>
              </w:rPr>
              <w:t>级别</w:t>
            </w:r>
          </w:p>
        </w:tc>
        <w:tc>
          <w:tcPr>
            <w:tcW w:w="860" w:type="dxa"/>
            <w:vAlign w:val="center"/>
          </w:tcPr>
          <w:p>
            <w:pPr>
              <w:spacing w:line="360" w:lineRule="auto"/>
              <w:jc w:val="center"/>
              <w:rPr>
                <w:rFonts w:hAnsi="宋体" w:cs="宋体"/>
                <w:szCs w:val="21"/>
              </w:rPr>
            </w:pPr>
            <w:r>
              <w:rPr>
                <w:rFonts w:hint="eastAsia" w:hAnsi="宋体" w:cs="宋体"/>
                <w:szCs w:val="21"/>
              </w:rPr>
              <w:t>证号</w:t>
            </w:r>
          </w:p>
        </w:tc>
        <w:tc>
          <w:tcPr>
            <w:tcW w:w="773" w:type="dxa"/>
            <w:vAlign w:val="center"/>
          </w:tcPr>
          <w:p>
            <w:pPr>
              <w:spacing w:line="360" w:lineRule="auto"/>
              <w:jc w:val="center"/>
              <w:rPr>
                <w:rFonts w:hAnsi="宋体" w:cs="宋体"/>
                <w:szCs w:val="21"/>
              </w:rPr>
            </w:pPr>
            <w:r>
              <w:rPr>
                <w:rFonts w:hint="eastAsia" w:hAnsi="宋体" w:cs="宋体"/>
                <w:szCs w:val="21"/>
              </w:rPr>
              <w:t>专业</w:t>
            </w:r>
          </w:p>
        </w:tc>
        <w:tc>
          <w:tcPr>
            <w:tcW w:w="1555" w:type="dxa"/>
            <w:vAlign w:val="center"/>
          </w:tcPr>
          <w:p>
            <w:pPr>
              <w:spacing w:line="360" w:lineRule="auto"/>
              <w:jc w:val="center"/>
              <w:rPr>
                <w:rFonts w:hAnsi="宋体" w:cs="宋体"/>
                <w:szCs w:val="21"/>
              </w:rPr>
            </w:pPr>
            <w:r>
              <w:rPr>
                <w:rFonts w:hint="eastAsia" w:hAnsi="宋体" w:cs="宋体"/>
                <w:szCs w:val="21"/>
              </w:rPr>
              <w:t>证书获得时间</w:t>
            </w:r>
          </w:p>
        </w:tc>
        <w:tc>
          <w:tcPr>
            <w:tcW w:w="1065" w:type="dxa"/>
            <w:vAlign w:val="center"/>
          </w:tcPr>
          <w:p>
            <w:pPr>
              <w:spacing w:line="360" w:lineRule="auto"/>
              <w:jc w:val="center"/>
              <w:rPr>
                <w:rFonts w:hAnsi="宋体" w:cs="宋体"/>
                <w:szCs w:val="21"/>
              </w:rPr>
            </w:pPr>
            <w:r>
              <w:rPr>
                <w:rFonts w:hint="eastAsia" w:hAnsi="宋体" w:cs="宋体"/>
                <w:szCs w:val="21"/>
              </w:rPr>
              <w:t>项目数</w:t>
            </w:r>
          </w:p>
        </w:tc>
        <w:tc>
          <w:tcPr>
            <w:tcW w:w="1245" w:type="dxa"/>
            <w:vAlign w:val="center"/>
          </w:tcPr>
          <w:p>
            <w:pPr>
              <w:spacing w:line="360" w:lineRule="auto"/>
              <w:jc w:val="center"/>
              <w:rPr>
                <w:rFonts w:hAnsi="宋体" w:cs="宋体"/>
                <w:szCs w:val="21"/>
              </w:rPr>
            </w:pPr>
            <w:r>
              <w:rPr>
                <w:rFonts w:hint="eastAsia" w:hAnsi="宋体" w:cs="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1207"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860" w:type="dxa"/>
          </w:tcPr>
          <w:p>
            <w:pPr>
              <w:spacing w:line="360" w:lineRule="auto"/>
              <w:rPr>
                <w:rFonts w:hAnsi="宋体" w:cs="宋体"/>
                <w:szCs w:val="21"/>
              </w:rPr>
            </w:pPr>
          </w:p>
        </w:tc>
        <w:tc>
          <w:tcPr>
            <w:tcW w:w="773" w:type="dxa"/>
          </w:tcPr>
          <w:p>
            <w:pPr>
              <w:spacing w:line="360" w:lineRule="auto"/>
              <w:rPr>
                <w:rFonts w:hAnsi="宋体" w:cs="宋体"/>
                <w:szCs w:val="21"/>
              </w:rPr>
            </w:pPr>
          </w:p>
        </w:tc>
        <w:tc>
          <w:tcPr>
            <w:tcW w:w="1555" w:type="dxa"/>
          </w:tcPr>
          <w:p>
            <w:pPr>
              <w:spacing w:line="360" w:lineRule="auto"/>
              <w:rPr>
                <w:rFonts w:hAnsi="宋体" w:cs="宋体"/>
                <w:szCs w:val="21"/>
              </w:rPr>
            </w:pPr>
          </w:p>
        </w:tc>
        <w:tc>
          <w:tcPr>
            <w:tcW w:w="1065" w:type="dxa"/>
          </w:tcPr>
          <w:p>
            <w:pPr>
              <w:spacing w:line="360" w:lineRule="auto"/>
              <w:rPr>
                <w:rFonts w:hAnsi="宋体" w:cs="宋体"/>
                <w:szCs w:val="21"/>
              </w:rPr>
            </w:pPr>
          </w:p>
        </w:tc>
        <w:tc>
          <w:tcPr>
            <w:tcW w:w="1245" w:type="dxa"/>
          </w:tcPr>
          <w:p>
            <w:pPr>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1207"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860" w:type="dxa"/>
          </w:tcPr>
          <w:p>
            <w:pPr>
              <w:spacing w:line="360" w:lineRule="auto"/>
              <w:rPr>
                <w:rFonts w:hAnsi="宋体" w:cs="宋体"/>
                <w:szCs w:val="21"/>
              </w:rPr>
            </w:pPr>
          </w:p>
        </w:tc>
        <w:tc>
          <w:tcPr>
            <w:tcW w:w="773" w:type="dxa"/>
          </w:tcPr>
          <w:p>
            <w:pPr>
              <w:spacing w:line="360" w:lineRule="auto"/>
              <w:rPr>
                <w:rFonts w:hAnsi="宋体" w:cs="宋体"/>
                <w:szCs w:val="21"/>
              </w:rPr>
            </w:pPr>
          </w:p>
        </w:tc>
        <w:tc>
          <w:tcPr>
            <w:tcW w:w="1555" w:type="dxa"/>
          </w:tcPr>
          <w:p>
            <w:pPr>
              <w:spacing w:line="360" w:lineRule="auto"/>
              <w:rPr>
                <w:rFonts w:hAnsi="宋体" w:cs="宋体"/>
                <w:szCs w:val="21"/>
              </w:rPr>
            </w:pPr>
          </w:p>
        </w:tc>
        <w:tc>
          <w:tcPr>
            <w:tcW w:w="1065" w:type="dxa"/>
          </w:tcPr>
          <w:p>
            <w:pPr>
              <w:spacing w:line="360" w:lineRule="auto"/>
              <w:rPr>
                <w:rFonts w:hAnsi="宋体" w:cs="宋体"/>
                <w:szCs w:val="21"/>
              </w:rPr>
            </w:pPr>
          </w:p>
        </w:tc>
        <w:tc>
          <w:tcPr>
            <w:tcW w:w="1245" w:type="dxa"/>
          </w:tcPr>
          <w:p>
            <w:pPr>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1207"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860" w:type="dxa"/>
          </w:tcPr>
          <w:p>
            <w:pPr>
              <w:spacing w:line="360" w:lineRule="auto"/>
              <w:rPr>
                <w:rFonts w:hAnsi="宋体" w:cs="宋体"/>
                <w:szCs w:val="21"/>
              </w:rPr>
            </w:pPr>
          </w:p>
        </w:tc>
        <w:tc>
          <w:tcPr>
            <w:tcW w:w="773" w:type="dxa"/>
          </w:tcPr>
          <w:p>
            <w:pPr>
              <w:spacing w:line="360" w:lineRule="auto"/>
              <w:rPr>
                <w:rFonts w:hAnsi="宋体" w:cs="宋体"/>
                <w:szCs w:val="21"/>
              </w:rPr>
            </w:pPr>
          </w:p>
        </w:tc>
        <w:tc>
          <w:tcPr>
            <w:tcW w:w="1555" w:type="dxa"/>
          </w:tcPr>
          <w:p>
            <w:pPr>
              <w:spacing w:line="360" w:lineRule="auto"/>
              <w:rPr>
                <w:rFonts w:hAnsi="宋体" w:cs="宋体"/>
                <w:szCs w:val="21"/>
              </w:rPr>
            </w:pPr>
          </w:p>
        </w:tc>
        <w:tc>
          <w:tcPr>
            <w:tcW w:w="1065" w:type="dxa"/>
          </w:tcPr>
          <w:p>
            <w:pPr>
              <w:spacing w:line="360" w:lineRule="auto"/>
              <w:rPr>
                <w:rFonts w:hAnsi="宋体" w:cs="宋体"/>
                <w:szCs w:val="21"/>
              </w:rPr>
            </w:pPr>
          </w:p>
        </w:tc>
        <w:tc>
          <w:tcPr>
            <w:tcW w:w="1245" w:type="dxa"/>
          </w:tcPr>
          <w:p>
            <w:pPr>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1207" w:type="dxa"/>
          </w:tcPr>
          <w:p>
            <w:pPr>
              <w:spacing w:line="360" w:lineRule="auto"/>
              <w:rPr>
                <w:rFonts w:hAnsi="宋体" w:cs="宋体"/>
                <w:szCs w:val="21"/>
              </w:rPr>
            </w:pPr>
          </w:p>
        </w:tc>
        <w:tc>
          <w:tcPr>
            <w:tcW w:w="686" w:type="dxa"/>
          </w:tcPr>
          <w:p>
            <w:pPr>
              <w:spacing w:line="360" w:lineRule="auto"/>
              <w:rPr>
                <w:rFonts w:hAnsi="宋体" w:cs="宋体"/>
                <w:szCs w:val="21"/>
              </w:rPr>
            </w:pPr>
          </w:p>
        </w:tc>
        <w:tc>
          <w:tcPr>
            <w:tcW w:w="860" w:type="dxa"/>
          </w:tcPr>
          <w:p>
            <w:pPr>
              <w:spacing w:line="360" w:lineRule="auto"/>
              <w:rPr>
                <w:rFonts w:hAnsi="宋体" w:cs="宋体"/>
                <w:szCs w:val="21"/>
              </w:rPr>
            </w:pPr>
          </w:p>
        </w:tc>
        <w:tc>
          <w:tcPr>
            <w:tcW w:w="773" w:type="dxa"/>
          </w:tcPr>
          <w:p>
            <w:pPr>
              <w:spacing w:line="360" w:lineRule="auto"/>
              <w:rPr>
                <w:rFonts w:hAnsi="宋体" w:cs="宋体"/>
                <w:szCs w:val="21"/>
              </w:rPr>
            </w:pPr>
          </w:p>
        </w:tc>
        <w:tc>
          <w:tcPr>
            <w:tcW w:w="1555" w:type="dxa"/>
          </w:tcPr>
          <w:p>
            <w:pPr>
              <w:spacing w:line="360" w:lineRule="auto"/>
              <w:rPr>
                <w:rFonts w:hAnsi="宋体" w:cs="宋体"/>
                <w:szCs w:val="21"/>
              </w:rPr>
            </w:pPr>
          </w:p>
        </w:tc>
        <w:tc>
          <w:tcPr>
            <w:tcW w:w="1065" w:type="dxa"/>
          </w:tcPr>
          <w:p>
            <w:pPr>
              <w:spacing w:line="360" w:lineRule="auto"/>
              <w:rPr>
                <w:rFonts w:hAnsi="宋体" w:cs="宋体"/>
                <w:szCs w:val="21"/>
              </w:rPr>
            </w:pPr>
          </w:p>
        </w:tc>
        <w:tc>
          <w:tcPr>
            <w:tcW w:w="1245" w:type="dxa"/>
          </w:tcPr>
          <w:p>
            <w:pPr>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0"/>
          </w:tcPr>
          <w:p>
            <w:pPr>
              <w:spacing w:line="360" w:lineRule="auto"/>
              <w:ind w:firstLine="360"/>
              <w:rPr>
                <w:rFonts w:hAnsi="宋体" w:cs="宋体"/>
                <w:szCs w:val="21"/>
              </w:rPr>
            </w:pPr>
            <w:r>
              <w:rPr>
                <w:rFonts w:hint="eastAsia" w:hAnsi="宋体" w:cs="宋体"/>
                <w:szCs w:val="21"/>
              </w:rPr>
              <w:t xml:space="preserve">一旦我单位中标，将实行项目经理负责制，我方保证并配备上述项目管理机构，未经采购人同意不得随意更换项目负责人。上述填报内容真实，若不真实，愿按有关规定接受处理。项目管理班子机构设置、职责分工等情况另附资料说明。             </w:t>
            </w:r>
          </w:p>
        </w:tc>
      </w:tr>
    </w:tbl>
    <w:p>
      <w:pPr>
        <w:spacing w:after="120" w:line="360" w:lineRule="auto"/>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 xml:space="preserve">                               </w:t>
      </w:r>
    </w:p>
    <w:p>
      <w:pPr>
        <w:spacing w:line="360" w:lineRule="auto"/>
        <w:jc w:val="center"/>
        <w:rPr>
          <w:rFonts w:hAnsi="宋体" w:cs="宋体"/>
          <w:b/>
          <w:szCs w:val="21"/>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r>
        <w:rPr>
          <w:rFonts w:hint="eastAsia" w:hAnsi="宋体" w:cs="宋体"/>
          <w:b/>
          <w:sz w:val="28"/>
          <w:szCs w:val="28"/>
        </w:rPr>
        <w:t>（2）项目负责人简历表</w:t>
      </w:r>
    </w:p>
    <w:p>
      <w:pPr>
        <w:spacing w:after="120" w:line="360" w:lineRule="auto"/>
        <w:ind w:right="-292" w:rightChars="-139"/>
        <w:rPr>
          <w:rFonts w:hAnsi="宋体" w:cs="宋体"/>
          <w:szCs w:val="21"/>
          <w:u w:val="single"/>
        </w:rPr>
      </w:pPr>
      <w:r>
        <w:rPr>
          <w:rFonts w:hint="eastAsia" w:hAnsi="宋体" w:cs="宋体"/>
          <w:szCs w:val="21"/>
        </w:rPr>
        <w:t xml:space="preserve">项目名称：                                                  </w:t>
      </w:r>
    </w:p>
    <w:tbl>
      <w:tblPr>
        <w:tblStyle w:val="55"/>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140"/>
        <w:gridCol w:w="1080"/>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60" w:lineRule="auto"/>
              <w:jc w:val="center"/>
              <w:rPr>
                <w:rFonts w:hAnsi="宋体" w:cs="宋体"/>
                <w:szCs w:val="21"/>
              </w:rPr>
            </w:pPr>
            <w:r>
              <w:rPr>
                <w:rFonts w:hint="eastAsia" w:hAnsi="宋体" w:cs="宋体"/>
                <w:szCs w:val="21"/>
              </w:rPr>
              <w:t>姓名</w:t>
            </w:r>
          </w:p>
        </w:tc>
        <w:tc>
          <w:tcPr>
            <w:tcW w:w="2610" w:type="dxa"/>
            <w:gridSpan w:val="4"/>
            <w:vAlign w:val="center"/>
          </w:tcPr>
          <w:p>
            <w:pPr>
              <w:spacing w:line="360" w:lineRule="auto"/>
              <w:jc w:val="center"/>
              <w:rPr>
                <w:rFonts w:hAnsi="宋体" w:cs="宋体"/>
                <w:szCs w:val="21"/>
              </w:rPr>
            </w:pPr>
          </w:p>
        </w:tc>
        <w:tc>
          <w:tcPr>
            <w:tcW w:w="840" w:type="dxa"/>
            <w:vAlign w:val="center"/>
          </w:tcPr>
          <w:p>
            <w:pPr>
              <w:spacing w:line="360" w:lineRule="auto"/>
              <w:jc w:val="center"/>
              <w:rPr>
                <w:rFonts w:hAnsi="宋体" w:cs="宋体"/>
                <w:szCs w:val="21"/>
              </w:rPr>
            </w:pPr>
            <w:r>
              <w:rPr>
                <w:rFonts w:hint="eastAsia" w:hAnsi="宋体" w:cs="宋体"/>
                <w:szCs w:val="21"/>
              </w:rPr>
              <w:t>性别</w:t>
            </w:r>
          </w:p>
        </w:tc>
        <w:tc>
          <w:tcPr>
            <w:tcW w:w="1680" w:type="dxa"/>
            <w:gridSpan w:val="2"/>
            <w:vAlign w:val="center"/>
          </w:tcPr>
          <w:p>
            <w:pPr>
              <w:spacing w:line="360" w:lineRule="auto"/>
              <w:jc w:val="center"/>
              <w:rPr>
                <w:rFonts w:hAnsi="宋体" w:cs="宋体"/>
                <w:szCs w:val="21"/>
              </w:rPr>
            </w:pPr>
          </w:p>
        </w:tc>
        <w:tc>
          <w:tcPr>
            <w:tcW w:w="1080" w:type="dxa"/>
            <w:vAlign w:val="center"/>
          </w:tcPr>
          <w:p>
            <w:pPr>
              <w:spacing w:line="360" w:lineRule="auto"/>
              <w:jc w:val="center"/>
              <w:rPr>
                <w:rFonts w:hAnsi="宋体" w:cs="宋体"/>
                <w:szCs w:val="21"/>
              </w:rPr>
            </w:pPr>
            <w:r>
              <w:rPr>
                <w:rFonts w:hint="eastAsia" w:hAnsi="宋体" w:cs="宋体"/>
                <w:szCs w:val="21"/>
              </w:rPr>
              <w:t>年龄</w:t>
            </w:r>
          </w:p>
        </w:tc>
        <w:tc>
          <w:tcPr>
            <w:tcW w:w="1800" w:type="dxa"/>
            <w:gridSpan w:val="2"/>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60" w:lineRule="auto"/>
              <w:jc w:val="center"/>
              <w:rPr>
                <w:rFonts w:hAnsi="宋体" w:cs="宋体"/>
                <w:szCs w:val="21"/>
              </w:rPr>
            </w:pPr>
            <w:r>
              <w:rPr>
                <w:rFonts w:hint="eastAsia" w:hAnsi="宋体" w:cs="宋体"/>
                <w:szCs w:val="21"/>
              </w:rPr>
              <w:t>职务</w:t>
            </w:r>
          </w:p>
        </w:tc>
        <w:tc>
          <w:tcPr>
            <w:tcW w:w="2610" w:type="dxa"/>
            <w:gridSpan w:val="4"/>
            <w:vAlign w:val="center"/>
          </w:tcPr>
          <w:p>
            <w:pPr>
              <w:spacing w:line="360" w:lineRule="auto"/>
              <w:jc w:val="center"/>
              <w:rPr>
                <w:rFonts w:hAnsi="宋体" w:cs="宋体"/>
                <w:szCs w:val="21"/>
              </w:rPr>
            </w:pPr>
          </w:p>
        </w:tc>
        <w:tc>
          <w:tcPr>
            <w:tcW w:w="840" w:type="dxa"/>
            <w:vAlign w:val="center"/>
          </w:tcPr>
          <w:p>
            <w:pPr>
              <w:spacing w:line="360" w:lineRule="auto"/>
              <w:jc w:val="center"/>
              <w:rPr>
                <w:rFonts w:hAnsi="宋体" w:cs="宋体"/>
                <w:szCs w:val="21"/>
              </w:rPr>
            </w:pPr>
            <w:r>
              <w:rPr>
                <w:rFonts w:hint="eastAsia" w:hAnsi="宋体" w:cs="宋体"/>
                <w:szCs w:val="21"/>
              </w:rPr>
              <w:t>职称</w:t>
            </w:r>
          </w:p>
        </w:tc>
        <w:tc>
          <w:tcPr>
            <w:tcW w:w="1680" w:type="dxa"/>
            <w:gridSpan w:val="2"/>
            <w:vAlign w:val="center"/>
          </w:tcPr>
          <w:p>
            <w:pPr>
              <w:spacing w:line="360" w:lineRule="auto"/>
              <w:jc w:val="center"/>
              <w:rPr>
                <w:rFonts w:hAnsi="宋体" w:cs="宋体"/>
                <w:szCs w:val="21"/>
              </w:rPr>
            </w:pPr>
          </w:p>
        </w:tc>
        <w:tc>
          <w:tcPr>
            <w:tcW w:w="1080" w:type="dxa"/>
            <w:vAlign w:val="center"/>
          </w:tcPr>
          <w:p>
            <w:pPr>
              <w:spacing w:line="360" w:lineRule="auto"/>
              <w:jc w:val="center"/>
              <w:rPr>
                <w:rFonts w:hAnsi="宋体" w:cs="宋体"/>
                <w:szCs w:val="21"/>
              </w:rPr>
            </w:pPr>
            <w:r>
              <w:rPr>
                <w:rFonts w:hint="eastAsia" w:hAnsi="宋体" w:cs="宋体"/>
                <w:szCs w:val="21"/>
              </w:rPr>
              <w:t>学历</w:t>
            </w:r>
          </w:p>
        </w:tc>
        <w:tc>
          <w:tcPr>
            <w:tcW w:w="1800" w:type="dxa"/>
            <w:gridSpan w:val="2"/>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60" w:lineRule="auto"/>
              <w:jc w:val="center"/>
              <w:rPr>
                <w:rFonts w:hAnsi="宋体" w:cs="宋体"/>
                <w:szCs w:val="21"/>
              </w:rPr>
            </w:pPr>
            <w:r>
              <w:rPr>
                <w:rFonts w:hint="eastAsia" w:hAnsi="宋体" w:cs="宋体"/>
                <w:szCs w:val="21"/>
              </w:rPr>
              <w:t>参加工作时间</w:t>
            </w:r>
          </w:p>
        </w:tc>
        <w:tc>
          <w:tcPr>
            <w:tcW w:w="1890" w:type="dxa"/>
            <w:gridSpan w:val="4"/>
            <w:vAlign w:val="center"/>
          </w:tcPr>
          <w:p>
            <w:pPr>
              <w:spacing w:line="360" w:lineRule="auto"/>
              <w:jc w:val="center"/>
              <w:rPr>
                <w:rFonts w:hAnsi="宋体" w:cs="宋体"/>
                <w:szCs w:val="21"/>
              </w:rPr>
            </w:pPr>
          </w:p>
        </w:tc>
        <w:tc>
          <w:tcPr>
            <w:tcW w:w="2625" w:type="dxa"/>
            <w:gridSpan w:val="3"/>
            <w:vAlign w:val="center"/>
          </w:tcPr>
          <w:p>
            <w:pPr>
              <w:spacing w:line="360" w:lineRule="auto"/>
              <w:jc w:val="center"/>
              <w:rPr>
                <w:rFonts w:hAnsi="宋体" w:cs="宋体"/>
                <w:szCs w:val="21"/>
              </w:rPr>
            </w:pPr>
            <w:r>
              <w:rPr>
                <w:rFonts w:hint="eastAsia" w:hAnsi="宋体" w:cs="宋体"/>
                <w:szCs w:val="21"/>
              </w:rPr>
              <w:t>担任项目负责人年限</w:t>
            </w:r>
          </w:p>
        </w:tc>
        <w:tc>
          <w:tcPr>
            <w:tcW w:w="1395"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5" w:type="dxa"/>
            <w:gridSpan w:val="11"/>
            <w:vAlign w:val="center"/>
          </w:tcPr>
          <w:p>
            <w:pPr>
              <w:spacing w:line="360" w:lineRule="auto"/>
              <w:jc w:val="center"/>
              <w:rPr>
                <w:rFonts w:hAnsi="宋体" w:cs="宋体"/>
                <w:szCs w:val="21"/>
              </w:rPr>
            </w:pPr>
            <w:r>
              <w:rPr>
                <w:rFonts w:hint="eastAsia" w:hAnsi="宋体" w:cs="宋体"/>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hAnsi="宋体" w:cs="宋体"/>
                <w:szCs w:val="21"/>
              </w:rPr>
            </w:pPr>
            <w:r>
              <w:rPr>
                <w:rFonts w:hint="eastAsia" w:hAnsi="宋体" w:cs="宋体"/>
                <w:szCs w:val="21"/>
              </w:rPr>
              <w:t>服务单位</w:t>
            </w:r>
          </w:p>
        </w:tc>
        <w:tc>
          <w:tcPr>
            <w:tcW w:w="1680" w:type="dxa"/>
            <w:gridSpan w:val="2"/>
            <w:vAlign w:val="center"/>
          </w:tcPr>
          <w:p>
            <w:pPr>
              <w:spacing w:line="360" w:lineRule="auto"/>
              <w:jc w:val="center"/>
              <w:rPr>
                <w:rFonts w:hAnsi="宋体" w:cs="宋体"/>
                <w:szCs w:val="21"/>
              </w:rPr>
            </w:pPr>
            <w:r>
              <w:rPr>
                <w:rFonts w:hint="eastAsia" w:hAnsi="宋体" w:cs="宋体"/>
                <w:szCs w:val="21"/>
              </w:rPr>
              <w:t>项目名称</w:t>
            </w:r>
          </w:p>
        </w:tc>
        <w:tc>
          <w:tcPr>
            <w:tcW w:w="2705" w:type="dxa"/>
            <w:gridSpan w:val="4"/>
            <w:vAlign w:val="center"/>
          </w:tcPr>
          <w:p>
            <w:pPr>
              <w:spacing w:line="360" w:lineRule="auto"/>
              <w:jc w:val="center"/>
              <w:rPr>
                <w:rFonts w:hAnsi="宋体" w:cs="宋体"/>
                <w:szCs w:val="21"/>
              </w:rPr>
            </w:pPr>
            <w:r>
              <w:rPr>
                <w:rFonts w:hint="eastAsia" w:hAnsi="宋体" w:cs="宋体"/>
                <w:szCs w:val="21"/>
              </w:rPr>
              <w:t>规模</w:t>
            </w:r>
          </w:p>
        </w:tc>
        <w:tc>
          <w:tcPr>
            <w:tcW w:w="1485" w:type="dxa"/>
            <w:gridSpan w:val="2"/>
            <w:vAlign w:val="center"/>
          </w:tcPr>
          <w:p>
            <w:pPr>
              <w:spacing w:line="360" w:lineRule="auto"/>
              <w:jc w:val="center"/>
              <w:rPr>
                <w:rFonts w:hAnsi="宋体" w:cs="宋体"/>
                <w:szCs w:val="21"/>
              </w:rPr>
            </w:pPr>
            <w:r>
              <w:rPr>
                <w:rFonts w:hint="eastAsia" w:hAnsi="宋体" w:cs="宋体"/>
                <w:szCs w:val="21"/>
              </w:rPr>
              <w:t>服务期限</w:t>
            </w:r>
          </w:p>
        </w:tc>
        <w:tc>
          <w:tcPr>
            <w:tcW w:w="1395" w:type="dxa"/>
            <w:vAlign w:val="center"/>
          </w:tcPr>
          <w:p>
            <w:pPr>
              <w:spacing w:line="360" w:lineRule="auto"/>
              <w:jc w:val="center"/>
              <w:rPr>
                <w:rFonts w:hAnsi="宋体" w:cs="宋体"/>
                <w:szCs w:val="21"/>
              </w:rPr>
            </w:pPr>
            <w:r>
              <w:rPr>
                <w:rFonts w:hint="eastAsia" w:hAnsi="宋体" w:cs="宋体"/>
                <w:szCs w:val="21"/>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hAnsi="宋体" w:cs="宋体"/>
                <w:szCs w:val="21"/>
              </w:rPr>
            </w:pPr>
          </w:p>
        </w:tc>
        <w:tc>
          <w:tcPr>
            <w:tcW w:w="1680" w:type="dxa"/>
            <w:gridSpan w:val="2"/>
            <w:vAlign w:val="center"/>
          </w:tcPr>
          <w:p>
            <w:pPr>
              <w:spacing w:line="360" w:lineRule="auto"/>
              <w:jc w:val="center"/>
              <w:rPr>
                <w:rFonts w:hAnsi="宋体" w:cs="宋体"/>
                <w:szCs w:val="21"/>
              </w:rPr>
            </w:pPr>
          </w:p>
        </w:tc>
        <w:tc>
          <w:tcPr>
            <w:tcW w:w="2705" w:type="dxa"/>
            <w:gridSpan w:val="4"/>
            <w:vAlign w:val="center"/>
          </w:tcPr>
          <w:p>
            <w:pPr>
              <w:spacing w:line="360" w:lineRule="auto"/>
              <w:jc w:val="center"/>
              <w:rPr>
                <w:rFonts w:hAnsi="宋体" w:cs="宋体"/>
                <w:szCs w:val="21"/>
              </w:rPr>
            </w:pPr>
          </w:p>
        </w:tc>
        <w:tc>
          <w:tcPr>
            <w:tcW w:w="1485" w:type="dxa"/>
            <w:gridSpan w:val="2"/>
            <w:vAlign w:val="center"/>
          </w:tcPr>
          <w:p>
            <w:pPr>
              <w:spacing w:line="360" w:lineRule="auto"/>
              <w:jc w:val="center"/>
              <w:rPr>
                <w:rFonts w:hAnsi="宋体" w:cs="宋体"/>
                <w:szCs w:val="21"/>
              </w:rPr>
            </w:pPr>
          </w:p>
        </w:tc>
        <w:tc>
          <w:tcPr>
            <w:tcW w:w="1395"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hAnsi="宋体" w:cs="宋体"/>
                <w:szCs w:val="21"/>
              </w:rPr>
            </w:pPr>
          </w:p>
        </w:tc>
        <w:tc>
          <w:tcPr>
            <w:tcW w:w="1680" w:type="dxa"/>
            <w:gridSpan w:val="2"/>
            <w:vAlign w:val="center"/>
          </w:tcPr>
          <w:p>
            <w:pPr>
              <w:spacing w:line="360" w:lineRule="auto"/>
              <w:jc w:val="center"/>
              <w:rPr>
                <w:rFonts w:hAnsi="宋体" w:cs="宋体"/>
                <w:szCs w:val="21"/>
              </w:rPr>
            </w:pPr>
          </w:p>
        </w:tc>
        <w:tc>
          <w:tcPr>
            <w:tcW w:w="2705" w:type="dxa"/>
            <w:gridSpan w:val="4"/>
            <w:vAlign w:val="center"/>
          </w:tcPr>
          <w:p>
            <w:pPr>
              <w:spacing w:line="360" w:lineRule="auto"/>
              <w:jc w:val="center"/>
              <w:rPr>
                <w:rFonts w:hAnsi="宋体" w:cs="宋体"/>
                <w:szCs w:val="21"/>
              </w:rPr>
            </w:pPr>
          </w:p>
        </w:tc>
        <w:tc>
          <w:tcPr>
            <w:tcW w:w="1485" w:type="dxa"/>
            <w:gridSpan w:val="2"/>
            <w:vAlign w:val="center"/>
          </w:tcPr>
          <w:p>
            <w:pPr>
              <w:spacing w:line="360" w:lineRule="auto"/>
              <w:jc w:val="center"/>
              <w:rPr>
                <w:rFonts w:hAnsi="宋体" w:cs="宋体"/>
                <w:szCs w:val="21"/>
              </w:rPr>
            </w:pPr>
          </w:p>
        </w:tc>
        <w:tc>
          <w:tcPr>
            <w:tcW w:w="1395" w:type="dxa"/>
            <w:vAlign w:val="center"/>
          </w:tcPr>
          <w:p>
            <w:pPr>
              <w:spacing w:line="360" w:lineRule="auto"/>
              <w:jc w:val="center"/>
              <w:rPr>
                <w:rFonts w:hAnsi="宋体" w:cs="宋体"/>
                <w:szCs w:val="21"/>
              </w:rPr>
            </w:pPr>
          </w:p>
        </w:tc>
      </w:tr>
    </w:tbl>
    <w:p>
      <w:pPr>
        <w:spacing w:line="360" w:lineRule="auto"/>
        <w:jc w:val="center"/>
        <w:rPr>
          <w:rFonts w:hAnsi="宋体" w:cs="宋体"/>
          <w:b/>
          <w:szCs w:val="21"/>
        </w:rPr>
      </w:pPr>
    </w:p>
    <w:p>
      <w:pPr>
        <w:spacing w:line="360" w:lineRule="auto"/>
        <w:outlineLvl w:val="0"/>
        <w:rPr>
          <w:rFonts w:hAnsi="宋体" w:cs="宋体"/>
          <w:bCs/>
          <w:szCs w:val="21"/>
        </w:rPr>
      </w:pPr>
    </w:p>
    <w:p>
      <w:pPr>
        <w:pStyle w:val="2"/>
        <w:numPr>
          <w:ilvl w:val="4"/>
          <w:numId w:val="0"/>
        </w:numPr>
      </w:pPr>
    </w:p>
    <w:p/>
    <w:p/>
    <w:p>
      <w:pPr>
        <w:pStyle w:val="24"/>
      </w:pPr>
    </w:p>
    <w:p/>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rPr>
      </w:pPr>
    </w:p>
    <w:p>
      <w:pPr>
        <w:jc w:val="left"/>
        <w:outlineLvl w:val="0"/>
        <w:rPr>
          <w:rFonts w:ascii="黑体" w:hAnsi="宋体" w:eastAsia="黑体"/>
          <w:bCs/>
          <w:sz w:val="24"/>
          <w:szCs w:val="22"/>
        </w:rPr>
      </w:pPr>
      <w:r>
        <w:rPr>
          <w:rFonts w:hint="eastAsia" w:ascii="黑体" w:hAnsi="宋体" w:eastAsia="黑体"/>
          <w:bCs/>
          <w:sz w:val="24"/>
        </w:rPr>
        <w:t>（九）</w:t>
      </w:r>
      <w:r>
        <w:rPr>
          <w:rFonts w:hint="eastAsia" w:ascii="黑体" w:hAnsi="宋体" w:eastAsia="黑体"/>
          <w:bCs/>
          <w:sz w:val="24"/>
          <w:szCs w:val="22"/>
        </w:rPr>
        <w:t>投标供应商简介和经营情况说明表（格式）</w:t>
      </w:r>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r>
        <w:rPr>
          <w:rFonts w:hint="eastAsia" w:ascii="黑体" w:eastAsia="黑体"/>
          <w:bCs/>
          <w:sz w:val="28"/>
          <w:szCs w:val="28"/>
        </w:rPr>
        <w:t>投标供应商简介和经营情况说明表</w:t>
      </w:r>
    </w:p>
    <w:p>
      <w:pPr>
        <w:spacing w:line="460" w:lineRule="exact"/>
        <w:jc w:val="center"/>
        <w:rPr>
          <w:rFonts w:ascii="宋体" w:hAnsi="宋体"/>
          <w:sz w:val="24"/>
        </w:rPr>
      </w:pPr>
      <w:r>
        <w:rPr>
          <w:rFonts w:hint="eastAsia" w:ascii="宋体" w:hAnsi="宋体"/>
          <w:sz w:val="24"/>
        </w:rPr>
        <w:t>（内容写不完的栏目可相应扩展）</w:t>
      </w:r>
    </w:p>
    <w:p>
      <w:pPr>
        <w:pStyle w:val="6"/>
        <w:overflowPunct w:val="0"/>
        <w:ind w:firstLine="0"/>
        <w:rPr>
          <w:rFonts w:ascii="宋体" w:hAnsi="宋体"/>
          <w:b/>
          <w:bCs/>
          <w:sz w:val="24"/>
        </w:rPr>
      </w:pPr>
      <w:r>
        <w:rPr>
          <w:rFonts w:hint="eastAsia" w:ascii="宋体" w:hAnsi="宋体"/>
          <w:b/>
          <w:bCs/>
          <w:sz w:val="24"/>
        </w:rPr>
        <w:t>投标供应商（盖章）</w:t>
      </w:r>
    </w:p>
    <w:tbl>
      <w:tblPr>
        <w:tblStyle w:val="55"/>
        <w:tblW w:w="9127"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c>
          <w:tcPr>
            <w:tcW w:w="1757"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成立日期</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c>
          <w:tcPr>
            <w:tcW w:w="1757"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注册资本</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840" w:firstLineChars="35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经营范围</w:t>
            </w:r>
          </w:p>
        </w:tc>
        <w:tc>
          <w:tcPr>
            <w:tcW w:w="6617" w:type="dxa"/>
            <w:gridSpan w:val="4"/>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其中：</w:t>
            </w:r>
          </w:p>
          <w:p>
            <w:pPr>
              <w:pStyle w:val="6"/>
              <w:overflowPunct w:val="0"/>
              <w:spacing w:line="400" w:lineRule="exact"/>
              <w:ind w:left="959" w:leftChars="228" w:hanging="480" w:hangingChars="200"/>
              <w:rPr>
                <w:rFonts w:ascii="宋体" w:hAnsi="宋体"/>
                <w:sz w:val="24"/>
                <w:szCs w:val="24"/>
              </w:rPr>
            </w:pPr>
            <w:r>
              <w:rPr>
                <w:rFonts w:hint="eastAsia" w:ascii="宋体" w:hAnsi="宋体"/>
                <w:sz w:val="24"/>
                <w:szCs w:val="24"/>
              </w:rPr>
              <w:t>中级职称人数、</w:t>
            </w:r>
          </w:p>
          <w:p>
            <w:pPr>
              <w:pStyle w:val="6"/>
              <w:overflowPunct w:val="0"/>
              <w:spacing w:line="400" w:lineRule="exact"/>
              <w:ind w:left="959" w:leftChars="228" w:hanging="480" w:hangingChars="200"/>
              <w:rPr>
                <w:rFonts w:ascii="宋体" w:hAnsi="宋体"/>
                <w:sz w:val="24"/>
                <w:szCs w:val="24"/>
              </w:rPr>
            </w:pPr>
            <w:r>
              <w:rPr>
                <w:rFonts w:hint="eastAsia" w:ascii="宋体" w:hAnsi="宋体"/>
                <w:sz w:val="24"/>
                <w:szCs w:val="24"/>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宋体" w:hAnsi="宋体"/>
                <w:sz w:val="24"/>
                <w:szCs w:val="24"/>
              </w:rPr>
            </w:pPr>
            <w:r>
              <w:rPr>
                <w:rFonts w:hint="eastAsia" w:ascii="宋体" w:hAnsi="宋体"/>
                <w:sz w:val="24"/>
                <w:szCs w:val="24"/>
              </w:rPr>
              <w:t>2021年12月资产总额</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宋体" w:hAnsi="宋体"/>
                <w:sz w:val="24"/>
                <w:szCs w:val="24"/>
              </w:rPr>
            </w:pPr>
            <w:r>
              <w:rPr>
                <w:rFonts w:hint="eastAsia" w:ascii="宋体" w:hAnsi="宋体"/>
                <w:sz w:val="24"/>
                <w:szCs w:val="24"/>
              </w:rPr>
              <w:t>净资产</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宋体" w:hAnsi="宋体"/>
                <w:sz w:val="24"/>
                <w:szCs w:val="24"/>
              </w:rPr>
            </w:pPr>
            <w:r>
              <w:rPr>
                <w:rFonts w:hint="eastAsia" w:ascii="宋体" w:hAnsi="宋体"/>
                <w:sz w:val="24"/>
                <w:szCs w:val="24"/>
              </w:rPr>
              <w:t>2021年12月股东权益</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宋体" w:hAnsi="宋体"/>
                <w:sz w:val="24"/>
                <w:szCs w:val="24"/>
              </w:rPr>
            </w:pPr>
            <w:r>
              <w:rPr>
                <w:rFonts w:hint="eastAsia" w:ascii="宋体" w:hAnsi="宋体"/>
                <w:sz w:val="24"/>
                <w:szCs w:val="24"/>
              </w:rPr>
              <w:t>2021</w:t>
            </w:r>
            <w:r>
              <w:rPr>
                <w:rFonts w:ascii="宋体" w:hAnsi="宋体"/>
                <w:sz w:val="24"/>
                <w:szCs w:val="24"/>
              </w:rPr>
              <w:t>年</w:t>
            </w:r>
            <w:r>
              <w:rPr>
                <w:rFonts w:hint="eastAsia" w:ascii="宋体" w:hAnsi="宋体"/>
                <w:sz w:val="24"/>
                <w:szCs w:val="24"/>
              </w:rPr>
              <w:t>业务收入</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2021年实现利润</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1320" w:firstLineChars="550"/>
              <w:rPr>
                <w:rFonts w:ascii="宋体" w:hAnsi="宋体"/>
                <w:sz w:val="24"/>
                <w:szCs w:val="24"/>
              </w:rPr>
            </w:pPr>
            <w:r>
              <w:rPr>
                <w:rFonts w:hint="eastAsia" w:ascii="宋体" w:hAnsi="宋体"/>
                <w:sz w:val="24"/>
                <w:szCs w:val="24"/>
              </w:rPr>
              <w:t>万元</w:t>
            </w:r>
          </w:p>
        </w:tc>
        <w:tc>
          <w:tcPr>
            <w:tcW w:w="1906"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办公面积</w:t>
            </w:r>
          </w:p>
          <w:p>
            <w:pPr>
              <w:pStyle w:val="6"/>
              <w:overflowPunct w:val="0"/>
              <w:spacing w:line="400" w:lineRule="exact"/>
              <w:ind w:firstLine="480"/>
              <w:rPr>
                <w:rFonts w:ascii="宋体" w:hAnsi="宋体"/>
                <w:sz w:val="24"/>
                <w:szCs w:val="24"/>
              </w:rPr>
            </w:pP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平方米</w:t>
            </w:r>
          </w:p>
        </w:tc>
        <w:tc>
          <w:tcPr>
            <w:tcW w:w="1906"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其中：</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宋体" w:hAnsi="宋体"/>
                <w:sz w:val="24"/>
                <w:szCs w:val="24"/>
              </w:rPr>
            </w:pPr>
            <w:r>
              <w:rPr>
                <w:rFonts w:hint="eastAsia" w:ascii="宋体" w:hAnsi="宋体"/>
                <w:sz w:val="24"/>
                <w:szCs w:val="24"/>
              </w:rPr>
              <w:t>自有面积</w:t>
            </w:r>
            <w:r>
              <w:rPr>
                <w:rFonts w:ascii="宋体" w:hAnsi="宋体"/>
                <w:sz w:val="24"/>
                <w:szCs w:val="24"/>
              </w:rPr>
              <w:t xml:space="preserve">    平方米</w:t>
            </w:r>
          </w:p>
          <w:p>
            <w:pPr>
              <w:pStyle w:val="6"/>
              <w:overflowPunct w:val="0"/>
              <w:spacing w:line="400" w:lineRule="exact"/>
              <w:ind w:firstLine="0"/>
              <w:rPr>
                <w:rFonts w:ascii="宋体" w:hAnsi="宋体"/>
                <w:sz w:val="24"/>
                <w:szCs w:val="24"/>
              </w:rPr>
            </w:pPr>
            <w:r>
              <w:rPr>
                <w:rFonts w:hint="eastAsia" w:ascii="宋体" w:hAnsi="宋体"/>
                <w:sz w:val="24"/>
                <w:szCs w:val="24"/>
              </w:rPr>
              <w:t>承租面积</w:t>
            </w:r>
            <w:r>
              <w:rPr>
                <w:rFonts w:ascii="宋体" w:hAnsi="宋体"/>
                <w:sz w:val="24"/>
                <w:szCs w:val="24"/>
              </w:rPr>
              <w:t xml:space="preserve">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bCs/>
                <w:sz w:val="24"/>
                <w:szCs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3年内有无因</w:t>
            </w:r>
            <w:r>
              <w:rPr>
                <w:rFonts w:hint="eastAsia" w:ascii="宋体" w:hAnsi="宋体"/>
                <w:sz w:val="24"/>
                <w:szCs w:val="24"/>
              </w:rPr>
              <w:t>违纪</w:t>
            </w:r>
            <w:r>
              <w:rPr>
                <w:rFonts w:ascii="宋体" w:hAnsi="宋体"/>
                <w:sz w:val="24"/>
                <w:szCs w:val="24"/>
              </w:rPr>
              <w:t>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6"/>
              <w:overflowPunct w:val="0"/>
              <w:spacing w:line="400" w:lineRule="exact"/>
              <w:ind w:firstLine="480"/>
              <w:rPr>
                <w:rFonts w:ascii="宋体" w:hAnsi="宋体"/>
                <w:sz w:val="24"/>
                <w:szCs w:val="24"/>
              </w:rPr>
            </w:pPr>
            <w:r>
              <w:rPr>
                <w:rFonts w:hint="eastAsia" w:ascii="宋体" w:hAnsi="宋体"/>
                <w:sz w:val="24"/>
                <w:szCs w:val="24"/>
              </w:rPr>
              <w:t>其他需要说明的情况</w:t>
            </w:r>
          </w:p>
        </w:tc>
        <w:tc>
          <w:tcPr>
            <w:tcW w:w="4507" w:type="dxa"/>
            <w:gridSpan w:val="3"/>
            <w:tcBorders>
              <w:top w:val="single" w:color="auto" w:sz="6" w:space="0"/>
              <w:left w:val="single" w:color="auto" w:sz="6" w:space="0"/>
              <w:right w:val="single" w:color="auto" w:sz="6" w:space="0"/>
            </w:tcBorders>
          </w:tcPr>
          <w:p>
            <w:pPr>
              <w:pStyle w:val="6"/>
              <w:overflowPunct w:val="0"/>
              <w:spacing w:line="400" w:lineRule="exact"/>
              <w:ind w:firstLine="480"/>
              <w:rPr>
                <w:rFonts w:ascii="宋体" w:hAnsi="宋体"/>
                <w:sz w:val="24"/>
                <w:szCs w:val="24"/>
              </w:rPr>
            </w:pPr>
          </w:p>
        </w:tc>
      </w:tr>
    </w:tbl>
    <w:p>
      <w:pPr>
        <w:rPr>
          <w:rFonts w:ascii="宋体" w:hAnsi="宋体"/>
          <w:b/>
          <w:bCs/>
          <w:sz w:val="24"/>
        </w:rPr>
      </w:pPr>
      <w:r>
        <w:rPr>
          <w:rFonts w:hint="eastAsia" w:ascii="宋体" w:hAnsi="宋体"/>
          <w:b/>
          <w:bCs/>
          <w:sz w:val="24"/>
        </w:rPr>
        <w:t>法定代表人或授权委托人签字或盖章：</w:t>
      </w:r>
    </w:p>
    <w:p>
      <w:pPr>
        <w:rPr>
          <w:rFonts w:ascii="宋体" w:hAnsi="宋体"/>
          <w:b/>
          <w:bCs/>
          <w:sz w:val="24"/>
        </w:rPr>
      </w:pPr>
      <w:r>
        <w:rPr>
          <w:rFonts w:hint="eastAsia" w:ascii="宋体" w:hAnsi="宋体"/>
          <w:b/>
          <w:bCs/>
          <w:sz w:val="24"/>
        </w:rPr>
        <w:t>日期：</w:t>
      </w:r>
    </w:p>
    <w:p>
      <w:pPr>
        <w:jc w:val="center"/>
        <w:rPr>
          <w:rFonts w:ascii="宋体" w:hAnsi="宋体"/>
          <w:sz w:val="24"/>
        </w:rPr>
      </w:pPr>
    </w:p>
    <w:p>
      <w:pPr>
        <w:pStyle w:val="24"/>
        <w:rPr>
          <w:rFonts w:ascii="宋体"/>
          <w:bCs/>
        </w:rPr>
      </w:pPr>
    </w:p>
    <w:p>
      <w:pPr>
        <w:spacing w:line="360" w:lineRule="auto"/>
        <w:rPr>
          <w:rFonts w:ascii="黑体" w:hAnsi="华文中宋" w:eastAsia="黑体"/>
          <w:sz w:val="30"/>
          <w:szCs w:val="30"/>
        </w:rPr>
      </w:pPr>
    </w:p>
    <w:p>
      <w:pPr>
        <w:spacing w:line="360" w:lineRule="auto"/>
        <w:rPr>
          <w:rFonts w:ascii="黑体" w:hAnsi="华文中宋" w:eastAsia="黑体"/>
          <w:sz w:val="30"/>
          <w:szCs w:val="30"/>
        </w:rPr>
      </w:pPr>
      <w:r>
        <w:rPr>
          <w:rFonts w:hint="eastAsia" w:ascii="黑体" w:hAnsi="华文中宋" w:eastAsia="黑体"/>
          <w:sz w:val="30"/>
          <w:szCs w:val="30"/>
        </w:rPr>
        <w:t>附1：</w:t>
      </w: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政府采购投标担保函 （项目用）</w:t>
      </w:r>
    </w:p>
    <w:p>
      <w:pPr>
        <w:spacing w:line="360" w:lineRule="auto"/>
        <w:ind w:firstLine="7680" w:firstLineChars="3200"/>
        <w:rPr>
          <w:sz w:val="24"/>
        </w:rPr>
      </w:pPr>
      <w:r>
        <w:rPr>
          <w:rFonts w:hint="eastAsia"/>
          <w:sz w:val="24"/>
        </w:rPr>
        <w:t>编号：</w:t>
      </w:r>
    </w:p>
    <w:p>
      <w:pPr>
        <w:spacing w:line="360" w:lineRule="auto"/>
        <w:rPr>
          <w:sz w:val="24"/>
        </w:rPr>
      </w:pPr>
      <w:r>
        <w:rPr>
          <w:sz w:val="24"/>
        </w:rPr>
        <w:t xml:space="preserve"> </w:t>
      </w:r>
    </w:p>
    <w:p>
      <w:pPr>
        <w:spacing w:line="360" w:lineRule="auto"/>
        <w:rPr>
          <w:sz w:val="24"/>
        </w:rPr>
      </w:pPr>
      <w:r>
        <w:rPr>
          <w:rFonts w:hint="eastAsia"/>
          <w:sz w:val="24"/>
          <w:u w:val="single"/>
        </w:rPr>
        <w:t xml:space="preserve">                  </w:t>
      </w:r>
      <w:r>
        <w:rPr>
          <w:rFonts w:hint="eastAsia"/>
          <w:sz w:val="24"/>
        </w:rPr>
        <w:t>（采购人或采购代理机构）：</w:t>
      </w:r>
    </w:p>
    <w:p>
      <w:pPr>
        <w:spacing w:line="360" w:lineRule="auto"/>
        <w:rPr>
          <w:sz w:val="24"/>
        </w:rPr>
      </w:pPr>
    </w:p>
    <w:p>
      <w:pPr>
        <w:spacing w:line="360" w:lineRule="auto"/>
        <w:ind w:firstLine="480" w:firstLineChars="200"/>
        <w:rPr>
          <w:sz w:val="24"/>
        </w:rPr>
      </w:pPr>
      <w:r>
        <w:rPr>
          <w:rFonts w:hint="eastAsia"/>
          <w:sz w:val="24"/>
        </w:rPr>
        <w:t>鉴于</w:t>
      </w:r>
      <w:r>
        <w:rPr>
          <w:rFonts w:hint="eastAsia"/>
          <w:sz w:val="24"/>
          <w:u w:val="single"/>
        </w:rPr>
        <w:t xml:space="preserve">               </w:t>
      </w:r>
      <w:r>
        <w:rPr>
          <w:rFonts w:hint="eastAsia"/>
          <w:sz w:val="24"/>
        </w:rPr>
        <w:t>（以下简称“投标供应商”）拟参加编号为</w:t>
      </w:r>
      <w:r>
        <w:rPr>
          <w:rFonts w:hint="eastAsia"/>
          <w:sz w:val="24"/>
          <w:u w:val="single"/>
        </w:rPr>
        <w:t xml:space="preserve">            </w:t>
      </w:r>
      <w:r>
        <w:rPr>
          <w:rFonts w:hint="eastAsia"/>
          <w:sz w:val="24"/>
        </w:rPr>
        <w:t>的</w:t>
      </w:r>
      <w:r>
        <w:rPr>
          <w:rFonts w:hint="eastAsia"/>
          <w:sz w:val="24"/>
          <w:u w:val="single"/>
        </w:rPr>
        <w:t xml:space="preserve">        　</w:t>
      </w:r>
      <w:r>
        <w:rPr>
          <w:sz w:val="24"/>
          <w:u w:val="single"/>
        </w:rPr>
        <w:t>　　　</w:t>
      </w:r>
      <w:r>
        <w:rPr>
          <w:rFonts w:hint="eastAsia"/>
          <w:sz w:val="24"/>
          <w:u w:val="single"/>
        </w:rPr>
        <w:t xml:space="preserve">   </w:t>
      </w:r>
      <w:r>
        <w:rPr>
          <w:rFonts w:hint="eastAsia"/>
          <w:sz w:val="24"/>
        </w:rPr>
        <w:t xml:space="preserve">                          </w:t>
      </w:r>
    </w:p>
    <w:p>
      <w:pPr>
        <w:spacing w:line="360" w:lineRule="auto"/>
        <w:rPr>
          <w:sz w:val="24"/>
        </w:rPr>
      </w:pPr>
      <w:r>
        <w:rPr>
          <w:rFonts w:hint="eastAsia"/>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80" w:firstLineChars="200"/>
        <w:rPr>
          <w:sz w:val="24"/>
        </w:rPr>
      </w:pPr>
      <w:r>
        <w:rPr>
          <w:rFonts w:hint="eastAsia"/>
          <w:sz w:val="24"/>
        </w:rPr>
        <w:t>一、保证责任的情形及保证金额</w:t>
      </w:r>
    </w:p>
    <w:p>
      <w:pPr>
        <w:spacing w:line="360" w:lineRule="auto"/>
        <w:ind w:firstLine="240" w:firstLineChars="100"/>
        <w:rPr>
          <w:sz w:val="24"/>
        </w:rPr>
      </w:pPr>
      <w:r>
        <w:rPr>
          <w:rFonts w:hint="eastAsia"/>
          <w:sz w:val="24"/>
        </w:rPr>
        <w:t>（一）在投标供应商出现下列情形之一时，我方承担保证责任：</w:t>
      </w:r>
    </w:p>
    <w:p>
      <w:pPr>
        <w:spacing w:line="360" w:lineRule="auto"/>
        <w:ind w:firstLine="480" w:firstLineChars="200"/>
        <w:rPr>
          <w:sz w:val="24"/>
        </w:rPr>
      </w:pPr>
      <w:r>
        <w:rPr>
          <w:rFonts w:hint="eastAsia"/>
          <w:sz w:val="24"/>
        </w:rPr>
        <w:t>1．中标后投标供应商无正当理由不与采购人或者采购代理机构签订《政府采购合同》；</w:t>
      </w:r>
    </w:p>
    <w:p>
      <w:pPr>
        <w:spacing w:line="360" w:lineRule="auto"/>
        <w:ind w:firstLine="480" w:firstLineChars="200"/>
        <w:rPr>
          <w:sz w:val="24"/>
        </w:rPr>
      </w:pPr>
      <w:r>
        <w:rPr>
          <w:rFonts w:hint="eastAsia"/>
          <w:sz w:val="24"/>
        </w:rPr>
        <w:t>2．招标文件规定的投标供应商应当缴纳保证金的其他情形。</w:t>
      </w:r>
    </w:p>
    <w:p>
      <w:pPr>
        <w:spacing w:line="360" w:lineRule="auto"/>
        <w:ind w:firstLine="240" w:firstLineChars="100"/>
        <w:rPr>
          <w:sz w:val="24"/>
        </w:rPr>
      </w:pPr>
      <w:r>
        <w:rPr>
          <w:rFonts w:hint="eastAsia"/>
          <w:sz w:val="24"/>
        </w:rPr>
        <w:t>（二）我方承担保证责任的最高金额为人民币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），即本项目的投标保证金金额。</w:t>
      </w:r>
    </w:p>
    <w:p>
      <w:pPr>
        <w:spacing w:line="360" w:lineRule="auto"/>
        <w:ind w:firstLine="480" w:firstLineChars="200"/>
        <w:rPr>
          <w:sz w:val="24"/>
        </w:rPr>
      </w:pPr>
      <w:r>
        <w:rPr>
          <w:rFonts w:hint="eastAsia"/>
          <w:sz w:val="24"/>
        </w:rPr>
        <w:t>二、保证的方式及保证期间</w:t>
      </w:r>
    </w:p>
    <w:p>
      <w:pPr>
        <w:spacing w:line="360" w:lineRule="auto"/>
        <w:ind w:firstLine="480" w:firstLineChars="200"/>
        <w:rPr>
          <w:sz w:val="24"/>
        </w:rPr>
      </w:pPr>
      <w:r>
        <w:rPr>
          <w:rFonts w:hint="eastAsia"/>
          <w:sz w:val="24"/>
        </w:rPr>
        <w:t>我方保证的方式为：连带责任保证。</w:t>
      </w:r>
    </w:p>
    <w:p>
      <w:pPr>
        <w:spacing w:line="360" w:lineRule="auto"/>
        <w:ind w:firstLine="480" w:firstLineChars="200"/>
        <w:rPr>
          <w:sz w:val="24"/>
        </w:rPr>
      </w:pPr>
      <w:r>
        <w:rPr>
          <w:rFonts w:hint="eastAsia"/>
          <w:sz w:val="24"/>
        </w:rPr>
        <w:t>我方的保证期间为：自本保函生效之日起</w:t>
      </w:r>
      <w:r>
        <w:rPr>
          <w:rFonts w:hint="eastAsia"/>
          <w:sz w:val="24"/>
          <w:u w:val="single"/>
        </w:rPr>
        <w:t xml:space="preserve">    </w:t>
      </w:r>
      <w:r>
        <w:rPr>
          <w:rFonts w:hint="eastAsia"/>
          <w:sz w:val="24"/>
        </w:rPr>
        <w:t>个月止。</w:t>
      </w:r>
    </w:p>
    <w:p>
      <w:pPr>
        <w:spacing w:line="360" w:lineRule="auto"/>
        <w:ind w:firstLine="480" w:firstLineChars="200"/>
        <w:rPr>
          <w:sz w:val="24"/>
        </w:rPr>
      </w:pPr>
      <w:r>
        <w:rPr>
          <w:rFonts w:hint="eastAsia"/>
          <w:sz w:val="24"/>
        </w:rPr>
        <w:t>三、承担保证责任的程序</w:t>
      </w:r>
    </w:p>
    <w:p>
      <w:pPr>
        <w:spacing w:line="360" w:lineRule="auto"/>
        <w:ind w:firstLine="480" w:firstLineChars="200"/>
        <w:rPr>
          <w:sz w:val="24"/>
        </w:rPr>
      </w:pPr>
      <w:r>
        <w:rPr>
          <w:rFonts w:hint="eastAsia"/>
          <w:sz w:val="24"/>
        </w:rPr>
        <w:t>1．你方要求我方承担保证责任的，应在本保函保证期间内向我方发出书面索赔通知。索赔通知应写明要求索赔的金额，支付款项应到达的账号，并附有证明投标供应商发生我方应承担保证责任情形的事实材料。</w:t>
      </w:r>
    </w:p>
    <w:p>
      <w:pPr>
        <w:spacing w:line="360" w:lineRule="auto"/>
        <w:ind w:firstLine="480" w:firstLineChars="200"/>
        <w:rPr>
          <w:sz w:val="24"/>
        </w:rPr>
      </w:pPr>
      <w:r>
        <w:rPr>
          <w:rFonts w:hint="eastAsia"/>
          <w:sz w:val="24"/>
        </w:rPr>
        <w:t>2．我方在收到索赔通知及相关证明材料后，在</w:t>
      </w:r>
      <w:r>
        <w:rPr>
          <w:rFonts w:hint="eastAsia"/>
          <w:sz w:val="24"/>
          <w:u w:val="single"/>
        </w:rPr>
        <w:t>　　　</w:t>
      </w:r>
      <w:r>
        <w:rPr>
          <w:rFonts w:hint="eastAsia"/>
          <w:sz w:val="24"/>
        </w:rPr>
        <w:t>个工作日内进行审查，符合应承担保证责任情形的，我方应按照你方的要求代投标供应商向你方支付投标保证金。</w:t>
      </w:r>
    </w:p>
    <w:p>
      <w:pPr>
        <w:spacing w:line="360" w:lineRule="auto"/>
        <w:ind w:firstLine="480" w:firstLineChars="200"/>
        <w:rPr>
          <w:sz w:val="24"/>
        </w:rPr>
      </w:pPr>
      <w:r>
        <w:rPr>
          <w:rFonts w:hint="eastAsia"/>
          <w:sz w:val="24"/>
        </w:rPr>
        <w:t>四、保证责任的终止</w:t>
      </w:r>
    </w:p>
    <w:p>
      <w:pPr>
        <w:spacing w:line="360" w:lineRule="auto"/>
        <w:ind w:firstLine="480" w:firstLineChars="200"/>
        <w:rPr>
          <w:sz w:val="24"/>
        </w:rPr>
      </w:pPr>
      <w:r>
        <w:rPr>
          <w:rFonts w:hint="eastAsia"/>
          <w:sz w:val="24"/>
        </w:rPr>
        <w:t>1．保证期间届满你方未向我方书面主张保证责任的，自保证期间届满次日起，我方保证责任自动终止。</w:t>
      </w:r>
    </w:p>
    <w:p>
      <w:pPr>
        <w:spacing w:line="360" w:lineRule="auto"/>
        <w:ind w:firstLine="480" w:firstLineChars="200"/>
        <w:rPr>
          <w:sz w:val="24"/>
        </w:rPr>
      </w:pPr>
      <w:r>
        <w:rPr>
          <w:rFonts w:hint="eastAsia"/>
          <w:sz w:val="24"/>
        </w:rPr>
        <w:t>2．我方按照本保函向你贵方履行了保证责任后，自我方向你贵方支付款项（支付款项从我方账户划出）之日起，保证责任终止。</w:t>
      </w:r>
    </w:p>
    <w:p>
      <w:pPr>
        <w:spacing w:line="360" w:lineRule="auto"/>
        <w:ind w:firstLine="480" w:firstLineChars="200"/>
        <w:rPr>
          <w:sz w:val="24"/>
        </w:rPr>
      </w:pPr>
      <w:r>
        <w:rPr>
          <w:rFonts w:hint="eastAsia"/>
          <w:sz w:val="24"/>
        </w:rPr>
        <w:t>3．按照法律法规的规定或出现我方保证责任终止的其它情形的，我方在本保函项下的保证责任亦终止。</w:t>
      </w:r>
    </w:p>
    <w:p>
      <w:pPr>
        <w:spacing w:line="360" w:lineRule="auto"/>
        <w:ind w:firstLine="480" w:firstLineChars="200"/>
        <w:rPr>
          <w:sz w:val="24"/>
        </w:rPr>
      </w:pPr>
      <w:r>
        <w:rPr>
          <w:rFonts w:hint="eastAsia"/>
          <w:sz w:val="24"/>
        </w:rPr>
        <w:t>五、免责条款</w:t>
      </w:r>
    </w:p>
    <w:p>
      <w:pPr>
        <w:spacing w:line="360" w:lineRule="auto"/>
        <w:ind w:firstLine="480" w:firstLineChars="200"/>
        <w:rPr>
          <w:sz w:val="24"/>
        </w:rPr>
      </w:pPr>
      <w:r>
        <w:rPr>
          <w:rFonts w:hint="eastAsia"/>
          <w:sz w:val="24"/>
        </w:rPr>
        <w:t>1．依照法律规定或你方与投标供应商的另行约定，全部或者部分免除投标供应商投标保证金义务时，我方亦免除相应的保证责任。</w:t>
      </w:r>
    </w:p>
    <w:p>
      <w:pPr>
        <w:spacing w:line="360" w:lineRule="auto"/>
        <w:ind w:firstLine="480" w:firstLineChars="200"/>
        <w:rPr>
          <w:sz w:val="24"/>
        </w:rPr>
      </w:pPr>
      <w:r>
        <w:rPr>
          <w:rFonts w:hint="eastAsia"/>
          <w:sz w:val="24"/>
        </w:rPr>
        <w:t>2．因你方原因致使投标供应商发生本保函第一条第（一）款约定情形的，我方不承担保证责任。</w:t>
      </w:r>
    </w:p>
    <w:p>
      <w:pPr>
        <w:spacing w:line="360" w:lineRule="auto"/>
        <w:ind w:firstLine="480" w:firstLineChars="200"/>
        <w:rPr>
          <w:sz w:val="24"/>
        </w:rPr>
      </w:pPr>
      <w:r>
        <w:rPr>
          <w:rFonts w:hint="eastAsia"/>
          <w:sz w:val="24"/>
        </w:rPr>
        <w:t>3．因不可抗力造成投标供应商发生本保函第一条约定情形的，我方不承担保证责任。</w:t>
      </w:r>
    </w:p>
    <w:p>
      <w:pPr>
        <w:spacing w:line="360" w:lineRule="auto"/>
        <w:ind w:firstLine="480" w:firstLineChars="200"/>
        <w:rPr>
          <w:sz w:val="24"/>
        </w:rPr>
      </w:pPr>
      <w:r>
        <w:rPr>
          <w:rFonts w:hint="eastAsia"/>
          <w:sz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sz w:val="24"/>
        </w:rPr>
      </w:pPr>
      <w:r>
        <w:rPr>
          <w:rFonts w:hint="eastAsia"/>
          <w:sz w:val="24"/>
        </w:rPr>
        <w:t>六、争议的解决</w:t>
      </w:r>
    </w:p>
    <w:p>
      <w:pPr>
        <w:spacing w:line="360" w:lineRule="auto"/>
        <w:ind w:firstLine="480" w:firstLineChars="20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法院。</w:t>
      </w:r>
    </w:p>
    <w:p>
      <w:pPr>
        <w:spacing w:line="360" w:lineRule="auto"/>
        <w:ind w:firstLine="480" w:firstLineChars="200"/>
        <w:rPr>
          <w:sz w:val="24"/>
        </w:rPr>
      </w:pPr>
      <w:r>
        <w:rPr>
          <w:rFonts w:hint="eastAsia"/>
          <w:sz w:val="24"/>
        </w:rPr>
        <w:t>七、保函的生效</w:t>
      </w:r>
    </w:p>
    <w:p>
      <w:pPr>
        <w:spacing w:line="360" w:lineRule="auto"/>
        <w:ind w:firstLine="480" w:firstLineChars="200"/>
        <w:rPr>
          <w:sz w:val="24"/>
        </w:rPr>
      </w:pPr>
      <w:r>
        <w:rPr>
          <w:rFonts w:hint="eastAsia"/>
          <w:sz w:val="24"/>
        </w:rPr>
        <w:t>本保函自我方加盖公章之日起生效。</w:t>
      </w:r>
    </w:p>
    <w:p>
      <w:pPr>
        <w:spacing w:line="360" w:lineRule="auto"/>
        <w:rPr>
          <w:sz w:val="24"/>
        </w:rPr>
      </w:pPr>
    </w:p>
    <w:p>
      <w:pPr>
        <w:spacing w:line="360" w:lineRule="auto"/>
        <w:ind w:firstLine="6600" w:firstLineChars="2750"/>
        <w:rPr>
          <w:sz w:val="24"/>
        </w:rPr>
      </w:pPr>
      <w:r>
        <w:rPr>
          <w:rFonts w:hint="eastAsia"/>
          <w:sz w:val="24"/>
        </w:rPr>
        <w:t>保证人：（公章）</w:t>
      </w:r>
    </w:p>
    <w:p>
      <w:pPr>
        <w:spacing w:line="360" w:lineRule="auto"/>
        <w:rPr>
          <w:sz w:val="24"/>
        </w:rPr>
      </w:pPr>
      <w:r>
        <w:rPr>
          <w:sz w:val="24"/>
        </w:rPr>
        <w:t xml:space="preserve">                               </w:t>
      </w:r>
    </w:p>
    <w:p>
      <w:pPr>
        <w:spacing w:line="360" w:lineRule="auto"/>
        <w:ind w:firstLine="480" w:firstLineChars="200"/>
        <w:jc w:val="right"/>
        <w:rPr>
          <w:sz w:val="24"/>
        </w:rPr>
      </w:pPr>
      <w:r>
        <w:rPr>
          <w:rFonts w:hint="eastAsia"/>
          <w:sz w:val="24"/>
        </w:rPr>
        <w:t>年     月      日</w:t>
      </w:r>
    </w:p>
    <w:p>
      <w:pPr>
        <w:spacing w:line="360" w:lineRule="auto"/>
        <w:rPr>
          <w:rFonts w:ascii="黑体" w:eastAsia="黑体"/>
          <w:sz w:val="30"/>
          <w:szCs w:val="30"/>
        </w:rPr>
      </w:pPr>
    </w:p>
    <w:p>
      <w:pPr>
        <w:spacing w:line="360" w:lineRule="auto"/>
        <w:rPr>
          <w:rFonts w:ascii="黑体" w:eastAsia="黑体"/>
          <w:sz w:val="30"/>
          <w:szCs w:val="30"/>
        </w:rPr>
      </w:pPr>
    </w:p>
    <w:p>
      <w:pPr>
        <w:spacing w:line="360" w:lineRule="auto"/>
        <w:rPr>
          <w:rFonts w:ascii="黑体" w:eastAsia="黑体"/>
          <w:sz w:val="30"/>
          <w:szCs w:val="30"/>
        </w:rPr>
      </w:pPr>
      <w:r>
        <w:rPr>
          <w:rFonts w:hint="eastAsia" w:ascii="黑体" w:eastAsia="黑体"/>
          <w:sz w:val="30"/>
          <w:szCs w:val="30"/>
        </w:rPr>
        <w:t>附2：</w:t>
      </w:r>
    </w:p>
    <w:p>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政府采购履约担保函（项目用）</w:t>
      </w:r>
    </w:p>
    <w:p>
      <w:pPr>
        <w:spacing w:line="360" w:lineRule="auto"/>
        <w:rPr>
          <w:sz w:val="24"/>
        </w:rPr>
      </w:pPr>
      <w:r>
        <w:rPr>
          <w:rFonts w:hint="eastAsia"/>
          <w:sz w:val="24"/>
        </w:rPr>
        <w:t xml:space="preserve">                                                            编号：</w:t>
      </w:r>
    </w:p>
    <w:p>
      <w:pPr>
        <w:spacing w:line="360" w:lineRule="auto"/>
        <w:rPr>
          <w:sz w:val="24"/>
        </w:rPr>
      </w:pPr>
      <w:r>
        <w:rPr>
          <w:rFonts w:hint="eastAsia"/>
          <w:sz w:val="24"/>
          <w:u w:val="single"/>
        </w:rPr>
        <w:t xml:space="preserve">                  </w:t>
      </w:r>
      <w:r>
        <w:rPr>
          <w:rFonts w:hint="eastAsia"/>
          <w:sz w:val="24"/>
        </w:rPr>
        <w:t>（采购人）：</w:t>
      </w:r>
    </w:p>
    <w:p>
      <w:pPr>
        <w:spacing w:line="360" w:lineRule="auto"/>
        <w:ind w:firstLine="480" w:firstLineChars="200"/>
        <w:rPr>
          <w:sz w:val="24"/>
        </w:rPr>
      </w:pPr>
      <w:r>
        <w:rPr>
          <w:rFonts w:hint="eastAsia"/>
          <w:sz w:val="24"/>
        </w:rPr>
        <w:t>鉴于你方与</w:t>
      </w:r>
      <w:r>
        <w:rPr>
          <w:rFonts w:hint="eastAsia"/>
          <w:sz w:val="24"/>
          <w:u w:val="single"/>
        </w:rPr>
        <w:t xml:space="preserve">                    </w:t>
      </w:r>
      <w:r>
        <w:rPr>
          <w:rFonts w:hint="eastAsia"/>
          <w:sz w:val="24"/>
        </w:rPr>
        <w:t>（以下简称供应商）于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日签定编号为   的《</w:t>
      </w:r>
      <w:r>
        <w:rPr>
          <w:rFonts w:hint="eastAsia"/>
          <w:sz w:val="24"/>
          <w:u w:val="single"/>
        </w:rPr>
        <w:t xml:space="preserve">           </w:t>
      </w:r>
      <w:r>
        <w:rPr>
          <w:rFonts w:hint="eastAsia"/>
          <w:sz w:val="24"/>
        </w:rPr>
        <w:t>政府采购合同》（以下简称主合同），且依据该合同的约定，供应商应在</w:t>
      </w:r>
      <w:r>
        <w:rPr>
          <w:rFonts w:hint="eastAsia"/>
          <w:sz w:val="24"/>
          <w:u w:val="single"/>
        </w:rPr>
        <w:t xml:space="preserve">    </w:t>
      </w:r>
      <w:r>
        <w:rPr>
          <w:rFonts w:hint="eastAsia"/>
          <w:sz w:val="24"/>
        </w:rPr>
        <w:t>年</w:t>
      </w:r>
    </w:p>
    <w:p>
      <w:pPr>
        <w:spacing w:line="360" w:lineRule="auto"/>
        <w:rPr>
          <w:sz w:val="24"/>
        </w:rPr>
      </w:pP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日前向你方交纳履约保证金，且可以履约担保函的形式交纳履约保证金。应供应商的申请，我方以保证的方式向你方提供如下履约保证金担保：</w:t>
      </w:r>
    </w:p>
    <w:p>
      <w:pPr>
        <w:spacing w:line="360" w:lineRule="auto"/>
        <w:ind w:firstLine="480" w:firstLineChars="200"/>
        <w:rPr>
          <w:sz w:val="24"/>
        </w:rPr>
      </w:pPr>
      <w:r>
        <w:rPr>
          <w:rFonts w:hint="eastAsia"/>
          <w:sz w:val="24"/>
        </w:rPr>
        <w:t>一、保证责任的情形及保证金额</w:t>
      </w:r>
    </w:p>
    <w:p>
      <w:pPr>
        <w:spacing w:line="360" w:lineRule="auto"/>
        <w:ind w:firstLine="480" w:firstLineChars="200"/>
        <w:rPr>
          <w:sz w:val="24"/>
        </w:rPr>
      </w:pPr>
      <w:r>
        <w:rPr>
          <w:rFonts w:hint="eastAsia"/>
          <w:sz w:val="24"/>
        </w:rPr>
        <w:t>（一）在供应商出现下列情形之一时，我方承担保证责任：</w:t>
      </w:r>
    </w:p>
    <w:p>
      <w:pPr>
        <w:spacing w:line="360" w:lineRule="auto"/>
        <w:ind w:firstLine="480" w:firstLineChars="200"/>
        <w:rPr>
          <w:sz w:val="24"/>
        </w:rPr>
      </w:pPr>
      <w:r>
        <w:rPr>
          <w:rFonts w:hint="eastAsia"/>
          <w:sz w:val="24"/>
        </w:rPr>
        <w:t>1．将中标项目转让给他人，或者在投标文件中未说明，且未经采购招标机构人同意，将中标项目分包给他人的；</w:t>
      </w:r>
    </w:p>
    <w:p>
      <w:pPr>
        <w:spacing w:line="360" w:lineRule="auto"/>
        <w:rPr>
          <w:sz w:val="24"/>
        </w:rPr>
      </w:pPr>
      <w:r>
        <w:rPr>
          <w:rFonts w:hint="eastAsia"/>
          <w:sz w:val="24"/>
        </w:rPr>
        <w:t xml:space="preserve">　　2．主合同约定的应当缴纳履约保证金的情形: </w:t>
      </w:r>
    </w:p>
    <w:p>
      <w:pPr>
        <w:spacing w:line="360" w:lineRule="auto"/>
        <w:ind w:firstLine="480" w:firstLineChars="200"/>
        <w:rPr>
          <w:sz w:val="24"/>
        </w:rPr>
      </w:pPr>
      <w:r>
        <w:rPr>
          <w:rFonts w:hint="eastAsia"/>
          <w:sz w:val="24"/>
        </w:rPr>
        <w:t>（1）未按主合同约定的质量、数量和期限供应货物/提供服务/完成工程的；</w:t>
      </w:r>
    </w:p>
    <w:p>
      <w:pPr>
        <w:spacing w:line="360" w:lineRule="auto"/>
        <w:ind w:firstLine="480" w:firstLineChars="200"/>
        <w:rPr>
          <w:sz w:val="24"/>
        </w:rPr>
      </w:pPr>
      <w:r>
        <w:rPr>
          <w:rFonts w:hint="eastAsia"/>
          <w:sz w:val="24"/>
        </w:rPr>
        <w:t>（2）</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（二）我方的保证范围是主合同约定的合同价款总额的</w:t>
      </w:r>
      <w:r>
        <w:rPr>
          <w:rFonts w:hint="eastAsia"/>
          <w:sz w:val="24"/>
          <w:u w:val="single"/>
        </w:rPr>
        <w:t xml:space="preserve">        </w:t>
      </w:r>
      <w:r>
        <w:rPr>
          <w:rFonts w:hint="eastAsia"/>
          <w:sz w:val="24"/>
        </w:rPr>
        <w:t>%数额为</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），币种为</w:t>
      </w:r>
      <w:r>
        <w:rPr>
          <w:rFonts w:hint="eastAsia"/>
          <w:sz w:val="24"/>
          <w:u w:val="single"/>
        </w:rPr>
        <w:t xml:space="preserve">        </w:t>
      </w:r>
      <w:r>
        <w:rPr>
          <w:rFonts w:hint="eastAsia"/>
          <w:sz w:val="24"/>
        </w:rPr>
        <w:t>。（即主合同履约保证金金额）</w:t>
      </w:r>
    </w:p>
    <w:p>
      <w:pPr>
        <w:spacing w:line="360" w:lineRule="auto"/>
        <w:ind w:firstLine="480" w:firstLineChars="200"/>
        <w:rPr>
          <w:sz w:val="24"/>
        </w:rPr>
      </w:pPr>
      <w:r>
        <w:rPr>
          <w:rFonts w:hint="eastAsia"/>
          <w:sz w:val="24"/>
        </w:rPr>
        <w:t>二、保证的方式及保证期间</w:t>
      </w:r>
    </w:p>
    <w:p>
      <w:pPr>
        <w:spacing w:line="360" w:lineRule="auto"/>
        <w:ind w:firstLine="480" w:firstLineChars="200"/>
        <w:rPr>
          <w:sz w:val="24"/>
        </w:rPr>
      </w:pPr>
      <w:r>
        <w:rPr>
          <w:rFonts w:hint="eastAsia"/>
          <w:sz w:val="24"/>
        </w:rPr>
        <w:t>我方保证的方式为：连带责任保证。</w:t>
      </w:r>
    </w:p>
    <w:p>
      <w:pPr>
        <w:spacing w:line="360" w:lineRule="auto"/>
        <w:ind w:firstLine="480" w:firstLineChars="200"/>
        <w:rPr>
          <w:sz w:val="24"/>
        </w:rPr>
      </w:pPr>
      <w:r>
        <w:rPr>
          <w:rFonts w:hint="eastAsia"/>
          <w:sz w:val="24"/>
        </w:rPr>
        <w:t>我方保证的期间为：自本合同生效之日起至供应商按照主合同约定的供货/完工期限届满后</w:t>
      </w:r>
      <w:r>
        <w:rPr>
          <w:rFonts w:hint="eastAsia"/>
          <w:sz w:val="24"/>
          <w:u w:val="single"/>
        </w:rPr>
        <w:t xml:space="preserve">     </w:t>
      </w:r>
      <w:r>
        <w:rPr>
          <w:rFonts w:hint="eastAsia"/>
          <w:sz w:val="24"/>
        </w:rPr>
        <w:t>日内。</w:t>
      </w:r>
    </w:p>
    <w:p>
      <w:pPr>
        <w:spacing w:line="360" w:lineRule="auto"/>
        <w:ind w:firstLine="480" w:firstLineChars="200"/>
        <w:rPr>
          <w:sz w:val="24"/>
        </w:rPr>
      </w:pPr>
      <w:r>
        <w:rPr>
          <w:rFonts w:hint="eastAsia"/>
          <w:sz w:val="24"/>
        </w:rPr>
        <w:t>如果供应商未按主合同约定向贵方供应货物/提供服务/完成工程的，由我方在保证金额内向你方支付上述款项。</w:t>
      </w:r>
    </w:p>
    <w:p>
      <w:pPr>
        <w:spacing w:line="360" w:lineRule="auto"/>
        <w:ind w:firstLine="480" w:firstLineChars="200"/>
        <w:rPr>
          <w:sz w:val="24"/>
        </w:rPr>
      </w:pPr>
      <w:r>
        <w:rPr>
          <w:rFonts w:hint="eastAsia"/>
          <w:sz w:val="24"/>
        </w:rPr>
        <w:t>三、承担保证责任的程序</w:t>
      </w:r>
    </w:p>
    <w:p>
      <w:pPr>
        <w:spacing w:line="360" w:lineRule="auto"/>
        <w:ind w:firstLine="480" w:firstLineChars="200"/>
        <w:rPr>
          <w:sz w:val="24"/>
        </w:rPr>
      </w:pPr>
      <w:r>
        <w:rPr>
          <w:rFonts w:hint="eastAsia"/>
          <w:sz w:val="24"/>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firstLine="480" w:firstLineChars="200"/>
        <w:rPr>
          <w:sz w:val="24"/>
        </w:rPr>
      </w:pPr>
      <w:r>
        <w:rPr>
          <w:rFonts w:hint="eastAsia"/>
          <w:sz w:val="24"/>
        </w:rPr>
        <w:t>如果你方与供应商因货物质量问题产生争议，你方还需同时提供</w:t>
      </w:r>
      <w:r>
        <w:rPr>
          <w:rFonts w:hint="eastAsia"/>
          <w:sz w:val="24"/>
          <w:u w:val="single"/>
        </w:rPr>
        <w:t xml:space="preserve">        </w:t>
      </w:r>
      <w:r>
        <w:rPr>
          <w:rFonts w:hint="eastAsia"/>
          <w:sz w:val="24"/>
        </w:rPr>
        <w:t>部门出具的质量检测报告，或经诉讼（仲裁）程序裁决后的裁决书、调解书，本保证人即按照检测结果或裁决书、调解书决定是否承担保证责任。</w:t>
      </w:r>
    </w:p>
    <w:p>
      <w:pPr>
        <w:spacing w:line="360" w:lineRule="auto"/>
        <w:ind w:firstLine="480" w:firstLineChars="200"/>
        <w:rPr>
          <w:sz w:val="24"/>
        </w:rPr>
      </w:pPr>
      <w:r>
        <w:rPr>
          <w:rFonts w:hint="eastAsia"/>
          <w:sz w:val="24"/>
        </w:rPr>
        <w:t>2． 我方收到你方的书面索赔通知及相应证明材料，在</w:t>
      </w:r>
      <w:r>
        <w:rPr>
          <w:rFonts w:hint="eastAsia"/>
          <w:sz w:val="24"/>
          <w:u w:val="single"/>
        </w:rPr>
        <w:t xml:space="preserve">     </w:t>
      </w:r>
      <w:r>
        <w:rPr>
          <w:rFonts w:hint="eastAsia"/>
          <w:sz w:val="24"/>
        </w:rPr>
        <w:t>工作日内进行核定后按照本保函的承诺承担保证责任。</w:t>
      </w:r>
    </w:p>
    <w:p>
      <w:pPr>
        <w:spacing w:line="360" w:lineRule="auto"/>
        <w:ind w:firstLine="480" w:firstLineChars="200"/>
        <w:rPr>
          <w:sz w:val="24"/>
        </w:rPr>
      </w:pPr>
      <w:r>
        <w:rPr>
          <w:rFonts w:hint="eastAsia"/>
          <w:sz w:val="24"/>
        </w:rPr>
        <w:t>四、保证责任的终止</w:t>
      </w:r>
    </w:p>
    <w:p>
      <w:pPr>
        <w:spacing w:line="360" w:lineRule="auto"/>
        <w:ind w:firstLine="480" w:firstLineChars="200"/>
        <w:rPr>
          <w:sz w:val="24"/>
        </w:rPr>
      </w:pPr>
      <w:r>
        <w:rPr>
          <w:rFonts w:hint="eastAsia"/>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sz w:val="24"/>
        </w:rPr>
      </w:pPr>
      <w:r>
        <w:rPr>
          <w:rFonts w:hint="eastAsia"/>
          <w:sz w:val="24"/>
        </w:rPr>
        <w:t>2．我方按照本保函向你方履行了保证责任后，自我方向你方支付款项（支付款项从我方账户划出）之日起，保证责任即终止。</w:t>
      </w:r>
    </w:p>
    <w:p>
      <w:pPr>
        <w:spacing w:line="360" w:lineRule="auto"/>
        <w:ind w:firstLine="480" w:firstLineChars="200"/>
        <w:rPr>
          <w:sz w:val="24"/>
        </w:rPr>
      </w:pPr>
      <w:r>
        <w:rPr>
          <w:rFonts w:hint="eastAsia"/>
          <w:sz w:val="24"/>
        </w:rPr>
        <w:t>3．按照法律法规的规定或出现应终止我方保证责任的其它情形的，我方在本保函项下的保证责任亦终止。</w:t>
      </w:r>
    </w:p>
    <w:p>
      <w:pPr>
        <w:spacing w:line="360" w:lineRule="auto"/>
        <w:ind w:firstLine="480" w:firstLineChars="200"/>
        <w:rPr>
          <w:sz w:val="24"/>
        </w:rPr>
      </w:pPr>
      <w:r>
        <w:rPr>
          <w:rFonts w:hint="eastAsia"/>
          <w:sz w:val="24"/>
        </w:rPr>
        <w:t>4．你方与供应商修改主合同，加重我方保证责任的，我方对加重部分不承担保证责任，但该等修改事先经我方书面同意的除外；你方与供应商修改主合同履行期限，我方保证期间仍以修改前的履行期限计算，但该等修改事先经我方书面同意的除外。</w:t>
      </w:r>
    </w:p>
    <w:p>
      <w:pPr>
        <w:spacing w:line="360" w:lineRule="auto"/>
        <w:ind w:firstLine="480" w:firstLineChars="200"/>
        <w:rPr>
          <w:sz w:val="24"/>
        </w:rPr>
      </w:pPr>
      <w:r>
        <w:rPr>
          <w:rFonts w:hint="eastAsia"/>
          <w:sz w:val="24"/>
        </w:rPr>
        <w:t>五、免责条款</w:t>
      </w:r>
    </w:p>
    <w:p>
      <w:pPr>
        <w:spacing w:line="360" w:lineRule="auto"/>
        <w:ind w:firstLine="480" w:firstLineChars="200"/>
        <w:rPr>
          <w:sz w:val="24"/>
        </w:rPr>
      </w:pPr>
      <w:r>
        <w:rPr>
          <w:rFonts w:hint="eastAsia"/>
          <w:sz w:val="24"/>
        </w:rPr>
        <w:t>1．因你方违反主合同约定致使供应商不能履行义务的，我方不承担保证责任。</w:t>
      </w:r>
    </w:p>
    <w:p>
      <w:pPr>
        <w:spacing w:line="360" w:lineRule="auto"/>
        <w:ind w:firstLine="480" w:firstLineChars="200"/>
        <w:rPr>
          <w:sz w:val="24"/>
        </w:rPr>
      </w:pPr>
      <w:r>
        <w:rPr>
          <w:rFonts w:hint="eastAsia"/>
          <w:sz w:val="24"/>
        </w:rPr>
        <w:t>2．依照法律法规的规定或你方与供应商的另行约定，全部或者部分免除供应商应缴纳的保证金义务的，我方亦免除相应的保证责任。</w:t>
      </w:r>
    </w:p>
    <w:p>
      <w:pPr>
        <w:spacing w:line="360" w:lineRule="auto"/>
        <w:ind w:firstLine="480" w:firstLineChars="200"/>
        <w:rPr>
          <w:sz w:val="24"/>
        </w:rPr>
      </w:pPr>
      <w:r>
        <w:rPr>
          <w:rFonts w:hint="eastAsia"/>
          <w:sz w:val="24"/>
        </w:rPr>
        <w:t>3．因不可抗力造成供应商不能履行供货义务的，我方不承担保证责任。</w:t>
      </w:r>
    </w:p>
    <w:p>
      <w:pPr>
        <w:spacing w:line="360" w:lineRule="auto"/>
        <w:ind w:firstLine="480" w:firstLineChars="200"/>
        <w:rPr>
          <w:sz w:val="24"/>
        </w:rPr>
      </w:pPr>
      <w:r>
        <w:rPr>
          <w:rFonts w:hint="eastAsia"/>
          <w:sz w:val="24"/>
        </w:rPr>
        <w:t>六、争议的解决</w:t>
      </w:r>
    </w:p>
    <w:p>
      <w:pPr>
        <w:spacing w:line="360" w:lineRule="auto"/>
        <w:ind w:firstLine="480" w:firstLineChars="20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法院。</w:t>
      </w:r>
    </w:p>
    <w:p>
      <w:pPr>
        <w:spacing w:line="360" w:lineRule="auto"/>
        <w:ind w:firstLine="480" w:firstLineChars="200"/>
        <w:rPr>
          <w:sz w:val="24"/>
        </w:rPr>
      </w:pPr>
      <w:r>
        <w:rPr>
          <w:rFonts w:hint="eastAsia"/>
          <w:sz w:val="24"/>
        </w:rPr>
        <w:t>七、保函的生效</w:t>
      </w:r>
    </w:p>
    <w:p>
      <w:pPr>
        <w:spacing w:line="360" w:lineRule="auto"/>
        <w:ind w:firstLine="480" w:firstLineChars="200"/>
        <w:rPr>
          <w:sz w:val="24"/>
        </w:rPr>
      </w:pPr>
      <w:r>
        <w:rPr>
          <w:rFonts w:hint="eastAsia"/>
          <w:sz w:val="24"/>
        </w:rPr>
        <w:t>本保函自我方加盖公章之日起生效。</w:t>
      </w:r>
      <w:r>
        <w:rPr>
          <w:sz w:val="24"/>
        </w:rPr>
        <w:t xml:space="preserve">                               </w:t>
      </w:r>
    </w:p>
    <w:p>
      <w:pPr>
        <w:spacing w:line="360" w:lineRule="auto"/>
        <w:rPr>
          <w:sz w:val="24"/>
        </w:rPr>
      </w:pPr>
      <w:r>
        <w:rPr>
          <w:rFonts w:hint="eastAsia"/>
          <w:sz w:val="24"/>
        </w:rPr>
        <w:t>保证人：（公章）                                  年     月      日</w:t>
      </w:r>
    </w:p>
    <w:p>
      <w:pPr>
        <w:rPr>
          <w:rFonts w:ascii="宋体" w:hAnsi="宋体" w:cs="宋体"/>
          <w:b/>
          <w:bCs/>
          <w:sz w:val="30"/>
          <w:szCs w:val="30"/>
        </w:rPr>
      </w:pPr>
      <w:r>
        <w:rPr>
          <w:rFonts w:hint="eastAsia" w:ascii="宋体" w:hAnsi="宋体" w:cs="宋体"/>
          <w:b/>
          <w:bCs/>
          <w:sz w:val="30"/>
          <w:szCs w:val="30"/>
        </w:rPr>
        <w:t>暗标（技术文件）格式：</w:t>
      </w:r>
    </w:p>
    <w:p>
      <w:pPr>
        <w:outlineLvl w:val="0"/>
        <w:rPr>
          <w:rFonts w:ascii="黑体" w:hAnsi="宋体" w:eastAsia="黑体"/>
          <w:sz w:val="24"/>
        </w:rPr>
      </w:pPr>
    </w:p>
    <w:p>
      <w:pPr>
        <w:outlineLvl w:val="0"/>
        <w:rPr>
          <w:rFonts w:ascii="黑体" w:hAnsi="宋体" w:eastAsia="黑体"/>
          <w:sz w:val="24"/>
        </w:rPr>
      </w:pPr>
    </w:p>
    <w:p>
      <w:pPr>
        <w:outlineLvl w:val="0"/>
        <w:rPr>
          <w:rFonts w:ascii="黑体" w:hAnsi="宋体" w:eastAsia="黑体"/>
          <w:sz w:val="24"/>
        </w:rPr>
      </w:pPr>
    </w:p>
    <w:p>
      <w:pPr>
        <w:outlineLvl w:val="0"/>
        <w:rPr>
          <w:rFonts w:ascii="黑体" w:hAnsi="宋体" w:eastAsia="黑体"/>
          <w:sz w:val="24"/>
        </w:rPr>
      </w:pPr>
    </w:p>
    <w:p>
      <w:pPr>
        <w:outlineLvl w:val="0"/>
        <w:rPr>
          <w:rFonts w:ascii="黑体" w:hAnsi="宋体" w:eastAsia="黑体"/>
          <w:sz w:val="24"/>
        </w:rPr>
      </w:pPr>
    </w:p>
    <w:p>
      <w:pPr>
        <w:outlineLvl w:val="0"/>
        <w:rPr>
          <w:rFonts w:ascii="黑体" w:hAnsi="宋体" w:eastAsia="黑体"/>
          <w:sz w:val="24"/>
        </w:rPr>
      </w:pPr>
    </w:p>
    <w:p>
      <w:pPr>
        <w:outlineLvl w:val="0"/>
        <w:rPr>
          <w:rFonts w:ascii="黑体" w:hAnsi="宋体" w:eastAsia="黑体"/>
          <w:sz w:val="24"/>
        </w:rPr>
      </w:pPr>
    </w:p>
    <w:p>
      <w:pPr>
        <w:jc w:val="center"/>
        <w:rPr>
          <w:b/>
          <w:sz w:val="48"/>
          <w:szCs w:val="48"/>
        </w:rPr>
      </w:pPr>
    </w:p>
    <w:p>
      <w:pPr>
        <w:jc w:val="center"/>
        <w:outlineLvl w:val="0"/>
        <w:rPr>
          <w:b/>
          <w:sz w:val="44"/>
          <w:szCs w:val="44"/>
        </w:rPr>
      </w:pPr>
      <w:r>
        <w:rPr>
          <w:rFonts w:hint="eastAsia"/>
          <w:b/>
          <w:sz w:val="44"/>
          <w:szCs w:val="44"/>
        </w:rPr>
        <w:t>暗标封面、目录、封底和装订夹</w:t>
      </w:r>
    </w:p>
    <w:p>
      <w:pPr>
        <w:jc w:val="center"/>
        <w:outlineLvl w:val="0"/>
        <w:rPr>
          <w:rFonts w:ascii="黑体" w:hAnsi="宋体" w:eastAsia="黑体"/>
          <w:sz w:val="24"/>
        </w:rPr>
      </w:pPr>
      <w:r>
        <w:rPr>
          <w:rFonts w:hint="eastAsia"/>
          <w:b/>
          <w:sz w:val="28"/>
          <w:szCs w:val="28"/>
        </w:rPr>
        <w:t>（采购代理机构统一提供）</w:t>
      </w:r>
    </w:p>
    <w:p>
      <w:pPr>
        <w:outlineLvl w:val="0"/>
        <w:rPr>
          <w:rFonts w:ascii="宋体" w:hAnsi="宋体"/>
        </w:rPr>
      </w:pPr>
    </w:p>
    <w:p>
      <w:pPr>
        <w:pStyle w:val="24"/>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pPr>
        <w:outlineLvl w:val="0"/>
        <w:rPr>
          <w:rFonts w:ascii="宋体" w:hAnsi="宋体"/>
        </w:rPr>
      </w:pPr>
    </w:p>
    <w:p>
      <w:r>
        <w:rPr>
          <w:rFonts w:ascii="宋体" w:hAnsi="宋体"/>
        </w:rPr>
        <w:br w:type="page"/>
      </w:r>
    </w:p>
    <w:p>
      <w:pPr>
        <w:outlineLvl w:val="0"/>
        <w:rPr>
          <w:rFonts w:ascii="宋体" w:hAnsi="宋体"/>
        </w:rPr>
      </w:pPr>
    </w:p>
    <w:p>
      <w:pPr>
        <w:spacing w:line="360" w:lineRule="auto"/>
        <w:jc w:val="center"/>
        <w:rPr>
          <w:rFonts w:ascii="黑体" w:hAnsi="宋体" w:eastAsia="黑体"/>
          <w:bCs/>
          <w:sz w:val="24"/>
        </w:rPr>
      </w:pPr>
      <w:r>
        <w:rPr>
          <w:rFonts w:hint="eastAsia" w:ascii="宋体" w:hAnsi="宋体" w:cs="宋体"/>
          <w:b/>
          <w:bCs/>
          <w:sz w:val="24"/>
        </w:rPr>
        <w:t>目  录</w:t>
      </w:r>
    </w:p>
    <w:p>
      <w:pPr>
        <w:spacing w:line="360" w:lineRule="auto"/>
        <w:jc w:val="center"/>
        <w:rPr>
          <w:rFonts w:ascii="黑体" w:hAnsi="宋体" w:eastAsia="黑体"/>
          <w:bCs/>
          <w:sz w:val="24"/>
        </w:rPr>
      </w:pPr>
    </w:p>
    <w:p>
      <w:pPr>
        <w:tabs>
          <w:tab w:val="left" w:pos="840"/>
          <w:tab w:val="left" w:pos="1050"/>
        </w:tabs>
        <w:spacing w:line="360" w:lineRule="auto"/>
        <w:ind w:firstLine="480" w:firstLineChars="200"/>
        <w:jc w:val="left"/>
        <w:rPr>
          <w:rFonts w:ascii="宋体" w:hAnsi="宋体"/>
          <w:sz w:val="24"/>
        </w:rPr>
      </w:pPr>
      <w:r>
        <w:rPr>
          <w:rFonts w:hint="eastAsia" w:ascii="宋体" w:hAnsi="宋体"/>
          <w:sz w:val="24"/>
        </w:rPr>
        <w:t>（1）开展第三方测评工作的重点，难点及对策的分析</w:t>
      </w:r>
    </w:p>
    <w:p>
      <w:pPr>
        <w:tabs>
          <w:tab w:val="left" w:pos="840"/>
          <w:tab w:val="left" w:pos="1050"/>
        </w:tabs>
        <w:spacing w:line="360" w:lineRule="auto"/>
        <w:ind w:firstLine="480" w:firstLineChars="200"/>
        <w:jc w:val="left"/>
        <w:rPr>
          <w:rFonts w:ascii="宋体" w:hAnsi="宋体"/>
          <w:sz w:val="24"/>
        </w:rPr>
      </w:pPr>
      <w:r>
        <w:rPr>
          <w:rFonts w:hint="eastAsia" w:ascii="宋体" w:hAnsi="宋体"/>
          <w:sz w:val="24"/>
        </w:rPr>
        <w:t>（2）生活垃圾测评工作措施方案</w:t>
      </w:r>
    </w:p>
    <w:p>
      <w:pPr>
        <w:tabs>
          <w:tab w:val="left" w:pos="840"/>
          <w:tab w:val="left" w:pos="1050"/>
        </w:tabs>
        <w:spacing w:line="360" w:lineRule="auto"/>
        <w:ind w:firstLine="480" w:firstLineChars="200"/>
        <w:jc w:val="left"/>
        <w:rPr>
          <w:rFonts w:ascii="宋体" w:hAnsi="宋体"/>
          <w:sz w:val="24"/>
        </w:rPr>
      </w:pPr>
      <w:r>
        <w:rPr>
          <w:rFonts w:hint="eastAsia" w:ascii="宋体" w:hAnsi="宋体"/>
          <w:sz w:val="24"/>
        </w:rPr>
        <w:t xml:space="preserve">（3）项目组工作人员的培训方案                  </w:t>
      </w:r>
    </w:p>
    <w:p>
      <w:pPr>
        <w:tabs>
          <w:tab w:val="left" w:pos="840"/>
          <w:tab w:val="left" w:pos="1050"/>
        </w:tabs>
        <w:spacing w:line="360" w:lineRule="auto"/>
        <w:ind w:firstLine="480" w:firstLineChars="200"/>
        <w:jc w:val="left"/>
        <w:rPr>
          <w:rFonts w:ascii="宋体" w:hAnsi="宋体"/>
          <w:sz w:val="24"/>
        </w:rPr>
      </w:pPr>
      <w:r>
        <w:rPr>
          <w:rFonts w:hint="eastAsia" w:ascii="宋体" w:hAnsi="宋体"/>
          <w:sz w:val="24"/>
        </w:rPr>
        <w:t xml:space="preserve">（4）其他优化措施及后续服务承诺（围绕采购需求和市城管局考核办法）   </w:t>
      </w:r>
    </w:p>
    <w:p>
      <w:pPr>
        <w:tabs>
          <w:tab w:val="left" w:pos="840"/>
          <w:tab w:val="left" w:pos="1050"/>
        </w:tabs>
        <w:spacing w:line="360" w:lineRule="auto"/>
        <w:ind w:left="420" w:leftChars="200"/>
        <w:rPr>
          <w:rFonts w:ascii="宋体" w:hAnsi="宋体"/>
          <w:sz w:val="24"/>
        </w:rPr>
      </w:pPr>
      <w:r>
        <w:rPr>
          <w:rFonts w:hint="eastAsia" w:ascii="宋体" w:hAnsi="宋体"/>
          <w:sz w:val="24"/>
        </w:rPr>
        <w:t xml:space="preserve">（5）服务于本项目的《城市生活垃圾分类第三方测评手册》     </w:t>
      </w:r>
    </w:p>
    <w:p>
      <w:pPr>
        <w:spacing w:line="360" w:lineRule="auto"/>
        <w:ind w:firstLine="720" w:firstLineChars="300"/>
        <w:rPr>
          <w:rFonts w:ascii="宋体" w:hAnsi="宋体"/>
          <w:sz w:val="24"/>
        </w:rPr>
      </w:pPr>
      <w:r>
        <w:rPr>
          <w:rFonts w:hint="eastAsia" w:ascii="宋体" w:hAnsi="宋体"/>
          <w:sz w:val="24"/>
        </w:rPr>
        <w:t xml:space="preserve">   </w:t>
      </w:r>
    </w:p>
    <w:p>
      <w:pPr>
        <w:tabs>
          <w:tab w:val="left" w:pos="840"/>
          <w:tab w:val="left" w:pos="1050"/>
        </w:tabs>
        <w:spacing w:line="360" w:lineRule="auto"/>
        <w:rPr>
          <w:rFonts w:ascii="宋体" w:hAnsi="宋体"/>
          <w:bCs/>
          <w:sz w:val="24"/>
        </w:rPr>
      </w:pPr>
    </w:p>
    <w:p>
      <w:pPr>
        <w:outlineLvl w:val="0"/>
        <w:rPr>
          <w:rFonts w:ascii="黑体" w:hAnsi="宋体" w:eastAsia="黑体"/>
          <w:bCs/>
          <w:sz w:val="24"/>
        </w:rPr>
      </w:pPr>
    </w:p>
    <w:p>
      <w:pPr>
        <w:outlineLvl w:val="0"/>
        <w:rPr>
          <w:rFonts w:ascii="黑体" w:hAnsi="宋体" w:eastAsia="黑体"/>
          <w:bCs/>
          <w:sz w:val="24"/>
        </w:rPr>
      </w:pPr>
    </w:p>
    <w:p>
      <w:pPr>
        <w:spacing w:line="400" w:lineRule="exact"/>
        <w:rPr>
          <w:rFonts w:ascii="黑体" w:hAnsi="宋体" w:eastAsia="黑体"/>
          <w:bCs/>
          <w:sz w:val="24"/>
        </w:rPr>
      </w:pPr>
    </w:p>
    <w:p>
      <w:pPr>
        <w:outlineLvl w:val="0"/>
        <w:rPr>
          <w:rFonts w:ascii="宋体" w:hAnsi="宋体" w:cs="宋体"/>
          <w:b/>
          <w:bCs/>
          <w:sz w:val="24"/>
        </w:rPr>
      </w:pPr>
      <w:r>
        <w:rPr>
          <w:rFonts w:hint="eastAsia" w:ascii="宋体" w:hAnsi="宋体" w:cs="宋体"/>
          <w:b/>
          <w:bCs/>
          <w:sz w:val="24"/>
        </w:rPr>
        <w:t>（请按照以上所列顺序编制，有格式的按照提供的格式做，未提供格式的自拟格式）</w:t>
      </w:r>
    </w:p>
    <w:p>
      <w:pPr>
        <w:outlineLvl w:val="0"/>
        <w:rPr>
          <w:rFonts w:ascii="宋体" w:hAnsi="宋体"/>
        </w:rPr>
      </w:pPr>
      <w:r>
        <w:rPr>
          <w:rFonts w:hint="eastAsia" w:ascii="宋体" w:hAnsi="宋体"/>
          <w:sz w:val="24"/>
        </w:rPr>
        <w:t xml:space="preserve">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2" w:usb3="00000000" w:csb0="0002009F" w:csb1="00000000"/>
  </w:font>
  <w:font w:name="Kozuka Mincho Pro M">
    <w:panose1 w:val="02020600000000000000"/>
    <w:charset w:val="80"/>
    <w:family w:val="auto"/>
    <w:pitch w:val="default"/>
    <w:sig w:usb0="00000083" w:usb1="2AC71C11" w:usb2="00000012" w:usb3="00000000" w:csb0="20020005"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Droid S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ind w:right="450"/>
      <w:jc w:val="right"/>
      <w:rPr>
        <w:rFonts w:ascii="宋体" w:cs="宋体"/>
        <w:kern w:val="0"/>
        <w:sz w:val="11"/>
      </w:rPr>
    </w:pPr>
    <w:r>
      <w:rPr>
        <w:rFonts w:hint="eastAsia" w:ascii="黑体" w:hAnsi="华文中宋" w:eastAsia="黑体"/>
        <w:bCs/>
        <w:sz w:val="24"/>
        <w:szCs w:val="30"/>
      </w:rPr>
      <w:t>垃圾分类测评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C8F0F"/>
    <w:multiLevelType w:val="singleLevel"/>
    <w:tmpl w:val="8B8C8F0F"/>
    <w:lvl w:ilvl="0" w:tentative="0">
      <w:start w:val="1"/>
      <w:numFmt w:val="lowerLetter"/>
      <w:lvlText w:val="%1."/>
      <w:lvlJc w:val="left"/>
      <w:pPr>
        <w:ind w:left="425" w:hanging="425"/>
      </w:pPr>
      <w:rPr>
        <w:rFonts w:hint="default"/>
        <w:b w:val="0"/>
        <w:bCs w:val="0"/>
      </w:rPr>
    </w:lvl>
  </w:abstractNum>
  <w:abstractNum w:abstractNumId="1">
    <w:nsid w:val="0000000A"/>
    <w:multiLevelType w:val="multilevel"/>
    <w:tmpl w:val="000000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pStyle w:val="4"/>
      <w:isLgl/>
      <w:lvlText w:val="%1.%2"/>
      <w:lvlJc w:val="left"/>
      <w:pPr>
        <w:tabs>
          <w:tab w:val="left" w:pos="567"/>
        </w:tabs>
        <w:ind w:left="567" w:hanging="567"/>
      </w:pPr>
      <w:rPr>
        <w:rFonts w:hint="eastAsia"/>
      </w:rPr>
    </w:lvl>
    <w:lvl w:ilvl="2" w:tentative="0">
      <w:start w:val="1"/>
      <w:numFmt w:val="decimal"/>
      <w:pStyle w:val="149"/>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2"/>
      <w:isLgl/>
      <w:lvlText w:val="%1.%2.%3.%4.%5"/>
      <w:lvlJc w:val="left"/>
      <w:pPr>
        <w:tabs>
          <w:tab w:val="left" w:pos="1080"/>
        </w:tabs>
        <w:ind w:left="992" w:hanging="992"/>
      </w:pPr>
      <w:rPr>
        <w:rFonts w:hint="eastAsia"/>
      </w:rPr>
    </w:lvl>
    <w:lvl w:ilvl="5" w:tentative="0">
      <w:start w:val="1"/>
      <w:numFmt w:val="decimal"/>
      <w:pStyle w:val="7"/>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F"/>
    <w:multiLevelType w:val="multilevel"/>
    <w:tmpl w:val="0000000F"/>
    <w:lvl w:ilvl="0" w:tentative="0">
      <w:start w:val="1"/>
      <w:numFmt w:val="decimal"/>
      <w:pStyle w:val="148"/>
      <w:lvlText w:val="%1、"/>
      <w:lvlJc w:val="left"/>
      <w:pPr>
        <w:tabs>
          <w:tab w:val="left" w:pos="0"/>
        </w:tabs>
        <w:ind w:left="1271" w:hanging="420"/>
      </w:pPr>
      <w:rPr>
        <w:rFonts w:hint="eastAsia" w:ascii="宋体" w:hAnsi="宋体" w:eastAsia="宋体" w:cs="Times New Roman"/>
        <w:b w:val="0"/>
        <w:bCs w:val="0"/>
        <w:i w:val="0"/>
        <w:iCs w:val="0"/>
        <w:caps w:val="0"/>
        <w:smallCaps w:val="0"/>
        <w:strike w:val="0"/>
        <w:dstrike w:val="0"/>
        <w:vanish w:val="0"/>
        <w:spacing w:val="0"/>
        <w:position w:val="0"/>
        <w:sz w:val="24"/>
        <w:u w:val="none"/>
        <w:vertAlign w:val="baseline"/>
      </w:r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3">
    <w:nsid w:val="00000012"/>
    <w:multiLevelType w:val="singleLevel"/>
    <w:tmpl w:val="00000012"/>
    <w:lvl w:ilvl="0" w:tentative="0">
      <w:start w:val="1"/>
      <w:numFmt w:val="bullet"/>
      <w:pStyle w:val="29"/>
      <w:lvlText w:val=""/>
      <w:lvlJc w:val="left"/>
      <w:pPr>
        <w:tabs>
          <w:tab w:val="left" w:pos="2040"/>
        </w:tabs>
        <w:ind w:left="2040" w:hanging="360"/>
      </w:pPr>
      <w:rPr>
        <w:rFonts w:hint="default" w:ascii="Wingdings" w:hAnsi="Wingdings"/>
      </w:rPr>
    </w:lvl>
  </w:abstractNum>
  <w:abstractNum w:abstractNumId="4">
    <w:nsid w:val="0000002D"/>
    <w:multiLevelType w:val="singleLevel"/>
    <w:tmpl w:val="0000002D"/>
    <w:lvl w:ilvl="0" w:tentative="0">
      <w:start w:val="1"/>
      <w:numFmt w:val="decimal"/>
      <w:pStyle w:val="160"/>
      <w:lvlText w:val="%1)"/>
      <w:lvlJc w:val="left"/>
      <w:pPr>
        <w:tabs>
          <w:tab w:val="left" w:pos="425"/>
        </w:tabs>
        <w:ind w:left="425" w:hanging="425"/>
      </w:pPr>
    </w:lvl>
  </w:abstractNum>
  <w:abstractNum w:abstractNumId="5">
    <w:nsid w:val="0000002F"/>
    <w:multiLevelType w:val="multilevel"/>
    <w:tmpl w:val="0000002F"/>
    <w:lvl w:ilvl="0" w:tentative="0">
      <w:start w:val="1"/>
      <w:numFmt w:val="bullet"/>
      <w:pStyle w:val="3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6">
    <w:nsid w:val="00000032"/>
    <w:multiLevelType w:val="multilevel"/>
    <w:tmpl w:val="00000032"/>
    <w:lvl w:ilvl="0" w:tentative="0">
      <w:start w:val="1"/>
      <w:numFmt w:val="decimal"/>
      <w:lvlText w:val="%1."/>
      <w:lvlJc w:val="left"/>
      <w:pPr>
        <w:tabs>
          <w:tab w:val="left" w:pos="510"/>
        </w:tabs>
        <w:ind w:left="510" w:hanging="360"/>
      </w:pPr>
      <w:rPr>
        <w:rFonts w:hint="eastAsia"/>
      </w:rPr>
    </w:lvl>
    <w:lvl w:ilvl="1" w:tentative="0">
      <w:start w:val="1"/>
      <w:numFmt w:val="decimal"/>
      <w:pStyle w:val="87"/>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rPr>
    </w:lvl>
    <w:lvl w:ilvl="3" w:tentative="0">
      <w:start w:val="1"/>
      <w:numFmt w:val="decimal"/>
      <w:pStyle w:val="105"/>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960"/>
        </w:tabs>
        <w:ind w:left="960" w:hanging="420"/>
      </w:pPr>
      <w:rPr>
        <w:rFonts w:hint="eastAsia"/>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7">
    <w:nsid w:val="00000033"/>
    <w:multiLevelType w:val="multilevel"/>
    <w:tmpl w:val="00000033"/>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82"/>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105"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36"/>
    <w:multiLevelType w:val="multilevel"/>
    <w:tmpl w:val="00000036"/>
    <w:lvl w:ilvl="0" w:tentative="0">
      <w:start w:val="1"/>
      <w:numFmt w:val="decimal"/>
      <w:pStyle w:val="156"/>
      <w:lvlText w:val="%1)"/>
      <w:lvlJc w:val="left"/>
      <w:pPr>
        <w:tabs>
          <w:tab w:val="left" w:pos="0"/>
        </w:tabs>
        <w:ind w:left="620" w:hanging="420"/>
      </w:pPr>
      <w:rPr>
        <w:rFonts w:hint="eastAsia" w:ascii="宋体" w:hAnsi="宋体" w:eastAsia="宋体"/>
        <w:b w:val="0"/>
        <w:i w:val="0"/>
        <w:sz w:val="24"/>
      </w:rPr>
    </w:lvl>
    <w:lvl w:ilvl="1" w:tentative="0">
      <w:start w:val="1"/>
      <w:numFmt w:val="lowerLetter"/>
      <w:lvlText w:val="%2)"/>
      <w:lvlJc w:val="left"/>
      <w:pPr>
        <w:tabs>
          <w:tab w:val="left" w:pos="0"/>
        </w:tabs>
        <w:ind w:left="1740" w:hanging="420"/>
      </w:pPr>
    </w:lvl>
    <w:lvl w:ilvl="2" w:tentative="0">
      <w:start w:val="1"/>
      <w:numFmt w:val="lowerRoman"/>
      <w:lvlText w:val="%3."/>
      <w:lvlJc w:val="right"/>
      <w:pPr>
        <w:tabs>
          <w:tab w:val="left" w:pos="0"/>
        </w:tabs>
        <w:ind w:left="2160" w:hanging="420"/>
      </w:pPr>
    </w:lvl>
    <w:lvl w:ilvl="3" w:tentative="0">
      <w:start w:val="1"/>
      <w:numFmt w:val="decimal"/>
      <w:lvlText w:val="%4."/>
      <w:lvlJc w:val="left"/>
      <w:pPr>
        <w:tabs>
          <w:tab w:val="left" w:pos="0"/>
        </w:tabs>
        <w:ind w:left="2580" w:hanging="420"/>
      </w:pPr>
    </w:lvl>
    <w:lvl w:ilvl="4" w:tentative="0">
      <w:start w:val="1"/>
      <w:numFmt w:val="lowerLetter"/>
      <w:lvlText w:val="%5)"/>
      <w:lvlJc w:val="left"/>
      <w:pPr>
        <w:tabs>
          <w:tab w:val="left" w:pos="0"/>
        </w:tabs>
        <w:ind w:left="3000" w:hanging="420"/>
      </w:pPr>
    </w:lvl>
    <w:lvl w:ilvl="5" w:tentative="0">
      <w:start w:val="1"/>
      <w:numFmt w:val="lowerRoman"/>
      <w:lvlText w:val="%6."/>
      <w:lvlJc w:val="right"/>
      <w:pPr>
        <w:tabs>
          <w:tab w:val="left" w:pos="0"/>
        </w:tabs>
        <w:ind w:left="3420" w:hanging="420"/>
      </w:pPr>
    </w:lvl>
    <w:lvl w:ilvl="6" w:tentative="0">
      <w:start w:val="1"/>
      <w:numFmt w:val="decimal"/>
      <w:lvlText w:val="%7."/>
      <w:lvlJc w:val="left"/>
      <w:pPr>
        <w:tabs>
          <w:tab w:val="left" w:pos="0"/>
        </w:tabs>
        <w:ind w:left="3840" w:hanging="420"/>
      </w:pPr>
    </w:lvl>
    <w:lvl w:ilvl="7" w:tentative="0">
      <w:start w:val="1"/>
      <w:numFmt w:val="lowerLetter"/>
      <w:lvlText w:val="%8)"/>
      <w:lvlJc w:val="left"/>
      <w:pPr>
        <w:tabs>
          <w:tab w:val="left" w:pos="0"/>
        </w:tabs>
        <w:ind w:left="4260" w:hanging="420"/>
      </w:pPr>
    </w:lvl>
    <w:lvl w:ilvl="8" w:tentative="0">
      <w:start w:val="1"/>
      <w:numFmt w:val="lowerRoman"/>
      <w:lvlText w:val="%9."/>
      <w:lvlJc w:val="right"/>
      <w:pPr>
        <w:tabs>
          <w:tab w:val="left" w:pos="0"/>
        </w:tabs>
        <w:ind w:left="4680" w:hanging="420"/>
      </w:pPr>
    </w:lvl>
  </w:abstractNum>
  <w:abstractNum w:abstractNumId="9">
    <w:nsid w:val="00000038"/>
    <w:multiLevelType w:val="multilevel"/>
    <w:tmpl w:val="00000038"/>
    <w:lvl w:ilvl="0" w:tentative="0">
      <w:start w:val="1"/>
      <w:numFmt w:val="decimal"/>
      <w:pStyle w:val="161"/>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0">
    <w:nsid w:val="085007CF"/>
    <w:multiLevelType w:val="multilevel"/>
    <w:tmpl w:val="085007CF"/>
    <w:lvl w:ilvl="0" w:tentative="0">
      <w:start w:val="1"/>
      <w:numFmt w:val="decimal"/>
      <w:lvlText w:val="%1."/>
      <w:lvlJc w:val="left"/>
      <w:pPr>
        <w:tabs>
          <w:tab w:val="left" w:pos="1130"/>
        </w:tabs>
        <w:ind w:left="1130" w:hanging="420"/>
      </w:pPr>
    </w:lvl>
    <w:lvl w:ilvl="1" w:tentative="0">
      <w:start w:val="1"/>
      <w:numFmt w:val="decimalEnclosedCircle"/>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1">
    <w:nsid w:val="212F7F4D"/>
    <w:multiLevelType w:val="singleLevel"/>
    <w:tmpl w:val="212F7F4D"/>
    <w:lvl w:ilvl="0" w:tentative="0">
      <w:start w:val="1"/>
      <w:numFmt w:val="chineseCounting"/>
      <w:suff w:val="nothing"/>
      <w:lvlText w:val="（%1）"/>
      <w:lvlJc w:val="left"/>
      <w:pPr>
        <w:ind w:left="0" w:firstLine="420"/>
      </w:pPr>
      <w:rPr>
        <w:rFonts w:hint="eastAsia"/>
      </w:rPr>
    </w:lvl>
  </w:abstractNum>
  <w:abstractNum w:abstractNumId="12">
    <w:nsid w:val="30C36D78"/>
    <w:multiLevelType w:val="singleLevel"/>
    <w:tmpl w:val="30C36D78"/>
    <w:lvl w:ilvl="0" w:tentative="0">
      <w:start w:val="1"/>
      <w:numFmt w:val="decimal"/>
      <w:lvlText w:val="%1．"/>
      <w:lvlJc w:val="left"/>
      <w:pPr>
        <w:tabs>
          <w:tab w:val="left" w:pos="988"/>
        </w:tabs>
        <w:ind w:left="988" w:hanging="420"/>
      </w:pPr>
      <w:rPr>
        <w:rFonts w:hint="eastAsia"/>
      </w:rPr>
    </w:lvl>
  </w:abstractNum>
  <w:abstractNum w:abstractNumId="13">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4">
    <w:nsid w:val="44967B9A"/>
    <w:multiLevelType w:val="multilevel"/>
    <w:tmpl w:val="44967B9A"/>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45614E83"/>
    <w:multiLevelType w:val="multilevel"/>
    <w:tmpl w:val="45614E83"/>
    <w:lvl w:ilvl="0" w:tentative="0">
      <w:start w:val="1"/>
      <w:numFmt w:val="decimal"/>
      <w:suff w:val="space"/>
      <w:lvlText w:val="%1"/>
      <w:lvlJc w:val="left"/>
      <w:pPr>
        <w:ind w:left="0" w:firstLine="0"/>
      </w:pPr>
      <w:rPr>
        <w:rFonts w:hint="eastAsia"/>
      </w:rPr>
    </w:lvl>
    <w:lvl w:ilvl="1" w:tentative="0">
      <w:start w:val="1"/>
      <w:numFmt w:val="decimal"/>
      <w:pStyle w:val="75"/>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17">
    <w:nsid w:val="679751A1"/>
    <w:multiLevelType w:val="multilevel"/>
    <w:tmpl w:val="679751A1"/>
    <w:lvl w:ilvl="0" w:tentative="0">
      <w:start w:val="1"/>
      <w:numFmt w:val="decimal"/>
      <w:pStyle w:val="189"/>
      <w:lvlText w:val="%1)"/>
      <w:lvlJc w:val="left"/>
      <w:pPr>
        <w:ind w:left="620" w:hanging="420"/>
      </w:pPr>
      <w:rPr>
        <w:rFonts w:hint="eastAsia" w:ascii="宋体" w:eastAsia="宋体"/>
        <w:b w:val="0"/>
        <w:i w:val="0"/>
        <w:sz w:val="24"/>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6CF50C88"/>
    <w:multiLevelType w:val="singleLevel"/>
    <w:tmpl w:val="6CF50C88"/>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5"/>
  </w:num>
  <w:num w:numId="4">
    <w:abstractNumId w:val="15"/>
  </w:num>
  <w:num w:numId="5">
    <w:abstractNumId w:val="7"/>
  </w:num>
  <w:num w:numId="6">
    <w:abstractNumId w:val="6"/>
  </w:num>
  <w:num w:numId="7">
    <w:abstractNumId w:val="2"/>
  </w:num>
  <w:num w:numId="8">
    <w:abstractNumId w:val="8"/>
  </w:num>
  <w:num w:numId="9">
    <w:abstractNumId w:val="4"/>
  </w:num>
  <w:num w:numId="10">
    <w:abstractNumId w:val="9"/>
  </w:num>
  <w:num w:numId="11">
    <w:abstractNumId w:val="17"/>
  </w:num>
  <w:num w:numId="12">
    <w:abstractNumId w:val="18"/>
  </w:num>
  <w:num w:numId="13">
    <w:abstractNumId w:val="11"/>
  </w:num>
  <w:num w:numId="14">
    <w:abstractNumId w:val="16"/>
  </w:num>
  <w:num w:numId="15">
    <w:abstractNumId w:val="13"/>
  </w:num>
  <w:num w:numId="16">
    <w:abstractNumId w:val="10"/>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zA0NTFlYTI1ZWQ3MjJlM2RhZWRiYmMyZDZkMzEifQ=="/>
  </w:docVars>
  <w:rsids>
    <w:rsidRoot w:val="00172A27"/>
    <w:rsid w:val="00002953"/>
    <w:rsid w:val="000042F4"/>
    <w:rsid w:val="00004A2F"/>
    <w:rsid w:val="0000534F"/>
    <w:rsid w:val="0000615F"/>
    <w:rsid w:val="00006976"/>
    <w:rsid w:val="0000740F"/>
    <w:rsid w:val="00010B25"/>
    <w:rsid w:val="00014BCD"/>
    <w:rsid w:val="00022410"/>
    <w:rsid w:val="00022D58"/>
    <w:rsid w:val="0002420F"/>
    <w:rsid w:val="000276CE"/>
    <w:rsid w:val="000333D2"/>
    <w:rsid w:val="00033DD2"/>
    <w:rsid w:val="000341EB"/>
    <w:rsid w:val="00035FD4"/>
    <w:rsid w:val="00041EBC"/>
    <w:rsid w:val="000429A8"/>
    <w:rsid w:val="000544CD"/>
    <w:rsid w:val="00054B3B"/>
    <w:rsid w:val="000551A5"/>
    <w:rsid w:val="0006137E"/>
    <w:rsid w:val="000614AF"/>
    <w:rsid w:val="000649F6"/>
    <w:rsid w:val="00064ADE"/>
    <w:rsid w:val="00065DD3"/>
    <w:rsid w:val="000700A0"/>
    <w:rsid w:val="00073845"/>
    <w:rsid w:val="00074593"/>
    <w:rsid w:val="000755A2"/>
    <w:rsid w:val="0007625F"/>
    <w:rsid w:val="0008026E"/>
    <w:rsid w:val="0008106D"/>
    <w:rsid w:val="0008469A"/>
    <w:rsid w:val="00086E9E"/>
    <w:rsid w:val="00094046"/>
    <w:rsid w:val="000A061B"/>
    <w:rsid w:val="000A3404"/>
    <w:rsid w:val="000A3BEC"/>
    <w:rsid w:val="000A7AC5"/>
    <w:rsid w:val="000B0E1A"/>
    <w:rsid w:val="000B2100"/>
    <w:rsid w:val="000B5CD4"/>
    <w:rsid w:val="000C2E0B"/>
    <w:rsid w:val="000C35FE"/>
    <w:rsid w:val="000C6630"/>
    <w:rsid w:val="000C6859"/>
    <w:rsid w:val="000C75CF"/>
    <w:rsid w:val="000D1227"/>
    <w:rsid w:val="000D1D2B"/>
    <w:rsid w:val="000D2D14"/>
    <w:rsid w:val="000D5BA2"/>
    <w:rsid w:val="000E0D1E"/>
    <w:rsid w:val="000E0D2D"/>
    <w:rsid w:val="000E102F"/>
    <w:rsid w:val="000E1339"/>
    <w:rsid w:val="000E1E6C"/>
    <w:rsid w:val="000E4D65"/>
    <w:rsid w:val="000E61A4"/>
    <w:rsid w:val="000F0F68"/>
    <w:rsid w:val="000F1136"/>
    <w:rsid w:val="000F6E99"/>
    <w:rsid w:val="00103F23"/>
    <w:rsid w:val="0010612A"/>
    <w:rsid w:val="001071A3"/>
    <w:rsid w:val="001072C5"/>
    <w:rsid w:val="00111EED"/>
    <w:rsid w:val="00112003"/>
    <w:rsid w:val="0012180C"/>
    <w:rsid w:val="00130E33"/>
    <w:rsid w:val="001348CD"/>
    <w:rsid w:val="00137B61"/>
    <w:rsid w:val="00140A21"/>
    <w:rsid w:val="00141B31"/>
    <w:rsid w:val="00141CFA"/>
    <w:rsid w:val="00144ECD"/>
    <w:rsid w:val="001463B0"/>
    <w:rsid w:val="00153112"/>
    <w:rsid w:val="00156437"/>
    <w:rsid w:val="00156F38"/>
    <w:rsid w:val="0015721C"/>
    <w:rsid w:val="00164EE8"/>
    <w:rsid w:val="00165190"/>
    <w:rsid w:val="00172A27"/>
    <w:rsid w:val="00181E0E"/>
    <w:rsid w:val="001835E1"/>
    <w:rsid w:val="00185347"/>
    <w:rsid w:val="00186366"/>
    <w:rsid w:val="00187D92"/>
    <w:rsid w:val="00191934"/>
    <w:rsid w:val="001929BC"/>
    <w:rsid w:val="00193017"/>
    <w:rsid w:val="0019411A"/>
    <w:rsid w:val="00194CBF"/>
    <w:rsid w:val="00197D09"/>
    <w:rsid w:val="001A26EA"/>
    <w:rsid w:val="001A43DA"/>
    <w:rsid w:val="001A59B0"/>
    <w:rsid w:val="001B3C62"/>
    <w:rsid w:val="001B3FCE"/>
    <w:rsid w:val="001B5421"/>
    <w:rsid w:val="001B6EEB"/>
    <w:rsid w:val="001C2EB4"/>
    <w:rsid w:val="001C7654"/>
    <w:rsid w:val="001C78BD"/>
    <w:rsid w:val="001D52F9"/>
    <w:rsid w:val="001D6B91"/>
    <w:rsid w:val="001E1603"/>
    <w:rsid w:val="001E4DC2"/>
    <w:rsid w:val="001F1653"/>
    <w:rsid w:val="001F3CAC"/>
    <w:rsid w:val="002006E0"/>
    <w:rsid w:val="00201040"/>
    <w:rsid w:val="00203A16"/>
    <w:rsid w:val="00204408"/>
    <w:rsid w:val="00204755"/>
    <w:rsid w:val="00204DF9"/>
    <w:rsid w:val="00205738"/>
    <w:rsid w:val="00205A6A"/>
    <w:rsid w:val="0020618F"/>
    <w:rsid w:val="00207989"/>
    <w:rsid w:val="0021095D"/>
    <w:rsid w:val="002118BF"/>
    <w:rsid w:val="00211BE3"/>
    <w:rsid w:val="0021329B"/>
    <w:rsid w:val="002158A3"/>
    <w:rsid w:val="0022042F"/>
    <w:rsid w:val="0022080A"/>
    <w:rsid w:val="00222232"/>
    <w:rsid w:val="00223AB2"/>
    <w:rsid w:val="002246A6"/>
    <w:rsid w:val="002251D3"/>
    <w:rsid w:val="0022643C"/>
    <w:rsid w:val="00226F3E"/>
    <w:rsid w:val="00230F95"/>
    <w:rsid w:val="00231C61"/>
    <w:rsid w:val="00250159"/>
    <w:rsid w:val="00252876"/>
    <w:rsid w:val="00252CAD"/>
    <w:rsid w:val="002555EA"/>
    <w:rsid w:val="00255A7B"/>
    <w:rsid w:val="00266372"/>
    <w:rsid w:val="00270859"/>
    <w:rsid w:val="00271140"/>
    <w:rsid w:val="00273CB3"/>
    <w:rsid w:val="00273D00"/>
    <w:rsid w:val="00274C55"/>
    <w:rsid w:val="0027744C"/>
    <w:rsid w:val="00280FC9"/>
    <w:rsid w:val="00284A5C"/>
    <w:rsid w:val="00284AC5"/>
    <w:rsid w:val="00284F6D"/>
    <w:rsid w:val="00290477"/>
    <w:rsid w:val="002908FE"/>
    <w:rsid w:val="00290EA1"/>
    <w:rsid w:val="00292E6A"/>
    <w:rsid w:val="00296373"/>
    <w:rsid w:val="00296C51"/>
    <w:rsid w:val="002A1234"/>
    <w:rsid w:val="002A24A2"/>
    <w:rsid w:val="002A2AED"/>
    <w:rsid w:val="002A5C6D"/>
    <w:rsid w:val="002B0E23"/>
    <w:rsid w:val="002B2B00"/>
    <w:rsid w:val="002B316C"/>
    <w:rsid w:val="002B7187"/>
    <w:rsid w:val="002C10C8"/>
    <w:rsid w:val="002C40C3"/>
    <w:rsid w:val="002D6D27"/>
    <w:rsid w:val="002E4B5F"/>
    <w:rsid w:val="002E6749"/>
    <w:rsid w:val="002E75C6"/>
    <w:rsid w:val="002F1C5B"/>
    <w:rsid w:val="002F5566"/>
    <w:rsid w:val="002F5693"/>
    <w:rsid w:val="002F5841"/>
    <w:rsid w:val="002F70D6"/>
    <w:rsid w:val="002F7A41"/>
    <w:rsid w:val="00300B90"/>
    <w:rsid w:val="003056B6"/>
    <w:rsid w:val="00306AFA"/>
    <w:rsid w:val="0031185E"/>
    <w:rsid w:val="003146CD"/>
    <w:rsid w:val="00314726"/>
    <w:rsid w:val="00316C8E"/>
    <w:rsid w:val="003270C6"/>
    <w:rsid w:val="00334497"/>
    <w:rsid w:val="00334780"/>
    <w:rsid w:val="00342DB8"/>
    <w:rsid w:val="00344A8C"/>
    <w:rsid w:val="00344C2F"/>
    <w:rsid w:val="003458A3"/>
    <w:rsid w:val="00345CBD"/>
    <w:rsid w:val="00346D5A"/>
    <w:rsid w:val="00350089"/>
    <w:rsid w:val="0035021F"/>
    <w:rsid w:val="0035673F"/>
    <w:rsid w:val="00356790"/>
    <w:rsid w:val="00357731"/>
    <w:rsid w:val="00362BAF"/>
    <w:rsid w:val="0036771A"/>
    <w:rsid w:val="0037226B"/>
    <w:rsid w:val="00375C06"/>
    <w:rsid w:val="00376E29"/>
    <w:rsid w:val="00380682"/>
    <w:rsid w:val="0038123F"/>
    <w:rsid w:val="00381B84"/>
    <w:rsid w:val="00381D25"/>
    <w:rsid w:val="003822A4"/>
    <w:rsid w:val="00383455"/>
    <w:rsid w:val="00386587"/>
    <w:rsid w:val="0038676E"/>
    <w:rsid w:val="003872D3"/>
    <w:rsid w:val="00387B4A"/>
    <w:rsid w:val="00390E11"/>
    <w:rsid w:val="003A331B"/>
    <w:rsid w:val="003B6225"/>
    <w:rsid w:val="003B753F"/>
    <w:rsid w:val="003C0761"/>
    <w:rsid w:val="003C1908"/>
    <w:rsid w:val="003C2DBF"/>
    <w:rsid w:val="003C4D6C"/>
    <w:rsid w:val="003C519E"/>
    <w:rsid w:val="003C60C4"/>
    <w:rsid w:val="003C73DF"/>
    <w:rsid w:val="003D15D2"/>
    <w:rsid w:val="003D27F4"/>
    <w:rsid w:val="003D2F20"/>
    <w:rsid w:val="003D4347"/>
    <w:rsid w:val="003D454C"/>
    <w:rsid w:val="003D4874"/>
    <w:rsid w:val="003D4A08"/>
    <w:rsid w:val="003E04A8"/>
    <w:rsid w:val="003E39ED"/>
    <w:rsid w:val="003E40E7"/>
    <w:rsid w:val="003F1602"/>
    <w:rsid w:val="003F270F"/>
    <w:rsid w:val="003F3D0C"/>
    <w:rsid w:val="003F697E"/>
    <w:rsid w:val="00401D65"/>
    <w:rsid w:val="00403781"/>
    <w:rsid w:val="00403D49"/>
    <w:rsid w:val="00404662"/>
    <w:rsid w:val="00407D63"/>
    <w:rsid w:val="00407ECE"/>
    <w:rsid w:val="0041282D"/>
    <w:rsid w:val="00415341"/>
    <w:rsid w:val="00422B06"/>
    <w:rsid w:val="00424542"/>
    <w:rsid w:val="0042468B"/>
    <w:rsid w:val="00427844"/>
    <w:rsid w:val="004312BF"/>
    <w:rsid w:val="0043178B"/>
    <w:rsid w:val="00435EB7"/>
    <w:rsid w:val="00436D89"/>
    <w:rsid w:val="00437B9F"/>
    <w:rsid w:val="00441393"/>
    <w:rsid w:val="00442C16"/>
    <w:rsid w:val="004453F0"/>
    <w:rsid w:val="0044729D"/>
    <w:rsid w:val="0044751E"/>
    <w:rsid w:val="004507FC"/>
    <w:rsid w:val="00452951"/>
    <w:rsid w:val="004529D6"/>
    <w:rsid w:val="00453EA1"/>
    <w:rsid w:val="00455D31"/>
    <w:rsid w:val="004575DD"/>
    <w:rsid w:val="0046028E"/>
    <w:rsid w:val="004662E1"/>
    <w:rsid w:val="00470C8C"/>
    <w:rsid w:val="00473E53"/>
    <w:rsid w:val="00474CAF"/>
    <w:rsid w:val="004867EB"/>
    <w:rsid w:val="00494FEC"/>
    <w:rsid w:val="00495C1A"/>
    <w:rsid w:val="00495FE1"/>
    <w:rsid w:val="004A1C7B"/>
    <w:rsid w:val="004A2DD4"/>
    <w:rsid w:val="004A5FD9"/>
    <w:rsid w:val="004A5FE2"/>
    <w:rsid w:val="004B6422"/>
    <w:rsid w:val="004B6F9F"/>
    <w:rsid w:val="004C08C6"/>
    <w:rsid w:val="004C1A6A"/>
    <w:rsid w:val="004C5E7F"/>
    <w:rsid w:val="004C5EA7"/>
    <w:rsid w:val="004C672D"/>
    <w:rsid w:val="004C673B"/>
    <w:rsid w:val="004C6805"/>
    <w:rsid w:val="004C7957"/>
    <w:rsid w:val="004D1B18"/>
    <w:rsid w:val="004D6C63"/>
    <w:rsid w:val="004E0293"/>
    <w:rsid w:val="004E1ADB"/>
    <w:rsid w:val="004F005D"/>
    <w:rsid w:val="004F02B6"/>
    <w:rsid w:val="004F04AD"/>
    <w:rsid w:val="004F1161"/>
    <w:rsid w:val="004F5C0A"/>
    <w:rsid w:val="004F74C1"/>
    <w:rsid w:val="004F781C"/>
    <w:rsid w:val="00502C29"/>
    <w:rsid w:val="00502F2B"/>
    <w:rsid w:val="00502F6A"/>
    <w:rsid w:val="00503536"/>
    <w:rsid w:val="00511191"/>
    <w:rsid w:val="005147B1"/>
    <w:rsid w:val="005148E1"/>
    <w:rsid w:val="00516819"/>
    <w:rsid w:val="00517985"/>
    <w:rsid w:val="00517D39"/>
    <w:rsid w:val="005206C2"/>
    <w:rsid w:val="00522FF5"/>
    <w:rsid w:val="00523AA2"/>
    <w:rsid w:val="00524520"/>
    <w:rsid w:val="00524FF9"/>
    <w:rsid w:val="00525253"/>
    <w:rsid w:val="00533C9B"/>
    <w:rsid w:val="00534CB1"/>
    <w:rsid w:val="00537956"/>
    <w:rsid w:val="005427B8"/>
    <w:rsid w:val="00544455"/>
    <w:rsid w:val="00546764"/>
    <w:rsid w:val="00546F1B"/>
    <w:rsid w:val="00546F87"/>
    <w:rsid w:val="00553A09"/>
    <w:rsid w:val="00555C81"/>
    <w:rsid w:val="00557E49"/>
    <w:rsid w:val="005616D6"/>
    <w:rsid w:val="0056321D"/>
    <w:rsid w:val="005642AE"/>
    <w:rsid w:val="00564C00"/>
    <w:rsid w:val="005827A6"/>
    <w:rsid w:val="00582F42"/>
    <w:rsid w:val="005837E5"/>
    <w:rsid w:val="00585111"/>
    <w:rsid w:val="00586E87"/>
    <w:rsid w:val="00590907"/>
    <w:rsid w:val="0059472B"/>
    <w:rsid w:val="005A11F3"/>
    <w:rsid w:val="005A269C"/>
    <w:rsid w:val="005A2775"/>
    <w:rsid w:val="005A27AB"/>
    <w:rsid w:val="005A2E63"/>
    <w:rsid w:val="005B3693"/>
    <w:rsid w:val="005B5C4A"/>
    <w:rsid w:val="005B7A5B"/>
    <w:rsid w:val="005C0D1B"/>
    <w:rsid w:val="005C24DD"/>
    <w:rsid w:val="005C3D02"/>
    <w:rsid w:val="005C5B4C"/>
    <w:rsid w:val="005C5CD2"/>
    <w:rsid w:val="005C67BB"/>
    <w:rsid w:val="005D0C0B"/>
    <w:rsid w:val="005D2A0D"/>
    <w:rsid w:val="005D2AEC"/>
    <w:rsid w:val="005E2FAE"/>
    <w:rsid w:val="005E34B2"/>
    <w:rsid w:val="005F1B23"/>
    <w:rsid w:val="005F4400"/>
    <w:rsid w:val="00600885"/>
    <w:rsid w:val="006017B0"/>
    <w:rsid w:val="00602647"/>
    <w:rsid w:val="00605FD2"/>
    <w:rsid w:val="00611046"/>
    <w:rsid w:val="006132A3"/>
    <w:rsid w:val="006146B8"/>
    <w:rsid w:val="006149BC"/>
    <w:rsid w:val="006219E7"/>
    <w:rsid w:val="00625323"/>
    <w:rsid w:val="00625784"/>
    <w:rsid w:val="00626128"/>
    <w:rsid w:val="00626B69"/>
    <w:rsid w:val="00632209"/>
    <w:rsid w:val="0065204F"/>
    <w:rsid w:val="00653039"/>
    <w:rsid w:val="00656F07"/>
    <w:rsid w:val="00657145"/>
    <w:rsid w:val="006602A1"/>
    <w:rsid w:val="00661F2F"/>
    <w:rsid w:val="0066303C"/>
    <w:rsid w:val="006644DD"/>
    <w:rsid w:val="00671462"/>
    <w:rsid w:val="00671941"/>
    <w:rsid w:val="00672445"/>
    <w:rsid w:val="006749C3"/>
    <w:rsid w:val="00677005"/>
    <w:rsid w:val="00683688"/>
    <w:rsid w:val="00686778"/>
    <w:rsid w:val="00687026"/>
    <w:rsid w:val="00687EBE"/>
    <w:rsid w:val="00687F6D"/>
    <w:rsid w:val="0069714D"/>
    <w:rsid w:val="006973CF"/>
    <w:rsid w:val="006A07C0"/>
    <w:rsid w:val="006A2F70"/>
    <w:rsid w:val="006A3181"/>
    <w:rsid w:val="006A380E"/>
    <w:rsid w:val="006A72D1"/>
    <w:rsid w:val="006B4A2A"/>
    <w:rsid w:val="006B6401"/>
    <w:rsid w:val="006B6561"/>
    <w:rsid w:val="006C124A"/>
    <w:rsid w:val="006C4363"/>
    <w:rsid w:val="006C48E9"/>
    <w:rsid w:val="006D11E1"/>
    <w:rsid w:val="006D3D5B"/>
    <w:rsid w:val="006D7713"/>
    <w:rsid w:val="006E13F2"/>
    <w:rsid w:val="006E1754"/>
    <w:rsid w:val="006E1BBB"/>
    <w:rsid w:val="006E1EC8"/>
    <w:rsid w:val="006E249C"/>
    <w:rsid w:val="006E4AC3"/>
    <w:rsid w:val="006E54D4"/>
    <w:rsid w:val="006E79C9"/>
    <w:rsid w:val="006E7A75"/>
    <w:rsid w:val="006E7D68"/>
    <w:rsid w:val="006F1844"/>
    <w:rsid w:val="006F1BAF"/>
    <w:rsid w:val="006F4ABB"/>
    <w:rsid w:val="006F5D35"/>
    <w:rsid w:val="00700967"/>
    <w:rsid w:val="00702862"/>
    <w:rsid w:val="00706029"/>
    <w:rsid w:val="007062DE"/>
    <w:rsid w:val="00707FD1"/>
    <w:rsid w:val="00710703"/>
    <w:rsid w:val="007122D1"/>
    <w:rsid w:val="0071377E"/>
    <w:rsid w:val="007141C9"/>
    <w:rsid w:val="00714A70"/>
    <w:rsid w:val="00715600"/>
    <w:rsid w:val="00721E63"/>
    <w:rsid w:val="00726101"/>
    <w:rsid w:val="0073466D"/>
    <w:rsid w:val="0073552A"/>
    <w:rsid w:val="007358E9"/>
    <w:rsid w:val="007369BF"/>
    <w:rsid w:val="007376AA"/>
    <w:rsid w:val="00742F15"/>
    <w:rsid w:val="00746334"/>
    <w:rsid w:val="00752C7E"/>
    <w:rsid w:val="007558F8"/>
    <w:rsid w:val="00755FD2"/>
    <w:rsid w:val="007579C5"/>
    <w:rsid w:val="0076245B"/>
    <w:rsid w:val="00770EA6"/>
    <w:rsid w:val="00771285"/>
    <w:rsid w:val="00771D6F"/>
    <w:rsid w:val="00773DB0"/>
    <w:rsid w:val="00774E80"/>
    <w:rsid w:val="00777C51"/>
    <w:rsid w:val="00786A14"/>
    <w:rsid w:val="00787E91"/>
    <w:rsid w:val="00791F14"/>
    <w:rsid w:val="0079683D"/>
    <w:rsid w:val="00796AC8"/>
    <w:rsid w:val="007A7C87"/>
    <w:rsid w:val="007B28FF"/>
    <w:rsid w:val="007B2F05"/>
    <w:rsid w:val="007B46C2"/>
    <w:rsid w:val="007B6199"/>
    <w:rsid w:val="007B6560"/>
    <w:rsid w:val="007B7A49"/>
    <w:rsid w:val="007C31B2"/>
    <w:rsid w:val="007C34D3"/>
    <w:rsid w:val="007C3542"/>
    <w:rsid w:val="007C4928"/>
    <w:rsid w:val="007C6BB7"/>
    <w:rsid w:val="007C7366"/>
    <w:rsid w:val="007D0BEC"/>
    <w:rsid w:val="007D5004"/>
    <w:rsid w:val="007D51CF"/>
    <w:rsid w:val="007D535E"/>
    <w:rsid w:val="007D6705"/>
    <w:rsid w:val="007D6D58"/>
    <w:rsid w:val="007E0821"/>
    <w:rsid w:val="007E2CED"/>
    <w:rsid w:val="007E5450"/>
    <w:rsid w:val="007E6C53"/>
    <w:rsid w:val="007E76F5"/>
    <w:rsid w:val="007F00F4"/>
    <w:rsid w:val="007F25E1"/>
    <w:rsid w:val="007F657D"/>
    <w:rsid w:val="007F74C9"/>
    <w:rsid w:val="007F78A1"/>
    <w:rsid w:val="008008F9"/>
    <w:rsid w:val="00801D4C"/>
    <w:rsid w:val="00804BFA"/>
    <w:rsid w:val="00807A5D"/>
    <w:rsid w:val="00810285"/>
    <w:rsid w:val="0081155B"/>
    <w:rsid w:val="00813C1F"/>
    <w:rsid w:val="00815195"/>
    <w:rsid w:val="00815964"/>
    <w:rsid w:val="00816D2E"/>
    <w:rsid w:val="00817926"/>
    <w:rsid w:val="00820EB2"/>
    <w:rsid w:val="00821B7A"/>
    <w:rsid w:val="00826324"/>
    <w:rsid w:val="00832CAE"/>
    <w:rsid w:val="00834EE2"/>
    <w:rsid w:val="008354C8"/>
    <w:rsid w:val="008355AD"/>
    <w:rsid w:val="00835974"/>
    <w:rsid w:val="0083733B"/>
    <w:rsid w:val="008422A3"/>
    <w:rsid w:val="00843FB5"/>
    <w:rsid w:val="008443CE"/>
    <w:rsid w:val="008444A9"/>
    <w:rsid w:val="00845565"/>
    <w:rsid w:val="00847556"/>
    <w:rsid w:val="00852B68"/>
    <w:rsid w:val="00853703"/>
    <w:rsid w:val="00855502"/>
    <w:rsid w:val="00857164"/>
    <w:rsid w:val="00857C87"/>
    <w:rsid w:val="008646CB"/>
    <w:rsid w:val="00867265"/>
    <w:rsid w:val="00870034"/>
    <w:rsid w:val="0087507D"/>
    <w:rsid w:val="00876433"/>
    <w:rsid w:val="00877660"/>
    <w:rsid w:val="0088015D"/>
    <w:rsid w:val="00881A22"/>
    <w:rsid w:val="00885542"/>
    <w:rsid w:val="008870D2"/>
    <w:rsid w:val="008904DE"/>
    <w:rsid w:val="00891AE7"/>
    <w:rsid w:val="00892CEB"/>
    <w:rsid w:val="008A057E"/>
    <w:rsid w:val="008A22A0"/>
    <w:rsid w:val="008C0F22"/>
    <w:rsid w:val="008C196C"/>
    <w:rsid w:val="008C381A"/>
    <w:rsid w:val="008C4508"/>
    <w:rsid w:val="008C611E"/>
    <w:rsid w:val="008D05C6"/>
    <w:rsid w:val="008D576A"/>
    <w:rsid w:val="008F1D72"/>
    <w:rsid w:val="008F6DAF"/>
    <w:rsid w:val="008F7C10"/>
    <w:rsid w:val="009040E4"/>
    <w:rsid w:val="009045B0"/>
    <w:rsid w:val="00907F1E"/>
    <w:rsid w:val="00911F9B"/>
    <w:rsid w:val="009153C7"/>
    <w:rsid w:val="00916068"/>
    <w:rsid w:val="00916307"/>
    <w:rsid w:val="00921384"/>
    <w:rsid w:val="0092180F"/>
    <w:rsid w:val="0092457C"/>
    <w:rsid w:val="009254FB"/>
    <w:rsid w:val="00926722"/>
    <w:rsid w:val="0093307C"/>
    <w:rsid w:val="0093721E"/>
    <w:rsid w:val="00937691"/>
    <w:rsid w:val="009409FC"/>
    <w:rsid w:val="00943528"/>
    <w:rsid w:val="009439B6"/>
    <w:rsid w:val="009446E8"/>
    <w:rsid w:val="00944E15"/>
    <w:rsid w:val="00945B4D"/>
    <w:rsid w:val="00952C2C"/>
    <w:rsid w:val="009552B6"/>
    <w:rsid w:val="00956EC2"/>
    <w:rsid w:val="0096341C"/>
    <w:rsid w:val="0096492E"/>
    <w:rsid w:val="00965720"/>
    <w:rsid w:val="00966D50"/>
    <w:rsid w:val="009731CD"/>
    <w:rsid w:val="009753AF"/>
    <w:rsid w:val="00975A62"/>
    <w:rsid w:val="0097672F"/>
    <w:rsid w:val="00976B00"/>
    <w:rsid w:val="00981485"/>
    <w:rsid w:val="00983F42"/>
    <w:rsid w:val="00985987"/>
    <w:rsid w:val="00985A8B"/>
    <w:rsid w:val="0098780E"/>
    <w:rsid w:val="00991A3F"/>
    <w:rsid w:val="0099207F"/>
    <w:rsid w:val="00993B62"/>
    <w:rsid w:val="00994C61"/>
    <w:rsid w:val="009A045C"/>
    <w:rsid w:val="009A1237"/>
    <w:rsid w:val="009A3F2E"/>
    <w:rsid w:val="009A6C4B"/>
    <w:rsid w:val="009A7F0B"/>
    <w:rsid w:val="009B1284"/>
    <w:rsid w:val="009B14FC"/>
    <w:rsid w:val="009B2270"/>
    <w:rsid w:val="009B2A43"/>
    <w:rsid w:val="009B31DF"/>
    <w:rsid w:val="009B426C"/>
    <w:rsid w:val="009B4C1C"/>
    <w:rsid w:val="009C0F9E"/>
    <w:rsid w:val="009C169B"/>
    <w:rsid w:val="009C278D"/>
    <w:rsid w:val="009C631C"/>
    <w:rsid w:val="009C6479"/>
    <w:rsid w:val="009D11CF"/>
    <w:rsid w:val="009D24FC"/>
    <w:rsid w:val="009D3E72"/>
    <w:rsid w:val="009E308F"/>
    <w:rsid w:val="009E4F35"/>
    <w:rsid w:val="009E636E"/>
    <w:rsid w:val="009E71A1"/>
    <w:rsid w:val="009F7827"/>
    <w:rsid w:val="009F7F57"/>
    <w:rsid w:val="00A00232"/>
    <w:rsid w:val="00A0124D"/>
    <w:rsid w:val="00A039B4"/>
    <w:rsid w:val="00A04DF1"/>
    <w:rsid w:val="00A06443"/>
    <w:rsid w:val="00A10AEC"/>
    <w:rsid w:val="00A1265B"/>
    <w:rsid w:val="00A12DAD"/>
    <w:rsid w:val="00A13C27"/>
    <w:rsid w:val="00A14DBD"/>
    <w:rsid w:val="00A16C9F"/>
    <w:rsid w:val="00A17AEE"/>
    <w:rsid w:val="00A25BAD"/>
    <w:rsid w:val="00A305C0"/>
    <w:rsid w:val="00A30B4A"/>
    <w:rsid w:val="00A310EE"/>
    <w:rsid w:val="00A324BB"/>
    <w:rsid w:val="00A4002A"/>
    <w:rsid w:val="00A42115"/>
    <w:rsid w:val="00A42C87"/>
    <w:rsid w:val="00A452D6"/>
    <w:rsid w:val="00A52BC3"/>
    <w:rsid w:val="00A56A3E"/>
    <w:rsid w:val="00A62EF6"/>
    <w:rsid w:val="00A642A5"/>
    <w:rsid w:val="00A7067E"/>
    <w:rsid w:val="00A70B9E"/>
    <w:rsid w:val="00A727AB"/>
    <w:rsid w:val="00A77E1B"/>
    <w:rsid w:val="00A8069B"/>
    <w:rsid w:val="00A818DC"/>
    <w:rsid w:val="00A827DA"/>
    <w:rsid w:val="00A90061"/>
    <w:rsid w:val="00AA45B2"/>
    <w:rsid w:val="00AA4A73"/>
    <w:rsid w:val="00AA4F9A"/>
    <w:rsid w:val="00AA62D7"/>
    <w:rsid w:val="00AB456A"/>
    <w:rsid w:val="00AB4A7D"/>
    <w:rsid w:val="00AB5F72"/>
    <w:rsid w:val="00AB69EF"/>
    <w:rsid w:val="00AC1AB0"/>
    <w:rsid w:val="00AC4011"/>
    <w:rsid w:val="00AD1D4F"/>
    <w:rsid w:val="00AD4CF0"/>
    <w:rsid w:val="00AE0872"/>
    <w:rsid w:val="00AE13EE"/>
    <w:rsid w:val="00AF0F47"/>
    <w:rsid w:val="00B13067"/>
    <w:rsid w:val="00B1322C"/>
    <w:rsid w:val="00B15DC3"/>
    <w:rsid w:val="00B260F1"/>
    <w:rsid w:val="00B27F16"/>
    <w:rsid w:val="00B33AC7"/>
    <w:rsid w:val="00B36D79"/>
    <w:rsid w:val="00B45D77"/>
    <w:rsid w:val="00B46469"/>
    <w:rsid w:val="00B526E0"/>
    <w:rsid w:val="00B53F51"/>
    <w:rsid w:val="00B53F9F"/>
    <w:rsid w:val="00B5421F"/>
    <w:rsid w:val="00B54632"/>
    <w:rsid w:val="00B57E29"/>
    <w:rsid w:val="00B64BA0"/>
    <w:rsid w:val="00B64F40"/>
    <w:rsid w:val="00B66DFA"/>
    <w:rsid w:val="00B66F46"/>
    <w:rsid w:val="00B67791"/>
    <w:rsid w:val="00B83F7D"/>
    <w:rsid w:val="00B84D11"/>
    <w:rsid w:val="00B85716"/>
    <w:rsid w:val="00B90119"/>
    <w:rsid w:val="00B93472"/>
    <w:rsid w:val="00B934C1"/>
    <w:rsid w:val="00B961D3"/>
    <w:rsid w:val="00B96C3F"/>
    <w:rsid w:val="00BA38F9"/>
    <w:rsid w:val="00BA7011"/>
    <w:rsid w:val="00BB721B"/>
    <w:rsid w:val="00BB7F28"/>
    <w:rsid w:val="00BC20A3"/>
    <w:rsid w:val="00BC2624"/>
    <w:rsid w:val="00BC3228"/>
    <w:rsid w:val="00BC3B45"/>
    <w:rsid w:val="00BC3E92"/>
    <w:rsid w:val="00BC480C"/>
    <w:rsid w:val="00BC4947"/>
    <w:rsid w:val="00BC50A1"/>
    <w:rsid w:val="00BD07C1"/>
    <w:rsid w:val="00BD2742"/>
    <w:rsid w:val="00BD305C"/>
    <w:rsid w:val="00BD6B64"/>
    <w:rsid w:val="00BE2D21"/>
    <w:rsid w:val="00BE6348"/>
    <w:rsid w:val="00BE6A7C"/>
    <w:rsid w:val="00BE6DA9"/>
    <w:rsid w:val="00BF110B"/>
    <w:rsid w:val="00BF149C"/>
    <w:rsid w:val="00BF1600"/>
    <w:rsid w:val="00BF3B21"/>
    <w:rsid w:val="00BF46E1"/>
    <w:rsid w:val="00BF5C83"/>
    <w:rsid w:val="00BF6039"/>
    <w:rsid w:val="00C007D7"/>
    <w:rsid w:val="00C04882"/>
    <w:rsid w:val="00C15C4F"/>
    <w:rsid w:val="00C20315"/>
    <w:rsid w:val="00C20F13"/>
    <w:rsid w:val="00C23352"/>
    <w:rsid w:val="00C315A1"/>
    <w:rsid w:val="00C31B6D"/>
    <w:rsid w:val="00C32349"/>
    <w:rsid w:val="00C328D7"/>
    <w:rsid w:val="00C348FF"/>
    <w:rsid w:val="00C34C54"/>
    <w:rsid w:val="00C35907"/>
    <w:rsid w:val="00C42A9D"/>
    <w:rsid w:val="00C479AB"/>
    <w:rsid w:val="00C5167A"/>
    <w:rsid w:val="00C536F7"/>
    <w:rsid w:val="00C55314"/>
    <w:rsid w:val="00C56297"/>
    <w:rsid w:val="00C6749D"/>
    <w:rsid w:val="00C7155F"/>
    <w:rsid w:val="00C719E6"/>
    <w:rsid w:val="00C7391C"/>
    <w:rsid w:val="00C75FC8"/>
    <w:rsid w:val="00C76326"/>
    <w:rsid w:val="00C76647"/>
    <w:rsid w:val="00C801FC"/>
    <w:rsid w:val="00C80908"/>
    <w:rsid w:val="00C85875"/>
    <w:rsid w:val="00C87AA5"/>
    <w:rsid w:val="00C945A6"/>
    <w:rsid w:val="00C9497E"/>
    <w:rsid w:val="00C97C0D"/>
    <w:rsid w:val="00CA1578"/>
    <w:rsid w:val="00CA2DF2"/>
    <w:rsid w:val="00CA328C"/>
    <w:rsid w:val="00CA4657"/>
    <w:rsid w:val="00CA5A3B"/>
    <w:rsid w:val="00CA6892"/>
    <w:rsid w:val="00CA7965"/>
    <w:rsid w:val="00CA7B72"/>
    <w:rsid w:val="00CB088C"/>
    <w:rsid w:val="00CB7267"/>
    <w:rsid w:val="00CB7449"/>
    <w:rsid w:val="00CC09FA"/>
    <w:rsid w:val="00CC3004"/>
    <w:rsid w:val="00CC317D"/>
    <w:rsid w:val="00CC36B1"/>
    <w:rsid w:val="00CC476A"/>
    <w:rsid w:val="00CC4EA6"/>
    <w:rsid w:val="00CC51E9"/>
    <w:rsid w:val="00CC6555"/>
    <w:rsid w:val="00CC6BB9"/>
    <w:rsid w:val="00CC7F1A"/>
    <w:rsid w:val="00CC7F26"/>
    <w:rsid w:val="00CD0F99"/>
    <w:rsid w:val="00CD50DA"/>
    <w:rsid w:val="00CD59AF"/>
    <w:rsid w:val="00CE0C69"/>
    <w:rsid w:val="00CE3B1E"/>
    <w:rsid w:val="00CE5D62"/>
    <w:rsid w:val="00CE77C2"/>
    <w:rsid w:val="00CE7FC4"/>
    <w:rsid w:val="00CF1049"/>
    <w:rsid w:val="00CF190D"/>
    <w:rsid w:val="00CF3FFB"/>
    <w:rsid w:val="00CF57A2"/>
    <w:rsid w:val="00CF70BC"/>
    <w:rsid w:val="00D051EF"/>
    <w:rsid w:val="00D17218"/>
    <w:rsid w:val="00D17A2A"/>
    <w:rsid w:val="00D24958"/>
    <w:rsid w:val="00D24F16"/>
    <w:rsid w:val="00D251AC"/>
    <w:rsid w:val="00D30E05"/>
    <w:rsid w:val="00D30E7F"/>
    <w:rsid w:val="00D32930"/>
    <w:rsid w:val="00D34EC1"/>
    <w:rsid w:val="00D3723E"/>
    <w:rsid w:val="00D378B7"/>
    <w:rsid w:val="00D40C06"/>
    <w:rsid w:val="00D42BC1"/>
    <w:rsid w:val="00D47068"/>
    <w:rsid w:val="00D5162A"/>
    <w:rsid w:val="00D52D23"/>
    <w:rsid w:val="00D53C43"/>
    <w:rsid w:val="00D543AC"/>
    <w:rsid w:val="00D548BB"/>
    <w:rsid w:val="00D55BD0"/>
    <w:rsid w:val="00D5611C"/>
    <w:rsid w:val="00D56EC1"/>
    <w:rsid w:val="00D60FDB"/>
    <w:rsid w:val="00D6115F"/>
    <w:rsid w:val="00D62287"/>
    <w:rsid w:val="00D63D9F"/>
    <w:rsid w:val="00D64D38"/>
    <w:rsid w:val="00D70684"/>
    <w:rsid w:val="00D7096A"/>
    <w:rsid w:val="00D70A49"/>
    <w:rsid w:val="00D72091"/>
    <w:rsid w:val="00D74D56"/>
    <w:rsid w:val="00D75C82"/>
    <w:rsid w:val="00D82B91"/>
    <w:rsid w:val="00D85ABF"/>
    <w:rsid w:val="00D85E9A"/>
    <w:rsid w:val="00D927BE"/>
    <w:rsid w:val="00D93BC0"/>
    <w:rsid w:val="00D95C1A"/>
    <w:rsid w:val="00DA0558"/>
    <w:rsid w:val="00DA0FA8"/>
    <w:rsid w:val="00DA2F97"/>
    <w:rsid w:val="00DA4931"/>
    <w:rsid w:val="00DA7F45"/>
    <w:rsid w:val="00DB24F5"/>
    <w:rsid w:val="00DB4330"/>
    <w:rsid w:val="00DB4448"/>
    <w:rsid w:val="00DC0DF5"/>
    <w:rsid w:val="00DC1038"/>
    <w:rsid w:val="00DC349C"/>
    <w:rsid w:val="00DC64A1"/>
    <w:rsid w:val="00DC6633"/>
    <w:rsid w:val="00DC68C0"/>
    <w:rsid w:val="00DC765C"/>
    <w:rsid w:val="00DD0FDF"/>
    <w:rsid w:val="00DD3D8D"/>
    <w:rsid w:val="00DD6FDB"/>
    <w:rsid w:val="00DE3730"/>
    <w:rsid w:val="00DE5E2C"/>
    <w:rsid w:val="00DE64EE"/>
    <w:rsid w:val="00DF0375"/>
    <w:rsid w:val="00DF0F91"/>
    <w:rsid w:val="00DF138D"/>
    <w:rsid w:val="00DF19B1"/>
    <w:rsid w:val="00DF5363"/>
    <w:rsid w:val="00DF6268"/>
    <w:rsid w:val="00E02565"/>
    <w:rsid w:val="00E04E66"/>
    <w:rsid w:val="00E06EA6"/>
    <w:rsid w:val="00E07125"/>
    <w:rsid w:val="00E11318"/>
    <w:rsid w:val="00E13883"/>
    <w:rsid w:val="00E143A6"/>
    <w:rsid w:val="00E16990"/>
    <w:rsid w:val="00E23432"/>
    <w:rsid w:val="00E235D4"/>
    <w:rsid w:val="00E25A19"/>
    <w:rsid w:val="00E304FB"/>
    <w:rsid w:val="00E31087"/>
    <w:rsid w:val="00E3611A"/>
    <w:rsid w:val="00E36183"/>
    <w:rsid w:val="00E40F04"/>
    <w:rsid w:val="00E442F7"/>
    <w:rsid w:val="00E57076"/>
    <w:rsid w:val="00E57AFD"/>
    <w:rsid w:val="00E60664"/>
    <w:rsid w:val="00E63CB7"/>
    <w:rsid w:val="00E65500"/>
    <w:rsid w:val="00E65C66"/>
    <w:rsid w:val="00E674E9"/>
    <w:rsid w:val="00E725F6"/>
    <w:rsid w:val="00E75D0F"/>
    <w:rsid w:val="00E772D8"/>
    <w:rsid w:val="00E81B04"/>
    <w:rsid w:val="00E84A4D"/>
    <w:rsid w:val="00E912CA"/>
    <w:rsid w:val="00E92BFE"/>
    <w:rsid w:val="00E93146"/>
    <w:rsid w:val="00E94F03"/>
    <w:rsid w:val="00E956E3"/>
    <w:rsid w:val="00EA3C3E"/>
    <w:rsid w:val="00EA3F77"/>
    <w:rsid w:val="00EA46E4"/>
    <w:rsid w:val="00EA4CF5"/>
    <w:rsid w:val="00EA790B"/>
    <w:rsid w:val="00EB04BA"/>
    <w:rsid w:val="00EB0E83"/>
    <w:rsid w:val="00EB0F02"/>
    <w:rsid w:val="00EB25AF"/>
    <w:rsid w:val="00EB4414"/>
    <w:rsid w:val="00EB45C2"/>
    <w:rsid w:val="00EC24A5"/>
    <w:rsid w:val="00EC6E5D"/>
    <w:rsid w:val="00ED6057"/>
    <w:rsid w:val="00EE1110"/>
    <w:rsid w:val="00EE2EEE"/>
    <w:rsid w:val="00EF113E"/>
    <w:rsid w:val="00EF3483"/>
    <w:rsid w:val="00EF3F7D"/>
    <w:rsid w:val="00F00415"/>
    <w:rsid w:val="00F041E9"/>
    <w:rsid w:val="00F06CBB"/>
    <w:rsid w:val="00F1180F"/>
    <w:rsid w:val="00F13C15"/>
    <w:rsid w:val="00F157D0"/>
    <w:rsid w:val="00F16132"/>
    <w:rsid w:val="00F24F9B"/>
    <w:rsid w:val="00F25555"/>
    <w:rsid w:val="00F25F99"/>
    <w:rsid w:val="00F33DD3"/>
    <w:rsid w:val="00F34F7D"/>
    <w:rsid w:val="00F35851"/>
    <w:rsid w:val="00F3728A"/>
    <w:rsid w:val="00F37ED7"/>
    <w:rsid w:val="00F45EC0"/>
    <w:rsid w:val="00F45F2F"/>
    <w:rsid w:val="00F54B8F"/>
    <w:rsid w:val="00F55B23"/>
    <w:rsid w:val="00F6037D"/>
    <w:rsid w:val="00F616BA"/>
    <w:rsid w:val="00F64CAD"/>
    <w:rsid w:val="00F707E7"/>
    <w:rsid w:val="00F77135"/>
    <w:rsid w:val="00F7762B"/>
    <w:rsid w:val="00F82540"/>
    <w:rsid w:val="00F83896"/>
    <w:rsid w:val="00F83EB3"/>
    <w:rsid w:val="00F90412"/>
    <w:rsid w:val="00F90459"/>
    <w:rsid w:val="00F907D3"/>
    <w:rsid w:val="00F936B9"/>
    <w:rsid w:val="00F93CA0"/>
    <w:rsid w:val="00F93E45"/>
    <w:rsid w:val="00F9669F"/>
    <w:rsid w:val="00F9705F"/>
    <w:rsid w:val="00FA1CF9"/>
    <w:rsid w:val="00FA4088"/>
    <w:rsid w:val="00FA7A0A"/>
    <w:rsid w:val="00FB1401"/>
    <w:rsid w:val="00FB299B"/>
    <w:rsid w:val="00FB493A"/>
    <w:rsid w:val="00FC0C35"/>
    <w:rsid w:val="00FC1B2D"/>
    <w:rsid w:val="00FC2445"/>
    <w:rsid w:val="00FC29BD"/>
    <w:rsid w:val="00FC2B19"/>
    <w:rsid w:val="00FD074C"/>
    <w:rsid w:val="00FD23F7"/>
    <w:rsid w:val="00FD3164"/>
    <w:rsid w:val="00FD3932"/>
    <w:rsid w:val="00FD7E62"/>
    <w:rsid w:val="00FE143E"/>
    <w:rsid w:val="00FE2183"/>
    <w:rsid w:val="00FE379C"/>
    <w:rsid w:val="00FE54D7"/>
    <w:rsid w:val="00FE575F"/>
    <w:rsid w:val="00FE5D78"/>
    <w:rsid w:val="00FF00B6"/>
    <w:rsid w:val="00FF3B8B"/>
    <w:rsid w:val="00FF5320"/>
    <w:rsid w:val="010C28BE"/>
    <w:rsid w:val="01170C55"/>
    <w:rsid w:val="017601A4"/>
    <w:rsid w:val="01AE3ED5"/>
    <w:rsid w:val="01B35B06"/>
    <w:rsid w:val="01F23391"/>
    <w:rsid w:val="01F56ABD"/>
    <w:rsid w:val="01FA00E0"/>
    <w:rsid w:val="020B4078"/>
    <w:rsid w:val="02205789"/>
    <w:rsid w:val="02323E6B"/>
    <w:rsid w:val="023F33BA"/>
    <w:rsid w:val="026023DE"/>
    <w:rsid w:val="026C349C"/>
    <w:rsid w:val="0271408C"/>
    <w:rsid w:val="027524DB"/>
    <w:rsid w:val="02D1729F"/>
    <w:rsid w:val="02D91048"/>
    <w:rsid w:val="030D2C89"/>
    <w:rsid w:val="030E6815"/>
    <w:rsid w:val="03247034"/>
    <w:rsid w:val="034C2E7C"/>
    <w:rsid w:val="038C5555"/>
    <w:rsid w:val="039D5020"/>
    <w:rsid w:val="03B237C4"/>
    <w:rsid w:val="03CB3E65"/>
    <w:rsid w:val="03CC07D1"/>
    <w:rsid w:val="03D070FE"/>
    <w:rsid w:val="03EE1C5B"/>
    <w:rsid w:val="03F852BF"/>
    <w:rsid w:val="03F87881"/>
    <w:rsid w:val="04087155"/>
    <w:rsid w:val="04511D71"/>
    <w:rsid w:val="045F327B"/>
    <w:rsid w:val="04867DCC"/>
    <w:rsid w:val="049D505C"/>
    <w:rsid w:val="04D76BD0"/>
    <w:rsid w:val="05286852"/>
    <w:rsid w:val="053412DA"/>
    <w:rsid w:val="05725222"/>
    <w:rsid w:val="059766E0"/>
    <w:rsid w:val="05A47B07"/>
    <w:rsid w:val="05F82108"/>
    <w:rsid w:val="06140A26"/>
    <w:rsid w:val="0653794B"/>
    <w:rsid w:val="06554953"/>
    <w:rsid w:val="06DE1C94"/>
    <w:rsid w:val="07091073"/>
    <w:rsid w:val="073029FA"/>
    <w:rsid w:val="075D236B"/>
    <w:rsid w:val="07623D60"/>
    <w:rsid w:val="07637D18"/>
    <w:rsid w:val="07671CAA"/>
    <w:rsid w:val="07947977"/>
    <w:rsid w:val="079C627A"/>
    <w:rsid w:val="07A21CAD"/>
    <w:rsid w:val="07A557C5"/>
    <w:rsid w:val="07DA2FE8"/>
    <w:rsid w:val="09470FCA"/>
    <w:rsid w:val="096A78E3"/>
    <w:rsid w:val="097466BC"/>
    <w:rsid w:val="097F0FCB"/>
    <w:rsid w:val="0A184AAD"/>
    <w:rsid w:val="0A384706"/>
    <w:rsid w:val="0A964841"/>
    <w:rsid w:val="0AA5385E"/>
    <w:rsid w:val="0ABE11C2"/>
    <w:rsid w:val="0AE3648C"/>
    <w:rsid w:val="0B0F6378"/>
    <w:rsid w:val="0B10768B"/>
    <w:rsid w:val="0B5A03D1"/>
    <w:rsid w:val="0B6B03CA"/>
    <w:rsid w:val="0B7E0A07"/>
    <w:rsid w:val="0B903967"/>
    <w:rsid w:val="0BB83CCC"/>
    <w:rsid w:val="0BCF4655"/>
    <w:rsid w:val="0C284C6D"/>
    <w:rsid w:val="0C2B2E36"/>
    <w:rsid w:val="0C417201"/>
    <w:rsid w:val="0C661D1E"/>
    <w:rsid w:val="0C861426"/>
    <w:rsid w:val="0CBF12D6"/>
    <w:rsid w:val="0CE260E6"/>
    <w:rsid w:val="0D2A5558"/>
    <w:rsid w:val="0D2D48E0"/>
    <w:rsid w:val="0D675F79"/>
    <w:rsid w:val="0D8E2B8F"/>
    <w:rsid w:val="0DA41AC3"/>
    <w:rsid w:val="0E120B50"/>
    <w:rsid w:val="0E4A6270"/>
    <w:rsid w:val="0E6C6B29"/>
    <w:rsid w:val="0E807E87"/>
    <w:rsid w:val="0E8964CE"/>
    <w:rsid w:val="0EAA1DC2"/>
    <w:rsid w:val="0EB01B52"/>
    <w:rsid w:val="0EB23F8D"/>
    <w:rsid w:val="0EB50A0C"/>
    <w:rsid w:val="0EB844C2"/>
    <w:rsid w:val="0EB96B5E"/>
    <w:rsid w:val="0F0F4BD0"/>
    <w:rsid w:val="0F146608"/>
    <w:rsid w:val="0F6E524F"/>
    <w:rsid w:val="0F9F0E6C"/>
    <w:rsid w:val="0FBD4BAD"/>
    <w:rsid w:val="10325CC7"/>
    <w:rsid w:val="1073370D"/>
    <w:rsid w:val="107514A3"/>
    <w:rsid w:val="107F26CE"/>
    <w:rsid w:val="10A40D17"/>
    <w:rsid w:val="10A60AE2"/>
    <w:rsid w:val="10A96974"/>
    <w:rsid w:val="10B97E99"/>
    <w:rsid w:val="10DA721B"/>
    <w:rsid w:val="10F84E8C"/>
    <w:rsid w:val="110F636F"/>
    <w:rsid w:val="114C164A"/>
    <w:rsid w:val="115560B6"/>
    <w:rsid w:val="115A6317"/>
    <w:rsid w:val="11EE4A46"/>
    <w:rsid w:val="122B24ED"/>
    <w:rsid w:val="122F536A"/>
    <w:rsid w:val="12AB206A"/>
    <w:rsid w:val="12AE0C7B"/>
    <w:rsid w:val="12CD283B"/>
    <w:rsid w:val="12DA3E0B"/>
    <w:rsid w:val="13251813"/>
    <w:rsid w:val="134D646F"/>
    <w:rsid w:val="13616D5E"/>
    <w:rsid w:val="138240D6"/>
    <w:rsid w:val="14075084"/>
    <w:rsid w:val="14087005"/>
    <w:rsid w:val="141A098E"/>
    <w:rsid w:val="14360BBE"/>
    <w:rsid w:val="146B57CE"/>
    <w:rsid w:val="14AB4DD7"/>
    <w:rsid w:val="14CC25BB"/>
    <w:rsid w:val="14F04A51"/>
    <w:rsid w:val="14F7153F"/>
    <w:rsid w:val="153B1F9E"/>
    <w:rsid w:val="156359C9"/>
    <w:rsid w:val="15CD1B01"/>
    <w:rsid w:val="15D17547"/>
    <w:rsid w:val="15D46089"/>
    <w:rsid w:val="16065F2C"/>
    <w:rsid w:val="162946F2"/>
    <w:rsid w:val="1633727D"/>
    <w:rsid w:val="164F2D8F"/>
    <w:rsid w:val="167655EB"/>
    <w:rsid w:val="167D3FA5"/>
    <w:rsid w:val="168D0B97"/>
    <w:rsid w:val="16C3025B"/>
    <w:rsid w:val="171D7C8E"/>
    <w:rsid w:val="173555C1"/>
    <w:rsid w:val="17437B2F"/>
    <w:rsid w:val="177F4C1C"/>
    <w:rsid w:val="17885875"/>
    <w:rsid w:val="178E7A6B"/>
    <w:rsid w:val="17B62B1E"/>
    <w:rsid w:val="17BC400D"/>
    <w:rsid w:val="17C20BA8"/>
    <w:rsid w:val="17E2688C"/>
    <w:rsid w:val="17FE308E"/>
    <w:rsid w:val="1846042F"/>
    <w:rsid w:val="18502177"/>
    <w:rsid w:val="1883756A"/>
    <w:rsid w:val="18982587"/>
    <w:rsid w:val="18CC47B4"/>
    <w:rsid w:val="18D0103D"/>
    <w:rsid w:val="18E07CDC"/>
    <w:rsid w:val="18FE30E1"/>
    <w:rsid w:val="193F2567"/>
    <w:rsid w:val="196825B4"/>
    <w:rsid w:val="19687E61"/>
    <w:rsid w:val="197269AC"/>
    <w:rsid w:val="19874769"/>
    <w:rsid w:val="19B023E4"/>
    <w:rsid w:val="19CA79DA"/>
    <w:rsid w:val="19E93417"/>
    <w:rsid w:val="19EE3FDD"/>
    <w:rsid w:val="1A2E01FD"/>
    <w:rsid w:val="1A3E1509"/>
    <w:rsid w:val="1A4B4EA5"/>
    <w:rsid w:val="1A505F26"/>
    <w:rsid w:val="1A5168E8"/>
    <w:rsid w:val="1A5B175B"/>
    <w:rsid w:val="1A5E7272"/>
    <w:rsid w:val="1A916771"/>
    <w:rsid w:val="1ACC1AE4"/>
    <w:rsid w:val="1ACF273E"/>
    <w:rsid w:val="1AF00922"/>
    <w:rsid w:val="1B0A436F"/>
    <w:rsid w:val="1B4B2814"/>
    <w:rsid w:val="1B77006B"/>
    <w:rsid w:val="1B7E6DC4"/>
    <w:rsid w:val="1BB46421"/>
    <w:rsid w:val="1BE11D98"/>
    <w:rsid w:val="1BEC4F81"/>
    <w:rsid w:val="1C0E6E61"/>
    <w:rsid w:val="1C9D39FB"/>
    <w:rsid w:val="1C9E2118"/>
    <w:rsid w:val="1CA76BA3"/>
    <w:rsid w:val="1CA83B86"/>
    <w:rsid w:val="1CF30FAD"/>
    <w:rsid w:val="1CFC2057"/>
    <w:rsid w:val="1DB71009"/>
    <w:rsid w:val="1DCE0CCB"/>
    <w:rsid w:val="1DF01722"/>
    <w:rsid w:val="1E01603B"/>
    <w:rsid w:val="1E1F54E8"/>
    <w:rsid w:val="1E7B6BCD"/>
    <w:rsid w:val="1EE230A7"/>
    <w:rsid w:val="1EED4FB8"/>
    <w:rsid w:val="1F3069EC"/>
    <w:rsid w:val="1F89053A"/>
    <w:rsid w:val="1FF4487A"/>
    <w:rsid w:val="1FFD21A9"/>
    <w:rsid w:val="200872DC"/>
    <w:rsid w:val="20336595"/>
    <w:rsid w:val="20AE7A17"/>
    <w:rsid w:val="20FC3B53"/>
    <w:rsid w:val="20FF4A1A"/>
    <w:rsid w:val="211F6172"/>
    <w:rsid w:val="212C227D"/>
    <w:rsid w:val="215B0957"/>
    <w:rsid w:val="21680558"/>
    <w:rsid w:val="21722E36"/>
    <w:rsid w:val="218C3736"/>
    <w:rsid w:val="21CA7128"/>
    <w:rsid w:val="21CC4BBA"/>
    <w:rsid w:val="21D40394"/>
    <w:rsid w:val="22473415"/>
    <w:rsid w:val="22F6039B"/>
    <w:rsid w:val="2317735D"/>
    <w:rsid w:val="23365B91"/>
    <w:rsid w:val="239930A3"/>
    <w:rsid w:val="23C41CFD"/>
    <w:rsid w:val="23EE6BF3"/>
    <w:rsid w:val="24211011"/>
    <w:rsid w:val="242D6663"/>
    <w:rsid w:val="24665DFA"/>
    <w:rsid w:val="24B54DE8"/>
    <w:rsid w:val="24D758CB"/>
    <w:rsid w:val="250812B1"/>
    <w:rsid w:val="250D0605"/>
    <w:rsid w:val="25183CBA"/>
    <w:rsid w:val="254A74B6"/>
    <w:rsid w:val="25612B60"/>
    <w:rsid w:val="258040A9"/>
    <w:rsid w:val="258700AC"/>
    <w:rsid w:val="258C7D14"/>
    <w:rsid w:val="259B18EB"/>
    <w:rsid w:val="26234614"/>
    <w:rsid w:val="263A2FF2"/>
    <w:rsid w:val="26587C89"/>
    <w:rsid w:val="265A1C9B"/>
    <w:rsid w:val="266C3231"/>
    <w:rsid w:val="2689230F"/>
    <w:rsid w:val="26B32472"/>
    <w:rsid w:val="26C8755A"/>
    <w:rsid w:val="26F726A5"/>
    <w:rsid w:val="26F745B0"/>
    <w:rsid w:val="271A1883"/>
    <w:rsid w:val="27C56BB7"/>
    <w:rsid w:val="27CA730C"/>
    <w:rsid w:val="283020DD"/>
    <w:rsid w:val="28445B66"/>
    <w:rsid w:val="28647DD7"/>
    <w:rsid w:val="287C2785"/>
    <w:rsid w:val="288412BF"/>
    <w:rsid w:val="289F7437"/>
    <w:rsid w:val="28FD7FFD"/>
    <w:rsid w:val="2915683B"/>
    <w:rsid w:val="291C7733"/>
    <w:rsid w:val="29282E54"/>
    <w:rsid w:val="292A5CBA"/>
    <w:rsid w:val="29491244"/>
    <w:rsid w:val="294F1733"/>
    <w:rsid w:val="298405BD"/>
    <w:rsid w:val="29953427"/>
    <w:rsid w:val="29D10325"/>
    <w:rsid w:val="2A0D66D0"/>
    <w:rsid w:val="2A216901"/>
    <w:rsid w:val="2A353D00"/>
    <w:rsid w:val="2AB514D6"/>
    <w:rsid w:val="2AB8231F"/>
    <w:rsid w:val="2AEA391C"/>
    <w:rsid w:val="2B134862"/>
    <w:rsid w:val="2B1C6D0B"/>
    <w:rsid w:val="2B2B18F7"/>
    <w:rsid w:val="2B3475E1"/>
    <w:rsid w:val="2B351EAF"/>
    <w:rsid w:val="2BB60FDB"/>
    <w:rsid w:val="2BE37266"/>
    <w:rsid w:val="2BED4BEE"/>
    <w:rsid w:val="2C4C2E1B"/>
    <w:rsid w:val="2C705992"/>
    <w:rsid w:val="2C794C76"/>
    <w:rsid w:val="2C7E512E"/>
    <w:rsid w:val="2CD01D60"/>
    <w:rsid w:val="2CD21705"/>
    <w:rsid w:val="2D1B62FB"/>
    <w:rsid w:val="2D897E97"/>
    <w:rsid w:val="2DAC61DA"/>
    <w:rsid w:val="2DCC4B67"/>
    <w:rsid w:val="2DF828E7"/>
    <w:rsid w:val="2E2F263B"/>
    <w:rsid w:val="2E586695"/>
    <w:rsid w:val="2E6314AB"/>
    <w:rsid w:val="2ED20F4E"/>
    <w:rsid w:val="2EEF7E6A"/>
    <w:rsid w:val="2F385FC0"/>
    <w:rsid w:val="2F78262C"/>
    <w:rsid w:val="2F7904CD"/>
    <w:rsid w:val="2F7A412F"/>
    <w:rsid w:val="2FA871A3"/>
    <w:rsid w:val="2FDF4998"/>
    <w:rsid w:val="30E41BA6"/>
    <w:rsid w:val="30ED52A6"/>
    <w:rsid w:val="30F53BDC"/>
    <w:rsid w:val="313766E1"/>
    <w:rsid w:val="316A66F5"/>
    <w:rsid w:val="318069F6"/>
    <w:rsid w:val="31846101"/>
    <w:rsid w:val="31882662"/>
    <w:rsid w:val="31964806"/>
    <w:rsid w:val="31DE67F0"/>
    <w:rsid w:val="31EB798A"/>
    <w:rsid w:val="321E14E8"/>
    <w:rsid w:val="325E5D17"/>
    <w:rsid w:val="32AF6229"/>
    <w:rsid w:val="32C2783A"/>
    <w:rsid w:val="32DF3560"/>
    <w:rsid w:val="32EA3B58"/>
    <w:rsid w:val="32EE2857"/>
    <w:rsid w:val="32F96006"/>
    <w:rsid w:val="33134789"/>
    <w:rsid w:val="33687DF5"/>
    <w:rsid w:val="33A6289A"/>
    <w:rsid w:val="33B773C5"/>
    <w:rsid w:val="33CE3E24"/>
    <w:rsid w:val="33E469EE"/>
    <w:rsid w:val="342021AB"/>
    <w:rsid w:val="34565015"/>
    <w:rsid w:val="348B5240"/>
    <w:rsid w:val="34AA664F"/>
    <w:rsid w:val="34BD5DDF"/>
    <w:rsid w:val="35467042"/>
    <w:rsid w:val="356D1F5D"/>
    <w:rsid w:val="3584698D"/>
    <w:rsid w:val="359C0DD7"/>
    <w:rsid w:val="36073051"/>
    <w:rsid w:val="363C42F3"/>
    <w:rsid w:val="365D75FD"/>
    <w:rsid w:val="36B87917"/>
    <w:rsid w:val="36C03BC9"/>
    <w:rsid w:val="36C26C93"/>
    <w:rsid w:val="36E6327C"/>
    <w:rsid w:val="37460A6A"/>
    <w:rsid w:val="37525C39"/>
    <w:rsid w:val="379E230E"/>
    <w:rsid w:val="37B53811"/>
    <w:rsid w:val="37DC68A8"/>
    <w:rsid w:val="37FF59C4"/>
    <w:rsid w:val="38671966"/>
    <w:rsid w:val="387A3813"/>
    <w:rsid w:val="38E264B2"/>
    <w:rsid w:val="38F408D6"/>
    <w:rsid w:val="397422BD"/>
    <w:rsid w:val="397C3D80"/>
    <w:rsid w:val="398A0DEA"/>
    <w:rsid w:val="39E43D5E"/>
    <w:rsid w:val="3A1B4ADE"/>
    <w:rsid w:val="3A4D02F7"/>
    <w:rsid w:val="3AD4405F"/>
    <w:rsid w:val="3B042A4B"/>
    <w:rsid w:val="3B4A1985"/>
    <w:rsid w:val="3B6E234C"/>
    <w:rsid w:val="3BF8513F"/>
    <w:rsid w:val="3BFD3C97"/>
    <w:rsid w:val="3C1A7FEE"/>
    <w:rsid w:val="3C3E0878"/>
    <w:rsid w:val="3C495821"/>
    <w:rsid w:val="3C7474B8"/>
    <w:rsid w:val="3C9D5AFB"/>
    <w:rsid w:val="3CC50477"/>
    <w:rsid w:val="3CD64ED6"/>
    <w:rsid w:val="3D2C2DFB"/>
    <w:rsid w:val="3D37271E"/>
    <w:rsid w:val="3D8F25C1"/>
    <w:rsid w:val="3DC14618"/>
    <w:rsid w:val="3E0B7ED1"/>
    <w:rsid w:val="3E48733F"/>
    <w:rsid w:val="3EB02049"/>
    <w:rsid w:val="3F25088A"/>
    <w:rsid w:val="3F257451"/>
    <w:rsid w:val="3F6C1D54"/>
    <w:rsid w:val="3FC67894"/>
    <w:rsid w:val="3FF114B8"/>
    <w:rsid w:val="4066600C"/>
    <w:rsid w:val="408B4299"/>
    <w:rsid w:val="408E60A8"/>
    <w:rsid w:val="40E63BC5"/>
    <w:rsid w:val="40EC22DF"/>
    <w:rsid w:val="41484DE1"/>
    <w:rsid w:val="4158391C"/>
    <w:rsid w:val="416321E6"/>
    <w:rsid w:val="41A41AB6"/>
    <w:rsid w:val="41CE3E0C"/>
    <w:rsid w:val="41D84E89"/>
    <w:rsid w:val="41ED38E3"/>
    <w:rsid w:val="42002E0B"/>
    <w:rsid w:val="42024AE9"/>
    <w:rsid w:val="42275346"/>
    <w:rsid w:val="425D02A5"/>
    <w:rsid w:val="425F3F10"/>
    <w:rsid w:val="42F9074A"/>
    <w:rsid w:val="42FE04CE"/>
    <w:rsid w:val="43003488"/>
    <w:rsid w:val="431E09E7"/>
    <w:rsid w:val="43262619"/>
    <w:rsid w:val="43733E99"/>
    <w:rsid w:val="43B67E4F"/>
    <w:rsid w:val="43B86437"/>
    <w:rsid w:val="43BA5402"/>
    <w:rsid w:val="43C44058"/>
    <w:rsid w:val="43C9080F"/>
    <w:rsid w:val="44195C8C"/>
    <w:rsid w:val="44442181"/>
    <w:rsid w:val="446C3F76"/>
    <w:rsid w:val="44EC4156"/>
    <w:rsid w:val="450A3B17"/>
    <w:rsid w:val="45334605"/>
    <w:rsid w:val="453347E4"/>
    <w:rsid w:val="45470B2A"/>
    <w:rsid w:val="45677955"/>
    <w:rsid w:val="458731A9"/>
    <w:rsid w:val="460C5422"/>
    <w:rsid w:val="46127710"/>
    <w:rsid w:val="461C56F2"/>
    <w:rsid w:val="462F4F94"/>
    <w:rsid w:val="464D2F28"/>
    <w:rsid w:val="46893A4F"/>
    <w:rsid w:val="46CA0EBC"/>
    <w:rsid w:val="46D94FA3"/>
    <w:rsid w:val="47197DD7"/>
    <w:rsid w:val="47250854"/>
    <w:rsid w:val="472E3BB3"/>
    <w:rsid w:val="477A1E4D"/>
    <w:rsid w:val="47A66262"/>
    <w:rsid w:val="47B07A93"/>
    <w:rsid w:val="47DA25F9"/>
    <w:rsid w:val="47F17319"/>
    <w:rsid w:val="480F2F18"/>
    <w:rsid w:val="484833CC"/>
    <w:rsid w:val="4911717C"/>
    <w:rsid w:val="496D4D42"/>
    <w:rsid w:val="49A76A5E"/>
    <w:rsid w:val="49B24A4D"/>
    <w:rsid w:val="4A002F3F"/>
    <w:rsid w:val="4A213405"/>
    <w:rsid w:val="4A317CEA"/>
    <w:rsid w:val="4A5077B7"/>
    <w:rsid w:val="4A611F0D"/>
    <w:rsid w:val="4A7A46B2"/>
    <w:rsid w:val="4AB112D6"/>
    <w:rsid w:val="4ABB4EBC"/>
    <w:rsid w:val="4AD02B13"/>
    <w:rsid w:val="4B0D69C5"/>
    <w:rsid w:val="4B0E7FA0"/>
    <w:rsid w:val="4B193A3B"/>
    <w:rsid w:val="4B290650"/>
    <w:rsid w:val="4B2F1F64"/>
    <w:rsid w:val="4B42736B"/>
    <w:rsid w:val="4B515540"/>
    <w:rsid w:val="4B9E2CE6"/>
    <w:rsid w:val="4BBC2B8D"/>
    <w:rsid w:val="4BDE385E"/>
    <w:rsid w:val="4BFD14B3"/>
    <w:rsid w:val="4C476D88"/>
    <w:rsid w:val="4CC1510F"/>
    <w:rsid w:val="4CDB2544"/>
    <w:rsid w:val="4D2515D1"/>
    <w:rsid w:val="4D2C5846"/>
    <w:rsid w:val="4D3C575E"/>
    <w:rsid w:val="4D6F47DE"/>
    <w:rsid w:val="4D76739B"/>
    <w:rsid w:val="4E451C6F"/>
    <w:rsid w:val="4E65352E"/>
    <w:rsid w:val="4E6F4EB5"/>
    <w:rsid w:val="4E8F5EB1"/>
    <w:rsid w:val="4EAC2308"/>
    <w:rsid w:val="4F271106"/>
    <w:rsid w:val="4F944AAD"/>
    <w:rsid w:val="4FAC0BED"/>
    <w:rsid w:val="4FF66FFD"/>
    <w:rsid w:val="50660972"/>
    <w:rsid w:val="50784F17"/>
    <w:rsid w:val="50EB07F3"/>
    <w:rsid w:val="515B6C57"/>
    <w:rsid w:val="51601855"/>
    <w:rsid w:val="51691695"/>
    <w:rsid w:val="5181235F"/>
    <w:rsid w:val="51826448"/>
    <w:rsid w:val="51D1116D"/>
    <w:rsid w:val="5226768C"/>
    <w:rsid w:val="528D69A4"/>
    <w:rsid w:val="52962CFD"/>
    <w:rsid w:val="529E3B33"/>
    <w:rsid w:val="529F40BF"/>
    <w:rsid w:val="52B46E83"/>
    <w:rsid w:val="52C95F0F"/>
    <w:rsid w:val="52F92437"/>
    <w:rsid w:val="53196FE7"/>
    <w:rsid w:val="53264E42"/>
    <w:rsid w:val="535910DD"/>
    <w:rsid w:val="54593E0A"/>
    <w:rsid w:val="546A4A99"/>
    <w:rsid w:val="547273B2"/>
    <w:rsid w:val="54C27C75"/>
    <w:rsid w:val="54C76BF6"/>
    <w:rsid w:val="555373E6"/>
    <w:rsid w:val="555C4B46"/>
    <w:rsid w:val="558D7759"/>
    <w:rsid w:val="55AD74D9"/>
    <w:rsid w:val="55DD007F"/>
    <w:rsid w:val="55E550D8"/>
    <w:rsid w:val="56213CF5"/>
    <w:rsid w:val="56346E36"/>
    <w:rsid w:val="568C4990"/>
    <w:rsid w:val="569C18A6"/>
    <w:rsid w:val="56B87675"/>
    <w:rsid w:val="5700334F"/>
    <w:rsid w:val="570469D9"/>
    <w:rsid w:val="573B0E51"/>
    <w:rsid w:val="575D527C"/>
    <w:rsid w:val="57F01B04"/>
    <w:rsid w:val="5822374E"/>
    <w:rsid w:val="583B257C"/>
    <w:rsid w:val="585C5116"/>
    <w:rsid w:val="586A3442"/>
    <w:rsid w:val="58AF3BA2"/>
    <w:rsid w:val="58ED38EB"/>
    <w:rsid w:val="59557C57"/>
    <w:rsid w:val="59651D04"/>
    <w:rsid w:val="59AC5554"/>
    <w:rsid w:val="59B843D7"/>
    <w:rsid w:val="59E017CB"/>
    <w:rsid w:val="59F71169"/>
    <w:rsid w:val="5A007642"/>
    <w:rsid w:val="5A527F98"/>
    <w:rsid w:val="5A797E48"/>
    <w:rsid w:val="5A893D02"/>
    <w:rsid w:val="5AC02BC7"/>
    <w:rsid w:val="5B81182A"/>
    <w:rsid w:val="5BA90FF7"/>
    <w:rsid w:val="5BBB7BCB"/>
    <w:rsid w:val="5BCA70A3"/>
    <w:rsid w:val="5BF519C2"/>
    <w:rsid w:val="5BF82FCA"/>
    <w:rsid w:val="5C0036C4"/>
    <w:rsid w:val="5C104B2F"/>
    <w:rsid w:val="5C141E3D"/>
    <w:rsid w:val="5C1C71F9"/>
    <w:rsid w:val="5C290624"/>
    <w:rsid w:val="5C34538D"/>
    <w:rsid w:val="5C3F0176"/>
    <w:rsid w:val="5C483556"/>
    <w:rsid w:val="5C607511"/>
    <w:rsid w:val="5C6E3D22"/>
    <w:rsid w:val="5C7D46AA"/>
    <w:rsid w:val="5C8F2087"/>
    <w:rsid w:val="5CC940A6"/>
    <w:rsid w:val="5CD93CEF"/>
    <w:rsid w:val="5CF1273B"/>
    <w:rsid w:val="5D137108"/>
    <w:rsid w:val="5D192AB0"/>
    <w:rsid w:val="5D4E367F"/>
    <w:rsid w:val="5D8F72B7"/>
    <w:rsid w:val="5DB51DF6"/>
    <w:rsid w:val="5DC02F08"/>
    <w:rsid w:val="5DC14836"/>
    <w:rsid w:val="5DD92AAE"/>
    <w:rsid w:val="5EA90EFB"/>
    <w:rsid w:val="5EBD23B9"/>
    <w:rsid w:val="5ECE58DE"/>
    <w:rsid w:val="5F3369FE"/>
    <w:rsid w:val="5F355E95"/>
    <w:rsid w:val="5F506895"/>
    <w:rsid w:val="5F866690"/>
    <w:rsid w:val="5F8E7463"/>
    <w:rsid w:val="5F911E17"/>
    <w:rsid w:val="604E2665"/>
    <w:rsid w:val="60F05B7F"/>
    <w:rsid w:val="60F90469"/>
    <w:rsid w:val="60FC2BDC"/>
    <w:rsid w:val="612E73A0"/>
    <w:rsid w:val="613100ED"/>
    <w:rsid w:val="61D279DA"/>
    <w:rsid w:val="61F9355B"/>
    <w:rsid w:val="62043942"/>
    <w:rsid w:val="6218564B"/>
    <w:rsid w:val="621A7FB8"/>
    <w:rsid w:val="624C6707"/>
    <w:rsid w:val="629C518D"/>
    <w:rsid w:val="62D344BF"/>
    <w:rsid w:val="62E675D0"/>
    <w:rsid w:val="62EE2901"/>
    <w:rsid w:val="63305937"/>
    <w:rsid w:val="63466765"/>
    <w:rsid w:val="635666D8"/>
    <w:rsid w:val="636A5CC1"/>
    <w:rsid w:val="63803FE8"/>
    <w:rsid w:val="63A70B3A"/>
    <w:rsid w:val="63D64677"/>
    <w:rsid w:val="64251F32"/>
    <w:rsid w:val="642F4BD9"/>
    <w:rsid w:val="6454052A"/>
    <w:rsid w:val="646D098C"/>
    <w:rsid w:val="64897E3C"/>
    <w:rsid w:val="64BF6BAA"/>
    <w:rsid w:val="64D834A1"/>
    <w:rsid w:val="64DE2339"/>
    <w:rsid w:val="64DE520F"/>
    <w:rsid w:val="6556056B"/>
    <w:rsid w:val="65813AD9"/>
    <w:rsid w:val="66392567"/>
    <w:rsid w:val="66801EE3"/>
    <w:rsid w:val="675B780F"/>
    <w:rsid w:val="67BE4E82"/>
    <w:rsid w:val="67E505C6"/>
    <w:rsid w:val="685622BE"/>
    <w:rsid w:val="686A13EF"/>
    <w:rsid w:val="68A37C49"/>
    <w:rsid w:val="68FF5D0B"/>
    <w:rsid w:val="693259E6"/>
    <w:rsid w:val="696F2F0B"/>
    <w:rsid w:val="698D3A58"/>
    <w:rsid w:val="69C17E8B"/>
    <w:rsid w:val="69C81131"/>
    <w:rsid w:val="69D562D3"/>
    <w:rsid w:val="69F166CC"/>
    <w:rsid w:val="6A8B0096"/>
    <w:rsid w:val="6AA71272"/>
    <w:rsid w:val="6AA77000"/>
    <w:rsid w:val="6AEB54B0"/>
    <w:rsid w:val="6AEE5604"/>
    <w:rsid w:val="6B1A0C80"/>
    <w:rsid w:val="6B204A1A"/>
    <w:rsid w:val="6B435465"/>
    <w:rsid w:val="6B827B29"/>
    <w:rsid w:val="6B93597C"/>
    <w:rsid w:val="6BC5529E"/>
    <w:rsid w:val="6BC93F4B"/>
    <w:rsid w:val="6C0C7679"/>
    <w:rsid w:val="6C0F2CAB"/>
    <w:rsid w:val="6C191697"/>
    <w:rsid w:val="6C3E1757"/>
    <w:rsid w:val="6C5560AD"/>
    <w:rsid w:val="6C6C0BE2"/>
    <w:rsid w:val="6C787F28"/>
    <w:rsid w:val="6C873431"/>
    <w:rsid w:val="6CAA0F10"/>
    <w:rsid w:val="6D285F68"/>
    <w:rsid w:val="6D3A427C"/>
    <w:rsid w:val="6D3D3FE3"/>
    <w:rsid w:val="6D9C60E2"/>
    <w:rsid w:val="6D9E0C16"/>
    <w:rsid w:val="6DCE04F5"/>
    <w:rsid w:val="6DF34DE3"/>
    <w:rsid w:val="6E21600D"/>
    <w:rsid w:val="6E352B74"/>
    <w:rsid w:val="6E5813AF"/>
    <w:rsid w:val="6E702548"/>
    <w:rsid w:val="6E9C524A"/>
    <w:rsid w:val="6ED73B2C"/>
    <w:rsid w:val="6EED0A3F"/>
    <w:rsid w:val="6EF52B2D"/>
    <w:rsid w:val="6F2F3DEC"/>
    <w:rsid w:val="6F594C38"/>
    <w:rsid w:val="6F8C7371"/>
    <w:rsid w:val="6FE83964"/>
    <w:rsid w:val="700117E6"/>
    <w:rsid w:val="70167DBE"/>
    <w:rsid w:val="70212E89"/>
    <w:rsid w:val="707B3099"/>
    <w:rsid w:val="70C42166"/>
    <w:rsid w:val="70CB70D6"/>
    <w:rsid w:val="70F51420"/>
    <w:rsid w:val="711050B7"/>
    <w:rsid w:val="711A52DE"/>
    <w:rsid w:val="715C071B"/>
    <w:rsid w:val="71833944"/>
    <w:rsid w:val="71B4756D"/>
    <w:rsid w:val="71BD14B9"/>
    <w:rsid w:val="7210671E"/>
    <w:rsid w:val="72231769"/>
    <w:rsid w:val="72250714"/>
    <w:rsid w:val="72C7706F"/>
    <w:rsid w:val="72CE3C4C"/>
    <w:rsid w:val="72ED33A9"/>
    <w:rsid w:val="730F15F7"/>
    <w:rsid w:val="731B7F71"/>
    <w:rsid w:val="7324053A"/>
    <w:rsid w:val="7327720F"/>
    <w:rsid w:val="736825F7"/>
    <w:rsid w:val="736E244A"/>
    <w:rsid w:val="73862BD4"/>
    <w:rsid w:val="738C151C"/>
    <w:rsid w:val="73C77495"/>
    <w:rsid w:val="74147081"/>
    <w:rsid w:val="741B2F34"/>
    <w:rsid w:val="746B5485"/>
    <w:rsid w:val="74BB4445"/>
    <w:rsid w:val="74CF3119"/>
    <w:rsid w:val="74F551EE"/>
    <w:rsid w:val="753A152E"/>
    <w:rsid w:val="754E6786"/>
    <w:rsid w:val="7577337F"/>
    <w:rsid w:val="75A225A3"/>
    <w:rsid w:val="75AB130F"/>
    <w:rsid w:val="75BE091B"/>
    <w:rsid w:val="75F92803"/>
    <w:rsid w:val="763F4F8C"/>
    <w:rsid w:val="76653089"/>
    <w:rsid w:val="76D16AE8"/>
    <w:rsid w:val="76DF572D"/>
    <w:rsid w:val="76E139B9"/>
    <w:rsid w:val="77021ED7"/>
    <w:rsid w:val="77280702"/>
    <w:rsid w:val="77400A5A"/>
    <w:rsid w:val="7747727B"/>
    <w:rsid w:val="77577BE0"/>
    <w:rsid w:val="77831E4C"/>
    <w:rsid w:val="77D3315C"/>
    <w:rsid w:val="780E1EFF"/>
    <w:rsid w:val="78133D22"/>
    <w:rsid w:val="78186770"/>
    <w:rsid w:val="78491C52"/>
    <w:rsid w:val="7872398A"/>
    <w:rsid w:val="78903890"/>
    <w:rsid w:val="78E610AA"/>
    <w:rsid w:val="78FB5E83"/>
    <w:rsid w:val="790203E8"/>
    <w:rsid w:val="79386F30"/>
    <w:rsid w:val="795C4B98"/>
    <w:rsid w:val="79793574"/>
    <w:rsid w:val="79A9453A"/>
    <w:rsid w:val="79B56E89"/>
    <w:rsid w:val="7A5E4564"/>
    <w:rsid w:val="7A814B9D"/>
    <w:rsid w:val="7A8243BA"/>
    <w:rsid w:val="7AD34E6E"/>
    <w:rsid w:val="7ADF1C59"/>
    <w:rsid w:val="7AF70378"/>
    <w:rsid w:val="7B367758"/>
    <w:rsid w:val="7B39441A"/>
    <w:rsid w:val="7B6437FC"/>
    <w:rsid w:val="7BAB1067"/>
    <w:rsid w:val="7BB3019D"/>
    <w:rsid w:val="7BC865DB"/>
    <w:rsid w:val="7C10469D"/>
    <w:rsid w:val="7C2D3DBC"/>
    <w:rsid w:val="7C463C0A"/>
    <w:rsid w:val="7C696F46"/>
    <w:rsid w:val="7CDC2A18"/>
    <w:rsid w:val="7CE35692"/>
    <w:rsid w:val="7D283A86"/>
    <w:rsid w:val="7D9E2422"/>
    <w:rsid w:val="7DA73149"/>
    <w:rsid w:val="7DEA689C"/>
    <w:rsid w:val="7E076640"/>
    <w:rsid w:val="7E592BA6"/>
    <w:rsid w:val="7E7320C8"/>
    <w:rsid w:val="7EC30EA5"/>
    <w:rsid w:val="7ECB00E5"/>
    <w:rsid w:val="7EE026BA"/>
    <w:rsid w:val="7EEC122E"/>
    <w:rsid w:val="7EEF06F2"/>
    <w:rsid w:val="7EFD40E3"/>
    <w:rsid w:val="7F417F14"/>
    <w:rsid w:val="7F65680C"/>
    <w:rsid w:val="7FC2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6"/>
    <w:qFormat/>
    <w:uiPriority w:val="0"/>
    <w:pPr>
      <w:keepNext/>
      <w:keepLines/>
      <w:numPr>
        <w:ilvl w:val="0"/>
        <w:numId w:val="1"/>
      </w:numPr>
      <w:tabs>
        <w:tab w:val="clear" w:pos="1800"/>
      </w:tabs>
      <w:spacing w:line="578" w:lineRule="auto"/>
      <w:jc w:val="center"/>
      <w:outlineLvl w:val="0"/>
    </w:pPr>
    <w:rPr>
      <w:rFonts w:ascii="黑体" w:eastAsia="黑体"/>
      <w:b/>
      <w:bCs/>
      <w:kern w:val="44"/>
      <w:sz w:val="44"/>
      <w:szCs w:val="44"/>
    </w:rPr>
  </w:style>
  <w:style w:type="paragraph" w:styleId="4">
    <w:name w:val="heading 2"/>
    <w:basedOn w:val="1"/>
    <w:next w:val="1"/>
    <w:link w:val="210"/>
    <w:qFormat/>
    <w:uiPriority w:val="0"/>
    <w:pPr>
      <w:keepNext/>
      <w:keepLines/>
      <w:numPr>
        <w:ilvl w:val="1"/>
        <w:numId w:val="1"/>
      </w:numPr>
      <w:tabs>
        <w:tab w:val="clear" w:pos="567"/>
      </w:tabs>
      <w:spacing w:line="415" w:lineRule="auto"/>
      <w:outlineLvl w:val="1"/>
    </w:pPr>
    <w:rPr>
      <w:rFonts w:ascii="Arial" w:hAnsi="Arial" w:eastAsia="黑体"/>
      <w:b/>
      <w:bCs/>
      <w:sz w:val="32"/>
      <w:szCs w:val="32"/>
    </w:rPr>
  </w:style>
  <w:style w:type="paragraph" w:styleId="5">
    <w:name w:val="heading 3"/>
    <w:basedOn w:val="1"/>
    <w:next w:val="6"/>
    <w:link w:val="211"/>
    <w:qFormat/>
    <w:uiPriority w:val="0"/>
    <w:pPr>
      <w:keepNext/>
      <w:keepLines/>
      <w:spacing w:line="415" w:lineRule="auto"/>
      <w:outlineLvl w:val="2"/>
    </w:pPr>
    <w:rPr>
      <w:rFonts w:ascii="黑体" w:eastAsia="黑体"/>
      <w:b/>
      <w:bCs/>
      <w:sz w:val="32"/>
      <w:szCs w:val="32"/>
    </w:rPr>
  </w:style>
  <w:style w:type="paragraph" w:styleId="2">
    <w:name w:val="heading 4"/>
    <w:basedOn w:val="1"/>
    <w:next w:val="1"/>
    <w:qFormat/>
    <w:uiPriority w:val="0"/>
    <w:pPr>
      <w:keepNext/>
      <w:keepLines/>
      <w:numPr>
        <w:ilvl w:val="4"/>
        <w:numId w:val="1"/>
      </w:numPr>
      <w:tabs>
        <w:tab w:val="clear" w:pos="1080"/>
      </w:tab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5"/>
        <w:numId w:val="1"/>
      </w:numPr>
      <w:tabs>
        <w:tab w:val="clear" w:pos="1440"/>
      </w:tabs>
      <w:spacing w:line="376" w:lineRule="auto"/>
      <w:outlineLvl w:val="4"/>
    </w:pPr>
    <w:rPr>
      <w:rFonts w:ascii="黑体" w:eastAsia="黑体"/>
      <w:b/>
      <w:bCs/>
      <w:sz w:val="28"/>
      <w:szCs w:val="28"/>
    </w:rPr>
  </w:style>
  <w:style w:type="paragraph" w:styleId="8">
    <w:name w:val="heading 6"/>
    <w:basedOn w:val="1"/>
    <w:next w:val="1"/>
    <w:link w:val="196"/>
    <w:qFormat/>
    <w:uiPriority w:val="0"/>
    <w:pPr>
      <w:keepNext/>
      <w:keepLines/>
      <w:tabs>
        <w:tab w:val="left" w:pos="1152"/>
      </w:tabs>
      <w:adjustRightInd w:val="0"/>
      <w:spacing w:line="320" w:lineRule="atLeast"/>
      <w:ind w:left="1152" w:hanging="1152"/>
      <w:textAlignment w:val="baseline"/>
      <w:outlineLvl w:val="5"/>
    </w:pPr>
    <w:rPr>
      <w:rFonts w:ascii="Arial" w:hAnsi="Arial" w:eastAsia="黑体"/>
      <w:b/>
      <w:sz w:val="24"/>
    </w:rPr>
  </w:style>
  <w:style w:type="paragraph" w:styleId="9">
    <w:name w:val="heading 7"/>
    <w:basedOn w:val="1"/>
    <w:next w:val="1"/>
    <w:link w:val="226"/>
    <w:qFormat/>
    <w:uiPriority w:val="0"/>
    <w:pPr>
      <w:keepNext/>
      <w:keepLines/>
      <w:tabs>
        <w:tab w:val="left" w:pos="1296"/>
      </w:tabs>
      <w:adjustRightInd w:val="0"/>
      <w:spacing w:line="320" w:lineRule="atLeast"/>
      <w:ind w:left="1296" w:hanging="1296"/>
      <w:textAlignment w:val="baseline"/>
      <w:outlineLvl w:val="6"/>
    </w:pPr>
    <w:rPr>
      <w:b/>
      <w:sz w:val="24"/>
    </w:rPr>
  </w:style>
  <w:style w:type="paragraph" w:styleId="10">
    <w:name w:val="heading 8"/>
    <w:basedOn w:val="1"/>
    <w:next w:val="1"/>
    <w:link w:val="197"/>
    <w:qFormat/>
    <w:uiPriority w:val="0"/>
    <w:pPr>
      <w:keepNext/>
      <w:keepLines/>
      <w:tabs>
        <w:tab w:val="left" w:pos="1440"/>
      </w:tabs>
      <w:adjustRightInd w:val="0"/>
      <w:spacing w:line="320" w:lineRule="atLeast"/>
      <w:ind w:left="1440" w:hanging="1440"/>
      <w:textAlignment w:val="baseline"/>
      <w:outlineLvl w:val="7"/>
    </w:pPr>
    <w:rPr>
      <w:rFonts w:ascii="Arial" w:hAnsi="Arial" w:eastAsia="黑体"/>
      <w:sz w:val="24"/>
    </w:rPr>
  </w:style>
  <w:style w:type="paragraph" w:styleId="11">
    <w:name w:val="heading 9"/>
    <w:basedOn w:val="1"/>
    <w:next w:val="1"/>
    <w:link w:val="193"/>
    <w:qFormat/>
    <w:uiPriority w:val="0"/>
    <w:pPr>
      <w:keepNext/>
      <w:keepLines/>
      <w:tabs>
        <w:tab w:val="left" w:pos="1584"/>
      </w:tabs>
      <w:adjustRightInd w:val="0"/>
      <w:spacing w:line="320" w:lineRule="atLeast"/>
      <w:ind w:left="1584" w:hanging="1584"/>
      <w:textAlignment w:val="baseline"/>
      <w:outlineLvl w:val="8"/>
    </w:pPr>
    <w:rPr>
      <w:rFonts w:ascii="Arial" w:hAnsi="Arial" w:eastAsia="黑体"/>
    </w:rPr>
  </w:style>
  <w:style w:type="character" w:default="1" w:styleId="57">
    <w:name w:val="Default Paragraph Font"/>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04"/>
    <w:qFormat/>
    <w:uiPriority w:val="0"/>
    <w:pPr>
      <w:widowControl/>
      <w:ind w:firstLine="420"/>
      <w:jc w:val="left"/>
    </w:pPr>
    <w:rPr>
      <w:kern w:val="0"/>
      <w:sz w:val="20"/>
      <w:szCs w:val="20"/>
    </w:rPr>
  </w:style>
  <w:style w:type="paragraph" w:styleId="12">
    <w:name w:val="toc 7"/>
    <w:basedOn w:val="1"/>
    <w:next w:val="1"/>
    <w:qFormat/>
    <w:uiPriority w:val="0"/>
    <w:pPr>
      <w:adjustRightInd w:val="0"/>
      <w:spacing w:line="288" w:lineRule="auto"/>
      <w:ind w:left="1260" w:firstLine="420"/>
      <w:jc w:val="left"/>
      <w:textAlignment w:val="baseline"/>
    </w:pPr>
    <w:rPr>
      <w:sz w:val="18"/>
      <w:szCs w:val="18"/>
    </w:rPr>
  </w:style>
  <w:style w:type="paragraph" w:styleId="13">
    <w:name w:val="index 8"/>
    <w:basedOn w:val="1"/>
    <w:next w:val="1"/>
    <w:qFormat/>
    <w:uiPriority w:val="0"/>
    <w:pPr>
      <w:ind w:left="1400" w:leftChars="140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index 5"/>
    <w:basedOn w:val="1"/>
    <w:next w:val="1"/>
    <w:qFormat/>
    <w:uiPriority w:val="0"/>
    <w:pPr>
      <w:ind w:left="800" w:leftChars="800"/>
    </w:pPr>
    <w:rPr>
      <w:szCs w:val="20"/>
    </w:rPr>
  </w:style>
  <w:style w:type="paragraph" w:styleId="16">
    <w:name w:val="Document Map"/>
    <w:basedOn w:val="1"/>
    <w:qFormat/>
    <w:uiPriority w:val="0"/>
    <w:pPr>
      <w:shd w:val="clear" w:color="auto" w:fill="000080"/>
    </w:pPr>
  </w:style>
  <w:style w:type="paragraph" w:styleId="17">
    <w:name w:val="annotation text"/>
    <w:basedOn w:val="1"/>
    <w:link w:val="221"/>
    <w:qFormat/>
    <w:uiPriority w:val="0"/>
    <w:pPr>
      <w:jc w:val="left"/>
    </w:pPr>
  </w:style>
  <w:style w:type="paragraph" w:styleId="18">
    <w:name w:val="index 6"/>
    <w:basedOn w:val="1"/>
    <w:next w:val="1"/>
    <w:qFormat/>
    <w:uiPriority w:val="0"/>
    <w:pPr>
      <w:ind w:left="1000" w:leftChars="1000"/>
    </w:pPr>
    <w:rPr>
      <w:szCs w:val="20"/>
    </w:rPr>
  </w:style>
  <w:style w:type="paragraph" w:styleId="19">
    <w:name w:val="Salutation"/>
    <w:basedOn w:val="1"/>
    <w:next w:val="1"/>
    <w:link w:val="203"/>
    <w:qFormat/>
    <w:uiPriority w:val="0"/>
    <w:pPr>
      <w:adjustRightInd w:val="0"/>
      <w:spacing w:line="288" w:lineRule="auto"/>
      <w:ind w:firstLine="420"/>
      <w:textAlignment w:val="baseline"/>
    </w:pPr>
    <w:rPr>
      <w:sz w:val="28"/>
    </w:rPr>
  </w:style>
  <w:style w:type="paragraph" w:styleId="20">
    <w:name w:val="Body Text 3"/>
    <w:basedOn w:val="1"/>
    <w:link w:val="206"/>
    <w:qFormat/>
    <w:uiPriority w:val="0"/>
    <w:pPr>
      <w:adjustRightInd w:val="0"/>
      <w:spacing w:line="288" w:lineRule="auto"/>
      <w:jc w:val="center"/>
      <w:textAlignment w:val="baseline"/>
    </w:pPr>
    <w:rPr>
      <w:b/>
      <w:bCs/>
      <w:sz w:val="24"/>
    </w:rPr>
  </w:style>
  <w:style w:type="paragraph" w:styleId="21">
    <w:name w:val="Closing"/>
    <w:basedOn w:val="1"/>
    <w:link w:val="216"/>
    <w:qFormat/>
    <w:uiPriority w:val="0"/>
    <w:pPr>
      <w:adjustRightInd w:val="0"/>
      <w:spacing w:line="288" w:lineRule="auto"/>
      <w:ind w:left="2100" w:leftChars="2100" w:firstLine="420"/>
      <w:textAlignment w:val="baseline"/>
    </w:pPr>
    <w:rPr>
      <w:sz w:val="28"/>
    </w:rPr>
  </w:style>
  <w:style w:type="paragraph" w:styleId="22">
    <w:name w:val="Body Text"/>
    <w:basedOn w:val="1"/>
    <w:qFormat/>
    <w:uiPriority w:val="0"/>
    <w:pPr>
      <w:autoSpaceDE w:val="0"/>
      <w:autoSpaceDN w:val="0"/>
      <w:adjustRightInd w:val="0"/>
    </w:pPr>
    <w:rPr>
      <w:rFonts w:ascii="仿宋_GB2312" w:eastAsia="仿宋_GB2312"/>
      <w:kern w:val="0"/>
      <w:sz w:val="28"/>
      <w:szCs w:val="20"/>
    </w:rPr>
  </w:style>
  <w:style w:type="paragraph" w:styleId="23">
    <w:name w:val="Body Text Indent"/>
    <w:basedOn w:val="1"/>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index 4"/>
    <w:basedOn w:val="1"/>
    <w:next w:val="1"/>
    <w:qFormat/>
    <w:uiPriority w:val="0"/>
    <w:pPr>
      <w:ind w:left="600" w:leftChars="600"/>
    </w:pPr>
    <w:rPr>
      <w:szCs w:val="20"/>
    </w:rPr>
  </w:style>
  <w:style w:type="paragraph" w:styleId="26">
    <w:name w:val="toc 5"/>
    <w:basedOn w:val="1"/>
    <w:next w:val="1"/>
    <w:qFormat/>
    <w:uiPriority w:val="0"/>
    <w:pPr>
      <w:adjustRightInd w:val="0"/>
      <w:spacing w:line="288" w:lineRule="auto"/>
      <w:ind w:left="840" w:firstLine="420"/>
      <w:jc w:val="left"/>
      <w:textAlignment w:val="baseline"/>
    </w:pPr>
    <w:rPr>
      <w:sz w:val="18"/>
      <w:szCs w:val="18"/>
    </w:rPr>
  </w:style>
  <w:style w:type="paragraph" w:styleId="27">
    <w:name w:val="toc 3"/>
    <w:basedOn w:val="1"/>
    <w:next w:val="1"/>
    <w:qFormat/>
    <w:uiPriority w:val="0"/>
    <w:pPr>
      <w:adjustRightInd w:val="0"/>
      <w:spacing w:line="288" w:lineRule="auto"/>
      <w:ind w:left="420" w:firstLine="420"/>
      <w:jc w:val="left"/>
      <w:textAlignment w:val="baseline"/>
    </w:pPr>
    <w:rPr>
      <w:iCs/>
      <w:sz w:val="20"/>
      <w:szCs w:val="20"/>
    </w:rPr>
  </w:style>
  <w:style w:type="paragraph" w:styleId="28">
    <w:name w:val="Plain Text"/>
    <w:basedOn w:val="1"/>
    <w:link w:val="215"/>
    <w:qFormat/>
    <w:uiPriority w:val="0"/>
    <w:rPr>
      <w:rFonts w:ascii="宋体"/>
      <w:szCs w:val="21"/>
    </w:rPr>
  </w:style>
  <w:style w:type="paragraph" w:styleId="29">
    <w:name w:val="List Bullet 5"/>
    <w:basedOn w:val="1"/>
    <w:qFormat/>
    <w:uiPriority w:val="0"/>
    <w:pPr>
      <w:widowControl/>
      <w:numPr>
        <w:ilvl w:val="0"/>
        <w:numId w:val="2"/>
      </w:numPr>
      <w:tabs>
        <w:tab w:val="clear" w:pos="2040"/>
      </w:tabs>
      <w:spacing w:line="360" w:lineRule="exact"/>
    </w:pPr>
    <w:rPr>
      <w:rFonts w:eastAsia="楷体_GB2312"/>
      <w:sz w:val="24"/>
      <w:szCs w:val="20"/>
    </w:rPr>
  </w:style>
  <w:style w:type="paragraph" w:styleId="30">
    <w:name w:val="toc 8"/>
    <w:basedOn w:val="1"/>
    <w:next w:val="1"/>
    <w:qFormat/>
    <w:uiPriority w:val="0"/>
    <w:pPr>
      <w:adjustRightInd w:val="0"/>
      <w:spacing w:line="288" w:lineRule="auto"/>
      <w:ind w:left="1470" w:firstLine="420"/>
      <w:jc w:val="left"/>
      <w:textAlignment w:val="baseline"/>
    </w:pPr>
    <w:rPr>
      <w:sz w:val="18"/>
      <w:szCs w:val="18"/>
    </w:rPr>
  </w:style>
  <w:style w:type="paragraph" w:styleId="31">
    <w:name w:val="index 3"/>
    <w:basedOn w:val="1"/>
    <w:next w:val="1"/>
    <w:qFormat/>
    <w:uiPriority w:val="0"/>
    <w:pPr>
      <w:ind w:left="400" w:leftChars="400"/>
    </w:pPr>
    <w:rPr>
      <w:szCs w:val="20"/>
    </w:rPr>
  </w:style>
  <w:style w:type="paragraph" w:styleId="32">
    <w:name w:val="Date"/>
    <w:basedOn w:val="1"/>
    <w:next w:val="1"/>
    <w:qFormat/>
    <w:uiPriority w:val="0"/>
    <w:pPr>
      <w:ind w:left="2500" w:leftChars="2500"/>
    </w:pPr>
    <w:rPr>
      <w:rFonts w:ascii="楷体_GB2312" w:eastAsia="楷体_GB2312"/>
      <w:b/>
      <w:sz w:val="28"/>
    </w:rPr>
  </w:style>
  <w:style w:type="paragraph" w:styleId="33">
    <w:name w:val="Body Text Indent 2"/>
    <w:basedOn w:val="1"/>
    <w:qFormat/>
    <w:uiPriority w:val="0"/>
    <w:pPr>
      <w:tabs>
        <w:tab w:val="left" w:pos="0"/>
        <w:tab w:val="left" w:pos="1134"/>
      </w:tabs>
      <w:snapToGrid w:val="0"/>
      <w:spacing w:line="400" w:lineRule="exact"/>
      <w:ind w:firstLine="233" w:firstLineChars="233"/>
    </w:pPr>
    <w:rPr>
      <w:rFonts w:ascii="楷体_GB2312" w:eastAsia="楷体_GB2312"/>
      <w:sz w:val="24"/>
    </w:rPr>
  </w:style>
  <w:style w:type="paragraph" w:styleId="34">
    <w:name w:val="Balloon Text"/>
    <w:basedOn w:val="1"/>
    <w:link w:val="227"/>
    <w:qFormat/>
    <w:uiPriority w:val="0"/>
    <w:rPr>
      <w:sz w:val="18"/>
      <w:szCs w:val="18"/>
    </w:rPr>
  </w:style>
  <w:style w:type="paragraph" w:styleId="35">
    <w:name w:val="footer"/>
    <w:basedOn w:val="1"/>
    <w:link w:val="225"/>
    <w:qFormat/>
    <w:uiPriority w:val="99"/>
    <w:pPr>
      <w:tabs>
        <w:tab w:val="center" w:pos="4153"/>
        <w:tab w:val="right" w:pos="8306"/>
      </w:tabs>
      <w:snapToGrid w:val="0"/>
      <w:jc w:val="left"/>
    </w:pPr>
    <w:rPr>
      <w:sz w:val="18"/>
      <w:szCs w:val="18"/>
    </w:rPr>
  </w:style>
  <w:style w:type="paragraph" w:styleId="36">
    <w:name w:val="header"/>
    <w:basedOn w:val="1"/>
    <w:link w:val="207"/>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s>
      <w:adjustRightInd w:val="0"/>
      <w:spacing w:line="288" w:lineRule="auto"/>
      <w:textAlignment w:val="baseline"/>
    </w:pPr>
    <w:rPr>
      <w:rFonts w:ascii="黑体" w:eastAsia="黑体"/>
      <w:caps/>
      <w:sz w:val="30"/>
      <w:szCs w:val="30"/>
    </w:rPr>
  </w:style>
  <w:style w:type="paragraph" w:styleId="38">
    <w:name w:val="toc 4"/>
    <w:basedOn w:val="1"/>
    <w:next w:val="1"/>
    <w:qFormat/>
    <w:uiPriority w:val="0"/>
    <w:pPr>
      <w:adjustRightInd w:val="0"/>
      <w:spacing w:line="288" w:lineRule="auto"/>
      <w:ind w:left="630" w:firstLine="420"/>
      <w:jc w:val="left"/>
      <w:textAlignment w:val="baseline"/>
    </w:pPr>
    <w:rPr>
      <w:sz w:val="18"/>
      <w:szCs w:val="18"/>
    </w:rPr>
  </w:style>
  <w:style w:type="paragraph" w:styleId="39">
    <w:name w:val="List"/>
    <w:basedOn w:val="1"/>
    <w:qFormat/>
    <w:uiPriority w:val="0"/>
    <w:pPr>
      <w:numPr>
        <w:ilvl w:val="0"/>
        <w:numId w:val="3"/>
      </w:numPr>
      <w:tabs>
        <w:tab w:val="clear" w:pos="420"/>
      </w:tabs>
      <w:autoSpaceDE w:val="0"/>
      <w:autoSpaceDN w:val="0"/>
      <w:adjustRightInd w:val="0"/>
      <w:spacing w:line="288" w:lineRule="auto"/>
      <w:textAlignment w:val="baseline"/>
    </w:pPr>
    <w:rPr>
      <w:kern w:val="0"/>
      <w:szCs w:val="20"/>
      <w:lang w:val="en-GB" w:eastAsia="en-GB"/>
    </w:rPr>
  </w:style>
  <w:style w:type="paragraph" w:styleId="40">
    <w:name w:val="footnote text"/>
    <w:basedOn w:val="1"/>
    <w:link w:val="209"/>
    <w:qFormat/>
    <w:uiPriority w:val="0"/>
    <w:pPr>
      <w:adjustRightInd w:val="0"/>
      <w:spacing w:line="360" w:lineRule="exact"/>
      <w:ind w:firstLine="425"/>
      <w:jc w:val="left"/>
      <w:textAlignment w:val="baseline"/>
    </w:pPr>
    <w:rPr>
      <w:sz w:val="18"/>
      <w:szCs w:val="18"/>
    </w:rPr>
  </w:style>
  <w:style w:type="paragraph" w:styleId="41">
    <w:name w:val="toc 6"/>
    <w:basedOn w:val="1"/>
    <w:next w:val="1"/>
    <w:qFormat/>
    <w:uiPriority w:val="0"/>
    <w:pPr>
      <w:adjustRightInd w:val="0"/>
      <w:spacing w:line="288" w:lineRule="auto"/>
      <w:ind w:left="1050" w:firstLine="420"/>
      <w:jc w:val="left"/>
      <w:textAlignment w:val="baseline"/>
    </w:pPr>
    <w:rPr>
      <w:sz w:val="18"/>
      <w:szCs w:val="18"/>
    </w:rPr>
  </w:style>
  <w:style w:type="paragraph" w:styleId="42">
    <w:name w:val="Body Text Indent 3"/>
    <w:basedOn w:val="1"/>
    <w:qFormat/>
    <w:uiPriority w:val="0"/>
    <w:pPr>
      <w:autoSpaceDE w:val="0"/>
      <w:autoSpaceDN w:val="0"/>
      <w:adjustRightInd w:val="0"/>
      <w:spacing w:line="360" w:lineRule="auto"/>
      <w:ind w:firstLine="218" w:firstLineChars="218"/>
      <w:jc w:val="left"/>
    </w:pPr>
    <w:rPr>
      <w:rFonts w:ascii="仿宋_GB2312" w:eastAsia="仿宋_GB2312"/>
      <w:kern w:val="0"/>
      <w:sz w:val="32"/>
      <w:szCs w:val="20"/>
    </w:rPr>
  </w:style>
  <w:style w:type="paragraph" w:styleId="43">
    <w:name w:val="index 7"/>
    <w:basedOn w:val="1"/>
    <w:next w:val="1"/>
    <w:qFormat/>
    <w:uiPriority w:val="0"/>
    <w:pPr>
      <w:ind w:left="1200" w:leftChars="1200"/>
    </w:pPr>
    <w:rPr>
      <w:szCs w:val="20"/>
    </w:rPr>
  </w:style>
  <w:style w:type="paragraph" w:styleId="44">
    <w:name w:val="index 9"/>
    <w:basedOn w:val="1"/>
    <w:next w:val="1"/>
    <w:qFormat/>
    <w:uiPriority w:val="0"/>
    <w:pPr>
      <w:ind w:left="1600" w:leftChars="1600"/>
    </w:pPr>
    <w:rPr>
      <w:szCs w:val="20"/>
    </w:rPr>
  </w:style>
  <w:style w:type="paragraph" w:styleId="45">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46">
    <w:name w:val="toc 9"/>
    <w:basedOn w:val="1"/>
    <w:next w:val="1"/>
    <w:qFormat/>
    <w:uiPriority w:val="0"/>
    <w:pPr>
      <w:adjustRightInd w:val="0"/>
      <w:spacing w:line="288" w:lineRule="auto"/>
      <w:ind w:left="1680" w:firstLine="420"/>
      <w:jc w:val="left"/>
      <w:textAlignment w:val="baseline"/>
    </w:pPr>
    <w:rPr>
      <w:sz w:val="18"/>
      <w:szCs w:val="18"/>
    </w:rPr>
  </w:style>
  <w:style w:type="paragraph" w:styleId="47">
    <w:name w:val="Body Text 2"/>
    <w:basedOn w:val="1"/>
    <w:link w:val="220"/>
    <w:qFormat/>
    <w:uiPriority w:val="0"/>
    <w:pPr>
      <w:adjustRightInd w:val="0"/>
      <w:spacing w:line="720" w:lineRule="auto"/>
      <w:ind w:firstLine="420"/>
      <w:textAlignment w:val="baseline"/>
    </w:pPr>
    <w:rPr>
      <w:sz w:val="30"/>
    </w:rPr>
  </w:style>
  <w:style w:type="paragraph" w:styleId="48">
    <w:name w:val="HTML Preformatted"/>
    <w:basedOn w:val="1"/>
    <w:link w:val="1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8" w:lineRule="auto"/>
      <w:ind w:firstLine="420"/>
      <w:jc w:val="left"/>
      <w:textAlignment w:val="baseline"/>
    </w:pPr>
    <w:rPr>
      <w:rFonts w:ascii="黑体" w:eastAsia="黑体"/>
    </w:rPr>
  </w:style>
  <w:style w:type="paragraph" w:styleId="49">
    <w:name w:val="Normal (Web)"/>
    <w:basedOn w:val="1"/>
    <w:link w:val="202"/>
    <w:qFormat/>
    <w:uiPriority w:val="0"/>
    <w:pPr>
      <w:widowControl/>
      <w:adjustRightInd w:val="0"/>
      <w:spacing w:beforeAutospacing="1" w:afterAutospacing="1" w:line="288" w:lineRule="auto"/>
      <w:ind w:firstLine="420"/>
      <w:jc w:val="left"/>
      <w:textAlignment w:val="baseline"/>
    </w:pPr>
    <w:rPr>
      <w:rFonts w:ascii="宋体"/>
      <w:kern w:val="0"/>
      <w:sz w:val="24"/>
    </w:rPr>
  </w:style>
  <w:style w:type="paragraph" w:styleId="50">
    <w:name w:val="index 1"/>
    <w:basedOn w:val="1"/>
    <w:next w:val="1"/>
    <w:qFormat/>
    <w:uiPriority w:val="0"/>
    <w:rPr>
      <w:szCs w:val="20"/>
    </w:rPr>
  </w:style>
  <w:style w:type="paragraph" w:styleId="51">
    <w:name w:val="index 2"/>
    <w:basedOn w:val="1"/>
    <w:next w:val="1"/>
    <w:qFormat/>
    <w:uiPriority w:val="0"/>
    <w:pPr>
      <w:ind w:left="200" w:leftChars="200"/>
    </w:pPr>
    <w:rPr>
      <w:szCs w:val="20"/>
    </w:rPr>
  </w:style>
  <w:style w:type="paragraph" w:styleId="52">
    <w:name w:val="Title"/>
    <w:basedOn w:val="1"/>
    <w:link w:val="223"/>
    <w:qFormat/>
    <w:uiPriority w:val="0"/>
    <w:pPr>
      <w:adjustRightInd w:val="0"/>
      <w:spacing w:line="288" w:lineRule="auto"/>
      <w:ind w:firstLine="420"/>
      <w:jc w:val="center"/>
      <w:textAlignment w:val="baseline"/>
      <w:outlineLvl w:val="0"/>
    </w:pPr>
    <w:rPr>
      <w:rFonts w:ascii="Arial" w:hAnsi="Arial"/>
      <w:b/>
      <w:bCs/>
      <w:sz w:val="32"/>
      <w:szCs w:val="32"/>
    </w:rPr>
  </w:style>
  <w:style w:type="paragraph" w:styleId="53">
    <w:name w:val="annotation subject"/>
    <w:basedOn w:val="17"/>
    <w:next w:val="17"/>
    <w:link w:val="198"/>
    <w:qFormat/>
    <w:uiPriority w:val="0"/>
  </w:style>
  <w:style w:type="paragraph" w:styleId="54">
    <w:name w:val="Body Text First Indent 2"/>
    <w:basedOn w:val="23"/>
    <w:next w:val="1"/>
    <w:unhideWhenUsed/>
    <w:qFormat/>
    <w:uiPriority w:val="99"/>
    <w:pPr>
      <w:ind w:firstLine="420" w:firstLineChars="200"/>
    </w:pPr>
  </w:style>
  <w:style w:type="table" w:styleId="56">
    <w:name w:val="Table Grid"/>
    <w:basedOn w:val="5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TML Typewriter"/>
    <w:qFormat/>
    <w:uiPriority w:val="0"/>
    <w:rPr>
      <w:rFonts w:ascii="宋体" w:hAnsi="宋体" w:eastAsia="宋体" w:cs="宋体"/>
      <w:sz w:val="24"/>
      <w:szCs w:val="24"/>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rFonts w:ascii="宋体" w:eastAsia="宋体"/>
      <w:vertAlign w:val="superscript"/>
    </w:rPr>
  </w:style>
  <w:style w:type="paragraph" w:customStyle="1" w:styleId="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7">
    <w:name w:val="xl22"/>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68">
    <w:name w:val="表格"/>
    <w:basedOn w:val="1"/>
    <w:qFormat/>
    <w:uiPriority w:val="0"/>
    <w:pPr>
      <w:jc w:val="center"/>
    </w:pPr>
    <w:rPr>
      <w:szCs w:val="21"/>
    </w:rPr>
  </w:style>
  <w:style w:type="paragraph" w:customStyle="1" w:styleId="69">
    <w:name w:val="默认段落字体 Para Char Char Char1 Char"/>
    <w:basedOn w:val="1"/>
    <w:qFormat/>
    <w:uiPriority w:val="0"/>
    <w:pPr>
      <w:spacing w:line="360" w:lineRule="auto"/>
      <w:ind w:left="420" w:firstLine="420"/>
    </w:pPr>
    <w:rPr>
      <w:kern w:val="0"/>
      <w:sz w:val="24"/>
      <w:szCs w:val="21"/>
    </w:rPr>
  </w:style>
  <w:style w:type="paragraph" w:customStyle="1" w:styleId="70">
    <w:name w:val="普通文字"/>
    <w:basedOn w:val="1"/>
    <w:next w:val="1"/>
    <w:qFormat/>
    <w:uiPriority w:val="0"/>
    <w:rPr>
      <w:rFonts w:ascii="宋体"/>
      <w:kern w:val="0"/>
      <w:sz w:val="24"/>
      <w:szCs w:val="20"/>
      <w:u w:color="000000"/>
    </w:rPr>
  </w:style>
  <w:style w:type="paragraph" w:customStyle="1" w:styleId="71">
    <w:name w:val="xl29"/>
    <w:basedOn w:val="1"/>
    <w:qFormat/>
    <w:uiPriority w:val="0"/>
    <w:pPr>
      <w:widowControl/>
      <w:pBdr>
        <w:top w:val="single" w:color="auto" w:sz="4" w:space="0"/>
        <w:bottom w:val="single" w:color="auto" w:sz="4" w:space="0"/>
      </w:pBdr>
      <w:spacing w:beforeAutospacing="1" w:afterAutospacing="1"/>
      <w:jc w:val="right"/>
      <w:textAlignment w:val="center"/>
    </w:pPr>
    <w:rPr>
      <w:rFonts w:ascii="宋体"/>
      <w:b/>
      <w:bCs/>
      <w:kern w:val="0"/>
      <w:sz w:val="20"/>
      <w:szCs w:val="20"/>
    </w:rPr>
  </w:style>
  <w:style w:type="paragraph" w:customStyle="1" w:styleId="72">
    <w:name w:val="Char Char Char1 Char Char Char"/>
    <w:basedOn w:val="1"/>
    <w:qFormat/>
    <w:uiPriority w:val="0"/>
    <w:pPr>
      <w:ind w:firstLine="200" w:firstLineChars="200"/>
    </w:pPr>
    <w:rPr>
      <w:rFonts w:ascii="Tahoma" w:hAnsi="Tahoma"/>
      <w:sz w:val="24"/>
      <w:szCs w:val="20"/>
    </w:rPr>
  </w:style>
  <w:style w:type="paragraph" w:customStyle="1" w:styleId="73">
    <w:name w:val="font14"/>
    <w:basedOn w:val="1"/>
    <w:qFormat/>
    <w:uiPriority w:val="0"/>
    <w:pPr>
      <w:widowControl/>
      <w:spacing w:beforeAutospacing="1" w:afterAutospacing="1"/>
      <w:jc w:val="left"/>
    </w:pPr>
    <w:rPr>
      <w:kern w:val="0"/>
      <w:sz w:val="36"/>
      <w:szCs w:val="36"/>
    </w:rPr>
  </w:style>
  <w:style w:type="paragraph" w:customStyle="1" w:styleId="74">
    <w:name w:val="页眉1"/>
    <w:basedOn w:val="1"/>
    <w:qFormat/>
    <w:uiPriority w:val="0"/>
    <w:pPr>
      <w:pBdr>
        <w:bottom w:val="double" w:color="auto" w:sz="6" w:space="1"/>
      </w:pBdr>
      <w:tabs>
        <w:tab w:val="center" w:pos="4153"/>
        <w:tab w:val="right" w:pos="8306"/>
      </w:tabs>
      <w:adjustRightInd w:val="0"/>
      <w:spacing w:line="240" w:lineRule="atLeast"/>
      <w:ind w:right="57" w:firstLine="420"/>
      <w:jc w:val="right"/>
      <w:textAlignment w:val="baseline"/>
    </w:pPr>
    <w:rPr>
      <w:rFonts w:eastAsia="仿宋_GB2312"/>
      <w:kern w:val="0"/>
      <w:sz w:val="18"/>
      <w:szCs w:val="20"/>
    </w:rPr>
  </w:style>
  <w:style w:type="paragraph" w:customStyle="1" w:styleId="75">
    <w:name w:val="文档-正文"/>
    <w:basedOn w:val="1"/>
    <w:link w:val="231"/>
    <w:qFormat/>
    <w:uiPriority w:val="0"/>
    <w:pPr>
      <w:widowControl/>
      <w:numPr>
        <w:ilvl w:val="1"/>
        <w:numId w:val="4"/>
      </w:numPr>
      <w:spacing w:line="360" w:lineRule="auto"/>
      <w:ind w:firstLine="200" w:firstLineChars="200"/>
      <w:jc w:val="left"/>
    </w:pPr>
    <w:rPr>
      <w:rFonts w:ascii="Arial" w:hAnsi="Arial"/>
      <w:kern w:val="0"/>
      <w:sz w:val="24"/>
      <w:szCs w:val="20"/>
    </w:rPr>
  </w:style>
  <w:style w:type="paragraph" w:customStyle="1" w:styleId="76">
    <w:name w:val="名词解释"/>
    <w:basedOn w:val="1"/>
    <w:qFormat/>
    <w:uiPriority w:val="0"/>
    <w:pPr>
      <w:adjustRightInd w:val="0"/>
      <w:spacing w:line="288" w:lineRule="auto"/>
      <w:ind w:left="2325" w:hanging="2325"/>
      <w:textAlignment w:val="baseline"/>
    </w:pPr>
    <w:rPr>
      <w:kern w:val="0"/>
      <w:szCs w:val="20"/>
    </w:rPr>
  </w:style>
  <w:style w:type="paragraph" w:customStyle="1" w:styleId="77">
    <w:name w:val="xl41"/>
    <w:basedOn w:val="1"/>
    <w:qFormat/>
    <w:uiPriority w:val="0"/>
    <w:pPr>
      <w:widowControl/>
      <w:pBdr>
        <w:top w:val="single" w:color="auto" w:sz="4" w:space="0"/>
        <w:left w:val="single" w:color="auto" w:sz="4" w:space="0"/>
      </w:pBdr>
      <w:spacing w:beforeAutospacing="1" w:afterAutospacing="1"/>
      <w:jc w:val="center"/>
      <w:textAlignment w:val="center"/>
    </w:pPr>
    <w:rPr>
      <w:rFonts w:ascii="宋体"/>
      <w:b/>
      <w:bCs/>
      <w:kern w:val="0"/>
      <w:sz w:val="20"/>
      <w:szCs w:val="20"/>
    </w:rPr>
  </w:style>
  <w:style w:type="paragraph" w:customStyle="1" w:styleId="78">
    <w:name w:val="Char1"/>
    <w:basedOn w:val="1"/>
    <w:qFormat/>
    <w:uiPriority w:val="0"/>
    <w:rPr>
      <w:rFonts w:ascii="仿宋_GB2312" w:eastAsia="仿宋_GB2312"/>
      <w:b/>
      <w:sz w:val="32"/>
      <w:szCs w:val="32"/>
    </w:rPr>
  </w:style>
  <w:style w:type="paragraph" w:customStyle="1" w:styleId="79">
    <w:name w:val="xl36"/>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80">
    <w:name w:val="xl25"/>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81">
    <w:name w:val="样式 正文文本缩进 2 + Times New Roman 首行缩进:  1.06 厘米 行距: 固定值 30 磅"/>
    <w:basedOn w:val="33"/>
    <w:qFormat/>
    <w:uiPriority w:val="0"/>
    <w:pPr>
      <w:tabs>
        <w:tab w:val="clear" w:pos="0"/>
        <w:tab w:val="clear" w:pos="1134"/>
      </w:tabs>
      <w:snapToGrid/>
      <w:spacing w:line="540" w:lineRule="exact"/>
      <w:ind w:firstLine="601" w:firstLineChars="0"/>
    </w:pPr>
    <w:rPr>
      <w:rFonts w:ascii="Times New Roman" w:eastAsia="宋体"/>
      <w:sz w:val="28"/>
      <w:szCs w:val="20"/>
    </w:rPr>
  </w:style>
  <w:style w:type="paragraph" w:customStyle="1" w:styleId="82">
    <w:name w:val="章标题"/>
    <w:next w:val="1"/>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83">
    <w:name w:val="font6"/>
    <w:basedOn w:val="1"/>
    <w:qFormat/>
    <w:uiPriority w:val="0"/>
    <w:pPr>
      <w:widowControl/>
      <w:adjustRightInd w:val="0"/>
      <w:spacing w:beforeAutospacing="1" w:afterAutospacing="1" w:line="288" w:lineRule="auto"/>
      <w:ind w:firstLine="420"/>
      <w:jc w:val="left"/>
      <w:textAlignment w:val="baseline"/>
    </w:pPr>
    <w:rPr>
      <w:kern w:val="0"/>
      <w:sz w:val="24"/>
    </w:rPr>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Autospacing="1" w:afterAutospacing="1"/>
      <w:jc w:val="right"/>
      <w:textAlignment w:val="center"/>
    </w:pPr>
    <w:rPr>
      <w:rFonts w:ascii="宋体"/>
      <w:b/>
      <w:bCs/>
      <w:kern w:val="0"/>
      <w:sz w:val="20"/>
      <w:szCs w:val="20"/>
    </w:rPr>
  </w:style>
  <w:style w:type="paragraph" w:customStyle="1" w:styleId="85">
    <w:name w:val="表中"/>
    <w:basedOn w:val="1"/>
    <w:qFormat/>
    <w:uiPriority w:val="0"/>
    <w:pPr>
      <w:adjustRightInd w:val="0"/>
      <w:spacing w:line="360" w:lineRule="atLeast"/>
      <w:jc w:val="center"/>
      <w:textAlignment w:val="baseline"/>
    </w:pPr>
    <w:rPr>
      <w:kern w:val="0"/>
      <w:szCs w:val="20"/>
    </w:rPr>
  </w:style>
  <w:style w:type="paragraph" w:customStyle="1" w:styleId="86">
    <w:name w:val="样式 标题 2第一层条h2H22UNDERRUBRIK 1-2R2H21H22H211H23H212H2...1"/>
    <w:basedOn w:val="4"/>
    <w:link w:val="229"/>
    <w:qFormat/>
    <w:uiPriority w:val="0"/>
    <w:pPr>
      <w:numPr>
        <w:numId w:val="0"/>
      </w:numPr>
      <w:spacing w:line="416" w:lineRule="auto"/>
    </w:pPr>
    <w:rPr>
      <w:rFonts w:ascii="宋体" w:hAnsi="宋体" w:eastAsia="宋体"/>
      <w:sz w:val="30"/>
    </w:rPr>
  </w:style>
  <w:style w:type="paragraph" w:customStyle="1" w:styleId="87">
    <w:name w:val="文档-标题2"/>
    <w:basedOn w:val="1"/>
    <w:next w:val="1"/>
    <w:qFormat/>
    <w:uiPriority w:val="0"/>
    <w:pPr>
      <w:keepNext/>
      <w:keepLines/>
      <w:numPr>
        <w:ilvl w:val="1"/>
        <w:numId w:val="6"/>
      </w:numPr>
      <w:spacing w:line="416" w:lineRule="auto"/>
      <w:jc w:val="left"/>
      <w:outlineLvl w:val="1"/>
    </w:pPr>
    <w:rPr>
      <w:rFonts w:ascii="Cambria" w:hAnsi="Cambria"/>
      <w:b/>
      <w:bCs/>
      <w:color w:val="7030A0"/>
      <w:sz w:val="32"/>
      <w:szCs w:val="32"/>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标题0"/>
    <w:basedOn w:val="52"/>
    <w:next w:val="52"/>
    <w:qFormat/>
    <w:uiPriority w:val="0"/>
    <w:rPr>
      <w:sz w:val="52"/>
    </w:rPr>
  </w:style>
  <w:style w:type="paragraph" w:customStyle="1" w:styleId="90">
    <w:name w:val="xl27"/>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91">
    <w:name w:val="标准文字"/>
    <w:basedOn w:val="1"/>
    <w:qFormat/>
    <w:uiPriority w:val="0"/>
    <w:pPr>
      <w:adjustRightInd w:val="0"/>
      <w:spacing w:line="360" w:lineRule="auto"/>
      <w:ind w:firstLine="420"/>
      <w:textAlignment w:val="baseline"/>
    </w:pPr>
  </w:style>
  <w:style w:type="paragraph" w:customStyle="1" w:styleId="92">
    <w:name w:val="函数注释1"/>
    <w:basedOn w:val="1"/>
    <w:qFormat/>
    <w:uiPriority w:val="0"/>
    <w:pPr>
      <w:adjustRightInd w:val="0"/>
      <w:spacing w:line="320" w:lineRule="exact"/>
      <w:ind w:left="1678" w:right="210" w:hanging="1049"/>
      <w:jc w:val="left"/>
      <w:textAlignment w:val="baseline"/>
    </w:pPr>
    <w:rPr>
      <w:kern w:val="0"/>
      <w:szCs w:val="20"/>
    </w:rPr>
  </w:style>
  <w:style w:type="paragraph" w:customStyle="1" w:styleId="93">
    <w:name w:val="xl4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94">
    <w:name w:val="xl4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95">
    <w:name w:val="正文1)"/>
    <w:basedOn w:val="1"/>
    <w:qFormat/>
    <w:uiPriority w:val="0"/>
    <w:pPr>
      <w:tabs>
        <w:tab w:val="left" w:pos="-120"/>
        <w:tab w:val="left" w:pos="0"/>
        <w:tab w:val="left" w:pos="120"/>
        <w:tab w:val="left" w:pos="425"/>
      </w:tabs>
      <w:adjustRightInd w:val="0"/>
      <w:spacing w:line="360" w:lineRule="auto"/>
      <w:ind w:left="425" w:hanging="425"/>
      <w:jc w:val="left"/>
      <w:textAlignment w:val="baseline"/>
    </w:pPr>
    <w:rPr>
      <w:rFonts w:ascii="宋体"/>
      <w:smallCaps/>
      <w:spacing w:val="-20"/>
      <w:sz w:val="24"/>
      <w:szCs w:val="20"/>
    </w:rPr>
  </w:style>
  <w:style w:type="paragraph" w:customStyle="1" w:styleId="96">
    <w:name w:val="xl45"/>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97">
    <w:name w:val="xl3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98">
    <w:name w:val="xl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99">
    <w:name w:val="Char Char Char Char"/>
    <w:basedOn w:val="1"/>
    <w:qFormat/>
    <w:uiPriority w:val="0"/>
    <w:rPr>
      <w:rFonts w:ascii="Tahoma" w:hAnsi="Tahoma"/>
      <w:sz w:val="24"/>
      <w:szCs w:val="20"/>
    </w:rPr>
  </w:style>
  <w:style w:type="paragraph" w:customStyle="1" w:styleId="100">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101">
    <w:name w:val="Char Char Char Char Char Char Char Char Char Char1"/>
    <w:basedOn w:val="1"/>
    <w:qFormat/>
    <w:uiPriority w:val="0"/>
    <w:pPr>
      <w:tabs>
        <w:tab w:val="left" w:pos="425"/>
      </w:tabs>
      <w:ind w:left="425" w:hanging="425"/>
    </w:pPr>
    <w:rPr>
      <w:sz w:val="28"/>
      <w:szCs w:val="20"/>
    </w:rPr>
  </w:style>
  <w:style w:type="paragraph" w:customStyle="1" w:styleId="102">
    <w:name w:val="xl63"/>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b/>
      <w:bCs/>
      <w:kern w:val="0"/>
      <w:sz w:val="20"/>
      <w:szCs w:val="20"/>
    </w:rPr>
  </w:style>
  <w:style w:type="paragraph" w:customStyle="1" w:styleId="103">
    <w:name w:val="xl24"/>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04">
    <w:name w:val="font10"/>
    <w:basedOn w:val="1"/>
    <w:qFormat/>
    <w:uiPriority w:val="0"/>
    <w:pPr>
      <w:widowControl/>
      <w:spacing w:beforeAutospacing="1" w:afterAutospacing="1"/>
      <w:jc w:val="left"/>
    </w:pPr>
    <w:rPr>
      <w:rFonts w:hint="eastAsia" w:ascii="楷体_GB2312" w:hAnsi="宋体" w:eastAsia="楷体_GB2312"/>
      <w:b/>
      <w:bCs/>
      <w:kern w:val="0"/>
      <w:sz w:val="18"/>
      <w:szCs w:val="18"/>
    </w:rPr>
  </w:style>
  <w:style w:type="paragraph" w:customStyle="1" w:styleId="105">
    <w:name w:val="文档-标题3"/>
    <w:basedOn w:val="1"/>
    <w:next w:val="1"/>
    <w:qFormat/>
    <w:uiPriority w:val="0"/>
    <w:pPr>
      <w:keepNext/>
      <w:keepLines/>
      <w:numPr>
        <w:ilvl w:val="3"/>
        <w:numId w:val="6"/>
      </w:numPr>
      <w:spacing w:line="416" w:lineRule="auto"/>
      <w:jc w:val="left"/>
      <w:outlineLvl w:val="2"/>
    </w:pPr>
    <w:rPr>
      <w:rFonts w:ascii="Calibri" w:hAnsi="Calibri"/>
      <w:b/>
      <w:bCs/>
      <w:color w:val="7030A0"/>
      <w:sz w:val="32"/>
      <w:szCs w:val="32"/>
    </w:rPr>
  </w:style>
  <w:style w:type="paragraph" w:customStyle="1" w:styleId="106">
    <w:name w:val="标准式样"/>
    <w:basedOn w:val="45"/>
    <w:qFormat/>
    <w:uiPriority w:val="0"/>
  </w:style>
  <w:style w:type="paragraph" w:customStyle="1" w:styleId="107">
    <w:name w:val="默认段落字体 Para Char"/>
    <w:basedOn w:val="1"/>
    <w:qFormat/>
    <w:uiPriority w:val="0"/>
    <w:pPr>
      <w:tabs>
        <w:tab w:val="left" w:pos="420"/>
      </w:tabs>
      <w:ind w:left="420" w:hanging="420"/>
    </w:pPr>
    <w:rPr>
      <w:sz w:val="24"/>
    </w:rPr>
  </w:style>
  <w:style w:type="paragraph" w:customStyle="1" w:styleId="108">
    <w:name w:val="xl26"/>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09">
    <w:name w:val="名词解释11"/>
    <w:basedOn w:val="76"/>
    <w:qFormat/>
    <w:uiPriority w:val="0"/>
    <w:pPr>
      <w:ind w:firstLine="0"/>
    </w:pPr>
  </w:style>
  <w:style w:type="paragraph" w:customStyle="1" w:styleId="110">
    <w:name w:val="列表_名词"/>
    <w:basedOn w:val="109"/>
    <w:qFormat/>
    <w:uiPriority w:val="0"/>
    <w:pPr>
      <w:tabs>
        <w:tab w:val="left" w:pos="2745"/>
      </w:tabs>
      <w:ind w:left="2745" w:hanging="420"/>
    </w:pPr>
  </w:style>
  <w:style w:type="paragraph" w:customStyle="1" w:styleId="111">
    <w:name w:val="Char"/>
    <w:basedOn w:val="1"/>
    <w:qFormat/>
    <w:uiPriority w:val="0"/>
    <w:rPr>
      <w:rFonts w:ascii="仿宋_GB2312" w:eastAsia="仿宋_GB2312"/>
      <w:b/>
      <w:sz w:val="32"/>
      <w:szCs w:val="32"/>
    </w:rPr>
  </w:style>
  <w:style w:type="paragraph" w:customStyle="1" w:styleId="112">
    <w:name w:val="Char Char Char Char Char Char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13">
    <w:name w:val="Char Char Char Char Char Char"/>
    <w:basedOn w:val="1"/>
    <w:qFormat/>
    <w:uiPriority w:val="0"/>
    <w:pPr>
      <w:widowControl/>
      <w:spacing w:line="240" w:lineRule="exact"/>
      <w:jc w:val="left"/>
    </w:pPr>
    <w:rPr>
      <w:rFonts w:ascii="黑体" w:eastAsia="黑体"/>
      <w:kern w:val="0"/>
      <w:sz w:val="32"/>
      <w:szCs w:val="32"/>
    </w:rPr>
  </w:style>
  <w:style w:type="paragraph" w:customStyle="1" w:styleId="114">
    <w:name w:val="font8"/>
    <w:basedOn w:val="1"/>
    <w:qFormat/>
    <w:uiPriority w:val="0"/>
    <w:pPr>
      <w:widowControl/>
      <w:spacing w:beforeAutospacing="1" w:afterAutospacing="1"/>
      <w:jc w:val="left"/>
    </w:pPr>
    <w:rPr>
      <w:rFonts w:hint="eastAsia" w:ascii="宋体" w:hAnsi="宋体"/>
      <w:b/>
      <w:bCs/>
      <w:i/>
      <w:iCs/>
      <w:kern w:val="0"/>
      <w:sz w:val="20"/>
      <w:szCs w:val="20"/>
    </w:rPr>
  </w:style>
  <w:style w:type="paragraph" w:customStyle="1" w:styleId="115">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16">
    <w:name w:val="正文(缩进)"/>
    <w:basedOn w:val="1"/>
    <w:qFormat/>
    <w:uiPriority w:val="0"/>
    <w:pPr>
      <w:widowControl/>
      <w:spacing w:line="360" w:lineRule="auto"/>
      <w:ind w:firstLine="200" w:firstLineChars="200"/>
    </w:pPr>
    <w:rPr>
      <w:rFonts w:eastAsia="仿宋_GB2312"/>
      <w:sz w:val="24"/>
      <w:szCs w:val="20"/>
    </w:rPr>
  </w:style>
  <w:style w:type="paragraph" w:customStyle="1" w:styleId="117">
    <w:name w:val="xl59"/>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b/>
      <w:bCs/>
      <w:i/>
      <w:iCs/>
      <w:kern w:val="0"/>
      <w:sz w:val="20"/>
      <w:szCs w:val="20"/>
    </w:rPr>
  </w:style>
  <w:style w:type="paragraph" w:styleId="118">
    <w:name w:val="List Paragraph"/>
    <w:basedOn w:val="1"/>
    <w:qFormat/>
    <w:uiPriority w:val="99"/>
    <w:pPr>
      <w:ind w:firstLine="200" w:firstLineChars="200"/>
    </w:pPr>
    <w:rPr>
      <w:rFonts w:ascii="Calibri" w:hAnsi="Calibri"/>
      <w:szCs w:val="22"/>
    </w:rPr>
  </w:style>
  <w:style w:type="paragraph" w:customStyle="1" w:styleId="119">
    <w:name w:val="font5"/>
    <w:basedOn w:val="1"/>
    <w:qFormat/>
    <w:uiPriority w:val="0"/>
    <w:pPr>
      <w:widowControl/>
      <w:spacing w:beforeAutospacing="1" w:afterAutospacing="1"/>
      <w:jc w:val="left"/>
    </w:pPr>
    <w:rPr>
      <w:rFonts w:ascii="宋体"/>
      <w:kern w:val="0"/>
      <w:sz w:val="18"/>
      <w:szCs w:val="18"/>
    </w:rPr>
  </w:style>
  <w:style w:type="paragraph" w:customStyle="1" w:styleId="120">
    <w:name w:val="程序代码"/>
    <w:basedOn w:val="1"/>
    <w:qFormat/>
    <w:uiPriority w:val="0"/>
    <w:pPr>
      <w:adjustRightInd w:val="0"/>
      <w:spacing w:line="288" w:lineRule="auto"/>
      <w:ind w:left="839" w:firstLine="420"/>
      <w:textAlignment w:val="baseline"/>
    </w:pPr>
    <w:rPr>
      <w:rFonts w:eastAsia="仿宋_GB2312"/>
    </w:rPr>
  </w:style>
  <w:style w:type="paragraph" w:customStyle="1" w:styleId="121">
    <w:name w:val="font12"/>
    <w:basedOn w:val="1"/>
    <w:qFormat/>
    <w:uiPriority w:val="0"/>
    <w:pPr>
      <w:widowControl/>
      <w:spacing w:beforeAutospacing="1" w:afterAutospacing="1"/>
      <w:jc w:val="left"/>
    </w:pPr>
    <w:rPr>
      <w:rFonts w:hint="eastAsia" w:ascii="宋体" w:hAnsi="宋体"/>
      <w:kern w:val="0"/>
      <w:sz w:val="36"/>
      <w:szCs w:val="36"/>
    </w:rPr>
  </w:style>
  <w:style w:type="paragraph" w:customStyle="1" w:styleId="122">
    <w:name w:val="Char Char Char Char Char Char Char1"/>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23">
    <w:name w:val="Char Char Char1 Char Char Char1"/>
    <w:basedOn w:val="1"/>
    <w:qFormat/>
    <w:uiPriority w:val="0"/>
    <w:pPr>
      <w:ind w:firstLine="200" w:firstLineChars="200"/>
    </w:pPr>
    <w:rPr>
      <w:rFonts w:ascii="Tahoma" w:hAnsi="Tahoma"/>
      <w:sz w:val="24"/>
      <w:szCs w:val="20"/>
    </w:rPr>
  </w:style>
  <w:style w:type="paragraph" w:customStyle="1" w:styleId="124">
    <w:name w:val="xl53"/>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pPr>
    <w:rPr>
      <w:b/>
      <w:bCs/>
      <w:i/>
      <w:iCs/>
      <w:kern w:val="0"/>
      <w:sz w:val="20"/>
      <w:szCs w:val="20"/>
    </w:rPr>
  </w:style>
  <w:style w:type="paragraph" w:customStyle="1" w:styleId="125">
    <w:name w:val="xl62"/>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26">
    <w:name w:val="font0"/>
    <w:basedOn w:val="1"/>
    <w:qFormat/>
    <w:uiPriority w:val="0"/>
    <w:pPr>
      <w:widowControl/>
      <w:spacing w:beforeAutospacing="1" w:afterAutospacing="1"/>
      <w:jc w:val="left"/>
    </w:pPr>
    <w:rPr>
      <w:rFonts w:ascii="宋体"/>
      <w:kern w:val="0"/>
      <w:sz w:val="18"/>
      <w:szCs w:val="18"/>
    </w:rPr>
  </w:style>
  <w:style w:type="paragraph" w:customStyle="1" w:styleId="127">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kern w:val="0"/>
      <w:sz w:val="20"/>
      <w:szCs w:val="20"/>
    </w:rPr>
  </w:style>
  <w:style w:type="paragraph" w:customStyle="1" w:styleId="128">
    <w:name w:val="纯文本1"/>
    <w:basedOn w:val="1"/>
    <w:qFormat/>
    <w:uiPriority w:val="0"/>
    <w:pPr>
      <w:adjustRightInd w:val="0"/>
      <w:textAlignment w:val="baseline"/>
    </w:pPr>
    <w:rPr>
      <w:rFonts w:ascii="宋体" w:hAnsi="Courier New" w:eastAsia="楷体_GB2312"/>
      <w:sz w:val="26"/>
      <w:szCs w:val="20"/>
    </w:rPr>
  </w:style>
  <w:style w:type="paragraph" w:customStyle="1" w:styleId="129">
    <w:name w:val="xl52"/>
    <w:basedOn w:val="1"/>
    <w:qFormat/>
    <w:uiPriority w:val="0"/>
    <w:pPr>
      <w:widowControl/>
      <w:pBdr>
        <w:bottom w:val="single" w:color="000000" w:sz="4" w:space="0"/>
      </w:pBdr>
      <w:spacing w:beforeAutospacing="1" w:afterAutospacing="1"/>
      <w:jc w:val="left"/>
      <w:textAlignment w:val="center"/>
    </w:pPr>
    <w:rPr>
      <w:rFonts w:ascii="楷体_GB2312" w:eastAsia="楷体_GB2312"/>
      <w:b/>
      <w:bCs/>
      <w:kern w:val="0"/>
      <w:sz w:val="24"/>
    </w:rPr>
  </w:style>
  <w:style w:type="paragraph" w:customStyle="1" w:styleId="130">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line="0" w:lineRule="atLeast"/>
      <w:ind w:firstLine="420"/>
      <w:jc w:val="center"/>
      <w:textAlignment w:val="baseline"/>
    </w:pPr>
    <w:rPr>
      <w:rFonts w:ascii="宋体"/>
      <w:b/>
      <w:sz w:val="30"/>
      <w:szCs w:val="20"/>
    </w:rPr>
  </w:style>
  <w:style w:type="paragraph" w:customStyle="1" w:styleId="131">
    <w:name w:val="xl60"/>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32">
    <w:name w:val="a14"/>
    <w:basedOn w:val="1"/>
    <w:qFormat/>
    <w:uiPriority w:val="0"/>
    <w:pPr>
      <w:widowControl/>
      <w:spacing w:beforeAutospacing="1" w:afterAutospacing="1"/>
      <w:jc w:val="left"/>
    </w:pPr>
    <w:rPr>
      <w:rFonts w:ascii="宋体" w:hAnsi="宋体"/>
      <w:kern w:val="0"/>
      <w:sz w:val="24"/>
      <w:szCs w:val="20"/>
    </w:rPr>
  </w:style>
  <w:style w:type="paragraph" w:customStyle="1" w:styleId="133">
    <w:name w:val="表格标题"/>
    <w:basedOn w:val="1"/>
    <w:qFormat/>
    <w:uiPriority w:val="0"/>
    <w:pPr>
      <w:adjustRightInd w:val="0"/>
      <w:spacing w:line="400" w:lineRule="exact"/>
      <w:jc w:val="center"/>
      <w:textAlignment w:val="baseline"/>
    </w:pPr>
    <w:rPr>
      <w:rFonts w:eastAsia="文鼎CS中宋"/>
      <w:spacing w:val="8"/>
      <w:kern w:val="0"/>
      <w:sz w:val="24"/>
      <w:szCs w:val="20"/>
    </w:rPr>
  </w:style>
  <w:style w:type="paragraph" w:customStyle="1" w:styleId="134">
    <w:name w:val="目录文字"/>
    <w:basedOn w:val="1"/>
    <w:qFormat/>
    <w:uiPriority w:val="0"/>
    <w:pPr>
      <w:widowControl/>
      <w:spacing w:line="480" w:lineRule="auto"/>
      <w:jc w:val="left"/>
    </w:pPr>
    <w:rPr>
      <w:rFonts w:ascii="宋体"/>
      <w:kern w:val="0"/>
      <w:sz w:val="24"/>
      <w:szCs w:val="20"/>
    </w:rPr>
  </w:style>
  <w:style w:type="paragraph" w:customStyle="1" w:styleId="135">
    <w:name w:val="无缩进正文"/>
    <w:basedOn w:val="1"/>
    <w:qFormat/>
    <w:uiPriority w:val="0"/>
    <w:pPr>
      <w:adjustRightInd w:val="0"/>
      <w:textAlignment w:val="baseline"/>
    </w:pPr>
    <w:rPr>
      <w:kern w:val="0"/>
      <w:szCs w:val="20"/>
    </w:rPr>
  </w:style>
  <w:style w:type="paragraph" w:customStyle="1" w:styleId="136">
    <w:name w:val="font13"/>
    <w:basedOn w:val="1"/>
    <w:qFormat/>
    <w:uiPriority w:val="0"/>
    <w:pPr>
      <w:widowControl/>
      <w:spacing w:beforeAutospacing="1" w:afterAutospacing="1"/>
      <w:jc w:val="left"/>
    </w:pPr>
    <w:rPr>
      <w:i/>
      <w:iCs/>
      <w:kern w:val="0"/>
      <w:sz w:val="36"/>
      <w:szCs w:val="36"/>
    </w:rPr>
  </w:style>
  <w:style w:type="paragraph" w:customStyle="1" w:styleId="137">
    <w:name w:val="Heading 0"/>
    <w:basedOn w:val="1"/>
    <w:qFormat/>
    <w:uiPriority w:val="0"/>
    <w:pPr>
      <w:widowControl/>
      <w:jc w:val="center"/>
    </w:pPr>
    <w:rPr>
      <w:rFonts w:ascii="Arial" w:hAnsi="Arial" w:eastAsia="MS Mincho"/>
      <w:b/>
      <w:kern w:val="0"/>
      <w:sz w:val="28"/>
      <w:szCs w:val="20"/>
      <w:lang w:eastAsia="en-US"/>
    </w:rPr>
  </w:style>
  <w:style w:type="paragraph" w:customStyle="1" w:styleId="138">
    <w:name w:val="题注4"/>
    <w:basedOn w:val="1"/>
    <w:next w:val="14"/>
    <w:qFormat/>
    <w:uiPriority w:val="0"/>
    <w:pPr>
      <w:jc w:val="center"/>
    </w:pPr>
    <w:rPr>
      <w:b/>
      <w:color w:val="000000"/>
      <w:szCs w:val="21"/>
      <w:lang w:val="en-GB" w:eastAsia="en-GB"/>
    </w:rPr>
  </w:style>
  <w:style w:type="paragraph" w:customStyle="1" w:styleId="139">
    <w:name w:val="列表2"/>
    <w:basedOn w:val="1"/>
    <w:qFormat/>
    <w:uiPriority w:val="0"/>
    <w:pPr>
      <w:tabs>
        <w:tab w:val="left" w:pos="1470"/>
      </w:tabs>
      <w:adjustRightInd w:val="0"/>
      <w:spacing w:line="288" w:lineRule="auto"/>
      <w:ind w:left="1469" w:hanging="420"/>
      <w:textAlignment w:val="baseline"/>
    </w:pPr>
  </w:style>
  <w:style w:type="paragraph" w:customStyle="1" w:styleId="140">
    <w:name w:val="目录"/>
    <w:basedOn w:val="1"/>
    <w:next w:val="1"/>
    <w:qFormat/>
    <w:uiPriority w:val="0"/>
    <w:pPr>
      <w:adjustRightInd w:val="0"/>
      <w:spacing w:line="360" w:lineRule="auto"/>
      <w:ind w:firstLine="420"/>
      <w:jc w:val="center"/>
      <w:textAlignment w:val="baseline"/>
    </w:pPr>
    <w:rPr>
      <w:b/>
      <w:spacing w:val="200"/>
      <w:sz w:val="36"/>
      <w:szCs w:val="20"/>
    </w:rPr>
  </w:style>
  <w:style w:type="paragraph" w:customStyle="1" w:styleId="141">
    <w:name w:val="xl4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rFonts w:ascii="宋体"/>
      <w:color w:val="0000FF"/>
      <w:kern w:val="0"/>
      <w:sz w:val="24"/>
    </w:rPr>
  </w:style>
  <w:style w:type="paragraph" w:customStyle="1" w:styleId="142">
    <w:name w:val="xl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143">
    <w:name w:val="xl23"/>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144">
    <w:name w:val="Char2"/>
    <w:basedOn w:val="1"/>
    <w:qFormat/>
    <w:uiPriority w:val="0"/>
    <w:rPr>
      <w:rFonts w:ascii="仿宋_GB2312" w:eastAsia="仿宋_GB2312"/>
      <w:b/>
      <w:sz w:val="32"/>
      <w:szCs w:val="32"/>
    </w:rPr>
  </w:style>
  <w:style w:type="paragraph" w:customStyle="1" w:styleId="145">
    <w:name w:val="表格文字"/>
    <w:basedOn w:val="1"/>
    <w:qFormat/>
    <w:uiPriority w:val="0"/>
    <w:pPr>
      <w:adjustRightInd w:val="0"/>
      <w:spacing w:line="288" w:lineRule="auto"/>
      <w:jc w:val="left"/>
      <w:textAlignment w:val="baseline"/>
    </w:pPr>
    <w:rPr>
      <w:kern w:val="0"/>
      <w:szCs w:val="20"/>
    </w:rPr>
  </w:style>
  <w:style w:type="paragraph" w:customStyle="1" w:styleId="146">
    <w:name w:val="默认段落字体 Para Char Char Char Char"/>
    <w:basedOn w:val="1"/>
    <w:qFormat/>
    <w:uiPriority w:val="0"/>
    <w:rPr>
      <w:szCs w:val="20"/>
    </w:rPr>
  </w:style>
  <w:style w:type="paragraph" w:customStyle="1" w:styleId="147">
    <w:name w:val="font7"/>
    <w:basedOn w:val="1"/>
    <w:qFormat/>
    <w:uiPriority w:val="0"/>
    <w:pPr>
      <w:widowControl/>
      <w:adjustRightInd w:val="0"/>
      <w:spacing w:beforeAutospacing="1" w:afterAutospacing="1" w:line="288" w:lineRule="auto"/>
      <w:ind w:firstLine="420"/>
      <w:jc w:val="left"/>
      <w:textAlignment w:val="baseline"/>
    </w:pPr>
    <w:rPr>
      <w:b/>
      <w:bCs/>
      <w:kern w:val="0"/>
      <w:sz w:val="24"/>
    </w:rPr>
  </w:style>
  <w:style w:type="paragraph" w:customStyle="1" w:styleId="148">
    <w:name w:val="项目编号1"/>
    <w:basedOn w:val="1"/>
    <w:next w:val="1"/>
    <w:qFormat/>
    <w:uiPriority w:val="0"/>
    <w:pPr>
      <w:numPr>
        <w:ilvl w:val="0"/>
        <w:numId w:val="7"/>
      </w:numPr>
      <w:spacing w:line="360" w:lineRule="auto"/>
      <w:jc w:val="left"/>
    </w:pPr>
    <w:rPr>
      <w:rFonts w:ascii="宋体"/>
      <w:sz w:val="24"/>
    </w:rPr>
  </w:style>
  <w:style w:type="paragraph" w:customStyle="1" w:styleId="149">
    <w:name w:val="样式一"/>
    <w:basedOn w:val="1"/>
    <w:qFormat/>
    <w:uiPriority w:val="0"/>
    <w:pPr>
      <w:numPr>
        <w:ilvl w:val="2"/>
        <w:numId w:val="1"/>
      </w:numPr>
      <w:tabs>
        <w:tab w:val="clear" w:pos="1080"/>
      </w:tabs>
      <w:autoSpaceDE w:val="0"/>
      <w:autoSpaceDN w:val="0"/>
      <w:adjustRightInd w:val="0"/>
      <w:spacing w:line="360" w:lineRule="exact"/>
      <w:textAlignment w:val="baseline"/>
    </w:pPr>
    <w:rPr>
      <w:rFonts w:ascii="宋体" w:hAnsi="宋体" w:eastAsia="黑体"/>
      <w:kern w:val="0"/>
      <w:sz w:val="24"/>
      <w:szCs w:val="20"/>
      <w:lang w:val="en-GB" w:eastAsia="en-GB"/>
    </w:rPr>
  </w:style>
  <w:style w:type="paragraph" w:customStyle="1" w:styleId="150">
    <w:name w:val="xl44"/>
    <w:basedOn w:val="1"/>
    <w:qFormat/>
    <w:uiPriority w:val="0"/>
    <w:pPr>
      <w:widowControl/>
      <w:pBdr>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51">
    <w:name w:val="回信地址"/>
    <w:basedOn w:val="1"/>
    <w:qFormat/>
    <w:uiPriority w:val="0"/>
    <w:pPr>
      <w:keepLines/>
      <w:widowControl/>
      <w:adjustRightInd w:val="0"/>
      <w:spacing w:line="200" w:lineRule="atLeast"/>
      <w:ind w:right="-120" w:firstLine="420"/>
      <w:jc w:val="left"/>
      <w:textAlignment w:val="baseline"/>
    </w:pPr>
    <w:rPr>
      <w:kern w:val="0"/>
      <w:sz w:val="16"/>
      <w:szCs w:val="20"/>
    </w:rPr>
  </w:style>
  <w:style w:type="paragraph" w:customStyle="1" w:styleId="152">
    <w:name w:val="xl28"/>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153">
    <w:name w:val="xl54"/>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rFonts w:ascii="宋体" w:hAnsi="宋体"/>
      <w:b/>
      <w:bCs/>
      <w:kern w:val="0"/>
      <w:sz w:val="20"/>
      <w:szCs w:val="20"/>
    </w:rPr>
  </w:style>
  <w:style w:type="paragraph" w:customStyle="1" w:styleId="154">
    <w:name w:val="xl57"/>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155">
    <w:name w:val="样式6"/>
    <w:basedOn w:val="7"/>
    <w:qFormat/>
    <w:uiPriority w:val="0"/>
    <w:pPr>
      <w:numPr>
        <w:numId w:val="0"/>
      </w:numPr>
      <w:spacing w:line="400" w:lineRule="exact"/>
      <w:jc w:val="center"/>
    </w:pPr>
    <w:rPr>
      <w:rFonts w:ascii="Times New Roman" w:eastAsia="宋体"/>
      <w:sz w:val="24"/>
    </w:rPr>
  </w:style>
  <w:style w:type="paragraph" w:customStyle="1" w:styleId="156">
    <w:name w:val="项目编号3"/>
    <w:basedOn w:val="1"/>
    <w:next w:val="1"/>
    <w:qFormat/>
    <w:uiPriority w:val="0"/>
    <w:pPr>
      <w:numPr>
        <w:ilvl w:val="0"/>
        <w:numId w:val="8"/>
      </w:numPr>
      <w:spacing w:line="360" w:lineRule="auto"/>
      <w:ind w:left="0" w:firstLine="200" w:firstLineChars="200"/>
      <w:jc w:val="left"/>
    </w:pPr>
    <w:rPr>
      <w:rFonts w:ascii="宋体"/>
      <w:sz w:val="24"/>
    </w:rPr>
  </w:style>
  <w:style w:type="paragraph" w:customStyle="1" w:styleId="157">
    <w:name w:val="xl38"/>
    <w:basedOn w:val="1"/>
    <w:qFormat/>
    <w:uiPriority w:val="0"/>
    <w:pPr>
      <w:widowControl/>
      <w:spacing w:beforeAutospacing="1" w:afterAutospacing="1"/>
      <w:jc w:val="center"/>
    </w:pPr>
    <w:rPr>
      <w:rFonts w:ascii="隶书" w:eastAsia="隶书"/>
      <w:b/>
      <w:bCs/>
      <w:kern w:val="0"/>
      <w:sz w:val="48"/>
      <w:szCs w:val="48"/>
    </w:rPr>
  </w:style>
  <w:style w:type="paragraph" w:customStyle="1" w:styleId="158">
    <w:name w:val="样式1"/>
    <w:basedOn w:val="1"/>
    <w:qFormat/>
    <w:uiPriority w:val="0"/>
    <w:pPr>
      <w:spacing w:line="300" w:lineRule="auto"/>
    </w:pPr>
    <w:rPr>
      <w:rFonts w:ascii="宋体"/>
      <w:b/>
      <w:sz w:val="24"/>
      <w:szCs w:val="20"/>
    </w:rPr>
  </w:style>
  <w:style w:type="paragraph" w:customStyle="1" w:styleId="15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60">
    <w:name w:val="简介正文"/>
    <w:basedOn w:val="1"/>
    <w:qFormat/>
    <w:uiPriority w:val="0"/>
    <w:pPr>
      <w:numPr>
        <w:ilvl w:val="0"/>
        <w:numId w:val="9"/>
      </w:numPr>
      <w:tabs>
        <w:tab w:val="clear" w:pos="425"/>
      </w:tabs>
      <w:adjustRightInd w:val="0"/>
      <w:spacing w:line="520" w:lineRule="exact"/>
      <w:ind w:left="1701" w:hanging="1701"/>
      <w:textAlignment w:val="baseline"/>
    </w:pPr>
    <w:rPr>
      <w:sz w:val="24"/>
      <w:szCs w:val="20"/>
    </w:rPr>
  </w:style>
  <w:style w:type="paragraph" w:customStyle="1" w:styleId="161">
    <w:name w:val="样式2"/>
    <w:basedOn w:val="3"/>
    <w:qFormat/>
    <w:uiPriority w:val="0"/>
    <w:pPr>
      <w:numPr>
        <w:numId w:val="10"/>
      </w:numPr>
      <w:tabs>
        <w:tab w:val="left" w:pos="425"/>
      </w:tabs>
      <w:jc w:val="both"/>
    </w:pPr>
    <w:rPr>
      <w:rFonts w:ascii="Times New Roman"/>
      <w:sz w:val="32"/>
    </w:rPr>
  </w:style>
  <w:style w:type="paragraph" w:customStyle="1" w:styleId="162">
    <w:name w:val="xl50"/>
    <w:basedOn w:val="1"/>
    <w:qFormat/>
    <w:uiPriority w:val="0"/>
    <w:pPr>
      <w:widowControl/>
      <w:spacing w:beforeAutospacing="1" w:afterAutospacing="1"/>
      <w:jc w:val="center"/>
      <w:textAlignment w:val="center"/>
    </w:pPr>
    <w:rPr>
      <w:rFonts w:ascii="宋体"/>
      <w:b/>
      <w:bCs/>
      <w:kern w:val="0"/>
      <w:sz w:val="40"/>
      <w:szCs w:val="40"/>
    </w:rPr>
  </w:style>
  <w:style w:type="paragraph" w:customStyle="1" w:styleId="163">
    <w:name w:val="xl42"/>
    <w:basedOn w:val="1"/>
    <w:qFormat/>
    <w:uiPriority w:val="0"/>
    <w:pPr>
      <w:widowControl/>
      <w:pBdr>
        <w:top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64">
    <w:name w:val="xl56"/>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kern w:val="0"/>
      <w:sz w:val="20"/>
      <w:szCs w:val="20"/>
    </w:rPr>
  </w:style>
  <w:style w:type="paragraph" w:customStyle="1" w:styleId="165">
    <w:name w:val="并列项-点"/>
    <w:basedOn w:val="1"/>
    <w:qFormat/>
    <w:uiPriority w:val="0"/>
    <w:pPr>
      <w:widowControl/>
      <w:tabs>
        <w:tab w:val="left" w:pos="851"/>
        <w:tab w:val="left" w:pos="927"/>
      </w:tabs>
      <w:adjustRightInd w:val="0"/>
      <w:snapToGrid w:val="0"/>
      <w:spacing w:line="360" w:lineRule="auto"/>
      <w:ind w:left="851" w:hanging="284"/>
      <w:textAlignment w:val="baseline"/>
    </w:pPr>
    <w:rPr>
      <w:kern w:val="0"/>
      <w:sz w:val="24"/>
      <w:szCs w:val="20"/>
    </w:rPr>
  </w:style>
  <w:style w:type="paragraph" w:customStyle="1" w:styleId="166">
    <w:name w:val="样式 纯文本 + 楷体_GB2312 小四 行距: 固定值 20 磅1"/>
    <w:basedOn w:val="28"/>
    <w:qFormat/>
    <w:uiPriority w:val="0"/>
    <w:pPr>
      <w:spacing w:line="400" w:lineRule="exact"/>
      <w:ind w:firstLine="200" w:firstLineChars="200"/>
    </w:pPr>
    <w:rPr>
      <w:rFonts w:ascii="楷体_GB2312" w:eastAsia="楷体_GB2312"/>
      <w:sz w:val="24"/>
      <w:szCs w:val="20"/>
    </w:rPr>
  </w:style>
  <w:style w:type="paragraph" w:customStyle="1" w:styleId="167">
    <w:name w:val="xl58"/>
    <w:basedOn w:val="1"/>
    <w:qFormat/>
    <w:uiPriority w:val="0"/>
    <w:pPr>
      <w:widowControl/>
      <w:pBdr>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168">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169">
    <w:name w:val="xl3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170">
    <w:name w:val="xl37"/>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71">
    <w:name w:val="Char Char Char Char Char Char Char Char Char Char Char Char Char Char Char Char"/>
    <w:basedOn w:val="1"/>
    <w:qFormat/>
    <w:uiPriority w:val="0"/>
    <w:pPr>
      <w:tabs>
        <w:tab w:val="left" w:pos="360"/>
      </w:tabs>
    </w:pPr>
    <w:rPr>
      <w:sz w:val="24"/>
    </w:rPr>
  </w:style>
  <w:style w:type="paragraph" w:customStyle="1" w:styleId="172">
    <w:name w:val="标准段落"/>
    <w:basedOn w:val="1"/>
    <w:qFormat/>
    <w:uiPriority w:val="0"/>
    <w:pPr>
      <w:topLinePunct/>
      <w:autoSpaceDE w:val="0"/>
      <w:autoSpaceDN w:val="0"/>
      <w:spacing w:line="360" w:lineRule="auto"/>
      <w:ind w:left="420"/>
    </w:pPr>
    <w:rPr>
      <w:rFonts w:ascii="宋体" w:hAnsi="宋体"/>
      <w:bCs/>
      <w:szCs w:val="21"/>
    </w:rPr>
  </w:style>
  <w:style w:type="paragraph" w:customStyle="1" w:styleId="173">
    <w:name w:val="Javis"/>
    <w:basedOn w:val="1"/>
    <w:qFormat/>
    <w:uiPriority w:val="0"/>
    <w:pPr>
      <w:ind w:right="100" w:rightChars="100"/>
    </w:pPr>
    <w:rPr>
      <w:rFonts w:cs="宋体"/>
      <w:sz w:val="24"/>
      <w:szCs w:val="20"/>
    </w:rPr>
  </w:style>
  <w:style w:type="paragraph" w:customStyle="1" w:styleId="174">
    <w:name w:val="xl55"/>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kern w:val="0"/>
      <w:sz w:val="20"/>
      <w:szCs w:val="20"/>
    </w:rPr>
  </w:style>
  <w:style w:type="paragraph" w:customStyle="1" w:styleId="175">
    <w:name w:val="xl61"/>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76">
    <w:name w:val="xl48"/>
    <w:basedOn w:val="1"/>
    <w:qFormat/>
    <w:uiPriority w:val="0"/>
    <w:pPr>
      <w:widowControl/>
      <w:pBdr>
        <w:top w:val="single" w:color="000000" w:sz="4" w:space="0"/>
        <w:left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177">
    <w:name w:val="函数注释2"/>
    <w:basedOn w:val="1"/>
    <w:qFormat/>
    <w:uiPriority w:val="0"/>
    <w:pPr>
      <w:adjustRightInd w:val="0"/>
      <w:spacing w:line="288" w:lineRule="auto"/>
      <w:ind w:left="1680" w:firstLine="420"/>
      <w:textAlignment w:val="baseline"/>
    </w:pPr>
  </w:style>
  <w:style w:type="paragraph" w:customStyle="1" w:styleId="178">
    <w:name w:val="Char Char Char"/>
    <w:basedOn w:val="1"/>
    <w:qFormat/>
    <w:uiPriority w:val="0"/>
    <w:pPr>
      <w:tabs>
        <w:tab w:val="left" w:pos="1545"/>
      </w:tabs>
      <w:ind w:left="425" w:hanging="425"/>
    </w:pPr>
    <w:rPr>
      <w:szCs w:val="20"/>
    </w:rPr>
  </w:style>
  <w:style w:type="paragraph" w:customStyle="1" w:styleId="179">
    <w:name w:val="表格正文"/>
    <w:basedOn w:val="1"/>
    <w:link w:val="224"/>
    <w:qFormat/>
    <w:uiPriority w:val="0"/>
  </w:style>
  <w:style w:type="paragraph" w:customStyle="1" w:styleId="180">
    <w:name w:val="正文1"/>
    <w:basedOn w:val="1"/>
    <w:qFormat/>
    <w:uiPriority w:val="0"/>
    <w:pPr>
      <w:spacing w:line="360" w:lineRule="auto"/>
      <w:ind w:right="1" w:rightChars="1"/>
    </w:pPr>
    <w:rPr>
      <w:rFonts w:ascii="宋体" w:hAnsi="宋体"/>
      <w:color w:val="000000"/>
      <w:sz w:val="24"/>
      <w:szCs w:val="20"/>
    </w:rPr>
  </w:style>
  <w:style w:type="paragraph" w:customStyle="1" w:styleId="181">
    <w:name w:val="图形"/>
    <w:basedOn w:val="1"/>
    <w:qFormat/>
    <w:uiPriority w:val="0"/>
    <w:pPr>
      <w:adjustRightInd w:val="0"/>
      <w:spacing w:line="288" w:lineRule="auto"/>
      <w:ind w:firstLine="420"/>
      <w:jc w:val="center"/>
      <w:textAlignment w:val="baseline"/>
    </w:pPr>
  </w:style>
  <w:style w:type="paragraph" w:customStyle="1" w:styleId="182">
    <w:name w:val="xl51"/>
    <w:basedOn w:val="1"/>
    <w:qFormat/>
    <w:uiPriority w:val="0"/>
    <w:pPr>
      <w:widowControl/>
      <w:pBdr>
        <w:bottom w:val="single" w:color="000000" w:sz="4" w:space="0"/>
      </w:pBdr>
      <w:spacing w:beforeAutospacing="1" w:afterAutospacing="1"/>
      <w:jc w:val="left"/>
    </w:pPr>
    <w:rPr>
      <w:rFonts w:ascii="楷体_GB2312" w:eastAsia="楷体_GB2312"/>
      <w:b/>
      <w:bCs/>
      <w:color w:val="000000"/>
      <w:kern w:val="0"/>
      <w:sz w:val="24"/>
    </w:rPr>
  </w:style>
  <w:style w:type="paragraph" w:customStyle="1" w:styleId="183">
    <w:name w:val="xl4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184">
    <w:name w:val="重点"/>
    <w:basedOn w:val="1"/>
    <w:qFormat/>
    <w:uiPriority w:val="0"/>
    <w:pPr>
      <w:shd w:val="pct10" w:color="auto" w:fill="auto"/>
      <w:adjustRightInd w:val="0"/>
      <w:spacing w:line="288" w:lineRule="auto"/>
      <w:ind w:firstLine="420"/>
      <w:textAlignment w:val="baseline"/>
    </w:pPr>
    <w:rPr>
      <w:rFonts w:eastAsia="黑体"/>
      <w:b/>
    </w:rPr>
  </w:style>
  <w:style w:type="paragraph" w:customStyle="1" w:styleId="185">
    <w:name w:val="Author"/>
    <w:basedOn w:val="137"/>
    <w:qFormat/>
    <w:uiPriority w:val="0"/>
    <w:pPr>
      <w:jc w:val="right"/>
    </w:pPr>
    <w:rPr>
      <w:b w:val="0"/>
    </w:rPr>
  </w:style>
  <w:style w:type="paragraph" w:customStyle="1" w:styleId="186">
    <w:name w:val="Char Char1 Char Char Char Char Char Char Char"/>
    <w:basedOn w:val="1"/>
    <w:qFormat/>
    <w:uiPriority w:val="0"/>
    <w:rPr>
      <w:rFonts w:ascii="Tahoma" w:hAnsi="Tahoma"/>
      <w:sz w:val="24"/>
      <w:szCs w:val="20"/>
    </w:rPr>
  </w:style>
  <w:style w:type="paragraph" w:customStyle="1" w:styleId="187">
    <w:name w:val="font9"/>
    <w:basedOn w:val="1"/>
    <w:qFormat/>
    <w:uiPriority w:val="0"/>
    <w:pPr>
      <w:widowControl/>
      <w:spacing w:beforeAutospacing="1" w:afterAutospacing="1"/>
      <w:jc w:val="left"/>
    </w:pPr>
    <w:rPr>
      <w:b/>
      <w:bCs/>
      <w:kern w:val="0"/>
      <w:sz w:val="20"/>
      <w:szCs w:val="20"/>
    </w:rPr>
  </w:style>
  <w:style w:type="paragraph" w:customStyle="1" w:styleId="188">
    <w:name w:val="font11"/>
    <w:basedOn w:val="1"/>
    <w:qFormat/>
    <w:uiPriority w:val="0"/>
    <w:pPr>
      <w:widowControl/>
      <w:spacing w:beforeAutospacing="1" w:afterAutospacing="1"/>
      <w:jc w:val="left"/>
    </w:pPr>
    <w:rPr>
      <w:b/>
      <w:bCs/>
      <w:kern w:val="0"/>
      <w:sz w:val="18"/>
      <w:szCs w:val="18"/>
    </w:rPr>
  </w:style>
  <w:style w:type="paragraph" w:customStyle="1" w:styleId="189">
    <w:name w:val="Char Char Char Char Char Char1"/>
    <w:basedOn w:val="1"/>
    <w:qFormat/>
    <w:uiPriority w:val="0"/>
    <w:pPr>
      <w:widowControl/>
      <w:numPr>
        <w:ilvl w:val="0"/>
        <w:numId w:val="11"/>
      </w:numPr>
      <w:spacing w:line="240" w:lineRule="exact"/>
      <w:ind w:left="0" w:firstLine="0"/>
      <w:jc w:val="left"/>
    </w:pPr>
    <w:rPr>
      <w:rFonts w:ascii="黑体" w:hAnsi="Verdana" w:eastAsia="黑体"/>
      <w:kern w:val="0"/>
      <w:sz w:val="32"/>
      <w:szCs w:val="32"/>
    </w:rPr>
  </w:style>
  <w:style w:type="paragraph" w:customStyle="1" w:styleId="190">
    <w:name w:val="Char Char Char Char Char Char Char Char Char Char Char Char Char Char Char Char1"/>
    <w:basedOn w:val="1"/>
    <w:qFormat/>
    <w:uiPriority w:val="0"/>
    <w:pPr>
      <w:tabs>
        <w:tab w:val="left" w:pos="360"/>
      </w:tabs>
    </w:pPr>
    <w:rPr>
      <w:sz w:val="24"/>
    </w:rPr>
  </w:style>
  <w:style w:type="paragraph" w:customStyle="1" w:styleId="191">
    <w:name w:val="xl49"/>
    <w:basedOn w:val="1"/>
    <w:qFormat/>
    <w:uiPriority w:val="0"/>
    <w:pPr>
      <w:widowControl/>
      <w:spacing w:beforeAutospacing="1" w:afterAutospacing="1"/>
      <w:jc w:val="center"/>
      <w:textAlignment w:val="center"/>
    </w:pPr>
    <w:rPr>
      <w:rFonts w:ascii="宋体"/>
      <w:b/>
      <w:bCs/>
      <w:color w:val="000000"/>
      <w:kern w:val="0"/>
      <w:sz w:val="40"/>
      <w:szCs w:val="40"/>
    </w:rPr>
  </w:style>
  <w:style w:type="character" w:customStyle="1" w:styleId="192">
    <w:name w:val="style4"/>
    <w:basedOn w:val="57"/>
    <w:qFormat/>
    <w:uiPriority w:val="0"/>
  </w:style>
  <w:style w:type="character" w:customStyle="1" w:styleId="193">
    <w:name w:val="标题 9 Char"/>
    <w:link w:val="11"/>
    <w:qFormat/>
    <w:uiPriority w:val="0"/>
    <w:rPr>
      <w:rFonts w:ascii="Arial" w:hAnsi="Arial" w:eastAsia="黑体"/>
      <w:kern w:val="2"/>
      <w:sz w:val="21"/>
      <w:szCs w:val="24"/>
    </w:rPr>
  </w:style>
  <w:style w:type="character" w:customStyle="1" w:styleId="194">
    <w:name w:val="HTML 预设格式 Char"/>
    <w:link w:val="48"/>
    <w:qFormat/>
    <w:uiPriority w:val="0"/>
    <w:rPr>
      <w:rFonts w:ascii="黑体" w:hAnsi="Times New Roman" w:eastAsia="黑体"/>
      <w:kern w:val="2"/>
      <w:sz w:val="21"/>
      <w:szCs w:val="24"/>
    </w:rPr>
  </w:style>
  <w:style w:type="character" w:customStyle="1" w:styleId="195">
    <w:name w:val="Char Char"/>
    <w:qFormat/>
    <w:uiPriority w:val="0"/>
    <w:rPr>
      <w:rFonts w:eastAsia="宋体"/>
      <w:b/>
      <w:bCs/>
      <w:sz w:val="32"/>
      <w:szCs w:val="44"/>
      <w:lang w:val="en-US" w:eastAsia="zh-CN" w:bidi="ar-SA"/>
    </w:rPr>
  </w:style>
  <w:style w:type="character" w:customStyle="1" w:styleId="196">
    <w:name w:val="标题 6 Char"/>
    <w:link w:val="8"/>
    <w:qFormat/>
    <w:uiPriority w:val="0"/>
    <w:rPr>
      <w:rFonts w:ascii="Arial" w:hAnsi="Arial" w:eastAsia="黑体"/>
      <w:b/>
      <w:kern w:val="2"/>
      <w:sz w:val="24"/>
      <w:szCs w:val="24"/>
    </w:rPr>
  </w:style>
  <w:style w:type="character" w:customStyle="1" w:styleId="197">
    <w:name w:val="标题 8 Char"/>
    <w:link w:val="10"/>
    <w:qFormat/>
    <w:uiPriority w:val="0"/>
    <w:rPr>
      <w:rFonts w:ascii="Arial" w:hAnsi="Arial" w:eastAsia="黑体"/>
      <w:kern w:val="2"/>
      <w:sz w:val="24"/>
      <w:szCs w:val="24"/>
    </w:rPr>
  </w:style>
  <w:style w:type="character" w:customStyle="1" w:styleId="198">
    <w:name w:val="批注主题 Char"/>
    <w:link w:val="53"/>
    <w:qFormat/>
    <w:uiPriority w:val="0"/>
    <w:rPr>
      <w:rFonts w:ascii="Times New Roman" w:hAnsi="Times New Roman"/>
      <w:kern w:val="2"/>
      <w:sz w:val="21"/>
      <w:szCs w:val="24"/>
    </w:rPr>
  </w:style>
  <w:style w:type="character" w:customStyle="1" w:styleId="199">
    <w:name w:val="标题 31"/>
    <w:qFormat/>
    <w:uiPriority w:val="0"/>
    <w:rPr>
      <w:rFonts w:ascii="黑体" w:eastAsia="黑体"/>
      <w:sz w:val="28"/>
    </w:rPr>
  </w:style>
  <w:style w:type="character" w:customStyle="1" w:styleId="200">
    <w:name w:val="正文（首行缩进两字） Char1"/>
    <w:qFormat/>
    <w:uiPriority w:val="0"/>
    <w:rPr>
      <w:rFonts w:eastAsia="宋体"/>
      <w:kern w:val="2"/>
      <w:sz w:val="21"/>
      <w:lang w:val="en-US" w:eastAsia="zh-CN" w:bidi="ar-SA"/>
    </w:rPr>
  </w:style>
  <w:style w:type="character" w:customStyle="1" w:styleId="201">
    <w:name w:val="Char Char1"/>
    <w:qFormat/>
    <w:uiPriority w:val="0"/>
    <w:rPr>
      <w:rFonts w:eastAsia="宋体"/>
      <w:b/>
      <w:bCs/>
      <w:sz w:val="32"/>
      <w:szCs w:val="44"/>
      <w:lang w:val="en-US" w:eastAsia="zh-CN" w:bidi="ar-SA"/>
    </w:rPr>
  </w:style>
  <w:style w:type="character" w:customStyle="1" w:styleId="202">
    <w:name w:val="普通(网站) Char"/>
    <w:link w:val="49"/>
    <w:qFormat/>
    <w:uiPriority w:val="0"/>
    <w:rPr>
      <w:rFonts w:ascii="宋体" w:hAnsi="Times New Roman"/>
      <w:sz w:val="24"/>
      <w:szCs w:val="24"/>
    </w:rPr>
  </w:style>
  <w:style w:type="character" w:customStyle="1" w:styleId="203">
    <w:name w:val="称呼 Char"/>
    <w:link w:val="19"/>
    <w:qFormat/>
    <w:uiPriority w:val="0"/>
    <w:rPr>
      <w:rFonts w:ascii="Times New Roman" w:hAnsi="Times New Roman"/>
      <w:kern w:val="2"/>
      <w:sz w:val="28"/>
      <w:szCs w:val="24"/>
    </w:rPr>
  </w:style>
  <w:style w:type="character" w:customStyle="1" w:styleId="204">
    <w:name w:val="正文缩进 Char"/>
    <w:link w:val="6"/>
    <w:qFormat/>
    <w:uiPriority w:val="0"/>
    <w:rPr>
      <w:rFonts w:ascii="Times New Roman" w:hAnsi="Times New Roman"/>
    </w:rPr>
  </w:style>
  <w:style w:type="character" w:customStyle="1" w:styleId="205">
    <w:name w:val="htd0"/>
    <w:basedOn w:val="57"/>
    <w:qFormat/>
    <w:uiPriority w:val="0"/>
  </w:style>
  <w:style w:type="character" w:customStyle="1" w:styleId="206">
    <w:name w:val="正文文本 3 Char"/>
    <w:link w:val="20"/>
    <w:qFormat/>
    <w:uiPriority w:val="0"/>
    <w:rPr>
      <w:rFonts w:ascii="Times New Roman" w:hAnsi="Times New Roman"/>
      <w:b/>
      <w:bCs/>
      <w:kern w:val="2"/>
      <w:sz w:val="24"/>
      <w:szCs w:val="24"/>
    </w:rPr>
  </w:style>
  <w:style w:type="character" w:customStyle="1" w:styleId="207">
    <w:name w:val="页眉 Char"/>
    <w:link w:val="36"/>
    <w:qFormat/>
    <w:uiPriority w:val="99"/>
    <w:rPr>
      <w:rFonts w:ascii="Times New Roman" w:hAnsi="Times New Roman"/>
      <w:kern w:val="2"/>
      <w:sz w:val="18"/>
      <w:szCs w:val="18"/>
    </w:rPr>
  </w:style>
  <w:style w:type="character" w:customStyle="1" w:styleId="208">
    <w:name w:val="case31"/>
    <w:qFormat/>
    <w:uiPriority w:val="0"/>
    <w:rPr>
      <w:rFonts w:hint="default" w:ascii="_x000B__x000C_" w:hAnsi="_x000B__x000C_"/>
      <w:sz w:val="21"/>
      <w:szCs w:val="21"/>
    </w:rPr>
  </w:style>
  <w:style w:type="character" w:customStyle="1" w:styleId="209">
    <w:name w:val="脚注文本 Char"/>
    <w:link w:val="40"/>
    <w:qFormat/>
    <w:uiPriority w:val="0"/>
    <w:rPr>
      <w:rFonts w:ascii="Times New Roman" w:hAnsi="Times New Roman"/>
      <w:kern w:val="2"/>
      <w:sz w:val="18"/>
      <w:szCs w:val="18"/>
    </w:rPr>
  </w:style>
  <w:style w:type="character" w:customStyle="1" w:styleId="210">
    <w:name w:val="标题 2 Char"/>
    <w:link w:val="4"/>
    <w:qFormat/>
    <w:uiPriority w:val="0"/>
    <w:rPr>
      <w:rFonts w:ascii="Arial" w:hAnsi="Arial" w:eastAsia="黑体" w:cs="Times New Roman"/>
      <w:b/>
      <w:bCs/>
      <w:kern w:val="2"/>
      <w:sz w:val="32"/>
      <w:szCs w:val="32"/>
    </w:rPr>
  </w:style>
  <w:style w:type="character" w:customStyle="1" w:styleId="211">
    <w:name w:val="标题 3 Char"/>
    <w:link w:val="5"/>
    <w:qFormat/>
    <w:uiPriority w:val="0"/>
    <w:rPr>
      <w:rFonts w:ascii="黑体" w:hAnsi="Times New Roman" w:eastAsia="黑体"/>
      <w:b/>
      <w:bCs/>
      <w:kern w:val="2"/>
      <w:sz w:val="32"/>
      <w:szCs w:val="32"/>
    </w:rPr>
  </w:style>
  <w:style w:type="character" w:customStyle="1" w:styleId="212">
    <w:name w:val="fs1"/>
    <w:qFormat/>
    <w:uiPriority w:val="0"/>
    <w:rPr>
      <w:rFonts w:hint="default" w:ascii="Verdana" w:hAnsi="Verdana"/>
      <w:color w:val="003366"/>
      <w:sz w:val="18"/>
      <w:u w:val="none"/>
    </w:rPr>
  </w:style>
  <w:style w:type="character" w:customStyle="1" w:styleId="213">
    <w:name w:val="纯文本 Char1"/>
    <w:qFormat/>
    <w:uiPriority w:val="0"/>
    <w:rPr>
      <w:rFonts w:ascii="宋体" w:hAnsi="Courier New"/>
      <w:kern w:val="2"/>
      <w:sz w:val="21"/>
      <w:szCs w:val="21"/>
    </w:rPr>
  </w:style>
  <w:style w:type="character" w:customStyle="1" w:styleId="214">
    <w:name w:val="Char Char Char Char Char Char Char Char Char Char"/>
    <w:qFormat/>
    <w:uiPriority w:val="0"/>
    <w:rPr>
      <w:rFonts w:eastAsia="宋体"/>
      <w:b/>
      <w:bCs/>
      <w:sz w:val="32"/>
      <w:szCs w:val="44"/>
      <w:lang w:val="en-US" w:eastAsia="zh-CN"/>
    </w:rPr>
  </w:style>
  <w:style w:type="character" w:customStyle="1" w:styleId="215">
    <w:name w:val="纯文本 Char"/>
    <w:link w:val="28"/>
    <w:qFormat/>
    <w:uiPriority w:val="0"/>
    <w:rPr>
      <w:rFonts w:ascii="宋体" w:hAnsi="Times New Roman"/>
      <w:kern w:val="2"/>
      <w:sz w:val="21"/>
      <w:szCs w:val="21"/>
    </w:rPr>
  </w:style>
  <w:style w:type="character" w:customStyle="1" w:styleId="216">
    <w:name w:val="结束语 Char"/>
    <w:link w:val="21"/>
    <w:qFormat/>
    <w:uiPriority w:val="0"/>
    <w:rPr>
      <w:rFonts w:ascii="Times New Roman" w:hAnsi="Times New Roman"/>
      <w:kern w:val="2"/>
      <w:sz w:val="28"/>
      <w:szCs w:val="24"/>
    </w:rPr>
  </w:style>
  <w:style w:type="character" w:customStyle="1" w:styleId="217">
    <w:name w:val="样式 三号 下划线"/>
    <w:qFormat/>
    <w:uiPriority w:val="0"/>
    <w:rPr>
      <w:sz w:val="28"/>
      <w:u w:val="single"/>
    </w:rPr>
  </w:style>
  <w:style w:type="character" w:customStyle="1" w:styleId="218">
    <w:name w:val="页脚 Char"/>
    <w:qFormat/>
    <w:uiPriority w:val="99"/>
    <w:rPr>
      <w:rFonts w:eastAsia="楷体_GB2312"/>
      <w:kern w:val="2"/>
      <w:sz w:val="18"/>
      <w:lang w:val="en-US" w:eastAsia="zh-CN"/>
    </w:rPr>
  </w:style>
  <w:style w:type="character" w:customStyle="1" w:styleId="219">
    <w:name w:val="text_list1"/>
    <w:qFormat/>
    <w:uiPriority w:val="0"/>
    <w:rPr>
      <w:rFonts w:ascii="Arial" w:hAnsi="Arial" w:cs="Arial"/>
      <w:color w:val="000000"/>
      <w:spacing w:val="272"/>
      <w:sz w:val="16"/>
      <w:szCs w:val="16"/>
      <w:lang w:bidi="ar-SA"/>
    </w:rPr>
  </w:style>
  <w:style w:type="character" w:customStyle="1" w:styleId="220">
    <w:name w:val="正文文本 2 Char"/>
    <w:link w:val="47"/>
    <w:qFormat/>
    <w:uiPriority w:val="0"/>
    <w:rPr>
      <w:rFonts w:ascii="Times New Roman" w:hAnsi="Times New Roman"/>
      <w:kern w:val="2"/>
      <w:sz w:val="30"/>
      <w:szCs w:val="24"/>
    </w:rPr>
  </w:style>
  <w:style w:type="character" w:customStyle="1" w:styleId="221">
    <w:name w:val="批注文字 Char"/>
    <w:link w:val="17"/>
    <w:qFormat/>
    <w:uiPriority w:val="0"/>
    <w:rPr>
      <w:rFonts w:ascii="Times New Roman" w:hAnsi="Times New Roman"/>
      <w:kern w:val="2"/>
      <w:sz w:val="21"/>
      <w:szCs w:val="24"/>
    </w:rPr>
  </w:style>
  <w:style w:type="character" w:customStyle="1" w:styleId="222">
    <w:name w:val="lan_121"/>
    <w:qFormat/>
    <w:uiPriority w:val="0"/>
    <w:rPr>
      <w:color w:val="007BF7"/>
      <w:sz w:val="18"/>
      <w:szCs w:val="18"/>
    </w:rPr>
  </w:style>
  <w:style w:type="character" w:customStyle="1" w:styleId="223">
    <w:name w:val="标题 Char"/>
    <w:link w:val="52"/>
    <w:qFormat/>
    <w:uiPriority w:val="0"/>
    <w:rPr>
      <w:rFonts w:ascii="Arial" w:hAnsi="Arial" w:cs="Arial"/>
      <w:b/>
      <w:bCs/>
      <w:kern w:val="2"/>
      <w:sz w:val="32"/>
      <w:szCs w:val="32"/>
    </w:rPr>
  </w:style>
  <w:style w:type="character" w:customStyle="1" w:styleId="224">
    <w:name w:val="表格正文 Char"/>
    <w:link w:val="179"/>
    <w:qFormat/>
    <w:uiPriority w:val="0"/>
    <w:rPr>
      <w:rFonts w:ascii="Times New Roman" w:hAnsi="Times New Roman"/>
      <w:kern w:val="2"/>
      <w:sz w:val="21"/>
      <w:szCs w:val="24"/>
    </w:rPr>
  </w:style>
  <w:style w:type="character" w:customStyle="1" w:styleId="225">
    <w:name w:val="页脚 Char1"/>
    <w:link w:val="35"/>
    <w:qFormat/>
    <w:uiPriority w:val="99"/>
    <w:rPr>
      <w:rFonts w:ascii="Times New Roman" w:hAnsi="Times New Roman"/>
      <w:kern w:val="2"/>
      <w:sz w:val="18"/>
      <w:szCs w:val="18"/>
    </w:rPr>
  </w:style>
  <w:style w:type="character" w:customStyle="1" w:styleId="226">
    <w:name w:val="标题 7 Char"/>
    <w:link w:val="9"/>
    <w:qFormat/>
    <w:uiPriority w:val="0"/>
    <w:rPr>
      <w:rFonts w:ascii="Times New Roman" w:hAnsi="Times New Roman"/>
      <w:b/>
      <w:kern w:val="2"/>
      <w:sz w:val="24"/>
      <w:szCs w:val="24"/>
    </w:rPr>
  </w:style>
  <w:style w:type="character" w:customStyle="1" w:styleId="227">
    <w:name w:val="批注框文本 Char"/>
    <w:link w:val="34"/>
    <w:qFormat/>
    <w:uiPriority w:val="0"/>
    <w:rPr>
      <w:rFonts w:ascii="Times New Roman" w:hAnsi="Times New Roman"/>
      <w:kern w:val="2"/>
      <w:sz w:val="18"/>
      <w:szCs w:val="18"/>
    </w:rPr>
  </w:style>
  <w:style w:type="character" w:customStyle="1" w:styleId="228">
    <w:name w:val="new1"/>
    <w:qFormat/>
    <w:uiPriority w:val="0"/>
    <w:rPr>
      <w:rFonts w:hint="default" w:ascii="Verdana" w:hAnsi="Verdana"/>
      <w:color w:val="333333"/>
      <w:sz w:val="18"/>
      <w:shd w:val="clear" w:color="auto" w:fill="FFFFFF"/>
    </w:rPr>
  </w:style>
  <w:style w:type="character" w:customStyle="1" w:styleId="229">
    <w:name w:val="样式 标题 2第一层条h2H22UNDERRUBRIK 1-2R2H21H22H211H23H212H2...1 Char"/>
    <w:link w:val="86"/>
    <w:qFormat/>
    <w:uiPriority w:val="0"/>
    <w:rPr>
      <w:rFonts w:ascii="宋体" w:hAnsi="宋体" w:cs="Times New Roman"/>
      <w:b/>
      <w:bCs/>
      <w:kern w:val="2"/>
      <w:sz w:val="30"/>
      <w:szCs w:val="32"/>
    </w:rPr>
  </w:style>
  <w:style w:type="character" w:customStyle="1" w:styleId="230">
    <w:name w:val="itm1"/>
    <w:qFormat/>
    <w:uiPriority w:val="0"/>
    <w:rPr>
      <w:rFonts w:ascii="宋体" w:eastAsia="宋体"/>
      <w:sz w:val="21"/>
      <w:szCs w:val="21"/>
    </w:rPr>
  </w:style>
  <w:style w:type="character" w:customStyle="1" w:styleId="231">
    <w:name w:val="文档-正文 Char"/>
    <w:link w:val="75"/>
    <w:qFormat/>
    <w:uiPriority w:val="0"/>
    <w:rPr>
      <w:rFonts w:ascii="Arial" w:hAnsi="Arial" w:cs="Times New Roman"/>
      <w:sz w:val="24"/>
    </w:rPr>
  </w:style>
  <w:style w:type="character" w:customStyle="1" w:styleId="232">
    <w:name w:val="bodytext1"/>
    <w:basedOn w:val="57"/>
    <w:qFormat/>
    <w:uiPriority w:val="0"/>
  </w:style>
  <w:style w:type="paragraph" w:customStyle="1" w:styleId="233">
    <w:name w:val="列出段落1"/>
    <w:basedOn w:val="1"/>
    <w:qFormat/>
    <w:uiPriority w:val="0"/>
    <w:pPr>
      <w:ind w:firstLine="420" w:firstLineChars="200"/>
    </w:pPr>
    <w:rPr>
      <w:szCs w:val="22"/>
    </w:rPr>
  </w:style>
  <w:style w:type="paragraph" w:customStyle="1" w:styleId="23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5">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236">
    <w:name w:val="标题 1 Char"/>
    <w:link w:val="3"/>
    <w:qFormat/>
    <w:uiPriority w:val="0"/>
    <w:rPr>
      <w:rFonts w:ascii="黑体" w:eastAsia="黑体"/>
      <w:b/>
      <w:bCs/>
      <w:kern w:val="44"/>
      <w:sz w:val="44"/>
      <w:szCs w:val="44"/>
    </w:rPr>
  </w:style>
  <w:style w:type="paragraph" w:customStyle="1" w:styleId="237">
    <w:name w:val="CR-正文"/>
    <w:basedOn w:val="1"/>
    <w:qFormat/>
    <w:uiPriority w:val="0"/>
    <w:pPr>
      <w:widowControl/>
      <w:spacing w:line="360" w:lineRule="auto"/>
      <w:ind w:firstLine="480" w:firstLineChars="200"/>
      <w:jc w:val="left"/>
    </w:pPr>
    <w:rPr>
      <w:sz w:val="24"/>
      <w:lang w:val="zh-CN"/>
    </w:rPr>
  </w:style>
  <w:style w:type="paragraph" w:customStyle="1" w:styleId="238">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1E213-6DF5-452C-A513-CA391AFB388C}">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60</Pages>
  <Words>30491</Words>
  <Characters>31935</Characters>
  <Lines>248</Lines>
  <Paragraphs>69</Paragraphs>
  <TotalTime>94</TotalTime>
  <ScaleCrop>false</ScaleCrop>
  <LinksUpToDate>false</LinksUpToDate>
  <CharactersWithSpaces>34178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2022-08-09T06:01:00Z</dcterms:created>
  <dc:creator>ly</dc:creator>
  <cp:lastModifiedBy>HuChieh</cp:lastModifiedBy>
  <cp:lastPrinted>2022-08-09T06:03:00Z</cp:lastPrinted>
  <dcterms:modified xsi:type="dcterms:W3CDTF">2022-08-19T06:55:29Z</dcterms:modified>
  <dc:title>竞争性谈判采购文件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AA148B9F20C04498A4AE4ACD66BEA833</vt:lpwstr>
  </property>
  <property fmtid="{D5CDD505-2E9C-101B-9397-08002B2CF9AE}" pid="4" name="commondata">
    <vt:lpwstr>eyJoZGlkIjoiZDMwMzA0NTFlYTI1ZWQ3MjJlM2RhZWRiYmMyZDZkMzEifQ==</vt:lpwstr>
  </property>
</Properties>
</file>