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Cs/>
          <w:color w:val="000000" w:themeColor="text1"/>
          <w:sz w:val="30"/>
          <w14:textFill>
            <w14:solidFill>
              <w14:schemeClr w14:val="tx1"/>
            </w14:solidFill>
          </w14:textFill>
        </w:rPr>
      </w:pPr>
    </w:p>
    <w:p>
      <w:pPr>
        <w:ind w:left="660"/>
        <w:rPr>
          <w:rFonts w:hint="eastAsia" w:ascii="宋体" w:hAnsi="宋体" w:eastAsia="宋体" w:cs="宋体"/>
          <w:bCs/>
          <w:color w:val="000000" w:themeColor="text1"/>
          <w:sz w:val="30"/>
          <w14:textFill>
            <w14:solidFill>
              <w14:schemeClr w14:val="tx1"/>
            </w14:solidFill>
          </w14:textFill>
        </w:rPr>
      </w:pPr>
    </w:p>
    <w:p>
      <w:pPr>
        <w:jc w:val="center"/>
        <w:rPr>
          <w:rFonts w:hint="eastAsia" w:ascii="宋体" w:hAnsi="宋体" w:eastAsia="宋体" w:cs="宋体"/>
          <w:b/>
          <w:bCs/>
          <w:color w:val="000000" w:themeColor="text1"/>
          <w:spacing w:val="20"/>
          <w:sz w:val="72"/>
          <w:szCs w:val="72"/>
          <w14:textFill>
            <w14:solidFill>
              <w14:schemeClr w14:val="tx1"/>
            </w14:solidFill>
          </w14:textFill>
        </w:rPr>
      </w:pPr>
      <w:r>
        <w:rPr>
          <w:rFonts w:hint="eastAsia" w:ascii="宋体" w:hAnsi="宋体" w:eastAsia="宋体" w:cs="宋体"/>
          <w:b/>
          <w:bCs/>
          <w:color w:val="000000" w:themeColor="text1"/>
          <w:spacing w:val="20"/>
          <w:sz w:val="72"/>
          <w:szCs w:val="72"/>
          <w14:textFill>
            <w14:solidFill>
              <w14:schemeClr w14:val="tx1"/>
            </w14:solidFill>
          </w14:textFill>
        </w:rPr>
        <w:t>无锡市政府采购项目</w:t>
      </w:r>
    </w:p>
    <w:p>
      <w:pPr>
        <w:rPr>
          <w:rFonts w:hint="eastAsia" w:ascii="宋体" w:hAnsi="宋体" w:eastAsia="宋体" w:cs="宋体"/>
          <w:b/>
          <w:bCs/>
          <w:color w:val="000000" w:themeColor="text1"/>
          <w:sz w:val="30"/>
          <w14:textFill>
            <w14:solidFill>
              <w14:schemeClr w14:val="tx1"/>
            </w14:solidFill>
          </w14:textFill>
        </w:rPr>
      </w:pPr>
    </w:p>
    <w:p>
      <w:pPr>
        <w:rPr>
          <w:rFonts w:hint="eastAsia" w:ascii="宋体" w:hAnsi="宋体" w:eastAsia="宋体" w:cs="宋体"/>
          <w:b/>
          <w:bCs/>
          <w:color w:val="000000" w:themeColor="text1"/>
          <w:sz w:val="30"/>
          <w14:textFill>
            <w14:solidFill>
              <w14:schemeClr w14:val="tx1"/>
            </w14:solidFill>
          </w14:textFill>
        </w:rPr>
      </w:pPr>
    </w:p>
    <w:p>
      <w:pPr>
        <w:rPr>
          <w:rFonts w:hint="eastAsia" w:ascii="宋体" w:hAnsi="宋体" w:eastAsia="宋体" w:cs="宋体"/>
          <w:b/>
          <w:bCs/>
          <w:color w:val="000000" w:themeColor="text1"/>
          <w:sz w:val="30"/>
          <w14:textFill>
            <w14:solidFill>
              <w14:schemeClr w14:val="tx1"/>
            </w14:solidFill>
          </w14:textFill>
        </w:rPr>
      </w:pPr>
    </w:p>
    <w:p>
      <w:pPr>
        <w:jc w:val="center"/>
        <w:rPr>
          <w:rFonts w:hint="eastAsia" w:ascii="宋体" w:hAnsi="宋体" w:eastAsia="宋体" w:cs="宋体"/>
          <w:b/>
          <w:bCs/>
          <w:color w:val="000000" w:themeColor="text1"/>
          <w:spacing w:val="20"/>
          <w:sz w:val="52"/>
          <w:szCs w:val="52"/>
          <w14:textFill>
            <w14:solidFill>
              <w14:schemeClr w14:val="tx1"/>
            </w14:solidFill>
          </w14:textFill>
        </w:rPr>
      </w:pPr>
      <w:r>
        <w:rPr>
          <w:rFonts w:hint="eastAsia" w:ascii="宋体" w:hAnsi="宋体" w:eastAsia="宋体" w:cs="宋体"/>
          <w:b/>
          <w:bCs/>
          <w:color w:val="000000" w:themeColor="text1"/>
          <w:spacing w:val="20"/>
          <w:sz w:val="52"/>
          <w:szCs w:val="52"/>
          <w14:textFill>
            <w14:solidFill>
              <w14:schemeClr w14:val="tx1"/>
            </w14:solidFill>
          </w14:textFill>
        </w:rPr>
        <w:t>公 开</w:t>
      </w:r>
    </w:p>
    <w:p>
      <w:pPr>
        <w:tabs>
          <w:tab w:val="center" w:pos="5100"/>
          <w:tab w:val="left" w:pos="7324"/>
        </w:tabs>
        <w:jc w:val="left"/>
        <w:rPr>
          <w:rFonts w:hint="eastAsia" w:ascii="宋体" w:hAnsi="宋体" w:eastAsia="宋体" w:cs="宋体"/>
          <w:b/>
          <w:bCs/>
          <w:color w:val="000000" w:themeColor="text1"/>
          <w:spacing w:val="20"/>
          <w:sz w:val="52"/>
          <w:szCs w:val="52"/>
          <w14:textFill>
            <w14:solidFill>
              <w14:schemeClr w14:val="tx1"/>
            </w14:solidFill>
          </w14:textFill>
        </w:rPr>
      </w:pPr>
      <w:r>
        <w:rPr>
          <w:rFonts w:hint="eastAsia" w:ascii="宋体" w:hAnsi="宋体" w:eastAsia="宋体" w:cs="宋体"/>
          <w:color w:val="000000" w:themeColor="text1"/>
          <w14:textFill>
            <w14:solidFill>
              <w14:schemeClr w14:val="tx1"/>
            </w14:solidFill>
          </w14:textFill>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198120</wp:posOffset>
                </wp:positionV>
                <wp:extent cx="635" cy="0"/>
                <wp:effectExtent l="0" t="0" r="0" b="0"/>
                <wp:wrapNone/>
                <wp:docPr id="5" name="Line 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7" o:spid="_x0000_s1026" o:spt="20" style="position:absolute;left:0pt;margin-left:-9pt;margin-top:15.6pt;height:0pt;width:0.05pt;z-index:251659264;mso-width-relative:page;mso-height-relative:page;" filled="f" stroked="t" coordsize="21600,21600" o:allowincell="f" o:gfxdata="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gv3/rXAAAACQEAAA8AAAAAAAAAAQAgAAAA&#10;IgAAAGRycy9kb3ducmV2LnhtbFBLAQIUABQAAAAIAIdO4kBrkoKU0wEAANcDAAAOAAAAAAAAAAEA&#10;IAAAACYBAABkcnMvZTJvRG9jLnhtbFBLBQYAAAAABgAGAFkBAABrBQAAAAA=&#10;">
                <v:fill on="f" focussize="0,0"/>
                <v:stroke color="#000000" joinstyle="round"/>
                <v:imagedata o:title=""/>
                <o:lock v:ext="edit" aspectratio="f"/>
              </v:line>
            </w:pict>
          </mc:Fallback>
        </mc:AlternateContent>
      </w:r>
      <w:r>
        <w:rPr>
          <w:rFonts w:hint="eastAsia" w:ascii="宋体" w:hAnsi="宋体" w:eastAsia="宋体" w:cs="宋体"/>
          <w:b/>
          <w:bCs/>
          <w:color w:val="000000" w:themeColor="text1"/>
          <w:spacing w:val="20"/>
          <w:sz w:val="52"/>
          <w:szCs w:val="52"/>
          <w14:textFill>
            <w14:solidFill>
              <w14:schemeClr w14:val="tx1"/>
            </w14:solidFill>
          </w14:textFill>
        </w:rPr>
        <w:tab/>
      </w:r>
      <w:r>
        <w:rPr>
          <w:rFonts w:hint="eastAsia" w:ascii="宋体" w:hAnsi="宋体" w:eastAsia="宋体" w:cs="宋体"/>
          <w:b/>
          <w:bCs/>
          <w:color w:val="000000" w:themeColor="text1"/>
          <w:spacing w:val="20"/>
          <w:sz w:val="52"/>
          <w:szCs w:val="52"/>
          <w14:textFill>
            <w14:solidFill>
              <w14:schemeClr w14:val="tx1"/>
            </w14:solidFill>
          </w14:textFill>
        </w:rPr>
        <w:t>招 标 文 件</w:t>
      </w:r>
      <w:r>
        <w:rPr>
          <w:rFonts w:hint="eastAsia" w:ascii="宋体" w:hAnsi="宋体" w:eastAsia="宋体" w:cs="宋体"/>
          <w:b/>
          <w:bCs/>
          <w:color w:val="000000" w:themeColor="text1"/>
          <w:spacing w:val="20"/>
          <w:sz w:val="52"/>
          <w:szCs w:val="52"/>
          <w14:textFill>
            <w14:solidFill>
              <w14:schemeClr w14:val="tx1"/>
            </w14:solidFill>
          </w14:textFill>
        </w:rPr>
        <w:tab/>
      </w:r>
    </w:p>
    <w:p>
      <w:pPr>
        <w:jc w:val="left"/>
        <w:rPr>
          <w:rFonts w:hint="eastAsia" w:ascii="宋体" w:hAnsi="宋体" w:eastAsia="宋体" w:cs="宋体"/>
          <w:bCs/>
          <w:color w:val="000000" w:themeColor="text1"/>
          <w:sz w:val="30"/>
          <w14:textFill>
            <w14:solidFill>
              <w14:schemeClr w14:val="tx1"/>
            </w14:solidFill>
          </w14:textFill>
        </w:rPr>
      </w:pPr>
    </w:p>
    <w:p>
      <w:pPr>
        <w:jc w:val="left"/>
        <w:rPr>
          <w:rFonts w:hint="eastAsia" w:ascii="宋体" w:hAnsi="宋体" w:eastAsia="宋体" w:cs="宋体"/>
          <w:bCs/>
          <w:color w:val="000000" w:themeColor="text1"/>
          <w:sz w:val="30"/>
          <w14:textFill>
            <w14:solidFill>
              <w14:schemeClr w14:val="tx1"/>
            </w14:solidFill>
          </w14:textFill>
        </w:rPr>
      </w:pPr>
    </w:p>
    <w:p>
      <w:pPr>
        <w:ind w:firstLine="600" w:firstLineChars="200"/>
        <w:rPr>
          <w:rFonts w:hint="eastAsia" w:ascii="宋体" w:hAnsi="宋体" w:eastAsia="宋体" w:cs="宋体"/>
          <w:bCs/>
          <w:color w:val="000000" w:themeColor="text1"/>
          <w:sz w:val="30"/>
          <w:szCs w:val="30"/>
          <w:lang w:eastAsia="zh-CN"/>
          <w14:textFill>
            <w14:solidFill>
              <w14:schemeClr w14:val="tx1"/>
            </w14:solidFill>
          </w14:textFill>
        </w:rPr>
      </w:pPr>
      <w:r>
        <w:rPr>
          <w:rFonts w:hint="eastAsia" w:ascii="宋体" w:hAnsi="宋体" w:eastAsia="宋体" w:cs="宋体"/>
          <w:bCs/>
          <w:color w:val="000000" w:themeColor="text1"/>
          <w:sz w:val="30"/>
          <w:szCs w:val="30"/>
          <w14:textFill>
            <w14:solidFill>
              <w14:schemeClr w14:val="tx1"/>
            </w14:solidFill>
          </w14:textFill>
        </w:rPr>
        <w:t>采购项目编号：</w:t>
      </w:r>
      <w:r>
        <w:rPr>
          <w:rFonts w:hint="eastAsia" w:ascii="宋体" w:hAnsi="宋体" w:cs="宋体"/>
          <w:bCs/>
          <w:color w:val="000000" w:themeColor="text1"/>
          <w:sz w:val="30"/>
          <w:szCs w:val="30"/>
          <w:lang w:eastAsia="zh-CN"/>
          <w14:textFill>
            <w14:solidFill>
              <w14:schemeClr w14:val="tx1"/>
            </w14:solidFill>
          </w14:textFill>
        </w:rPr>
        <w:t>JSWXTCG2023-053</w:t>
      </w:r>
    </w:p>
    <w:p>
      <w:pPr>
        <w:ind w:left="2835" w:hanging="2835" w:hangingChars="945"/>
        <w:rPr>
          <w:rFonts w:hint="eastAsia" w:ascii="宋体" w:hAnsi="宋体" w:eastAsia="宋体" w:cs="宋体"/>
          <w:bCs/>
          <w:color w:val="000000" w:themeColor="text1"/>
          <w:sz w:val="30"/>
          <w:szCs w:val="30"/>
          <w14:textFill>
            <w14:solidFill>
              <w14:schemeClr w14:val="tx1"/>
            </w14:solidFill>
          </w14:textFill>
        </w:rPr>
      </w:pPr>
    </w:p>
    <w:p>
      <w:pPr>
        <w:ind w:firstLine="594" w:firstLineChars="198"/>
        <w:jc w:val="left"/>
        <w:rPr>
          <w:rFonts w:hint="eastAsia" w:ascii="宋体" w:hAnsi="宋体" w:eastAsia="宋体" w:cs="宋体"/>
          <w:bCs/>
          <w:color w:val="000000" w:themeColor="text1"/>
          <w:sz w:val="30"/>
          <w:szCs w:val="30"/>
          <w:lang w:eastAsia="zh-CN"/>
          <w14:textFill>
            <w14:solidFill>
              <w14:schemeClr w14:val="tx1"/>
            </w14:solidFill>
          </w14:textFill>
        </w:rPr>
      </w:pPr>
      <w:r>
        <w:rPr>
          <w:rFonts w:hint="eastAsia" w:ascii="宋体" w:hAnsi="宋体" w:eastAsia="宋体" w:cs="宋体"/>
          <w:bCs/>
          <w:color w:val="000000" w:themeColor="text1"/>
          <w:sz w:val="30"/>
          <w:szCs w:val="30"/>
          <w14:textFill>
            <w14:solidFill>
              <w14:schemeClr w14:val="tx1"/>
            </w14:solidFill>
          </w14:textFill>
        </w:rPr>
        <w:t>采购项目名称：</w:t>
      </w:r>
      <w:r>
        <w:rPr>
          <w:rFonts w:hint="eastAsia" w:ascii="宋体" w:hAnsi="宋体" w:cs="宋体"/>
          <w:bCs/>
          <w:color w:val="000000" w:themeColor="text1"/>
          <w:sz w:val="30"/>
          <w:szCs w:val="30"/>
          <w:lang w:eastAsia="zh-CN"/>
          <w14:textFill>
            <w14:solidFill>
              <w14:schemeClr w14:val="tx1"/>
            </w14:solidFill>
          </w14:textFill>
        </w:rPr>
        <w:t>业务服务机房机柜租赁</w:t>
      </w:r>
    </w:p>
    <w:p>
      <w:pPr>
        <w:ind w:firstLine="594" w:firstLineChars="198"/>
        <w:jc w:val="left"/>
        <w:rPr>
          <w:rFonts w:hint="eastAsia" w:ascii="宋体" w:hAnsi="宋体" w:eastAsia="宋体" w:cs="宋体"/>
          <w:bCs/>
          <w:color w:val="000000" w:themeColor="text1"/>
          <w:sz w:val="30"/>
          <w:szCs w:val="30"/>
          <w14:textFill>
            <w14:solidFill>
              <w14:schemeClr w14:val="tx1"/>
            </w14:solidFill>
          </w14:textFill>
        </w:rPr>
      </w:pPr>
    </w:p>
    <w:p>
      <w:pPr>
        <w:ind w:firstLine="594" w:firstLineChars="198"/>
        <w:jc w:val="left"/>
        <w:rPr>
          <w:rFonts w:hint="eastAsia" w:ascii="宋体" w:hAnsi="宋体" w:eastAsia="宋体" w:cs="宋体"/>
          <w:bCs/>
          <w:color w:val="000000" w:themeColor="text1"/>
          <w:sz w:val="30"/>
          <w:szCs w:val="30"/>
          <w14:textFill>
            <w14:solidFill>
              <w14:schemeClr w14:val="tx1"/>
            </w14:solidFill>
          </w14:textFill>
        </w:rPr>
      </w:pPr>
      <w:r>
        <w:rPr>
          <w:rFonts w:hint="eastAsia" w:ascii="宋体" w:hAnsi="宋体" w:eastAsia="宋体" w:cs="宋体"/>
          <w:bCs/>
          <w:color w:val="000000" w:themeColor="text1"/>
          <w:sz w:val="30"/>
          <w:szCs w:val="30"/>
          <w14:textFill>
            <w14:solidFill>
              <w14:schemeClr w14:val="tx1"/>
            </w14:solidFill>
          </w14:textFill>
        </w:rPr>
        <w:t>采购人：无锡市公安局</w:t>
      </w:r>
    </w:p>
    <w:p>
      <w:pPr>
        <w:topLinePunct/>
        <w:spacing w:line="360" w:lineRule="auto"/>
        <w:rPr>
          <w:rFonts w:hint="eastAsia" w:ascii="宋体" w:hAnsi="宋体" w:eastAsia="宋体" w:cs="宋体"/>
          <w:bCs/>
          <w:color w:val="000000" w:themeColor="text1"/>
          <w:sz w:val="30"/>
          <w:szCs w:val="30"/>
          <w14:textFill>
            <w14:solidFill>
              <w14:schemeClr w14:val="tx1"/>
            </w14:solidFill>
          </w14:textFill>
        </w:rPr>
      </w:pPr>
    </w:p>
    <w:p>
      <w:pPr>
        <w:topLinePunct/>
        <w:spacing w:line="360" w:lineRule="auto"/>
        <w:ind w:firstLine="600" w:firstLineChars="200"/>
        <w:rPr>
          <w:rFonts w:hint="eastAsia" w:ascii="宋体" w:hAnsi="宋体" w:eastAsia="宋体" w:cs="宋体"/>
          <w:bCs/>
          <w:color w:val="000000" w:themeColor="text1"/>
          <w:sz w:val="30"/>
          <w:szCs w:val="30"/>
          <w:lang w:eastAsia="zh-CN"/>
          <w14:textFill>
            <w14:solidFill>
              <w14:schemeClr w14:val="tx1"/>
            </w14:solidFill>
          </w14:textFill>
        </w:rPr>
      </w:pPr>
      <w:r>
        <w:rPr>
          <w:rFonts w:hint="eastAsia" w:ascii="宋体" w:hAnsi="宋体" w:eastAsia="宋体" w:cs="宋体"/>
          <w:bCs/>
          <w:color w:val="000000" w:themeColor="text1"/>
          <w:sz w:val="30"/>
          <w:szCs w:val="30"/>
          <w14:textFill>
            <w14:solidFill>
              <w14:schemeClr w14:val="tx1"/>
            </w14:solidFill>
          </w14:textFill>
        </w:rPr>
        <w:t>采购代理机构：</w:t>
      </w:r>
      <w:r>
        <w:rPr>
          <w:rFonts w:hint="eastAsia" w:ascii="宋体" w:hAnsi="宋体" w:eastAsia="宋体" w:cs="宋体"/>
          <w:bCs/>
          <w:color w:val="000000" w:themeColor="text1"/>
          <w:sz w:val="30"/>
          <w:szCs w:val="30"/>
          <w:lang w:eastAsia="zh-CN"/>
          <w14:textFill>
            <w14:solidFill>
              <w14:schemeClr w14:val="tx1"/>
            </w14:solidFill>
          </w14:textFill>
        </w:rPr>
        <w:t>江苏万享通咨询有限公司</w:t>
      </w:r>
    </w:p>
    <w:p>
      <w:pPr>
        <w:topLinePunct/>
        <w:spacing w:line="360" w:lineRule="auto"/>
        <w:ind w:firstLine="640" w:firstLineChars="200"/>
        <w:rPr>
          <w:rFonts w:hint="eastAsia" w:ascii="宋体" w:hAnsi="宋体" w:eastAsia="宋体" w:cs="宋体"/>
          <w:bCs/>
          <w:color w:val="000000" w:themeColor="text1"/>
          <w:sz w:val="32"/>
          <w14:textFill>
            <w14:solidFill>
              <w14:schemeClr w14:val="tx1"/>
            </w14:solidFill>
          </w14:textFill>
        </w:rPr>
      </w:pPr>
    </w:p>
    <w:p>
      <w:pPr>
        <w:rPr>
          <w:rFonts w:hint="eastAsia" w:ascii="宋体" w:hAnsi="宋体" w:eastAsia="宋体" w:cs="宋体"/>
          <w:bCs/>
          <w:color w:val="000000" w:themeColor="text1"/>
          <w:sz w:val="30"/>
          <w14:textFill>
            <w14:solidFill>
              <w14:schemeClr w14:val="tx1"/>
            </w14:solidFill>
          </w14:textFill>
        </w:rPr>
      </w:pPr>
    </w:p>
    <w:p>
      <w:pPr>
        <w:rPr>
          <w:rFonts w:hint="eastAsia" w:ascii="宋体" w:hAnsi="宋体" w:eastAsia="宋体" w:cs="宋体"/>
          <w:bCs/>
          <w:color w:val="000000" w:themeColor="text1"/>
          <w:sz w:val="32"/>
          <w:szCs w:val="32"/>
          <w14:textFill>
            <w14:solidFill>
              <w14:schemeClr w14:val="tx1"/>
            </w14:solidFill>
          </w14:textFill>
        </w:rPr>
      </w:pPr>
    </w:p>
    <w:p>
      <w:pPr>
        <w:jc w:val="center"/>
        <w:rPr>
          <w:rFonts w:hint="eastAsia" w:ascii="宋体" w:hAnsi="宋体" w:eastAsia="宋体" w:cs="宋体"/>
          <w:bCs/>
          <w:color w:val="000000" w:themeColor="text1"/>
          <w:sz w:val="44"/>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二○二三年</w:t>
      </w:r>
      <w:r>
        <w:rPr>
          <w:rFonts w:hint="eastAsia" w:ascii="宋体" w:hAnsi="宋体" w:eastAsia="宋体" w:cs="宋体"/>
          <w:bCs/>
          <w:color w:val="000000" w:themeColor="text1"/>
          <w:sz w:val="32"/>
          <w:szCs w:val="32"/>
          <w:lang w:val="en-US" w:eastAsia="zh-CN"/>
          <w14:textFill>
            <w14:solidFill>
              <w14:schemeClr w14:val="tx1"/>
            </w14:solidFill>
          </w14:textFill>
        </w:rPr>
        <w:t>十一</w:t>
      </w:r>
      <w:r>
        <w:rPr>
          <w:rFonts w:hint="eastAsia" w:ascii="宋体" w:hAnsi="宋体" w:eastAsia="宋体" w:cs="宋体"/>
          <w:bCs/>
          <w:color w:val="000000" w:themeColor="text1"/>
          <w:sz w:val="32"/>
          <w:szCs w:val="32"/>
          <w14:textFill>
            <w14:solidFill>
              <w14:schemeClr w14:val="tx1"/>
            </w14:solidFill>
          </w14:textFill>
        </w:rPr>
        <w:t>月</w:t>
      </w:r>
    </w:p>
    <w:p>
      <w:pPr>
        <w:tabs>
          <w:tab w:val="center" w:pos="5074"/>
        </w:tabs>
        <w:jc w:val="left"/>
        <w:rPr>
          <w:rFonts w:hint="eastAsia" w:ascii="宋体" w:hAnsi="宋体" w:eastAsia="宋体" w:cs="宋体"/>
          <w:color w:val="000000" w:themeColor="text1"/>
          <w14:textFill>
            <w14:solidFill>
              <w14:schemeClr w14:val="tx1"/>
            </w14:solidFill>
          </w14:textFill>
        </w:rPr>
        <w:sectPr>
          <w:headerReference r:id="rId3" w:type="first"/>
          <w:footerReference r:id="rId4" w:type="default"/>
          <w:footerReference r:id="rId5" w:type="even"/>
          <w:pgSz w:w="11906" w:h="16838"/>
          <w:pgMar w:top="737" w:right="1021" w:bottom="737" w:left="737" w:header="624" w:footer="907" w:gutter="0"/>
          <w:cols w:space="720" w:num="1"/>
          <w:titlePg/>
          <w:docGrid w:type="linesAndChars" w:linePitch="312" w:charSpace="0"/>
        </w:sectPr>
      </w:pPr>
    </w:p>
    <w:p>
      <w:pPr>
        <w:rPr>
          <w:rStyle w:val="30"/>
          <w:rFonts w:hint="eastAsia" w:ascii="宋体" w:hAnsi="宋体" w:eastAsia="宋体" w:cs="宋体"/>
          <w:color w:val="000000" w:themeColor="text1"/>
          <w:sz w:val="28"/>
          <w:szCs w:val="28"/>
          <w14:textFill>
            <w14:solidFill>
              <w14:schemeClr w14:val="tx1"/>
            </w14:solidFill>
          </w14:textFill>
        </w:rPr>
      </w:pPr>
    </w:p>
    <w:p>
      <w:pPr>
        <w:jc w:val="center"/>
        <w:rPr>
          <w:rStyle w:val="30"/>
          <w:rFonts w:hint="eastAsia" w:ascii="宋体" w:hAnsi="宋体" w:eastAsia="宋体" w:cs="宋体"/>
          <w:color w:val="000000" w:themeColor="text1"/>
          <w:sz w:val="32"/>
          <w:szCs w:val="32"/>
          <w14:textFill>
            <w14:solidFill>
              <w14:schemeClr w14:val="tx1"/>
            </w14:solidFill>
          </w14:textFill>
        </w:rPr>
      </w:pPr>
      <w:r>
        <w:rPr>
          <w:rStyle w:val="30"/>
          <w:rFonts w:hint="eastAsia" w:ascii="宋体" w:hAnsi="宋体" w:eastAsia="宋体" w:cs="宋体"/>
          <w:color w:val="000000" w:themeColor="text1"/>
          <w:sz w:val="32"/>
          <w:szCs w:val="32"/>
          <w14:textFill>
            <w14:solidFill>
              <w14:schemeClr w14:val="tx1"/>
            </w14:solidFill>
          </w14:textFill>
        </w:rPr>
        <w:t>目录</w:t>
      </w:r>
    </w:p>
    <w:p>
      <w:pPr>
        <w:numPr>
          <w:ilvl w:val="0"/>
          <w:numId w:val="3"/>
        </w:numPr>
        <w:spacing w:line="720" w:lineRule="auto"/>
        <w:ind w:firstLine="560" w:firstLineChars="200"/>
        <w:rPr>
          <w:rStyle w:val="30"/>
          <w:rFonts w:hint="eastAsia" w:ascii="宋体" w:hAnsi="宋体" w:eastAsia="宋体" w:cs="宋体"/>
          <w:b/>
          <w:bCs/>
          <w:color w:val="000000" w:themeColor="text1"/>
          <w:sz w:val="28"/>
          <w:szCs w:val="28"/>
          <w14:textFill>
            <w14:solidFill>
              <w14:schemeClr w14:val="tx1"/>
            </w14:solidFill>
          </w14:textFill>
        </w:rPr>
      </w:pPr>
      <w:r>
        <w:rPr>
          <w:rStyle w:val="30"/>
          <w:rFonts w:hint="eastAsia" w:ascii="宋体" w:hAnsi="宋体" w:eastAsia="宋体" w:cs="宋体"/>
          <w:b/>
          <w:bCs/>
          <w:color w:val="000000" w:themeColor="text1"/>
          <w:sz w:val="28"/>
          <w:szCs w:val="28"/>
          <w14:textFill>
            <w14:solidFill>
              <w14:schemeClr w14:val="tx1"/>
            </w14:solidFill>
          </w14:textFill>
        </w:rPr>
        <w:t xml:space="preserve">投标邀请 </w:t>
      </w:r>
    </w:p>
    <w:p>
      <w:pPr>
        <w:spacing w:line="720" w:lineRule="auto"/>
        <w:ind w:left="596" w:leftChars="284"/>
        <w:rPr>
          <w:rStyle w:val="30"/>
          <w:rFonts w:hint="eastAsia" w:ascii="宋体" w:hAnsi="宋体" w:eastAsia="宋体" w:cs="宋体"/>
          <w:b/>
          <w:bCs/>
          <w:color w:val="000000" w:themeColor="text1"/>
          <w:sz w:val="28"/>
          <w:szCs w:val="28"/>
          <w14:textFill>
            <w14:solidFill>
              <w14:schemeClr w14:val="tx1"/>
            </w14:solidFill>
          </w14:textFill>
        </w:rPr>
      </w:pPr>
      <w:r>
        <w:rPr>
          <w:rStyle w:val="30"/>
          <w:rFonts w:hint="eastAsia" w:ascii="宋体" w:hAnsi="宋体" w:eastAsia="宋体" w:cs="宋体"/>
          <w:b/>
          <w:bCs/>
          <w:color w:val="000000" w:themeColor="text1"/>
          <w:sz w:val="28"/>
          <w:szCs w:val="28"/>
          <w14:textFill>
            <w14:solidFill>
              <w14:schemeClr w14:val="tx1"/>
            </w14:solidFill>
          </w14:textFill>
        </w:rPr>
        <w:t xml:space="preserve">二．投标人须知 </w:t>
      </w:r>
    </w:p>
    <w:p>
      <w:pPr>
        <w:spacing w:line="720" w:lineRule="auto"/>
        <w:ind w:left="596" w:leftChars="284"/>
        <w:rPr>
          <w:rStyle w:val="30"/>
          <w:rFonts w:hint="eastAsia" w:ascii="宋体" w:hAnsi="宋体" w:eastAsia="宋体" w:cs="宋体"/>
          <w:b/>
          <w:bCs/>
          <w:color w:val="000000" w:themeColor="text1"/>
          <w:sz w:val="28"/>
          <w:szCs w:val="28"/>
          <w14:textFill>
            <w14:solidFill>
              <w14:schemeClr w14:val="tx1"/>
            </w14:solidFill>
          </w14:textFill>
        </w:rPr>
      </w:pPr>
      <w:r>
        <w:rPr>
          <w:rStyle w:val="30"/>
          <w:rFonts w:hint="eastAsia" w:ascii="宋体" w:hAnsi="宋体" w:eastAsia="宋体" w:cs="宋体"/>
          <w:b/>
          <w:bCs/>
          <w:color w:val="000000" w:themeColor="text1"/>
          <w:sz w:val="28"/>
          <w:szCs w:val="28"/>
          <w14:textFill>
            <w14:solidFill>
              <w14:schemeClr w14:val="tx1"/>
            </w14:solidFill>
          </w14:textFill>
        </w:rPr>
        <w:t xml:space="preserve">三．项目技术要求和有关说明  </w:t>
      </w:r>
    </w:p>
    <w:p>
      <w:pPr>
        <w:spacing w:line="720" w:lineRule="auto"/>
        <w:ind w:left="596" w:leftChars="284"/>
        <w:rPr>
          <w:rStyle w:val="30"/>
          <w:rFonts w:hint="eastAsia" w:ascii="宋体" w:hAnsi="宋体" w:eastAsia="宋体" w:cs="宋体"/>
          <w:b/>
          <w:bCs/>
          <w:color w:val="000000" w:themeColor="text1"/>
          <w:sz w:val="28"/>
          <w:szCs w:val="28"/>
          <w14:textFill>
            <w14:solidFill>
              <w14:schemeClr w14:val="tx1"/>
            </w14:solidFill>
          </w14:textFill>
        </w:rPr>
      </w:pPr>
      <w:r>
        <w:rPr>
          <w:rStyle w:val="30"/>
          <w:rFonts w:hint="eastAsia" w:ascii="宋体" w:hAnsi="宋体" w:eastAsia="宋体" w:cs="宋体"/>
          <w:b/>
          <w:bCs/>
          <w:color w:val="000000" w:themeColor="text1"/>
          <w:sz w:val="28"/>
          <w:szCs w:val="28"/>
          <w14:textFill>
            <w14:solidFill>
              <w14:schemeClr w14:val="tx1"/>
            </w14:solidFill>
          </w14:textFill>
        </w:rPr>
        <w:t xml:space="preserve">四. 合同 </w:t>
      </w:r>
    </w:p>
    <w:p>
      <w:pPr>
        <w:spacing w:line="720" w:lineRule="auto"/>
        <w:ind w:left="596" w:leftChars="284"/>
        <w:rPr>
          <w:rStyle w:val="30"/>
          <w:rFonts w:hint="eastAsia" w:ascii="宋体" w:hAnsi="宋体" w:eastAsia="宋体" w:cs="宋体"/>
          <w:b/>
          <w:bCs/>
          <w:color w:val="000000" w:themeColor="text1"/>
          <w:sz w:val="28"/>
          <w:szCs w:val="28"/>
          <w14:textFill>
            <w14:solidFill>
              <w14:schemeClr w14:val="tx1"/>
            </w14:solidFill>
          </w14:textFill>
        </w:rPr>
      </w:pPr>
      <w:r>
        <w:rPr>
          <w:rStyle w:val="30"/>
          <w:rFonts w:hint="eastAsia" w:ascii="宋体" w:hAnsi="宋体" w:eastAsia="宋体" w:cs="宋体"/>
          <w:b/>
          <w:bCs/>
          <w:color w:val="000000" w:themeColor="text1"/>
          <w:sz w:val="28"/>
          <w:szCs w:val="28"/>
          <w14:textFill>
            <w14:solidFill>
              <w14:schemeClr w14:val="tx1"/>
            </w14:solidFill>
          </w14:textFill>
        </w:rPr>
        <w:t xml:space="preserve">五．合同条款 </w:t>
      </w:r>
    </w:p>
    <w:p>
      <w:pPr>
        <w:spacing w:line="720" w:lineRule="auto"/>
        <w:ind w:firstLine="420" w:firstLineChars="150"/>
        <w:rPr>
          <w:rStyle w:val="30"/>
          <w:rFonts w:hint="eastAsia" w:ascii="宋体" w:hAnsi="宋体" w:eastAsia="宋体" w:cs="宋体"/>
          <w:b/>
          <w:bCs/>
          <w:color w:val="000000" w:themeColor="text1"/>
          <w:sz w:val="28"/>
          <w:szCs w:val="28"/>
          <w14:textFill>
            <w14:solidFill>
              <w14:schemeClr w14:val="tx1"/>
            </w14:solidFill>
          </w14:textFill>
        </w:rPr>
      </w:pPr>
      <w:r>
        <w:rPr>
          <w:rStyle w:val="30"/>
          <w:rFonts w:hint="eastAsia" w:ascii="宋体" w:hAnsi="宋体" w:eastAsia="宋体" w:cs="宋体"/>
          <w:b/>
          <w:bCs/>
          <w:color w:val="000000" w:themeColor="text1"/>
          <w:sz w:val="28"/>
          <w:szCs w:val="28"/>
          <w14:textFill>
            <w14:solidFill>
              <w14:schemeClr w14:val="tx1"/>
            </w14:solidFill>
          </w14:textFill>
        </w:rPr>
        <w:t xml:space="preserve"> 六．附件（投标文件格式） </w:t>
      </w:r>
    </w:p>
    <w:p>
      <w:pPr>
        <w:spacing w:line="720" w:lineRule="auto"/>
        <w:ind w:firstLine="450" w:firstLineChars="150"/>
        <w:rPr>
          <w:rFonts w:hint="eastAsia" w:ascii="宋体" w:hAnsi="宋体" w:eastAsia="宋体" w:cs="宋体"/>
          <w:bCs/>
          <w:color w:val="000000" w:themeColor="text1"/>
          <w:sz w:val="30"/>
          <w:szCs w:val="30"/>
          <w:highlight w:val="yellow"/>
          <w14:textFill>
            <w14:solidFill>
              <w14:schemeClr w14:val="tx1"/>
            </w14:solidFill>
          </w14:textFill>
        </w:rPr>
      </w:pPr>
    </w:p>
    <w:p>
      <w:pPr>
        <w:spacing w:line="480" w:lineRule="auto"/>
        <w:rPr>
          <w:rFonts w:hint="eastAsia" w:ascii="宋体" w:hAnsi="宋体" w:eastAsia="宋体" w:cs="宋体"/>
          <w:bCs/>
          <w:color w:val="000000" w:themeColor="text1"/>
          <w:sz w:val="30"/>
          <w14:textFill>
            <w14:solidFill>
              <w14:schemeClr w14:val="tx1"/>
            </w14:solidFill>
          </w14:textFill>
        </w:rPr>
      </w:pPr>
    </w:p>
    <w:p>
      <w:pPr>
        <w:spacing w:line="480" w:lineRule="auto"/>
        <w:rPr>
          <w:rFonts w:hint="eastAsia" w:ascii="宋体" w:hAnsi="宋体" w:eastAsia="宋体" w:cs="宋体"/>
          <w:bCs/>
          <w:color w:val="000000" w:themeColor="text1"/>
          <w:sz w:val="30"/>
          <w14:textFill>
            <w14:solidFill>
              <w14:schemeClr w14:val="tx1"/>
            </w14:solidFill>
          </w14:textFill>
        </w:rPr>
      </w:pPr>
    </w:p>
    <w:p>
      <w:pPr>
        <w:spacing w:line="480" w:lineRule="auto"/>
        <w:rPr>
          <w:rFonts w:hint="eastAsia" w:ascii="宋体" w:hAnsi="宋体" w:eastAsia="宋体" w:cs="宋体"/>
          <w:bCs/>
          <w:color w:val="000000" w:themeColor="text1"/>
          <w:sz w:val="30"/>
          <w14:textFill>
            <w14:solidFill>
              <w14:schemeClr w14:val="tx1"/>
            </w14:solidFill>
          </w14:textFill>
        </w:rPr>
      </w:pPr>
    </w:p>
    <w:p>
      <w:pPr>
        <w:spacing w:line="480" w:lineRule="auto"/>
        <w:rPr>
          <w:rFonts w:hint="eastAsia" w:ascii="宋体" w:hAnsi="宋体" w:eastAsia="宋体" w:cs="宋体"/>
          <w:bCs/>
          <w:color w:val="000000" w:themeColor="text1"/>
          <w:sz w:val="30"/>
          <w14:textFill>
            <w14:solidFill>
              <w14:schemeClr w14:val="tx1"/>
            </w14:solidFill>
          </w14:textFill>
        </w:rPr>
      </w:pPr>
    </w:p>
    <w:p>
      <w:pPr>
        <w:spacing w:line="480" w:lineRule="auto"/>
        <w:rPr>
          <w:rFonts w:hint="eastAsia" w:ascii="宋体" w:hAnsi="宋体" w:eastAsia="宋体" w:cs="宋体"/>
          <w:bCs/>
          <w:color w:val="000000" w:themeColor="text1"/>
          <w:sz w:val="30"/>
          <w14:textFill>
            <w14:solidFill>
              <w14:schemeClr w14:val="tx1"/>
            </w14:solidFill>
          </w14:textFill>
        </w:rPr>
      </w:pPr>
    </w:p>
    <w:p>
      <w:pPr>
        <w:spacing w:line="480" w:lineRule="auto"/>
        <w:rPr>
          <w:rFonts w:hint="eastAsia" w:ascii="宋体" w:hAnsi="宋体" w:eastAsia="宋体" w:cs="宋体"/>
          <w:bCs/>
          <w:color w:val="000000" w:themeColor="text1"/>
          <w:sz w:val="30"/>
          <w14:textFill>
            <w14:solidFill>
              <w14:schemeClr w14:val="tx1"/>
            </w14:solidFill>
          </w14:textFill>
        </w:rPr>
      </w:pPr>
    </w:p>
    <w:p>
      <w:pPr>
        <w:spacing w:line="480" w:lineRule="auto"/>
        <w:rPr>
          <w:rFonts w:hint="eastAsia" w:ascii="宋体" w:hAnsi="宋体" w:eastAsia="宋体" w:cs="宋体"/>
          <w:bCs/>
          <w:color w:val="000000" w:themeColor="text1"/>
          <w:sz w:val="30"/>
          <w14:textFill>
            <w14:solidFill>
              <w14:schemeClr w14:val="tx1"/>
            </w14:solidFill>
          </w14:textFill>
        </w:rPr>
      </w:pPr>
    </w:p>
    <w:p>
      <w:pPr>
        <w:spacing w:line="480" w:lineRule="auto"/>
        <w:rPr>
          <w:rFonts w:hint="eastAsia" w:ascii="宋体" w:hAnsi="宋体" w:eastAsia="宋体" w:cs="宋体"/>
          <w:bCs/>
          <w:color w:val="000000" w:themeColor="text1"/>
          <w:sz w:val="30"/>
          <w14:textFill>
            <w14:solidFill>
              <w14:schemeClr w14:val="tx1"/>
            </w14:solidFill>
          </w14:textFill>
        </w:rPr>
      </w:pPr>
    </w:p>
    <w:p>
      <w:pPr>
        <w:rPr>
          <w:rFonts w:hint="eastAsia" w:ascii="宋体" w:hAnsi="宋体" w:eastAsia="宋体" w:cs="宋体"/>
          <w:bCs/>
          <w:color w:val="000000" w:themeColor="text1"/>
          <w:sz w:val="28"/>
          <w14:textFill>
            <w14:solidFill>
              <w14:schemeClr w14:val="tx1"/>
            </w14:solidFill>
          </w14:textFill>
        </w:rPr>
      </w:pPr>
    </w:p>
    <w:p>
      <w:pPr>
        <w:rPr>
          <w:rFonts w:hint="eastAsia" w:ascii="宋体" w:hAnsi="宋体" w:eastAsia="宋体" w:cs="宋体"/>
          <w:bCs/>
          <w:color w:val="000000" w:themeColor="text1"/>
          <w:szCs w:val="21"/>
          <w14:textFill>
            <w14:solidFill>
              <w14:schemeClr w14:val="tx1"/>
            </w14:solidFill>
          </w14:textFill>
        </w:rPr>
      </w:pPr>
    </w:p>
    <w:p>
      <w:pPr>
        <w:numPr>
          <w:ilvl w:val="0"/>
          <w:numId w:val="4"/>
        </w:numPr>
        <w:spacing w:line="380" w:lineRule="exact"/>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投标邀请</w:t>
      </w:r>
    </w:p>
    <w:tbl>
      <w:tblPr>
        <w:tblStyle w:val="25"/>
        <w:tblW w:w="986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9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19" w:type="dxa"/>
          </w:tcPr>
          <w:p>
            <w:pPr>
              <w:spacing w:line="380" w:lineRule="exact"/>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序号</w:t>
            </w:r>
          </w:p>
        </w:tc>
        <w:tc>
          <w:tcPr>
            <w:tcW w:w="9150" w:type="dxa"/>
          </w:tcPr>
          <w:p>
            <w:pPr>
              <w:spacing w:line="380" w:lineRule="exact"/>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19" w:type="dxa"/>
            <w:vAlign w:val="center"/>
          </w:tcPr>
          <w:p>
            <w:pPr>
              <w:spacing w:line="380" w:lineRule="exact"/>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w:t>
            </w:r>
          </w:p>
        </w:tc>
        <w:tc>
          <w:tcPr>
            <w:tcW w:w="9150" w:type="dxa"/>
          </w:tcPr>
          <w:p>
            <w:pPr>
              <w:spacing w:line="360" w:lineRule="auto"/>
              <w:jc w:val="lef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采购项目名称：</w:t>
            </w:r>
            <w:r>
              <w:rPr>
                <w:rFonts w:hint="eastAsia" w:ascii="宋体" w:hAnsi="宋体" w:cs="宋体"/>
                <w:bCs/>
                <w:color w:val="000000" w:themeColor="text1"/>
                <w:sz w:val="24"/>
                <w:szCs w:val="24"/>
                <w:lang w:eastAsia="zh-CN"/>
                <w14:textFill>
                  <w14:solidFill>
                    <w14:schemeClr w14:val="tx1"/>
                  </w14:solidFill>
                </w14:textFill>
              </w:rPr>
              <w:t>业务服务机房机柜租赁</w:t>
            </w:r>
          </w:p>
          <w:p>
            <w:pPr>
              <w:spacing w:line="360" w:lineRule="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采购编号：</w:t>
            </w:r>
            <w:r>
              <w:rPr>
                <w:rFonts w:hint="eastAsia" w:ascii="宋体" w:hAnsi="宋体" w:cs="宋体"/>
                <w:bCs/>
                <w:color w:val="000000" w:themeColor="text1"/>
                <w:sz w:val="24"/>
                <w:szCs w:val="24"/>
                <w:lang w:eastAsia="zh-CN"/>
                <w14:textFill>
                  <w14:solidFill>
                    <w14:schemeClr w14:val="tx1"/>
                  </w14:solidFill>
                </w14:textFill>
              </w:rPr>
              <w:t>JSWXTCG2023-053</w:t>
            </w:r>
          </w:p>
          <w:p>
            <w:pPr>
              <w:spacing w:line="36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采购方式：公开招标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19" w:type="dxa"/>
            <w:vAlign w:val="center"/>
          </w:tcPr>
          <w:p>
            <w:pPr>
              <w:spacing w:line="380" w:lineRule="exact"/>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w:t>
            </w:r>
          </w:p>
        </w:tc>
        <w:tc>
          <w:tcPr>
            <w:tcW w:w="9150" w:type="dxa"/>
          </w:tcPr>
          <w:p>
            <w:pPr>
              <w:spacing w:line="36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采购人：无锡市公安局</w:t>
            </w:r>
          </w:p>
          <w:p>
            <w:pPr>
              <w:widowControl/>
              <w:shd w:val="clear" w:color="auto" w:fill="FFFFFF"/>
              <w:spacing w:before="100" w:after="100" w:line="360" w:lineRule="auto"/>
              <w:jc w:val="left"/>
              <w:rPr>
                <w:rFonts w:hint="eastAsia" w:ascii="宋体" w:hAnsi="宋体" w:eastAsia="宋体" w:cs="宋体"/>
                <w:color w:val="000000" w:themeColor="text1"/>
                <w:kern w:val="0"/>
                <w:sz w:val="23"/>
                <w:szCs w:val="23"/>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采购人地址：</w:t>
            </w:r>
            <w:r>
              <w:rPr>
                <w:rFonts w:hint="eastAsia" w:ascii="宋体" w:hAnsi="宋体" w:eastAsia="宋体" w:cs="宋体"/>
                <w:bCs/>
                <w:color w:val="000000" w:themeColor="text1"/>
                <w:kern w:val="0"/>
                <w:sz w:val="24"/>
                <w:szCs w:val="24"/>
                <w14:textFill>
                  <w14:solidFill>
                    <w14:schemeClr w14:val="tx1"/>
                  </w14:solidFill>
                </w14:textFill>
              </w:rPr>
              <w:t>无锡市高浪西路58号</w:t>
            </w:r>
          </w:p>
          <w:p>
            <w:pPr>
              <w:spacing w:line="360" w:lineRule="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采购代理机构：</w:t>
            </w:r>
            <w:r>
              <w:rPr>
                <w:rFonts w:hint="eastAsia" w:ascii="宋体" w:hAnsi="宋体" w:eastAsia="宋体" w:cs="宋体"/>
                <w:bCs/>
                <w:color w:val="000000" w:themeColor="text1"/>
                <w:sz w:val="24"/>
                <w:szCs w:val="24"/>
                <w:lang w:eastAsia="zh-CN"/>
                <w14:textFill>
                  <w14:solidFill>
                    <w14:schemeClr w14:val="tx1"/>
                  </w14:solidFill>
                </w14:textFill>
              </w:rPr>
              <w:t>江苏万享通咨询有限公司</w:t>
            </w:r>
          </w:p>
          <w:p>
            <w:pPr>
              <w:spacing w:line="360" w:lineRule="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采购代理机构地址：</w:t>
            </w:r>
            <w:r>
              <w:rPr>
                <w:rFonts w:hint="eastAsia" w:ascii="宋体" w:hAnsi="宋体" w:eastAsia="宋体" w:cs="宋体"/>
                <w:bCs/>
                <w:color w:val="000000" w:themeColor="text1"/>
                <w:sz w:val="24"/>
                <w:szCs w:val="24"/>
                <w:lang w:eastAsia="zh-CN"/>
                <w14:textFill>
                  <w14:solidFill>
                    <w14:schemeClr w14:val="tx1"/>
                  </w14:solidFill>
                </w14:textFill>
              </w:rPr>
              <w:t>无锡市滨湖区鸿桥路879号15楼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9" w:type="dxa"/>
            <w:vAlign w:val="center"/>
          </w:tcPr>
          <w:p>
            <w:pPr>
              <w:spacing w:line="380" w:lineRule="exact"/>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w:t>
            </w:r>
          </w:p>
        </w:tc>
        <w:tc>
          <w:tcPr>
            <w:tcW w:w="9150" w:type="dxa"/>
          </w:tcPr>
          <w:p>
            <w:pPr>
              <w:spacing w:line="36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采购项目概况、要求：</w:t>
            </w:r>
          </w:p>
          <w:p>
            <w:p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业务服务机房机柜租赁</w:t>
            </w:r>
            <w:r>
              <w:rPr>
                <w:rFonts w:hint="eastAsia" w:ascii="宋体" w:hAnsi="宋体" w:eastAsia="宋体" w:cs="宋体"/>
                <w:sz w:val="24"/>
                <w:szCs w:val="24"/>
                <w:lang w:val="en-US" w:eastAsia="zh-CN"/>
              </w:rPr>
              <w:t>，详见采购需求。</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项目预算：217.3万元；</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最高限价：217.3万元；</w:t>
            </w:r>
          </w:p>
          <w:p>
            <w:pPr>
              <w:spacing w:line="36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服务期：</w:t>
            </w:r>
            <w:r>
              <w:rPr>
                <w:rFonts w:hint="eastAsia" w:ascii="宋体" w:hAnsi="宋体" w:eastAsia="宋体" w:cs="宋体"/>
                <w:sz w:val="24"/>
                <w:szCs w:val="24"/>
              </w:rPr>
              <w:t>合同签订</w:t>
            </w:r>
            <w:r>
              <w:rPr>
                <w:rFonts w:hint="eastAsia" w:ascii="宋体" w:hAnsi="宋体" w:eastAsia="宋体" w:cs="宋体"/>
                <w:sz w:val="24"/>
                <w:szCs w:val="24"/>
                <w:lang w:eastAsia="zh-CN"/>
              </w:rPr>
              <w:t>生效后</w:t>
            </w:r>
            <w:r>
              <w:rPr>
                <w:rFonts w:hint="eastAsia" w:ascii="宋体" w:hAnsi="宋体" w:eastAsia="宋体" w:cs="宋体"/>
                <w:sz w:val="24"/>
                <w:szCs w:val="24"/>
                <w:lang w:val="en-US" w:eastAsia="zh-CN"/>
              </w:rPr>
              <w:t>1个月内完成机房内网络互连，按需提供可用机柜空间。租赁服务期自合同签订生效之日起1年</w:t>
            </w:r>
            <w:r>
              <w:rPr>
                <w:rFonts w:hint="eastAsia" w:ascii="宋体" w:hAnsi="宋体" w:eastAsia="宋体" w:cs="宋体"/>
                <w:bCs/>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14:textFill>
                  <w14:solidFill>
                    <w14:schemeClr w14:val="tx1"/>
                  </w14:solidFill>
                </w14:textFill>
              </w:rPr>
              <w:t>服务地点：</w:t>
            </w:r>
            <w:r>
              <w:rPr>
                <w:rFonts w:hint="eastAsia" w:ascii="宋体" w:hAnsi="宋体" w:eastAsia="宋体" w:cs="宋体"/>
                <w:sz w:val="24"/>
                <w:szCs w:val="24"/>
                <w:lang w:eastAsia="zh-CN"/>
              </w:rPr>
              <w:t>采购方设备架设在中标方机房机柜，完成供电及网络连接后，视为达成租赁，采购方支付此机柜租费。</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服务质量：满足采购人要求；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19" w:type="dxa"/>
            <w:vAlign w:val="center"/>
          </w:tcPr>
          <w:p>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w:t>
            </w:r>
          </w:p>
        </w:tc>
        <w:tc>
          <w:tcPr>
            <w:tcW w:w="9150" w:type="dxa"/>
          </w:tcPr>
          <w:p>
            <w:pPr>
              <w:tabs>
                <w:tab w:val="left" w:pos="540"/>
              </w:tabs>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投标人参加本次政府采购活动应当符合《中华人民共和国政府采购法》第二十二条的规定</w:t>
            </w:r>
            <w:r>
              <w:rPr>
                <w:rFonts w:hint="eastAsia" w:ascii="宋体" w:hAnsi="宋体" w:eastAsia="宋体" w:cs="宋体"/>
                <w:bCs/>
                <w:color w:val="000000" w:themeColor="text1"/>
                <w:sz w:val="24"/>
                <w:szCs w:val="24"/>
                <w:highlight w:val="none"/>
                <w14:textFill>
                  <w14:solidFill>
                    <w14:schemeClr w14:val="tx1"/>
                  </w14:solidFill>
                </w14:textFill>
              </w:rPr>
              <w:t>外，还必须同时具备下列条件：</w:t>
            </w:r>
          </w:p>
          <w:p>
            <w:pPr>
              <w:pStyle w:val="9"/>
              <w:numPr>
                <w:ilvl w:val="0"/>
                <w:numId w:val="5"/>
              </w:numPr>
              <w:spacing w:line="360" w:lineRule="auto"/>
              <w:ind w:left="-60" w:leftChars="0" w:firstLine="48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供应商应为中国大陆境内合法注册，具备本项目服务能力的企、事业单位或其他组织；</w:t>
            </w:r>
          </w:p>
          <w:p>
            <w:pPr>
              <w:pStyle w:val="9"/>
              <w:numPr>
                <w:ilvl w:val="0"/>
                <w:numId w:val="5"/>
              </w:numPr>
              <w:spacing w:line="360" w:lineRule="auto"/>
              <w:ind w:left="-60" w:leftChars="0" w:firstLine="480" w:firstLineChars="0"/>
              <w:rPr>
                <w:rFonts w:hint="eastAsia" w:ascii="宋体" w:hAnsi="宋体" w:eastAsia="宋体" w:cs="宋体"/>
                <w:bCs w:val="0"/>
                <w:color w:val="000000" w:themeColor="text1"/>
                <w:sz w:val="24"/>
                <w:szCs w:val="24"/>
                <w:highlight w:val="none"/>
                <w14:textFill>
                  <w14:solidFill>
                    <w14:schemeClr w14:val="tx1"/>
                  </w14:solidFill>
                </w14:textFill>
              </w:rPr>
            </w:pPr>
            <w:r>
              <w:rPr>
                <w:rFonts w:hint="eastAsia" w:ascii="宋体" w:hAnsi="宋体" w:eastAsia="宋体" w:cs="宋体"/>
                <w:bCs w:val="0"/>
                <w:color w:val="000000" w:themeColor="text1"/>
                <w:sz w:val="24"/>
                <w:szCs w:val="24"/>
                <w:highlight w:val="none"/>
                <w14:textFill>
                  <w14:solidFill>
                    <w14:schemeClr w14:val="tx1"/>
                  </w14:solidFill>
                </w14:textFill>
              </w:rPr>
              <w:t>未被“信用中国”等网站（www.creditchina.gov.cn）等列入失信执行人、重大税收违法案件当事人名单、政府采购严重违法失信行为记录名单；</w:t>
            </w:r>
          </w:p>
          <w:p>
            <w:pPr>
              <w:pStyle w:val="9"/>
              <w:numPr>
                <w:ilvl w:val="0"/>
                <w:numId w:val="5"/>
              </w:numPr>
              <w:spacing w:line="360" w:lineRule="auto"/>
              <w:ind w:left="-60" w:leftChars="0" w:firstLine="480" w:firstLineChars="0"/>
              <w:rPr>
                <w:rFonts w:hint="eastAsia" w:ascii="宋体" w:hAnsi="宋体" w:eastAsia="宋体" w:cs="宋体"/>
                <w:bCs w:val="0"/>
                <w:color w:val="000000" w:themeColor="text1"/>
                <w:sz w:val="24"/>
                <w:szCs w:val="24"/>
                <w:highlight w:val="none"/>
                <w14:textFill>
                  <w14:solidFill>
                    <w14:schemeClr w14:val="tx1"/>
                  </w14:solidFill>
                </w14:textFill>
              </w:rPr>
            </w:pPr>
            <w:r>
              <w:rPr>
                <w:rFonts w:hint="eastAsia" w:ascii="宋体" w:hAnsi="宋体" w:eastAsia="宋体" w:cs="宋体"/>
                <w:bCs w:val="0"/>
                <w:color w:val="000000" w:themeColor="text1"/>
                <w:sz w:val="24"/>
                <w:szCs w:val="24"/>
                <w:highlight w:val="none"/>
                <w14:textFill>
                  <w14:solidFill>
                    <w14:schemeClr w14:val="tx1"/>
                  </w14:solidFill>
                </w14:textFill>
              </w:rPr>
              <w:t>具备采购人根据招标项目的特殊要求规定的以下特定资质：具有《中华人民共和国基础电信业务经营许可证》或具备广播电视传输网络建设、改造、维护、管理资格（投标人自有的或授权其分支机构投标的法人所有的）。</w:t>
            </w:r>
          </w:p>
          <w:p>
            <w:pPr>
              <w:pStyle w:val="9"/>
              <w:numPr>
                <w:ilvl w:val="0"/>
                <w:numId w:val="5"/>
              </w:numPr>
              <w:spacing w:line="360" w:lineRule="auto"/>
              <w:ind w:left="-60" w:leftChars="0" w:firstLine="480" w:firstLineChars="0"/>
              <w:rPr>
                <w:rFonts w:hint="eastAsia" w:ascii="宋体" w:hAnsi="宋体" w:eastAsia="宋体" w:cs="宋体"/>
                <w:bCs w:val="0"/>
                <w:color w:val="000000" w:themeColor="text1"/>
                <w:sz w:val="24"/>
                <w:szCs w:val="24"/>
                <w:highlight w:val="none"/>
                <w14:textFill>
                  <w14:solidFill>
                    <w14:schemeClr w14:val="tx1"/>
                  </w14:solidFill>
                </w14:textFill>
              </w:rPr>
            </w:pPr>
            <w:r>
              <w:rPr>
                <w:rFonts w:hint="eastAsia" w:ascii="宋体" w:hAnsi="宋体" w:eastAsia="宋体" w:cs="宋体"/>
                <w:bCs w:val="0"/>
                <w:color w:val="000000" w:themeColor="text1"/>
                <w:sz w:val="24"/>
                <w:szCs w:val="24"/>
                <w:highlight w:val="none"/>
                <w14:textFill>
                  <w14:solidFill>
                    <w14:schemeClr w14:val="tx1"/>
                  </w14:solidFill>
                </w14:textFill>
              </w:rPr>
              <w:t>被授权委托人及项目负责人必须为投标人在职职工且满6个月；</w:t>
            </w:r>
          </w:p>
          <w:p>
            <w:pPr>
              <w:pStyle w:val="9"/>
              <w:numPr>
                <w:ilvl w:val="0"/>
                <w:numId w:val="5"/>
              </w:numPr>
              <w:spacing w:line="360" w:lineRule="auto"/>
              <w:ind w:left="-60" w:leftChars="0" w:firstLine="480" w:firstLineChars="0"/>
              <w:rPr>
                <w:rFonts w:hint="eastAsia" w:ascii="宋体" w:hAnsi="宋体" w:eastAsia="宋体" w:cs="宋体"/>
                <w:bCs w:val="0"/>
                <w:color w:val="000000" w:themeColor="text1"/>
                <w:sz w:val="24"/>
                <w:szCs w:val="24"/>
                <w:highlight w:val="none"/>
                <w14:textFill>
                  <w14:solidFill>
                    <w14:schemeClr w14:val="tx1"/>
                  </w14:solidFill>
                </w14:textFill>
              </w:rPr>
            </w:pPr>
            <w:r>
              <w:rPr>
                <w:rFonts w:hint="eastAsia" w:ascii="宋体" w:hAnsi="宋体" w:eastAsia="宋体" w:cs="宋体"/>
                <w:bCs w:val="0"/>
                <w:color w:val="000000" w:themeColor="text1"/>
                <w:sz w:val="24"/>
                <w:szCs w:val="24"/>
                <w:highlight w:val="none"/>
                <w14:textFill>
                  <w14:solidFill>
                    <w14:schemeClr w14:val="tx1"/>
                  </w14:solidFill>
                </w14:textFill>
              </w:rPr>
              <w:t>本项目不接受联合体投标；</w:t>
            </w:r>
          </w:p>
          <w:p>
            <w:pPr>
              <w:pStyle w:val="9"/>
              <w:numPr>
                <w:ilvl w:val="0"/>
                <w:numId w:val="5"/>
              </w:numPr>
              <w:spacing w:line="360" w:lineRule="auto"/>
              <w:ind w:left="-60" w:leftChars="0" w:firstLine="480" w:firstLineChars="0"/>
              <w:rPr>
                <w:rFonts w:hint="eastAsia" w:ascii="宋体" w:hAnsi="宋体" w:eastAsia="宋体" w:cs="宋体"/>
                <w:bCs w:val="0"/>
                <w:color w:val="000000" w:themeColor="text1"/>
                <w:sz w:val="24"/>
                <w:szCs w:val="24"/>
                <w:highlight w:val="none"/>
                <w14:textFill>
                  <w14:solidFill>
                    <w14:schemeClr w14:val="tx1"/>
                  </w14:solidFill>
                </w14:textFill>
              </w:rPr>
            </w:pPr>
            <w:r>
              <w:rPr>
                <w:rFonts w:hint="eastAsia" w:ascii="宋体" w:hAnsi="宋体" w:eastAsia="宋体" w:cs="宋体"/>
                <w:bCs w:val="0"/>
                <w:color w:val="000000" w:themeColor="text1"/>
                <w:sz w:val="24"/>
                <w:szCs w:val="24"/>
                <w:highlight w:val="none"/>
                <w14:textFill>
                  <w14:solidFill>
                    <w14:schemeClr w14:val="tx1"/>
                  </w14:solidFill>
                </w14:textFill>
              </w:rPr>
              <w:t>本项目是否专门面向中小企业：否；</w:t>
            </w:r>
          </w:p>
          <w:p>
            <w:pPr>
              <w:pStyle w:val="42"/>
              <w:wordWrap w:val="0"/>
              <w:topLinePunct/>
              <w:spacing w:line="360" w:lineRule="auto"/>
              <w:ind w:firstLine="480" w:firstLineChars="200"/>
              <w:rPr>
                <w:rFonts w:hint="eastAsia" w:ascii="宋体" w:hAnsi="宋体" w:eastAsia="宋体" w:cs="宋体"/>
                <w:bCs/>
                <w:color w:val="000000" w:themeColor="text1"/>
                <w:kern w:val="2"/>
                <w:sz w:val="24"/>
                <w:szCs w:val="24"/>
                <w14:textFill>
                  <w14:solidFill>
                    <w14:schemeClr w14:val="tx1"/>
                  </w14:solidFill>
                </w14:textFill>
              </w:rPr>
            </w:pPr>
            <w:r>
              <w:rPr>
                <w:rFonts w:hint="eastAsia" w:ascii="宋体" w:hAnsi="宋体" w:eastAsia="宋体" w:cs="宋体"/>
                <w:sz w:val="24"/>
                <w:szCs w:val="24"/>
              </w:rPr>
              <w:t>租赁和商务服务业</w:t>
            </w:r>
            <w:r>
              <w:rPr>
                <w:rFonts w:hint="eastAsia" w:ascii="宋体" w:hAnsi="宋体" w:eastAsia="宋体" w:cs="宋体"/>
                <w:bCs/>
                <w:color w:val="000000" w:themeColor="text1"/>
                <w:kern w:val="2"/>
                <w:sz w:val="24"/>
                <w:szCs w:val="24"/>
                <w14:textFill>
                  <w14:solidFill>
                    <w14:schemeClr w14:val="tx1"/>
                  </w14:solidFill>
                </w14:textFill>
              </w:rPr>
              <w:t>。根据《关于印发中小企业划型标准规定的通知》工信部联企业〔2011〕300号规定：</w:t>
            </w:r>
            <w:r>
              <w:rPr>
                <w:rFonts w:hint="eastAsia" w:ascii="宋体" w:hAnsi="宋体" w:eastAsia="宋体" w:cs="宋体"/>
                <w:sz w:val="24"/>
                <w:szCs w:val="24"/>
              </w:rPr>
              <w:t>租赁和商务服务业</w:t>
            </w:r>
            <w:r>
              <w:rPr>
                <w:rFonts w:hint="eastAsia" w:ascii="宋体" w:hAnsi="宋体" w:eastAsia="宋体" w:cs="宋体"/>
                <w:bCs/>
                <w:color w:val="000000" w:themeColor="text1"/>
                <w:kern w:val="2"/>
                <w:sz w:val="24"/>
                <w:szCs w:val="24"/>
                <w14:textFill>
                  <w14:solidFill>
                    <w14:schemeClr w14:val="tx1"/>
                  </w14:solidFill>
                </w14:textFill>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42"/>
              <w:wordWrap w:val="0"/>
              <w:topLinePunct/>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注：1、按照《政府采购法实施条例释义》，法人的分支机构由于其不能独立承担民事责任，不能以分支机构的身份参加政府采购，只能以法人身份参加。但银行、保险、石油石化、电力、电信等有行业特殊情况的，可以分支机构参加政府采购和签订合同。</w:t>
            </w:r>
          </w:p>
          <w:p>
            <w:pPr>
              <w:pStyle w:val="42"/>
              <w:wordWrap w:val="0"/>
              <w:topLinePunct/>
              <w:spacing w:line="360" w:lineRule="auto"/>
              <w:ind w:firstLine="480" w:firstLineChars="200"/>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2、采购人有权对以上资格条件进行核查，如供应商有弄虚作假行为或不具备以上条件的将取消其投标资格。</w:t>
            </w:r>
            <w:r>
              <w:rPr>
                <w:rFonts w:hint="eastAsia" w:ascii="宋体" w:hAnsi="宋体" w:eastAsia="宋体" w:cs="宋体"/>
                <w:bCs/>
                <w:color w:val="000000" w:themeColor="text1"/>
                <w:sz w:val="24"/>
                <w:szCs w:val="28"/>
                <w14:textFill>
                  <w14:solidFill>
                    <w14:schemeClr w14:val="tx1"/>
                  </w14:solidFill>
                </w14:textFill>
              </w:rPr>
              <w:t xml:space="preserve"> 　</w:t>
            </w:r>
            <w:r>
              <w:rPr>
                <w:rFonts w:hint="eastAsia" w:ascii="宋体" w:hAnsi="宋体" w:eastAsia="宋体" w:cs="宋体"/>
                <w:color w:val="000000" w:themeColor="text1"/>
                <w:sz w:val="31"/>
                <w:szCs w:val="3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19" w:type="dxa"/>
            <w:vAlign w:val="center"/>
          </w:tcPr>
          <w:p>
            <w:pPr>
              <w:widowControl/>
              <w:spacing w:line="38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9150" w:type="dxa"/>
          </w:tcPr>
          <w:p>
            <w:pPr>
              <w:pStyle w:val="42"/>
              <w:topLinePunct/>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采购文件提供期限：</w:t>
            </w:r>
            <w:r>
              <w:rPr>
                <w:rFonts w:hint="eastAsia" w:ascii="宋体" w:hAnsi="宋体" w:eastAsia="宋体" w:cs="宋体"/>
                <w:color w:val="000000" w:themeColor="text1"/>
                <w:sz w:val="24"/>
                <w:highlight w:val="none"/>
                <w:lang w:val="zh-CN"/>
                <w14:textFill>
                  <w14:solidFill>
                    <w14:schemeClr w14:val="tx1"/>
                  </w14:solidFill>
                </w14:textFill>
              </w:rPr>
              <w:t>20</w:t>
            </w:r>
            <w:r>
              <w:rPr>
                <w:rFonts w:hint="eastAsia" w:ascii="宋体" w:hAnsi="宋体" w:eastAsia="宋体" w:cs="宋体"/>
                <w:color w:val="000000" w:themeColor="text1"/>
                <w:sz w:val="24"/>
                <w:highlight w:val="none"/>
                <w14:textFill>
                  <w14:solidFill>
                    <w14:schemeClr w14:val="tx1"/>
                  </w14:solidFill>
                </w14:textFill>
              </w:rPr>
              <w:t>23</w:t>
            </w:r>
            <w:r>
              <w:rPr>
                <w:rFonts w:hint="eastAsia" w:ascii="宋体" w:hAnsi="宋体" w:eastAsia="宋体" w:cs="宋体"/>
                <w:color w:val="000000" w:themeColor="text1"/>
                <w:sz w:val="24"/>
                <w:highlight w:val="none"/>
                <w:lang w:val="zh-CN"/>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lang w:val="zh-CN"/>
                <w14:textFill>
                  <w14:solidFill>
                    <w14:schemeClr w14:val="tx1"/>
                  </w14:solidFill>
                </w14:textFill>
              </w:rPr>
              <w:t>月</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21</w:t>
            </w:r>
            <w:r>
              <w:rPr>
                <w:rFonts w:hint="eastAsia" w:ascii="宋体" w:hAnsi="宋体" w:eastAsia="宋体" w:cs="宋体"/>
                <w:color w:val="000000" w:themeColor="text1"/>
                <w:sz w:val="24"/>
                <w:highlight w:val="none"/>
                <w:lang w:val="zh-CN"/>
                <w14:textFill>
                  <w14:solidFill>
                    <w14:schemeClr w14:val="tx1"/>
                  </w14:solidFill>
                </w14:textFill>
              </w:rPr>
              <w:t>日~20</w:t>
            </w:r>
            <w:r>
              <w:rPr>
                <w:rFonts w:hint="eastAsia" w:ascii="宋体" w:hAnsi="宋体" w:eastAsia="宋体" w:cs="宋体"/>
                <w:color w:val="000000" w:themeColor="text1"/>
                <w:sz w:val="24"/>
                <w:highlight w:val="none"/>
                <w14:textFill>
                  <w14:solidFill>
                    <w14:schemeClr w14:val="tx1"/>
                  </w14:solidFill>
                </w14:textFill>
              </w:rPr>
              <w:t>23</w:t>
            </w:r>
            <w:r>
              <w:rPr>
                <w:rFonts w:hint="eastAsia" w:ascii="宋体" w:hAnsi="宋体" w:eastAsia="宋体" w:cs="宋体"/>
                <w:color w:val="000000" w:themeColor="text1"/>
                <w:sz w:val="24"/>
                <w:highlight w:val="none"/>
                <w:lang w:val="zh-CN"/>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lang w:val="zh-CN"/>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28</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lang w:val="zh-CN"/>
                <w14:textFill>
                  <w14:solidFill>
                    <w14:schemeClr w14:val="tx1"/>
                  </w14:solidFill>
                </w14:textFill>
              </w:rPr>
              <w:t>日（法定假日休息），每天9:00-11:30，13:30-16：30 时</w:t>
            </w:r>
            <w:r>
              <w:rPr>
                <w:rFonts w:hint="eastAsia" w:ascii="宋体" w:hAnsi="宋体" w:eastAsia="宋体" w:cs="宋体"/>
                <w:color w:val="000000" w:themeColor="text1"/>
                <w:sz w:val="24"/>
                <w:highlight w:val="none"/>
                <w14:textFill>
                  <w14:solidFill>
                    <w14:schemeClr w14:val="tx1"/>
                  </w14:solidFill>
                </w14:textFill>
              </w:rPr>
              <w:t>；</w:t>
            </w:r>
          </w:p>
          <w:p>
            <w:pPr>
              <w:widowControl/>
              <w:topLinePunct/>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采购文件售价：贰佰圆/份，现金支付，采购文件售后不退；</w:t>
            </w:r>
          </w:p>
          <w:p>
            <w:pPr>
              <w:tabs>
                <w:tab w:val="left" w:pos="0"/>
              </w:tabs>
              <w:autoSpaceDE w:val="0"/>
              <w:autoSpaceDN w:val="0"/>
              <w:adjustRightInd w:val="0"/>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采购文件提供地点：</w:t>
            </w:r>
            <w:r>
              <w:rPr>
                <w:rFonts w:hint="eastAsia" w:ascii="宋体" w:hAnsi="宋体" w:eastAsia="宋体" w:cs="宋体"/>
                <w:color w:val="000000" w:themeColor="text1"/>
                <w:sz w:val="24"/>
                <w:highlight w:val="none"/>
                <w:lang w:eastAsia="zh-CN"/>
                <w14:textFill>
                  <w14:solidFill>
                    <w14:schemeClr w14:val="tx1"/>
                  </w14:solidFill>
                </w14:textFill>
              </w:rPr>
              <w:t>无锡市滨湖区鸿桥路879号15楼</w:t>
            </w:r>
          </w:p>
          <w:p>
            <w:pPr>
              <w:widowControl/>
              <w:spacing w:line="360" w:lineRule="auto"/>
              <w:ind w:left="-58" w:leftChars="-28"/>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投标人应承担其编制投标文件以及递交投标文件所涉及的一切费用。无论报价结果如何，采购人对上述费用不负任何责任。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9" w:type="dxa"/>
            <w:vAlign w:val="center"/>
          </w:tcPr>
          <w:p>
            <w:pPr>
              <w:spacing w:line="380" w:lineRule="exact"/>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6</w:t>
            </w:r>
          </w:p>
        </w:tc>
        <w:tc>
          <w:tcPr>
            <w:tcW w:w="9150" w:type="dxa"/>
          </w:tcPr>
          <w:p>
            <w:pPr>
              <w:widowControl/>
              <w:spacing w:line="360" w:lineRule="auto"/>
              <w:ind w:left="-58" w:leftChars="-2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提疑截止时间：</w:t>
            </w:r>
            <w:r>
              <w:rPr>
                <w:rFonts w:hint="eastAsia" w:ascii="宋体" w:hAnsi="宋体" w:eastAsia="宋体" w:cs="宋体"/>
                <w:color w:val="000000" w:themeColor="text1"/>
                <w:sz w:val="24"/>
                <w:highlight w:val="none"/>
                <w:lang w:val="zh-CN"/>
                <w14:textFill>
                  <w14:solidFill>
                    <w14:schemeClr w14:val="tx1"/>
                  </w14:solidFill>
                </w14:textFill>
              </w:rPr>
              <w:t>20</w:t>
            </w:r>
            <w:r>
              <w:rPr>
                <w:rFonts w:hint="eastAsia" w:ascii="宋体" w:hAnsi="宋体" w:eastAsia="宋体" w:cs="宋体"/>
                <w:color w:val="000000" w:themeColor="text1"/>
                <w:sz w:val="24"/>
                <w:highlight w:val="none"/>
                <w14:textFill>
                  <w14:solidFill>
                    <w14:schemeClr w14:val="tx1"/>
                  </w14:solidFill>
                </w14:textFill>
              </w:rPr>
              <w:t>23</w:t>
            </w:r>
            <w:r>
              <w:rPr>
                <w:rFonts w:hint="eastAsia" w:ascii="宋体" w:hAnsi="宋体" w:eastAsia="宋体" w:cs="宋体"/>
                <w:color w:val="000000" w:themeColor="text1"/>
                <w:sz w:val="24"/>
                <w:highlight w:val="none"/>
                <w:lang w:val="zh-CN"/>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lang w:val="zh-CN"/>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29</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lang w:val="zh-CN"/>
                <w14:textFill>
                  <w14:solidFill>
                    <w14:schemeClr w14:val="tx1"/>
                  </w14:solidFill>
                </w14:textFill>
              </w:rPr>
              <w:t>日</w:t>
            </w:r>
            <w:r>
              <w:rPr>
                <w:rFonts w:hint="eastAsia" w:ascii="宋体" w:hAnsi="宋体" w:eastAsia="宋体" w:cs="宋体"/>
                <w:color w:val="000000" w:themeColor="text1"/>
                <w:sz w:val="24"/>
                <w:szCs w:val="24"/>
                <w:highlight w:val="none"/>
                <w14:textFill>
                  <w14:solidFill>
                    <w14:schemeClr w14:val="tx1"/>
                  </w14:solidFill>
                </w14:textFill>
              </w:rPr>
              <w:t>10时，以书面传真形式和电子邮件形式发送给采购代理机构。</w:t>
            </w:r>
          </w:p>
          <w:p>
            <w:pPr>
              <w:widowControl/>
              <w:spacing w:line="360" w:lineRule="auto"/>
              <w:ind w:left="-58" w:leftChars="-2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答疑时间：</w:t>
            </w:r>
            <w:r>
              <w:rPr>
                <w:rFonts w:hint="eastAsia" w:ascii="宋体" w:hAnsi="宋体" w:eastAsia="宋体" w:cs="宋体"/>
                <w:color w:val="000000" w:themeColor="text1"/>
                <w:sz w:val="24"/>
                <w:highlight w:val="none"/>
                <w:lang w:val="zh-CN"/>
                <w14:textFill>
                  <w14:solidFill>
                    <w14:schemeClr w14:val="tx1"/>
                  </w14:solidFill>
                </w14:textFill>
              </w:rPr>
              <w:t>20</w:t>
            </w:r>
            <w:r>
              <w:rPr>
                <w:rFonts w:hint="eastAsia" w:ascii="宋体" w:hAnsi="宋体" w:eastAsia="宋体" w:cs="宋体"/>
                <w:color w:val="000000" w:themeColor="text1"/>
                <w:sz w:val="24"/>
                <w:highlight w:val="none"/>
                <w14:textFill>
                  <w14:solidFill>
                    <w14:schemeClr w14:val="tx1"/>
                  </w14:solidFill>
                </w14:textFill>
              </w:rPr>
              <w:t>23</w:t>
            </w:r>
            <w:r>
              <w:rPr>
                <w:rFonts w:hint="eastAsia" w:ascii="宋体" w:hAnsi="宋体" w:eastAsia="宋体" w:cs="宋体"/>
                <w:color w:val="000000" w:themeColor="text1"/>
                <w:sz w:val="24"/>
                <w:highlight w:val="none"/>
                <w:lang w:val="zh-CN"/>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lang w:val="zh-CN"/>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29</w:t>
            </w:r>
            <w:r>
              <w:rPr>
                <w:rFonts w:hint="eastAsia" w:ascii="宋体" w:hAnsi="宋体" w:eastAsia="宋体" w:cs="宋体"/>
                <w:color w:val="000000" w:themeColor="text1"/>
                <w:sz w:val="24"/>
                <w:highlight w:val="none"/>
                <w:lang w:val="zh-CN"/>
                <w14:textFill>
                  <w14:solidFill>
                    <w14:schemeClr w14:val="tx1"/>
                  </w14:solidFill>
                </w14:textFill>
              </w:rPr>
              <w:t>日</w:t>
            </w:r>
            <w:r>
              <w:rPr>
                <w:rFonts w:hint="eastAsia" w:ascii="宋体" w:hAnsi="宋体" w:eastAsia="宋体" w:cs="宋体"/>
                <w:color w:val="000000" w:themeColor="text1"/>
                <w:sz w:val="24"/>
                <w:szCs w:val="24"/>
                <w:highlight w:val="none"/>
                <w14:textFill>
                  <w14:solidFill>
                    <w14:schemeClr w14:val="tx1"/>
                  </w14:solidFill>
                </w14:textFill>
              </w:rPr>
              <w:t>16时前，以书面（或电子稿）形式发送给各报名投标人。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19" w:type="dxa"/>
            <w:vAlign w:val="center"/>
          </w:tcPr>
          <w:p>
            <w:pPr>
              <w:spacing w:line="380" w:lineRule="exact"/>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7</w:t>
            </w:r>
          </w:p>
        </w:tc>
        <w:tc>
          <w:tcPr>
            <w:tcW w:w="9150" w:type="dxa"/>
          </w:tcPr>
          <w:p>
            <w:pPr>
              <w:widowControl/>
              <w:topLinePunct/>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本项目无需缴纳投标保证金。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19" w:type="dxa"/>
            <w:vAlign w:val="center"/>
          </w:tcPr>
          <w:p>
            <w:pPr>
              <w:spacing w:line="380" w:lineRule="exact"/>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8</w:t>
            </w:r>
          </w:p>
        </w:tc>
        <w:tc>
          <w:tcPr>
            <w:tcW w:w="9150" w:type="dxa"/>
          </w:tcPr>
          <w:p>
            <w:pPr>
              <w:spacing w:line="36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投标有效期：中标通知书发出之日起90天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719" w:type="dxa"/>
            <w:vAlign w:val="center"/>
          </w:tcPr>
          <w:p>
            <w:pPr>
              <w:spacing w:line="380" w:lineRule="exact"/>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9</w:t>
            </w:r>
          </w:p>
        </w:tc>
        <w:tc>
          <w:tcPr>
            <w:tcW w:w="9150" w:type="dxa"/>
          </w:tcPr>
          <w:p>
            <w:pPr>
              <w:widowControl/>
              <w:topLinePunct/>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投标文件开始接收时间：</w:t>
            </w:r>
            <w:r>
              <w:rPr>
                <w:rFonts w:hint="eastAsia" w:ascii="宋体" w:hAnsi="宋体" w:eastAsia="宋体" w:cs="宋体"/>
                <w:color w:val="000000" w:themeColor="text1"/>
                <w:sz w:val="24"/>
                <w:highlight w:val="none"/>
                <w:lang w:val="zh-CN"/>
                <w14:textFill>
                  <w14:solidFill>
                    <w14:schemeClr w14:val="tx1"/>
                  </w14:solidFill>
                </w14:textFill>
              </w:rPr>
              <w:t>20</w:t>
            </w:r>
            <w:r>
              <w:rPr>
                <w:rFonts w:hint="eastAsia" w:ascii="宋体" w:hAnsi="宋体" w:eastAsia="宋体" w:cs="宋体"/>
                <w:color w:val="000000" w:themeColor="text1"/>
                <w:sz w:val="24"/>
                <w:highlight w:val="none"/>
                <w14:textFill>
                  <w14:solidFill>
                    <w14:schemeClr w14:val="tx1"/>
                  </w14:solidFill>
                </w14:textFill>
              </w:rPr>
              <w:t>23</w:t>
            </w:r>
            <w:r>
              <w:rPr>
                <w:rFonts w:hint="eastAsia" w:ascii="宋体" w:hAnsi="宋体" w:eastAsia="宋体" w:cs="宋体"/>
                <w:color w:val="000000" w:themeColor="text1"/>
                <w:sz w:val="24"/>
                <w:highlight w:val="none"/>
                <w:lang w:val="zh-CN"/>
                <w14:textFill>
                  <w14:solidFill>
                    <w14:schemeClr w14:val="tx1"/>
                  </w14:solidFill>
                </w14:textFill>
              </w:rPr>
              <w:t>年</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lang w:val="zh-CN"/>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14</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lang w:val="zh-CN"/>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上</w:t>
            </w:r>
            <w:r>
              <w:rPr>
                <w:rFonts w:hint="eastAsia" w:ascii="宋体" w:hAnsi="宋体" w:eastAsia="宋体" w:cs="宋体"/>
                <w:color w:val="000000" w:themeColor="text1"/>
                <w:sz w:val="24"/>
                <w:szCs w:val="24"/>
                <w:highlight w:val="none"/>
                <w14:textFill>
                  <w14:solidFill>
                    <w14:schemeClr w14:val="tx1"/>
                  </w14:solidFill>
                </w14:textFill>
              </w:rPr>
              <w:t>午</w:t>
            </w: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:00始</w:t>
            </w:r>
          </w:p>
          <w:p>
            <w:pPr>
              <w:widowControl/>
              <w:topLinePunct/>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投标文件接收截止时间：</w:t>
            </w:r>
            <w:r>
              <w:rPr>
                <w:rFonts w:hint="eastAsia" w:ascii="宋体" w:hAnsi="宋体" w:eastAsia="宋体" w:cs="宋体"/>
                <w:color w:val="000000" w:themeColor="text1"/>
                <w:sz w:val="24"/>
                <w:highlight w:val="none"/>
                <w:lang w:val="zh-CN"/>
                <w14:textFill>
                  <w14:solidFill>
                    <w14:schemeClr w14:val="tx1"/>
                  </w14:solidFill>
                </w14:textFill>
              </w:rPr>
              <w:t>20</w:t>
            </w:r>
            <w:r>
              <w:rPr>
                <w:rFonts w:hint="eastAsia" w:ascii="宋体" w:hAnsi="宋体" w:eastAsia="宋体" w:cs="宋体"/>
                <w:color w:val="000000" w:themeColor="text1"/>
                <w:sz w:val="24"/>
                <w:highlight w:val="none"/>
                <w14:textFill>
                  <w14:solidFill>
                    <w14:schemeClr w14:val="tx1"/>
                  </w14:solidFill>
                </w14:textFill>
              </w:rPr>
              <w:t>23</w:t>
            </w:r>
            <w:r>
              <w:rPr>
                <w:rFonts w:hint="eastAsia" w:ascii="宋体" w:hAnsi="宋体" w:eastAsia="宋体" w:cs="宋体"/>
                <w:color w:val="000000" w:themeColor="text1"/>
                <w:sz w:val="24"/>
                <w:highlight w:val="none"/>
                <w:lang w:val="zh-CN"/>
                <w14:textFill>
                  <w14:solidFill>
                    <w14:schemeClr w14:val="tx1"/>
                  </w14:solidFill>
                </w14:textFill>
              </w:rPr>
              <w:t>年</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lang w:val="zh-CN"/>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14</w:t>
            </w:r>
            <w:r>
              <w:rPr>
                <w:rFonts w:hint="eastAsia" w:ascii="宋体" w:hAnsi="宋体" w:eastAsia="宋体" w:cs="宋体"/>
                <w:color w:val="000000" w:themeColor="text1"/>
                <w:sz w:val="24"/>
                <w:highlight w:val="none"/>
                <w:lang w:val="zh-CN"/>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上</w:t>
            </w:r>
            <w:r>
              <w:rPr>
                <w:rFonts w:hint="eastAsia" w:ascii="宋体" w:hAnsi="宋体" w:eastAsia="宋体" w:cs="宋体"/>
                <w:color w:val="000000" w:themeColor="text1"/>
                <w:sz w:val="24"/>
                <w:szCs w:val="24"/>
                <w:highlight w:val="none"/>
                <w14:textFill>
                  <w14:solidFill>
                    <w14:schemeClr w14:val="tx1"/>
                  </w14:solidFill>
                </w14:textFill>
              </w:rPr>
              <w:t>午</w:t>
            </w: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:30止，截止期后的投标文件恕不接受。</w:t>
            </w:r>
          </w:p>
          <w:p>
            <w:pPr>
              <w:pStyle w:val="21"/>
              <w:tabs>
                <w:tab w:val="left" w:pos="360"/>
                <w:tab w:val="left" w:pos="426"/>
              </w:tabs>
              <w:spacing w:before="0" w:beforeAutospacing="0" w:after="0" w:afterAutospacing="0"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投标文件接收地点：</w:t>
            </w:r>
            <w:r>
              <w:rPr>
                <w:rFonts w:hint="eastAsia" w:ascii="宋体" w:hAnsi="宋体" w:eastAsia="宋体" w:cs="宋体"/>
                <w:color w:val="000000" w:themeColor="text1"/>
                <w:highlight w:val="none"/>
                <w:lang w:eastAsia="zh-CN"/>
                <w14:textFill>
                  <w14:solidFill>
                    <w14:schemeClr w14:val="tx1"/>
                  </w14:solidFill>
                </w14:textFill>
              </w:rPr>
              <w:t>无锡市滨湖区鸿桥路879号15楼</w:t>
            </w:r>
            <w:r>
              <w:rPr>
                <w:rFonts w:hint="eastAsia" w:ascii="宋体" w:hAnsi="宋体" w:eastAsia="宋体" w:cs="宋体"/>
                <w:color w:val="000000" w:themeColor="text1"/>
                <w:highlight w:val="none"/>
                <w:lang w:val="en-US" w:eastAsia="zh-CN"/>
                <w14:textFill>
                  <w14:solidFill>
                    <w14:schemeClr w14:val="tx1"/>
                  </w14:solidFill>
                </w14:textFill>
              </w:rPr>
              <w:t>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719" w:type="dxa"/>
            <w:vAlign w:val="center"/>
          </w:tcPr>
          <w:p>
            <w:pPr>
              <w:spacing w:line="380" w:lineRule="exact"/>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10</w:t>
            </w:r>
          </w:p>
        </w:tc>
        <w:tc>
          <w:tcPr>
            <w:tcW w:w="9150" w:type="dxa"/>
          </w:tcPr>
          <w:p>
            <w:pPr>
              <w:widowControl/>
              <w:topLinePunct/>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开标时间</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zh-CN"/>
                <w14:textFill>
                  <w14:solidFill>
                    <w14:schemeClr w14:val="tx1"/>
                  </w14:solidFill>
                </w14:textFill>
              </w:rPr>
              <w:t>20</w:t>
            </w:r>
            <w:r>
              <w:rPr>
                <w:rFonts w:hint="eastAsia" w:ascii="宋体" w:hAnsi="宋体" w:eastAsia="宋体" w:cs="宋体"/>
                <w:color w:val="000000" w:themeColor="text1"/>
                <w:sz w:val="24"/>
                <w:highlight w:val="none"/>
                <w14:textFill>
                  <w14:solidFill>
                    <w14:schemeClr w14:val="tx1"/>
                  </w14:solidFill>
                </w14:textFill>
              </w:rPr>
              <w:t>23</w:t>
            </w:r>
            <w:r>
              <w:rPr>
                <w:rFonts w:hint="eastAsia" w:ascii="宋体" w:hAnsi="宋体" w:eastAsia="宋体" w:cs="宋体"/>
                <w:color w:val="000000" w:themeColor="text1"/>
                <w:sz w:val="24"/>
                <w:highlight w:val="none"/>
                <w:lang w:val="zh-CN"/>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lang w:val="zh-CN"/>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14</w:t>
            </w:r>
            <w:r>
              <w:rPr>
                <w:rFonts w:hint="eastAsia" w:ascii="宋体" w:hAnsi="宋体" w:eastAsia="宋体" w:cs="宋体"/>
                <w:color w:val="000000" w:themeColor="text1"/>
                <w:sz w:val="24"/>
                <w:highlight w:val="none"/>
                <w:lang w:val="zh-CN"/>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上</w:t>
            </w:r>
            <w:r>
              <w:rPr>
                <w:rFonts w:hint="eastAsia" w:ascii="宋体" w:hAnsi="宋体" w:eastAsia="宋体" w:cs="宋体"/>
                <w:color w:val="000000" w:themeColor="text1"/>
                <w:sz w:val="24"/>
                <w:szCs w:val="24"/>
                <w:highlight w:val="none"/>
                <w14:textFill>
                  <w14:solidFill>
                    <w14:schemeClr w14:val="tx1"/>
                  </w14:solidFill>
                </w14:textFill>
              </w:rPr>
              <w:t>午</w:t>
            </w: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:30</w:t>
            </w:r>
          </w:p>
          <w:p>
            <w:pPr>
              <w:pStyle w:val="21"/>
              <w:tabs>
                <w:tab w:val="left" w:pos="360"/>
                <w:tab w:val="left" w:pos="426"/>
              </w:tabs>
              <w:spacing w:before="0" w:beforeAutospacing="0" w:after="0" w:afterAutospacing="0"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开标地点：</w:t>
            </w:r>
            <w:r>
              <w:rPr>
                <w:rFonts w:hint="eastAsia" w:ascii="宋体" w:hAnsi="宋体" w:eastAsia="宋体" w:cs="宋体"/>
                <w:color w:val="000000" w:themeColor="text1"/>
                <w:highlight w:val="none"/>
                <w:lang w:eastAsia="zh-CN"/>
                <w14:textFill>
                  <w14:solidFill>
                    <w14:schemeClr w14:val="tx1"/>
                  </w14:solidFill>
                </w14:textFill>
              </w:rPr>
              <w:t>无锡市滨湖区鸿桥路879号15楼</w:t>
            </w:r>
            <w:r>
              <w:rPr>
                <w:rFonts w:hint="eastAsia" w:ascii="宋体" w:hAnsi="宋体" w:eastAsia="宋体" w:cs="宋体"/>
                <w:color w:val="000000" w:themeColor="text1"/>
                <w:highlight w:val="none"/>
                <w:lang w:val="en-US" w:eastAsia="zh-CN"/>
                <w14:textFill>
                  <w14:solidFill>
                    <w14:schemeClr w14:val="tx1"/>
                  </w14:solidFill>
                </w14:textFill>
              </w:rPr>
              <w:t>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19" w:type="dxa"/>
            <w:vAlign w:val="center"/>
          </w:tcPr>
          <w:p>
            <w:pPr>
              <w:spacing w:line="380" w:lineRule="exact"/>
              <w:ind w:firstLine="120" w:firstLineChars="5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11</w:t>
            </w:r>
          </w:p>
        </w:tc>
        <w:tc>
          <w:tcPr>
            <w:tcW w:w="9150" w:type="dxa"/>
            <w:vAlign w:val="center"/>
          </w:tcPr>
          <w:p>
            <w:pPr>
              <w:widowControl/>
              <w:topLinePunct/>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确定中标单位时间：</w:t>
            </w:r>
            <w:r>
              <w:rPr>
                <w:rFonts w:hint="eastAsia" w:ascii="宋体" w:hAnsi="宋体" w:eastAsia="宋体" w:cs="宋体"/>
                <w:color w:val="000000" w:themeColor="text1"/>
                <w:sz w:val="24"/>
                <w:highlight w:val="none"/>
                <w:lang w:val="zh-CN"/>
                <w14:textFill>
                  <w14:solidFill>
                    <w14:schemeClr w14:val="tx1"/>
                  </w14:solidFill>
                </w14:textFill>
              </w:rPr>
              <w:t>20</w:t>
            </w:r>
            <w:r>
              <w:rPr>
                <w:rFonts w:hint="eastAsia" w:ascii="宋体" w:hAnsi="宋体" w:eastAsia="宋体" w:cs="宋体"/>
                <w:color w:val="000000" w:themeColor="text1"/>
                <w:sz w:val="24"/>
                <w:highlight w:val="none"/>
                <w14:textFill>
                  <w14:solidFill>
                    <w14:schemeClr w14:val="tx1"/>
                  </w14:solidFill>
                </w14:textFill>
              </w:rPr>
              <w:t>23</w:t>
            </w:r>
            <w:r>
              <w:rPr>
                <w:rFonts w:hint="eastAsia" w:ascii="宋体" w:hAnsi="宋体" w:eastAsia="宋体" w:cs="宋体"/>
                <w:color w:val="000000" w:themeColor="text1"/>
                <w:sz w:val="24"/>
                <w:highlight w:val="none"/>
                <w:lang w:val="zh-CN"/>
                <w14:textFill>
                  <w14:solidFill>
                    <w14:schemeClr w14:val="tx1"/>
                  </w14:solidFill>
                </w14:textFill>
              </w:rPr>
              <w:t>年</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lang w:val="zh-CN"/>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14</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lang w:val="zh-CN"/>
                <w14:textFill>
                  <w14:solidFill>
                    <w14:schemeClr w14:val="tx1"/>
                  </w14:solidFill>
                </w14:textFill>
              </w:rPr>
              <w:t>日</w:t>
            </w:r>
            <w:r>
              <w:rPr>
                <w:rFonts w:hint="eastAsia" w:ascii="宋体" w:hAnsi="宋体" w:eastAsia="宋体" w:cs="宋体"/>
                <w:color w:val="000000" w:themeColor="text1"/>
                <w:sz w:val="24"/>
                <w:szCs w:val="24"/>
                <w:highlight w:val="none"/>
                <w14:textFill>
                  <w14:solidFill>
                    <w14:schemeClr w14:val="tx1"/>
                  </w14:solidFill>
                </w14:textFill>
              </w:rPr>
              <w:t>评审结束</w:t>
            </w:r>
          </w:p>
          <w:p>
            <w:pPr>
              <w:pStyle w:val="21"/>
              <w:tabs>
                <w:tab w:val="left" w:pos="360"/>
                <w:tab w:val="left" w:pos="426"/>
              </w:tabs>
              <w:spacing w:before="0" w:beforeAutospacing="0" w:after="0" w:afterAutospacing="0" w:line="360" w:lineRule="auto"/>
              <w:jc w:val="both"/>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确定中标单位地点：</w:t>
            </w:r>
            <w:r>
              <w:rPr>
                <w:rFonts w:hint="eastAsia" w:ascii="宋体" w:hAnsi="宋体" w:eastAsia="宋体" w:cs="宋体"/>
                <w:color w:val="000000" w:themeColor="text1"/>
                <w:highlight w:val="none"/>
                <w:lang w:eastAsia="zh-CN"/>
                <w14:textFill>
                  <w14:solidFill>
                    <w14:schemeClr w14:val="tx1"/>
                  </w14:solidFill>
                </w14:textFill>
              </w:rPr>
              <w:t>无锡市滨湖区鸿桥路879号15楼</w:t>
            </w:r>
            <w:r>
              <w:rPr>
                <w:rFonts w:hint="eastAsia" w:ascii="宋体" w:hAnsi="宋体" w:eastAsia="宋体" w:cs="宋体"/>
                <w:color w:val="000000" w:themeColor="text1"/>
                <w:highlight w:val="none"/>
                <w:lang w:val="en-US" w:eastAsia="zh-CN"/>
                <w14:textFill>
                  <w14:solidFill>
                    <w14:schemeClr w14:val="tx1"/>
                  </w14:solidFill>
                </w14:textFill>
              </w:rPr>
              <w:t>评标室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19" w:type="dxa"/>
            <w:vAlign w:val="center"/>
          </w:tcPr>
          <w:p>
            <w:pPr>
              <w:spacing w:line="380" w:lineRule="exact"/>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12</w:t>
            </w:r>
          </w:p>
        </w:tc>
        <w:tc>
          <w:tcPr>
            <w:tcW w:w="9150" w:type="dxa"/>
            <w:vAlign w:val="center"/>
          </w:tcPr>
          <w:p>
            <w:pPr>
              <w:spacing w:line="36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投标文件份数：</w:t>
            </w:r>
            <w:r>
              <w:rPr>
                <w:rFonts w:hint="eastAsia" w:ascii="宋体" w:hAnsi="宋体" w:eastAsia="宋体" w:cs="宋体"/>
                <w:color w:val="000000" w:themeColor="text1"/>
                <w:sz w:val="24"/>
                <w14:textFill>
                  <w14:solidFill>
                    <w14:schemeClr w14:val="tx1"/>
                  </w14:solidFill>
                </w14:textFill>
              </w:rPr>
              <w:t>一正四副，电子U盘一份（需包含投标文件所有内容并加盖公章）。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19" w:type="dxa"/>
            <w:vAlign w:val="center"/>
          </w:tcPr>
          <w:p>
            <w:pPr>
              <w:spacing w:line="380" w:lineRule="exact"/>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13</w:t>
            </w:r>
          </w:p>
        </w:tc>
        <w:tc>
          <w:tcPr>
            <w:tcW w:w="9150" w:type="dxa"/>
            <w:vAlign w:val="center"/>
          </w:tcPr>
          <w:p>
            <w:pPr>
              <w:spacing w:line="36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有关本次采购活动程序方面的问题，可来人、来函（传真）或电话联系。</w:t>
            </w:r>
          </w:p>
          <w:p>
            <w:pPr>
              <w:spacing w:line="360" w:lineRule="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采购人：</w:t>
            </w:r>
            <w:r>
              <w:rPr>
                <w:rFonts w:hint="eastAsia" w:ascii="宋体" w:hAnsi="宋体" w:eastAsia="宋体" w:cs="宋体"/>
                <w:bCs/>
                <w:color w:val="000000" w:themeColor="text1"/>
                <w:sz w:val="24"/>
                <w:szCs w:val="24"/>
                <w:lang w:eastAsia="zh-CN"/>
                <w14:textFill>
                  <w14:solidFill>
                    <w14:schemeClr w14:val="tx1"/>
                  </w14:solidFill>
                </w14:textFill>
              </w:rPr>
              <w:t>无锡市公安局</w:t>
            </w:r>
          </w:p>
          <w:p>
            <w:pPr>
              <w:spacing w:line="36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联系地址</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bCs/>
                <w:color w:val="000000" w:themeColor="text1"/>
                <w:kern w:val="0"/>
                <w:sz w:val="24"/>
                <w:szCs w:val="24"/>
                <w14:textFill>
                  <w14:solidFill>
                    <w14:schemeClr w14:val="tx1"/>
                  </w14:solidFill>
                </w14:textFill>
              </w:rPr>
              <w:t>无锡市高浪西路58号</w:t>
            </w:r>
          </w:p>
          <w:p>
            <w:pPr>
              <w:spacing w:line="360" w:lineRule="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联 系 人</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汪警官</w:t>
            </w:r>
          </w:p>
          <w:p>
            <w:pPr>
              <w:spacing w:line="360" w:lineRule="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联系电话：0510-82222667</w:t>
            </w:r>
          </w:p>
          <w:p>
            <w:pPr>
              <w:spacing w:line="36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代理机构：江苏万享通咨询有限公司</w:t>
            </w:r>
          </w:p>
          <w:p>
            <w:pPr>
              <w:spacing w:line="360" w:lineRule="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联系地址：</w:t>
            </w:r>
            <w:r>
              <w:rPr>
                <w:rFonts w:hint="eastAsia" w:ascii="宋体" w:hAnsi="宋体" w:eastAsia="宋体" w:cs="宋体"/>
                <w:bCs/>
                <w:color w:val="000000" w:themeColor="text1"/>
                <w:sz w:val="24"/>
                <w:szCs w:val="24"/>
                <w:lang w:eastAsia="zh-CN"/>
                <w14:textFill>
                  <w14:solidFill>
                    <w14:schemeClr w14:val="tx1"/>
                  </w14:solidFill>
                </w14:textFill>
              </w:rPr>
              <w:t>无锡市滨湖区鸿桥路879号15楼</w:t>
            </w:r>
          </w:p>
          <w:p>
            <w:pPr>
              <w:spacing w:line="360" w:lineRule="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联 系 人：</w:t>
            </w:r>
            <w:r>
              <w:rPr>
                <w:rFonts w:hint="eastAsia" w:ascii="宋体" w:hAnsi="宋体" w:eastAsia="宋体" w:cs="宋体"/>
                <w:bCs/>
                <w:color w:val="000000" w:themeColor="text1"/>
                <w:sz w:val="24"/>
                <w:szCs w:val="24"/>
                <w:lang w:val="en-US" w:eastAsia="zh-CN"/>
                <w14:textFill>
                  <w14:solidFill>
                    <w14:schemeClr w14:val="tx1"/>
                  </w14:solidFill>
                </w14:textFill>
              </w:rPr>
              <w:t>王乾、张娜娜、韦雪静</w:t>
            </w:r>
          </w:p>
          <w:p>
            <w:pPr>
              <w:spacing w:line="360" w:lineRule="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联系电话：</w:t>
            </w:r>
            <w:r>
              <w:rPr>
                <w:rFonts w:hint="eastAsia" w:ascii="宋体" w:hAnsi="宋体" w:eastAsia="宋体" w:cs="宋体"/>
                <w:bCs/>
                <w:color w:val="000000" w:themeColor="text1"/>
                <w:sz w:val="24"/>
                <w:szCs w:val="24"/>
                <w:lang w:eastAsia="zh-CN"/>
                <w14:textFill>
                  <w14:solidFill>
                    <w14:schemeClr w14:val="tx1"/>
                  </w14:solidFill>
                </w14:textFill>
              </w:rPr>
              <w:t>0510-83131355</w:t>
            </w:r>
          </w:p>
          <w:p>
            <w:pPr>
              <w:spacing w:line="36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电子邮件地址：</w:t>
            </w:r>
            <w:r>
              <w:rPr>
                <w:rFonts w:hint="eastAsia" w:ascii="宋体" w:hAnsi="宋体" w:eastAsia="宋体" w:cs="宋体"/>
                <w:bCs/>
                <w:color w:val="000000" w:themeColor="text1"/>
                <w:sz w:val="24"/>
                <w:szCs w:val="24"/>
                <w:lang w:val="en-US" w:eastAsia="zh-CN"/>
                <w14:textFill>
                  <w14:solidFill>
                    <w14:schemeClr w14:val="tx1"/>
                  </w14:solidFill>
                </w14:textFill>
              </w:rPr>
              <w:t>694999734</w:t>
            </w:r>
            <w:r>
              <w:rPr>
                <w:rFonts w:hint="eastAsia" w:ascii="宋体" w:hAnsi="宋体" w:eastAsia="宋体" w:cs="宋体"/>
                <w:bCs/>
                <w:color w:val="000000" w:themeColor="text1"/>
                <w:sz w:val="24"/>
                <w:szCs w:val="24"/>
                <w14:textFill>
                  <w14:solidFill>
                    <w14:schemeClr w14:val="tx1"/>
                  </w14:solidFill>
                </w14:textFill>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19" w:type="dxa"/>
            <w:vAlign w:val="center"/>
          </w:tcPr>
          <w:p>
            <w:pPr>
              <w:spacing w:line="380" w:lineRule="exact"/>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14</w:t>
            </w:r>
          </w:p>
        </w:tc>
        <w:tc>
          <w:tcPr>
            <w:tcW w:w="9150" w:type="dxa"/>
            <w:vAlign w:val="center"/>
          </w:tcPr>
          <w:p>
            <w:pPr>
              <w:spacing w:line="360" w:lineRule="auto"/>
              <w:rPr>
                <w:rFonts w:hint="eastAsia" w:ascii="宋体" w:hAnsi="宋体" w:eastAsia="宋体" w:cs="宋体"/>
                <w:sz w:val="24"/>
                <w:szCs w:val="28"/>
              </w:rPr>
            </w:pPr>
            <w:r>
              <w:rPr>
                <w:rFonts w:hint="eastAsia" w:ascii="宋体" w:hAnsi="宋体" w:eastAsia="宋体" w:cs="宋体"/>
                <w:sz w:val="24"/>
                <w:szCs w:val="28"/>
              </w:rPr>
              <w:t>1.请有意参加本项目投标的供应商按以下流程进行操作：</w:t>
            </w:r>
          </w:p>
          <w:p>
            <w:pPr>
              <w:spacing w:line="360" w:lineRule="auto"/>
              <w:rPr>
                <w:rFonts w:hint="eastAsia" w:ascii="宋体" w:hAnsi="宋体" w:eastAsia="宋体" w:cs="宋体"/>
                <w:sz w:val="24"/>
                <w:szCs w:val="28"/>
              </w:rPr>
            </w:pPr>
            <w:r>
              <w:rPr>
                <w:rFonts w:hint="eastAsia" w:ascii="宋体" w:hAnsi="宋体" w:eastAsia="宋体" w:cs="宋体"/>
                <w:sz w:val="24"/>
                <w:szCs w:val="28"/>
              </w:rPr>
              <w:t>（1）访问“无锡政府采购网”点击“政府采购交易管理一体化系统”——“商家入驻”按钮进入注册界面，选择对应地区进行账号注册并填写申请信息，也可以直接通过http://middle.wuxi.zcygov.cn/v-settle-front/registry进入注册界面。</w:t>
            </w:r>
          </w:p>
          <w:p>
            <w:pPr>
              <w:spacing w:line="360" w:lineRule="auto"/>
              <w:rPr>
                <w:rFonts w:hint="eastAsia" w:ascii="宋体" w:hAnsi="宋体" w:eastAsia="宋体" w:cs="宋体"/>
                <w:sz w:val="24"/>
                <w:szCs w:val="28"/>
              </w:rPr>
            </w:pPr>
            <w:r>
              <w:rPr>
                <w:rFonts w:hint="eastAsia" w:ascii="宋体" w:hAnsi="宋体" w:eastAsia="宋体" w:cs="宋体"/>
                <w:sz w:val="24"/>
                <w:szCs w:val="28"/>
              </w:rPr>
              <w:t xml:space="preserve">（2）领取CA（办理地址：观山路199号市民中心12号楼1楼CA窗口）和办理电子签章（办理地址：观山路199号市民中心12号楼2楼2号窗口），（原已办理过CA进行过电子投标的供应商可不重复申领）。 </w:t>
            </w:r>
          </w:p>
          <w:p>
            <w:pPr>
              <w:spacing w:line="360" w:lineRule="auto"/>
              <w:rPr>
                <w:rFonts w:hint="eastAsia" w:ascii="宋体" w:hAnsi="宋体" w:eastAsia="宋体" w:cs="宋体"/>
                <w:sz w:val="24"/>
                <w:szCs w:val="28"/>
              </w:rPr>
            </w:pPr>
            <w:r>
              <w:rPr>
                <w:rFonts w:hint="eastAsia" w:ascii="宋体" w:hAnsi="宋体" w:eastAsia="宋体" w:cs="宋体"/>
                <w:sz w:val="24"/>
                <w:szCs w:val="28"/>
              </w:rPr>
              <w:t>（3）投标客户端下载链接：</w:t>
            </w:r>
          </w:p>
          <w:p>
            <w:pPr>
              <w:spacing w:line="360" w:lineRule="auto"/>
              <w:rPr>
                <w:rFonts w:hint="eastAsia" w:ascii="宋体" w:hAnsi="宋体" w:eastAsia="宋体" w:cs="宋体"/>
                <w:sz w:val="24"/>
                <w:szCs w:val="28"/>
              </w:rPr>
            </w:pPr>
            <w:r>
              <w:rPr>
                <w:rFonts w:hint="eastAsia" w:ascii="宋体" w:hAnsi="宋体" w:eastAsia="宋体" w:cs="宋体"/>
                <w:sz w:val="24"/>
                <w:szCs w:val="28"/>
              </w:rPr>
              <w:t xml:space="preserve">https://zcy-cdn.oss-cn-shanghai.aliyuncs.com/zcy-client/bidding-client/wuxi/ZhengCaiYunStep.3.11.7.exe </w:t>
            </w:r>
          </w:p>
          <w:p>
            <w:pPr>
              <w:spacing w:line="360" w:lineRule="auto"/>
              <w:rPr>
                <w:rFonts w:hint="eastAsia" w:ascii="宋体" w:hAnsi="宋体" w:eastAsia="宋体" w:cs="宋体"/>
                <w:sz w:val="24"/>
                <w:szCs w:val="28"/>
              </w:rPr>
            </w:pPr>
            <w:r>
              <w:rPr>
                <w:rFonts w:hint="eastAsia" w:ascii="宋体" w:hAnsi="宋体" w:eastAsia="宋体" w:cs="宋体"/>
                <w:sz w:val="24"/>
                <w:szCs w:val="28"/>
              </w:rPr>
              <w:t>（4）CA驱动下载链接（江苏省-国信CA驱动）：</w:t>
            </w:r>
          </w:p>
          <w:p>
            <w:pPr>
              <w:spacing w:line="360" w:lineRule="auto"/>
              <w:rPr>
                <w:rFonts w:hint="eastAsia" w:ascii="宋体" w:hAnsi="宋体" w:eastAsia="宋体" w:cs="宋体"/>
                <w:sz w:val="24"/>
                <w:szCs w:val="28"/>
              </w:rPr>
            </w:pPr>
            <w:r>
              <w:rPr>
                <w:rFonts w:hint="eastAsia" w:ascii="宋体" w:hAnsi="宋体" w:eastAsia="宋体" w:cs="宋体"/>
                <w:sz w:val="24"/>
                <w:szCs w:val="28"/>
              </w:rPr>
              <w:t xml:space="preserve">https://customer.zcygov.cn/CA-driver-download?utm=web-login-front.509b3709.0.0.004ab15096ee11ebbc33f5d151e70834 </w:t>
            </w:r>
          </w:p>
          <w:p>
            <w:pPr>
              <w:spacing w:line="360" w:lineRule="auto"/>
              <w:rPr>
                <w:rFonts w:hint="eastAsia" w:ascii="宋体" w:hAnsi="宋体" w:eastAsia="宋体" w:cs="宋体"/>
                <w:sz w:val="24"/>
                <w:szCs w:val="28"/>
              </w:rPr>
            </w:pPr>
            <w:r>
              <w:rPr>
                <w:rFonts w:hint="eastAsia" w:ascii="宋体" w:hAnsi="宋体" w:eastAsia="宋体" w:cs="宋体"/>
                <w:sz w:val="24"/>
                <w:szCs w:val="28"/>
              </w:rPr>
              <w:t>技术服务电话：4008817190（服务时间：工作日8:00-20:00）</w:t>
            </w:r>
          </w:p>
          <w:p>
            <w:pPr>
              <w:spacing w:line="360" w:lineRule="auto"/>
              <w:rPr>
                <w:rFonts w:hint="eastAsia" w:ascii="宋体" w:hAnsi="宋体" w:eastAsia="宋体" w:cs="宋体"/>
                <w:sz w:val="24"/>
                <w:szCs w:val="28"/>
              </w:rPr>
            </w:pPr>
            <w:r>
              <w:rPr>
                <w:rFonts w:hint="eastAsia" w:ascii="宋体" w:hAnsi="宋体" w:eastAsia="宋体" w:cs="宋体"/>
                <w:sz w:val="24"/>
                <w:szCs w:val="28"/>
              </w:rPr>
              <w:t>2.投标人在领取CA和办理电子签章前务必前往“无锡政府采购网”“供应商信息库”（网址：</w:t>
            </w:r>
          </w:p>
          <w:p>
            <w:pPr>
              <w:spacing w:line="360" w:lineRule="auto"/>
              <w:rPr>
                <w:rFonts w:hint="eastAsia" w:ascii="宋体" w:hAnsi="宋体" w:eastAsia="宋体" w:cs="宋体"/>
                <w:sz w:val="24"/>
                <w:szCs w:val="28"/>
              </w:rPr>
            </w:pPr>
            <w:r>
              <w:rPr>
                <w:rFonts w:hint="eastAsia" w:ascii="宋体" w:hAnsi="宋体" w:eastAsia="宋体" w:cs="宋体"/>
                <w:sz w:val="24"/>
                <w:szCs w:val="28"/>
              </w:rPr>
              <w:t>https://cz.wuxi.zcygov.cn/wxCategory19/wxCategory125/index.html?utm=sites_group_front.5b1ba037.0.0.959ae250ca6711ebb0349920799faebc）查询是否完成注册登记。</w:t>
            </w:r>
          </w:p>
          <w:p>
            <w:pPr>
              <w:spacing w:line="360" w:lineRule="auto"/>
              <w:rPr>
                <w:rFonts w:hint="eastAsia" w:ascii="宋体" w:hAnsi="宋体" w:eastAsia="宋体" w:cs="宋体"/>
                <w:sz w:val="24"/>
                <w:szCs w:val="28"/>
              </w:rPr>
            </w:pPr>
            <w:r>
              <w:rPr>
                <w:rFonts w:hint="eastAsia" w:ascii="宋体" w:hAnsi="宋体" w:eastAsia="宋体" w:cs="宋体"/>
                <w:sz w:val="24"/>
                <w:szCs w:val="28"/>
              </w:rPr>
              <w:t>完成注册的供应商方可领取CA和办理电子签章，登录政采云平台，插入CA后，点击【我的工作台】——页面右上方【CA管理】--【绑定CA】，上传投标文件，进行投标。</w:t>
            </w:r>
          </w:p>
          <w:p>
            <w:pPr>
              <w:widowControl/>
              <w:spacing w:line="360" w:lineRule="auto"/>
              <w:ind w:right="-113" w:rightChars="-54"/>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szCs w:val="28"/>
              </w:rPr>
              <w:t>3.如投标人未按上述要求操作，由此所产生的损失及风险由投标人自行承担。在“供应商信息库”中无法查询的投标人，由评标委员会审查其投标截止时间前提交的未审核资料。</w:t>
            </w:r>
          </w:p>
        </w:tc>
      </w:tr>
    </w:tbl>
    <w:p>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pPr>
        <w:spacing w:line="440" w:lineRule="exact"/>
        <w:jc w:val="center"/>
        <w:rPr>
          <w:rFonts w:hint="eastAsia" w:ascii="宋体" w:hAnsi="宋体" w:eastAsia="宋体" w:cs="宋体"/>
          <w:b/>
          <w:color w:val="000000" w:themeColor="text1"/>
          <w:sz w:val="30"/>
          <w:szCs w:val="30"/>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二．投标人须知</w:t>
      </w:r>
    </w:p>
    <w:p>
      <w:pPr>
        <w:numPr>
          <w:ilvl w:val="0"/>
          <w:numId w:val="6"/>
        </w:numPr>
        <w:tabs>
          <w:tab w:val="left" w:pos="735"/>
        </w:tabs>
        <w:spacing w:line="440" w:lineRule="exact"/>
        <w:ind w:left="0" w:firstLine="42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遵循原则：</w:t>
      </w:r>
    </w:p>
    <w:p>
      <w:pPr>
        <w:spacing w:line="440" w:lineRule="exact"/>
        <w:ind w:firstLine="523" w:firstLineChars="218"/>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公开透明原则、公平竞争原则、公正原则和诚实信用原则。</w:t>
      </w:r>
    </w:p>
    <w:p>
      <w:pPr>
        <w:numPr>
          <w:ilvl w:val="0"/>
          <w:numId w:val="6"/>
        </w:numPr>
        <w:tabs>
          <w:tab w:val="left" w:pos="735"/>
        </w:tabs>
        <w:spacing w:line="440" w:lineRule="exact"/>
        <w:ind w:left="0" w:firstLine="42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采购文件：</w:t>
      </w:r>
    </w:p>
    <w:p>
      <w:pPr>
        <w:numPr>
          <w:ilvl w:val="0"/>
          <w:numId w:val="7"/>
        </w:numPr>
        <w:tabs>
          <w:tab w:val="left" w:pos="-1260"/>
          <w:tab w:val="left" w:pos="525"/>
          <w:tab w:val="left" w:pos="1050"/>
          <w:tab w:val="clear" w:pos="552"/>
        </w:tabs>
        <w:spacing w:line="440" w:lineRule="exact"/>
        <w:ind w:left="0" w:firstLine="628" w:firstLineChars="262"/>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采购文件包括本文件目录所列全部内容，投标人应仔细阅读，并在投标文件中充分响应采购文件的所有要求。</w:t>
      </w:r>
    </w:p>
    <w:p>
      <w:pPr>
        <w:numPr>
          <w:ilvl w:val="0"/>
          <w:numId w:val="7"/>
        </w:numPr>
        <w:tabs>
          <w:tab w:val="left" w:pos="-1260"/>
          <w:tab w:val="left" w:pos="525"/>
          <w:tab w:val="left" w:pos="1050"/>
          <w:tab w:val="clear" w:pos="552"/>
        </w:tabs>
        <w:spacing w:line="440" w:lineRule="exact"/>
        <w:ind w:left="0" w:firstLine="628" w:firstLineChars="262"/>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投标人应向</w:t>
      </w:r>
      <w:r>
        <w:rPr>
          <w:rFonts w:hint="eastAsia" w:ascii="宋体" w:hAnsi="宋体" w:eastAsia="宋体" w:cs="宋体"/>
          <w:color w:val="000000" w:themeColor="text1"/>
          <w:kern w:val="0"/>
          <w:sz w:val="24"/>
          <w:lang w:eastAsia="zh-CN"/>
          <w14:textFill>
            <w14:solidFill>
              <w14:schemeClr w14:val="tx1"/>
            </w14:solidFill>
          </w14:textFill>
        </w:rPr>
        <w:t>江苏万享通咨询有限公司</w:t>
      </w:r>
      <w:r>
        <w:rPr>
          <w:rFonts w:hint="eastAsia" w:ascii="宋体" w:hAnsi="宋体" w:eastAsia="宋体" w:cs="宋体"/>
          <w:color w:val="000000" w:themeColor="text1"/>
          <w:sz w:val="24"/>
          <w14:textFill>
            <w14:solidFill>
              <w14:schemeClr w14:val="tx1"/>
            </w14:solidFill>
          </w14:textFill>
        </w:rPr>
        <w:t>购买文件及有关资料，按采购文件要求提交全部资料并对采购文件各项内容做出实质性响应，否则该投标人的投标无效。</w:t>
      </w:r>
    </w:p>
    <w:p>
      <w:pPr>
        <w:spacing w:line="360" w:lineRule="auto"/>
        <w:ind w:left="132" w:leftChars="63"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3．投标人一旦参加本项目投标，即表明承诺接受了本采购文件中所有条件和规定。</w:t>
      </w:r>
    </w:p>
    <w:p>
      <w:pPr>
        <w:spacing w:line="360" w:lineRule="auto"/>
        <w:ind w:left="55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4．采购文件一经售出、一律不退，且仅作为本次采购招标使用。</w:t>
      </w:r>
    </w:p>
    <w:p>
      <w:pPr>
        <w:tabs>
          <w:tab w:val="left" w:pos="630"/>
        </w:tabs>
        <w:spacing w:line="440" w:lineRule="exact"/>
        <w:ind w:left="-2" w:leftChars="-1" w:firstLine="420" w:firstLineChars="175"/>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（三）采购文件的解释：</w:t>
      </w:r>
    </w:p>
    <w:p>
      <w:pPr>
        <w:numPr>
          <w:ilvl w:val="2"/>
          <w:numId w:val="6"/>
        </w:numPr>
        <w:tabs>
          <w:tab w:val="left" w:pos="525"/>
          <w:tab w:val="left" w:pos="1050"/>
        </w:tabs>
        <w:spacing w:line="440" w:lineRule="exact"/>
        <w:ind w:left="0" w:firstLine="628" w:firstLineChars="262"/>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投标人如有需要对采购文件要求澄清的问题，请以书面提出，并按“投标邀请”第6项规定的时间将电子邮件及书面传真（两种形式均须发送）至</w:t>
      </w:r>
      <w:r>
        <w:rPr>
          <w:rFonts w:hint="eastAsia" w:ascii="宋体" w:hAnsi="宋体" w:eastAsia="宋体" w:cs="宋体"/>
          <w:color w:val="000000" w:themeColor="text1"/>
          <w:sz w:val="24"/>
          <w:lang w:eastAsia="zh-CN"/>
          <w14:textFill>
            <w14:solidFill>
              <w14:schemeClr w14:val="tx1"/>
            </w14:solidFill>
          </w14:textFill>
        </w:rPr>
        <w:t>江苏万享通咨询有限公司</w:t>
      </w:r>
      <w:r>
        <w:rPr>
          <w:rFonts w:hint="eastAsia" w:ascii="宋体" w:hAnsi="宋体" w:eastAsia="宋体" w:cs="宋体"/>
          <w:bCs/>
          <w:color w:val="000000" w:themeColor="text1"/>
          <w:sz w:val="24"/>
          <w:szCs w:val="24"/>
          <w14:textFill>
            <w14:solidFill>
              <w14:schemeClr w14:val="tx1"/>
            </w14:solidFill>
          </w14:textFill>
        </w:rPr>
        <w:t>，联系方式详见投标邀请第13项。</w:t>
      </w:r>
    </w:p>
    <w:p>
      <w:pPr>
        <w:numPr>
          <w:ilvl w:val="2"/>
          <w:numId w:val="6"/>
        </w:numPr>
        <w:tabs>
          <w:tab w:val="left" w:pos="525"/>
          <w:tab w:val="left" w:pos="1050"/>
        </w:tabs>
        <w:spacing w:line="440" w:lineRule="exact"/>
        <w:ind w:left="0" w:firstLine="628" w:firstLineChars="262"/>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采购人、</w:t>
      </w:r>
      <w:r>
        <w:rPr>
          <w:rFonts w:hint="eastAsia" w:ascii="宋体" w:hAnsi="宋体" w:eastAsia="宋体" w:cs="宋体"/>
          <w:color w:val="000000" w:themeColor="text1"/>
          <w:sz w:val="24"/>
          <w:lang w:eastAsia="zh-CN"/>
          <w14:textFill>
            <w14:solidFill>
              <w14:schemeClr w14:val="tx1"/>
            </w14:solidFill>
          </w14:textFill>
        </w:rPr>
        <w:t>江苏万享通咨询有限公司</w:t>
      </w:r>
      <w:r>
        <w:rPr>
          <w:rFonts w:hint="eastAsia" w:ascii="宋体" w:hAnsi="宋体" w:eastAsia="宋体" w:cs="宋体"/>
          <w:bCs/>
          <w:color w:val="000000" w:themeColor="text1"/>
          <w:sz w:val="24"/>
          <w:szCs w:val="24"/>
          <w14:textFill>
            <w14:solidFill>
              <w14:schemeClr w14:val="tx1"/>
            </w14:solidFill>
          </w14:textFill>
        </w:rPr>
        <w:t>将按“投标邀请”第6项规定的时间对投标人针对采购文件书面提出的要求澄清的问题进行书面答疑。</w:t>
      </w:r>
    </w:p>
    <w:p>
      <w:pPr>
        <w:numPr>
          <w:ilvl w:val="2"/>
          <w:numId w:val="6"/>
        </w:numPr>
        <w:tabs>
          <w:tab w:val="left" w:pos="525"/>
          <w:tab w:val="left" w:pos="1050"/>
        </w:tabs>
        <w:spacing w:line="440" w:lineRule="exact"/>
        <w:ind w:left="0" w:firstLine="628" w:firstLineChars="262"/>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本文件的最终解释权归采购人。</w:t>
      </w:r>
    </w:p>
    <w:p>
      <w:pPr>
        <w:spacing w:line="440" w:lineRule="exact"/>
        <w:ind w:left="-2" w:leftChars="-1" w:firstLine="420" w:firstLineChars="175"/>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（四）采购文件的补充或修正：</w:t>
      </w:r>
    </w:p>
    <w:p>
      <w:pPr>
        <w:numPr>
          <w:ilvl w:val="0"/>
          <w:numId w:val="8"/>
        </w:numPr>
        <w:tabs>
          <w:tab w:val="left" w:pos="525"/>
          <w:tab w:val="left" w:pos="945"/>
          <w:tab w:val="clear" w:pos="898"/>
        </w:tabs>
        <w:spacing w:line="360" w:lineRule="auto"/>
        <w:ind w:left="1" w:firstLine="523" w:firstLineChars="218"/>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采购人或者采购代理机构可以对已发出的采购文件进行必要的澄清或者修改，但不得改变采购标的和资格条件。澄清或者修改应当在</w:t>
      </w:r>
      <w:r>
        <w:rPr>
          <w:rFonts w:hint="eastAsia" w:ascii="宋体" w:hAnsi="宋体" w:eastAsia="宋体" w:cs="宋体"/>
          <w:color w:val="000000" w:themeColor="text1"/>
          <w:sz w:val="24"/>
          <w:szCs w:val="24"/>
          <w14:textFill>
            <w14:solidFill>
              <w14:schemeClr w14:val="tx1"/>
            </w14:solidFill>
          </w14:textFill>
        </w:rPr>
        <w:t>江苏政府采购网、无锡政府采购网</w:t>
      </w:r>
      <w:r>
        <w:rPr>
          <w:rFonts w:hint="eastAsia" w:ascii="宋体" w:hAnsi="宋体" w:eastAsia="宋体" w:cs="宋体"/>
          <w:bCs/>
          <w:color w:val="000000" w:themeColor="text1"/>
          <w:sz w:val="24"/>
          <w:szCs w:val="24"/>
          <w14:textFill>
            <w14:solidFill>
              <w14:schemeClr w14:val="tx1"/>
            </w14:solidFill>
          </w14:textFill>
        </w:rPr>
        <w:t>上发布澄清公告。澄清或者修改的内容为采购文件的组成部分。</w:t>
      </w:r>
    </w:p>
    <w:p>
      <w:pPr>
        <w:numPr>
          <w:ilvl w:val="0"/>
          <w:numId w:val="8"/>
        </w:numPr>
        <w:tabs>
          <w:tab w:val="left" w:pos="525"/>
          <w:tab w:val="left" w:pos="945"/>
          <w:tab w:val="clear" w:pos="898"/>
        </w:tabs>
        <w:spacing w:line="360" w:lineRule="auto"/>
        <w:ind w:left="1" w:firstLine="523" w:firstLineChars="218"/>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澄清或者修改的内容可能影响投标文件编制的，采购人或者采购代理机构应当在投标截止时间至少15日前，以书面形式通知所有获取采购文件的潜在投标人；不足15日的，采购人或者采购代理机构应当顺延提交投标文件的截止时间。</w:t>
      </w:r>
    </w:p>
    <w:p>
      <w:pPr>
        <w:numPr>
          <w:ilvl w:val="1"/>
          <w:numId w:val="8"/>
        </w:num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w:t>
      </w:r>
      <w:r>
        <w:rPr>
          <w:rFonts w:hint="eastAsia" w:ascii="宋体" w:hAnsi="宋体" w:eastAsia="宋体" w:cs="宋体"/>
          <w:bCs/>
          <w:color w:val="000000" w:themeColor="text1"/>
          <w:sz w:val="24"/>
          <w:szCs w:val="24"/>
          <w14:textFill>
            <w14:solidFill>
              <w14:schemeClr w14:val="tx1"/>
            </w14:solidFill>
          </w14:textFill>
        </w:rPr>
        <w:t>于投标截止日前</w:t>
      </w:r>
      <w:r>
        <w:rPr>
          <w:rFonts w:hint="eastAsia" w:ascii="宋体" w:hAnsi="宋体" w:eastAsia="宋体" w:cs="宋体"/>
          <w:color w:val="000000" w:themeColor="text1"/>
          <w:sz w:val="24"/>
          <w:szCs w:val="24"/>
          <w14:textFill>
            <w14:solidFill>
              <w14:schemeClr w14:val="tx1"/>
            </w14:solidFill>
          </w14:textFill>
        </w:rPr>
        <w:t>以书面回函</w:t>
      </w:r>
      <w:r>
        <w:rPr>
          <w:rFonts w:hint="eastAsia" w:ascii="宋体" w:hAnsi="宋体" w:eastAsia="宋体" w:cs="宋体"/>
          <w:color w:val="000000" w:themeColor="text1"/>
          <w:sz w:val="24"/>
          <w:szCs w:val="24"/>
          <w:lang w:eastAsia="zh-CN"/>
          <w14:textFill>
            <w14:solidFill>
              <w14:schemeClr w14:val="tx1"/>
            </w14:solidFill>
          </w14:textFill>
        </w:rPr>
        <w:t>江苏万享通咨询有限公司</w:t>
      </w:r>
      <w:r>
        <w:rPr>
          <w:rFonts w:hint="eastAsia" w:ascii="宋体" w:hAnsi="宋体" w:eastAsia="宋体" w:cs="宋体"/>
          <w:color w:val="000000" w:themeColor="text1"/>
          <w:sz w:val="24"/>
          <w:szCs w:val="24"/>
          <w14:textFill>
            <w14:solidFill>
              <w14:schemeClr w14:val="tx1"/>
            </w14:solidFill>
          </w14:textFill>
        </w:rPr>
        <w:t>，</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确认已收到修改文件或延期开标通知，</w:t>
      </w:r>
      <w:r>
        <w:rPr>
          <w:rFonts w:hint="eastAsia" w:ascii="宋体" w:hAnsi="宋体" w:cs="宋体"/>
          <w:bCs/>
          <w:color w:val="000000" w:themeColor="text1"/>
          <w:sz w:val="24"/>
          <w:szCs w:val="24"/>
          <w:lang w:val="en-US" w:eastAsia="zh-CN"/>
          <w14:textFill>
            <w14:solidFill>
              <w14:schemeClr w14:val="tx1"/>
            </w14:solidFill>
          </w14:textFill>
        </w:rPr>
        <w:t>邮箱</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cs="宋体"/>
          <w:bCs/>
          <w:color w:val="000000" w:themeColor="text1"/>
          <w:sz w:val="24"/>
          <w:szCs w:val="24"/>
          <w:lang w:val="en-US" w:eastAsia="zh-CN"/>
          <w14:textFill>
            <w14:solidFill>
              <w14:schemeClr w14:val="tx1"/>
            </w14:solidFill>
          </w14:textFill>
        </w:rPr>
        <w:t>694999734@qq.Com</w:t>
      </w:r>
      <w:r>
        <w:rPr>
          <w:rFonts w:hint="eastAsia" w:ascii="宋体" w:hAnsi="宋体" w:eastAsia="宋体" w:cs="宋体"/>
          <w:bCs/>
          <w:color w:val="000000" w:themeColor="text1"/>
          <w:sz w:val="24"/>
          <w:szCs w:val="24"/>
          <w14:textFill>
            <w14:solidFill>
              <w14:schemeClr w14:val="tx1"/>
            </w14:solidFill>
          </w14:textFill>
        </w:rPr>
        <w:t>；逾期不回视同收到此公告。因投标人未及时全面地关注更正公告导致其提交的投标材料不符合采购人要求，而造成的损失及风险（包括但不限于未中标）由投标人自行承担。</w:t>
      </w:r>
    </w:p>
    <w:p>
      <w:pPr>
        <w:spacing w:line="440" w:lineRule="exact"/>
        <w:ind w:firstLine="420" w:firstLineChars="175"/>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（五）投标文件的组成</w:t>
      </w:r>
      <w:r>
        <w:rPr>
          <w:rFonts w:hint="eastAsia" w:ascii="宋体" w:hAnsi="宋体" w:eastAsia="宋体" w:cs="宋体"/>
          <w:b/>
          <w:color w:val="000000" w:themeColor="text1"/>
          <w:sz w:val="24"/>
          <w14:textFill>
            <w14:solidFill>
              <w14:schemeClr w14:val="tx1"/>
            </w14:solidFill>
          </w14:textFill>
        </w:rPr>
        <w:t>（装订成一册）</w:t>
      </w:r>
    </w:p>
    <w:p>
      <w:pPr>
        <w:numPr>
          <w:ilvl w:val="0"/>
          <w:numId w:val="9"/>
        </w:numPr>
        <w:tabs>
          <w:tab w:val="left" w:pos="525"/>
          <w:tab w:val="left" w:pos="945"/>
        </w:tabs>
        <w:spacing w:line="36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投标函（</w:t>
      </w:r>
      <w:r>
        <w:rPr>
          <w:rFonts w:hint="eastAsia" w:ascii="宋体" w:hAnsi="宋体" w:eastAsia="宋体" w:cs="宋体"/>
          <w:b/>
          <w:bCs/>
          <w:color w:val="000000" w:themeColor="text1"/>
          <w:sz w:val="24"/>
          <w:szCs w:val="24"/>
          <w14:textFill>
            <w14:solidFill>
              <w14:schemeClr w14:val="tx1"/>
            </w14:solidFill>
          </w14:textFill>
        </w:rPr>
        <w:t>格式见附件）</w:t>
      </w:r>
    </w:p>
    <w:p>
      <w:pPr>
        <w:numPr>
          <w:ilvl w:val="0"/>
          <w:numId w:val="9"/>
        </w:numPr>
        <w:tabs>
          <w:tab w:val="left" w:pos="525"/>
          <w:tab w:val="left" w:pos="945"/>
        </w:tabs>
        <w:spacing w:line="36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资格、资信证明文件</w:t>
      </w:r>
    </w:p>
    <w:p>
      <w:pPr>
        <w:tabs>
          <w:tab w:val="left" w:pos="426"/>
          <w:tab w:val="left" w:pos="945"/>
          <w:tab w:val="left" w:pos="1365"/>
        </w:tabs>
        <w:spacing w:line="360" w:lineRule="auto"/>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①关于资格的声明函</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格式见附件</w:t>
      </w:r>
      <w:r>
        <w:rPr>
          <w:rFonts w:hint="eastAsia" w:ascii="宋体" w:hAnsi="宋体" w:eastAsia="宋体" w:cs="宋体"/>
          <w:bCs/>
          <w:color w:val="000000" w:themeColor="text1"/>
          <w:sz w:val="24"/>
          <w:szCs w:val="24"/>
          <w14:textFill>
            <w14:solidFill>
              <w14:schemeClr w14:val="tx1"/>
            </w14:solidFill>
          </w14:textFill>
        </w:rPr>
        <w:t>）；</w:t>
      </w:r>
    </w:p>
    <w:p>
      <w:pPr>
        <w:tabs>
          <w:tab w:val="left" w:pos="426"/>
          <w:tab w:val="left" w:pos="945"/>
          <w:tab w:val="left" w:pos="1365"/>
        </w:tabs>
        <w:spacing w:line="360" w:lineRule="auto"/>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②投标人营业执照副本复印件加盖公章；</w:t>
      </w:r>
    </w:p>
    <w:p>
      <w:pPr>
        <w:tabs>
          <w:tab w:val="left" w:pos="426"/>
          <w:tab w:val="left" w:pos="945"/>
          <w:tab w:val="left" w:pos="1365"/>
        </w:tabs>
        <w:spacing w:line="360" w:lineRule="auto"/>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③投标人法定代表人授权委托书（</w:t>
      </w:r>
      <w:r>
        <w:rPr>
          <w:rFonts w:hint="eastAsia" w:ascii="宋体" w:hAnsi="宋体" w:eastAsia="宋体" w:cs="宋体"/>
          <w:b/>
          <w:bCs/>
          <w:color w:val="000000" w:themeColor="text1"/>
          <w:kern w:val="0"/>
          <w:sz w:val="24"/>
          <w14:textFill>
            <w14:solidFill>
              <w14:schemeClr w14:val="tx1"/>
            </w14:solidFill>
          </w14:textFill>
        </w:rPr>
        <w:t>法定代表人亲自参与投标的除外，格式见附件</w:t>
      </w:r>
      <w:r>
        <w:rPr>
          <w:rFonts w:hint="eastAsia" w:ascii="宋体" w:hAnsi="宋体" w:eastAsia="宋体" w:cs="宋体"/>
          <w:color w:val="000000" w:themeColor="text1"/>
          <w:kern w:val="0"/>
          <w:sz w:val="24"/>
          <w14:textFill>
            <w14:solidFill>
              <w14:schemeClr w14:val="tx1"/>
            </w14:solidFill>
          </w14:textFill>
        </w:rPr>
        <w:t>）；</w:t>
      </w:r>
    </w:p>
    <w:p>
      <w:pPr>
        <w:tabs>
          <w:tab w:val="left" w:pos="426"/>
          <w:tab w:val="left" w:pos="945"/>
          <w:tab w:val="left" w:pos="1365"/>
        </w:tabs>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④</w:t>
      </w:r>
      <w:r>
        <w:rPr>
          <w:rFonts w:hint="eastAsia" w:ascii="宋体" w:hAnsi="宋体" w:eastAsia="宋体" w:cs="宋体"/>
          <w:color w:val="000000" w:themeColor="text1"/>
          <w:sz w:val="24"/>
          <w14:textFill>
            <w14:solidFill>
              <w14:schemeClr w14:val="tx1"/>
            </w14:solidFill>
          </w14:textFill>
        </w:rPr>
        <w:t>投标人法定代表人身份证及法定代表人授权代表身份证复印件并加盖公章</w:t>
      </w:r>
      <w:r>
        <w:rPr>
          <w:rFonts w:hint="eastAsia" w:ascii="宋体" w:hAnsi="宋体" w:eastAsia="宋体" w:cs="宋体"/>
          <w:b/>
          <w:color w:val="000000" w:themeColor="text1"/>
          <w:sz w:val="24"/>
          <w14:textFill>
            <w14:solidFill>
              <w14:schemeClr w14:val="tx1"/>
            </w14:solidFill>
          </w14:textFill>
        </w:rPr>
        <w:t>（投标时必须携带参加开</w:t>
      </w:r>
      <w:r>
        <w:rPr>
          <w:rFonts w:hint="eastAsia" w:ascii="宋体" w:hAnsi="宋体" w:eastAsia="宋体" w:cs="宋体"/>
          <w:b/>
          <w:color w:val="000000" w:themeColor="text1"/>
          <w:sz w:val="24"/>
          <w:highlight w:val="none"/>
          <w14:textFill>
            <w14:solidFill>
              <w14:schemeClr w14:val="tx1"/>
            </w14:solidFill>
          </w14:textFill>
        </w:rPr>
        <w:t>标会议的法定代表人身份证或法定代表人授权代表身份证原件）；</w:t>
      </w:r>
    </w:p>
    <w:p>
      <w:pPr>
        <w:tabs>
          <w:tab w:val="left" w:pos="426"/>
          <w:tab w:val="left" w:pos="945"/>
          <w:tab w:val="left" w:pos="1365"/>
        </w:tabs>
        <w:spacing w:line="360" w:lineRule="auto"/>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⑤投标人有效的具有《中华人民共和国基础电信业务经营许可证》或具备广播电视传输网络建设、改造、维护、管理资格（投标人自有的或授权其分支机构投标的法人所有的）</w:t>
      </w:r>
      <w:r>
        <w:rPr>
          <w:rFonts w:hint="eastAsia" w:ascii="宋体" w:hAnsi="宋体" w:eastAsia="宋体" w:cs="宋体"/>
          <w:color w:val="000000" w:themeColor="text1"/>
          <w:kern w:val="0"/>
          <w:sz w:val="24"/>
          <w:highlight w:val="none"/>
          <w:lang w:val="en-US" w:eastAsia="zh-CN"/>
          <w14:textFill>
            <w14:solidFill>
              <w14:schemeClr w14:val="tx1"/>
            </w14:solidFill>
          </w14:textFill>
        </w:rPr>
        <w:t>证书</w:t>
      </w:r>
      <w:r>
        <w:rPr>
          <w:rFonts w:hint="eastAsia" w:ascii="宋体" w:hAnsi="宋体" w:eastAsia="宋体" w:cs="宋体"/>
          <w:color w:val="000000" w:themeColor="text1"/>
          <w:kern w:val="0"/>
          <w:sz w:val="24"/>
          <w:highlight w:val="none"/>
          <w14:textFill>
            <w14:solidFill>
              <w14:schemeClr w14:val="tx1"/>
            </w14:solidFill>
          </w14:textFill>
        </w:rPr>
        <w:t>复印件</w:t>
      </w:r>
      <w:r>
        <w:rPr>
          <w:rFonts w:hint="eastAsia" w:ascii="宋体" w:hAnsi="宋体" w:eastAsia="宋体" w:cs="宋体"/>
          <w:color w:val="000000" w:themeColor="text1"/>
          <w:sz w:val="24"/>
          <w:highlight w:val="none"/>
          <w14:textFill>
            <w14:solidFill>
              <w14:schemeClr w14:val="tx1"/>
            </w14:solidFill>
          </w14:textFill>
        </w:rPr>
        <w:t>并加盖公章</w:t>
      </w:r>
      <w:r>
        <w:rPr>
          <w:rFonts w:hint="eastAsia" w:ascii="宋体" w:hAnsi="宋体" w:eastAsia="宋体" w:cs="宋体"/>
          <w:color w:val="000000" w:themeColor="text1"/>
          <w:kern w:val="0"/>
          <w:sz w:val="24"/>
          <w:highlight w:val="none"/>
          <w14:textFill>
            <w14:solidFill>
              <w14:schemeClr w14:val="tx1"/>
            </w14:solidFill>
          </w14:textFill>
        </w:rPr>
        <w:t>；</w:t>
      </w:r>
    </w:p>
    <w:p>
      <w:pPr>
        <w:tabs>
          <w:tab w:val="left" w:pos="426"/>
          <w:tab w:val="left" w:pos="945"/>
          <w:tab w:val="left" w:pos="1365"/>
        </w:tabs>
        <w:spacing w:line="360" w:lineRule="auto"/>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⑥投标人近三个月中任意一个月份(不含投标当月)的财务状况报告（资产负债表和利润表）或由会计师事务所出具的近两年中（2021年</w:t>
      </w:r>
      <w:r>
        <w:rPr>
          <w:rFonts w:hint="eastAsia" w:ascii="宋体" w:hAnsi="宋体" w:eastAsia="宋体" w:cs="宋体"/>
          <w:color w:val="000000" w:themeColor="text1"/>
          <w:kern w:val="0"/>
          <w:sz w:val="24"/>
          <w14:textFill>
            <w14:solidFill>
              <w14:schemeClr w14:val="tx1"/>
            </w14:solidFill>
          </w14:textFill>
        </w:rPr>
        <w:t>或2022年）任意一年度的审计报告和所附已审财务报告复印件加盖公章；</w:t>
      </w:r>
    </w:p>
    <w:p>
      <w:pPr>
        <w:tabs>
          <w:tab w:val="left" w:pos="426"/>
          <w:tab w:val="left" w:pos="945"/>
          <w:tab w:val="left" w:pos="1365"/>
        </w:tabs>
        <w:spacing w:line="360" w:lineRule="auto"/>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⑦</w:t>
      </w:r>
      <w:r>
        <w:rPr>
          <w:rFonts w:hint="eastAsia" w:ascii="宋体" w:hAnsi="宋体" w:eastAsia="宋体" w:cs="宋体"/>
          <w:color w:val="000000" w:themeColor="text1"/>
          <w:kern w:val="0"/>
          <w:sz w:val="24"/>
          <w14:textFill>
            <w14:solidFill>
              <w14:schemeClr w14:val="tx1"/>
            </w14:solidFill>
          </w14:textFill>
        </w:rPr>
        <w:t>投标人近三个月中任意一个月份(不含投标当月)的依法缴纳税收的相关材料（提供相关主管部门证明或银行代扣证明）复印件加盖公章；</w:t>
      </w:r>
    </w:p>
    <w:p>
      <w:pPr>
        <w:tabs>
          <w:tab w:val="left" w:pos="426"/>
          <w:tab w:val="left" w:pos="945"/>
          <w:tab w:val="left" w:pos="1365"/>
        </w:tabs>
        <w:spacing w:line="360" w:lineRule="auto"/>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⑧投标人近三个月中任意一个月份(不含投标当月)的依法缴纳社会保障资金的相关材料（提供相关主管部门证明或银行代扣证明）复印件加盖公章；</w:t>
      </w:r>
    </w:p>
    <w:p>
      <w:pPr>
        <w:tabs>
          <w:tab w:val="left" w:pos="426"/>
          <w:tab w:val="left" w:pos="945"/>
          <w:tab w:val="left" w:pos="1365"/>
        </w:tabs>
        <w:spacing w:line="360" w:lineRule="auto"/>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⑨项目负责人及法定代表人授权代表与本企业签订的劳动合同和本企业为其缴纳的连续6个月社保证明，即由法定社保收缴机构出具的内附2023年0</w:t>
      </w:r>
      <w:r>
        <w:rPr>
          <w:rFonts w:hint="eastAsia" w:ascii="宋体" w:hAnsi="宋体" w:eastAsia="宋体" w:cs="宋体"/>
          <w:color w:val="000000" w:themeColor="text1"/>
          <w:kern w:val="0"/>
          <w:sz w:val="24"/>
          <w:lang w:val="en-US" w:eastAsia="zh-CN"/>
          <w14:textFill>
            <w14:solidFill>
              <w14:schemeClr w14:val="tx1"/>
            </w14:solidFill>
          </w14:textFill>
        </w:rPr>
        <w:t>5</w:t>
      </w:r>
      <w:r>
        <w:rPr>
          <w:rFonts w:hint="eastAsia" w:ascii="宋体" w:hAnsi="宋体" w:eastAsia="宋体" w:cs="宋体"/>
          <w:color w:val="000000" w:themeColor="text1"/>
          <w:kern w:val="0"/>
          <w:sz w:val="24"/>
          <w14:textFill>
            <w14:solidFill>
              <w14:schemeClr w14:val="tx1"/>
            </w14:solidFill>
          </w14:textFill>
        </w:rPr>
        <w:t>月～2023年</w:t>
      </w:r>
      <w:r>
        <w:rPr>
          <w:rFonts w:hint="eastAsia" w:ascii="宋体" w:hAnsi="宋体" w:eastAsia="宋体" w:cs="宋体"/>
          <w:color w:val="000000" w:themeColor="text1"/>
          <w:kern w:val="0"/>
          <w:sz w:val="24"/>
          <w:lang w:val="en-US" w:eastAsia="zh-CN"/>
          <w14:textFill>
            <w14:solidFill>
              <w14:schemeClr w14:val="tx1"/>
            </w14:solidFill>
          </w14:textFill>
        </w:rPr>
        <w:t>10</w:t>
      </w:r>
      <w:r>
        <w:rPr>
          <w:rFonts w:hint="eastAsia" w:ascii="宋体" w:hAnsi="宋体" w:eastAsia="宋体" w:cs="宋体"/>
          <w:color w:val="000000" w:themeColor="text1"/>
          <w:kern w:val="0"/>
          <w:sz w:val="24"/>
          <w14:textFill>
            <w14:solidFill>
              <w14:schemeClr w14:val="tx1"/>
            </w14:solidFill>
          </w14:textFill>
        </w:rPr>
        <w:t>月的缴费证明复印件并加盖公章；</w:t>
      </w:r>
    </w:p>
    <w:p>
      <w:pPr>
        <w:tabs>
          <w:tab w:val="left" w:pos="426"/>
          <w:tab w:val="left" w:pos="945"/>
          <w:tab w:val="left" w:pos="1365"/>
        </w:tabs>
        <w:spacing w:line="360" w:lineRule="auto"/>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⑩承诺书（格式见附件）。</w:t>
      </w:r>
    </w:p>
    <w:p>
      <w:pPr>
        <w:tabs>
          <w:tab w:val="left" w:pos="420"/>
          <w:tab w:val="left" w:pos="945"/>
          <w:tab w:val="left" w:pos="1155"/>
        </w:tabs>
        <w:spacing w:line="360" w:lineRule="auto"/>
        <w:ind w:left="457" w:leftChars="203" w:hanging="31" w:hangingChars="13"/>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注：投标人如已按《无锡市政府采购供应商注册登记管理办法》（锡财购〔2012〕3号）要求加入供应商库的，可注册入库（详见http://cz.wuxi.gov.cn/doc/2012/10/11/51585.shtml）成功后，从网上下载打印《无锡市政府采购注册供应商资格信息登记表》（以下简称信息登记表），并经法定代表人签字和加盖公章后,可作为供应商投标文件的有效组成部分提交采购代理机构。信息登记表所记录的信息如能反映投标人具备对应资格条件项的，在本项目评审时，可凭该信息登记表免于提供相应的资格、资信证明材料的原件或公证件，否则必须按要求提供相应的资格、资信证明材料原件或公证件。</w:t>
      </w:r>
    </w:p>
    <w:p>
      <w:pPr>
        <w:tabs>
          <w:tab w:val="left" w:pos="0"/>
          <w:tab w:val="left" w:pos="945"/>
          <w:tab w:val="left" w:pos="1155"/>
        </w:tabs>
        <w:spacing w:line="360" w:lineRule="auto"/>
        <w:ind w:firstLine="480"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上述项投标人必须按要求全部提供，否则投标文件无效。如上述资格证明文件遇年检、换证，则必须提供法定年检、换证单位出具的有效证明复印件。如上述资格证明文件第⑥、⑦、⑧、⑨四项遇有国家相关政策规定可不具备的，必须提供相关政策规定或相关单位出具的有效证明或情况说明复印件。投标人法定代表人或法定代表人授权代表为外籍、港、澳、台地区人士的，其身份证明须提供有效的护照或港澳同胞来往内地通行证、台湾同胞来往大陆通行证，或其它可在中国大陆有效居留的许可证明。</w:t>
      </w:r>
    </w:p>
    <w:p>
      <w:pPr>
        <w:spacing w:line="360" w:lineRule="auto"/>
        <w:ind w:firstLine="588" w:firstLineChars="245"/>
        <w:rPr>
          <w:rFonts w:hint="eastAsia" w:ascii="宋体" w:hAnsi="宋体" w:eastAsia="宋体" w:cs="宋体"/>
          <w:sz w:val="24"/>
          <w:szCs w:val="24"/>
        </w:rPr>
      </w:pPr>
      <w:r>
        <w:rPr>
          <w:rFonts w:hint="eastAsia" w:ascii="宋体" w:hAnsi="宋体" w:eastAsia="宋体" w:cs="宋体"/>
          <w:sz w:val="24"/>
          <w:szCs w:val="24"/>
        </w:rPr>
        <w:t>3、开标一览表</w:t>
      </w:r>
      <w:r>
        <w:rPr>
          <w:rFonts w:hint="eastAsia" w:ascii="宋体" w:hAnsi="宋体" w:eastAsia="宋体" w:cs="宋体"/>
          <w:b/>
          <w:bCs/>
          <w:sz w:val="24"/>
          <w:szCs w:val="24"/>
        </w:rPr>
        <w:t>（格式见附件）</w:t>
      </w:r>
    </w:p>
    <w:p>
      <w:pPr>
        <w:spacing w:line="360" w:lineRule="auto"/>
        <w:ind w:firstLine="588" w:firstLineChars="245"/>
        <w:rPr>
          <w:rFonts w:hint="eastAsia" w:ascii="宋体" w:hAnsi="宋体" w:eastAsia="宋体" w:cs="宋体"/>
          <w:b/>
          <w:bCs/>
          <w:sz w:val="24"/>
          <w:szCs w:val="24"/>
        </w:rPr>
      </w:pPr>
      <w:r>
        <w:rPr>
          <w:rFonts w:hint="eastAsia" w:ascii="宋体" w:hAnsi="宋体" w:eastAsia="宋体" w:cs="宋体"/>
          <w:sz w:val="24"/>
          <w:szCs w:val="24"/>
        </w:rPr>
        <w:t>4、明细报价表</w:t>
      </w:r>
      <w:r>
        <w:rPr>
          <w:rFonts w:hint="eastAsia" w:ascii="宋体" w:hAnsi="宋体" w:eastAsia="宋体" w:cs="宋体"/>
          <w:b/>
          <w:bCs/>
          <w:sz w:val="24"/>
          <w:szCs w:val="24"/>
        </w:rPr>
        <w:t>（格式见附件）</w:t>
      </w:r>
    </w:p>
    <w:p>
      <w:pPr>
        <w:spacing w:line="360" w:lineRule="auto"/>
        <w:ind w:firstLine="588" w:firstLineChars="245"/>
        <w:rPr>
          <w:rFonts w:hint="eastAsia" w:ascii="宋体" w:hAnsi="宋体" w:eastAsia="宋体" w:cs="宋体"/>
          <w:b/>
          <w:bCs/>
          <w:sz w:val="24"/>
          <w:szCs w:val="24"/>
        </w:rPr>
      </w:pPr>
      <w:r>
        <w:rPr>
          <w:rFonts w:hint="eastAsia" w:ascii="宋体" w:hAnsi="宋体" w:eastAsia="宋体" w:cs="宋体"/>
          <w:sz w:val="24"/>
          <w:szCs w:val="24"/>
        </w:rPr>
        <w:t>5、项目负责人及人员配备情况</w:t>
      </w:r>
      <w:r>
        <w:rPr>
          <w:rFonts w:hint="eastAsia" w:ascii="宋体" w:hAnsi="宋体" w:eastAsia="宋体" w:cs="宋体"/>
          <w:b/>
          <w:bCs/>
          <w:sz w:val="24"/>
          <w:szCs w:val="24"/>
        </w:rPr>
        <w:t>（格式见附件）</w:t>
      </w:r>
    </w:p>
    <w:p>
      <w:pPr>
        <w:spacing w:line="360" w:lineRule="auto"/>
        <w:ind w:firstLine="588" w:firstLineChars="245"/>
        <w:rPr>
          <w:rFonts w:hint="eastAsia" w:ascii="宋体" w:hAnsi="宋体" w:eastAsia="宋体" w:cs="宋体"/>
          <w:sz w:val="24"/>
          <w:szCs w:val="24"/>
        </w:rPr>
      </w:pPr>
      <w:r>
        <w:rPr>
          <w:rFonts w:hint="eastAsia" w:ascii="宋体" w:hAnsi="宋体" w:eastAsia="宋体" w:cs="宋体"/>
          <w:sz w:val="24"/>
          <w:szCs w:val="24"/>
        </w:rPr>
        <w:t>6、技术方案</w:t>
      </w:r>
      <w:r>
        <w:rPr>
          <w:rFonts w:hint="eastAsia" w:ascii="宋体" w:hAnsi="宋体" w:eastAsia="宋体" w:cs="宋体"/>
          <w:b/>
          <w:bCs/>
          <w:sz w:val="24"/>
          <w:szCs w:val="24"/>
        </w:rPr>
        <w:t>（格式自拟）</w:t>
      </w:r>
    </w:p>
    <w:p>
      <w:pPr>
        <w:pStyle w:val="23"/>
        <w:spacing w:line="360" w:lineRule="auto"/>
        <w:ind w:firstLine="600" w:firstLineChars="250"/>
        <w:rPr>
          <w:rFonts w:hint="eastAsia" w:ascii="宋体" w:hAnsi="宋体" w:eastAsia="宋体" w:cs="宋体"/>
          <w:b/>
          <w:szCs w:val="24"/>
        </w:rPr>
      </w:pPr>
      <w:r>
        <w:rPr>
          <w:rFonts w:hint="eastAsia" w:ascii="宋体" w:hAnsi="宋体" w:eastAsia="宋体" w:cs="宋体"/>
          <w:szCs w:val="24"/>
        </w:rPr>
        <w:t>7、投标偏离表</w:t>
      </w:r>
      <w:r>
        <w:rPr>
          <w:rFonts w:hint="eastAsia" w:ascii="宋体" w:hAnsi="宋体" w:eastAsia="宋体" w:cs="宋体"/>
          <w:b/>
          <w:szCs w:val="24"/>
        </w:rPr>
        <w:t>（格式见附件）</w:t>
      </w:r>
    </w:p>
    <w:p>
      <w:pPr>
        <w:pStyle w:val="23"/>
        <w:spacing w:line="360" w:lineRule="auto"/>
        <w:ind w:firstLine="600" w:firstLineChars="250"/>
        <w:rPr>
          <w:rFonts w:hint="eastAsia" w:ascii="宋体" w:hAnsi="宋体" w:eastAsia="宋体" w:cs="宋体"/>
          <w:szCs w:val="24"/>
        </w:rPr>
      </w:pPr>
      <w:r>
        <w:rPr>
          <w:rFonts w:hint="eastAsia" w:ascii="宋体" w:hAnsi="宋体" w:eastAsia="宋体" w:cs="宋体"/>
          <w:szCs w:val="24"/>
        </w:rPr>
        <w:t>8、要求采购人提供的配合</w:t>
      </w:r>
      <w:r>
        <w:rPr>
          <w:rFonts w:hint="eastAsia" w:ascii="宋体" w:hAnsi="宋体" w:eastAsia="宋体" w:cs="宋体"/>
          <w:b/>
          <w:szCs w:val="24"/>
        </w:rPr>
        <w:t>（如有自拟并自行添加）</w:t>
      </w:r>
    </w:p>
    <w:p>
      <w:pPr>
        <w:tabs>
          <w:tab w:val="left" w:pos="1365"/>
        </w:tabs>
        <w:spacing w:line="360" w:lineRule="auto"/>
        <w:ind w:left="630"/>
        <w:rPr>
          <w:rFonts w:hint="eastAsia" w:ascii="宋体" w:hAnsi="宋体" w:eastAsia="宋体" w:cs="宋体"/>
          <w:b/>
          <w:bCs/>
          <w:sz w:val="24"/>
          <w:szCs w:val="24"/>
        </w:rPr>
      </w:pPr>
      <w:r>
        <w:rPr>
          <w:rFonts w:hint="eastAsia" w:ascii="宋体" w:hAnsi="宋体" w:eastAsia="宋体" w:cs="宋体"/>
          <w:sz w:val="24"/>
          <w:szCs w:val="24"/>
        </w:rPr>
        <w:t>9、补充性文件</w:t>
      </w:r>
      <w:r>
        <w:rPr>
          <w:rFonts w:hint="eastAsia" w:ascii="宋体" w:hAnsi="宋体" w:eastAsia="宋体" w:cs="宋体"/>
          <w:b/>
          <w:bCs/>
          <w:sz w:val="24"/>
          <w:szCs w:val="24"/>
        </w:rPr>
        <w:t>（评分标准中对应的其它所需证明材料，如有请提供）</w:t>
      </w:r>
    </w:p>
    <w:p>
      <w:pPr>
        <w:tabs>
          <w:tab w:val="left" w:pos="1365"/>
        </w:tabs>
        <w:spacing w:line="360" w:lineRule="auto"/>
        <w:ind w:left="630"/>
        <w:rPr>
          <w:rFonts w:hint="eastAsia" w:ascii="宋体" w:hAnsi="宋体" w:eastAsia="宋体" w:cs="宋体"/>
          <w:sz w:val="24"/>
          <w:szCs w:val="24"/>
        </w:rPr>
      </w:pPr>
      <w:r>
        <w:rPr>
          <w:rFonts w:hint="eastAsia" w:ascii="宋体" w:hAnsi="宋体" w:eastAsia="宋体" w:cs="宋体"/>
          <w:sz w:val="24"/>
          <w:szCs w:val="24"/>
        </w:rPr>
        <w:t>10、其它（</w:t>
      </w:r>
      <w:r>
        <w:rPr>
          <w:rFonts w:hint="eastAsia" w:ascii="宋体" w:hAnsi="宋体" w:eastAsia="宋体" w:cs="宋体"/>
          <w:bCs/>
          <w:sz w:val="24"/>
          <w:szCs w:val="24"/>
        </w:rPr>
        <w:t>投标人</w:t>
      </w:r>
      <w:r>
        <w:rPr>
          <w:rFonts w:hint="eastAsia" w:ascii="宋体" w:hAnsi="宋体" w:eastAsia="宋体" w:cs="宋体"/>
          <w:sz w:val="24"/>
          <w:szCs w:val="24"/>
        </w:rPr>
        <w:t>认为有必要提供的声明和文件，如有自拟并自行添加至投标函中）</w:t>
      </w:r>
    </w:p>
    <w:p>
      <w:pPr>
        <w:spacing w:line="520" w:lineRule="exact"/>
        <w:ind w:firstLine="360" w:firstLineChars="15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（六）投标文件的要求：</w:t>
      </w:r>
    </w:p>
    <w:p>
      <w:pPr>
        <w:numPr>
          <w:ilvl w:val="0"/>
          <w:numId w:val="10"/>
        </w:numPr>
        <w:tabs>
          <w:tab w:val="left" w:pos="525"/>
          <w:tab w:val="left" w:pos="1050"/>
        </w:tabs>
        <w:spacing w:line="440" w:lineRule="exact"/>
        <w:ind w:left="0" w:firstLine="628" w:firstLineChars="262"/>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所有文件、往来函件均应使用简体中文（规格、型号辅助符号例外）。</w:t>
      </w:r>
    </w:p>
    <w:p>
      <w:pPr>
        <w:numPr>
          <w:ilvl w:val="0"/>
          <w:numId w:val="10"/>
        </w:numPr>
        <w:tabs>
          <w:tab w:val="left" w:pos="525"/>
          <w:tab w:val="left" w:pos="1050"/>
        </w:tabs>
        <w:spacing w:line="440" w:lineRule="exact"/>
        <w:ind w:left="0" w:firstLine="628" w:firstLineChars="262"/>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投标文件由投标人按给定格式如实填写（编写），须有法人（盖章）、法定代表人或法定代表人授权代表签字或盖章，方为有效，未尽事宜可自行补充。</w:t>
      </w:r>
    </w:p>
    <w:p>
      <w:pPr>
        <w:numPr>
          <w:ilvl w:val="0"/>
          <w:numId w:val="10"/>
        </w:numPr>
        <w:tabs>
          <w:tab w:val="left" w:pos="525"/>
          <w:tab w:val="left" w:pos="1050"/>
        </w:tabs>
        <w:spacing w:line="440" w:lineRule="exact"/>
        <w:ind w:left="0" w:firstLine="628" w:firstLineChars="262"/>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如无特别说明，</w:t>
      </w:r>
      <w:r>
        <w:rPr>
          <w:rFonts w:hint="eastAsia" w:ascii="宋体" w:hAnsi="宋体" w:eastAsia="宋体" w:cs="宋体"/>
          <w:bCs/>
          <w:color w:val="000000" w:themeColor="text1"/>
          <w:sz w:val="24"/>
          <w:szCs w:val="24"/>
          <w14:textFill>
            <w14:solidFill>
              <w14:schemeClr w14:val="tx1"/>
            </w14:solidFill>
          </w14:textFill>
        </w:rPr>
        <w:t>投标人报价一律以人民币为投标结算货币,结算单位为“元”。</w:t>
      </w:r>
    </w:p>
    <w:p>
      <w:pPr>
        <w:numPr>
          <w:ilvl w:val="0"/>
          <w:numId w:val="10"/>
        </w:numPr>
        <w:tabs>
          <w:tab w:val="left" w:pos="525"/>
          <w:tab w:val="left" w:pos="1050"/>
        </w:tabs>
        <w:spacing w:line="440" w:lineRule="exact"/>
        <w:ind w:left="0" w:firstLine="628" w:firstLineChars="262"/>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投标文件格式部分，应由投标人按给定格式提供，不得更改。</w:t>
      </w:r>
    </w:p>
    <w:p>
      <w:pPr>
        <w:numPr>
          <w:ilvl w:val="0"/>
          <w:numId w:val="10"/>
        </w:numPr>
        <w:tabs>
          <w:tab w:val="left" w:pos="525"/>
          <w:tab w:val="left" w:pos="1050"/>
        </w:tabs>
        <w:spacing w:line="440" w:lineRule="exact"/>
        <w:ind w:left="0" w:firstLine="628" w:firstLineChars="262"/>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投标文件应用不褪色的黑色墨水书写或打印。</w:t>
      </w:r>
    </w:p>
    <w:p>
      <w:pPr>
        <w:numPr>
          <w:ilvl w:val="0"/>
          <w:numId w:val="10"/>
        </w:numPr>
        <w:tabs>
          <w:tab w:val="left" w:pos="525"/>
          <w:tab w:val="left" w:pos="1050"/>
        </w:tabs>
        <w:spacing w:line="440" w:lineRule="exact"/>
        <w:ind w:left="0" w:firstLine="628" w:firstLineChars="262"/>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投标文件统一用A4纸，按照投标函格式中的顺序制作，并请编制目录和页码。</w:t>
      </w:r>
    </w:p>
    <w:p>
      <w:pPr>
        <w:numPr>
          <w:ilvl w:val="0"/>
          <w:numId w:val="10"/>
        </w:numPr>
        <w:tabs>
          <w:tab w:val="left" w:pos="525"/>
          <w:tab w:val="left" w:pos="1050"/>
        </w:tabs>
        <w:spacing w:line="440" w:lineRule="exact"/>
        <w:ind w:left="0" w:firstLine="628" w:firstLineChars="262"/>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投标文件份数为正本一份，副本四份，投标人应将投标文件正本密封在一个封袋中并在封袋上清楚地标明“正本”、将投标文件所有副本密封在另一个封袋中并在密封袋上清楚地标明“副本”；采购文件中资格证明文件部分及评标办法中所需提供的原件资料需单独密封在一个封袋中，并在密封袋上清楚地标明“原件资料”（身份证可随身携带），密封袋上还均应注明采购编号、项目名称、投标人名称。</w:t>
      </w:r>
      <w:r>
        <w:rPr>
          <w:rFonts w:hint="eastAsia" w:ascii="宋体" w:hAnsi="宋体" w:eastAsia="宋体" w:cs="宋体"/>
          <w:b/>
          <w:bCs/>
          <w:color w:val="000000" w:themeColor="text1"/>
          <w:sz w:val="24"/>
          <w14:textFill>
            <w14:solidFill>
              <w14:schemeClr w14:val="tx1"/>
            </w14:solidFill>
          </w14:textFill>
        </w:rPr>
        <w:t>U盘单独密封在一个封袋中，并在密封袋上清楚地标明“</w:t>
      </w:r>
      <w:r>
        <w:rPr>
          <w:rFonts w:hint="eastAsia" w:ascii="宋体" w:hAnsi="宋体" w:eastAsia="宋体" w:cs="宋体"/>
          <w:b/>
          <w:bCs/>
          <w:color w:val="000000" w:themeColor="text1"/>
          <w:sz w:val="24"/>
          <w:lang w:val="en-US" w:eastAsia="zh-CN"/>
          <w14:textFill>
            <w14:solidFill>
              <w14:schemeClr w14:val="tx1"/>
            </w14:solidFill>
          </w14:textFill>
        </w:rPr>
        <w:t>电子</w:t>
      </w:r>
      <w:r>
        <w:rPr>
          <w:rFonts w:hint="eastAsia" w:ascii="宋体" w:hAnsi="宋体" w:eastAsia="宋体" w:cs="宋体"/>
          <w:b/>
          <w:bCs/>
          <w:color w:val="000000" w:themeColor="text1"/>
          <w:sz w:val="24"/>
          <w14:textFill>
            <w14:solidFill>
              <w14:schemeClr w14:val="tx1"/>
            </w14:solidFill>
          </w14:textFill>
        </w:rPr>
        <w:t>U盘”。所有投标文件封袋的封口处应加盖投标人印章。密封袋上还均应注明采购编号、项目名称、投标人名称。</w:t>
      </w:r>
    </w:p>
    <w:p>
      <w:pPr>
        <w:tabs>
          <w:tab w:val="left" w:pos="0"/>
          <w:tab w:val="left" w:pos="425"/>
          <w:tab w:val="left" w:pos="898"/>
          <w:tab w:val="left" w:pos="993"/>
        </w:tabs>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8.投标文件不应有涂改、增删和潦草之处，如有必须修改时，修改处必须有法人、法定代表人或法定代表人授权代表的签章。</w:t>
      </w:r>
    </w:p>
    <w:p>
      <w:pPr>
        <w:tabs>
          <w:tab w:val="left" w:pos="2040"/>
        </w:tabs>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9.</w:t>
      </w:r>
      <w:r>
        <w:rPr>
          <w:rFonts w:hint="eastAsia" w:ascii="宋体" w:hAnsi="宋体" w:eastAsia="宋体" w:cs="宋体"/>
          <w:color w:val="000000" w:themeColor="text1"/>
          <w:sz w:val="24"/>
          <w:szCs w:val="24"/>
          <w14:textFill>
            <w14:solidFill>
              <w14:schemeClr w14:val="tx1"/>
            </w14:solidFill>
          </w14:textFill>
        </w:rPr>
        <w:t>投标费用自理。</w:t>
      </w:r>
    </w:p>
    <w:p>
      <w:pPr>
        <w:spacing w:line="360" w:lineRule="auto"/>
        <w:ind w:firstLine="240" w:firstLineChars="100"/>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（六）投标报价说明：  </w:t>
      </w:r>
    </w:p>
    <w:p>
      <w:pPr>
        <w:spacing w:line="360" w:lineRule="auto"/>
        <w:ind w:firstLine="480" w:firstLineChars="200"/>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报价应根据采购文件中的有关要求、实施现场实际情况及拟定的实施方案，自行了解市场价格或参考政府相关造价管理部门（协会）发布的人工、材料等市场指导价格，并考虑风险因素；如供应商虽然在投标文件中未填报或少填报但又是完成本采购项目所必须实施的内容或使用的设备、材料等，由中标单位自行补足，采购人将视为该费用已包含在其它有价款的项目内，中标人不得以漏算或计量不准确为由要求采购人调整合同价款。</w:t>
      </w:r>
    </w:p>
    <w:p>
      <w:pPr>
        <w:spacing w:line="360" w:lineRule="auto"/>
        <w:ind w:firstLine="480" w:firstLineChars="200"/>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除非采购人对采购文件予以修改，投标人应按采购人提供的项目要求，填报单价和合价。投标人未填明细的子目，视为该项目费用已包括在其他有价款的单价或合价内，在实施后，采购人将不另行支付。每一报价明细只允许有一个报价。任何有选择的报价将不予接受。</w:t>
      </w:r>
    </w:p>
    <w:p>
      <w:pPr>
        <w:spacing w:line="360" w:lineRule="auto"/>
        <w:ind w:firstLine="240" w:firstLineChars="100"/>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（七）无效投标文件的确认：</w:t>
      </w:r>
    </w:p>
    <w:p>
      <w:pPr>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投标人有下列情况之一者，投标文件无效：</w:t>
      </w:r>
    </w:p>
    <w:p>
      <w:pPr>
        <w:numPr>
          <w:ilvl w:val="0"/>
          <w:numId w:val="11"/>
        </w:numPr>
        <w:tabs>
          <w:tab w:val="left" w:pos="0"/>
        </w:tabs>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投标文件未按规定的期限、地点送达的；</w:t>
      </w:r>
    </w:p>
    <w:p>
      <w:pPr>
        <w:numPr>
          <w:ilvl w:val="0"/>
          <w:numId w:val="11"/>
        </w:numPr>
        <w:tabs>
          <w:tab w:val="left" w:pos="0"/>
        </w:tabs>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投标文件未按要求密封、签署、盖章的；</w:t>
      </w:r>
    </w:p>
    <w:p>
      <w:pPr>
        <w:numPr>
          <w:ilvl w:val="0"/>
          <w:numId w:val="11"/>
        </w:numPr>
        <w:tabs>
          <w:tab w:val="left" w:pos="0"/>
        </w:tabs>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投标人的法定代表人或法定代表人授权代表，未准时参加投标会议的；</w:t>
      </w:r>
    </w:p>
    <w:p>
      <w:pPr>
        <w:numPr>
          <w:ilvl w:val="0"/>
          <w:numId w:val="11"/>
        </w:numPr>
        <w:tabs>
          <w:tab w:val="left" w:pos="0"/>
        </w:tabs>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投标人的法定代表人授权代表无法定代表人授权委托书的；</w:t>
      </w:r>
    </w:p>
    <w:p>
      <w:pPr>
        <w:numPr>
          <w:ilvl w:val="0"/>
          <w:numId w:val="11"/>
        </w:numPr>
        <w:tabs>
          <w:tab w:val="left" w:pos="0"/>
        </w:tabs>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不具备招标文件中规定的资格要求及未按招标文件规定的要求提供资格证</w:t>
      </w:r>
    </w:p>
    <w:p>
      <w:pPr>
        <w:tabs>
          <w:tab w:val="left" w:pos="0"/>
          <w:tab w:val="left" w:pos="762"/>
        </w:tabs>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明文件的；</w:t>
      </w:r>
    </w:p>
    <w:p>
      <w:pPr>
        <w:numPr>
          <w:ilvl w:val="0"/>
          <w:numId w:val="11"/>
        </w:numPr>
        <w:tabs>
          <w:tab w:val="left" w:pos="900"/>
        </w:tabs>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投标文件含有采购人不能接受的附加条件的；</w:t>
      </w:r>
    </w:p>
    <w:p>
      <w:pPr>
        <w:numPr>
          <w:ilvl w:val="0"/>
          <w:numId w:val="11"/>
        </w:numPr>
        <w:tabs>
          <w:tab w:val="left" w:pos="0"/>
        </w:tabs>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投标文件未按招标文件规定的格式、内容和要求填写、制作的；</w:t>
      </w:r>
    </w:p>
    <w:p>
      <w:pPr>
        <w:numPr>
          <w:ilvl w:val="0"/>
          <w:numId w:val="11"/>
        </w:numPr>
        <w:tabs>
          <w:tab w:val="left" w:pos="0"/>
        </w:tabs>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投标文件书写潦草、字迹模糊不清、无法辨认的；</w:t>
      </w:r>
    </w:p>
    <w:p>
      <w:pPr>
        <w:numPr>
          <w:ilvl w:val="0"/>
          <w:numId w:val="11"/>
        </w:numPr>
        <w:tabs>
          <w:tab w:val="left" w:pos="0"/>
          <w:tab w:val="left" w:pos="993"/>
        </w:tabs>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投标文件中有招标文件未允许提供的选择性内容的；</w:t>
      </w:r>
    </w:p>
    <w:p>
      <w:pPr>
        <w:numPr>
          <w:ilvl w:val="0"/>
          <w:numId w:val="11"/>
        </w:numPr>
        <w:tabs>
          <w:tab w:val="left" w:pos="0"/>
          <w:tab w:val="left" w:pos="993"/>
        </w:tabs>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不同投标人报价细目呈明显规律性变化，或恶意串通其他投标人，故意哄</w:t>
      </w:r>
    </w:p>
    <w:p>
      <w:pPr>
        <w:tabs>
          <w:tab w:val="left" w:pos="0"/>
          <w:tab w:val="left" w:pos="762"/>
          <w:tab w:val="left" w:pos="993"/>
        </w:tabs>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抬价格或压价的；</w:t>
      </w:r>
    </w:p>
    <w:p>
      <w:pPr>
        <w:numPr>
          <w:ilvl w:val="0"/>
          <w:numId w:val="11"/>
        </w:numPr>
        <w:tabs>
          <w:tab w:val="left" w:pos="0"/>
          <w:tab w:val="left" w:pos="993"/>
        </w:tabs>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提供虚假材料的（包括工商营业执照、财务报表、资格、资信证明文件等）；</w:t>
      </w:r>
    </w:p>
    <w:p>
      <w:pPr>
        <w:numPr>
          <w:ilvl w:val="0"/>
          <w:numId w:val="11"/>
        </w:numPr>
        <w:tabs>
          <w:tab w:val="left" w:pos="0"/>
          <w:tab w:val="left" w:pos="993"/>
        </w:tabs>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投标文件未加盖投标人公章及法定代表人或授权代表签字或盖章的；</w:t>
      </w:r>
    </w:p>
    <w:p>
      <w:pPr>
        <w:numPr>
          <w:ilvl w:val="0"/>
          <w:numId w:val="11"/>
        </w:numPr>
        <w:tabs>
          <w:tab w:val="left" w:pos="0"/>
          <w:tab w:val="left" w:pos="993"/>
        </w:tabs>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不同投标人投标文件相互混装的；</w:t>
      </w:r>
    </w:p>
    <w:p>
      <w:pPr>
        <w:numPr>
          <w:ilvl w:val="0"/>
          <w:numId w:val="11"/>
        </w:numPr>
        <w:tabs>
          <w:tab w:val="left" w:pos="0"/>
          <w:tab w:val="left" w:pos="993"/>
        </w:tabs>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不同投标人投标文件中的项目相关人员出现同一人的；</w:t>
      </w:r>
    </w:p>
    <w:p>
      <w:pPr>
        <w:numPr>
          <w:ilvl w:val="0"/>
          <w:numId w:val="11"/>
        </w:numPr>
        <w:tabs>
          <w:tab w:val="left" w:pos="0"/>
          <w:tab w:val="left" w:pos="993"/>
        </w:tabs>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不同投标人聘请同一人为其投标提供技术或经济咨询服务的；</w:t>
      </w:r>
    </w:p>
    <w:p>
      <w:pPr>
        <w:numPr>
          <w:ilvl w:val="0"/>
          <w:numId w:val="11"/>
        </w:numPr>
        <w:tabs>
          <w:tab w:val="left" w:pos="900"/>
          <w:tab w:val="left" w:pos="993"/>
        </w:tabs>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不同投标人投标文件内容存在非正常一致、项目组成员或者联系人员</w:t>
      </w:r>
    </w:p>
    <w:p>
      <w:pPr>
        <w:tabs>
          <w:tab w:val="left" w:pos="900"/>
          <w:tab w:val="left" w:pos="993"/>
        </w:tabs>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出现同一人、投标文件中错误（或异常）一致或雷同、电子文档信息一致或雷同的；</w:t>
      </w:r>
    </w:p>
    <w:p>
      <w:pPr>
        <w:numPr>
          <w:ilvl w:val="0"/>
          <w:numId w:val="11"/>
        </w:numPr>
        <w:tabs>
          <w:tab w:val="left" w:pos="0"/>
          <w:tab w:val="left" w:pos="993"/>
        </w:tabs>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投标文件商务标中同一方案有选择性报价且未声明以哪一个为准的；</w:t>
      </w:r>
    </w:p>
    <w:p>
      <w:pPr>
        <w:numPr>
          <w:ilvl w:val="0"/>
          <w:numId w:val="11"/>
        </w:numPr>
        <w:tabs>
          <w:tab w:val="left" w:pos="0"/>
          <w:tab w:val="left" w:pos="993"/>
        </w:tabs>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投标文件报价出现前后不一致，投标人拒不确认修正后的报价的；</w:t>
      </w:r>
    </w:p>
    <w:p>
      <w:pPr>
        <w:numPr>
          <w:ilvl w:val="0"/>
          <w:numId w:val="11"/>
        </w:numPr>
        <w:tabs>
          <w:tab w:val="left" w:pos="0"/>
          <w:tab w:val="left" w:pos="993"/>
        </w:tabs>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投标报价高于最高限价（或单价最高限价）的</w:t>
      </w:r>
      <w:r>
        <w:rPr>
          <w:rFonts w:hint="eastAsia" w:ascii="宋体" w:hAnsi="宋体" w:eastAsia="宋体" w:cs="宋体"/>
          <w:color w:val="000000" w:themeColor="text1"/>
          <w:sz w:val="24"/>
          <w:szCs w:val="24"/>
          <w14:textFill>
            <w14:solidFill>
              <w14:schemeClr w14:val="tx1"/>
            </w14:solidFill>
          </w14:textFill>
        </w:rPr>
        <w:t>；</w:t>
      </w:r>
    </w:p>
    <w:p>
      <w:pPr>
        <w:numPr>
          <w:ilvl w:val="0"/>
          <w:numId w:val="11"/>
        </w:numPr>
        <w:tabs>
          <w:tab w:val="left" w:pos="0"/>
          <w:tab w:val="left" w:pos="993"/>
        </w:tabs>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未通过初步资格性审查、投标文件资格性检查、投标文件符合性检查的；</w:t>
      </w:r>
    </w:p>
    <w:p>
      <w:pPr>
        <w:numPr>
          <w:ilvl w:val="0"/>
          <w:numId w:val="11"/>
        </w:numPr>
        <w:tabs>
          <w:tab w:val="left" w:pos="0"/>
          <w:tab w:val="left" w:pos="993"/>
        </w:tabs>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投标文件内容不全或不符合法律法规和招标文件中规定的其他实质性要</w:t>
      </w:r>
    </w:p>
    <w:p>
      <w:pPr>
        <w:tabs>
          <w:tab w:val="left" w:pos="0"/>
          <w:tab w:val="left" w:pos="762"/>
          <w:tab w:val="left" w:pos="993"/>
        </w:tabs>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求的；</w:t>
      </w:r>
    </w:p>
    <w:p>
      <w:pPr>
        <w:numPr>
          <w:ilvl w:val="0"/>
          <w:numId w:val="11"/>
        </w:numPr>
        <w:tabs>
          <w:tab w:val="left" w:pos="900"/>
          <w:tab w:val="left" w:pos="993"/>
        </w:tabs>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评标委员会认为投标人的报价明显低于其他通过符合性审查投标人</w:t>
      </w:r>
    </w:p>
    <w:p>
      <w:pPr>
        <w:tabs>
          <w:tab w:val="left" w:pos="900"/>
          <w:tab w:val="left" w:pos="993"/>
        </w:tabs>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的报价，有可能影响产品质量或者不能诚信履约的，要求其在评标现场合理的时间内提供书面说明，必要时提交相关证明材料；投标人不能证明其报价合理性的；</w:t>
      </w:r>
    </w:p>
    <w:p>
      <w:pPr>
        <w:numPr>
          <w:ilvl w:val="0"/>
          <w:numId w:val="11"/>
        </w:numPr>
        <w:tabs>
          <w:tab w:val="left" w:pos="0"/>
          <w:tab w:val="left" w:pos="993"/>
        </w:tabs>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不同投标人的单位负责人为同一人或者存在直接控股、管理关系的不同供</w:t>
      </w:r>
    </w:p>
    <w:p>
      <w:pPr>
        <w:tabs>
          <w:tab w:val="left" w:pos="0"/>
          <w:tab w:val="left" w:pos="762"/>
          <w:tab w:val="left" w:pos="993"/>
        </w:tabs>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应商；</w:t>
      </w:r>
    </w:p>
    <w:p>
      <w:pPr>
        <w:numPr>
          <w:ilvl w:val="0"/>
          <w:numId w:val="11"/>
        </w:numPr>
        <w:tabs>
          <w:tab w:val="left" w:pos="525"/>
          <w:tab w:val="left" w:pos="945"/>
        </w:tabs>
        <w:spacing w:line="36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投标人的投标报价畸高或畸低，但投标总报价与各分项报价不能相互对应，</w:t>
      </w:r>
    </w:p>
    <w:p>
      <w:pPr>
        <w:tabs>
          <w:tab w:val="left" w:pos="525"/>
          <w:tab w:val="left" w:pos="762"/>
          <w:tab w:val="left" w:pos="945"/>
        </w:tabs>
        <w:spacing w:line="36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在询标时没有合理的解释或者不能提供计算依据和报价依据的；</w:t>
      </w:r>
    </w:p>
    <w:p>
      <w:pPr>
        <w:numPr>
          <w:ilvl w:val="0"/>
          <w:numId w:val="11"/>
        </w:numPr>
        <w:tabs>
          <w:tab w:val="left" w:pos="525"/>
          <w:tab w:val="left" w:pos="945"/>
        </w:tabs>
        <w:spacing w:line="36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不同投标人的投标文件的装订形式、纸张情况、目录序号、排版格式、文</w:t>
      </w:r>
    </w:p>
    <w:p>
      <w:pPr>
        <w:tabs>
          <w:tab w:val="left" w:pos="525"/>
          <w:tab w:val="left" w:pos="762"/>
          <w:tab w:val="left" w:pos="945"/>
        </w:tabs>
        <w:spacing w:line="36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字风格等存在明显的相似性或一致性，特征显示由同一单位或者同一个人编制的；</w:t>
      </w:r>
    </w:p>
    <w:p>
      <w:pPr>
        <w:numPr>
          <w:ilvl w:val="0"/>
          <w:numId w:val="11"/>
        </w:numPr>
        <w:tabs>
          <w:tab w:val="left" w:pos="525"/>
          <w:tab w:val="left" w:pos="945"/>
        </w:tabs>
        <w:spacing w:line="36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不同投标人的委托代理人、项目负责人以及其他相关人员有在同一个单位</w:t>
      </w:r>
    </w:p>
    <w:p>
      <w:pPr>
        <w:tabs>
          <w:tab w:val="left" w:pos="525"/>
          <w:tab w:val="left" w:pos="762"/>
          <w:tab w:val="left" w:pos="945"/>
        </w:tabs>
        <w:spacing w:line="36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缴纳社会保险的；</w:t>
      </w:r>
    </w:p>
    <w:p>
      <w:pPr>
        <w:numPr>
          <w:ilvl w:val="0"/>
          <w:numId w:val="11"/>
        </w:numPr>
        <w:tabs>
          <w:tab w:val="left" w:pos="525"/>
          <w:tab w:val="left" w:pos="945"/>
        </w:tabs>
        <w:spacing w:line="36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同一投标文件中单位名称落款与公章不是同一单位的；</w:t>
      </w:r>
      <w:bookmarkStart w:id="0" w:name="OLE_LINK7"/>
      <w:bookmarkStart w:id="1" w:name="OLE_LINK8"/>
    </w:p>
    <w:p>
      <w:pPr>
        <w:numPr>
          <w:ilvl w:val="0"/>
          <w:numId w:val="11"/>
        </w:numPr>
        <w:tabs>
          <w:tab w:val="left" w:pos="525"/>
          <w:tab w:val="left" w:pos="945"/>
        </w:tabs>
        <w:spacing w:line="36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不同投标人委托同一单位或者个人办理投标事宜的；</w:t>
      </w:r>
    </w:p>
    <w:p>
      <w:pPr>
        <w:numPr>
          <w:ilvl w:val="0"/>
          <w:numId w:val="11"/>
        </w:numPr>
        <w:tabs>
          <w:tab w:val="left" w:pos="525"/>
          <w:tab w:val="left" w:pos="945"/>
        </w:tabs>
        <w:spacing w:line="36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投标人为本项目提供整体设计、规范编制或者项目管理、监理、检测等服务的；</w:t>
      </w:r>
    </w:p>
    <w:p>
      <w:pPr>
        <w:numPr>
          <w:ilvl w:val="0"/>
          <w:numId w:val="11"/>
        </w:numPr>
        <w:tabs>
          <w:tab w:val="left" w:pos="525"/>
          <w:tab w:val="left" w:pos="945"/>
        </w:tabs>
        <w:spacing w:line="36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技术文件编制粗糙、缺漏项较多或技术标页数偏少，则视为该投标文件没有完全响应招标文件的要求</w:t>
      </w:r>
      <w:bookmarkEnd w:id="0"/>
      <w:bookmarkEnd w:id="1"/>
      <w:r>
        <w:rPr>
          <w:rFonts w:hint="eastAsia" w:ascii="宋体" w:hAnsi="宋体" w:eastAsia="宋体" w:cs="宋体"/>
          <w:bCs/>
          <w:color w:val="000000" w:themeColor="text1"/>
          <w:sz w:val="24"/>
          <w:szCs w:val="24"/>
          <w14:textFill>
            <w14:solidFill>
              <w14:schemeClr w14:val="tx1"/>
            </w14:solidFill>
          </w14:textFill>
        </w:rPr>
        <w:t>；</w:t>
      </w:r>
    </w:p>
    <w:p>
      <w:pPr>
        <w:numPr>
          <w:ilvl w:val="0"/>
          <w:numId w:val="11"/>
        </w:numPr>
        <w:tabs>
          <w:tab w:val="left" w:pos="525"/>
          <w:tab w:val="left" w:pos="945"/>
        </w:tabs>
        <w:spacing w:line="36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被列入失信被执行人、重大税收违法案件当事人名单、政府采购严重违法</w:t>
      </w:r>
    </w:p>
    <w:p>
      <w:pPr>
        <w:tabs>
          <w:tab w:val="left" w:pos="525"/>
          <w:tab w:val="left" w:pos="762"/>
          <w:tab w:val="left" w:pos="945"/>
        </w:tabs>
        <w:spacing w:line="36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失信行为记录名单及其他不符合《中华人民共和国政府采购法》第二十二条规定的。</w:t>
      </w:r>
    </w:p>
    <w:p>
      <w:pPr>
        <w:tabs>
          <w:tab w:val="left" w:pos="525"/>
          <w:tab w:val="left" w:pos="762"/>
          <w:tab w:val="left" w:pos="945"/>
        </w:tabs>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32.</w:t>
      </w:r>
      <w:r>
        <w:rPr>
          <w:rFonts w:hint="eastAsia" w:ascii="宋体" w:hAnsi="宋体" w:eastAsia="宋体" w:cs="宋体"/>
          <w:color w:val="000000" w:themeColor="text1"/>
          <w:sz w:val="24"/>
          <w14:textFill>
            <w14:solidFill>
              <w14:schemeClr w14:val="tx1"/>
            </w14:solidFill>
          </w14:textFill>
        </w:rPr>
        <w:t>未按要求提供电子光盘/U盘或光盘/U盘内容不全、不符合要求的。</w:t>
      </w:r>
    </w:p>
    <w:p>
      <w:pPr>
        <w:spacing w:line="360" w:lineRule="auto"/>
        <w:ind w:left="-2" w:leftChars="-1" w:firstLine="420" w:firstLineChars="175"/>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（八）开标、评标：</w:t>
      </w:r>
    </w:p>
    <w:p>
      <w:pPr>
        <w:spacing w:line="360" w:lineRule="auto"/>
        <w:ind w:left="550" w:leftChars="26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1、由专家及采购人代表组成评标委员会，并实行回避制度。</w:t>
      </w:r>
    </w:p>
    <w:p>
      <w:pPr>
        <w:spacing w:line="360" w:lineRule="auto"/>
        <w:ind w:left="550" w:leftChars="26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2、投标文件的不一致情形的处理：</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2.1正本与副本不符，以正本为准；</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2.2投标文件报价出现前后不一致的，除采购文件另有规定外，按照下列规定修正：</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2.2.1投标文件中开标一览表（报价表）内容与投标文件中相应内容不一致的，以开标一览表（报价表）为准；</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2.2.2大写金额和小写金额不一致的，以大写金额为准；</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2.2.3单价金额小数点或者百分比有明显错位的，以开标一览表的总价为准，并修改单价；</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2.3.4总价金额与按单价汇总金额不一致的，以单价金额计算结果为准。</w:t>
      </w:r>
    </w:p>
    <w:p>
      <w:pPr>
        <w:spacing w:line="360" w:lineRule="auto"/>
        <w:ind w:firstLine="352" w:firstLineChars="147"/>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同时出现两种以上不一致的，按照前款规定的顺序修正。修正后的报价按照《中华人民共和国财政部令第87号--政府采购货物和服务招标投标管理办法》第五十一条第二款的规定经投标人确认后产生约束力，投标人不确认的，其投标无效。</w:t>
      </w:r>
    </w:p>
    <w:p>
      <w:pPr>
        <w:tabs>
          <w:tab w:val="left" w:pos="630"/>
          <w:tab w:val="left" w:pos="1050"/>
        </w:tabs>
        <w:spacing w:line="360" w:lineRule="auto"/>
        <w:ind w:firstLine="475" w:firstLineChars="19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3、信用信息查询</w:t>
      </w:r>
    </w:p>
    <w:p>
      <w:pPr>
        <w:tabs>
          <w:tab w:val="left" w:pos="840"/>
          <w:tab w:val="left" w:pos="1050"/>
        </w:tabs>
        <w:spacing w:line="360" w:lineRule="auto"/>
        <w:ind w:firstLine="600" w:firstLineChars="25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采购人或采购代理机构在</w:t>
      </w:r>
      <w:r>
        <w:rPr>
          <w:rFonts w:hint="eastAsia" w:ascii="宋体" w:hAnsi="宋体" w:eastAsia="宋体" w:cs="宋体"/>
          <w:color w:val="000000" w:themeColor="text1"/>
          <w:sz w:val="24"/>
          <w:lang w:val="zh-CN"/>
          <w14:textFill>
            <w14:solidFill>
              <w14:schemeClr w14:val="tx1"/>
            </w14:solidFill>
          </w14:textFill>
        </w:rPr>
        <w:t>投标截止前</w:t>
      </w:r>
      <w:r>
        <w:rPr>
          <w:rFonts w:hint="eastAsia" w:ascii="宋体" w:hAnsi="宋体" w:eastAsia="宋体" w:cs="宋体"/>
          <w:bCs/>
          <w:color w:val="000000" w:themeColor="text1"/>
          <w:sz w:val="24"/>
          <w:szCs w:val="24"/>
          <w14:textFill>
            <w14:solidFill>
              <w14:schemeClr w14:val="tx1"/>
            </w14:solidFill>
          </w14:textFill>
        </w:rPr>
        <w:t>通过“信用中国”网站(www.creditchina.gov.cn)、中国政府采购网(</w:t>
      </w:r>
      <w:r>
        <w:rPr>
          <w:rFonts w:hint="eastAsia" w:ascii="宋体" w:hAnsi="宋体" w:eastAsia="宋体" w:cs="宋体"/>
        </w:rPr>
        <w:fldChar w:fldCharType="begin"/>
      </w:r>
      <w:r>
        <w:rPr>
          <w:rFonts w:hint="eastAsia" w:ascii="宋体" w:hAnsi="宋体" w:eastAsia="宋体" w:cs="宋体"/>
        </w:rPr>
        <w:instrText xml:space="preserve"> HYPERLINK "http://www.ccgp.gov.cn" </w:instrText>
      </w:r>
      <w:r>
        <w:rPr>
          <w:rFonts w:hint="eastAsia" w:ascii="宋体" w:hAnsi="宋体" w:eastAsia="宋体" w:cs="宋体"/>
        </w:rPr>
        <w:fldChar w:fldCharType="separate"/>
      </w:r>
      <w:r>
        <w:rPr>
          <w:rStyle w:val="31"/>
          <w:rFonts w:hint="eastAsia" w:ascii="宋体" w:hAnsi="宋体" w:eastAsia="宋体" w:cs="宋体"/>
          <w:bCs/>
          <w:color w:val="000000" w:themeColor="text1"/>
          <w:szCs w:val="24"/>
          <w14:textFill>
            <w14:solidFill>
              <w14:schemeClr w14:val="tx1"/>
            </w14:solidFill>
          </w14:textFill>
        </w:rPr>
        <w:t>www.ccgp.gov.cn</w:t>
      </w:r>
      <w:r>
        <w:rPr>
          <w:rStyle w:val="31"/>
          <w:rFonts w:hint="eastAsia" w:ascii="宋体" w:hAnsi="宋体" w:eastAsia="宋体" w:cs="宋体"/>
          <w:bCs/>
          <w:color w:val="000000" w:themeColor="text1"/>
          <w:szCs w:val="24"/>
          <w14:textFill>
            <w14:solidFill>
              <w14:schemeClr w14:val="tx1"/>
            </w14:solidFill>
          </w14:textFill>
        </w:rPr>
        <w:fldChar w:fldCharType="end"/>
      </w:r>
      <w:r>
        <w:rPr>
          <w:rFonts w:hint="eastAsia" w:ascii="宋体" w:hAnsi="宋体" w:eastAsia="宋体" w:cs="宋体"/>
          <w:bCs/>
          <w:color w:val="000000" w:themeColor="text1"/>
          <w:sz w:val="24"/>
          <w:szCs w:val="24"/>
          <w14:textFill>
            <w14:solidFill>
              <w14:schemeClr w14:val="tx1"/>
            </w14:solidFill>
          </w14:textFill>
        </w:rPr>
        <w:t>)等渠道查询相关供应商主体信用记录，对列入失信被执行人、重大税收违法案件当事人名单、政府采购严重违法失信行为记录名单及其他不符合《中华人民共和国政府采购法》第二十二条规定条件的供应商，拒绝其参与政府采购活动。</w:t>
      </w:r>
    </w:p>
    <w:p>
      <w:pPr>
        <w:tabs>
          <w:tab w:val="left" w:pos="840"/>
          <w:tab w:val="left" w:pos="1050"/>
        </w:tabs>
        <w:spacing w:line="360" w:lineRule="auto"/>
        <w:ind w:firstLine="600" w:firstLineChars="25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采购人或采购代理机构通过相关渠道查询的供应商主体信用记录，与项目其他采购资料一并保存。</w:t>
      </w:r>
    </w:p>
    <w:p>
      <w:pPr>
        <w:tabs>
          <w:tab w:val="left" w:pos="840"/>
          <w:tab w:val="left" w:pos="1050"/>
        </w:tabs>
        <w:spacing w:line="360" w:lineRule="auto"/>
        <w:ind w:firstLine="600" w:firstLineChars="250"/>
        <w:rPr>
          <w:rFonts w:hint="eastAsia" w:ascii="宋体" w:hAnsi="宋体" w:eastAsia="宋体" w:cs="宋体"/>
          <w:bCs/>
          <w:color w:val="000000" w:themeColor="text1"/>
          <w:sz w:val="24"/>
          <w:szCs w:val="20"/>
          <w14:textFill>
            <w14:solidFill>
              <w14:schemeClr w14:val="tx1"/>
            </w14:solidFill>
          </w14:textFill>
        </w:rPr>
      </w:pPr>
      <w:r>
        <w:rPr>
          <w:rFonts w:hint="eastAsia" w:ascii="宋体" w:hAnsi="宋体" w:eastAsia="宋体" w:cs="宋体"/>
          <w:bCs/>
          <w:color w:val="000000" w:themeColor="text1"/>
          <w:sz w:val="24"/>
          <w:szCs w:val="20"/>
          <w14:textFill>
            <w14:solidFill>
              <w14:schemeClr w14:val="tx1"/>
            </w14:solidFill>
          </w14:textFill>
        </w:rPr>
        <w:t>4、开标工作程序</w:t>
      </w:r>
    </w:p>
    <w:p>
      <w:pPr>
        <w:tabs>
          <w:tab w:val="left" w:pos="840"/>
          <w:tab w:val="left" w:pos="1050"/>
        </w:tabs>
        <w:spacing w:line="360" w:lineRule="auto"/>
        <w:ind w:firstLine="600" w:firstLineChars="250"/>
        <w:rPr>
          <w:rFonts w:hint="eastAsia" w:ascii="宋体" w:hAnsi="宋体" w:eastAsia="宋体" w:cs="宋体"/>
          <w:bCs/>
          <w:color w:val="000000" w:themeColor="text1"/>
          <w:sz w:val="24"/>
          <w:szCs w:val="20"/>
          <w14:textFill>
            <w14:solidFill>
              <w14:schemeClr w14:val="tx1"/>
            </w14:solidFill>
          </w14:textFill>
        </w:rPr>
      </w:pPr>
      <w:r>
        <w:rPr>
          <w:rFonts w:hint="eastAsia" w:ascii="宋体" w:hAnsi="宋体" w:eastAsia="宋体" w:cs="宋体"/>
          <w:bCs/>
          <w:color w:val="000000" w:themeColor="text1"/>
          <w:sz w:val="24"/>
          <w:szCs w:val="20"/>
          <w14:textFill>
            <w14:solidFill>
              <w14:schemeClr w14:val="tx1"/>
            </w14:solidFill>
          </w14:textFill>
        </w:rPr>
        <w:t>4.1 密封性审查：</w:t>
      </w:r>
    </w:p>
    <w:p>
      <w:pPr>
        <w:tabs>
          <w:tab w:val="left" w:pos="840"/>
          <w:tab w:val="left" w:pos="1050"/>
        </w:tabs>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由投标人或其推选的代表检查投标文件的密封、签署、盖章情况；</w:t>
      </w:r>
    </w:p>
    <w:p>
      <w:pPr>
        <w:tabs>
          <w:tab w:val="left" w:pos="840"/>
          <w:tab w:val="left" w:pos="1050"/>
        </w:tabs>
        <w:spacing w:line="360" w:lineRule="auto"/>
        <w:ind w:firstLine="628" w:firstLineChars="26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4.2初步资格性审查：</w:t>
      </w:r>
    </w:p>
    <w:p>
      <w:pPr>
        <w:tabs>
          <w:tab w:val="left" w:pos="840"/>
          <w:tab w:val="left" w:pos="1050"/>
        </w:tabs>
        <w:spacing w:line="360" w:lineRule="auto"/>
        <w:ind w:firstLine="628" w:firstLineChars="26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由工作人员在公证或监督下，按照投标人签到时间顺序进行。审查内容有：</w:t>
      </w:r>
    </w:p>
    <w:p>
      <w:pPr>
        <w:tabs>
          <w:tab w:val="left" w:pos="840"/>
          <w:tab w:val="left" w:pos="1050"/>
        </w:tabs>
        <w:spacing w:line="360" w:lineRule="auto"/>
        <w:ind w:firstLine="628" w:firstLineChars="26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4.2.1 投标人的投标文件是否规定的期限、地点送达；</w:t>
      </w:r>
    </w:p>
    <w:p>
      <w:pPr>
        <w:tabs>
          <w:tab w:val="left" w:pos="840"/>
          <w:tab w:val="left" w:pos="1050"/>
        </w:tabs>
        <w:spacing w:line="360" w:lineRule="auto"/>
        <w:ind w:firstLine="628" w:firstLineChars="26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4.2.2投标人的法定代表人（或授权代表）是否准时参加开标会议。</w:t>
      </w:r>
    </w:p>
    <w:p>
      <w:pPr>
        <w:tabs>
          <w:tab w:val="left" w:pos="840"/>
          <w:tab w:val="left" w:pos="1050"/>
        </w:tabs>
        <w:spacing w:line="360" w:lineRule="auto"/>
        <w:ind w:firstLine="628" w:firstLineChars="26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4.2.2投标人的法定代表人（或法定代表人授权代表是否提供有效的身份证明和法定代表人授权委托书）是否提供有效的身份证明。</w:t>
      </w:r>
    </w:p>
    <w:p>
      <w:pPr>
        <w:tabs>
          <w:tab w:val="left" w:pos="840"/>
          <w:tab w:val="left" w:pos="1050"/>
        </w:tabs>
        <w:spacing w:line="360" w:lineRule="auto"/>
        <w:ind w:left="63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  唱标</w:t>
      </w:r>
    </w:p>
    <w:p>
      <w:pPr>
        <w:tabs>
          <w:tab w:val="left" w:pos="840"/>
          <w:tab w:val="left" w:pos="1050"/>
        </w:tabs>
        <w:spacing w:line="360" w:lineRule="auto"/>
        <w:ind w:firstLine="600" w:firstLineChars="2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4.3.1经初步资格性审查确认无误后的投标文件，由工作人员在公证员公证或监督下，按照投标人签到时间顺序，当众拆封交唱标人唱标。</w:t>
      </w:r>
    </w:p>
    <w:p>
      <w:pPr>
        <w:tabs>
          <w:tab w:val="left" w:pos="840"/>
          <w:tab w:val="left" w:pos="1050"/>
        </w:tabs>
        <w:spacing w:line="360" w:lineRule="auto"/>
        <w:ind w:firstLine="600" w:firstLineChars="2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4.3.2唱标内容仅涉及开标一览表，未宣读的投标价格、价格折扣等实质性内容，评标时不予承认。</w:t>
      </w:r>
    </w:p>
    <w:p>
      <w:pPr>
        <w:tabs>
          <w:tab w:val="left" w:pos="840"/>
          <w:tab w:val="left" w:pos="1050"/>
        </w:tabs>
        <w:spacing w:line="360" w:lineRule="auto"/>
        <w:ind w:firstLine="600" w:firstLineChars="250"/>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4.4唱标结束，投标人退场。</w:t>
      </w:r>
    </w:p>
    <w:p>
      <w:pPr>
        <w:tabs>
          <w:tab w:val="left" w:pos="840"/>
          <w:tab w:val="left" w:pos="1050"/>
        </w:tabs>
        <w:spacing w:line="360" w:lineRule="auto"/>
        <w:ind w:firstLine="600" w:firstLineChars="250"/>
        <w:rPr>
          <w:rFonts w:hint="eastAsia" w:ascii="宋体" w:hAnsi="宋体" w:eastAsia="宋体" w:cs="宋体"/>
          <w:bCs/>
          <w:color w:val="000000" w:themeColor="text1"/>
          <w:sz w:val="24"/>
          <w:szCs w:val="20"/>
          <w14:textFill>
            <w14:solidFill>
              <w14:schemeClr w14:val="tx1"/>
            </w14:solidFill>
          </w14:textFill>
        </w:rPr>
      </w:pPr>
      <w:r>
        <w:rPr>
          <w:rFonts w:hint="eastAsia" w:ascii="宋体" w:hAnsi="宋体" w:eastAsia="宋体" w:cs="宋体"/>
          <w:bCs/>
          <w:color w:val="000000" w:themeColor="text1"/>
          <w:sz w:val="24"/>
          <w:szCs w:val="20"/>
          <w14:textFill>
            <w14:solidFill>
              <w14:schemeClr w14:val="tx1"/>
            </w14:solidFill>
          </w14:textFill>
        </w:rPr>
        <w:t>5、评标工作程序：</w:t>
      </w:r>
    </w:p>
    <w:p>
      <w:pPr>
        <w:tabs>
          <w:tab w:val="left" w:pos="1365"/>
        </w:tabs>
        <w:spacing w:line="360" w:lineRule="auto"/>
        <w:ind w:firstLine="600" w:firstLineChars="2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5.1投标文件资格性检查。</w:t>
      </w:r>
    </w:p>
    <w:p>
      <w:pPr>
        <w:tabs>
          <w:tab w:val="left" w:pos="525"/>
        </w:tabs>
        <w:spacing w:line="360" w:lineRule="auto"/>
        <w:ind w:firstLine="600" w:firstLineChars="2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5.1.1投标文件资格性检查由采购人负责。</w:t>
      </w:r>
    </w:p>
    <w:p>
      <w:pPr>
        <w:tabs>
          <w:tab w:val="left" w:pos="525"/>
        </w:tabs>
        <w:spacing w:line="360" w:lineRule="auto"/>
        <w:ind w:firstLine="600" w:firstLineChars="2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5.1.2依据法律法规和采购文件的规定，对投标文件中的资格资信证明等进行审查，以确定投标人提供资格证明的合法性、真实性，是否具备投标资格。</w:t>
      </w:r>
    </w:p>
    <w:p>
      <w:pPr>
        <w:tabs>
          <w:tab w:val="left" w:pos="1365"/>
        </w:tabs>
        <w:spacing w:line="360" w:lineRule="auto"/>
        <w:ind w:firstLine="600" w:firstLineChars="2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5.2投标文件符合性检查。</w:t>
      </w:r>
    </w:p>
    <w:p>
      <w:pPr>
        <w:tabs>
          <w:tab w:val="left" w:pos="525"/>
        </w:tabs>
        <w:spacing w:line="360" w:lineRule="auto"/>
        <w:ind w:firstLine="600" w:firstLineChars="2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5.2.1投标文件的符合性检查由评标委员会负责。</w:t>
      </w:r>
    </w:p>
    <w:p>
      <w:pPr>
        <w:tabs>
          <w:tab w:val="left" w:pos="525"/>
        </w:tabs>
        <w:spacing w:line="360" w:lineRule="auto"/>
        <w:ind w:firstLine="600" w:firstLineChars="2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5.2.2评标委员会应当对符合资格的投标人的投标文件进行符合性审查，以确定其是否满足采购文件的实质性要求。</w:t>
      </w:r>
    </w:p>
    <w:p>
      <w:pPr>
        <w:tabs>
          <w:tab w:val="left" w:pos="525"/>
        </w:tabs>
        <w:spacing w:line="360" w:lineRule="auto"/>
        <w:ind w:firstLine="600" w:firstLineChars="2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5.2.3对投标文件的有效性、完整性和对采购文件要求的符合性进行审查，以确定是否对采购文件的实质性要求做出响应。</w:t>
      </w:r>
    </w:p>
    <w:p>
      <w:pPr>
        <w:tabs>
          <w:tab w:val="left" w:pos="525"/>
        </w:tabs>
        <w:spacing w:line="360" w:lineRule="auto"/>
        <w:ind w:firstLine="600" w:firstLineChars="2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5.2.3</w:t>
      </w:r>
      <w:r>
        <w:rPr>
          <w:rFonts w:hint="eastAsia" w:ascii="宋体" w:hAnsi="宋体" w:eastAsia="宋体" w:cs="宋体"/>
          <w:color w:val="000000" w:themeColor="text1"/>
          <w:kern w:val="10"/>
          <w:sz w:val="24"/>
          <w14:textFill>
            <w14:solidFill>
              <w14:schemeClr w14:val="tx1"/>
            </w14:solidFill>
          </w14:textFill>
        </w:rPr>
        <w:t>评标委员会认为投标文件中有含义不明确、同类问题表述不一致或者有明显文字和计算错误的、投标人的报价明显低于其他通过符合性审查投标人的报价有可能影响产品质量或者不能诚信履约的，应以书面形式提出询标内容，由招标工作人员传递给投标人授权代表（投标人授权代表不进入评标室）。投标人授权代表应当以书面形式作出澄清、说明或者补正，并签字。</w:t>
      </w:r>
    </w:p>
    <w:p>
      <w:pPr>
        <w:tabs>
          <w:tab w:val="left" w:pos="840"/>
          <w:tab w:val="left" w:pos="1050"/>
        </w:tabs>
        <w:spacing w:line="360" w:lineRule="auto"/>
        <w:ind w:firstLine="600" w:firstLineChars="250"/>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5.4 比较与评价</w:t>
      </w:r>
    </w:p>
    <w:p>
      <w:pPr>
        <w:tabs>
          <w:tab w:val="left" w:pos="840"/>
          <w:tab w:val="left" w:pos="1050"/>
        </w:tabs>
        <w:spacing w:line="360" w:lineRule="auto"/>
        <w:ind w:firstLine="600" w:firstLineChars="250"/>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5.3.1投标文件资格性检查和符合性检查结束后，凡属于“（七）无效投标文件的确认”的投标文件不进入比较与评价程序。</w:t>
      </w:r>
    </w:p>
    <w:p>
      <w:pPr>
        <w:tabs>
          <w:tab w:val="left" w:pos="840"/>
          <w:tab w:val="left" w:pos="1050"/>
        </w:tabs>
        <w:spacing w:line="360" w:lineRule="auto"/>
        <w:ind w:firstLine="600" w:firstLineChars="250"/>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5.3.2经评审有效的投标文件按采购文件中规定的评标方法和标准，由评标委员会进行比较与评价。</w:t>
      </w:r>
    </w:p>
    <w:p>
      <w:pPr>
        <w:tabs>
          <w:tab w:val="left" w:pos="840"/>
          <w:tab w:val="left" w:pos="1050"/>
        </w:tabs>
        <w:spacing w:line="360" w:lineRule="auto"/>
        <w:ind w:firstLine="600" w:firstLineChars="250"/>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5.3.3评审全部结束后，由工作人员在公证或监督下，在评标室当场核对、汇总各投标人得分，确定各投标人总分和最终排序。</w:t>
      </w:r>
    </w:p>
    <w:p>
      <w:pPr>
        <w:tabs>
          <w:tab w:val="left" w:pos="840"/>
          <w:tab w:val="left" w:pos="1050"/>
        </w:tabs>
        <w:spacing w:line="360" w:lineRule="auto"/>
        <w:ind w:firstLine="600" w:firstLineChars="250"/>
        <w:rPr>
          <w:rFonts w:hint="eastAsia" w:ascii="宋体" w:hAnsi="宋体" w:eastAsia="宋体" w:cs="宋体"/>
          <w:bCs/>
          <w:color w:val="000000" w:themeColor="text1"/>
          <w:sz w:val="24"/>
          <w:szCs w:val="20"/>
          <w14:textFill>
            <w14:solidFill>
              <w14:schemeClr w14:val="tx1"/>
            </w14:solidFill>
          </w14:textFill>
        </w:rPr>
      </w:pPr>
      <w:r>
        <w:rPr>
          <w:rFonts w:hint="eastAsia" w:ascii="宋体" w:hAnsi="宋体" w:eastAsia="宋体" w:cs="宋体"/>
          <w:bCs/>
          <w:color w:val="000000" w:themeColor="text1"/>
          <w:sz w:val="24"/>
          <w:szCs w:val="20"/>
          <w14:textFill>
            <w14:solidFill>
              <w14:schemeClr w14:val="tx1"/>
            </w14:solidFill>
          </w14:textFill>
        </w:rPr>
        <w:t>6、评标方法和主要因素：</w:t>
      </w:r>
    </w:p>
    <w:p>
      <w:pPr>
        <w:tabs>
          <w:tab w:val="left" w:pos="840"/>
          <w:tab w:val="left" w:pos="1050"/>
        </w:tabs>
        <w:spacing w:line="360" w:lineRule="auto"/>
        <w:ind w:firstLine="600" w:firstLineChars="250"/>
        <w:rPr>
          <w:rFonts w:hint="eastAsia" w:ascii="宋体" w:hAnsi="宋体" w:eastAsia="宋体" w:cs="宋体"/>
          <w:bCs/>
          <w:color w:val="000000" w:themeColor="text1"/>
          <w:sz w:val="24"/>
          <w:szCs w:val="20"/>
          <w14:textFill>
            <w14:solidFill>
              <w14:schemeClr w14:val="tx1"/>
            </w14:solidFill>
          </w14:textFill>
        </w:rPr>
      </w:pPr>
      <w:r>
        <w:rPr>
          <w:rFonts w:hint="eastAsia" w:ascii="宋体" w:hAnsi="宋体" w:eastAsia="宋体" w:cs="宋体"/>
          <w:bCs/>
          <w:color w:val="000000" w:themeColor="text1"/>
          <w:sz w:val="24"/>
          <w:szCs w:val="20"/>
          <w14:textFill>
            <w14:solidFill>
              <w14:schemeClr w14:val="tx1"/>
            </w14:solidFill>
          </w14:textFill>
        </w:rPr>
        <w:t>比较与评价采用综合评分法（计分均保留2位小数）。</w:t>
      </w:r>
    </w:p>
    <w:p>
      <w:pPr>
        <w:tabs>
          <w:tab w:val="left" w:pos="840"/>
          <w:tab w:val="left" w:pos="1050"/>
        </w:tabs>
        <w:spacing w:line="360" w:lineRule="auto"/>
        <w:ind w:firstLine="600" w:firstLineChars="250"/>
        <w:rPr>
          <w:rFonts w:hint="eastAsia" w:ascii="宋体" w:hAnsi="宋体" w:eastAsia="宋体" w:cs="宋体"/>
          <w:bCs/>
          <w:color w:val="000000" w:themeColor="text1"/>
          <w:sz w:val="24"/>
          <w:szCs w:val="20"/>
          <w14:textFill>
            <w14:solidFill>
              <w14:schemeClr w14:val="tx1"/>
            </w14:solidFill>
          </w14:textFill>
        </w:rPr>
      </w:pPr>
      <w:r>
        <w:rPr>
          <w:rFonts w:hint="eastAsia" w:ascii="宋体" w:hAnsi="宋体" w:eastAsia="宋体" w:cs="宋体"/>
          <w:bCs/>
          <w:color w:val="000000" w:themeColor="text1"/>
          <w:sz w:val="24"/>
          <w:szCs w:val="20"/>
          <w14:textFill>
            <w14:solidFill>
              <w14:schemeClr w14:val="tx1"/>
            </w14:solidFill>
          </w14:textFill>
        </w:rPr>
        <w:t>评标委员会遵循公平、公正、择优原则，独立按照评分标准分别评定投标人的分值；各投标人的评审后得分为各评委所评定分值的平均值，并按高低顺序排列。得分相同的，按投标报价由低到高顺序排列，得分且投标报价相同的并列</w:t>
      </w:r>
      <w:r>
        <w:rPr>
          <w:rFonts w:hint="eastAsia" w:ascii="宋体" w:hAnsi="宋体" w:cs="宋体"/>
          <w:bCs/>
          <w:color w:val="000000" w:themeColor="text1"/>
          <w:sz w:val="24"/>
          <w:szCs w:val="20"/>
          <w:lang w:val="en-US" w:eastAsia="zh-CN"/>
          <w14:textFill>
            <w14:solidFill>
              <w14:schemeClr w14:val="tx1"/>
            </w14:solidFill>
          </w14:textFill>
        </w:rPr>
        <w:t>,按技术方案排列</w:t>
      </w:r>
      <w:r>
        <w:rPr>
          <w:rFonts w:hint="eastAsia" w:ascii="宋体" w:hAnsi="宋体" w:eastAsia="宋体" w:cs="宋体"/>
          <w:bCs/>
          <w:color w:val="000000" w:themeColor="text1"/>
          <w:sz w:val="24"/>
          <w:szCs w:val="20"/>
          <w14:textFill>
            <w14:solidFill>
              <w14:schemeClr w14:val="tx1"/>
            </w14:solidFill>
          </w14:textFill>
        </w:rPr>
        <w:t>。投标文件满足招标文件全部实质性要求，且按照评审因素的量化指标评审得分最高的投标人排名第一，为中标单位。未列入本评分标准的其他条件不作为评分内容。</w:t>
      </w:r>
    </w:p>
    <w:p>
      <w:pPr>
        <w:numPr>
          <w:ilvl w:val="0"/>
          <w:numId w:val="12"/>
        </w:num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评分项目及分值（总分100分）</w:t>
      </w:r>
    </w:p>
    <w:p>
      <w:pPr>
        <w:pStyle w:val="3"/>
        <w:keepNext/>
        <w:keepLines/>
        <w:pageBreakBefore w:val="0"/>
        <w:widowControl w:val="0"/>
        <w:numPr>
          <w:ilvl w:val="1"/>
          <w:numId w:val="0"/>
        </w:numPr>
        <w:kinsoku/>
        <w:wordWrap/>
        <w:overflowPunct/>
        <w:topLinePunct w:val="0"/>
        <w:autoSpaceDE/>
        <w:autoSpaceDN/>
        <w:bidi w:val="0"/>
        <w:adjustRightInd/>
        <w:snapToGrid/>
        <w:spacing w:before="0" w:after="0"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）商务标（5</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pPr>
        <w:pStyle w:val="4"/>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1.价格（30 分）</w:t>
      </w:r>
    </w:p>
    <w:p>
      <w:pPr>
        <w:pageBreakBefore w:val="0"/>
        <w:tabs>
          <w:tab w:val="left" w:pos="945"/>
          <w:tab w:val="left" w:pos="1155"/>
        </w:tabs>
        <w:kinsoku/>
        <w:wordWrap/>
        <w:overflowPunct/>
        <w:topLinePunct w:val="0"/>
        <w:autoSpaceDE/>
        <w:autoSpaceDN/>
        <w:bidi w:val="0"/>
        <w:adjustRightInd/>
        <w:snapToGrid/>
        <w:spacing w:line="360" w:lineRule="auto"/>
        <w:ind w:firstLine="566" w:firstLineChars="236"/>
        <w:textAlignment w:val="auto"/>
        <w:rPr>
          <w:rFonts w:hint="eastAsia" w:ascii="宋体" w:hAnsi="宋体" w:eastAsia="宋体" w:cs="宋体"/>
          <w:bCs/>
          <w:sz w:val="24"/>
          <w:szCs w:val="24"/>
        </w:rPr>
      </w:pPr>
      <w:r>
        <w:rPr>
          <w:rFonts w:hint="eastAsia" w:ascii="宋体" w:hAnsi="宋体" w:eastAsia="宋体" w:cs="宋体"/>
          <w:bCs/>
          <w:sz w:val="24"/>
          <w:szCs w:val="24"/>
        </w:rPr>
        <w:t>采用低价优先法计算，即满足招标文件要求且投标价格最低的投标报价为评标基准价，其价格分为满分。其他投标人的价格分统一按照下列公式计算：</w:t>
      </w:r>
    </w:p>
    <w:p>
      <w:pPr>
        <w:pageBreakBefore w:val="0"/>
        <w:tabs>
          <w:tab w:val="left" w:pos="945"/>
          <w:tab w:val="left" w:pos="1155"/>
        </w:tabs>
        <w:kinsoku/>
        <w:wordWrap/>
        <w:overflowPunct/>
        <w:topLinePunct w:val="0"/>
        <w:autoSpaceDE/>
        <w:autoSpaceDN/>
        <w:bidi w:val="0"/>
        <w:adjustRightInd/>
        <w:snapToGrid/>
        <w:spacing w:line="360" w:lineRule="auto"/>
        <w:ind w:firstLine="566" w:firstLineChars="236"/>
        <w:textAlignment w:val="auto"/>
        <w:rPr>
          <w:rFonts w:hint="eastAsia" w:ascii="宋体" w:hAnsi="宋体" w:eastAsia="宋体" w:cs="宋体"/>
          <w:bCs/>
          <w:sz w:val="24"/>
          <w:szCs w:val="24"/>
        </w:rPr>
      </w:pPr>
      <w:r>
        <w:rPr>
          <w:rFonts w:hint="eastAsia" w:ascii="宋体" w:hAnsi="宋体" w:eastAsia="宋体" w:cs="宋体"/>
          <w:bCs/>
          <w:sz w:val="24"/>
          <w:szCs w:val="24"/>
        </w:rPr>
        <w:t>投标报价得分=(评标基准价／投标报价)×价格权值×100。</w:t>
      </w:r>
    </w:p>
    <w:p>
      <w:pPr>
        <w:pStyle w:val="4"/>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.本项目技术力量（12分）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为确保本项目实施，投标人应组建具备专业技术力量的项目组，项目组成员具备：</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rPr>
        <w:t>（1）CI</w:t>
      </w:r>
      <w:r>
        <w:rPr>
          <w:rFonts w:hint="eastAsia" w:ascii="宋体" w:hAnsi="宋体" w:eastAsia="宋体" w:cs="宋体"/>
          <w:sz w:val="24"/>
          <w:szCs w:val="24"/>
          <w:highlight w:val="none"/>
        </w:rPr>
        <w:t>SE注册信息安全工程师证书，每提供1个证书得1分，最多得3分；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（2）ITSS IT服务工程师证书，每提供1个证书得1分，最多得3分；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rPr>
        <w:t>（3）</w:t>
      </w:r>
      <w:r>
        <w:rPr>
          <w:rFonts w:hint="eastAsia" w:ascii="宋体" w:hAnsi="宋体" w:eastAsia="宋体" w:cs="宋体"/>
          <w:color w:val="auto"/>
          <w:sz w:val="24"/>
          <w:szCs w:val="24"/>
        </w:rPr>
        <w:t>网络工程师证书</w:t>
      </w:r>
      <w:r>
        <w:rPr>
          <w:rFonts w:hint="eastAsia" w:ascii="宋体" w:hAnsi="宋体" w:eastAsia="宋体" w:cs="宋体"/>
          <w:sz w:val="24"/>
          <w:szCs w:val="24"/>
        </w:rPr>
        <w:t>，</w:t>
      </w:r>
      <w:r>
        <w:rPr>
          <w:rFonts w:hint="eastAsia" w:ascii="宋体" w:hAnsi="宋体" w:eastAsia="宋体" w:cs="宋体"/>
          <w:sz w:val="24"/>
          <w:szCs w:val="24"/>
          <w:highlight w:val="none"/>
        </w:rPr>
        <w:t>每提供1个得1分，最多得3分；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color w:val="auto"/>
          <w:sz w:val="24"/>
          <w:szCs w:val="24"/>
        </w:rPr>
        <w:t>系统集成项目管理工程师</w:t>
      </w:r>
      <w:r>
        <w:rPr>
          <w:rFonts w:hint="eastAsia" w:ascii="宋体" w:hAnsi="宋体" w:cs="宋体"/>
          <w:color w:val="auto"/>
          <w:sz w:val="24"/>
          <w:szCs w:val="24"/>
          <w:lang w:val="en-US" w:eastAsia="zh-CN"/>
        </w:rPr>
        <w:t>证书</w:t>
      </w:r>
      <w:bookmarkStart w:id="5" w:name="_GoBack"/>
      <w:bookmarkEnd w:id="5"/>
      <w:r>
        <w:rPr>
          <w:rFonts w:hint="eastAsia" w:ascii="宋体" w:hAnsi="宋体" w:eastAsia="宋体" w:cs="宋体"/>
          <w:sz w:val="24"/>
          <w:szCs w:val="24"/>
        </w:rPr>
        <w:t>，每提供1个证书得1分，最多得3分。</w:t>
      </w:r>
    </w:p>
    <w:p>
      <w:pPr>
        <w:pStyle w:val="33"/>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rPr>
        <w:t>同一人具有多种证书的不兼得分</w:t>
      </w:r>
      <w:r>
        <w:rPr>
          <w:rFonts w:hint="eastAsia" w:ascii="宋体" w:hAnsi="宋体" w:eastAsia="宋体" w:cs="宋体"/>
          <w:color w:val="auto"/>
          <w:sz w:val="24"/>
          <w:szCs w:val="24"/>
          <w:lang w:eastAsia="zh-CN"/>
        </w:rPr>
        <w:t>。</w:t>
      </w:r>
      <w:r>
        <w:rPr>
          <w:rFonts w:hint="eastAsia" w:ascii="宋体" w:hAnsi="宋体" w:eastAsia="宋体" w:cs="宋体"/>
          <w:sz w:val="24"/>
          <w:szCs w:val="24"/>
        </w:rPr>
        <w:t>所提供证书须在有效期范围内，相关证书复印件须装订在投标文件中，</w:t>
      </w:r>
      <w:r>
        <w:rPr>
          <w:rFonts w:hint="eastAsia" w:ascii="宋体" w:hAnsi="宋体" w:eastAsia="宋体" w:cs="宋体"/>
          <w:sz w:val="24"/>
          <w:szCs w:val="24"/>
          <w:highlight w:val="none"/>
        </w:rPr>
        <w:t>并且提供近3个月投标人为项目组成员缴纳社保的查询证明</w:t>
      </w:r>
      <w:r>
        <w:rPr>
          <w:rFonts w:hint="eastAsia" w:ascii="宋体" w:hAnsi="宋体" w:eastAsia="宋体" w:cs="宋体"/>
          <w:sz w:val="24"/>
          <w:szCs w:val="24"/>
        </w:rPr>
        <w:t>，否则不得分。</w:t>
      </w:r>
    </w:p>
    <w:p>
      <w:pPr>
        <w:pStyle w:val="4"/>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.投标人情况（1</w:t>
      </w:r>
      <w:r>
        <w:rPr>
          <w:rFonts w:hint="eastAsia" w:ascii="宋体" w:hAnsi="宋体" w:eastAsia="宋体" w:cs="宋体"/>
          <w:sz w:val="24"/>
          <w:szCs w:val="24"/>
          <w:lang w:val="en-US" w:eastAsia="zh-CN"/>
        </w:rPr>
        <w:t>3</w:t>
      </w:r>
      <w:r>
        <w:rPr>
          <w:rFonts w:hint="eastAsia" w:ascii="宋体" w:hAnsi="宋体" w:eastAsia="宋体" w:cs="宋体"/>
          <w:sz w:val="24"/>
          <w:szCs w:val="24"/>
        </w:rPr>
        <w:t>分</w:t>
      </w:r>
      <w:r>
        <w:rPr>
          <w:rFonts w:hint="eastAsia" w:ascii="宋体" w:hAnsi="宋体" w:eastAsia="宋体" w:cs="宋体"/>
          <w:sz w:val="24"/>
          <w:szCs w:val="24"/>
          <w:lang w:val="zh-CN"/>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zh-CN"/>
        </w:rPr>
        <w:t>（</w:t>
      </w:r>
      <w:r>
        <w:rPr>
          <w:rFonts w:hint="eastAsia" w:ascii="宋体" w:hAnsi="宋体" w:eastAsia="宋体" w:cs="宋体"/>
          <w:sz w:val="24"/>
          <w:szCs w:val="24"/>
        </w:rPr>
        <w:t>1</w:t>
      </w:r>
      <w:r>
        <w:rPr>
          <w:rFonts w:hint="eastAsia" w:ascii="宋体" w:hAnsi="宋体" w:eastAsia="宋体" w:cs="宋体"/>
          <w:sz w:val="24"/>
          <w:szCs w:val="24"/>
          <w:lang w:val="zh-CN"/>
        </w:rPr>
        <w:t>）</w:t>
      </w:r>
      <w:r>
        <w:rPr>
          <w:rFonts w:hint="eastAsia" w:ascii="宋体" w:hAnsi="宋体" w:eastAsia="宋体" w:cs="宋体"/>
          <w:sz w:val="24"/>
          <w:szCs w:val="24"/>
        </w:rPr>
        <w:t>管理体系认证（3分）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投标人具有有效的信息安全管理体系ISO/IEC 27001标准证书、质量管理体系ISO9001标准证书、环境管理体系ISO14001标准证书。以上证书每提供1个得1分，证书复印件须装订在投标文件中，否则不得分。</w:t>
      </w:r>
    </w:p>
    <w:p>
      <w:pPr>
        <w:pageBreakBefore w:val="0"/>
        <w:numPr>
          <w:ilvl w:val="0"/>
          <w:numId w:val="1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信息安全等级保护三级认证（2分）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投标人具有有效期内的数据中心运维相关系统的信息安全等级保护三级认证证书</w:t>
      </w:r>
      <w:r>
        <w:rPr>
          <w:rFonts w:hint="eastAsia" w:ascii="宋体" w:hAnsi="宋体" w:eastAsia="宋体" w:cs="宋体"/>
          <w:sz w:val="24"/>
          <w:szCs w:val="24"/>
          <w:lang w:val="zh-CN"/>
        </w:rPr>
        <w:t>得</w:t>
      </w:r>
      <w:r>
        <w:rPr>
          <w:rFonts w:hint="eastAsia" w:ascii="宋体" w:hAnsi="宋体" w:eastAsia="宋体" w:cs="宋体"/>
          <w:sz w:val="24"/>
          <w:szCs w:val="24"/>
        </w:rPr>
        <w:t>2</w:t>
      </w:r>
      <w:r>
        <w:rPr>
          <w:rFonts w:hint="eastAsia" w:ascii="宋体" w:hAnsi="宋体" w:eastAsia="宋体" w:cs="宋体"/>
          <w:sz w:val="24"/>
          <w:szCs w:val="24"/>
          <w:lang w:val="zh-CN"/>
        </w:rPr>
        <w:t>分，</w:t>
      </w:r>
      <w:r>
        <w:rPr>
          <w:rFonts w:hint="eastAsia" w:ascii="宋体" w:hAnsi="宋体" w:eastAsia="宋体" w:cs="宋体"/>
          <w:sz w:val="24"/>
          <w:szCs w:val="24"/>
        </w:rPr>
        <w:t>证书复印件须装订在投标文件中，否则不得分。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3</w:t>
      </w:r>
      <w:r>
        <w:rPr>
          <w:rFonts w:hint="eastAsia" w:ascii="宋体" w:hAnsi="宋体" w:eastAsia="宋体" w:cs="宋体"/>
          <w:sz w:val="24"/>
          <w:szCs w:val="24"/>
          <w:lang w:val="zh-CN"/>
        </w:rPr>
        <w:t>）业绩（</w:t>
      </w:r>
      <w:r>
        <w:rPr>
          <w:rFonts w:hint="eastAsia" w:ascii="宋体" w:hAnsi="宋体" w:cs="宋体"/>
          <w:sz w:val="24"/>
          <w:szCs w:val="24"/>
          <w:lang w:val="en-US" w:eastAsia="zh-CN"/>
        </w:rPr>
        <w:t>6</w:t>
      </w:r>
      <w:r>
        <w:rPr>
          <w:rFonts w:hint="eastAsia" w:ascii="宋体" w:hAnsi="宋体" w:eastAsia="宋体" w:cs="宋体"/>
          <w:sz w:val="24"/>
          <w:szCs w:val="24"/>
          <w:lang w:val="zh-CN"/>
        </w:rPr>
        <w:t>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eastAsia="zh-CN"/>
        </w:rPr>
        <w:t>具有</w:t>
      </w:r>
      <w:r>
        <w:rPr>
          <w:rFonts w:hint="eastAsia" w:ascii="宋体" w:hAnsi="宋体" w:eastAsia="宋体" w:cs="宋体"/>
          <w:color w:val="auto"/>
          <w:sz w:val="24"/>
          <w:szCs w:val="24"/>
          <w:highlight w:val="none"/>
        </w:rPr>
        <w:t>自2020年1月1日（含1月1日）以来</w:t>
      </w:r>
      <w:r>
        <w:rPr>
          <w:rFonts w:hint="eastAsia" w:ascii="宋体" w:hAnsi="宋体" w:eastAsia="宋体" w:cs="宋体"/>
          <w:sz w:val="24"/>
          <w:szCs w:val="24"/>
        </w:rPr>
        <w:t>同类数据中心托管项目的成功案例，每提供一份有效合同关键页复印件得</w:t>
      </w:r>
      <w:r>
        <w:rPr>
          <w:rFonts w:hint="eastAsia" w:ascii="宋体" w:hAnsi="宋体" w:cs="宋体"/>
          <w:sz w:val="24"/>
          <w:szCs w:val="24"/>
          <w:lang w:val="en-US" w:eastAsia="zh-CN"/>
        </w:rPr>
        <w:t>2</w:t>
      </w:r>
      <w:r>
        <w:rPr>
          <w:rFonts w:hint="eastAsia" w:ascii="宋体" w:hAnsi="宋体" w:eastAsia="宋体" w:cs="宋体"/>
          <w:sz w:val="24"/>
          <w:szCs w:val="24"/>
        </w:rPr>
        <w:t>分，最高得</w:t>
      </w:r>
      <w:r>
        <w:rPr>
          <w:rFonts w:hint="eastAsia" w:ascii="宋体" w:hAnsi="宋体" w:cs="宋体"/>
          <w:sz w:val="24"/>
          <w:szCs w:val="24"/>
          <w:lang w:val="en-US" w:eastAsia="zh-CN"/>
        </w:rPr>
        <w:t>6</w:t>
      </w:r>
      <w:r>
        <w:rPr>
          <w:rFonts w:hint="eastAsia" w:ascii="宋体" w:hAnsi="宋体" w:eastAsia="宋体" w:cs="宋体"/>
          <w:sz w:val="24"/>
          <w:szCs w:val="24"/>
        </w:rPr>
        <w:t>分，合同关键页复印件须装订在投标文件中。</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（4）投标人承诺（2分）</w:t>
      </w:r>
    </w:p>
    <w:p>
      <w:pPr>
        <w:pStyle w:val="33"/>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none"/>
        </w:rPr>
        <w:t>投标人承诺能够具备同时接入无锡市公安局警务中心机房和交警支队机房的冗余传输</w:t>
      </w:r>
      <w:r>
        <w:rPr>
          <w:rFonts w:hint="eastAsia" w:ascii="宋体" w:hAnsi="宋体" w:eastAsia="宋体" w:cs="宋体"/>
          <w:sz w:val="24"/>
          <w:szCs w:val="24"/>
          <w:highlight w:val="none"/>
          <w:lang w:val="en-US" w:eastAsia="zh-CN"/>
        </w:rPr>
        <w:t>链路</w:t>
      </w:r>
      <w:r>
        <w:rPr>
          <w:rFonts w:hint="eastAsia" w:ascii="宋体" w:hAnsi="宋体" w:eastAsia="宋体" w:cs="宋体"/>
          <w:sz w:val="24"/>
          <w:szCs w:val="24"/>
        </w:rPr>
        <w:t>得2分；须提供相应承诺书原件并加盖单位公章（承诺书格式自拟），否则不得分。</w:t>
      </w:r>
    </w:p>
    <w:p>
      <w:pPr>
        <w:pStyle w:val="3"/>
        <w:keepNext/>
        <w:keepLines/>
        <w:pageBreakBefore w:val="0"/>
        <w:widowControl w:val="0"/>
        <w:numPr>
          <w:ilvl w:val="1"/>
          <w:numId w:val="0"/>
        </w:numPr>
        <w:kinsoku/>
        <w:wordWrap/>
        <w:overflowPunct/>
        <w:topLinePunct w:val="0"/>
        <w:autoSpaceDE/>
        <w:autoSpaceDN/>
        <w:bidi w:val="0"/>
        <w:adjustRightInd/>
        <w:snapToGrid/>
        <w:spacing w:before="0" w:after="0" w:line="360" w:lineRule="auto"/>
        <w:ind w:leftChars="0"/>
        <w:jc w:val="left"/>
        <w:textAlignment w:val="auto"/>
        <w:rPr>
          <w:rFonts w:hint="eastAsia" w:ascii="宋体" w:hAnsi="宋体" w:eastAsia="宋体" w:cs="宋体"/>
          <w:b/>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2</w:t>
      </w:r>
      <w:r>
        <w:rPr>
          <w:rFonts w:hint="eastAsia" w:ascii="宋体" w:hAnsi="宋体" w:eastAsia="宋体" w:cs="宋体"/>
          <w:b/>
          <w:sz w:val="24"/>
          <w:szCs w:val="24"/>
          <w:lang w:eastAsia="zh-CN"/>
        </w:rPr>
        <w:t>）</w:t>
      </w:r>
      <w:r>
        <w:rPr>
          <w:rFonts w:hint="eastAsia" w:ascii="宋体" w:hAnsi="宋体" w:eastAsia="宋体" w:cs="宋体"/>
          <w:b/>
          <w:sz w:val="24"/>
          <w:szCs w:val="24"/>
        </w:rPr>
        <w:t>技术标（4</w:t>
      </w:r>
      <w:r>
        <w:rPr>
          <w:rFonts w:hint="eastAsia" w:ascii="宋体" w:hAnsi="宋体" w:eastAsia="宋体" w:cs="宋体"/>
          <w:b/>
          <w:sz w:val="24"/>
          <w:szCs w:val="24"/>
          <w:lang w:val="en-US" w:eastAsia="zh-CN"/>
        </w:rPr>
        <w:t>5</w:t>
      </w:r>
      <w:r>
        <w:rPr>
          <w:rFonts w:hint="eastAsia" w:ascii="宋体" w:hAnsi="宋体" w:eastAsia="宋体" w:cs="宋体"/>
          <w:b/>
          <w:sz w:val="24"/>
          <w:szCs w:val="24"/>
        </w:rPr>
        <w:t>分）:</w:t>
      </w:r>
    </w:p>
    <w:p>
      <w:pPr>
        <w:pStyle w:val="4"/>
        <w:spacing w:line="360" w:lineRule="auto"/>
        <w:jc w:val="left"/>
        <w:rPr>
          <w:rFonts w:hint="eastAsia" w:ascii="宋体" w:hAnsi="宋体" w:eastAsia="宋体" w:cs="宋体"/>
          <w:sz w:val="24"/>
          <w:szCs w:val="24"/>
        </w:rPr>
      </w:pPr>
      <w:r>
        <w:rPr>
          <w:rFonts w:hint="eastAsia" w:ascii="宋体" w:hAnsi="宋体" w:eastAsia="宋体" w:cs="宋体"/>
          <w:sz w:val="24"/>
          <w:szCs w:val="24"/>
        </w:rPr>
        <w:t>1.技术配置（3</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pPr>
        <w:pStyle w:val="66"/>
        <w:tabs>
          <w:tab w:val="left" w:pos="945"/>
          <w:tab w:val="left" w:pos="1155"/>
        </w:tabs>
        <w:ind w:firstLine="480"/>
        <w:rPr>
          <w:rFonts w:hint="eastAsia" w:ascii="宋体" w:hAnsi="宋体" w:eastAsia="宋体" w:cs="宋体"/>
          <w:bCs/>
          <w:sz w:val="24"/>
          <w:szCs w:val="24"/>
        </w:rPr>
      </w:pPr>
      <w:r>
        <w:rPr>
          <w:rFonts w:hint="eastAsia" w:ascii="宋体" w:hAnsi="宋体" w:eastAsia="宋体" w:cs="宋体"/>
          <w:bCs/>
          <w:sz w:val="24"/>
          <w:szCs w:val="24"/>
        </w:rPr>
        <w:t>投标人须对本项目租赁需求进行应答响应，全部满足得26分</w:t>
      </w:r>
      <w:r>
        <w:rPr>
          <w:rFonts w:hint="eastAsia" w:ascii="宋体" w:hAnsi="宋体" w:eastAsia="宋体" w:cs="宋体"/>
          <w:bCs/>
          <w:sz w:val="24"/>
          <w:szCs w:val="24"/>
          <w:lang w:eastAsia="zh-CN"/>
        </w:rPr>
        <w:t>，否则不得分</w:t>
      </w:r>
      <w:r>
        <w:rPr>
          <w:rFonts w:hint="eastAsia" w:ascii="宋体" w:hAnsi="宋体" w:eastAsia="宋体" w:cs="宋体"/>
          <w:bCs/>
          <w:sz w:val="24"/>
          <w:szCs w:val="24"/>
        </w:rPr>
        <w:t>。</w:t>
      </w:r>
    </w:p>
    <w:p>
      <w:pPr>
        <w:pStyle w:val="66"/>
        <w:tabs>
          <w:tab w:val="left" w:pos="945"/>
          <w:tab w:val="left" w:pos="1155"/>
        </w:tabs>
        <w:ind w:firstLine="480"/>
        <w:rPr>
          <w:rFonts w:hint="eastAsia" w:ascii="宋体" w:hAnsi="宋体" w:eastAsia="宋体" w:cs="宋体"/>
          <w:bCs/>
          <w:sz w:val="24"/>
          <w:szCs w:val="24"/>
        </w:rPr>
      </w:pPr>
      <w:r>
        <w:rPr>
          <w:rFonts w:hint="eastAsia" w:ascii="宋体" w:hAnsi="宋体" w:eastAsia="宋体" w:cs="宋体"/>
          <w:bCs/>
          <w:sz w:val="24"/>
          <w:szCs w:val="24"/>
        </w:rPr>
        <w:t>在全部满足的基础上，针对租赁需求内容，具有下表中实质性正偏离项的，按表中说明加分。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94"/>
        <w:gridCol w:w="2869"/>
        <w:gridCol w:w="1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vAlign w:val="center"/>
          </w:tcPr>
          <w:p>
            <w:pPr>
              <w:tabs>
                <w:tab w:val="left" w:pos="945"/>
              </w:tabs>
              <w:spacing w:line="360" w:lineRule="auto"/>
              <w:jc w:val="center"/>
              <w:rPr>
                <w:rFonts w:hint="eastAsia" w:ascii="宋体" w:hAnsi="宋体" w:eastAsia="宋体" w:cs="宋体"/>
                <w:bCs/>
                <w:sz w:val="24"/>
              </w:rPr>
            </w:pPr>
            <w:r>
              <w:rPr>
                <w:rFonts w:hint="eastAsia" w:ascii="宋体" w:hAnsi="宋体" w:eastAsia="宋体" w:cs="宋体"/>
                <w:bCs/>
                <w:sz w:val="24"/>
              </w:rPr>
              <w:t>子类</w:t>
            </w:r>
          </w:p>
        </w:tc>
        <w:tc>
          <w:tcPr>
            <w:tcW w:w="2194" w:type="dxa"/>
            <w:noWrap w:val="0"/>
            <w:vAlign w:val="center"/>
          </w:tcPr>
          <w:p>
            <w:pPr>
              <w:tabs>
                <w:tab w:val="left" w:pos="945"/>
              </w:tabs>
              <w:spacing w:line="360" w:lineRule="auto"/>
              <w:jc w:val="center"/>
              <w:rPr>
                <w:rFonts w:hint="eastAsia" w:ascii="宋体" w:hAnsi="宋体" w:eastAsia="宋体" w:cs="宋体"/>
                <w:bCs/>
                <w:sz w:val="24"/>
              </w:rPr>
            </w:pPr>
            <w:r>
              <w:rPr>
                <w:rFonts w:hint="eastAsia" w:ascii="宋体" w:hAnsi="宋体" w:eastAsia="宋体" w:cs="宋体"/>
                <w:bCs/>
                <w:sz w:val="24"/>
              </w:rPr>
              <w:t>配置要求</w:t>
            </w:r>
          </w:p>
        </w:tc>
        <w:tc>
          <w:tcPr>
            <w:tcW w:w="2869" w:type="dxa"/>
            <w:noWrap w:val="0"/>
            <w:vAlign w:val="center"/>
          </w:tcPr>
          <w:p>
            <w:pPr>
              <w:tabs>
                <w:tab w:val="left" w:pos="945"/>
              </w:tabs>
              <w:spacing w:line="360" w:lineRule="auto"/>
              <w:jc w:val="center"/>
              <w:rPr>
                <w:rFonts w:hint="eastAsia" w:ascii="宋体" w:hAnsi="宋体" w:eastAsia="宋体" w:cs="宋体"/>
                <w:bCs/>
                <w:sz w:val="24"/>
              </w:rPr>
            </w:pPr>
            <w:r>
              <w:rPr>
                <w:rFonts w:hint="eastAsia" w:ascii="宋体" w:hAnsi="宋体" w:eastAsia="宋体" w:cs="宋体"/>
                <w:bCs/>
                <w:sz w:val="24"/>
              </w:rPr>
              <w:t>正偏离说明</w:t>
            </w:r>
          </w:p>
        </w:tc>
        <w:tc>
          <w:tcPr>
            <w:tcW w:w="1831" w:type="dxa"/>
            <w:noWrap w:val="0"/>
            <w:vAlign w:val="top"/>
          </w:tcPr>
          <w:p>
            <w:pPr>
              <w:tabs>
                <w:tab w:val="left" w:pos="945"/>
              </w:tabs>
              <w:spacing w:line="360" w:lineRule="auto"/>
              <w:jc w:val="center"/>
              <w:rPr>
                <w:rFonts w:hint="eastAsia" w:ascii="宋体" w:hAnsi="宋体" w:eastAsia="宋体" w:cs="宋体"/>
                <w:bCs/>
                <w:sz w:val="24"/>
              </w:rPr>
            </w:pPr>
            <w:r>
              <w:rPr>
                <w:rFonts w:hint="eastAsia" w:ascii="宋体" w:hAnsi="宋体" w:eastAsia="宋体" w:cs="宋体"/>
                <w:bCs/>
                <w:sz w:val="24"/>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vAlign w:val="center"/>
          </w:tcPr>
          <w:p>
            <w:pPr>
              <w:tabs>
                <w:tab w:val="left" w:pos="945"/>
              </w:tabs>
              <w:spacing w:line="360" w:lineRule="auto"/>
              <w:jc w:val="center"/>
              <w:rPr>
                <w:rFonts w:hint="eastAsia" w:ascii="宋体" w:hAnsi="宋体" w:eastAsia="宋体" w:cs="宋体"/>
                <w:bCs/>
                <w:sz w:val="24"/>
              </w:rPr>
            </w:pPr>
            <w:r>
              <w:rPr>
                <w:rFonts w:hint="eastAsia" w:ascii="宋体" w:hAnsi="宋体" w:eastAsia="宋体" w:cs="宋体"/>
                <w:kern w:val="0"/>
                <w:sz w:val="24"/>
                <w:szCs w:val="24"/>
              </w:rPr>
              <w:t>机房选址</w:t>
            </w:r>
          </w:p>
        </w:tc>
        <w:tc>
          <w:tcPr>
            <w:tcW w:w="2194" w:type="dxa"/>
            <w:noWrap w:val="0"/>
            <w:vAlign w:val="center"/>
          </w:tcPr>
          <w:p>
            <w:pPr>
              <w:tabs>
                <w:tab w:val="left" w:pos="945"/>
              </w:tabs>
              <w:spacing w:line="360" w:lineRule="auto"/>
              <w:rPr>
                <w:rFonts w:hint="eastAsia" w:ascii="宋体" w:hAnsi="宋体" w:eastAsia="宋体" w:cs="宋体"/>
                <w:bCs/>
                <w:sz w:val="24"/>
                <w:lang w:eastAsia="zh-CN"/>
              </w:rPr>
            </w:pPr>
            <w:r>
              <w:rPr>
                <w:rFonts w:hint="eastAsia" w:ascii="宋体" w:hAnsi="宋体" w:eastAsia="宋体" w:cs="宋体"/>
                <w:kern w:val="0"/>
                <w:sz w:val="24"/>
                <w:szCs w:val="24"/>
              </w:rPr>
              <w:t>机房位于无锡市区范围以内（不含江阴、宜兴），</w:t>
            </w:r>
            <w:r>
              <w:rPr>
                <w:rFonts w:hint="eastAsia" w:ascii="宋体" w:hAnsi="宋体" w:eastAsia="宋体" w:cs="宋体"/>
                <w:kern w:val="0"/>
                <w:sz w:val="24"/>
                <w:szCs w:val="24"/>
                <w:lang w:eastAsia="zh-CN"/>
              </w:rPr>
              <w:t>距离</w:t>
            </w:r>
            <w:r>
              <w:rPr>
                <w:rFonts w:hint="eastAsia" w:ascii="宋体" w:hAnsi="宋体" w:eastAsia="宋体" w:cs="宋体"/>
                <w:kern w:val="0"/>
                <w:sz w:val="24"/>
                <w:szCs w:val="24"/>
              </w:rPr>
              <w:t>无锡市公安局（高浪西路58号）</w:t>
            </w:r>
            <w:r>
              <w:rPr>
                <w:rFonts w:hint="eastAsia" w:ascii="宋体" w:hAnsi="宋体" w:eastAsia="宋体" w:cs="宋体"/>
                <w:kern w:val="0"/>
                <w:sz w:val="24"/>
                <w:szCs w:val="24"/>
                <w:lang w:eastAsia="zh-CN"/>
              </w:rPr>
              <w:t>不超过</w:t>
            </w:r>
            <w:r>
              <w:rPr>
                <w:rFonts w:hint="eastAsia" w:ascii="宋体" w:hAnsi="宋体" w:eastAsia="宋体" w:cs="宋体"/>
                <w:kern w:val="0"/>
                <w:sz w:val="24"/>
                <w:szCs w:val="24"/>
              </w:rPr>
              <w:t>二十公里</w:t>
            </w:r>
            <w:r>
              <w:rPr>
                <w:rFonts w:hint="eastAsia" w:ascii="宋体" w:hAnsi="宋体" w:eastAsia="宋体" w:cs="宋体"/>
                <w:kern w:val="0"/>
                <w:sz w:val="24"/>
                <w:szCs w:val="24"/>
                <w:lang w:eastAsia="zh-CN"/>
              </w:rPr>
              <w:t>车程</w:t>
            </w:r>
          </w:p>
        </w:tc>
        <w:tc>
          <w:tcPr>
            <w:tcW w:w="2869" w:type="dxa"/>
            <w:noWrap w:val="0"/>
            <w:vAlign w:val="center"/>
          </w:tcPr>
          <w:p>
            <w:pPr>
              <w:tabs>
                <w:tab w:val="left" w:pos="945"/>
              </w:tabs>
              <w:spacing w:line="360" w:lineRule="auto"/>
              <w:rPr>
                <w:rFonts w:hint="eastAsia" w:ascii="宋体" w:hAnsi="宋体" w:eastAsia="宋体" w:cs="宋体"/>
                <w:bCs/>
                <w:sz w:val="24"/>
              </w:rPr>
            </w:pPr>
            <w:r>
              <w:rPr>
                <w:rFonts w:hint="eastAsia" w:ascii="宋体" w:hAnsi="宋体" w:eastAsia="宋体" w:cs="宋体"/>
                <w:kern w:val="0"/>
                <w:sz w:val="24"/>
                <w:szCs w:val="24"/>
              </w:rPr>
              <w:t>距离每缩短五公里车程或20分钟行车耗时加0.5分，本项最高加分不超过</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分</w:t>
            </w:r>
          </w:p>
        </w:tc>
        <w:tc>
          <w:tcPr>
            <w:tcW w:w="1831" w:type="dxa"/>
            <w:noWrap w:val="0"/>
            <w:vAlign w:val="center"/>
          </w:tcPr>
          <w:p>
            <w:pPr>
              <w:tabs>
                <w:tab w:val="left" w:pos="945"/>
              </w:tabs>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利用电子地图距离数据作为判断依据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shd w:val="clear" w:color="auto" w:fill="auto"/>
            <w:noWrap w:val="0"/>
            <w:vAlign w:val="center"/>
          </w:tcPr>
          <w:p>
            <w:pPr>
              <w:tabs>
                <w:tab w:val="left" w:pos="945"/>
              </w:tabs>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建筑防雷</w:t>
            </w:r>
          </w:p>
        </w:tc>
        <w:tc>
          <w:tcPr>
            <w:tcW w:w="2194" w:type="dxa"/>
            <w:shd w:val="clear" w:color="auto" w:fill="auto"/>
            <w:noWrap w:val="0"/>
            <w:vAlign w:val="center"/>
          </w:tcPr>
          <w:p>
            <w:pPr>
              <w:tabs>
                <w:tab w:val="left" w:pos="945"/>
              </w:tabs>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防雷接地符合GB/T 21431-2015标准 </w:t>
            </w:r>
          </w:p>
        </w:tc>
        <w:tc>
          <w:tcPr>
            <w:tcW w:w="2869" w:type="dxa"/>
            <w:shd w:val="clear" w:color="auto" w:fill="FFFFFF"/>
            <w:noWrap w:val="0"/>
            <w:vAlign w:val="center"/>
          </w:tcPr>
          <w:p>
            <w:pPr>
              <w:tabs>
                <w:tab w:val="left" w:pos="945"/>
              </w:tabs>
              <w:spacing w:line="360" w:lineRule="auto"/>
              <w:jc w:val="left"/>
              <w:rPr>
                <w:rFonts w:hint="eastAsia" w:ascii="宋体" w:hAnsi="宋体" w:eastAsia="宋体" w:cs="宋体"/>
                <w:kern w:val="0"/>
                <w:sz w:val="24"/>
                <w:szCs w:val="24"/>
              </w:rPr>
            </w:pPr>
            <w:r>
              <w:rPr>
                <w:rFonts w:hint="eastAsia" w:ascii="宋体" w:hAnsi="宋体" w:eastAsia="宋体" w:cs="宋体"/>
                <w:bCs/>
                <w:sz w:val="24"/>
                <w:szCs w:val="24"/>
              </w:rPr>
              <w:t>具有第三方防雷检测机构出具的检测报告，</w:t>
            </w:r>
            <w:r>
              <w:rPr>
                <w:rFonts w:hint="eastAsia" w:ascii="宋体" w:hAnsi="宋体" w:eastAsia="宋体" w:cs="宋体"/>
                <w:bCs/>
                <w:sz w:val="24"/>
                <w:szCs w:val="24"/>
                <w:lang w:eastAsia="zh-CN"/>
              </w:rPr>
              <w:t>加</w:t>
            </w:r>
            <w:r>
              <w:rPr>
                <w:rFonts w:hint="eastAsia" w:ascii="宋体" w:hAnsi="宋体" w:eastAsia="宋体" w:cs="宋体"/>
                <w:kern w:val="0"/>
                <w:sz w:val="24"/>
                <w:szCs w:val="24"/>
              </w:rPr>
              <w:t>1分</w:t>
            </w:r>
          </w:p>
        </w:tc>
        <w:tc>
          <w:tcPr>
            <w:tcW w:w="1831" w:type="dxa"/>
            <w:noWrap w:val="0"/>
            <w:vAlign w:val="top"/>
          </w:tcPr>
          <w:p>
            <w:pPr>
              <w:tabs>
                <w:tab w:val="left" w:pos="945"/>
              </w:tabs>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提供第三方防雷检测机构出具的检测报告复印件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jc w:val="center"/>
        </w:trPr>
        <w:tc>
          <w:tcPr>
            <w:tcW w:w="851" w:type="dxa"/>
            <w:vMerge w:val="restart"/>
            <w:noWrap w:val="0"/>
            <w:vAlign w:val="center"/>
          </w:tcPr>
          <w:p>
            <w:pPr>
              <w:tabs>
                <w:tab w:val="left" w:pos="945"/>
              </w:tabs>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业务持续保障能力</w:t>
            </w:r>
          </w:p>
        </w:tc>
        <w:tc>
          <w:tcPr>
            <w:tcW w:w="2194" w:type="dxa"/>
            <w:noWrap w:val="0"/>
            <w:vAlign w:val="center"/>
          </w:tcPr>
          <w:p>
            <w:pPr>
              <w:tabs>
                <w:tab w:val="left" w:pos="945"/>
              </w:tabs>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UPS（DPS）供电时间大于租赁要求</w:t>
            </w:r>
          </w:p>
        </w:tc>
        <w:tc>
          <w:tcPr>
            <w:tcW w:w="2869" w:type="dxa"/>
            <w:noWrap w:val="0"/>
            <w:vAlign w:val="center"/>
          </w:tcPr>
          <w:p>
            <w:pPr>
              <w:tabs>
                <w:tab w:val="left" w:pos="945"/>
              </w:tabs>
              <w:spacing w:line="360" w:lineRule="auto"/>
              <w:jc w:val="left"/>
              <w:rPr>
                <w:rFonts w:hint="eastAsia" w:ascii="宋体" w:hAnsi="宋体" w:eastAsia="宋体" w:cs="宋体"/>
                <w:bCs/>
                <w:sz w:val="24"/>
                <w:szCs w:val="24"/>
                <w:highlight w:val="none"/>
              </w:rPr>
            </w:pPr>
            <w:r>
              <w:rPr>
                <w:rFonts w:hint="eastAsia" w:ascii="宋体" w:hAnsi="宋体" w:eastAsia="宋体" w:cs="宋体"/>
                <w:sz w:val="24"/>
                <w:szCs w:val="24"/>
                <w:highlight w:val="none"/>
                <w:lang w:val="en-GB"/>
              </w:rPr>
              <w:t>满载条件下，</w:t>
            </w:r>
            <w:r>
              <w:rPr>
                <w:rFonts w:hint="eastAsia" w:ascii="宋体" w:hAnsi="宋体" w:eastAsia="宋体" w:cs="宋体"/>
                <w:kern w:val="0"/>
                <w:sz w:val="24"/>
                <w:szCs w:val="24"/>
                <w:highlight w:val="none"/>
              </w:rPr>
              <w:t>UPS（DPS）供电</w:t>
            </w:r>
            <w:r>
              <w:rPr>
                <w:rFonts w:hint="eastAsia" w:ascii="宋体" w:hAnsi="宋体" w:eastAsia="宋体" w:cs="宋体"/>
                <w:sz w:val="24"/>
                <w:szCs w:val="24"/>
                <w:highlight w:val="none"/>
                <w:lang w:val="en-GB"/>
              </w:rPr>
              <w:t>时间相比租赁要求时间，多</w:t>
            </w:r>
            <w:r>
              <w:rPr>
                <w:rFonts w:hint="eastAsia" w:ascii="宋体" w:hAnsi="宋体" w:eastAsia="宋体" w:cs="宋体"/>
                <w:sz w:val="24"/>
                <w:szCs w:val="24"/>
                <w:highlight w:val="none"/>
              </w:rPr>
              <w:t>5-10</w:t>
            </w:r>
            <w:r>
              <w:rPr>
                <w:rFonts w:hint="eastAsia" w:ascii="宋体" w:hAnsi="宋体" w:eastAsia="宋体" w:cs="宋体"/>
                <w:sz w:val="24"/>
                <w:szCs w:val="24"/>
                <w:highlight w:val="none"/>
                <w:lang w:val="en-GB"/>
              </w:rPr>
              <w:t>分钟加</w:t>
            </w:r>
            <w:r>
              <w:rPr>
                <w:rFonts w:hint="eastAsia" w:ascii="宋体" w:hAnsi="宋体" w:eastAsia="宋体" w:cs="宋体"/>
                <w:sz w:val="24"/>
                <w:szCs w:val="24"/>
                <w:highlight w:val="none"/>
              </w:rPr>
              <w:t>1分，</w:t>
            </w:r>
            <w:r>
              <w:rPr>
                <w:rFonts w:hint="eastAsia" w:ascii="宋体" w:hAnsi="宋体" w:eastAsia="宋体" w:cs="宋体"/>
                <w:sz w:val="24"/>
                <w:szCs w:val="24"/>
                <w:highlight w:val="none"/>
                <w:lang w:val="en-GB"/>
              </w:rPr>
              <w:t>多</w:t>
            </w:r>
            <w:r>
              <w:rPr>
                <w:rFonts w:hint="eastAsia" w:ascii="宋体" w:hAnsi="宋体" w:eastAsia="宋体" w:cs="宋体"/>
                <w:sz w:val="24"/>
                <w:szCs w:val="24"/>
                <w:highlight w:val="none"/>
              </w:rPr>
              <w:t>10</w:t>
            </w:r>
            <w:r>
              <w:rPr>
                <w:rFonts w:hint="eastAsia" w:ascii="宋体" w:hAnsi="宋体" w:eastAsia="宋体" w:cs="宋体"/>
                <w:sz w:val="24"/>
                <w:szCs w:val="24"/>
                <w:highlight w:val="none"/>
                <w:lang w:val="en-GB"/>
              </w:rPr>
              <w:t>分钟以上加</w:t>
            </w:r>
            <w:r>
              <w:rPr>
                <w:rFonts w:hint="eastAsia" w:ascii="宋体" w:hAnsi="宋体" w:eastAsia="宋体" w:cs="宋体"/>
                <w:sz w:val="24"/>
                <w:szCs w:val="24"/>
                <w:highlight w:val="none"/>
              </w:rPr>
              <w:t>2分</w:t>
            </w:r>
          </w:p>
        </w:tc>
        <w:tc>
          <w:tcPr>
            <w:tcW w:w="1831" w:type="dxa"/>
            <w:noWrap w:val="0"/>
            <w:vAlign w:val="center"/>
          </w:tcPr>
          <w:p>
            <w:pPr>
              <w:tabs>
                <w:tab w:val="left" w:pos="945"/>
              </w:tabs>
              <w:spacing w:line="360" w:lineRule="auto"/>
              <w:jc w:val="center"/>
              <w:rPr>
                <w:rFonts w:hint="eastAsia" w:ascii="宋体" w:hAnsi="宋体" w:eastAsia="宋体" w:cs="宋体"/>
                <w:bCs/>
                <w:sz w:val="24"/>
                <w:szCs w:val="24"/>
              </w:rPr>
            </w:pPr>
            <w:r>
              <w:rPr>
                <w:rFonts w:hint="eastAsia" w:ascii="宋体" w:hAnsi="宋体" w:eastAsia="宋体" w:cs="宋体"/>
                <w:kern w:val="0"/>
                <w:sz w:val="24"/>
                <w:szCs w:val="24"/>
              </w:rPr>
              <w:t>提供UPS（DPS）供电时间计算依据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851" w:type="dxa"/>
            <w:vMerge w:val="continue"/>
            <w:noWrap w:val="0"/>
            <w:vAlign w:val="center"/>
          </w:tcPr>
          <w:p>
            <w:pPr>
              <w:tabs>
                <w:tab w:val="left" w:pos="945"/>
              </w:tabs>
              <w:spacing w:line="360" w:lineRule="auto"/>
              <w:jc w:val="center"/>
              <w:rPr>
                <w:rFonts w:hint="eastAsia" w:ascii="宋体" w:hAnsi="宋体" w:eastAsia="宋体" w:cs="宋体"/>
                <w:kern w:val="0"/>
                <w:sz w:val="24"/>
                <w:szCs w:val="24"/>
              </w:rPr>
            </w:pPr>
          </w:p>
        </w:tc>
        <w:tc>
          <w:tcPr>
            <w:tcW w:w="2194" w:type="dxa"/>
            <w:noWrap w:val="0"/>
            <w:vAlign w:val="center"/>
          </w:tcPr>
          <w:p>
            <w:pPr>
              <w:tabs>
                <w:tab w:val="left" w:pos="945"/>
              </w:tabs>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柴油发电机启动时间不超过15分钟</w:t>
            </w:r>
          </w:p>
        </w:tc>
        <w:tc>
          <w:tcPr>
            <w:tcW w:w="2869" w:type="dxa"/>
            <w:noWrap w:val="0"/>
            <w:vAlign w:val="center"/>
          </w:tcPr>
          <w:p>
            <w:pPr>
              <w:tabs>
                <w:tab w:val="left" w:pos="945"/>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市电停电时，柴油发电机启动时间在10-15分钟以内加1分，启动时间在0-9分钟以内加2分</w:t>
            </w:r>
          </w:p>
        </w:tc>
        <w:tc>
          <w:tcPr>
            <w:tcW w:w="1831" w:type="dxa"/>
            <w:noWrap w:val="0"/>
            <w:vAlign w:val="center"/>
          </w:tcPr>
          <w:p>
            <w:pPr>
              <w:tabs>
                <w:tab w:val="left" w:pos="945"/>
              </w:tabs>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提供相关测试报告</w:t>
            </w:r>
          </w:p>
        </w:tc>
      </w:tr>
    </w:tbl>
    <w:p>
      <w:pPr>
        <w:pStyle w:val="54"/>
        <w:ind w:firstLine="400"/>
        <w:rPr>
          <w:rFonts w:hint="eastAsia" w:ascii="宋体" w:hAnsi="宋体" w:eastAsia="宋体" w:cs="宋体"/>
        </w:rPr>
      </w:pPr>
    </w:p>
    <w:p>
      <w:pPr>
        <w:pStyle w:val="4"/>
        <w:spacing w:line="360" w:lineRule="auto"/>
        <w:jc w:val="left"/>
        <w:rPr>
          <w:rFonts w:hint="eastAsia" w:ascii="宋体" w:hAnsi="宋体" w:eastAsia="宋体" w:cs="宋体"/>
          <w:sz w:val="24"/>
          <w:szCs w:val="24"/>
        </w:rPr>
      </w:pPr>
      <w:r>
        <w:rPr>
          <w:rFonts w:hint="eastAsia" w:ascii="宋体" w:hAnsi="宋体" w:eastAsia="宋体" w:cs="宋体"/>
          <w:sz w:val="24"/>
          <w:szCs w:val="24"/>
        </w:rPr>
        <w:t>2.运维保障方案（1</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投标人需对我局前期租赁状况进行细致的摸底调查</w:t>
      </w:r>
      <w:r>
        <w:rPr>
          <w:rFonts w:hint="eastAsia" w:ascii="宋体" w:hAnsi="宋体" w:eastAsia="宋体" w:cs="宋体"/>
          <w:sz w:val="24"/>
          <w:szCs w:val="24"/>
          <w:lang w:eastAsia="zh-CN"/>
        </w:rPr>
        <w:t>（招标文件发布后至投标截止期间，可联系项目联系人，对项目情况进行调研）</w:t>
      </w:r>
      <w:r>
        <w:rPr>
          <w:rFonts w:hint="eastAsia" w:ascii="宋体" w:hAnsi="宋体" w:eastAsia="宋体" w:cs="宋体"/>
          <w:sz w:val="24"/>
          <w:szCs w:val="24"/>
        </w:rPr>
        <w:t>，并结合本期需求，</w:t>
      </w:r>
      <w:r>
        <w:rPr>
          <w:rFonts w:hint="eastAsia" w:ascii="宋体" w:hAnsi="宋体" w:eastAsia="宋体" w:cs="宋体"/>
          <w:sz w:val="24"/>
          <w:szCs w:val="24"/>
          <w:lang w:eastAsia="zh-CN"/>
        </w:rPr>
        <w:t>在投标文件中提供运维保障方案。方案包括租赁</w:t>
      </w:r>
      <w:r>
        <w:rPr>
          <w:rFonts w:hint="eastAsia" w:ascii="宋体" w:hAnsi="宋体" w:eastAsia="宋体" w:cs="宋体"/>
          <w:sz w:val="24"/>
          <w:szCs w:val="24"/>
        </w:rPr>
        <w:t>机房规划</w:t>
      </w:r>
      <w:r>
        <w:rPr>
          <w:rFonts w:hint="eastAsia" w:ascii="宋体" w:hAnsi="宋体" w:eastAsia="宋体" w:cs="宋体"/>
          <w:sz w:val="24"/>
          <w:szCs w:val="24"/>
          <w:lang w:eastAsia="zh-CN"/>
        </w:rPr>
        <w:t>、综合服务保障、故障响应、应急预案及措施、重大节日（活动）期间运维保障、运维人员配置等</w:t>
      </w:r>
      <w:r>
        <w:rPr>
          <w:rFonts w:hint="eastAsia" w:ascii="宋体" w:hAnsi="宋体" w:eastAsia="宋体" w:cs="宋体"/>
          <w:sz w:val="24"/>
          <w:szCs w:val="24"/>
        </w:rPr>
        <w:t>。如涉及机房变更，投标人</w:t>
      </w:r>
      <w:r>
        <w:rPr>
          <w:rFonts w:hint="eastAsia" w:ascii="宋体" w:hAnsi="宋体" w:eastAsia="宋体" w:cs="宋体"/>
          <w:sz w:val="24"/>
          <w:szCs w:val="24"/>
          <w:lang w:eastAsia="zh-CN"/>
        </w:rPr>
        <w:t>还</w:t>
      </w:r>
      <w:r>
        <w:rPr>
          <w:rFonts w:hint="eastAsia" w:ascii="宋体" w:hAnsi="宋体" w:eastAsia="宋体" w:cs="宋体"/>
          <w:sz w:val="24"/>
          <w:szCs w:val="24"/>
        </w:rPr>
        <w:t>需</w:t>
      </w:r>
      <w:r>
        <w:rPr>
          <w:rFonts w:hint="eastAsia" w:ascii="宋体" w:hAnsi="宋体" w:eastAsia="宋体" w:cs="宋体"/>
          <w:sz w:val="24"/>
          <w:szCs w:val="24"/>
          <w:lang w:eastAsia="zh-CN"/>
        </w:rPr>
        <w:t>制定搬迁方案，</w:t>
      </w:r>
      <w:r>
        <w:rPr>
          <w:rFonts w:hint="eastAsia" w:ascii="宋体" w:hAnsi="宋体" w:eastAsia="宋体" w:cs="宋体"/>
          <w:sz w:val="24"/>
          <w:szCs w:val="24"/>
        </w:rPr>
        <w:t>承诺提供完善的免费搬迁运维服务，对采购方原</w:t>
      </w:r>
      <w:r>
        <w:rPr>
          <w:rFonts w:hint="eastAsia" w:ascii="宋体" w:hAnsi="宋体" w:eastAsia="宋体" w:cs="宋体"/>
          <w:sz w:val="24"/>
          <w:szCs w:val="24"/>
          <w:lang w:eastAsia="zh-CN"/>
        </w:rPr>
        <w:t>租赁</w:t>
      </w:r>
      <w:r>
        <w:rPr>
          <w:rFonts w:hint="eastAsia" w:ascii="宋体" w:hAnsi="宋体" w:eastAsia="宋体" w:cs="宋体"/>
          <w:sz w:val="24"/>
          <w:szCs w:val="24"/>
        </w:rPr>
        <w:t>机房内</w:t>
      </w:r>
      <w:r>
        <w:rPr>
          <w:rFonts w:hint="eastAsia" w:ascii="宋体" w:hAnsi="宋体" w:eastAsia="宋体" w:cs="宋体"/>
          <w:sz w:val="24"/>
          <w:szCs w:val="24"/>
          <w:lang w:eastAsia="zh-CN"/>
        </w:rPr>
        <w:t>的</w:t>
      </w:r>
      <w:r>
        <w:rPr>
          <w:rFonts w:hint="eastAsia" w:ascii="宋体" w:hAnsi="宋体" w:eastAsia="宋体" w:cs="宋体"/>
          <w:sz w:val="24"/>
          <w:szCs w:val="24"/>
        </w:rPr>
        <w:t>各类设备提供免费搬迁调试服务，</w:t>
      </w:r>
      <w:r>
        <w:rPr>
          <w:rFonts w:hint="eastAsia" w:ascii="宋体" w:hAnsi="宋体" w:eastAsia="宋体" w:cs="宋体"/>
          <w:sz w:val="24"/>
          <w:szCs w:val="24"/>
          <w:lang w:val="en-GB" w:eastAsia="zh-CN"/>
        </w:rPr>
        <w:t>保证核心</w:t>
      </w:r>
      <w:r>
        <w:rPr>
          <w:rFonts w:hint="eastAsia" w:ascii="宋体" w:hAnsi="宋体" w:eastAsia="宋体" w:cs="宋体"/>
          <w:sz w:val="24"/>
          <w:szCs w:val="24"/>
          <w:lang w:val="en-GB"/>
        </w:rPr>
        <w:t>业务中断不得超过2小时</w:t>
      </w:r>
      <w:r>
        <w:rPr>
          <w:rFonts w:hint="eastAsia" w:ascii="宋体" w:hAnsi="宋体" w:eastAsia="宋体" w:cs="宋体"/>
          <w:sz w:val="24"/>
          <w:szCs w:val="24"/>
          <w:lang w:val="en-GB" w:eastAsia="zh-CN"/>
        </w:rPr>
        <w:t>、重要业务中断不超过</w:t>
      </w:r>
      <w:r>
        <w:rPr>
          <w:rFonts w:hint="eastAsia" w:ascii="宋体" w:hAnsi="宋体" w:eastAsia="宋体" w:cs="宋体"/>
          <w:sz w:val="24"/>
          <w:szCs w:val="24"/>
          <w:lang w:val="en-US" w:eastAsia="zh-CN"/>
        </w:rPr>
        <w:t>8小时、其它业务中断不超过24小时</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bCs/>
          <w:sz w:val="24"/>
          <w:lang w:val="zh-CN"/>
        </w:rPr>
      </w:pPr>
      <w:r>
        <w:rPr>
          <w:rFonts w:hint="eastAsia" w:ascii="宋体" w:hAnsi="宋体" w:eastAsia="宋体" w:cs="宋体"/>
          <w:sz w:val="24"/>
          <w:szCs w:val="24"/>
        </w:rPr>
        <w:t>对上述方案综合</w:t>
      </w:r>
      <w:r>
        <w:rPr>
          <w:rFonts w:hint="eastAsia" w:ascii="宋体" w:hAnsi="宋体" w:eastAsia="宋体" w:cs="宋体"/>
          <w:sz w:val="24"/>
          <w:szCs w:val="24"/>
          <w:lang w:eastAsia="zh-CN"/>
        </w:rPr>
        <w:t>情况</w:t>
      </w:r>
      <w:r>
        <w:rPr>
          <w:rFonts w:hint="eastAsia" w:ascii="宋体" w:hAnsi="宋体" w:eastAsia="宋体" w:cs="宋体"/>
          <w:sz w:val="24"/>
          <w:szCs w:val="24"/>
        </w:rPr>
        <w:t>酌情打分</w:t>
      </w:r>
      <w:r>
        <w:rPr>
          <w:rFonts w:hint="eastAsia" w:ascii="宋体" w:hAnsi="宋体" w:eastAsia="宋体" w:cs="宋体"/>
          <w:sz w:val="24"/>
          <w:szCs w:val="24"/>
          <w:lang w:eastAsia="zh-CN"/>
        </w:rPr>
        <w:t>：服务内容详细具体，服务体系完整先进的得</w:t>
      </w:r>
      <w:r>
        <w:rPr>
          <w:rFonts w:hint="eastAsia" w:ascii="宋体" w:hAnsi="宋体" w:eastAsia="宋体" w:cs="宋体"/>
          <w:sz w:val="24"/>
          <w:szCs w:val="24"/>
          <w:lang w:val="en-US" w:eastAsia="zh-CN"/>
        </w:rPr>
        <w:t>12分；服务内容详细</w:t>
      </w:r>
      <w:r>
        <w:rPr>
          <w:rFonts w:hint="eastAsia" w:ascii="宋体" w:hAnsi="宋体" w:eastAsia="宋体" w:cs="宋体"/>
          <w:sz w:val="24"/>
          <w:szCs w:val="24"/>
          <w:lang w:eastAsia="zh-CN"/>
        </w:rPr>
        <w:t>具体</w:t>
      </w:r>
      <w:r>
        <w:rPr>
          <w:rFonts w:hint="eastAsia" w:ascii="宋体" w:hAnsi="宋体" w:eastAsia="宋体" w:cs="宋体"/>
          <w:sz w:val="24"/>
          <w:szCs w:val="24"/>
          <w:lang w:val="en-US" w:eastAsia="zh-CN"/>
        </w:rPr>
        <w:t>、服务体系一般的得8分；</w:t>
      </w:r>
      <w:r>
        <w:rPr>
          <w:rFonts w:hint="eastAsia" w:ascii="宋体" w:hAnsi="宋体" w:eastAsia="宋体" w:cs="宋体"/>
          <w:sz w:val="24"/>
          <w:szCs w:val="24"/>
          <w:lang w:eastAsia="zh-CN"/>
        </w:rPr>
        <w:t>服务内容一般、服务体系一般的得</w:t>
      </w:r>
      <w:r>
        <w:rPr>
          <w:rFonts w:hint="eastAsia" w:ascii="宋体" w:hAnsi="宋体" w:eastAsia="宋体" w:cs="宋体"/>
          <w:sz w:val="24"/>
          <w:szCs w:val="24"/>
          <w:lang w:val="en-US" w:eastAsia="zh-CN"/>
        </w:rPr>
        <w:t>4分；</w:t>
      </w:r>
      <w:r>
        <w:rPr>
          <w:rFonts w:hint="eastAsia" w:ascii="宋体" w:hAnsi="宋体" w:eastAsia="宋体" w:cs="宋体"/>
          <w:sz w:val="24"/>
          <w:szCs w:val="24"/>
        </w:rPr>
        <w:t>无方案不得分。</w:t>
      </w:r>
    </w:p>
    <w:p>
      <w:pPr>
        <w:adjustRightInd w:val="0"/>
        <w:snapToGrid w:val="0"/>
        <w:spacing w:line="360" w:lineRule="auto"/>
        <w:ind w:firstLine="480"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加分因素（1分）：</w:t>
      </w:r>
    </w:p>
    <w:p>
      <w:pPr>
        <w:pStyle w:val="23"/>
        <w:spacing w:line="360" w:lineRule="auto"/>
        <w:ind w:firstLine="480"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所选用设备、材料(除强制采购产品外)属于节能产品、环境标志产品品目清单范围的，提供由国家确定的认证机构（根据《市场监管总局关于发布参与实施政府采购节能产品、环境标志产品认证机构名录的公告》（2019年第16号）中确认的《参与实施政府采购节能产品认证机构名录》《参与实施政府采购环境标志产品认证机构名录》）出具的、处于有效期之内的节能产品、环境标志产品认证证书的，落实政府优先采购政策，分别予以加0.5分（同一产品同时具有节能产品、环境标志产品认证证书的不重复加分）。</w:t>
      </w:r>
    </w:p>
    <w:p>
      <w:pP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br w:type="page"/>
      </w:r>
    </w:p>
    <w:p>
      <w:pPr>
        <w:spacing w:line="420" w:lineRule="exact"/>
        <w:ind w:left="-2" w:leftChars="-1" w:firstLine="420" w:firstLineChars="175"/>
        <w:outlineLvl w:val="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7. 评标说明</w:t>
      </w:r>
    </w:p>
    <w:p>
      <w:pPr>
        <w:spacing w:line="420" w:lineRule="exact"/>
        <w:ind w:left="-2" w:leftChars="-1" w:firstLine="420" w:firstLineChars="175"/>
        <w:outlineLvl w:val="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7.1 未列入本评分细则的其他条件不作为评分内容。</w:t>
      </w:r>
    </w:p>
    <w:p>
      <w:pPr>
        <w:spacing w:line="420" w:lineRule="exact"/>
        <w:ind w:left="-2" w:leftChars="-1" w:firstLine="420" w:firstLineChars="175"/>
        <w:outlineLvl w:val="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7.2 评委为5人以上的单数（含5人）时，计算分项得分时取平均值为投标单位的得分，各分项得分合计即为投标单位的总得分。投标文件无相应评分内容时，该项目为零分。每项评分的具体内容和方法由评委集体讨论，评委独立评分。所有评委打分的平均值为各投标人最终得分。最终得分最高的为排名第一的中标候选人，评分办法及评分细则的解释权属采购人。</w:t>
      </w:r>
    </w:p>
    <w:p>
      <w:pPr>
        <w:spacing w:line="440" w:lineRule="exact"/>
        <w:ind w:left="-2" w:leftChars="-1" w:firstLine="420" w:firstLineChars="175"/>
        <w:outlineLvl w:val="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（九）</w:t>
      </w:r>
      <w:r>
        <w:rPr>
          <w:rFonts w:hint="eastAsia" w:ascii="宋体" w:hAnsi="宋体" w:eastAsia="宋体" w:cs="宋体"/>
          <w:bCs/>
          <w:color w:val="000000" w:themeColor="text1"/>
          <w:sz w:val="24"/>
          <w14:textFill>
            <w14:solidFill>
              <w14:schemeClr w14:val="tx1"/>
            </w14:solidFill>
          </w14:textFill>
        </w:rPr>
        <w:t>确定中标人：</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评评标委员会根据采购文件规定的评标方法和评标标准进行评审，采购代理机构自评标结束之日后2个工作日内将评标报告送交采购人。采购人自收到评标报告之日起5个工作日内，在评标报告确定的中标候选人名单中按顺序确定中标人。中标候选人并列的，由采购人委托评标委员会采取随机抽取的方式确定中标供应商。</w:t>
      </w:r>
      <w:r>
        <w:rPr>
          <w:rFonts w:hint="eastAsia" w:ascii="宋体" w:hAnsi="宋体" w:eastAsia="宋体" w:cs="宋体"/>
          <w:color w:val="000000" w:themeColor="text1"/>
          <w:sz w:val="24"/>
          <w:lang w:eastAsia="zh-CN"/>
          <w14:textFill>
            <w14:solidFill>
              <w14:schemeClr w14:val="tx1"/>
            </w14:solidFill>
          </w14:textFill>
        </w:rPr>
        <w:t>江苏万享通咨询有限公司</w:t>
      </w:r>
      <w:r>
        <w:rPr>
          <w:rFonts w:hint="eastAsia" w:ascii="宋体" w:hAnsi="宋体" w:eastAsia="宋体" w:cs="宋体"/>
          <w:color w:val="000000" w:themeColor="text1"/>
          <w:sz w:val="24"/>
          <w14:textFill>
            <w14:solidFill>
              <w14:schemeClr w14:val="tx1"/>
            </w14:solidFill>
          </w14:textFill>
        </w:rPr>
        <w:t>自中标、成交人确定之日起2个工作日内，发出中标、成交通知书，并在财政部门指定的政府采购信息发布媒体江苏政府采购网、无锡政府采购网站发布公告中标、成交公告。</w:t>
      </w:r>
      <w:r>
        <w:rPr>
          <w:rFonts w:hint="eastAsia" w:ascii="宋体" w:hAnsi="宋体" w:eastAsia="宋体" w:cs="宋体"/>
          <w:color w:val="000000" w:themeColor="text1"/>
          <w:sz w:val="24"/>
          <w:lang w:eastAsia="zh-CN"/>
          <w14:textFill>
            <w14:solidFill>
              <w14:schemeClr w14:val="tx1"/>
            </w14:solidFill>
          </w14:textFill>
        </w:rPr>
        <w:t>江苏万享通咨询有限公司</w:t>
      </w:r>
      <w:r>
        <w:rPr>
          <w:rFonts w:hint="eastAsia" w:ascii="宋体" w:hAnsi="宋体" w:eastAsia="宋体" w:cs="宋体"/>
          <w:color w:val="000000" w:themeColor="text1"/>
          <w:sz w:val="24"/>
          <w14:textFill>
            <w14:solidFill>
              <w14:schemeClr w14:val="tx1"/>
            </w14:solidFill>
          </w14:textFill>
        </w:rPr>
        <w:t>和评标委员会对未中标原因不做解释。如有质疑，应在法定质疑期限内，即中标或者成交公告期限届满之日起7个工作日内，以书面形式（原件）送达</w:t>
      </w:r>
      <w:r>
        <w:rPr>
          <w:rFonts w:hint="eastAsia" w:ascii="宋体" w:hAnsi="宋体" w:eastAsia="宋体" w:cs="宋体"/>
          <w:color w:val="000000" w:themeColor="text1"/>
          <w:sz w:val="24"/>
          <w:lang w:eastAsia="zh-CN"/>
          <w14:textFill>
            <w14:solidFill>
              <w14:schemeClr w14:val="tx1"/>
            </w14:solidFill>
          </w14:textFill>
        </w:rPr>
        <w:t>江苏万享通咨询有限公司</w:t>
      </w:r>
      <w:r>
        <w:rPr>
          <w:rFonts w:hint="eastAsia" w:ascii="宋体" w:hAnsi="宋体" w:eastAsia="宋体" w:cs="宋体"/>
          <w:color w:val="000000" w:themeColor="text1"/>
          <w:sz w:val="24"/>
          <w14:textFill>
            <w14:solidFill>
              <w14:schemeClr w14:val="tx1"/>
            </w14:solidFill>
          </w14:textFill>
        </w:rPr>
        <w:t>，并且针对同一采购程序环节的质疑，须在法定质疑期内一次性提出。质疑函的质疑事项应具体、明确，并有必要的事实依据和法律依据（格式详见中国政府采购网《政府采购供应商质疑函范本》）。</w:t>
      </w:r>
      <w:r>
        <w:rPr>
          <w:rFonts w:hint="eastAsia" w:ascii="宋体" w:hAnsi="宋体" w:eastAsia="宋体" w:cs="宋体"/>
          <w:color w:val="000000" w:themeColor="text1"/>
          <w:sz w:val="24"/>
          <w:lang w:eastAsia="zh-CN"/>
          <w14:textFill>
            <w14:solidFill>
              <w14:schemeClr w14:val="tx1"/>
            </w14:solidFill>
          </w14:textFill>
        </w:rPr>
        <w:t>江苏万享通咨询有限公司</w:t>
      </w:r>
      <w:r>
        <w:rPr>
          <w:rFonts w:hint="eastAsia" w:ascii="宋体" w:hAnsi="宋体" w:eastAsia="宋体" w:cs="宋体"/>
          <w:color w:val="000000" w:themeColor="text1"/>
          <w:sz w:val="24"/>
          <w14:textFill>
            <w14:solidFill>
              <w14:schemeClr w14:val="tx1"/>
            </w14:solidFill>
          </w14:textFill>
        </w:rPr>
        <w:t>将在收到符合上述要求的书面质疑后七个工作日内，对质疑内容做出答复。投标人在法定质疑期限外送达的质疑函或法定质疑期限内送达的质疑函不符合上述要求的均为无效质疑，</w:t>
      </w:r>
      <w:r>
        <w:rPr>
          <w:rFonts w:hint="eastAsia" w:ascii="宋体" w:hAnsi="宋体" w:eastAsia="宋体" w:cs="宋体"/>
          <w:color w:val="000000" w:themeColor="text1"/>
          <w:sz w:val="24"/>
          <w:lang w:eastAsia="zh-CN"/>
          <w14:textFill>
            <w14:solidFill>
              <w14:schemeClr w14:val="tx1"/>
            </w14:solidFill>
          </w14:textFill>
        </w:rPr>
        <w:t>江苏万享通咨询有限公司</w:t>
      </w:r>
      <w:r>
        <w:rPr>
          <w:rFonts w:hint="eastAsia" w:ascii="宋体" w:hAnsi="宋体" w:eastAsia="宋体" w:cs="宋体"/>
          <w:color w:val="000000" w:themeColor="text1"/>
          <w:sz w:val="24"/>
          <w14:textFill>
            <w14:solidFill>
              <w14:schemeClr w14:val="tx1"/>
            </w14:solidFill>
          </w14:textFill>
        </w:rPr>
        <w:t>对无效质疑不予受理。如质疑查无实据或投标人捏造事实，提供虚假材料进行恶意举报，不配合或采用不正当手段干扰政府采购质疑的，按《中华人民共和国政府采购法》、《中华人民共和国政府采购法实施条例》、财政部《政府采购货物和服务招标投标管理办法》等有关法规处理。</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r>
        <w:rPr>
          <w:rFonts w:hint="eastAsia" w:ascii="宋体" w:hAnsi="宋体" w:eastAsia="宋体" w:cs="宋体"/>
          <w:bCs/>
          <w:color w:val="000000" w:themeColor="text1"/>
          <w:sz w:val="24"/>
          <w:szCs w:val="24"/>
          <w14:textFill>
            <w14:solidFill>
              <w14:schemeClr w14:val="tx1"/>
            </w14:solidFill>
          </w14:textFill>
        </w:rPr>
        <w:t>投标、开标及定标的整个过程均由市政府采购监管部门的监督。</w:t>
      </w:r>
    </w:p>
    <w:p>
      <w:pPr>
        <w:spacing w:line="360" w:lineRule="auto"/>
        <w:ind w:firstLine="480" w:firstLineChars="200"/>
        <w:rPr>
          <w:rFonts w:hint="eastAsia" w:ascii="宋体" w:hAnsi="宋体" w:eastAsia="宋体" w:cs="宋体"/>
          <w:color w:val="000000" w:themeColor="text1"/>
          <w:sz w:val="24"/>
          <w:highlight w:val="yellow"/>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 在中标公示的同时，</w:t>
      </w:r>
      <w:r>
        <w:rPr>
          <w:rFonts w:hint="eastAsia" w:ascii="宋体" w:hAnsi="宋体" w:eastAsia="宋体" w:cs="宋体"/>
          <w:color w:val="000000" w:themeColor="text1"/>
          <w:sz w:val="24"/>
          <w:lang w:eastAsia="zh-CN"/>
          <w14:textFill>
            <w14:solidFill>
              <w14:schemeClr w14:val="tx1"/>
            </w14:solidFill>
          </w14:textFill>
        </w:rPr>
        <w:t>江苏万享通咨询有限公司</w:t>
      </w:r>
      <w:r>
        <w:rPr>
          <w:rFonts w:hint="eastAsia" w:ascii="宋体" w:hAnsi="宋体" w:eastAsia="宋体" w:cs="宋体"/>
          <w:color w:val="000000" w:themeColor="text1"/>
          <w:sz w:val="24"/>
          <w14:textFill>
            <w14:solidFill>
              <w14:schemeClr w14:val="tx1"/>
            </w14:solidFill>
          </w14:textFill>
        </w:rPr>
        <w:t>将向中标供应商发出中标通知书。</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4．未中标供应商的投标文件正本、中标供应商的投标文件正本及副本（两份）留存，其余投标文件副本和原件退还各投标人。</w:t>
      </w:r>
    </w:p>
    <w:p>
      <w:pPr>
        <w:spacing w:line="360" w:lineRule="auto"/>
        <w:ind w:left="-2" w:leftChars="-1" w:firstLine="420" w:firstLineChars="175"/>
        <w:outlineLvl w:val="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（十）废标的确认：</w:t>
      </w:r>
    </w:p>
    <w:p>
      <w:pPr>
        <w:spacing w:line="360" w:lineRule="auto"/>
        <w:ind w:left="-2" w:leftChars="-1" w:firstLine="420" w:firstLineChars="175"/>
        <w:outlineLvl w:val="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在招标采购中，出现下列情况之一的，应予废标：</w:t>
      </w:r>
    </w:p>
    <w:p>
      <w:pPr>
        <w:spacing w:line="360" w:lineRule="auto"/>
        <w:ind w:left="-2" w:leftChars="-1" w:firstLine="420" w:firstLineChars="175"/>
        <w:outlineLvl w:val="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1. 符合专业条件的投标人或者对采购文件作出实质性响应的投标人不足三家；</w:t>
      </w:r>
    </w:p>
    <w:p>
      <w:pPr>
        <w:spacing w:line="360" w:lineRule="auto"/>
        <w:ind w:left="-2" w:leftChars="-1" w:firstLine="420" w:firstLineChars="175"/>
        <w:outlineLvl w:val="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2. 出现影响采购公正的违法、违规行为；</w:t>
      </w:r>
    </w:p>
    <w:p>
      <w:pPr>
        <w:spacing w:line="360" w:lineRule="auto"/>
        <w:ind w:left="-2" w:leftChars="-1" w:firstLine="420" w:firstLineChars="175"/>
        <w:outlineLvl w:val="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3. 投标人的报价均超过采购预算，采购人不能支付的；</w:t>
      </w:r>
    </w:p>
    <w:p>
      <w:pPr>
        <w:spacing w:line="360" w:lineRule="auto"/>
        <w:ind w:left="-2" w:leftChars="-1" w:firstLine="420" w:firstLineChars="175"/>
        <w:outlineLvl w:val="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4. 因重大变故，采购任务取消。</w:t>
      </w:r>
    </w:p>
    <w:p>
      <w:pPr>
        <w:spacing w:line="360" w:lineRule="auto"/>
        <w:ind w:left="-2" w:leftChars="-1" w:firstLine="420" w:firstLineChars="175"/>
        <w:outlineLvl w:val="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（十一）履约保证金：</w:t>
      </w:r>
    </w:p>
    <w:p>
      <w:pPr>
        <w:spacing w:line="360" w:lineRule="auto"/>
        <w:ind w:left="-2" w:leftChars="-1" w:firstLine="420" w:firstLineChars="175"/>
        <w:outlineLvl w:val="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1.履约保证金应按照招标文件规定的数额和办法交纳</w:t>
      </w:r>
      <w:r>
        <w:rPr>
          <w:rFonts w:hint="eastAsia" w:ascii="宋体" w:hAnsi="宋体" w:eastAsia="宋体" w:cs="宋体"/>
          <w:color w:val="000000" w:themeColor="text1"/>
          <w:sz w:val="24"/>
          <w:lang w:eastAsia="zh-CN"/>
          <w14:textFill>
            <w14:solidFill>
              <w14:schemeClr w14:val="tx1"/>
            </w14:solidFill>
          </w14:textFill>
        </w:rPr>
        <w:t>（本项目无需缴纳履约保证金）</w:t>
      </w:r>
    </w:p>
    <w:p>
      <w:pPr>
        <w:spacing w:line="360" w:lineRule="auto"/>
        <w:ind w:left="-2" w:leftChars="-1" w:firstLine="420" w:firstLineChars="175"/>
        <w:outlineLvl w:val="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（十二）中标无效的确认：</w:t>
      </w:r>
    </w:p>
    <w:p>
      <w:pPr>
        <w:spacing w:line="360" w:lineRule="auto"/>
        <w:ind w:left="-2" w:leftChars="-1" w:firstLine="420" w:firstLineChars="175"/>
        <w:outlineLvl w:val="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（1）提供虚假材料谋取中标的；</w:t>
      </w:r>
    </w:p>
    <w:p>
      <w:pPr>
        <w:spacing w:line="360" w:lineRule="auto"/>
        <w:ind w:left="-2" w:leftChars="-1" w:firstLine="420" w:firstLineChars="175"/>
        <w:outlineLvl w:val="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（2）采取不正当手段诋毁、排挤其他投标人的；</w:t>
      </w:r>
    </w:p>
    <w:p>
      <w:pPr>
        <w:spacing w:line="360" w:lineRule="auto"/>
        <w:ind w:left="-2" w:leftChars="-1" w:firstLine="420" w:firstLineChars="175"/>
        <w:outlineLvl w:val="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（3）与招标采购单位、其他投标人恶意串通的；</w:t>
      </w:r>
    </w:p>
    <w:p>
      <w:pPr>
        <w:spacing w:line="360" w:lineRule="auto"/>
        <w:ind w:left="-2" w:leftChars="-1" w:firstLine="420" w:firstLineChars="175"/>
        <w:outlineLvl w:val="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（4）向采购人行贿或者提供其他不正当利益的；</w:t>
      </w:r>
    </w:p>
    <w:p>
      <w:pPr>
        <w:spacing w:line="360" w:lineRule="auto"/>
        <w:ind w:left="-2" w:leftChars="-1" w:firstLine="420" w:firstLineChars="175"/>
        <w:outlineLvl w:val="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（5）在招标过程中与采购人进行协商谈判、不按照采购文件和中标投标人的投标文件订立合同，或者与采购人另行订立背离合同实质性内容的协议的；</w:t>
      </w:r>
    </w:p>
    <w:p>
      <w:pPr>
        <w:spacing w:line="360" w:lineRule="auto"/>
        <w:ind w:left="-2" w:leftChars="-1" w:firstLine="420" w:firstLineChars="175"/>
        <w:outlineLvl w:val="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（6）拒绝有关部门监督检查或者提供虚假情况的。</w:t>
      </w:r>
    </w:p>
    <w:p>
      <w:pPr>
        <w:spacing w:line="360" w:lineRule="auto"/>
        <w:ind w:left="-2" w:leftChars="-1" w:firstLine="420" w:firstLineChars="175"/>
        <w:outlineLvl w:val="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有上述（1）至（5）项情形之一的，中标无效。有上述（1）至（6）项情形之一的，处以政府采购项目中标金额千分之五以上千分之十以下的罚款，列入不良行为记录名单，在一至三年内禁止参加政府采购活动，并予以公告，有违法所得的，并处没收违法所得，情节严重的，由工商行政管理机构吊销营业执照；构成犯罪的，依法追究刑事责任。</w:t>
      </w:r>
    </w:p>
    <w:p>
      <w:pPr>
        <w:spacing w:line="360" w:lineRule="auto"/>
        <w:ind w:left="-2" w:leftChars="-1" w:firstLine="420" w:firstLineChars="175"/>
        <w:outlineLvl w:val="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（十三）签订、履行合同：</w:t>
      </w:r>
    </w:p>
    <w:p>
      <w:pPr>
        <w:tabs>
          <w:tab w:val="left" w:pos="250"/>
          <w:tab w:val="left" w:pos="525"/>
          <w:tab w:val="left" w:pos="1050"/>
        </w:tabs>
        <w:spacing w:line="440" w:lineRule="exact"/>
        <w:ind w:firstLine="480" w:firstLineChars="200"/>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采购人应当自中标通知书发出之日起三十日内，按照采购文件和中标投标人投标文件的约定，与中标投标人签订书面合同。所签订的合同不得对采购文件和中标投标人投标文件作实质性修改。采购人不得向中标投标人提出任何不合理的要求，作为签订合同的条件，不得与中标投标人私下订立背离合同实质性内容的协议。合同经</w:t>
      </w:r>
      <w:r>
        <w:rPr>
          <w:rFonts w:hint="eastAsia" w:ascii="宋体" w:hAnsi="宋体" w:eastAsia="宋体" w:cs="宋体"/>
          <w:bCs/>
          <w:color w:val="000000" w:themeColor="text1"/>
          <w:sz w:val="24"/>
          <w:lang w:eastAsia="zh-CN"/>
          <w14:textFill>
            <w14:solidFill>
              <w14:schemeClr w14:val="tx1"/>
            </w14:solidFill>
          </w14:textFill>
        </w:rPr>
        <w:t>江苏万享通咨询有限公司</w:t>
      </w:r>
      <w:r>
        <w:rPr>
          <w:rFonts w:hint="eastAsia" w:ascii="宋体" w:hAnsi="宋体" w:eastAsia="宋体" w:cs="宋体"/>
          <w:bCs/>
          <w:color w:val="000000" w:themeColor="text1"/>
          <w:sz w:val="24"/>
          <w:szCs w:val="24"/>
          <w14:textFill>
            <w14:solidFill>
              <w14:schemeClr w14:val="tx1"/>
            </w14:solidFill>
          </w14:textFill>
        </w:rPr>
        <w:t>见证后生效。</w:t>
      </w:r>
    </w:p>
    <w:p>
      <w:pPr>
        <w:tabs>
          <w:tab w:val="left" w:pos="945"/>
        </w:tabs>
        <w:spacing w:line="360" w:lineRule="auto"/>
        <w:ind w:firstLine="360" w:firstLineChars="150"/>
        <w:outlineLvl w:val="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w:t>
      </w:r>
      <w:r>
        <w:rPr>
          <w:rFonts w:hint="eastAsia" w:ascii="宋体" w:hAnsi="宋体" w:eastAsia="宋体" w:cs="宋体"/>
          <w:bCs/>
          <w:color w:val="000000" w:themeColor="text1"/>
          <w:sz w:val="24"/>
          <w:szCs w:val="24"/>
          <w:lang w:eastAsia="zh-CN"/>
          <w14:textFill>
            <w14:solidFill>
              <w14:schemeClr w14:val="tx1"/>
            </w14:solidFill>
          </w14:textFill>
        </w:rPr>
        <w:t>江苏万享通咨询有限公司</w:t>
      </w:r>
      <w:r>
        <w:rPr>
          <w:rFonts w:hint="eastAsia" w:ascii="宋体" w:hAnsi="宋体" w:eastAsia="宋体" w:cs="宋体"/>
          <w:bCs/>
          <w:color w:val="000000" w:themeColor="text1"/>
          <w:sz w:val="24"/>
          <w:szCs w:val="24"/>
          <w14:textFill>
            <w14:solidFill>
              <w14:schemeClr w14:val="tx1"/>
            </w14:solidFill>
          </w14:textFill>
        </w:rPr>
        <w:t>监督合同的履行。中标方非因不可抗力未履行招、投标文件和合同规定的义务，一经查实，采购代理机构将根据具体情况提请政府采购管理部门作出相应处理。</w:t>
      </w:r>
    </w:p>
    <w:p>
      <w:pPr>
        <w:spacing w:line="360" w:lineRule="auto"/>
        <w:ind w:left="-2" w:leftChars="-1" w:firstLine="420" w:firstLineChars="175"/>
        <w:outlineLvl w:val="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3、请有意参加本项目的供应商完成供应商主体信息库的注册登记手续，注册流程详见无锡市公共资源交易中心网政府采购（市级）公示栏《关于启用无锡市政府采购交易管理一体化系统供应商注册登记模块的通知》。注册地址：https://middle.wuxi.zcygov.cn/v-settle-front/registry?settleCategory=1&amp;utm=sites_group_front.5b1ba037.0.0.fd874d20e0e811ec97650be135878c2e，或前往“无锡政府采购网 — 政府采购交易管理一体化系统—供应商注册”点击进入。</w:t>
      </w:r>
    </w:p>
    <w:p>
      <w:pPr>
        <w:spacing w:line="360" w:lineRule="auto"/>
        <w:ind w:left="-2" w:leftChars="-1" w:firstLine="420" w:firstLineChars="175"/>
        <w:outlineLvl w:val="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（十四）政府采购信用担保</w:t>
      </w:r>
    </w:p>
    <w:p>
      <w:pPr>
        <w:tabs>
          <w:tab w:val="left" w:pos="525"/>
          <w:tab w:val="left" w:pos="900"/>
          <w:tab w:val="left" w:pos="1050"/>
        </w:tabs>
        <w:spacing w:line="360" w:lineRule="auto"/>
        <w:ind w:left="13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政府采购信用担保，是由专业担保机构为供应商向采购人、代理机构、金融机构提供的保证。供应商可以根据自身情况，自行决定是否选择采用信用担保形式。</w:t>
      </w:r>
    </w:p>
    <w:p>
      <w:pPr>
        <w:tabs>
          <w:tab w:val="left" w:pos="525"/>
          <w:tab w:val="left" w:pos="900"/>
          <w:tab w:val="left" w:pos="1050"/>
        </w:tabs>
        <w:spacing w:line="360" w:lineRule="auto"/>
        <w:ind w:left="552"/>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（1）履约担保。</w:t>
      </w:r>
    </w:p>
    <w:p>
      <w:pPr>
        <w:tabs>
          <w:tab w:val="left" w:pos="900"/>
        </w:tabs>
        <w:spacing w:line="36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履约担保，是指由专业担保机构为中标供应商支付履约保证金的义务向采购人提供的保函担保。专业担保机构根据中标供应商的中标通知书为凭据，进行资信审查后出具保函, 中标供应商以保函形式缴纳履约保证金；供应商未按政府采购合同履行约定义务而应实际支付保证金的，由专业担保机构按照担保函约定履行担保责任。供应商可以自愿选择是否采取履约担保函的形式交纳履约保证金。</w:t>
      </w:r>
    </w:p>
    <w:p>
      <w:pPr>
        <w:tabs>
          <w:tab w:val="left" w:pos="900"/>
        </w:tabs>
        <w:spacing w:line="36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中标供应商可以根据自身情况，自行决定是否选择采用履约担保形式，自主选择合作银行。除江苏省财政厅确定的江苏省再担保有限公司和无锡市财政局确定的科发投资担保有限公司为无锡市政府采购信用担保合作担保机构外，民生银行南京分行、江苏银行和中信银行南京分行、浙商银行无锡分行可以在无锡市范围内开展政府采购履约担保业务。（政府采购履约担保函格式见附件1）</w:t>
      </w:r>
    </w:p>
    <w:p>
      <w:pPr>
        <w:tabs>
          <w:tab w:val="left" w:pos="525"/>
          <w:tab w:val="left" w:pos="900"/>
          <w:tab w:val="left" w:pos="1050"/>
        </w:tabs>
        <w:spacing w:line="360" w:lineRule="auto"/>
        <w:ind w:left="552"/>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（2）合同融资。</w:t>
      </w:r>
    </w:p>
    <w:p>
      <w:pPr>
        <w:tabs>
          <w:tab w:val="left" w:pos="900"/>
        </w:tabs>
        <w:spacing w:line="360" w:lineRule="auto"/>
        <w:ind w:left="132"/>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w:t>
      </w:r>
      <w:bookmarkStart w:id="2" w:name="_Hlk65356736"/>
      <w:r>
        <w:rPr>
          <w:rFonts w:hint="eastAsia" w:ascii="宋体" w:hAnsi="宋体" w:eastAsia="宋体" w:cs="宋体"/>
          <w:bCs/>
          <w:color w:val="000000" w:themeColor="text1"/>
          <w:sz w:val="24"/>
          <w:szCs w:val="24"/>
          <w14:textFill>
            <w14:solidFill>
              <w14:schemeClr w14:val="tx1"/>
            </w14:solidFill>
          </w14:textFill>
        </w:rPr>
        <w:t>合同融资</w:t>
      </w:r>
      <w:bookmarkEnd w:id="2"/>
      <w:r>
        <w:rPr>
          <w:rFonts w:hint="eastAsia" w:ascii="宋体" w:hAnsi="宋体" w:eastAsia="宋体" w:cs="宋体"/>
          <w:bCs/>
          <w:color w:val="000000" w:themeColor="text1"/>
          <w:sz w:val="24"/>
          <w:szCs w:val="24"/>
          <w14:textFill>
            <w14:solidFill>
              <w14:schemeClr w14:val="tx1"/>
            </w14:solidFill>
          </w14:textFill>
        </w:rPr>
        <w:t>，是指参与政府采购的供应商，凭借中标、成交通知书或政府采购合同向金融机构申请融资，金融机构以供应商信用审查和政府采购信誉为基础，按便捷贷款程序和优惠利率，为其发放无财产抵押贷款的一种融资模式。供应商与金融机构按照“银企自愿，风险共担”的原则开展融资活动，有融资需求的中标、成交供应商可根据自身情况，在无锡市政府采购交易管理一体化系统凭政府采购中标、成交通知书或政府采购合同在线提出融资申请，自主选择金融机构及其融资产品，金融机构进行融资信息审查决定是否为其提供融资，做好预授信。双方达成融资意向后签订融资协议，确定融资成交信息并约定融资回款账户。</w:t>
      </w:r>
    </w:p>
    <w:p>
      <w:pPr>
        <w:tabs>
          <w:tab w:val="left" w:pos="900"/>
        </w:tabs>
        <w:spacing w:line="360" w:lineRule="auto"/>
        <w:ind w:left="13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中标、成交供应商可根据自身情况，自行决定是否选择采用合同融资形式，在无锡政府采购网——政采贷专栏提供的银行名录内自主选择合作银行</w:t>
      </w:r>
      <w:r>
        <w:rPr>
          <w:rFonts w:hint="eastAsia" w:ascii="宋体" w:hAnsi="宋体" w:eastAsia="宋体" w:cs="宋体"/>
          <w:color w:val="000000" w:themeColor="text1"/>
          <w:sz w:val="24"/>
          <w:szCs w:val="24"/>
          <w14:textFill>
            <w14:solidFill>
              <w14:schemeClr w14:val="tx1"/>
            </w14:solidFill>
          </w14:textFill>
        </w:rPr>
        <w:t>。</w:t>
      </w:r>
    </w:p>
    <w:p>
      <w:pPr>
        <w:pStyle w:val="9"/>
        <w:spacing w:line="360" w:lineRule="auto"/>
        <w:ind w:firstLine="480" w:firstLineChars="200"/>
        <w:rPr>
          <w:rFonts w:hint="eastAsia" w:ascii="宋体" w:hAnsi="宋体" w:eastAsia="宋体" w:cs="宋体"/>
          <w:bCs w:val="0"/>
          <w:color w:val="000000" w:themeColor="text1"/>
          <w:sz w:val="24"/>
          <w14:textFill>
            <w14:solidFill>
              <w14:schemeClr w14:val="tx1"/>
            </w14:solidFill>
          </w14:textFill>
        </w:rPr>
      </w:pPr>
      <w:r>
        <w:rPr>
          <w:rFonts w:hint="eastAsia" w:ascii="宋体" w:hAnsi="宋体" w:eastAsia="宋体" w:cs="宋体"/>
          <w:bCs w:val="0"/>
          <w:color w:val="000000" w:themeColor="text1"/>
          <w:sz w:val="24"/>
          <w14:textFill>
            <w14:solidFill>
              <w14:schemeClr w14:val="tx1"/>
            </w14:solidFill>
          </w14:textFill>
        </w:rPr>
        <w:t>（十五）代理服务费：</w:t>
      </w:r>
    </w:p>
    <w:p>
      <w:pPr>
        <w:pStyle w:val="9"/>
        <w:spacing w:line="360" w:lineRule="auto"/>
        <w:ind w:firstLine="480" w:firstLineChars="200"/>
        <w:rPr>
          <w:rFonts w:hint="eastAsia" w:ascii="宋体" w:hAnsi="宋体" w:eastAsia="宋体" w:cs="宋体"/>
          <w:bCs w:val="0"/>
          <w:color w:val="000000" w:themeColor="text1"/>
          <w:sz w:val="24"/>
          <w14:textFill>
            <w14:solidFill>
              <w14:schemeClr w14:val="tx1"/>
            </w14:solidFill>
          </w14:textFill>
        </w:rPr>
      </w:pPr>
      <w:r>
        <w:rPr>
          <w:rFonts w:hint="eastAsia" w:ascii="宋体" w:hAnsi="宋体" w:eastAsia="宋体" w:cs="宋体"/>
          <w:bCs w:val="0"/>
          <w:color w:val="000000" w:themeColor="text1"/>
          <w:sz w:val="24"/>
          <w14:textFill>
            <w14:solidFill>
              <w14:schemeClr w14:val="tx1"/>
            </w14:solidFill>
          </w14:textFill>
        </w:rPr>
        <w:t>1.招标代理费：</w:t>
      </w:r>
      <w:r>
        <w:rPr>
          <w:rFonts w:hint="eastAsia" w:ascii="宋体" w:hAnsi="宋体" w:eastAsia="宋体" w:cs="宋体"/>
          <w:b/>
          <w:color w:val="000000" w:themeColor="text1"/>
          <w:sz w:val="24"/>
          <w14:textFill>
            <w14:solidFill>
              <w14:schemeClr w14:val="tx1"/>
            </w14:solidFill>
          </w14:textFill>
        </w:rPr>
        <w:t>大写：</w:t>
      </w:r>
      <w:r>
        <w:rPr>
          <w:rFonts w:hint="eastAsia" w:ascii="宋体" w:hAnsi="宋体" w:eastAsia="宋体" w:cs="宋体"/>
          <w:bCs w:val="0"/>
          <w:color w:val="000000" w:themeColor="text1"/>
          <w:sz w:val="24"/>
          <w14:textFill>
            <w14:solidFill>
              <w14:schemeClr w14:val="tx1"/>
            </w14:solidFill>
          </w14:textFill>
        </w:rPr>
        <w:t>人民币</w:t>
      </w:r>
      <w:r>
        <w:rPr>
          <w:rFonts w:hint="eastAsia" w:ascii="宋体" w:hAnsi="宋体" w:eastAsia="宋体" w:cs="宋体"/>
          <w:bCs w:val="0"/>
          <w:color w:val="000000" w:themeColor="text1"/>
          <w:sz w:val="24"/>
          <w:lang w:val="en-US" w:eastAsia="zh-CN"/>
          <w14:textFill>
            <w14:solidFill>
              <w14:schemeClr w14:val="tx1"/>
            </w14:solidFill>
          </w14:textFill>
        </w:rPr>
        <w:t>壹万壹仟元</w:t>
      </w:r>
      <w:r>
        <w:rPr>
          <w:rFonts w:hint="eastAsia" w:ascii="宋体" w:hAnsi="宋体" w:eastAsia="宋体" w:cs="宋体"/>
          <w:bCs w:val="0"/>
          <w:color w:val="000000" w:themeColor="text1"/>
          <w:sz w:val="24"/>
          <w14:textFill>
            <w14:solidFill>
              <w14:schemeClr w14:val="tx1"/>
            </w14:solidFill>
          </w14:textFill>
        </w:rPr>
        <w:t>整；小写：￥</w:t>
      </w:r>
      <w:r>
        <w:rPr>
          <w:rFonts w:hint="eastAsia" w:ascii="宋体" w:hAnsi="宋体" w:eastAsia="宋体" w:cs="宋体"/>
          <w:bCs w:val="0"/>
          <w:color w:val="000000" w:themeColor="text1"/>
          <w:sz w:val="24"/>
          <w:lang w:val="en-US" w:eastAsia="zh-CN"/>
          <w14:textFill>
            <w14:solidFill>
              <w14:schemeClr w14:val="tx1"/>
            </w14:solidFill>
          </w14:textFill>
        </w:rPr>
        <w:t>11000</w:t>
      </w:r>
      <w:r>
        <w:rPr>
          <w:rFonts w:hint="eastAsia" w:ascii="宋体" w:hAnsi="宋体" w:eastAsia="宋体" w:cs="宋体"/>
          <w:bCs w:val="0"/>
          <w:color w:val="000000" w:themeColor="text1"/>
          <w:sz w:val="24"/>
          <w14:textFill>
            <w14:solidFill>
              <w14:schemeClr w14:val="tx1"/>
            </w14:solidFill>
          </w14:textFill>
        </w:rPr>
        <w:t>元，评委费按时结算。</w:t>
      </w:r>
    </w:p>
    <w:p>
      <w:pPr>
        <w:pStyle w:val="9"/>
        <w:spacing w:line="360" w:lineRule="auto"/>
        <w:ind w:firstLine="240" w:firstLineChars="100"/>
        <w:rPr>
          <w:rFonts w:hint="eastAsia" w:ascii="宋体" w:hAnsi="宋体" w:eastAsia="宋体" w:cs="宋体"/>
          <w:bCs w:val="0"/>
          <w:color w:val="000000" w:themeColor="text1"/>
          <w:sz w:val="24"/>
          <w14:textFill>
            <w14:solidFill>
              <w14:schemeClr w14:val="tx1"/>
            </w14:solidFill>
          </w14:textFill>
        </w:rPr>
      </w:pPr>
      <w:r>
        <w:rPr>
          <w:rFonts w:hint="eastAsia" w:ascii="宋体" w:hAnsi="宋体" w:eastAsia="宋体" w:cs="宋体"/>
          <w:bCs w:val="0"/>
          <w:color w:val="000000" w:themeColor="text1"/>
          <w:sz w:val="24"/>
          <w14:textFill>
            <w14:solidFill>
              <w14:schemeClr w14:val="tx1"/>
            </w14:solidFill>
          </w14:textFill>
        </w:rPr>
        <w:t xml:space="preserve">  2.中标供应商领取中标通知书时向招标代理机构一次性付清。</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（十六）其他：</w:t>
      </w:r>
    </w:p>
    <w:p>
      <w:pPr>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采购文件的条款必须认真审阅，投标人应自行检查采购文件页数是否齐全。若有遗漏、重复或不清楚，需立刻通知招标人予以更正；凡属对条款的误解所造成的投标价格失误，由投标人负责。</w:t>
      </w:r>
    </w:p>
    <w:p>
      <w:pPr>
        <w:spacing w:line="400" w:lineRule="exact"/>
        <w:rPr>
          <w:rFonts w:hint="eastAsia" w:ascii="宋体" w:hAnsi="宋体" w:eastAsia="宋体" w:cs="宋体"/>
          <w:bCs/>
          <w:color w:val="000000" w:themeColor="text1"/>
          <w:sz w:val="24"/>
          <w:szCs w:val="24"/>
          <w14:textFill>
            <w14:solidFill>
              <w14:schemeClr w14:val="tx1"/>
            </w14:solidFill>
          </w14:textFill>
        </w:rPr>
      </w:pPr>
    </w:p>
    <w:p>
      <w:pPr>
        <w:rPr>
          <w:rFonts w:hint="eastAsia" w:ascii="宋体" w:hAnsi="宋体" w:eastAsia="宋体" w:cs="宋体"/>
          <w:color w:val="000000" w:themeColor="text1"/>
          <w:shd w:val="clear" w:color="auto" w:fill="FFFFFF"/>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br w:type="page"/>
      </w:r>
    </w:p>
    <w:p>
      <w:pPr>
        <w:spacing w:line="480" w:lineRule="exact"/>
        <w:rPr>
          <w:rFonts w:hint="eastAsia" w:ascii="宋体" w:hAnsi="宋体" w:eastAsia="宋体" w:cs="宋体"/>
          <w:color w:val="000000" w:themeColor="text1"/>
          <w:shd w:val="clear" w:color="auto" w:fill="FFFFFF"/>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附件1.                政府采购履约担保函（格式）</w:t>
      </w:r>
    </w:p>
    <w:p>
      <w:pPr>
        <w:widowControl/>
        <w:tabs>
          <w:tab w:val="left" w:pos="360"/>
          <w:tab w:val="left" w:pos="960"/>
        </w:tabs>
        <w:spacing w:line="480" w:lineRule="exact"/>
        <w:ind w:firstLine="315" w:firstLineChars="15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编号：</w:t>
      </w:r>
    </w:p>
    <w:p>
      <w:pPr>
        <w:widowControl/>
        <w:tabs>
          <w:tab w:val="left" w:pos="360"/>
          <w:tab w:val="left" w:pos="960"/>
        </w:tabs>
        <w:spacing w:line="480" w:lineRule="exact"/>
        <w:jc w:val="left"/>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（采购人）：</w:t>
      </w:r>
    </w:p>
    <w:p>
      <w:pPr>
        <w:widowControl/>
        <w:tabs>
          <w:tab w:val="left" w:pos="360"/>
          <w:tab w:val="left" w:pos="960"/>
        </w:tabs>
        <w:spacing w:line="480" w:lineRule="exact"/>
        <w:ind w:firstLine="315" w:firstLineChars="150"/>
        <w:jc w:val="left"/>
        <w:rPr>
          <w:rFonts w:hint="eastAsia" w:ascii="宋体" w:hAnsi="宋体" w:eastAsia="宋体" w:cs="宋体"/>
          <w:color w:val="000000" w:themeColor="text1"/>
          <w14:textFill>
            <w14:solidFill>
              <w14:schemeClr w14:val="tx1"/>
            </w14:solidFill>
          </w14:textFill>
        </w:rPr>
      </w:pPr>
    </w:p>
    <w:p>
      <w:pPr>
        <w:widowControl/>
        <w:tabs>
          <w:tab w:val="left" w:pos="360"/>
          <w:tab w:val="left" w:pos="960"/>
        </w:tabs>
        <w:spacing w:line="480" w:lineRule="exact"/>
        <w:ind w:firstLine="315" w:firstLineChars="15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鉴于你方与</w:t>
      </w:r>
      <w:r>
        <w:rPr>
          <w:rFonts w:hint="eastAsia" w:ascii="宋体" w:hAnsi="宋体" w:eastAsia="宋体" w:cs="宋体"/>
          <w:color w:val="000000" w:themeColor="text1"/>
          <w:u w:val="single"/>
          <w14:textFill>
            <w14:solidFill>
              <w14:schemeClr w14:val="tx1"/>
            </w14:solidFill>
          </w14:textFill>
        </w:rPr>
        <w:t xml:space="preserve">                    （以下简称供应商）</w:t>
      </w:r>
      <w:r>
        <w:rPr>
          <w:rFonts w:hint="eastAsia" w:ascii="宋体" w:hAnsi="宋体" w:eastAsia="宋体" w:cs="宋体"/>
          <w:color w:val="000000" w:themeColor="text1"/>
          <w14:textFill>
            <w14:solidFill>
              <w14:schemeClr w14:val="tx1"/>
            </w14:solidFill>
          </w14:textFill>
        </w:rPr>
        <w:t>于年月日签定编号为   的《政府采购合同》（以下简称主合同），且依据该合同的约定，供应商应在</w:t>
      </w:r>
    </w:p>
    <w:p>
      <w:pPr>
        <w:widowControl/>
        <w:tabs>
          <w:tab w:val="left" w:pos="360"/>
          <w:tab w:val="left" w:pos="960"/>
        </w:tabs>
        <w:spacing w:line="480" w:lineRule="exact"/>
        <w:ind w:firstLine="315" w:firstLineChars="15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年月日前向你方交纳履约保证金，且可以履约担保函的形式交纳履约保证金。应供应商的申请，我方以保证的方式向你方提供如下履约保证金担保：</w:t>
      </w:r>
    </w:p>
    <w:p>
      <w:pPr>
        <w:widowControl/>
        <w:tabs>
          <w:tab w:val="left" w:pos="360"/>
          <w:tab w:val="left" w:pos="960"/>
        </w:tabs>
        <w:spacing w:line="480" w:lineRule="exact"/>
        <w:ind w:firstLine="315" w:firstLineChars="15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一、保证责任的情形及保证金额</w:t>
      </w:r>
    </w:p>
    <w:p>
      <w:pPr>
        <w:widowControl/>
        <w:tabs>
          <w:tab w:val="left" w:pos="360"/>
          <w:tab w:val="left" w:pos="960"/>
        </w:tabs>
        <w:spacing w:line="480" w:lineRule="exact"/>
        <w:ind w:firstLine="315" w:firstLineChars="15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（一）在供应商出现下列情形之一时，我方承担保证责任：</w:t>
      </w:r>
    </w:p>
    <w:p>
      <w:pPr>
        <w:widowControl/>
        <w:tabs>
          <w:tab w:val="left" w:pos="360"/>
          <w:tab w:val="left" w:pos="960"/>
        </w:tabs>
        <w:spacing w:line="480" w:lineRule="exact"/>
        <w:ind w:firstLine="315" w:firstLineChars="15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1．将中标项目转让给他人，或者在投标文件中未说明，且未经采购招标机构人同意，将中标项目分包给他人的；</w:t>
      </w:r>
    </w:p>
    <w:p>
      <w:pPr>
        <w:widowControl/>
        <w:tabs>
          <w:tab w:val="left" w:pos="360"/>
          <w:tab w:val="left" w:pos="960"/>
        </w:tabs>
        <w:spacing w:line="480" w:lineRule="exact"/>
        <w:ind w:firstLine="315" w:firstLineChars="15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2．主合同约定的应当缴纳履约保证金的情形: </w:t>
      </w:r>
    </w:p>
    <w:p>
      <w:pPr>
        <w:widowControl/>
        <w:tabs>
          <w:tab w:val="left" w:pos="360"/>
          <w:tab w:val="left" w:pos="960"/>
        </w:tabs>
        <w:spacing w:line="480" w:lineRule="exact"/>
        <w:ind w:firstLine="315" w:firstLineChars="15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（1）未按主合同约定的质量、数量和期限供应货物/提供服务/完成工程的；</w:t>
      </w:r>
    </w:p>
    <w:p>
      <w:pPr>
        <w:widowControl/>
        <w:tabs>
          <w:tab w:val="left" w:pos="360"/>
          <w:tab w:val="left" w:pos="960"/>
        </w:tabs>
        <w:spacing w:line="480" w:lineRule="exact"/>
        <w:ind w:firstLine="315" w:firstLineChars="15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                                                           。</w:t>
      </w:r>
    </w:p>
    <w:p>
      <w:pPr>
        <w:widowControl/>
        <w:tabs>
          <w:tab w:val="left" w:pos="360"/>
          <w:tab w:val="left" w:pos="960"/>
        </w:tabs>
        <w:spacing w:line="480" w:lineRule="exact"/>
        <w:ind w:firstLine="315" w:firstLineChars="15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（二）我方的保证范围是主合同约定的合同价款总额的%数额为元（大写），币种为 。（即主合同履约保证金金额）</w:t>
      </w:r>
    </w:p>
    <w:p>
      <w:pPr>
        <w:widowControl/>
        <w:tabs>
          <w:tab w:val="left" w:pos="360"/>
          <w:tab w:val="left" w:pos="960"/>
        </w:tabs>
        <w:spacing w:line="480" w:lineRule="exact"/>
        <w:ind w:firstLine="315" w:firstLineChars="15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二、保证的方式及保证期间</w:t>
      </w:r>
    </w:p>
    <w:p>
      <w:pPr>
        <w:widowControl/>
        <w:tabs>
          <w:tab w:val="left" w:pos="360"/>
          <w:tab w:val="left" w:pos="960"/>
        </w:tabs>
        <w:spacing w:line="480" w:lineRule="exact"/>
        <w:ind w:firstLine="315" w:firstLineChars="15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我方保证的方式为：连带责任保证。</w:t>
      </w:r>
    </w:p>
    <w:p>
      <w:pPr>
        <w:widowControl/>
        <w:tabs>
          <w:tab w:val="left" w:pos="360"/>
          <w:tab w:val="left" w:pos="960"/>
        </w:tabs>
        <w:spacing w:line="480" w:lineRule="exact"/>
        <w:ind w:firstLine="315" w:firstLineChars="15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我方保证的期间为：自本合同生效之日起至供应商按照主合同约定的供货/完工期限届满后日内。</w:t>
      </w:r>
    </w:p>
    <w:p>
      <w:pPr>
        <w:widowControl/>
        <w:tabs>
          <w:tab w:val="left" w:pos="360"/>
          <w:tab w:val="left" w:pos="960"/>
        </w:tabs>
        <w:spacing w:line="480" w:lineRule="exact"/>
        <w:ind w:firstLine="315" w:firstLineChars="15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如果供应商未按主合同约定向贵方供应货物/提供服务/完成工程的，由我方在保证金额内向你方支付上述款项。</w:t>
      </w:r>
    </w:p>
    <w:p>
      <w:pPr>
        <w:widowControl/>
        <w:tabs>
          <w:tab w:val="left" w:pos="360"/>
          <w:tab w:val="left" w:pos="960"/>
        </w:tabs>
        <w:spacing w:line="480" w:lineRule="exact"/>
        <w:ind w:firstLine="315" w:firstLineChars="15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三、承担保证责任的程序</w:t>
      </w:r>
    </w:p>
    <w:p>
      <w:pPr>
        <w:widowControl/>
        <w:tabs>
          <w:tab w:val="left" w:pos="360"/>
          <w:tab w:val="left" w:pos="960"/>
        </w:tabs>
        <w:spacing w:line="480" w:lineRule="exact"/>
        <w:ind w:firstLine="315" w:firstLineChars="15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1．你方要求我方承担保证责任的，应在本保函保证期间内向我方发出书面索赔通知。索赔通知应写明要求索赔的金额，支付款项应到达的帐号。并附有证明供应商违约事实的证明材料。</w:t>
      </w:r>
    </w:p>
    <w:p>
      <w:pPr>
        <w:widowControl/>
        <w:tabs>
          <w:tab w:val="left" w:pos="360"/>
          <w:tab w:val="left" w:pos="960"/>
        </w:tabs>
        <w:spacing w:line="480" w:lineRule="exact"/>
        <w:ind w:firstLine="315" w:firstLineChars="15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如果你方与供应商因货物质量问题产生争议，你方还需同时提供        部门出具的质量检测报告，或经诉讼（仲裁）程序裁决后的裁决书、调解书，本保证人即按照检测结果或裁决书、调解书决定是否承担保证责任。</w:t>
      </w:r>
    </w:p>
    <w:p>
      <w:pPr>
        <w:widowControl/>
        <w:tabs>
          <w:tab w:val="left" w:pos="360"/>
          <w:tab w:val="left" w:pos="960"/>
        </w:tabs>
        <w:spacing w:line="480" w:lineRule="exact"/>
        <w:ind w:firstLine="315" w:firstLineChars="15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 我方收到你方的书面索赔通知及相应证明材料，在工作日内进行核定后按照本保函的承诺承担保证责任。</w:t>
      </w:r>
    </w:p>
    <w:p>
      <w:pPr>
        <w:widowControl/>
        <w:tabs>
          <w:tab w:val="left" w:pos="360"/>
          <w:tab w:val="left" w:pos="960"/>
        </w:tabs>
        <w:spacing w:line="480" w:lineRule="exact"/>
        <w:ind w:firstLine="315" w:firstLineChars="15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四、保证责任的终止</w:t>
      </w:r>
    </w:p>
    <w:p>
      <w:pPr>
        <w:widowControl/>
        <w:tabs>
          <w:tab w:val="left" w:pos="360"/>
          <w:tab w:val="left" w:pos="960"/>
        </w:tabs>
        <w:spacing w:line="480" w:lineRule="exact"/>
        <w:ind w:firstLine="315" w:firstLineChars="15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1．保证期间届满你方未向我方书面主张保证责任的，自保证期间届满次日起，我方保证责任自动终止。保证期间届满前，主合同约定的货物\工程\服务全部验收合格的，自验收合格日起，我方保证责任自动终止。</w:t>
      </w:r>
    </w:p>
    <w:p>
      <w:pPr>
        <w:widowControl/>
        <w:tabs>
          <w:tab w:val="left" w:pos="360"/>
          <w:tab w:val="left" w:pos="960"/>
        </w:tabs>
        <w:spacing w:line="480" w:lineRule="exact"/>
        <w:ind w:firstLine="315" w:firstLineChars="15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2．我方按照本保函向你方履行了保证责任后，自我方向你方支付款项（支付款项从我方账户划出）之日起，保证责任即终止。</w:t>
      </w:r>
    </w:p>
    <w:p>
      <w:pPr>
        <w:widowControl/>
        <w:tabs>
          <w:tab w:val="left" w:pos="360"/>
          <w:tab w:val="left" w:pos="960"/>
        </w:tabs>
        <w:spacing w:line="480" w:lineRule="exact"/>
        <w:ind w:firstLine="315" w:firstLineChars="15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3．按照法律法规的规定或出现应终止我方保证责任的其它情形的，我方在本保函项下的保证责任亦终止。</w:t>
      </w:r>
    </w:p>
    <w:p>
      <w:pPr>
        <w:widowControl/>
        <w:tabs>
          <w:tab w:val="left" w:pos="360"/>
          <w:tab w:val="left" w:pos="960"/>
        </w:tabs>
        <w:spacing w:line="480" w:lineRule="exact"/>
        <w:ind w:firstLine="315" w:firstLineChars="15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widowControl/>
        <w:tabs>
          <w:tab w:val="left" w:pos="360"/>
          <w:tab w:val="left" w:pos="960"/>
        </w:tabs>
        <w:spacing w:line="480" w:lineRule="exact"/>
        <w:ind w:firstLine="315" w:firstLineChars="15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五、免责条款</w:t>
      </w:r>
    </w:p>
    <w:p>
      <w:pPr>
        <w:widowControl/>
        <w:tabs>
          <w:tab w:val="left" w:pos="360"/>
          <w:tab w:val="left" w:pos="960"/>
        </w:tabs>
        <w:spacing w:line="480" w:lineRule="exact"/>
        <w:ind w:firstLine="315" w:firstLineChars="15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1．因你方违反主合同约定致使供应商不能履行义务的，我方不承担保证责任。</w:t>
      </w:r>
    </w:p>
    <w:p>
      <w:pPr>
        <w:widowControl/>
        <w:tabs>
          <w:tab w:val="left" w:pos="360"/>
          <w:tab w:val="left" w:pos="960"/>
        </w:tabs>
        <w:spacing w:line="480" w:lineRule="exact"/>
        <w:ind w:firstLine="315" w:firstLineChars="15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2．依照法律法规的规定或你方与供应商的另行约定，全部或者部分免除供应商应缴纳的保证金义务的，我方亦免除相应的保证责任。</w:t>
      </w:r>
    </w:p>
    <w:p>
      <w:pPr>
        <w:widowControl/>
        <w:tabs>
          <w:tab w:val="left" w:pos="360"/>
          <w:tab w:val="left" w:pos="960"/>
        </w:tabs>
        <w:spacing w:line="480" w:lineRule="exact"/>
        <w:ind w:firstLine="315" w:firstLineChars="15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3．因不可抗力造成供应商不能履行供货义务的，我方不承担保证责任。</w:t>
      </w:r>
    </w:p>
    <w:p>
      <w:pPr>
        <w:widowControl/>
        <w:tabs>
          <w:tab w:val="left" w:pos="360"/>
          <w:tab w:val="left" w:pos="960"/>
        </w:tabs>
        <w:spacing w:line="480" w:lineRule="exact"/>
        <w:ind w:firstLine="315" w:firstLineChars="15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六、争议的解决</w:t>
      </w:r>
    </w:p>
    <w:p>
      <w:pPr>
        <w:widowControl/>
        <w:tabs>
          <w:tab w:val="left" w:pos="360"/>
          <w:tab w:val="left" w:pos="960"/>
        </w:tabs>
        <w:spacing w:line="480" w:lineRule="exact"/>
        <w:ind w:firstLine="315" w:firstLineChars="15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因本保函发生的纠纷，由你我双方协商解决，协商不成的，通过诉讼程序解决，诉讼管辖地法院为法院。</w:t>
      </w:r>
    </w:p>
    <w:p>
      <w:pPr>
        <w:widowControl/>
        <w:tabs>
          <w:tab w:val="left" w:pos="360"/>
          <w:tab w:val="left" w:pos="960"/>
        </w:tabs>
        <w:spacing w:line="480" w:lineRule="exact"/>
        <w:ind w:firstLine="315" w:firstLineChars="15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七、保函的生效</w:t>
      </w:r>
    </w:p>
    <w:p>
      <w:pPr>
        <w:widowControl/>
        <w:tabs>
          <w:tab w:val="left" w:pos="360"/>
          <w:tab w:val="left" w:pos="960"/>
        </w:tabs>
        <w:spacing w:line="480" w:lineRule="exact"/>
        <w:ind w:firstLine="315" w:firstLineChars="15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本保函自我方加盖公章之日起生效。</w:t>
      </w:r>
    </w:p>
    <w:p>
      <w:pPr>
        <w:widowControl/>
        <w:tabs>
          <w:tab w:val="left" w:pos="360"/>
          <w:tab w:val="left" w:pos="960"/>
        </w:tabs>
        <w:spacing w:line="480" w:lineRule="exact"/>
        <w:jc w:val="left"/>
        <w:rPr>
          <w:rFonts w:hint="eastAsia" w:ascii="宋体" w:hAnsi="宋体" w:eastAsia="宋体" w:cs="宋体"/>
          <w:color w:val="000000" w:themeColor="text1"/>
          <w14:textFill>
            <w14:solidFill>
              <w14:schemeClr w14:val="tx1"/>
            </w14:solidFill>
          </w14:textFill>
        </w:rPr>
      </w:pPr>
    </w:p>
    <w:p>
      <w:pPr>
        <w:widowControl/>
        <w:tabs>
          <w:tab w:val="left" w:pos="360"/>
          <w:tab w:val="left" w:pos="960"/>
        </w:tabs>
        <w:spacing w:line="480" w:lineRule="exact"/>
        <w:ind w:firstLine="315" w:firstLineChars="15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保证人：（公章）</w:t>
      </w:r>
    </w:p>
    <w:p>
      <w:pPr>
        <w:pStyle w:val="24"/>
        <w:ind w:firstLine="480"/>
        <w:rPr>
          <w:rFonts w:hint="eastAsia" w:ascii="宋体" w:hAnsi="宋体" w:eastAsia="宋体" w:cs="宋体"/>
          <w:color w:val="000000" w:themeColor="text1"/>
          <w14:textFill>
            <w14:solidFill>
              <w14:schemeClr w14:val="tx1"/>
            </w14:solidFill>
          </w14:textFill>
        </w:rPr>
        <w:sectPr>
          <w:footerReference r:id="rId7" w:type="first"/>
          <w:footerReference r:id="rId6" w:type="default"/>
          <w:pgSz w:w="11907" w:h="16840"/>
          <w:pgMar w:top="1440" w:right="1361" w:bottom="1440" w:left="1361" w:header="850" w:footer="907" w:gutter="0"/>
          <w:pgNumType w:start="1"/>
          <w:cols w:space="720" w:num="1"/>
          <w:docGrid w:type="linesAndChars" w:linePitch="312" w:charSpace="0"/>
        </w:sectPr>
      </w:pPr>
      <w:r>
        <w:rPr>
          <w:rFonts w:hint="eastAsia" w:ascii="宋体" w:hAnsi="宋体" w:eastAsia="宋体" w:cs="宋体"/>
          <w:color w:val="000000" w:themeColor="text1"/>
          <w14:textFill>
            <w14:solidFill>
              <w14:schemeClr w14:val="tx1"/>
            </w14:solidFill>
          </w14:textFill>
        </w:rPr>
        <w:t>年     月      日</w:t>
      </w:r>
    </w:p>
    <w:p>
      <w:pPr>
        <w:spacing w:line="400" w:lineRule="exact"/>
        <w:jc w:val="center"/>
        <w:rPr>
          <w:rFonts w:hint="eastAsia" w:ascii="宋体" w:hAnsi="宋体" w:eastAsia="宋体" w:cs="宋体"/>
          <w:b/>
          <w:color w:val="000000" w:themeColor="text1"/>
          <w:sz w:val="30"/>
          <w:szCs w:val="30"/>
          <w14:textFill>
            <w14:solidFill>
              <w14:schemeClr w14:val="tx1"/>
            </w14:solidFill>
          </w14:textFill>
        </w:rPr>
      </w:pPr>
      <w:r>
        <w:rPr>
          <w:rFonts w:hint="eastAsia" w:ascii="宋体" w:hAnsi="宋体" w:eastAsia="宋体" w:cs="宋体"/>
          <w:bCs/>
          <w:color w:val="000000" w:themeColor="text1"/>
          <w:sz w:val="30"/>
          <w:szCs w:val="30"/>
          <w14:textFill>
            <w14:solidFill>
              <w14:schemeClr w14:val="tx1"/>
            </w14:solidFill>
          </w14:textFill>
        </w:rPr>
        <w:t>三．</w:t>
      </w:r>
      <w:r>
        <w:rPr>
          <w:rFonts w:hint="eastAsia" w:ascii="宋体" w:hAnsi="宋体" w:eastAsia="宋体" w:cs="宋体"/>
          <w:b/>
          <w:color w:val="000000" w:themeColor="text1"/>
          <w:sz w:val="30"/>
          <w:szCs w:val="30"/>
          <w14:textFill>
            <w14:solidFill>
              <w14:schemeClr w14:val="tx1"/>
            </w14:solidFill>
          </w14:textFill>
        </w:rPr>
        <w:t>项目技术要求和有关说明</w:t>
      </w:r>
    </w:p>
    <w:p>
      <w:pPr>
        <w:bidi w:val="0"/>
        <w:rPr>
          <w:rFonts w:hint="eastAsia" w:ascii="宋体" w:hAnsi="宋体" w:eastAsia="宋体" w:cs="宋体"/>
        </w:rPr>
      </w:pPr>
    </w:p>
    <w:p>
      <w:pPr>
        <w:pStyle w:val="3"/>
        <w:keepNext/>
        <w:keepLines/>
        <w:pageBreakBefore w:val="0"/>
        <w:widowControl w:val="0"/>
        <w:numPr>
          <w:ilvl w:val="1"/>
          <w:numId w:val="0"/>
        </w:numPr>
        <w:kinsoku/>
        <w:wordWrap/>
        <w:overflowPunct/>
        <w:topLinePunct w:val="0"/>
        <w:autoSpaceDE/>
        <w:autoSpaceDN/>
        <w:bidi w:val="0"/>
        <w:adjustRightInd/>
        <w:snapToGrid/>
        <w:spacing w:before="0" w:after="0"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rPr>
        <w:t>（一）项目概况</w:t>
      </w:r>
    </w:p>
    <w:p>
      <w:pPr>
        <w:pStyle w:val="3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GB"/>
        </w:rPr>
      </w:pPr>
      <w:r>
        <w:rPr>
          <w:rFonts w:hint="eastAsia" w:ascii="宋体" w:hAnsi="宋体" w:eastAsia="宋体" w:cs="宋体"/>
          <w:sz w:val="24"/>
          <w:szCs w:val="24"/>
          <w:lang w:val="en-GB"/>
        </w:rPr>
        <w:t>我局于</w:t>
      </w:r>
      <w:r>
        <w:rPr>
          <w:rFonts w:hint="eastAsia" w:ascii="宋体" w:hAnsi="宋体" w:eastAsia="宋体" w:cs="宋体"/>
          <w:sz w:val="24"/>
          <w:szCs w:val="24"/>
        </w:rPr>
        <w:t>2020</w:t>
      </w:r>
      <w:r>
        <w:rPr>
          <w:rFonts w:hint="eastAsia" w:ascii="宋体" w:hAnsi="宋体" w:eastAsia="宋体" w:cs="宋体"/>
          <w:sz w:val="24"/>
          <w:szCs w:val="24"/>
          <w:lang w:val="en-GB"/>
        </w:rPr>
        <w:t>年采购机房机柜租赁项目，中标供应商为中国电信，机房位于净慧东道</w:t>
      </w:r>
      <w:r>
        <w:rPr>
          <w:rFonts w:hint="eastAsia" w:ascii="宋体" w:hAnsi="宋体" w:eastAsia="宋体" w:cs="宋体"/>
          <w:sz w:val="24"/>
          <w:szCs w:val="24"/>
        </w:rPr>
        <w:t>88号国际数据中心</w:t>
      </w:r>
      <w:r>
        <w:rPr>
          <w:rFonts w:hint="eastAsia" w:ascii="宋体" w:hAnsi="宋体" w:eastAsia="宋体" w:cs="宋体"/>
          <w:sz w:val="24"/>
          <w:szCs w:val="24"/>
          <w:lang w:val="en-GB"/>
        </w:rPr>
        <w:t>电信IDC机房，原租赁服务已到期。本期租赁机柜数量不超过50台（该数量仅指采购人设备占用的加电机柜的数量，不包括中标人提供的配线架、列头柜等配套设备数量），租期</w:t>
      </w:r>
      <w:r>
        <w:rPr>
          <w:rFonts w:hint="eastAsia" w:ascii="宋体" w:hAnsi="宋体" w:eastAsia="宋体" w:cs="宋体"/>
          <w:sz w:val="24"/>
          <w:szCs w:val="24"/>
        </w:rPr>
        <w:t>1</w:t>
      </w:r>
      <w:r>
        <w:rPr>
          <w:rFonts w:hint="eastAsia" w:ascii="宋体" w:hAnsi="宋体" w:eastAsia="宋体" w:cs="宋体"/>
          <w:sz w:val="24"/>
          <w:szCs w:val="24"/>
          <w:lang w:val="en-GB"/>
        </w:rPr>
        <w:t>年。本项目采用按需租赁、动态调整的方式，总租费按</w:t>
      </w:r>
      <w:r>
        <w:rPr>
          <w:rFonts w:hint="eastAsia" w:ascii="宋体" w:hAnsi="宋体" w:eastAsia="宋体" w:cs="宋体"/>
          <w:sz w:val="24"/>
          <w:szCs w:val="24"/>
          <w:lang w:val="en-GB" w:eastAsia="zh-CN"/>
        </w:rPr>
        <w:t>每</w:t>
      </w:r>
      <w:r>
        <w:rPr>
          <w:rFonts w:hint="eastAsia" w:ascii="宋体" w:hAnsi="宋体" w:eastAsia="宋体" w:cs="宋体"/>
          <w:sz w:val="24"/>
          <w:szCs w:val="24"/>
          <w:lang w:val="en-US" w:eastAsia="zh-CN"/>
        </w:rPr>
        <w:t>月</w:t>
      </w:r>
      <w:r>
        <w:rPr>
          <w:rFonts w:hint="eastAsia" w:ascii="宋体" w:hAnsi="宋体" w:eastAsia="宋体" w:cs="宋体"/>
          <w:sz w:val="24"/>
          <w:szCs w:val="24"/>
          <w:lang w:val="en-GB"/>
        </w:rPr>
        <w:t>实际</w:t>
      </w:r>
      <w:r>
        <w:rPr>
          <w:rFonts w:hint="eastAsia" w:ascii="宋体" w:hAnsi="宋体" w:eastAsia="宋体" w:cs="宋体"/>
          <w:sz w:val="24"/>
          <w:szCs w:val="24"/>
          <w:lang w:val="en-GB" w:eastAsia="zh-CN"/>
        </w:rPr>
        <w:t>使用的</w:t>
      </w:r>
      <w:r>
        <w:rPr>
          <w:rFonts w:hint="eastAsia" w:ascii="宋体" w:hAnsi="宋体" w:eastAsia="宋体" w:cs="宋体"/>
          <w:sz w:val="24"/>
          <w:szCs w:val="24"/>
          <w:lang w:val="en-GB"/>
        </w:rPr>
        <w:t>机柜数量审核费用，按月结算。中标人需保证本次租赁机房机柜间的各类应用网络按要求互联,并保证其高速稳定，保障信息系统的全面安全运营。如涉及机房变更，需</w:t>
      </w:r>
      <w:r>
        <w:rPr>
          <w:rFonts w:hint="eastAsia" w:ascii="宋体" w:hAnsi="宋体" w:eastAsia="宋体" w:cs="宋体"/>
          <w:sz w:val="24"/>
          <w:szCs w:val="24"/>
          <w:lang w:val="en-GB" w:eastAsia="zh-CN"/>
        </w:rPr>
        <w:t>为</w:t>
      </w:r>
      <w:r>
        <w:rPr>
          <w:rFonts w:hint="eastAsia" w:ascii="宋体" w:hAnsi="宋体" w:eastAsia="宋体" w:cs="宋体"/>
          <w:sz w:val="24"/>
          <w:szCs w:val="24"/>
          <w:lang w:val="en-GB"/>
        </w:rPr>
        <w:t>我局原放置在中国电信IDC机房内各类设备提供免费搬迁调试服务，</w:t>
      </w:r>
      <w:r>
        <w:rPr>
          <w:rFonts w:hint="eastAsia" w:ascii="宋体" w:hAnsi="宋体" w:eastAsia="宋体" w:cs="宋体"/>
          <w:sz w:val="24"/>
          <w:szCs w:val="24"/>
          <w:lang w:val="en-GB" w:eastAsia="zh-CN"/>
        </w:rPr>
        <w:t>且核心</w:t>
      </w:r>
      <w:r>
        <w:rPr>
          <w:rFonts w:hint="eastAsia" w:ascii="宋体" w:hAnsi="宋体" w:eastAsia="宋体" w:cs="宋体"/>
          <w:sz w:val="24"/>
          <w:szCs w:val="24"/>
          <w:lang w:val="en-GB"/>
        </w:rPr>
        <w:t>业务中断不得超过2小时</w:t>
      </w:r>
      <w:r>
        <w:rPr>
          <w:rFonts w:hint="eastAsia" w:ascii="宋体" w:hAnsi="宋体" w:eastAsia="宋体" w:cs="宋体"/>
          <w:sz w:val="24"/>
          <w:szCs w:val="24"/>
          <w:lang w:val="en-GB" w:eastAsia="zh-CN"/>
        </w:rPr>
        <w:t>、重要业务中断不超过</w:t>
      </w:r>
      <w:r>
        <w:rPr>
          <w:rFonts w:hint="eastAsia" w:ascii="宋体" w:hAnsi="宋体" w:eastAsia="宋体" w:cs="宋体"/>
          <w:sz w:val="24"/>
          <w:szCs w:val="24"/>
          <w:lang w:val="en-US" w:eastAsia="zh-CN"/>
        </w:rPr>
        <w:t>8小时、其它业务中断不超过24小时</w:t>
      </w:r>
      <w:r>
        <w:rPr>
          <w:rFonts w:hint="eastAsia" w:ascii="宋体" w:hAnsi="宋体" w:eastAsia="宋体" w:cs="宋体"/>
          <w:sz w:val="24"/>
          <w:szCs w:val="24"/>
          <w:lang w:val="en-GB"/>
        </w:rPr>
        <w:t>。</w:t>
      </w:r>
    </w:p>
    <w:p>
      <w:pPr>
        <w:pStyle w:val="3"/>
        <w:keepNext/>
        <w:keepLines/>
        <w:pageBreakBefore w:val="0"/>
        <w:widowControl w:val="0"/>
        <w:numPr>
          <w:ilvl w:val="1"/>
          <w:numId w:val="0"/>
        </w:numPr>
        <w:kinsoku/>
        <w:wordWrap/>
        <w:overflowPunct/>
        <w:topLinePunct w:val="0"/>
        <w:autoSpaceDE/>
        <w:autoSpaceDN/>
        <w:bidi w:val="0"/>
        <w:adjustRightInd/>
        <w:snapToGrid/>
        <w:spacing w:before="0" w:after="0" w:line="360" w:lineRule="auto"/>
        <w:ind w:leftChars="0"/>
        <w:jc w:val="left"/>
        <w:textAlignment w:val="auto"/>
        <w:rPr>
          <w:rFonts w:hint="eastAsia" w:ascii="宋体" w:hAnsi="宋体" w:eastAsia="宋体" w:cs="宋体"/>
          <w:b/>
          <w:sz w:val="24"/>
          <w:szCs w:val="24"/>
          <w:lang w:val="en-GB"/>
        </w:rPr>
      </w:pPr>
      <w:r>
        <w:rPr>
          <w:rFonts w:hint="eastAsia" w:ascii="宋体" w:hAnsi="宋体" w:eastAsia="宋体" w:cs="宋体"/>
          <w:b/>
          <w:sz w:val="24"/>
          <w:szCs w:val="24"/>
          <w:lang w:val="en-GB"/>
        </w:rPr>
        <w:t>（二）租赁需求</w:t>
      </w:r>
    </w:p>
    <w:p>
      <w:pPr>
        <w:pStyle w:val="4"/>
        <w:spacing w:line="360" w:lineRule="auto"/>
        <w:jc w:val="left"/>
        <w:rPr>
          <w:rFonts w:hint="eastAsia" w:ascii="宋体" w:hAnsi="宋体" w:eastAsia="宋体" w:cs="宋体"/>
          <w:sz w:val="24"/>
          <w:szCs w:val="24"/>
          <w:lang w:val="en-GB"/>
        </w:rPr>
      </w:pPr>
      <w:r>
        <w:rPr>
          <w:rFonts w:hint="eastAsia" w:ascii="宋体" w:hAnsi="宋体" w:eastAsia="宋体" w:cs="宋体"/>
          <w:sz w:val="24"/>
          <w:szCs w:val="24"/>
        </w:rPr>
        <w:t>1.</w:t>
      </w:r>
      <w:r>
        <w:rPr>
          <w:rFonts w:hint="eastAsia" w:ascii="宋体" w:hAnsi="宋体" w:eastAsia="宋体" w:cs="宋体"/>
          <w:sz w:val="24"/>
          <w:szCs w:val="24"/>
          <w:lang w:val="en-GB"/>
        </w:rPr>
        <w:t>机房建设标准</w:t>
      </w:r>
    </w:p>
    <w:p>
      <w:pPr>
        <w:widowControl/>
        <w:spacing w:line="360" w:lineRule="auto"/>
        <w:ind w:firstLine="480" w:firstLineChars="200"/>
        <w:jc w:val="left"/>
        <w:rPr>
          <w:rFonts w:hint="eastAsia" w:ascii="宋体" w:hAnsi="宋体" w:eastAsia="宋体" w:cs="宋体"/>
          <w:kern w:val="0"/>
          <w:sz w:val="24"/>
          <w:szCs w:val="24"/>
          <w:lang w:val="en-GB"/>
        </w:rPr>
      </w:pPr>
      <w:r>
        <w:rPr>
          <w:rFonts w:hint="eastAsia" w:ascii="宋体" w:hAnsi="宋体" w:eastAsia="宋体" w:cs="宋体"/>
          <w:sz w:val="24"/>
          <w:szCs w:val="24"/>
        </w:rPr>
        <w:t>（1）提供租赁的无锡本地（不包括江阴、宜兴</w:t>
      </w:r>
      <w:r>
        <w:rPr>
          <w:rFonts w:hint="eastAsia" w:ascii="宋体" w:hAnsi="宋体" w:eastAsia="宋体" w:cs="宋体"/>
          <w:sz w:val="24"/>
          <w:szCs w:val="24"/>
          <w:lang w:eastAsia="zh-CN"/>
        </w:rPr>
        <w:t>，且</w:t>
      </w:r>
      <w:r>
        <w:rPr>
          <w:rFonts w:hint="eastAsia" w:ascii="宋体" w:hAnsi="宋体" w:eastAsia="宋体" w:cs="宋体"/>
          <w:kern w:val="0"/>
          <w:sz w:val="24"/>
          <w:szCs w:val="24"/>
          <w:lang w:eastAsia="zh-CN"/>
        </w:rPr>
        <w:t>距离</w:t>
      </w:r>
      <w:r>
        <w:rPr>
          <w:rFonts w:hint="eastAsia" w:ascii="宋体" w:hAnsi="宋体" w:eastAsia="宋体" w:cs="宋体"/>
          <w:kern w:val="0"/>
          <w:sz w:val="24"/>
          <w:szCs w:val="24"/>
        </w:rPr>
        <w:t>无锡市公安局（高浪西路58号）</w:t>
      </w:r>
      <w:r>
        <w:rPr>
          <w:rFonts w:hint="eastAsia" w:ascii="宋体" w:hAnsi="宋体" w:eastAsia="宋体" w:cs="宋体"/>
          <w:kern w:val="0"/>
          <w:sz w:val="24"/>
          <w:szCs w:val="24"/>
          <w:lang w:eastAsia="zh-CN"/>
        </w:rPr>
        <w:t>不超过</w:t>
      </w:r>
      <w:r>
        <w:rPr>
          <w:rFonts w:hint="eastAsia" w:ascii="宋体" w:hAnsi="宋体" w:eastAsia="宋体" w:cs="宋体"/>
          <w:kern w:val="0"/>
          <w:sz w:val="24"/>
          <w:szCs w:val="24"/>
        </w:rPr>
        <w:t>二十公里</w:t>
      </w:r>
      <w:r>
        <w:rPr>
          <w:rFonts w:hint="eastAsia" w:ascii="宋体" w:hAnsi="宋体" w:eastAsia="宋体" w:cs="宋体"/>
          <w:kern w:val="0"/>
          <w:sz w:val="24"/>
          <w:szCs w:val="24"/>
          <w:lang w:eastAsia="zh-CN"/>
        </w:rPr>
        <w:t>车程</w:t>
      </w:r>
      <w:r>
        <w:rPr>
          <w:rFonts w:hint="eastAsia" w:ascii="宋体" w:hAnsi="宋体" w:eastAsia="宋体" w:cs="宋体"/>
          <w:sz w:val="24"/>
          <w:szCs w:val="24"/>
        </w:rPr>
        <w:t>）机房必须要符合国际数据中心标准和国家计算机机房相关设计、施工、验收等（国家A类机房）一系列标准，包括国家标准和行业标准</w:t>
      </w:r>
      <w:r>
        <w:rPr>
          <w:rFonts w:hint="eastAsia" w:ascii="宋体" w:hAnsi="宋体" w:eastAsia="宋体" w:cs="宋体"/>
          <w:sz w:val="24"/>
          <w:szCs w:val="24"/>
          <w:lang w:eastAsia="zh-CN"/>
        </w:rPr>
        <w:t>。</w:t>
      </w:r>
    </w:p>
    <w:p>
      <w:pPr>
        <w:pStyle w:val="4"/>
        <w:spacing w:line="360" w:lineRule="auto"/>
        <w:jc w:val="left"/>
        <w:rPr>
          <w:rFonts w:hint="eastAsia" w:ascii="宋体" w:hAnsi="宋体" w:eastAsia="宋体" w:cs="宋体"/>
          <w:kern w:val="0"/>
          <w:sz w:val="24"/>
          <w:szCs w:val="24"/>
          <w:lang w:val="en-GB"/>
        </w:rPr>
      </w:pPr>
      <w:r>
        <w:rPr>
          <w:rFonts w:hint="eastAsia" w:ascii="宋体" w:hAnsi="宋体" w:eastAsia="宋体" w:cs="宋体"/>
          <w:sz w:val="24"/>
          <w:szCs w:val="24"/>
        </w:rPr>
        <w:t>2.</w:t>
      </w:r>
      <w:r>
        <w:rPr>
          <w:rFonts w:hint="eastAsia" w:ascii="宋体" w:hAnsi="宋体" w:eastAsia="宋体" w:cs="宋体"/>
          <w:sz w:val="24"/>
          <w:szCs w:val="24"/>
          <w:lang w:val="en-GB"/>
        </w:rPr>
        <w:t>机房选址要求</w:t>
      </w:r>
    </w:p>
    <w:p>
      <w:pPr>
        <w:widowControl/>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GB" w:eastAsia="zh-CN"/>
        </w:rPr>
        <w:t>投标人</w:t>
      </w:r>
      <w:r>
        <w:rPr>
          <w:rFonts w:hint="eastAsia" w:ascii="宋体" w:hAnsi="宋体" w:eastAsia="宋体" w:cs="宋体"/>
          <w:sz w:val="24"/>
          <w:szCs w:val="24"/>
        </w:rPr>
        <w:t>所提供的</w:t>
      </w:r>
      <w:r>
        <w:rPr>
          <w:rFonts w:hint="eastAsia" w:ascii="宋体" w:hAnsi="宋体" w:eastAsia="宋体" w:cs="宋体"/>
          <w:kern w:val="0"/>
          <w:sz w:val="24"/>
          <w:szCs w:val="24"/>
          <w:lang w:val="en-GB"/>
        </w:rPr>
        <w:t>机房须满足机房风险防范要求</w:t>
      </w:r>
      <w:r>
        <w:rPr>
          <w:rFonts w:hint="eastAsia" w:ascii="宋体" w:hAnsi="宋体" w:eastAsia="宋体" w:cs="宋体"/>
          <w:kern w:val="0"/>
          <w:sz w:val="24"/>
          <w:szCs w:val="24"/>
          <w:lang w:val="en-US" w:eastAsia="zh-CN"/>
        </w:rPr>
        <w:t>:</w:t>
      </w:r>
    </w:p>
    <w:p>
      <w:pPr>
        <w:widowControl/>
        <w:spacing w:line="360" w:lineRule="auto"/>
        <w:ind w:firstLine="480" w:firstLineChars="200"/>
        <w:rPr>
          <w:rFonts w:hint="eastAsia" w:ascii="宋体" w:hAnsi="宋体" w:eastAsia="宋体" w:cs="宋体"/>
          <w:kern w:val="0"/>
          <w:sz w:val="24"/>
          <w:szCs w:val="24"/>
          <w:lang w:val="en-GB"/>
        </w:rPr>
      </w:pPr>
      <w:r>
        <w:rPr>
          <w:rFonts w:hint="eastAsia" w:ascii="宋体" w:hAnsi="宋体" w:eastAsia="宋体" w:cs="宋体"/>
          <w:kern w:val="0"/>
          <w:sz w:val="24"/>
          <w:szCs w:val="24"/>
          <w:lang w:val="en-GB"/>
        </w:rPr>
        <w:t>（1）局部自然灾害（水灾内涝、地陷、雷击）；</w:t>
      </w:r>
    </w:p>
    <w:p>
      <w:pPr>
        <w:widowControl/>
        <w:spacing w:line="360" w:lineRule="auto"/>
        <w:ind w:firstLine="480" w:firstLineChars="200"/>
        <w:rPr>
          <w:rFonts w:hint="eastAsia" w:ascii="宋体" w:hAnsi="宋体" w:eastAsia="宋体" w:cs="宋体"/>
          <w:kern w:val="0"/>
          <w:sz w:val="24"/>
          <w:szCs w:val="24"/>
          <w:lang w:val="en-GB"/>
        </w:rPr>
      </w:pPr>
      <w:r>
        <w:rPr>
          <w:rFonts w:hint="eastAsia" w:ascii="宋体" w:hAnsi="宋体" w:eastAsia="宋体" w:cs="宋体"/>
          <w:kern w:val="0"/>
          <w:sz w:val="24"/>
          <w:szCs w:val="24"/>
          <w:lang w:val="en-GB"/>
        </w:rPr>
        <w:t>（2）园区或整个机房范围的灾害性事件（机房火灾、市电/UPS中断、机电设备损坏、园区人为破坏/恐怖袭击、周边地区发生爆炸）；</w:t>
      </w:r>
    </w:p>
    <w:p>
      <w:pPr>
        <w:widowControl/>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数据中心机房不应受到此类风险的影响。以下是可能遇到的灾害性风险（包括但不限于）：</w:t>
      </w:r>
    </w:p>
    <w:tbl>
      <w:tblPr>
        <w:tblStyle w:val="25"/>
        <w:tblW w:w="4998"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873"/>
        <w:gridCol w:w="663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exact"/>
        </w:trPr>
        <w:tc>
          <w:tcPr>
            <w:tcW w:w="1510" w:type="pct"/>
            <w:noWrap w:val="0"/>
            <w:vAlign w:val="center"/>
          </w:tcPr>
          <w:p>
            <w:pPr>
              <w:keepLines/>
              <w:widowControl/>
              <w:spacing w:before="156" w:beforeLines="50" w:after="156" w:afterLines="50" w:line="360" w:lineRule="auto"/>
              <w:jc w:val="center"/>
              <w:rPr>
                <w:rFonts w:hint="eastAsia" w:ascii="宋体" w:hAnsi="宋体" w:eastAsia="宋体" w:cs="宋体"/>
                <w:bCs/>
                <w:kern w:val="0"/>
                <w:sz w:val="24"/>
                <w:szCs w:val="24"/>
                <w:lang w:val="en-GB" w:eastAsia="en-US"/>
              </w:rPr>
            </w:pPr>
            <w:r>
              <w:rPr>
                <w:rFonts w:hint="eastAsia" w:ascii="宋体" w:hAnsi="宋体" w:eastAsia="宋体" w:cs="宋体"/>
                <w:bCs/>
                <w:kern w:val="0"/>
                <w:sz w:val="24"/>
                <w:szCs w:val="24"/>
                <w:lang w:val="en-GB" w:eastAsia="en-US"/>
              </w:rPr>
              <w:t>风险</w:t>
            </w:r>
          </w:p>
        </w:tc>
        <w:tc>
          <w:tcPr>
            <w:tcW w:w="3489" w:type="pct"/>
            <w:noWrap w:val="0"/>
            <w:vAlign w:val="center"/>
          </w:tcPr>
          <w:p>
            <w:pPr>
              <w:keepLines/>
              <w:widowControl/>
              <w:spacing w:before="156" w:beforeLines="50" w:after="156" w:afterLines="50" w:line="360" w:lineRule="auto"/>
              <w:jc w:val="center"/>
              <w:rPr>
                <w:rFonts w:hint="eastAsia" w:ascii="宋体" w:hAnsi="宋体" w:eastAsia="宋体" w:cs="宋体"/>
                <w:bCs/>
                <w:kern w:val="0"/>
                <w:sz w:val="24"/>
                <w:szCs w:val="24"/>
                <w:lang w:val="en-GB" w:eastAsia="en-US"/>
              </w:rPr>
            </w:pPr>
            <w:r>
              <w:rPr>
                <w:rFonts w:hint="eastAsia" w:ascii="宋体" w:hAnsi="宋体" w:eastAsia="宋体" w:cs="宋体"/>
                <w:bCs/>
                <w:kern w:val="0"/>
                <w:sz w:val="24"/>
                <w:szCs w:val="24"/>
                <w:lang w:val="en-GB" w:eastAsia="en-US"/>
              </w:rPr>
              <w:t>说明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3" w:hRule="exact"/>
        </w:trPr>
        <w:tc>
          <w:tcPr>
            <w:tcW w:w="1510" w:type="pct"/>
            <w:noWrap w:val="0"/>
            <w:vAlign w:val="center"/>
          </w:tcPr>
          <w:p>
            <w:pPr>
              <w:keepNext w:val="0"/>
              <w:keepLines/>
              <w:pageBreakBefore w:val="0"/>
              <w:widowControl/>
              <w:kinsoku/>
              <w:wordWrap/>
              <w:overflowPunct/>
              <w:topLinePunct w:val="0"/>
              <w:autoSpaceDE/>
              <w:autoSpaceDN/>
              <w:bidi w:val="0"/>
              <w:adjustRightInd/>
              <w:snapToGrid/>
              <w:spacing w:before="156" w:beforeLines="50" w:after="156" w:afterLines="50" w:line="240" w:lineRule="auto"/>
              <w:jc w:val="left"/>
              <w:textAlignment w:val="auto"/>
              <w:rPr>
                <w:rFonts w:hint="eastAsia" w:ascii="宋体" w:hAnsi="宋体" w:eastAsia="宋体" w:cs="宋体"/>
                <w:snapToGrid w:val="0"/>
                <w:color w:val="000000"/>
                <w:kern w:val="0"/>
                <w:sz w:val="24"/>
                <w:szCs w:val="24"/>
                <w:lang w:val="en-GB" w:eastAsia="en-US"/>
              </w:rPr>
            </w:pPr>
            <w:r>
              <w:rPr>
                <w:rFonts w:hint="eastAsia" w:ascii="宋体" w:hAnsi="宋体" w:eastAsia="宋体" w:cs="宋体"/>
                <w:snapToGrid w:val="0"/>
                <w:color w:val="000000"/>
                <w:kern w:val="0"/>
                <w:sz w:val="24"/>
                <w:szCs w:val="24"/>
                <w:lang w:val="en-GB" w:eastAsia="en-US"/>
              </w:rPr>
              <w:t>季节性或本地洪水</w:t>
            </w:r>
          </w:p>
        </w:tc>
        <w:tc>
          <w:tcPr>
            <w:tcW w:w="3489" w:type="pct"/>
            <w:noWrap w:val="0"/>
            <w:vAlign w:val="center"/>
          </w:tcPr>
          <w:p>
            <w:pPr>
              <w:keepNext w:val="0"/>
              <w:keepLines/>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rPr>
            </w:pPr>
            <w:r>
              <w:rPr>
                <w:rFonts w:hint="eastAsia" w:ascii="宋体" w:hAnsi="宋体" w:eastAsia="宋体" w:cs="宋体"/>
                <w:snapToGrid w:val="0"/>
                <w:color w:val="000000"/>
                <w:kern w:val="0"/>
                <w:sz w:val="24"/>
                <w:szCs w:val="24"/>
              </w:rPr>
              <w:t>楼边天然河道，容易涨水，</w:t>
            </w:r>
            <w:r>
              <w:rPr>
                <w:rFonts w:hint="eastAsia" w:ascii="宋体" w:hAnsi="宋体" w:eastAsia="宋体" w:cs="宋体"/>
                <w:kern w:val="0"/>
                <w:sz w:val="24"/>
                <w:szCs w:val="24"/>
              </w:rPr>
              <w:t>洪水可能淹没一楼的供电设备，通讯线路等。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exact"/>
        </w:trPr>
        <w:tc>
          <w:tcPr>
            <w:tcW w:w="1510" w:type="pct"/>
            <w:noWrap w:val="0"/>
            <w:vAlign w:val="center"/>
          </w:tcPr>
          <w:p>
            <w:pPr>
              <w:keepNext w:val="0"/>
              <w:keepLines/>
              <w:pageBreakBefore w:val="0"/>
              <w:widowControl/>
              <w:kinsoku/>
              <w:wordWrap/>
              <w:overflowPunct/>
              <w:topLinePunct w:val="0"/>
              <w:autoSpaceDE/>
              <w:autoSpaceDN/>
              <w:bidi w:val="0"/>
              <w:adjustRightInd/>
              <w:snapToGrid/>
              <w:spacing w:before="156" w:beforeLines="50" w:after="156" w:afterLines="50" w:line="240" w:lineRule="auto"/>
              <w:jc w:val="left"/>
              <w:textAlignment w:val="auto"/>
              <w:rPr>
                <w:rFonts w:hint="eastAsia" w:ascii="宋体" w:hAnsi="宋体" w:eastAsia="宋体" w:cs="宋体"/>
                <w:snapToGrid w:val="0"/>
                <w:color w:val="000000"/>
                <w:kern w:val="0"/>
                <w:sz w:val="24"/>
                <w:szCs w:val="24"/>
                <w:lang w:val="en-GB" w:eastAsia="en-US"/>
              </w:rPr>
            </w:pPr>
            <w:r>
              <w:rPr>
                <w:rFonts w:hint="eastAsia" w:ascii="宋体" w:hAnsi="宋体" w:eastAsia="宋体" w:cs="宋体"/>
                <w:snapToGrid w:val="0"/>
                <w:color w:val="000000"/>
                <w:kern w:val="0"/>
                <w:sz w:val="24"/>
                <w:szCs w:val="24"/>
                <w:lang w:val="en-GB" w:eastAsia="en-US"/>
              </w:rPr>
              <w:t>地陷</w:t>
            </w:r>
          </w:p>
        </w:tc>
        <w:tc>
          <w:tcPr>
            <w:tcW w:w="3489" w:type="pct"/>
            <w:noWrap w:val="0"/>
            <w:vAlign w:val="center"/>
          </w:tcPr>
          <w:p>
            <w:pPr>
              <w:keepNext w:val="0"/>
              <w:keepLines/>
              <w:pageBreakBefore w:val="0"/>
              <w:widowControl/>
              <w:kinsoku/>
              <w:wordWrap/>
              <w:overflowPunct/>
              <w:topLinePunct w:val="0"/>
              <w:autoSpaceDE/>
              <w:autoSpaceDN/>
              <w:bidi w:val="0"/>
              <w:adjustRightInd/>
              <w:snapToGrid/>
              <w:spacing w:before="156" w:beforeLines="50" w:after="156" w:afterLines="50" w:line="240" w:lineRule="auto"/>
              <w:textAlignment w:val="auto"/>
              <w:rPr>
                <w:rFonts w:hint="eastAsia" w:ascii="宋体" w:hAnsi="宋体" w:eastAsia="宋体" w:cs="宋体"/>
                <w:snapToGrid w:val="0"/>
                <w:color w:val="000000"/>
                <w:kern w:val="0"/>
                <w:sz w:val="24"/>
                <w:szCs w:val="24"/>
                <w:lang w:val="en-GB"/>
              </w:rPr>
            </w:pPr>
            <w:r>
              <w:rPr>
                <w:rFonts w:hint="eastAsia" w:ascii="宋体" w:hAnsi="宋体" w:eastAsia="宋体" w:cs="宋体"/>
                <w:snapToGrid w:val="0"/>
                <w:color w:val="000000"/>
                <w:kern w:val="0"/>
                <w:sz w:val="24"/>
                <w:szCs w:val="24"/>
                <w:lang w:val="en-GB"/>
              </w:rPr>
              <w:t>周边有小河，可能发生发生地陷情况。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exact"/>
        </w:trPr>
        <w:tc>
          <w:tcPr>
            <w:tcW w:w="1510" w:type="pct"/>
            <w:noWrap w:val="0"/>
            <w:vAlign w:val="center"/>
          </w:tcPr>
          <w:p>
            <w:pPr>
              <w:keepNext w:val="0"/>
              <w:keepLines/>
              <w:pageBreakBefore w:val="0"/>
              <w:widowControl/>
              <w:kinsoku/>
              <w:wordWrap/>
              <w:overflowPunct/>
              <w:topLinePunct w:val="0"/>
              <w:autoSpaceDE/>
              <w:autoSpaceDN/>
              <w:bidi w:val="0"/>
              <w:adjustRightInd/>
              <w:snapToGrid/>
              <w:spacing w:before="156" w:beforeLines="50" w:after="156" w:afterLines="50" w:line="240" w:lineRule="auto"/>
              <w:jc w:val="left"/>
              <w:textAlignment w:val="auto"/>
              <w:rPr>
                <w:rFonts w:hint="eastAsia" w:ascii="宋体" w:hAnsi="宋体" w:eastAsia="宋体" w:cs="宋体"/>
                <w:snapToGrid w:val="0"/>
                <w:color w:val="000000"/>
                <w:kern w:val="0"/>
                <w:sz w:val="24"/>
                <w:szCs w:val="24"/>
                <w:lang w:val="en-GB" w:eastAsia="en-US"/>
              </w:rPr>
            </w:pPr>
            <w:r>
              <w:rPr>
                <w:rFonts w:hint="eastAsia" w:ascii="宋体" w:hAnsi="宋体" w:eastAsia="宋体" w:cs="宋体"/>
                <w:snapToGrid w:val="0"/>
                <w:color w:val="000000"/>
                <w:kern w:val="0"/>
                <w:sz w:val="24"/>
                <w:szCs w:val="24"/>
                <w:lang w:val="en-GB" w:eastAsia="en-US"/>
              </w:rPr>
              <w:t>周边地区发生爆炸</w:t>
            </w:r>
          </w:p>
        </w:tc>
        <w:tc>
          <w:tcPr>
            <w:tcW w:w="3489" w:type="pct"/>
            <w:noWrap w:val="0"/>
            <w:vAlign w:val="center"/>
          </w:tcPr>
          <w:p>
            <w:pPr>
              <w:keepNext w:val="0"/>
              <w:keepLines/>
              <w:pageBreakBefore w:val="0"/>
              <w:widowControl/>
              <w:kinsoku/>
              <w:wordWrap/>
              <w:overflowPunct/>
              <w:topLinePunct w:val="0"/>
              <w:autoSpaceDE/>
              <w:autoSpaceDN/>
              <w:bidi w:val="0"/>
              <w:adjustRightInd/>
              <w:snapToGrid/>
              <w:spacing w:before="156" w:beforeLines="50" w:after="156" w:afterLines="50" w:line="240" w:lineRule="auto"/>
              <w:textAlignment w:val="auto"/>
              <w:rPr>
                <w:rFonts w:hint="eastAsia" w:ascii="宋体" w:hAnsi="宋体" w:eastAsia="宋体" w:cs="宋体"/>
                <w:snapToGrid w:val="0"/>
                <w:color w:val="000000"/>
                <w:kern w:val="0"/>
                <w:sz w:val="24"/>
                <w:szCs w:val="24"/>
                <w:lang w:val="en-GB"/>
              </w:rPr>
            </w:pPr>
            <w:r>
              <w:rPr>
                <w:rFonts w:hint="eastAsia" w:ascii="宋体" w:hAnsi="宋体" w:eastAsia="宋体" w:cs="宋体"/>
                <w:snapToGrid w:val="0"/>
                <w:color w:val="000000"/>
                <w:kern w:val="0"/>
                <w:sz w:val="24"/>
                <w:szCs w:val="24"/>
                <w:lang w:val="en-GB"/>
              </w:rPr>
              <w:t>大楼周边有工厂或爆燃源，有发生爆炸的危险。</w:t>
            </w:r>
          </w:p>
        </w:tc>
      </w:tr>
    </w:tbl>
    <w:p>
      <w:pPr>
        <w:pStyle w:val="4"/>
        <w:spacing w:line="360" w:lineRule="auto"/>
        <w:jc w:val="left"/>
        <w:rPr>
          <w:rFonts w:hint="eastAsia" w:ascii="宋体" w:hAnsi="宋体" w:eastAsia="宋体" w:cs="宋体"/>
          <w:sz w:val="24"/>
          <w:szCs w:val="24"/>
          <w:lang w:val="en-GB"/>
        </w:rPr>
      </w:pPr>
      <w:r>
        <w:rPr>
          <w:rFonts w:hint="eastAsia" w:ascii="宋体" w:hAnsi="宋体" w:eastAsia="宋体" w:cs="宋体"/>
          <w:sz w:val="24"/>
          <w:szCs w:val="24"/>
        </w:rPr>
        <w:t>3.</w:t>
      </w:r>
      <w:r>
        <w:rPr>
          <w:rFonts w:hint="eastAsia" w:ascii="宋体" w:hAnsi="宋体" w:eastAsia="宋体" w:cs="宋体"/>
          <w:sz w:val="24"/>
          <w:szCs w:val="24"/>
          <w:lang w:val="en-GB"/>
        </w:rPr>
        <w:t>机房建筑要求</w:t>
      </w:r>
    </w:p>
    <w:p>
      <w:pPr>
        <w:widowControl/>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w:t>
      </w:r>
      <w:r>
        <w:rPr>
          <w:rFonts w:hint="eastAsia" w:ascii="宋体" w:hAnsi="宋体" w:eastAsia="宋体" w:cs="宋体"/>
          <w:sz w:val="24"/>
          <w:szCs w:val="24"/>
        </w:rPr>
        <w:t>1</w:t>
      </w:r>
      <w:r>
        <w:rPr>
          <w:rFonts w:hint="eastAsia" w:ascii="宋体" w:hAnsi="宋体" w:eastAsia="宋体" w:cs="宋体"/>
          <w:sz w:val="24"/>
          <w:szCs w:val="24"/>
          <w:lang w:val="en-GB"/>
        </w:rPr>
        <w:t>）机房大楼防灾抗震烈度6度及以上；</w:t>
      </w:r>
    </w:p>
    <w:p>
      <w:pPr>
        <w:widowControl/>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w:t>
      </w:r>
      <w:r>
        <w:rPr>
          <w:rFonts w:hint="eastAsia" w:ascii="宋体" w:hAnsi="宋体" w:eastAsia="宋体" w:cs="宋体"/>
          <w:sz w:val="24"/>
          <w:szCs w:val="24"/>
        </w:rPr>
        <w:t>2</w:t>
      </w:r>
      <w:r>
        <w:rPr>
          <w:rFonts w:hint="eastAsia" w:ascii="宋体" w:hAnsi="宋体" w:eastAsia="宋体" w:cs="宋体"/>
          <w:sz w:val="24"/>
          <w:szCs w:val="24"/>
          <w:lang w:val="en-GB"/>
        </w:rPr>
        <w:t>）机房大楼具备完善的防水防渗漏处理,机房建筑海拔净高5米以上；</w:t>
      </w:r>
    </w:p>
    <w:p>
      <w:pPr>
        <w:widowControl/>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w:t>
      </w:r>
      <w:r>
        <w:rPr>
          <w:rFonts w:hint="eastAsia" w:ascii="宋体" w:hAnsi="宋体" w:eastAsia="宋体" w:cs="宋体"/>
          <w:sz w:val="24"/>
          <w:szCs w:val="24"/>
        </w:rPr>
        <w:t>3</w:t>
      </w:r>
      <w:r>
        <w:rPr>
          <w:rFonts w:hint="eastAsia" w:ascii="宋体" w:hAnsi="宋体" w:eastAsia="宋体" w:cs="宋体"/>
          <w:sz w:val="24"/>
          <w:szCs w:val="24"/>
          <w:lang w:val="en-GB"/>
        </w:rPr>
        <w:t>）机房净高</w:t>
      </w:r>
      <w:r>
        <w:rPr>
          <w:rFonts w:hint="eastAsia" w:ascii="宋体" w:hAnsi="宋体" w:eastAsia="宋体" w:cs="宋体"/>
          <w:sz w:val="24"/>
          <w:szCs w:val="24"/>
          <w:lang w:val="en-US" w:eastAsia="zh-CN"/>
        </w:rPr>
        <w:t>3</w:t>
      </w:r>
      <w:r>
        <w:rPr>
          <w:rFonts w:hint="eastAsia" w:ascii="宋体" w:hAnsi="宋体" w:eastAsia="宋体" w:cs="宋体"/>
          <w:sz w:val="24"/>
          <w:szCs w:val="24"/>
          <w:lang w:val="en-GB"/>
        </w:rPr>
        <w:t>米以上（高架地板到梁底或者吊顶）；</w:t>
      </w:r>
    </w:p>
    <w:p>
      <w:pPr>
        <w:widowControl/>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w:t>
      </w:r>
      <w:r>
        <w:rPr>
          <w:rFonts w:hint="eastAsia" w:ascii="宋体" w:hAnsi="宋体" w:eastAsia="宋体" w:cs="宋体"/>
          <w:sz w:val="24"/>
          <w:szCs w:val="24"/>
        </w:rPr>
        <w:t>4</w:t>
      </w:r>
      <w:r>
        <w:rPr>
          <w:rFonts w:hint="eastAsia" w:ascii="宋体" w:hAnsi="宋体" w:eastAsia="宋体" w:cs="宋体"/>
          <w:sz w:val="24"/>
          <w:szCs w:val="24"/>
          <w:highlight w:val="none"/>
          <w:lang w:val="en-GB"/>
        </w:rPr>
        <w:t>）楼板承重不低于</w:t>
      </w:r>
      <w:r>
        <w:rPr>
          <w:rFonts w:hint="eastAsia" w:ascii="宋体" w:hAnsi="宋体" w:eastAsia="宋体" w:cs="宋体"/>
          <w:sz w:val="24"/>
          <w:szCs w:val="24"/>
          <w:highlight w:val="none"/>
          <w:lang w:val="en-US" w:eastAsia="zh-CN"/>
        </w:rPr>
        <w:t>6KN</w:t>
      </w:r>
      <w:r>
        <w:rPr>
          <w:rFonts w:hint="eastAsia" w:ascii="宋体" w:hAnsi="宋体" w:eastAsia="宋体" w:cs="宋体"/>
          <w:sz w:val="24"/>
          <w:szCs w:val="24"/>
          <w:highlight w:val="none"/>
          <w:lang w:val="en-GB"/>
        </w:rPr>
        <w:t>/m</w:t>
      </w:r>
      <w:r>
        <w:rPr>
          <w:rFonts w:hint="eastAsia" w:ascii="宋体" w:hAnsi="宋体" w:eastAsia="宋体" w:cs="宋体"/>
          <w:sz w:val="24"/>
          <w:szCs w:val="24"/>
          <w:highlight w:val="none"/>
          <w:vertAlign w:val="superscript"/>
          <w:lang w:val="en-GB"/>
        </w:rPr>
        <w:t>2</w:t>
      </w:r>
      <w:r>
        <w:rPr>
          <w:rFonts w:hint="eastAsia" w:ascii="宋体" w:hAnsi="宋体" w:eastAsia="宋体" w:cs="宋体"/>
          <w:sz w:val="24"/>
          <w:szCs w:val="24"/>
          <w:highlight w:val="none"/>
          <w:lang w:val="en-GB"/>
        </w:rPr>
        <w:t>（如不能满足活载荷</w:t>
      </w:r>
      <w:r>
        <w:rPr>
          <w:rFonts w:hint="eastAsia" w:ascii="宋体" w:hAnsi="宋体" w:eastAsia="宋体" w:cs="宋体"/>
          <w:sz w:val="24"/>
          <w:szCs w:val="24"/>
          <w:highlight w:val="none"/>
          <w:lang w:val="en-US" w:eastAsia="zh-CN"/>
        </w:rPr>
        <w:t>6KN</w:t>
      </w:r>
      <w:r>
        <w:rPr>
          <w:rFonts w:hint="eastAsia" w:ascii="宋体" w:hAnsi="宋体" w:eastAsia="宋体" w:cs="宋体"/>
          <w:sz w:val="24"/>
          <w:szCs w:val="24"/>
          <w:highlight w:val="none"/>
          <w:lang w:val="en-GB"/>
        </w:rPr>
        <w:t>/m</w:t>
      </w:r>
      <w:r>
        <w:rPr>
          <w:rFonts w:hint="eastAsia" w:ascii="宋体" w:hAnsi="宋体" w:eastAsia="宋体" w:cs="宋体"/>
          <w:sz w:val="24"/>
          <w:szCs w:val="24"/>
          <w:highlight w:val="none"/>
          <w:vertAlign w:val="superscript"/>
          <w:lang w:val="en-GB"/>
        </w:rPr>
        <w:t>2</w:t>
      </w:r>
      <w:r>
        <w:rPr>
          <w:rFonts w:hint="eastAsia" w:ascii="宋体" w:hAnsi="宋体" w:eastAsia="宋体" w:cs="宋体"/>
          <w:sz w:val="24"/>
          <w:szCs w:val="24"/>
          <w:lang w:val="en-GB"/>
        </w:rPr>
        <w:t>，必须加固达到要求）；</w:t>
      </w:r>
    </w:p>
    <w:p>
      <w:pPr>
        <w:widowControl/>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w:t>
      </w:r>
      <w:r>
        <w:rPr>
          <w:rFonts w:hint="eastAsia" w:ascii="宋体" w:hAnsi="宋体" w:eastAsia="宋体" w:cs="宋体"/>
          <w:sz w:val="24"/>
          <w:szCs w:val="24"/>
        </w:rPr>
        <w:t>5</w:t>
      </w:r>
      <w:r>
        <w:rPr>
          <w:rFonts w:hint="eastAsia" w:ascii="宋体" w:hAnsi="宋体" w:eastAsia="宋体" w:cs="宋体"/>
          <w:sz w:val="24"/>
          <w:szCs w:val="24"/>
          <w:lang w:val="en-GB"/>
        </w:rPr>
        <w:t>）地面层不少于40平方米的卸货展开区域,有卸货平台；</w:t>
      </w:r>
    </w:p>
    <w:p>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GB"/>
        </w:rPr>
        <w:t>（</w:t>
      </w:r>
      <w:r>
        <w:rPr>
          <w:rFonts w:hint="eastAsia" w:ascii="宋体" w:hAnsi="宋体" w:eastAsia="宋体" w:cs="宋体"/>
          <w:sz w:val="24"/>
          <w:szCs w:val="24"/>
        </w:rPr>
        <w:t>6</w:t>
      </w:r>
      <w:r>
        <w:rPr>
          <w:rFonts w:hint="eastAsia" w:ascii="宋体" w:hAnsi="宋体" w:eastAsia="宋体" w:cs="宋体"/>
          <w:sz w:val="24"/>
          <w:szCs w:val="24"/>
          <w:lang w:val="en-GB"/>
        </w:rPr>
        <w:t>）整个运输路径，所有通道、门、电梯宽度不小于1.</w:t>
      </w:r>
      <w:r>
        <w:rPr>
          <w:rFonts w:hint="eastAsia" w:ascii="宋体" w:hAnsi="宋体" w:eastAsia="宋体" w:cs="宋体"/>
          <w:sz w:val="24"/>
          <w:szCs w:val="24"/>
          <w:lang w:val="en-US" w:eastAsia="zh-CN"/>
        </w:rPr>
        <w:t>2</w:t>
      </w:r>
      <w:r>
        <w:rPr>
          <w:rFonts w:hint="eastAsia" w:ascii="宋体" w:hAnsi="宋体" w:eastAsia="宋体" w:cs="宋体"/>
          <w:sz w:val="24"/>
          <w:szCs w:val="24"/>
          <w:lang w:val="en-GB"/>
        </w:rPr>
        <w:t>米，高度不小于2米，</w:t>
      </w:r>
      <w:r>
        <w:rPr>
          <w:rFonts w:hint="eastAsia" w:ascii="宋体" w:hAnsi="宋体" w:eastAsia="宋体" w:cs="宋体"/>
          <w:sz w:val="24"/>
          <w:szCs w:val="24"/>
          <w:highlight w:val="none"/>
          <w:lang w:val="en-GB" w:eastAsia="zh-CN"/>
        </w:rPr>
        <w:t>进深不小于</w:t>
      </w:r>
      <w:r>
        <w:rPr>
          <w:rFonts w:hint="eastAsia" w:ascii="宋体" w:hAnsi="宋体" w:eastAsia="宋体" w:cs="宋体"/>
          <w:sz w:val="24"/>
          <w:szCs w:val="24"/>
          <w:highlight w:val="none"/>
          <w:lang w:val="en-US" w:eastAsia="zh-CN"/>
        </w:rPr>
        <w:t>2米</w:t>
      </w:r>
      <w:r>
        <w:rPr>
          <w:rFonts w:hint="eastAsia" w:ascii="宋体" w:hAnsi="宋体" w:eastAsia="宋体" w:cs="宋体"/>
          <w:sz w:val="24"/>
          <w:szCs w:val="24"/>
          <w:lang w:val="en-US" w:eastAsia="zh-CN"/>
        </w:rPr>
        <w:t>,</w:t>
      </w:r>
      <w:r>
        <w:rPr>
          <w:rFonts w:hint="eastAsia" w:ascii="宋体" w:hAnsi="宋体" w:eastAsia="宋体" w:cs="宋体"/>
          <w:sz w:val="24"/>
          <w:szCs w:val="24"/>
          <w:lang w:val="en-GB"/>
        </w:rPr>
        <w:t>货梯载重能力不小于2吨。</w:t>
      </w:r>
    </w:p>
    <w:p>
      <w:pPr>
        <w:pStyle w:val="4"/>
        <w:spacing w:line="360" w:lineRule="auto"/>
        <w:jc w:val="left"/>
        <w:rPr>
          <w:rFonts w:hint="eastAsia" w:ascii="宋体" w:hAnsi="宋体" w:eastAsia="宋体" w:cs="宋体"/>
          <w:sz w:val="24"/>
          <w:szCs w:val="24"/>
          <w:lang w:val="en-GB"/>
        </w:rPr>
      </w:pPr>
      <w:r>
        <w:rPr>
          <w:rFonts w:hint="eastAsia" w:ascii="宋体" w:hAnsi="宋体" w:eastAsia="宋体" w:cs="宋体"/>
          <w:sz w:val="24"/>
          <w:szCs w:val="24"/>
        </w:rPr>
        <w:t>4.</w:t>
      </w:r>
      <w:r>
        <w:rPr>
          <w:rFonts w:hint="eastAsia" w:ascii="宋体" w:hAnsi="宋体" w:eastAsia="宋体" w:cs="宋体"/>
          <w:sz w:val="24"/>
          <w:szCs w:val="24"/>
          <w:lang w:val="en-GB"/>
        </w:rPr>
        <w:t>市电输入要求</w:t>
      </w:r>
    </w:p>
    <w:p>
      <w:pPr>
        <w:widowControl/>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w:t>
      </w:r>
      <w:r>
        <w:rPr>
          <w:rFonts w:hint="eastAsia" w:ascii="宋体" w:hAnsi="宋体" w:eastAsia="宋体" w:cs="宋体"/>
          <w:sz w:val="24"/>
          <w:szCs w:val="24"/>
        </w:rPr>
        <w:t>1</w:t>
      </w:r>
      <w:r>
        <w:rPr>
          <w:rFonts w:hint="eastAsia" w:ascii="宋体" w:hAnsi="宋体" w:eastAsia="宋体" w:cs="宋体"/>
          <w:sz w:val="24"/>
          <w:szCs w:val="24"/>
          <w:lang w:val="en-GB"/>
        </w:rPr>
        <w:t>）</w:t>
      </w:r>
      <w:r>
        <w:rPr>
          <w:rFonts w:hint="eastAsia" w:ascii="宋体" w:hAnsi="宋体" w:eastAsia="宋体" w:cs="宋体"/>
          <w:sz w:val="24"/>
          <w:szCs w:val="24"/>
          <w:lang w:val="en-US" w:eastAsia="zh-CN"/>
        </w:rPr>
        <w:t>具备</w:t>
      </w:r>
      <w:r>
        <w:rPr>
          <w:rFonts w:hint="eastAsia" w:ascii="宋体" w:hAnsi="宋体" w:eastAsia="宋体" w:cs="宋体"/>
          <w:sz w:val="24"/>
          <w:szCs w:val="24"/>
          <w:lang w:val="en-GB"/>
        </w:rPr>
        <w:t>两路来自不同局向的市电高压电专线供电；</w:t>
      </w:r>
    </w:p>
    <w:p>
      <w:pPr>
        <w:widowControl/>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w:t>
      </w:r>
      <w:r>
        <w:rPr>
          <w:rFonts w:hint="eastAsia" w:ascii="宋体" w:hAnsi="宋体" w:eastAsia="宋体" w:cs="宋体"/>
          <w:sz w:val="24"/>
          <w:szCs w:val="24"/>
        </w:rPr>
        <w:t>2</w:t>
      </w:r>
      <w:r>
        <w:rPr>
          <w:rFonts w:hint="eastAsia" w:ascii="宋体" w:hAnsi="宋体" w:eastAsia="宋体" w:cs="宋体"/>
          <w:sz w:val="24"/>
          <w:szCs w:val="24"/>
          <w:lang w:val="en-GB"/>
        </w:rPr>
        <w:t>）自备110KV/10KV变电站，两路市电间通过母联可以自动切换，回切手动；</w:t>
      </w:r>
    </w:p>
    <w:p>
      <w:pPr>
        <w:pStyle w:val="54"/>
        <w:spacing w:line="360" w:lineRule="auto"/>
        <w:ind w:firstLine="480"/>
        <w:jc w:val="left"/>
        <w:rPr>
          <w:rFonts w:hint="eastAsia" w:ascii="宋体" w:hAnsi="宋体" w:eastAsia="宋体" w:cs="宋体"/>
          <w:bCs/>
          <w:color w:val="366091"/>
          <w:sz w:val="24"/>
          <w:szCs w:val="24"/>
          <w:lang w:val="en-GB"/>
        </w:rPr>
      </w:pPr>
      <w:r>
        <w:rPr>
          <w:rFonts w:hint="eastAsia" w:ascii="宋体" w:hAnsi="宋体" w:eastAsia="宋体" w:cs="宋体"/>
          <w:sz w:val="24"/>
          <w:szCs w:val="24"/>
          <w:lang w:val="en-GB"/>
        </w:rPr>
        <w:t>（</w:t>
      </w:r>
      <w:r>
        <w:rPr>
          <w:rFonts w:hint="eastAsia" w:ascii="宋体" w:hAnsi="宋体" w:eastAsia="宋体" w:cs="宋体"/>
          <w:sz w:val="24"/>
          <w:szCs w:val="24"/>
        </w:rPr>
        <w:t>3</w:t>
      </w:r>
      <w:r>
        <w:rPr>
          <w:rFonts w:hint="eastAsia" w:ascii="宋体" w:hAnsi="宋体" w:eastAsia="宋体" w:cs="宋体"/>
          <w:sz w:val="24"/>
          <w:szCs w:val="24"/>
          <w:lang w:val="en-GB"/>
        </w:rPr>
        <w:t>）机房必须保证电力的持续供应：即保证向客户提供的市电</w:t>
      </w:r>
      <w:r>
        <w:rPr>
          <w:rFonts w:hint="eastAsia" w:ascii="宋体" w:hAnsi="宋体" w:eastAsia="宋体" w:cs="宋体"/>
          <w:sz w:val="24"/>
          <w:szCs w:val="24"/>
          <w:lang w:val="en-US" w:eastAsia="zh-CN"/>
        </w:rPr>
        <w:t>和</w:t>
      </w:r>
      <w:r>
        <w:rPr>
          <w:rFonts w:hint="eastAsia" w:ascii="宋体" w:hAnsi="宋体" w:eastAsia="宋体" w:cs="宋体"/>
          <w:sz w:val="24"/>
          <w:szCs w:val="24"/>
          <w:lang w:val="en-GB"/>
        </w:rPr>
        <w:t>UPS</w:t>
      </w:r>
      <w:r>
        <w:rPr>
          <w:rFonts w:hint="eastAsia" w:ascii="宋体" w:hAnsi="宋体" w:eastAsia="宋体" w:cs="宋体"/>
          <w:sz w:val="24"/>
          <w:szCs w:val="24"/>
          <w:lang w:val="en-GB" w:eastAsia="zh-CN"/>
        </w:rPr>
        <w:t>（</w:t>
      </w:r>
      <w:r>
        <w:rPr>
          <w:rFonts w:hint="eastAsia" w:ascii="宋体" w:hAnsi="宋体" w:eastAsia="宋体" w:cs="宋体"/>
          <w:sz w:val="24"/>
          <w:szCs w:val="24"/>
          <w:lang w:val="en-US" w:eastAsia="zh-CN"/>
        </w:rPr>
        <w:t>DPS）</w:t>
      </w:r>
      <w:r>
        <w:rPr>
          <w:rFonts w:hint="eastAsia" w:ascii="宋体" w:hAnsi="宋体" w:eastAsia="宋体" w:cs="宋体"/>
          <w:sz w:val="24"/>
          <w:szCs w:val="24"/>
          <w:lang w:val="en-GB"/>
        </w:rPr>
        <w:t>供电，并配备大型的柴油机组为机房提供后备电源。</w:t>
      </w:r>
    </w:p>
    <w:p>
      <w:pPr>
        <w:pStyle w:val="4"/>
        <w:spacing w:line="360" w:lineRule="auto"/>
        <w:jc w:val="left"/>
        <w:rPr>
          <w:rFonts w:hint="eastAsia" w:ascii="宋体" w:hAnsi="宋体" w:eastAsia="宋体" w:cs="宋体"/>
          <w:sz w:val="24"/>
          <w:szCs w:val="24"/>
          <w:lang w:val="en-GB"/>
        </w:rPr>
      </w:pPr>
      <w:r>
        <w:rPr>
          <w:rFonts w:hint="eastAsia" w:ascii="宋体" w:hAnsi="宋体" w:eastAsia="宋体" w:cs="宋体"/>
          <w:sz w:val="24"/>
          <w:szCs w:val="24"/>
        </w:rPr>
        <w:t>5.</w:t>
      </w:r>
      <w:r>
        <w:rPr>
          <w:rFonts w:hint="eastAsia" w:ascii="宋体" w:hAnsi="宋体" w:eastAsia="宋体" w:cs="宋体"/>
          <w:sz w:val="24"/>
          <w:szCs w:val="24"/>
          <w:lang w:val="en-GB"/>
        </w:rPr>
        <w:t>机房面积要求</w:t>
      </w:r>
    </w:p>
    <w:p>
      <w:pPr>
        <w:pStyle w:val="54"/>
        <w:spacing w:line="360" w:lineRule="auto"/>
        <w:ind w:firstLine="480"/>
        <w:jc w:val="left"/>
        <w:rPr>
          <w:rFonts w:hint="eastAsia" w:ascii="宋体" w:hAnsi="宋体" w:eastAsia="宋体" w:cs="宋体"/>
          <w:sz w:val="24"/>
          <w:szCs w:val="24"/>
          <w:lang w:val="en-GB"/>
        </w:rPr>
      </w:pPr>
      <w:r>
        <w:rPr>
          <w:rFonts w:hint="eastAsia" w:ascii="宋体" w:hAnsi="宋体" w:eastAsia="宋体" w:cs="宋体"/>
          <w:sz w:val="24"/>
          <w:szCs w:val="24"/>
          <w:lang w:val="en-GB"/>
        </w:rPr>
        <w:t>机房使用面积支持不少于50个标准机柜（每机柜实际使用不少于42U槽位）专用区域（维护区域用地不含在租赁机房面积内）,并保留适当余量,满足后续可连续扩容要求。区域为独立、完整空间，与其他用户空间物理隔离，并且有独立的专用出入门禁，保证设备的物理安全。网络运营商接入机房、机柜，应属于机房提供商的基础配套设施，不包含在客户租赁的机房面积中，不承担费用。</w:t>
      </w:r>
    </w:p>
    <w:p>
      <w:pPr>
        <w:pStyle w:val="4"/>
        <w:spacing w:line="360" w:lineRule="auto"/>
        <w:jc w:val="left"/>
        <w:rPr>
          <w:rFonts w:hint="eastAsia" w:ascii="宋体" w:hAnsi="宋体" w:eastAsia="宋体" w:cs="宋体"/>
          <w:sz w:val="24"/>
          <w:szCs w:val="24"/>
          <w:lang w:val="en-GB"/>
        </w:rPr>
      </w:pPr>
      <w:r>
        <w:rPr>
          <w:rFonts w:hint="eastAsia" w:ascii="宋体" w:hAnsi="宋体" w:eastAsia="宋体" w:cs="宋体"/>
          <w:sz w:val="24"/>
          <w:szCs w:val="24"/>
        </w:rPr>
        <w:t>6.</w:t>
      </w:r>
      <w:r>
        <w:rPr>
          <w:rFonts w:hint="eastAsia" w:ascii="宋体" w:hAnsi="宋体" w:eastAsia="宋体" w:cs="宋体"/>
          <w:sz w:val="24"/>
          <w:szCs w:val="24"/>
          <w:lang w:val="en-GB"/>
        </w:rPr>
        <w:t>网络布线及业务延续性要求</w:t>
      </w:r>
    </w:p>
    <w:p>
      <w:pPr>
        <w:pStyle w:val="54"/>
        <w:spacing w:line="360" w:lineRule="auto"/>
        <w:ind w:firstLine="480"/>
        <w:jc w:val="left"/>
        <w:rPr>
          <w:rFonts w:hint="eastAsia" w:ascii="宋体" w:hAnsi="宋体" w:eastAsia="宋体" w:cs="宋体"/>
          <w:sz w:val="24"/>
          <w:szCs w:val="24"/>
          <w:lang w:val="en-GB"/>
        </w:rPr>
      </w:pPr>
      <w:r>
        <w:rPr>
          <w:rFonts w:hint="eastAsia" w:ascii="宋体" w:hAnsi="宋体" w:eastAsia="宋体" w:cs="宋体"/>
          <w:sz w:val="24"/>
          <w:szCs w:val="24"/>
          <w:lang w:val="en-GB"/>
        </w:rPr>
        <w:t>（1）投标人需承诺满足公安业务需要的其它单位线路接入，提供内部管线资源完成线路联通，并保证这些线路的信息安全。</w:t>
      </w:r>
    </w:p>
    <w:p>
      <w:pPr>
        <w:pStyle w:val="54"/>
        <w:spacing w:line="360" w:lineRule="auto"/>
        <w:ind w:firstLine="480"/>
        <w:jc w:val="left"/>
        <w:rPr>
          <w:rFonts w:hint="eastAsia" w:ascii="宋体" w:hAnsi="宋体" w:eastAsia="宋体" w:cs="宋体"/>
          <w:sz w:val="24"/>
          <w:szCs w:val="24"/>
          <w:lang w:val="en-GB"/>
        </w:rPr>
      </w:pPr>
      <w:r>
        <w:rPr>
          <w:rFonts w:hint="eastAsia" w:ascii="宋体" w:hAnsi="宋体" w:eastAsia="宋体" w:cs="宋体"/>
          <w:sz w:val="24"/>
          <w:szCs w:val="24"/>
          <w:lang w:val="en-GB"/>
        </w:rPr>
        <w:t>（2）投标人需承诺根据用户方需求进行机房内光纤、电缆布线，实现机柜间及机柜内部IP网络、存储网络等连接，布线需满足万兆带宽要求。</w:t>
      </w:r>
    </w:p>
    <w:p>
      <w:pPr>
        <w:pStyle w:val="4"/>
        <w:spacing w:line="360" w:lineRule="auto"/>
        <w:jc w:val="left"/>
        <w:rPr>
          <w:rFonts w:hint="eastAsia" w:ascii="宋体" w:hAnsi="宋体" w:eastAsia="宋体" w:cs="宋体"/>
          <w:sz w:val="24"/>
          <w:szCs w:val="24"/>
          <w:lang w:val="en-GB"/>
        </w:rPr>
      </w:pPr>
      <w:r>
        <w:rPr>
          <w:rFonts w:hint="eastAsia" w:ascii="宋体" w:hAnsi="宋体" w:eastAsia="宋体" w:cs="宋体"/>
          <w:sz w:val="24"/>
          <w:szCs w:val="24"/>
        </w:rPr>
        <w:t>7.</w:t>
      </w:r>
      <w:r>
        <w:rPr>
          <w:rFonts w:hint="eastAsia" w:ascii="宋体" w:hAnsi="宋体" w:eastAsia="宋体" w:cs="宋体"/>
          <w:sz w:val="24"/>
          <w:szCs w:val="24"/>
          <w:lang w:val="en-GB"/>
        </w:rPr>
        <w:t>机房装修要求</w:t>
      </w:r>
    </w:p>
    <w:p>
      <w:pPr>
        <w:widowControl/>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w:t>
      </w:r>
      <w:r>
        <w:rPr>
          <w:rFonts w:hint="eastAsia" w:ascii="宋体" w:hAnsi="宋体" w:eastAsia="宋体" w:cs="宋体"/>
          <w:sz w:val="24"/>
          <w:szCs w:val="24"/>
        </w:rPr>
        <w:t>1</w:t>
      </w:r>
      <w:r>
        <w:rPr>
          <w:rFonts w:hint="eastAsia" w:ascii="宋体" w:hAnsi="宋体" w:eastAsia="宋体" w:cs="宋体"/>
          <w:sz w:val="24"/>
          <w:szCs w:val="24"/>
          <w:lang w:val="en-GB"/>
        </w:rPr>
        <w:t>）机房室内四周墙面气密性好、不易起尘、易清洁。</w:t>
      </w:r>
    </w:p>
    <w:p>
      <w:pPr>
        <w:widowControl/>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w:t>
      </w:r>
      <w:r>
        <w:rPr>
          <w:rFonts w:hint="eastAsia" w:ascii="宋体" w:hAnsi="宋体" w:eastAsia="宋体" w:cs="宋体"/>
          <w:sz w:val="24"/>
          <w:szCs w:val="24"/>
        </w:rPr>
        <w:t>2</w:t>
      </w:r>
      <w:r>
        <w:rPr>
          <w:rFonts w:hint="eastAsia" w:ascii="宋体" w:hAnsi="宋体" w:eastAsia="宋体" w:cs="宋体"/>
          <w:sz w:val="24"/>
          <w:szCs w:val="24"/>
          <w:lang w:val="en-GB"/>
        </w:rPr>
        <w:t>）机房铺设架空活动防静电地板，地板以下净空不小于30厘米。</w:t>
      </w:r>
    </w:p>
    <w:p>
      <w:pPr>
        <w:widowControl/>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w:t>
      </w:r>
      <w:r>
        <w:rPr>
          <w:rFonts w:hint="eastAsia" w:ascii="宋体" w:hAnsi="宋体" w:eastAsia="宋体" w:cs="宋体"/>
          <w:sz w:val="24"/>
          <w:szCs w:val="24"/>
        </w:rPr>
        <w:t>3</w:t>
      </w:r>
      <w:r>
        <w:rPr>
          <w:rFonts w:hint="eastAsia" w:ascii="宋体" w:hAnsi="宋体" w:eastAsia="宋体" w:cs="宋体"/>
          <w:sz w:val="24"/>
          <w:szCs w:val="24"/>
          <w:lang w:val="en-GB"/>
        </w:rPr>
        <w:t>）机房内统一配备上走线桥架，供电缆和光纤走线，强电、弱电走不同桥架，减少相互之间的干扰。</w:t>
      </w:r>
    </w:p>
    <w:p>
      <w:pPr>
        <w:pStyle w:val="4"/>
        <w:spacing w:line="360" w:lineRule="auto"/>
        <w:jc w:val="left"/>
        <w:rPr>
          <w:rFonts w:hint="eastAsia" w:ascii="宋体" w:hAnsi="宋体" w:eastAsia="宋体" w:cs="宋体"/>
          <w:sz w:val="24"/>
          <w:szCs w:val="24"/>
          <w:lang w:val="en-GB"/>
        </w:rPr>
      </w:pPr>
      <w:r>
        <w:rPr>
          <w:rFonts w:hint="eastAsia" w:ascii="宋体" w:hAnsi="宋体" w:eastAsia="宋体" w:cs="宋体"/>
          <w:sz w:val="24"/>
          <w:szCs w:val="24"/>
        </w:rPr>
        <w:t>8.</w:t>
      </w:r>
      <w:r>
        <w:rPr>
          <w:rFonts w:hint="eastAsia" w:ascii="宋体" w:hAnsi="宋体" w:eastAsia="宋体" w:cs="宋体"/>
          <w:sz w:val="24"/>
          <w:szCs w:val="24"/>
          <w:lang w:val="en-GB"/>
        </w:rPr>
        <w:t>机房电力要求</w:t>
      </w:r>
    </w:p>
    <w:p>
      <w:pPr>
        <w:widowControl/>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w:t>
      </w:r>
      <w:r>
        <w:rPr>
          <w:rFonts w:hint="eastAsia" w:ascii="宋体" w:hAnsi="宋体" w:eastAsia="宋体" w:cs="宋体"/>
          <w:sz w:val="24"/>
          <w:szCs w:val="24"/>
        </w:rPr>
        <w:t>1</w:t>
      </w:r>
      <w:r>
        <w:rPr>
          <w:rFonts w:hint="eastAsia" w:ascii="宋体" w:hAnsi="宋体" w:eastAsia="宋体" w:cs="宋体"/>
          <w:sz w:val="24"/>
          <w:szCs w:val="24"/>
          <w:lang w:val="en-GB"/>
        </w:rPr>
        <w:t>）机房UPS系统采用双母线双系统设计，交流输出，</w:t>
      </w:r>
      <w:r>
        <w:rPr>
          <w:rFonts w:hint="eastAsia" w:ascii="宋体" w:hAnsi="宋体" w:eastAsia="宋体" w:cs="宋体"/>
          <w:sz w:val="24"/>
          <w:szCs w:val="24"/>
          <w:highlight w:val="none"/>
          <w:lang w:val="en-GB"/>
        </w:rPr>
        <w:t>满足N+1配置</w:t>
      </w:r>
      <w:r>
        <w:rPr>
          <w:rFonts w:hint="eastAsia" w:ascii="宋体" w:hAnsi="宋体" w:eastAsia="宋体" w:cs="宋体"/>
          <w:sz w:val="24"/>
          <w:szCs w:val="24"/>
          <w:lang w:val="en-GB"/>
        </w:rPr>
        <w:t>；市电掉电后</w:t>
      </w:r>
      <w:r>
        <w:rPr>
          <w:rFonts w:hint="eastAsia" w:ascii="宋体" w:hAnsi="宋体" w:eastAsia="宋体" w:cs="宋体"/>
          <w:sz w:val="24"/>
          <w:szCs w:val="24"/>
          <w:lang w:val="en-GB" w:eastAsia="zh-CN"/>
        </w:rPr>
        <w:t>，</w:t>
      </w:r>
      <w:r>
        <w:rPr>
          <w:rFonts w:hint="eastAsia" w:ascii="宋体" w:hAnsi="宋体" w:eastAsia="宋体" w:cs="宋体"/>
          <w:sz w:val="24"/>
          <w:szCs w:val="24"/>
          <w:lang w:val="en-GB"/>
        </w:rPr>
        <w:t>UPS后备蓄电池组应在10毫秒内供电，满载时间不少于30分钟。（如果机房使用机柜DPS则忽略此项）</w:t>
      </w:r>
    </w:p>
    <w:p>
      <w:pPr>
        <w:widowControl/>
        <w:spacing w:line="360" w:lineRule="auto"/>
        <w:ind w:firstLine="480" w:firstLineChars="200"/>
        <w:rPr>
          <w:rFonts w:hint="eastAsia" w:ascii="宋体" w:hAnsi="宋体" w:eastAsia="宋体" w:cs="宋体"/>
          <w:sz w:val="24"/>
          <w:szCs w:val="24"/>
          <w:highlight w:val="yellow"/>
          <w:lang w:val="en-GB"/>
        </w:rPr>
      </w:pPr>
      <w:r>
        <w:rPr>
          <w:rFonts w:hint="eastAsia" w:ascii="宋体" w:hAnsi="宋体" w:eastAsia="宋体" w:cs="宋体"/>
          <w:sz w:val="24"/>
          <w:szCs w:val="24"/>
          <w:lang w:val="en-GB"/>
        </w:rPr>
        <w:t>（</w:t>
      </w:r>
      <w:r>
        <w:rPr>
          <w:rFonts w:hint="eastAsia" w:ascii="宋体" w:hAnsi="宋体" w:eastAsia="宋体" w:cs="宋体"/>
          <w:sz w:val="24"/>
          <w:szCs w:val="24"/>
        </w:rPr>
        <w:t>2</w:t>
      </w:r>
      <w:r>
        <w:rPr>
          <w:rFonts w:hint="eastAsia" w:ascii="宋体" w:hAnsi="宋体" w:eastAsia="宋体" w:cs="宋体"/>
          <w:sz w:val="24"/>
          <w:szCs w:val="24"/>
          <w:lang w:val="en-GB"/>
        </w:rPr>
        <w:t>）</w:t>
      </w:r>
      <w:r>
        <w:rPr>
          <w:rFonts w:hint="eastAsia" w:ascii="宋体" w:hAnsi="宋体" w:eastAsia="宋体" w:cs="宋体"/>
          <w:sz w:val="24"/>
          <w:szCs w:val="24"/>
          <w:highlight w:val="none"/>
          <w:lang w:val="en-GB"/>
        </w:rPr>
        <w:t>机柜DPS必须是交流输出，若为直流DPS输出的直流电压应在240V左右；市电掉电后DPS应在10毫秒内供电，满载时间不少于15分钟。（如果机房使用UPS系统则忽略此项）</w:t>
      </w:r>
    </w:p>
    <w:p>
      <w:pPr>
        <w:widowControl/>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w:t>
      </w:r>
      <w:r>
        <w:rPr>
          <w:rFonts w:hint="eastAsia" w:ascii="宋体" w:hAnsi="宋体" w:eastAsia="宋体" w:cs="宋体"/>
          <w:sz w:val="24"/>
          <w:szCs w:val="24"/>
        </w:rPr>
        <w:t>3</w:t>
      </w:r>
      <w:r>
        <w:rPr>
          <w:rFonts w:hint="eastAsia" w:ascii="宋体" w:hAnsi="宋体" w:eastAsia="宋体" w:cs="宋体"/>
          <w:sz w:val="24"/>
          <w:szCs w:val="24"/>
          <w:lang w:val="en-GB"/>
        </w:rPr>
        <w:t>）机房配备柴油发电机系统，</w:t>
      </w:r>
      <w:r>
        <w:rPr>
          <w:rFonts w:hint="eastAsia" w:ascii="宋体" w:hAnsi="宋体" w:eastAsia="宋体" w:cs="宋体"/>
          <w:sz w:val="24"/>
          <w:szCs w:val="24"/>
          <w:highlight w:val="none"/>
          <w:lang w:val="en-GB"/>
        </w:rPr>
        <w:t>满足N+1配置</w:t>
      </w:r>
      <w:r>
        <w:rPr>
          <w:rFonts w:hint="eastAsia" w:ascii="宋体" w:hAnsi="宋体" w:eastAsia="宋体" w:cs="宋体"/>
          <w:sz w:val="24"/>
          <w:szCs w:val="24"/>
          <w:lang w:val="en-GB"/>
        </w:rPr>
        <w:t>，启动时间需小于UPS/DPS最大满载时间，启动后可满足机房全负荷运行，储油量应能供发电机满负荷运行8小时以上。</w:t>
      </w:r>
    </w:p>
    <w:p>
      <w:pPr>
        <w:widowControl/>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w:t>
      </w:r>
      <w:r>
        <w:rPr>
          <w:rFonts w:hint="eastAsia" w:ascii="宋体" w:hAnsi="宋体" w:eastAsia="宋体" w:cs="宋体"/>
          <w:sz w:val="24"/>
          <w:szCs w:val="24"/>
        </w:rPr>
        <w:t>4</w:t>
      </w:r>
      <w:r>
        <w:rPr>
          <w:rFonts w:hint="eastAsia" w:ascii="宋体" w:hAnsi="宋体" w:eastAsia="宋体" w:cs="宋体"/>
          <w:sz w:val="24"/>
          <w:szCs w:val="24"/>
          <w:lang w:val="en-GB"/>
        </w:rPr>
        <w:t>）机柜供电必须为双路供电，且可以监控单路掉电；单路电力能支撑整个机架负载，当有一路跳电时不能影响另外一路；单机柜功率不少于3kw，当机柜超电时不可以直接下电，需提醒用户迁移设备。</w:t>
      </w:r>
    </w:p>
    <w:p>
      <w:pPr>
        <w:widowControl/>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w:t>
      </w:r>
      <w:r>
        <w:rPr>
          <w:rFonts w:hint="eastAsia" w:ascii="宋体" w:hAnsi="宋体" w:eastAsia="宋体" w:cs="宋体"/>
          <w:sz w:val="24"/>
          <w:szCs w:val="24"/>
        </w:rPr>
        <w:t>5</w:t>
      </w:r>
      <w:r>
        <w:rPr>
          <w:rFonts w:hint="eastAsia" w:ascii="宋体" w:hAnsi="宋体" w:eastAsia="宋体" w:cs="宋体"/>
          <w:sz w:val="24"/>
          <w:szCs w:val="24"/>
          <w:lang w:val="en-GB"/>
        </w:rPr>
        <w:t>）机房电源列头柜需配备隔离变压器，机柜供电容量以及PDU形式可根据特殊需求进行修改。</w:t>
      </w:r>
    </w:p>
    <w:p>
      <w:pPr>
        <w:widowControl/>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w:t>
      </w:r>
      <w:r>
        <w:rPr>
          <w:rFonts w:hint="eastAsia" w:ascii="宋体" w:hAnsi="宋体" w:eastAsia="宋体" w:cs="宋体"/>
          <w:sz w:val="24"/>
          <w:szCs w:val="24"/>
        </w:rPr>
        <w:t>6</w:t>
      </w:r>
      <w:r>
        <w:rPr>
          <w:rFonts w:hint="eastAsia" w:ascii="宋体" w:hAnsi="宋体" w:eastAsia="宋体" w:cs="宋体"/>
          <w:sz w:val="24"/>
          <w:szCs w:val="24"/>
          <w:lang w:val="en-GB"/>
        </w:rPr>
        <w:t>）提供动力设施（如空调、照明、门禁等系统用电）的配电应独立于ICT设备用电，必须从独立的配电柜引出。</w:t>
      </w:r>
    </w:p>
    <w:p>
      <w:pPr>
        <w:widowControl/>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w:t>
      </w:r>
      <w:r>
        <w:rPr>
          <w:rFonts w:hint="eastAsia" w:ascii="宋体" w:hAnsi="宋体" w:eastAsia="宋体" w:cs="宋体"/>
          <w:sz w:val="24"/>
          <w:szCs w:val="24"/>
        </w:rPr>
        <w:t>7</w:t>
      </w:r>
      <w:r>
        <w:rPr>
          <w:rFonts w:hint="eastAsia" w:ascii="宋体" w:hAnsi="宋体" w:eastAsia="宋体" w:cs="宋体"/>
          <w:sz w:val="24"/>
          <w:szCs w:val="24"/>
          <w:lang w:val="en-GB"/>
        </w:rPr>
        <w:t>）机房接地系统和防雷系统性能良好，</w:t>
      </w:r>
      <w:r>
        <w:rPr>
          <w:rFonts w:hint="eastAsia" w:ascii="宋体" w:hAnsi="宋体" w:eastAsia="宋体" w:cs="宋体"/>
          <w:sz w:val="24"/>
          <w:szCs w:val="24"/>
          <w:highlight w:val="none"/>
          <w:lang w:val="en-GB"/>
        </w:rPr>
        <w:t>符合国家标准要求</w:t>
      </w:r>
      <w:r>
        <w:rPr>
          <w:rFonts w:hint="eastAsia" w:ascii="宋体" w:hAnsi="宋体" w:eastAsia="宋体" w:cs="宋体"/>
          <w:sz w:val="24"/>
          <w:szCs w:val="24"/>
          <w:lang w:val="en-GB"/>
        </w:rPr>
        <w:t>。</w:t>
      </w:r>
    </w:p>
    <w:p>
      <w:pPr>
        <w:pStyle w:val="4"/>
        <w:spacing w:line="360" w:lineRule="auto"/>
        <w:jc w:val="left"/>
        <w:rPr>
          <w:rFonts w:hint="eastAsia" w:ascii="宋体" w:hAnsi="宋体" w:eastAsia="宋体" w:cs="宋体"/>
          <w:sz w:val="24"/>
          <w:szCs w:val="24"/>
          <w:lang w:val="en-GB"/>
        </w:rPr>
      </w:pPr>
      <w:r>
        <w:rPr>
          <w:rFonts w:hint="eastAsia" w:ascii="宋体" w:hAnsi="宋体" w:eastAsia="宋体" w:cs="宋体"/>
          <w:sz w:val="24"/>
          <w:szCs w:val="24"/>
        </w:rPr>
        <w:t>9.</w:t>
      </w:r>
      <w:r>
        <w:rPr>
          <w:rFonts w:hint="eastAsia" w:ascii="宋体" w:hAnsi="宋体" w:eastAsia="宋体" w:cs="宋体"/>
          <w:sz w:val="24"/>
          <w:szCs w:val="24"/>
          <w:lang w:val="en-GB"/>
        </w:rPr>
        <w:t>机房空调要求</w:t>
      </w:r>
    </w:p>
    <w:p>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（1）机房内按国标《电子信息系统机房设计规范》（GB50174-2008）的规定配置专用空调设备。空调设备要求采用风冷或水冷机组，保证恒温恒湿，新风正常，并符合下表要求：</w:t>
      </w:r>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800"/>
        <w:gridCol w:w="322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blHeader/>
          <w:jc w:val="center"/>
        </w:trPr>
        <w:tc>
          <w:tcPr>
            <w:tcW w:w="1800" w:type="dxa"/>
            <w:noWrap w:val="0"/>
            <w:vAlign w:val="top"/>
          </w:tcPr>
          <w:p>
            <w:pPr>
              <w:keepNext/>
              <w:widowControl/>
              <w:spacing w:before="100" w:line="360" w:lineRule="auto"/>
              <w:jc w:val="center"/>
              <w:rPr>
                <w:rFonts w:hint="eastAsia" w:ascii="宋体" w:hAnsi="宋体" w:eastAsia="宋体" w:cs="宋体"/>
                <w:kern w:val="0"/>
                <w:sz w:val="24"/>
                <w:szCs w:val="24"/>
                <w:lang w:val="en-GB"/>
              </w:rPr>
            </w:pPr>
            <w:r>
              <w:rPr>
                <w:rFonts w:hint="eastAsia" w:ascii="宋体" w:hAnsi="宋体" w:eastAsia="宋体" w:cs="宋体"/>
                <w:kern w:val="0"/>
                <w:sz w:val="24"/>
                <w:szCs w:val="24"/>
                <w:lang w:val="en-GB"/>
              </w:rPr>
              <w:t>项目</w:t>
            </w:r>
          </w:p>
        </w:tc>
        <w:tc>
          <w:tcPr>
            <w:tcW w:w="3221" w:type="dxa"/>
            <w:noWrap w:val="0"/>
            <w:vAlign w:val="top"/>
          </w:tcPr>
          <w:p>
            <w:pPr>
              <w:keepNext/>
              <w:widowControl/>
              <w:spacing w:before="100" w:line="360" w:lineRule="auto"/>
              <w:jc w:val="center"/>
              <w:rPr>
                <w:rFonts w:hint="eastAsia" w:ascii="宋体" w:hAnsi="宋体" w:eastAsia="宋体" w:cs="宋体"/>
                <w:b/>
                <w:kern w:val="0"/>
                <w:sz w:val="24"/>
                <w:szCs w:val="24"/>
                <w:lang w:val="en-GB"/>
              </w:rPr>
            </w:pPr>
            <w:r>
              <w:rPr>
                <w:rFonts w:hint="eastAsia" w:ascii="宋体" w:hAnsi="宋体" w:eastAsia="宋体" w:cs="宋体"/>
                <w:kern w:val="0"/>
                <w:sz w:val="24"/>
                <w:szCs w:val="24"/>
                <w:lang w:val="en-GB"/>
              </w:rPr>
              <w:t>参考值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800" w:type="dxa"/>
            <w:noWrap w:val="0"/>
            <w:vAlign w:val="top"/>
          </w:tcPr>
          <w:p>
            <w:pPr>
              <w:keepNext/>
              <w:widowControl/>
              <w:spacing w:before="100" w:line="360" w:lineRule="auto"/>
              <w:jc w:val="left"/>
              <w:rPr>
                <w:rFonts w:hint="eastAsia" w:ascii="宋体" w:hAnsi="宋体" w:eastAsia="宋体" w:cs="宋体"/>
                <w:kern w:val="0"/>
                <w:sz w:val="24"/>
                <w:szCs w:val="24"/>
                <w:lang w:val="en-GB"/>
              </w:rPr>
            </w:pPr>
            <w:r>
              <w:rPr>
                <w:rFonts w:hint="eastAsia" w:ascii="宋体" w:hAnsi="宋体" w:eastAsia="宋体" w:cs="宋体"/>
                <w:kern w:val="0"/>
                <w:sz w:val="24"/>
                <w:szCs w:val="24"/>
                <w:lang w:val="en-GB"/>
              </w:rPr>
              <w:t>室内温度</w:t>
            </w:r>
          </w:p>
        </w:tc>
        <w:tc>
          <w:tcPr>
            <w:tcW w:w="3221" w:type="dxa"/>
            <w:noWrap w:val="0"/>
            <w:vAlign w:val="top"/>
          </w:tcPr>
          <w:p>
            <w:pPr>
              <w:keepNext/>
              <w:widowControl/>
              <w:spacing w:before="100" w:line="360" w:lineRule="auto"/>
              <w:jc w:val="left"/>
              <w:rPr>
                <w:rFonts w:hint="eastAsia" w:ascii="宋体" w:hAnsi="宋体" w:eastAsia="宋体" w:cs="宋体"/>
                <w:kern w:val="0"/>
                <w:sz w:val="24"/>
                <w:szCs w:val="24"/>
                <w:lang w:val="en-GB"/>
              </w:rPr>
            </w:pPr>
            <w:r>
              <w:rPr>
                <w:rFonts w:hint="eastAsia" w:ascii="宋体" w:hAnsi="宋体" w:eastAsia="宋体" w:cs="宋体"/>
                <w:kern w:val="0"/>
                <w:sz w:val="24"/>
                <w:szCs w:val="24"/>
                <w:lang w:val="en-GB" w:eastAsia="en-US"/>
              </w:rPr>
              <w:t>2</w:t>
            </w:r>
            <w:r>
              <w:rPr>
                <w:rFonts w:hint="eastAsia" w:ascii="宋体" w:hAnsi="宋体" w:eastAsia="宋体" w:cs="宋体"/>
                <w:kern w:val="0"/>
                <w:sz w:val="24"/>
                <w:szCs w:val="24"/>
                <w:lang w:val="en-GB"/>
              </w:rPr>
              <w:t>3</w:t>
            </w:r>
            <w:r>
              <w:rPr>
                <w:rFonts w:hint="eastAsia" w:ascii="宋体" w:hAnsi="宋体" w:eastAsia="宋体" w:cs="宋体"/>
                <w:kern w:val="0"/>
                <w:sz w:val="24"/>
                <w:szCs w:val="24"/>
                <w:lang w:val="en-GB" w:eastAsia="en-US"/>
              </w:rPr>
              <w:sym w:font="Symbol" w:char="F0B1"/>
            </w:r>
            <w:r>
              <w:rPr>
                <w:rFonts w:hint="eastAsia" w:ascii="宋体" w:hAnsi="宋体" w:eastAsia="宋体" w:cs="宋体"/>
                <w:kern w:val="0"/>
                <w:sz w:val="24"/>
                <w:szCs w:val="24"/>
                <w:lang w:val="en-GB"/>
              </w:rPr>
              <w:t>2</w:t>
            </w:r>
            <w:r>
              <w:rPr>
                <w:rFonts w:hint="eastAsia" w:ascii="宋体" w:hAnsi="宋体" w:eastAsia="宋体" w:cs="宋体"/>
                <w:kern w:val="0"/>
                <w:sz w:val="24"/>
                <w:szCs w:val="24"/>
                <w:lang w:val="en-GB" w:eastAsia="en-US"/>
              </w:rPr>
              <w:sym w:font="Symbol" w:char="F0B0"/>
            </w:r>
            <w:r>
              <w:rPr>
                <w:rFonts w:hint="eastAsia" w:ascii="宋体" w:hAnsi="宋体" w:eastAsia="宋体" w:cs="宋体"/>
                <w:kern w:val="0"/>
                <w:sz w:val="24"/>
                <w:szCs w:val="24"/>
                <w:lang w:val="en-GB" w:eastAsia="en-US"/>
              </w:rPr>
              <w:t>C</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800" w:type="dxa"/>
            <w:noWrap w:val="0"/>
            <w:vAlign w:val="top"/>
          </w:tcPr>
          <w:p>
            <w:pPr>
              <w:keepNext/>
              <w:widowControl/>
              <w:spacing w:before="100" w:line="360" w:lineRule="auto"/>
              <w:jc w:val="left"/>
              <w:rPr>
                <w:rFonts w:hint="eastAsia" w:ascii="宋体" w:hAnsi="宋体" w:eastAsia="宋体" w:cs="宋体"/>
                <w:kern w:val="0"/>
                <w:sz w:val="24"/>
                <w:szCs w:val="24"/>
                <w:lang w:val="en-GB"/>
              </w:rPr>
            </w:pPr>
            <w:r>
              <w:rPr>
                <w:rFonts w:hint="eastAsia" w:ascii="宋体" w:hAnsi="宋体" w:eastAsia="宋体" w:cs="宋体"/>
                <w:kern w:val="0"/>
                <w:sz w:val="24"/>
                <w:szCs w:val="24"/>
                <w:lang w:val="en-GB"/>
              </w:rPr>
              <w:t>相对湿度</w:t>
            </w:r>
          </w:p>
        </w:tc>
        <w:tc>
          <w:tcPr>
            <w:tcW w:w="3221" w:type="dxa"/>
            <w:noWrap w:val="0"/>
            <w:vAlign w:val="top"/>
          </w:tcPr>
          <w:p>
            <w:pPr>
              <w:keepNext/>
              <w:widowControl/>
              <w:spacing w:before="100" w:line="360" w:lineRule="auto"/>
              <w:jc w:val="left"/>
              <w:rPr>
                <w:rFonts w:hint="eastAsia" w:ascii="宋体" w:hAnsi="宋体" w:eastAsia="宋体" w:cs="宋体"/>
                <w:kern w:val="0"/>
                <w:sz w:val="24"/>
                <w:szCs w:val="24"/>
                <w:lang w:val="en-GB" w:eastAsia="en-US"/>
              </w:rPr>
            </w:pPr>
            <w:r>
              <w:rPr>
                <w:rFonts w:hint="eastAsia" w:ascii="宋体" w:hAnsi="宋体" w:eastAsia="宋体" w:cs="宋体"/>
                <w:kern w:val="0"/>
                <w:sz w:val="24"/>
                <w:szCs w:val="24"/>
                <w:lang w:val="en-GB"/>
              </w:rPr>
              <w:t>30</w:t>
            </w:r>
            <w:r>
              <w:rPr>
                <w:rFonts w:hint="eastAsia" w:ascii="宋体" w:hAnsi="宋体" w:eastAsia="宋体" w:cs="宋体"/>
                <w:kern w:val="0"/>
                <w:sz w:val="24"/>
                <w:szCs w:val="24"/>
                <w:lang w:val="en-GB" w:eastAsia="en-US"/>
              </w:rPr>
              <w:t>%</w:t>
            </w:r>
            <w:r>
              <w:rPr>
                <w:rFonts w:hint="eastAsia" w:ascii="宋体" w:hAnsi="宋体" w:eastAsia="宋体" w:cs="宋体"/>
                <w:kern w:val="0"/>
                <w:sz w:val="24"/>
                <w:szCs w:val="24"/>
              </w:rPr>
              <w:t>-</w:t>
            </w:r>
            <w:r>
              <w:rPr>
                <w:rFonts w:hint="eastAsia" w:ascii="宋体" w:hAnsi="宋体" w:eastAsia="宋体" w:cs="宋体"/>
                <w:kern w:val="0"/>
                <w:sz w:val="24"/>
                <w:szCs w:val="24"/>
                <w:lang w:val="en-GB"/>
              </w:rPr>
              <w:t>70</w:t>
            </w:r>
            <w:r>
              <w:rPr>
                <w:rFonts w:hint="eastAsia" w:ascii="宋体" w:hAnsi="宋体" w:eastAsia="宋体" w:cs="宋体"/>
                <w:kern w:val="0"/>
                <w:sz w:val="24"/>
                <w:szCs w:val="24"/>
                <w:lang w:val="en-GB" w:eastAsia="en-US"/>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800" w:type="dxa"/>
            <w:noWrap w:val="0"/>
            <w:vAlign w:val="top"/>
          </w:tcPr>
          <w:p>
            <w:pPr>
              <w:keepNext/>
              <w:widowControl/>
              <w:spacing w:before="100" w:line="360" w:lineRule="auto"/>
              <w:jc w:val="left"/>
              <w:rPr>
                <w:rFonts w:hint="eastAsia" w:ascii="宋体" w:hAnsi="宋体" w:eastAsia="宋体" w:cs="宋体"/>
                <w:kern w:val="0"/>
                <w:sz w:val="24"/>
                <w:szCs w:val="24"/>
                <w:lang w:val="en-GB"/>
              </w:rPr>
            </w:pPr>
            <w:r>
              <w:rPr>
                <w:rFonts w:hint="eastAsia" w:ascii="宋体" w:hAnsi="宋体" w:eastAsia="宋体" w:cs="宋体"/>
                <w:kern w:val="0"/>
                <w:sz w:val="24"/>
                <w:szCs w:val="24"/>
                <w:lang w:val="en-GB"/>
              </w:rPr>
              <w:t>温度变化率</w:t>
            </w:r>
          </w:p>
        </w:tc>
        <w:tc>
          <w:tcPr>
            <w:tcW w:w="3221" w:type="dxa"/>
            <w:noWrap w:val="0"/>
            <w:vAlign w:val="top"/>
          </w:tcPr>
          <w:p>
            <w:pPr>
              <w:keepNext/>
              <w:widowControl/>
              <w:spacing w:before="100" w:line="360" w:lineRule="auto"/>
              <w:jc w:val="left"/>
              <w:rPr>
                <w:rFonts w:hint="eastAsia" w:ascii="宋体" w:hAnsi="宋体" w:eastAsia="宋体" w:cs="宋体"/>
                <w:kern w:val="0"/>
                <w:sz w:val="24"/>
                <w:szCs w:val="24"/>
                <w:lang w:val="en-GB" w:eastAsia="en-US"/>
              </w:rPr>
            </w:pPr>
            <w:r>
              <w:rPr>
                <w:rFonts w:hint="eastAsia" w:ascii="宋体" w:hAnsi="宋体" w:eastAsia="宋体" w:cs="宋体"/>
                <w:kern w:val="0"/>
                <w:sz w:val="24"/>
                <w:szCs w:val="24"/>
                <w:lang w:val="en-GB" w:eastAsia="en-US"/>
              </w:rPr>
              <w:sym w:font="Symbol" w:char="F03C"/>
            </w:r>
            <w:r>
              <w:rPr>
                <w:rFonts w:hint="eastAsia" w:ascii="宋体" w:hAnsi="宋体" w:eastAsia="宋体" w:cs="宋体"/>
                <w:kern w:val="0"/>
                <w:sz w:val="24"/>
                <w:szCs w:val="24"/>
                <w:lang w:val="en-GB" w:eastAsia="en-US"/>
              </w:rPr>
              <w:t>5</w:t>
            </w:r>
            <w:r>
              <w:rPr>
                <w:rFonts w:hint="eastAsia" w:ascii="宋体" w:hAnsi="宋体" w:eastAsia="宋体" w:cs="宋体"/>
                <w:kern w:val="0"/>
                <w:sz w:val="24"/>
                <w:szCs w:val="24"/>
                <w:lang w:val="en-GB" w:eastAsia="en-US"/>
              </w:rPr>
              <w:sym w:font="Symbol" w:char="F0B0"/>
            </w:r>
            <w:r>
              <w:rPr>
                <w:rFonts w:hint="eastAsia" w:ascii="宋体" w:hAnsi="宋体" w:eastAsia="宋体" w:cs="宋体"/>
                <w:kern w:val="0"/>
                <w:sz w:val="24"/>
                <w:szCs w:val="24"/>
                <w:lang w:val="en-GB" w:eastAsia="en-US"/>
              </w:rPr>
              <w:t>C/h</w:t>
            </w:r>
            <w:r>
              <w:rPr>
                <w:rFonts w:hint="eastAsia" w:ascii="宋体" w:hAnsi="宋体" w:eastAsia="宋体" w:cs="宋体"/>
                <w:kern w:val="0"/>
                <w:sz w:val="24"/>
                <w:szCs w:val="24"/>
                <w:lang w:val="en-GB"/>
              </w:rPr>
              <w:t>，且</w:t>
            </w:r>
            <w:r>
              <w:rPr>
                <w:rFonts w:hint="eastAsia" w:ascii="宋体" w:hAnsi="宋体" w:eastAsia="宋体" w:cs="宋体"/>
                <w:kern w:val="0"/>
                <w:sz w:val="24"/>
                <w:szCs w:val="24"/>
                <w:lang w:val="en-GB" w:eastAsia="en-US"/>
              </w:rPr>
              <w:t>不得结露</w:t>
            </w:r>
          </w:p>
        </w:tc>
      </w:tr>
    </w:tbl>
    <w:p>
      <w:pPr>
        <w:widowControl/>
        <w:spacing w:line="360" w:lineRule="auto"/>
        <w:ind w:left="420" w:leftChars="200"/>
        <w:rPr>
          <w:rFonts w:hint="eastAsia" w:ascii="宋体" w:hAnsi="宋体" w:eastAsia="宋体" w:cs="宋体"/>
          <w:sz w:val="24"/>
          <w:szCs w:val="24"/>
          <w:lang w:val="en-GB"/>
        </w:rPr>
      </w:pPr>
      <w:r>
        <w:rPr>
          <w:rFonts w:hint="eastAsia" w:ascii="宋体" w:hAnsi="宋体" w:eastAsia="宋体" w:cs="宋体"/>
          <w:sz w:val="24"/>
          <w:szCs w:val="24"/>
        </w:rPr>
        <w:t>（2）空调设备需有两路市电、一路油机供电。</w:t>
      </w:r>
    </w:p>
    <w:p>
      <w:pPr>
        <w:widowControl/>
        <w:spacing w:line="360" w:lineRule="auto"/>
        <w:ind w:left="420" w:leftChars="200"/>
        <w:rPr>
          <w:rFonts w:hint="eastAsia" w:ascii="宋体" w:hAnsi="宋体" w:eastAsia="宋体" w:cs="宋体"/>
          <w:sz w:val="24"/>
          <w:szCs w:val="24"/>
          <w:lang w:val="en-GB"/>
        </w:rPr>
      </w:pPr>
      <w:r>
        <w:rPr>
          <w:rFonts w:hint="eastAsia" w:ascii="宋体" w:hAnsi="宋体" w:eastAsia="宋体" w:cs="宋体"/>
          <w:sz w:val="24"/>
          <w:szCs w:val="24"/>
          <w:lang w:val="en-GB"/>
        </w:rPr>
        <w:t>（</w:t>
      </w:r>
      <w:r>
        <w:rPr>
          <w:rFonts w:hint="eastAsia" w:ascii="宋体" w:hAnsi="宋体" w:eastAsia="宋体" w:cs="宋体"/>
          <w:sz w:val="24"/>
          <w:szCs w:val="24"/>
        </w:rPr>
        <w:t>3</w:t>
      </w:r>
      <w:r>
        <w:rPr>
          <w:rFonts w:hint="eastAsia" w:ascii="宋体" w:hAnsi="宋体" w:eastAsia="宋体" w:cs="宋体"/>
          <w:sz w:val="24"/>
          <w:szCs w:val="24"/>
          <w:lang w:val="en-GB"/>
        </w:rPr>
        <w:t>）空调设备采用合适的冷却方式，机柜前侧进风，后侧出风。</w:t>
      </w:r>
    </w:p>
    <w:p>
      <w:pPr>
        <w:widowControl/>
        <w:spacing w:line="360" w:lineRule="auto"/>
        <w:ind w:left="420" w:leftChars="200"/>
        <w:rPr>
          <w:rFonts w:hint="eastAsia" w:ascii="宋体" w:hAnsi="宋体" w:eastAsia="宋体" w:cs="宋体"/>
          <w:sz w:val="24"/>
          <w:szCs w:val="24"/>
          <w:lang w:val="en-GB"/>
        </w:rPr>
      </w:pPr>
      <w:r>
        <w:rPr>
          <w:rFonts w:hint="eastAsia" w:ascii="宋体" w:hAnsi="宋体" w:eastAsia="宋体" w:cs="宋体"/>
          <w:sz w:val="24"/>
          <w:szCs w:val="24"/>
          <w:lang w:val="en-GB"/>
        </w:rPr>
        <w:t>（</w:t>
      </w:r>
      <w:r>
        <w:rPr>
          <w:rFonts w:hint="eastAsia" w:ascii="宋体" w:hAnsi="宋体" w:eastAsia="宋体" w:cs="宋体"/>
          <w:sz w:val="24"/>
          <w:szCs w:val="24"/>
        </w:rPr>
        <w:t>4</w:t>
      </w:r>
      <w:r>
        <w:rPr>
          <w:rFonts w:hint="eastAsia" w:ascii="宋体" w:hAnsi="宋体" w:eastAsia="宋体" w:cs="宋体"/>
          <w:sz w:val="24"/>
          <w:szCs w:val="24"/>
          <w:lang w:val="en-GB"/>
        </w:rPr>
        <w:t>）采用冷热通道隔离的制冷方式，保证架内设备工作环境稳定。</w:t>
      </w:r>
    </w:p>
    <w:p>
      <w:pPr>
        <w:widowControl/>
        <w:spacing w:line="360" w:lineRule="auto"/>
        <w:ind w:left="420" w:leftChars="200"/>
        <w:rPr>
          <w:rFonts w:hint="eastAsia" w:ascii="宋体" w:hAnsi="宋体" w:eastAsia="宋体" w:cs="宋体"/>
          <w:sz w:val="24"/>
          <w:szCs w:val="24"/>
          <w:lang w:val="en-GB"/>
        </w:rPr>
      </w:pPr>
      <w:r>
        <w:rPr>
          <w:rFonts w:hint="eastAsia" w:ascii="宋体" w:hAnsi="宋体" w:eastAsia="宋体" w:cs="宋体"/>
          <w:sz w:val="24"/>
          <w:szCs w:val="24"/>
        </w:rPr>
        <w:t>（5）若有高功率机柜的区域，需针对制定特殊的制冷方案。</w:t>
      </w:r>
    </w:p>
    <w:p>
      <w:pPr>
        <w:pStyle w:val="4"/>
        <w:spacing w:line="360" w:lineRule="auto"/>
        <w:jc w:val="left"/>
        <w:rPr>
          <w:rFonts w:hint="eastAsia" w:ascii="宋体" w:hAnsi="宋体" w:eastAsia="宋体" w:cs="宋体"/>
          <w:sz w:val="24"/>
          <w:szCs w:val="24"/>
          <w:lang w:val="en-GB"/>
        </w:rPr>
      </w:pPr>
      <w:r>
        <w:rPr>
          <w:rFonts w:hint="eastAsia" w:ascii="宋体" w:hAnsi="宋体" w:eastAsia="宋体" w:cs="宋体"/>
          <w:sz w:val="24"/>
          <w:szCs w:val="24"/>
        </w:rPr>
        <w:t>10.</w:t>
      </w:r>
      <w:r>
        <w:rPr>
          <w:rFonts w:hint="eastAsia" w:ascii="宋体" w:hAnsi="宋体" w:eastAsia="宋体" w:cs="宋体"/>
          <w:sz w:val="24"/>
          <w:szCs w:val="24"/>
          <w:lang w:val="en-GB"/>
        </w:rPr>
        <w:t>机房监控要求</w:t>
      </w:r>
    </w:p>
    <w:p>
      <w:pPr>
        <w:widowControl/>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w:t>
      </w:r>
      <w:r>
        <w:rPr>
          <w:rFonts w:hint="eastAsia" w:ascii="宋体" w:hAnsi="宋体" w:eastAsia="宋体" w:cs="宋体"/>
          <w:sz w:val="24"/>
          <w:szCs w:val="24"/>
        </w:rPr>
        <w:t>1</w:t>
      </w:r>
      <w:r>
        <w:rPr>
          <w:rFonts w:hint="eastAsia" w:ascii="宋体" w:hAnsi="宋体" w:eastAsia="宋体" w:cs="宋体"/>
          <w:sz w:val="24"/>
          <w:szCs w:val="24"/>
          <w:lang w:val="en-GB"/>
        </w:rPr>
        <w:t>）安保监控：包括红外防入侵、门禁独立管理、门禁状态监控、CCTV摄像头实时监控系统，历史数据保存</w:t>
      </w:r>
      <w:r>
        <w:rPr>
          <w:rFonts w:hint="eastAsia" w:ascii="宋体" w:hAnsi="宋体" w:eastAsia="宋体" w:cs="宋体"/>
          <w:sz w:val="24"/>
          <w:szCs w:val="24"/>
          <w:lang w:val="en-GB" w:eastAsia="zh-CN"/>
        </w:rPr>
        <w:t>不少于</w:t>
      </w:r>
      <w:r>
        <w:rPr>
          <w:rFonts w:hint="eastAsia" w:ascii="宋体" w:hAnsi="宋体" w:eastAsia="宋体" w:cs="宋体"/>
          <w:sz w:val="24"/>
          <w:szCs w:val="24"/>
          <w:lang w:val="en-GB"/>
        </w:rPr>
        <w:t>30天；</w:t>
      </w:r>
    </w:p>
    <w:p>
      <w:pPr>
        <w:widowControl/>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w:t>
      </w:r>
      <w:r>
        <w:rPr>
          <w:rFonts w:hint="eastAsia" w:ascii="宋体" w:hAnsi="宋体" w:eastAsia="宋体" w:cs="宋体"/>
          <w:sz w:val="24"/>
          <w:szCs w:val="24"/>
        </w:rPr>
        <w:t>2</w:t>
      </w:r>
      <w:r>
        <w:rPr>
          <w:rFonts w:hint="eastAsia" w:ascii="宋体" w:hAnsi="宋体" w:eastAsia="宋体" w:cs="宋体"/>
          <w:sz w:val="24"/>
          <w:szCs w:val="24"/>
          <w:lang w:val="en-GB"/>
        </w:rPr>
        <w:t>）机房动力监控：包括配电开关监控、配电参数监测（包括动力配电）、UPS/DPS监控、PDU监控，提供独立电量计量；</w:t>
      </w:r>
    </w:p>
    <w:p>
      <w:pPr>
        <w:widowControl/>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w:t>
      </w:r>
      <w:r>
        <w:rPr>
          <w:rFonts w:hint="eastAsia" w:ascii="宋体" w:hAnsi="宋体" w:eastAsia="宋体" w:cs="宋体"/>
          <w:sz w:val="24"/>
          <w:szCs w:val="24"/>
        </w:rPr>
        <w:t>3</w:t>
      </w:r>
      <w:r>
        <w:rPr>
          <w:rFonts w:hint="eastAsia" w:ascii="宋体" w:hAnsi="宋体" w:eastAsia="宋体" w:cs="宋体"/>
          <w:sz w:val="24"/>
          <w:szCs w:val="24"/>
          <w:lang w:val="en-GB"/>
        </w:rPr>
        <w:t>）机房环境监控：包括空调状态参数监控、温湿度监控、漏水检测、消防监控。</w:t>
      </w:r>
    </w:p>
    <w:p>
      <w:pPr>
        <w:pStyle w:val="4"/>
        <w:spacing w:line="360" w:lineRule="auto"/>
        <w:jc w:val="left"/>
        <w:rPr>
          <w:rFonts w:hint="eastAsia" w:ascii="宋体" w:hAnsi="宋体" w:eastAsia="宋体" w:cs="宋体"/>
          <w:sz w:val="24"/>
          <w:szCs w:val="24"/>
          <w:lang w:val="en-GB"/>
        </w:rPr>
      </w:pPr>
      <w:r>
        <w:rPr>
          <w:rFonts w:hint="eastAsia" w:ascii="宋体" w:hAnsi="宋体" w:eastAsia="宋体" w:cs="宋体"/>
          <w:sz w:val="24"/>
          <w:szCs w:val="24"/>
        </w:rPr>
        <w:t>11.</w:t>
      </w:r>
      <w:r>
        <w:rPr>
          <w:rFonts w:hint="eastAsia" w:ascii="宋体" w:hAnsi="宋体" w:eastAsia="宋体" w:cs="宋体"/>
          <w:sz w:val="24"/>
          <w:szCs w:val="24"/>
          <w:lang w:val="en-GB"/>
        </w:rPr>
        <w:t>机房消防要求</w:t>
      </w:r>
    </w:p>
    <w:p>
      <w:pPr>
        <w:widowControl/>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w:t>
      </w:r>
      <w:r>
        <w:rPr>
          <w:rFonts w:hint="eastAsia" w:ascii="宋体" w:hAnsi="宋体" w:eastAsia="宋体" w:cs="宋体"/>
          <w:sz w:val="24"/>
          <w:szCs w:val="24"/>
        </w:rPr>
        <w:t>1</w:t>
      </w:r>
      <w:r>
        <w:rPr>
          <w:rFonts w:hint="eastAsia" w:ascii="宋体" w:hAnsi="宋体" w:eastAsia="宋体" w:cs="宋体"/>
          <w:sz w:val="24"/>
          <w:szCs w:val="24"/>
          <w:lang w:val="en-GB"/>
        </w:rPr>
        <w:t>）消防系统具备高灵敏度的烟杆探测和自动报警功能，机房天花板上设有烟感探头，机房内须配备气体灭火系统。</w:t>
      </w:r>
    </w:p>
    <w:p>
      <w:pPr>
        <w:widowControl/>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w:t>
      </w:r>
      <w:r>
        <w:rPr>
          <w:rFonts w:hint="eastAsia" w:ascii="宋体" w:hAnsi="宋体" w:eastAsia="宋体" w:cs="宋体"/>
          <w:sz w:val="24"/>
          <w:szCs w:val="24"/>
        </w:rPr>
        <w:t>2</w:t>
      </w:r>
      <w:r>
        <w:rPr>
          <w:rFonts w:hint="eastAsia" w:ascii="宋体" w:hAnsi="宋体" w:eastAsia="宋体" w:cs="宋体"/>
          <w:sz w:val="24"/>
          <w:szCs w:val="24"/>
          <w:lang w:val="en-GB"/>
        </w:rPr>
        <w:t>）机房墙壁、门、天花板采用防火建材。</w:t>
      </w:r>
    </w:p>
    <w:p>
      <w:pPr>
        <w:widowControl/>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w:t>
      </w:r>
      <w:r>
        <w:rPr>
          <w:rFonts w:hint="eastAsia" w:ascii="宋体" w:hAnsi="宋体" w:eastAsia="宋体" w:cs="宋体"/>
          <w:sz w:val="24"/>
          <w:szCs w:val="24"/>
        </w:rPr>
        <w:t>3</w:t>
      </w:r>
      <w:r>
        <w:rPr>
          <w:rFonts w:hint="eastAsia" w:ascii="宋体" w:hAnsi="宋体" w:eastAsia="宋体" w:cs="宋体"/>
          <w:sz w:val="24"/>
          <w:szCs w:val="24"/>
          <w:lang w:val="en-GB"/>
        </w:rPr>
        <w:t>）机房具备合格的安全走火通道和逃生门，并严格按照规范布置相关的安全指示。</w:t>
      </w:r>
    </w:p>
    <w:p>
      <w:pPr>
        <w:pStyle w:val="4"/>
        <w:spacing w:line="360" w:lineRule="auto"/>
        <w:jc w:val="left"/>
        <w:rPr>
          <w:rFonts w:hint="eastAsia" w:ascii="宋体" w:hAnsi="宋体" w:eastAsia="宋体" w:cs="宋体"/>
          <w:sz w:val="24"/>
          <w:szCs w:val="24"/>
          <w:lang w:val="en-GB"/>
        </w:rPr>
      </w:pPr>
      <w:r>
        <w:rPr>
          <w:rFonts w:hint="eastAsia" w:ascii="宋体" w:hAnsi="宋体" w:eastAsia="宋体" w:cs="宋体"/>
          <w:sz w:val="24"/>
          <w:szCs w:val="24"/>
        </w:rPr>
        <w:t>12.</w:t>
      </w:r>
      <w:r>
        <w:rPr>
          <w:rFonts w:hint="eastAsia" w:ascii="宋体" w:hAnsi="宋体" w:eastAsia="宋体" w:cs="宋体"/>
          <w:sz w:val="24"/>
          <w:szCs w:val="24"/>
          <w:lang w:val="en-GB"/>
        </w:rPr>
        <w:t>机房管理要求</w:t>
      </w:r>
    </w:p>
    <w:p>
      <w:pPr>
        <w:widowControl/>
        <w:spacing w:line="360" w:lineRule="auto"/>
        <w:ind w:firstLine="480" w:firstLineChars="200"/>
        <w:rPr>
          <w:rFonts w:hint="eastAsia" w:ascii="宋体" w:hAnsi="宋体" w:eastAsia="宋体" w:cs="宋体"/>
          <w:sz w:val="24"/>
          <w:szCs w:val="24"/>
          <w:lang w:val="en-GB" w:eastAsia="zh-CN"/>
        </w:rPr>
      </w:pPr>
      <w:r>
        <w:rPr>
          <w:rFonts w:hint="eastAsia" w:ascii="宋体" w:hAnsi="宋体" w:eastAsia="宋体" w:cs="宋体"/>
          <w:sz w:val="24"/>
          <w:szCs w:val="24"/>
          <w:lang w:val="en-GB"/>
        </w:rPr>
        <w:t>（</w:t>
      </w:r>
      <w:r>
        <w:rPr>
          <w:rFonts w:hint="eastAsia" w:ascii="宋体" w:hAnsi="宋体" w:eastAsia="宋体" w:cs="宋体"/>
          <w:sz w:val="24"/>
          <w:szCs w:val="24"/>
        </w:rPr>
        <w:t>1</w:t>
      </w:r>
      <w:r>
        <w:rPr>
          <w:rFonts w:hint="eastAsia" w:ascii="宋体" w:hAnsi="宋体" w:eastAsia="宋体" w:cs="宋体"/>
          <w:sz w:val="24"/>
          <w:szCs w:val="24"/>
          <w:lang w:val="en-GB"/>
        </w:rPr>
        <w:t>）机房必须具备完善的安全管理制度确保设备安全</w:t>
      </w:r>
      <w:r>
        <w:rPr>
          <w:rFonts w:hint="eastAsia" w:ascii="宋体" w:hAnsi="宋体" w:eastAsia="宋体" w:cs="宋体"/>
          <w:sz w:val="24"/>
          <w:szCs w:val="24"/>
          <w:lang w:val="en-GB" w:eastAsia="zh-CN"/>
        </w:rPr>
        <w:t>。</w:t>
      </w:r>
    </w:p>
    <w:p>
      <w:pPr>
        <w:widowControl/>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w:t>
      </w:r>
      <w:r>
        <w:rPr>
          <w:rFonts w:hint="eastAsia" w:ascii="宋体" w:hAnsi="宋体" w:eastAsia="宋体" w:cs="宋体"/>
          <w:sz w:val="24"/>
          <w:szCs w:val="24"/>
        </w:rPr>
        <w:t>2</w:t>
      </w:r>
      <w:r>
        <w:rPr>
          <w:rFonts w:hint="eastAsia" w:ascii="宋体" w:hAnsi="宋体" w:eastAsia="宋体" w:cs="宋体"/>
          <w:sz w:val="24"/>
          <w:szCs w:val="24"/>
          <w:lang w:val="en-GB"/>
        </w:rPr>
        <w:t>）机房物理安全：未经客户允许，任何人员不能进入客户租赁机房区域。</w:t>
      </w:r>
    </w:p>
    <w:p>
      <w:pPr>
        <w:widowControl/>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w:t>
      </w:r>
      <w:r>
        <w:rPr>
          <w:rFonts w:hint="eastAsia" w:ascii="宋体" w:hAnsi="宋体" w:eastAsia="宋体" w:cs="宋体"/>
          <w:sz w:val="24"/>
          <w:szCs w:val="24"/>
          <w:lang w:val="en-US" w:eastAsia="zh-CN"/>
        </w:rPr>
        <w:t>3</w:t>
      </w:r>
      <w:r>
        <w:rPr>
          <w:rFonts w:hint="eastAsia" w:ascii="宋体" w:hAnsi="宋体" w:eastAsia="宋体" w:cs="宋体"/>
          <w:sz w:val="24"/>
          <w:szCs w:val="24"/>
          <w:lang w:val="en-GB"/>
        </w:rPr>
        <w:t>）机房网络安全：未经客户允许，任何外来设备不能接入客户网络。</w:t>
      </w:r>
    </w:p>
    <w:p>
      <w:pPr>
        <w:widowControl/>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w:t>
      </w:r>
      <w:r>
        <w:rPr>
          <w:rFonts w:hint="eastAsia" w:ascii="宋体" w:hAnsi="宋体" w:eastAsia="宋体" w:cs="宋体"/>
          <w:sz w:val="24"/>
          <w:szCs w:val="24"/>
          <w:lang w:val="en-US" w:eastAsia="zh-CN"/>
        </w:rPr>
        <w:t>4</w:t>
      </w:r>
      <w:r>
        <w:rPr>
          <w:rFonts w:hint="eastAsia" w:ascii="宋体" w:hAnsi="宋体" w:eastAsia="宋体" w:cs="宋体"/>
          <w:sz w:val="24"/>
          <w:szCs w:val="24"/>
          <w:lang w:val="en-GB"/>
        </w:rPr>
        <w:t>）安防措施：机房监控室应有红外防入侵、CCTV摄像头监控界面以及动环监控界面；机房需具备多个物理隔离区域，这些区域使用各自独立的门禁控制系统，出入授权由客户划分管理，其他人员禁止出入。</w:t>
      </w:r>
    </w:p>
    <w:p>
      <w:pPr>
        <w:widowControl/>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w:t>
      </w:r>
      <w:r>
        <w:rPr>
          <w:rFonts w:hint="eastAsia" w:ascii="宋体" w:hAnsi="宋体" w:eastAsia="宋体" w:cs="宋体"/>
          <w:sz w:val="24"/>
          <w:szCs w:val="24"/>
          <w:lang w:val="en-US" w:eastAsia="zh-CN"/>
        </w:rPr>
        <w:t>5</w:t>
      </w:r>
      <w:r>
        <w:rPr>
          <w:rFonts w:hint="eastAsia" w:ascii="宋体" w:hAnsi="宋体" w:eastAsia="宋体" w:cs="宋体"/>
          <w:sz w:val="24"/>
          <w:szCs w:val="24"/>
          <w:lang w:val="en-GB"/>
        </w:rPr>
        <w:t>）管理要求：人员进出管理，须提供保证安全并且高效率的人员进出方案，客户授权的相关维护人员可随时进入机房作业；设备进出管理，机房提供保证安全并且高效率的设备进出方案，客户设备可随时进出机房。</w:t>
      </w:r>
    </w:p>
    <w:p>
      <w:pPr>
        <w:pStyle w:val="4"/>
        <w:spacing w:line="360" w:lineRule="auto"/>
        <w:jc w:val="left"/>
        <w:rPr>
          <w:rFonts w:hint="eastAsia" w:ascii="宋体" w:hAnsi="宋体" w:eastAsia="宋体" w:cs="宋体"/>
          <w:sz w:val="24"/>
          <w:szCs w:val="24"/>
          <w:lang w:val="en-GB"/>
        </w:rPr>
      </w:pPr>
      <w:r>
        <w:rPr>
          <w:rFonts w:hint="eastAsia" w:ascii="宋体" w:hAnsi="宋体" w:eastAsia="宋体" w:cs="宋体"/>
          <w:sz w:val="24"/>
          <w:szCs w:val="24"/>
        </w:rPr>
        <w:t>13.</w:t>
      </w:r>
      <w:r>
        <w:rPr>
          <w:rFonts w:hint="eastAsia" w:ascii="宋体" w:hAnsi="宋体" w:eastAsia="宋体" w:cs="宋体"/>
          <w:sz w:val="24"/>
          <w:szCs w:val="24"/>
          <w:lang w:val="en-GB"/>
        </w:rPr>
        <w:t>服务要求</w:t>
      </w:r>
    </w:p>
    <w:p>
      <w:pPr>
        <w:widowControl/>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w:t>
      </w:r>
      <w:r>
        <w:rPr>
          <w:rFonts w:hint="eastAsia" w:ascii="宋体" w:hAnsi="宋体" w:eastAsia="宋体" w:cs="宋体"/>
          <w:sz w:val="24"/>
          <w:szCs w:val="24"/>
        </w:rPr>
        <w:t>1</w:t>
      </w:r>
      <w:r>
        <w:rPr>
          <w:rFonts w:hint="eastAsia" w:ascii="宋体" w:hAnsi="宋体" w:eastAsia="宋体" w:cs="宋体"/>
          <w:sz w:val="24"/>
          <w:szCs w:val="24"/>
          <w:lang w:val="en-GB"/>
        </w:rPr>
        <w:t>）供应商提供7×24小时机房基础设施（供配电、环境温度控制、网络配线等）实时维护。</w:t>
      </w:r>
    </w:p>
    <w:p>
      <w:pPr>
        <w:widowControl/>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w:t>
      </w:r>
      <w:r>
        <w:rPr>
          <w:rFonts w:hint="eastAsia" w:ascii="宋体" w:hAnsi="宋体" w:eastAsia="宋体" w:cs="宋体"/>
          <w:sz w:val="24"/>
          <w:szCs w:val="24"/>
        </w:rPr>
        <w:t>2</w:t>
      </w:r>
      <w:r>
        <w:rPr>
          <w:rFonts w:hint="eastAsia" w:ascii="宋体" w:hAnsi="宋体" w:eastAsia="宋体" w:cs="宋体"/>
          <w:sz w:val="24"/>
          <w:szCs w:val="24"/>
          <w:lang w:val="en-GB"/>
        </w:rPr>
        <w:t>）供应商提供7×24小时ICT设备一线运维值班条件，由客户负责授权相关人员进行运维。</w:t>
      </w:r>
    </w:p>
    <w:p>
      <w:pPr>
        <w:widowControl/>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w:t>
      </w:r>
      <w:r>
        <w:rPr>
          <w:rFonts w:hint="eastAsia" w:ascii="宋体" w:hAnsi="宋体" w:eastAsia="宋体" w:cs="宋体"/>
          <w:sz w:val="24"/>
          <w:szCs w:val="24"/>
        </w:rPr>
        <w:t>3</w:t>
      </w:r>
      <w:r>
        <w:rPr>
          <w:rFonts w:hint="eastAsia" w:ascii="宋体" w:hAnsi="宋体" w:eastAsia="宋体" w:cs="宋体"/>
          <w:sz w:val="24"/>
          <w:szCs w:val="24"/>
          <w:lang w:val="en-GB"/>
        </w:rPr>
        <w:t>）合同签订生效后1个月内完成机房网络互联，按需求提供可用机柜。</w:t>
      </w:r>
    </w:p>
    <w:p>
      <w:pPr>
        <w:widowControl/>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w:t>
      </w:r>
      <w:r>
        <w:rPr>
          <w:rFonts w:hint="eastAsia" w:ascii="宋体" w:hAnsi="宋体" w:eastAsia="宋体" w:cs="宋体"/>
          <w:sz w:val="24"/>
          <w:szCs w:val="24"/>
        </w:rPr>
        <w:t>4</w:t>
      </w:r>
      <w:r>
        <w:rPr>
          <w:rFonts w:hint="eastAsia" w:ascii="宋体" w:hAnsi="宋体" w:eastAsia="宋体" w:cs="宋体"/>
          <w:sz w:val="24"/>
          <w:szCs w:val="24"/>
          <w:lang w:val="en-GB"/>
        </w:rPr>
        <w:t>）采购方设备架设在中标方机房机柜，完成供电及网络连接后，视为完成租赁，采购方支付此机柜租费。采购方撤离机柜内所有用电设备后，停止支付此机柜租费。</w:t>
      </w:r>
    </w:p>
    <w:p>
      <w:pPr>
        <w:pStyle w:val="33"/>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w:t>
      </w:r>
      <w:r>
        <w:rPr>
          <w:rFonts w:hint="eastAsia" w:ascii="宋体" w:hAnsi="宋体" w:eastAsia="宋体" w:cs="宋体"/>
          <w:sz w:val="24"/>
          <w:szCs w:val="24"/>
        </w:rPr>
        <w:t>5</w:t>
      </w:r>
      <w:r>
        <w:rPr>
          <w:rFonts w:hint="eastAsia" w:ascii="宋体" w:hAnsi="宋体" w:eastAsia="宋体" w:cs="宋体"/>
          <w:sz w:val="24"/>
          <w:szCs w:val="24"/>
          <w:lang w:val="en-GB"/>
        </w:rPr>
        <w:t>）如涉及机房变更，需对我局原放置在中国电信IDC机房内</w:t>
      </w:r>
      <w:r>
        <w:rPr>
          <w:rFonts w:hint="eastAsia" w:ascii="宋体" w:hAnsi="宋体" w:eastAsia="宋体" w:cs="宋体"/>
          <w:sz w:val="24"/>
          <w:szCs w:val="24"/>
          <w:lang w:val="en-GB" w:eastAsia="zh-CN"/>
        </w:rPr>
        <w:t>的</w:t>
      </w:r>
      <w:r>
        <w:rPr>
          <w:rFonts w:hint="eastAsia" w:ascii="宋体" w:hAnsi="宋体" w:eastAsia="宋体" w:cs="宋体"/>
          <w:sz w:val="24"/>
          <w:szCs w:val="24"/>
          <w:lang w:val="en-GB"/>
        </w:rPr>
        <w:t>各类设备提供免费搬迁调试服务，</w:t>
      </w:r>
      <w:r>
        <w:rPr>
          <w:rFonts w:hint="eastAsia" w:ascii="宋体" w:hAnsi="宋体" w:eastAsia="宋体" w:cs="宋体"/>
          <w:sz w:val="24"/>
          <w:szCs w:val="24"/>
          <w:lang w:val="en-GB" w:eastAsia="zh-CN"/>
        </w:rPr>
        <w:t>且核心</w:t>
      </w:r>
      <w:r>
        <w:rPr>
          <w:rFonts w:hint="eastAsia" w:ascii="宋体" w:hAnsi="宋体" w:eastAsia="宋体" w:cs="宋体"/>
          <w:sz w:val="24"/>
          <w:szCs w:val="24"/>
          <w:lang w:val="en-GB"/>
        </w:rPr>
        <w:t>业务中断不得超过2小时</w:t>
      </w:r>
      <w:r>
        <w:rPr>
          <w:rFonts w:hint="eastAsia" w:ascii="宋体" w:hAnsi="宋体" w:eastAsia="宋体" w:cs="宋体"/>
          <w:sz w:val="24"/>
          <w:szCs w:val="24"/>
          <w:lang w:val="en-GB" w:eastAsia="zh-CN"/>
        </w:rPr>
        <w:t>、重要业务中断不超过</w:t>
      </w:r>
      <w:r>
        <w:rPr>
          <w:rFonts w:hint="eastAsia" w:ascii="宋体" w:hAnsi="宋体" w:eastAsia="宋体" w:cs="宋体"/>
          <w:sz w:val="24"/>
          <w:szCs w:val="24"/>
          <w:lang w:val="en-US" w:eastAsia="zh-CN"/>
        </w:rPr>
        <w:t>8小时、其它业务中断不超过24小时</w:t>
      </w:r>
      <w:r>
        <w:rPr>
          <w:rFonts w:hint="eastAsia" w:ascii="宋体" w:hAnsi="宋体" w:eastAsia="宋体" w:cs="宋体"/>
          <w:sz w:val="24"/>
          <w:szCs w:val="24"/>
          <w:lang w:val="en-GB"/>
        </w:rPr>
        <w:t>。</w:t>
      </w:r>
    </w:p>
    <w:p>
      <w:pPr>
        <w:pStyle w:val="3"/>
        <w:keepNext/>
        <w:keepLines/>
        <w:pageBreakBefore w:val="0"/>
        <w:widowControl w:val="0"/>
        <w:numPr>
          <w:ilvl w:val="1"/>
          <w:numId w:val="0"/>
        </w:numPr>
        <w:kinsoku/>
        <w:wordWrap/>
        <w:overflowPunct/>
        <w:topLinePunct w:val="0"/>
        <w:autoSpaceDE/>
        <w:autoSpaceDN/>
        <w:bidi w:val="0"/>
        <w:adjustRightInd/>
        <w:snapToGrid/>
        <w:spacing w:before="0" w:after="0" w:line="360" w:lineRule="auto"/>
        <w:ind w:leftChars="0"/>
        <w:jc w:val="left"/>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（三）有关说明</w:t>
      </w:r>
    </w:p>
    <w:p>
      <w:pPr>
        <w:pStyle w:val="54"/>
        <w:spacing w:line="360" w:lineRule="auto"/>
        <w:ind w:firstLine="480"/>
        <w:jc w:val="left"/>
        <w:rPr>
          <w:rFonts w:hint="eastAsia" w:ascii="宋体" w:hAnsi="宋体" w:eastAsia="宋体" w:cs="宋体"/>
          <w:sz w:val="24"/>
          <w:szCs w:val="24"/>
          <w:lang w:val="en-GB"/>
        </w:rPr>
      </w:pPr>
      <w:r>
        <w:rPr>
          <w:rFonts w:hint="eastAsia" w:ascii="宋体" w:hAnsi="宋体" w:eastAsia="宋体" w:cs="宋体"/>
          <w:sz w:val="24"/>
          <w:szCs w:val="24"/>
          <w:lang w:val="en-GB"/>
        </w:rPr>
        <w:t>本项目投标总报价包括满足本项目要求的所有机柜租赁费及其他配套设备、材料、人工、服务等从项目中标起到项目正式交付以及服务期限内所发生的一切费用。投标人进行投标总报价时按租赁机柜数量50台（该数量仅指采购人设备占用的加电机柜的数量，不包括中标人提供的配线架、列头柜等配套设备数量，但相应配套设备的价格均须计算在总报价中），租期</w:t>
      </w:r>
      <w:r>
        <w:rPr>
          <w:rFonts w:hint="eastAsia" w:ascii="宋体" w:hAnsi="宋体" w:eastAsia="宋体" w:cs="宋体"/>
          <w:sz w:val="24"/>
          <w:szCs w:val="24"/>
        </w:rPr>
        <w:t>1</w:t>
      </w:r>
      <w:r>
        <w:rPr>
          <w:rFonts w:hint="eastAsia" w:ascii="宋体" w:hAnsi="宋体" w:eastAsia="宋体" w:cs="宋体"/>
          <w:sz w:val="24"/>
          <w:szCs w:val="24"/>
          <w:lang w:val="en-GB"/>
        </w:rPr>
        <w:t>年计算，总报价不得超过本项目预算，否则投标无效；并以此总报价参与价格分计算。</w:t>
      </w:r>
    </w:p>
    <w:p>
      <w:pPr>
        <w:pStyle w:val="54"/>
        <w:spacing w:line="360" w:lineRule="auto"/>
        <w:ind w:firstLine="480"/>
        <w:jc w:val="left"/>
        <w:rPr>
          <w:rFonts w:hint="eastAsia" w:ascii="宋体" w:hAnsi="宋体" w:eastAsia="宋体" w:cs="宋体"/>
          <w:sz w:val="24"/>
          <w:szCs w:val="24"/>
          <w:lang w:val="en-GB"/>
        </w:rPr>
      </w:pPr>
      <w:r>
        <w:rPr>
          <w:rFonts w:hint="eastAsia" w:ascii="宋体" w:hAnsi="宋体" w:eastAsia="宋体" w:cs="宋体"/>
          <w:sz w:val="24"/>
          <w:szCs w:val="24"/>
          <w:lang w:val="en-GB"/>
        </w:rPr>
        <w:t>结算方式：中标人所报总价除以租赁机柜数量50台，再除以租期12个月所得报价即为中标单价，租费结算时以该中标单价按</w:t>
      </w:r>
      <w:r>
        <w:rPr>
          <w:rFonts w:hint="eastAsia" w:ascii="宋体" w:hAnsi="宋体" w:eastAsia="宋体" w:cs="宋体"/>
          <w:sz w:val="24"/>
          <w:szCs w:val="24"/>
          <w:lang w:val="en-GB" w:eastAsia="zh-CN"/>
        </w:rPr>
        <w:t>每</w:t>
      </w:r>
      <w:r>
        <w:rPr>
          <w:rFonts w:hint="eastAsia" w:ascii="宋体" w:hAnsi="宋体" w:eastAsia="宋体" w:cs="宋体"/>
          <w:sz w:val="24"/>
          <w:szCs w:val="24"/>
          <w:lang w:val="en-US" w:eastAsia="zh-CN"/>
        </w:rPr>
        <w:t>月</w:t>
      </w:r>
      <w:r>
        <w:rPr>
          <w:rFonts w:hint="eastAsia" w:ascii="宋体" w:hAnsi="宋体" w:eastAsia="宋体" w:cs="宋体"/>
          <w:sz w:val="24"/>
          <w:szCs w:val="24"/>
          <w:lang w:val="en-GB"/>
        </w:rPr>
        <w:t>实际租用机柜数量审核费用，按月结算，但总费用不超过本项目预算。</w:t>
      </w:r>
    </w:p>
    <w:p>
      <w:pPr>
        <w:spacing w:line="560" w:lineRule="exact"/>
        <w:ind w:firstLine="480" w:firstLineChars="200"/>
        <w:rPr>
          <w:rFonts w:hint="eastAsia" w:ascii="宋体" w:hAnsi="宋体" w:eastAsia="宋体" w:cs="宋体"/>
          <w:color w:val="000000"/>
          <w:sz w:val="24"/>
          <w:szCs w:val="24"/>
        </w:rPr>
        <w:sectPr>
          <w:headerReference r:id="rId8" w:type="default"/>
          <w:footerReference r:id="rId9" w:type="default"/>
          <w:pgSz w:w="11906" w:h="16838"/>
          <w:pgMar w:top="1304" w:right="1304" w:bottom="1304" w:left="1304" w:header="851" w:footer="992" w:gutter="0"/>
          <w:cols w:space="425" w:num="1"/>
          <w:docGrid w:type="lines" w:linePitch="312" w:charSpace="0"/>
        </w:sectPr>
      </w:pPr>
    </w:p>
    <w:p>
      <w:pPr>
        <w:jc w:val="center"/>
        <w:outlineLvl w:val="0"/>
        <w:rPr>
          <w:rFonts w:hint="eastAsia" w:ascii="宋体" w:hAnsi="宋体" w:eastAsia="宋体" w:cs="宋体"/>
          <w:b/>
          <w:sz w:val="44"/>
          <w:szCs w:val="44"/>
        </w:rPr>
      </w:pPr>
      <w:r>
        <w:rPr>
          <w:rFonts w:hint="eastAsia" w:ascii="宋体" w:hAnsi="宋体" w:eastAsia="宋体" w:cs="宋体"/>
          <w:b/>
          <w:sz w:val="44"/>
          <w:szCs w:val="44"/>
        </w:rPr>
        <w:t>第四部分．合同书（格式文本）</w:t>
      </w:r>
    </w:p>
    <w:p>
      <w:pPr>
        <w:spacing w:line="360" w:lineRule="auto"/>
        <w:rPr>
          <w:rFonts w:hint="eastAsia" w:ascii="宋体" w:hAnsi="宋体" w:eastAsia="宋体" w:cs="宋体"/>
          <w:bCs/>
          <w:sz w:val="24"/>
          <w:szCs w:val="24"/>
          <w:u w:val="single"/>
        </w:rPr>
      </w:pPr>
      <w:r>
        <w:rPr>
          <w:rFonts w:hint="eastAsia" w:ascii="宋体" w:hAnsi="宋体" w:eastAsia="宋体" w:cs="宋体"/>
          <w:bCs/>
          <w:sz w:val="24"/>
          <w:szCs w:val="24"/>
        </w:rPr>
        <w:t>需方（采购人）：</w:t>
      </w:r>
      <w:r>
        <w:rPr>
          <w:rFonts w:hint="eastAsia" w:ascii="宋体" w:hAnsi="宋体" w:eastAsia="宋体" w:cs="宋体"/>
          <w:bCs/>
          <w:sz w:val="24"/>
          <w:szCs w:val="24"/>
          <w:u w:val="single"/>
        </w:rPr>
        <w:t xml:space="preserve">                         </w:t>
      </w:r>
    </w:p>
    <w:p>
      <w:pPr>
        <w:spacing w:line="360" w:lineRule="auto"/>
        <w:rPr>
          <w:rFonts w:hint="eastAsia" w:ascii="宋体" w:hAnsi="宋体" w:eastAsia="宋体" w:cs="宋体"/>
          <w:bCs/>
          <w:sz w:val="24"/>
          <w:szCs w:val="24"/>
          <w:u w:val="single"/>
        </w:rPr>
      </w:pPr>
      <w:r>
        <w:rPr>
          <w:rFonts w:hint="eastAsia" w:ascii="宋体" w:hAnsi="宋体" w:eastAsia="宋体" w:cs="宋体"/>
          <w:bCs/>
          <w:sz w:val="24"/>
          <w:szCs w:val="24"/>
        </w:rPr>
        <w:t>供方（</w:t>
      </w:r>
      <w:r>
        <w:rPr>
          <w:rFonts w:hint="eastAsia" w:ascii="宋体" w:hAnsi="宋体" w:cs="宋体"/>
          <w:bCs/>
          <w:sz w:val="24"/>
          <w:szCs w:val="24"/>
          <w:lang w:val="en-US" w:eastAsia="zh-CN"/>
        </w:rPr>
        <w:t>中标方</w:t>
      </w:r>
      <w:r>
        <w:rPr>
          <w:rFonts w:hint="eastAsia" w:ascii="宋体" w:hAnsi="宋体" w:eastAsia="宋体" w:cs="宋体"/>
          <w:bCs/>
          <w:sz w:val="24"/>
          <w:szCs w:val="24"/>
        </w:rPr>
        <w:t>）：</w:t>
      </w:r>
      <w:r>
        <w:rPr>
          <w:rFonts w:hint="eastAsia" w:ascii="宋体" w:hAnsi="宋体" w:eastAsia="宋体" w:cs="宋体"/>
          <w:bCs/>
          <w:sz w:val="24"/>
          <w:szCs w:val="24"/>
          <w:u w:val="single"/>
        </w:rPr>
        <w:t xml:space="preserve">                         </w:t>
      </w:r>
    </w:p>
    <w:p>
      <w:pPr>
        <w:numPr>
          <w:ilvl w:val="0"/>
          <w:numId w:val="14"/>
        </w:numPr>
        <w:tabs>
          <w:tab w:val="left" w:pos="735"/>
          <w:tab w:val="left" w:pos="1260"/>
          <w:tab w:val="clear" w:pos="450"/>
        </w:tabs>
        <w:spacing w:line="360" w:lineRule="auto"/>
        <w:ind w:left="0" w:firstLine="525"/>
        <w:rPr>
          <w:rFonts w:hint="eastAsia" w:ascii="宋体" w:hAnsi="宋体" w:eastAsia="宋体" w:cs="宋体"/>
          <w:bCs/>
          <w:sz w:val="24"/>
          <w:szCs w:val="24"/>
        </w:rPr>
      </w:pPr>
      <w:r>
        <w:rPr>
          <w:rFonts w:hint="eastAsia" w:ascii="宋体" w:hAnsi="宋体" w:eastAsia="宋体" w:cs="宋体"/>
          <w:bCs/>
          <w:sz w:val="24"/>
          <w:szCs w:val="24"/>
        </w:rPr>
        <w:t>采购内容：</w:t>
      </w:r>
      <w:r>
        <w:rPr>
          <w:rFonts w:hint="eastAsia" w:ascii="宋体" w:hAnsi="宋体" w:eastAsia="宋体" w:cs="宋体"/>
          <w:bCs/>
          <w:sz w:val="24"/>
          <w:szCs w:val="24"/>
          <w:u w:val="single"/>
        </w:rPr>
        <w:t xml:space="preserve">                                                            </w:t>
      </w:r>
    </w:p>
    <w:p>
      <w:pPr>
        <w:numPr>
          <w:ilvl w:val="0"/>
          <w:numId w:val="14"/>
        </w:numPr>
        <w:tabs>
          <w:tab w:val="left" w:pos="735"/>
          <w:tab w:val="left" w:pos="1260"/>
          <w:tab w:val="clear" w:pos="450"/>
        </w:tabs>
        <w:spacing w:line="360" w:lineRule="auto"/>
        <w:ind w:left="0" w:firstLine="525"/>
        <w:rPr>
          <w:rFonts w:hint="eastAsia" w:ascii="宋体" w:hAnsi="宋体" w:eastAsia="宋体" w:cs="宋体"/>
          <w:bCs/>
          <w:sz w:val="24"/>
          <w:szCs w:val="24"/>
        </w:rPr>
      </w:pPr>
      <w:r>
        <w:rPr>
          <w:rFonts w:hint="eastAsia" w:ascii="宋体" w:hAnsi="宋体" w:eastAsia="宋体" w:cs="宋体"/>
          <w:bCs/>
          <w:sz w:val="24"/>
          <w:szCs w:val="24"/>
        </w:rPr>
        <w:t>中标总金额：（大写）</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；（小写）</w:t>
      </w:r>
      <w:r>
        <w:rPr>
          <w:rFonts w:hint="eastAsia" w:ascii="宋体" w:hAnsi="宋体" w:eastAsia="宋体" w:cs="宋体"/>
          <w:bCs/>
          <w:sz w:val="24"/>
          <w:szCs w:val="24"/>
          <w:u w:val="single"/>
        </w:rPr>
        <w:t xml:space="preserve">             </w:t>
      </w:r>
    </w:p>
    <w:p>
      <w:pPr>
        <w:numPr>
          <w:ilvl w:val="0"/>
          <w:numId w:val="14"/>
        </w:numPr>
        <w:tabs>
          <w:tab w:val="left" w:pos="735"/>
          <w:tab w:val="left" w:pos="1260"/>
          <w:tab w:val="clear" w:pos="450"/>
        </w:tabs>
        <w:spacing w:line="360" w:lineRule="auto"/>
        <w:ind w:left="0" w:firstLine="525"/>
        <w:rPr>
          <w:rFonts w:hint="eastAsia" w:ascii="宋体" w:hAnsi="宋体" w:eastAsia="宋体" w:cs="宋体"/>
          <w:bCs/>
          <w:sz w:val="24"/>
          <w:szCs w:val="24"/>
        </w:rPr>
      </w:pPr>
      <w:r>
        <w:rPr>
          <w:rFonts w:hint="eastAsia" w:ascii="宋体" w:hAnsi="宋体" w:eastAsia="宋体" w:cs="宋体"/>
          <w:bCs/>
          <w:sz w:val="24"/>
          <w:szCs w:val="24"/>
        </w:rPr>
        <w:t>质量和包装要求及验收标准：</w:t>
      </w:r>
      <w:r>
        <w:rPr>
          <w:rFonts w:hint="eastAsia" w:ascii="宋体" w:hAnsi="宋体" w:eastAsia="宋体" w:cs="宋体"/>
          <w:bCs/>
          <w:sz w:val="24"/>
          <w:szCs w:val="24"/>
          <w:u w:val="single"/>
        </w:rPr>
        <w:t xml:space="preserve">                                            </w:t>
      </w:r>
    </w:p>
    <w:p>
      <w:pPr>
        <w:numPr>
          <w:ilvl w:val="0"/>
          <w:numId w:val="14"/>
        </w:numPr>
        <w:tabs>
          <w:tab w:val="left" w:pos="735"/>
          <w:tab w:val="left" w:pos="1260"/>
          <w:tab w:val="clear" w:pos="450"/>
        </w:tabs>
        <w:spacing w:line="360" w:lineRule="auto"/>
        <w:ind w:left="0" w:firstLine="525"/>
        <w:rPr>
          <w:rFonts w:hint="eastAsia" w:ascii="宋体" w:hAnsi="宋体" w:eastAsia="宋体" w:cs="宋体"/>
          <w:bCs/>
          <w:sz w:val="24"/>
          <w:szCs w:val="24"/>
        </w:rPr>
      </w:pPr>
      <w:r>
        <w:rPr>
          <w:rFonts w:hint="eastAsia" w:ascii="宋体" w:hAnsi="宋体" w:eastAsia="宋体" w:cs="宋体"/>
          <w:bCs/>
          <w:sz w:val="24"/>
          <w:szCs w:val="24"/>
        </w:rPr>
        <w:t>交货期或完工期：</w:t>
      </w:r>
      <w:r>
        <w:rPr>
          <w:rFonts w:hint="eastAsia" w:ascii="宋体" w:hAnsi="宋体" w:eastAsia="宋体" w:cs="宋体"/>
          <w:bCs/>
          <w:sz w:val="24"/>
          <w:szCs w:val="24"/>
          <w:u w:val="single"/>
        </w:rPr>
        <w:t xml:space="preserve">                                                      </w:t>
      </w:r>
    </w:p>
    <w:p>
      <w:pPr>
        <w:numPr>
          <w:ilvl w:val="0"/>
          <w:numId w:val="14"/>
        </w:numPr>
        <w:tabs>
          <w:tab w:val="left" w:pos="735"/>
          <w:tab w:val="left" w:pos="1260"/>
          <w:tab w:val="clear" w:pos="450"/>
        </w:tabs>
        <w:spacing w:line="360" w:lineRule="auto"/>
        <w:ind w:left="0" w:firstLine="525"/>
        <w:rPr>
          <w:rFonts w:hint="eastAsia" w:ascii="宋体" w:hAnsi="宋体" w:eastAsia="宋体" w:cs="宋体"/>
          <w:bCs/>
          <w:sz w:val="24"/>
          <w:szCs w:val="24"/>
        </w:rPr>
      </w:pPr>
      <w:r>
        <w:rPr>
          <w:rFonts w:hint="eastAsia" w:ascii="宋体" w:hAnsi="宋体" w:eastAsia="宋体" w:cs="宋体"/>
          <w:bCs/>
          <w:sz w:val="24"/>
          <w:szCs w:val="24"/>
        </w:rPr>
        <w:t>交货地点和方式：</w:t>
      </w:r>
      <w:r>
        <w:rPr>
          <w:rFonts w:hint="eastAsia" w:ascii="宋体" w:hAnsi="宋体" w:eastAsia="宋体" w:cs="宋体"/>
          <w:bCs/>
          <w:sz w:val="24"/>
          <w:szCs w:val="24"/>
          <w:u w:val="single"/>
        </w:rPr>
        <w:t xml:space="preserve">                                                      </w:t>
      </w:r>
    </w:p>
    <w:p>
      <w:pPr>
        <w:numPr>
          <w:ilvl w:val="0"/>
          <w:numId w:val="14"/>
        </w:numPr>
        <w:tabs>
          <w:tab w:val="left" w:pos="0"/>
          <w:tab w:val="left" w:pos="1260"/>
          <w:tab w:val="clear" w:pos="450"/>
        </w:tabs>
        <w:spacing w:line="360" w:lineRule="auto"/>
        <w:ind w:left="0" w:firstLine="525"/>
        <w:rPr>
          <w:rFonts w:hint="eastAsia" w:ascii="宋体" w:hAnsi="宋体" w:eastAsia="宋体" w:cs="宋体"/>
          <w:bCs/>
          <w:sz w:val="24"/>
          <w:szCs w:val="24"/>
        </w:rPr>
      </w:pPr>
      <w:r>
        <w:rPr>
          <w:rFonts w:hint="eastAsia" w:ascii="宋体" w:hAnsi="宋体" w:eastAsia="宋体" w:cs="宋体"/>
          <w:bCs/>
          <w:sz w:val="24"/>
          <w:szCs w:val="24"/>
        </w:rPr>
        <w:t>货款支付步骤和办法：</w:t>
      </w:r>
      <w:r>
        <w:rPr>
          <w:rFonts w:hint="eastAsia" w:ascii="宋体" w:hAnsi="宋体" w:eastAsia="宋体" w:cs="宋体"/>
          <w:bCs/>
          <w:sz w:val="24"/>
          <w:szCs w:val="24"/>
          <w:u w:val="single"/>
        </w:rPr>
        <w:t xml:space="preserve">                                                  </w:t>
      </w:r>
    </w:p>
    <w:p>
      <w:pPr>
        <w:numPr>
          <w:ilvl w:val="0"/>
          <w:numId w:val="14"/>
        </w:numPr>
        <w:tabs>
          <w:tab w:val="left" w:pos="0"/>
          <w:tab w:val="left" w:pos="1260"/>
          <w:tab w:val="clear" w:pos="450"/>
        </w:tabs>
        <w:spacing w:line="360" w:lineRule="auto"/>
        <w:ind w:left="0" w:firstLine="525"/>
        <w:rPr>
          <w:rFonts w:hint="eastAsia" w:ascii="宋体" w:hAnsi="宋体" w:eastAsia="宋体" w:cs="宋体"/>
          <w:bCs/>
          <w:sz w:val="24"/>
          <w:szCs w:val="24"/>
        </w:rPr>
      </w:pPr>
      <w:r>
        <w:rPr>
          <w:rFonts w:hint="eastAsia" w:ascii="宋体" w:hAnsi="宋体" w:eastAsia="宋体" w:cs="宋体"/>
          <w:bCs/>
          <w:sz w:val="24"/>
          <w:szCs w:val="24"/>
        </w:rPr>
        <w:t>售后服务：</w:t>
      </w:r>
      <w:r>
        <w:rPr>
          <w:rFonts w:hint="eastAsia" w:ascii="宋体" w:hAnsi="宋体" w:eastAsia="宋体" w:cs="宋体"/>
          <w:bCs/>
          <w:sz w:val="24"/>
          <w:szCs w:val="24"/>
          <w:u w:val="single"/>
        </w:rPr>
        <w:t xml:space="preserve">                                                            </w:t>
      </w:r>
    </w:p>
    <w:p>
      <w:pPr>
        <w:numPr>
          <w:ilvl w:val="0"/>
          <w:numId w:val="14"/>
        </w:numPr>
        <w:tabs>
          <w:tab w:val="left" w:pos="0"/>
          <w:tab w:val="left" w:pos="1260"/>
          <w:tab w:val="clear" w:pos="450"/>
        </w:tabs>
        <w:spacing w:line="360" w:lineRule="auto"/>
        <w:ind w:left="0" w:firstLine="525"/>
        <w:rPr>
          <w:rFonts w:hint="eastAsia" w:ascii="宋体" w:hAnsi="宋体" w:eastAsia="宋体" w:cs="宋体"/>
          <w:bCs/>
          <w:sz w:val="24"/>
          <w:szCs w:val="24"/>
        </w:rPr>
      </w:pPr>
      <w:r>
        <w:rPr>
          <w:rFonts w:hint="eastAsia" w:ascii="宋体" w:hAnsi="宋体" w:eastAsia="宋体" w:cs="宋体"/>
          <w:bCs/>
          <w:sz w:val="24"/>
          <w:szCs w:val="24"/>
        </w:rPr>
        <w:t>违约责任：</w:t>
      </w:r>
      <w:r>
        <w:rPr>
          <w:rFonts w:hint="eastAsia" w:ascii="宋体" w:hAnsi="宋体" w:eastAsia="宋体" w:cs="宋体"/>
          <w:bCs/>
          <w:sz w:val="24"/>
          <w:szCs w:val="24"/>
          <w:u w:val="single"/>
        </w:rPr>
        <w:t xml:space="preserve">                                                            </w:t>
      </w:r>
    </w:p>
    <w:p>
      <w:pPr>
        <w:numPr>
          <w:ilvl w:val="0"/>
          <w:numId w:val="14"/>
        </w:numPr>
        <w:tabs>
          <w:tab w:val="left" w:pos="0"/>
          <w:tab w:val="left" w:pos="1260"/>
          <w:tab w:val="clear" w:pos="450"/>
        </w:tabs>
        <w:spacing w:line="360" w:lineRule="auto"/>
        <w:ind w:left="0" w:firstLine="525"/>
        <w:rPr>
          <w:rFonts w:hint="eastAsia" w:ascii="宋体" w:hAnsi="宋体" w:eastAsia="宋体" w:cs="宋体"/>
          <w:bCs/>
          <w:sz w:val="24"/>
          <w:szCs w:val="24"/>
        </w:rPr>
      </w:pPr>
      <w:r>
        <w:rPr>
          <w:rFonts w:hint="eastAsia" w:ascii="宋体" w:hAnsi="宋体" w:eastAsia="宋体" w:cs="宋体"/>
          <w:sz w:val="24"/>
          <w:szCs w:val="24"/>
        </w:rPr>
        <w:t>解决争议的方式：</w:t>
      </w:r>
      <w:r>
        <w:rPr>
          <w:rFonts w:hint="eastAsia" w:ascii="宋体" w:hAnsi="宋体" w:eastAsia="宋体" w:cs="宋体"/>
          <w:sz w:val="24"/>
          <w:szCs w:val="24"/>
          <w:u w:val="single"/>
        </w:rPr>
        <w:t xml:space="preserve">                                                      </w:t>
      </w:r>
    </w:p>
    <w:p>
      <w:pPr>
        <w:numPr>
          <w:ilvl w:val="0"/>
          <w:numId w:val="14"/>
        </w:numPr>
        <w:tabs>
          <w:tab w:val="left" w:pos="0"/>
          <w:tab w:val="left" w:pos="1260"/>
          <w:tab w:val="clear" w:pos="450"/>
        </w:tabs>
        <w:spacing w:line="360" w:lineRule="auto"/>
        <w:ind w:left="0" w:firstLine="525"/>
        <w:rPr>
          <w:rFonts w:hint="eastAsia" w:ascii="宋体" w:hAnsi="宋体" w:eastAsia="宋体" w:cs="宋体"/>
          <w:bCs/>
          <w:sz w:val="24"/>
          <w:szCs w:val="24"/>
        </w:rPr>
      </w:pPr>
      <w:r>
        <w:rPr>
          <w:rFonts w:hint="eastAsia" w:ascii="宋体" w:hAnsi="宋体" w:eastAsia="宋体" w:cs="宋体"/>
          <w:bCs/>
          <w:sz w:val="24"/>
          <w:szCs w:val="24"/>
        </w:rPr>
        <w:t>其它事项：</w:t>
      </w:r>
      <w:r>
        <w:rPr>
          <w:rFonts w:hint="eastAsia" w:ascii="宋体" w:hAnsi="宋体" w:eastAsia="宋体" w:cs="宋体"/>
          <w:bCs/>
          <w:sz w:val="24"/>
          <w:szCs w:val="24"/>
          <w:u w:val="single"/>
        </w:rPr>
        <w:t xml:space="preserve">                                                            </w:t>
      </w:r>
    </w:p>
    <w:p>
      <w:pPr>
        <w:numPr>
          <w:ilvl w:val="0"/>
          <w:numId w:val="14"/>
        </w:numPr>
        <w:tabs>
          <w:tab w:val="left" w:pos="0"/>
          <w:tab w:val="left" w:pos="1260"/>
          <w:tab w:val="clear" w:pos="450"/>
        </w:tabs>
        <w:spacing w:line="360" w:lineRule="auto"/>
        <w:ind w:left="0" w:firstLine="525"/>
        <w:rPr>
          <w:rFonts w:hint="eastAsia" w:ascii="宋体" w:hAnsi="宋体" w:eastAsia="宋体" w:cs="宋体"/>
          <w:bCs/>
          <w:sz w:val="24"/>
          <w:szCs w:val="24"/>
        </w:rPr>
      </w:pPr>
      <w:r>
        <w:rPr>
          <w:rFonts w:hint="eastAsia" w:ascii="宋体" w:hAnsi="宋体" w:eastAsia="宋体" w:cs="宋体"/>
          <w:bCs/>
          <w:sz w:val="24"/>
          <w:szCs w:val="24"/>
        </w:rPr>
        <w:t>合同不可分割部分：</w:t>
      </w:r>
    </w:p>
    <w:p>
      <w:pPr>
        <w:tabs>
          <w:tab w:val="left" w:pos="0"/>
          <w:tab w:val="left" w:pos="1260"/>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采购文件、投标文件、合同条款及</w:t>
      </w:r>
      <w:r>
        <w:rPr>
          <w:rFonts w:hint="eastAsia" w:ascii="宋体" w:hAnsi="宋体" w:cs="宋体"/>
          <w:bCs/>
          <w:sz w:val="24"/>
          <w:szCs w:val="24"/>
          <w:lang w:val="en-US" w:eastAsia="zh-CN"/>
        </w:rPr>
        <w:t>中标</w:t>
      </w:r>
      <w:r>
        <w:rPr>
          <w:rFonts w:hint="eastAsia" w:ascii="宋体" w:hAnsi="宋体" w:eastAsia="宋体" w:cs="宋体"/>
          <w:bCs/>
          <w:sz w:val="24"/>
          <w:szCs w:val="24"/>
        </w:rPr>
        <w:t>通知书，供方在报价过程中所作其它有关承诺、声明、书面澄清等均为合同不可分割的部分，与主合同具有同等法律效力。</w:t>
      </w:r>
    </w:p>
    <w:p>
      <w:pPr>
        <w:numPr>
          <w:ilvl w:val="0"/>
          <w:numId w:val="14"/>
        </w:numPr>
        <w:tabs>
          <w:tab w:val="left" w:pos="0"/>
          <w:tab w:val="left" w:pos="1260"/>
          <w:tab w:val="clear" w:pos="450"/>
        </w:tabs>
        <w:spacing w:line="360" w:lineRule="auto"/>
        <w:ind w:left="0" w:firstLine="525"/>
        <w:rPr>
          <w:rFonts w:hint="eastAsia" w:ascii="宋体" w:hAnsi="宋体" w:eastAsia="宋体" w:cs="宋体"/>
          <w:bCs/>
          <w:sz w:val="24"/>
          <w:szCs w:val="24"/>
        </w:rPr>
      </w:pPr>
      <w:r>
        <w:rPr>
          <w:rFonts w:hint="eastAsia" w:ascii="宋体" w:hAnsi="宋体" w:eastAsia="宋体" w:cs="宋体"/>
          <w:bCs/>
          <w:sz w:val="24"/>
          <w:szCs w:val="24"/>
        </w:rPr>
        <w:t>合同备案：</w:t>
      </w:r>
    </w:p>
    <w:p>
      <w:pPr>
        <w:tabs>
          <w:tab w:val="left" w:pos="0"/>
          <w:tab w:val="left" w:pos="1260"/>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合同一式伍份，供需双方各执贰份，</w:t>
      </w:r>
      <w:r>
        <w:rPr>
          <w:rFonts w:hint="eastAsia" w:ascii="宋体" w:hAnsi="宋体" w:eastAsia="宋体" w:cs="宋体"/>
          <w:bCs/>
          <w:sz w:val="24"/>
          <w:szCs w:val="24"/>
          <w:lang w:eastAsia="zh-CN"/>
        </w:rPr>
        <w:t>江苏万享通咨询有限公司</w:t>
      </w:r>
      <w:r>
        <w:rPr>
          <w:rFonts w:hint="eastAsia" w:ascii="宋体" w:hAnsi="宋体" w:eastAsia="宋体" w:cs="宋体"/>
          <w:bCs/>
          <w:sz w:val="24"/>
          <w:szCs w:val="24"/>
        </w:rPr>
        <w:t>一份。</w:t>
      </w:r>
    </w:p>
    <w:p>
      <w:pPr>
        <w:numPr>
          <w:ilvl w:val="0"/>
          <w:numId w:val="14"/>
        </w:numPr>
        <w:tabs>
          <w:tab w:val="left" w:pos="0"/>
          <w:tab w:val="left" w:pos="1260"/>
          <w:tab w:val="clear" w:pos="450"/>
        </w:tabs>
        <w:spacing w:line="360" w:lineRule="auto"/>
        <w:ind w:left="0" w:firstLine="525"/>
        <w:rPr>
          <w:rFonts w:hint="eastAsia" w:ascii="宋体" w:hAnsi="宋体" w:eastAsia="宋体" w:cs="宋体"/>
          <w:bCs/>
          <w:sz w:val="24"/>
          <w:szCs w:val="24"/>
        </w:rPr>
      </w:pPr>
      <w:r>
        <w:rPr>
          <w:rFonts w:hint="eastAsia" w:ascii="宋体" w:hAnsi="宋体" w:eastAsia="宋体" w:cs="宋体"/>
          <w:bCs/>
          <w:sz w:val="24"/>
          <w:szCs w:val="24"/>
        </w:rPr>
        <w:t>合同生效：</w:t>
      </w:r>
    </w:p>
    <w:p>
      <w:pPr>
        <w:tabs>
          <w:tab w:val="left" w:pos="0"/>
          <w:tab w:val="left" w:pos="1260"/>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本合同由供需双方签字、盖章后生效。</w:t>
      </w:r>
    </w:p>
    <w:p>
      <w:pPr>
        <w:spacing w:line="360" w:lineRule="auto"/>
        <w:rPr>
          <w:rFonts w:hint="eastAsia" w:ascii="宋体" w:hAnsi="宋体" w:eastAsia="宋体" w:cs="宋体"/>
          <w:bCs/>
          <w:sz w:val="24"/>
          <w:szCs w:val="24"/>
          <w:u w:val="single"/>
        </w:rPr>
      </w:pPr>
      <w:r>
        <w:rPr>
          <w:rFonts w:hint="eastAsia" w:ascii="宋体" w:hAnsi="宋体" w:eastAsia="宋体" w:cs="宋体"/>
          <w:bCs/>
          <w:sz w:val="24"/>
          <w:szCs w:val="24"/>
        </w:rPr>
        <w:t>需方（采购人）：</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（盖章）  供方（</w:t>
      </w:r>
      <w:r>
        <w:rPr>
          <w:rFonts w:hint="eastAsia" w:ascii="宋体" w:hAnsi="宋体" w:cs="宋体"/>
          <w:bCs/>
          <w:sz w:val="24"/>
          <w:szCs w:val="24"/>
          <w:lang w:val="en-US" w:eastAsia="zh-CN"/>
        </w:rPr>
        <w:t>中标</w:t>
      </w:r>
      <w:r>
        <w:rPr>
          <w:rFonts w:hint="eastAsia" w:ascii="宋体" w:hAnsi="宋体" w:eastAsia="宋体" w:cs="宋体"/>
          <w:bCs/>
          <w:sz w:val="24"/>
          <w:szCs w:val="24"/>
        </w:rPr>
        <w:t>方）：</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（盖章）</w:t>
      </w:r>
    </w:p>
    <w:p>
      <w:pPr>
        <w:spacing w:line="360" w:lineRule="auto"/>
        <w:rPr>
          <w:rFonts w:hint="eastAsia" w:ascii="宋体" w:hAnsi="宋体" w:eastAsia="宋体" w:cs="宋体"/>
          <w:bCs/>
          <w:sz w:val="24"/>
          <w:szCs w:val="24"/>
          <w:u w:val="single"/>
        </w:rPr>
      </w:pPr>
      <w:r>
        <w:rPr>
          <w:rFonts w:hint="eastAsia" w:ascii="宋体" w:hAnsi="宋体" w:eastAsia="宋体" w:cs="宋体"/>
          <w:bCs/>
          <w:sz w:val="24"/>
          <w:szCs w:val="24"/>
        </w:rPr>
        <w:t>法定（授权）代表人：</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法定（授权）代表人：</w:t>
      </w:r>
      <w:r>
        <w:rPr>
          <w:rFonts w:hint="eastAsia" w:ascii="宋体" w:hAnsi="宋体" w:eastAsia="宋体" w:cs="宋体"/>
          <w:bCs/>
          <w:sz w:val="24"/>
          <w:szCs w:val="24"/>
          <w:u w:val="single"/>
        </w:rPr>
        <w:t xml:space="preserve">                   </w:t>
      </w:r>
    </w:p>
    <w:p>
      <w:pPr>
        <w:spacing w:line="360" w:lineRule="auto"/>
        <w:ind w:firstLine="1080" w:firstLineChars="450"/>
        <w:rPr>
          <w:rFonts w:hint="eastAsia" w:ascii="宋体" w:hAnsi="宋体" w:eastAsia="宋体" w:cs="宋体"/>
          <w:bCs/>
          <w:sz w:val="24"/>
          <w:szCs w:val="24"/>
          <w:u w:val="single"/>
        </w:rPr>
      </w:pP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日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w:t>
      </w:r>
    </w:p>
    <w:p>
      <w:pPr>
        <w:spacing w:line="360" w:lineRule="auto"/>
        <w:rPr>
          <w:rFonts w:hint="eastAsia" w:ascii="宋体" w:hAnsi="宋体" w:eastAsia="宋体" w:cs="宋体"/>
          <w:bCs/>
          <w:sz w:val="24"/>
          <w:szCs w:val="24"/>
        </w:rPr>
      </w:pPr>
    </w:p>
    <w:p>
      <w:pPr>
        <w:spacing w:line="360" w:lineRule="auto"/>
        <w:rPr>
          <w:rFonts w:hint="eastAsia" w:ascii="宋体" w:hAnsi="宋体" w:eastAsia="宋体" w:cs="宋体"/>
          <w:bCs/>
          <w:sz w:val="24"/>
          <w:szCs w:val="24"/>
          <w:u w:val="single"/>
        </w:rPr>
      </w:pPr>
      <w:r>
        <w:rPr>
          <w:rFonts w:hint="eastAsia" w:ascii="宋体" w:hAnsi="宋体" w:eastAsia="宋体" w:cs="宋体"/>
          <w:bCs/>
          <w:sz w:val="24"/>
          <w:szCs w:val="24"/>
        </w:rPr>
        <w:t>见证方：</w:t>
      </w:r>
      <w:r>
        <w:rPr>
          <w:rFonts w:hint="eastAsia" w:ascii="宋体" w:hAnsi="宋体" w:eastAsia="宋体" w:cs="宋体"/>
          <w:bCs/>
          <w:sz w:val="24"/>
          <w:szCs w:val="24"/>
          <w:lang w:eastAsia="zh-CN"/>
        </w:rPr>
        <w:t>江苏万享通咨询有限公司</w:t>
      </w:r>
      <w:r>
        <w:rPr>
          <w:rFonts w:hint="eastAsia" w:ascii="宋体" w:hAnsi="宋体" w:eastAsia="宋体" w:cs="宋体"/>
          <w:bCs/>
          <w:sz w:val="24"/>
          <w:szCs w:val="24"/>
        </w:rPr>
        <w:t>（盖章）</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供方户名：</w:t>
      </w:r>
      <w:r>
        <w:rPr>
          <w:rFonts w:hint="eastAsia" w:ascii="宋体" w:hAnsi="宋体" w:eastAsia="宋体" w:cs="宋体"/>
          <w:bCs/>
          <w:sz w:val="24"/>
          <w:szCs w:val="24"/>
          <w:u w:val="single"/>
        </w:rPr>
        <w:t xml:space="preserve">                    </w:t>
      </w:r>
    </w:p>
    <w:p>
      <w:pPr>
        <w:spacing w:line="360" w:lineRule="auto"/>
        <w:rPr>
          <w:rFonts w:hint="eastAsia" w:ascii="宋体" w:hAnsi="宋体" w:eastAsia="宋体" w:cs="宋体"/>
          <w:bCs/>
          <w:sz w:val="24"/>
          <w:szCs w:val="24"/>
          <w:u w:val="single"/>
        </w:rPr>
      </w:pPr>
      <w:r>
        <w:rPr>
          <w:rFonts w:hint="eastAsia" w:ascii="宋体" w:hAnsi="宋体" w:eastAsia="宋体" w:cs="宋体"/>
          <w:bCs/>
          <w:sz w:val="24"/>
          <w:szCs w:val="24"/>
        </w:rPr>
        <w:t>见证人：</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供方开户银行：</w:t>
      </w:r>
      <w:r>
        <w:rPr>
          <w:rFonts w:hint="eastAsia" w:ascii="宋体" w:hAnsi="宋体" w:eastAsia="宋体" w:cs="宋体"/>
          <w:bCs/>
          <w:sz w:val="24"/>
          <w:szCs w:val="24"/>
          <w:u w:val="single"/>
        </w:rPr>
        <w:t xml:space="preserve">                </w:t>
      </w:r>
    </w:p>
    <w:p>
      <w:pPr>
        <w:spacing w:line="360" w:lineRule="auto"/>
        <w:rPr>
          <w:rFonts w:hint="eastAsia" w:ascii="宋体" w:hAnsi="宋体" w:eastAsia="宋体" w:cs="宋体"/>
          <w:bCs/>
          <w:sz w:val="24"/>
          <w:szCs w:val="24"/>
          <w:u w:val="single"/>
        </w:rPr>
      </w:pPr>
      <w:r>
        <w:rPr>
          <w:rFonts w:hint="eastAsia" w:ascii="宋体" w:hAnsi="宋体" w:eastAsia="宋体" w:cs="宋体"/>
          <w:bCs/>
          <w:sz w:val="24"/>
          <w:szCs w:val="24"/>
        </w:rPr>
        <w:t xml:space="preserve">                                              供方帐号：</w:t>
      </w:r>
      <w:r>
        <w:rPr>
          <w:rFonts w:hint="eastAsia" w:ascii="宋体" w:hAnsi="宋体" w:eastAsia="宋体" w:cs="宋体"/>
          <w:bCs/>
          <w:sz w:val="24"/>
          <w:szCs w:val="24"/>
          <w:u w:val="single"/>
        </w:rPr>
        <w:t xml:space="preserve">                     </w:t>
      </w:r>
    </w:p>
    <w:p>
      <w:pPr>
        <w:spacing w:line="360" w:lineRule="auto"/>
        <w:rPr>
          <w:rFonts w:hint="eastAsia" w:ascii="宋体" w:hAnsi="宋体" w:eastAsia="宋体" w:cs="宋体"/>
          <w:bCs/>
          <w:sz w:val="24"/>
          <w:szCs w:val="24"/>
        </w:rPr>
      </w:pP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日 </w:t>
      </w:r>
    </w:p>
    <w:p>
      <w:pPr>
        <w:spacing w:line="360" w:lineRule="auto"/>
        <w:rPr>
          <w:rFonts w:hint="eastAsia" w:ascii="宋体" w:hAnsi="宋体" w:eastAsia="宋体" w:cs="宋体"/>
          <w:bCs/>
          <w:sz w:val="24"/>
          <w:szCs w:val="24"/>
        </w:rPr>
      </w:pPr>
    </w:p>
    <w:p>
      <w:pPr>
        <w:numPr>
          <w:ilvl w:val="1"/>
          <w:numId w:val="15"/>
        </w:num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
          <w:bCs/>
          <w:sz w:val="24"/>
          <w:szCs w:val="24"/>
        </w:rPr>
        <w:t>备注：</w:t>
      </w:r>
      <w:r>
        <w:rPr>
          <w:rFonts w:hint="eastAsia" w:ascii="宋体" w:hAnsi="宋体" w:eastAsia="宋体" w:cs="宋体"/>
          <w:bCs/>
          <w:sz w:val="24"/>
          <w:szCs w:val="24"/>
        </w:rPr>
        <w:t xml:space="preserve">供需双方必须以本格式文本拟订合同。 </w:t>
      </w:r>
    </w:p>
    <w:p>
      <w:pPr>
        <w:spacing w:line="360" w:lineRule="auto"/>
        <w:jc w:val="center"/>
        <w:rPr>
          <w:rFonts w:hint="eastAsia" w:ascii="宋体" w:hAnsi="宋体" w:eastAsia="宋体" w:cs="宋体"/>
          <w:b/>
          <w:bCs/>
          <w:sz w:val="24"/>
          <w:szCs w:val="24"/>
          <w:lang w:val="de-DE"/>
        </w:rPr>
      </w:pPr>
      <w:r>
        <w:rPr>
          <w:rFonts w:hint="eastAsia" w:ascii="宋体" w:hAnsi="宋体" w:eastAsia="宋体" w:cs="宋体"/>
          <w:b/>
          <w:bCs/>
          <w:sz w:val="24"/>
          <w:szCs w:val="24"/>
        </w:rPr>
        <w:t>合同条款（格式）</w:t>
      </w:r>
    </w:p>
    <w:p>
      <w:pPr>
        <w:snapToGrid w:val="0"/>
        <w:spacing w:line="336" w:lineRule="auto"/>
        <w:ind w:firstLine="525"/>
        <w:rPr>
          <w:rFonts w:hint="eastAsia" w:ascii="宋体" w:hAnsi="宋体" w:eastAsia="宋体" w:cs="宋体"/>
          <w:bCs/>
          <w:sz w:val="24"/>
          <w:szCs w:val="24"/>
        </w:rPr>
      </w:pPr>
      <w:r>
        <w:rPr>
          <w:rFonts w:hint="eastAsia" w:ascii="宋体" w:hAnsi="宋体" w:eastAsia="宋体" w:cs="宋体"/>
          <w:bCs/>
          <w:sz w:val="24"/>
          <w:szCs w:val="24"/>
        </w:rPr>
        <w:t>（一）合同内容：需方向供方购买。</w:t>
      </w:r>
    </w:p>
    <w:p>
      <w:pPr>
        <w:snapToGrid w:val="0"/>
        <w:spacing w:line="336" w:lineRule="auto"/>
        <w:ind w:firstLine="525"/>
        <w:rPr>
          <w:rFonts w:hint="eastAsia" w:ascii="宋体" w:hAnsi="宋体" w:eastAsia="宋体" w:cs="宋体"/>
          <w:bCs/>
          <w:sz w:val="24"/>
          <w:szCs w:val="24"/>
        </w:rPr>
      </w:pPr>
      <w:r>
        <w:rPr>
          <w:rFonts w:hint="eastAsia" w:ascii="宋体" w:hAnsi="宋体" w:eastAsia="宋体" w:cs="宋体"/>
          <w:bCs/>
          <w:sz w:val="24"/>
          <w:szCs w:val="24"/>
        </w:rPr>
        <w:t>（二）价格及支付：</w:t>
      </w:r>
    </w:p>
    <w:p>
      <w:pPr>
        <w:tabs>
          <w:tab w:val="left" w:pos="525"/>
          <w:tab w:val="left" w:pos="1050"/>
          <w:tab w:val="left" w:pos="1155"/>
        </w:tabs>
        <w:snapToGrid w:val="0"/>
        <w:spacing w:line="336" w:lineRule="auto"/>
        <w:ind w:firstLine="523" w:firstLineChars="218"/>
        <w:rPr>
          <w:rFonts w:hint="eastAsia" w:ascii="宋体" w:hAnsi="宋体" w:eastAsia="宋体" w:cs="宋体"/>
          <w:bCs/>
          <w:sz w:val="24"/>
          <w:szCs w:val="24"/>
        </w:rPr>
      </w:pPr>
      <w:r>
        <w:rPr>
          <w:rFonts w:hint="eastAsia" w:ascii="宋体" w:hAnsi="宋体" w:eastAsia="宋体" w:cs="宋体"/>
          <w:bCs/>
          <w:sz w:val="24"/>
          <w:szCs w:val="24"/>
        </w:rPr>
        <w:t>1. 按此次中标价格执行，合同总标的额为</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元。</w:t>
      </w:r>
    </w:p>
    <w:p>
      <w:pPr>
        <w:numPr>
          <w:ilvl w:val="1"/>
          <w:numId w:val="16"/>
        </w:numPr>
        <w:tabs>
          <w:tab w:val="left" w:pos="945"/>
          <w:tab w:val="left" w:pos="2100"/>
          <w:tab w:val="clear" w:pos="1770"/>
        </w:tabs>
        <w:snapToGrid w:val="0"/>
        <w:spacing w:line="336" w:lineRule="auto"/>
        <w:ind w:left="0" w:firstLine="525"/>
        <w:rPr>
          <w:rFonts w:hint="eastAsia" w:ascii="宋体" w:hAnsi="宋体" w:eastAsia="宋体" w:cs="宋体"/>
          <w:bCs/>
          <w:sz w:val="24"/>
          <w:szCs w:val="24"/>
        </w:rPr>
      </w:pPr>
      <w:r>
        <w:rPr>
          <w:rFonts w:hint="eastAsia" w:ascii="宋体" w:hAnsi="宋体" w:eastAsia="宋体" w:cs="宋体"/>
          <w:bCs/>
          <w:sz w:val="24"/>
          <w:szCs w:val="24"/>
        </w:rPr>
        <w:t>付款方式：租费结算时以中标单价按每月实际使用机柜数量审核费用，按月结算。</w:t>
      </w:r>
    </w:p>
    <w:p>
      <w:pPr>
        <w:numPr>
          <w:ilvl w:val="1"/>
          <w:numId w:val="16"/>
        </w:numPr>
        <w:tabs>
          <w:tab w:val="left" w:pos="945"/>
          <w:tab w:val="left" w:pos="2100"/>
          <w:tab w:val="clear" w:pos="1770"/>
        </w:tabs>
        <w:snapToGrid w:val="0"/>
        <w:spacing w:line="336" w:lineRule="auto"/>
        <w:ind w:left="0" w:firstLine="525"/>
        <w:rPr>
          <w:rFonts w:hint="eastAsia" w:ascii="宋体" w:hAnsi="宋体" w:eastAsia="宋体" w:cs="宋体"/>
          <w:bCs/>
          <w:sz w:val="24"/>
          <w:szCs w:val="24"/>
        </w:rPr>
      </w:pPr>
      <w:r>
        <w:rPr>
          <w:rFonts w:hint="eastAsia" w:ascii="宋体" w:hAnsi="宋体" w:eastAsia="宋体" w:cs="宋体"/>
          <w:bCs/>
          <w:sz w:val="24"/>
          <w:szCs w:val="24"/>
        </w:rPr>
        <w:t>履约保证金的缴纳和退付：</w:t>
      </w:r>
    </w:p>
    <w:p>
      <w:pPr>
        <w:tabs>
          <w:tab w:val="left" w:pos="945"/>
          <w:tab w:val="left" w:pos="2100"/>
        </w:tabs>
        <w:snapToGrid w:val="0"/>
        <w:spacing w:line="336"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本项目是/否向采购人缴纳履约保证金：</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否</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p>
    <w:p>
      <w:pPr>
        <w:tabs>
          <w:tab w:val="left" w:pos="0"/>
          <w:tab w:val="left" w:pos="1365"/>
        </w:tabs>
        <w:snapToGrid w:val="0"/>
        <w:spacing w:line="336"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（三）知识产权</w:t>
      </w:r>
    </w:p>
    <w:p>
      <w:pPr>
        <w:tabs>
          <w:tab w:val="left" w:pos="945"/>
        </w:tabs>
        <w:snapToGrid w:val="0"/>
        <w:spacing w:line="336"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供方应保证需方在使用其交付物、服务及其任何部分时不受到第三方关于侵犯专利权、商标权或软件著作权等知识产权的指控。任何第三方如果提出侵权指控，供方应承担可能发生的一切法律责任和费用。</w:t>
      </w:r>
    </w:p>
    <w:p>
      <w:pPr>
        <w:tabs>
          <w:tab w:val="left" w:pos="735"/>
        </w:tabs>
        <w:snapToGrid w:val="0"/>
        <w:spacing w:line="336"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（四）质量要求与检验：</w:t>
      </w:r>
    </w:p>
    <w:p>
      <w:pPr>
        <w:tabs>
          <w:tab w:val="left" w:pos="525"/>
          <w:tab w:val="left" w:pos="1050"/>
          <w:tab w:val="left" w:pos="1155"/>
        </w:tabs>
        <w:snapToGrid w:val="0"/>
        <w:spacing w:line="336"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1.供方应严格按照招标文件的有关规定和供方投标文件提供合格的货物及服务。</w:t>
      </w:r>
    </w:p>
    <w:p>
      <w:pPr>
        <w:tabs>
          <w:tab w:val="left" w:pos="1050"/>
          <w:tab w:val="left" w:pos="1155"/>
        </w:tabs>
        <w:snapToGrid w:val="0"/>
        <w:spacing w:line="336"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如果任何被检验的货物或服务不符合质量要求，需方均可以拒绝接受，供方应及时更换被拒绝的货物或重新提供服务，且不得影响需方正常工作，费用由供方承担，如因更换或重作导致供方逾期交付货物的，供方还应承担逾期交付的违约责任。本规定并不免除供方在本合同项下的货物质量保证义务或其他义务。</w:t>
      </w:r>
    </w:p>
    <w:p>
      <w:pPr>
        <w:tabs>
          <w:tab w:val="left" w:pos="420"/>
          <w:tab w:val="left" w:pos="1050"/>
          <w:tab w:val="left" w:pos="1155"/>
        </w:tabs>
        <w:snapToGrid w:val="0"/>
        <w:spacing w:line="336"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3.货物的到货验收包括：数量、外观、质量、性能、随机备件、装箱单、质量证书等随机资料及包装完整无破损。</w:t>
      </w:r>
    </w:p>
    <w:p>
      <w:pPr>
        <w:tabs>
          <w:tab w:val="left" w:pos="1050"/>
          <w:tab w:val="left" w:pos="1155"/>
        </w:tabs>
        <w:snapToGrid w:val="0"/>
        <w:spacing w:line="336"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4.货物和系统调试验收标准：按行业通行标准、厂方出厂标准、招标文件要求和供方投标文件的承诺，并不低于国家相关标准。</w:t>
      </w:r>
    </w:p>
    <w:p>
      <w:pPr>
        <w:tabs>
          <w:tab w:val="left" w:pos="1050"/>
          <w:tab w:val="left" w:pos="1155"/>
        </w:tabs>
        <w:snapToGrid w:val="0"/>
        <w:spacing w:line="336"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5.货物运到需方指定地点并经需方验证签收后，由于需方保管不善造成的质量问题，供方应负责修理，但有关费用由需方承担。</w:t>
      </w:r>
    </w:p>
    <w:p>
      <w:pPr>
        <w:tabs>
          <w:tab w:val="left" w:pos="1050"/>
          <w:tab w:val="left" w:pos="1155"/>
        </w:tabs>
        <w:snapToGrid w:val="0"/>
        <w:spacing w:line="336"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经验收不合格的，供方应当按照需方要求在指定的合理期限内进行整改和完善，直至符合招标文件要求的相关标准。逾期不予整改或经整改仍不能符合相关要求，或者导致合同目的无法实现，需方有权依照法律程序解除合同，并追究供方的违约责任。</w:t>
      </w:r>
    </w:p>
    <w:p>
      <w:pPr>
        <w:tabs>
          <w:tab w:val="left" w:pos="1050"/>
          <w:tab w:val="left" w:pos="1155"/>
        </w:tabs>
        <w:snapToGrid w:val="0"/>
        <w:spacing w:line="336"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7.需方不得擅自变更招投标文件约定的性能、指标等相关内容，如有变更应按《中华人民共和国政府采购法》、财政部《政府采购货物和服务招标投标管理办法》的相关程序执行。</w:t>
      </w:r>
    </w:p>
    <w:p>
      <w:pPr>
        <w:snapToGrid w:val="0"/>
        <w:spacing w:line="336"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（五）交货条件：</w:t>
      </w:r>
    </w:p>
    <w:p>
      <w:pPr>
        <w:tabs>
          <w:tab w:val="left" w:pos="420"/>
          <w:tab w:val="left" w:pos="1155"/>
        </w:tabs>
        <w:snapToGrid w:val="0"/>
        <w:spacing w:line="336"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1.交货日期（或完工期）：合同签订生效后1个月内完成机房内网络互连，按需提供可用机柜空间。租赁服务期自合同签订生效之日起1年。</w:t>
      </w:r>
    </w:p>
    <w:p>
      <w:pPr>
        <w:tabs>
          <w:tab w:val="left" w:pos="1155"/>
        </w:tabs>
        <w:snapToGrid w:val="0"/>
        <w:spacing w:line="336"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2.供方在验收时应先用信函、传真、电子邮件等书面方式通知需方。</w:t>
      </w:r>
    </w:p>
    <w:p>
      <w:pPr>
        <w:tabs>
          <w:tab w:val="left" w:pos="1155"/>
        </w:tabs>
        <w:snapToGrid w:val="0"/>
        <w:spacing w:line="336"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货物的外观、包装、运输应按国家有关规定或相关部颁标准执行。如因供方包装或运输不当等原因造成损坏或丢失，应由供方负责调换或补缺，如因此导致供方逾期交付货物的，供方还应承担逾期交付的违约责任。</w:t>
      </w:r>
    </w:p>
    <w:p>
      <w:pPr>
        <w:tabs>
          <w:tab w:val="left" w:pos="1155"/>
        </w:tabs>
        <w:snapToGrid w:val="0"/>
        <w:spacing w:line="336"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4.货物交货时，所有货物必须带有货物质量检验合格证书、中文质保单、装箱单、中文货物安装使用说明书。其它附件所有部件必须原包装。</w:t>
      </w:r>
    </w:p>
    <w:p>
      <w:pPr>
        <w:tabs>
          <w:tab w:val="left" w:pos="945"/>
          <w:tab w:val="left" w:pos="1155"/>
        </w:tabs>
        <w:snapToGrid w:val="0"/>
        <w:spacing w:line="336" w:lineRule="auto"/>
        <w:ind w:left="2" w:firstLine="480" w:firstLineChars="200"/>
        <w:rPr>
          <w:rFonts w:hint="eastAsia" w:ascii="宋体" w:hAnsi="宋体" w:eastAsia="宋体" w:cs="宋体"/>
          <w:bCs/>
          <w:sz w:val="24"/>
          <w:szCs w:val="24"/>
        </w:rPr>
      </w:pPr>
      <w:r>
        <w:rPr>
          <w:rFonts w:hint="eastAsia" w:ascii="宋体" w:hAnsi="宋体" w:eastAsia="宋体" w:cs="宋体"/>
          <w:bCs/>
          <w:sz w:val="24"/>
          <w:szCs w:val="24"/>
        </w:rPr>
        <w:t>5.运输及到货地点：由供方负责办理运输并承担所有费用，直接送到需方指定地点，即：以合同书上的地点为准。</w:t>
      </w:r>
    </w:p>
    <w:p>
      <w:pPr>
        <w:snapToGrid w:val="0"/>
        <w:spacing w:line="336"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（六）安装调试及售后服务：</w:t>
      </w:r>
    </w:p>
    <w:p>
      <w:pPr>
        <w:tabs>
          <w:tab w:val="left" w:pos="525"/>
          <w:tab w:val="left" w:pos="840"/>
          <w:tab w:val="left" w:pos="945"/>
          <w:tab w:val="left" w:pos="1965"/>
        </w:tabs>
        <w:snapToGrid w:val="0"/>
        <w:spacing w:line="336"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1.供方负责本项目的安装和调试，并保证其提供的货物符合国家、行业、地方、招投标文件及合同规定的质量、性能和标准，并正确且安全地安装。</w:t>
      </w:r>
    </w:p>
    <w:p>
      <w:pPr>
        <w:tabs>
          <w:tab w:val="left" w:pos="525"/>
          <w:tab w:val="left" w:pos="840"/>
          <w:tab w:val="left" w:pos="945"/>
          <w:tab w:val="left" w:pos="1050"/>
          <w:tab w:val="left" w:pos="1965"/>
        </w:tabs>
        <w:snapToGrid w:val="0"/>
        <w:spacing w:line="336"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2.供方提供的服务全部按照国家有关法律法规规章和“三包”规定以及按招标文件要求和供方投标文件中的承诺执行。</w:t>
      </w:r>
    </w:p>
    <w:p>
      <w:pPr>
        <w:tabs>
          <w:tab w:val="left" w:pos="525"/>
          <w:tab w:val="left" w:pos="840"/>
          <w:tab w:val="left" w:pos="945"/>
          <w:tab w:val="left" w:pos="1050"/>
          <w:tab w:val="left" w:pos="1965"/>
        </w:tabs>
        <w:snapToGrid w:val="0"/>
        <w:spacing w:line="336"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3.质保期后的货物维护由双方协商再定。</w:t>
      </w:r>
    </w:p>
    <w:p>
      <w:pPr>
        <w:tabs>
          <w:tab w:val="left" w:pos="525"/>
          <w:tab w:val="left" w:pos="840"/>
          <w:tab w:val="left" w:pos="945"/>
          <w:tab w:val="left" w:pos="1050"/>
          <w:tab w:val="left" w:pos="1965"/>
        </w:tabs>
        <w:snapToGrid w:val="0"/>
        <w:spacing w:line="336"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4.需方应向供方现场调试的技术人员及维修人员提供方便条件，有关费用由供方负责。</w:t>
      </w:r>
    </w:p>
    <w:p>
      <w:pPr>
        <w:tabs>
          <w:tab w:val="left" w:pos="525"/>
          <w:tab w:val="left" w:pos="840"/>
          <w:tab w:val="left" w:pos="945"/>
          <w:tab w:val="left" w:pos="1050"/>
          <w:tab w:val="left" w:pos="1965"/>
        </w:tabs>
        <w:snapToGrid w:val="0"/>
        <w:spacing w:line="336"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5.需方如要求供方提供招标文件及供方投标文件以外的其它服务，其费用另定。</w:t>
      </w:r>
    </w:p>
    <w:p>
      <w:pPr>
        <w:snapToGrid w:val="0"/>
        <w:spacing w:line="336"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（七）违约责任：</w:t>
      </w:r>
    </w:p>
    <w:p>
      <w:pPr>
        <w:tabs>
          <w:tab w:val="left" w:pos="0"/>
          <w:tab w:val="left" w:pos="315"/>
          <w:tab w:val="left" w:pos="525"/>
          <w:tab w:val="left" w:pos="945"/>
        </w:tabs>
        <w:snapToGrid w:val="0"/>
        <w:spacing w:line="336"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在履行合同的过程中，如果供方遇到妨碍按时交货和提供服务的情况时，应及时以书面形式将拖延的事实、可能拖延的时间和原因通知需方。需方在收到供方通知后，应尽快对情况进行核实，并有权根据情况确定是否酌情延长交货时间以及是否收取逾期交货的违约金及损害赔偿金（如有），或依照法律程序解除部分或全部合同。延期应通过签订补充合同的方式由双方认可并履行。</w:t>
      </w:r>
    </w:p>
    <w:p>
      <w:pPr>
        <w:tabs>
          <w:tab w:val="left" w:pos="0"/>
          <w:tab w:val="left" w:pos="315"/>
          <w:tab w:val="left" w:pos="525"/>
          <w:tab w:val="left" w:pos="945"/>
        </w:tabs>
        <w:snapToGrid w:val="0"/>
        <w:spacing w:line="336"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如供方逾期交货且未经需方同意延长交货时间，除不可抗力外，每逾期一日，供方应按照逾期交货金额的万分之五的标准累计计算向需方支付违约金。逾期超过20个工作日的，需方有权依照法律程序解除合同，需方如已支付费用的，供方全部返还，且供方应按照合同总价的30%向需方支付违约金，如给需方造成损失的，还应赔偿损失。</w:t>
      </w:r>
    </w:p>
    <w:p>
      <w:pPr>
        <w:tabs>
          <w:tab w:val="left" w:pos="105"/>
          <w:tab w:val="left" w:pos="315"/>
          <w:tab w:val="left" w:pos="525"/>
          <w:tab w:val="left" w:pos="945"/>
        </w:tabs>
        <w:snapToGrid w:val="0"/>
        <w:spacing w:line="336"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3.需方无正当理由逾期付款时，每逾期一日，需方应按照逾期付款金额的万分之五的标准累计计算向供方支付违约金。</w:t>
      </w:r>
    </w:p>
    <w:p>
      <w:pPr>
        <w:tabs>
          <w:tab w:val="left" w:pos="105"/>
          <w:tab w:val="left" w:pos="315"/>
          <w:tab w:val="left" w:pos="525"/>
          <w:tab w:val="left" w:pos="945"/>
        </w:tabs>
        <w:snapToGrid w:val="0"/>
        <w:spacing w:line="336"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4.由于需方的原因要求延期交货，需方应按规定承付货款，并承担供方提供的代为保管费。（有关仓储规定另议）</w:t>
      </w:r>
    </w:p>
    <w:p>
      <w:pPr>
        <w:tabs>
          <w:tab w:val="left" w:pos="105"/>
          <w:tab w:val="left" w:pos="315"/>
          <w:tab w:val="left" w:pos="525"/>
          <w:tab w:val="left" w:pos="945"/>
        </w:tabs>
        <w:snapToGrid w:val="0"/>
        <w:spacing w:line="336"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5.供方如无不可抗力，又未履行招标文件、投标文件和合同条款的，一经查实，由供方赔偿由此给需方造成的损失，并按照合同总价的30%向需方支付违约金，因招、投标产生的其他责任及后果按招标文件的相关要求及处理方式执行。</w:t>
      </w:r>
    </w:p>
    <w:p>
      <w:pPr>
        <w:tabs>
          <w:tab w:val="left" w:pos="105"/>
          <w:tab w:val="left" w:pos="315"/>
          <w:tab w:val="left" w:pos="525"/>
          <w:tab w:val="left" w:pos="945"/>
        </w:tabs>
        <w:snapToGrid w:val="0"/>
        <w:spacing w:line="336"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由于供方提供货物质量和安装存在问题和缺陷导致任何人身、财产损害的，供方应负责承担由此产生的责任，与需方无关。如不可避免地造成需方损失的，需方有权向供方追偿（该等损失包括但不限于损害赔偿金、需方为解决纠纷支付的律师费、诉讼费、差旅费等合理费用）。供方并应按照合同总价的20%向需方支付违约金，如给需方造成其他损失的，供方还应负责赔偿。</w:t>
      </w:r>
    </w:p>
    <w:p>
      <w:pPr>
        <w:tabs>
          <w:tab w:val="left" w:pos="105"/>
          <w:tab w:val="left" w:pos="315"/>
          <w:tab w:val="left" w:pos="525"/>
          <w:tab w:val="left" w:pos="945"/>
        </w:tabs>
        <w:snapToGrid w:val="0"/>
        <w:spacing w:line="336"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7.如遭遇不可抗力事件，遭遇不可抗力的一方应尽快以书面形式将不可抗力的情况和原因通知另一方，并积极采取措施防止损失扩大。因不可抗力造成的损失，供、需双方按照法律规定处理。</w:t>
      </w:r>
    </w:p>
    <w:p>
      <w:pPr>
        <w:tabs>
          <w:tab w:val="left" w:pos="105"/>
          <w:tab w:val="left" w:pos="315"/>
          <w:tab w:val="left" w:pos="525"/>
          <w:tab w:val="left" w:pos="945"/>
        </w:tabs>
        <w:snapToGrid w:val="0"/>
        <w:spacing w:line="336"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8.招标文件及合同中所述之“不可抗力”系指不可预见、不可避免、不可克服的事件，包括但不限于：战争、洪水、台风、地震及其他法律、法规规定的事件。</w:t>
      </w:r>
    </w:p>
    <w:p>
      <w:pPr>
        <w:pStyle w:val="54"/>
        <w:numPr>
          <w:ilvl w:val="0"/>
          <w:numId w:val="17"/>
        </w:numPr>
        <w:snapToGrid w:val="0"/>
        <w:spacing w:line="336" w:lineRule="auto"/>
        <w:ind w:firstLineChars="0"/>
        <w:rPr>
          <w:rFonts w:hint="eastAsia" w:ascii="宋体" w:hAnsi="宋体" w:eastAsia="宋体" w:cs="宋体"/>
          <w:bCs/>
          <w:sz w:val="24"/>
          <w:szCs w:val="24"/>
        </w:rPr>
      </w:pPr>
      <w:r>
        <w:rPr>
          <w:rFonts w:hint="eastAsia" w:ascii="宋体" w:hAnsi="宋体" w:eastAsia="宋体" w:cs="宋体"/>
          <w:bCs/>
          <w:sz w:val="24"/>
          <w:szCs w:val="24"/>
        </w:rPr>
        <w:t>合同生效及其它：</w:t>
      </w:r>
    </w:p>
    <w:p>
      <w:pPr>
        <w:tabs>
          <w:tab w:val="left" w:pos="0"/>
          <w:tab w:val="left" w:pos="315"/>
          <w:tab w:val="left" w:pos="525"/>
          <w:tab w:val="left" w:pos="945"/>
        </w:tabs>
        <w:snapToGrid w:val="0"/>
        <w:spacing w:line="336"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1.合同经</w:t>
      </w:r>
      <w:r>
        <w:rPr>
          <w:rFonts w:hint="eastAsia" w:ascii="宋体" w:hAnsi="宋体" w:cs="宋体"/>
          <w:bCs/>
          <w:sz w:val="24"/>
          <w:szCs w:val="24"/>
          <w:lang w:val="en-US" w:eastAsia="zh-CN"/>
        </w:rPr>
        <w:t>江苏万享通咨询有限公司</w:t>
      </w:r>
      <w:r>
        <w:rPr>
          <w:rFonts w:hint="eastAsia" w:ascii="宋体" w:hAnsi="宋体" w:eastAsia="宋体" w:cs="宋体"/>
          <w:bCs/>
          <w:sz w:val="24"/>
          <w:szCs w:val="24"/>
        </w:rPr>
        <w:t>对《合同书（格式条款）》见证后，供需双方代表需签字并盖章后生效。</w:t>
      </w:r>
    </w:p>
    <w:p>
      <w:pPr>
        <w:tabs>
          <w:tab w:val="left" w:pos="0"/>
          <w:tab w:val="left" w:pos="315"/>
          <w:tab w:val="left" w:pos="525"/>
          <w:tab w:val="left" w:pos="945"/>
        </w:tabs>
        <w:snapToGrid w:val="0"/>
        <w:spacing w:line="336"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2.合同签订后供需双方即直接产生权利与义务的关系，合同执行过程中出现的问题应按照合同约定、法律法规的规定办理。在合同履行过程中，双方如有争议，</w:t>
      </w:r>
      <w:r>
        <w:rPr>
          <w:rFonts w:hint="eastAsia" w:ascii="宋体" w:hAnsi="宋体" w:eastAsia="宋体" w:cs="宋体"/>
          <w:sz w:val="24"/>
          <w:szCs w:val="24"/>
        </w:rPr>
        <w:t>由供需双方协商处理，若协商不成，</w:t>
      </w:r>
      <w:r>
        <w:rPr>
          <w:rFonts w:hint="eastAsia" w:ascii="宋体" w:hAnsi="宋体" w:eastAsia="宋体" w:cs="宋体"/>
          <w:bCs/>
          <w:sz w:val="24"/>
          <w:szCs w:val="24"/>
        </w:rPr>
        <w:t>可选择以下方式处理：</w:t>
      </w:r>
    </w:p>
    <w:p>
      <w:pPr>
        <w:tabs>
          <w:tab w:val="left" w:pos="0"/>
          <w:tab w:val="left" w:pos="315"/>
          <w:tab w:val="left" w:pos="525"/>
          <w:tab w:val="left" w:pos="945"/>
        </w:tabs>
        <w:snapToGrid w:val="0"/>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（1）向无锡仲裁委员会申请仲裁。</w:t>
      </w:r>
    </w:p>
    <w:p>
      <w:pPr>
        <w:tabs>
          <w:tab w:val="left" w:pos="0"/>
          <w:tab w:val="left" w:pos="315"/>
          <w:tab w:val="left" w:pos="525"/>
          <w:tab w:val="left" w:pos="945"/>
        </w:tabs>
        <w:snapToGrid w:val="0"/>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（2）向需方所在地法院提起诉讼。</w:t>
      </w:r>
    </w:p>
    <w:p>
      <w:pPr>
        <w:tabs>
          <w:tab w:val="left" w:pos="0"/>
          <w:tab w:val="left" w:pos="315"/>
          <w:tab w:val="left" w:pos="525"/>
          <w:tab w:val="left" w:pos="945"/>
        </w:tabs>
        <w:snapToGrid w:val="0"/>
        <w:spacing w:line="336"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3.合同在执行过程中出现的未尽事宜，双方在不违背本合同和招标文件的原则下协商解决，协商结果以书面形式签订补充协议，且补充协议与本合同具有同等效力。</w:t>
      </w:r>
    </w:p>
    <w:p>
      <w:pPr>
        <w:tabs>
          <w:tab w:val="left" w:pos="0"/>
          <w:tab w:val="left" w:pos="315"/>
          <w:tab w:val="left" w:pos="525"/>
          <w:tab w:val="left" w:pos="945"/>
        </w:tabs>
        <w:snapToGrid w:val="0"/>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4.合同中未有约定的按照有关的法律法规以及国家行业标准或技术文件规定予以解决。</w:t>
      </w:r>
    </w:p>
    <w:p>
      <w:pPr>
        <w:tabs>
          <w:tab w:val="left" w:pos="0"/>
          <w:tab w:val="left" w:pos="315"/>
          <w:tab w:val="left" w:pos="525"/>
          <w:tab w:val="left" w:pos="945"/>
        </w:tabs>
        <w:snapToGrid w:val="0"/>
        <w:spacing w:line="336"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5.供需双方确认：对本合同条款及后果均已知悉，一致确认不存在欺诈、胁迫、乘人之危、重大误解、显失公平等任何可能导致合同无效或被撤销的情形。</w:t>
      </w:r>
    </w:p>
    <w:p>
      <w:pPr>
        <w:snapToGrid w:val="0"/>
        <w:spacing w:line="336" w:lineRule="auto"/>
        <w:rPr>
          <w:rFonts w:hint="eastAsia" w:ascii="宋体" w:hAnsi="宋体" w:eastAsia="宋体" w:cs="宋体"/>
          <w:bCs/>
          <w:sz w:val="24"/>
          <w:szCs w:val="24"/>
          <w:u w:val="single"/>
        </w:rPr>
      </w:pPr>
      <w:r>
        <w:rPr>
          <w:rFonts w:hint="eastAsia" w:ascii="宋体" w:hAnsi="宋体" w:eastAsia="宋体" w:cs="宋体"/>
          <w:bCs/>
          <w:sz w:val="24"/>
          <w:szCs w:val="24"/>
        </w:rPr>
        <w:t>需方（采购人）：（签章）                 供方（中标方）：（签章）</w:t>
      </w:r>
    </w:p>
    <w:p>
      <w:pPr>
        <w:snapToGrid w:val="0"/>
        <w:spacing w:line="336" w:lineRule="auto"/>
        <w:rPr>
          <w:rFonts w:hint="eastAsia" w:ascii="宋体" w:hAnsi="宋体" w:eastAsia="宋体" w:cs="宋体"/>
          <w:bCs/>
          <w:sz w:val="24"/>
          <w:szCs w:val="24"/>
        </w:rPr>
      </w:pPr>
      <w:r>
        <w:rPr>
          <w:rFonts w:hint="eastAsia" w:ascii="宋体" w:hAnsi="宋体" w:eastAsia="宋体" w:cs="宋体"/>
          <w:bCs/>
          <w:sz w:val="24"/>
          <w:szCs w:val="24"/>
        </w:rPr>
        <w:t>法定（授权）代表人：                     法定（授权）代表人：</w:t>
      </w:r>
    </w:p>
    <w:p>
      <w:pPr>
        <w:snapToGrid w:val="0"/>
        <w:spacing w:line="336" w:lineRule="auto"/>
        <w:rPr>
          <w:rFonts w:hint="eastAsia" w:ascii="宋体" w:hAnsi="宋体" w:eastAsia="宋体" w:cs="宋体"/>
          <w:bCs/>
          <w:sz w:val="24"/>
          <w:szCs w:val="24"/>
          <w:u w:val="single"/>
        </w:rPr>
      </w:pPr>
      <w:r>
        <w:rPr>
          <w:rFonts w:hint="eastAsia" w:ascii="宋体" w:hAnsi="宋体" w:eastAsia="宋体" w:cs="宋体"/>
          <w:bCs/>
          <w:sz w:val="24"/>
          <w:szCs w:val="24"/>
        </w:rPr>
        <w:t>地址：                                   地址：</w:t>
      </w:r>
    </w:p>
    <w:p>
      <w:pPr>
        <w:snapToGrid w:val="0"/>
        <w:spacing w:line="336" w:lineRule="auto"/>
        <w:ind w:firstLine="480" w:firstLineChars="200"/>
        <w:rPr>
          <w:rFonts w:hint="eastAsia" w:ascii="宋体" w:hAnsi="宋体" w:eastAsia="宋体" w:cs="宋体"/>
          <w:bCs/>
          <w:sz w:val="24"/>
          <w:szCs w:val="24"/>
          <w:u w:val="single"/>
        </w:rPr>
      </w:pPr>
      <w:r>
        <w:rPr>
          <w:rFonts w:hint="eastAsia" w:ascii="宋体" w:hAnsi="宋体" w:eastAsia="宋体" w:cs="宋体"/>
          <w:bCs/>
          <w:sz w:val="24"/>
          <w:szCs w:val="24"/>
        </w:rPr>
        <w:t>年    月    日                           年      月       日</w:t>
      </w:r>
    </w:p>
    <w:p>
      <w:pPr>
        <w:snapToGrid w:val="0"/>
        <w:spacing w:line="336" w:lineRule="auto"/>
        <w:ind w:firstLine="480" w:firstLineChars="200"/>
        <w:rPr>
          <w:rFonts w:hint="eastAsia" w:ascii="宋体" w:hAnsi="宋体" w:eastAsia="宋体" w:cs="宋体"/>
          <w:bCs/>
          <w:sz w:val="24"/>
          <w:szCs w:val="24"/>
          <w:u w:val="single"/>
        </w:rPr>
      </w:pPr>
      <w:r>
        <w:rPr>
          <w:rFonts w:hint="eastAsia" w:ascii="宋体" w:hAnsi="宋体" w:eastAsia="宋体" w:cs="宋体"/>
          <w:bCs/>
          <w:sz w:val="24"/>
          <w:szCs w:val="24"/>
        </w:rPr>
        <w:t xml:space="preserve">                                     供方户名：</w:t>
      </w:r>
    </w:p>
    <w:p>
      <w:pPr>
        <w:snapToGrid w:val="0"/>
        <w:spacing w:line="336" w:lineRule="auto"/>
        <w:rPr>
          <w:rFonts w:hint="eastAsia" w:ascii="宋体" w:hAnsi="宋体" w:eastAsia="宋体" w:cs="宋体"/>
          <w:bCs/>
          <w:sz w:val="24"/>
          <w:szCs w:val="24"/>
          <w:u w:val="single"/>
        </w:rPr>
      </w:pPr>
      <w:r>
        <w:rPr>
          <w:rFonts w:hint="eastAsia" w:ascii="宋体" w:hAnsi="宋体" w:eastAsia="宋体" w:cs="宋体"/>
          <w:bCs/>
          <w:sz w:val="24"/>
          <w:szCs w:val="24"/>
        </w:rPr>
        <w:t xml:space="preserve">                                         供方开户银行：</w:t>
      </w:r>
    </w:p>
    <w:p>
      <w:pPr>
        <w:snapToGrid w:val="0"/>
        <w:spacing w:line="336"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                                     供方帐号：</w:t>
      </w:r>
    </w:p>
    <w:p>
      <w:pPr>
        <w:rPr>
          <w:rFonts w:hint="eastAsia" w:ascii="宋体" w:hAnsi="宋体" w:eastAsia="宋体" w:cs="宋体"/>
          <w:color w:val="000000"/>
          <w:sz w:val="24"/>
          <w:szCs w:val="24"/>
        </w:rPr>
      </w:pPr>
      <w:r>
        <w:rPr>
          <w:rFonts w:hint="eastAsia" w:ascii="宋体" w:hAnsi="宋体" w:eastAsia="宋体" w:cs="宋体"/>
          <w:color w:val="000000"/>
          <w:sz w:val="24"/>
          <w:szCs w:val="24"/>
        </w:rPr>
        <w:br w:type="page"/>
      </w:r>
    </w:p>
    <w:p>
      <w:pPr>
        <w:numPr>
          <w:ilvl w:val="0"/>
          <w:numId w:val="18"/>
        </w:numPr>
        <w:spacing w:line="360" w:lineRule="auto"/>
        <w:jc w:val="center"/>
        <w:outlineLvl w:val="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附件（投标文件格式）</w:t>
      </w:r>
    </w:p>
    <w:p>
      <w:pPr>
        <w:spacing w:line="360" w:lineRule="auto"/>
        <w:jc w:val="center"/>
        <w:outlineLvl w:val="0"/>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一、封面格式：</w:t>
      </w:r>
    </w:p>
    <w:p>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p>
    <w:p>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u w:val="single"/>
          <w14:textFill>
            <w14:solidFill>
              <w14:schemeClr w14:val="tx1"/>
            </w14:solidFill>
          </w14:textFill>
        </w:rPr>
        <w:t xml:space="preserve">                             </w:t>
      </w:r>
      <w:r>
        <w:rPr>
          <w:rFonts w:hint="eastAsia" w:ascii="宋体" w:hAnsi="宋体" w:eastAsia="宋体" w:cs="宋体"/>
          <w:b/>
          <w:color w:val="000000" w:themeColor="text1"/>
          <w:sz w:val="28"/>
          <w:szCs w:val="28"/>
          <w14:textFill>
            <w14:solidFill>
              <w14:schemeClr w14:val="tx1"/>
            </w14:solidFill>
          </w14:textFill>
        </w:rPr>
        <w:t xml:space="preserve"> 公开招标</w:t>
      </w:r>
    </w:p>
    <w:p>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投标文件</w:t>
      </w:r>
    </w:p>
    <w:p>
      <w:pPr>
        <w:spacing w:line="360" w:lineRule="auto"/>
        <w:jc w:val="center"/>
        <w:rPr>
          <w:rFonts w:hint="eastAsia" w:ascii="宋体" w:hAnsi="宋体" w:eastAsia="宋体" w:cs="宋体"/>
          <w:b/>
          <w:color w:val="000000" w:themeColor="text1"/>
          <w:sz w:val="28"/>
          <w:szCs w:val="28"/>
          <w14:textFill>
            <w14:solidFill>
              <w14:schemeClr w14:val="tx1"/>
            </w14:solidFill>
          </w14:textFill>
        </w:rPr>
      </w:pPr>
    </w:p>
    <w:p>
      <w:pPr>
        <w:spacing w:line="360" w:lineRule="auto"/>
        <w:rPr>
          <w:rFonts w:hint="eastAsia" w:ascii="宋体" w:hAnsi="宋体" w:eastAsia="宋体" w:cs="宋体"/>
          <w:b/>
          <w:color w:val="000000" w:themeColor="text1"/>
          <w:sz w:val="28"/>
          <w:szCs w:val="28"/>
          <w14:textFill>
            <w14:solidFill>
              <w14:schemeClr w14:val="tx1"/>
            </w14:solidFill>
          </w14:textFill>
        </w:rPr>
      </w:pPr>
    </w:p>
    <w:p>
      <w:pPr>
        <w:snapToGrid w:val="0"/>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采购编号：</w:t>
      </w:r>
      <w:r>
        <w:rPr>
          <w:rFonts w:hint="eastAsia" w:ascii="宋体" w:hAnsi="宋体" w:eastAsia="宋体" w:cs="宋体"/>
          <w:b/>
          <w:color w:val="000000" w:themeColor="text1"/>
          <w:sz w:val="28"/>
          <w:szCs w:val="28"/>
          <w:u w:val="single"/>
          <w14:textFill>
            <w14:solidFill>
              <w14:schemeClr w14:val="tx1"/>
            </w14:solidFill>
          </w14:textFill>
        </w:rPr>
        <w:t xml:space="preserve">       </w:t>
      </w:r>
      <w:r>
        <w:rPr>
          <w:rFonts w:hint="eastAsia" w:ascii="宋体" w:hAnsi="宋体" w:eastAsia="宋体" w:cs="宋体"/>
          <w:b/>
          <w:color w:val="000000" w:themeColor="text1"/>
          <w:sz w:val="28"/>
          <w:szCs w:val="28"/>
          <w:u w:val="single"/>
          <w14:textFill>
            <w14:solidFill>
              <w14:schemeClr w14:val="tx1"/>
            </w14:solidFill>
          </w14:textFill>
        </w:rPr>
        <w:tab/>
      </w:r>
      <w:r>
        <w:rPr>
          <w:rFonts w:hint="eastAsia" w:ascii="宋体" w:hAnsi="宋体" w:eastAsia="宋体" w:cs="宋体"/>
          <w:b/>
          <w:color w:val="000000" w:themeColor="text1"/>
          <w:sz w:val="28"/>
          <w:szCs w:val="28"/>
          <w:u w:val="single"/>
          <w14:textFill>
            <w14:solidFill>
              <w14:schemeClr w14:val="tx1"/>
            </w14:solidFill>
          </w14:textFill>
        </w:rPr>
        <w:t xml:space="preserve">  </w:t>
      </w:r>
      <w:r>
        <w:rPr>
          <w:rFonts w:hint="eastAsia" w:ascii="宋体" w:hAnsi="宋体" w:eastAsia="宋体" w:cs="宋体"/>
          <w:b/>
          <w:color w:val="000000" w:themeColor="text1"/>
          <w:sz w:val="28"/>
          <w:szCs w:val="28"/>
          <w:u w:val="single"/>
          <w14:textFill>
            <w14:solidFill>
              <w14:schemeClr w14:val="tx1"/>
            </w14:solidFill>
          </w14:textFill>
        </w:rPr>
        <w:tab/>
      </w:r>
      <w:r>
        <w:rPr>
          <w:rFonts w:hint="eastAsia" w:ascii="宋体" w:hAnsi="宋体" w:eastAsia="宋体" w:cs="宋体"/>
          <w:b/>
          <w:color w:val="000000" w:themeColor="text1"/>
          <w:sz w:val="28"/>
          <w:szCs w:val="28"/>
          <w:u w:val="single"/>
          <w14:textFill>
            <w14:solidFill>
              <w14:schemeClr w14:val="tx1"/>
            </w14:solidFill>
          </w14:textFill>
        </w:rPr>
        <w:tab/>
      </w:r>
      <w:r>
        <w:rPr>
          <w:rFonts w:hint="eastAsia" w:ascii="宋体" w:hAnsi="宋体" w:eastAsia="宋体" w:cs="宋体"/>
          <w:b/>
          <w:color w:val="000000" w:themeColor="text1"/>
          <w:sz w:val="28"/>
          <w:szCs w:val="28"/>
          <w:u w:val="single"/>
          <w14:textFill>
            <w14:solidFill>
              <w14:schemeClr w14:val="tx1"/>
            </w14:solidFill>
          </w14:textFill>
        </w:rPr>
        <w:t xml:space="preserve">                            </w:t>
      </w:r>
    </w:p>
    <w:p>
      <w:pPr>
        <w:pStyle w:val="2"/>
        <w:rPr>
          <w:rFonts w:hint="eastAsia" w:ascii="宋体" w:hAnsi="宋体" w:eastAsia="宋体" w:cs="宋体"/>
          <w:color w:val="000000" w:themeColor="text1"/>
          <w14:textFill>
            <w14:solidFill>
              <w14:schemeClr w14:val="tx1"/>
            </w14:solidFill>
          </w14:textFill>
        </w:rPr>
      </w:pPr>
    </w:p>
    <w:p>
      <w:pPr>
        <w:snapToGrid w:val="0"/>
        <w:spacing w:line="360" w:lineRule="auto"/>
        <w:rPr>
          <w:rFonts w:hint="eastAsia" w:ascii="宋体" w:hAnsi="宋体" w:eastAsia="宋体" w:cs="宋体"/>
          <w:b/>
          <w:color w:val="000000" w:themeColor="text1"/>
          <w:sz w:val="28"/>
          <w:szCs w:val="28"/>
          <w:u w:val="single"/>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项目名称：</w:t>
      </w:r>
      <w:r>
        <w:rPr>
          <w:rFonts w:hint="eastAsia" w:ascii="宋体" w:hAnsi="宋体" w:eastAsia="宋体" w:cs="宋体"/>
          <w:b/>
          <w:color w:val="000000" w:themeColor="text1"/>
          <w:sz w:val="28"/>
          <w:szCs w:val="28"/>
          <w:u w:val="single"/>
          <w14:textFill>
            <w14:solidFill>
              <w14:schemeClr w14:val="tx1"/>
            </w14:solidFill>
          </w14:textFill>
        </w:rPr>
        <w:t xml:space="preserve">       </w:t>
      </w:r>
      <w:r>
        <w:rPr>
          <w:rFonts w:hint="eastAsia" w:ascii="宋体" w:hAnsi="宋体" w:eastAsia="宋体" w:cs="宋体"/>
          <w:b/>
          <w:color w:val="000000" w:themeColor="text1"/>
          <w:sz w:val="28"/>
          <w:szCs w:val="28"/>
          <w:u w:val="single"/>
          <w14:textFill>
            <w14:solidFill>
              <w14:schemeClr w14:val="tx1"/>
            </w14:solidFill>
          </w14:textFill>
        </w:rPr>
        <w:tab/>
      </w:r>
      <w:r>
        <w:rPr>
          <w:rFonts w:hint="eastAsia" w:ascii="宋体" w:hAnsi="宋体" w:eastAsia="宋体" w:cs="宋体"/>
          <w:b/>
          <w:color w:val="000000" w:themeColor="text1"/>
          <w:sz w:val="28"/>
          <w:szCs w:val="28"/>
          <w:u w:val="single"/>
          <w14:textFill>
            <w14:solidFill>
              <w14:schemeClr w14:val="tx1"/>
            </w14:solidFill>
          </w14:textFill>
        </w:rPr>
        <w:t xml:space="preserve">  </w:t>
      </w:r>
      <w:r>
        <w:rPr>
          <w:rFonts w:hint="eastAsia" w:ascii="宋体" w:hAnsi="宋体" w:eastAsia="宋体" w:cs="宋体"/>
          <w:b/>
          <w:color w:val="000000" w:themeColor="text1"/>
          <w:sz w:val="28"/>
          <w:szCs w:val="28"/>
          <w:u w:val="single"/>
          <w14:textFill>
            <w14:solidFill>
              <w14:schemeClr w14:val="tx1"/>
            </w14:solidFill>
          </w14:textFill>
        </w:rPr>
        <w:tab/>
      </w:r>
      <w:r>
        <w:rPr>
          <w:rFonts w:hint="eastAsia" w:ascii="宋体" w:hAnsi="宋体" w:eastAsia="宋体" w:cs="宋体"/>
          <w:b/>
          <w:color w:val="000000" w:themeColor="text1"/>
          <w:sz w:val="28"/>
          <w:szCs w:val="28"/>
          <w:u w:val="single"/>
          <w14:textFill>
            <w14:solidFill>
              <w14:schemeClr w14:val="tx1"/>
            </w14:solidFill>
          </w14:textFill>
        </w:rPr>
        <w:tab/>
      </w:r>
      <w:r>
        <w:rPr>
          <w:rFonts w:hint="eastAsia" w:ascii="宋体" w:hAnsi="宋体" w:eastAsia="宋体" w:cs="宋体"/>
          <w:b/>
          <w:color w:val="000000" w:themeColor="text1"/>
          <w:sz w:val="28"/>
          <w:szCs w:val="28"/>
          <w:u w:val="single"/>
          <w14:textFill>
            <w14:solidFill>
              <w14:schemeClr w14:val="tx1"/>
            </w14:solidFill>
          </w14:textFill>
        </w:rPr>
        <w:t xml:space="preserve">                            </w:t>
      </w:r>
    </w:p>
    <w:p>
      <w:pPr>
        <w:snapToGrid w:val="0"/>
        <w:spacing w:line="360" w:lineRule="auto"/>
        <w:rPr>
          <w:rFonts w:hint="eastAsia" w:ascii="宋体" w:hAnsi="宋体" w:eastAsia="宋体" w:cs="宋体"/>
          <w:b/>
          <w:color w:val="000000" w:themeColor="text1"/>
          <w:sz w:val="28"/>
          <w:szCs w:val="28"/>
          <w:u w:val="single"/>
          <w14:textFill>
            <w14:solidFill>
              <w14:schemeClr w14:val="tx1"/>
            </w14:solidFill>
          </w14:textFill>
        </w:rPr>
      </w:pPr>
    </w:p>
    <w:p>
      <w:pPr>
        <w:snapToGrid w:val="0"/>
        <w:spacing w:line="360" w:lineRule="auto"/>
        <w:rPr>
          <w:rFonts w:hint="eastAsia" w:ascii="宋体" w:hAnsi="宋体" w:eastAsia="宋体" w:cs="宋体"/>
          <w:b/>
          <w:color w:val="000000" w:themeColor="text1"/>
          <w:sz w:val="28"/>
          <w:szCs w:val="28"/>
          <w:u w:val="single"/>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投标文件内容：</w:t>
      </w:r>
      <w:r>
        <w:rPr>
          <w:rFonts w:hint="eastAsia" w:ascii="宋体" w:hAnsi="宋体" w:eastAsia="宋体" w:cs="宋体"/>
          <w:b/>
          <w:color w:val="000000" w:themeColor="text1"/>
          <w:sz w:val="28"/>
          <w:szCs w:val="28"/>
          <w:u w:val="single"/>
          <w14:textFill>
            <w14:solidFill>
              <w14:schemeClr w14:val="tx1"/>
            </w14:solidFill>
          </w14:textFill>
        </w:rPr>
        <w:t xml:space="preserve">    </w:t>
      </w:r>
      <w:r>
        <w:rPr>
          <w:rFonts w:hint="eastAsia" w:ascii="宋体" w:hAnsi="宋体" w:eastAsia="宋体" w:cs="宋体"/>
          <w:b/>
          <w:color w:val="000000" w:themeColor="text1"/>
          <w:sz w:val="28"/>
          <w:szCs w:val="28"/>
          <w:u w:val="single"/>
          <w14:textFill>
            <w14:solidFill>
              <w14:schemeClr w14:val="tx1"/>
            </w14:solidFill>
          </w14:textFill>
        </w:rPr>
        <w:tab/>
      </w:r>
      <w:r>
        <w:rPr>
          <w:rFonts w:hint="eastAsia" w:ascii="宋体" w:hAnsi="宋体" w:eastAsia="宋体" w:cs="宋体"/>
          <w:b/>
          <w:color w:val="000000" w:themeColor="text1"/>
          <w:sz w:val="28"/>
          <w:szCs w:val="28"/>
          <w:u w:val="single"/>
          <w14:textFill>
            <w14:solidFill>
              <w14:schemeClr w14:val="tx1"/>
            </w14:solidFill>
          </w14:textFill>
        </w:rPr>
        <w:t xml:space="preserve"> </w:t>
      </w:r>
      <w:r>
        <w:rPr>
          <w:rFonts w:hint="eastAsia" w:ascii="宋体" w:hAnsi="宋体" w:eastAsia="宋体" w:cs="宋体"/>
          <w:b/>
          <w:color w:val="000000" w:themeColor="text1"/>
          <w:sz w:val="28"/>
          <w:szCs w:val="28"/>
          <w:u w:val="single"/>
          <w14:textFill>
            <w14:solidFill>
              <w14:schemeClr w14:val="tx1"/>
            </w14:solidFill>
          </w14:textFill>
        </w:rPr>
        <w:tab/>
      </w:r>
      <w:r>
        <w:rPr>
          <w:rFonts w:hint="eastAsia" w:ascii="宋体" w:hAnsi="宋体" w:eastAsia="宋体" w:cs="宋体"/>
          <w:b/>
          <w:color w:val="000000" w:themeColor="text1"/>
          <w:sz w:val="28"/>
          <w:szCs w:val="28"/>
          <w:u w:val="single"/>
          <w14:textFill>
            <w14:solidFill>
              <w14:schemeClr w14:val="tx1"/>
            </w14:solidFill>
          </w14:textFill>
        </w:rPr>
        <w:tab/>
      </w:r>
      <w:r>
        <w:rPr>
          <w:rFonts w:hint="eastAsia" w:ascii="宋体" w:hAnsi="宋体" w:eastAsia="宋体" w:cs="宋体"/>
          <w:b/>
          <w:color w:val="000000" w:themeColor="text1"/>
          <w:sz w:val="28"/>
          <w:szCs w:val="28"/>
          <w:u w:val="single"/>
          <w14:textFill>
            <w14:solidFill>
              <w14:schemeClr w14:val="tx1"/>
            </w14:solidFill>
          </w14:textFill>
        </w:rPr>
        <w:tab/>
      </w:r>
      <w:r>
        <w:rPr>
          <w:rFonts w:hint="eastAsia" w:ascii="宋体" w:hAnsi="宋体" w:eastAsia="宋体" w:cs="宋体"/>
          <w:b/>
          <w:color w:val="000000" w:themeColor="text1"/>
          <w:sz w:val="28"/>
          <w:szCs w:val="28"/>
          <w:u w:val="single"/>
          <w14:textFill>
            <w14:solidFill>
              <w14:schemeClr w14:val="tx1"/>
            </w14:solidFill>
          </w14:textFill>
        </w:rPr>
        <w:t xml:space="preserve">  </w:t>
      </w:r>
      <w:r>
        <w:rPr>
          <w:rFonts w:hint="eastAsia" w:ascii="宋体" w:hAnsi="宋体" w:eastAsia="宋体" w:cs="宋体"/>
          <w:b/>
          <w:color w:val="000000" w:themeColor="text1"/>
          <w:sz w:val="28"/>
          <w:szCs w:val="28"/>
          <w:u w:val="single"/>
          <w14:textFill>
            <w14:solidFill>
              <w14:schemeClr w14:val="tx1"/>
            </w14:solidFill>
          </w14:textFill>
        </w:rPr>
        <w:tab/>
      </w:r>
      <w:r>
        <w:rPr>
          <w:rFonts w:hint="eastAsia" w:ascii="宋体" w:hAnsi="宋体" w:eastAsia="宋体" w:cs="宋体"/>
          <w:b/>
          <w:color w:val="000000" w:themeColor="text1"/>
          <w:sz w:val="28"/>
          <w:szCs w:val="28"/>
          <w:u w:val="single"/>
          <w14:textFill>
            <w14:solidFill>
              <w14:schemeClr w14:val="tx1"/>
            </w14:solidFill>
          </w14:textFill>
        </w:rPr>
        <w:t xml:space="preserve">                   </w:t>
      </w:r>
    </w:p>
    <w:p>
      <w:pPr>
        <w:snapToGrid w:val="0"/>
        <w:spacing w:line="360" w:lineRule="auto"/>
        <w:rPr>
          <w:rFonts w:hint="eastAsia" w:ascii="宋体" w:hAnsi="宋体" w:eastAsia="宋体" w:cs="宋体"/>
          <w:color w:val="000000" w:themeColor="text1"/>
          <w:sz w:val="28"/>
          <w:szCs w:val="28"/>
          <w14:textFill>
            <w14:solidFill>
              <w14:schemeClr w14:val="tx1"/>
            </w14:solidFill>
          </w14:textFill>
        </w:rPr>
      </w:pPr>
    </w:p>
    <w:p>
      <w:pPr>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u w:val="single"/>
          <w14:textFill>
            <w14:solidFill>
              <w14:schemeClr w14:val="tx1"/>
            </w14:solidFill>
          </w14:textFill>
        </w:rPr>
        <w:t xml:space="preserve">     </w:t>
      </w:r>
      <w:r>
        <w:rPr>
          <w:rFonts w:hint="eastAsia" w:ascii="宋体" w:hAnsi="宋体" w:eastAsia="宋体" w:cs="宋体"/>
          <w:b/>
          <w:bCs/>
          <w:color w:val="000000" w:themeColor="text1"/>
          <w:sz w:val="28"/>
          <w:szCs w:val="28"/>
          <w14:textFill>
            <w14:solidFill>
              <w14:schemeClr w14:val="tx1"/>
            </w14:solidFill>
          </w14:textFill>
        </w:rPr>
        <w:t>年</w:t>
      </w:r>
      <w:r>
        <w:rPr>
          <w:rFonts w:hint="eastAsia" w:ascii="宋体" w:hAnsi="宋体" w:eastAsia="宋体" w:cs="宋体"/>
          <w:b/>
          <w:bCs/>
          <w:color w:val="000000" w:themeColor="text1"/>
          <w:sz w:val="28"/>
          <w:szCs w:val="28"/>
          <w:u w:val="single"/>
          <w14:textFill>
            <w14:solidFill>
              <w14:schemeClr w14:val="tx1"/>
            </w14:solidFill>
          </w14:textFill>
        </w:rPr>
        <w:t xml:space="preserve">    </w:t>
      </w:r>
      <w:r>
        <w:rPr>
          <w:rFonts w:hint="eastAsia" w:ascii="宋体" w:hAnsi="宋体" w:eastAsia="宋体" w:cs="宋体"/>
          <w:b/>
          <w:bCs/>
          <w:color w:val="000000" w:themeColor="text1"/>
          <w:sz w:val="28"/>
          <w:szCs w:val="28"/>
          <w14:textFill>
            <w14:solidFill>
              <w14:schemeClr w14:val="tx1"/>
            </w14:solidFill>
          </w14:textFill>
        </w:rPr>
        <w:t>月</w:t>
      </w:r>
      <w:r>
        <w:rPr>
          <w:rFonts w:hint="eastAsia" w:ascii="宋体" w:hAnsi="宋体" w:eastAsia="宋体" w:cs="宋体"/>
          <w:b/>
          <w:bCs/>
          <w:color w:val="000000" w:themeColor="text1"/>
          <w:sz w:val="28"/>
          <w:szCs w:val="28"/>
          <w:u w:val="single"/>
          <w14:textFill>
            <w14:solidFill>
              <w14:schemeClr w14:val="tx1"/>
            </w14:solidFill>
          </w14:textFill>
        </w:rPr>
        <w:t xml:space="preserve">   </w:t>
      </w:r>
      <w:r>
        <w:rPr>
          <w:rFonts w:hint="eastAsia" w:ascii="宋体" w:hAnsi="宋体" w:eastAsia="宋体" w:cs="宋体"/>
          <w:b/>
          <w:bCs/>
          <w:color w:val="000000" w:themeColor="text1"/>
          <w:sz w:val="28"/>
          <w:szCs w:val="28"/>
          <w14:textFill>
            <w14:solidFill>
              <w14:schemeClr w14:val="tx1"/>
            </w14:solidFill>
          </w14:textFill>
        </w:rPr>
        <w:t>日</w:t>
      </w:r>
      <w:r>
        <w:rPr>
          <w:rFonts w:hint="eastAsia" w:ascii="宋体" w:hAnsi="宋体" w:eastAsia="宋体" w:cs="宋体"/>
          <w:b/>
          <w:bCs/>
          <w:color w:val="000000" w:themeColor="text1"/>
          <w:sz w:val="28"/>
          <w:szCs w:val="28"/>
          <w:u w:val="single"/>
          <w14:textFill>
            <w14:solidFill>
              <w14:schemeClr w14:val="tx1"/>
            </w14:solidFill>
          </w14:textFill>
        </w:rPr>
        <w:t xml:space="preserve">    </w:t>
      </w:r>
      <w:r>
        <w:rPr>
          <w:rFonts w:hint="eastAsia" w:ascii="宋体" w:hAnsi="宋体" w:eastAsia="宋体" w:cs="宋体"/>
          <w:b/>
          <w:bCs/>
          <w:color w:val="000000" w:themeColor="text1"/>
          <w:sz w:val="28"/>
          <w:szCs w:val="28"/>
          <w14:textFill>
            <w14:solidFill>
              <w14:schemeClr w14:val="tx1"/>
            </w14:solidFill>
          </w14:textFill>
        </w:rPr>
        <w:t>时</w:t>
      </w:r>
      <w:r>
        <w:rPr>
          <w:rFonts w:hint="eastAsia" w:ascii="宋体" w:hAnsi="宋体" w:eastAsia="宋体" w:cs="宋体"/>
          <w:b/>
          <w:bCs/>
          <w:color w:val="000000" w:themeColor="text1"/>
          <w:sz w:val="28"/>
          <w:szCs w:val="28"/>
          <w:u w:val="single"/>
          <w14:textFill>
            <w14:solidFill>
              <w14:schemeClr w14:val="tx1"/>
            </w14:solidFill>
          </w14:textFill>
        </w:rPr>
        <w:t xml:space="preserve">     </w:t>
      </w:r>
      <w:r>
        <w:rPr>
          <w:rFonts w:hint="eastAsia" w:ascii="宋体" w:hAnsi="宋体" w:eastAsia="宋体" w:cs="宋体"/>
          <w:b/>
          <w:bCs/>
          <w:color w:val="000000" w:themeColor="text1"/>
          <w:sz w:val="28"/>
          <w:szCs w:val="28"/>
          <w14:textFill>
            <w14:solidFill>
              <w14:schemeClr w14:val="tx1"/>
            </w14:solidFill>
          </w14:textFill>
        </w:rPr>
        <w:t>分</w:t>
      </w:r>
      <w:r>
        <w:rPr>
          <w:rFonts w:hint="eastAsia" w:ascii="宋体" w:hAnsi="宋体" w:eastAsia="宋体" w:cs="宋体"/>
          <w:color w:val="000000" w:themeColor="text1"/>
          <w:sz w:val="28"/>
          <w:szCs w:val="28"/>
          <w14:textFill>
            <w14:solidFill>
              <w14:schemeClr w14:val="tx1"/>
            </w14:solidFill>
          </w14:textFill>
        </w:rPr>
        <w:t>开标，此时间以前不得开封；</w:t>
      </w:r>
    </w:p>
    <w:p>
      <w:pPr>
        <w:snapToGrid w:val="0"/>
        <w:spacing w:line="360" w:lineRule="auto"/>
        <w:rPr>
          <w:rFonts w:hint="eastAsia" w:ascii="宋体" w:hAnsi="宋体" w:eastAsia="宋体" w:cs="宋体"/>
          <w:b/>
          <w:color w:val="000000" w:themeColor="text1"/>
          <w:sz w:val="28"/>
          <w:szCs w:val="28"/>
          <w14:textFill>
            <w14:solidFill>
              <w14:schemeClr w14:val="tx1"/>
            </w14:solidFill>
          </w14:textFill>
        </w:rPr>
      </w:pPr>
    </w:p>
    <w:p>
      <w:pPr>
        <w:snapToGrid w:val="0"/>
        <w:spacing w:line="360" w:lineRule="auto"/>
        <w:rPr>
          <w:rFonts w:hint="eastAsia" w:ascii="宋体" w:hAnsi="宋体" w:eastAsia="宋体" w:cs="宋体"/>
          <w:b/>
          <w:color w:val="000000" w:themeColor="text1"/>
          <w:sz w:val="28"/>
          <w:szCs w:val="28"/>
          <w14:textFill>
            <w14:solidFill>
              <w14:schemeClr w14:val="tx1"/>
            </w14:solidFill>
          </w14:textFill>
        </w:rPr>
      </w:pPr>
    </w:p>
    <w:p>
      <w:pPr>
        <w:snapToGrid w:val="0"/>
        <w:spacing w:line="360" w:lineRule="auto"/>
        <w:rPr>
          <w:rFonts w:hint="eastAsia" w:ascii="宋体" w:hAnsi="宋体" w:eastAsia="宋体" w:cs="宋体"/>
          <w:b/>
          <w:color w:val="000000" w:themeColor="text1"/>
          <w:sz w:val="28"/>
          <w:szCs w:val="28"/>
          <w:u w:val="single"/>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投标人：</w:t>
      </w:r>
      <w:r>
        <w:rPr>
          <w:rFonts w:hint="eastAsia" w:ascii="宋体" w:hAnsi="宋体" w:eastAsia="宋体" w:cs="宋体"/>
          <w:b/>
          <w:color w:val="000000" w:themeColor="text1"/>
          <w:sz w:val="28"/>
          <w:szCs w:val="28"/>
          <w:u w:val="single"/>
          <w14:textFill>
            <w14:solidFill>
              <w14:schemeClr w14:val="tx1"/>
            </w14:solidFill>
          </w14:textFill>
        </w:rPr>
        <w:t xml:space="preserve">             </w:t>
      </w:r>
      <w:r>
        <w:rPr>
          <w:rFonts w:hint="eastAsia" w:ascii="宋体" w:hAnsi="宋体" w:eastAsia="宋体" w:cs="宋体"/>
          <w:b/>
          <w:color w:val="000000" w:themeColor="text1"/>
          <w:sz w:val="28"/>
          <w:szCs w:val="28"/>
          <w:u w:val="single"/>
          <w14:textFill>
            <w14:solidFill>
              <w14:schemeClr w14:val="tx1"/>
            </w14:solidFill>
          </w14:textFill>
        </w:rPr>
        <w:tab/>
      </w:r>
      <w:r>
        <w:rPr>
          <w:rFonts w:hint="eastAsia" w:ascii="宋体" w:hAnsi="宋体" w:eastAsia="宋体" w:cs="宋体"/>
          <w:b/>
          <w:color w:val="000000" w:themeColor="text1"/>
          <w:sz w:val="28"/>
          <w:szCs w:val="28"/>
          <w:u w:val="single"/>
          <w14:textFill>
            <w14:solidFill>
              <w14:schemeClr w14:val="tx1"/>
            </w14:solidFill>
          </w14:textFill>
        </w:rPr>
        <w:t xml:space="preserve">                   （盖公章）</w:t>
      </w:r>
    </w:p>
    <w:p>
      <w:pPr>
        <w:snapToGrid w:val="0"/>
        <w:spacing w:line="360" w:lineRule="auto"/>
        <w:rPr>
          <w:rFonts w:hint="eastAsia" w:ascii="宋体" w:hAnsi="宋体" w:eastAsia="宋体" w:cs="宋体"/>
          <w:b/>
          <w:color w:val="000000" w:themeColor="text1"/>
          <w:sz w:val="28"/>
          <w:szCs w:val="28"/>
          <w:u w:val="single"/>
          <w14:textFill>
            <w14:solidFill>
              <w14:schemeClr w14:val="tx1"/>
            </w14:solidFill>
          </w14:textFill>
        </w:rPr>
      </w:pPr>
    </w:p>
    <w:p>
      <w:pPr>
        <w:snapToGrid w:val="0"/>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法定代表人或</w:t>
      </w:r>
    </w:p>
    <w:p>
      <w:pPr>
        <w:snapToGrid w:val="0"/>
        <w:spacing w:line="360" w:lineRule="auto"/>
        <w:rPr>
          <w:rFonts w:hint="eastAsia" w:ascii="宋体" w:hAnsi="宋体" w:eastAsia="宋体" w:cs="宋体"/>
          <w:b/>
          <w:color w:val="000000" w:themeColor="text1"/>
          <w:sz w:val="28"/>
          <w:szCs w:val="28"/>
          <w:u w:val="single"/>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其委托代理人：</w:t>
      </w:r>
      <w:r>
        <w:rPr>
          <w:rFonts w:hint="eastAsia" w:ascii="宋体" w:hAnsi="宋体" w:eastAsia="宋体" w:cs="宋体"/>
          <w:b/>
          <w:color w:val="000000" w:themeColor="text1"/>
          <w:sz w:val="28"/>
          <w:szCs w:val="28"/>
          <w:u w:val="single"/>
          <w14:textFill>
            <w14:solidFill>
              <w14:schemeClr w14:val="tx1"/>
            </w14:solidFill>
          </w14:textFill>
        </w:rPr>
        <w:t xml:space="preserve">           </w:t>
      </w:r>
      <w:r>
        <w:rPr>
          <w:rFonts w:hint="eastAsia" w:ascii="宋体" w:hAnsi="宋体" w:eastAsia="宋体" w:cs="宋体"/>
          <w:b/>
          <w:color w:val="000000" w:themeColor="text1"/>
          <w:sz w:val="28"/>
          <w:szCs w:val="28"/>
          <w:u w:val="single"/>
          <w14:textFill>
            <w14:solidFill>
              <w14:schemeClr w14:val="tx1"/>
            </w14:solidFill>
          </w14:textFill>
        </w:rPr>
        <w:tab/>
      </w:r>
      <w:r>
        <w:rPr>
          <w:rFonts w:hint="eastAsia" w:ascii="宋体" w:hAnsi="宋体" w:eastAsia="宋体" w:cs="宋体"/>
          <w:b/>
          <w:color w:val="000000" w:themeColor="text1"/>
          <w:sz w:val="28"/>
          <w:szCs w:val="28"/>
          <w:u w:val="single"/>
          <w14:textFill>
            <w14:solidFill>
              <w14:schemeClr w14:val="tx1"/>
            </w14:solidFill>
          </w14:textFill>
        </w:rPr>
        <w:t xml:space="preserve">          （签字或盖章）</w:t>
      </w:r>
    </w:p>
    <w:p>
      <w:pPr>
        <w:snapToGrid w:val="0"/>
        <w:spacing w:line="360" w:lineRule="auto"/>
        <w:rPr>
          <w:rFonts w:hint="eastAsia" w:ascii="宋体" w:hAnsi="宋体" w:eastAsia="宋体" w:cs="宋体"/>
          <w:b/>
          <w:color w:val="000000" w:themeColor="text1"/>
          <w:sz w:val="28"/>
          <w:szCs w:val="28"/>
          <w:u w:val="single"/>
          <w14:textFill>
            <w14:solidFill>
              <w14:schemeClr w14:val="tx1"/>
            </w14:solidFill>
          </w14:textFill>
        </w:rPr>
      </w:pPr>
    </w:p>
    <w:p>
      <w:pPr>
        <w:snapToGrid w:val="0"/>
        <w:spacing w:line="360" w:lineRule="auto"/>
        <w:rPr>
          <w:rFonts w:hint="eastAsia" w:ascii="宋体" w:hAnsi="宋体" w:eastAsia="宋体" w:cs="宋体"/>
          <w:b/>
          <w:color w:val="000000" w:themeColor="text1"/>
          <w:sz w:val="28"/>
          <w:szCs w:val="28"/>
          <w14:textFill>
            <w14:solidFill>
              <w14:schemeClr w14:val="tx1"/>
            </w14:solidFill>
          </w14:textFill>
        </w:rPr>
      </w:pPr>
    </w:p>
    <w:p>
      <w:pPr>
        <w:snapToGrid w:val="0"/>
        <w:spacing w:line="360" w:lineRule="auto"/>
        <w:rPr>
          <w:rFonts w:hint="eastAsia" w:ascii="宋体" w:hAnsi="宋体" w:eastAsia="宋体" w:cs="宋体"/>
          <w:b/>
          <w:color w:val="000000" w:themeColor="text1"/>
          <w:sz w:val="28"/>
          <w:szCs w:val="28"/>
          <w14:textFill>
            <w14:solidFill>
              <w14:schemeClr w14:val="tx1"/>
            </w14:solidFill>
          </w14:textFill>
        </w:rPr>
      </w:pPr>
    </w:p>
    <w:p>
      <w:pPr>
        <w:snapToGrid w:val="0"/>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bookmarkStart w:id="3" w:name="一．报价函（格式）"/>
      <w:bookmarkEnd w:id="3"/>
    </w:p>
    <w:p>
      <w:pPr>
        <w:snapToGrid w:val="0"/>
        <w:spacing w:line="360" w:lineRule="auto"/>
        <w:rPr>
          <w:rFonts w:hint="eastAsia" w:ascii="宋体" w:hAnsi="宋体" w:eastAsia="宋体" w:cs="宋体"/>
          <w:b/>
          <w:color w:val="000000" w:themeColor="text1"/>
          <w:sz w:val="28"/>
          <w:szCs w:val="28"/>
          <w14:textFill>
            <w14:solidFill>
              <w14:schemeClr w14:val="tx1"/>
            </w14:solidFill>
          </w14:textFill>
        </w:rPr>
      </w:pPr>
    </w:p>
    <w:p>
      <w:pPr>
        <w:outlineLvl w:val="0"/>
        <w:rPr>
          <w:rFonts w:hint="eastAsia"/>
        </w:rPr>
      </w:pPr>
      <w:r>
        <w:rPr>
          <w:rFonts w:hint="eastAsia" w:ascii="宋体" w:hAnsi="宋体" w:eastAsia="宋体" w:cs="宋体"/>
          <w:bCs/>
          <w:color w:val="000000" w:themeColor="text1"/>
          <w:sz w:val="24"/>
          <w:szCs w:val="24"/>
          <w14:textFill>
            <w14:solidFill>
              <w14:schemeClr w14:val="tx1"/>
            </w14:solidFill>
          </w14:textFill>
        </w:rPr>
        <w:t>（一）投标函（格式）：</w:t>
      </w:r>
    </w:p>
    <w:p>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投标函</w:t>
      </w:r>
    </w:p>
    <w:p>
      <w:pPr>
        <w:spacing w:line="36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致</w:t>
      </w:r>
      <w:r>
        <w:rPr>
          <w:rFonts w:hint="eastAsia" w:ascii="宋体" w:hAnsi="宋体" w:eastAsia="宋体" w:cs="宋体"/>
          <w:bCs/>
          <w:color w:val="000000" w:themeColor="text1"/>
          <w:sz w:val="24"/>
          <w:szCs w:val="24"/>
          <w:lang w:eastAsia="zh-CN"/>
          <w14:textFill>
            <w14:solidFill>
              <w14:schemeClr w14:val="tx1"/>
            </w14:solidFill>
          </w14:textFill>
        </w:rPr>
        <w:t>江苏万享通咨询有限公司</w:t>
      </w:r>
      <w:r>
        <w:rPr>
          <w:rFonts w:hint="eastAsia" w:ascii="宋体" w:hAnsi="宋体" w:eastAsia="宋体" w:cs="宋体"/>
          <w:bCs/>
          <w:color w:val="000000" w:themeColor="text1"/>
          <w:sz w:val="24"/>
          <w:szCs w:val="24"/>
          <w14:textFill>
            <w14:solidFill>
              <w14:schemeClr w14:val="tx1"/>
            </w14:solidFill>
          </w14:textFill>
        </w:rPr>
        <w:t>：</w:t>
      </w:r>
    </w:p>
    <w:p>
      <w:pPr>
        <w:spacing w:line="360" w:lineRule="auto"/>
        <w:ind w:firstLine="600" w:firstLineChars="25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我方收到贵方编号</w:t>
      </w:r>
      <w:r>
        <w:rPr>
          <w:rFonts w:hint="eastAsia" w:ascii="宋体" w:hAnsi="宋体" w:cs="宋体"/>
          <w:bCs/>
          <w:color w:val="000000" w:themeColor="text1"/>
          <w:sz w:val="24"/>
          <w:szCs w:val="24"/>
          <w:lang w:eastAsia="zh-CN"/>
          <w14:textFill>
            <w14:solidFill>
              <w14:schemeClr w14:val="tx1"/>
            </w14:solidFill>
          </w14:textFill>
        </w:rPr>
        <w:t>JSWXTCG2023-053</w:t>
      </w:r>
      <w:r>
        <w:rPr>
          <w:rFonts w:hint="eastAsia" w:ascii="宋体" w:hAnsi="宋体" w:eastAsia="宋体" w:cs="宋体"/>
          <w:bCs/>
          <w:color w:val="000000" w:themeColor="text1"/>
          <w:sz w:val="24"/>
          <w:szCs w:val="24"/>
          <w14:textFill>
            <w14:solidFill>
              <w14:schemeClr w14:val="tx1"/>
            </w14:solidFill>
          </w14:textFill>
        </w:rPr>
        <w:t>采购文件，经仔细阅读和研究，我方决定参加此次</w:t>
      </w:r>
      <w:r>
        <w:rPr>
          <w:rFonts w:hint="eastAsia" w:ascii="宋体" w:hAnsi="宋体" w:cs="宋体"/>
          <w:bCs/>
          <w:color w:val="000000" w:themeColor="text1"/>
          <w:sz w:val="24"/>
          <w:szCs w:val="24"/>
          <w:lang w:eastAsia="zh-CN"/>
          <w14:textFill>
            <w14:solidFill>
              <w14:schemeClr w14:val="tx1"/>
            </w14:solidFill>
          </w14:textFill>
        </w:rPr>
        <w:t>业务服务机房机柜租赁</w:t>
      </w:r>
      <w:r>
        <w:rPr>
          <w:rFonts w:hint="eastAsia" w:ascii="宋体" w:hAnsi="宋体" w:eastAsia="宋体" w:cs="宋体"/>
          <w:bCs/>
          <w:color w:val="000000" w:themeColor="text1"/>
          <w:sz w:val="24"/>
          <w:szCs w:val="24"/>
          <w14:textFill>
            <w14:solidFill>
              <w14:schemeClr w14:val="tx1"/>
            </w14:solidFill>
          </w14:textFill>
        </w:rPr>
        <w:t>的投标。</w:t>
      </w:r>
    </w:p>
    <w:p>
      <w:pPr>
        <w:numPr>
          <w:ilvl w:val="0"/>
          <w:numId w:val="19"/>
        </w:numPr>
        <w:tabs>
          <w:tab w:val="left" w:pos="315"/>
          <w:tab w:val="left" w:pos="840"/>
          <w:tab w:val="left" w:pos="945"/>
          <w:tab w:val="left" w:pos="1050"/>
          <w:tab w:val="left" w:pos="1260"/>
          <w:tab w:val="clear" w:pos="552"/>
        </w:tabs>
        <w:spacing w:line="360" w:lineRule="auto"/>
        <w:ind w:left="0" w:firstLine="525"/>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我方愿意按照采购文件的一切要求，提供本项目的投标，投标总价见《开标一览表》。</w:t>
      </w:r>
    </w:p>
    <w:p>
      <w:pPr>
        <w:numPr>
          <w:ilvl w:val="0"/>
          <w:numId w:val="19"/>
        </w:numPr>
        <w:tabs>
          <w:tab w:val="left" w:pos="0"/>
          <w:tab w:val="left" w:pos="315"/>
          <w:tab w:val="left" w:pos="525"/>
          <w:tab w:val="left" w:pos="840"/>
          <w:tab w:val="left" w:pos="945"/>
          <w:tab w:val="left" w:pos="1050"/>
          <w:tab w:val="clear" w:pos="552"/>
        </w:tabs>
        <w:spacing w:line="360" w:lineRule="auto"/>
        <w:ind w:left="0" w:firstLine="523" w:firstLineChars="218"/>
        <w:rPr>
          <w:rStyle w:val="30"/>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我方愿意提供</w:t>
      </w:r>
      <w:r>
        <w:rPr>
          <w:rFonts w:hint="eastAsia" w:ascii="宋体" w:hAnsi="宋体" w:eastAsia="宋体" w:cs="宋体"/>
          <w:bCs/>
          <w:color w:val="000000" w:themeColor="text1"/>
          <w:sz w:val="24"/>
          <w:szCs w:val="24"/>
          <w:lang w:eastAsia="zh-CN"/>
          <w14:textFill>
            <w14:solidFill>
              <w14:schemeClr w14:val="tx1"/>
            </w14:solidFill>
          </w14:textFill>
        </w:rPr>
        <w:t>江苏万享通咨询有限公司</w:t>
      </w:r>
      <w:r>
        <w:rPr>
          <w:rFonts w:hint="eastAsia" w:ascii="宋体" w:hAnsi="宋体" w:eastAsia="宋体" w:cs="宋体"/>
          <w:bCs/>
          <w:color w:val="000000" w:themeColor="text1"/>
          <w:sz w:val="24"/>
          <w:szCs w:val="24"/>
          <w14:textFill>
            <w14:solidFill>
              <w14:schemeClr w14:val="tx1"/>
            </w14:solidFill>
          </w14:textFill>
        </w:rPr>
        <w:t>在采购文件中要求的文件、资料。</w:t>
      </w:r>
    </w:p>
    <w:p>
      <w:pPr>
        <w:tabs>
          <w:tab w:val="left" w:pos="0"/>
          <w:tab w:val="left" w:pos="315"/>
          <w:tab w:val="left" w:pos="525"/>
          <w:tab w:val="left" w:pos="945"/>
          <w:tab w:val="left" w:pos="1050"/>
        </w:tabs>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三．我方同意按采购文件中的规定，本投标文件投标的有效期限为中标通知书发出之日起90天。</w:t>
      </w:r>
    </w:p>
    <w:p>
      <w:pPr>
        <w:tabs>
          <w:tab w:val="left" w:pos="0"/>
          <w:tab w:val="left" w:pos="315"/>
          <w:tab w:val="left" w:pos="525"/>
          <w:tab w:val="left" w:pos="945"/>
          <w:tab w:val="left" w:pos="1050"/>
        </w:tabs>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四．如果我方的投标文件被接受，我方将履行采购文件中规定的每一项要求，按期、按质、按量，完成服务任务。</w:t>
      </w:r>
    </w:p>
    <w:p>
      <w:pPr>
        <w:tabs>
          <w:tab w:val="left" w:pos="0"/>
          <w:tab w:val="left" w:pos="315"/>
          <w:tab w:val="left" w:pos="525"/>
          <w:tab w:val="left" w:pos="945"/>
          <w:tab w:val="left" w:pos="1050"/>
        </w:tabs>
        <w:spacing w:line="360" w:lineRule="auto"/>
        <w:ind w:left="458" w:leftChars="218"/>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五．我方认为贵代理机构有权决定成交者。</w:t>
      </w:r>
    </w:p>
    <w:p>
      <w:pPr>
        <w:tabs>
          <w:tab w:val="left" w:pos="0"/>
          <w:tab w:val="left" w:pos="315"/>
          <w:tab w:val="left" w:pos="525"/>
          <w:tab w:val="left" w:pos="945"/>
          <w:tab w:val="left" w:pos="1050"/>
        </w:tabs>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六．我方愿意遵守《中华人民共和国政府采购法》，并按《中华人民共和国民法典》、财政部《政府采购货物和服务招标投标管理办法》和合同条款履行自己的全部责任。在合同履行过程中，双方如有争议，同意由</w:t>
      </w:r>
      <w:r>
        <w:rPr>
          <w:rFonts w:hint="eastAsia" w:ascii="宋体" w:hAnsi="宋体" w:eastAsia="宋体" w:cs="宋体"/>
          <w:bCs/>
          <w:color w:val="000000" w:themeColor="text1"/>
          <w:sz w:val="24"/>
          <w:szCs w:val="24"/>
          <w:lang w:eastAsia="zh-CN"/>
          <w14:textFill>
            <w14:solidFill>
              <w14:schemeClr w14:val="tx1"/>
            </w14:solidFill>
          </w14:textFill>
        </w:rPr>
        <w:t>江苏万享通咨询有限公司</w:t>
      </w:r>
      <w:r>
        <w:rPr>
          <w:rFonts w:hint="eastAsia" w:ascii="宋体" w:hAnsi="宋体" w:eastAsia="宋体" w:cs="宋体"/>
          <w:bCs/>
          <w:color w:val="000000" w:themeColor="text1"/>
          <w:sz w:val="24"/>
          <w:szCs w:val="24"/>
          <w14:textFill>
            <w14:solidFill>
              <w14:schemeClr w14:val="tx1"/>
            </w14:solidFill>
          </w14:textFill>
        </w:rPr>
        <w:t>协调解决，并按相关法规和有关文件规定处理。</w:t>
      </w:r>
    </w:p>
    <w:p>
      <w:pPr>
        <w:tabs>
          <w:tab w:val="left" w:pos="0"/>
          <w:tab w:val="left" w:pos="315"/>
          <w:tab w:val="left" w:pos="525"/>
          <w:tab w:val="left" w:pos="945"/>
          <w:tab w:val="left" w:pos="1050"/>
        </w:tabs>
        <w:spacing w:line="360" w:lineRule="auto"/>
        <w:ind w:left="458" w:leftChars="218"/>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七．我方认可并遵守采购文件的所有规定，放弃对采购文件提出质疑的权利。</w:t>
      </w:r>
    </w:p>
    <w:p>
      <w:pPr>
        <w:tabs>
          <w:tab w:val="left" w:pos="0"/>
          <w:tab w:val="left" w:pos="315"/>
          <w:tab w:val="left" w:pos="525"/>
          <w:tab w:val="left" w:pos="945"/>
          <w:tab w:val="left" w:pos="1050"/>
        </w:tabs>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八．如果我方被确定为</w:t>
      </w:r>
      <w:r>
        <w:rPr>
          <w:rFonts w:hint="eastAsia" w:ascii="宋体" w:hAnsi="宋体" w:cs="宋体"/>
          <w:bCs/>
          <w:color w:val="000000" w:themeColor="text1"/>
          <w:sz w:val="24"/>
          <w:szCs w:val="24"/>
          <w:lang w:val="en-US" w:eastAsia="zh-CN"/>
          <w14:textFill>
            <w14:solidFill>
              <w14:schemeClr w14:val="tx1"/>
            </w14:solidFill>
          </w14:textFill>
        </w:rPr>
        <w:t>中标</w:t>
      </w:r>
      <w:r>
        <w:rPr>
          <w:rFonts w:hint="eastAsia" w:ascii="宋体" w:hAnsi="宋体" w:eastAsia="宋体" w:cs="宋体"/>
          <w:bCs/>
          <w:color w:val="000000" w:themeColor="text1"/>
          <w:sz w:val="24"/>
          <w:szCs w:val="24"/>
          <w14:textFill>
            <w14:solidFill>
              <w14:schemeClr w14:val="tx1"/>
            </w14:solidFill>
          </w14:textFill>
        </w:rPr>
        <w:t>投标人，我方愿意在见证合同时按采购文件的规定交纳履约保证金。且我方如无不可抗力，又未履行采购文件、投标文件和合同条款的，一经查实，我方愿意赔偿由此而造成的一切损失，并同意接受按采购文件的相关要求对我方进行的处理。</w:t>
      </w:r>
    </w:p>
    <w:p>
      <w:pPr>
        <w:tabs>
          <w:tab w:val="left" w:pos="0"/>
          <w:tab w:val="left" w:pos="315"/>
          <w:tab w:val="left" w:pos="525"/>
          <w:tab w:val="left" w:pos="945"/>
          <w:tab w:val="left" w:pos="1050"/>
        </w:tabs>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九．我方决不提供虚假材料谋取成交、决不采取不正当手段诋毁、排挤其他投标人、决不与采购人、其它投标人或者采购代理机构恶意串通、决不向采购人、采购代理机构人员和评委进行商业贿赂、决不在采购过程中与采购人进行协商谈判、决不拒绝有关部门监督检查或提供虚假情况，如有违反，无条件接受贵方及相关管理部门的处罚。</w:t>
      </w:r>
    </w:p>
    <w:p>
      <w:pPr>
        <w:bidi w:val="0"/>
        <w:rPr>
          <w:rFonts w:hint="eastAsia"/>
        </w:rPr>
      </w:pPr>
    </w:p>
    <w:p>
      <w:pPr>
        <w:spacing w:line="40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投标人（盖章）：</w:t>
      </w:r>
    </w:p>
    <w:p>
      <w:pPr>
        <w:spacing w:line="40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法定代表人或法定代表人授权代表签字或盖章：</w:t>
      </w:r>
    </w:p>
    <w:p>
      <w:pPr>
        <w:spacing w:line="40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电话：传真：</w:t>
      </w:r>
    </w:p>
    <w:p>
      <w:pPr>
        <w:spacing w:line="40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通讯地址：邮编：</w:t>
      </w:r>
    </w:p>
    <w:p>
      <w:pPr>
        <w:outlineLvl w:val="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（二）（投标人）关于资格的声明函（格式）：</w:t>
      </w:r>
    </w:p>
    <w:p>
      <w:pPr>
        <w:spacing w:line="360" w:lineRule="auto"/>
        <w:rPr>
          <w:rFonts w:hint="eastAsia" w:ascii="宋体" w:hAnsi="宋体" w:eastAsia="宋体" w:cs="宋体"/>
          <w:bCs/>
          <w:color w:val="000000" w:themeColor="text1"/>
          <w:sz w:val="24"/>
          <w:szCs w:val="24"/>
          <w14:textFill>
            <w14:solidFill>
              <w14:schemeClr w14:val="tx1"/>
            </w14:solidFill>
          </w14:textFill>
        </w:rPr>
      </w:pPr>
    </w:p>
    <w:p>
      <w:pPr>
        <w:jc w:val="center"/>
        <w:outlineLvl w:val="0"/>
        <w:rPr>
          <w:rFonts w:hint="eastAsia" w:ascii="宋体" w:hAnsi="宋体" w:eastAsia="宋体" w:cs="宋体"/>
          <w:b/>
          <w:bCs/>
          <w:color w:val="000000" w:themeColor="text1"/>
          <w:sz w:val="28"/>
          <w:szCs w:val="28"/>
          <w14:textFill>
            <w14:solidFill>
              <w14:schemeClr w14:val="tx1"/>
            </w14:solidFill>
          </w14:textFill>
        </w:rPr>
      </w:pPr>
      <w:bookmarkStart w:id="4" w:name="报价方关于资格的声明函（格式）"/>
      <w:bookmarkEnd w:id="4"/>
      <w:r>
        <w:rPr>
          <w:rFonts w:hint="eastAsia" w:ascii="宋体" w:hAnsi="宋体" w:eastAsia="宋体" w:cs="宋体"/>
          <w:b/>
          <w:bCs/>
          <w:color w:val="000000" w:themeColor="text1"/>
          <w:sz w:val="28"/>
          <w:szCs w:val="28"/>
          <w14:textFill>
            <w14:solidFill>
              <w14:schemeClr w14:val="tx1"/>
            </w14:solidFill>
          </w14:textFill>
        </w:rPr>
        <w:t>关于资格的声明函</w:t>
      </w:r>
    </w:p>
    <w:p>
      <w:pPr>
        <w:jc w:val="center"/>
        <w:rPr>
          <w:rFonts w:hint="eastAsia" w:ascii="宋体" w:hAnsi="宋体" w:eastAsia="宋体" w:cs="宋体"/>
          <w:bCs/>
          <w:color w:val="000000" w:themeColor="text1"/>
          <w:sz w:val="24"/>
          <w:szCs w:val="24"/>
          <w14:textFill>
            <w14:solidFill>
              <w14:schemeClr w14:val="tx1"/>
            </w14:solidFill>
          </w14:textFill>
        </w:rPr>
      </w:pPr>
    </w:p>
    <w:p>
      <w:pPr>
        <w:spacing w:line="48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政府采购编号：</w:t>
      </w:r>
    </w:p>
    <w:p>
      <w:pPr>
        <w:tabs>
          <w:tab w:val="left" w:pos="6300"/>
        </w:tabs>
        <w:spacing w:line="48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日期：</w:t>
      </w:r>
    </w:p>
    <w:p>
      <w:pPr>
        <w:spacing w:line="480" w:lineRule="auto"/>
        <w:jc w:val="center"/>
        <w:rPr>
          <w:rFonts w:hint="eastAsia" w:ascii="宋体" w:hAnsi="宋体" w:eastAsia="宋体" w:cs="宋体"/>
          <w:bCs/>
          <w:color w:val="000000" w:themeColor="text1"/>
          <w:sz w:val="24"/>
          <w:szCs w:val="24"/>
          <w14:textFill>
            <w14:solidFill>
              <w14:schemeClr w14:val="tx1"/>
            </w14:solidFill>
          </w14:textFill>
        </w:rPr>
      </w:pPr>
    </w:p>
    <w:p>
      <w:pPr>
        <w:spacing w:line="48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江苏万享通咨询有限公司</w:t>
      </w:r>
      <w:r>
        <w:rPr>
          <w:rFonts w:hint="eastAsia" w:ascii="宋体" w:hAnsi="宋体" w:eastAsia="宋体" w:cs="宋体"/>
          <w:bCs/>
          <w:color w:val="000000" w:themeColor="text1"/>
          <w:sz w:val="24"/>
          <w:szCs w:val="24"/>
          <w14:textFill>
            <w14:solidFill>
              <w14:schemeClr w14:val="tx1"/>
            </w14:solidFill>
          </w14:textFill>
        </w:rPr>
        <w:t>：</w:t>
      </w:r>
    </w:p>
    <w:p>
      <w:pPr>
        <w:spacing w:line="480" w:lineRule="auto"/>
        <w:rPr>
          <w:rFonts w:hint="eastAsia" w:ascii="宋体" w:hAnsi="宋体" w:eastAsia="宋体" w:cs="宋体"/>
          <w:bCs/>
          <w:color w:val="000000" w:themeColor="text1"/>
          <w:sz w:val="24"/>
          <w:szCs w:val="24"/>
          <w14:textFill>
            <w14:solidFill>
              <w14:schemeClr w14:val="tx1"/>
            </w14:solidFill>
          </w14:textFill>
        </w:rPr>
      </w:pPr>
    </w:p>
    <w:p>
      <w:pPr>
        <w:pStyle w:val="12"/>
        <w:spacing w:line="360" w:lineRule="auto"/>
        <w:ind w:left="0" w:right="34" w:firstLine="403"/>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我公司（单位）参加政府采购活动前3年内在经营活动中没有重大违法记录。</w:t>
      </w:r>
    </w:p>
    <w:p>
      <w:pPr>
        <w:spacing w:line="48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我公司（单位）参加本次项目（</w:t>
      </w:r>
      <w:r>
        <w:rPr>
          <w:rFonts w:hint="eastAsia" w:ascii="宋体" w:hAnsi="宋体" w:cs="宋体"/>
          <w:bCs/>
          <w:color w:val="000000" w:themeColor="text1"/>
          <w:sz w:val="24"/>
          <w:szCs w:val="24"/>
          <w:lang w:eastAsia="zh-CN"/>
          <w14:textFill>
            <w14:solidFill>
              <w14:schemeClr w14:val="tx1"/>
            </w14:solidFill>
          </w14:textFill>
        </w:rPr>
        <w:t>JSWXTCG2023-053</w:t>
      </w:r>
      <w:r>
        <w:rPr>
          <w:rFonts w:hint="eastAsia" w:ascii="宋体" w:hAnsi="宋体" w:eastAsia="宋体" w:cs="宋体"/>
          <w:bCs/>
          <w:color w:val="000000" w:themeColor="text1"/>
          <w:sz w:val="24"/>
          <w:szCs w:val="24"/>
          <w14:textFill>
            <w14:solidFill>
              <w14:schemeClr w14:val="tx1"/>
            </w14:solidFill>
          </w14:textFill>
        </w:rPr>
        <w:t>）政府采购活动前三年内，在经营活动中没有重大违法记录，我公司（单位）愿针对本次项目（</w:t>
      </w:r>
      <w:r>
        <w:rPr>
          <w:rFonts w:hint="eastAsia" w:ascii="宋体" w:hAnsi="宋体" w:cs="宋体"/>
          <w:bCs/>
          <w:color w:val="000000" w:themeColor="text1"/>
          <w:sz w:val="24"/>
          <w:szCs w:val="24"/>
          <w:lang w:eastAsia="zh-CN"/>
          <w14:textFill>
            <w14:solidFill>
              <w14:schemeClr w14:val="tx1"/>
            </w14:solidFill>
          </w14:textFill>
        </w:rPr>
        <w:t>JSWXTCG2023-053</w:t>
      </w:r>
      <w:r>
        <w:rPr>
          <w:rFonts w:hint="eastAsia" w:ascii="宋体" w:hAnsi="宋体" w:eastAsia="宋体" w:cs="宋体"/>
          <w:bCs/>
          <w:color w:val="000000" w:themeColor="text1"/>
          <w:sz w:val="24"/>
          <w:szCs w:val="24"/>
          <w14:textFill>
            <w14:solidFill>
              <w14:schemeClr w14:val="tx1"/>
            </w14:solidFill>
          </w14:textFill>
        </w:rPr>
        <w:t>）进行投标，投标文件中所有关于投标资格的文件、证明、陈述均是真实的、准确的。若有违背，我公司（单位）愿意承担由此而产生的一切后果。</w:t>
      </w:r>
    </w:p>
    <w:p>
      <w:pPr>
        <w:spacing w:line="480" w:lineRule="auto"/>
        <w:rPr>
          <w:rFonts w:hint="eastAsia" w:ascii="宋体" w:hAnsi="宋体" w:eastAsia="宋体" w:cs="宋体"/>
          <w:bCs/>
          <w:color w:val="000000" w:themeColor="text1"/>
          <w:sz w:val="24"/>
          <w:szCs w:val="24"/>
          <w14:textFill>
            <w14:solidFill>
              <w14:schemeClr w14:val="tx1"/>
            </w14:solidFill>
          </w14:textFill>
        </w:rPr>
      </w:pPr>
    </w:p>
    <w:p>
      <w:pPr>
        <w:spacing w:line="48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投标人（盖章）：</w:t>
      </w:r>
    </w:p>
    <w:p>
      <w:pPr>
        <w:spacing w:line="48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法定代表人或法定代表人授权代表（签字或盖章）：</w:t>
      </w:r>
    </w:p>
    <w:p>
      <w:pPr>
        <w:spacing w:line="480" w:lineRule="auto"/>
        <w:rPr>
          <w:rFonts w:hint="eastAsia" w:ascii="宋体" w:hAnsi="宋体" w:eastAsia="宋体" w:cs="宋体"/>
          <w:bCs/>
          <w:color w:val="000000" w:themeColor="text1"/>
          <w:sz w:val="24"/>
          <w:szCs w:val="24"/>
          <w14:textFill>
            <w14:solidFill>
              <w14:schemeClr w14:val="tx1"/>
            </w14:solidFill>
          </w14:textFill>
        </w:rPr>
      </w:pPr>
    </w:p>
    <w:p>
      <w:pPr>
        <w:spacing w:line="480" w:lineRule="auto"/>
        <w:rPr>
          <w:rFonts w:hint="eastAsia" w:ascii="宋体" w:hAnsi="宋体" w:eastAsia="宋体" w:cs="宋体"/>
          <w:bCs/>
          <w:color w:val="000000" w:themeColor="text1"/>
          <w:sz w:val="24"/>
          <w:szCs w:val="24"/>
          <w14:textFill>
            <w14:solidFill>
              <w14:schemeClr w14:val="tx1"/>
            </w14:solidFill>
          </w14:textFill>
        </w:rPr>
      </w:pPr>
    </w:p>
    <w:p>
      <w:pPr>
        <w:spacing w:line="480" w:lineRule="auto"/>
        <w:rPr>
          <w:rFonts w:hint="eastAsia" w:ascii="宋体" w:hAnsi="宋体" w:eastAsia="宋体" w:cs="宋体"/>
          <w:bCs/>
          <w:color w:val="000000" w:themeColor="text1"/>
          <w:sz w:val="24"/>
          <w:szCs w:val="24"/>
          <w14:textFill>
            <w14:solidFill>
              <w14:schemeClr w14:val="tx1"/>
            </w14:solidFill>
          </w14:textFill>
        </w:rPr>
      </w:pPr>
    </w:p>
    <w:p>
      <w:pPr>
        <w:spacing w:line="480" w:lineRule="auto"/>
        <w:rPr>
          <w:rFonts w:hint="eastAsia" w:ascii="宋体" w:hAnsi="宋体" w:eastAsia="宋体" w:cs="宋体"/>
          <w:bCs/>
          <w:color w:val="000000" w:themeColor="text1"/>
          <w:sz w:val="24"/>
          <w:szCs w:val="24"/>
          <w14:textFill>
            <w14:solidFill>
              <w14:schemeClr w14:val="tx1"/>
            </w14:solidFill>
          </w14:textFill>
        </w:rPr>
      </w:pPr>
    </w:p>
    <w:p>
      <w:pPr>
        <w:spacing w:line="480" w:lineRule="auto"/>
        <w:rPr>
          <w:rFonts w:hint="eastAsia" w:ascii="宋体" w:hAnsi="宋体" w:eastAsia="宋体" w:cs="宋体"/>
          <w:bCs/>
          <w:color w:val="000000" w:themeColor="text1"/>
          <w:sz w:val="24"/>
          <w:szCs w:val="24"/>
          <w14:textFill>
            <w14:solidFill>
              <w14:schemeClr w14:val="tx1"/>
            </w14:solidFill>
          </w14:textFill>
        </w:rPr>
      </w:pPr>
    </w:p>
    <w:p>
      <w:pPr>
        <w:spacing w:line="480" w:lineRule="auto"/>
        <w:rPr>
          <w:rFonts w:hint="eastAsia" w:ascii="宋体" w:hAnsi="宋体" w:eastAsia="宋体" w:cs="宋体"/>
          <w:bCs/>
          <w:color w:val="000000" w:themeColor="text1"/>
          <w:sz w:val="24"/>
          <w:szCs w:val="24"/>
          <w14:textFill>
            <w14:solidFill>
              <w14:schemeClr w14:val="tx1"/>
            </w14:solidFill>
          </w14:textFill>
        </w:rPr>
      </w:pPr>
    </w:p>
    <w:p>
      <w:pPr>
        <w:spacing w:line="480" w:lineRule="auto"/>
        <w:rPr>
          <w:rFonts w:hint="eastAsia" w:ascii="宋体" w:hAnsi="宋体" w:eastAsia="宋体" w:cs="宋体"/>
          <w:bCs/>
          <w:color w:val="000000" w:themeColor="text1"/>
          <w:sz w:val="24"/>
          <w:szCs w:val="24"/>
          <w14:textFill>
            <w14:solidFill>
              <w14:schemeClr w14:val="tx1"/>
            </w14:solidFill>
          </w14:textFill>
        </w:rPr>
      </w:pPr>
    </w:p>
    <w:p>
      <w:pPr>
        <w:outlineLvl w:val="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（三）（投标人）法定代表人授权委托书（格式）：</w:t>
      </w:r>
    </w:p>
    <w:p>
      <w:pPr>
        <w:outlineLvl w:val="0"/>
        <w:rPr>
          <w:rFonts w:hint="eastAsia" w:ascii="宋体" w:hAnsi="宋体" w:eastAsia="宋体" w:cs="宋体"/>
          <w:b/>
          <w:bCs/>
          <w:color w:val="000000" w:themeColor="text1"/>
          <w:sz w:val="28"/>
          <w:szCs w:val="28"/>
          <w14:textFill>
            <w14:solidFill>
              <w14:schemeClr w14:val="tx1"/>
            </w14:solidFill>
          </w14:textFill>
        </w:rPr>
      </w:pPr>
    </w:p>
    <w:p>
      <w:pPr>
        <w:jc w:val="center"/>
        <w:outlineLvl w:val="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法定代表人授权委托书</w:t>
      </w:r>
    </w:p>
    <w:p>
      <w:pPr>
        <w:jc w:val="center"/>
        <w:rPr>
          <w:rFonts w:hint="eastAsia" w:ascii="宋体" w:hAnsi="宋体" w:eastAsia="宋体" w:cs="宋体"/>
          <w:bCs/>
          <w:color w:val="000000" w:themeColor="text1"/>
          <w:sz w:val="24"/>
          <w:szCs w:val="24"/>
          <w14:textFill>
            <w14:solidFill>
              <w14:schemeClr w14:val="tx1"/>
            </w14:solidFill>
          </w14:textFill>
        </w:rPr>
      </w:pPr>
    </w:p>
    <w:p>
      <w:pPr>
        <w:spacing w:line="48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政府采购编号：</w:t>
      </w:r>
    </w:p>
    <w:p>
      <w:pPr>
        <w:spacing w:line="48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日期：</w:t>
      </w:r>
    </w:p>
    <w:p>
      <w:pPr>
        <w:spacing w:line="600" w:lineRule="exac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u w:val="single"/>
          <w:lang w:eastAsia="zh-CN"/>
          <w14:textFill>
            <w14:solidFill>
              <w14:schemeClr w14:val="tx1"/>
            </w14:solidFill>
          </w14:textFill>
        </w:rPr>
        <w:t>江苏万享通咨询有限公司</w:t>
      </w:r>
      <w:r>
        <w:rPr>
          <w:rFonts w:hint="eastAsia" w:ascii="宋体" w:hAnsi="宋体" w:eastAsia="宋体" w:cs="宋体"/>
          <w:bCs/>
          <w:color w:val="000000" w:themeColor="text1"/>
          <w:sz w:val="24"/>
          <w:szCs w:val="24"/>
          <w14:textFill>
            <w14:solidFill>
              <w14:schemeClr w14:val="tx1"/>
            </w14:solidFill>
          </w14:textFill>
        </w:rPr>
        <w:t>：</w:t>
      </w:r>
    </w:p>
    <w:p>
      <w:pPr>
        <w:spacing w:line="580" w:lineRule="exac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系中华人民共和国合法企业，特授权代表我公司（单位）全权办理针对本项目（采购编号：）的投标、参与开标、评标、签约等具体工作，并签署全部有关的文件、协议及合同。</w:t>
      </w:r>
    </w:p>
    <w:p>
      <w:pPr>
        <w:spacing w:line="58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我公司（单位）对被授权代表的签名负全部责任。</w:t>
      </w:r>
    </w:p>
    <w:p>
      <w:pPr>
        <w:spacing w:line="58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在撤销授权的书面通知送达你处以前，本授权书一直有效，被授权代表签署的所有文件（在授权书有效期内签署的）不因授权的撤销而失效。</w:t>
      </w:r>
    </w:p>
    <w:p>
      <w:pPr>
        <w:spacing w:line="58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被授权代表情况：</w:t>
      </w:r>
    </w:p>
    <w:p>
      <w:pPr>
        <w:spacing w:line="580" w:lineRule="exact"/>
        <w:ind w:firstLine="525"/>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姓名：         性别：       电话：</w:t>
      </w:r>
    </w:p>
    <w:p>
      <w:pPr>
        <w:spacing w:line="48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投标人（盖章）：</w:t>
      </w:r>
    </w:p>
    <w:p>
      <w:pPr>
        <w:spacing w:line="48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法定代表人或法定代表人授权代表（签字或盖章）：</w:t>
      </w:r>
    </w:p>
    <w:p>
      <w:pPr>
        <w:spacing w:line="580" w:lineRule="exact"/>
        <w:ind w:firstLine="3240" w:firstLineChars="1350"/>
        <w:rPr>
          <w:rFonts w:hint="eastAsia" w:ascii="宋体" w:hAnsi="宋体" w:eastAsia="宋体" w:cs="宋体"/>
          <w:bCs/>
          <w:color w:val="000000" w:themeColor="text1"/>
          <w:sz w:val="24"/>
          <w:szCs w:val="24"/>
          <w14:textFill>
            <w14:solidFill>
              <w14:schemeClr w14:val="tx1"/>
            </w14:solidFill>
          </w14:textFill>
        </w:rPr>
      </w:pPr>
    </w:p>
    <w:p>
      <w:pPr>
        <w:spacing w:line="580" w:lineRule="exact"/>
        <w:ind w:firstLine="420"/>
        <w:rPr>
          <w:rFonts w:hint="eastAsia" w:ascii="宋体" w:hAnsi="宋体" w:eastAsia="宋体" w:cs="宋体"/>
          <w:bCs/>
          <w:color w:val="000000" w:themeColor="text1"/>
          <w:sz w:val="24"/>
          <w:szCs w:val="24"/>
          <w14:textFill>
            <w14:solidFill>
              <w14:schemeClr w14:val="tx1"/>
            </w14:solidFill>
          </w14:textFill>
        </w:rPr>
      </w:pPr>
    </w:p>
    <w:p>
      <w:pPr>
        <w:spacing w:line="580" w:lineRule="exact"/>
        <w:ind w:firstLine="42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附：</w:t>
      </w:r>
    </w:p>
    <w:p>
      <w:pPr>
        <w:spacing w:line="580" w:lineRule="exact"/>
        <w:ind w:firstLine="42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3267075</wp:posOffset>
                </wp:positionH>
                <wp:positionV relativeFrom="paragraph">
                  <wp:posOffset>53340</wp:posOffset>
                </wp:positionV>
                <wp:extent cx="2867025" cy="1584960"/>
                <wp:effectExtent l="4445" t="4445" r="5080" b="10795"/>
                <wp:wrapNone/>
                <wp:docPr id="2" name="Text Box 3"/>
                <wp:cNvGraphicFramePr/>
                <a:graphic xmlns:a="http://schemas.openxmlformats.org/drawingml/2006/main">
                  <a:graphicData uri="http://schemas.microsoft.com/office/word/2010/wordprocessingShape">
                    <wps:wsp>
                      <wps:cNvSpPr txBox="1"/>
                      <wps:spPr>
                        <a:xfrm>
                          <a:off x="0" y="0"/>
                          <a:ext cx="2867025" cy="15849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黑体" w:eastAsia="黑体"/>
                                <w:sz w:val="32"/>
                                <w:szCs w:val="32"/>
                              </w:rPr>
                            </w:pPr>
                          </w:p>
                          <w:p>
                            <w:pPr>
                              <w:jc w:val="center"/>
                              <w:rPr>
                                <w:rFonts w:ascii="黑体" w:eastAsia="黑体"/>
                                <w:sz w:val="32"/>
                                <w:szCs w:val="32"/>
                              </w:rPr>
                            </w:pPr>
                            <w:r>
                              <w:rPr>
                                <w:rFonts w:hint="eastAsia" w:ascii="黑体" w:eastAsia="黑体"/>
                                <w:color w:val="000000"/>
                                <w:sz w:val="32"/>
                                <w:szCs w:val="32"/>
                              </w:rPr>
                              <w:t>被授权代表</w:t>
                            </w:r>
                            <w:r>
                              <w:rPr>
                                <w:rFonts w:hint="eastAsia" w:ascii="黑体" w:eastAsia="黑体"/>
                                <w:sz w:val="32"/>
                                <w:szCs w:val="32"/>
                              </w:rPr>
                              <w:t>身份证件复印件</w:t>
                            </w:r>
                          </w:p>
                          <w:p>
                            <w:pPr>
                              <w:jc w:val="center"/>
                              <w:rPr>
                                <w:rFonts w:ascii="黑体" w:eastAsia="黑体"/>
                                <w:sz w:val="32"/>
                                <w:szCs w:val="32"/>
                              </w:rPr>
                            </w:pPr>
                            <w:r>
                              <w:rPr>
                                <w:rFonts w:hint="eastAsia" w:ascii="黑体" w:eastAsia="黑体"/>
                                <w:sz w:val="32"/>
                                <w:szCs w:val="32"/>
                              </w:rPr>
                              <w:t>正反面</w:t>
                            </w:r>
                          </w:p>
                        </w:txbxContent>
                      </wps:txbx>
                      <wps:bodyPr upright="1"/>
                    </wps:wsp>
                  </a:graphicData>
                </a:graphic>
              </wp:anchor>
            </w:drawing>
          </mc:Choice>
          <mc:Fallback>
            <w:pict>
              <v:shape id="Text Box 3" o:spid="_x0000_s1026" o:spt="202" type="#_x0000_t202" style="position:absolute;left:0pt;margin-left:257.25pt;margin-top:4.2pt;height:124.8pt;width:225.75pt;z-index:251660288;mso-width-relative:page;mso-height-relative:page;" fillcolor="#FFFFFF" filled="t" stroked="t" coordsize="21600,21600" o:gfxdata="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1VF902AAAAAkBAAAPAAAAAAAAAAEAIAAAACIAAABkcnMv&#10;ZG93bnJldi54bWxQSwECFAAUAAAACACHTuJAKsRj2wMCAABEBAAADgAAAAAAAAABACAAAAAnAQAA&#10;ZHJzL2Uyb0RvYy54bWxQSwUGAAAAAAYABgBZAQAAnAUAAAAA&#10;">
                <v:fill on="t" focussize="0,0"/>
                <v:stroke color="#000000" joinstyle="miter"/>
                <v:imagedata o:title=""/>
                <o:lock v:ext="edit" aspectratio="f"/>
                <v:textbox>
                  <w:txbxContent>
                    <w:p>
                      <w:pPr>
                        <w:jc w:val="center"/>
                        <w:rPr>
                          <w:rFonts w:ascii="黑体" w:eastAsia="黑体"/>
                          <w:sz w:val="32"/>
                          <w:szCs w:val="32"/>
                        </w:rPr>
                      </w:pPr>
                    </w:p>
                    <w:p>
                      <w:pPr>
                        <w:jc w:val="center"/>
                        <w:rPr>
                          <w:rFonts w:ascii="黑体" w:eastAsia="黑体"/>
                          <w:sz w:val="32"/>
                          <w:szCs w:val="32"/>
                        </w:rPr>
                      </w:pPr>
                      <w:r>
                        <w:rPr>
                          <w:rFonts w:hint="eastAsia" w:ascii="黑体" w:eastAsia="黑体"/>
                          <w:color w:val="000000"/>
                          <w:sz w:val="32"/>
                          <w:szCs w:val="32"/>
                        </w:rPr>
                        <w:t>被授权代表</w:t>
                      </w:r>
                      <w:r>
                        <w:rPr>
                          <w:rFonts w:hint="eastAsia" w:ascii="黑体" w:eastAsia="黑体"/>
                          <w:sz w:val="32"/>
                          <w:szCs w:val="32"/>
                        </w:rPr>
                        <w:t>身份证件复印件</w:t>
                      </w:r>
                    </w:p>
                    <w:p>
                      <w:pPr>
                        <w:jc w:val="center"/>
                        <w:rPr>
                          <w:rFonts w:ascii="黑体" w:eastAsia="黑体"/>
                          <w:sz w:val="32"/>
                          <w:szCs w:val="32"/>
                        </w:rPr>
                      </w:pPr>
                      <w:r>
                        <w:rPr>
                          <w:rFonts w:hint="eastAsia" w:ascii="黑体" w:eastAsia="黑体"/>
                          <w:sz w:val="32"/>
                          <w:szCs w:val="32"/>
                        </w:rPr>
                        <w:t>正反面</w:t>
                      </w:r>
                    </w:p>
                  </w:txbxContent>
                </v:textbox>
              </v:shape>
            </w:pict>
          </mc:Fallback>
        </mc:AlternateContent>
      </w:r>
      <w:r>
        <w:rPr>
          <w:rFonts w:hint="eastAsia" w:ascii="宋体" w:hAnsi="宋体" w:eastAsia="宋体" w:cs="宋体"/>
          <w:bCs/>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133350</wp:posOffset>
                </wp:positionH>
                <wp:positionV relativeFrom="paragraph">
                  <wp:posOffset>53340</wp:posOffset>
                </wp:positionV>
                <wp:extent cx="2867025" cy="1584960"/>
                <wp:effectExtent l="4445" t="4445" r="5080" b="10795"/>
                <wp:wrapNone/>
                <wp:docPr id="3" name="Text Box 4"/>
                <wp:cNvGraphicFramePr/>
                <a:graphic xmlns:a="http://schemas.openxmlformats.org/drawingml/2006/main">
                  <a:graphicData uri="http://schemas.microsoft.com/office/word/2010/wordprocessingShape">
                    <wps:wsp>
                      <wps:cNvSpPr txBox="1"/>
                      <wps:spPr>
                        <a:xfrm>
                          <a:off x="0" y="0"/>
                          <a:ext cx="2867025" cy="15849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黑体" w:eastAsia="黑体"/>
                                <w:sz w:val="32"/>
                                <w:szCs w:val="32"/>
                              </w:rPr>
                            </w:pPr>
                          </w:p>
                          <w:p>
                            <w:pPr>
                              <w:jc w:val="center"/>
                              <w:rPr>
                                <w:rFonts w:ascii="黑体" w:eastAsia="黑体"/>
                                <w:sz w:val="32"/>
                                <w:szCs w:val="32"/>
                              </w:rPr>
                            </w:pPr>
                            <w:r>
                              <w:rPr>
                                <w:rFonts w:hint="eastAsia" w:ascii="黑体" w:eastAsia="黑体"/>
                                <w:sz w:val="32"/>
                                <w:szCs w:val="32"/>
                              </w:rPr>
                              <w:t>法定代表人身份证件复印件</w:t>
                            </w:r>
                          </w:p>
                          <w:p>
                            <w:pPr>
                              <w:jc w:val="center"/>
                              <w:rPr>
                                <w:rFonts w:ascii="黑体" w:eastAsia="黑体"/>
                                <w:sz w:val="32"/>
                                <w:szCs w:val="32"/>
                              </w:rPr>
                            </w:pPr>
                            <w:r>
                              <w:rPr>
                                <w:rFonts w:hint="eastAsia" w:ascii="黑体" w:eastAsia="黑体"/>
                                <w:sz w:val="32"/>
                                <w:szCs w:val="32"/>
                              </w:rPr>
                              <w:t>正反面</w:t>
                            </w:r>
                          </w:p>
                        </w:txbxContent>
                      </wps:txbx>
                      <wps:bodyPr upright="1"/>
                    </wps:wsp>
                  </a:graphicData>
                </a:graphic>
              </wp:anchor>
            </w:drawing>
          </mc:Choice>
          <mc:Fallback>
            <w:pict>
              <v:shape id="Text Box 4" o:spid="_x0000_s1026" o:spt="202" type="#_x0000_t202" style="position:absolute;left:0pt;margin-left:10.5pt;margin-top:4.2pt;height:124.8pt;width:225.75pt;z-index:251660288;mso-width-relative:page;mso-height-relative:page;" fillcolor="#FFFFFF" filled="t" stroked="t" coordsize="21600,21600" o:gfxdata="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nNqTd1wAAAAgBAAAPAAAAAAAAAAEAIAAAACIAAABkcnMv&#10;ZG93bnJldi54bWxQSwECFAAUAAAACACHTuJAcqCiTQQCAABEBAAADgAAAAAAAAABACAAAAAmAQAA&#10;ZHJzL2Uyb0RvYy54bWxQSwUGAAAAAAYABgBZAQAAnAUAAAAA&#10;">
                <v:fill on="t" focussize="0,0"/>
                <v:stroke color="#000000" joinstyle="miter"/>
                <v:imagedata o:title=""/>
                <o:lock v:ext="edit" aspectratio="f"/>
                <v:textbox>
                  <w:txbxContent>
                    <w:p>
                      <w:pPr>
                        <w:jc w:val="center"/>
                        <w:rPr>
                          <w:rFonts w:ascii="黑体" w:eastAsia="黑体"/>
                          <w:sz w:val="32"/>
                          <w:szCs w:val="32"/>
                        </w:rPr>
                      </w:pPr>
                    </w:p>
                    <w:p>
                      <w:pPr>
                        <w:jc w:val="center"/>
                        <w:rPr>
                          <w:rFonts w:ascii="黑体" w:eastAsia="黑体"/>
                          <w:sz w:val="32"/>
                          <w:szCs w:val="32"/>
                        </w:rPr>
                      </w:pPr>
                      <w:r>
                        <w:rPr>
                          <w:rFonts w:hint="eastAsia" w:ascii="黑体" w:eastAsia="黑体"/>
                          <w:sz w:val="32"/>
                          <w:szCs w:val="32"/>
                        </w:rPr>
                        <w:t>法定代表人身份证件复印件</w:t>
                      </w:r>
                    </w:p>
                    <w:p>
                      <w:pPr>
                        <w:jc w:val="center"/>
                        <w:rPr>
                          <w:rFonts w:ascii="黑体" w:eastAsia="黑体"/>
                          <w:sz w:val="32"/>
                          <w:szCs w:val="32"/>
                        </w:rPr>
                      </w:pPr>
                      <w:r>
                        <w:rPr>
                          <w:rFonts w:hint="eastAsia" w:ascii="黑体" w:eastAsia="黑体"/>
                          <w:sz w:val="32"/>
                          <w:szCs w:val="32"/>
                        </w:rPr>
                        <w:t>正反面</w:t>
                      </w:r>
                    </w:p>
                  </w:txbxContent>
                </v:textbox>
              </v:shape>
            </w:pict>
          </mc:Fallback>
        </mc:AlternateContent>
      </w:r>
      <w:r>
        <w:rPr>
          <w:rFonts w:hint="eastAsia" w:ascii="宋体" w:hAnsi="宋体" w:eastAsia="宋体" w:cs="宋体"/>
          <w:bCs/>
          <w:color w:val="000000" w:themeColor="text1"/>
          <w14:textFill>
            <w14:solidFill>
              <w14:schemeClr w14:val="tx1"/>
            </w14:solidFill>
          </w14:textFill>
        </w:rPr>
        <w:t xml:space="preserve">夹                                     </w:t>
      </w:r>
    </w:p>
    <w:p>
      <w:pPr>
        <w:spacing w:line="580" w:lineRule="exact"/>
        <w:ind w:firstLine="420"/>
        <w:rPr>
          <w:rFonts w:hint="eastAsia" w:ascii="宋体" w:hAnsi="宋体" w:eastAsia="宋体" w:cs="宋体"/>
          <w:bCs/>
          <w:color w:val="000000" w:themeColor="text1"/>
          <w14:textFill>
            <w14:solidFill>
              <w14:schemeClr w14:val="tx1"/>
            </w14:solidFill>
          </w14:textFill>
        </w:rPr>
      </w:pPr>
    </w:p>
    <w:p>
      <w:pPr>
        <w:ind w:firstLine="420" w:firstLineChars="200"/>
        <w:outlineLvl w:val="0"/>
        <w:rPr>
          <w:rFonts w:hint="eastAsia" w:ascii="宋体" w:hAnsi="宋体" w:eastAsia="宋体" w:cs="宋体"/>
          <w:bCs/>
          <w:color w:val="000000" w:themeColor="text1"/>
          <w14:textFill>
            <w14:solidFill>
              <w14:schemeClr w14:val="tx1"/>
            </w14:solidFill>
          </w14:textFill>
        </w:rPr>
      </w:pPr>
    </w:p>
    <w:p>
      <w:pPr>
        <w:outlineLvl w:val="0"/>
        <w:rPr>
          <w:rFonts w:hint="eastAsia" w:ascii="宋体" w:hAnsi="宋体" w:eastAsia="宋体" w:cs="宋体"/>
          <w:bCs/>
          <w:color w:val="000000" w:themeColor="text1"/>
          <w14:textFill>
            <w14:solidFill>
              <w14:schemeClr w14:val="tx1"/>
            </w14:solidFill>
          </w14:textFill>
        </w:rPr>
      </w:pPr>
    </w:p>
    <w:p>
      <w:pPr>
        <w:outlineLvl w:val="0"/>
        <w:rPr>
          <w:rFonts w:hint="eastAsia" w:ascii="宋体" w:hAnsi="宋体" w:eastAsia="宋体" w:cs="宋体"/>
          <w:bCs/>
          <w:color w:val="000000" w:themeColor="text1"/>
          <w14:textFill>
            <w14:solidFill>
              <w14:schemeClr w14:val="tx1"/>
            </w14:solidFill>
          </w14:textFill>
        </w:rPr>
      </w:pPr>
    </w:p>
    <w:p>
      <w:pPr>
        <w:outlineLvl w:val="0"/>
        <w:rPr>
          <w:rFonts w:hint="eastAsia" w:ascii="宋体" w:hAnsi="宋体" w:eastAsia="宋体" w:cs="宋体"/>
          <w:bCs/>
          <w:color w:val="000000" w:themeColor="text1"/>
          <w:sz w:val="24"/>
          <w:szCs w:val="24"/>
          <w14:textFill>
            <w14:solidFill>
              <w14:schemeClr w14:val="tx1"/>
            </w14:solidFill>
          </w14:textFill>
        </w:rPr>
      </w:pPr>
    </w:p>
    <w:p>
      <w:pPr>
        <w:spacing w:line="580" w:lineRule="exact"/>
        <w:ind w:firstLine="4080" w:firstLineChars="1700"/>
        <w:rPr>
          <w:rFonts w:hint="eastAsia" w:ascii="宋体" w:hAnsi="宋体" w:eastAsia="宋体" w:cs="宋体"/>
          <w:bCs/>
          <w:color w:val="000000" w:themeColor="text1"/>
          <w:sz w:val="24"/>
          <w:szCs w:val="24"/>
          <w14:textFill>
            <w14:solidFill>
              <w14:schemeClr w14:val="tx1"/>
            </w14:solidFill>
          </w14:textFill>
        </w:rPr>
      </w:pPr>
    </w:p>
    <w:p>
      <w:pPr>
        <w:outlineLvl w:val="0"/>
        <w:rPr>
          <w:rFonts w:hint="eastAsia" w:ascii="宋体" w:hAnsi="宋体" w:eastAsia="宋体" w:cs="宋体"/>
          <w:bCs/>
          <w:color w:val="000000" w:themeColor="text1"/>
          <w:sz w:val="24"/>
          <w:szCs w:val="24"/>
          <w14:textFill>
            <w14:solidFill>
              <w14:schemeClr w14:val="tx1"/>
            </w14:solidFill>
          </w14:textFill>
        </w:rPr>
      </w:pPr>
    </w:p>
    <w:p>
      <w:pPr>
        <w:outlineLvl w:val="0"/>
        <w:rPr>
          <w:rFonts w:hint="eastAsia" w:ascii="宋体" w:hAnsi="宋体" w:eastAsia="宋体" w:cs="宋体"/>
          <w:bCs/>
          <w:color w:val="000000" w:themeColor="text1"/>
          <w:sz w:val="24"/>
          <w:szCs w:val="24"/>
          <w14:textFill>
            <w14:solidFill>
              <w14:schemeClr w14:val="tx1"/>
            </w14:solidFill>
          </w14:textFill>
        </w:rPr>
      </w:pPr>
    </w:p>
    <w:p>
      <w:pPr>
        <w:outlineLvl w:val="0"/>
        <w:rPr>
          <w:rFonts w:hint="eastAsia" w:ascii="宋体" w:hAnsi="宋体" w:eastAsia="宋体" w:cs="宋体"/>
          <w:bCs/>
          <w:color w:val="000000" w:themeColor="text1"/>
          <w:sz w:val="24"/>
          <w:szCs w:val="24"/>
          <w14:textFill>
            <w14:solidFill>
              <w14:schemeClr w14:val="tx1"/>
            </w14:solidFill>
          </w14:textFill>
        </w:rPr>
      </w:pPr>
    </w:p>
    <w:p>
      <w:pPr>
        <w:outlineLvl w:val="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（四）承诺书（格式）：</w:t>
      </w:r>
    </w:p>
    <w:p>
      <w:pPr>
        <w:outlineLvl w:val="0"/>
        <w:rPr>
          <w:rFonts w:hint="eastAsia" w:ascii="宋体" w:hAnsi="宋体" w:eastAsia="宋体" w:cs="宋体"/>
          <w:bCs/>
          <w:color w:val="000000" w:themeColor="text1"/>
          <w:sz w:val="24"/>
          <w:szCs w:val="24"/>
          <w14:textFill>
            <w14:solidFill>
              <w14:schemeClr w14:val="tx1"/>
            </w14:solidFill>
          </w14:textFill>
        </w:rPr>
      </w:pPr>
    </w:p>
    <w:p>
      <w:pPr>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承诺书</w:t>
      </w:r>
    </w:p>
    <w:p>
      <w:pPr>
        <w:jc w:val="center"/>
        <w:rPr>
          <w:rFonts w:hint="eastAsia" w:ascii="宋体" w:hAnsi="宋体" w:eastAsia="宋体" w:cs="宋体"/>
          <w:bCs/>
          <w:color w:val="000000" w:themeColor="text1"/>
          <w:sz w:val="24"/>
          <w:szCs w:val="24"/>
          <w14:textFill>
            <w14:solidFill>
              <w14:schemeClr w14:val="tx1"/>
            </w14:solidFill>
          </w14:textFill>
        </w:rPr>
      </w:pPr>
    </w:p>
    <w:p>
      <w:pPr>
        <w:spacing w:line="48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（投标人名称）在此承诺：</w:t>
      </w:r>
    </w:p>
    <w:p>
      <w:pPr>
        <w:spacing w:before="240"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我公司自愿参加贵单位（公司）</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项目的投标，并接受对我公司的资格审查，我公司承诺：我公司未处于被责令停业、投标资格被取消或者财产被接管、冻结和破产状态，企业没有因骗取中标或者严重违约以及发生重大工程质量事故等问题，被有关部门暂停投标资格并在暂停期内的。根据贵单位（公司）提出的招标文件要求，本公司递交的投标文件中的内容没有隐瞒、虚假、伪造等弄虚作假行为。若发现该行为，贵公司可以拒绝我公司报价，如已中标，可取消我公司中标资格，并接受政府采购主管部门对我公司弄虚作假、违反公平和诚实信用原则做出的任何处理。</w:t>
      </w:r>
    </w:p>
    <w:p>
      <w:pPr>
        <w:spacing w:before="240" w:line="360" w:lineRule="auto"/>
        <w:ind w:firstLine="480"/>
        <w:rPr>
          <w:rFonts w:hint="eastAsia" w:ascii="宋体" w:hAnsi="宋体" w:eastAsia="宋体" w:cs="宋体"/>
          <w:color w:val="000000" w:themeColor="text1"/>
          <w:sz w:val="24"/>
          <w14:textFill>
            <w14:solidFill>
              <w14:schemeClr w14:val="tx1"/>
            </w14:solidFill>
          </w14:textFill>
        </w:rPr>
      </w:pPr>
    </w:p>
    <w:p>
      <w:pPr>
        <w:spacing w:before="240" w:line="360" w:lineRule="auto"/>
        <w:ind w:firstLine="480"/>
        <w:rPr>
          <w:rFonts w:hint="eastAsia" w:ascii="宋体" w:hAnsi="宋体" w:eastAsia="宋体" w:cs="宋体"/>
          <w:color w:val="000000" w:themeColor="text1"/>
          <w:sz w:val="24"/>
          <w14:textFill>
            <w14:solidFill>
              <w14:schemeClr w14:val="tx1"/>
            </w14:solidFill>
          </w14:textFill>
        </w:rPr>
      </w:pPr>
    </w:p>
    <w:p>
      <w:pPr>
        <w:spacing w:before="240" w:line="360" w:lineRule="auto"/>
        <w:ind w:firstLine="480"/>
        <w:rPr>
          <w:rFonts w:hint="eastAsia" w:ascii="宋体" w:hAnsi="宋体" w:eastAsia="宋体" w:cs="宋体"/>
          <w:color w:val="000000" w:themeColor="text1"/>
          <w:sz w:val="24"/>
          <w14:textFill>
            <w14:solidFill>
              <w14:schemeClr w14:val="tx1"/>
            </w14:solidFill>
          </w14:textFill>
        </w:rPr>
      </w:pPr>
    </w:p>
    <w:p>
      <w:pPr>
        <w:spacing w:line="48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投标人（盖章）：</w:t>
      </w:r>
    </w:p>
    <w:p>
      <w:pPr>
        <w:spacing w:line="48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法定代表人或法定代表人授权代表（签字或盖章）：</w:t>
      </w:r>
    </w:p>
    <w:p>
      <w:pPr>
        <w:wordWrap w:val="0"/>
        <w:spacing w:before="240" w:line="360" w:lineRule="auto"/>
        <w:ind w:firstLine="480"/>
        <w:jc w:val="righ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p>
    <w:p>
      <w:pPr>
        <w:wordWrap w:val="0"/>
        <w:spacing w:before="240" w:line="360" w:lineRule="auto"/>
        <w:ind w:firstLine="480"/>
        <w:jc w:val="righ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年    月    日</w:t>
      </w:r>
    </w:p>
    <w:p>
      <w:pPr>
        <w:spacing w:before="240" w:line="360" w:lineRule="auto"/>
        <w:ind w:firstLine="480"/>
        <w:jc w:val="right"/>
        <w:rPr>
          <w:rFonts w:hint="eastAsia" w:ascii="宋体" w:hAnsi="宋体" w:eastAsia="宋体" w:cs="宋体"/>
          <w:color w:val="000000" w:themeColor="text1"/>
          <w:sz w:val="24"/>
          <w14:textFill>
            <w14:solidFill>
              <w14:schemeClr w14:val="tx1"/>
            </w14:solidFill>
          </w14:textFill>
        </w:rPr>
      </w:pPr>
    </w:p>
    <w:p>
      <w:pPr>
        <w:spacing w:before="240" w:line="360" w:lineRule="auto"/>
        <w:ind w:firstLine="480"/>
        <w:jc w:val="right"/>
        <w:rPr>
          <w:rFonts w:hint="eastAsia" w:ascii="宋体" w:hAnsi="宋体" w:eastAsia="宋体" w:cs="宋体"/>
          <w:color w:val="000000" w:themeColor="text1"/>
          <w:sz w:val="24"/>
          <w14:textFill>
            <w14:solidFill>
              <w14:schemeClr w14:val="tx1"/>
            </w14:solidFill>
          </w14:textFill>
        </w:rPr>
      </w:pPr>
    </w:p>
    <w:p>
      <w:pPr>
        <w:spacing w:before="240" w:line="360" w:lineRule="auto"/>
        <w:ind w:firstLine="480"/>
        <w:jc w:val="right"/>
        <w:rPr>
          <w:rFonts w:hint="eastAsia" w:ascii="宋体" w:hAnsi="宋体" w:eastAsia="宋体" w:cs="宋体"/>
          <w:color w:val="000000" w:themeColor="text1"/>
          <w:sz w:val="24"/>
          <w14:textFill>
            <w14:solidFill>
              <w14:schemeClr w14:val="tx1"/>
            </w14:solidFill>
          </w14:textFill>
        </w:rPr>
      </w:pP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p>
    <w:p>
      <w:pPr>
        <w:spacing w:line="360" w:lineRule="auto"/>
        <w:rPr>
          <w:rFonts w:hint="eastAsia" w:ascii="宋体" w:hAnsi="宋体" w:eastAsia="宋体" w:cs="宋体"/>
          <w:color w:val="000000" w:themeColor="text1"/>
          <w:sz w:val="24"/>
          <w14:textFill>
            <w14:solidFill>
              <w14:schemeClr w14:val="tx1"/>
            </w14:solidFill>
          </w14:textFill>
        </w:rPr>
      </w:pP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pPr>
        <w:outlineLvl w:val="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（五）开标一览表（格式）：</w:t>
      </w:r>
    </w:p>
    <w:p>
      <w:pPr>
        <w:outlineLvl w:val="0"/>
        <w:rPr>
          <w:rFonts w:hint="eastAsia" w:ascii="宋体" w:hAnsi="宋体" w:eastAsia="宋体" w:cs="宋体"/>
          <w:bCs/>
          <w:color w:val="000000" w:themeColor="text1"/>
          <w:sz w:val="24"/>
          <w:szCs w:val="24"/>
          <w14:textFill>
            <w14:solidFill>
              <w14:schemeClr w14:val="tx1"/>
            </w14:solidFill>
          </w14:textFill>
        </w:rPr>
      </w:pPr>
    </w:p>
    <w:p>
      <w:pPr>
        <w:jc w:val="center"/>
        <w:outlineLvl w:val="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开标一览表</w:t>
      </w:r>
    </w:p>
    <w:p>
      <w:pPr>
        <w:jc w:val="center"/>
        <w:outlineLvl w:val="0"/>
        <w:rPr>
          <w:rFonts w:hint="eastAsia" w:ascii="宋体" w:hAnsi="宋体" w:eastAsia="宋体" w:cs="宋体"/>
          <w:bCs/>
          <w:color w:val="000000" w:themeColor="text1"/>
          <w:sz w:val="24"/>
          <w:szCs w:val="24"/>
          <w14:textFill>
            <w14:solidFill>
              <w14:schemeClr w14:val="tx1"/>
            </w14:solidFill>
          </w14:textFill>
        </w:rPr>
      </w:pPr>
    </w:p>
    <w:p>
      <w:pPr>
        <w:spacing w:line="360" w:lineRule="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投标人名称（盖章）                              政府采购编号：</w:t>
      </w:r>
      <w:r>
        <w:rPr>
          <w:rFonts w:hint="eastAsia" w:ascii="宋体" w:hAnsi="宋体" w:cs="宋体"/>
          <w:bCs/>
          <w:color w:val="000000" w:themeColor="text1"/>
          <w:sz w:val="24"/>
          <w:szCs w:val="24"/>
          <w:lang w:eastAsia="zh-CN"/>
          <w14:textFill>
            <w14:solidFill>
              <w14:schemeClr w14:val="tx1"/>
            </w14:solidFill>
          </w14:textFill>
        </w:rPr>
        <w:t>JSWXTCG2023-053</w:t>
      </w:r>
    </w:p>
    <w:tbl>
      <w:tblPr>
        <w:tblStyle w:val="25"/>
        <w:tblW w:w="972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1"/>
        <w:gridCol w:w="6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trPr>
        <w:tc>
          <w:tcPr>
            <w:tcW w:w="3111" w:type="dxa"/>
            <w:vAlign w:val="center"/>
          </w:tcPr>
          <w:p>
            <w:pPr>
              <w:pStyle w:val="9"/>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项目总报价</w:t>
            </w:r>
          </w:p>
          <w:p>
            <w:pPr>
              <w:pStyle w:val="9"/>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（人民币）</w:t>
            </w:r>
          </w:p>
        </w:tc>
        <w:tc>
          <w:tcPr>
            <w:tcW w:w="6613" w:type="dxa"/>
            <w:vAlign w:val="center"/>
          </w:tcPr>
          <w:p>
            <w:pPr>
              <w:pStyle w:val="9"/>
              <w:snapToGrid w:val="0"/>
              <w:spacing w:line="300" w:lineRule="auto"/>
              <w:rPr>
                <w:rFonts w:hint="eastAsia" w:ascii="宋体" w:hAnsi="宋体" w:eastAsia="宋体" w:cs="宋体"/>
                <w:sz w:val="24"/>
                <w:szCs w:val="24"/>
              </w:rPr>
            </w:pPr>
            <w:r>
              <w:rPr>
                <w:rFonts w:hint="eastAsia" w:ascii="宋体" w:hAnsi="宋体" w:eastAsia="宋体" w:cs="宋体"/>
                <w:sz w:val="24"/>
                <w:szCs w:val="24"/>
              </w:rPr>
              <w:t>大写：</w:t>
            </w:r>
          </w:p>
          <w:p>
            <w:pPr>
              <w:pStyle w:val="9"/>
              <w:snapToGrid w:val="0"/>
              <w:spacing w:line="300" w:lineRule="auto"/>
              <w:rPr>
                <w:rFonts w:hint="eastAsia" w:ascii="宋体" w:hAnsi="宋体" w:eastAsia="宋体" w:cs="宋体"/>
                <w:sz w:val="24"/>
                <w:szCs w:val="24"/>
              </w:rPr>
            </w:pPr>
            <w:r>
              <w:rPr>
                <w:rFonts w:hint="eastAsia" w:ascii="宋体" w:hAnsi="宋体" w:eastAsia="宋体" w:cs="宋体"/>
                <w:sz w:val="24"/>
                <w:szCs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6" w:hRule="atLeast"/>
        </w:trPr>
        <w:tc>
          <w:tcPr>
            <w:tcW w:w="3111" w:type="dxa"/>
            <w:vAlign w:val="center"/>
          </w:tcPr>
          <w:p>
            <w:pPr>
              <w:adjustRightInd w:val="0"/>
              <w:snapToGrid w:val="0"/>
              <w:spacing w:line="300" w:lineRule="auto"/>
              <w:jc w:val="center"/>
              <w:rPr>
                <w:rFonts w:hint="eastAsia" w:ascii="宋体" w:hAnsi="宋体" w:eastAsia="宋体" w:cs="宋体"/>
              </w:rPr>
            </w:pPr>
            <w:r>
              <w:rPr>
                <w:rFonts w:hint="eastAsia" w:ascii="宋体" w:hAnsi="宋体" w:eastAsia="宋体" w:cs="宋体"/>
              </w:rPr>
              <w:t>项目负责人</w:t>
            </w:r>
          </w:p>
        </w:tc>
        <w:tc>
          <w:tcPr>
            <w:tcW w:w="6613" w:type="dxa"/>
            <w:vAlign w:val="center"/>
          </w:tcPr>
          <w:p>
            <w:pPr>
              <w:adjustRightInd w:val="0"/>
              <w:snapToGrid w:val="0"/>
              <w:spacing w:line="30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6" w:hRule="atLeast"/>
        </w:trPr>
        <w:tc>
          <w:tcPr>
            <w:tcW w:w="3111" w:type="dxa"/>
            <w:vAlign w:val="center"/>
          </w:tcPr>
          <w:p>
            <w:pPr>
              <w:adjustRightInd w:val="0"/>
              <w:snapToGrid w:val="0"/>
              <w:spacing w:line="300" w:lineRule="auto"/>
              <w:jc w:val="center"/>
              <w:rPr>
                <w:rFonts w:hint="eastAsia" w:ascii="宋体" w:hAnsi="宋体" w:eastAsia="宋体" w:cs="宋体"/>
              </w:rPr>
            </w:pPr>
            <w:r>
              <w:rPr>
                <w:rFonts w:hint="eastAsia" w:ascii="宋体" w:hAnsi="宋体" w:eastAsia="宋体" w:cs="宋体"/>
              </w:rPr>
              <w:t>投标文件</w:t>
            </w:r>
          </w:p>
          <w:p>
            <w:pPr>
              <w:adjustRightInd w:val="0"/>
              <w:snapToGrid w:val="0"/>
              <w:spacing w:line="300" w:lineRule="auto"/>
              <w:jc w:val="center"/>
              <w:rPr>
                <w:rFonts w:hint="eastAsia" w:ascii="宋体" w:hAnsi="宋体" w:eastAsia="宋体" w:cs="宋体"/>
              </w:rPr>
            </w:pPr>
            <w:r>
              <w:rPr>
                <w:rFonts w:hint="eastAsia" w:ascii="宋体" w:hAnsi="宋体" w:eastAsia="宋体" w:cs="宋体"/>
              </w:rPr>
              <w:t>份数</w:t>
            </w:r>
          </w:p>
        </w:tc>
        <w:tc>
          <w:tcPr>
            <w:tcW w:w="6613" w:type="dxa"/>
            <w:vAlign w:val="center"/>
          </w:tcPr>
          <w:p>
            <w:pPr>
              <w:widowControl/>
              <w:topLinePunct/>
              <w:rPr>
                <w:rFonts w:hint="eastAsia" w:ascii="宋体" w:hAnsi="宋体" w:eastAsia="宋体" w:cs="宋体"/>
              </w:rPr>
            </w:pPr>
            <w:r>
              <w:rPr>
                <w:rFonts w:hint="eastAsia" w:ascii="宋体" w:hAnsi="宋体" w:eastAsia="宋体" w:cs="宋体"/>
                <w:bCs/>
              </w:rPr>
              <w:t>投标</w:t>
            </w:r>
            <w:r>
              <w:rPr>
                <w:rFonts w:hint="eastAsia" w:ascii="宋体" w:hAnsi="宋体" w:eastAsia="宋体" w:cs="宋体"/>
              </w:rPr>
              <w:t>文件正本份数： 1份</w:t>
            </w:r>
          </w:p>
          <w:p>
            <w:pPr>
              <w:adjustRightInd w:val="0"/>
              <w:snapToGrid w:val="0"/>
              <w:spacing w:line="300" w:lineRule="auto"/>
              <w:rPr>
                <w:rFonts w:hint="eastAsia" w:ascii="宋体" w:hAnsi="宋体" w:eastAsia="宋体" w:cs="宋体"/>
              </w:rPr>
            </w:pPr>
            <w:r>
              <w:rPr>
                <w:rFonts w:hint="eastAsia" w:ascii="宋体" w:hAnsi="宋体" w:eastAsia="宋体" w:cs="宋体"/>
                <w:bCs/>
              </w:rPr>
              <w:t>投标</w:t>
            </w:r>
            <w:r>
              <w:rPr>
                <w:rFonts w:hint="eastAsia" w:ascii="宋体" w:hAnsi="宋体" w:eastAsia="宋体" w:cs="宋体"/>
              </w:rPr>
              <w:t>文件副本份数： 4份</w:t>
            </w:r>
          </w:p>
          <w:p>
            <w:pPr>
              <w:adjustRightInd w:val="0"/>
              <w:snapToGrid w:val="0"/>
              <w:spacing w:line="300" w:lineRule="auto"/>
              <w:rPr>
                <w:rFonts w:hint="eastAsia" w:ascii="宋体" w:hAnsi="宋体" w:eastAsia="宋体" w:cs="宋体"/>
              </w:rPr>
            </w:pPr>
            <w:r>
              <w:rPr>
                <w:rFonts w:hint="eastAsia" w:ascii="宋体" w:hAnsi="宋体" w:eastAsia="宋体" w:cs="宋体"/>
              </w:rPr>
              <w:t>电子投标文件：1份</w:t>
            </w:r>
          </w:p>
        </w:tc>
      </w:tr>
    </w:tbl>
    <w:p>
      <w:pPr>
        <w:adjustRightInd w:val="0"/>
        <w:snapToGrid w:val="0"/>
        <w:spacing w:line="300" w:lineRule="auto"/>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line="300" w:lineRule="auto"/>
        <w:rPr>
          <w:rFonts w:hint="eastAsia" w:ascii="宋体" w:hAnsi="宋体" w:eastAsia="宋体" w:cs="宋体"/>
          <w:color w:val="000000" w:themeColor="text1"/>
          <w:sz w:val="24"/>
          <w:szCs w:val="24"/>
          <w14:textFill>
            <w14:solidFill>
              <w14:schemeClr w14:val="tx1"/>
            </w14:solidFill>
          </w14:textFill>
        </w:rPr>
      </w:pPr>
    </w:p>
    <w:p>
      <w:pPr>
        <w:overflowPunct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法定代表人或被授权代表签字或盖章：                      日期：   年   月   日</w:t>
      </w:r>
    </w:p>
    <w:p>
      <w:pPr>
        <w:overflowPunct w:val="0"/>
        <w:rPr>
          <w:rFonts w:hint="eastAsia" w:ascii="宋体" w:hAnsi="宋体" w:eastAsia="宋体" w:cs="宋体"/>
          <w:color w:val="000000" w:themeColor="text1"/>
          <w:sz w:val="24"/>
          <w:szCs w:val="24"/>
          <w14:textFill>
            <w14:solidFill>
              <w14:schemeClr w14:val="tx1"/>
            </w14:solidFill>
          </w14:textFill>
        </w:rPr>
      </w:pPr>
    </w:p>
    <w:p>
      <w:pPr>
        <w:overflowPunct w:val="0"/>
        <w:rPr>
          <w:rFonts w:hint="eastAsia" w:ascii="宋体" w:hAnsi="宋体" w:eastAsia="宋体" w:cs="宋体"/>
          <w:color w:val="000000" w:themeColor="text1"/>
          <w:sz w:val="24"/>
          <w:szCs w:val="24"/>
          <w14:textFill>
            <w14:solidFill>
              <w14:schemeClr w14:val="tx1"/>
            </w14:solidFill>
          </w14:textFill>
        </w:rPr>
      </w:pPr>
    </w:p>
    <w:p>
      <w:pPr>
        <w:spacing w:line="360" w:lineRule="auto"/>
        <w:jc w:val="left"/>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填写说明：</w:t>
      </w:r>
    </w:p>
    <w:p>
      <w:pPr>
        <w:numPr>
          <w:ilvl w:val="1"/>
          <w:numId w:val="20"/>
        </w:numPr>
        <w:spacing w:line="500" w:lineRule="exact"/>
        <w:rPr>
          <w:rFonts w:hint="eastAsia" w:ascii="宋体" w:hAnsi="宋体" w:eastAsia="宋体" w:cs="宋体"/>
          <w:b/>
          <w:sz w:val="24"/>
          <w:szCs w:val="28"/>
        </w:rPr>
      </w:pPr>
      <w:r>
        <w:rPr>
          <w:rFonts w:hint="eastAsia" w:ascii="宋体" w:hAnsi="宋体" w:eastAsia="宋体" w:cs="宋体"/>
          <w:b/>
          <w:sz w:val="24"/>
          <w:szCs w:val="28"/>
        </w:rPr>
        <w:t>报价一览表中的内容应与投标函内容一致，否则评标时一律按报价一览表中内容为准，报价一览表中必须盖章或签字。</w:t>
      </w:r>
    </w:p>
    <w:p>
      <w:pPr>
        <w:numPr>
          <w:ilvl w:val="1"/>
          <w:numId w:val="20"/>
        </w:numPr>
        <w:spacing w:line="500" w:lineRule="exact"/>
        <w:rPr>
          <w:rFonts w:hint="eastAsia" w:ascii="宋体" w:hAnsi="宋体" w:eastAsia="宋体" w:cs="宋体"/>
          <w:b/>
          <w:sz w:val="24"/>
          <w:szCs w:val="28"/>
        </w:rPr>
      </w:pPr>
      <w:r>
        <w:rPr>
          <w:rFonts w:hint="eastAsia" w:ascii="宋体" w:hAnsi="宋体" w:eastAsia="宋体" w:cs="宋体"/>
          <w:b/>
          <w:sz w:val="24"/>
          <w:szCs w:val="28"/>
        </w:rPr>
        <w:t>中标后，中标人所填写的报价在合同实施期间不因市场变化因素而变动；投标人在计算报价时应考虑一定的风险系数；</w:t>
      </w:r>
    </w:p>
    <w:p>
      <w:p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p>
    <w:p>
      <w:pPr>
        <w:spacing w:line="400" w:lineRule="exact"/>
        <w:rPr>
          <w:rFonts w:hint="eastAsia" w:ascii="宋体" w:hAnsi="宋体" w:eastAsia="宋体" w:cs="宋体"/>
          <w:bCs/>
          <w:color w:val="000000" w:themeColor="text1"/>
          <w:sz w:val="24"/>
          <w:szCs w:val="24"/>
          <w14:textFill>
            <w14:solidFill>
              <w14:schemeClr w14:val="tx1"/>
            </w14:solidFill>
          </w14:textFill>
        </w:rPr>
      </w:pPr>
    </w:p>
    <w:p>
      <w:pPr>
        <w:outlineLvl w:val="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(六) 明细报价表(格式)</w:t>
      </w:r>
    </w:p>
    <w:p>
      <w:pPr>
        <w:ind w:left="630" w:hanging="630" w:hangingChars="300"/>
        <w:rPr>
          <w:rFonts w:hint="eastAsia" w:ascii="宋体" w:hAnsi="宋体" w:eastAsia="宋体" w:cs="宋体"/>
          <w:bCs/>
        </w:rPr>
      </w:pPr>
    </w:p>
    <w:p>
      <w:pPr>
        <w:ind w:left="723" w:hanging="723" w:hangingChars="300"/>
        <w:jc w:val="center"/>
        <w:rPr>
          <w:rFonts w:hint="eastAsia" w:ascii="宋体" w:hAnsi="宋体" w:eastAsia="宋体" w:cs="宋体"/>
          <w:b/>
          <w:bCs/>
          <w:sz w:val="24"/>
          <w:szCs w:val="24"/>
        </w:rPr>
      </w:pPr>
      <w:r>
        <w:rPr>
          <w:rFonts w:hint="eastAsia" w:ascii="宋体" w:hAnsi="宋体" w:eastAsia="宋体" w:cs="宋体"/>
          <w:b/>
          <w:bCs/>
          <w:sz w:val="24"/>
          <w:szCs w:val="24"/>
        </w:rPr>
        <w:t>明细报价表</w:t>
      </w:r>
    </w:p>
    <w:p>
      <w:pPr>
        <w:rPr>
          <w:rFonts w:hint="eastAsia" w:ascii="宋体" w:hAnsi="宋体" w:eastAsia="宋体" w:cs="宋体"/>
          <w:bCs/>
          <w:sz w:val="24"/>
          <w:szCs w:val="24"/>
          <w:lang w:eastAsia="zh-CN"/>
        </w:rPr>
      </w:pPr>
      <w:r>
        <w:rPr>
          <w:rFonts w:hint="eastAsia" w:ascii="宋体" w:hAnsi="宋体" w:eastAsia="宋体" w:cs="宋体"/>
          <w:bCs/>
          <w:sz w:val="24"/>
          <w:szCs w:val="24"/>
        </w:rPr>
        <w:t>投标人名称（盖章）                          政府采购编号：</w:t>
      </w:r>
      <w:r>
        <w:rPr>
          <w:rFonts w:hint="eastAsia" w:ascii="宋体" w:hAnsi="宋体" w:cs="宋体"/>
          <w:bCs/>
          <w:sz w:val="24"/>
          <w:szCs w:val="24"/>
          <w:lang w:eastAsia="zh-CN"/>
        </w:rPr>
        <w:t>JSWXTCG2023-053</w:t>
      </w:r>
    </w:p>
    <w:tbl>
      <w:tblPr>
        <w:tblStyle w:val="25"/>
        <w:tblW w:w="9756" w:type="dxa"/>
        <w:jc w:val="center"/>
        <w:tblLayout w:type="fixed"/>
        <w:tblCellMar>
          <w:top w:w="0" w:type="dxa"/>
          <w:left w:w="108" w:type="dxa"/>
          <w:bottom w:w="0" w:type="dxa"/>
          <w:right w:w="108" w:type="dxa"/>
        </w:tblCellMar>
      </w:tblPr>
      <w:tblGrid>
        <w:gridCol w:w="780"/>
        <w:gridCol w:w="1701"/>
        <w:gridCol w:w="2976"/>
        <w:gridCol w:w="781"/>
        <w:gridCol w:w="992"/>
        <w:gridCol w:w="1276"/>
        <w:gridCol w:w="1250"/>
      </w:tblGrid>
      <w:tr>
        <w:tblPrEx>
          <w:tblCellMar>
            <w:top w:w="0" w:type="dxa"/>
            <w:left w:w="108" w:type="dxa"/>
            <w:bottom w:w="0" w:type="dxa"/>
            <w:right w:w="108" w:type="dxa"/>
          </w:tblCellMar>
        </w:tblPrEx>
        <w:trPr>
          <w:trHeight w:val="767"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收费项目</w:t>
            </w:r>
          </w:p>
        </w:tc>
        <w:tc>
          <w:tcPr>
            <w:tcW w:w="297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 xml:space="preserve">  技术指标</w:t>
            </w:r>
          </w:p>
        </w:tc>
        <w:tc>
          <w:tcPr>
            <w:tcW w:w="781"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单位</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单价（元）</w:t>
            </w:r>
          </w:p>
        </w:tc>
        <w:tc>
          <w:tcPr>
            <w:tcW w:w="12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eastAsia" w:ascii="宋体" w:hAnsi="宋体" w:eastAsia="宋体" w:cs="宋体"/>
                <w:sz w:val="24"/>
                <w:szCs w:val="24"/>
              </w:rPr>
            </w:pPr>
            <w:r>
              <w:rPr>
                <w:rFonts w:hint="eastAsia" w:ascii="宋体" w:hAnsi="宋体" w:eastAsia="宋体" w:cs="宋体"/>
                <w:sz w:val="24"/>
                <w:szCs w:val="24"/>
              </w:rPr>
              <w:t>合计（元）</w:t>
            </w:r>
          </w:p>
        </w:tc>
      </w:tr>
      <w:tr>
        <w:tblPrEx>
          <w:tblCellMar>
            <w:top w:w="0" w:type="dxa"/>
            <w:left w:w="108" w:type="dxa"/>
            <w:bottom w:w="0" w:type="dxa"/>
            <w:right w:w="108" w:type="dxa"/>
          </w:tblCellMar>
        </w:tblPrEx>
        <w:trPr>
          <w:trHeight w:val="1123" w:hRule="atLeast"/>
          <w:jc w:val="center"/>
        </w:trPr>
        <w:tc>
          <w:tcPr>
            <w:tcW w:w="780" w:type="dxa"/>
            <w:tcBorders>
              <w:left w:val="single" w:color="auto" w:sz="4"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w:t>
            </w:r>
          </w:p>
        </w:tc>
        <w:tc>
          <w:tcPr>
            <w:tcW w:w="1701" w:type="dxa"/>
            <w:tcBorders>
              <w:left w:val="single" w:color="auto" w:sz="4"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sz w:val="24"/>
                <w:szCs w:val="24"/>
              </w:rPr>
            </w:pPr>
          </w:p>
        </w:tc>
        <w:tc>
          <w:tcPr>
            <w:tcW w:w="2976" w:type="dxa"/>
            <w:tcBorders>
              <w:top w:val="nil"/>
              <w:left w:val="nil"/>
              <w:bottom w:val="single" w:color="auto" w:sz="4" w:space="0"/>
              <w:right w:val="single" w:color="auto" w:sz="4" w:space="0"/>
            </w:tcBorders>
            <w:vAlign w:val="center"/>
          </w:tcPr>
          <w:p>
            <w:pPr>
              <w:widowControl/>
              <w:tabs>
                <w:tab w:val="left" w:pos="312"/>
              </w:tabs>
              <w:jc w:val="left"/>
              <w:rPr>
                <w:rFonts w:hint="eastAsia" w:ascii="宋体" w:hAnsi="宋体" w:eastAsia="宋体" w:cs="宋体"/>
                <w:kern w:val="0"/>
                <w:sz w:val="24"/>
                <w:szCs w:val="24"/>
              </w:rPr>
            </w:pPr>
          </w:p>
        </w:tc>
        <w:tc>
          <w:tcPr>
            <w:tcW w:w="781" w:type="dxa"/>
            <w:tcBorders>
              <w:left w:val="single" w:color="auto" w:sz="4"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sz w:val="24"/>
                <w:szCs w:val="24"/>
              </w:rPr>
            </w:pPr>
          </w:p>
        </w:tc>
        <w:tc>
          <w:tcPr>
            <w:tcW w:w="992" w:type="dxa"/>
            <w:tcBorders>
              <w:left w:val="single" w:color="auto" w:sz="4"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sz w:val="24"/>
                <w:szCs w:val="24"/>
              </w:rPr>
            </w:pPr>
          </w:p>
        </w:tc>
        <w:tc>
          <w:tcPr>
            <w:tcW w:w="1276" w:type="dxa"/>
            <w:tcBorders>
              <w:left w:val="single" w:color="auto" w:sz="4"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sz w:val="24"/>
                <w:szCs w:val="24"/>
              </w:rPr>
            </w:pPr>
          </w:p>
        </w:tc>
        <w:tc>
          <w:tcPr>
            <w:tcW w:w="1250" w:type="dxa"/>
            <w:tcBorders>
              <w:left w:val="single" w:color="auto" w:sz="4" w:space="0"/>
              <w:bottom w:val="single" w:color="auto" w:sz="4" w:space="0"/>
              <w:right w:val="single" w:color="auto" w:sz="4" w:space="0"/>
            </w:tcBorders>
            <w:vAlign w:val="center"/>
          </w:tcPr>
          <w:p>
            <w:pPr>
              <w:widowControl/>
              <w:adjustRightInd w:val="0"/>
              <w:snapToGrid w:val="0"/>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1265" w:hRule="atLeast"/>
          <w:jc w:val="center"/>
        </w:trPr>
        <w:tc>
          <w:tcPr>
            <w:tcW w:w="780" w:type="dxa"/>
            <w:tcBorders>
              <w:top w:val="single" w:color="auto" w:sz="4" w:space="0"/>
              <w:left w:val="single" w:color="auto" w:sz="4" w:space="0"/>
              <w:right w:val="single" w:color="auto" w:sz="4" w:space="0"/>
            </w:tcBorders>
            <w:vAlign w:val="center"/>
          </w:tcPr>
          <w:p>
            <w:pPr>
              <w:widowControl/>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sz w:val="24"/>
                <w:szCs w:val="24"/>
              </w:rPr>
            </w:pPr>
          </w:p>
        </w:tc>
        <w:tc>
          <w:tcPr>
            <w:tcW w:w="2976" w:type="dxa"/>
            <w:tcBorders>
              <w:top w:val="single" w:color="auto" w:sz="4" w:space="0"/>
              <w:left w:val="nil"/>
              <w:bottom w:val="nil"/>
              <w:right w:val="single" w:color="auto" w:sz="4" w:space="0"/>
            </w:tcBorders>
            <w:vAlign w:val="center"/>
          </w:tcPr>
          <w:p>
            <w:pPr>
              <w:rPr>
                <w:rFonts w:hint="eastAsia" w:ascii="宋体" w:hAnsi="宋体" w:eastAsia="宋体" w:cs="宋体"/>
                <w:kern w:val="0"/>
                <w:sz w:val="24"/>
                <w:szCs w:val="24"/>
              </w:rPr>
            </w:pPr>
          </w:p>
        </w:tc>
        <w:tc>
          <w:tcPr>
            <w:tcW w:w="78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sz w:val="24"/>
                <w:szCs w:val="24"/>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51"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合计</w:t>
            </w:r>
          </w:p>
        </w:tc>
        <w:tc>
          <w:tcPr>
            <w:tcW w:w="2976" w:type="dxa"/>
            <w:tcBorders>
              <w:top w:val="single" w:color="auto" w:sz="4" w:space="0"/>
              <w:left w:val="nil"/>
              <w:bottom w:val="single" w:color="auto" w:sz="4" w:space="0"/>
              <w:right w:val="single" w:color="auto" w:sz="4" w:space="0"/>
            </w:tcBorders>
            <w:vAlign w:val="center"/>
          </w:tcPr>
          <w:p>
            <w:pPr>
              <w:widowControl/>
              <w:adjustRightInd w:val="0"/>
              <w:snapToGrid w:val="0"/>
              <w:rPr>
                <w:rFonts w:hint="eastAsia" w:ascii="宋体" w:hAnsi="宋体" w:eastAsia="宋体" w:cs="宋体"/>
                <w:kern w:val="0"/>
                <w:sz w:val="24"/>
                <w:szCs w:val="24"/>
              </w:rPr>
            </w:pPr>
          </w:p>
        </w:tc>
        <w:tc>
          <w:tcPr>
            <w:tcW w:w="78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sz w:val="24"/>
                <w:szCs w:val="24"/>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宋体" w:hAnsi="宋体" w:eastAsia="宋体" w:cs="宋体"/>
                <w:sz w:val="24"/>
                <w:szCs w:val="24"/>
              </w:rPr>
            </w:pPr>
          </w:p>
        </w:tc>
      </w:tr>
    </w:tbl>
    <w:p>
      <w:pPr>
        <w:pStyle w:val="23"/>
        <w:ind w:firstLine="0" w:firstLineChars="0"/>
        <w:rPr>
          <w:rFonts w:hint="eastAsia" w:ascii="宋体" w:hAnsi="宋体" w:eastAsia="宋体" w:cs="宋体"/>
          <w:szCs w:val="24"/>
        </w:rPr>
      </w:pPr>
    </w:p>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法定代表人或法定代表人授权代表签字或盖章：</w:t>
      </w:r>
    </w:p>
    <w:p>
      <w:pPr>
        <w:spacing w:line="400" w:lineRule="exact"/>
        <w:rPr>
          <w:rFonts w:hint="eastAsia" w:ascii="宋体" w:hAnsi="宋体" w:eastAsia="宋体" w:cs="宋体"/>
          <w:b/>
          <w:bCs/>
          <w:sz w:val="24"/>
          <w:szCs w:val="24"/>
        </w:rPr>
      </w:pPr>
    </w:p>
    <w:p>
      <w:pPr>
        <w:spacing w:line="400" w:lineRule="exact"/>
        <w:outlineLvl w:val="0"/>
        <w:rPr>
          <w:rFonts w:hint="eastAsia" w:ascii="宋体" w:hAnsi="宋体" w:eastAsia="宋体" w:cs="宋体"/>
          <w:bCs/>
          <w:sz w:val="24"/>
          <w:szCs w:val="24"/>
        </w:rPr>
      </w:pPr>
      <w:r>
        <w:rPr>
          <w:rFonts w:hint="eastAsia" w:ascii="宋体" w:hAnsi="宋体" w:eastAsia="宋体" w:cs="宋体"/>
          <w:b/>
          <w:bCs/>
          <w:kern w:val="0"/>
          <w:sz w:val="24"/>
          <w:szCs w:val="24"/>
        </w:rPr>
        <w:t>注：</w:t>
      </w:r>
      <w:r>
        <w:rPr>
          <w:rFonts w:hint="eastAsia" w:ascii="宋体" w:hAnsi="宋体" w:eastAsia="宋体" w:cs="宋体"/>
          <w:bCs/>
          <w:sz w:val="24"/>
          <w:szCs w:val="24"/>
        </w:rPr>
        <w:t>（1）投标人应当根据“采购需求和有关说明”的内容在上表中详细填写；</w:t>
      </w:r>
    </w:p>
    <w:p>
      <w:pPr>
        <w:spacing w:line="400" w:lineRule="exact"/>
        <w:ind w:firstLine="480" w:firstLineChars="200"/>
        <w:outlineLvl w:val="0"/>
        <w:rPr>
          <w:rFonts w:hint="eastAsia" w:ascii="宋体" w:hAnsi="宋体" w:eastAsia="宋体" w:cs="宋体"/>
          <w:bCs/>
          <w:sz w:val="24"/>
          <w:szCs w:val="24"/>
        </w:rPr>
      </w:pPr>
      <w:r>
        <w:rPr>
          <w:rFonts w:hint="eastAsia" w:ascii="宋体" w:hAnsi="宋体" w:eastAsia="宋体" w:cs="宋体"/>
          <w:bCs/>
          <w:sz w:val="24"/>
          <w:szCs w:val="24"/>
        </w:rPr>
        <w:t>（2）表格不够可自行延长。</w:t>
      </w:r>
    </w:p>
    <w:p>
      <w:pPr>
        <w:pStyle w:val="5"/>
        <w:overflowPunct w:val="0"/>
        <w:ind w:firstLine="0"/>
        <w:rPr>
          <w:rFonts w:hint="eastAsia" w:ascii="宋体" w:hAnsi="宋体" w:eastAsia="宋体" w:cs="宋体"/>
          <w:sz w:val="24"/>
          <w:szCs w:val="24"/>
        </w:rPr>
      </w:pPr>
    </w:p>
    <w:p>
      <w:pPr>
        <w:spacing w:line="480" w:lineRule="auto"/>
        <w:rPr>
          <w:rFonts w:hint="eastAsia" w:ascii="宋体" w:hAnsi="宋体" w:eastAsia="宋体" w:cs="宋体"/>
          <w:bCs/>
          <w:sz w:val="24"/>
          <w:szCs w:val="24"/>
        </w:rPr>
      </w:pPr>
      <w:r>
        <w:rPr>
          <w:rFonts w:hint="eastAsia" w:ascii="宋体" w:hAnsi="宋体" w:eastAsia="宋体" w:cs="宋体"/>
          <w:bCs/>
          <w:sz w:val="24"/>
          <w:szCs w:val="24"/>
        </w:rPr>
        <w:t>投标人（盖章）：</w:t>
      </w:r>
    </w:p>
    <w:p>
      <w:pPr>
        <w:pStyle w:val="64"/>
        <w:rPr>
          <w:rFonts w:hint="eastAsia" w:ascii="宋体" w:hAnsi="宋体" w:eastAsia="宋体" w:cs="宋体"/>
          <w:sz w:val="24"/>
          <w:szCs w:val="24"/>
        </w:rPr>
      </w:pPr>
    </w:p>
    <w:p>
      <w:pPr>
        <w:spacing w:line="480" w:lineRule="auto"/>
        <w:rPr>
          <w:rFonts w:hint="eastAsia" w:ascii="宋体" w:hAnsi="宋体" w:eastAsia="宋体" w:cs="宋体"/>
          <w:bCs/>
          <w:sz w:val="24"/>
          <w:szCs w:val="24"/>
        </w:rPr>
      </w:pPr>
      <w:r>
        <w:rPr>
          <w:rFonts w:hint="eastAsia" w:ascii="宋体" w:hAnsi="宋体" w:eastAsia="宋体" w:cs="宋体"/>
          <w:sz w:val="24"/>
          <w:szCs w:val="24"/>
        </w:rPr>
        <w:t>法定代表人或授权代表</w:t>
      </w:r>
      <w:r>
        <w:rPr>
          <w:rFonts w:hint="eastAsia" w:ascii="宋体" w:hAnsi="宋体" w:eastAsia="宋体" w:cs="宋体"/>
          <w:bCs/>
          <w:sz w:val="24"/>
          <w:szCs w:val="24"/>
        </w:rPr>
        <w:t>签字或盖章：</w:t>
      </w:r>
    </w:p>
    <w:p>
      <w:pPr>
        <w:pStyle w:val="64"/>
        <w:rPr>
          <w:rFonts w:hint="eastAsia" w:ascii="宋体" w:hAnsi="宋体" w:eastAsia="宋体" w:cs="宋体"/>
          <w:bCs/>
          <w:sz w:val="24"/>
          <w:szCs w:val="24"/>
        </w:rPr>
      </w:pPr>
    </w:p>
    <w:p>
      <w:pPr>
        <w:pStyle w:val="64"/>
        <w:rPr>
          <w:rFonts w:hint="eastAsia" w:ascii="宋体" w:hAnsi="宋体" w:eastAsia="宋体" w:cs="宋体"/>
          <w:bCs/>
          <w:sz w:val="24"/>
          <w:szCs w:val="24"/>
        </w:rPr>
      </w:pPr>
    </w:p>
    <w:p>
      <w:pPr>
        <w:pStyle w:val="64"/>
        <w:rPr>
          <w:rFonts w:hint="eastAsia" w:ascii="宋体" w:hAnsi="宋体" w:eastAsia="宋体" w:cs="宋体"/>
          <w:bCs/>
          <w:sz w:val="24"/>
          <w:szCs w:val="24"/>
        </w:rPr>
      </w:pPr>
    </w:p>
    <w:p>
      <w:pPr>
        <w:pStyle w:val="64"/>
        <w:rPr>
          <w:rFonts w:hint="eastAsia" w:ascii="宋体" w:hAnsi="宋体" w:eastAsia="宋体" w:cs="宋体"/>
          <w:bCs/>
          <w:sz w:val="24"/>
          <w:szCs w:val="24"/>
        </w:rPr>
      </w:pPr>
    </w:p>
    <w:p>
      <w:pPr>
        <w:pStyle w:val="64"/>
        <w:rPr>
          <w:rFonts w:hint="eastAsia" w:ascii="宋体" w:hAnsi="宋体" w:eastAsia="宋体" w:cs="宋体"/>
          <w:bCs/>
          <w:sz w:val="24"/>
          <w:szCs w:val="24"/>
        </w:rPr>
      </w:pPr>
    </w:p>
    <w:p>
      <w:pPr>
        <w:pStyle w:val="64"/>
        <w:ind w:firstLine="0" w:firstLineChars="0"/>
        <w:rPr>
          <w:rFonts w:hint="eastAsia" w:ascii="宋体" w:hAnsi="宋体" w:eastAsia="宋体" w:cs="宋体"/>
          <w:bCs/>
          <w:sz w:val="24"/>
          <w:szCs w:val="24"/>
        </w:rPr>
      </w:pPr>
    </w:p>
    <w:p>
      <w:pPr>
        <w:pStyle w:val="64"/>
        <w:ind w:firstLine="0" w:firstLineChars="0"/>
        <w:rPr>
          <w:rFonts w:hint="eastAsia" w:ascii="宋体" w:hAnsi="宋体" w:eastAsia="宋体" w:cs="宋体"/>
          <w:bCs/>
          <w:sz w:val="24"/>
          <w:szCs w:val="24"/>
        </w:rPr>
      </w:pPr>
    </w:p>
    <w:p>
      <w:pPr>
        <w:pStyle w:val="64"/>
        <w:rPr>
          <w:rFonts w:hint="eastAsia" w:ascii="宋体" w:hAnsi="宋体" w:eastAsia="宋体" w:cs="宋体"/>
          <w:sz w:val="24"/>
          <w:szCs w:val="24"/>
        </w:rPr>
      </w:pPr>
    </w:p>
    <w:p>
      <w:pPr>
        <w:outlineLvl w:val="0"/>
        <w:rPr>
          <w:rFonts w:hint="eastAsia" w:ascii="宋体" w:hAnsi="宋体" w:eastAsia="宋体" w:cs="宋体"/>
          <w:bCs/>
          <w:sz w:val="24"/>
          <w:szCs w:val="24"/>
        </w:rPr>
      </w:pPr>
    </w:p>
    <w:p>
      <w:pPr>
        <w:outlineLvl w:val="0"/>
        <w:rPr>
          <w:rFonts w:hint="eastAsia" w:ascii="宋体" w:hAnsi="宋体" w:eastAsia="宋体" w:cs="宋体"/>
          <w:bCs/>
        </w:rPr>
      </w:pPr>
    </w:p>
    <w:p>
      <w:pPr>
        <w:outlineLvl w:val="0"/>
        <w:rPr>
          <w:rFonts w:hint="eastAsia" w:ascii="宋体" w:hAnsi="宋体" w:eastAsia="宋体" w:cs="宋体"/>
          <w:bCs/>
        </w:rPr>
      </w:pPr>
    </w:p>
    <w:p>
      <w:pPr>
        <w:outlineLvl w:val="0"/>
        <w:rPr>
          <w:rFonts w:hint="eastAsia" w:ascii="宋体" w:hAnsi="宋体" w:eastAsia="宋体" w:cs="宋体"/>
          <w:bCs/>
        </w:rPr>
      </w:pPr>
    </w:p>
    <w:p>
      <w:pPr>
        <w:rPr>
          <w:rFonts w:hint="eastAsia" w:ascii="宋体" w:hAnsi="宋体" w:eastAsia="宋体" w:cs="宋体"/>
          <w:bCs/>
        </w:rPr>
      </w:pPr>
      <w:r>
        <w:rPr>
          <w:rFonts w:hint="eastAsia" w:ascii="宋体" w:hAnsi="宋体" w:eastAsia="宋体" w:cs="宋体"/>
          <w:bCs/>
        </w:rPr>
        <w:br w:type="page"/>
      </w:r>
    </w:p>
    <w:p>
      <w:pPr>
        <w:outlineLvl w:val="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(七)项目负责人及人员配备情况（格式）</w:t>
      </w:r>
    </w:p>
    <w:p>
      <w:pPr>
        <w:spacing w:line="400" w:lineRule="exact"/>
        <w:jc w:val="center"/>
        <w:rPr>
          <w:rFonts w:hint="eastAsia" w:ascii="宋体" w:hAnsi="宋体" w:eastAsia="宋体" w:cs="宋体"/>
          <w:bCs/>
          <w:sz w:val="24"/>
          <w:szCs w:val="24"/>
        </w:rPr>
      </w:pPr>
      <w:r>
        <w:rPr>
          <w:rFonts w:hint="eastAsia" w:ascii="宋体" w:hAnsi="宋体" w:eastAsia="宋体" w:cs="宋体"/>
          <w:color w:val="000000"/>
          <w:sz w:val="24"/>
        </w:rPr>
        <w:t xml:space="preserve">项目负责人情况一览表     </w:t>
      </w:r>
    </w:p>
    <w:p>
      <w:pPr>
        <w:spacing w:line="400" w:lineRule="exact"/>
        <w:rPr>
          <w:rFonts w:hint="eastAsia" w:ascii="宋体" w:hAnsi="宋体" w:eastAsia="宋体" w:cs="宋体"/>
          <w:color w:val="000000"/>
          <w:sz w:val="24"/>
        </w:rPr>
      </w:pPr>
      <w:r>
        <w:rPr>
          <w:rFonts w:hint="eastAsia" w:ascii="宋体" w:hAnsi="宋体" w:eastAsia="宋体" w:cs="宋体"/>
          <w:bCs/>
          <w:sz w:val="24"/>
          <w:szCs w:val="24"/>
        </w:rPr>
        <w:t>投标人名称（盖章）                         政府采购编号：</w:t>
      </w:r>
      <w:r>
        <w:rPr>
          <w:rFonts w:hint="eastAsia" w:ascii="宋体" w:hAnsi="宋体" w:cs="宋体"/>
          <w:bCs/>
          <w:sz w:val="24"/>
          <w:szCs w:val="24"/>
          <w:lang w:eastAsia="zh-CN"/>
        </w:rPr>
        <w:t>JSWXTCG2023-053</w:t>
      </w:r>
      <w:r>
        <w:rPr>
          <w:rFonts w:hint="eastAsia" w:ascii="宋体" w:hAnsi="宋体" w:eastAsia="宋体" w:cs="宋体"/>
          <w:color w:val="000000"/>
          <w:sz w:val="24"/>
        </w:rPr>
        <w:t xml:space="preserve">               </w:t>
      </w:r>
    </w:p>
    <w:tbl>
      <w:tblPr>
        <w:tblStyle w:val="2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8"/>
        <w:gridCol w:w="1851"/>
        <w:gridCol w:w="1329"/>
        <w:gridCol w:w="1065"/>
        <w:gridCol w:w="1083"/>
        <w:gridCol w:w="1254"/>
        <w:gridCol w:w="18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94" w:hRule="atLeast"/>
        </w:trPr>
        <w:tc>
          <w:tcPr>
            <w:tcW w:w="628" w:type="dxa"/>
            <w:vAlign w:val="center"/>
          </w:tcPr>
          <w:p>
            <w:pPr>
              <w:pStyle w:val="5"/>
              <w:overflowPunct w:val="0"/>
              <w:ind w:firstLine="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851" w:type="dxa"/>
            <w:vAlign w:val="center"/>
          </w:tcPr>
          <w:p>
            <w:pPr>
              <w:pStyle w:val="5"/>
              <w:overflowPunct w:val="0"/>
              <w:ind w:firstLine="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姓      名</w:t>
            </w:r>
          </w:p>
        </w:tc>
        <w:tc>
          <w:tcPr>
            <w:tcW w:w="2394" w:type="dxa"/>
            <w:gridSpan w:val="2"/>
            <w:vAlign w:val="center"/>
          </w:tcPr>
          <w:p>
            <w:pPr>
              <w:pStyle w:val="5"/>
              <w:overflowPunct w:val="0"/>
              <w:ind w:firstLine="0"/>
              <w:jc w:val="both"/>
              <w:rPr>
                <w:rFonts w:hint="eastAsia" w:ascii="宋体" w:hAnsi="宋体" w:eastAsia="宋体" w:cs="宋体"/>
                <w:color w:val="000000"/>
                <w:sz w:val="24"/>
                <w:szCs w:val="24"/>
              </w:rPr>
            </w:pPr>
          </w:p>
        </w:tc>
        <w:tc>
          <w:tcPr>
            <w:tcW w:w="1083" w:type="dxa"/>
            <w:vAlign w:val="center"/>
          </w:tcPr>
          <w:p>
            <w:pPr>
              <w:pStyle w:val="5"/>
              <w:overflowPunct w:val="0"/>
              <w:ind w:firstLine="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性   别</w:t>
            </w:r>
          </w:p>
        </w:tc>
        <w:tc>
          <w:tcPr>
            <w:tcW w:w="3072" w:type="dxa"/>
            <w:gridSpan w:val="2"/>
            <w:vAlign w:val="center"/>
          </w:tcPr>
          <w:p>
            <w:pPr>
              <w:pStyle w:val="5"/>
              <w:overflowPunct w:val="0"/>
              <w:ind w:firstLine="0"/>
              <w:jc w:val="both"/>
              <w:rPr>
                <w:rFonts w:hint="eastAsia" w:ascii="宋体" w:hAnsi="宋体" w:eastAsia="宋体" w:cs="宋体"/>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5" w:hRule="atLeast"/>
        </w:trPr>
        <w:tc>
          <w:tcPr>
            <w:tcW w:w="628" w:type="dxa"/>
            <w:vAlign w:val="center"/>
          </w:tcPr>
          <w:p>
            <w:pPr>
              <w:pStyle w:val="5"/>
              <w:overflowPunct w:val="0"/>
              <w:ind w:firstLine="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851" w:type="dxa"/>
            <w:vAlign w:val="center"/>
          </w:tcPr>
          <w:p>
            <w:pPr>
              <w:pStyle w:val="5"/>
              <w:overflowPunct w:val="0"/>
              <w:ind w:firstLine="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身份证号码</w:t>
            </w:r>
          </w:p>
        </w:tc>
        <w:tc>
          <w:tcPr>
            <w:tcW w:w="3477" w:type="dxa"/>
            <w:gridSpan w:val="3"/>
            <w:vAlign w:val="center"/>
          </w:tcPr>
          <w:p>
            <w:pPr>
              <w:pStyle w:val="5"/>
              <w:overflowPunct w:val="0"/>
              <w:ind w:firstLine="0"/>
              <w:jc w:val="both"/>
              <w:rPr>
                <w:rFonts w:hint="eastAsia" w:ascii="宋体" w:hAnsi="宋体" w:eastAsia="宋体" w:cs="宋体"/>
                <w:color w:val="000000"/>
                <w:sz w:val="24"/>
                <w:szCs w:val="24"/>
              </w:rPr>
            </w:pPr>
          </w:p>
        </w:tc>
        <w:tc>
          <w:tcPr>
            <w:tcW w:w="1254" w:type="dxa"/>
            <w:vAlign w:val="center"/>
          </w:tcPr>
          <w:p>
            <w:pPr>
              <w:pStyle w:val="5"/>
              <w:overflowPunct w:val="0"/>
              <w:ind w:firstLine="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出生年月</w:t>
            </w:r>
          </w:p>
        </w:tc>
        <w:tc>
          <w:tcPr>
            <w:tcW w:w="1818" w:type="dxa"/>
            <w:vAlign w:val="center"/>
          </w:tcPr>
          <w:p>
            <w:pPr>
              <w:pStyle w:val="5"/>
              <w:overflowPunct w:val="0"/>
              <w:ind w:firstLine="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年   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5" w:hRule="atLeast"/>
        </w:trPr>
        <w:tc>
          <w:tcPr>
            <w:tcW w:w="628" w:type="dxa"/>
            <w:vAlign w:val="center"/>
          </w:tcPr>
          <w:p>
            <w:pPr>
              <w:pStyle w:val="5"/>
              <w:overflowPunct w:val="0"/>
              <w:ind w:firstLine="0"/>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3180" w:type="dxa"/>
            <w:gridSpan w:val="2"/>
            <w:vAlign w:val="center"/>
          </w:tcPr>
          <w:p>
            <w:pPr>
              <w:pStyle w:val="5"/>
              <w:overflowPunct w:val="0"/>
              <w:ind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p>
        </w:tc>
        <w:tc>
          <w:tcPr>
            <w:tcW w:w="2148" w:type="dxa"/>
            <w:gridSpan w:val="2"/>
            <w:vAlign w:val="center"/>
          </w:tcPr>
          <w:p>
            <w:pPr>
              <w:pStyle w:val="5"/>
              <w:overflowPunct w:val="0"/>
              <w:ind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传真：</w:t>
            </w:r>
          </w:p>
        </w:tc>
        <w:tc>
          <w:tcPr>
            <w:tcW w:w="3072" w:type="dxa"/>
            <w:gridSpan w:val="2"/>
            <w:vAlign w:val="center"/>
          </w:tcPr>
          <w:p>
            <w:pPr>
              <w:pStyle w:val="5"/>
              <w:overflowPunct w:val="0"/>
              <w:ind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电子邮箱：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45" w:hRule="atLeast"/>
        </w:trPr>
        <w:tc>
          <w:tcPr>
            <w:tcW w:w="628" w:type="dxa"/>
            <w:vAlign w:val="center"/>
          </w:tcPr>
          <w:p>
            <w:pPr>
              <w:pStyle w:val="5"/>
              <w:overflowPunct w:val="0"/>
              <w:ind w:firstLine="0"/>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8400" w:type="dxa"/>
            <w:gridSpan w:val="6"/>
            <w:vAlign w:val="center"/>
          </w:tcPr>
          <w:p>
            <w:pPr>
              <w:pStyle w:val="5"/>
              <w:overflowPunct w:val="0"/>
              <w:ind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从事类似项目工作时间：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5" w:hRule="atLeast"/>
        </w:trPr>
        <w:tc>
          <w:tcPr>
            <w:tcW w:w="628" w:type="dxa"/>
            <w:vAlign w:val="center"/>
          </w:tcPr>
          <w:p>
            <w:pPr>
              <w:pStyle w:val="5"/>
              <w:overflowPunct w:val="0"/>
              <w:ind w:firstLine="0"/>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8400" w:type="dxa"/>
            <w:gridSpan w:val="6"/>
            <w:vAlign w:val="center"/>
          </w:tcPr>
          <w:p>
            <w:pPr>
              <w:pStyle w:val="5"/>
              <w:overflowPunct w:val="0"/>
              <w:ind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拥有的职称：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854" w:hRule="atLeast"/>
        </w:trPr>
        <w:tc>
          <w:tcPr>
            <w:tcW w:w="628" w:type="dxa"/>
            <w:vAlign w:val="center"/>
          </w:tcPr>
          <w:p>
            <w:pPr>
              <w:spacing w:line="360" w:lineRule="auto"/>
              <w:ind w:left="-2"/>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8400" w:type="dxa"/>
            <w:gridSpan w:val="6"/>
          </w:tcPr>
          <w:p>
            <w:pPr>
              <w:pStyle w:val="5"/>
              <w:overflowPunct w:val="0"/>
              <w:ind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曾获得的奖励情况：</w:t>
            </w:r>
          </w:p>
          <w:p>
            <w:pPr>
              <w:pStyle w:val="5"/>
              <w:overflowPunct w:val="0"/>
              <w:ind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1、____________________________________</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_</w:t>
            </w:r>
          </w:p>
          <w:p>
            <w:pPr>
              <w:pStyle w:val="5"/>
              <w:overflowPunct w:val="0"/>
              <w:ind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2、 __________________________________________</w:t>
            </w:r>
          </w:p>
          <w:p>
            <w:pPr>
              <w:pStyle w:val="5"/>
              <w:overflowPunct w:val="0"/>
              <w:ind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3、__________________________________________</w:t>
            </w:r>
          </w:p>
          <w:p>
            <w:pPr>
              <w:pStyle w:val="5"/>
              <w:overflowPunct w:val="0"/>
              <w:ind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w:t>
            </w:r>
          </w:p>
          <w:p>
            <w:pPr>
              <w:pStyle w:val="5"/>
              <w:overflowPunct w:val="0"/>
              <w:ind w:firstLine="0"/>
              <w:jc w:val="both"/>
              <w:rPr>
                <w:rFonts w:hint="eastAsia" w:ascii="宋体" w:hAnsi="宋体" w:eastAsia="宋体" w:cs="宋体"/>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33" w:hRule="atLeast"/>
        </w:trPr>
        <w:tc>
          <w:tcPr>
            <w:tcW w:w="628" w:type="dxa"/>
            <w:vAlign w:val="center"/>
          </w:tcPr>
          <w:p>
            <w:pPr>
              <w:spacing w:line="360" w:lineRule="auto"/>
              <w:ind w:left="-2"/>
              <w:jc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8400" w:type="dxa"/>
            <w:gridSpan w:val="6"/>
          </w:tcPr>
          <w:p>
            <w:pPr>
              <w:pStyle w:val="5"/>
              <w:overflowPunct w:val="0"/>
              <w:ind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本公司承诺：</w:t>
            </w:r>
          </w:p>
          <w:p>
            <w:pPr>
              <w:pStyle w:val="5"/>
              <w:overflowPunct w:val="0"/>
              <w:ind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该项目负责人在我单位已任职一年以上且在从业经历中没有任何违法、违规而被查处的不良记录。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6" w:hRule="atLeast"/>
        </w:trPr>
        <w:tc>
          <w:tcPr>
            <w:tcW w:w="628" w:type="dxa"/>
            <w:vAlign w:val="center"/>
          </w:tcPr>
          <w:p>
            <w:pPr>
              <w:spacing w:line="360" w:lineRule="auto"/>
              <w:ind w:left="-2"/>
              <w:jc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8400" w:type="dxa"/>
            <w:gridSpan w:val="6"/>
          </w:tcPr>
          <w:p>
            <w:pPr>
              <w:pStyle w:val="5"/>
              <w:overflowPunct w:val="0"/>
              <w:ind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其他需要说明的情况</w:t>
            </w:r>
          </w:p>
        </w:tc>
      </w:tr>
    </w:tbl>
    <w:p>
      <w:pPr>
        <w:spacing w:line="360" w:lineRule="auto"/>
        <w:ind w:firstLine="502"/>
        <w:rPr>
          <w:rFonts w:hint="eastAsia" w:ascii="宋体" w:hAnsi="宋体" w:eastAsia="宋体" w:cs="宋体"/>
          <w:color w:val="000000"/>
          <w:sz w:val="24"/>
        </w:rPr>
      </w:pPr>
      <w:r>
        <w:rPr>
          <w:rFonts w:hint="eastAsia" w:ascii="宋体" w:hAnsi="宋体" w:eastAsia="宋体" w:cs="宋体"/>
          <w:color w:val="000000"/>
          <w:sz w:val="24"/>
          <w:szCs w:val="24"/>
        </w:rPr>
        <w:t>备注：</w:t>
      </w:r>
      <w:r>
        <w:rPr>
          <w:rFonts w:hint="eastAsia" w:ascii="宋体" w:hAnsi="宋体" w:eastAsia="宋体" w:cs="宋体"/>
          <w:color w:val="000000"/>
          <w:sz w:val="24"/>
        </w:rPr>
        <w:t>投标人应在投标文件中明确本项目负责人的姓名、附资格证书复印件并提供缴纳社保证明材料。</w:t>
      </w:r>
    </w:p>
    <w:p>
      <w:pPr>
        <w:spacing w:line="360" w:lineRule="auto"/>
        <w:ind w:firstLine="502"/>
        <w:rPr>
          <w:rFonts w:hint="eastAsia" w:ascii="宋体" w:hAnsi="宋体" w:eastAsia="宋体" w:cs="宋体"/>
          <w:color w:val="000000"/>
          <w:sz w:val="24"/>
        </w:rPr>
      </w:pPr>
    </w:p>
    <w:p>
      <w:pPr>
        <w:rPr>
          <w:rFonts w:hint="eastAsia" w:ascii="宋体" w:hAnsi="宋体" w:eastAsia="宋体" w:cs="宋体"/>
          <w:color w:val="000000"/>
          <w:sz w:val="24"/>
          <w:szCs w:val="24"/>
        </w:rPr>
      </w:pPr>
      <w:r>
        <w:rPr>
          <w:rFonts w:hint="eastAsia" w:ascii="宋体" w:hAnsi="宋体" w:eastAsia="宋体" w:cs="宋体"/>
          <w:color w:val="000000"/>
          <w:sz w:val="24"/>
          <w:szCs w:val="24"/>
        </w:rPr>
        <w:t>投标单位：（单位盖章）</w:t>
      </w:r>
    </w:p>
    <w:p>
      <w:pPr>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法定代表人或代理人：（签字或盖章）</w:t>
      </w:r>
    </w:p>
    <w:p>
      <w:pPr>
        <w:rPr>
          <w:rFonts w:hint="eastAsia" w:ascii="宋体" w:hAnsi="宋体" w:eastAsia="宋体" w:cs="宋体"/>
          <w:color w:val="000000"/>
          <w:sz w:val="24"/>
          <w:szCs w:val="24"/>
        </w:rPr>
      </w:pPr>
      <w:r>
        <w:rPr>
          <w:rFonts w:hint="eastAsia" w:ascii="宋体" w:hAnsi="宋体" w:eastAsia="宋体" w:cs="宋体"/>
          <w:color w:val="000000"/>
          <w:sz w:val="24"/>
          <w:szCs w:val="24"/>
        </w:rPr>
        <w:t>日期：         年         月       日</w:t>
      </w:r>
    </w:p>
    <w:p>
      <w:pPr>
        <w:pStyle w:val="9"/>
        <w:spacing w:after="240"/>
        <w:jc w:val="center"/>
        <w:rPr>
          <w:rFonts w:hint="eastAsia" w:ascii="宋体" w:hAnsi="宋体" w:eastAsia="宋体" w:cs="宋体"/>
          <w:b/>
          <w:sz w:val="24"/>
          <w:szCs w:val="24"/>
        </w:rPr>
      </w:pPr>
    </w:p>
    <w:p>
      <w:pPr>
        <w:pStyle w:val="9"/>
        <w:spacing w:after="240"/>
        <w:jc w:val="center"/>
        <w:rPr>
          <w:rFonts w:hint="eastAsia" w:ascii="宋体" w:hAnsi="宋体" w:eastAsia="宋体" w:cs="宋体"/>
          <w:sz w:val="24"/>
          <w:szCs w:val="24"/>
        </w:rPr>
      </w:pPr>
      <w:r>
        <w:rPr>
          <w:rFonts w:hint="eastAsia" w:ascii="宋体" w:hAnsi="宋体" w:eastAsia="宋体" w:cs="宋体"/>
          <w:b/>
          <w:sz w:val="24"/>
          <w:szCs w:val="24"/>
        </w:rPr>
        <w:br w:type="page"/>
      </w:r>
      <w:r>
        <w:rPr>
          <w:rFonts w:hint="eastAsia" w:ascii="宋体" w:hAnsi="宋体" w:eastAsia="宋体" w:cs="宋体"/>
          <w:b/>
          <w:sz w:val="24"/>
          <w:szCs w:val="24"/>
        </w:rPr>
        <w:t>（2）人员配置表（格式）</w:t>
      </w:r>
    </w:p>
    <w:p>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人员配置表</w:t>
      </w:r>
    </w:p>
    <w:p>
      <w:pPr>
        <w:spacing w:line="400" w:lineRule="exact"/>
        <w:jc w:val="center"/>
        <w:rPr>
          <w:rFonts w:hint="eastAsia" w:ascii="宋体" w:hAnsi="宋体" w:eastAsia="宋体" w:cs="宋体"/>
          <w:bCs/>
          <w:sz w:val="24"/>
          <w:szCs w:val="24"/>
        </w:rPr>
      </w:pPr>
    </w:p>
    <w:p>
      <w:pPr>
        <w:spacing w:line="400" w:lineRule="exact"/>
        <w:rPr>
          <w:rFonts w:hint="eastAsia" w:ascii="宋体" w:hAnsi="宋体" w:eastAsia="宋体" w:cs="宋体"/>
          <w:bCs/>
          <w:sz w:val="24"/>
          <w:szCs w:val="24"/>
          <w:lang w:eastAsia="zh-CN"/>
        </w:rPr>
      </w:pPr>
      <w:r>
        <w:rPr>
          <w:rFonts w:hint="eastAsia" w:ascii="宋体" w:hAnsi="宋体" w:eastAsia="宋体" w:cs="宋体"/>
          <w:bCs/>
          <w:sz w:val="24"/>
          <w:szCs w:val="24"/>
        </w:rPr>
        <w:t>投标人名称（盖章）                         政府采购编号：</w:t>
      </w:r>
      <w:r>
        <w:rPr>
          <w:rFonts w:hint="eastAsia" w:ascii="宋体" w:hAnsi="宋体" w:cs="宋体"/>
          <w:bCs/>
          <w:sz w:val="24"/>
          <w:szCs w:val="24"/>
          <w:lang w:eastAsia="zh-CN"/>
        </w:rPr>
        <w:t>JSWXTCG2023-053</w:t>
      </w:r>
    </w:p>
    <w:p>
      <w:pPr>
        <w:spacing w:line="400" w:lineRule="exact"/>
        <w:ind w:left="720" w:hanging="720" w:hangingChars="300"/>
        <w:rPr>
          <w:rFonts w:hint="eastAsia" w:ascii="宋体" w:hAnsi="宋体" w:eastAsia="宋体" w:cs="宋体"/>
          <w:bCs/>
          <w:sz w:val="24"/>
          <w:szCs w:val="24"/>
        </w:rPr>
      </w:pPr>
      <w:r>
        <w:rPr>
          <w:rFonts w:hint="eastAsia" w:ascii="宋体" w:hAnsi="宋体" w:eastAsia="宋体" w:cs="宋体"/>
          <w:bCs/>
          <w:sz w:val="24"/>
          <w:szCs w:val="24"/>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004"/>
        <w:gridCol w:w="753"/>
        <w:gridCol w:w="1757"/>
        <w:gridCol w:w="753"/>
        <w:gridCol w:w="753"/>
        <w:gridCol w:w="753"/>
        <w:gridCol w:w="1255"/>
        <w:gridCol w:w="753"/>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10"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1004"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姓名</w:t>
            </w:r>
          </w:p>
        </w:tc>
        <w:tc>
          <w:tcPr>
            <w:tcW w:w="753"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岗位</w:t>
            </w:r>
          </w:p>
        </w:tc>
        <w:tc>
          <w:tcPr>
            <w:tcW w:w="1757"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rPr>
              <w:t>身份证号码</w:t>
            </w:r>
          </w:p>
        </w:tc>
        <w:tc>
          <w:tcPr>
            <w:tcW w:w="753"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年龄</w:t>
            </w:r>
          </w:p>
        </w:tc>
        <w:tc>
          <w:tcPr>
            <w:tcW w:w="753"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性别</w:t>
            </w:r>
          </w:p>
        </w:tc>
        <w:tc>
          <w:tcPr>
            <w:tcW w:w="753"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学历</w:t>
            </w:r>
          </w:p>
        </w:tc>
        <w:tc>
          <w:tcPr>
            <w:tcW w:w="1255"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所学专业</w:t>
            </w:r>
          </w:p>
        </w:tc>
        <w:tc>
          <w:tcPr>
            <w:tcW w:w="753"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职称</w:t>
            </w:r>
          </w:p>
        </w:tc>
        <w:tc>
          <w:tcPr>
            <w:tcW w:w="1255"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持证情况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10"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004" w:type="dxa"/>
            <w:vAlign w:val="center"/>
          </w:tcPr>
          <w:p>
            <w:pPr>
              <w:jc w:val="center"/>
              <w:rPr>
                <w:rFonts w:hint="eastAsia" w:ascii="宋体" w:hAnsi="宋体" w:eastAsia="宋体" w:cs="宋体"/>
                <w:color w:val="000000"/>
                <w:sz w:val="24"/>
                <w:szCs w:val="24"/>
              </w:rPr>
            </w:pPr>
          </w:p>
        </w:tc>
        <w:tc>
          <w:tcPr>
            <w:tcW w:w="753" w:type="dxa"/>
            <w:vAlign w:val="center"/>
          </w:tcPr>
          <w:p>
            <w:pPr>
              <w:jc w:val="center"/>
              <w:rPr>
                <w:rFonts w:hint="eastAsia" w:ascii="宋体" w:hAnsi="宋体" w:eastAsia="宋体" w:cs="宋体"/>
                <w:color w:val="000000"/>
                <w:sz w:val="24"/>
                <w:szCs w:val="24"/>
              </w:rPr>
            </w:pPr>
          </w:p>
        </w:tc>
        <w:tc>
          <w:tcPr>
            <w:tcW w:w="1757" w:type="dxa"/>
            <w:vAlign w:val="center"/>
          </w:tcPr>
          <w:p>
            <w:pPr>
              <w:jc w:val="center"/>
              <w:rPr>
                <w:rFonts w:hint="eastAsia" w:ascii="宋体" w:hAnsi="宋体" w:eastAsia="宋体" w:cs="宋体"/>
                <w:color w:val="000000"/>
                <w:sz w:val="24"/>
                <w:szCs w:val="24"/>
              </w:rPr>
            </w:pPr>
          </w:p>
        </w:tc>
        <w:tc>
          <w:tcPr>
            <w:tcW w:w="753" w:type="dxa"/>
            <w:vAlign w:val="center"/>
          </w:tcPr>
          <w:p>
            <w:pPr>
              <w:jc w:val="center"/>
              <w:rPr>
                <w:rFonts w:hint="eastAsia" w:ascii="宋体" w:hAnsi="宋体" w:eastAsia="宋体" w:cs="宋体"/>
                <w:color w:val="000000"/>
                <w:sz w:val="24"/>
                <w:szCs w:val="24"/>
              </w:rPr>
            </w:pPr>
          </w:p>
        </w:tc>
        <w:tc>
          <w:tcPr>
            <w:tcW w:w="753" w:type="dxa"/>
            <w:vAlign w:val="center"/>
          </w:tcPr>
          <w:p>
            <w:pPr>
              <w:jc w:val="center"/>
              <w:rPr>
                <w:rFonts w:hint="eastAsia" w:ascii="宋体" w:hAnsi="宋体" w:eastAsia="宋体" w:cs="宋体"/>
                <w:color w:val="000000"/>
                <w:sz w:val="24"/>
                <w:szCs w:val="24"/>
              </w:rPr>
            </w:pPr>
          </w:p>
        </w:tc>
        <w:tc>
          <w:tcPr>
            <w:tcW w:w="753" w:type="dxa"/>
            <w:vAlign w:val="center"/>
          </w:tcPr>
          <w:p>
            <w:pPr>
              <w:jc w:val="center"/>
              <w:rPr>
                <w:rFonts w:hint="eastAsia" w:ascii="宋体" w:hAnsi="宋体" w:eastAsia="宋体" w:cs="宋体"/>
                <w:color w:val="000000"/>
                <w:sz w:val="24"/>
                <w:szCs w:val="24"/>
              </w:rPr>
            </w:pPr>
          </w:p>
        </w:tc>
        <w:tc>
          <w:tcPr>
            <w:tcW w:w="1255" w:type="dxa"/>
            <w:vAlign w:val="center"/>
          </w:tcPr>
          <w:p>
            <w:pPr>
              <w:jc w:val="center"/>
              <w:rPr>
                <w:rFonts w:hint="eastAsia" w:ascii="宋体" w:hAnsi="宋体" w:eastAsia="宋体" w:cs="宋体"/>
                <w:color w:val="000000"/>
                <w:sz w:val="24"/>
                <w:szCs w:val="24"/>
              </w:rPr>
            </w:pPr>
          </w:p>
        </w:tc>
        <w:tc>
          <w:tcPr>
            <w:tcW w:w="753" w:type="dxa"/>
            <w:vAlign w:val="center"/>
          </w:tcPr>
          <w:p>
            <w:pPr>
              <w:jc w:val="center"/>
              <w:rPr>
                <w:rFonts w:hint="eastAsia" w:ascii="宋体" w:hAnsi="宋体" w:eastAsia="宋体" w:cs="宋体"/>
                <w:color w:val="000000"/>
                <w:sz w:val="24"/>
                <w:szCs w:val="24"/>
              </w:rPr>
            </w:pPr>
          </w:p>
        </w:tc>
        <w:tc>
          <w:tcPr>
            <w:tcW w:w="1255" w:type="dxa"/>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10"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004" w:type="dxa"/>
            <w:vAlign w:val="center"/>
          </w:tcPr>
          <w:p>
            <w:pPr>
              <w:jc w:val="center"/>
              <w:rPr>
                <w:rFonts w:hint="eastAsia" w:ascii="宋体" w:hAnsi="宋体" w:eastAsia="宋体" w:cs="宋体"/>
                <w:color w:val="000000"/>
                <w:sz w:val="24"/>
                <w:szCs w:val="24"/>
              </w:rPr>
            </w:pPr>
          </w:p>
        </w:tc>
        <w:tc>
          <w:tcPr>
            <w:tcW w:w="753" w:type="dxa"/>
            <w:vAlign w:val="center"/>
          </w:tcPr>
          <w:p>
            <w:pPr>
              <w:jc w:val="center"/>
              <w:rPr>
                <w:rFonts w:hint="eastAsia" w:ascii="宋体" w:hAnsi="宋体" w:eastAsia="宋体" w:cs="宋体"/>
                <w:color w:val="000000"/>
                <w:sz w:val="24"/>
                <w:szCs w:val="24"/>
              </w:rPr>
            </w:pPr>
          </w:p>
        </w:tc>
        <w:tc>
          <w:tcPr>
            <w:tcW w:w="1757" w:type="dxa"/>
            <w:vAlign w:val="center"/>
          </w:tcPr>
          <w:p>
            <w:pPr>
              <w:jc w:val="center"/>
              <w:rPr>
                <w:rFonts w:hint="eastAsia" w:ascii="宋体" w:hAnsi="宋体" w:eastAsia="宋体" w:cs="宋体"/>
                <w:color w:val="000000"/>
                <w:sz w:val="24"/>
                <w:szCs w:val="24"/>
              </w:rPr>
            </w:pPr>
          </w:p>
        </w:tc>
        <w:tc>
          <w:tcPr>
            <w:tcW w:w="753" w:type="dxa"/>
            <w:vAlign w:val="center"/>
          </w:tcPr>
          <w:p>
            <w:pPr>
              <w:jc w:val="center"/>
              <w:rPr>
                <w:rFonts w:hint="eastAsia" w:ascii="宋体" w:hAnsi="宋体" w:eastAsia="宋体" w:cs="宋体"/>
                <w:color w:val="000000"/>
                <w:sz w:val="24"/>
                <w:szCs w:val="24"/>
              </w:rPr>
            </w:pPr>
          </w:p>
        </w:tc>
        <w:tc>
          <w:tcPr>
            <w:tcW w:w="753" w:type="dxa"/>
            <w:vAlign w:val="center"/>
          </w:tcPr>
          <w:p>
            <w:pPr>
              <w:jc w:val="center"/>
              <w:rPr>
                <w:rFonts w:hint="eastAsia" w:ascii="宋体" w:hAnsi="宋体" w:eastAsia="宋体" w:cs="宋体"/>
                <w:color w:val="000000"/>
                <w:sz w:val="24"/>
                <w:szCs w:val="24"/>
              </w:rPr>
            </w:pPr>
          </w:p>
        </w:tc>
        <w:tc>
          <w:tcPr>
            <w:tcW w:w="753" w:type="dxa"/>
            <w:vAlign w:val="center"/>
          </w:tcPr>
          <w:p>
            <w:pPr>
              <w:jc w:val="center"/>
              <w:rPr>
                <w:rFonts w:hint="eastAsia" w:ascii="宋体" w:hAnsi="宋体" w:eastAsia="宋体" w:cs="宋体"/>
                <w:color w:val="000000"/>
                <w:sz w:val="24"/>
                <w:szCs w:val="24"/>
              </w:rPr>
            </w:pPr>
          </w:p>
        </w:tc>
        <w:tc>
          <w:tcPr>
            <w:tcW w:w="1255" w:type="dxa"/>
            <w:vAlign w:val="center"/>
          </w:tcPr>
          <w:p>
            <w:pPr>
              <w:jc w:val="center"/>
              <w:rPr>
                <w:rFonts w:hint="eastAsia" w:ascii="宋体" w:hAnsi="宋体" w:eastAsia="宋体" w:cs="宋体"/>
                <w:color w:val="000000"/>
                <w:sz w:val="24"/>
                <w:szCs w:val="24"/>
              </w:rPr>
            </w:pPr>
          </w:p>
        </w:tc>
        <w:tc>
          <w:tcPr>
            <w:tcW w:w="753" w:type="dxa"/>
            <w:vAlign w:val="center"/>
          </w:tcPr>
          <w:p>
            <w:pPr>
              <w:jc w:val="center"/>
              <w:rPr>
                <w:rFonts w:hint="eastAsia" w:ascii="宋体" w:hAnsi="宋体" w:eastAsia="宋体" w:cs="宋体"/>
                <w:color w:val="000000"/>
                <w:sz w:val="24"/>
                <w:szCs w:val="24"/>
              </w:rPr>
            </w:pPr>
          </w:p>
        </w:tc>
        <w:tc>
          <w:tcPr>
            <w:tcW w:w="1255" w:type="dxa"/>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10"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004" w:type="dxa"/>
            <w:vAlign w:val="center"/>
          </w:tcPr>
          <w:p>
            <w:pPr>
              <w:jc w:val="center"/>
              <w:rPr>
                <w:rFonts w:hint="eastAsia" w:ascii="宋体" w:hAnsi="宋体" w:eastAsia="宋体" w:cs="宋体"/>
                <w:color w:val="000000"/>
                <w:sz w:val="24"/>
                <w:szCs w:val="24"/>
              </w:rPr>
            </w:pPr>
          </w:p>
        </w:tc>
        <w:tc>
          <w:tcPr>
            <w:tcW w:w="753" w:type="dxa"/>
            <w:vAlign w:val="center"/>
          </w:tcPr>
          <w:p>
            <w:pPr>
              <w:jc w:val="center"/>
              <w:rPr>
                <w:rFonts w:hint="eastAsia" w:ascii="宋体" w:hAnsi="宋体" w:eastAsia="宋体" w:cs="宋体"/>
                <w:color w:val="000000"/>
                <w:sz w:val="24"/>
                <w:szCs w:val="24"/>
              </w:rPr>
            </w:pPr>
          </w:p>
        </w:tc>
        <w:tc>
          <w:tcPr>
            <w:tcW w:w="1757" w:type="dxa"/>
            <w:vAlign w:val="center"/>
          </w:tcPr>
          <w:p>
            <w:pPr>
              <w:jc w:val="center"/>
              <w:rPr>
                <w:rFonts w:hint="eastAsia" w:ascii="宋体" w:hAnsi="宋体" w:eastAsia="宋体" w:cs="宋体"/>
                <w:color w:val="000000"/>
                <w:sz w:val="24"/>
                <w:szCs w:val="24"/>
              </w:rPr>
            </w:pPr>
          </w:p>
        </w:tc>
        <w:tc>
          <w:tcPr>
            <w:tcW w:w="753" w:type="dxa"/>
            <w:vAlign w:val="center"/>
          </w:tcPr>
          <w:p>
            <w:pPr>
              <w:jc w:val="center"/>
              <w:rPr>
                <w:rFonts w:hint="eastAsia" w:ascii="宋体" w:hAnsi="宋体" w:eastAsia="宋体" w:cs="宋体"/>
                <w:color w:val="000000"/>
                <w:sz w:val="24"/>
                <w:szCs w:val="24"/>
              </w:rPr>
            </w:pPr>
          </w:p>
        </w:tc>
        <w:tc>
          <w:tcPr>
            <w:tcW w:w="753" w:type="dxa"/>
            <w:vAlign w:val="center"/>
          </w:tcPr>
          <w:p>
            <w:pPr>
              <w:jc w:val="center"/>
              <w:rPr>
                <w:rFonts w:hint="eastAsia" w:ascii="宋体" w:hAnsi="宋体" w:eastAsia="宋体" w:cs="宋体"/>
                <w:color w:val="000000"/>
                <w:sz w:val="24"/>
                <w:szCs w:val="24"/>
              </w:rPr>
            </w:pPr>
          </w:p>
        </w:tc>
        <w:tc>
          <w:tcPr>
            <w:tcW w:w="753" w:type="dxa"/>
            <w:vAlign w:val="center"/>
          </w:tcPr>
          <w:p>
            <w:pPr>
              <w:jc w:val="center"/>
              <w:rPr>
                <w:rFonts w:hint="eastAsia" w:ascii="宋体" w:hAnsi="宋体" w:eastAsia="宋体" w:cs="宋体"/>
                <w:color w:val="000000"/>
                <w:sz w:val="24"/>
                <w:szCs w:val="24"/>
              </w:rPr>
            </w:pPr>
          </w:p>
        </w:tc>
        <w:tc>
          <w:tcPr>
            <w:tcW w:w="1255" w:type="dxa"/>
            <w:vAlign w:val="center"/>
          </w:tcPr>
          <w:p>
            <w:pPr>
              <w:jc w:val="center"/>
              <w:rPr>
                <w:rFonts w:hint="eastAsia" w:ascii="宋体" w:hAnsi="宋体" w:eastAsia="宋体" w:cs="宋体"/>
                <w:color w:val="000000"/>
                <w:sz w:val="24"/>
                <w:szCs w:val="24"/>
              </w:rPr>
            </w:pPr>
          </w:p>
        </w:tc>
        <w:tc>
          <w:tcPr>
            <w:tcW w:w="753" w:type="dxa"/>
            <w:vAlign w:val="center"/>
          </w:tcPr>
          <w:p>
            <w:pPr>
              <w:jc w:val="center"/>
              <w:rPr>
                <w:rFonts w:hint="eastAsia" w:ascii="宋体" w:hAnsi="宋体" w:eastAsia="宋体" w:cs="宋体"/>
                <w:color w:val="000000"/>
                <w:sz w:val="24"/>
                <w:szCs w:val="24"/>
              </w:rPr>
            </w:pPr>
          </w:p>
        </w:tc>
        <w:tc>
          <w:tcPr>
            <w:tcW w:w="1255" w:type="dxa"/>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10"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1004" w:type="dxa"/>
            <w:vAlign w:val="center"/>
          </w:tcPr>
          <w:p>
            <w:pPr>
              <w:jc w:val="center"/>
              <w:rPr>
                <w:rFonts w:hint="eastAsia" w:ascii="宋体" w:hAnsi="宋体" w:eastAsia="宋体" w:cs="宋体"/>
                <w:color w:val="000000"/>
                <w:sz w:val="24"/>
                <w:szCs w:val="24"/>
              </w:rPr>
            </w:pPr>
          </w:p>
        </w:tc>
        <w:tc>
          <w:tcPr>
            <w:tcW w:w="753" w:type="dxa"/>
            <w:vAlign w:val="center"/>
          </w:tcPr>
          <w:p>
            <w:pPr>
              <w:jc w:val="center"/>
              <w:rPr>
                <w:rFonts w:hint="eastAsia" w:ascii="宋体" w:hAnsi="宋体" w:eastAsia="宋体" w:cs="宋体"/>
                <w:color w:val="000000"/>
                <w:sz w:val="24"/>
                <w:szCs w:val="24"/>
              </w:rPr>
            </w:pPr>
          </w:p>
        </w:tc>
        <w:tc>
          <w:tcPr>
            <w:tcW w:w="1757" w:type="dxa"/>
            <w:vAlign w:val="center"/>
          </w:tcPr>
          <w:p>
            <w:pPr>
              <w:jc w:val="center"/>
              <w:rPr>
                <w:rFonts w:hint="eastAsia" w:ascii="宋体" w:hAnsi="宋体" w:eastAsia="宋体" w:cs="宋体"/>
                <w:color w:val="000000"/>
                <w:sz w:val="24"/>
                <w:szCs w:val="24"/>
              </w:rPr>
            </w:pPr>
          </w:p>
        </w:tc>
        <w:tc>
          <w:tcPr>
            <w:tcW w:w="753" w:type="dxa"/>
            <w:vAlign w:val="center"/>
          </w:tcPr>
          <w:p>
            <w:pPr>
              <w:jc w:val="center"/>
              <w:rPr>
                <w:rFonts w:hint="eastAsia" w:ascii="宋体" w:hAnsi="宋体" w:eastAsia="宋体" w:cs="宋体"/>
                <w:color w:val="000000"/>
                <w:sz w:val="24"/>
                <w:szCs w:val="24"/>
              </w:rPr>
            </w:pPr>
          </w:p>
        </w:tc>
        <w:tc>
          <w:tcPr>
            <w:tcW w:w="753" w:type="dxa"/>
            <w:vAlign w:val="center"/>
          </w:tcPr>
          <w:p>
            <w:pPr>
              <w:jc w:val="center"/>
              <w:rPr>
                <w:rFonts w:hint="eastAsia" w:ascii="宋体" w:hAnsi="宋体" w:eastAsia="宋体" w:cs="宋体"/>
                <w:color w:val="000000"/>
                <w:sz w:val="24"/>
                <w:szCs w:val="24"/>
              </w:rPr>
            </w:pPr>
          </w:p>
        </w:tc>
        <w:tc>
          <w:tcPr>
            <w:tcW w:w="753" w:type="dxa"/>
            <w:vAlign w:val="center"/>
          </w:tcPr>
          <w:p>
            <w:pPr>
              <w:jc w:val="center"/>
              <w:rPr>
                <w:rFonts w:hint="eastAsia" w:ascii="宋体" w:hAnsi="宋体" w:eastAsia="宋体" w:cs="宋体"/>
                <w:color w:val="000000"/>
                <w:sz w:val="24"/>
                <w:szCs w:val="24"/>
              </w:rPr>
            </w:pPr>
          </w:p>
        </w:tc>
        <w:tc>
          <w:tcPr>
            <w:tcW w:w="1255" w:type="dxa"/>
            <w:vAlign w:val="center"/>
          </w:tcPr>
          <w:p>
            <w:pPr>
              <w:jc w:val="center"/>
              <w:rPr>
                <w:rFonts w:hint="eastAsia" w:ascii="宋体" w:hAnsi="宋体" w:eastAsia="宋体" w:cs="宋体"/>
                <w:color w:val="000000"/>
                <w:sz w:val="24"/>
                <w:szCs w:val="24"/>
              </w:rPr>
            </w:pPr>
          </w:p>
        </w:tc>
        <w:tc>
          <w:tcPr>
            <w:tcW w:w="753" w:type="dxa"/>
            <w:vAlign w:val="center"/>
          </w:tcPr>
          <w:p>
            <w:pPr>
              <w:jc w:val="center"/>
              <w:rPr>
                <w:rFonts w:hint="eastAsia" w:ascii="宋体" w:hAnsi="宋体" w:eastAsia="宋体" w:cs="宋体"/>
                <w:color w:val="000000"/>
                <w:sz w:val="24"/>
                <w:szCs w:val="24"/>
              </w:rPr>
            </w:pPr>
          </w:p>
        </w:tc>
        <w:tc>
          <w:tcPr>
            <w:tcW w:w="1255" w:type="dxa"/>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10"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1004" w:type="dxa"/>
            <w:vAlign w:val="center"/>
          </w:tcPr>
          <w:p>
            <w:pPr>
              <w:jc w:val="center"/>
              <w:rPr>
                <w:rFonts w:hint="eastAsia" w:ascii="宋体" w:hAnsi="宋体" w:eastAsia="宋体" w:cs="宋体"/>
                <w:color w:val="000000"/>
                <w:sz w:val="24"/>
                <w:szCs w:val="24"/>
              </w:rPr>
            </w:pPr>
          </w:p>
        </w:tc>
        <w:tc>
          <w:tcPr>
            <w:tcW w:w="753" w:type="dxa"/>
            <w:vAlign w:val="center"/>
          </w:tcPr>
          <w:p>
            <w:pPr>
              <w:jc w:val="center"/>
              <w:rPr>
                <w:rFonts w:hint="eastAsia" w:ascii="宋体" w:hAnsi="宋体" w:eastAsia="宋体" w:cs="宋体"/>
                <w:color w:val="000000"/>
                <w:sz w:val="24"/>
                <w:szCs w:val="24"/>
              </w:rPr>
            </w:pPr>
          </w:p>
        </w:tc>
        <w:tc>
          <w:tcPr>
            <w:tcW w:w="1757" w:type="dxa"/>
            <w:vAlign w:val="center"/>
          </w:tcPr>
          <w:p>
            <w:pPr>
              <w:jc w:val="center"/>
              <w:rPr>
                <w:rFonts w:hint="eastAsia" w:ascii="宋体" w:hAnsi="宋体" w:eastAsia="宋体" w:cs="宋体"/>
                <w:color w:val="000000"/>
                <w:sz w:val="24"/>
                <w:szCs w:val="24"/>
              </w:rPr>
            </w:pPr>
          </w:p>
        </w:tc>
        <w:tc>
          <w:tcPr>
            <w:tcW w:w="753" w:type="dxa"/>
            <w:vAlign w:val="center"/>
          </w:tcPr>
          <w:p>
            <w:pPr>
              <w:jc w:val="center"/>
              <w:rPr>
                <w:rFonts w:hint="eastAsia" w:ascii="宋体" w:hAnsi="宋体" w:eastAsia="宋体" w:cs="宋体"/>
                <w:color w:val="000000"/>
                <w:sz w:val="24"/>
                <w:szCs w:val="24"/>
              </w:rPr>
            </w:pPr>
          </w:p>
        </w:tc>
        <w:tc>
          <w:tcPr>
            <w:tcW w:w="753" w:type="dxa"/>
            <w:vAlign w:val="center"/>
          </w:tcPr>
          <w:p>
            <w:pPr>
              <w:jc w:val="center"/>
              <w:rPr>
                <w:rFonts w:hint="eastAsia" w:ascii="宋体" w:hAnsi="宋体" w:eastAsia="宋体" w:cs="宋体"/>
                <w:color w:val="000000"/>
                <w:sz w:val="24"/>
                <w:szCs w:val="24"/>
              </w:rPr>
            </w:pPr>
          </w:p>
        </w:tc>
        <w:tc>
          <w:tcPr>
            <w:tcW w:w="753" w:type="dxa"/>
            <w:vAlign w:val="center"/>
          </w:tcPr>
          <w:p>
            <w:pPr>
              <w:jc w:val="center"/>
              <w:rPr>
                <w:rFonts w:hint="eastAsia" w:ascii="宋体" w:hAnsi="宋体" w:eastAsia="宋体" w:cs="宋体"/>
                <w:color w:val="000000"/>
                <w:sz w:val="24"/>
                <w:szCs w:val="24"/>
              </w:rPr>
            </w:pPr>
          </w:p>
        </w:tc>
        <w:tc>
          <w:tcPr>
            <w:tcW w:w="1255" w:type="dxa"/>
            <w:vAlign w:val="center"/>
          </w:tcPr>
          <w:p>
            <w:pPr>
              <w:jc w:val="center"/>
              <w:rPr>
                <w:rFonts w:hint="eastAsia" w:ascii="宋体" w:hAnsi="宋体" w:eastAsia="宋体" w:cs="宋体"/>
                <w:color w:val="000000"/>
                <w:sz w:val="24"/>
                <w:szCs w:val="24"/>
              </w:rPr>
            </w:pPr>
          </w:p>
        </w:tc>
        <w:tc>
          <w:tcPr>
            <w:tcW w:w="753" w:type="dxa"/>
            <w:vAlign w:val="center"/>
          </w:tcPr>
          <w:p>
            <w:pPr>
              <w:jc w:val="center"/>
              <w:rPr>
                <w:rFonts w:hint="eastAsia" w:ascii="宋体" w:hAnsi="宋体" w:eastAsia="宋体" w:cs="宋体"/>
                <w:color w:val="000000"/>
                <w:sz w:val="24"/>
                <w:szCs w:val="24"/>
              </w:rPr>
            </w:pPr>
          </w:p>
        </w:tc>
        <w:tc>
          <w:tcPr>
            <w:tcW w:w="1255" w:type="dxa"/>
          </w:tcPr>
          <w:p>
            <w:pPr>
              <w:jc w:val="center"/>
              <w:rPr>
                <w:rFonts w:hint="eastAsia" w:ascii="宋体" w:hAnsi="宋体" w:eastAsia="宋体" w:cs="宋体"/>
                <w:color w:val="000000"/>
                <w:sz w:val="24"/>
                <w:szCs w:val="24"/>
              </w:rPr>
            </w:pPr>
          </w:p>
        </w:tc>
      </w:tr>
    </w:tbl>
    <w:p>
      <w:pPr>
        <w:rPr>
          <w:rFonts w:hint="eastAsia" w:ascii="宋体" w:hAnsi="宋体" w:eastAsia="宋体" w:cs="宋体"/>
          <w:b/>
          <w:bCs/>
          <w:sz w:val="24"/>
          <w:szCs w:val="24"/>
        </w:rPr>
      </w:pPr>
      <w:r>
        <w:rPr>
          <w:rFonts w:hint="eastAsia" w:ascii="宋体" w:hAnsi="宋体" w:eastAsia="宋体" w:cs="宋体"/>
          <w:b/>
          <w:bCs/>
          <w:sz w:val="24"/>
          <w:szCs w:val="24"/>
        </w:rPr>
        <w:t>法定代表人或法定代表人授权代表签字或盖章：</w:t>
      </w:r>
    </w:p>
    <w:p>
      <w:pPr>
        <w:spacing w:line="400" w:lineRule="exact"/>
        <w:rPr>
          <w:rFonts w:hint="eastAsia" w:ascii="宋体" w:hAnsi="宋体" w:eastAsia="宋体" w:cs="宋体"/>
          <w:bCs/>
          <w:sz w:val="24"/>
          <w:szCs w:val="24"/>
        </w:rPr>
      </w:pPr>
    </w:p>
    <w:p>
      <w:pPr>
        <w:pStyle w:val="57"/>
        <w:jc w:val="left"/>
        <w:rPr>
          <w:rFonts w:hint="eastAsia" w:ascii="宋体" w:hAnsi="宋体" w:eastAsia="宋体" w:cs="宋体"/>
          <w:sz w:val="24"/>
          <w:szCs w:val="24"/>
        </w:rPr>
      </w:pPr>
      <w:r>
        <w:rPr>
          <w:rFonts w:hint="eastAsia" w:ascii="宋体" w:hAnsi="宋体" w:eastAsia="宋体" w:cs="宋体"/>
          <w:sz w:val="24"/>
          <w:szCs w:val="24"/>
        </w:rPr>
        <w:t>注：1、</w:t>
      </w:r>
      <w:r>
        <w:rPr>
          <w:rFonts w:hint="eastAsia" w:ascii="宋体" w:hAnsi="宋体" w:eastAsia="宋体" w:cs="宋体"/>
          <w:bCs/>
          <w:sz w:val="24"/>
          <w:szCs w:val="24"/>
        </w:rPr>
        <w:t>上表可自行延长。</w:t>
      </w:r>
    </w:p>
    <w:p>
      <w:pPr>
        <w:pStyle w:val="57"/>
        <w:ind w:firstLine="420"/>
        <w:jc w:val="left"/>
        <w:rPr>
          <w:rFonts w:hint="eastAsia" w:ascii="宋体" w:hAnsi="宋体" w:eastAsia="宋体" w:cs="宋体"/>
          <w:bCs/>
          <w:sz w:val="24"/>
          <w:szCs w:val="24"/>
        </w:rPr>
      </w:pPr>
      <w:r>
        <w:rPr>
          <w:rFonts w:hint="eastAsia" w:ascii="宋体" w:hAnsi="宋体" w:eastAsia="宋体" w:cs="宋体"/>
          <w:sz w:val="24"/>
          <w:szCs w:val="24"/>
        </w:rPr>
        <w:t>2、相关人员按照招标文件要求提供并附在本表之后。</w:t>
      </w:r>
    </w:p>
    <w:p>
      <w:pPr>
        <w:spacing w:line="540" w:lineRule="exact"/>
        <w:rPr>
          <w:rFonts w:hint="eastAsia" w:ascii="宋体" w:hAnsi="宋体" w:eastAsia="宋体" w:cs="宋体"/>
          <w:sz w:val="24"/>
          <w:szCs w:val="24"/>
        </w:rPr>
      </w:pPr>
    </w:p>
    <w:p>
      <w:pPr>
        <w:spacing w:line="540" w:lineRule="exact"/>
        <w:rPr>
          <w:rFonts w:hint="eastAsia" w:ascii="宋体" w:hAnsi="宋体" w:eastAsia="宋体" w:cs="宋体"/>
          <w:sz w:val="24"/>
          <w:szCs w:val="24"/>
        </w:rPr>
      </w:pPr>
    </w:p>
    <w:p>
      <w:pPr>
        <w:pStyle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br w:type="page"/>
      </w:r>
    </w:p>
    <w:p>
      <w:pPr>
        <w:spacing w:line="400" w:lineRule="exac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（八）投标偏离表（格式）：</w:t>
      </w:r>
    </w:p>
    <w:p>
      <w:pPr>
        <w:pStyle w:val="9"/>
        <w:rPr>
          <w:rFonts w:hint="eastAsia" w:ascii="宋体" w:hAnsi="宋体" w:eastAsia="宋体" w:cs="宋体"/>
          <w:color w:val="000000" w:themeColor="text1"/>
          <w14:textFill>
            <w14:solidFill>
              <w14:schemeClr w14:val="tx1"/>
            </w14:solidFill>
          </w14:textFill>
        </w:rPr>
      </w:pPr>
    </w:p>
    <w:p>
      <w:pPr>
        <w:spacing w:line="400" w:lineRule="exact"/>
        <w:rPr>
          <w:rFonts w:hint="eastAsia" w:ascii="宋体" w:hAnsi="宋体" w:eastAsia="宋体" w:cs="宋体"/>
          <w:bCs/>
          <w:color w:val="000000" w:themeColor="text1"/>
          <w:sz w:val="24"/>
          <w:szCs w:val="24"/>
          <w14:textFill>
            <w14:solidFill>
              <w14:schemeClr w14:val="tx1"/>
            </w14:solidFill>
          </w14:textFill>
        </w:rPr>
      </w:pPr>
    </w:p>
    <w:p>
      <w:pPr>
        <w:spacing w:line="40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投标偏离表</w:t>
      </w:r>
    </w:p>
    <w:p>
      <w:pPr>
        <w:spacing w:line="400" w:lineRule="exact"/>
        <w:jc w:val="center"/>
        <w:rPr>
          <w:rFonts w:hint="eastAsia" w:ascii="宋体" w:hAnsi="宋体" w:eastAsia="宋体" w:cs="宋体"/>
          <w:b/>
          <w:bCs/>
          <w:color w:val="000000" w:themeColor="text1"/>
          <w:sz w:val="28"/>
          <w:szCs w:val="28"/>
          <w14:textFill>
            <w14:solidFill>
              <w14:schemeClr w14:val="tx1"/>
            </w14:solidFill>
          </w14:textFill>
        </w:rPr>
      </w:pPr>
    </w:p>
    <w:p>
      <w:pPr>
        <w:spacing w:line="400" w:lineRule="exact"/>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投标人名称（盖章）                            政府采购编号：</w:t>
      </w:r>
      <w:r>
        <w:rPr>
          <w:rFonts w:hint="eastAsia" w:ascii="宋体" w:hAnsi="宋体" w:cs="宋体"/>
          <w:b/>
          <w:color w:val="000000" w:themeColor="text1"/>
          <w:sz w:val="24"/>
          <w:szCs w:val="24"/>
          <w:lang w:eastAsia="zh-CN"/>
          <w14:textFill>
            <w14:solidFill>
              <w14:schemeClr w14:val="tx1"/>
            </w14:solidFill>
          </w14:textFill>
        </w:rPr>
        <w:t>JSWXTCG2023-053</w:t>
      </w:r>
    </w:p>
    <w:tbl>
      <w:tblPr>
        <w:tblStyle w:val="25"/>
        <w:tblW w:w="9885" w:type="dxa"/>
        <w:tblInd w:w="0" w:type="dxa"/>
        <w:tblLayout w:type="fixed"/>
        <w:tblCellMar>
          <w:top w:w="0" w:type="dxa"/>
          <w:left w:w="0" w:type="dxa"/>
          <w:bottom w:w="0" w:type="dxa"/>
          <w:right w:w="0" w:type="dxa"/>
        </w:tblCellMar>
      </w:tblPr>
      <w:tblGrid>
        <w:gridCol w:w="1905"/>
        <w:gridCol w:w="2835"/>
        <w:gridCol w:w="2835"/>
        <w:gridCol w:w="2310"/>
      </w:tblGrid>
      <w:tr>
        <w:tblPrEx>
          <w:tblCellMar>
            <w:top w:w="0" w:type="dxa"/>
            <w:left w:w="0" w:type="dxa"/>
            <w:bottom w:w="0" w:type="dxa"/>
            <w:right w:w="0" w:type="dxa"/>
          </w:tblCellMar>
        </w:tblPrEx>
        <w:trPr>
          <w:cantSplit/>
          <w:trHeight w:val="555" w:hRule="atLeast"/>
        </w:trPr>
        <w:tc>
          <w:tcPr>
            <w:tcW w:w="19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名称</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采购要求</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实报内容</w:t>
            </w: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偏离说明</w:t>
            </w:r>
          </w:p>
        </w:tc>
      </w:tr>
      <w:tr>
        <w:tblPrEx>
          <w:tblCellMar>
            <w:top w:w="0" w:type="dxa"/>
            <w:left w:w="0" w:type="dxa"/>
            <w:bottom w:w="0" w:type="dxa"/>
            <w:right w:w="0" w:type="dxa"/>
          </w:tblCellMar>
        </w:tblPrEx>
        <w:trPr>
          <w:cantSplit/>
          <w:trHeight w:val="510" w:hRule="atLeast"/>
        </w:trPr>
        <w:tc>
          <w:tcPr>
            <w:tcW w:w="19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bCs/>
                <w:color w:val="000000" w:themeColor="text1"/>
                <w:sz w:val="24"/>
                <w:szCs w:val="24"/>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000000" w:themeColor="text1"/>
                <w:sz w:val="24"/>
                <w:szCs w:val="24"/>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000000" w:themeColor="text1"/>
                <w:sz w:val="24"/>
                <w:szCs w:val="24"/>
                <w14:textFill>
                  <w14:solidFill>
                    <w14:schemeClr w14:val="tx1"/>
                  </w14:solidFill>
                </w14:textFill>
              </w:rPr>
            </w:pP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000000" w:themeColor="text1"/>
                <w:sz w:val="24"/>
                <w:szCs w:val="24"/>
                <w14:textFill>
                  <w14:solidFill>
                    <w14:schemeClr w14:val="tx1"/>
                  </w14:solidFill>
                </w14:textFill>
              </w:rPr>
            </w:pPr>
          </w:p>
        </w:tc>
      </w:tr>
    </w:tbl>
    <w:p>
      <w:pPr>
        <w:rPr>
          <w:rFonts w:hint="eastAsia" w:ascii="宋体" w:hAnsi="宋体" w:eastAsia="宋体" w:cs="宋体"/>
          <w:b/>
          <w:color w:val="000000" w:themeColor="text1"/>
          <w:sz w:val="24"/>
          <w:szCs w:val="24"/>
          <w14:textFill>
            <w14:solidFill>
              <w14:schemeClr w14:val="tx1"/>
            </w14:solidFill>
          </w14:textFill>
        </w:rPr>
      </w:pPr>
    </w:p>
    <w:p>
      <w:pP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法定代表人或法定代表人授权代表签字或盖章：</w:t>
      </w:r>
    </w:p>
    <w:p>
      <w:pPr>
        <w:rPr>
          <w:rFonts w:hint="eastAsia" w:ascii="宋体" w:hAnsi="宋体" w:eastAsia="宋体" w:cs="宋体"/>
          <w:bCs/>
          <w:color w:val="000000" w:themeColor="text1"/>
          <w:sz w:val="24"/>
          <w:szCs w:val="24"/>
          <w14:textFill>
            <w14:solidFill>
              <w14:schemeClr w14:val="tx1"/>
            </w14:solidFill>
          </w14:textFill>
        </w:rPr>
      </w:pPr>
    </w:p>
    <w:p>
      <w:pPr>
        <w:spacing w:line="360" w:lineRule="auto"/>
        <w:ind w:firstLine="420" w:firstLineChars="175"/>
        <w:outlineLvl w:val="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注：（1）本表不得删除；</w:t>
      </w:r>
    </w:p>
    <w:p>
      <w:pPr>
        <w:spacing w:line="360" w:lineRule="auto"/>
        <w:ind w:firstLine="900" w:firstLineChars="375"/>
        <w:outlineLvl w:val="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（2）如无任何服务偏离，请于本表 “偏离说明”中注明“无偏离”；</w:t>
      </w:r>
    </w:p>
    <w:p>
      <w:pPr>
        <w:spacing w:line="360" w:lineRule="auto"/>
        <w:ind w:firstLine="420" w:firstLineChars="175"/>
        <w:outlineLvl w:val="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（3）如有服务偏离项，请于本表中列明偏离内容，如需要可自行延长，其余无偏离内容不须赘</w:t>
      </w:r>
      <w:r>
        <w:rPr>
          <w:rFonts w:hint="eastAsia" w:ascii="宋体" w:hAnsi="宋体" w:eastAsia="宋体" w:cs="宋体"/>
          <w:bCs/>
          <w:color w:val="000000" w:themeColor="text1"/>
          <w14:textFill>
            <w14:solidFill>
              <w14:schemeClr w14:val="tx1"/>
            </w14:solidFill>
          </w14:textFill>
        </w:rPr>
        <w:t>述。</w:t>
      </w:r>
    </w:p>
    <w:p>
      <w:pP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br w:type="page"/>
      </w:r>
    </w:p>
    <w:p>
      <w:pPr>
        <w:spacing w:line="400" w:lineRule="exac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（九）中小企业声明函（格式）：</w:t>
      </w:r>
    </w:p>
    <w:p>
      <w:pPr>
        <w:spacing w:line="480" w:lineRule="auto"/>
        <w:rPr>
          <w:rFonts w:hint="eastAsia" w:ascii="宋体" w:hAnsi="宋体" w:eastAsia="宋体" w:cs="宋体"/>
          <w:bCs/>
          <w:color w:val="000000" w:themeColor="text1"/>
          <w14:textFill>
            <w14:solidFill>
              <w14:schemeClr w14:val="tx1"/>
            </w14:solidFill>
          </w14:textFill>
        </w:rPr>
      </w:pPr>
    </w:p>
    <w:p>
      <w:pPr>
        <w:jc w:val="center"/>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中小企业声明函（工程、服务）</w:t>
      </w:r>
    </w:p>
    <w:p>
      <w:pPr>
        <w:pStyle w:val="12"/>
        <w:spacing w:line="360" w:lineRule="auto"/>
        <w:ind w:left="0" w:right="34" w:firstLine="403"/>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本公司（联合体）郑重声明，根据《政府采购促进中小 企业发展管理办法》（财库﹝2020﹞46 号）的规定，本公司</w:t>
      </w:r>
      <w:r>
        <w:rPr>
          <w:rFonts w:hint="eastAsia" w:ascii="宋体" w:hAnsi="宋体" w:eastAsia="宋体" w:cs="宋体"/>
          <w:color w:val="000000" w:themeColor="text1"/>
          <w:szCs w:val="24"/>
          <w:u w:val="single"/>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参加</w:t>
      </w:r>
      <w:r>
        <w:rPr>
          <w:rFonts w:hint="eastAsia" w:ascii="宋体" w:hAnsi="宋体" w:eastAsia="宋体" w:cs="宋体"/>
          <w:color w:val="000000" w:themeColor="text1"/>
          <w:szCs w:val="24"/>
          <w:u w:val="single"/>
          <w14:textFill>
            <w14:solidFill>
              <w14:schemeClr w14:val="tx1"/>
            </w14:solidFill>
          </w14:textFill>
        </w:rPr>
        <w:t>（单位名称）</w:t>
      </w:r>
      <w:r>
        <w:rPr>
          <w:rFonts w:hint="eastAsia" w:ascii="宋体" w:hAnsi="宋体" w:eastAsia="宋体" w:cs="宋体"/>
          <w:color w:val="000000" w:themeColor="text1"/>
          <w:szCs w:val="24"/>
          <w14:textFill>
            <w14:solidFill>
              <w14:schemeClr w14:val="tx1"/>
            </w14:solidFill>
          </w14:textFill>
        </w:rPr>
        <w:t>的</w:t>
      </w:r>
      <w:r>
        <w:rPr>
          <w:rFonts w:hint="eastAsia" w:ascii="宋体" w:hAnsi="宋体" w:eastAsia="宋体" w:cs="宋体"/>
          <w:color w:val="000000" w:themeColor="text1"/>
          <w:szCs w:val="24"/>
          <w:u w:val="single"/>
          <w14:textFill>
            <w14:solidFill>
              <w14:schemeClr w14:val="tx1"/>
            </w14:solidFill>
          </w14:textFill>
        </w:rPr>
        <w:t>（项目名称）</w:t>
      </w:r>
      <w:r>
        <w:rPr>
          <w:rFonts w:hint="eastAsia" w:ascii="宋体" w:hAnsi="宋体" w:eastAsia="宋体" w:cs="宋体"/>
          <w:color w:val="000000" w:themeColor="text1"/>
          <w:szCs w:val="24"/>
          <w14:textFill>
            <w14:solidFill>
              <w14:schemeClr w14:val="tx1"/>
            </w14:solidFill>
          </w14:textFill>
        </w:rPr>
        <w:t xml:space="preserve">采购活动，工程的施工单位全部为符合政策要求的中小企业（或者：服务全部由符合政策要求的中小企业承接）。相关企业（含联合 体中的中小企业、签订分包意向协议的中小企业）的具体情况如下： </w:t>
      </w:r>
    </w:p>
    <w:p>
      <w:pPr>
        <w:pStyle w:val="12"/>
        <w:numPr>
          <w:ilvl w:val="0"/>
          <w:numId w:val="21"/>
        </w:numPr>
        <w:spacing w:line="360" w:lineRule="auto"/>
        <w:ind w:left="0" w:right="34" w:firstLine="403"/>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u w:val="single"/>
          <w14:textFill>
            <w14:solidFill>
              <w14:schemeClr w14:val="tx1"/>
            </w14:solidFill>
          </w14:textFill>
        </w:rPr>
        <w:t xml:space="preserve">（标的名称） </w:t>
      </w:r>
      <w:r>
        <w:rPr>
          <w:rFonts w:hint="eastAsia" w:ascii="宋体" w:hAnsi="宋体" w:eastAsia="宋体" w:cs="宋体"/>
          <w:color w:val="000000" w:themeColor="text1"/>
          <w:szCs w:val="24"/>
          <w14:textFill>
            <w14:solidFill>
              <w14:schemeClr w14:val="tx1"/>
            </w14:solidFill>
          </w14:textFill>
        </w:rPr>
        <w:t>，属于</w:t>
      </w:r>
      <w:r>
        <w:rPr>
          <w:rFonts w:hint="eastAsia" w:ascii="宋体" w:hAnsi="宋体" w:eastAsia="宋体" w:cs="宋体"/>
          <w:color w:val="000000" w:themeColor="text1"/>
          <w:szCs w:val="24"/>
          <w:u w:val="single"/>
          <w14:textFill>
            <w14:solidFill>
              <w14:schemeClr w14:val="tx1"/>
            </w14:solidFill>
          </w14:textFill>
        </w:rPr>
        <w:t>（采购文件中明确的所属行业）</w:t>
      </w:r>
      <w:r>
        <w:rPr>
          <w:rFonts w:hint="eastAsia" w:ascii="宋体" w:hAnsi="宋体" w:eastAsia="宋体" w:cs="宋体"/>
          <w:color w:val="000000" w:themeColor="text1"/>
          <w:szCs w:val="24"/>
          <w14:textFill>
            <w14:solidFill>
              <w14:schemeClr w14:val="tx1"/>
            </w14:solidFill>
          </w14:textFill>
        </w:rPr>
        <w:t>； 承建（承接）企业为</w:t>
      </w:r>
      <w:r>
        <w:rPr>
          <w:rFonts w:hint="eastAsia" w:ascii="宋体" w:hAnsi="宋体" w:eastAsia="宋体" w:cs="宋体"/>
          <w:color w:val="000000" w:themeColor="text1"/>
          <w:szCs w:val="24"/>
          <w:u w:val="single"/>
          <w14:textFill>
            <w14:solidFill>
              <w14:schemeClr w14:val="tx1"/>
            </w14:solidFill>
          </w14:textFill>
        </w:rPr>
        <w:t>（企业名称）</w:t>
      </w:r>
      <w:r>
        <w:rPr>
          <w:rFonts w:hint="eastAsia" w:ascii="宋体" w:hAnsi="宋体" w:eastAsia="宋体" w:cs="宋体"/>
          <w:color w:val="000000" w:themeColor="text1"/>
          <w:szCs w:val="24"/>
          <w14:textFill>
            <w14:solidFill>
              <w14:schemeClr w14:val="tx1"/>
            </w14:solidFill>
          </w14:textFill>
        </w:rPr>
        <w:t>，从业人员</w:t>
      </w:r>
      <w:r>
        <w:rPr>
          <w:rFonts w:hint="eastAsia" w:ascii="宋体" w:hAnsi="宋体" w:eastAsia="宋体" w:cs="宋体"/>
          <w:color w:val="000000" w:themeColor="text1"/>
          <w:szCs w:val="24"/>
          <w:u w:val="single"/>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人，营业收入为</w:t>
      </w:r>
      <w:r>
        <w:rPr>
          <w:rFonts w:hint="eastAsia" w:ascii="宋体" w:hAnsi="宋体" w:eastAsia="宋体" w:cs="宋体"/>
          <w:color w:val="000000" w:themeColor="text1"/>
          <w:szCs w:val="24"/>
          <w:u w:val="single"/>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万元，资产总额为</w:t>
      </w:r>
      <w:r>
        <w:rPr>
          <w:rFonts w:hint="eastAsia" w:ascii="宋体" w:hAnsi="宋体" w:eastAsia="宋体" w:cs="宋体"/>
          <w:color w:val="000000" w:themeColor="text1"/>
          <w:szCs w:val="24"/>
          <w:u w:val="single"/>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万元 1，属于（中型企业、小型企业、微型企业）；</w:t>
      </w:r>
    </w:p>
    <w:p>
      <w:pPr>
        <w:pStyle w:val="12"/>
        <w:numPr>
          <w:ilvl w:val="0"/>
          <w:numId w:val="21"/>
        </w:numPr>
        <w:spacing w:line="360" w:lineRule="auto"/>
        <w:ind w:left="0" w:right="34" w:firstLine="403"/>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u w:val="single"/>
          <w14:textFill>
            <w14:solidFill>
              <w14:schemeClr w14:val="tx1"/>
            </w14:solidFill>
          </w14:textFill>
        </w:rPr>
        <w:t xml:space="preserve">（标的名称） </w:t>
      </w:r>
      <w:r>
        <w:rPr>
          <w:rFonts w:hint="eastAsia" w:ascii="宋体" w:hAnsi="宋体" w:eastAsia="宋体" w:cs="宋体"/>
          <w:color w:val="000000" w:themeColor="text1"/>
          <w:szCs w:val="24"/>
          <w14:textFill>
            <w14:solidFill>
              <w14:schemeClr w14:val="tx1"/>
            </w14:solidFill>
          </w14:textFill>
        </w:rPr>
        <w:t>，属于</w:t>
      </w:r>
      <w:r>
        <w:rPr>
          <w:rFonts w:hint="eastAsia" w:ascii="宋体" w:hAnsi="宋体" w:eastAsia="宋体" w:cs="宋体"/>
          <w:color w:val="000000" w:themeColor="text1"/>
          <w:szCs w:val="24"/>
          <w:u w:val="single"/>
          <w14:textFill>
            <w14:solidFill>
              <w14:schemeClr w14:val="tx1"/>
            </w14:solidFill>
          </w14:textFill>
        </w:rPr>
        <w:t>（采购文件中明确的所属行业）</w:t>
      </w:r>
      <w:r>
        <w:rPr>
          <w:rFonts w:hint="eastAsia" w:ascii="宋体" w:hAnsi="宋体" w:eastAsia="宋体" w:cs="宋体"/>
          <w:color w:val="000000" w:themeColor="text1"/>
          <w:szCs w:val="24"/>
          <w14:textFill>
            <w14:solidFill>
              <w14:schemeClr w14:val="tx1"/>
            </w14:solidFill>
          </w14:textFill>
        </w:rPr>
        <w:t>； 承建（承接）企业为</w:t>
      </w:r>
      <w:r>
        <w:rPr>
          <w:rFonts w:hint="eastAsia" w:ascii="宋体" w:hAnsi="宋体" w:eastAsia="宋体" w:cs="宋体"/>
          <w:color w:val="000000" w:themeColor="text1"/>
          <w:szCs w:val="24"/>
          <w:u w:val="single"/>
          <w14:textFill>
            <w14:solidFill>
              <w14:schemeClr w14:val="tx1"/>
            </w14:solidFill>
          </w14:textFill>
        </w:rPr>
        <w:t>（企业名称）</w:t>
      </w:r>
      <w:r>
        <w:rPr>
          <w:rFonts w:hint="eastAsia" w:ascii="宋体" w:hAnsi="宋体" w:eastAsia="宋体" w:cs="宋体"/>
          <w:color w:val="000000" w:themeColor="text1"/>
          <w:szCs w:val="24"/>
          <w14:textFill>
            <w14:solidFill>
              <w14:schemeClr w14:val="tx1"/>
            </w14:solidFill>
          </w14:textFill>
        </w:rPr>
        <w:t>，从业人员</w:t>
      </w:r>
      <w:r>
        <w:rPr>
          <w:rFonts w:hint="eastAsia" w:ascii="宋体" w:hAnsi="宋体" w:eastAsia="宋体" w:cs="宋体"/>
          <w:color w:val="000000" w:themeColor="text1"/>
          <w:szCs w:val="24"/>
          <w:u w:val="single"/>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人，营业收入为</w:t>
      </w:r>
      <w:r>
        <w:rPr>
          <w:rFonts w:hint="eastAsia" w:ascii="宋体" w:hAnsi="宋体" w:eastAsia="宋体" w:cs="宋体"/>
          <w:color w:val="000000" w:themeColor="text1"/>
          <w:szCs w:val="24"/>
          <w:u w:val="single"/>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万元，资产总额为</w:t>
      </w:r>
      <w:r>
        <w:rPr>
          <w:rFonts w:hint="eastAsia" w:ascii="宋体" w:hAnsi="宋体" w:eastAsia="宋体" w:cs="宋体"/>
          <w:color w:val="000000" w:themeColor="text1"/>
          <w:szCs w:val="24"/>
          <w:u w:val="single"/>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 xml:space="preserve">万元，属于（中型企业、小型企业、微型企业）； </w:t>
      </w:r>
    </w:p>
    <w:p>
      <w:pPr>
        <w:pStyle w:val="12"/>
        <w:spacing w:line="360" w:lineRule="auto"/>
        <w:ind w:left="403" w:right="34"/>
        <w:rPr>
          <w:rFonts w:hint="eastAsia" w:ascii="宋体" w:hAnsi="宋体" w:eastAsia="宋体" w:cs="宋体"/>
          <w:color w:val="000000" w:themeColor="text1"/>
          <w:szCs w:val="24"/>
          <w14:textFill>
            <w14:solidFill>
              <w14:schemeClr w14:val="tx1"/>
            </w14:solidFill>
          </w14:textFill>
        </w:rPr>
      </w:pPr>
    </w:p>
    <w:p>
      <w:pPr>
        <w:pStyle w:val="12"/>
        <w:spacing w:line="360" w:lineRule="auto"/>
        <w:ind w:left="0" w:right="34" w:firstLine="480" w:firstLineChars="200"/>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 以上企业，不属于大企业的分支机构，不存在控股股东为大企业的情形，也不存在与大企业的负责人为同一人的情形。</w:t>
      </w:r>
    </w:p>
    <w:p>
      <w:pPr>
        <w:pStyle w:val="12"/>
        <w:spacing w:line="360" w:lineRule="auto"/>
        <w:ind w:left="403" w:right="34"/>
        <w:rPr>
          <w:rFonts w:hint="eastAsia" w:ascii="宋体" w:hAnsi="宋体" w:eastAsia="宋体" w:cs="宋体"/>
          <w:color w:val="000000" w:themeColor="text1"/>
          <w:szCs w:val="24"/>
          <w14:textFill>
            <w14:solidFill>
              <w14:schemeClr w14:val="tx1"/>
            </w14:solidFill>
          </w14:textFill>
        </w:rPr>
      </w:pPr>
    </w:p>
    <w:p>
      <w:pPr>
        <w:pStyle w:val="12"/>
        <w:spacing w:line="360" w:lineRule="auto"/>
        <w:ind w:left="403" w:right="34"/>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 xml:space="preserve">本企业对上述声明内容的真实性负责。如有虚假，将依法承担相应责任。 </w:t>
      </w:r>
    </w:p>
    <w:p>
      <w:pPr>
        <w:pStyle w:val="12"/>
        <w:spacing w:line="360" w:lineRule="auto"/>
        <w:ind w:left="403" w:right="34"/>
        <w:rPr>
          <w:rFonts w:hint="eastAsia" w:ascii="宋体" w:hAnsi="宋体" w:eastAsia="宋体" w:cs="宋体"/>
          <w:color w:val="000000" w:themeColor="text1"/>
          <w:szCs w:val="24"/>
          <w14:textFill>
            <w14:solidFill>
              <w14:schemeClr w14:val="tx1"/>
            </w14:solidFill>
          </w14:textFill>
        </w:rPr>
      </w:pPr>
    </w:p>
    <w:p>
      <w:pPr>
        <w:pStyle w:val="12"/>
        <w:spacing w:line="360" w:lineRule="auto"/>
        <w:ind w:left="403" w:right="34" w:firstLine="5520" w:firstLineChars="2300"/>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 xml:space="preserve">企业名称（盖章）： </w:t>
      </w:r>
    </w:p>
    <w:p>
      <w:pPr>
        <w:pStyle w:val="12"/>
        <w:spacing w:line="360" w:lineRule="auto"/>
        <w:ind w:left="403" w:right="34" w:firstLine="5520" w:firstLineChars="2300"/>
        <w:rPr>
          <w:rFonts w:hint="eastAsia" w:ascii="宋体" w:hAnsi="宋体" w:eastAsia="宋体" w:cs="宋体"/>
          <w:color w:val="000000" w:themeColor="text1"/>
          <w:szCs w:val="24"/>
          <w14:textFill>
            <w14:solidFill>
              <w14:schemeClr w14:val="tx1"/>
            </w14:solidFill>
          </w14:textFill>
        </w:rPr>
      </w:pPr>
    </w:p>
    <w:p>
      <w:pPr>
        <w:pStyle w:val="12"/>
        <w:spacing w:line="360" w:lineRule="auto"/>
        <w:ind w:left="403" w:right="34" w:firstLine="5520" w:firstLineChars="2300"/>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日 期：</w:t>
      </w:r>
    </w:p>
    <w:p>
      <w:pPr>
        <w:pStyle w:val="12"/>
        <w:ind w:left="0" w:right="34"/>
        <w:rPr>
          <w:rFonts w:hint="eastAsia" w:ascii="宋体" w:hAnsi="宋体" w:eastAsia="宋体" w:cs="宋体"/>
          <w:color w:val="000000" w:themeColor="text1"/>
          <w:szCs w:val="24"/>
          <w14:textFill>
            <w14:solidFill>
              <w14:schemeClr w14:val="tx1"/>
            </w14:solidFill>
          </w14:textFill>
        </w:rPr>
      </w:pPr>
    </w:p>
    <w:p>
      <w:pPr>
        <w:pStyle w:val="12"/>
        <w:ind w:left="0" w:right="34"/>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注：1、从业人员、营业收入、资产总额填报上一年度数据，无上一年度数据的新成立企业可不填报。</w:t>
      </w:r>
    </w:p>
    <w:p>
      <w:pPr>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中标、成交供应商的《中小企业声明函》将随中标、成交公告进行公示。供应商按照本办法规定提供声明函内容不实的，属于提供虚假材料谋取中标、成交，依照《中华人民共和国政府采购法》等国家有关规定追究相应责任。</w:t>
      </w:r>
    </w:p>
    <w:p>
      <w:pPr>
        <w:pStyle w:val="12"/>
        <w:ind w:left="0" w:right="34"/>
        <w:rPr>
          <w:rFonts w:hint="eastAsia" w:ascii="宋体" w:hAnsi="宋体" w:eastAsia="宋体" w:cs="宋体"/>
          <w:color w:val="000000" w:themeColor="text1"/>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p>
      <w:pPr>
        <w:pStyle w:val="4"/>
        <w:rPr>
          <w:rFonts w:hint="eastAsia"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（十）残疾人福利性单位声明函（格式）：</w:t>
      </w:r>
    </w:p>
    <w:p>
      <w:pPr>
        <w:rPr>
          <w:rFonts w:hint="eastAsia" w:ascii="宋体" w:hAnsi="宋体" w:eastAsia="宋体" w:cs="宋体"/>
          <w:color w:val="000000" w:themeColor="text1"/>
          <w14:textFill>
            <w14:solidFill>
              <w14:schemeClr w14:val="tx1"/>
            </w14:solidFill>
          </w14:textFill>
        </w:rPr>
      </w:pPr>
    </w:p>
    <w:p>
      <w:pPr>
        <w:jc w:val="center"/>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残疾人福利性单位声明函</w:t>
      </w:r>
    </w:p>
    <w:p>
      <w:pPr>
        <w:jc w:val="center"/>
        <w:rPr>
          <w:rFonts w:hint="eastAsia" w:ascii="宋体" w:hAnsi="宋体" w:eastAsia="宋体" w:cs="宋体"/>
          <w:bCs/>
          <w:color w:val="000000" w:themeColor="text1"/>
          <w:sz w:val="28"/>
          <w:szCs w:val="28"/>
          <w14:textFill>
            <w14:solidFill>
              <w14:schemeClr w14:val="tx1"/>
            </w14:solidFill>
          </w14:textFill>
        </w:rPr>
      </w:pPr>
    </w:p>
    <w:p>
      <w:pPr>
        <w:spacing w:line="580" w:lineRule="exact"/>
        <w:ind w:firstLine="42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0" w:lineRule="exact"/>
        <w:ind w:firstLine="42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本单位对上述声明的真实性负责。如有虚假，将依法承担相应责任。</w:t>
      </w:r>
    </w:p>
    <w:p>
      <w:pPr>
        <w:spacing w:line="580" w:lineRule="exact"/>
        <w:ind w:firstLine="42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 </w:t>
      </w:r>
    </w:p>
    <w:p>
      <w:pPr>
        <w:spacing w:line="580" w:lineRule="exact"/>
        <w:ind w:firstLine="42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 </w:t>
      </w:r>
    </w:p>
    <w:p>
      <w:pPr>
        <w:spacing w:line="580" w:lineRule="exact"/>
        <w:ind w:firstLine="42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                                                单位名称（盖章）：</w:t>
      </w:r>
    </w:p>
    <w:p>
      <w:pPr>
        <w:spacing w:line="580" w:lineRule="exact"/>
        <w:ind w:firstLine="42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                                                日  期：</w:t>
      </w:r>
    </w:p>
    <w:p>
      <w:pPr>
        <w:pStyle w:val="12"/>
        <w:ind w:left="0" w:right="34"/>
        <w:rPr>
          <w:rFonts w:hint="eastAsia" w:ascii="宋体" w:hAnsi="宋体" w:eastAsia="宋体" w:cs="宋体"/>
          <w:color w:val="000000" w:themeColor="text1"/>
          <w:sz w:val="21"/>
          <w14:textFill>
            <w14:solidFill>
              <w14:schemeClr w14:val="tx1"/>
            </w14:solidFill>
          </w14:textFill>
        </w:rPr>
      </w:pPr>
    </w:p>
    <w:p>
      <w:pPr>
        <w:ind w:firstLine="4200" w:firstLineChars="2000"/>
        <w:rPr>
          <w:rFonts w:hint="eastAsia" w:ascii="宋体" w:hAnsi="宋体" w:eastAsia="宋体" w:cs="宋体"/>
          <w:bCs/>
          <w:color w:val="000000" w:themeColor="text1"/>
          <w14:textFill>
            <w14:solidFill>
              <w14:schemeClr w14:val="tx1"/>
            </w14:solidFill>
          </w14:textFill>
        </w:rPr>
      </w:pPr>
    </w:p>
    <w:p>
      <w:pPr>
        <w:spacing w:line="360" w:lineRule="auto"/>
        <w:rPr>
          <w:rFonts w:hint="eastAsia" w:ascii="宋体" w:hAnsi="宋体" w:eastAsia="宋体" w:cs="宋体"/>
          <w:bCs/>
          <w:color w:val="000000" w:themeColor="text1"/>
          <w:sz w:val="24"/>
          <w:szCs w:val="24"/>
          <w14:textFill>
            <w14:solidFill>
              <w14:schemeClr w14:val="tx1"/>
            </w14:solidFill>
          </w14:textFill>
        </w:rPr>
      </w:pPr>
    </w:p>
    <w:p>
      <w:pPr>
        <w:spacing w:line="400" w:lineRule="exact"/>
        <w:rPr>
          <w:rFonts w:hint="eastAsia" w:ascii="宋体" w:hAnsi="宋体" w:eastAsia="宋体" w:cs="宋体"/>
          <w:bCs/>
          <w:color w:val="000000" w:themeColor="text1"/>
          <w:sz w:val="24"/>
          <w:szCs w:val="24"/>
          <w14:textFill>
            <w14:solidFill>
              <w14:schemeClr w14:val="tx1"/>
            </w14:solidFill>
          </w14:textFill>
        </w:rPr>
      </w:pPr>
    </w:p>
    <w:p>
      <w:pPr>
        <w:spacing w:line="400" w:lineRule="exact"/>
        <w:rPr>
          <w:rFonts w:hint="eastAsia" w:ascii="宋体" w:hAnsi="宋体" w:eastAsia="宋体" w:cs="宋体"/>
          <w:bCs/>
          <w:color w:val="000000" w:themeColor="text1"/>
          <w:sz w:val="24"/>
          <w:szCs w:val="24"/>
          <w14:textFill>
            <w14:solidFill>
              <w14:schemeClr w14:val="tx1"/>
            </w14:solidFill>
          </w14:textFill>
        </w:rPr>
      </w:pPr>
    </w:p>
    <w:p>
      <w:pPr>
        <w:spacing w:line="400" w:lineRule="exact"/>
        <w:rPr>
          <w:rFonts w:hint="eastAsia" w:ascii="宋体" w:hAnsi="宋体" w:eastAsia="宋体" w:cs="宋体"/>
          <w:bCs/>
          <w:color w:val="000000" w:themeColor="text1"/>
          <w:sz w:val="24"/>
          <w:szCs w:val="24"/>
          <w14:textFill>
            <w14:solidFill>
              <w14:schemeClr w14:val="tx1"/>
            </w14:solidFill>
          </w14:textFill>
        </w:rPr>
      </w:pPr>
    </w:p>
    <w:p>
      <w:pPr>
        <w:rPr>
          <w:rFonts w:hint="eastAsia" w:ascii="宋体" w:hAnsi="宋体" w:eastAsia="宋体" w:cs="宋体"/>
          <w:b/>
          <w:bCs/>
          <w:color w:val="000000" w:themeColor="text1"/>
          <w:sz w:val="52"/>
          <w:szCs w:val="52"/>
          <w14:textFill>
            <w14:solidFill>
              <w14:schemeClr w14:val="tx1"/>
            </w14:solidFill>
          </w14:textFill>
        </w:rPr>
      </w:pPr>
    </w:p>
    <w:sectPr>
      <w:pgSz w:w="11906" w:h="16838"/>
      <w:pgMar w:top="1304" w:right="1304"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kern w:val="0"/>
        <w:szCs w:val="21"/>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1</w:t>
    </w:r>
    <w:r>
      <w:rPr>
        <w:rStyle w:val="28"/>
      </w:rPr>
      <w:fldChar w:fldCharType="end"/>
    </w:r>
  </w:p>
  <w:p>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 PAGE   \* MERGEFORMAT </w:instrText>
    </w:r>
    <w:r>
      <w:fldChar w:fldCharType="separate"/>
    </w:r>
    <w:r>
      <w:rPr>
        <w:lang w:val="zh-CN"/>
      </w:rPr>
      <w:t>13</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9685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14935" cy="196850"/>
                      </a:xfrm>
                      <a:prstGeom prst="rect">
                        <a:avLst/>
                      </a:prstGeom>
                      <a:noFill/>
                      <a:ln w="1587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35</w:t>
                          </w:r>
                          <w:r>
                            <w:rPr>
                              <w:rFonts w:hint="eastAsia"/>
                              <w:sz w:val="18"/>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5.5pt;width:9.05pt;mso-position-horizontal:center;mso-position-horizontal-relative:margin;mso-wrap-style:none;z-index:251661312;mso-width-relative:page;mso-height-relative:page;" filled="f" stroked="f" coordsize="21600,21600" o:gfxdata="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M/RDDUAAAAAwEAAA8AAAAAAAAAAQAgAAAA&#10;IgAAAGRycy9kb3ducmV2LnhtbFBLAQIUABQAAAAIAIdO4kB5wsyA1gEAAKMDAAAOAAAAAAAAAAEA&#10;IAAAACMBAABkcnMvZTJvRG9jLnhtbFBLBQYAAAAABgAGAFkBAABrBQ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35</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BF9304"/>
    <w:multiLevelType w:val="singleLevel"/>
    <w:tmpl w:val="A3BF9304"/>
    <w:lvl w:ilvl="0" w:tentative="0">
      <w:start w:val="1"/>
      <w:numFmt w:val="chineseCounting"/>
      <w:lvlText w:val="（%1)"/>
      <w:lvlJc w:val="left"/>
      <w:pPr>
        <w:tabs>
          <w:tab w:val="left" w:pos="312"/>
        </w:tabs>
      </w:pPr>
      <w:rPr>
        <w:rFonts w:hint="eastAsia"/>
      </w:rPr>
    </w:lvl>
  </w:abstractNum>
  <w:abstractNum w:abstractNumId="1">
    <w:nsid w:val="C57C0C56"/>
    <w:multiLevelType w:val="singleLevel"/>
    <w:tmpl w:val="C57C0C56"/>
    <w:lvl w:ilvl="0" w:tentative="0">
      <w:start w:val="1"/>
      <w:numFmt w:val="decimal"/>
      <w:lvlText w:val="%1."/>
      <w:lvlJc w:val="left"/>
      <w:pPr>
        <w:tabs>
          <w:tab w:val="left" w:pos="312"/>
        </w:tabs>
      </w:pPr>
    </w:lvl>
  </w:abstractNum>
  <w:abstractNum w:abstractNumId="2">
    <w:nsid w:val="DD796B67"/>
    <w:multiLevelType w:val="singleLevel"/>
    <w:tmpl w:val="DD796B67"/>
    <w:lvl w:ilvl="0" w:tentative="0">
      <w:start w:val="1"/>
      <w:numFmt w:val="decimal"/>
      <w:suff w:val="nothing"/>
      <w:lvlText w:val="（%1）"/>
      <w:lvlJc w:val="left"/>
      <w:pPr>
        <w:ind w:left="-60"/>
      </w:pPr>
    </w:lvl>
  </w:abstractNum>
  <w:abstractNum w:abstractNumId="3">
    <w:nsid w:val="00000012"/>
    <w:multiLevelType w:val="multilevel"/>
    <w:tmpl w:val="00000012"/>
    <w:lvl w:ilvl="0" w:tentative="0">
      <w:start w:val="1"/>
      <w:numFmt w:val="bullet"/>
      <w:lvlText w:val=""/>
      <w:lvlJc w:val="left"/>
      <w:pPr>
        <w:tabs>
          <w:tab w:val="left" w:pos="1018"/>
        </w:tabs>
        <w:ind w:left="1018" w:hanging="360"/>
      </w:pPr>
      <w:rPr>
        <w:rFonts w:hint="default" w:ascii="Wingdings" w:hAnsi="Wingdings"/>
      </w:rPr>
    </w:lvl>
    <w:lvl w:ilvl="1" w:tentative="0">
      <w:start w:val="1"/>
      <w:numFmt w:val="decimal"/>
      <w:lvlText w:val="%2、"/>
      <w:lvlJc w:val="left"/>
      <w:pPr>
        <w:ind w:left="786" w:hanging="360"/>
      </w:pPr>
      <w:rPr>
        <w:rFonts w:hint="default" w:cs="Times New Roman"/>
      </w:rPr>
    </w:lvl>
    <w:lvl w:ilvl="2" w:tentative="0">
      <w:start w:val="1"/>
      <w:numFmt w:val="lowerRoman"/>
      <w:lvlText w:val="%3."/>
      <w:lvlJc w:val="right"/>
      <w:pPr>
        <w:tabs>
          <w:tab w:val="left" w:pos="1918"/>
        </w:tabs>
        <w:ind w:left="1918" w:hanging="420"/>
      </w:pPr>
      <w:rPr>
        <w:rFonts w:cs="Times New Roman"/>
      </w:rPr>
    </w:lvl>
    <w:lvl w:ilvl="3" w:tentative="0">
      <w:start w:val="1"/>
      <w:numFmt w:val="decimal"/>
      <w:lvlText w:val="%4."/>
      <w:lvlJc w:val="left"/>
      <w:pPr>
        <w:tabs>
          <w:tab w:val="left" w:pos="2338"/>
        </w:tabs>
        <w:ind w:left="2338" w:hanging="420"/>
      </w:pPr>
      <w:rPr>
        <w:rFonts w:cs="Times New Roman"/>
      </w:rPr>
    </w:lvl>
    <w:lvl w:ilvl="4" w:tentative="0">
      <w:start w:val="1"/>
      <w:numFmt w:val="lowerLetter"/>
      <w:lvlText w:val="%5)"/>
      <w:lvlJc w:val="left"/>
      <w:pPr>
        <w:tabs>
          <w:tab w:val="left" w:pos="2758"/>
        </w:tabs>
        <w:ind w:left="2758" w:hanging="420"/>
      </w:pPr>
      <w:rPr>
        <w:rFonts w:cs="Times New Roman"/>
      </w:rPr>
    </w:lvl>
    <w:lvl w:ilvl="5" w:tentative="0">
      <w:start w:val="1"/>
      <w:numFmt w:val="lowerRoman"/>
      <w:lvlText w:val="%6."/>
      <w:lvlJc w:val="right"/>
      <w:pPr>
        <w:tabs>
          <w:tab w:val="left" w:pos="3178"/>
        </w:tabs>
        <w:ind w:left="3178" w:hanging="420"/>
      </w:pPr>
      <w:rPr>
        <w:rFonts w:cs="Times New Roman"/>
      </w:rPr>
    </w:lvl>
    <w:lvl w:ilvl="6" w:tentative="0">
      <w:start w:val="1"/>
      <w:numFmt w:val="decimal"/>
      <w:lvlText w:val="%7."/>
      <w:lvlJc w:val="left"/>
      <w:pPr>
        <w:tabs>
          <w:tab w:val="left" w:pos="3598"/>
        </w:tabs>
        <w:ind w:left="3598" w:hanging="420"/>
      </w:pPr>
      <w:rPr>
        <w:rFonts w:cs="Times New Roman"/>
      </w:rPr>
    </w:lvl>
    <w:lvl w:ilvl="7" w:tentative="0">
      <w:start w:val="1"/>
      <w:numFmt w:val="lowerLetter"/>
      <w:lvlText w:val="%8)"/>
      <w:lvlJc w:val="left"/>
      <w:pPr>
        <w:tabs>
          <w:tab w:val="left" w:pos="4018"/>
        </w:tabs>
        <w:ind w:left="4018" w:hanging="420"/>
      </w:pPr>
      <w:rPr>
        <w:rFonts w:cs="Times New Roman"/>
      </w:rPr>
    </w:lvl>
    <w:lvl w:ilvl="8" w:tentative="0">
      <w:start w:val="1"/>
      <w:numFmt w:val="lowerRoman"/>
      <w:lvlText w:val="%9."/>
      <w:lvlJc w:val="right"/>
      <w:pPr>
        <w:tabs>
          <w:tab w:val="left" w:pos="4438"/>
        </w:tabs>
        <w:ind w:left="4438" w:hanging="420"/>
      </w:pPr>
      <w:rPr>
        <w:rFonts w:cs="Times New Roman"/>
      </w:rPr>
    </w:lvl>
  </w:abstractNum>
  <w:abstractNum w:abstractNumId="4">
    <w:nsid w:val="00000017"/>
    <w:multiLevelType w:val="multilevel"/>
    <w:tmpl w:val="00000017"/>
    <w:lvl w:ilvl="0" w:tentative="0">
      <w:start w:val="1"/>
      <w:numFmt w:val="bullet"/>
      <w:pStyle w:val="19"/>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3165"/>
        </w:tabs>
        <w:ind w:left="3165" w:hanging="420"/>
      </w:pPr>
      <w:rPr>
        <w:rFonts w:hint="default" w:ascii="Wingdings" w:hAnsi="Wingdings"/>
      </w:rPr>
    </w:lvl>
    <w:lvl w:ilvl="2" w:tentative="0">
      <w:start w:val="1"/>
      <w:numFmt w:val="bullet"/>
      <w:lvlText w:val=""/>
      <w:lvlJc w:val="left"/>
      <w:pPr>
        <w:tabs>
          <w:tab w:val="left" w:pos="3585"/>
        </w:tabs>
        <w:ind w:left="3585" w:hanging="420"/>
      </w:pPr>
      <w:rPr>
        <w:rFonts w:hint="default" w:ascii="Wingdings" w:hAnsi="Wingdings"/>
      </w:rPr>
    </w:lvl>
    <w:lvl w:ilvl="3" w:tentative="0">
      <w:start w:val="1"/>
      <w:numFmt w:val="bullet"/>
      <w:lvlText w:val=""/>
      <w:lvlJc w:val="left"/>
      <w:pPr>
        <w:tabs>
          <w:tab w:val="left" w:pos="4005"/>
        </w:tabs>
        <w:ind w:left="4005" w:hanging="420"/>
      </w:pPr>
      <w:rPr>
        <w:rFonts w:hint="default" w:ascii="Wingdings" w:hAnsi="Wingdings"/>
      </w:rPr>
    </w:lvl>
    <w:lvl w:ilvl="4" w:tentative="0">
      <w:start w:val="1"/>
      <w:numFmt w:val="bullet"/>
      <w:lvlText w:val=""/>
      <w:lvlJc w:val="left"/>
      <w:pPr>
        <w:tabs>
          <w:tab w:val="left" w:pos="4425"/>
        </w:tabs>
        <w:ind w:left="4425" w:hanging="420"/>
      </w:pPr>
      <w:rPr>
        <w:rFonts w:hint="default" w:ascii="Wingdings" w:hAnsi="Wingdings"/>
      </w:rPr>
    </w:lvl>
    <w:lvl w:ilvl="5" w:tentative="0">
      <w:start w:val="1"/>
      <w:numFmt w:val="bullet"/>
      <w:lvlText w:val=""/>
      <w:lvlJc w:val="left"/>
      <w:pPr>
        <w:tabs>
          <w:tab w:val="left" w:pos="4845"/>
        </w:tabs>
        <w:ind w:left="4845" w:hanging="420"/>
      </w:pPr>
      <w:rPr>
        <w:rFonts w:hint="default" w:ascii="Wingdings" w:hAnsi="Wingdings"/>
      </w:rPr>
    </w:lvl>
    <w:lvl w:ilvl="6" w:tentative="0">
      <w:start w:val="1"/>
      <w:numFmt w:val="bullet"/>
      <w:lvlText w:val=""/>
      <w:lvlJc w:val="left"/>
      <w:pPr>
        <w:tabs>
          <w:tab w:val="left" w:pos="5265"/>
        </w:tabs>
        <w:ind w:left="5265" w:hanging="420"/>
      </w:pPr>
      <w:rPr>
        <w:rFonts w:hint="default" w:ascii="Wingdings" w:hAnsi="Wingdings"/>
      </w:rPr>
    </w:lvl>
    <w:lvl w:ilvl="7" w:tentative="0">
      <w:start w:val="1"/>
      <w:numFmt w:val="bullet"/>
      <w:lvlText w:val=""/>
      <w:lvlJc w:val="left"/>
      <w:pPr>
        <w:tabs>
          <w:tab w:val="left" w:pos="5685"/>
        </w:tabs>
        <w:ind w:left="5685" w:hanging="420"/>
      </w:pPr>
      <w:rPr>
        <w:rFonts w:hint="default" w:ascii="Wingdings" w:hAnsi="Wingdings"/>
      </w:rPr>
    </w:lvl>
    <w:lvl w:ilvl="8" w:tentative="0">
      <w:start w:val="1"/>
      <w:numFmt w:val="bullet"/>
      <w:lvlText w:val=""/>
      <w:lvlJc w:val="left"/>
      <w:pPr>
        <w:tabs>
          <w:tab w:val="left" w:pos="6105"/>
        </w:tabs>
        <w:ind w:left="6105" w:hanging="420"/>
      </w:pPr>
      <w:rPr>
        <w:rFonts w:hint="default" w:ascii="Wingdings" w:hAnsi="Wingdings"/>
      </w:rPr>
    </w:lvl>
  </w:abstractNum>
  <w:abstractNum w:abstractNumId="5">
    <w:nsid w:val="0000001B"/>
    <w:multiLevelType w:val="singleLevel"/>
    <w:tmpl w:val="0000001B"/>
    <w:lvl w:ilvl="0" w:tentative="0">
      <w:start w:val="1"/>
      <w:numFmt w:val="decimal"/>
      <w:lvlText w:val="%1."/>
      <w:lvlJc w:val="left"/>
      <w:pPr>
        <w:tabs>
          <w:tab w:val="left" w:pos="762"/>
        </w:tabs>
        <w:ind w:left="762" w:hanging="210"/>
      </w:pPr>
      <w:rPr>
        <w:rFonts w:hint="eastAsia"/>
      </w:rPr>
    </w:lvl>
  </w:abstractNum>
  <w:abstractNum w:abstractNumId="6">
    <w:nsid w:val="0000001E"/>
    <w:multiLevelType w:val="multilevel"/>
    <w:tmpl w:val="0000001E"/>
    <w:lvl w:ilvl="0" w:tentative="0">
      <w:start w:val="1"/>
      <w:numFmt w:val="chineseCountingThousand"/>
      <w:lvlText w:val="第%1部分"/>
      <w:lvlJc w:val="left"/>
      <w:pPr>
        <w:tabs>
          <w:tab w:val="left" w:pos="1800"/>
        </w:tabs>
        <w:ind w:left="425" w:hanging="425"/>
      </w:pPr>
      <w:rPr>
        <w:rFonts w:hint="eastAsia"/>
        <w:lang w:val="en-US"/>
      </w:rPr>
    </w:lvl>
    <w:lvl w:ilvl="1" w:tentative="0">
      <w:start w:val="1"/>
      <w:numFmt w:val="decimal"/>
      <w:pStyle w:val="3"/>
      <w:isLgl/>
      <w:lvlText w:val="%1.%2"/>
      <w:lvlJc w:val="left"/>
      <w:pPr>
        <w:tabs>
          <w:tab w:val="left" w:pos="567"/>
        </w:tabs>
        <w:ind w:left="567" w:hanging="567"/>
      </w:pPr>
      <w:rPr>
        <w:rFonts w:hint="eastAsia"/>
      </w:rPr>
    </w:lvl>
    <w:lvl w:ilvl="2" w:tentative="0">
      <w:start w:val="1"/>
      <w:numFmt w:val="decimal"/>
      <w:isLgl/>
      <w:lvlText w:val="%1.%2.%3"/>
      <w:lvlJc w:val="left"/>
      <w:pPr>
        <w:tabs>
          <w:tab w:val="left" w:pos="1080"/>
        </w:tabs>
        <w:ind w:left="340" w:hanging="340"/>
      </w:pPr>
      <w:rPr>
        <w:rFonts w:hint="eastAsia"/>
      </w:rPr>
    </w:lvl>
    <w:lvl w:ilvl="3" w:tentative="0">
      <w:start w:val="1"/>
      <w:numFmt w:val="decimal"/>
      <w:isLgl/>
      <w:lvlText w:val="%1.%2.%3.%4"/>
      <w:lvlJc w:val="left"/>
      <w:pPr>
        <w:tabs>
          <w:tab w:val="left" w:pos="851"/>
        </w:tabs>
        <w:ind w:left="851" w:hanging="851"/>
      </w:pPr>
      <w:rPr>
        <w:rFonts w:hint="eastAsia"/>
      </w:rPr>
    </w:lvl>
    <w:lvl w:ilvl="4" w:tentative="0">
      <w:start w:val="1"/>
      <w:numFmt w:val="decimal"/>
      <w:isLgl/>
      <w:lvlText w:val="%1.%2.%3.%4.%5"/>
      <w:lvlJc w:val="left"/>
      <w:pPr>
        <w:tabs>
          <w:tab w:val="left" w:pos="1080"/>
        </w:tabs>
        <w:ind w:left="992" w:hanging="992"/>
      </w:pPr>
      <w:rPr>
        <w:rFonts w:hint="eastAsia"/>
      </w:rPr>
    </w:lvl>
    <w:lvl w:ilvl="5" w:tentative="0">
      <w:start w:val="1"/>
      <w:numFmt w:val="decimal"/>
      <w:isLgl/>
      <w:lvlText w:val="%1.%2.%3.%4.%5.%6"/>
      <w:lvlJc w:val="left"/>
      <w:pPr>
        <w:tabs>
          <w:tab w:val="left" w:pos="1440"/>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197842C0"/>
    <w:multiLevelType w:val="multilevel"/>
    <w:tmpl w:val="197842C0"/>
    <w:lvl w:ilvl="0" w:tentative="0">
      <w:start w:val="1"/>
      <w:numFmt w:val="decimal"/>
      <w:lvlText w:val="%1."/>
      <w:lvlJc w:val="left"/>
      <w:pPr>
        <w:tabs>
          <w:tab w:val="left" w:pos="1050"/>
        </w:tabs>
        <w:ind w:left="1050" w:hanging="420"/>
      </w:pPr>
      <w:rPr>
        <w:rFonts w:hint="eastAsia" w:cs="Times New Roman"/>
      </w:rPr>
    </w:lvl>
    <w:lvl w:ilvl="1" w:tentative="0">
      <w:start w:val="1"/>
      <w:numFmt w:val="decimalEnclosedCircle"/>
      <w:lvlText w:val="%2"/>
      <w:lvlJc w:val="left"/>
      <w:pPr>
        <w:tabs>
          <w:tab w:val="left" w:pos="927"/>
        </w:tabs>
        <w:ind w:left="927" w:hanging="360"/>
      </w:pPr>
      <w:rPr>
        <w:rFonts w:hint="eastAsia" w:cs="Times New Roman"/>
        <w:b w:val="0"/>
        <w:color w:val="auto"/>
      </w:rPr>
    </w:lvl>
    <w:lvl w:ilvl="2" w:tentative="0">
      <w:start w:val="1"/>
      <w:numFmt w:val="lowerRoman"/>
      <w:lvlText w:val="%3."/>
      <w:lvlJc w:val="right"/>
      <w:pPr>
        <w:tabs>
          <w:tab w:val="left" w:pos="1470"/>
        </w:tabs>
        <w:ind w:left="1470" w:hanging="420"/>
      </w:pPr>
      <w:rPr>
        <w:rFonts w:hint="eastAsia" w:cs="Times New Roman"/>
      </w:rPr>
    </w:lvl>
    <w:lvl w:ilvl="3" w:tentative="0">
      <w:start w:val="1"/>
      <w:numFmt w:val="decimal"/>
      <w:lvlText w:val="%4."/>
      <w:lvlJc w:val="left"/>
      <w:pPr>
        <w:tabs>
          <w:tab w:val="left" w:pos="1890"/>
        </w:tabs>
        <w:ind w:left="1890" w:hanging="420"/>
      </w:pPr>
      <w:rPr>
        <w:rFonts w:hint="eastAsia" w:cs="Times New Roman"/>
      </w:rPr>
    </w:lvl>
    <w:lvl w:ilvl="4" w:tentative="0">
      <w:start w:val="1"/>
      <w:numFmt w:val="lowerLetter"/>
      <w:lvlText w:val="%5)"/>
      <w:lvlJc w:val="left"/>
      <w:pPr>
        <w:tabs>
          <w:tab w:val="left" w:pos="2310"/>
        </w:tabs>
        <w:ind w:left="2310" w:hanging="420"/>
      </w:pPr>
      <w:rPr>
        <w:rFonts w:hint="eastAsia" w:cs="Times New Roman"/>
      </w:rPr>
    </w:lvl>
    <w:lvl w:ilvl="5" w:tentative="0">
      <w:start w:val="1"/>
      <w:numFmt w:val="lowerRoman"/>
      <w:lvlText w:val="%6."/>
      <w:lvlJc w:val="right"/>
      <w:pPr>
        <w:tabs>
          <w:tab w:val="left" w:pos="2730"/>
        </w:tabs>
        <w:ind w:left="2730" w:hanging="420"/>
      </w:pPr>
      <w:rPr>
        <w:rFonts w:hint="eastAsia" w:cs="Times New Roman"/>
      </w:rPr>
    </w:lvl>
    <w:lvl w:ilvl="6" w:tentative="0">
      <w:start w:val="1"/>
      <w:numFmt w:val="decimal"/>
      <w:lvlText w:val="%7."/>
      <w:lvlJc w:val="left"/>
      <w:pPr>
        <w:tabs>
          <w:tab w:val="left" w:pos="3150"/>
        </w:tabs>
        <w:ind w:left="3150" w:hanging="420"/>
      </w:pPr>
      <w:rPr>
        <w:rFonts w:hint="eastAsia" w:cs="Times New Roman"/>
      </w:rPr>
    </w:lvl>
    <w:lvl w:ilvl="7" w:tentative="0">
      <w:start w:val="1"/>
      <w:numFmt w:val="lowerLetter"/>
      <w:lvlText w:val="%8)"/>
      <w:lvlJc w:val="left"/>
      <w:pPr>
        <w:tabs>
          <w:tab w:val="left" w:pos="3570"/>
        </w:tabs>
        <w:ind w:left="3570" w:hanging="420"/>
      </w:pPr>
      <w:rPr>
        <w:rFonts w:hint="eastAsia" w:cs="Times New Roman"/>
      </w:rPr>
    </w:lvl>
    <w:lvl w:ilvl="8" w:tentative="0">
      <w:start w:val="1"/>
      <w:numFmt w:val="lowerRoman"/>
      <w:lvlText w:val="%9."/>
      <w:lvlJc w:val="right"/>
      <w:pPr>
        <w:tabs>
          <w:tab w:val="left" w:pos="3990"/>
        </w:tabs>
        <w:ind w:left="3990" w:hanging="420"/>
      </w:pPr>
      <w:rPr>
        <w:rFonts w:hint="eastAsia" w:cs="Times New Roman"/>
      </w:rPr>
    </w:lvl>
  </w:abstractNum>
  <w:abstractNum w:abstractNumId="8">
    <w:nsid w:val="26D85E2D"/>
    <w:multiLevelType w:val="multilevel"/>
    <w:tmpl w:val="26D85E2D"/>
    <w:lvl w:ilvl="0" w:tentative="0">
      <w:start w:val="1"/>
      <w:numFmt w:val="decimal"/>
      <w:lvlText w:val="%1．"/>
      <w:lvlJc w:val="left"/>
      <w:pPr>
        <w:tabs>
          <w:tab w:val="left" w:pos="1288"/>
        </w:tabs>
        <w:ind w:left="1288" w:hanging="720"/>
      </w:pPr>
      <w:rPr>
        <w:rFonts w:hint="eastAsia" w:cs="Times New Roman"/>
        <w:b w:val="0"/>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3A49A24B"/>
    <w:multiLevelType w:val="singleLevel"/>
    <w:tmpl w:val="3A49A24B"/>
    <w:lvl w:ilvl="0" w:tentative="0">
      <w:start w:val="5"/>
      <w:numFmt w:val="chineseCounting"/>
      <w:suff w:val="space"/>
      <w:lvlText w:val="第%1部分."/>
      <w:lvlJc w:val="left"/>
      <w:rPr>
        <w:rFonts w:hint="eastAsia"/>
      </w:rPr>
    </w:lvl>
  </w:abstractNum>
  <w:abstractNum w:abstractNumId="10">
    <w:nsid w:val="3EC72376"/>
    <w:multiLevelType w:val="multilevel"/>
    <w:tmpl w:val="3EC72376"/>
    <w:lvl w:ilvl="0" w:tentative="0">
      <w:start w:val="8"/>
      <w:numFmt w:val="japaneseCounting"/>
      <w:lvlText w:val="（%1）"/>
      <w:lvlJc w:val="left"/>
      <w:pPr>
        <w:ind w:left="1239" w:hanging="720"/>
      </w:pPr>
      <w:rPr>
        <w:rFonts w:hint="default" w:hAnsi="宋体"/>
      </w:rPr>
    </w:lvl>
    <w:lvl w:ilvl="1" w:tentative="0">
      <w:start w:val="1"/>
      <w:numFmt w:val="lowerLetter"/>
      <w:lvlText w:val="%2)"/>
      <w:lvlJc w:val="left"/>
      <w:pPr>
        <w:ind w:left="1359" w:hanging="420"/>
      </w:pPr>
    </w:lvl>
    <w:lvl w:ilvl="2" w:tentative="0">
      <w:start w:val="1"/>
      <w:numFmt w:val="lowerRoman"/>
      <w:lvlText w:val="%3."/>
      <w:lvlJc w:val="right"/>
      <w:pPr>
        <w:ind w:left="1779" w:hanging="420"/>
      </w:pPr>
    </w:lvl>
    <w:lvl w:ilvl="3" w:tentative="0">
      <w:start w:val="1"/>
      <w:numFmt w:val="decimal"/>
      <w:lvlText w:val="%4."/>
      <w:lvlJc w:val="left"/>
      <w:pPr>
        <w:ind w:left="2199" w:hanging="420"/>
      </w:pPr>
    </w:lvl>
    <w:lvl w:ilvl="4" w:tentative="0">
      <w:start w:val="1"/>
      <w:numFmt w:val="lowerLetter"/>
      <w:lvlText w:val="%5)"/>
      <w:lvlJc w:val="left"/>
      <w:pPr>
        <w:ind w:left="2619" w:hanging="420"/>
      </w:pPr>
    </w:lvl>
    <w:lvl w:ilvl="5" w:tentative="0">
      <w:start w:val="1"/>
      <w:numFmt w:val="lowerRoman"/>
      <w:lvlText w:val="%6."/>
      <w:lvlJc w:val="right"/>
      <w:pPr>
        <w:ind w:left="3039" w:hanging="420"/>
      </w:pPr>
    </w:lvl>
    <w:lvl w:ilvl="6" w:tentative="0">
      <w:start w:val="1"/>
      <w:numFmt w:val="decimal"/>
      <w:lvlText w:val="%7."/>
      <w:lvlJc w:val="left"/>
      <w:pPr>
        <w:ind w:left="3459" w:hanging="420"/>
      </w:pPr>
    </w:lvl>
    <w:lvl w:ilvl="7" w:tentative="0">
      <w:start w:val="1"/>
      <w:numFmt w:val="lowerLetter"/>
      <w:lvlText w:val="%8)"/>
      <w:lvlJc w:val="left"/>
      <w:pPr>
        <w:ind w:left="3879" w:hanging="420"/>
      </w:pPr>
    </w:lvl>
    <w:lvl w:ilvl="8" w:tentative="0">
      <w:start w:val="1"/>
      <w:numFmt w:val="lowerRoman"/>
      <w:lvlText w:val="%9."/>
      <w:lvlJc w:val="right"/>
      <w:pPr>
        <w:ind w:left="4299" w:hanging="420"/>
      </w:pPr>
    </w:lvl>
  </w:abstractNum>
  <w:abstractNum w:abstractNumId="11">
    <w:nsid w:val="41DC48F5"/>
    <w:multiLevelType w:val="multilevel"/>
    <w:tmpl w:val="41DC48F5"/>
    <w:lvl w:ilvl="0" w:tentative="0">
      <w:start w:val="1"/>
      <w:numFmt w:val="decimal"/>
      <w:lvlText w:val="%1．"/>
      <w:lvlJc w:val="left"/>
      <w:pPr>
        <w:tabs>
          <w:tab w:val="left" w:pos="898"/>
        </w:tabs>
        <w:ind w:left="898" w:hanging="720"/>
      </w:pPr>
      <w:rPr>
        <w:rFonts w:hint="eastAsia"/>
      </w:rPr>
    </w:lvl>
    <w:lvl w:ilvl="1" w:tentative="0">
      <w:start w:val="3"/>
      <w:numFmt w:val="decimal"/>
      <w:lvlText w:val="%2."/>
      <w:lvlJc w:val="left"/>
      <w:pPr>
        <w:tabs>
          <w:tab w:val="left" w:pos="958"/>
        </w:tabs>
        <w:ind w:left="958" w:hanging="360"/>
      </w:pPr>
      <w:rPr>
        <w:rFonts w:hint="default"/>
      </w:rPr>
    </w:lvl>
    <w:lvl w:ilvl="2" w:tentative="0">
      <w:start w:val="1"/>
      <w:numFmt w:val="decimalEnclosedCircle"/>
      <w:lvlText w:val="%3"/>
      <w:lvlJc w:val="left"/>
      <w:pPr>
        <w:tabs>
          <w:tab w:val="left" w:pos="1777"/>
        </w:tabs>
        <w:ind w:left="1777" w:hanging="360"/>
      </w:pPr>
      <w:rPr>
        <w:rFonts w:asciiTheme="minorEastAsia" w:hAnsiTheme="minorEastAsia" w:eastAsiaTheme="minorEastAsia" w:cstheme="minorBidi"/>
        <w:color w:val="auto"/>
      </w:rPr>
    </w:lvl>
    <w:lvl w:ilvl="3" w:tentative="0">
      <w:start w:val="1"/>
      <w:numFmt w:val="decimal"/>
      <w:lvlText w:val="%4."/>
      <w:lvlJc w:val="left"/>
      <w:pPr>
        <w:tabs>
          <w:tab w:val="left" w:pos="1858"/>
        </w:tabs>
        <w:ind w:left="1858" w:hanging="420"/>
      </w:pPr>
    </w:lvl>
    <w:lvl w:ilvl="4" w:tentative="0">
      <w:start w:val="1"/>
      <w:numFmt w:val="lowerLetter"/>
      <w:lvlText w:val="%5)"/>
      <w:lvlJc w:val="left"/>
      <w:pPr>
        <w:tabs>
          <w:tab w:val="left" w:pos="2278"/>
        </w:tabs>
        <w:ind w:left="2278" w:hanging="420"/>
      </w:pPr>
    </w:lvl>
    <w:lvl w:ilvl="5" w:tentative="0">
      <w:start w:val="1"/>
      <w:numFmt w:val="lowerRoman"/>
      <w:lvlText w:val="%6."/>
      <w:lvlJc w:val="right"/>
      <w:pPr>
        <w:tabs>
          <w:tab w:val="left" w:pos="2698"/>
        </w:tabs>
        <w:ind w:left="2698" w:hanging="420"/>
      </w:pPr>
    </w:lvl>
    <w:lvl w:ilvl="6" w:tentative="0">
      <w:start w:val="1"/>
      <w:numFmt w:val="decimal"/>
      <w:lvlText w:val="%7."/>
      <w:lvlJc w:val="left"/>
      <w:pPr>
        <w:tabs>
          <w:tab w:val="left" w:pos="3118"/>
        </w:tabs>
        <w:ind w:left="3118" w:hanging="420"/>
      </w:pPr>
    </w:lvl>
    <w:lvl w:ilvl="7" w:tentative="0">
      <w:start w:val="1"/>
      <w:numFmt w:val="lowerLetter"/>
      <w:lvlText w:val="%8)"/>
      <w:lvlJc w:val="left"/>
      <w:pPr>
        <w:tabs>
          <w:tab w:val="left" w:pos="3538"/>
        </w:tabs>
        <w:ind w:left="3538" w:hanging="420"/>
      </w:pPr>
    </w:lvl>
    <w:lvl w:ilvl="8" w:tentative="0">
      <w:start w:val="1"/>
      <w:numFmt w:val="lowerRoman"/>
      <w:lvlText w:val="%9."/>
      <w:lvlJc w:val="right"/>
      <w:pPr>
        <w:tabs>
          <w:tab w:val="left" w:pos="3958"/>
        </w:tabs>
        <w:ind w:left="3958" w:hanging="420"/>
      </w:pPr>
    </w:lvl>
  </w:abstractNum>
  <w:abstractNum w:abstractNumId="12">
    <w:nsid w:val="46201115"/>
    <w:multiLevelType w:val="singleLevel"/>
    <w:tmpl w:val="46201115"/>
    <w:lvl w:ilvl="0" w:tentative="0">
      <w:start w:val="1"/>
      <w:numFmt w:val="chineseCounting"/>
      <w:suff w:val="space"/>
      <w:lvlText w:val="%1."/>
      <w:lvlJc w:val="left"/>
      <w:rPr>
        <w:rFonts w:hint="eastAsia"/>
      </w:rPr>
    </w:lvl>
  </w:abstractNum>
  <w:abstractNum w:abstractNumId="13">
    <w:nsid w:val="4B320AA5"/>
    <w:multiLevelType w:val="multilevel"/>
    <w:tmpl w:val="4B320AA5"/>
    <w:lvl w:ilvl="0" w:tentative="0">
      <w:start w:val="1"/>
      <w:numFmt w:val="decimalEnclosedCircle"/>
      <w:lvlText w:val="%1"/>
      <w:lvlJc w:val="left"/>
      <w:pPr>
        <w:tabs>
          <w:tab w:val="left" w:pos="570"/>
        </w:tabs>
        <w:ind w:left="570" w:hanging="360"/>
      </w:pPr>
      <w:rPr>
        <w:rFonts w:hint="default"/>
      </w:rPr>
    </w:lvl>
    <w:lvl w:ilvl="1" w:tentative="0">
      <w:start w:val="2"/>
      <w:numFmt w:val="bullet"/>
      <w:lvlText w:val="★"/>
      <w:lvlJc w:val="left"/>
      <w:pPr>
        <w:tabs>
          <w:tab w:val="left" w:pos="990"/>
        </w:tabs>
        <w:ind w:left="990" w:hanging="360"/>
      </w:pPr>
      <w:rPr>
        <w:rFonts w:hint="eastAsia" w:ascii="宋体" w:hAnsi="宋体" w:eastAsia="宋体" w:cs="Times New Roman"/>
      </w:r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14">
    <w:nsid w:val="510B6456"/>
    <w:multiLevelType w:val="singleLevel"/>
    <w:tmpl w:val="510B6456"/>
    <w:lvl w:ilvl="0" w:tentative="0">
      <w:start w:val="1"/>
      <w:numFmt w:val="decimal"/>
      <w:lvlText w:val="%1．"/>
      <w:lvlJc w:val="left"/>
      <w:pPr>
        <w:tabs>
          <w:tab w:val="left" w:pos="552"/>
        </w:tabs>
        <w:ind w:left="552" w:hanging="420"/>
      </w:pPr>
      <w:rPr>
        <w:rFonts w:hint="eastAsia" w:cs="Times New Roman"/>
      </w:rPr>
    </w:lvl>
  </w:abstractNum>
  <w:abstractNum w:abstractNumId="15">
    <w:nsid w:val="59FFBECC"/>
    <w:multiLevelType w:val="singleLevel"/>
    <w:tmpl w:val="59FFBECC"/>
    <w:lvl w:ilvl="0" w:tentative="0">
      <w:start w:val="1"/>
      <w:numFmt w:val="chineseCounting"/>
      <w:suff w:val="nothing"/>
      <w:lvlText w:val="%1．"/>
      <w:lvlJc w:val="left"/>
      <w:rPr>
        <w:rFonts w:cs="Times New Roman"/>
      </w:rPr>
    </w:lvl>
  </w:abstractNum>
  <w:abstractNum w:abstractNumId="16">
    <w:nsid w:val="5D7EC1A1"/>
    <w:multiLevelType w:val="singleLevel"/>
    <w:tmpl w:val="5D7EC1A1"/>
    <w:lvl w:ilvl="0" w:tentative="0">
      <w:start w:val="2"/>
      <w:numFmt w:val="decimal"/>
      <w:suff w:val="nothing"/>
      <w:lvlText w:val="（%1）"/>
      <w:lvlJc w:val="left"/>
    </w:lvl>
  </w:abstractNum>
  <w:abstractNum w:abstractNumId="17">
    <w:nsid w:val="64607A38"/>
    <w:multiLevelType w:val="multilevel"/>
    <w:tmpl w:val="64607A38"/>
    <w:lvl w:ilvl="0" w:tentative="0">
      <w:start w:val="1"/>
      <w:numFmt w:val="chineseCountingThousand"/>
      <w:lvlText w:val="%1．"/>
      <w:lvlJc w:val="left"/>
      <w:pPr>
        <w:tabs>
          <w:tab w:val="left" w:pos="552"/>
        </w:tabs>
        <w:ind w:left="552"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0"/>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8">
    <w:nsid w:val="666030AB"/>
    <w:multiLevelType w:val="multilevel"/>
    <w:tmpl w:val="666030AB"/>
    <w:lvl w:ilvl="0" w:tentative="0">
      <w:start w:val="1"/>
      <w:numFmt w:val="decimal"/>
      <w:lvlText w:val="（%1）"/>
      <w:lvlJc w:val="left"/>
      <w:pPr>
        <w:tabs>
          <w:tab w:val="left" w:pos="1710"/>
        </w:tabs>
        <w:ind w:left="1710" w:hanging="720"/>
      </w:pPr>
      <w:rPr>
        <w:rFonts w:hint="eastAsia" w:cs="Times New Roman"/>
      </w:rPr>
    </w:lvl>
    <w:lvl w:ilvl="1" w:tentative="0">
      <w:start w:val="2"/>
      <w:numFmt w:val="decimal"/>
      <w:lvlText w:val="%2."/>
      <w:lvlJc w:val="left"/>
      <w:pPr>
        <w:tabs>
          <w:tab w:val="left" w:pos="1770"/>
        </w:tabs>
        <w:ind w:left="1770" w:hanging="360"/>
      </w:pPr>
      <w:rPr>
        <w:rFonts w:hint="default" w:cs="Times New Roman"/>
      </w:rPr>
    </w:lvl>
    <w:lvl w:ilvl="2" w:tentative="0">
      <w:start w:val="1"/>
      <w:numFmt w:val="lowerRoman"/>
      <w:lvlText w:val="%3."/>
      <w:lvlJc w:val="right"/>
      <w:pPr>
        <w:tabs>
          <w:tab w:val="left" w:pos="2250"/>
        </w:tabs>
        <w:ind w:left="2250" w:hanging="420"/>
      </w:pPr>
      <w:rPr>
        <w:rFonts w:cs="Times New Roman"/>
      </w:rPr>
    </w:lvl>
    <w:lvl w:ilvl="3" w:tentative="0">
      <w:start w:val="1"/>
      <w:numFmt w:val="decimal"/>
      <w:lvlText w:val="%4."/>
      <w:lvlJc w:val="left"/>
      <w:pPr>
        <w:tabs>
          <w:tab w:val="left" w:pos="2670"/>
        </w:tabs>
        <w:ind w:left="2670" w:hanging="420"/>
      </w:pPr>
      <w:rPr>
        <w:rFonts w:cs="Times New Roman"/>
      </w:rPr>
    </w:lvl>
    <w:lvl w:ilvl="4" w:tentative="0">
      <w:start w:val="1"/>
      <w:numFmt w:val="lowerLetter"/>
      <w:lvlText w:val="%5)"/>
      <w:lvlJc w:val="left"/>
      <w:pPr>
        <w:tabs>
          <w:tab w:val="left" w:pos="3090"/>
        </w:tabs>
        <w:ind w:left="3090" w:hanging="420"/>
      </w:pPr>
      <w:rPr>
        <w:rFonts w:cs="Times New Roman"/>
      </w:rPr>
    </w:lvl>
    <w:lvl w:ilvl="5" w:tentative="0">
      <w:start w:val="1"/>
      <w:numFmt w:val="lowerRoman"/>
      <w:lvlText w:val="%6."/>
      <w:lvlJc w:val="right"/>
      <w:pPr>
        <w:tabs>
          <w:tab w:val="left" w:pos="3510"/>
        </w:tabs>
        <w:ind w:left="3510" w:hanging="420"/>
      </w:pPr>
      <w:rPr>
        <w:rFonts w:cs="Times New Roman"/>
      </w:rPr>
    </w:lvl>
    <w:lvl w:ilvl="6" w:tentative="0">
      <w:start w:val="1"/>
      <w:numFmt w:val="decimal"/>
      <w:lvlText w:val="%7."/>
      <w:lvlJc w:val="left"/>
      <w:pPr>
        <w:tabs>
          <w:tab w:val="left" w:pos="3930"/>
        </w:tabs>
        <w:ind w:left="3930" w:hanging="420"/>
      </w:pPr>
      <w:rPr>
        <w:rFonts w:cs="Times New Roman"/>
      </w:rPr>
    </w:lvl>
    <w:lvl w:ilvl="7" w:tentative="0">
      <w:start w:val="1"/>
      <w:numFmt w:val="lowerLetter"/>
      <w:lvlText w:val="%8)"/>
      <w:lvlJc w:val="left"/>
      <w:pPr>
        <w:tabs>
          <w:tab w:val="left" w:pos="4350"/>
        </w:tabs>
        <w:ind w:left="4350" w:hanging="420"/>
      </w:pPr>
      <w:rPr>
        <w:rFonts w:cs="Times New Roman"/>
      </w:rPr>
    </w:lvl>
    <w:lvl w:ilvl="8" w:tentative="0">
      <w:start w:val="1"/>
      <w:numFmt w:val="lowerRoman"/>
      <w:lvlText w:val="%9."/>
      <w:lvlJc w:val="right"/>
      <w:pPr>
        <w:tabs>
          <w:tab w:val="left" w:pos="4770"/>
        </w:tabs>
        <w:ind w:left="4770" w:hanging="420"/>
      </w:pPr>
      <w:rPr>
        <w:rFonts w:cs="Times New Roman"/>
      </w:rPr>
    </w:lvl>
  </w:abstractNum>
  <w:abstractNum w:abstractNumId="19">
    <w:nsid w:val="7A4340BD"/>
    <w:multiLevelType w:val="multilevel"/>
    <w:tmpl w:val="7A4340BD"/>
    <w:lvl w:ilvl="0" w:tentative="0">
      <w:start w:val="1"/>
      <w:numFmt w:val="japaneseCounting"/>
      <w:lvlText w:val="（%1）"/>
      <w:lvlJc w:val="left"/>
      <w:pPr>
        <w:tabs>
          <w:tab w:val="left" w:pos="1380"/>
        </w:tabs>
        <w:ind w:left="1380" w:hanging="855"/>
      </w:pPr>
      <w:rPr>
        <w:rFonts w:hint="eastAsia" w:cs="Times New Roman"/>
      </w:rPr>
    </w:lvl>
    <w:lvl w:ilvl="1" w:tentative="0">
      <w:start w:val="3"/>
      <w:numFmt w:val="decimal"/>
      <w:lvlText w:val="%2."/>
      <w:lvlJc w:val="left"/>
      <w:pPr>
        <w:tabs>
          <w:tab w:val="left" w:pos="1650"/>
        </w:tabs>
        <w:ind w:left="1650" w:hanging="705"/>
      </w:pPr>
      <w:rPr>
        <w:rFonts w:hint="default" w:cs="Times New Roman"/>
      </w:rPr>
    </w:lvl>
    <w:lvl w:ilvl="2" w:tentative="0">
      <w:start w:val="1"/>
      <w:numFmt w:val="decimal"/>
      <w:lvlText w:val="%3."/>
      <w:lvlJc w:val="left"/>
      <w:pPr>
        <w:tabs>
          <w:tab w:val="left" w:pos="2265"/>
        </w:tabs>
        <w:ind w:left="2265" w:hanging="900"/>
      </w:pPr>
      <w:rPr>
        <w:rFonts w:hint="eastAsia" w:cs="Times New Roman"/>
      </w:rPr>
    </w:lvl>
    <w:lvl w:ilvl="3" w:tentative="0">
      <w:start w:val="1"/>
      <w:numFmt w:val="decimal"/>
      <w:lvlText w:val="（%4）"/>
      <w:lvlJc w:val="left"/>
      <w:pPr>
        <w:tabs>
          <w:tab w:val="left" w:pos="2505"/>
        </w:tabs>
        <w:ind w:left="2505" w:hanging="720"/>
      </w:pPr>
      <w:rPr>
        <w:rFonts w:hint="eastAsia" w:ascii="宋体" w:hAnsi="宋体" w:eastAsia="宋体" w:cs="Times New Roman"/>
        <w:sz w:val="24"/>
        <w:szCs w:val="24"/>
      </w:rPr>
    </w:lvl>
    <w:lvl w:ilvl="4" w:tentative="0">
      <w:start w:val="1"/>
      <w:numFmt w:val="lowerLetter"/>
      <w:lvlText w:val="%5."/>
      <w:lvlJc w:val="left"/>
      <w:pPr>
        <w:tabs>
          <w:tab w:val="left" w:pos="2565"/>
        </w:tabs>
        <w:ind w:left="2565" w:hanging="360"/>
      </w:pPr>
      <w:rPr>
        <w:rFonts w:hint="eastAsia" w:cs="Times New Roman"/>
      </w:rPr>
    </w:lvl>
    <w:lvl w:ilvl="5" w:tentative="0">
      <w:start w:val="1"/>
      <w:numFmt w:val="decimal"/>
      <w:lvlText w:val="%6．"/>
      <w:lvlJc w:val="left"/>
      <w:pPr>
        <w:tabs>
          <w:tab w:val="left" w:pos="3345"/>
        </w:tabs>
        <w:ind w:left="3345" w:hanging="720"/>
      </w:pPr>
      <w:rPr>
        <w:rFonts w:hint="eastAsia" w:cs="Times New Roman"/>
      </w:rPr>
    </w:lvl>
    <w:lvl w:ilvl="6" w:tentative="0">
      <w:start w:val="2"/>
      <w:numFmt w:val="decimal"/>
      <w:lvlText w:val="%7、"/>
      <w:lvlJc w:val="left"/>
      <w:pPr>
        <w:tabs>
          <w:tab w:val="left" w:pos="3405"/>
        </w:tabs>
        <w:ind w:left="3405" w:hanging="360"/>
      </w:pPr>
      <w:rPr>
        <w:rFonts w:hint="default" w:cs="Times New Roman"/>
      </w:rPr>
    </w:lvl>
    <w:lvl w:ilvl="7" w:tentative="0">
      <w:start w:val="1"/>
      <w:numFmt w:val="lowerLetter"/>
      <w:lvlText w:val="%8)"/>
      <w:lvlJc w:val="left"/>
      <w:pPr>
        <w:tabs>
          <w:tab w:val="left" w:pos="3885"/>
        </w:tabs>
        <w:ind w:left="3885" w:hanging="420"/>
      </w:pPr>
      <w:rPr>
        <w:rFonts w:cs="Times New Roman"/>
      </w:rPr>
    </w:lvl>
    <w:lvl w:ilvl="8" w:tentative="0">
      <w:start w:val="1"/>
      <w:numFmt w:val="lowerRoman"/>
      <w:lvlText w:val="%9."/>
      <w:lvlJc w:val="right"/>
      <w:pPr>
        <w:tabs>
          <w:tab w:val="left" w:pos="4305"/>
        </w:tabs>
        <w:ind w:left="4305" w:hanging="420"/>
      </w:pPr>
      <w:rPr>
        <w:rFonts w:cs="Times New Roman"/>
      </w:rPr>
    </w:lvl>
  </w:abstractNum>
  <w:abstractNum w:abstractNumId="20">
    <w:nsid w:val="7E0C7403"/>
    <w:multiLevelType w:val="multilevel"/>
    <w:tmpl w:val="7E0C7403"/>
    <w:lvl w:ilvl="0" w:tentative="0">
      <w:start w:val="1"/>
      <w:numFmt w:val="japaneseCounting"/>
      <w:lvlText w:val="%1、"/>
      <w:lvlJc w:val="left"/>
      <w:pPr>
        <w:tabs>
          <w:tab w:val="left" w:pos="450"/>
        </w:tabs>
        <w:ind w:left="450" w:hanging="45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6"/>
  </w:num>
  <w:num w:numId="2">
    <w:abstractNumId w:val="4"/>
  </w:num>
  <w:num w:numId="3">
    <w:abstractNumId w:val="12"/>
  </w:num>
  <w:num w:numId="4">
    <w:abstractNumId w:val="15"/>
  </w:num>
  <w:num w:numId="5">
    <w:abstractNumId w:val="2"/>
  </w:num>
  <w:num w:numId="6">
    <w:abstractNumId w:val="19"/>
  </w:num>
  <w:num w:numId="7">
    <w:abstractNumId w:val="14"/>
  </w:num>
  <w:num w:numId="8">
    <w:abstractNumId w:val="11"/>
  </w:num>
  <w:num w:numId="9">
    <w:abstractNumId w:val="7"/>
  </w:num>
  <w:num w:numId="10">
    <w:abstractNumId w:val="8"/>
  </w:num>
  <w:num w:numId="11">
    <w:abstractNumId w:val="5"/>
  </w:num>
  <w:num w:numId="12">
    <w:abstractNumId w:val="0"/>
  </w:num>
  <w:num w:numId="13">
    <w:abstractNumId w:val="16"/>
  </w:num>
  <w:num w:numId="14">
    <w:abstractNumId w:val="20"/>
  </w:num>
  <w:num w:numId="15">
    <w:abstractNumId w:val="13"/>
  </w:num>
  <w:num w:numId="16">
    <w:abstractNumId w:val="18"/>
  </w:num>
  <w:num w:numId="17">
    <w:abstractNumId w:val="10"/>
  </w:num>
  <w:num w:numId="18">
    <w:abstractNumId w:val="9"/>
  </w:num>
  <w:num w:numId="19">
    <w:abstractNumId w:val="17"/>
  </w:num>
  <w:num w:numId="20">
    <w:abstractNumId w:val="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hideSpellingErrors/>
  <w:documentProtection w:formatting="1"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4Yjg0OTJmMzI3NjRlMTE3MDEyYjdhZDllZDE1YTcifQ=="/>
  </w:docVars>
  <w:rsids>
    <w:rsidRoot w:val="00172A27"/>
    <w:rsid w:val="000032FE"/>
    <w:rsid w:val="00006C2F"/>
    <w:rsid w:val="00014827"/>
    <w:rsid w:val="00016ACF"/>
    <w:rsid w:val="00026FA4"/>
    <w:rsid w:val="0003488C"/>
    <w:rsid w:val="0004172D"/>
    <w:rsid w:val="00044592"/>
    <w:rsid w:val="0005409C"/>
    <w:rsid w:val="000601A1"/>
    <w:rsid w:val="0006173D"/>
    <w:rsid w:val="00062CCC"/>
    <w:rsid w:val="00071B1B"/>
    <w:rsid w:val="0007233B"/>
    <w:rsid w:val="000771F4"/>
    <w:rsid w:val="00080B8E"/>
    <w:rsid w:val="00085A06"/>
    <w:rsid w:val="000866D3"/>
    <w:rsid w:val="00093043"/>
    <w:rsid w:val="00094750"/>
    <w:rsid w:val="00094B19"/>
    <w:rsid w:val="00094B90"/>
    <w:rsid w:val="00095F87"/>
    <w:rsid w:val="0009612B"/>
    <w:rsid w:val="000979AF"/>
    <w:rsid w:val="000A4833"/>
    <w:rsid w:val="000C675B"/>
    <w:rsid w:val="000E3BA7"/>
    <w:rsid w:val="000F0509"/>
    <w:rsid w:val="000F2028"/>
    <w:rsid w:val="000F3EB6"/>
    <w:rsid w:val="000F79CE"/>
    <w:rsid w:val="00100F9C"/>
    <w:rsid w:val="0010672D"/>
    <w:rsid w:val="00113C01"/>
    <w:rsid w:val="00117C78"/>
    <w:rsid w:val="00123897"/>
    <w:rsid w:val="00124E16"/>
    <w:rsid w:val="0013096C"/>
    <w:rsid w:val="0014793C"/>
    <w:rsid w:val="00152E88"/>
    <w:rsid w:val="0015443A"/>
    <w:rsid w:val="001562BE"/>
    <w:rsid w:val="00156DC6"/>
    <w:rsid w:val="00161D0E"/>
    <w:rsid w:val="00166CBC"/>
    <w:rsid w:val="00172A27"/>
    <w:rsid w:val="001749D2"/>
    <w:rsid w:val="00182F31"/>
    <w:rsid w:val="00184A8B"/>
    <w:rsid w:val="001B6398"/>
    <w:rsid w:val="001B6EB4"/>
    <w:rsid w:val="001C2B03"/>
    <w:rsid w:val="001C353D"/>
    <w:rsid w:val="001D28E2"/>
    <w:rsid w:val="001E1BA2"/>
    <w:rsid w:val="001F1AC2"/>
    <w:rsid w:val="001F4C26"/>
    <w:rsid w:val="001F76D5"/>
    <w:rsid w:val="00213E4B"/>
    <w:rsid w:val="00215DB4"/>
    <w:rsid w:val="0021648E"/>
    <w:rsid w:val="00221318"/>
    <w:rsid w:val="00236E3B"/>
    <w:rsid w:val="00237EB9"/>
    <w:rsid w:val="0024595E"/>
    <w:rsid w:val="002473C7"/>
    <w:rsid w:val="00253AC2"/>
    <w:rsid w:val="00255BE2"/>
    <w:rsid w:val="00257C35"/>
    <w:rsid w:val="00257E47"/>
    <w:rsid w:val="002619B4"/>
    <w:rsid w:val="00264E27"/>
    <w:rsid w:val="0026556A"/>
    <w:rsid w:val="00270A99"/>
    <w:rsid w:val="0027410A"/>
    <w:rsid w:val="002767E5"/>
    <w:rsid w:val="00281FF9"/>
    <w:rsid w:val="0028275F"/>
    <w:rsid w:val="00291EE0"/>
    <w:rsid w:val="0029377B"/>
    <w:rsid w:val="002940C1"/>
    <w:rsid w:val="002A0089"/>
    <w:rsid w:val="002A0F3A"/>
    <w:rsid w:val="002A6DF0"/>
    <w:rsid w:val="002A752C"/>
    <w:rsid w:val="002B46C6"/>
    <w:rsid w:val="002B69CF"/>
    <w:rsid w:val="002B6AD9"/>
    <w:rsid w:val="002B74D9"/>
    <w:rsid w:val="002B7959"/>
    <w:rsid w:val="002D250A"/>
    <w:rsid w:val="002D3DF4"/>
    <w:rsid w:val="002D50FC"/>
    <w:rsid w:val="002D63B0"/>
    <w:rsid w:val="002D755C"/>
    <w:rsid w:val="002E3122"/>
    <w:rsid w:val="002F19A9"/>
    <w:rsid w:val="002F29E1"/>
    <w:rsid w:val="002F4C9C"/>
    <w:rsid w:val="002F7647"/>
    <w:rsid w:val="0030576F"/>
    <w:rsid w:val="0030615F"/>
    <w:rsid w:val="003066FE"/>
    <w:rsid w:val="00311661"/>
    <w:rsid w:val="003220F1"/>
    <w:rsid w:val="00326352"/>
    <w:rsid w:val="00331EF5"/>
    <w:rsid w:val="0033258B"/>
    <w:rsid w:val="003328F3"/>
    <w:rsid w:val="00337498"/>
    <w:rsid w:val="00340B48"/>
    <w:rsid w:val="0034512E"/>
    <w:rsid w:val="00351483"/>
    <w:rsid w:val="0035282B"/>
    <w:rsid w:val="003633A5"/>
    <w:rsid w:val="0036454D"/>
    <w:rsid w:val="00367337"/>
    <w:rsid w:val="00370105"/>
    <w:rsid w:val="00372DAC"/>
    <w:rsid w:val="00377694"/>
    <w:rsid w:val="0037790A"/>
    <w:rsid w:val="00380C8D"/>
    <w:rsid w:val="00381B49"/>
    <w:rsid w:val="0039123A"/>
    <w:rsid w:val="003A07E4"/>
    <w:rsid w:val="003A2C85"/>
    <w:rsid w:val="003A6AA9"/>
    <w:rsid w:val="003B0FFD"/>
    <w:rsid w:val="003B1D79"/>
    <w:rsid w:val="003B2FBD"/>
    <w:rsid w:val="003B5D97"/>
    <w:rsid w:val="003B6138"/>
    <w:rsid w:val="003C1224"/>
    <w:rsid w:val="003C53AE"/>
    <w:rsid w:val="003C63D8"/>
    <w:rsid w:val="003D3EDF"/>
    <w:rsid w:val="003D62C4"/>
    <w:rsid w:val="003E2D11"/>
    <w:rsid w:val="003E5438"/>
    <w:rsid w:val="00403932"/>
    <w:rsid w:val="004048EA"/>
    <w:rsid w:val="00404A7D"/>
    <w:rsid w:val="00411150"/>
    <w:rsid w:val="0041187B"/>
    <w:rsid w:val="00413994"/>
    <w:rsid w:val="00415DC6"/>
    <w:rsid w:val="004224BA"/>
    <w:rsid w:val="00424CA5"/>
    <w:rsid w:val="00431198"/>
    <w:rsid w:val="00431E40"/>
    <w:rsid w:val="00432D1C"/>
    <w:rsid w:val="004338DE"/>
    <w:rsid w:val="0043741C"/>
    <w:rsid w:val="004404E2"/>
    <w:rsid w:val="00445A62"/>
    <w:rsid w:val="0045268A"/>
    <w:rsid w:val="00454075"/>
    <w:rsid w:val="00463691"/>
    <w:rsid w:val="00467DEE"/>
    <w:rsid w:val="00470099"/>
    <w:rsid w:val="0047162F"/>
    <w:rsid w:val="00475295"/>
    <w:rsid w:val="004759D3"/>
    <w:rsid w:val="004A06A4"/>
    <w:rsid w:val="004A3EA8"/>
    <w:rsid w:val="004A609F"/>
    <w:rsid w:val="004B1F74"/>
    <w:rsid w:val="004B28CE"/>
    <w:rsid w:val="004C0937"/>
    <w:rsid w:val="004C0E64"/>
    <w:rsid w:val="004C323B"/>
    <w:rsid w:val="004E2956"/>
    <w:rsid w:val="004E3E68"/>
    <w:rsid w:val="004F02D6"/>
    <w:rsid w:val="004F4B79"/>
    <w:rsid w:val="00504F26"/>
    <w:rsid w:val="005075B1"/>
    <w:rsid w:val="005163E7"/>
    <w:rsid w:val="00516A29"/>
    <w:rsid w:val="005209AF"/>
    <w:rsid w:val="00527D79"/>
    <w:rsid w:val="0053563D"/>
    <w:rsid w:val="00535B83"/>
    <w:rsid w:val="0054650D"/>
    <w:rsid w:val="0055118C"/>
    <w:rsid w:val="00555066"/>
    <w:rsid w:val="0056069A"/>
    <w:rsid w:val="0056521A"/>
    <w:rsid w:val="00574D5E"/>
    <w:rsid w:val="00591C76"/>
    <w:rsid w:val="005941F2"/>
    <w:rsid w:val="0059618F"/>
    <w:rsid w:val="005A1EE0"/>
    <w:rsid w:val="005B64CF"/>
    <w:rsid w:val="005C3F40"/>
    <w:rsid w:val="005C54CC"/>
    <w:rsid w:val="005C6E14"/>
    <w:rsid w:val="005C7FC5"/>
    <w:rsid w:val="005D09A0"/>
    <w:rsid w:val="005D524F"/>
    <w:rsid w:val="005E0DE7"/>
    <w:rsid w:val="005E11DB"/>
    <w:rsid w:val="005E1BCB"/>
    <w:rsid w:val="005F47DF"/>
    <w:rsid w:val="00600C34"/>
    <w:rsid w:val="00601C34"/>
    <w:rsid w:val="00602FE0"/>
    <w:rsid w:val="00603AF9"/>
    <w:rsid w:val="00606296"/>
    <w:rsid w:val="00610FCE"/>
    <w:rsid w:val="00612E6D"/>
    <w:rsid w:val="00616FAE"/>
    <w:rsid w:val="00620445"/>
    <w:rsid w:val="00622294"/>
    <w:rsid w:val="00625D3A"/>
    <w:rsid w:val="00625F35"/>
    <w:rsid w:val="00627486"/>
    <w:rsid w:val="006325DD"/>
    <w:rsid w:val="006374D7"/>
    <w:rsid w:val="00642F31"/>
    <w:rsid w:val="0064515A"/>
    <w:rsid w:val="00645A32"/>
    <w:rsid w:val="00657CE5"/>
    <w:rsid w:val="0066004F"/>
    <w:rsid w:val="00664AB3"/>
    <w:rsid w:val="00674A8A"/>
    <w:rsid w:val="00681680"/>
    <w:rsid w:val="00683D9B"/>
    <w:rsid w:val="00684694"/>
    <w:rsid w:val="00693BE1"/>
    <w:rsid w:val="006A3E06"/>
    <w:rsid w:val="006A567E"/>
    <w:rsid w:val="006A7940"/>
    <w:rsid w:val="006B26D9"/>
    <w:rsid w:val="006B49F2"/>
    <w:rsid w:val="006B65EE"/>
    <w:rsid w:val="006C1F4A"/>
    <w:rsid w:val="006D6CD2"/>
    <w:rsid w:val="006D7A9C"/>
    <w:rsid w:val="006E6057"/>
    <w:rsid w:val="006F6B66"/>
    <w:rsid w:val="007000DA"/>
    <w:rsid w:val="00700FF5"/>
    <w:rsid w:val="007068AD"/>
    <w:rsid w:val="00714172"/>
    <w:rsid w:val="00716727"/>
    <w:rsid w:val="007255D3"/>
    <w:rsid w:val="00725B56"/>
    <w:rsid w:val="00727C30"/>
    <w:rsid w:val="007365F5"/>
    <w:rsid w:val="00737FB2"/>
    <w:rsid w:val="00740BD1"/>
    <w:rsid w:val="00742FFA"/>
    <w:rsid w:val="00745FC1"/>
    <w:rsid w:val="00745FF9"/>
    <w:rsid w:val="00750702"/>
    <w:rsid w:val="0075177D"/>
    <w:rsid w:val="00755810"/>
    <w:rsid w:val="00757291"/>
    <w:rsid w:val="00763566"/>
    <w:rsid w:val="00763CF2"/>
    <w:rsid w:val="00764285"/>
    <w:rsid w:val="00764C32"/>
    <w:rsid w:val="007700DE"/>
    <w:rsid w:val="00774383"/>
    <w:rsid w:val="007759CF"/>
    <w:rsid w:val="00775E7D"/>
    <w:rsid w:val="007776DC"/>
    <w:rsid w:val="0078441B"/>
    <w:rsid w:val="00785E65"/>
    <w:rsid w:val="00790CD3"/>
    <w:rsid w:val="00791F10"/>
    <w:rsid w:val="007A1882"/>
    <w:rsid w:val="007A2D5F"/>
    <w:rsid w:val="007A6EEE"/>
    <w:rsid w:val="007A7C9D"/>
    <w:rsid w:val="007B1D7C"/>
    <w:rsid w:val="007C01B1"/>
    <w:rsid w:val="007C0C9D"/>
    <w:rsid w:val="007C631E"/>
    <w:rsid w:val="007C6BB9"/>
    <w:rsid w:val="007C70BD"/>
    <w:rsid w:val="007C7A92"/>
    <w:rsid w:val="007D23A4"/>
    <w:rsid w:val="007D58B2"/>
    <w:rsid w:val="007E0B37"/>
    <w:rsid w:val="007E0F2F"/>
    <w:rsid w:val="007E37AD"/>
    <w:rsid w:val="007E5073"/>
    <w:rsid w:val="00804C8C"/>
    <w:rsid w:val="0080546A"/>
    <w:rsid w:val="008071DC"/>
    <w:rsid w:val="0081197D"/>
    <w:rsid w:val="0081277A"/>
    <w:rsid w:val="00813E78"/>
    <w:rsid w:val="008176BE"/>
    <w:rsid w:val="00820D75"/>
    <w:rsid w:val="00821452"/>
    <w:rsid w:val="008254E1"/>
    <w:rsid w:val="008319E2"/>
    <w:rsid w:val="0083288B"/>
    <w:rsid w:val="008346A5"/>
    <w:rsid w:val="00835DA1"/>
    <w:rsid w:val="00843D26"/>
    <w:rsid w:val="00844F60"/>
    <w:rsid w:val="00852CBC"/>
    <w:rsid w:val="008536FA"/>
    <w:rsid w:val="008550DA"/>
    <w:rsid w:val="00855821"/>
    <w:rsid w:val="00860D88"/>
    <w:rsid w:val="00862BEA"/>
    <w:rsid w:val="00871483"/>
    <w:rsid w:val="00874586"/>
    <w:rsid w:val="00874A81"/>
    <w:rsid w:val="00875359"/>
    <w:rsid w:val="0088067D"/>
    <w:rsid w:val="00887CEE"/>
    <w:rsid w:val="008906FA"/>
    <w:rsid w:val="00891821"/>
    <w:rsid w:val="0089518A"/>
    <w:rsid w:val="00895260"/>
    <w:rsid w:val="0089686A"/>
    <w:rsid w:val="008B0DAD"/>
    <w:rsid w:val="008B6DAF"/>
    <w:rsid w:val="008C02D4"/>
    <w:rsid w:val="008D1034"/>
    <w:rsid w:val="008D6BAA"/>
    <w:rsid w:val="008D7369"/>
    <w:rsid w:val="008E0765"/>
    <w:rsid w:val="008E224D"/>
    <w:rsid w:val="008E4D0D"/>
    <w:rsid w:val="008E5026"/>
    <w:rsid w:val="008F04DF"/>
    <w:rsid w:val="008F0B0F"/>
    <w:rsid w:val="008F1A37"/>
    <w:rsid w:val="00901081"/>
    <w:rsid w:val="00903094"/>
    <w:rsid w:val="00906EFD"/>
    <w:rsid w:val="009073B5"/>
    <w:rsid w:val="0091475C"/>
    <w:rsid w:val="00915A87"/>
    <w:rsid w:val="009264AE"/>
    <w:rsid w:val="009268AB"/>
    <w:rsid w:val="00926B02"/>
    <w:rsid w:val="00931EC1"/>
    <w:rsid w:val="00932242"/>
    <w:rsid w:val="009335F8"/>
    <w:rsid w:val="00944A98"/>
    <w:rsid w:val="00944B30"/>
    <w:rsid w:val="00950626"/>
    <w:rsid w:val="00951E6A"/>
    <w:rsid w:val="00956E88"/>
    <w:rsid w:val="0096248E"/>
    <w:rsid w:val="00967BA2"/>
    <w:rsid w:val="00990C1C"/>
    <w:rsid w:val="00993132"/>
    <w:rsid w:val="00994407"/>
    <w:rsid w:val="009A331A"/>
    <w:rsid w:val="009A36E4"/>
    <w:rsid w:val="009A37FE"/>
    <w:rsid w:val="009B1A12"/>
    <w:rsid w:val="009B1DD5"/>
    <w:rsid w:val="009B44DE"/>
    <w:rsid w:val="009B4575"/>
    <w:rsid w:val="009C044A"/>
    <w:rsid w:val="009C1609"/>
    <w:rsid w:val="009C255B"/>
    <w:rsid w:val="009C4F4D"/>
    <w:rsid w:val="009C5121"/>
    <w:rsid w:val="009C6F56"/>
    <w:rsid w:val="009C7D06"/>
    <w:rsid w:val="009E7DE2"/>
    <w:rsid w:val="009E7F2F"/>
    <w:rsid w:val="009F03A2"/>
    <w:rsid w:val="009F5FED"/>
    <w:rsid w:val="009F71C9"/>
    <w:rsid w:val="009F7A1B"/>
    <w:rsid w:val="00A00D44"/>
    <w:rsid w:val="00A02736"/>
    <w:rsid w:val="00A03CAB"/>
    <w:rsid w:val="00A054E8"/>
    <w:rsid w:val="00A10875"/>
    <w:rsid w:val="00A10EEB"/>
    <w:rsid w:val="00A2010A"/>
    <w:rsid w:val="00A2219F"/>
    <w:rsid w:val="00A34A46"/>
    <w:rsid w:val="00A470A8"/>
    <w:rsid w:val="00A562EC"/>
    <w:rsid w:val="00A57A4D"/>
    <w:rsid w:val="00A62235"/>
    <w:rsid w:val="00A63306"/>
    <w:rsid w:val="00A6491E"/>
    <w:rsid w:val="00A7160C"/>
    <w:rsid w:val="00A81D14"/>
    <w:rsid w:val="00A824F4"/>
    <w:rsid w:val="00A82878"/>
    <w:rsid w:val="00A86CDF"/>
    <w:rsid w:val="00A930AA"/>
    <w:rsid w:val="00A96E16"/>
    <w:rsid w:val="00AA0484"/>
    <w:rsid w:val="00AA4677"/>
    <w:rsid w:val="00AB405C"/>
    <w:rsid w:val="00AB52EE"/>
    <w:rsid w:val="00AB7577"/>
    <w:rsid w:val="00AD671F"/>
    <w:rsid w:val="00AF295B"/>
    <w:rsid w:val="00AF42FC"/>
    <w:rsid w:val="00AF5562"/>
    <w:rsid w:val="00B02BAF"/>
    <w:rsid w:val="00B03309"/>
    <w:rsid w:val="00B12420"/>
    <w:rsid w:val="00B13788"/>
    <w:rsid w:val="00B21959"/>
    <w:rsid w:val="00B35957"/>
    <w:rsid w:val="00B3781A"/>
    <w:rsid w:val="00B419E5"/>
    <w:rsid w:val="00B44213"/>
    <w:rsid w:val="00B44C16"/>
    <w:rsid w:val="00B526E6"/>
    <w:rsid w:val="00B53616"/>
    <w:rsid w:val="00B54626"/>
    <w:rsid w:val="00B60205"/>
    <w:rsid w:val="00B6099D"/>
    <w:rsid w:val="00B7556E"/>
    <w:rsid w:val="00B758C5"/>
    <w:rsid w:val="00B7640D"/>
    <w:rsid w:val="00B775E1"/>
    <w:rsid w:val="00B8343F"/>
    <w:rsid w:val="00B83A9E"/>
    <w:rsid w:val="00B85FE3"/>
    <w:rsid w:val="00B91E7F"/>
    <w:rsid w:val="00B921A5"/>
    <w:rsid w:val="00BA1622"/>
    <w:rsid w:val="00BB7DF4"/>
    <w:rsid w:val="00BC7934"/>
    <w:rsid w:val="00BD0999"/>
    <w:rsid w:val="00BD170F"/>
    <w:rsid w:val="00BD1772"/>
    <w:rsid w:val="00BD4500"/>
    <w:rsid w:val="00BD483B"/>
    <w:rsid w:val="00BD52A6"/>
    <w:rsid w:val="00BD65F4"/>
    <w:rsid w:val="00BE0D58"/>
    <w:rsid w:val="00BE275D"/>
    <w:rsid w:val="00BE5AB1"/>
    <w:rsid w:val="00BE6F2E"/>
    <w:rsid w:val="00BF5095"/>
    <w:rsid w:val="00BF5174"/>
    <w:rsid w:val="00BF793F"/>
    <w:rsid w:val="00C01906"/>
    <w:rsid w:val="00C01A46"/>
    <w:rsid w:val="00C01CEC"/>
    <w:rsid w:val="00C05034"/>
    <w:rsid w:val="00C10870"/>
    <w:rsid w:val="00C1209C"/>
    <w:rsid w:val="00C125AE"/>
    <w:rsid w:val="00C14607"/>
    <w:rsid w:val="00C15748"/>
    <w:rsid w:val="00C23097"/>
    <w:rsid w:val="00C24E5E"/>
    <w:rsid w:val="00C25666"/>
    <w:rsid w:val="00C31362"/>
    <w:rsid w:val="00C319E3"/>
    <w:rsid w:val="00C356B8"/>
    <w:rsid w:val="00C35FEF"/>
    <w:rsid w:val="00C40B01"/>
    <w:rsid w:val="00C416C6"/>
    <w:rsid w:val="00C42F14"/>
    <w:rsid w:val="00C440E0"/>
    <w:rsid w:val="00C459CF"/>
    <w:rsid w:val="00C50217"/>
    <w:rsid w:val="00C50E98"/>
    <w:rsid w:val="00C53A33"/>
    <w:rsid w:val="00C544CA"/>
    <w:rsid w:val="00C6304A"/>
    <w:rsid w:val="00C65421"/>
    <w:rsid w:val="00C65546"/>
    <w:rsid w:val="00C658A3"/>
    <w:rsid w:val="00C77451"/>
    <w:rsid w:val="00C80CF5"/>
    <w:rsid w:val="00C831D3"/>
    <w:rsid w:val="00C842FC"/>
    <w:rsid w:val="00C97448"/>
    <w:rsid w:val="00CA4789"/>
    <w:rsid w:val="00CB14AF"/>
    <w:rsid w:val="00CB7944"/>
    <w:rsid w:val="00CC018C"/>
    <w:rsid w:val="00CC1C4A"/>
    <w:rsid w:val="00CC2688"/>
    <w:rsid w:val="00CC300E"/>
    <w:rsid w:val="00CC3EDB"/>
    <w:rsid w:val="00CC46EB"/>
    <w:rsid w:val="00CD705A"/>
    <w:rsid w:val="00CE211A"/>
    <w:rsid w:val="00CE40E2"/>
    <w:rsid w:val="00CE671F"/>
    <w:rsid w:val="00CE7EFE"/>
    <w:rsid w:val="00CF0FB0"/>
    <w:rsid w:val="00CF37BC"/>
    <w:rsid w:val="00CF663E"/>
    <w:rsid w:val="00D0086F"/>
    <w:rsid w:val="00D017F6"/>
    <w:rsid w:val="00D02B62"/>
    <w:rsid w:val="00D11002"/>
    <w:rsid w:val="00D16F99"/>
    <w:rsid w:val="00D225FA"/>
    <w:rsid w:val="00D24AEC"/>
    <w:rsid w:val="00D25A01"/>
    <w:rsid w:val="00D27A74"/>
    <w:rsid w:val="00D31EB2"/>
    <w:rsid w:val="00D3410F"/>
    <w:rsid w:val="00D42D22"/>
    <w:rsid w:val="00D4377D"/>
    <w:rsid w:val="00D45E13"/>
    <w:rsid w:val="00D4620C"/>
    <w:rsid w:val="00D51A09"/>
    <w:rsid w:val="00D62CFE"/>
    <w:rsid w:val="00D66B1A"/>
    <w:rsid w:val="00D80AFB"/>
    <w:rsid w:val="00D8443D"/>
    <w:rsid w:val="00D956C0"/>
    <w:rsid w:val="00D97D24"/>
    <w:rsid w:val="00DA08D8"/>
    <w:rsid w:val="00DA12D5"/>
    <w:rsid w:val="00DA19F7"/>
    <w:rsid w:val="00DA6DA9"/>
    <w:rsid w:val="00DB2236"/>
    <w:rsid w:val="00DC1E65"/>
    <w:rsid w:val="00DC40AB"/>
    <w:rsid w:val="00DC436D"/>
    <w:rsid w:val="00DC6EF9"/>
    <w:rsid w:val="00DE0611"/>
    <w:rsid w:val="00DE0D64"/>
    <w:rsid w:val="00DF16CE"/>
    <w:rsid w:val="00DF733E"/>
    <w:rsid w:val="00E01022"/>
    <w:rsid w:val="00E0270C"/>
    <w:rsid w:val="00E07AA7"/>
    <w:rsid w:val="00E14E87"/>
    <w:rsid w:val="00E17503"/>
    <w:rsid w:val="00E21A5D"/>
    <w:rsid w:val="00E23081"/>
    <w:rsid w:val="00E2536E"/>
    <w:rsid w:val="00E31DD1"/>
    <w:rsid w:val="00E440F9"/>
    <w:rsid w:val="00E44F11"/>
    <w:rsid w:val="00E454E8"/>
    <w:rsid w:val="00E50A50"/>
    <w:rsid w:val="00E51626"/>
    <w:rsid w:val="00E57158"/>
    <w:rsid w:val="00E75EF1"/>
    <w:rsid w:val="00E76378"/>
    <w:rsid w:val="00E775BB"/>
    <w:rsid w:val="00E81CD1"/>
    <w:rsid w:val="00E8340C"/>
    <w:rsid w:val="00E84365"/>
    <w:rsid w:val="00E85C29"/>
    <w:rsid w:val="00E901B8"/>
    <w:rsid w:val="00E93B56"/>
    <w:rsid w:val="00E964DA"/>
    <w:rsid w:val="00EA145F"/>
    <w:rsid w:val="00EA36A7"/>
    <w:rsid w:val="00EA57CB"/>
    <w:rsid w:val="00EB3A63"/>
    <w:rsid w:val="00EB49EB"/>
    <w:rsid w:val="00EC0BB4"/>
    <w:rsid w:val="00EC4CED"/>
    <w:rsid w:val="00EC7D1B"/>
    <w:rsid w:val="00ED3BC7"/>
    <w:rsid w:val="00ED65AD"/>
    <w:rsid w:val="00ED67B1"/>
    <w:rsid w:val="00EE105A"/>
    <w:rsid w:val="00EF3B06"/>
    <w:rsid w:val="00EF6809"/>
    <w:rsid w:val="00F033F0"/>
    <w:rsid w:val="00F05EF6"/>
    <w:rsid w:val="00F06450"/>
    <w:rsid w:val="00F17EE5"/>
    <w:rsid w:val="00F223A4"/>
    <w:rsid w:val="00F24640"/>
    <w:rsid w:val="00F27C7D"/>
    <w:rsid w:val="00F30785"/>
    <w:rsid w:val="00F37A56"/>
    <w:rsid w:val="00F43A6A"/>
    <w:rsid w:val="00F44893"/>
    <w:rsid w:val="00F50578"/>
    <w:rsid w:val="00F51025"/>
    <w:rsid w:val="00F55AD6"/>
    <w:rsid w:val="00F6239A"/>
    <w:rsid w:val="00F73CFB"/>
    <w:rsid w:val="00F74092"/>
    <w:rsid w:val="00F74266"/>
    <w:rsid w:val="00F74F23"/>
    <w:rsid w:val="00F75105"/>
    <w:rsid w:val="00F817D6"/>
    <w:rsid w:val="00F81FB6"/>
    <w:rsid w:val="00F877B5"/>
    <w:rsid w:val="00F935C8"/>
    <w:rsid w:val="00F94A57"/>
    <w:rsid w:val="00F9645F"/>
    <w:rsid w:val="00FB0373"/>
    <w:rsid w:val="00FB7AAE"/>
    <w:rsid w:val="00FC21EC"/>
    <w:rsid w:val="00FC3EFA"/>
    <w:rsid w:val="00FC55BA"/>
    <w:rsid w:val="00FC55D3"/>
    <w:rsid w:val="00FD25C0"/>
    <w:rsid w:val="00FD7A12"/>
    <w:rsid w:val="00FD7DF2"/>
    <w:rsid w:val="00FE11F5"/>
    <w:rsid w:val="00FE415B"/>
    <w:rsid w:val="01B047B5"/>
    <w:rsid w:val="01B21110"/>
    <w:rsid w:val="01DC05A7"/>
    <w:rsid w:val="01FC259F"/>
    <w:rsid w:val="02587D4A"/>
    <w:rsid w:val="02A248B3"/>
    <w:rsid w:val="02A70258"/>
    <w:rsid w:val="02AD5FA3"/>
    <w:rsid w:val="02B75AC9"/>
    <w:rsid w:val="02BD6F9A"/>
    <w:rsid w:val="02CD705E"/>
    <w:rsid w:val="0301218B"/>
    <w:rsid w:val="0345013C"/>
    <w:rsid w:val="0353229F"/>
    <w:rsid w:val="035D3297"/>
    <w:rsid w:val="03ED641D"/>
    <w:rsid w:val="03FB2572"/>
    <w:rsid w:val="04292DD6"/>
    <w:rsid w:val="046E6BB7"/>
    <w:rsid w:val="04843AC3"/>
    <w:rsid w:val="049E06A7"/>
    <w:rsid w:val="04CF230E"/>
    <w:rsid w:val="04DF3EA2"/>
    <w:rsid w:val="057E3B51"/>
    <w:rsid w:val="058278D1"/>
    <w:rsid w:val="05CC0EC7"/>
    <w:rsid w:val="05F75D04"/>
    <w:rsid w:val="0654426F"/>
    <w:rsid w:val="065D630D"/>
    <w:rsid w:val="068203F3"/>
    <w:rsid w:val="069A7BE4"/>
    <w:rsid w:val="06F43115"/>
    <w:rsid w:val="070339CD"/>
    <w:rsid w:val="07575A8E"/>
    <w:rsid w:val="075B72C1"/>
    <w:rsid w:val="07B24641"/>
    <w:rsid w:val="081B0931"/>
    <w:rsid w:val="084542FA"/>
    <w:rsid w:val="085602B5"/>
    <w:rsid w:val="08B82885"/>
    <w:rsid w:val="092D7157"/>
    <w:rsid w:val="099B68C7"/>
    <w:rsid w:val="0A6C283F"/>
    <w:rsid w:val="0A922065"/>
    <w:rsid w:val="0B1F5C5F"/>
    <w:rsid w:val="0B2552E4"/>
    <w:rsid w:val="0B524326"/>
    <w:rsid w:val="0B683AC6"/>
    <w:rsid w:val="0B7C456F"/>
    <w:rsid w:val="0B7E4EBF"/>
    <w:rsid w:val="0C153238"/>
    <w:rsid w:val="0C520AA0"/>
    <w:rsid w:val="0C721436"/>
    <w:rsid w:val="0CF253A9"/>
    <w:rsid w:val="0D640279"/>
    <w:rsid w:val="0D72592E"/>
    <w:rsid w:val="0D833D2F"/>
    <w:rsid w:val="0DA8168F"/>
    <w:rsid w:val="0DBB17CE"/>
    <w:rsid w:val="0E07283A"/>
    <w:rsid w:val="0E6262F6"/>
    <w:rsid w:val="0E6F3E7F"/>
    <w:rsid w:val="0E8064F8"/>
    <w:rsid w:val="0F1C6960"/>
    <w:rsid w:val="0F5B7002"/>
    <w:rsid w:val="0F79339D"/>
    <w:rsid w:val="0FC44926"/>
    <w:rsid w:val="100C352D"/>
    <w:rsid w:val="101978B3"/>
    <w:rsid w:val="104F76E8"/>
    <w:rsid w:val="106122A1"/>
    <w:rsid w:val="10B76410"/>
    <w:rsid w:val="10CE7EBA"/>
    <w:rsid w:val="10D63D9F"/>
    <w:rsid w:val="1175296D"/>
    <w:rsid w:val="11951ADE"/>
    <w:rsid w:val="11A86800"/>
    <w:rsid w:val="11E528F7"/>
    <w:rsid w:val="11F10B66"/>
    <w:rsid w:val="1202050A"/>
    <w:rsid w:val="12864314"/>
    <w:rsid w:val="12A363F1"/>
    <w:rsid w:val="12CA2D75"/>
    <w:rsid w:val="12F6265B"/>
    <w:rsid w:val="12FE7DBD"/>
    <w:rsid w:val="135E71B3"/>
    <w:rsid w:val="1368163F"/>
    <w:rsid w:val="13D9680F"/>
    <w:rsid w:val="13DD071B"/>
    <w:rsid w:val="140F20C6"/>
    <w:rsid w:val="141A2ADF"/>
    <w:rsid w:val="141A6878"/>
    <w:rsid w:val="14554890"/>
    <w:rsid w:val="14683FA1"/>
    <w:rsid w:val="150308A9"/>
    <w:rsid w:val="150C6912"/>
    <w:rsid w:val="15797649"/>
    <w:rsid w:val="15827E2E"/>
    <w:rsid w:val="158779DB"/>
    <w:rsid w:val="158C14E9"/>
    <w:rsid w:val="15AE2C97"/>
    <w:rsid w:val="15EB05A9"/>
    <w:rsid w:val="1636113D"/>
    <w:rsid w:val="16776203"/>
    <w:rsid w:val="16D968B8"/>
    <w:rsid w:val="16E426BC"/>
    <w:rsid w:val="171336E6"/>
    <w:rsid w:val="174E2D64"/>
    <w:rsid w:val="17751299"/>
    <w:rsid w:val="178622AD"/>
    <w:rsid w:val="17942BBA"/>
    <w:rsid w:val="17C870C9"/>
    <w:rsid w:val="17F677A7"/>
    <w:rsid w:val="18614A53"/>
    <w:rsid w:val="18B21934"/>
    <w:rsid w:val="19177480"/>
    <w:rsid w:val="191D7D22"/>
    <w:rsid w:val="1959655B"/>
    <w:rsid w:val="19663264"/>
    <w:rsid w:val="198C7FDB"/>
    <w:rsid w:val="19C438EF"/>
    <w:rsid w:val="19F43DAD"/>
    <w:rsid w:val="1A8C621E"/>
    <w:rsid w:val="1A9317CD"/>
    <w:rsid w:val="1AA109E8"/>
    <w:rsid w:val="1B76550B"/>
    <w:rsid w:val="1BE41D1A"/>
    <w:rsid w:val="1C204867"/>
    <w:rsid w:val="1CB101AC"/>
    <w:rsid w:val="1CFC37EC"/>
    <w:rsid w:val="1CFC51C9"/>
    <w:rsid w:val="1CFE03C9"/>
    <w:rsid w:val="1D2624F4"/>
    <w:rsid w:val="1D4821FC"/>
    <w:rsid w:val="1D4A4C8B"/>
    <w:rsid w:val="1D83760E"/>
    <w:rsid w:val="1DDA7FE4"/>
    <w:rsid w:val="1E5D7D1E"/>
    <w:rsid w:val="1E6E5F01"/>
    <w:rsid w:val="1E892240"/>
    <w:rsid w:val="1EF359B5"/>
    <w:rsid w:val="1F171CA6"/>
    <w:rsid w:val="1F1C5E4A"/>
    <w:rsid w:val="1F59083A"/>
    <w:rsid w:val="1FF03CF9"/>
    <w:rsid w:val="20806B9F"/>
    <w:rsid w:val="20A370D8"/>
    <w:rsid w:val="20E54360"/>
    <w:rsid w:val="20EF134B"/>
    <w:rsid w:val="20F64893"/>
    <w:rsid w:val="21383B83"/>
    <w:rsid w:val="216B63F0"/>
    <w:rsid w:val="21824088"/>
    <w:rsid w:val="219D77D1"/>
    <w:rsid w:val="21A216DC"/>
    <w:rsid w:val="21CE3C91"/>
    <w:rsid w:val="221F7512"/>
    <w:rsid w:val="228A6D83"/>
    <w:rsid w:val="22DF6507"/>
    <w:rsid w:val="2331792B"/>
    <w:rsid w:val="237B5C14"/>
    <w:rsid w:val="238E77AB"/>
    <w:rsid w:val="23E16B8F"/>
    <w:rsid w:val="23E27610"/>
    <w:rsid w:val="23FD5B2A"/>
    <w:rsid w:val="246549DD"/>
    <w:rsid w:val="24725A71"/>
    <w:rsid w:val="24987A0E"/>
    <w:rsid w:val="255A3AFE"/>
    <w:rsid w:val="25F0369F"/>
    <w:rsid w:val="261A4550"/>
    <w:rsid w:val="263E1485"/>
    <w:rsid w:val="263E2496"/>
    <w:rsid w:val="268B33C8"/>
    <w:rsid w:val="26D5255E"/>
    <w:rsid w:val="276E5C36"/>
    <w:rsid w:val="276E7FE2"/>
    <w:rsid w:val="27825781"/>
    <w:rsid w:val="27864D71"/>
    <w:rsid w:val="27F331A6"/>
    <w:rsid w:val="28113325"/>
    <w:rsid w:val="28483142"/>
    <w:rsid w:val="289446DD"/>
    <w:rsid w:val="28D106B1"/>
    <w:rsid w:val="29625164"/>
    <w:rsid w:val="29734CEA"/>
    <w:rsid w:val="29BE435A"/>
    <w:rsid w:val="2A4B4AD3"/>
    <w:rsid w:val="2A5F120E"/>
    <w:rsid w:val="2A91286B"/>
    <w:rsid w:val="2AC82E3D"/>
    <w:rsid w:val="2B6B5C3A"/>
    <w:rsid w:val="2B7C4E12"/>
    <w:rsid w:val="2BED01A0"/>
    <w:rsid w:val="2BF01668"/>
    <w:rsid w:val="2CCD02E1"/>
    <w:rsid w:val="2CEC5AFC"/>
    <w:rsid w:val="2D26624F"/>
    <w:rsid w:val="2D2A2701"/>
    <w:rsid w:val="2D2A75A0"/>
    <w:rsid w:val="2D621327"/>
    <w:rsid w:val="2E152297"/>
    <w:rsid w:val="2E536A70"/>
    <w:rsid w:val="2E90496F"/>
    <w:rsid w:val="2FAF7FBB"/>
    <w:rsid w:val="308706FC"/>
    <w:rsid w:val="31006138"/>
    <w:rsid w:val="314D4A59"/>
    <w:rsid w:val="3199185A"/>
    <w:rsid w:val="31A44642"/>
    <w:rsid w:val="31C623EA"/>
    <w:rsid w:val="32BF201F"/>
    <w:rsid w:val="334F582E"/>
    <w:rsid w:val="336A1A87"/>
    <w:rsid w:val="33956713"/>
    <w:rsid w:val="339C5B0C"/>
    <w:rsid w:val="33EC5DB6"/>
    <w:rsid w:val="34251DD5"/>
    <w:rsid w:val="34267AA7"/>
    <w:rsid w:val="3445759C"/>
    <w:rsid w:val="34CC3602"/>
    <w:rsid w:val="34D73FCB"/>
    <w:rsid w:val="34E142A5"/>
    <w:rsid w:val="35035569"/>
    <w:rsid w:val="35331CAD"/>
    <w:rsid w:val="358A0E6E"/>
    <w:rsid w:val="35F07D41"/>
    <w:rsid w:val="36733421"/>
    <w:rsid w:val="36BC3F36"/>
    <w:rsid w:val="37137222"/>
    <w:rsid w:val="3732618D"/>
    <w:rsid w:val="37777298"/>
    <w:rsid w:val="377E69D6"/>
    <w:rsid w:val="379C42FE"/>
    <w:rsid w:val="37F82AB2"/>
    <w:rsid w:val="38CE07E8"/>
    <w:rsid w:val="38D56B5A"/>
    <w:rsid w:val="38FF7195"/>
    <w:rsid w:val="39746B46"/>
    <w:rsid w:val="39E523B8"/>
    <w:rsid w:val="39FD5D4A"/>
    <w:rsid w:val="3A8F1906"/>
    <w:rsid w:val="3AAF1923"/>
    <w:rsid w:val="3AB564BD"/>
    <w:rsid w:val="3ACF26AE"/>
    <w:rsid w:val="3AEB7D2E"/>
    <w:rsid w:val="3B1F2605"/>
    <w:rsid w:val="3B77692A"/>
    <w:rsid w:val="3B967168"/>
    <w:rsid w:val="3BB40BA1"/>
    <w:rsid w:val="3CC00A2B"/>
    <w:rsid w:val="3CF95CCA"/>
    <w:rsid w:val="3E3273DF"/>
    <w:rsid w:val="3E362DCC"/>
    <w:rsid w:val="3E566C0D"/>
    <w:rsid w:val="3E5D6D9D"/>
    <w:rsid w:val="3E6863E6"/>
    <w:rsid w:val="3E7A1891"/>
    <w:rsid w:val="3F2650D9"/>
    <w:rsid w:val="3F712ADE"/>
    <w:rsid w:val="3F9A47D7"/>
    <w:rsid w:val="3FD22BE7"/>
    <w:rsid w:val="3FF607E1"/>
    <w:rsid w:val="401576EB"/>
    <w:rsid w:val="40860BE1"/>
    <w:rsid w:val="40C7613B"/>
    <w:rsid w:val="40CB42DE"/>
    <w:rsid w:val="40D848CB"/>
    <w:rsid w:val="40EA104D"/>
    <w:rsid w:val="4166422B"/>
    <w:rsid w:val="417461C6"/>
    <w:rsid w:val="41AA52FA"/>
    <w:rsid w:val="42023F4C"/>
    <w:rsid w:val="422D7875"/>
    <w:rsid w:val="42671AB4"/>
    <w:rsid w:val="428A1961"/>
    <w:rsid w:val="4295336A"/>
    <w:rsid w:val="42F63435"/>
    <w:rsid w:val="438D0949"/>
    <w:rsid w:val="43C754F6"/>
    <w:rsid w:val="43F27898"/>
    <w:rsid w:val="4435555C"/>
    <w:rsid w:val="44381D80"/>
    <w:rsid w:val="44983FC9"/>
    <w:rsid w:val="450520DB"/>
    <w:rsid w:val="450D300C"/>
    <w:rsid w:val="451447C7"/>
    <w:rsid w:val="457F5648"/>
    <w:rsid w:val="45C74D69"/>
    <w:rsid w:val="45E75ED8"/>
    <w:rsid w:val="469A097A"/>
    <w:rsid w:val="46EE15A1"/>
    <w:rsid w:val="47005899"/>
    <w:rsid w:val="471649C8"/>
    <w:rsid w:val="476A5162"/>
    <w:rsid w:val="478212EF"/>
    <w:rsid w:val="47BB644F"/>
    <w:rsid w:val="48646161"/>
    <w:rsid w:val="48B418C3"/>
    <w:rsid w:val="48C104CD"/>
    <w:rsid w:val="48E3501E"/>
    <w:rsid w:val="49646A69"/>
    <w:rsid w:val="49A42A49"/>
    <w:rsid w:val="49AC2586"/>
    <w:rsid w:val="49B04835"/>
    <w:rsid w:val="49E27234"/>
    <w:rsid w:val="49F1420E"/>
    <w:rsid w:val="49FC5BD8"/>
    <w:rsid w:val="4A4A4D79"/>
    <w:rsid w:val="4A6C1219"/>
    <w:rsid w:val="4AE63E07"/>
    <w:rsid w:val="4B330BE9"/>
    <w:rsid w:val="4BC01D2C"/>
    <w:rsid w:val="4BF361DC"/>
    <w:rsid w:val="4C252F05"/>
    <w:rsid w:val="4C2733F2"/>
    <w:rsid w:val="4CB66E9B"/>
    <w:rsid w:val="4CC71FBC"/>
    <w:rsid w:val="4CDF221D"/>
    <w:rsid w:val="4CEA7EA4"/>
    <w:rsid w:val="4CF65C22"/>
    <w:rsid w:val="4CFA6A2E"/>
    <w:rsid w:val="4D642560"/>
    <w:rsid w:val="4D7B4C4C"/>
    <w:rsid w:val="4D901A18"/>
    <w:rsid w:val="4DB96051"/>
    <w:rsid w:val="4DF54E75"/>
    <w:rsid w:val="4E186709"/>
    <w:rsid w:val="4E29374B"/>
    <w:rsid w:val="4E42106E"/>
    <w:rsid w:val="4E47117C"/>
    <w:rsid w:val="4E684E78"/>
    <w:rsid w:val="4E9A2B54"/>
    <w:rsid w:val="4EEE0463"/>
    <w:rsid w:val="4F164A5E"/>
    <w:rsid w:val="4FC50EB0"/>
    <w:rsid w:val="4FF453CB"/>
    <w:rsid w:val="50012FB9"/>
    <w:rsid w:val="500D2395"/>
    <w:rsid w:val="50191BB3"/>
    <w:rsid w:val="5066262C"/>
    <w:rsid w:val="510427D3"/>
    <w:rsid w:val="510D1493"/>
    <w:rsid w:val="519C63A2"/>
    <w:rsid w:val="51C2708A"/>
    <w:rsid w:val="51CB203D"/>
    <w:rsid w:val="5240242B"/>
    <w:rsid w:val="52820935"/>
    <w:rsid w:val="52837878"/>
    <w:rsid w:val="52867363"/>
    <w:rsid w:val="52AD4634"/>
    <w:rsid w:val="52B43393"/>
    <w:rsid w:val="52CC4171"/>
    <w:rsid w:val="53D81254"/>
    <w:rsid w:val="546D13A5"/>
    <w:rsid w:val="54743325"/>
    <w:rsid w:val="54E67FEC"/>
    <w:rsid w:val="55055DE1"/>
    <w:rsid w:val="551D09B7"/>
    <w:rsid w:val="55322ADD"/>
    <w:rsid w:val="55335A41"/>
    <w:rsid w:val="55F618DF"/>
    <w:rsid w:val="56445A5C"/>
    <w:rsid w:val="56CE2CEA"/>
    <w:rsid w:val="56F539BD"/>
    <w:rsid w:val="571343D1"/>
    <w:rsid w:val="575F624E"/>
    <w:rsid w:val="5784466B"/>
    <w:rsid w:val="57B93514"/>
    <w:rsid w:val="57BF019D"/>
    <w:rsid w:val="581458E0"/>
    <w:rsid w:val="583A6991"/>
    <w:rsid w:val="589A78E6"/>
    <w:rsid w:val="58B202C9"/>
    <w:rsid w:val="590A23AA"/>
    <w:rsid w:val="59A973C3"/>
    <w:rsid w:val="59BE17B1"/>
    <w:rsid w:val="59D34CCD"/>
    <w:rsid w:val="5A0A14EC"/>
    <w:rsid w:val="5A511C57"/>
    <w:rsid w:val="5A774FE7"/>
    <w:rsid w:val="5A973C6C"/>
    <w:rsid w:val="5AC253BE"/>
    <w:rsid w:val="5B2E64C8"/>
    <w:rsid w:val="5B3661F0"/>
    <w:rsid w:val="5B397F60"/>
    <w:rsid w:val="5BE23B8E"/>
    <w:rsid w:val="5C7F2F8F"/>
    <w:rsid w:val="5D6862A1"/>
    <w:rsid w:val="5D810DBE"/>
    <w:rsid w:val="5D831524"/>
    <w:rsid w:val="5DF6645E"/>
    <w:rsid w:val="5E305799"/>
    <w:rsid w:val="5E634329"/>
    <w:rsid w:val="5E8260ED"/>
    <w:rsid w:val="5EC112A5"/>
    <w:rsid w:val="5FD44CB8"/>
    <w:rsid w:val="5FFC0981"/>
    <w:rsid w:val="600545FB"/>
    <w:rsid w:val="6030214D"/>
    <w:rsid w:val="604003C5"/>
    <w:rsid w:val="6072686A"/>
    <w:rsid w:val="60B40AC7"/>
    <w:rsid w:val="61227E90"/>
    <w:rsid w:val="616E00F8"/>
    <w:rsid w:val="61C2052A"/>
    <w:rsid w:val="61E05BF0"/>
    <w:rsid w:val="61FE26C5"/>
    <w:rsid w:val="62464E16"/>
    <w:rsid w:val="6249519F"/>
    <w:rsid w:val="62A74072"/>
    <w:rsid w:val="62A8702D"/>
    <w:rsid w:val="630509F2"/>
    <w:rsid w:val="636144FA"/>
    <w:rsid w:val="63675782"/>
    <w:rsid w:val="637143A0"/>
    <w:rsid w:val="63C87350"/>
    <w:rsid w:val="63D52B4B"/>
    <w:rsid w:val="63DD77CC"/>
    <w:rsid w:val="64284564"/>
    <w:rsid w:val="64484FDD"/>
    <w:rsid w:val="64740A1C"/>
    <w:rsid w:val="64842057"/>
    <w:rsid w:val="65046244"/>
    <w:rsid w:val="65394714"/>
    <w:rsid w:val="655C0B50"/>
    <w:rsid w:val="657A305D"/>
    <w:rsid w:val="65FA67F0"/>
    <w:rsid w:val="6648796D"/>
    <w:rsid w:val="66581D26"/>
    <w:rsid w:val="667001A7"/>
    <w:rsid w:val="66881FF5"/>
    <w:rsid w:val="67596A8D"/>
    <w:rsid w:val="67894B9D"/>
    <w:rsid w:val="67C12D86"/>
    <w:rsid w:val="67C67BE7"/>
    <w:rsid w:val="68653763"/>
    <w:rsid w:val="68726776"/>
    <w:rsid w:val="689D6CE8"/>
    <w:rsid w:val="68E463CD"/>
    <w:rsid w:val="69026F3E"/>
    <w:rsid w:val="69571C88"/>
    <w:rsid w:val="69982ACE"/>
    <w:rsid w:val="69CA5018"/>
    <w:rsid w:val="69E62D11"/>
    <w:rsid w:val="6AE77257"/>
    <w:rsid w:val="6C753814"/>
    <w:rsid w:val="6C841A18"/>
    <w:rsid w:val="6D42020F"/>
    <w:rsid w:val="6D46146A"/>
    <w:rsid w:val="6DD23E9E"/>
    <w:rsid w:val="6E1C4F28"/>
    <w:rsid w:val="6E637DA7"/>
    <w:rsid w:val="6E963323"/>
    <w:rsid w:val="6ECB1017"/>
    <w:rsid w:val="6EE82ED6"/>
    <w:rsid w:val="6F46459A"/>
    <w:rsid w:val="6F5543DE"/>
    <w:rsid w:val="6F812EE3"/>
    <w:rsid w:val="6F8B2088"/>
    <w:rsid w:val="6FB70265"/>
    <w:rsid w:val="706579CF"/>
    <w:rsid w:val="70771917"/>
    <w:rsid w:val="708B099E"/>
    <w:rsid w:val="70FC5F75"/>
    <w:rsid w:val="71194EB0"/>
    <w:rsid w:val="71274260"/>
    <w:rsid w:val="712E52B1"/>
    <w:rsid w:val="71576A36"/>
    <w:rsid w:val="716165AC"/>
    <w:rsid w:val="719218A8"/>
    <w:rsid w:val="72113077"/>
    <w:rsid w:val="72457587"/>
    <w:rsid w:val="72DC6326"/>
    <w:rsid w:val="72E71AD6"/>
    <w:rsid w:val="73034B8C"/>
    <w:rsid w:val="73056C3A"/>
    <w:rsid w:val="73267EE0"/>
    <w:rsid w:val="734D1E16"/>
    <w:rsid w:val="73D94304"/>
    <w:rsid w:val="73F57D61"/>
    <w:rsid w:val="73F83F11"/>
    <w:rsid w:val="746C5BB4"/>
    <w:rsid w:val="748D27AE"/>
    <w:rsid w:val="750D2E75"/>
    <w:rsid w:val="752269FE"/>
    <w:rsid w:val="762A7C12"/>
    <w:rsid w:val="76644A4B"/>
    <w:rsid w:val="76986DB2"/>
    <w:rsid w:val="76A072C7"/>
    <w:rsid w:val="771664AE"/>
    <w:rsid w:val="774234B5"/>
    <w:rsid w:val="774E2828"/>
    <w:rsid w:val="77ED14EC"/>
    <w:rsid w:val="77FB7759"/>
    <w:rsid w:val="78507052"/>
    <w:rsid w:val="787D374A"/>
    <w:rsid w:val="791043DC"/>
    <w:rsid w:val="793A5A90"/>
    <w:rsid w:val="794C412B"/>
    <w:rsid w:val="79885821"/>
    <w:rsid w:val="79E965D1"/>
    <w:rsid w:val="7A912C5B"/>
    <w:rsid w:val="7AD12612"/>
    <w:rsid w:val="7AE91634"/>
    <w:rsid w:val="7B8F4C16"/>
    <w:rsid w:val="7BD02E01"/>
    <w:rsid w:val="7BEA1762"/>
    <w:rsid w:val="7BF428C2"/>
    <w:rsid w:val="7C0740CE"/>
    <w:rsid w:val="7C3E1BE4"/>
    <w:rsid w:val="7C5612C2"/>
    <w:rsid w:val="7C7F071F"/>
    <w:rsid w:val="7CCB0526"/>
    <w:rsid w:val="7CD6448F"/>
    <w:rsid w:val="7D41548E"/>
    <w:rsid w:val="7D4F5D66"/>
    <w:rsid w:val="7D63389D"/>
    <w:rsid w:val="7D69262B"/>
    <w:rsid w:val="7D7D673C"/>
    <w:rsid w:val="7D845E71"/>
    <w:rsid w:val="7D995523"/>
    <w:rsid w:val="7D9E1B83"/>
    <w:rsid w:val="7DD22C02"/>
    <w:rsid w:val="7E5E656D"/>
    <w:rsid w:val="7E93507E"/>
    <w:rsid w:val="7EDA1D87"/>
    <w:rsid w:val="7F5C051C"/>
    <w:rsid w:val="7F7A2BD7"/>
    <w:rsid w:val="7FA0419E"/>
    <w:rsid w:val="7FFD065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0"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ocked="1"/>
    <w:lsdException w:qFormat="1" w:unhideWhenUsed="0" w:uiPriority="0" w:semiHidden="0" w:name="caption"/>
    <w:lsdException w:uiPriority="99" w:name="table of figures" w:locked="1"/>
    <w:lsdException w:uiPriority="99" w:name="envelope address" w:locked="1"/>
    <w:lsdException w:qFormat="1" w:uiPriority="99" w:semiHidden="0" w:name="envelope return" w:locked="1"/>
    <w:lsdException w:uiPriority="99" w:name="footnote reference" w:locked="1"/>
    <w:lsdException w:qFormat="1"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0" w:semiHidden="0"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qFormat="1" w:unhideWhenUsed="0" w:uiPriority="0" w:semiHidden="0"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uiPriority="99" w:name="Body Text Indent 3" w:locked="1"/>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iPriority="99" w:name="Document Map" w:locked="1"/>
    <w:lsdException w:qFormat="1" w:unhideWhenUsed="0" w:uiPriority="0" w:semiHidden="0"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qFormat="1" w:unhideWhenUsed="0" w:uiPriority="0" w:semiHidden="0" w:name="HTML Typewriter"/>
    <w:lsdException w:uiPriority="99" w:name="HTML Variable" w:locked="1"/>
    <w:lsdException w:qFormat="1" w:uiPriority="99" w:name="Normal Table"/>
    <w:lsdException w:qFormat="1"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4"/>
    <w:qFormat/>
    <w:uiPriority w:val="99"/>
    <w:pPr>
      <w:keepNext/>
      <w:keepLines/>
      <w:spacing w:line="576" w:lineRule="auto"/>
      <w:jc w:val="center"/>
      <w:outlineLvl w:val="0"/>
    </w:pPr>
    <w:rPr>
      <w:b/>
      <w:kern w:val="44"/>
      <w:sz w:val="32"/>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link w:val="35"/>
    <w:qFormat/>
    <w:uiPriority w:val="99"/>
    <w:pPr>
      <w:keepNext/>
      <w:keepLines/>
      <w:spacing w:line="416" w:lineRule="auto"/>
      <w:outlineLvl w:val="2"/>
    </w:pPr>
    <w:rPr>
      <w:rFonts w:ascii="黑体" w:eastAsia="黑体"/>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locked/>
    <w:uiPriority w:val="0"/>
    <w:pPr>
      <w:widowControl/>
      <w:ind w:firstLine="420"/>
      <w:jc w:val="left"/>
    </w:pPr>
  </w:style>
  <w:style w:type="paragraph" w:styleId="6">
    <w:name w:val="caption"/>
    <w:basedOn w:val="1"/>
    <w:next w:val="1"/>
    <w:qFormat/>
    <w:uiPriority w:val="0"/>
    <w:rPr>
      <w:rFonts w:ascii="Arial" w:hAnsi="Arial" w:eastAsia="黑体" w:cs="Arial"/>
      <w:sz w:val="20"/>
      <w:szCs w:val="20"/>
    </w:rPr>
  </w:style>
  <w:style w:type="paragraph" w:styleId="7">
    <w:name w:val="Document Map"/>
    <w:basedOn w:val="1"/>
    <w:link w:val="49"/>
    <w:semiHidden/>
    <w:unhideWhenUsed/>
    <w:qFormat/>
    <w:locked/>
    <w:uiPriority w:val="99"/>
    <w:rPr>
      <w:rFonts w:ascii="宋体"/>
      <w:sz w:val="18"/>
      <w:szCs w:val="18"/>
    </w:rPr>
  </w:style>
  <w:style w:type="paragraph" w:styleId="8">
    <w:name w:val="annotation text"/>
    <w:basedOn w:val="1"/>
    <w:link w:val="36"/>
    <w:qFormat/>
    <w:uiPriority w:val="99"/>
    <w:pPr>
      <w:jc w:val="left"/>
    </w:pPr>
  </w:style>
  <w:style w:type="paragraph" w:styleId="9">
    <w:name w:val="Body Text"/>
    <w:basedOn w:val="1"/>
    <w:link w:val="37"/>
    <w:qFormat/>
    <w:uiPriority w:val="99"/>
    <w:rPr>
      <w:rFonts w:ascii="华文中宋" w:eastAsia="华文中宋"/>
      <w:bCs/>
      <w:sz w:val="28"/>
    </w:rPr>
  </w:style>
  <w:style w:type="paragraph" w:styleId="10">
    <w:name w:val="Body Text Indent"/>
    <w:basedOn w:val="1"/>
    <w:next w:val="11"/>
    <w:link w:val="47"/>
    <w:semiHidden/>
    <w:unhideWhenUsed/>
    <w:qFormat/>
    <w:locked/>
    <w:uiPriority w:val="99"/>
    <w:pPr>
      <w:spacing w:after="120"/>
      <w:ind w:left="420" w:leftChars="200"/>
    </w:pPr>
  </w:style>
  <w:style w:type="paragraph" w:styleId="11">
    <w:name w:val="envelope return"/>
    <w:basedOn w:val="1"/>
    <w:unhideWhenUsed/>
    <w:qFormat/>
    <w:locked/>
    <w:uiPriority w:val="99"/>
    <w:pPr>
      <w:snapToGrid w:val="0"/>
    </w:pPr>
    <w:rPr>
      <w:rFonts w:ascii="Arial" w:hAnsi="Arial"/>
    </w:rPr>
  </w:style>
  <w:style w:type="paragraph" w:styleId="12">
    <w:name w:val="Block Text"/>
    <w:basedOn w:val="1"/>
    <w:qFormat/>
    <w:locked/>
    <w:uiPriority w:val="0"/>
    <w:pPr>
      <w:adjustRightInd w:val="0"/>
      <w:ind w:left="420" w:right="33"/>
      <w:jc w:val="left"/>
      <w:textAlignment w:val="baseline"/>
    </w:pPr>
    <w:rPr>
      <w:kern w:val="0"/>
      <w:sz w:val="24"/>
      <w:szCs w:val="20"/>
    </w:rPr>
  </w:style>
  <w:style w:type="paragraph" w:styleId="13">
    <w:name w:val="index 4"/>
    <w:basedOn w:val="1"/>
    <w:next w:val="1"/>
    <w:qFormat/>
    <w:locked/>
    <w:uiPriority w:val="0"/>
    <w:pPr>
      <w:ind w:left="600" w:leftChars="600"/>
    </w:pPr>
    <w:rPr>
      <w:szCs w:val="20"/>
    </w:rPr>
  </w:style>
  <w:style w:type="paragraph" w:styleId="14">
    <w:name w:val="Plain Text"/>
    <w:basedOn w:val="1"/>
    <w:link w:val="51"/>
    <w:qFormat/>
    <w:locked/>
    <w:uiPriority w:val="0"/>
    <w:rPr>
      <w:rFonts w:ascii="宋体" w:hAnsi="Courier New" w:eastAsia="楷体_GB2312"/>
      <w:sz w:val="26"/>
      <w:szCs w:val="24"/>
    </w:rPr>
  </w:style>
  <w:style w:type="paragraph" w:styleId="15">
    <w:name w:val="Body Text Indent 2"/>
    <w:basedOn w:val="1"/>
    <w:link w:val="38"/>
    <w:qFormat/>
    <w:uiPriority w:val="99"/>
    <w:pPr>
      <w:tabs>
        <w:tab w:val="left" w:pos="0"/>
        <w:tab w:val="left" w:pos="1134"/>
      </w:tabs>
      <w:snapToGrid w:val="0"/>
      <w:spacing w:line="400" w:lineRule="exact"/>
      <w:ind w:firstLine="559" w:firstLineChars="233"/>
    </w:pPr>
    <w:rPr>
      <w:rFonts w:ascii="楷体_GB2312" w:eastAsia="楷体_GB2312"/>
      <w:sz w:val="24"/>
    </w:rPr>
  </w:style>
  <w:style w:type="paragraph" w:styleId="16">
    <w:name w:val="Balloon Text"/>
    <w:basedOn w:val="1"/>
    <w:link w:val="43"/>
    <w:semiHidden/>
    <w:qFormat/>
    <w:locked/>
    <w:uiPriority w:val="99"/>
    <w:rPr>
      <w:sz w:val="18"/>
      <w:szCs w:val="18"/>
    </w:rPr>
  </w:style>
  <w:style w:type="paragraph" w:styleId="17">
    <w:name w:val="footer"/>
    <w:basedOn w:val="1"/>
    <w:link w:val="39"/>
    <w:qFormat/>
    <w:uiPriority w:val="99"/>
    <w:pPr>
      <w:tabs>
        <w:tab w:val="center" w:pos="4153"/>
        <w:tab w:val="right" w:pos="8306"/>
      </w:tabs>
      <w:snapToGrid w:val="0"/>
      <w:jc w:val="left"/>
    </w:pPr>
    <w:rPr>
      <w:sz w:val="18"/>
    </w:rPr>
  </w:style>
  <w:style w:type="paragraph" w:styleId="18">
    <w:name w:val="header"/>
    <w:basedOn w:val="1"/>
    <w:next w:val="6"/>
    <w:link w:val="40"/>
    <w:qFormat/>
    <w:uiPriority w:val="0"/>
    <w:pPr>
      <w:pBdr>
        <w:bottom w:val="single" w:color="auto" w:sz="6" w:space="1"/>
      </w:pBdr>
      <w:tabs>
        <w:tab w:val="center" w:pos="4153"/>
        <w:tab w:val="right" w:pos="8306"/>
      </w:tabs>
      <w:snapToGrid w:val="0"/>
      <w:jc w:val="center"/>
    </w:pPr>
    <w:rPr>
      <w:sz w:val="18"/>
    </w:rPr>
  </w:style>
  <w:style w:type="paragraph" w:styleId="19">
    <w:name w:val="List"/>
    <w:basedOn w:val="1"/>
    <w:qFormat/>
    <w:locked/>
    <w:uiPriority w:val="0"/>
    <w:pPr>
      <w:numPr>
        <w:ilvl w:val="0"/>
        <w:numId w:val="2"/>
      </w:numPr>
      <w:autoSpaceDE w:val="0"/>
      <w:autoSpaceDN w:val="0"/>
      <w:adjustRightInd w:val="0"/>
      <w:spacing w:after="20" w:line="288" w:lineRule="auto"/>
      <w:textAlignment w:val="baseline"/>
    </w:pPr>
    <w:rPr>
      <w:kern w:val="0"/>
      <w:szCs w:val="20"/>
      <w:lang w:val="en-GB"/>
    </w:rPr>
  </w:style>
  <w:style w:type="paragraph" w:styleId="20">
    <w:name w:val="Body Text 2"/>
    <w:basedOn w:val="1"/>
    <w:link w:val="41"/>
    <w:qFormat/>
    <w:uiPriority w:val="99"/>
    <w:pPr>
      <w:spacing w:after="120" w:line="480" w:lineRule="auto"/>
    </w:pPr>
  </w:style>
  <w:style w:type="paragraph" w:styleId="21">
    <w:name w:val="Normal (Web)"/>
    <w:basedOn w:val="1"/>
    <w:link w:val="58"/>
    <w:qFormat/>
    <w:uiPriority w:val="0"/>
    <w:pPr>
      <w:widowControl/>
      <w:spacing w:before="100" w:beforeAutospacing="1" w:after="100" w:afterAutospacing="1"/>
      <w:jc w:val="left"/>
    </w:pPr>
    <w:rPr>
      <w:rFonts w:ascii="宋体" w:hAnsi="宋体" w:cs="宋体"/>
      <w:kern w:val="0"/>
      <w:sz w:val="24"/>
      <w:szCs w:val="24"/>
    </w:rPr>
  </w:style>
  <w:style w:type="paragraph" w:styleId="22">
    <w:name w:val="annotation subject"/>
    <w:basedOn w:val="8"/>
    <w:next w:val="8"/>
    <w:link w:val="44"/>
    <w:unhideWhenUsed/>
    <w:qFormat/>
    <w:locked/>
    <w:uiPriority w:val="99"/>
    <w:rPr>
      <w:b/>
      <w:bCs/>
    </w:rPr>
  </w:style>
  <w:style w:type="paragraph" w:styleId="23">
    <w:name w:val="Body Text First Indent"/>
    <w:basedOn w:val="9"/>
    <w:qFormat/>
    <w:locked/>
    <w:uiPriority w:val="0"/>
    <w:pPr>
      <w:spacing w:after="120" w:line="440" w:lineRule="exact"/>
      <w:ind w:firstLine="420" w:firstLineChars="100"/>
    </w:pPr>
    <w:rPr>
      <w:rFonts w:ascii="宋体" w:eastAsia="宋体"/>
      <w:sz w:val="24"/>
      <w:szCs w:val="28"/>
    </w:rPr>
  </w:style>
  <w:style w:type="paragraph" w:styleId="24">
    <w:name w:val="Body Text First Indent 2"/>
    <w:basedOn w:val="10"/>
    <w:next w:val="1"/>
    <w:qFormat/>
    <w:locked/>
    <w:uiPriority w:val="0"/>
    <w:pPr>
      <w:spacing w:line="360" w:lineRule="auto"/>
      <w:ind w:firstLine="420" w:firstLineChars="200"/>
    </w:pPr>
    <w:rPr>
      <w:rFonts w:ascii="Calibri"/>
      <w:sz w:val="24"/>
      <w:szCs w:val="24"/>
    </w:rPr>
  </w:style>
  <w:style w:type="table" w:styleId="26">
    <w:name w:val="Table Grid"/>
    <w:basedOn w:val="25"/>
    <w:qFormat/>
    <w:uiPriority w:val="99"/>
    <w:pPr>
      <w:widowControl w:val="0"/>
      <w:jc w:val="both"/>
    </w:pPr>
    <w:rPr>
      <w:rFonts w:ascii="Cambria" w:hAnsi="Cambria" w:cs="Cambr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qFormat/>
    <w:uiPriority w:val="99"/>
    <w:rPr>
      <w:rFonts w:cs="Times New Roman"/>
    </w:rPr>
  </w:style>
  <w:style w:type="character" w:styleId="29">
    <w:name w:val="FollowedHyperlink"/>
    <w:basedOn w:val="27"/>
    <w:qFormat/>
    <w:uiPriority w:val="99"/>
    <w:rPr>
      <w:rFonts w:ascii="Tahoma" w:hAnsi="Tahoma" w:cs="Times New Roman"/>
      <w:color w:val="auto"/>
      <w:sz w:val="24"/>
      <w:u w:val="none"/>
    </w:rPr>
  </w:style>
  <w:style w:type="character" w:styleId="30">
    <w:name w:val="HTML Typewriter"/>
    <w:basedOn w:val="27"/>
    <w:qFormat/>
    <w:uiPriority w:val="0"/>
    <w:rPr>
      <w:rFonts w:ascii="宋体" w:hAnsi="宋体" w:eastAsia="宋体" w:cs="Times New Roman"/>
      <w:sz w:val="24"/>
    </w:rPr>
  </w:style>
  <w:style w:type="character" w:styleId="31">
    <w:name w:val="Hyperlink"/>
    <w:basedOn w:val="27"/>
    <w:qFormat/>
    <w:uiPriority w:val="99"/>
    <w:rPr>
      <w:rFonts w:ascii="Tahoma" w:hAnsi="Tahoma" w:cs="Times New Roman"/>
      <w:color w:val="auto"/>
      <w:sz w:val="24"/>
      <w:u w:val="none"/>
    </w:rPr>
  </w:style>
  <w:style w:type="character" w:styleId="32">
    <w:name w:val="annotation reference"/>
    <w:basedOn w:val="27"/>
    <w:unhideWhenUsed/>
    <w:qFormat/>
    <w:locked/>
    <w:uiPriority w:val="99"/>
    <w:rPr>
      <w:sz w:val="21"/>
      <w:szCs w:val="21"/>
    </w:rPr>
  </w:style>
  <w:style w:type="paragraph" w:customStyle="1" w:styleId="33">
    <w:name w:val="正文1"/>
    <w:basedOn w:val="1"/>
    <w:qFormat/>
    <w:uiPriority w:val="99"/>
    <w:pPr>
      <w:ind w:firstLine="540"/>
    </w:pPr>
    <w:rPr>
      <w:sz w:val="24"/>
    </w:rPr>
  </w:style>
  <w:style w:type="character" w:customStyle="1" w:styleId="34">
    <w:name w:val="标题 1 字符"/>
    <w:basedOn w:val="27"/>
    <w:link w:val="2"/>
    <w:qFormat/>
    <w:locked/>
    <w:uiPriority w:val="99"/>
    <w:rPr>
      <w:rFonts w:cs="Times New Roman"/>
      <w:b/>
      <w:bCs/>
      <w:kern w:val="44"/>
      <w:sz w:val="44"/>
      <w:szCs w:val="44"/>
    </w:rPr>
  </w:style>
  <w:style w:type="character" w:customStyle="1" w:styleId="35">
    <w:name w:val="标题 3 字符"/>
    <w:basedOn w:val="27"/>
    <w:link w:val="4"/>
    <w:semiHidden/>
    <w:qFormat/>
    <w:locked/>
    <w:uiPriority w:val="99"/>
    <w:rPr>
      <w:rFonts w:cs="Times New Roman"/>
      <w:b/>
      <w:bCs/>
      <w:sz w:val="32"/>
      <w:szCs w:val="32"/>
    </w:rPr>
  </w:style>
  <w:style w:type="character" w:customStyle="1" w:styleId="36">
    <w:name w:val="批注文字 字符"/>
    <w:basedOn w:val="27"/>
    <w:link w:val="8"/>
    <w:semiHidden/>
    <w:qFormat/>
    <w:locked/>
    <w:uiPriority w:val="99"/>
    <w:rPr>
      <w:rFonts w:cs="Times New Roman"/>
    </w:rPr>
  </w:style>
  <w:style w:type="character" w:customStyle="1" w:styleId="37">
    <w:name w:val="正文文本 字符"/>
    <w:basedOn w:val="27"/>
    <w:link w:val="9"/>
    <w:semiHidden/>
    <w:qFormat/>
    <w:locked/>
    <w:uiPriority w:val="99"/>
    <w:rPr>
      <w:rFonts w:cs="Times New Roman"/>
    </w:rPr>
  </w:style>
  <w:style w:type="character" w:customStyle="1" w:styleId="38">
    <w:name w:val="正文文本缩进 2 字符"/>
    <w:basedOn w:val="27"/>
    <w:link w:val="15"/>
    <w:semiHidden/>
    <w:qFormat/>
    <w:locked/>
    <w:uiPriority w:val="99"/>
    <w:rPr>
      <w:rFonts w:cs="Times New Roman"/>
    </w:rPr>
  </w:style>
  <w:style w:type="character" w:customStyle="1" w:styleId="39">
    <w:name w:val="页脚 字符"/>
    <w:basedOn w:val="27"/>
    <w:link w:val="17"/>
    <w:semiHidden/>
    <w:qFormat/>
    <w:locked/>
    <w:uiPriority w:val="99"/>
    <w:rPr>
      <w:rFonts w:cs="Times New Roman"/>
      <w:sz w:val="18"/>
      <w:szCs w:val="18"/>
    </w:rPr>
  </w:style>
  <w:style w:type="character" w:customStyle="1" w:styleId="40">
    <w:name w:val="页眉 字符"/>
    <w:basedOn w:val="27"/>
    <w:link w:val="18"/>
    <w:qFormat/>
    <w:locked/>
    <w:uiPriority w:val="0"/>
    <w:rPr>
      <w:rFonts w:cs="Times New Roman"/>
      <w:sz w:val="18"/>
      <w:szCs w:val="18"/>
    </w:rPr>
  </w:style>
  <w:style w:type="character" w:customStyle="1" w:styleId="41">
    <w:name w:val="正文文本 2 字符"/>
    <w:basedOn w:val="27"/>
    <w:link w:val="20"/>
    <w:semiHidden/>
    <w:qFormat/>
    <w:locked/>
    <w:uiPriority w:val="99"/>
    <w:rPr>
      <w:rFonts w:cs="Times New Roman"/>
    </w:rPr>
  </w:style>
  <w:style w:type="paragraph" w:customStyle="1" w:styleId="42">
    <w:name w:val="p0"/>
    <w:basedOn w:val="1"/>
    <w:qFormat/>
    <w:uiPriority w:val="0"/>
    <w:pPr>
      <w:widowControl/>
    </w:pPr>
    <w:rPr>
      <w:kern w:val="0"/>
      <w:szCs w:val="21"/>
    </w:rPr>
  </w:style>
  <w:style w:type="character" w:customStyle="1" w:styleId="43">
    <w:name w:val="批注框文本 字符"/>
    <w:basedOn w:val="27"/>
    <w:link w:val="16"/>
    <w:semiHidden/>
    <w:qFormat/>
    <w:locked/>
    <w:uiPriority w:val="99"/>
    <w:rPr>
      <w:rFonts w:cs="Times New Roman"/>
      <w:sz w:val="2"/>
    </w:rPr>
  </w:style>
  <w:style w:type="character" w:customStyle="1" w:styleId="44">
    <w:name w:val="批注主题 字符"/>
    <w:basedOn w:val="36"/>
    <w:link w:val="22"/>
    <w:semiHidden/>
    <w:qFormat/>
    <w:uiPriority w:val="99"/>
    <w:rPr>
      <w:rFonts w:cs="Times New Roman"/>
      <w:b/>
      <w:bCs/>
      <w:kern w:val="2"/>
      <w:sz w:val="21"/>
      <w:szCs w:val="22"/>
    </w:rPr>
  </w:style>
  <w:style w:type="paragraph" w:customStyle="1" w:styleId="45">
    <w:name w:val="☆ 正文"/>
    <w:basedOn w:val="1"/>
    <w:qFormat/>
    <w:uiPriority w:val="0"/>
  </w:style>
  <w:style w:type="paragraph" w:customStyle="1" w:styleId="46">
    <w:name w:val="列出段落1"/>
    <w:basedOn w:val="1"/>
    <w:qFormat/>
    <w:uiPriority w:val="0"/>
    <w:pPr>
      <w:ind w:firstLine="420" w:firstLineChars="200"/>
    </w:pPr>
    <w:rPr>
      <w:rFonts w:ascii="Calibri" w:hAnsi="Calibri"/>
    </w:rPr>
  </w:style>
  <w:style w:type="character" w:customStyle="1" w:styleId="47">
    <w:name w:val="正文文本缩进 字符"/>
    <w:basedOn w:val="27"/>
    <w:link w:val="10"/>
    <w:semiHidden/>
    <w:qFormat/>
    <w:uiPriority w:val="99"/>
    <w:rPr>
      <w:kern w:val="2"/>
      <w:sz w:val="21"/>
      <w:szCs w:val="22"/>
    </w:rPr>
  </w:style>
  <w:style w:type="paragraph" w:customStyle="1" w:styleId="48">
    <w:name w:val="Char Char Char Char"/>
    <w:qFormat/>
    <w:uiPriority w:val="0"/>
    <w:rPr>
      <w:rFonts w:ascii="Times New Roman" w:hAnsi="Times New Roman" w:eastAsia="宋体" w:cs="Times New Roman"/>
      <w:lang w:val="en-US" w:eastAsia="zh-CN" w:bidi="ar-SA"/>
    </w:rPr>
  </w:style>
  <w:style w:type="character" w:customStyle="1" w:styleId="49">
    <w:name w:val="文档结构图 字符"/>
    <w:basedOn w:val="27"/>
    <w:link w:val="7"/>
    <w:semiHidden/>
    <w:qFormat/>
    <w:uiPriority w:val="99"/>
    <w:rPr>
      <w:rFonts w:ascii="宋体"/>
      <w:kern w:val="2"/>
      <w:sz w:val="18"/>
      <w:szCs w:val="18"/>
    </w:rPr>
  </w:style>
  <w:style w:type="character" w:customStyle="1" w:styleId="50">
    <w:name w:val="纯文本 Char"/>
    <w:basedOn w:val="27"/>
    <w:qFormat/>
    <w:uiPriority w:val="0"/>
    <w:rPr>
      <w:rFonts w:ascii="宋体" w:hAnsi="Courier New" w:eastAsia="楷体_GB2312"/>
      <w:kern w:val="2"/>
      <w:sz w:val="26"/>
      <w:szCs w:val="24"/>
    </w:rPr>
  </w:style>
  <w:style w:type="character" w:customStyle="1" w:styleId="51">
    <w:name w:val="纯文本 字符"/>
    <w:basedOn w:val="27"/>
    <w:link w:val="14"/>
    <w:semiHidden/>
    <w:qFormat/>
    <w:uiPriority w:val="99"/>
    <w:rPr>
      <w:rFonts w:ascii="宋体" w:hAnsi="Courier New" w:cs="Courier New"/>
      <w:kern w:val="2"/>
      <w:sz w:val="21"/>
      <w:szCs w:val="21"/>
    </w:rPr>
  </w:style>
  <w:style w:type="character" w:customStyle="1" w:styleId="52">
    <w:name w:val="font01"/>
    <w:basedOn w:val="27"/>
    <w:qFormat/>
    <w:uiPriority w:val="0"/>
    <w:rPr>
      <w:rFonts w:ascii="方正小标宋_GBK" w:hAnsi="方正小标宋_GBK" w:eastAsia="方正小标宋_GBK" w:cs="方正小标宋_GBK"/>
      <w:color w:val="000000"/>
      <w:sz w:val="22"/>
      <w:szCs w:val="22"/>
      <w:u w:val="none"/>
    </w:rPr>
  </w:style>
  <w:style w:type="character" w:customStyle="1" w:styleId="53">
    <w:name w:val="font11"/>
    <w:basedOn w:val="27"/>
    <w:qFormat/>
    <w:uiPriority w:val="0"/>
    <w:rPr>
      <w:rFonts w:hint="default" w:ascii="Times New Roman" w:hAnsi="Times New Roman" w:cs="Times New Roman"/>
      <w:color w:val="000000"/>
      <w:sz w:val="22"/>
      <w:szCs w:val="22"/>
      <w:u w:val="none"/>
    </w:rPr>
  </w:style>
  <w:style w:type="paragraph" w:styleId="54">
    <w:name w:val="List Paragraph"/>
    <w:basedOn w:val="1"/>
    <w:unhideWhenUsed/>
    <w:qFormat/>
    <w:uiPriority w:val="99"/>
    <w:pPr>
      <w:ind w:firstLine="420" w:firstLineChars="200"/>
    </w:pPr>
  </w:style>
  <w:style w:type="paragraph" w:customStyle="1" w:styleId="55">
    <w:name w:val="0"/>
    <w:basedOn w:val="1"/>
    <w:qFormat/>
    <w:uiPriority w:val="99"/>
    <w:pPr>
      <w:widowControl/>
      <w:jc w:val="left"/>
    </w:pPr>
    <w:rPr>
      <w:rFonts w:ascii="宋体" w:hAnsi="宋体" w:cs="宋体"/>
      <w:kern w:val="0"/>
      <w:sz w:val="24"/>
      <w:szCs w:val="24"/>
    </w:rPr>
  </w:style>
  <w:style w:type="character" w:customStyle="1" w:styleId="56">
    <w:name w:val="CharAttribute8"/>
    <w:qFormat/>
    <w:uiPriority w:val="0"/>
    <w:rPr>
      <w:rFonts w:ascii="宋体" w:hAnsi="宋体" w:eastAsia="宋体"/>
      <w:sz w:val="23"/>
    </w:rPr>
  </w:style>
  <w:style w:type="paragraph" w:customStyle="1" w:styleId="57">
    <w:name w:val="样式 小四 段前: 5 磅 段后: 5 磅 首行缩进:  2 字符"/>
    <w:basedOn w:val="1"/>
    <w:qFormat/>
    <w:uiPriority w:val="0"/>
    <w:pPr>
      <w:spacing w:line="360" w:lineRule="auto"/>
    </w:pPr>
    <w:rPr>
      <w:rFonts w:ascii="宋体" w:hAnsi="宋体"/>
      <w:szCs w:val="21"/>
    </w:rPr>
  </w:style>
  <w:style w:type="character" w:customStyle="1" w:styleId="58">
    <w:name w:val="普通(网站) 字符"/>
    <w:link w:val="21"/>
    <w:qFormat/>
    <w:uiPriority w:val="0"/>
    <w:rPr>
      <w:rFonts w:ascii="宋体" w:hAnsi="宋体" w:cs="宋体"/>
      <w:sz w:val="24"/>
      <w:szCs w:val="24"/>
    </w:rPr>
  </w:style>
  <w:style w:type="paragraph" w:customStyle="1" w:styleId="59">
    <w:name w:val="1"/>
    <w:basedOn w:val="1"/>
    <w:next w:val="1"/>
    <w:qFormat/>
    <w:uiPriority w:val="39"/>
  </w:style>
  <w:style w:type="paragraph" w:customStyle="1" w:styleId="60">
    <w:name w:val="_Style 3"/>
    <w:basedOn w:val="1"/>
    <w:qFormat/>
    <w:uiPriority w:val="0"/>
    <w:pPr>
      <w:ind w:firstLine="420" w:firstLineChars="200"/>
    </w:pPr>
  </w:style>
  <w:style w:type="paragraph" w:customStyle="1" w:styleId="61">
    <w:name w:val="BodyText1I"/>
    <w:basedOn w:val="62"/>
    <w:qFormat/>
    <w:uiPriority w:val="0"/>
    <w:pPr>
      <w:spacing w:line="440" w:lineRule="exact"/>
      <w:ind w:firstLine="420" w:firstLineChars="100"/>
    </w:pPr>
    <w:rPr>
      <w:rFonts w:ascii="宋体" w:hAnsi="Calibri" w:eastAsia="仿宋_GB2312"/>
      <w:sz w:val="24"/>
    </w:rPr>
  </w:style>
  <w:style w:type="paragraph" w:customStyle="1" w:styleId="62">
    <w:name w:val="BodyText"/>
    <w:basedOn w:val="1"/>
    <w:qFormat/>
    <w:uiPriority w:val="0"/>
    <w:rPr>
      <w:rFonts w:ascii="楷体_GB2312" w:hAnsi="Arial" w:eastAsia="楷体_GB2312"/>
      <w:sz w:val="28"/>
      <w:szCs w:val="28"/>
    </w:rPr>
  </w:style>
  <w:style w:type="character" w:customStyle="1" w:styleId="63">
    <w:name w:val="NormalCharacter"/>
    <w:qFormat/>
    <w:uiPriority w:val="0"/>
  </w:style>
  <w:style w:type="paragraph" w:customStyle="1" w:styleId="64">
    <w:name w:val="首行缩进"/>
    <w:qFormat/>
    <w:uiPriority w:val="0"/>
    <w:pPr>
      <w:widowControl w:val="0"/>
      <w:ind w:firstLine="480" w:firstLineChars="200"/>
      <w:jc w:val="both"/>
    </w:pPr>
    <w:rPr>
      <w:rFonts w:ascii="Times New Roman" w:hAnsi="Times New Roman" w:eastAsia="宋体" w:cs="Times New Roman"/>
      <w:kern w:val="2"/>
      <w:sz w:val="21"/>
      <w:lang w:val="zh-CN" w:eastAsia="zh-CN" w:bidi="ar-SA"/>
    </w:rPr>
  </w:style>
  <w:style w:type="paragraph" w:customStyle="1" w:styleId="65">
    <w:name w:val="Andy_正文"/>
    <w:basedOn w:val="1"/>
    <w:qFormat/>
    <w:uiPriority w:val="0"/>
    <w:pPr>
      <w:spacing w:line="360" w:lineRule="auto"/>
      <w:ind w:firstLine="480" w:firstLineChars="200"/>
    </w:pPr>
    <w:rPr>
      <w:rFonts w:ascii="Calibri" w:hAnsi="Calibri"/>
      <w:kern w:val="0"/>
      <w:sz w:val="24"/>
      <w:szCs w:val="24"/>
    </w:rPr>
  </w:style>
  <w:style w:type="paragraph" w:customStyle="1" w:styleId="66">
    <w:name w:val="_Style 10"/>
    <w:basedOn w:val="1"/>
    <w:next w:val="54"/>
    <w:qFormat/>
    <w:uiPriority w:val="34"/>
    <w:pPr>
      <w:spacing w:line="360" w:lineRule="auto"/>
      <w:ind w:firstLine="420" w:firstLineChars="200"/>
    </w:pPr>
    <w:rPr>
      <w:rFonts w:ascii="Calibri" w:hAnsi="Calibri" w:eastAsia="宋体"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362144-059B-49DD-A7DD-DB9EB6CCF101}">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43</Pages>
  <Words>22923</Words>
  <Characters>24473</Characters>
  <Lines>213</Lines>
  <Paragraphs>59</Paragraphs>
  <TotalTime>106</TotalTime>
  <ScaleCrop>false</ScaleCrop>
  <LinksUpToDate>false</LinksUpToDate>
  <CharactersWithSpaces>26660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2018-11-16T03:05:00Z</dcterms:created>
  <dc:creator>Administrator</dc:creator>
  <cp:lastModifiedBy>娜娜</cp:lastModifiedBy>
  <cp:lastPrinted>2022-10-18T05:59:00Z</cp:lastPrinted>
  <dcterms:modified xsi:type="dcterms:W3CDTF">2023-11-21T08:56:44Z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D913D120F4C64C9D8F0B566FD39E2CE1_13</vt:lpwstr>
  </property>
</Properties>
</file>