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left="660"/>
        <w:rPr>
          <w:rFonts w:ascii="楷体_GB2312" w:eastAsia="楷体_GB2312"/>
          <w:color w:val="000000" w:themeColor="text1"/>
          <w:sz w:val="30"/>
          <w:szCs w:val="30"/>
          <w14:textFill>
            <w14:solidFill>
              <w14:schemeClr w14:val="tx1"/>
            </w14:solidFill>
          </w14:textFill>
        </w:rPr>
      </w:pPr>
    </w:p>
    <w:p>
      <w:pPr>
        <w:ind w:left="660"/>
        <w:rPr>
          <w:rFonts w:ascii="楷体_GB2312" w:eastAsia="楷体_GB2312"/>
          <w:color w:val="000000" w:themeColor="text1"/>
          <w:sz w:val="30"/>
          <w:szCs w:val="30"/>
          <w14:textFill>
            <w14:solidFill>
              <w14:schemeClr w14:val="tx1"/>
            </w14:solidFill>
          </w14:textFill>
        </w:rPr>
      </w:pPr>
    </w:p>
    <w:p>
      <w:pPr>
        <w:jc w:val="center"/>
        <w:rPr>
          <w:rFonts w:ascii="黑体" w:hAnsi="华文中宋" w:eastAsia="黑体"/>
          <w:color w:val="000000" w:themeColor="text1"/>
          <w:spacing w:val="20"/>
          <w:sz w:val="72"/>
          <w:szCs w:val="72"/>
          <w14:textFill>
            <w14:solidFill>
              <w14:schemeClr w14:val="tx1"/>
            </w14:solidFill>
          </w14:textFill>
        </w:rPr>
      </w:pPr>
      <w:r>
        <w:rPr>
          <w:rFonts w:hint="eastAsia" w:ascii="黑体" w:hAnsi="华文中宋" w:eastAsia="黑体" w:cs="黑体"/>
          <w:color w:val="000000" w:themeColor="text1"/>
          <w:spacing w:val="20"/>
          <w:sz w:val="72"/>
          <w:szCs w:val="72"/>
          <w14:textFill>
            <w14:solidFill>
              <w14:schemeClr w14:val="tx1"/>
            </w14:solidFill>
          </w14:textFill>
        </w:rPr>
        <w:t>无锡市政府采购</w:t>
      </w:r>
    </w:p>
    <w:p>
      <w:pPr>
        <w:rPr>
          <w:rFonts w:ascii="华文中宋" w:hAnsi="华文中宋" w:eastAsia="华文中宋"/>
          <w:color w:val="000000" w:themeColor="text1"/>
          <w:sz w:val="30"/>
          <w:szCs w:val="30"/>
          <w14:textFill>
            <w14:solidFill>
              <w14:schemeClr w14:val="tx1"/>
            </w14:solidFill>
          </w14:textFill>
        </w:rPr>
      </w:pPr>
    </w:p>
    <w:p>
      <w:pPr>
        <w:rPr>
          <w:rFonts w:ascii="华文中宋" w:hAnsi="华文中宋" w:eastAsia="华文中宋"/>
          <w:color w:val="000000" w:themeColor="text1"/>
          <w:sz w:val="30"/>
          <w:szCs w:val="30"/>
          <w14:textFill>
            <w14:solidFill>
              <w14:schemeClr w14:val="tx1"/>
            </w14:solidFill>
          </w14:textFill>
        </w:rPr>
      </w:pPr>
    </w:p>
    <w:p>
      <w:pPr>
        <w:rPr>
          <w:rFonts w:ascii="华文中宋" w:hAnsi="华文中宋" w:eastAsia="华文中宋"/>
          <w:color w:val="000000" w:themeColor="text1"/>
          <w:sz w:val="30"/>
          <w:szCs w:val="30"/>
          <w14:textFill>
            <w14:solidFill>
              <w14:schemeClr w14:val="tx1"/>
            </w14:solidFill>
          </w14:textFill>
        </w:rPr>
      </w:pPr>
    </w:p>
    <w:p>
      <w:pPr>
        <w:jc w:val="center"/>
        <w:rPr>
          <w:rFonts w:ascii="黑体" w:hAnsi="华文中宋" w:eastAsia="黑体"/>
          <w:color w:val="000000" w:themeColor="text1"/>
          <w:spacing w:val="20"/>
          <w:w w:val="90"/>
          <w:sz w:val="48"/>
          <w:szCs w:val="48"/>
          <w14:textFill>
            <w14:solidFill>
              <w14:schemeClr w14:val="tx1"/>
            </w14:solidFill>
          </w14:textFill>
        </w:rPr>
      </w:pPr>
      <w:r>
        <w:rPr>
          <w:rFonts w:hint="eastAsia" w:ascii="黑体" w:hAnsi="华文中宋" w:eastAsia="黑体" w:cs="黑体"/>
          <w:color w:val="000000" w:themeColor="text1"/>
          <w:spacing w:val="20"/>
          <w:w w:val="90"/>
          <w:sz w:val="48"/>
          <w:szCs w:val="48"/>
          <w14:textFill>
            <w14:solidFill>
              <w14:schemeClr w14:val="tx1"/>
            </w14:solidFill>
          </w14:textFill>
        </w:rPr>
        <w:t>公 开</w:t>
      </w:r>
    </w:p>
    <w:p>
      <w:pPr>
        <w:jc w:val="center"/>
        <w:rPr>
          <w:rFonts w:ascii="黑体" w:hAnsi="华文中宋" w:eastAsia="黑体"/>
          <w:color w:val="000000" w:themeColor="text1"/>
          <w:spacing w:val="20"/>
          <w:sz w:val="52"/>
          <w:szCs w:val="5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197485</wp:posOffset>
                </wp:positionV>
                <wp:extent cx="635" cy="0"/>
                <wp:effectExtent l="0" t="0" r="0" b="0"/>
                <wp:wrapNone/>
                <wp:docPr id="3" name="Line 2"/>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9pt;margin-top:15.55pt;height:0pt;width:0.05pt;z-index:251659264;mso-width-relative:page;mso-height-relative:page;" filled="f" stroked="t" coordsize="21600,21600" o:allowincell="f" o:gfxdata="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9JpPdcAAAAJAQAADwAAAAAAAAABACAAAAAiAAAAZHJzL2Rvd25y&#10;ZXYueG1sUEsBAhQAFAAAAAgAh07iQKCl2V/GAQAAmwMAAA4AAAAAAAAAAQAgAAAAJgEAAGRycy9l&#10;Mm9Eb2MueG1sUEsFBgAAAAAGAAYAWQEAAF4FAAAAAA==&#10;">
                <v:fill on="f" focussize="0,0"/>
                <v:stroke color="#000000" joinstyle="round"/>
                <v:imagedata o:title=""/>
                <o:lock v:ext="edit" aspectratio="f"/>
              </v:line>
            </w:pict>
          </mc:Fallback>
        </mc:AlternateContent>
      </w:r>
      <w:r>
        <w:rPr>
          <w:rFonts w:hint="eastAsia" w:ascii="黑体" w:hAnsi="华文中宋" w:eastAsia="黑体" w:cs="黑体"/>
          <w:color w:val="000000" w:themeColor="text1"/>
          <w:spacing w:val="20"/>
          <w:sz w:val="52"/>
          <w:szCs w:val="52"/>
          <w14:textFill>
            <w14:solidFill>
              <w14:schemeClr w14:val="tx1"/>
            </w14:solidFill>
          </w14:textFill>
        </w:rPr>
        <w:t>招标文件</w:t>
      </w:r>
    </w:p>
    <w:p>
      <w:pPr>
        <w:jc w:val="center"/>
        <w:rPr>
          <w:rFonts w:ascii="华文中宋" w:hAnsi="华文中宋" w:eastAsia="华文中宋"/>
          <w:color w:val="000000" w:themeColor="text1"/>
          <w:sz w:val="30"/>
          <w:szCs w:val="30"/>
          <w14:textFill>
            <w14:solidFill>
              <w14:schemeClr w14:val="tx1"/>
            </w14:solidFill>
          </w14:textFill>
        </w:rPr>
      </w:pPr>
      <w:r>
        <w:rPr>
          <w:rFonts w:hint="eastAsia" w:ascii="华文中宋" w:hAnsi="华文中宋" w:eastAsia="华文中宋"/>
          <w:color w:val="000000" w:themeColor="text1"/>
          <w:sz w:val="30"/>
          <w:szCs w:val="30"/>
          <w14:textFill>
            <w14:solidFill>
              <w14:schemeClr w14:val="tx1"/>
            </w14:solidFill>
          </w14:textFill>
        </w:rPr>
        <w:t>（电子化全流程）</w:t>
      </w:r>
    </w:p>
    <w:p>
      <w:pPr>
        <w:tabs>
          <w:tab w:val="left" w:pos="9921"/>
        </w:tabs>
        <w:jc w:val="center"/>
        <w:rPr>
          <w:rFonts w:ascii="华文中宋" w:hAnsi="华文中宋" w:eastAsia="华文中宋"/>
          <w:color w:val="000000" w:themeColor="text1"/>
          <w:sz w:val="30"/>
          <w:szCs w:val="30"/>
          <w14:textFill>
            <w14:solidFill>
              <w14:schemeClr w14:val="tx1"/>
            </w14:solidFill>
          </w14:textFill>
        </w:rPr>
      </w:pPr>
    </w:p>
    <w:p>
      <w:pPr>
        <w:jc w:val="left"/>
        <w:rPr>
          <w:rFonts w:ascii="华文中宋" w:hAnsi="华文中宋" w:eastAsia="华文中宋"/>
          <w:color w:val="000000" w:themeColor="text1"/>
          <w:sz w:val="30"/>
          <w:szCs w:val="30"/>
          <w14:textFill>
            <w14:solidFill>
              <w14:schemeClr w14:val="tx1"/>
            </w14:solidFill>
          </w14:textFill>
        </w:rPr>
      </w:pPr>
    </w:p>
    <w:p>
      <w:pPr>
        <w:ind w:firstLine="2700" w:firstLineChars="900"/>
        <w:rPr>
          <w:rFonts w:ascii="黑体" w:hAnsi="华文中宋" w:eastAsia="黑体"/>
          <w:color w:val="000000" w:themeColor="text1"/>
          <w:sz w:val="30"/>
          <w:szCs w:val="30"/>
          <w14:textFill>
            <w14:solidFill>
              <w14:schemeClr w14:val="tx1"/>
            </w14:solidFill>
          </w14:textFill>
        </w:rPr>
      </w:pPr>
      <w:r>
        <w:rPr>
          <w:rFonts w:hint="eastAsia" w:ascii="黑体" w:hAnsi="华文中宋" w:eastAsia="黑体" w:cs="黑体"/>
          <w:color w:val="000000" w:themeColor="text1"/>
          <w:sz w:val="30"/>
          <w:szCs w:val="30"/>
          <w14:textFill>
            <w14:solidFill>
              <w14:schemeClr w14:val="tx1"/>
            </w14:solidFill>
          </w14:textFill>
        </w:rPr>
        <w:t>政府采购编号：WXWJCG2023-058</w:t>
      </w:r>
    </w:p>
    <w:p>
      <w:pPr>
        <w:ind w:left="4792" w:leftChars="1282" w:hanging="2100" w:hangingChars="700"/>
        <w:jc w:val="left"/>
        <w:rPr>
          <w:rFonts w:ascii="黑体" w:hAnsi="华文中宋" w:eastAsia="黑体"/>
          <w:color w:val="000000" w:themeColor="text1"/>
          <w:w w:val="80"/>
          <w:sz w:val="28"/>
          <w:szCs w:val="28"/>
          <w14:textFill>
            <w14:solidFill>
              <w14:schemeClr w14:val="tx1"/>
            </w14:solidFill>
          </w14:textFill>
        </w:rPr>
      </w:pPr>
      <w:r>
        <w:rPr>
          <w:rFonts w:hint="eastAsia" w:ascii="黑体" w:hAnsi="华文中宋" w:eastAsia="黑体" w:cs="黑体"/>
          <w:color w:val="000000" w:themeColor="text1"/>
          <w:sz w:val="30"/>
          <w:szCs w:val="30"/>
          <w14:textFill>
            <w14:solidFill>
              <w14:schemeClr w14:val="tx1"/>
            </w14:solidFill>
          </w14:textFill>
        </w:rPr>
        <w:t>采购项目名称：</w:t>
      </w:r>
      <w:r>
        <w:rPr>
          <w:rFonts w:hint="eastAsia" w:ascii="黑体" w:hAnsi="华文中宋" w:eastAsia="黑体" w:cs="黑体"/>
          <w:color w:val="000000" w:themeColor="text1"/>
          <w:w w:val="90"/>
          <w:sz w:val="30"/>
          <w:szCs w:val="30"/>
          <w14:textFill>
            <w14:solidFill>
              <w14:schemeClr w14:val="tx1"/>
            </w14:solidFill>
          </w14:textFill>
        </w:rPr>
        <w:t>无锡市儿童医院手术显微镜项目</w:t>
      </w:r>
    </w:p>
    <w:p>
      <w:pPr>
        <w:ind w:left="4792" w:leftChars="1282" w:hanging="2100" w:hangingChars="700"/>
        <w:jc w:val="left"/>
        <w:rPr>
          <w:rFonts w:ascii="黑体" w:hAnsi="华文中宋" w:eastAsia="黑体" w:cs="黑体"/>
          <w:color w:val="000000" w:themeColor="text1"/>
          <w:sz w:val="30"/>
          <w:szCs w:val="30"/>
          <w14:textFill>
            <w14:solidFill>
              <w14:schemeClr w14:val="tx1"/>
            </w14:solidFill>
          </w14:textFill>
        </w:rPr>
      </w:pPr>
      <w:r>
        <w:rPr>
          <w:rFonts w:hint="eastAsia" w:ascii="黑体" w:hAnsi="华文中宋" w:eastAsia="黑体" w:cs="黑体"/>
          <w:color w:val="000000" w:themeColor="text1"/>
          <w:sz w:val="30"/>
          <w:szCs w:val="30"/>
          <w14:textFill>
            <w14:solidFill>
              <w14:schemeClr w14:val="tx1"/>
            </w14:solidFill>
          </w14:textFill>
        </w:rPr>
        <w:t>部门集中采购机构</w:t>
      </w:r>
      <w:r>
        <w:rPr>
          <w:rFonts w:ascii="黑体" w:hAnsi="华文中宋" w:eastAsia="黑体" w:cs="黑体"/>
          <w:color w:val="000000" w:themeColor="text1"/>
          <w:sz w:val="30"/>
          <w:szCs w:val="30"/>
          <w14:textFill>
            <w14:solidFill>
              <w14:schemeClr w14:val="tx1"/>
            </w14:solidFill>
          </w14:textFill>
        </w:rPr>
        <w:t xml:space="preserve">: </w:t>
      </w:r>
      <w:r>
        <w:rPr>
          <w:rFonts w:hint="eastAsia" w:ascii="黑体" w:hAnsi="华文中宋" w:eastAsia="黑体" w:cs="黑体"/>
          <w:color w:val="000000" w:themeColor="text1"/>
          <w:sz w:val="30"/>
          <w:szCs w:val="30"/>
          <w14:textFill>
            <w14:solidFill>
              <w14:schemeClr w14:val="tx1"/>
            </w14:solidFill>
          </w14:textFill>
        </w:rPr>
        <w:t>无锡市卫生健康综合服务中心</w:t>
      </w:r>
    </w:p>
    <w:p>
      <w:pPr>
        <w:rPr>
          <w:rFonts w:ascii="华文中宋" w:hAnsi="华文中宋" w:eastAsia="华文中宋"/>
          <w:color w:val="000000" w:themeColor="text1"/>
          <w:sz w:val="32"/>
          <w:szCs w:val="32"/>
          <w14:textFill>
            <w14:solidFill>
              <w14:schemeClr w14:val="tx1"/>
            </w14:solidFill>
          </w14:textFill>
        </w:rPr>
      </w:pPr>
    </w:p>
    <w:p>
      <w:pPr>
        <w:rPr>
          <w:rFonts w:ascii="华文中宋" w:hAnsi="华文中宋" w:eastAsia="华文中宋"/>
          <w:color w:val="000000" w:themeColor="text1"/>
          <w:sz w:val="30"/>
          <w:szCs w:val="30"/>
          <w14:textFill>
            <w14:solidFill>
              <w14:schemeClr w14:val="tx1"/>
            </w14:solidFill>
          </w14:textFill>
        </w:rPr>
      </w:pPr>
    </w:p>
    <w:p>
      <w:pPr>
        <w:rPr>
          <w:rFonts w:ascii="华文中宋" w:hAnsi="华文中宋" w:eastAsia="华文中宋"/>
          <w:color w:val="000000" w:themeColor="text1"/>
          <w:sz w:val="30"/>
          <w:szCs w:val="30"/>
          <w14:textFill>
            <w14:solidFill>
              <w14:schemeClr w14:val="tx1"/>
            </w14:solidFill>
          </w14:textFill>
        </w:rPr>
      </w:pPr>
    </w:p>
    <w:p>
      <w:pPr>
        <w:rPr>
          <w:rFonts w:ascii="华文中宋" w:hAnsi="华文中宋" w:eastAsia="华文中宋"/>
          <w:color w:val="000000" w:themeColor="text1"/>
          <w:sz w:val="30"/>
          <w:szCs w:val="30"/>
          <w14:textFill>
            <w14:solidFill>
              <w14:schemeClr w14:val="tx1"/>
            </w14:solidFill>
          </w14:textFill>
        </w:rPr>
      </w:pPr>
    </w:p>
    <w:p>
      <w:pPr>
        <w:jc w:val="center"/>
        <w:rPr>
          <w:rFonts w:ascii="黑体" w:hAnsi="华文中宋" w:eastAsia="黑体"/>
          <w:color w:val="000000" w:themeColor="text1"/>
          <w:sz w:val="44"/>
          <w:szCs w:val="44"/>
          <w14:textFill>
            <w14:solidFill>
              <w14:schemeClr w14:val="tx1"/>
            </w14:solidFill>
          </w14:textFill>
        </w:rPr>
      </w:pPr>
      <w:r>
        <w:rPr>
          <w:rFonts w:hint="eastAsia" w:ascii="黑体" w:hAnsi="华文中宋" w:eastAsia="黑体" w:cs="黑体"/>
          <w:color w:val="000000" w:themeColor="text1"/>
          <w:sz w:val="44"/>
          <w:szCs w:val="44"/>
          <w14:textFill>
            <w14:solidFill>
              <w14:schemeClr w14:val="tx1"/>
            </w14:solidFill>
          </w14:textFill>
        </w:rPr>
        <w:t>二○二三年十一月十五日</w:t>
      </w:r>
    </w:p>
    <w:p>
      <w:pPr>
        <w:jc w:val="center"/>
        <w:rPr>
          <w:rFonts w:ascii="黑体" w:eastAsia="黑体"/>
          <w:color w:val="000000" w:themeColor="text1"/>
          <w:sz w:val="44"/>
          <w:szCs w:val="44"/>
          <w14:textFill>
            <w14:solidFill>
              <w14:schemeClr w14:val="tx1"/>
            </w14:solidFill>
          </w14:textFill>
        </w:rPr>
      </w:pPr>
    </w:p>
    <w:p>
      <w:pPr>
        <w:rPr>
          <w:rFonts w:ascii="华文新魏" w:eastAsia="华文新魏"/>
          <w:color w:val="000000" w:themeColor="text1"/>
          <w:sz w:val="44"/>
          <w:szCs w:val="44"/>
          <w14:textFill>
            <w14:solidFill>
              <w14:schemeClr w14:val="tx1"/>
            </w14:solidFill>
          </w14:textFill>
        </w:rPr>
      </w:pPr>
    </w:p>
    <w:p>
      <w:pPr>
        <w:jc w:val="center"/>
        <w:rPr>
          <w:rStyle w:val="50"/>
          <w:rFonts w:eastAsia="黑体"/>
          <w:color w:val="000000" w:themeColor="text1"/>
          <w:sz w:val="48"/>
          <w:szCs w:val="48"/>
          <w14:textFill>
            <w14:solidFill>
              <w14:schemeClr w14:val="tx1"/>
            </w14:solidFill>
          </w14:textFill>
        </w:rPr>
      </w:pPr>
    </w:p>
    <w:p>
      <w:pPr>
        <w:jc w:val="center"/>
        <w:rPr>
          <w:rStyle w:val="50"/>
          <w:rFonts w:eastAsia="黑体"/>
          <w:color w:val="000000" w:themeColor="text1"/>
          <w:sz w:val="48"/>
          <w:szCs w:val="48"/>
          <w14:textFill>
            <w14:solidFill>
              <w14:schemeClr w14:val="tx1"/>
            </w14:solidFill>
          </w14:textFill>
        </w:rPr>
      </w:pPr>
    </w:p>
    <w:p>
      <w:pPr>
        <w:jc w:val="center"/>
        <w:rPr>
          <w:rStyle w:val="50"/>
          <w:rFonts w:eastAsia="黑体"/>
          <w:color w:val="000000" w:themeColor="text1"/>
          <w:sz w:val="48"/>
          <w:szCs w:val="48"/>
          <w14:textFill>
            <w14:solidFill>
              <w14:schemeClr w14:val="tx1"/>
            </w14:solidFill>
          </w14:textFill>
        </w:rPr>
      </w:pPr>
    </w:p>
    <w:p>
      <w:pPr>
        <w:jc w:val="center"/>
        <w:rPr>
          <w:rStyle w:val="50"/>
          <w:rFonts w:eastAsia="黑体"/>
          <w:color w:val="000000" w:themeColor="text1"/>
          <w:sz w:val="48"/>
          <w:szCs w:val="48"/>
          <w14:textFill>
            <w14:solidFill>
              <w14:schemeClr w14:val="tx1"/>
            </w14:solidFill>
          </w14:textFill>
        </w:rPr>
      </w:pPr>
    </w:p>
    <w:p>
      <w:pPr>
        <w:pStyle w:val="42"/>
        <w:shd w:val="clear" w:color="auto" w:fill="FFFFFF"/>
        <w:spacing w:before="0" w:beforeAutospacing="0" w:after="0" w:afterAutospacing="0" w:line="560" w:lineRule="exact"/>
        <w:jc w:val="center"/>
        <w:rPr>
          <w:rFonts w:ascii="方正小标宋简体" w:hAnsi="方正小标宋简体" w:eastAsia="方正小标宋简体" w:cs="方正小标宋简体"/>
          <w:color w:val="000000" w:themeColor="text1"/>
          <w:sz w:val="36"/>
          <w:szCs w:val="36"/>
          <w:shd w:val="clear" w:color="auto" w:fill="FFFFFF"/>
          <w14:textFill>
            <w14:solidFill>
              <w14:schemeClr w14:val="tx1"/>
            </w14:solidFill>
          </w14:textFill>
        </w:rPr>
      </w:pPr>
      <w:r>
        <w:rPr>
          <w:rFonts w:hint="eastAsia" w:ascii="方正小标宋简体" w:hAnsi="方正小标宋简体" w:eastAsia="方正小标宋简体" w:cs="方正小标宋简体"/>
          <w:color w:val="000000" w:themeColor="text1"/>
          <w:spacing w:val="7"/>
          <w:sz w:val="36"/>
          <w:szCs w:val="36"/>
          <w14:textFill>
            <w14:solidFill>
              <w14:schemeClr w14:val="tx1"/>
            </w14:solidFill>
          </w14:textFill>
        </w:rPr>
        <w:t>政府采购提醒函</w:t>
      </w:r>
    </w:p>
    <w:p>
      <w:pPr>
        <w:pStyle w:val="42"/>
        <w:shd w:val="clear" w:color="auto" w:fill="FFFFFF"/>
        <w:adjustRightInd w:val="0"/>
        <w:snapToGrid w:val="0"/>
        <w:spacing w:before="0" w:beforeAutospacing="0" w:after="0" w:afterAutospacing="0" w:line="560" w:lineRule="exact"/>
        <w:rPr>
          <w:rFonts w:ascii="方正黑体_GBK" w:hAnsi="方正黑体_GBK" w:eastAsia="方正黑体_GBK" w:cs="方正黑体_GBK"/>
          <w:color w:val="000000" w:themeColor="text1"/>
          <w:sz w:val="28"/>
          <w:szCs w:val="28"/>
          <w14:textFill>
            <w14:solidFill>
              <w14:schemeClr w14:val="tx1"/>
            </w14:solidFill>
          </w14:textFill>
        </w:rPr>
      </w:pPr>
      <w:r>
        <w:rPr>
          <w:rFonts w:hint="eastAsia" w:ascii="方正黑体_GBK" w:hAnsi="方正黑体_GBK" w:eastAsia="方正黑体_GBK" w:cs="方正黑体_GBK"/>
          <w:color w:val="000000" w:themeColor="text1"/>
          <w:kern w:val="2"/>
          <w:sz w:val="28"/>
          <w:szCs w:val="28"/>
          <w:shd w:val="clear" w:color="auto" w:fill="FFFFFF"/>
          <w14:textFill>
            <w14:solidFill>
              <w14:schemeClr w14:val="tx1"/>
            </w14:solidFill>
          </w14:textFill>
        </w:rPr>
        <w:t>各投标供应商</w:t>
      </w:r>
      <w:r>
        <w:rPr>
          <w:rFonts w:hint="eastAsia" w:ascii="方正黑体_GBK" w:hAnsi="方正黑体_GBK" w:eastAsia="方正黑体_GBK" w:cs="方正黑体_GBK"/>
          <w:color w:val="000000" w:themeColor="text1"/>
          <w:sz w:val="28"/>
          <w:szCs w:val="28"/>
          <w:shd w:val="clear" w:color="auto" w:fill="FFFFFF"/>
          <w14:textFill>
            <w14:solidFill>
              <w14:schemeClr w14:val="tx1"/>
            </w14:solidFill>
          </w14:textFill>
        </w:rPr>
        <w:t>：</w:t>
      </w:r>
    </w:p>
    <w:p>
      <w:pPr>
        <w:pStyle w:val="12"/>
        <w:adjustRightInd w:val="0"/>
        <w:snapToGrid w:val="0"/>
        <w:spacing w:line="560" w:lineRule="exact"/>
        <w:ind w:firstLine="560" w:firstLineChars="200"/>
        <w:rPr>
          <w:rFonts w:ascii="方正黑体_GBK" w:hAnsi="方正黑体_GBK" w:eastAsia="方正黑体_GBK" w:cs="方正黑体_GBK"/>
          <w:color w:val="000000" w:themeColor="text1"/>
          <w:sz w:val="28"/>
          <w:szCs w:val="28"/>
          <w:shd w:val="clear" w:color="auto" w:fill="FFFFFF"/>
          <w14:textFill>
            <w14:solidFill>
              <w14:schemeClr w14:val="tx1"/>
            </w14:solidFill>
          </w14:textFill>
        </w:rPr>
      </w:pPr>
      <w:r>
        <w:rPr>
          <w:rFonts w:hint="eastAsia" w:ascii="方正黑体_GBK" w:hAnsi="方正黑体_GBK" w:eastAsia="方正黑体_GBK" w:cs="方正黑体_GBK"/>
          <w:color w:val="000000" w:themeColor="text1"/>
          <w:sz w:val="28"/>
          <w:szCs w:val="28"/>
          <w:shd w:val="clear" w:color="auto" w:fill="FFFFFF"/>
          <w14:textFill>
            <w14:solidFill>
              <w14:schemeClr w14:val="tx1"/>
            </w14:solidFill>
          </w14:textFill>
        </w:rPr>
        <w:t>为贯彻落实国家和省、市关于优化招标投标营商环境工作的部署要求，防范和惩治供应商串通投标的不正当竞争行为，现将有关串标情形及后果的规定列明如下，请各供应商仔细阅读，在参与采购活动中，要遵纪守法，公平竞争，不得从事违法行为，否则将依法承担相应责任：</w:t>
      </w:r>
    </w:p>
    <w:p>
      <w:pPr>
        <w:pStyle w:val="12"/>
        <w:adjustRightInd w:val="0"/>
        <w:snapToGrid w:val="0"/>
        <w:spacing w:line="560" w:lineRule="exact"/>
        <w:ind w:firstLine="560" w:firstLineChars="200"/>
        <w:rPr>
          <w:rFonts w:ascii="方正黑体_GBK" w:hAnsi="方正黑体_GBK" w:eastAsia="方正黑体_GBK" w:cs="方正黑体_GBK"/>
          <w:color w:val="000000" w:themeColor="text1"/>
          <w:sz w:val="28"/>
          <w:szCs w:val="28"/>
          <w:shd w:val="clear" w:color="auto" w:fill="FFFFFF"/>
          <w14:textFill>
            <w14:solidFill>
              <w14:schemeClr w14:val="tx1"/>
            </w14:solidFill>
          </w14:textFill>
        </w:rPr>
      </w:pPr>
      <w:r>
        <w:rPr>
          <w:rFonts w:hint="eastAsia" w:ascii="方正黑体_GBK" w:hAnsi="方正黑体_GBK" w:eastAsia="方正黑体_GBK" w:cs="方正黑体_GBK"/>
          <w:color w:val="000000" w:themeColor="text1"/>
          <w:sz w:val="28"/>
          <w:szCs w:val="28"/>
          <w:shd w:val="clear" w:color="auto" w:fill="FFFFFF"/>
          <w14:textFill>
            <w14:solidFill>
              <w14:schemeClr w14:val="tx1"/>
            </w14:solidFill>
          </w14:textFill>
        </w:rPr>
        <w:t>一、串标情形</w:t>
      </w:r>
    </w:p>
    <w:p>
      <w:pPr>
        <w:pStyle w:val="42"/>
        <w:shd w:val="clear" w:color="auto" w:fill="FFFFFF"/>
        <w:adjustRightInd w:val="0"/>
        <w:snapToGrid w:val="0"/>
        <w:spacing w:before="0" w:beforeAutospacing="0" w:after="0" w:afterAutospacing="0" w:line="560" w:lineRule="exact"/>
        <w:ind w:firstLine="560" w:firstLineChars="200"/>
        <w:rPr>
          <w:rFonts w:ascii="方正楷体_GB2312" w:hAnsi="方正楷体_GB2312" w:eastAsia="方正楷体_GB2312" w:cs="方正楷体_GB2312"/>
          <w:color w:val="000000" w:themeColor="text1"/>
          <w:sz w:val="28"/>
          <w:szCs w:val="28"/>
          <w:shd w:val="clear" w:color="auto" w:fill="FFFFFF"/>
          <w14:textFill>
            <w14:solidFill>
              <w14:schemeClr w14:val="tx1"/>
            </w14:solidFill>
          </w14:textFill>
        </w:rPr>
      </w:pPr>
      <w:r>
        <w:rPr>
          <w:rFonts w:hint="eastAsia" w:ascii="方正楷体_GB2312" w:hAnsi="方正楷体_GB2312" w:eastAsia="方正楷体_GB2312" w:cs="方正楷体_GB2312"/>
          <w:color w:val="000000" w:themeColor="text1"/>
          <w:sz w:val="28"/>
          <w:szCs w:val="28"/>
          <w:shd w:val="clear" w:color="auto" w:fill="FFFFFF"/>
          <w14:textFill>
            <w14:solidFill>
              <w14:schemeClr w14:val="tx1"/>
            </w14:solidFill>
          </w14:textFill>
        </w:rPr>
        <w:t>1. 《中华人民共和国政府采购法实施条例》第七十四条</w:t>
      </w:r>
    </w:p>
    <w:p>
      <w:pPr>
        <w:pStyle w:val="42"/>
        <w:shd w:val="clear" w:color="auto" w:fill="FFFFFF"/>
        <w:adjustRightInd w:val="0"/>
        <w:snapToGrid w:val="0"/>
        <w:spacing w:before="0" w:beforeAutospacing="0" w:after="0" w:afterAutospacing="0" w:line="560" w:lineRule="exact"/>
        <w:ind w:firstLine="560" w:firstLineChars="200"/>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shd w:val="clear" w:color="auto" w:fill="FFFFFF"/>
          <w14:textFill>
            <w14:solidFill>
              <w14:schemeClr w14:val="tx1"/>
            </w14:solidFill>
          </w14:textFill>
        </w:rPr>
        <w:t>有下列情形之一的，属于恶意串通，对供应商依照政府采购法第七十七条第一款的规定追究法律责任，对采购人、采购代理机构及其工作人员依照政府采购法第七十二条的规定追究法律责任：</w:t>
      </w:r>
    </w:p>
    <w:p>
      <w:pPr>
        <w:pStyle w:val="42"/>
        <w:shd w:val="clear" w:color="auto" w:fill="FFFFFF"/>
        <w:adjustRightInd w:val="0"/>
        <w:snapToGrid w:val="0"/>
        <w:spacing w:before="0" w:beforeAutospacing="0" w:after="0" w:afterAutospacing="0" w:line="560" w:lineRule="exact"/>
        <w:ind w:firstLine="560" w:firstLineChars="200"/>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shd w:val="clear" w:color="auto" w:fill="FFFFFF"/>
          <w14:textFill>
            <w14:solidFill>
              <w14:schemeClr w14:val="tx1"/>
            </w14:solidFill>
          </w14:textFill>
        </w:rPr>
        <w:t>（一）供应商直接或者间接从采购人或者采购代理机构处获得其他供应商的相关情况并修改其投标文件或者响应文件。</w:t>
      </w:r>
    </w:p>
    <w:p>
      <w:pPr>
        <w:pStyle w:val="42"/>
        <w:shd w:val="clear" w:color="auto" w:fill="FFFFFF"/>
        <w:adjustRightInd w:val="0"/>
        <w:snapToGrid w:val="0"/>
        <w:spacing w:before="0" w:beforeAutospacing="0" w:after="0" w:afterAutospacing="0" w:line="560" w:lineRule="exact"/>
        <w:ind w:firstLine="560" w:firstLineChars="200"/>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shd w:val="clear" w:color="auto" w:fill="FFFFFF"/>
          <w14:textFill>
            <w14:solidFill>
              <w14:schemeClr w14:val="tx1"/>
            </w14:solidFill>
          </w14:textFill>
        </w:rPr>
        <w:t>（二）供应商按照采购人或者采购代理机构的授意撤换、修改投标文件或者响应文件。</w:t>
      </w:r>
    </w:p>
    <w:p>
      <w:pPr>
        <w:pStyle w:val="42"/>
        <w:shd w:val="clear" w:color="auto" w:fill="FFFFFF"/>
        <w:adjustRightInd w:val="0"/>
        <w:snapToGrid w:val="0"/>
        <w:spacing w:before="0" w:beforeAutospacing="0" w:after="0" w:afterAutospacing="0" w:line="560" w:lineRule="exact"/>
        <w:ind w:firstLine="560" w:firstLineChars="200"/>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shd w:val="clear" w:color="auto" w:fill="FFFFFF"/>
          <w14:textFill>
            <w14:solidFill>
              <w14:schemeClr w14:val="tx1"/>
            </w14:solidFill>
          </w14:textFill>
        </w:rPr>
        <w:t>（三）供应商之间协商报价、技术方案等投标文件或者响应文件的实质性内容。</w:t>
      </w:r>
    </w:p>
    <w:p>
      <w:pPr>
        <w:pStyle w:val="42"/>
        <w:shd w:val="clear" w:color="auto" w:fill="FFFFFF"/>
        <w:adjustRightInd w:val="0"/>
        <w:snapToGrid w:val="0"/>
        <w:spacing w:before="0" w:beforeAutospacing="0" w:after="0" w:afterAutospacing="0" w:line="560" w:lineRule="exact"/>
        <w:ind w:firstLine="560" w:firstLineChars="200"/>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shd w:val="clear" w:color="auto" w:fill="FFFFFF"/>
          <w14:textFill>
            <w14:solidFill>
              <w14:schemeClr w14:val="tx1"/>
            </w14:solidFill>
          </w14:textFill>
        </w:rPr>
        <w:t>（四）属于同一集团、协会、商会等组织成员的供应商按照该组织要求协同参加政府采购活动。</w:t>
      </w:r>
    </w:p>
    <w:p>
      <w:pPr>
        <w:pStyle w:val="42"/>
        <w:shd w:val="clear" w:color="auto" w:fill="FFFFFF"/>
        <w:adjustRightInd w:val="0"/>
        <w:snapToGrid w:val="0"/>
        <w:spacing w:before="0" w:beforeAutospacing="0" w:after="0" w:afterAutospacing="0" w:line="560" w:lineRule="exact"/>
        <w:ind w:firstLine="560" w:firstLineChars="200"/>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shd w:val="clear" w:color="auto" w:fill="FFFFFF"/>
          <w14:textFill>
            <w14:solidFill>
              <w14:schemeClr w14:val="tx1"/>
            </w14:solidFill>
          </w14:textFill>
        </w:rPr>
        <w:t>（五）供应商之间事先约定由某一特定供应商中标、成交。</w:t>
      </w:r>
    </w:p>
    <w:p>
      <w:pPr>
        <w:pStyle w:val="42"/>
        <w:shd w:val="clear" w:color="auto" w:fill="FFFFFF"/>
        <w:adjustRightInd w:val="0"/>
        <w:snapToGrid w:val="0"/>
        <w:spacing w:before="0" w:beforeAutospacing="0" w:after="0" w:afterAutospacing="0" w:line="560" w:lineRule="exact"/>
        <w:ind w:firstLine="560" w:firstLineChars="200"/>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shd w:val="clear" w:color="auto" w:fill="FFFFFF"/>
          <w14:textFill>
            <w14:solidFill>
              <w14:schemeClr w14:val="tx1"/>
            </w14:solidFill>
          </w14:textFill>
        </w:rPr>
        <w:t>（六）供应商之间商定部分供应商放弃参加政府采购活动或者放弃中标、成交。</w:t>
      </w:r>
    </w:p>
    <w:p>
      <w:pPr>
        <w:pStyle w:val="42"/>
        <w:shd w:val="clear" w:color="auto" w:fill="FFFFFF"/>
        <w:adjustRightInd w:val="0"/>
        <w:snapToGrid w:val="0"/>
        <w:spacing w:before="0" w:beforeAutospacing="0" w:after="0" w:afterAutospacing="0" w:line="560" w:lineRule="exact"/>
        <w:ind w:firstLine="560" w:firstLineChars="200"/>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shd w:val="clear" w:color="auto" w:fill="FFFFFF"/>
          <w14:textFill>
            <w14:solidFill>
              <w14:schemeClr w14:val="tx1"/>
            </w14:solidFill>
          </w14:textFill>
        </w:rPr>
        <w:t>（七）供应商与采购人或者采购代理机构之间、供应商相互之间，为谋求特定供应商中标、成交或者排斥其他供应商的其他串通行为。</w:t>
      </w:r>
    </w:p>
    <w:p>
      <w:pPr>
        <w:pStyle w:val="42"/>
        <w:shd w:val="clear" w:color="auto" w:fill="FFFFFF"/>
        <w:adjustRightInd w:val="0"/>
        <w:snapToGrid w:val="0"/>
        <w:spacing w:before="0" w:beforeAutospacing="0" w:after="0" w:afterAutospacing="0" w:line="560" w:lineRule="exact"/>
        <w:ind w:firstLine="560" w:firstLineChars="200"/>
        <w:rPr>
          <w:rFonts w:ascii="方正楷体_GB2312" w:hAnsi="方正楷体_GB2312" w:eastAsia="方正楷体_GB2312" w:cs="方正楷体_GB2312"/>
          <w:color w:val="000000" w:themeColor="text1"/>
          <w:sz w:val="28"/>
          <w:szCs w:val="28"/>
          <w:shd w:val="clear" w:color="auto" w:fill="FFFFFF"/>
          <w14:textFill>
            <w14:solidFill>
              <w14:schemeClr w14:val="tx1"/>
            </w14:solidFill>
          </w14:textFill>
        </w:rPr>
      </w:pPr>
      <w:r>
        <w:rPr>
          <w:rFonts w:hint="eastAsia" w:ascii="方正楷体_GB2312" w:hAnsi="方正楷体_GB2312" w:eastAsia="方正楷体_GB2312" w:cs="方正楷体_GB2312"/>
          <w:color w:val="000000" w:themeColor="text1"/>
          <w:sz w:val="28"/>
          <w:szCs w:val="28"/>
          <w:shd w:val="clear" w:color="auto" w:fill="FFFFFF"/>
          <w14:textFill>
            <w14:solidFill>
              <w14:schemeClr w14:val="tx1"/>
            </w14:solidFill>
          </w14:textFill>
        </w:rPr>
        <w:t>2. 《货物和服务招标投标管理办法》(财政部87号令)第三十七条</w:t>
      </w:r>
    </w:p>
    <w:p>
      <w:pPr>
        <w:pStyle w:val="42"/>
        <w:shd w:val="clear" w:color="auto" w:fill="FFFFFF"/>
        <w:adjustRightInd w:val="0"/>
        <w:snapToGrid w:val="0"/>
        <w:spacing w:before="0" w:beforeAutospacing="0" w:after="0" w:afterAutospacing="0" w:line="560" w:lineRule="exact"/>
        <w:ind w:firstLine="560" w:firstLineChars="200"/>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shd w:val="clear" w:color="auto" w:fill="FFFFFF"/>
          <w14:textFill>
            <w14:solidFill>
              <w14:schemeClr w14:val="tx1"/>
            </w14:solidFill>
          </w14:textFill>
        </w:rPr>
        <w:t>有下列情形之一的，视为投标人串通投标，其投标无效：</w:t>
      </w:r>
    </w:p>
    <w:p>
      <w:pPr>
        <w:pStyle w:val="42"/>
        <w:shd w:val="clear" w:color="auto" w:fill="FFFFFF"/>
        <w:adjustRightInd w:val="0"/>
        <w:snapToGrid w:val="0"/>
        <w:spacing w:before="0" w:beforeAutospacing="0" w:after="0" w:afterAutospacing="0" w:line="560" w:lineRule="exact"/>
        <w:ind w:firstLine="560" w:firstLineChars="200"/>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shd w:val="clear" w:color="auto" w:fill="FFFFFF"/>
          <w14:textFill>
            <w14:solidFill>
              <w14:schemeClr w14:val="tx1"/>
            </w14:solidFill>
          </w14:textFill>
        </w:rPr>
        <w:t>（一）不同投标人的投标文件由同一单位或者个人编制。</w:t>
      </w:r>
    </w:p>
    <w:p>
      <w:pPr>
        <w:pStyle w:val="42"/>
        <w:shd w:val="clear" w:color="auto" w:fill="FFFFFF"/>
        <w:adjustRightInd w:val="0"/>
        <w:snapToGrid w:val="0"/>
        <w:spacing w:before="0" w:beforeAutospacing="0" w:after="0" w:afterAutospacing="0" w:line="560" w:lineRule="exact"/>
        <w:ind w:firstLine="560" w:firstLineChars="200"/>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shd w:val="clear" w:color="auto" w:fill="FFFFFF"/>
          <w14:textFill>
            <w14:solidFill>
              <w14:schemeClr w14:val="tx1"/>
            </w14:solidFill>
          </w14:textFill>
        </w:rPr>
        <w:t>（二）不同投标人委托同一单位或者个人办理投标事宜。</w:t>
      </w:r>
    </w:p>
    <w:p>
      <w:pPr>
        <w:pStyle w:val="42"/>
        <w:shd w:val="clear" w:color="auto" w:fill="FFFFFF"/>
        <w:adjustRightInd w:val="0"/>
        <w:snapToGrid w:val="0"/>
        <w:spacing w:before="0" w:beforeAutospacing="0" w:after="0" w:afterAutospacing="0" w:line="560" w:lineRule="exact"/>
        <w:ind w:firstLine="560" w:firstLineChars="200"/>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shd w:val="clear" w:color="auto" w:fill="FFFFFF"/>
          <w14:textFill>
            <w14:solidFill>
              <w14:schemeClr w14:val="tx1"/>
            </w14:solidFill>
          </w14:textFill>
        </w:rPr>
        <w:t>（三）不同投标人的投标文件载明的项目管理成员或者联系人员为同一人。</w:t>
      </w:r>
    </w:p>
    <w:p>
      <w:pPr>
        <w:pStyle w:val="42"/>
        <w:shd w:val="clear" w:color="auto" w:fill="FFFFFF"/>
        <w:adjustRightInd w:val="0"/>
        <w:snapToGrid w:val="0"/>
        <w:spacing w:before="0" w:beforeAutospacing="0" w:after="0" w:afterAutospacing="0" w:line="560" w:lineRule="exact"/>
        <w:ind w:firstLine="560" w:firstLineChars="200"/>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shd w:val="clear" w:color="auto" w:fill="FFFFFF"/>
          <w14:textFill>
            <w14:solidFill>
              <w14:schemeClr w14:val="tx1"/>
            </w14:solidFill>
          </w14:textFill>
        </w:rPr>
        <w:t>（四）不同投标人的投标文件异常一致或者投标报价呈规律性差异。</w:t>
      </w:r>
    </w:p>
    <w:p>
      <w:pPr>
        <w:pStyle w:val="42"/>
        <w:shd w:val="clear" w:color="auto" w:fill="FFFFFF"/>
        <w:adjustRightInd w:val="0"/>
        <w:snapToGrid w:val="0"/>
        <w:spacing w:before="0" w:beforeAutospacing="0" w:after="0" w:afterAutospacing="0" w:line="560" w:lineRule="exact"/>
        <w:ind w:firstLine="560" w:firstLineChars="200"/>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shd w:val="clear" w:color="auto" w:fill="FFFFFF"/>
          <w14:textFill>
            <w14:solidFill>
              <w14:schemeClr w14:val="tx1"/>
            </w14:solidFill>
          </w14:textFill>
        </w:rPr>
        <w:t>（五）不同投标人的投标文件相互混装。</w:t>
      </w:r>
    </w:p>
    <w:p>
      <w:pPr>
        <w:pStyle w:val="42"/>
        <w:shd w:val="clear" w:color="auto" w:fill="FFFFFF"/>
        <w:adjustRightInd w:val="0"/>
        <w:snapToGrid w:val="0"/>
        <w:spacing w:before="0" w:beforeAutospacing="0" w:after="0" w:afterAutospacing="0" w:line="560" w:lineRule="exact"/>
        <w:ind w:firstLine="560" w:firstLineChars="200"/>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shd w:val="clear" w:color="auto" w:fill="FFFFFF"/>
          <w14:textFill>
            <w14:solidFill>
              <w14:schemeClr w14:val="tx1"/>
            </w14:solidFill>
          </w14:textFill>
        </w:rPr>
        <w:t>（六）不同投标人的投标保证金从同一单位或者个人的账户转出。</w:t>
      </w:r>
    </w:p>
    <w:p>
      <w:pPr>
        <w:pStyle w:val="12"/>
        <w:adjustRightInd w:val="0"/>
        <w:snapToGrid w:val="0"/>
        <w:spacing w:line="560" w:lineRule="exact"/>
        <w:ind w:firstLine="560" w:firstLineChars="200"/>
        <w:rPr>
          <w:rFonts w:ascii="方正黑体_GBK" w:hAnsi="方正黑体_GBK" w:eastAsia="方正黑体_GBK" w:cs="方正黑体_GBK"/>
          <w:color w:val="000000" w:themeColor="text1"/>
          <w:sz w:val="28"/>
          <w:szCs w:val="28"/>
          <w:shd w:val="clear" w:color="auto" w:fill="FFFFFF"/>
          <w14:textFill>
            <w14:solidFill>
              <w14:schemeClr w14:val="tx1"/>
            </w14:solidFill>
          </w14:textFill>
        </w:rPr>
      </w:pPr>
      <w:r>
        <w:rPr>
          <w:rFonts w:hint="eastAsia" w:ascii="方正黑体_GBK" w:hAnsi="方正黑体_GBK" w:eastAsia="方正黑体_GBK" w:cs="方正黑体_GBK"/>
          <w:color w:val="000000" w:themeColor="text1"/>
          <w:sz w:val="28"/>
          <w:szCs w:val="28"/>
          <w:shd w:val="clear" w:color="auto" w:fill="FFFFFF"/>
          <w14:textFill>
            <w14:solidFill>
              <w14:schemeClr w14:val="tx1"/>
            </w14:solidFill>
          </w14:textFill>
        </w:rPr>
        <w:t>二、后果 </w:t>
      </w:r>
    </w:p>
    <w:p>
      <w:pPr>
        <w:pStyle w:val="12"/>
        <w:adjustRightInd w:val="0"/>
        <w:snapToGrid w:val="0"/>
        <w:spacing w:line="560" w:lineRule="exact"/>
        <w:ind w:firstLine="560" w:firstLineChars="200"/>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shd w:val="clear" w:color="auto" w:fill="FFFFFF"/>
          <w14:textFill>
            <w14:solidFill>
              <w14:schemeClr w14:val="tx1"/>
            </w14:solidFill>
          </w14:textFill>
        </w:rPr>
        <w:t>按照《政府采购法》的第七十七条的规定，供应商与采购人、其他供应商或者采购代理机构恶意串通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42"/>
        <w:shd w:val="clear" w:color="auto" w:fill="FFFFFF"/>
        <w:adjustRightInd w:val="0"/>
        <w:snapToGrid w:val="0"/>
        <w:spacing w:before="0" w:beforeAutospacing="0" w:after="0" w:afterAutospacing="0" w:line="560" w:lineRule="exact"/>
        <w:ind w:firstLine="560" w:firstLineChars="200"/>
        <w:rPr>
          <w:rFonts w:ascii="方正黑体_GBK" w:hAnsi="方正黑体_GBK" w:eastAsia="方正黑体_GBK" w:cs="方正黑体_GBK"/>
          <w:color w:val="000000" w:themeColor="text1"/>
          <w:kern w:val="2"/>
          <w:sz w:val="28"/>
          <w:szCs w:val="28"/>
          <w:shd w:val="clear" w:color="auto" w:fill="FFFFFF"/>
          <w14:textFill>
            <w14:solidFill>
              <w14:schemeClr w14:val="tx1"/>
            </w14:solidFill>
          </w14:textFill>
        </w:rPr>
      </w:pPr>
      <w:r>
        <w:rPr>
          <w:rFonts w:hint="eastAsia" w:ascii="方正黑体_GBK" w:hAnsi="方正黑体_GBK" w:eastAsia="方正黑体_GBK" w:cs="方正黑体_GBK"/>
          <w:color w:val="000000" w:themeColor="text1"/>
          <w:kern w:val="2"/>
          <w:sz w:val="28"/>
          <w:szCs w:val="28"/>
          <w:shd w:val="clear" w:color="auto" w:fill="FFFFFF"/>
          <w14:textFill>
            <w14:solidFill>
              <w14:schemeClr w14:val="tx1"/>
            </w14:solidFill>
          </w14:textFill>
        </w:rPr>
        <w:t>请各投标供应商深入了解参与政府采购活动的权利和义务，提高政府采购法律意识和公平竞争意识，知晓串通投标的法律责任和严重后果，依法参与政府采购活动。</w:t>
      </w:r>
    </w:p>
    <w:p>
      <w:pPr>
        <w:pStyle w:val="42"/>
        <w:shd w:val="clear" w:color="auto" w:fill="FFFFFF"/>
        <w:adjustRightInd w:val="0"/>
        <w:snapToGrid w:val="0"/>
        <w:spacing w:before="0" w:beforeAutospacing="0" w:after="0" w:afterAutospacing="0" w:line="560" w:lineRule="exact"/>
        <w:ind w:firstLine="560" w:firstLineChars="200"/>
        <w:rPr>
          <w:rFonts w:ascii="方正黑体_GBK" w:hAnsi="方正黑体_GBK" w:eastAsia="方正黑体_GBK" w:cs="方正黑体_GBK"/>
          <w:color w:val="000000" w:themeColor="text1"/>
          <w:kern w:val="2"/>
          <w:sz w:val="28"/>
          <w:szCs w:val="28"/>
          <w:shd w:val="clear" w:color="auto" w:fill="FFFFFF"/>
          <w14:textFill>
            <w14:solidFill>
              <w14:schemeClr w14:val="tx1"/>
            </w14:solidFill>
          </w14:textFill>
        </w:rPr>
      </w:pPr>
      <w:r>
        <w:rPr>
          <w:rFonts w:hint="eastAsia" w:ascii="方正黑体_GBK" w:hAnsi="方正黑体_GBK" w:eastAsia="方正黑体_GBK" w:cs="方正黑体_GBK"/>
          <w:color w:val="000000" w:themeColor="text1"/>
          <w:kern w:val="2"/>
          <w:sz w:val="28"/>
          <w:szCs w:val="28"/>
          <w:shd w:val="clear" w:color="auto" w:fill="FFFFFF"/>
          <w14:textFill>
            <w14:solidFill>
              <w14:schemeClr w14:val="tx1"/>
            </w14:solidFill>
          </w14:textFill>
        </w:rPr>
        <w:t>如有涉及上述问题的线索，可拨打0510-82702773电话或发送邮件至weijianzonghe@163.com进行举报，感谢您对无锡市卫生健康综合服务中心工作的关心和支持！</w:t>
      </w:r>
    </w:p>
    <w:p>
      <w:pPr>
        <w:jc w:val="center"/>
        <w:rPr>
          <w:rStyle w:val="50"/>
          <w:rFonts w:eastAsia="黑体"/>
          <w:color w:val="000000" w:themeColor="text1"/>
          <w:sz w:val="48"/>
          <w:szCs w:val="48"/>
          <w14:textFill>
            <w14:solidFill>
              <w14:schemeClr w14:val="tx1"/>
            </w14:solidFill>
          </w14:textFill>
        </w:rPr>
      </w:pPr>
    </w:p>
    <w:p>
      <w:pPr>
        <w:jc w:val="center"/>
        <w:rPr>
          <w:rStyle w:val="50"/>
          <w:rFonts w:eastAsia="黑体"/>
          <w:color w:val="000000" w:themeColor="text1"/>
          <w:sz w:val="48"/>
          <w:szCs w:val="48"/>
          <w14:textFill>
            <w14:solidFill>
              <w14:schemeClr w14:val="tx1"/>
            </w14:solidFill>
          </w14:textFill>
        </w:rPr>
      </w:pPr>
    </w:p>
    <w:p>
      <w:pPr>
        <w:rPr>
          <w:rStyle w:val="50"/>
          <w:rFonts w:eastAsia="黑体" w:cs="黑体"/>
          <w:color w:val="000000" w:themeColor="text1"/>
          <w:sz w:val="48"/>
          <w:szCs w:val="48"/>
          <w14:textFill>
            <w14:solidFill>
              <w14:schemeClr w14:val="tx1"/>
            </w14:solidFill>
          </w14:textFill>
        </w:rPr>
      </w:pPr>
    </w:p>
    <w:p>
      <w:pPr>
        <w:jc w:val="center"/>
        <w:rPr>
          <w:rStyle w:val="50"/>
          <w:rFonts w:eastAsia="黑体" w:cs="黑体"/>
          <w:color w:val="000000" w:themeColor="text1"/>
          <w:sz w:val="48"/>
          <w:szCs w:val="48"/>
          <w14:textFill>
            <w14:solidFill>
              <w14:schemeClr w14:val="tx1"/>
            </w14:solidFill>
          </w14:textFill>
        </w:rPr>
      </w:pPr>
    </w:p>
    <w:p>
      <w:pPr>
        <w:jc w:val="center"/>
        <w:rPr>
          <w:rStyle w:val="50"/>
          <w:rFonts w:eastAsia="黑体" w:cs="黑体"/>
          <w:color w:val="000000" w:themeColor="text1"/>
          <w:sz w:val="48"/>
          <w:szCs w:val="48"/>
          <w14:textFill>
            <w14:solidFill>
              <w14:schemeClr w14:val="tx1"/>
            </w14:solidFill>
          </w14:textFill>
        </w:rPr>
      </w:pPr>
    </w:p>
    <w:p>
      <w:pPr>
        <w:rPr>
          <w:rStyle w:val="50"/>
          <w:rFonts w:eastAsia="黑体" w:cs="黑体"/>
          <w:color w:val="000000" w:themeColor="text1"/>
          <w:sz w:val="48"/>
          <w:szCs w:val="48"/>
          <w14:textFill>
            <w14:solidFill>
              <w14:schemeClr w14:val="tx1"/>
            </w14:solidFill>
          </w14:textFill>
        </w:rPr>
      </w:pPr>
    </w:p>
    <w:p>
      <w:pPr>
        <w:jc w:val="center"/>
        <w:rPr>
          <w:rStyle w:val="50"/>
          <w:rFonts w:eastAsia="黑体" w:cs="黑体"/>
          <w:color w:val="000000" w:themeColor="text1"/>
          <w:sz w:val="48"/>
          <w:szCs w:val="48"/>
          <w14:textFill>
            <w14:solidFill>
              <w14:schemeClr w14:val="tx1"/>
            </w14:solidFill>
          </w14:textFill>
        </w:rPr>
      </w:pPr>
    </w:p>
    <w:p>
      <w:pPr>
        <w:rPr>
          <w:rStyle w:val="50"/>
          <w:rFonts w:eastAsia="黑体" w:cs="黑体"/>
          <w:color w:val="000000" w:themeColor="text1"/>
          <w:sz w:val="48"/>
          <w:szCs w:val="48"/>
          <w14:textFill>
            <w14:solidFill>
              <w14:schemeClr w14:val="tx1"/>
            </w14:solidFill>
          </w14:textFill>
        </w:rPr>
      </w:pPr>
    </w:p>
    <w:p>
      <w:pPr>
        <w:jc w:val="center"/>
        <w:rPr>
          <w:rStyle w:val="50"/>
          <w:rFonts w:eastAsia="黑体" w:cs="黑体"/>
          <w:color w:val="000000" w:themeColor="text1"/>
          <w:sz w:val="48"/>
          <w:szCs w:val="48"/>
          <w14:textFill>
            <w14:solidFill>
              <w14:schemeClr w14:val="tx1"/>
            </w14:solidFill>
          </w14:textFill>
        </w:rPr>
      </w:pPr>
    </w:p>
    <w:p>
      <w:pPr>
        <w:jc w:val="center"/>
        <w:rPr>
          <w:rStyle w:val="50"/>
          <w:rFonts w:eastAsia="黑体" w:cs="黑体"/>
          <w:color w:val="000000" w:themeColor="text1"/>
          <w:sz w:val="48"/>
          <w:szCs w:val="48"/>
          <w14:textFill>
            <w14:solidFill>
              <w14:schemeClr w14:val="tx1"/>
            </w14:solidFill>
          </w14:textFill>
        </w:rPr>
      </w:pPr>
    </w:p>
    <w:p>
      <w:pPr>
        <w:jc w:val="center"/>
        <w:rPr>
          <w:rStyle w:val="50"/>
          <w:rFonts w:eastAsia="黑体"/>
          <w:color w:val="000000" w:themeColor="text1"/>
          <w:sz w:val="48"/>
          <w:szCs w:val="48"/>
          <w14:textFill>
            <w14:solidFill>
              <w14:schemeClr w14:val="tx1"/>
            </w14:solidFill>
          </w14:textFill>
        </w:rPr>
      </w:pPr>
      <w:r>
        <w:rPr>
          <w:rStyle w:val="50"/>
          <w:rFonts w:hint="eastAsia" w:eastAsia="黑体" w:cs="黑体"/>
          <w:color w:val="000000" w:themeColor="text1"/>
          <w:sz w:val="48"/>
          <w:szCs w:val="48"/>
          <w14:textFill>
            <w14:solidFill>
              <w14:schemeClr w14:val="tx1"/>
            </w14:solidFill>
          </w14:textFill>
        </w:rPr>
        <w:t>目录</w:t>
      </w:r>
    </w:p>
    <w:p>
      <w:pPr>
        <w:jc w:val="center"/>
        <w:rPr>
          <w:rFonts w:ascii="黑体" w:eastAsia="黑体"/>
          <w:color w:val="000000" w:themeColor="text1"/>
          <w:sz w:val="30"/>
          <w:szCs w:val="30"/>
          <w14:textFill>
            <w14:solidFill>
              <w14:schemeClr w14:val="tx1"/>
            </w14:solidFill>
          </w14:textFill>
        </w:rPr>
      </w:pPr>
    </w:p>
    <w:p>
      <w:pPr>
        <w:jc w:val="center"/>
        <w:rPr>
          <w:rFonts w:ascii="黑体" w:eastAsia="黑体"/>
          <w:color w:val="000000" w:themeColor="text1"/>
          <w:sz w:val="30"/>
          <w:szCs w:val="30"/>
          <w14:textFill>
            <w14:solidFill>
              <w14:schemeClr w14:val="tx1"/>
            </w14:solidFill>
          </w14:textFill>
        </w:rPr>
      </w:pPr>
    </w:p>
    <w:p>
      <w:pPr>
        <w:spacing w:line="720" w:lineRule="auto"/>
        <w:ind w:firstLine="450" w:firstLineChars="150"/>
        <w:rPr>
          <w:rFonts w:ascii="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一．投标</w:t>
      </w:r>
      <w:bookmarkStart w:id="0" w:name="_Hlt529243434"/>
      <w:bookmarkEnd w:id="0"/>
      <w:r>
        <w:rPr>
          <w:rFonts w:hint="eastAsia" w:ascii="宋体" w:hAnsi="宋体" w:cs="宋体"/>
          <w:color w:val="000000" w:themeColor="text1"/>
          <w:sz w:val="30"/>
          <w:szCs w:val="30"/>
          <w14:textFill>
            <w14:solidFill>
              <w14:schemeClr w14:val="tx1"/>
            </w14:solidFill>
          </w14:textFill>
        </w:rPr>
        <w:t>邀</w:t>
      </w:r>
      <w:r>
        <w:rPr>
          <w:rFonts w:hint="eastAsia" w:ascii="宋体" w:cs="宋体"/>
          <w:color w:val="000000" w:themeColor="text1"/>
          <w:sz w:val="30"/>
          <w:szCs w:val="30"/>
          <w14:textFill>
            <w14:solidFill>
              <w14:schemeClr w14:val="tx1"/>
            </w14:solidFill>
          </w14:textFill>
        </w:rPr>
        <w:t>请函</w:t>
      </w:r>
      <w:r>
        <w:rPr>
          <w:rFonts w:ascii="宋体" w:cs="宋体"/>
          <w:color w:val="000000" w:themeColor="text1"/>
          <w:sz w:val="30"/>
          <w:szCs w:val="30"/>
          <w14:textFill>
            <w14:solidFill>
              <w14:schemeClr w14:val="tx1"/>
            </w14:solidFill>
          </w14:textFill>
        </w:rPr>
        <w:t>------------------------------------------</w:t>
      </w:r>
      <w:r>
        <w:rPr>
          <w:rFonts w:hint="eastAsia" w:ascii="宋体" w:hAnsi="宋体" w:cs="宋体"/>
          <w:color w:val="000000" w:themeColor="text1"/>
          <w:sz w:val="30"/>
          <w:szCs w:val="30"/>
          <w14:textFill>
            <w14:solidFill>
              <w14:schemeClr w14:val="tx1"/>
            </w14:solidFill>
          </w14:textFill>
        </w:rPr>
        <w:t>（4）</w:t>
      </w:r>
    </w:p>
    <w:p>
      <w:pPr>
        <w:spacing w:line="720" w:lineRule="auto"/>
        <w:ind w:firstLine="450" w:firstLineChars="150"/>
        <w:rPr>
          <w:rFonts w:ascii="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二．投</w:t>
      </w:r>
      <w:bookmarkStart w:id="1" w:name="_Hlt49673248"/>
      <w:r>
        <w:rPr>
          <w:rFonts w:hint="eastAsia" w:ascii="宋体" w:hAnsi="宋体" w:cs="宋体"/>
          <w:color w:val="000000" w:themeColor="text1"/>
          <w:sz w:val="30"/>
          <w:szCs w:val="30"/>
          <w14:textFill>
            <w14:solidFill>
              <w14:schemeClr w14:val="tx1"/>
            </w14:solidFill>
          </w14:textFill>
        </w:rPr>
        <w:t>标</w:t>
      </w:r>
      <w:bookmarkEnd w:id="1"/>
      <w:bookmarkStart w:id="2" w:name="_Hlt49764523"/>
      <w:bookmarkStart w:id="3" w:name="_Hlt49764513"/>
      <w:r>
        <w:rPr>
          <w:rFonts w:hint="eastAsia" w:ascii="宋体" w:hAnsi="宋体" w:cs="宋体"/>
          <w:color w:val="000000" w:themeColor="text1"/>
          <w:sz w:val="30"/>
          <w:szCs w:val="30"/>
          <w14:textFill>
            <w14:solidFill>
              <w14:schemeClr w14:val="tx1"/>
            </w14:solidFill>
          </w14:textFill>
        </w:rPr>
        <w:t>人</w:t>
      </w:r>
      <w:bookmarkEnd w:id="2"/>
      <w:bookmarkEnd w:id="3"/>
      <w:r>
        <w:rPr>
          <w:rFonts w:hint="eastAsia" w:ascii="宋体" w:hAnsi="宋体" w:cs="宋体"/>
          <w:color w:val="000000" w:themeColor="text1"/>
          <w:sz w:val="30"/>
          <w:szCs w:val="30"/>
          <w14:textFill>
            <w14:solidFill>
              <w14:schemeClr w14:val="tx1"/>
            </w14:solidFill>
          </w14:textFill>
        </w:rPr>
        <w:t>须知</w:t>
      </w:r>
      <w:r>
        <w:rPr>
          <w:rFonts w:ascii="宋体" w:cs="宋体"/>
          <w:color w:val="000000" w:themeColor="text1"/>
          <w:sz w:val="30"/>
          <w:szCs w:val="30"/>
          <w14:textFill>
            <w14:solidFill>
              <w14:schemeClr w14:val="tx1"/>
            </w14:solidFill>
          </w14:textFill>
        </w:rPr>
        <w:t>------------------------------------------</w:t>
      </w:r>
      <w:r>
        <w:rPr>
          <w:rFonts w:hint="eastAsia" w:ascii="宋体" w:hAnsi="宋体" w:cs="宋体"/>
          <w:color w:val="000000" w:themeColor="text1"/>
          <w:sz w:val="30"/>
          <w:szCs w:val="30"/>
          <w14:textFill>
            <w14:solidFill>
              <w14:schemeClr w14:val="tx1"/>
            </w14:solidFill>
          </w14:textFill>
        </w:rPr>
        <w:t>（7）</w:t>
      </w:r>
    </w:p>
    <w:p>
      <w:pPr>
        <w:spacing w:line="720" w:lineRule="auto"/>
        <w:ind w:firstLine="450" w:firstLineChars="150"/>
        <w:rPr>
          <w:rFonts w:ascii="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三．项目技术</w:t>
      </w:r>
      <w:bookmarkStart w:id="4" w:name="_Hlt49764623"/>
      <w:r>
        <w:rPr>
          <w:rFonts w:hint="eastAsia" w:ascii="宋体" w:hAnsi="宋体" w:cs="宋体"/>
          <w:color w:val="000000" w:themeColor="text1"/>
          <w:sz w:val="30"/>
          <w:szCs w:val="30"/>
          <w14:textFill>
            <w14:solidFill>
              <w14:schemeClr w14:val="tx1"/>
            </w14:solidFill>
          </w14:textFill>
        </w:rPr>
        <w:t>要求和</w:t>
      </w:r>
      <w:bookmarkEnd w:id="4"/>
      <w:r>
        <w:rPr>
          <w:rFonts w:hint="eastAsia" w:ascii="宋体" w:hAnsi="宋体" w:cs="宋体"/>
          <w:color w:val="000000" w:themeColor="text1"/>
          <w:sz w:val="30"/>
          <w:szCs w:val="30"/>
          <w14:textFill>
            <w14:solidFill>
              <w14:schemeClr w14:val="tx1"/>
            </w14:solidFill>
          </w14:textFill>
        </w:rPr>
        <w:t>有</w:t>
      </w:r>
      <w:bookmarkStart w:id="5" w:name="_Hlt15786850"/>
      <w:bookmarkStart w:id="6" w:name="_Hlt15786849"/>
      <w:r>
        <w:rPr>
          <w:rFonts w:hint="eastAsia" w:ascii="宋体" w:hAnsi="宋体" w:cs="宋体"/>
          <w:color w:val="000000" w:themeColor="text1"/>
          <w:sz w:val="30"/>
          <w:szCs w:val="30"/>
          <w14:textFill>
            <w14:solidFill>
              <w14:schemeClr w14:val="tx1"/>
            </w14:solidFill>
          </w14:textFill>
        </w:rPr>
        <w:t>关</w:t>
      </w:r>
      <w:bookmarkEnd w:id="5"/>
      <w:bookmarkEnd w:id="6"/>
      <w:r>
        <w:rPr>
          <w:rFonts w:hint="eastAsia" w:ascii="宋体" w:hAnsi="宋体" w:cs="宋体"/>
          <w:color w:val="000000" w:themeColor="text1"/>
          <w:sz w:val="30"/>
          <w:szCs w:val="30"/>
          <w14:textFill>
            <w14:solidFill>
              <w14:schemeClr w14:val="tx1"/>
            </w14:solidFill>
          </w14:textFill>
        </w:rPr>
        <w:t>说</w:t>
      </w:r>
      <w:bookmarkStart w:id="7" w:name="_Hlt529244298"/>
      <w:r>
        <w:rPr>
          <w:rFonts w:hint="eastAsia" w:ascii="宋体" w:hAnsi="宋体" w:cs="宋体"/>
          <w:color w:val="000000" w:themeColor="text1"/>
          <w:sz w:val="30"/>
          <w:szCs w:val="30"/>
          <w14:textFill>
            <w14:solidFill>
              <w14:schemeClr w14:val="tx1"/>
            </w14:solidFill>
          </w14:textFill>
        </w:rPr>
        <w:t>明</w:t>
      </w:r>
      <w:bookmarkEnd w:id="7"/>
      <w:r>
        <w:rPr>
          <w:rFonts w:ascii="宋体" w:cs="宋体"/>
          <w:color w:val="000000" w:themeColor="text1"/>
          <w:sz w:val="30"/>
          <w:szCs w:val="30"/>
          <w14:textFill>
            <w14:solidFill>
              <w14:schemeClr w14:val="tx1"/>
            </w14:solidFill>
          </w14:textFill>
        </w:rPr>
        <w:t>------------------------------</w:t>
      </w:r>
      <w:r>
        <w:rPr>
          <w:rFonts w:hint="eastAsia" w:ascii="宋体" w:hAnsi="宋体" w:cs="宋体"/>
          <w:color w:val="000000" w:themeColor="text1"/>
          <w:sz w:val="30"/>
          <w:szCs w:val="30"/>
          <w14:textFill>
            <w14:solidFill>
              <w14:schemeClr w14:val="tx1"/>
            </w14:solidFill>
          </w14:textFill>
        </w:rPr>
        <w:t>（18）</w:t>
      </w:r>
    </w:p>
    <w:p>
      <w:pPr>
        <w:spacing w:line="720" w:lineRule="auto"/>
        <w:ind w:firstLine="450" w:firstLineChars="150"/>
        <w:rPr>
          <w:rFonts w:ascii="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四</w:t>
      </w:r>
      <w:r>
        <w:rPr>
          <w:rFonts w:ascii="宋体" w:hAnsi="宋体" w:cs="宋体"/>
          <w:color w:val="000000" w:themeColor="text1"/>
          <w:sz w:val="30"/>
          <w:szCs w:val="30"/>
          <w14:textFill>
            <w14:solidFill>
              <w14:schemeClr w14:val="tx1"/>
            </w14:solidFill>
          </w14:textFill>
        </w:rPr>
        <w:t xml:space="preserve">. </w:t>
      </w:r>
      <w:r>
        <w:rPr>
          <w:rFonts w:hint="eastAsia" w:ascii="宋体" w:hAnsi="宋体" w:cs="宋体"/>
          <w:color w:val="000000" w:themeColor="text1"/>
          <w:sz w:val="30"/>
          <w:szCs w:val="30"/>
          <w14:textFill>
            <w14:solidFill>
              <w14:schemeClr w14:val="tx1"/>
            </w14:solidFill>
          </w14:textFill>
        </w:rPr>
        <w:t>合同书（格式文本）</w:t>
      </w:r>
      <w:r>
        <w:rPr>
          <w:rFonts w:ascii="宋体" w:cs="宋体"/>
          <w:color w:val="000000" w:themeColor="text1"/>
          <w:sz w:val="30"/>
          <w:szCs w:val="30"/>
          <w14:textFill>
            <w14:solidFill>
              <w14:schemeClr w14:val="tx1"/>
            </w14:solidFill>
          </w14:textFill>
        </w:rPr>
        <w:t>----------------------------------</w:t>
      </w:r>
      <w:r>
        <w:rPr>
          <w:rFonts w:hint="eastAsia" w:ascii="宋体" w:hAnsi="宋体" w:cs="宋体"/>
          <w:color w:val="000000" w:themeColor="text1"/>
          <w:sz w:val="30"/>
          <w:szCs w:val="30"/>
          <w14:textFill>
            <w14:solidFill>
              <w14:schemeClr w14:val="tx1"/>
            </w14:solidFill>
          </w14:textFill>
        </w:rPr>
        <w:t>（22）</w:t>
      </w:r>
    </w:p>
    <w:p>
      <w:pPr>
        <w:spacing w:line="720" w:lineRule="auto"/>
        <w:ind w:firstLine="450" w:firstLineChars="150"/>
        <w:rPr>
          <w:rFonts w:ascii="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五．合</w:t>
      </w:r>
      <w:bookmarkStart w:id="8" w:name="_Hlt29808642"/>
      <w:bookmarkStart w:id="9" w:name="_Hlt15786867"/>
      <w:r>
        <w:rPr>
          <w:rFonts w:hint="eastAsia" w:ascii="宋体" w:hAnsi="宋体" w:cs="宋体"/>
          <w:color w:val="000000" w:themeColor="text1"/>
          <w:sz w:val="30"/>
          <w:szCs w:val="30"/>
          <w14:textFill>
            <w14:solidFill>
              <w14:schemeClr w14:val="tx1"/>
            </w14:solidFill>
          </w14:textFill>
        </w:rPr>
        <w:t>同</w:t>
      </w:r>
      <w:bookmarkEnd w:id="8"/>
      <w:bookmarkEnd w:id="9"/>
      <w:bookmarkStart w:id="10" w:name="_Hlt42398776"/>
      <w:bookmarkStart w:id="11" w:name="_Hlt42398777"/>
      <w:r>
        <w:rPr>
          <w:rFonts w:hint="eastAsia" w:ascii="宋体" w:hAnsi="宋体" w:cs="宋体"/>
          <w:color w:val="000000" w:themeColor="text1"/>
          <w:sz w:val="30"/>
          <w:szCs w:val="30"/>
          <w14:textFill>
            <w14:solidFill>
              <w14:schemeClr w14:val="tx1"/>
            </w14:solidFill>
          </w14:textFill>
        </w:rPr>
        <w:t>条</w:t>
      </w:r>
      <w:bookmarkEnd w:id="10"/>
      <w:bookmarkEnd w:id="11"/>
      <w:r>
        <w:rPr>
          <w:rFonts w:hint="eastAsia" w:ascii="宋体" w:hAnsi="宋体" w:cs="宋体"/>
          <w:color w:val="000000" w:themeColor="text1"/>
          <w:sz w:val="30"/>
          <w:szCs w:val="30"/>
          <w14:textFill>
            <w14:solidFill>
              <w14:schemeClr w14:val="tx1"/>
            </w14:solidFill>
          </w14:textFill>
        </w:rPr>
        <w:t>款（格式）</w:t>
      </w:r>
      <w:r>
        <w:rPr>
          <w:rFonts w:ascii="宋体" w:cs="宋体"/>
          <w:color w:val="000000" w:themeColor="text1"/>
          <w:sz w:val="30"/>
          <w:szCs w:val="30"/>
          <w14:textFill>
            <w14:solidFill>
              <w14:schemeClr w14:val="tx1"/>
            </w14:solidFill>
          </w14:textFill>
        </w:rPr>
        <w:t>------------------------------------</w:t>
      </w:r>
      <w:r>
        <w:rPr>
          <w:rFonts w:hint="eastAsia" w:ascii="宋体" w:hAnsi="宋体" w:cs="宋体"/>
          <w:color w:val="000000" w:themeColor="text1"/>
          <w:sz w:val="30"/>
          <w:szCs w:val="30"/>
          <w14:textFill>
            <w14:solidFill>
              <w14:schemeClr w14:val="tx1"/>
            </w14:solidFill>
          </w14:textFill>
        </w:rPr>
        <w:t>（23）</w:t>
      </w:r>
    </w:p>
    <w:p>
      <w:pPr>
        <w:spacing w:line="720" w:lineRule="auto"/>
        <w:ind w:firstLine="450" w:firstLineChars="150"/>
        <w:rPr>
          <w:rFonts w:ascii="黑体" w:eastAsia="黑体" w:cs="黑体"/>
          <w:color w:val="000000" w:themeColor="text1"/>
          <w:sz w:val="28"/>
          <w:szCs w:val="28"/>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六</w:t>
      </w:r>
      <w:r>
        <w:rPr>
          <w:rFonts w:ascii="宋体" w:hAnsi="宋体" w:cs="宋体"/>
          <w:color w:val="000000" w:themeColor="text1"/>
          <w:sz w:val="30"/>
          <w:szCs w:val="30"/>
          <w14:textFill>
            <w14:solidFill>
              <w14:schemeClr w14:val="tx1"/>
            </w14:solidFill>
          </w14:textFill>
        </w:rPr>
        <w:t xml:space="preserve">. </w:t>
      </w:r>
      <w:r>
        <w:rPr>
          <w:rFonts w:hint="eastAsia" w:ascii="宋体" w:hAnsi="宋体" w:cs="宋体"/>
          <w:color w:val="000000" w:themeColor="text1"/>
          <w:sz w:val="30"/>
          <w:szCs w:val="30"/>
          <w14:textFill>
            <w14:solidFill>
              <w14:schemeClr w14:val="tx1"/>
            </w14:solidFill>
          </w14:textFill>
        </w:rPr>
        <w:t>附件（投标文件格式）</w:t>
      </w:r>
      <w:r>
        <w:rPr>
          <w:rFonts w:ascii="宋体" w:cs="宋体"/>
          <w:color w:val="000000" w:themeColor="text1"/>
          <w:sz w:val="30"/>
          <w:szCs w:val="30"/>
          <w14:textFill>
            <w14:solidFill>
              <w14:schemeClr w14:val="tx1"/>
            </w14:solidFill>
          </w14:textFill>
        </w:rPr>
        <w:t>--------------------------------</w:t>
      </w:r>
      <w:r>
        <w:rPr>
          <w:rFonts w:hint="eastAsia" w:ascii="宋体" w:hAnsi="宋体" w:cs="宋体"/>
          <w:color w:val="000000" w:themeColor="text1"/>
          <w:sz w:val="30"/>
          <w:szCs w:val="30"/>
          <w14:textFill>
            <w14:solidFill>
              <w14:schemeClr w14:val="tx1"/>
            </w14:solidFill>
          </w14:textFill>
        </w:rPr>
        <w:t>（26）</w:t>
      </w:r>
      <w:bookmarkStart w:id="12" w:name="报价方须知前附表"/>
      <w:bookmarkEnd w:id="12"/>
    </w:p>
    <w:p>
      <w:pPr>
        <w:jc w:val="center"/>
        <w:rPr>
          <w:rFonts w:ascii="黑体" w:eastAsia="黑体" w:cs="黑体"/>
          <w:color w:val="000000" w:themeColor="text1"/>
          <w:sz w:val="28"/>
          <w:szCs w:val="28"/>
          <w14:textFill>
            <w14:solidFill>
              <w14:schemeClr w14:val="tx1"/>
            </w14:solidFill>
          </w14:textFill>
        </w:rPr>
      </w:pPr>
    </w:p>
    <w:p>
      <w:pPr>
        <w:jc w:val="center"/>
        <w:rPr>
          <w:rFonts w:ascii="黑体" w:eastAsia="黑体" w:cs="黑体"/>
          <w:color w:val="000000" w:themeColor="text1"/>
          <w:sz w:val="28"/>
          <w:szCs w:val="28"/>
          <w14:textFill>
            <w14:solidFill>
              <w14:schemeClr w14:val="tx1"/>
            </w14:solidFill>
          </w14:textFill>
        </w:rPr>
      </w:pPr>
    </w:p>
    <w:p>
      <w:pPr>
        <w:jc w:val="center"/>
        <w:rPr>
          <w:rFonts w:ascii="黑体" w:eastAsia="黑体" w:cs="黑体"/>
          <w:color w:val="000000" w:themeColor="text1"/>
          <w:sz w:val="28"/>
          <w:szCs w:val="28"/>
          <w14:textFill>
            <w14:solidFill>
              <w14:schemeClr w14:val="tx1"/>
            </w14:solidFill>
          </w14:textFill>
        </w:rPr>
      </w:pPr>
    </w:p>
    <w:p>
      <w:pPr>
        <w:jc w:val="center"/>
        <w:rPr>
          <w:rFonts w:ascii="黑体" w:eastAsia="黑体" w:cs="黑体"/>
          <w:color w:val="000000" w:themeColor="text1"/>
          <w:sz w:val="28"/>
          <w:szCs w:val="28"/>
          <w14:textFill>
            <w14:solidFill>
              <w14:schemeClr w14:val="tx1"/>
            </w14:solidFill>
          </w14:textFill>
        </w:rPr>
      </w:pPr>
    </w:p>
    <w:p>
      <w:pPr>
        <w:jc w:val="center"/>
        <w:rPr>
          <w:rFonts w:ascii="黑体" w:eastAsia="黑体" w:cs="黑体"/>
          <w:color w:val="000000" w:themeColor="text1"/>
          <w:sz w:val="28"/>
          <w:szCs w:val="28"/>
          <w14:textFill>
            <w14:solidFill>
              <w14:schemeClr w14:val="tx1"/>
            </w14:solidFill>
          </w14:textFill>
        </w:rPr>
      </w:pPr>
    </w:p>
    <w:p>
      <w:pPr>
        <w:jc w:val="center"/>
        <w:rPr>
          <w:rFonts w:ascii="黑体" w:eastAsia="黑体" w:cs="黑体"/>
          <w:color w:val="000000" w:themeColor="text1"/>
          <w:sz w:val="28"/>
          <w:szCs w:val="28"/>
          <w14:textFill>
            <w14:solidFill>
              <w14:schemeClr w14:val="tx1"/>
            </w14:solidFill>
          </w14:textFill>
        </w:rPr>
      </w:pPr>
    </w:p>
    <w:p>
      <w:pPr>
        <w:jc w:val="center"/>
        <w:rPr>
          <w:rFonts w:ascii="黑体" w:eastAsia="黑体" w:cs="黑体"/>
          <w:color w:val="000000" w:themeColor="text1"/>
          <w:sz w:val="28"/>
          <w:szCs w:val="28"/>
          <w14:textFill>
            <w14:solidFill>
              <w14:schemeClr w14:val="tx1"/>
            </w14:solidFill>
          </w14:textFill>
        </w:rPr>
      </w:pPr>
    </w:p>
    <w:p>
      <w:pPr>
        <w:rPr>
          <w:rFonts w:ascii="黑体" w:eastAsia="黑体" w:cs="黑体"/>
          <w:color w:val="000000" w:themeColor="text1"/>
          <w:sz w:val="28"/>
          <w:szCs w:val="28"/>
          <w14:textFill>
            <w14:solidFill>
              <w14:schemeClr w14:val="tx1"/>
            </w14:solidFill>
          </w14:textFill>
        </w:rPr>
      </w:pPr>
    </w:p>
    <w:p>
      <w:pPr>
        <w:jc w:val="center"/>
        <w:rPr>
          <w:rFonts w:ascii="黑体" w:eastAsia="黑体"/>
          <w:color w:val="000000" w:themeColor="text1"/>
          <w:sz w:val="28"/>
          <w:szCs w:val="28"/>
          <w14:textFill>
            <w14:solidFill>
              <w14:schemeClr w14:val="tx1"/>
            </w14:solidFill>
          </w14:textFill>
        </w:rPr>
      </w:pPr>
      <w:r>
        <w:rPr>
          <w:rFonts w:hint="eastAsia" w:ascii="黑体" w:eastAsia="黑体" w:cs="黑体"/>
          <w:color w:val="000000" w:themeColor="text1"/>
          <w:sz w:val="28"/>
          <w:szCs w:val="28"/>
          <w14:textFill>
            <w14:solidFill>
              <w14:schemeClr w14:val="tx1"/>
            </w14:solidFill>
          </w14:textFill>
        </w:rPr>
        <w:t>一．投标邀请函</w:t>
      </w:r>
    </w:p>
    <w:p>
      <w:pPr>
        <w:adjustRightInd w:val="0"/>
        <w:snapToGrid w:val="0"/>
        <w:spacing w:line="348"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无锡市卫生健康综合服务中心受无锡市儿童医院的委托，对</w:t>
      </w:r>
      <w:r>
        <w:rPr>
          <w:rFonts w:hint="eastAsia" w:ascii="宋体" w:hAnsi="宋体" w:cs="宋体"/>
          <w:color w:val="000000" w:themeColor="text1"/>
          <w:spacing w:val="-6"/>
          <w:sz w:val="24"/>
          <w:szCs w:val="24"/>
          <w14:textFill>
            <w14:solidFill>
              <w14:schemeClr w14:val="tx1"/>
            </w14:solidFill>
          </w14:textFill>
        </w:rPr>
        <w:t>无锡市儿童医院手术显微镜项目</w:t>
      </w:r>
      <w:r>
        <w:rPr>
          <w:rFonts w:hint="eastAsia" w:ascii="宋体" w:hAnsi="宋体" w:cs="宋体"/>
          <w:color w:val="000000" w:themeColor="text1"/>
          <w:sz w:val="24"/>
          <w:szCs w:val="24"/>
          <w14:textFill>
            <w14:solidFill>
              <w14:schemeClr w14:val="tx1"/>
            </w14:solidFill>
          </w14:textFill>
        </w:rPr>
        <w:t>进行公开招标，欢迎你单位参加投标并提请注意下列相关事项：</w:t>
      </w:r>
    </w:p>
    <w:p>
      <w:pPr>
        <w:adjustRightInd w:val="0"/>
        <w:snapToGrid w:val="0"/>
        <w:spacing w:line="348" w:lineRule="auto"/>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w:t>
      </w:r>
      <w:r>
        <w:rPr>
          <w:rFonts w:hint="eastAsia" w:ascii="宋体" w:hAnsi="宋体" w:cs="宋体"/>
          <w:color w:val="000000" w:themeColor="text1"/>
          <w:kern w:val="0"/>
          <w:sz w:val="24"/>
          <w:szCs w:val="24"/>
          <w14:textFill>
            <w14:solidFill>
              <w14:schemeClr w14:val="tx1"/>
            </w14:solidFill>
          </w14:textFill>
        </w:rPr>
        <w:t>招标项目信息</w:t>
      </w:r>
    </w:p>
    <w:p>
      <w:pPr>
        <w:adjustRightInd w:val="0"/>
        <w:snapToGrid w:val="0"/>
        <w:spacing w:line="348" w:lineRule="auto"/>
        <w:ind w:firstLine="456"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pacing w:val="-6"/>
          <w:sz w:val="24"/>
          <w:szCs w:val="24"/>
          <w14:textFill>
            <w14:solidFill>
              <w14:schemeClr w14:val="tx1"/>
            </w14:solidFill>
          </w14:textFill>
        </w:rPr>
        <w:t>项目名称及编号：无锡市儿童医院手术显微镜项目, WXWJCG2023-058</w:t>
      </w:r>
    </w:p>
    <w:p>
      <w:pPr>
        <w:adjustRightInd w:val="0"/>
        <w:snapToGrid w:val="0"/>
        <w:spacing w:line="348"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采购人：无锡市儿童医院</w:t>
      </w:r>
    </w:p>
    <w:p>
      <w:pPr>
        <w:adjustRightInd w:val="0"/>
        <w:snapToGrid w:val="0"/>
        <w:spacing w:line="348"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采购方式：公开招标</w:t>
      </w:r>
    </w:p>
    <w:p>
      <w:pPr>
        <w:adjustRightInd w:val="0"/>
        <w:snapToGrid w:val="0"/>
        <w:spacing w:line="348" w:lineRule="auto"/>
        <w:ind w:firstLine="480" w:firstLineChars="20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本项目标的所属行业：</w:t>
      </w:r>
      <w:r>
        <w:rPr>
          <w:rFonts w:hint="eastAsia" w:ascii="宋体" w:hAnsi="宋体" w:cs="宋体"/>
          <w:color w:val="000000" w:themeColor="text1"/>
          <w:sz w:val="24"/>
          <w:szCs w:val="24"/>
          <w14:textFill>
            <w14:solidFill>
              <w14:schemeClr w14:val="tx1"/>
            </w14:solidFill>
          </w14:textFill>
        </w:rPr>
        <w:t>工</w:t>
      </w:r>
      <w:r>
        <w:rPr>
          <w:rFonts w:ascii="宋体" w:hAnsi="宋体" w:cs="宋体"/>
          <w:color w:val="000000" w:themeColor="text1"/>
          <w:sz w:val="24"/>
          <w:szCs w:val="24"/>
          <w14:textFill>
            <w14:solidFill>
              <w14:schemeClr w14:val="tx1"/>
            </w14:solidFill>
          </w14:textFill>
        </w:rPr>
        <w:t>业</w:t>
      </w:r>
      <w:r>
        <w:rPr>
          <w:rFonts w:hint="eastAsia" w:ascii="宋体" w:hAnsi="宋体" w:cs="宋体"/>
          <w:color w:val="000000" w:themeColor="text1"/>
          <w:sz w:val="24"/>
          <w:szCs w:val="24"/>
          <w14:textFill>
            <w14:solidFill>
              <w14:schemeClr w14:val="tx1"/>
            </w14:solidFill>
          </w14:textFill>
        </w:rPr>
        <w:t>(制造业)</w:t>
      </w:r>
    </w:p>
    <w:p>
      <w:pPr>
        <w:adjustRightInd w:val="0"/>
        <w:snapToGrid w:val="0"/>
        <w:spacing w:line="348"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本项目是否专门面向中小企业：否</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5"/>
        <w:gridCol w:w="2312"/>
        <w:gridCol w:w="735"/>
        <w:gridCol w:w="1095"/>
        <w:gridCol w:w="5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pPr>
              <w:widowControl/>
              <w:adjustRightInd w:val="0"/>
              <w:snapToGrid w:val="0"/>
              <w:spacing w:line="348" w:lineRule="auto"/>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标项</w:t>
            </w:r>
          </w:p>
          <w:p>
            <w:pPr>
              <w:widowControl/>
              <w:adjustRightInd w:val="0"/>
              <w:snapToGrid w:val="0"/>
              <w:spacing w:line="348" w:lineRule="auto"/>
              <w:jc w:val="center"/>
              <w:rPr>
                <w:rFonts w:ascii="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序号</w:t>
            </w:r>
          </w:p>
        </w:tc>
        <w:tc>
          <w:tcPr>
            <w:tcW w:w="2312" w:type="dxa"/>
            <w:vAlign w:val="center"/>
          </w:tcPr>
          <w:p>
            <w:pPr>
              <w:widowControl/>
              <w:adjustRightInd w:val="0"/>
              <w:snapToGrid w:val="0"/>
              <w:spacing w:line="348" w:lineRule="auto"/>
              <w:ind w:firstLine="200"/>
              <w:jc w:val="center"/>
              <w:rPr>
                <w:rFonts w:ascii="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名称</w:t>
            </w:r>
          </w:p>
        </w:tc>
        <w:tc>
          <w:tcPr>
            <w:tcW w:w="735" w:type="dxa"/>
            <w:vAlign w:val="center"/>
          </w:tcPr>
          <w:p>
            <w:pPr>
              <w:widowControl/>
              <w:adjustRightInd w:val="0"/>
              <w:snapToGrid w:val="0"/>
              <w:spacing w:line="348" w:lineRule="auto"/>
              <w:jc w:val="center"/>
              <w:rPr>
                <w:rFonts w:ascii="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数量</w:t>
            </w:r>
          </w:p>
        </w:tc>
        <w:tc>
          <w:tcPr>
            <w:tcW w:w="1095" w:type="dxa"/>
            <w:vAlign w:val="center"/>
          </w:tcPr>
          <w:p>
            <w:pPr>
              <w:widowControl/>
              <w:adjustRightInd w:val="0"/>
              <w:snapToGrid w:val="0"/>
              <w:spacing w:line="348" w:lineRule="auto"/>
              <w:ind w:firstLine="200"/>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预算</w:t>
            </w:r>
          </w:p>
          <w:p>
            <w:pPr>
              <w:widowControl/>
              <w:adjustRightInd w:val="0"/>
              <w:snapToGrid w:val="0"/>
              <w:spacing w:line="348" w:lineRule="auto"/>
              <w:ind w:firstLine="200"/>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金额</w:t>
            </w:r>
          </w:p>
        </w:tc>
        <w:tc>
          <w:tcPr>
            <w:tcW w:w="5105" w:type="dxa"/>
            <w:vAlign w:val="center"/>
          </w:tcPr>
          <w:p>
            <w:pPr>
              <w:widowControl/>
              <w:adjustRightInd w:val="0"/>
              <w:snapToGrid w:val="0"/>
              <w:spacing w:line="348" w:lineRule="auto"/>
              <w:ind w:firstLine="200"/>
              <w:jc w:val="center"/>
              <w:rPr>
                <w:rFonts w:ascii="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简要规格描述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645" w:type="dxa"/>
            <w:vAlign w:val="center"/>
          </w:tcPr>
          <w:p>
            <w:pPr>
              <w:widowControl/>
              <w:adjustRightInd w:val="0"/>
              <w:snapToGrid w:val="0"/>
              <w:spacing w:line="348" w:lineRule="auto"/>
              <w:ind w:firstLine="200"/>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w:t>
            </w:r>
          </w:p>
        </w:tc>
        <w:tc>
          <w:tcPr>
            <w:tcW w:w="2312" w:type="dxa"/>
            <w:vAlign w:val="center"/>
          </w:tcPr>
          <w:p>
            <w:pPr>
              <w:widowControl/>
              <w:adjustRightInd w:val="0"/>
              <w:snapToGrid w:val="0"/>
              <w:spacing w:line="348" w:lineRule="auto"/>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无锡市儿童医院手术显微镜项目</w:t>
            </w:r>
          </w:p>
        </w:tc>
        <w:tc>
          <w:tcPr>
            <w:tcW w:w="735" w:type="dxa"/>
            <w:vAlign w:val="center"/>
          </w:tcPr>
          <w:p>
            <w:pPr>
              <w:widowControl/>
              <w:adjustRightInd w:val="0"/>
              <w:snapToGrid w:val="0"/>
              <w:spacing w:line="348" w:lineRule="auto"/>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w:t>
            </w:r>
          </w:p>
        </w:tc>
        <w:tc>
          <w:tcPr>
            <w:tcW w:w="1095" w:type="dxa"/>
            <w:vAlign w:val="center"/>
          </w:tcPr>
          <w:p>
            <w:pPr>
              <w:widowControl/>
              <w:adjustRightInd w:val="0"/>
              <w:snapToGrid w:val="0"/>
              <w:spacing w:line="348" w:lineRule="auto"/>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270万元</w:t>
            </w:r>
          </w:p>
        </w:tc>
        <w:tc>
          <w:tcPr>
            <w:tcW w:w="5105" w:type="dxa"/>
            <w:vAlign w:val="center"/>
          </w:tcPr>
          <w:p>
            <w:pPr>
              <w:widowControl/>
              <w:adjustRightInd w:val="0"/>
              <w:snapToGrid w:val="0"/>
              <w:spacing w:line="348" w:lineRule="auto"/>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用于儿童医院神经外科手术</w:t>
            </w:r>
            <w:r>
              <w:rPr>
                <w:rFonts w:hint="eastAsia"/>
              </w:rPr>
              <w:t>。</w:t>
            </w:r>
          </w:p>
        </w:tc>
      </w:tr>
    </w:tbl>
    <w:p>
      <w:pPr>
        <w:adjustRightInd w:val="0"/>
        <w:snapToGrid w:val="0"/>
        <w:spacing w:line="348" w:lineRule="auto"/>
        <w:ind w:firstLine="480" w:firstLineChars="200"/>
        <w:rPr>
          <w:rFonts w:ascii="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（二）投标人资格要求</w:t>
      </w:r>
    </w:p>
    <w:p>
      <w:pPr>
        <w:adjustRightInd w:val="0"/>
        <w:snapToGrid w:val="0"/>
        <w:spacing w:line="348" w:lineRule="auto"/>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投标人参加本次政府采购活动除应当符合《中华人民共和国政府采购法》第二十二条的规定外，根据采购项目的特殊要求规定的特定条件，还必须具备：</w:t>
      </w:r>
    </w:p>
    <w:p>
      <w:pPr>
        <w:adjustRightInd w:val="0"/>
        <w:snapToGrid w:val="0"/>
        <w:spacing w:line="348" w:lineRule="auto"/>
        <w:ind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未被列入失信被执行人、重大税收违法案件当事人名单、政府采购严重违法失信行为记录名单</w:t>
      </w:r>
    </w:p>
    <w:p>
      <w:pPr>
        <w:adjustRightInd w:val="0"/>
        <w:snapToGrid w:val="0"/>
        <w:spacing w:line="348"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 落实政府采购政策需满足的资格要求：无</w:t>
      </w:r>
    </w:p>
    <w:p>
      <w:pPr>
        <w:adjustRightInd w:val="0"/>
        <w:snapToGrid w:val="0"/>
        <w:spacing w:line="348"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3.本项目的特定资格要求：</w:t>
      </w:r>
    </w:p>
    <w:p>
      <w:pPr>
        <w:adjustRightInd w:val="0"/>
        <w:snapToGrid w:val="0"/>
        <w:spacing w:line="348" w:lineRule="auto"/>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（1）有效完整的医疗器械产品注册证或备案凭证复印件（医疗器械产品注册证如有注册登记表须一并提供）</w:t>
      </w:r>
    </w:p>
    <w:p>
      <w:pPr>
        <w:adjustRightInd w:val="0"/>
        <w:snapToGrid w:val="0"/>
        <w:spacing w:line="348" w:lineRule="auto"/>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（2）（国产设备）生产商的医疗器械生产许可证或备案凭证复印件（医疗器械生产许可证如有医疗器械生产产品登记表的须一并提供）</w:t>
      </w:r>
    </w:p>
    <w:p>
      <w:pPr>
        <w:adjustRightInd w:val="0"/>
        <w:snapToGrid w:val="0"/>
        <w:spacing w:line="348"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（3）医疗器械企业经营许可证或备案凭证</w:t>
      </w:r>
    </w:p>
    <w:p>
      <w:pPr>
        <w:adjustRightInd w:val="0"/>
        <w:snapToGrid w:val="0"/>
        <w:spacing w:line="348"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4.不接受联合体投标。</w:t>
      </w:r>
    </w:p>
    <w:p>
      <w:pPr>
        <w:adjustRightInd w:val="0"/>
        <w:snapToGrid w:val="0"/>
        <w:spacing w:line="348" w:lineRule="auto"/>
        <w:ind w:firstLine="480" w:firstLineChars="200"/>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（三）本项目落实的其他政府采购政策:</w:t>
      </w:r>
    </w:p>
    <w:p>
      <w:pPr>
        <w:adjustRightInd w:val="0"/>
        <w:snapToGrid w:val="0"/>
        <w:spacing w:line="348"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 依据财政部、发展改革委发布的《节能产品政府采购品目清单》和财政部、生态环境部发布的《环境标志产品政府采购品目清单》,投标产品为政府采购节能（政府强制采购节能产品除外）、环保产品，给予1分的政策性加分。</w:t>
      </w:r>
    </w:p>
    <w:p>
      <w:pPr>
        <w:tabs>
          <w:tab w:val="left" w:pos="1155"/>
        </w:tabs>
        <w:adjustRightInd w:val="0"/>
        <w:snapToGrid w:val="0"/>
        <w:spacing w:line="348"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 依据《政府采购促进中小企业发展管理办法》（财库﹝2020﹞46 号）、《财政部民政部中国残疾人联合会关于促进残疾人就业政府采购政策的通知》,小微型企业、残疾人福利性单位投标产品的给予10%的价格扣除。残疾人福利性单位同为小微企业的，不重复享受价格扣除的政府采购政策。</w:t>
      </w:r>
    </w:p>
    <w:p>
      <w:pPr>
        <w:tabs>
          <w:tab w:val="left" w:pos="1155"/>
        </w:tabs>
        <w:adjustRightInd w:val="0"/>
        <w:snapToGrid w:val="0"/>
        <w:spacing w:line="348"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3. </w:t>
      </w:r>
      <w:r>
        <w:rPr>
          <w:rFonts w:ascii="宋体" w:hAnsi="宋体"/>
          <w:bCs/>
          <w:sz w:val="24"/>
          <w:szCs w:val="24"/>
        </w:rPr>
        <w:t>依据《江苏省财政厅关于加强政府绿色采购有关事项的通知》（苏财购〔2023〕65号），</w:t>
      </w:r>
      <w:r>
        <w:rPr>
          <w:rFonts w:hint="eastAsia" w:ascii="宋体" w:hAnsi="宋体"/>
          <w:bCs/>
          <w:sz w:val="24"/>
          <w:szCs w:val="24"/>
        </w:rPr>
        <w:t>本项目中如有涉及涂料、胶黏剂、油墨、清洗剂等挥发性有机物产品的，属于强制性标准的，供应商应当执行国家和我省</w:t>
      </w:r>
      <w:r>
        <w:rPr>
          <w:rFonts w:ascii="宋体" w:hAnsi="宋体"/>
          <w:bCs/>
          <w:sz w:val="24"/>
          <w:szCs w:val="24"/>
        </w:rPr>
        <w:t>VOCs</w:t>
      </w:r>
      <w:r>
        <w:rPr>
          <w:rFonts w:hint="eastAsia" w:ascii="宋体" w:hAnsi="宋体"/>
          <w:bCs/>
          <w:sz w:val="24"/>
          <w:szCs w:val="24"/>
        </w:rPr>
        <w:t>含量限制标准。</w:t>
      </w:r>
      <w:r>
        <w:rPr>
          <w:rFonts w:ascii="宋体" w:hAnsi="宋体"/>
          <w:bCs/>
          <w:sz w:val="24"/>
          <w:szCs w:val="24"/>
        </w:rPr>
        <w:t>供应商提供符合推荐性标准的涂料、胶黏剂、油墨、清洗剂等挥发性有机物产品的</w:t>
      </w:r>
      <w:r>
        <w:rPr>
          <w:rFonts w:hint="eastAsia" w:ascii="宋体" w:hAnsi="宋体"/>
          <w:bCs/>
          <w:sz w:val="24"/>
          <w:szCs w:val="24"/>
        </w:rPr>
        <w:t>或者</w:t>
      </w:r>
      <w:r>
        <w:rPr>
          <w:rFonts w:ascii="宋体" w:hAnsi="宋体"/>
          <w:bCs/>
          <w:sz w:val="24"/>
          <w:szCs w:val="24"/>
        </w:rPr>
        <w:t>在通用类货物、家具、印刷、公务车辆维修等采购项目中，供应商能够优先使用低挥发性原辅材料的加1分（投标时须提供相应</w:t>
      </w:r>
      <w:r>
        <w:rPr>
          <w:rFonts w:hint="eastAsia" w:ascii="宋体" w:hAnsi="宋体"/>
          <w:bCs/>
          <w:sz w:val="24"/>
          <w:szCs w:val="24"/>
        </w:rPr>
        <w:t>使用低</w:t>
      </w:r>
      <w:r>
        <w:rPr>
          <w:rFonts w:ascii="宋体" w:hAnsi="宋体"/>
          <w:bCs/>
          <w:sz w:val="24"/>
          <w:szCs w:val="24"/>
        </w:rPr>
        <w:t xml:space="preserve">VOCs </w:t>
      </w:r>
      <w:r>
        <w:rPr>
          <w:rFonts w:hint="eastAsia" w:ascii="宋体" w:hAnsi="宋体"/>
          <w:bCs/>
          <w:sz w:val="24"/>
          <w:szCs w:val="24"/>
        </w:rPr>
        <w:t>含量的</w:t>
      </w:r>
      <w:r>
        <w:rPr>
          <w:rFonts w:ascii="宋体" w:hAnsi="宋体"/>
          <w:bCs/>
          <w:sz w:val="24"/>
          <w:szCs w:val="24"/>
        </w:rPr>
        <w:t>有效证明材料，否则不得分）</w:t>
      </w:r>
      <w:r>
        <w:rPr>
          <w:rFonts w:hint="eastAsia" w:ascii="宋体" w:hAnsi="宋体"/>
          <w:bCs/>
          <w:sz w:val="24"/>
          <w:szCs w:val="24"/>
        </w:rPr>
        <w:t>。</w:t>
      </w:r>
    </w:p>
    <w:p>
      <w:pPr>
        <w:adjustRightInd w:val="0"/>
        <w:snapToGrid w:val="0"/>
        <w:spacing w:line="348" w:lineRule="auto"/>
        <w:ind w:firstLine="480" w:firstLineChars="200"/>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（四）无锡市政府采购交易管理一体化系统供应商注册登记</w:t>
      </w:r>
    </w:p>
    <w:p>
      <w:pPr>
        <w:adjustRightInd w:val="0"/>
        <w:snapToGrid w:val="0"/>
        <w:spacing w:line="348"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（1）供应商可登录“无锡政府采购网”点击“</w:t>
      </w:r>
      <w:r>
        <w:rPr>
          <w:rFonts w:ascii="宋体" w:hAnsi="宋体" w:cs="宋体"/>
          <w:color w:val="000000" w:themeColor="text1"/>
          <w:sz w:val="24"/>
          <w:szCs w:val="24"/>
          <w14:textFill>
            <w14:solidFill>
              <w14:schemeClr w14:val="tx1"/>
            </w14:solidFill>
          </w14:textFill>
        </w:rPr>
        <w:t>政府采购交易管理一体化系统</w:t>
      </w:r>
      <w:r>
        <w:rPr>
          <w:rFonts w:hint="eastAsia" w:ascii="宋体" w:hAnsi="宋体" w:cs="宋体"/>
          <w:color w:val="000000" w:themeColor="text1"/>
          <w:sz w:val="24"/>
          <w:szCs w:val="24"/>
          <w14:textFill>
            <w14:solidFill>
              <w14:schemeClr w14:val="tx1"/>
            </w14:solidFill>
          </w14:textFill>
        </w:rPr>
        <w:t>”按钮进入注册界面，选择对应地区进行账号注册并填写申请信息，也可以直接通过http://middle.wuxi.zcygov.cn/v-settle-front/registry进入注册界面。</w:t>
      </w:r>
      <w:r>
        <w:rPr>
          <w:rFonts w:hint="eastAsia" w:ascii="宋体" w:hAnsi="宋体" w:cs="宋体"/>
          <w:color w:val="000000" w:themeColor="text1"/>
          <w:kern w:val="0"/>
          <w:sz w:val="24"/>
          <w:szCs w:val="24"/>
          <w14:textFill>
            <w14:solidFill>
              <w14:schemeClr w14:val="tx1"/>
            </w14:solidFill>
          </w14:textFill>
        </w:rPr>
        <w:t>请投标人在</w:t>
      </w:r>
      <w:r>
        <w:rPr>
          <w:rFonts w:ascii="宋体" w:hAnsi="宋体" w:cs="宋体"/>
          <w:color w:val="000000" w:themeColor="text1"/>
          <w:sz w:val="24"/>
          <w:szCs w:val="24"/>
          <w14:textFill>
            <w14:solidFill>
              <w14:schemeClr w14:val="tx1"/>
            </w14:solidFill>
          </w14:textFill>
        </w:rPr>
        <w:t>投标截止时间前，前往无锡市政府采购网供应商信息库查询是否完成注册登记（地址： http://cz.wuxi.gov.cn/ztzl/zfcgpt/zcgys/index.shtml）。</w:t>
      </w:r>
      <w:r>
        <w:rPr>
          <w:rFonts w:hint="eastAsia" w:ascii="宋体" w:hAnsi="宋体" w:cs="宋体"/>
          <w:color w:val="000000" w:themeColor="text1"/>
          <w:kern w:val="0"/>
          <w:sz w:val="24"/>
          <w:szCs w:val="24"/>
          <w14:textFill>
            <w14:solidFill>
              <w14:schemeClr w14:val="tx1"/>
            </w14:solidFill>
          </w14:textFill>
        </w:rPr>
        <w:t>如投标人未按上述要求操作，在“供应商信息库”中无法查询的投标人，由此所产生的损失及风险由投标人自行承担。</w:t>
      </w:r>
    </w:p>
    <w:p>
      <w:pPr>
        <w:adjustRightInd w:val="0"/>
        <w:snapToGrid w:val="0"/>
        <w:spacing w:line="348"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（2）办理CA--如先前已有国信CA则可忽略，仅需</w:t>
      </w:r>
      <w:r>
        <w:rPr>
          <w:rFonts w:hint="eastAsia" w:asciiTheme="minorEastAsia" w:hAnsiTheme="minorEastAsia" w:eastAsiaTheme="minorEastAsia"/>
          <w:color w:val="000000" w:themeColor="text1"/>
          <w:sz w:val="24"/>
          <w:szCs w:val="24"/>
          <w14:textFill>
            <w14:solidFill>
              <w14:schemeClr w14:val="tx1"/>
            </w14:solidFill>
          </w14:textFill>
        </w:rPr>
        <w:t>下载第（5）点的驱动即可（办理地址：观山路199号市民中心12号楼1楼CA窗口）和办理电子签章（办理地址：观山路199号市民中心12号楼2楼2号窗口）。办理CA后需进行CA绑定操作，登录政采云平台，插入CA，点击右上方【CA管理】--【绑定CA】</w:t>
      </w:r>
    </w:p>
    <w:p>
      <w:pPr>
        <w:adjustRightInd w:val="0"/>
        <w:snapToGrid w:val="0"/>
        <w:spacing w:line="348" w:lineRule="auto"/>
        <w:ind w:firstLine="480" w:firstLineChars="200"/>
        <w:rPr>
          <w:rFonts w:ascii="黑体" w:hAnsi="黑体" w:eastAsia="黑体" w:cs="宋体"/>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潜在投标人如确定投标，必须在政采云平台（http://login.wuxi.zcygov.cn/user-login/#/login）中免费下载采购文件（“项目采购-获取采购文件管理-待申请”标签页下，找到需要获取采购文件的项目，点击“申请获取采购文件”），完成项目报名，方可按要求制作、上传响应文件，对采购文件各项内容做出实质性响应，否则其响应文件无效。</w:t>
      </w:r>
    </w:p>
    <w:p>
      <w:pPr>
        <w:adjustRightInd w:val="0"/>
        <w:snapToGrid w:val="0"/>
        <w:spacing w:line="348"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（4）政采云投标客户端下载链接：</w:t>
      </w:r>
    </w:p>
    <w:p>
      <w:pPr>
        <w:adjustRightInd w:val="0"/>
        <w:snapToGrid w:val="0"/>
        <w:spacing w:line="348" w:lineRule="auto"/>
        <w:ind w:firstLine="420" w:firstLineChars="200"/>
        <w:rPr>
          <w:rFonts w:ascii="宋体" w:hAnsi="宋体"/>
          <w:color w:val="000000" w:themeColor="text1"/>
          <w:sz w:val="24"/>
          <w:szCs w:val="24"/>
          <w14:textFill>
            <w14:solidFill>
              <w14:schemeClr w14:val="tx1"/>
            </w14:solidFill>
          </w14:textFill>
        </w:rPr>
      </w:pPr>
      <w:r>
        <w:fldChar w:fldCharType="begin"/>
      </w:r>
      <w:r>
        <w:instrText xml:space="preserve"> HYPERLINK "https://cdn.zcycdn.com/zcy-client/bidding-client-new/official/wx/ZhengCaiYun.latest.exe?utm=web-bid-enroll-front.34ff399.0.0.51ed88e0f54a11edba489127c4530755" </w:instrText>
      </w:r>
      <w:r>
        <w:fldChar w:fldCharType="separate"/>
      </w:r>
      <w:r>
        <w:rPr>
          <w:rStyle w:val="53"/>
          <w:rFonts w:hint="eastAsia" w:ascii="宋体" w:hAnsi="宋体"/>
          <w:color w:val="000000" w:themeColor="text1"/>
          <w:sz w:val="24"/>
          <w:szCs w:val="24"/>
          <w14:textFill>
            <w14:solidFill>
              <w14:schemeClr w14:val="tx1"/>
            </w14:solidFill>
          </w14:textFill>
        </w:rPr>
        <w:t>https://cdn.zcycdn.com/zcy-client/bidding-client-new/official/wx/ZhengCaiYun.latest.exe?utm=web-bid-enroll-front.34ff399.0.0.51ed88e0f54a11edba489127c4530755</w:t>
      </w:r>
      <w:r>
        <w:rPr>
          <w:rStyle w:val="53"/>
          <w:rFonts w:hint="eastAsia" w:ascii="宋体" w:hAnsi="宋体"/>
          <w:color w:val="000000" w:themeColor="text1"/>
          <w:sz w:val="24"/>
          <w:szCs w:val="24"/>
          <w14:textFill>
            <w14:solidFill>
              <w14:schemeClr w14:val="tx1"/>
            </w14:solidFill>
          </w14:textFill>
        </w:rPr>
        <w:fldChar w:fldCharType="end"/>
      </w:r>
    </w:p>
    <w:p>
      <w:pPr>
        <w:adjustRightInd w:val="0"/>
        <w:snapToGrid w:val="0"/>
        <w:spacing w:line="348"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（5）CA驱动下载链接（江苏省-国信CA驱动）：</w:t>
      </w:r>
    </w:p>
    <w:p>
      <w:pPr>
        <w:adjustRightInd w:val="0"/>
        <w:snapToGrid w:val="0"/>
        <w:spacing w:line="348"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https://customer.zcygov.cn/CA-driver-download?utm=web-login-front.509b3709.0.0.004ab15096ee11ebbc33f5d151e70834</w:t>
      </w:r>
    </w:p>
    <w:p>
      <w:pPr>
        <w:adjustRightInd w:val="0"/>
        <w:snapToGrid w:val="0"/>
        <w:spacing w:line="348" w:lineRule="auto"/>
        <w:ind w:firstLine="480" w:firstLineChars="200"/>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（五）无锡市卫生健康部门集中采购项目管理系统供应商注册登记</w:t>
      </w:r>
    </w:p>
    <w:p>
      <w:pPr>
        <w:adjustRightInd w:val="0"/>
        <w:snapToGrid w:val="0"/>
        <w:spacing w:line="348"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登入无锡市卫生健康部门集中采购项目管理系统（</w:t>
      </w:r>
      <w:r>
        <w:rPr>
          <w:rFonts w:asciiTheme="minorEastAsia" w:hAnsiTheme="minorEastAsia" w:eastAsiaTheme="minorEastAsia"/>
          <w:color w:val="000000" w:themeColor="text1"/>
          <w:sz w:val="24"/>
          <w:szCs w:val="24"/>
          <w14:textFill>
            <w14:solidFill>
              <w14:schemeClr w14:val="tx1"/>
            </w14:solidFill>
          </w14:textFill>
        </w:rPr>
        <w:t>可在注册地址https://wxyc.jssinoview.com/wxtb/index_company.html填写正确的注册信息，等待账号通过审核则可以正常登录系统</w:t>
      </w:r>
      <w:r>
        <w:rPr>
          <w:rFonts w:hint="eastAsia" w:asciiTheme="minorEastAsia" w:hAnsiTheme="minorEastAsia" w:eastAsiaTheme="minorEastAsia"/>
          <w:color w:val="000000" w:themeColor="text1"/>
          <w:sz w:val="24"/>
          <w:szCs w:val="24"/>
          <w14:textFill>
            <w14:solidFill>
              <w14:schemeClr w14:val="tx1"/>
            </w14:solidFill>
          </w14:textFill>
        </w:rPr>
        <w:t>），在</w:t>
      </w:r>
      <w:r>
        <w:rPr>
          <w:rFonts w:asciiTheme="minorEastAsia" w:hAnsiTheme="minorEastAsia" w:eastAsiaTheme="minorEastAsia"/>
          <w:color w:val="000000" w:themeColor="text1"/>
          <w:sz w:val="24"/>
          <w:szCs w:val="24"/>
          <w14:textFill>
            <w14:solidFill>
              <w14:schemeClr w14:val="tx1"/>
            </w14:solidFill>
          </w14:textFill>
        </w:rPr>
        <w:t>“</w:t>
      </w:r>
      <w:r>
        <w:rPr>
          <w:rFonts w:hint="eastAsia" w:asciiTheme="minorEastAsia" w:hAnsiTheme="minorEastAsia" w:eastAsiaTheme="minorEastAsia"/>
          <w:color w:val="000000" w:themeColor="text1"/>
          <w:sz w:val="24"/>
          <w:szCs w:val="24"/>
          <w14:textFill>
            <w14:solidFill>
              <w14:schemeClr w14:val="tx1"/>
            </w14:solidFill>
          </w14:textFill>
        </w:rPr>
        <w:t>业务办理-运行中项目查看</w:t>
      </w:r>
      <w:r>
        <w:rPr>
          <w:rFonts w:asciiTheme="minorEastAsia" w:hAnsiTheme="minorEastAsia" w:eastAsiaTheme="minorEastAsia"/>
          <w:color w:val="000000" w:themeColor="text1"/>
          <w:sz w:val="24"/>
          <w:szCs w:val="24"/>
          <w14:textFill>
            <w14:solidFill>
              <w14:schemeClr w14:val="tx1"/>
            </w14:solidFill>
          </w14:textFill>
        </w:rPr>
        <w:t>”标签页，找到有意向</w:t>
      </w:r>
      <w:r>
        <w:rPr>
          <w:rFonts w:hint="eastAsia" w:asciiTheme="minorEastAsia" w:hAnsiTheme="minorEastAsia" w:eastAsiaTheme="minorEastAsia"/>
          <w:color w:val="000000" w:themeColor="text1"/>
          <w:sz w:val="24"/>
          <w:szCs w:val="24"/>
          <w14:textFill>
            <w14:solidFill>
              <w14:schemeClr w14:val="tx1"/>
            </w14:solidFill>
          </w14:textFill>
        </w:rPr>
        <w:t>参与</w:t>
      </w:r>
      <w:r>
        <w:rPr>
          <w:rFonts w:asciiTheme="minorEastAsia" w:hAnsiTheme="minorEastAsia" w:eastAsiaTheme="minorEastAsia"/>
          <w:color w:val="000000" w:themeColor="text1"/>
          <w:sz w:val="24"/>
          <w:szCs w:val="24"/>
          <w14:textFill>
            <w14:solidFill>
              <w14:schemeClr w14:val="tx1"/>
            </w14:solidFill>
          </w14:textFill>
        </w:rPr>
        <w:t>项目</w:t>
      </w:r>
      <w:r>
        <w:rPr>
          <w:rFonts w:hint="eastAsia" w:asciiTheme="minorEastAsia" w:hAnsiTheme="minorEastAsia" w:eastAsiaTheme="minorEastAsia"/>
          <w:color w:val="000000" w:themeColor="text1"/>
          <w:sz w:val="24"/>
          <w:szCs w:val="24"/>
          <w14:textFill>
            <w14:solidFill>
              <w14:schemeClr w14:val="tx1"/>
            </w14:solidFill>
          </w14:textFill>
        </w:rPr>
        <w:t>，进行相关信息填报。请</w:t>
      </w:r>
      <w:r>
        <w:rPr>
          <w:rFonts w:asciiTheme="minorEastAsia" w:hAnsiTheme="minorEastAsia" w:eastAsiaTheme="minorEastAsia"/>
          <w:color w:val="000000" w:themeColor="text1"/>
          <w:sz w:val="24"/>
          <w:szCs w:val="24"/>
          <w14:textFill>
            <w14:solidFill>
              <w14:schemeClr w14:val="tx1"/>
            </w14:solidFill>
          </w14:textFill>
        </w:rPr>
        <w:t>正确填写</w:t>
      </w:r>
      <w:r>
        <w:rPr>
          <w:rFonts w:hint="eastAsia" w:asciiTheme="minorEastAsia" w:hAnsiTheme="minorEastAsia" w:eastAsiaTheme="minorEastAsia"/>
          <w:color w:val="000000" w:themeColor="text1"/>
          <w:sz w:val="24"/>
          <w:szCs w:val="24"/>
          <w14:textFill>
            <w14:solidFill>
              <w14:schemeClr w14:val="tx1"/>
            </w14:solidFill>
          </w14:textFill>
        </w:rPr>
        <w:t>表格内</w:t>
      </w:r>
      <w:r>
        <w:rPr>
          <w:rFonts w:asciiTheme="minorEastAsia" w:hAnsiTheme="minorEastAsia" w:eastAsiaTheme="minorEastAsia"/>
          <w:color w:val="000000" w:themeColor="text1"/>
          <w:sz w:val="24"/>
          <w:szCs w:val="24"/>
          <w14:textFill>
            <w14:solidFill>
              <w14:schemeClr w14:val="tx1"/>
            </w14:solidFill>
          </w14:textFill>
        </w:rPr>
        <w:t>邮箱信息以便成功接收到电子版</w:t>
      </w:r>
      <w:r>
        <w:rPr>
          <w:rFonts w:hint="eastAsia" w:asciiTheme="minorEastAsia" w:hAnsiTheme="minorEastAsia" w:eastAsiaTheme="minorEastAsia"/>
          <w:color w:val="000000" w:themeColor="text1"/>
          <w:sz w:val="24"/>
          <w:szCs w:val="24"/>
          <w14:textFill>
            <w14:solidFill>
              <w14:schemeClr w14:val="tx1"/>
            </w14:solidFill>
          </w14:textFill>
        </w:rPr>
        <w:t>《</w:t>
      </w:r>
      <w:r>
        <w:rPr>
          <w:rFonts w:asciiTheme="minorEastAsia" w:hAnsiTheme="minorEastAsia" w:eastAsiaTheme="minorEastAsia"/>
          <w:color w:val="000000" w:themeColor="text1"/>
          <w:sz w:val="24"/>
          <w:szCs w:val="24"/>
          <w14:textFill>
            <w14:solidFill>
              <w14:schemeClr w14:val="tx1"/>
            </w14:solidFill>
          </w14:textFill>
        </w:rPr>
        <w:t>政府采购项目电子交易管理操作指南</w:t>
      </w:r>
      <w:r>
        <w:rPr>
          <w:rFonts w:hint="eastAsia" w:asciiTheme="minorEastAsia" w:hAnsiTheme="minorEastAsia" w:eastAsiaTheme="minorEastAsia"/>
          <w:color w:val="000000" w:themeColor="text1"/>
          <w:sz w:val="24"/>
          <w:szCs w:val="24"/>
          <w14:textFill>
            <w14:solidFill>
              <w14:schemeClr w14:val="tx1"/>
            </w14:solidFill>
          </w14:textFill>
        </w:rPr>
        <w:t>》。</w:t>
      </w:r>
    </w:p>
    <w:p>
      <w:pPr>
        <w:adjustRightInd w:val="0"/>
        <w:snapToGrid w:val="0"/>
        <w:spacing w:line="348" w:lineRule="auto"/>
        <w:ind w:firstLine="480" w:firstLineChars="200"/>
        <w:rPr>
          <w:rFonts w:ascii="黑体" w:hAnsi="黑体" w:eastAsia="黑体" w:cs="宋体"/>
          <w:color w:val="000000" w:themeColor="text1"/>
          <w:kern w:val="0"/>
          <w:sz w:val="24"/>
          <w:szCs w:val="24"/>
          <w14:textFill>
            <w14:solidFill>
              <w14:schemeClr w14:val="tx1"/>
            </w14:solidFill>
          </w14:textFill>
        </w:rPr>
      </w:pPr>
      <w:r>
        <w:rPr>
          <w:rFonts w:hint="eastAsia" w:ascii="黑体" w:hAnsi="黑体" w:eastAsia="黑体" w:cs="宋体"/>
          <w:color w:val="000000" w:themeColor="text1"/>
          <w:kern w:val="0"/>
          <w:sz w:val="24"/>
          <w:szCs w:val="24"/>
          <w14:textFill>
            <w14:solidFill>
              <w14:schemeClr w14:val="tx1"/>
            </w14:solidFill>
          </w14:textFill>
        </w:rPr>
        <w:t>（六）招标文件提供期限</w:t>
      </w:r>
    </w:p>
    <w:p>
      <w:pPr>
        <w:adjustRightInd w:val="0"/>
        <w:snapToGrid w:val="0"/>
        <w:spacing w:line="348" w:lineRule="auto"/>
        <w:ind w:firstLine="480" w:firstLineChars="200"/>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自招标公告发布之日起五个工作日内（法定假日除外）每天上午</w:t>
      </w:r>
      <w:r>
        <w:rPr>
          <w:rFonts w:cs="宋体" w:asciiTheme="minorEastAsia" w:hAnsiTheme="minorEastAsia" w:eastAsiaTheme="minorEastAsia"/>
          <w:color w:val="000000" w:themeColor="text1"/>
          <w:kern w:val="0"/>
          <w:sz w:val="24"/>
          <w:szCs w:val="24"/>
          <w14:textFill>
            <w14:solidFill>
              <w14:schemeClr w14:val="tx1"/>
            </w14:solidFill>
          </w14:textFill>
        </w:rPr>
        <w:t>9:00-11:30,</w:t>
      </w:r>
      <w:r>
        <w:rPr>
          <w:rFonts w:hint="eastAsia" w:cs="宋体" w:asciiTheme="minorEastAsia" w:hAnsiTheme="minorEastAsia" w:eastAsiaTheme="minorEastAsia"/>
          <w:color w:val="000000" w:themeColor="text1"/>
          <w:kern w:val="0"/>
          <w:sz w:val="24"/>
          <w:szCs w:val="24"/>
          <w14:textFill>
            <w14:solidFill>
              <w14:schemeClr w14:val="tx1"/>
            </w14:solidFill>
          </w14:textFill>
        </w:rPr>
        <w:t>下午1</w:t>
      </w:r>
      <w:r>
        <w:rPr>
          <w:rFonts w:cs="宋体" w:asciiTheme="minorEastAsia" w:hAnsiTheme="minorEastAsia" w:eastAsiaTheme="minorEastAsia"/>
          <w:color w:val="000000" w:themeColor="text1"/>
          <w:kern w:val="0"/>
          <w:sz w:val="24"/>
          <w:szCs w:val="24"/>
          <w14:textFill>
            <w14:solidFill>
              <w14:schemeClr w14:val="tx1"/>
            </w14:solidFill>
          </w14:textFill>
        </w:rPr>
        <w:t>:00-5:00</w:t>
      </w:r>
    </w:p>
    <w:p>
      <w:pPr>
        <w:adjustRightInd w:val="0"/>
        <w:snapToGrid w:val="0"/>
        <w:spacing w:line="348"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有关本次招标的事项若存在变动或修改，敬请及时关注本网</w:t>
      </w:r>
      <w:r>
        <w:rPr>
          <w:rFonts w:hint="eastAsia" w:cs="宋体" w:asciiTheme="minorEastAsia" w:hAnsiTheme="minorEastAsia" w:eastAsiaTheme="minorEastAsia"/>
          <w:color w:val="000000" w:themeColor="text1"/>
          <w:sz w:val="24"/>
          <w:szCs w:val="24"/>
          <w14:textFill>
            <w14:solidFill>
              <w14:schemeClr w14:val="tx1"/>
            </w14:solidFill>
          </w14:textFill>
        </w:rPr>
        <w:t>站发布的更正公告。如潜在投标人未按上述要求操作，将自行承担所产生的风险。</w:t>
      </w:r>
    </w:p>
    <w:p>
      <w:pPr>
        <w:adjustRightInd w:val="0"/>
        <w:snapToGrid w:val="0"/>
        <w:spacing w:line="348" w:lineRule="auto"/>
        <w:ind w:firstLine="480" w:firstLineChars="200"/>
        <w:rPr>
          <w:rFonts w:ascii="黑体" w:hAnsi="黑体" w:eastAsia="黑体" w:cs="宋体"/>
          <w:color w:val="000000" w:themeColor="text1"/>
          <w:kern w:val="0"/>
          <w:sz w:val="24"/>
          <w:szCs w:val="24"/>
          <w14:textFill>
            <w14:solidFill>
              <w14:schemeClr w14:val="tx1"/>
            </w14:solidFill>
          </w14:textFill>
        </w:rPr>
      </w:pPr>
      <w:r>
        <w:rPr>
          <w:rFonts w:hint="eastAsia" w:ascii="黑体" w:hAnsi="黑体" w:eastAsia="黑体" w:cs="宋体"/>
          <w:color w:val="000000" w:themeColor="text1"/>
          <w:kern w:val="0"/>
          <w:sz w:val="24"/>
          <w:szCs w:val="24"/>
          <w14:textFill>
            <w14:solidFill>
              <w14:schemeClr w14:val="tx1"/>
            </w14:solidFill>
          </w14:textFill>
        </w:rPr>
        <w:t>（七）公开答疑时间、地点</w:t>
      </w:r>
    </w:p>
    <w:p>
      <w:pPr>
        <w:adjustRightInd w:val="0"/>
        <w:snapToGrid w:val="0"/>
        <w:spacing w:line="348" w:lineRule="auto"/>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采购人、无锡市卫生健康综合服务中心将于以下时间、地点对投标人针对招标文件书面提出的要求澄清的问题进行公开答疑。投标人如有需要对招标文件要求澄清的问题，请以书面形式提出“WXWJCG2023- 项目需澄清问题”，并于答疑会前传真项目联系人（答疑会时递交盖章原件）。</w:t>
      </w:r>
    </w:p>
    <w:p>
      <w:pPr>
        <w:adjustRightInd w:val="0"/>
        <w:snapToGrid w:val="0"/>
        <w:spacing w:line="348" w:lineRule="auto"/>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公开答疑会时间：</w:t>
      </w:r>
      <w:r>
        <w:rPr>
          <w:rFonts w:hint="eastAsia" w:ascii="宋体" w:hAnsi="宋体"/>
          <w:bCs/>
          <w:color w:val="000000" w:themeColor="text1"/>
          <w:sz w:val="24"/>
          <w:szCs w:val="24"/>
          <w14:textFill>
            <w14:solidFill>
              <w14:schemeClr w14:val="tx1"/>
            </w14:solidFill>
          </w14:textFill>
        </w:rPr>
        <w:t xml:space="preserve">2023年11月23日14：00  ~16：00 </w:t>
      </w:r>
    </w:p>
    <w:p>
      <w:pPr>
        <w:adjustRightInd w:val="0"/>
        <w:snapToGrid w:val="0"/>
        <w:spacing w:line="348"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公开答疑会地点：无锡市卫生健康综合服务中心答疑室</w:t>
      </w:r>
    </w:p>
    <w:p>
      <w:pPr>
        <w:adjustRightInd w:val="0"/>
        <w:snapToGrid w:val="0"/>
        <w:spacing w:line="348" w:lineRule="auto"/>
        <w:ind w:firstLine="480" w:firstLineChars="200"/>
        <w:rPr>
          <w:rFonts w:ascii="黑体" w:hAnsi="黑体" w:eastAsia="黑体" w:cs="宋体"/>
          <w:color w:val="000000" w:themeColor="text1"/>
          <w:kern w:val="0"/>
          <w:sz w:val="24"/>
          <w:szCs w:val="24"/>
          <w14:textFill>
            <w14:solidFill>
              <w14:schemeClr w14:val="tx1"/>
            </w14:solidFill>
          </w14:textFill>
        </w:rPr>
      </w:pPr>
      <w:r>
        <w:rPr>
          <w:rFonts w:hint="eastAsia" w:ascii="黑体" w:hAnsi="黑体" w:eastAsia="黑体" w:cs="宋体"/>
          <w:color w:val="000000" w:themeColor="text1"/>
          <w:kern w:val="0"/>
          <w:sz w:val="24"/>
          <w:szCs w:val="24"/>
          <w14:textFill>
            <w14:solidFill>
              <w14:schemeClr w14:val="tx1"/>
            </w14:solidFill>
          </w14:textFill>
        </w:rPr>
        <w:t>（八）投标及开标、定标时间、地点</w:t>
      </w:r>
    </w:p>
    <w:p>
      <w:pPr>
        <w:adjustRightInd w:val="0"/>
        <w:snapToGrid w:val="0"/>
        <w:spacing w:line="348" w:lineRule="auto"/>
        <w:ind w:firstLine="480" w:firstLineChars="200"/>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网上投标截止时间：2023年12月6日13:30（投标截止时间后的投标文件恕不接受）</w:t>
      </w:r>
    </w:p>
    <w:p>
      <w:pPr>
        <w:adjustRightInd w:val="0"/>
        <w:snapToGrid w:val="0"/>
        <w:spacing w:line="348" w:lineRule="auto"/>
        <w:ind w:firstLine="480" w:firstLineChars="200"/>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解密、开标时间：2023年12月6日13:30开启解密后半小时。</w:t>
      </w:r>
    </w:p>
    <w:p>
      <w:pPr>
        <w:adjustRightInd w:val="0"/>
        <w:snapToGrid w:val="0"/>
        <w:spacing w:line="348" w:lineRule="auto"/>
        <w:ind w:firstLine="480" w:firstLineChars="200"/>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定标时间：评标结束</w:t>
      </w:r>
    </w:p>
    <w:p>
      <w:pPr>
        <w:adjustRightInd w:val="0"/>
        <w:snapToGrid w:val="0"/>
        <w:spacing w:line="348" w:lineRule="auto"/>
        <w:ind w:firstLine="480" w:firstLineChars="200"/>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定标地点：无锡市卫生健康综合服务中心</w:t>
      </w:r>
      <w:r>
        <w:rPr>
          <w:rFonts w:hint="eastAsia" w:ascii="宋体" w:hAnsi="宋体" w:cs="宋体"/>
          <w:color w:val="000000" w:themeColor="text1"/>
          <w:sz w:val="24"/>
          <w:szCs w:val="24"/>
          <w14:textFill>
            <w14:solidFill>
              <w14:schemeClr w14:val="tx1"/>
            </w14:solidFill>
          </w14:textFill>
        </w:rPr>
        <w:t>（无锡市滨湖区建筑路450号）</w:t>
      </w:r>
    </w:p>
    <w:p>
      <w:pPr>
        <w:tabs>
          <w:tab w:val="left" w:pos="6720"/>
        </w:tabs>
        <w:adjustRightInd w:val="0"/>
        <w:snapToGrid w:val="0"/>
        <w:spacing w:line="348" w:lineRule="auto"/>
        <w:ind w:firstLine="480" w:firstLineChars="200"/>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黑体" w:hAnsi="黑体" w:eastAsia="黑体" w:cs="宋体"/>
          <w:color w:val="000000" w:themeColor="text1"/>
          <w:kern w:val="0"/>
          <w:sz w:val="24"/>
          <w:szCs w:val="24"/>
          <w14:textFill>
            <w14:solidFill>
              <w14:schemeClr w14:val="tx1"/>
            </w14:solidFill>
          </w14:textFill>
        </w:rPr>
        <w:t>（九）投标有效期：</w:t>
      </w:r>
      <w:r>
        <w:rPr>
          <w:rFonts w:hint="eastAsia" w:cs="宋体" w:asciiTheme="minorEastAsia" w:hAnsiTheme="minorEastAsia" w:eastAsiaTheme="minorEastAsia"/>
          <w:color w:val="000000" w:themeColor="text1"/>
          <w:sz w:val="24"/>
          <w:szCs w:val="24"/>
          <w14:textFill>
            <w14:solidFill>
              <w14:schemeClr w14:val="tx1"/>
            </w14:solidFill>
          </w14:textFill>
        </w:rPr>
        <w:t>开标之日起</w:t>
      </w:r>
      <w:r>
        <w:rPr>
          <w:rFonts w:cs="宋体" w:asciiTheme="minorEastAsia" w:hAnsiTheme="minorEastAsia" w:eastAsiaTheme="minorEastAsia"/>
          <w:color w:val="000000" w:themeColor="text1"/>
          <w:sz w:val="24"/>
          <w:szCs w:val="24"/>
          <w14:textFill>
            <w14:solidFill>
              <w14:schemeClr w14:val="tx1"/>
            </w14:solidFill>
          </w14:textFill>
        </w:rPr>
        <w:t>90</w:t>
      </w:r>
      <w:r>
        <w:rPr>
          <w:rFonts w:hint="eastAsia" w:cs="宋体" w:asciiTheme="minorEastAsia" w:hAnsiTheme="minorEastAsia" w:eastAsiaTheme="minorEastAsia"/>
          <w:color w:val="000000" w:themeColor="text1"/>
          <w:sz w:val="24"/>
          <w:szCs w:val="24"/>
          <w14:textFill>
            <w14:solidFill>
              <w14:schemeClr w14:val="tx1"/>
            </w14:solidFill>
          </w14:textFill>
        </w:rPr>
        <w:t>天</w:t>
      </w:r>
      <w:r>
        <w:rPr>
          <w:rFonts w:cs="宋体" w:asciiTheme="minorEastAsia" w:hAnsiTheme="minorEastAsia" w:eastAsiaTheme="minorEastAsia"/>
          <w:color w:val="000000" w:themeColor="text1"/>
          <w:sz w:val="24"/>
          <w:szCs w:val="24"/>
          <w14:textFill>
            <w14:solidFill>
              <w14:schemeClr w14:val="tx1"/>
            </w14:solidFill>
          </w14:textFill>
        </w:rPr>
        <w:tab/>
      </w:r>
    </w:p>
    <w:p>
      <w:pPr>
        <w:adjustRightInd w:val="0"/>
        <w:snapToGrid w:val="0"/>
        <w:spacing w:line="348" w:lineRule="auto"/>
        <w:ind w:firstLine="480" w:firstLineChars="200"/>
        <w:rPr>
          <w:rFonts w:ascii="黑体" w:hAnsi="黑体" w:eastAsia="黑体"/>
          <w:bCs/>
          <w:color w:val="000000" w:themeColor="text1"/>
          <w:sz w:val="24"/>
          <w:szCs w:val="24"/>
          <w14:textFill>
            <w14:solidFill>
              <w14:schemeClr w14:val="tx1"/>
            </w14:solidFill>
          </w14:textFill>
        </w:rPr>
      </w:pPr>
      <w:r>
        <w:rPr>
          <w:rFonts w:hint="eastAsia" w:ascii="黑体" w:hAnsi="黑体" w:eastAsia="黑体"/>
          <w:bCs/>
          <w:color w:val="000000" w:themeColor="text1"/>
          <w:sz w:val="24"/>
          <w:szCs w:val="24"/>
          <w14:textFill>
            <w14:solidFill>
              <w14:schemeClr w14:val="tx1"/>
            </w14:solidFill>
          </w14:textFill>
        </w:rPr>
        <w:t>（十）采购方法：</w:t>
      </w:r>
    </w:p>
    <w:p>
      <w:pPr>
        <w:tabs>
          <w:tab w:val="left" w:pos="945"/>
        </w:tabs>
        <w:adjustRightInd w:val="0"/>
        <w:snapToGrid w:val="0"/>
        <w:spacing w:line="348" w:lineRule="auto"/>
        <w:ind w:firstLine="480" w:firstLineChars="200"/>
        <w:rPr>
          <w:rFonts w:ascii="黑体" w:hAnsi="黑体" w:eastAsia="黑体" w:cs="黑体"/>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本次采购采用“</w:t>
      </w:r>
      <w:r>
        <w:rPr>
          <w:rFonts w:asciiTheme="minorEastAsia" w:hAnsiTheme="minorEastAsia"/>
          <w:color w:val="000000" w:themeColor="text1"/>
          <w:sz w:val="24"/>
          <w:szCs w:val="24"/>
          <w14:textFill>
            <w14:solidFill>
              <w14:schemeClr w14:val="tx1"/>
            </w14:solidFill>
          </w14:textFill>
        </w:rPr>
        <w:t>政府采购交易管理一体化系统</w:t>
      </w:r>
      <w:r>
        <w:rPr>
          <w:rFonts w:hint="eastAsia" w:asciiTheme="minorEastAsia" w:hAnsiTheme="minorEastAsia"/>
          <w:color w:val="000000" w:themeColor="text1"/>
          <w:sz w:val="24"/>
          <w:szCs w:val="24"/>
          <w14:textFill>
            <w14:solidFill>
              <w14:schemeClr w14:val="tx1"/>
            </w14:solidFill>
          </w14:textFill>
        </w:rPr>
        <w:t>”进行招标投标活动，开标、评标、定标和中标结果发布全程电子化。</w:t>
      </w:r>
    </w:p>
    <w:p>
      <w:pPr>
        <w:adjustRightInd w:val="0"/>
        <w:snapToGrid w:val="0"/>
        <w:spacing w:line="348" w:lineRule="auto"/>
        <w:ind w:firstLine="480" w:firstLineChars="200"/>
        <w:rPr>
          <w:rFonts w:ascii="黑体" w:hAnsi="黑体" w:eastAsia="黑体"/>
          <w:bCs/>
          <w:color w:val="000000" w:themeColor="text1"/>
          <w:sz w:val="24"/>
          <w:szCs w:val="24"/>
          <w14:textFill>
            <w14:solidFill>
              <w14:schemeClr w14:val="tx1"/>
            </w14:solidFill>
          </w14:textFill>
        </w:rPr>
      </w:pPr>
      <w:r>
        <w:rPr>
          <w:rFonts w:hint="eastAsia" w:ascii="黑体" w:hAnsi="黑体" w:eastAsia="黑体"/>
          <w:bCs/>
          <w:color w:val="000000" w:themeColor="text1"/>
          <w:sz w:val="24"/>
          <w:szCs w:val="24"/>
          <w14:textFill>
            <w14:solidFill>
              <w14:schemeClr w14:val="tx1"/>
            </w14:solidFill>
          </w14:textFill>
        </w:rPr>
        <w:t>（十一）本项目免收投标保证金</w:t>
      </w:r>
    </w:p>
    <w:p>
      <w:pPr>
        <w:adjustRightInd w:val="0"/>
        <w:snapToGrid w:val="0"/>
        <w:spacing w:line="348" w:lineRule="auto"/>
        <w:ind w:firstLine="480" w:firstLineChars="200"/>
        <w:rPr>
          <w:rFonts w:ascii="黑体" w:hAnsi="黑体" w:eastAsia="黑体" w:cs="宋体"/>
          <w:color w:val="000000" w:themeColor="text1"/>
          <w:kern w:val="0"/>
          <w:sz w:val="24"/>
          <w:szCs w:val="24"/>
          <w14:textFill>
            <w14:solidFill>
              <w14:schemeClr w14:val="tx1"/>
            </w14:solidFill>
          </w14:textFill>
        </w:rPr>
      </w:pPr>
      <w:r>
        <w:rPr>
          <w:rFonts w:hint="eastAsia" w:ascii="黑体" w:hAnsi="黑体" w:eastAsia="黑体" w:cs="宋体"/>
          <w:color w:val="000000" w:themeColor="text1"/>
          <w:kern w:val="0"/>
          <w:sz w:val="24"/>
          <w:szCs w:val="24"/>
          <w14:textFill>
            <w14:solidFill>
              <w14:schemeClr w14:val="tx1"/>
            </w14:solidFill>
          </w14:textFill>
        </w:rPr>
        <w:t>（十二）其它</w:t>
      </w:r>
    </w:p>
    <w:p>
      <w:pPr>
        <w:adjustRightInd w:val="0"/>
        <w:snapToGrid w:val="0"/>
        <w:spacing w:line="348"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部门集中采购机构：无锡市卫生健康综合服务中心</w:t>
      </w:r>
    </w:p>
    <w:p>
      <w:pPr>
        <w:adjustRightInd w:val="0"/>
        <w:snapToGrid w:val="0"/>
        <w:spacing w:line="348"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有关本次招标活动程序方面的问题</w:t>
      </w:r>
      <w:r>
        <w:rPr>
          <w:rFonts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14:textFill>
            <w14:solidFill>
              <w14:schemeClr w14:val="tx1"/>
            </w14:solidFill>
          </w14:textFill>
        </w:rPr>
        <w:t>可来人、来函（传真）或电话联系。</w:t>
      </w:r>
    </w:p>
    <w:p>
      <w:pPr>
        <w:adjustRightInd w:val="0"/>
        <w:snapToGrid w:val="0"/>
        <w:spacing w:line="348"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联系地址：</w:t>
      </w:r>
      <w:r>
        <w:rPr>
          <w:rFonts w:hint="eastAsia" w:ascii="宋体" w:hAnsi="宋体" w:cs="宋体"/>
          <w:color w:val="000000" w:themeColor="text1"/>
          <w:sz w:val="24"/>
          <w:szCs w:val="24"/>
          <w14:textFill>
            <w14:solidFill>
              <w14:schemeClr w14:val="tx1"/>
            </w14:solidFill>
          </w14:textFill>
        </w:rPr>
        <w:t>无锡市滨湖区建筑路450号</w:t>
      </w:r>
    </w:p>
    <w:p>
      <w:pPr>
        <w:adjustRightInd w:val="0"/>
        <w:snapToGrid w:val="0"/>
        <w:spacing w:line="348" w:lineRule="auto"/>
        <w:ind w:firstLine="480" w:firstLineChars="200"/>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联系人：郭老师、邹老师</w:t>
      </w:r>
    </w:p>
    <w:p>
      <w:pPr>
        <w:adjustRightInd w:val="0"/>
        <w:snapToGrid w:val="0"/>
        <w:spacing w:line="348" w:lineRule="auto"/>
        <w:ind w:firstLine="480" w:firstLineChars="200"/>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电话：0510-</w:t>
      </w:r>
      <w:r>
        <w:rPr>
          <w:rFonts w:cs="宋体" w:asciiTheme="minorEastAsia" w:hAnsiTheme="minorEastAsia" w:eastAsiaTheme="minorEastAsia"/>
          <w:color w:val="000000" w:themeColor="text1"/>
          <w:sz w:val="24"/>
          <w:szCs w:val="24"/>
          <w14:textFill>
            <w14:solidFill>
              <w14:schemeClr w14:val="tx1"/>
            </w14:solidFill>
          </w14:textFill>
        </w:rPr>
        <w:t>85739907</w:t>
      </w:r>
    </w:p>
    <w:p>
      <w:pPr>
        <w:adjustRightInd w:val="0"/>
        <w:snapToGrid w:val="0"/>
        <w:spacing w:line="348" w:lineRule="auto"/>
        <w:ind w:firstLine="480" w:firstLineChars="200"/>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传真：</w:t>
      </w:r>
      <w:r>
        <w:rPr>
          <w:rFonts w:cs="宋体" w:asciiTheme="minorEastAsia" w:hAnsiTheme="minorEastAsia" w:eastAsiaTheme="minorEastAsia"/>
          <w:color w:val="000000" w:themeColor="text1"/>
          <w:sz w:val="24"/>
          <w:szCs w:val="24"/>
          <w14:textFill>
            <w14:solidFill>
              <w14:schemeClr w14:val="tx1"/>
            </w14:solidFill>
          </w14:textFill>
        </w:rPr>
        <w:t>0510-85739907</w:t>
      </w:r>
    </w:p>
    <w:p>
      <w:pPr>
        <w:adjustRightInd w:val="0"/>
        <w:snapToGrid w:val="0"/>
        <w:spacing w:line="360" w:lineRule="auto"/>
        <w:ind w:firstLine="480" w:firstLineChars="200"/>
        <w:rPr>
          <w:rFonts w:cs="宋体" w:asciiTheme="minorEastAsia" w:hAnsiTheme="minorEastAsia" w:eastAsiaTheme="minorEastAsia"/>
          <w:color w:val="000000" w:themeColor="text1"/>
          <w:sz w:val="24"/>
          <w:szCs w:val="24"/>
          <w14:textFill>
            <w14:solidFill>
              <w14:schemeClr w14:val="tx1"/>
            </w14:solidFill>
          </w14:textFill>
        </w:rPr>
      </w:pPr>
    </w:p>
    <w:p>
      <w:pPr>
        <w:adjustRightInd w:val="0"/>
        <w:snapToGrid w:val="0"/>
        <w:spacing w:line="360" w:lineRule="auto"/>
        <w:rPr>
          <w:rFonts w:cs="宋体" w:asciiTheme="minorEastAsia" w:hAnsiTheme="minorEastAsia" w:eastAsiaTheme="minorEastAsia"/>
          <w:color w:val="000000" w:themeColor="text1"/>
          <w:sz w:val="24"/>
          <w:szCs w:val="24"/>
          <w14:textFill>
            <w14:solidFill>
              <w14:schemeClr w14:val="tx1"/>
            </w14:solidFill>
          </w14:textFill>
        </w:rPr>
      </w:pPr>
    </w:p>
    <w:p>
      <w:pPr>
        <w:spacing w:line="360" w:lineRule="auto"/>
        <w:jc w:val="center"/>
        <w:rPr>
          <w:rFonts w:ascii="黑体" w:eastAsia="黑体"/>
          <w:color w:val="000000" w:themeColor="text1"/>
          <w:sz w:val="28"/>
          <w:szCs w:val="28"/>
          <w14:textFill>
            <w14:solidFill>
              <w14:schemeClr w14:val="tx1"/>
            </w14:solidFill>
          </w14:textFill>
        </w:rPr>
      </w:pPr>
      <w:r>
        <w:rPr>
          <w:rFonts w:hint="eastAsia" w:ascii="黑体" w:eastAsia="黑体" w:cs="黑体"/>
          <w:color w:val="000000" w:themeColor="text1"/>
          <w:sz w:val="28"/>
          <w:szCs w:val="28"/>
          <w14:textFill>
            <w14:solidFill>
              <w14:schemeClr w14:val="tx1"/>
            </w14:solidFill>
          </w14:textFill>
        </w:rPr>
        <w:t>二．投标人须知</w:t>
      </w:r>
    </w:p>
    <w:p>
      <w:pPr>
        <w:keepNext w:val="0"/>
        <w:keepLines w:val="0"/>
        <w:pageBreakBefore w:val="0"/>
        <w:numPr>
          <w:ilvl w:val="0"/>
          <w:numId w:val="1"/>
        </w:numPr>
        <w:tabs>
          <w:tab w:val="left" w:pos="735"/>
        </w:tabs>
        <w:kinsoku/>
        <w:wordWrap/>
        <w:overflowPunct/>
        <w:topLinePunct w:val="0"/>
        <w:autoSpaceDE/>
        <w:autoSpaceDN/>
        <w:bidi w:val="0"/>
        <w:adjustRightInd w:val="0"/>
        <w:snapToGrid w:val="0"/>
        <w:spacing w:line="348" w:lineRule="auto"/>
        <w:ind w:left="0" w:firstLine="420"/>
        <w:rPr>
          <w:rFonts w:ascii="黑体" w:hAnsi="黑体" w:eastAsia="黑体"/>
          <w:color w:val="000000" w:themeColor="text1"/>
          <w:sz w:val="24"/>
          <w:szCs w:val="24"/>
          <w14:textFill>
            <w14:solidFill>
              <w14:schemeClr w14:val="tx1"/>
            </w14:solidFill>
          </w14:textFill>
        </w:rPr>
      </w:pPr>
      <w:r>
        <w:rPr>
          <w:rFonts w:hint="eastAsia" w:ascii="黑体" w:hAnsi="黑体" w:eastAsia="黑体" w:cs="宋体"/>
          <w:color w:val="000000" w:themeColor="text1"/>
          <w:sz w:val="24"/>
          <w:szCs w:val="24"/>
          <w14:textFill>
            <w14:solidFill>
              <w14:schemeClr w14:val="tx1"/>
            </w14:solidFill>
          </w14:textFill>
        </w:rPr>
        <w:t>遵循原则：</w:t>
      </w:r>
    </w:p>
    <w:p>
      <w:pPr>
        <w:keepNext w:val="0"/>
        <w:keepLines w:val="0"/>
        <w:pageBreakBefore w:val="0"/>
        <w:kinsoku/>
        <w:wordWrap/>
        <w:overflowPunct/>
        <w:topLinePunct w:val="0"/>
        <w:autoSpaceDE/>
        <w:autoSpaceDN/>
        <w:bidi w:val="0"/>
        <w:adjustRightInd w:val="0"/>
        <w:snapToGrid w:val="0"/>
        <w:spacing w:line="348" w:lineRule="auto"/>
        <w:ind w:firstLine="523" w:firstLineChars="218"/>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公开透明原则、公平竞争原则、公正原则和诚实信用原则。</w:t>
      </w:r>
    </w:p>
    <w:p>
      <w:pPr>
        <w:keepNext w:val="0"/>
        <w:keepLines w:val="0"/>
        <w:pageBreakBefore w:val="0"/>
        <w:numPr>
          <w:ilvl w:val="0"/>
          <w:numId w:val="1"/>
        </w:numPr>
        <w:tabs>
          <w:tab w:val="left" w:pos="735"/>
        </w:tabs>
        <w:kinsoku/>
        <w:wordWrap/>
        <w:overflowPunct/>
        <w:topLinePunct w:val="0"/>
        <w:autoSpaceDE/>
        <w:autoSpaceDN/>
        <w:bidi w:val="0"/>
        <w:adjustRightInd w:val="0"/>
        <w:snapToGrid w:val="0"/>
        <w:spacing w:line="348" w:lineRule="auto"/>
        <w:ind w:left="0" w:firstLine="420"/>
        <w:rPr>
          <w:rFonts w:ascii="黑体" w:hAnsi="黑体" w:eastAsia="黑体"/>
          <w:color w:val="000000" w:themeColor="text1"/>
          <w:sz w:val="24"/>
          <w:szCs w:val="24"/>
          <w14:textFill>
            <w14:solidFill>
              <w14:schemeClr w14:val="tx1"/>
            </w14:solidFill>
          </w14:textFill>
        </w:rPr>
      </w:pPr>
      <w:r>
        <w:rPr>
          <w:rFonts w:hint="eastAsia" w:ascii="黑体" w:hAnsi="黑体" w:eastAsia="黑体" w:cs="宋体"/>
          <w:color w:val="000000" w:themeColor="text1"/>
          <w:sz w:val="24"/>
          <w:szCs w:val="24"/>
          <w14:textFill>
            <w14:solidFill>
              <w14:schemeClr w14:val="tx1"/>
            </w14:solidFill>
          </w14:textFill>
        </w:rPr>
        <w:t>招标文件：</w:t>
      </w:r>
    </w:p>
    <w:p>
      <w:pPr>
        <w:keepNext w:val="0"/>
        <w:keepLines w:val="0"/>
        <w:pageBreakBefore w:val="0"/>
        <w:numPr>
          <w:ilvl w:val="0"/>
          <w:numId w:val="2"/>
        </w:numPr>
        <w:tabs>
          <w:tab w:val="left" w:pos="-1260"/>
          <w:tab w:val="left" w:pos="525"/>
          <w:tab w:val="left" w:pos="1050"/>
          <w:tab w:val="clear" w:pos="552"/>
        </w:tabs>
        <w:kinsoku/>
        <w:wordWrap/>
        <w:overflowPunct/>
        <w:topLinePunct w:val="0"/>
        <w:autoSpaceDE/>
        <w:autoSpaceDN/>
        <w:bidi w:val="0"/>
        <w:adjustRightInd w:val="0"/>
        <w:snapToGrid w:val="0"/>
        <w:spacing w:line="348" w:lineRule="auto"/>
        <w:ind w:left="0" w:firstLine="628" w:firstLineChars="262"/>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招标文件包括本文件目录所列全部内容，投标人应仔细阅读，并在投标文件中充分响应招标文件的所有要求。</w:t>
      </w:r>
    </w:p>
    <w:p>
      <w:pPr>
        <w:keepNext w:val="0"/>
        <w:keepLines w:val="0"/>
        <w:pageBreakBefore w:val="0"/>
        <w:numPr>
          <w:ilvl w:val="0"/>
          <w:numId w:val="2"/>
        </w:numPr>
        <w:tabs>
          <w:tab w:val="left" w:pos="0"/>
          <w:tab w:val="left" w:pos="525"/>
          <w:tab w:val="left" w:pos="1050"/>
          <w:tab w:val="clear" w:pos="552"/>
        </w:tabs>
        <w:kinsoku/>
        <w:wordWrap/>
        <w:overflowPunct/>
        <w:topLinePunct w:val="0"/>
        <w:autoSpaceDE/>
        <w:autoSpaceDN/>
        <w:bidi w:val="0"/>
        <w:adjustRightInd w:val="0"/>
        <w:snapToGrid w:val="0"/>
        <w:spacing w:line="348" w:lineRule="auto"/>
        <w:ind w:left="0" w:firstLine="628" w:firstLineChars="262"/>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投标人应按招标文件要求提交全部资料并对招标文件各项内容做出实质性响应，否则投标无效。</w:t>
      </w:r>
    </w:p>
    <w:p>
      <w:pPr>
        <w:keepNext w:val="0"/>
        <w:keepLines w:val="0"/>
        <w:pageBreakBefore w:val="0"/>
        <w:numPr>
          <w:ilvl w:val="0"/>
          <w:numId w:val="2"/>
        </w:numPr>
        <w:tabs>
          <w:tab w:val="left" w:pos="-1260"/>
          <w:tab w:val="left" w:pos="525"/>
          <w:tab w:val="left" w:pos="1050"/>
          <w:tab w:val="clear" w:pos="552"/>
        </w:tabs>
        <w:kinsoku/>
        <w:wordWrap/>
        <w:overflowPunct/>
        <w:topLinePunct w:val="0"/>
        <w:autoSpaceDE/>
        <w:autoSpaceDN/>
        <w:bidi w:val="0"/>
        <w:adjustRightInd w:val="0"/>
        <w:snapToGrid w:val="0"/>
        <w:spacing w:line="348" w:lineRule="auto"/>
        <w:ind w:left="0" w:firstLine="628" w:firstLineChars="26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投标人应在</w:t>
      </w:r>
      <w:r>
        <w:rPr>
          <w:rFonts w:hint="eastAsia" w:asciiTheme="minorEastAsia" w:hAnsiTheme="minorEastAsia"/>
          <w:color w:val="000000" w:themeColor="text1"/>
          <w:sz w:val="24"/>
          <w:szCs w:val="24"/>
          <w14:textFill>
            <w14:solidFill>
              <w14:schemeClr w14:val="tx1"/>
            </w14:solidFill>
          </w14:textFill>
        </w:rPr>
        <w:t>“</w:t>
      </w:r>
      <w:r>
        <w:rPr>
          <w:rFonts w:asciiTheme="minorEastAsia" w:hAnsiTheme="minorEastAsia"/>
          <w:color w:val="000000" w:themeColor="text1"/>
          <w:sz w:val="24"/>
          <w:szCs w:val="24"/>
          <w14:textFill>
            <w14:solidFill>
              <w14:schemeClr w14:val="tx1"/>
            </w14:solidFill>
          </w14:textFill>
        </w:rPr>
        <w:t>政府采购交易管理一体化系统</w:t>
      </w:r>
      <w:r>
        <w:rPr>
          <w:rFonts w:hint="eastAsia" w:asciiTheme="minorEastAsia" w:hAnsiTheme="minorEastAsia"/>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政采云平台</w:t>
      </w:r>
      <w:r>
        <w:rPr>
          <w:rFonts w:hint="eastAsia" w:asciiTheme="minorEastAsia" w:hAnsiTheme="minorEastAsia"/>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http://login.wuxi.zcygov.cn/user-login/#/login）中免费下载（“项目采购-获取采购文件管理-待申请”标签页下，找到需要获取采购文件的项目，点击“申请获取采购文件”），按要求制作、上传投标文件，对招标文件各项内容做出实质性响应，否则投标无效。</w:t>
      </w:r>
    </w:p>
    <w:p>
      <w:pPr>
        <w:keepNext w:val="0"/>
        <w:keepLines w:val="0"/>
        <w:pageBreakBefore w:val="0"/>
        <w:numPr>
          <w:ilvl w:val="0"/>
          <w:numId w:val="2"/>
        </w:numPr>
        <w:tabs>
          <w:tab w:val="left" w:pos="0"/>
          <w:tab w:val="left" w:pos="525"/>
          <w:tab w:val="left" w:pos="1050"/>
          <w:tab w:val="clear" w:pos="552"/>
        </w:tabs>
        <w:kinsoku/>
        <w:wordWrap/>
        <w:overflowPunct/>
        <w:topLinePunct w:val="0"/>
        <w:autoSpaceDE/>
        <w:autoSpaceDN/>
        <w:bidi w:val="0"/>
        <w:adjustRightInd w:val="0"/>
        <w:snapToGrid w:val="0"/>
        <w:spacing w:line="348" w:lineRule="auto"/>
        <w:ind w:left="0" w:firstLine="628" w:firstLineChars="262"/>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招标文件仅作为本次招投标使用。</w:t>
      </w:r>
    </w:p>
    <w:p>
      <w:pPr>
        <w:keepNext w:val="0"/>
        <w:keepLines w:val="0"/>
        <w:pageBreakBefore w:val="0"/>
        <w:kinsoku/>
        <w:wordWrap/>
        <w:overflowPunct/>
        <w:topLinePunct w:val="0"/>
        <w:autoSpaceDE/>
        <w:autoSpaceDN/>
        <w:bidi w:val="0"/>
        <w:adjustRightInd w:val="0"/>
        <w:snapToGrid w:val="0"/>
        <w:spacing w:line="348" w:lineRule="auto"/>
        <w:ind w:left="-2" w:leftChars="-1" w:firstLine="420" w:firstLineChars="175"/>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（三）招标文件的解释：</w:t>
      </w:r>
    </w:p>
    <w:p>
      <w:pPr>
        <w:keepNext w:val="0"/>
        <w:keepLines w:val="0"/>
        <w:pageBreakBefore w:val="0"/>
        <w:numPr>
          <w:ilvl w:val="2"/>
          <w:numId w:val="3"/>
        </w:numPr>
        <w:tabs>
          <w:tab w:val="left" w:pos="525"/>
          <w:tab w:val="left" w:pos="1050"/>
        </w:tabs>
        <w:kinsoku/>
        <w:wordWrap/>
        <w:overflowPunct/>
        <w:topLinePunct w:val="0"/>
        <w:autoSpaceDE/>
        <w:autoSpaceDN/>
        <w:bidi w:val="0"/>
        <w:adjustRightInd w:val="0"/>
        <w:snapToGrid w:val="0"/>
        <w:spacing w:line="348" w:lineRule="auto"/>
        <w:ind w:left="0" w:firstLine="628" w:firstLineChars="262"/>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采购人、无锡市卫生健康综合服务中心将于</w:t>
      </w:r>
      <w:r>
        <w:rPr>
          <w:rFonts w:hint="eastAsia" w:ascii="宋体" w:hAnsi="宋体"/>
          <w:bCs/>
          <w:color w:val="000000" w:themeColor="text1"/>
          <w:sz w:val="24"/>
          <w:szCs w:val="24"/>
          <w14:textFill>
            <w14:solidFill>
              <w14:schemeClr w14:val="tx1"/>
            </w14:solidFill>
          </w14:textFill>
        </w:rPr>
        <w:t>2023年11月23日</w:t>
      </w:r>
      <w:r>
        <w:rPr>
          <w:rFonts w:ascii="宋体" w:hAnsi="宋体" w:cs="宋体"/>
          <w:color w:val="000000" w:themeColor="text1"/>
          <w:sz w:val="24"/>
          <w:szCs w:val="24"/>
          <w14:textFill>
            <w14:solidFill>
              <w14:schemeClr w14:val="tx1"/>
            </w14:solidFill>
          </w14:textFill>
        </w:rPr>
        <w:t>14:</w:t>
      </w:r>
      <w:r>
        <w:rPr>
          <w:rFonts w:ascii="宋体" w:cs="宋体"/>
          <w:color w:val="000000" w:themeColor="text1"/>
          <w:sz w:val="24"/>
          <w:szCs w:val="24"/>
          <w14:textFill>
            <w14:solidFill>
              <w14:schemeClr w14:val="tx1"/>
            </w14:solidFill>
          </w14:textFill>
        </w:rPr>
        <w:t>00</w:t>
      </w:r>
      <w:r>
        <w:rPr>
          <w:rFonts w:hint="eastAsia" w:ascii="宋体" w:hAnsi="宋体" w:cs="宋体"/>
          <w:color w:val="000000" w:themeColor="text1"/>
          <w:sz w:val="24"/>
          <w:szCs w:val="24"/>
          <w14:textFill>
            <w14:solidFill>
              <w14:schemeClr w14:val="tx1"/>
            </w14:solidFill>
          </w14:textFill>
        </w:rPr>
        <w:t>在无锡市卫生健康综合服务中心答疑室对投标人针对采购文件书面提出的要求澄清的问题进行公开答疑。（答疑会时提交盖章原件）</w:t>
      </w:r>
    </w:p>
    <w:p>
      <w:pPr>
        <w:keepNext w:val="0"/>
        <w:keepLines w:val="0"/>
        <w:pageBreakBefore w:val="0"/>
        <w:numPr>
          <w:ilvl w:val="2"/>
          <w:numId w:val="4"/>
        </w:numPr>
        <w:tabs>
          <w:tab w:val="left" w:pos="525"/>
          <w:tab w:val="left" w:pos="1050"/>
          <w:tab w:val="left" w:pos="1740"/>
        </w:tabs>
        <w:kinsoku/>
        <w:wordWrap/>
        <w:overflowPunct/>
        <w:topLinePunct w:val="0"/>
        <w:autoSpaceDE/>
        <w:autoSpaceDN/>
        <w:bidi w:val="0"/>
        <w:adjustRightInd w:val="0"/>
        <w:snapToGrid w:val="0"/>
        <w:spacing w:line="348" w:lineRule="auto"/>
        <w:ind w:left="0" w:firstLine="628" w:firstLineChars="262"/>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投标人如有需要对采购文件要求澄清的问题，请以书面形式提出，并于</w:t>
      </w:r>
      <w:r>
        <w:rPr>
          <w:rFonts w:hint="eastAsia" w:ascii="宋体" w:hAnsi="宋体"/>
          <w:bCs/>
          <w:color w:val="000000" w:themeColor="text1"/>
          <w:sz w:val="24"/>
          <w:szCs w:val="24"/>
          <w14:textFill>
            <w14:solidFill>
              <w14:schemeClr w14:val="tx1"/>
            </w14:solidFill>
          </w14:textFill>
        </w:rPr>
        <w:t>2023年11月23日</w:t>
      </w:r>
      <w:r>
        <w:rPr>
          <w:rFonts w:ascii="宋体" w:hAnsi="宋体" w:cs="宋体"/>
          <w:color w:val="000000" w:themeColor="text1"/>
          <w:sz w:val="24"/>
          <w:szCs w:val="24"/>
          <w14:textFill>
            <w14:solidFill>
              <w14:schemeClr w14:val="tx1"/>
            </w14:solidFill>
          </w14:textFill>
        </w:rPr>
        <w:t>1</w:t>
      </w:r>
      <w:r>
        <w:rPr>
          <w:rFonts w:ascii="宋体" w:cs="宋体"/>
          <w:color w:val="000000" w:themeColor="text1"/>
          <w:sz w:val="24"/>
          <w:szCs w:val="24"/>
          <w14:textFill>
            <w14:solidFill>
              <w14:schemeClr w14:val="tx1"/>
            </w14:solidFill>
          </w14:textFill>
        </w:rPr>
        <w:t>0</w:t>
      </w:r>
      <w:r>
        <w:rPr>
          <w:rFonts w:ascii="宋体" w:hAnsi="宋体" w:cs="宋体"/>
          <w:color w:val="000000" w:themeColor="text1"/>
          <w:sz w:val="24"/>
          <w:szCs w:val="24"/>
          <w14:textFill>
            <w14:solidFill>
              <w14:schemeClr w14:val="tx1"/>
            </w14:solidFill>
          </w14:textFill>
        </w:rPr>
        <w:t>:00</w:t>
      </w:r>
      <w:r>
        <w:rPr>
          <w:rFonts w:hint="eastAsia" w:ascii="宋体" w:hAnsi="宋体" w:cs="宋体"/>
          <w:color w:val="000000" w:themeColor="text1"/>
          <w:sz w:val="24"/>
          <w:szCs w:val="24"/>
          <w14:textFill>
            <w14:solidFill>
              <w14:schemeClr w14:val="tx1"/>
            </w14:solidFill>
          </w14:textFill>
        </w:rPr>
        <w:t>前送（或传真</w:t>
      </w:r>
      <w:r>
        <w:rPr>
          <w:rFonts w:ascii="宋体" w:hAnsi="宋体" w:cs="宋体"/>
          <w:color w:val="000000" w:themeColor="text1"/>
          <w:sz w:val="24"/>
          <w:szCs w:val="24"/>
          <w14:textFill>
            <w14:solidFill>
              <w14:schemeClr w14:val="tx1"/>
            </w14:solidFill>
          </w14:textFill>
        </w:rPr>
        <w:t>0510- 85739907</w:t>
      </w:r>
      <w:r>
        <w:rPr>
          <w:rFonts w:hint="eastAsia" w:ascii="宋体" w:hAnsi="宋体" w:cs="宋体"/>
          <w:color w:val="000000" w:themeColor="text1"/>
          <w:sz w:val="24"/>
          <w:szCs w:val="24"/>
          <w14:textFill>
            <w14:solidFill>
              <w14:schemeClr w14:val="tx1"/>
            </w14:solidFill>
          </w14:textFill>
        </w:rPr>
        <w:t>）至无锡市卫生健康综合服务中心。</w:t>
      </w:r>
    </w:p>
    <w:p>
      <w:pPr>
        <w:keepNext w:val="0"/>
        <w:keepLines w:val="0"/>
        <w:pageBreakBefore w:val="0"/>
        <w:numPr>
          <w:ilvl w:val="2"/>
          <w:numId w:val="4"/>
        </w:numPr>
        <w:tabs>
          <w:tab w:val="left" w:pos="525"/>
          <w:tab w:val="left" w:pos="1050"/>
          <w:tab w:val="left" w:pos="1740"/>
        </w:tabs>
        <w:kinsoku/>
        <w:wordWrap/>
        <w:overflowPunct/>
        <w:topLinePunct w:val="0"/>
        <w:autoSpaceDE/>
        <w:autoSpaceDN/>
        <w:bidi w:val="0"/>
        <w:adjustRightInd w:val="0"/>
        <w:snapToGrid w:val="0"/>
        <w:spacing w:line="348" w:lineRule="auto"/>
        <w:ind w:left="0" w:firstLine="628" w:firstLineChars="262"/>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本文件的最终解释权归无锡市卫生健康综合服务中心。</w:t>
      </w:r>
    </w:p>
    <w:p>
      <w:pPr>
        <w:keepNext w:val="0"/>
        <w:keepLines w:val="0"/>
        <w:pageBreakBefore w:val="0"/>
        <w:kinsoku/>
        <w:wordWrap/>
        <w:overflowPunct/>
        <w:topLinePunct w:val="0"/>
        <w:autoSpaceDE/>
        <w:autoSpaceDN/>
        <w:bidi w:val="0"/>
        <w:adjustRightInd w:val="0"/>
        <w:snapToGrid w:val="0"/>
        <w:spacing w:line="348" w:lineRule="auto"/>
        <w:ind w:left="-2" w:leftChars="-1" w:firstLine="420" w:firstLineChars="175"/>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（四）招标文件的补充或修正：</w:t>
      </w:r>
    </w:p>
    <w:p>
      <w:pPr>
        <w:keepNext w:val="0"/>
        <w:keepLines w:val="0"/>
        <w:pageBreakBefore w:val="0"/>
        <w:kinsoku/>
        <w:wordWrap/>
        <w:overflowPunct/>
        <w:topLinePunct w:val="0"/>
        <w:autoSpaceDE/>
        <w:autoSpaceDN/>
        <w:bidi w:val="0"/>
        <w:adjustRightInd w:val="0"/>
        <w:snapToGrid w:val="0"/>
        <w:spacing w:line="348" w:lineRule="auto"/>
        <w:ind w:left="-2" w:leftChars="-1" w:firstLine="420" w:firstLineChars="17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 如对招标文件进行澄清或者修改，无锡市卫生健康综合服务中心将在中国政府采购网、江苏省政府采购网、无锡政府采购网上发布更正公告。澄清或者修改的内容为招标文件的组成部分。投标人应在投标截止时间前关注原招标公告媒体上发布的相关更正公告。因投标人未尽注意义务，未及时全面地关注更正公告导致其提交的投标材料不符合无锡市卫生健康综合服务中心要求，而造成的损失及风险（包括但不限于未中标）由投标人自行承担。请招标文件的收受人下载更正公告后，于投标截止日前书面回函（传真件）无锡市卫生健康综合服务中心，传真：</w:t>
      </w:r>
      <w:r>
        <w:rPr>
          <w:rFonts w:ascii="宋体" w:hAnsi="宋体" w:cs="宋体"/>
          <w:color w:val="000000" w:themeColor="text1"/>
          <w:sz w:val="24"/>
          <w:szCs w:val="24"/>
          <w14:textFill>
            <w14:solidFill>
              <w14:schemeClr w14:val="tx1"/>
            </w14:solidFill>
          </w14:textFill>
        </w:rPr>
        <w:t>0510-85739907</w:t>
      </w:r>
      <w:r>
        <w:rPr>
          <w:rFonts w:hint="eastAsia" w:ascii="宋体" w:hAnsi="宋体" w:cs="宋体"/>
          <w:color w:val="000000" w:themeColor="text1"/>
          <w:sz w:val="24"/>
          <w:szCs w:val="24"/>
          <w14:textFill>
            <w14:solidFill>
              <w14:schemeClr w14:val="tx1"/>
            </w14:solidFill>
          </w14:textFill>
        </w:rPr>
        <w:t>，逾期不回视同收到此公告。</w:t>
      </w:r>
    </w:p>
    <w:p>
      <w:pPr>
        <w:keepNext w:val="0"/>
        <w:keepLines w:val="0"/>
        <w:pageBreakBefore w:val="0"/>
        <w:kinsoku/>
        <w:wordWrap/>
        <w:overflowPunct/>
        <w:topLinePunct w:val="0"/>
        <w:autoSpaceDE/>
        <w:autoSpaceDN/>
        <w:bidi w:val="0"/>
        <w:adjustRightInd w:val="0"/>
        <w:snapToGrid w:val="0"/>
        <w:spacing w:line="348" w:lineRule="auto"/>
        <w:ind w:left="-2" w:leftChars="-1" w:firstLine="420" w:firstLineChars="17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2.澄清或者修改的内容可能影响投标文件编制的，无锡市卫生健康综合服务中心将在投标截止时间</w:t>
      </w:r>
      <w:r>
        <w:rPr>
          <w:rFonts w:ascii="宋体" w:hAnsi="宋体" w:cs="宋体"/>
          <w:color w:val="000000" w:themeColor="text1"/>
          <w:sz w:val="24"/>
          <w:szCs w:val="24"/>
          <w14:textFill>
            <w14:solidFill>
              <w14:schemeClr w14:val="tx1"/>
            </w14:solidFill>
          </w14:textFill>
        </w:rPr>
        <w:t>15</w:t>
      </w:r>
      <w:r>
        <w:rPr>
          <w:rFonts w:hint="eastAsia" w:ascii="宋体" w:hAnsi="宋体" w:cs="宋体"/>
          <w:color w:val="000000" w:themeColor="text1"/>
          <w:sz w:val="24"/>
          <w:szCs w:val="24"/>
          <w14:textFill>
            <w14:solidFill>
              <w14:schemeClr w14:val="tx1"/>
            </w14:solidFill>
          </w14:textFill>
        </w:rPr>
        <w:t>日前，以书面形式通知所有获取招标文件的潜在投标人；不足</w:t>
      </w:r>
      <w:r>
        <w:rPr>
          <w:rFonts w:ascii="宋体" w:hAnsi="宋体" w:cs="宋体"/>
          <w:color w:val="000000" w:themeColor="text1"/>
          <w:sz w:val="24"/>
          <w:szCs w:val="24"/>
          <w14:textFill>
            <w14:solidFill>
              <w14:schemeClr w14:val="tx1"/>
            </w14:solidFill>
          </w14:textFill>
        </w:rPr>
        <w:t>15</w:t>
      </w:r>
      <w:r>
        <w:rPr>
          <w:rFonts w:hint="eastAsia" w:ascii="宋体" w:hAnsi="宋体" w:cs="宋体"/>
          <w:color w:val="000000" w:themeColor="text1"/>
          <w:sz w:val="24"/>
          <w:szCs w:val="24"/>
          <w14:textFill>
            <w14:solidFill>
              <w14:schemeClr w14:val="tx1"/>
            </w14:solidFill>
          </w14:textFill>
        </w:rPr>
        <w:t>日的，无锡市卫生健康综合服务中心将顺延提交投标文件的截止时间。</w:t>
      </w:r>
    </w:p>
    <w:p>
      <w:pPr>
        <w:keepNext w:val="0"/>
        <w:keepLines w:val="0"/>
        <w:pageBreakBefore w:val="0"/>
        <w:tabs>
          <w:tab w:val="left" w:pos="630"/>
        </w:tabs>
        <w:kinsoku/>
        <w:wordWrap/>
        <w:overflowPunct/>
        <w:topLinePunct w:val="0"/>
        <w:autoSpaceDE/>
        <w:autoSpaceDN/>
        <w:bidi w:val="0"/>
        <w:adjustRightInd w:val="0"/>
        <w:snapToGrid w:val="0"/>
        <w:spacing w:line="348" w:lineRule="auto"/>
        <w:ind w:left="-2" w:leftChars="-1" w:firstLine="420" w:firstLineChars="175"/>
        <w:rPr>
          <w:rFonts w:ascii="黑体" w:hAnsi="黑体" w:eastAsia="黑体" w:cs="宋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（五）投标文件的组成</w:t>
      </w:r>
      <w:r>
        <w:rPr>
          <w:rFonts w:hint="eastAsia" w:ascii="宋体" w:hAnsi="宋体"/>
          <w:bCs/>
          <w:color w:val="000000" w:themeColor="text1"/>
          <w:sz w:val="24"/>
          <w:szCs w:val="24"/>
          <w14:textFill>
            <w14:solidFill>
              <w14:schemeClr w14:val="tx1"/>
            </w14:solidFill>
          </w14:textFill>
        </w:rPr>
        <w:t>（</w:t>
      </w:r>
      <w:r>
        <w:rPr>
          <w:rFonts w:hint="eastAsia" w:ascii="宋体" w:hAnsi="宋体"/>
          <w:b/>
          <w:bCs/>
          <w:color w:val="000000" w:themeColor="text1"/>
          <w:sz w:val="24"/>
          <w:szCs w:val="24"/>
          <w14:textFill>
            <w14:solidFill>
              <w14:schemeClr w14:val="tx1"/>
            </w14:solidFill>
          </w14:textFill>
        </w:rPr>
        <w:t>相应内容上传至政采云投标客户端,按要求加盖电子章、电子签名</w:t>
      </w:r>
      <w:r>
        <w:rPr>
          <w:rFonts w:hint="eastAsia" w:ascii="宋体" w:hAnsi="宋体"/>
          <w:bCs/>
          <w:color w:val="000000" w:themeColor="text1"/>
          <w:sz w:val="24"/>
          <w:szCs w:val="24"/>
          <w14:textFill>
            <w14:solidFill>
              <w14:schemeClr w14:val="tx1"/>
            </w14:solidFill>
          </w14:textFill>
        </w:rPr>
        <w:t>）</w:t>
      </w:r>
      <w:r>
        <w:rPr>
          <w:rFonts w:hint="eastAsia" w:ascii="黑体" w:hAnsi="黑体" w:eastAsia="黑体" w:cs="宋体"/>
          <w:color w:val="000000" w:themeColor="text1"/>
          <w:sz w:val="24"/>
          <w:szCs w:val="24"/>
          <w14:textFill>
            <w14:solidFill>
              <w14:schemeClr w14:val="tx1"/>
            </w14:solidFill>
          </w14:textFill>
        </w:rPr>
        <w:t>：</w:t>
      </w:r>
    </w:p>
    <w:p>
      <w:pPr>
        <w:keepNext w:val="0"/>
        <w:keepLines w:val="0"/>
        <w:pageBreakBefore w:val="0"/>
        <w:numPr>
          <w:ilvl w:val="0"/>
          <w:numId w:val="5"/>
        </w:numPr>
        <w:tabs>
          <w:tab w:val="left" w:pos="525"/>
          <w:tab w:val="left" w:pos="1050"/>
        </w:tabs>
        <w:kinsoku/>
        <w:wordWrap/>
        <w:overflowPunct/>
        <w:topLinePunct w:val="0"/>
        <w:autoSpaceDE/>
        <w:autoSpaceDN/>
        <w:bidi w:val="0"/>
        <w:adjustRightInd w:val="0"/>
        <w:snapToGrid w:val="0"/>
        <w:spacing w:line="348" w:lineRule="auto"/>
        <w:ind w:left="1" w:firstLine="628" w:firstLineChars="262"/>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投标函（格式见附件）</w:t>
      </w:r>
    </w:p>
    <w:p>
      <w:pPr>
        <w:keepNext w:val="0"/>
        <w:keepLines w:val="0"/>
        <w:pageBreakBefore w:val="0"/>
        <w:numPr>
          <w:ilvl w:val="0"/>
          <w:numId w:val="5"/>
        </w:numPr>
        <w:tabs>
          <w:tab w:val="left" w:pos="525"/>
          <w:tab w:val="left" w:pos="1050"/>
        </w:tabs>
        <w:kinsoku/>
        <w:wordWrap/>
        <w:overflowPunct/>
        <w:topLinePunct w:val="0"/>
        <w:autoSpaceDE/>
        <w:autoSpaceDN/>
        <w:bidi w:val="0"/>
        <w:adjustRightInd w:val="0"/>
        <w:snapToGrid w:val="0"/>
        <w:spacing w:line="348" w:lineRule="auto"/>
        <w:ind w:left="1" w:firstLine="628" w:firstLineChars="262"/>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资格、资信证明文件</w:t>
      </w:r>
      <w:r>
        <w:rPr>
          <w:rFonts w:hint="eastAsia" w:ascii="宋体" w:hAnsi="宋体" w:cs="宋体"/>
          <w:b/>
          <w:color w:val="000000" w:themeColor="text1"/>
          <w:sz w:val="24"/>
          <w:szCs w:val="24"/>
          <w14:textFill>
            <w14:solidFill>
              <w14:schemeClr w14:val="tx1"/>
            </w14:solidFill>
          </w14:textFill>
        </w:rPr>
        <w:t>（要求提供复印件的均需加盖单位</w:t>
      </w:r>
      <w:r>
        <w:rPr>
          <w:rFonts w:hint="eastAsia" w:ascii="宋体" w:hAnsi="宋体"/>
          <w:b/>
          <w:bCs/>
          <w:color w:val="000000" w:themeColor="text1"/>
          <w:sz w:val="24"/>
          <w:szCs w:val="24"/>
          <w14:textFill>
            <w14:solidFill>
              <w14:schemeClr w14:val="tx1"/>
            </w14:solidFill>
          </w14:textFill>
        </w:rPr>
        <w:t>电子</w:t>
      </w:r>
      <w:r>
        <w:rPr>
          <w:rFonts w:hint="eastAsia" w:ascii="宋体" w:hAnsi="宋体" w:cs="宋体"/>
          <w:b/>
          <w:color w:val="000000" w:themeColor="text1"/>
          <w:sz w:val="24"/>
          <w:szCs w:val="24"/>
          <w14:textFill>
            <w14:solidFill>
              <w14:schemeClr w14:val="tx1"/>
            </w14:solidFill>
          </w14:textFill>
        </w:rPr>
        <w:t>公章）</w:t>
      </w:r>
      <w:bookmarkStart w:id="13" w:name="OLE_LINK19"/>
      <w:bookmarkStart w:id="14" w:name="OLE_LINK20"/>
    </w:p>
    <w:p>
      <w:pPr>
        <w:pStyle w:val="72"/>
        <w:keepNext w:val="0"/>
        <w:keepLines w:val="0"/>
        <w:pageBreakBefore w:val="0"/>
        <w:tabs>
          <w:tab w:val="left" w:pos="525"/>
          <w:tab w:val="left" w:pos="1050"/>
        </w:tabs>
        <w:kinsoku/>
        <w:wordWrap/>
        <w:overflowPunct/>
        <w:topLinePunct w:val="0"/>
        <w:autoSpaceDE/>
        <w:autoSpaceDN/>
        <w:bidi w:val="0"/>
        <w:adjustRightInd w:val="0"/>
        <w:snapToGrid w:val="0"/>
        <w:spacing w:line="348" w:lineRule="auto"/>
        <w:ind w:left="480" w:firstLine="0" w:firstLineChars="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①关于资格的声明函(格式见附件)</w:t>
      </w:r>
    </w:p>
    <w:p>
      <w:pPr>
        <w:keepNext w:val="0"/>
        <w:keepLines w:val="0"/>
        <w:pageBreakBefore w:val="0"/>
        <w:tabs>
          <w:tab w:val="left" w:pos="525"/>
          <w:tab w:val="left" w:pos="1050"/>
        </w:tabs>
        <w:kinsoku/>
        <w:wordWrap/>
        <w:overflowPunct/>
        <w:topLinePunct w:val="0"/>
        <w:autoSpaceDE/>
        <w:autoSpaceDN/>
        <w:bidi w:val="0"/>
        <w:adjustRightInd w:val="0"/>
        <w:snapToGrid w:val="0"/>
        <w:spacing w:line="348"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② </w:t>
      </w:r>
      <w:r>
        <w:rPr>
          <w:rFonts w:ascii="宋体" w:hAnsi="宋体" w:cs="宋体"/>
          <w:color w:val="000000" w:themeColor="text1"/>
          <w:sz w:val="24"/>
          <w:szCs w:val="24"/>
          <w14:textFill>
            <w14:solidFill>
              <w14:schemeClr w14:val="tx1"/>
            </w14:solidFill>
          </w14:textFill>
        </w:rPr>
        <w:t>具有独立承担民事责任能力的投标人营业执照复印件</w:t>
      </w:r>
      <w:r>
        <w:rPr>
          <w:rFonts w:hint="eastAsia" w:ascii="宋体" w:hAnsi="宋体"/>
          <w:bCs/>
          <w:color w:val="000000" w:themeColor="text1"/>
          <w:sz w:val="24"/>
          <w:szCs w:val="24"/>
          <w14:textFill>
            <w14:solidFill>
              <w14:schemeClr w14:val="tx1"/>
            </w14:solidFill>
          </w14:textFill>
        </w:rPr>
        <w:t>或相关部门的登记证明文件复印件</w:t>
      </w:r>
      <w:r>
        <w:rPr>
          <w:rFonts w:ascii="宋体" w:hAnsi="宋体" w:cs="宋体"/>
          <w:color w:val="000000" w:themeColor="text1"/>
          <w:sz w:val="24"/>
          <w:szCs w:val="24"/>
          <w14:textFill>
            <w14:solidFill>
              <w14:schemeClr w14:val="tx1"/>
            </w14:solidFill>
          </w14:textFill>
        </w:rPr>
        <w:t>（投标人如是允许以分支机构身份参加投标的，提供投标人分支机构的营业执照复印件）</w:t>
      </w:r>
    </w:p>
    <w:p>
      <w:pPr>
        <w:keepNext w:val="0"/>
        <w:keepLines w:val="0"/>
        <w:pageBreakBefore w:val="0"/>
        <w:tabs>
          <w:tab w:val="left" w:pos="525"/>
          <w:tab w:val="left" w:pos="1050"/>
        </w:tabs>
        <w:kinsoku/>
        <w:wordWrap/>
        <w:overflowPunct/>
        <w:topLinePunct w:val="0"/>
        <w:autoSpaceDE/>
        <w:autoSpaceDN/>
        <w:bidi w:val="0"/>
        <w:adjustRightInd w:val="0"/>
        <w:snapToGrid w:val="0"/>
        <w:spacing w:line="348"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③</w:t>
      </w:r>
      <w:r>
        <w:rPr>
          <w:rFonts w:ascii="宋体" w:hAnsi="宋体" w:cs="宋体"/>
          <w:color w:val="000000" w:themeColor="text1"/>
          <w:sz w:val="24"/>
          <w:szCs w:val="24"/>
          <w14:textFill>
            <w14:solidFill>
              <w14:schemeClr w14:val="tx1"/>
            </w14:solidFill>
          </w14:textFill>
        </w:rPr>
        <w:t>投标人法定代表人授权委托书（法定代表人亲自参与投标的除外，格式见附件,投标人如是允许以分支机构身份参加投标的，请自行将“法定代表人”更改为“负责人”，分支机构投标时涉及到采购文件“法定代表人”要求的部分，其具体要求视同本条规定）</w:t>
      </w:r>
    </w:p>
    <w:p>
      <w:pPr>
        <w:keepNext w:val="0"/>
        <w:keepLines w:val="0"/>
        <w:pageBreakBefore w:val="0"/>
        <w:tabs>
          <w:tab w:val="left" w:pos="525"/>
          <w:tab w:val="left" w:pos="1050"/>
        </w:tabs>
        <w:kinsoku/>
        <w:wordWrap/>
        <w:overflowPunct/>
        <w:topLinePunct w:val="0"/>
        <w:autoSpaceDE/>
        <w:autoSpaceDN/>
        <w:bidi w:val="0"/>
        <w:adjustRightInd w:val="0"/>
        <w:snapToGrid w:val="0"/>
        <w:spacing w:line="348"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④ 投标人法定代表人身份证及法定代表人授权代表身份证（身份证应为正、反面）</w:t>
      </w:r>
    </w:p>
    <w:p>
      <w:pPr>
        <w:keepNext w:val="0"/>
        <w:keepLines w:val="0"/>
        <w:pageBreakBefore w:val="0"/>
        <w:tabs>
          <w:tab w:val="left" w:pos="525"/>
          <w:tab w:val="left" w:pos="1050"/>
        </w:tabs>
        <w:kinsoku/>
        <w:wordWrap/>
        <w:overflowPunct/>
        <w:topLinePunct w:val="0"/>
        <w:autoSpaceDE/>
        <w:autoSpaceDN/>
        <w:bidi w:val="0"/>
        <w:adjustRightInd w:val="0"/>
        <w:snapToGrid w:val="0"/>
        <w:spacing w:line="348"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⑤ 投标人自采购文件发布之日起前连续六个月的为其法定代表人授权代表缴纳社保的证明（由相关主管部门出具，新成立公司按照企业实际成立时间提供相关证明材料；法定代表人亲自参加投标的除外）</w:t>
      </w:r>
    </w:p>
    <w:p>
      <w:pPr>
        <w:keepNext w:val="0"/>
        <w:keepLines w:val="0"/>
        <w:pageBreakBefore w:val="0"/>
        <w:tabs>
          <w:tab w:val="left" w:pos="525"/>
          <w:tab w:val="left" w:pos="1050"/>
        </w:tabs>
        <w:kinsoku/>
        <w:wordWrap/>
        <w:overflowPunct/>
        <w:topLinePunct w:val="0"/>
        <w:autoSpaceDE/>
        <w:autoSpaceDN/>
        <w:bidi w:val="0"/>
        <w:adjustRightInd w:val="0"/>
        <w:snapToGrid w:val="0"/>
        <w:spacing w:line="348"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⑥ 投标人近三个月中任意一个月份(不含投标当月)的财务状况报告（资产负债表和利润表）或由会计师事务所出具的近两年中任意一个年度的审计报告和所附已审财务报告</w:t>
      </w:r>
    </w:p>
    <w:p>
      <w:pPr>
        <w:keepNext w:val="0"/>
        <w:keepLines w:val="0"/>
        <w:pageBreakBefore w:val="0"/>
        <w:tabs>
          <w:tab w:val="left" w:pos="525"/>
          <w:tab w:val="left" w:pos="1050"/>
        </w:tabs>
        <w:kinsoku/>
        <w:wordWrap/>
        <w:overflowPunct/>
        <w:topLinePunct w:val="0"/>
        <w:autoSpaceDE/>
        <w:autoSpaceDN/>
        <w:bidi w:val="0"/>
        <w:adjustRightInd w:val="0"/>
        <w:snapToGrid w:val="0"/>
        <w:spacing w:line="348"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⑦ 投标人近三个月中任意一个月份(不含投标当月)的依法缴纳税收的相关材料（提供相关主管部门证明或银行代扣证明，新成立公司按照企业实际成立时间提供相关证明材料）</w:t>
      </w:r>
    </w:p>
    <w:p>
      <w:pPr>
        <w:keepNext w:val="0"/>
        <w:keepLines w:val="0"/>
        <w:pageBreakBefore w:val="0"/>
        <w:tabs>
          <w:tab w:val="left" w:pos="525"/>
          <w:tab w:val="left" w:pos="1050"/>
        </w:tabs>
        <w:kinsoku/>
        <w:wordWrap/>
        <w:overflowPunct/>
        <w:topLinePunct w:val="0"/>
        <w:autoSpaceDE/>
        <w:autoSpaceDN/>
        <w:bidi w:val="0"/>
        <w:adjustRightInd w:val="0"/>
        <w:snapToGrid w:val="0"/>
        <w:spacing w:line="348"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⑧ 投标人近三个月中任意一个月份(不含投标当月)的依法缴纳社会保障资金的相关材料（提供相关主管部门证明或银行代扣证明，新成立公司按照企业实际成立时间提供相关证明材料）；</w:t>
      </w:r>
    </w:p>
    <w:p>
      <w:pPr>
        <w:keepNext w:val="0"/>
        <w:keepLines w:val="0"/>
        <w:pageBreakBefore w:val="0"/>
        <w:tabs>
          <w:tab w:val="left" w:pos="525"/>
          <w:tab w:val="left" w:pos="1050"/>
        </w:tabs>
        <w:kinsoku/>
        <w:wordWrap/>
        <w:overflowPunct/>
        <w:topLinePunct w:val="0"/>
        <w:autoSpaceDE/>
        <w:autoSpaceDN/>
        <w:bidi w:val="0"/>
        <w:adjustRightInd w:val="0"/>
        <w:snapToGrid w:val="0"/>
        <w:spacing w:line="348"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⑨ 有效完整的医疗器械产品注册证或备案凭证复印件（医疗器械产品注册证如有注册登记表须一并提供）</w:t>
      </w:r>
    </w:p>
    <w:p>
      <w:pPr>
        <w:keepNext w:val="0"/>
        <w:keepLines w:val="0"/>
        <w:pageBreakBefore w:val="0"/>
        <w:tabs>
          <w:tab w:val="left" w:pos="525"/>
          <w:tab w:val="left" w:pos="1050"/>
        </w:tabs>
        <w:kinsoku/>
        <w:wordWrap/>
        <w:overflowPunct/>
        <w:topLinePunct w:val="0"/>
        <w:autoSpaceDE/>
        <w:autoSpaceDN/>
        <w:bidi w:val="0"/>
        <w:adjustRightInd w:val="0"/>
        <w:snapToGrid w:val="0"/>
        <w:spacing w:line="348"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 xml:space="preserve">⑩ </w:t>
      </w:r>
      <w:r>
        <w:rPr>
          <w:rFonts w:hint="eastAsia" w:ascii="宋体" w:hAnsi="宋体" w:cs="宋体"/>
          <w:color w:val="000000" w:themeColor="text1"/>
          <w:sz w:val="24"/>
          <w:szCs w:val="24"/>
          <w14:textFill>
            <w14:solidFill>
              <w14:schemeClr w14:val="tx1"/>
            </w14:solidFill>
          </w14:textFill>
        </w:rPr>
        <w:t>所投设备若为国产设备，提供生产商的医疗器械生产许可证或备案凭证复印件（医疗器械生产许可证如有医疗器械生产产品登记表的须一并提供）</w:t>
      </w:r>
    </w:p>
    <w:p>
      <w:pPr>
        <w:keepNext w:val="0"/>
        <w:keepLines w:val="0"/>
        <w:pageBreakBefore w:val="0"/>
        <w:tabs>
          <w:tab w:val="left" w:pos="525"/>
          <w:tab w:val="left" w:pos="1050"/>
        </w:tabs>
        <w:kinsoku/>
        <w:wordWrap/>
        <w:overflowPunct/>
        <w:topLinePunct w:val="0"/>
        <w:autoSpaceDE/>
        <w:autoSpaceDN/>
        <w:bidi w:val="0"/>
        <w:adjustRightInd w:val="0"/>
        <w:snapToGrid w:val="0"/>
        <w:spacing w:line="348" w:lineRule="auto"/>
        <w:ind w:firstLine="480" w:firstLineChars="200"/>
        <w:rPr>
          <w:rFonts w:ascii="宋体" w:hAns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⑪</w:t>
      </w:r>
      <w:r>
        <w:rPr>
          <w:rFonts w:hint="eastAsia" w:ascii="宋体" w:hAnsi="宋体"/>
          <w:bCs/>
          <w:color w:val="000000" w:themeColor="text1"/>
          <w:sz w:val="24"/>
          <w:szCs w:val="24"/>
          <w14:textFill>
            <w14:solidFill>
              <w14:schemeClr w14:val="tx1"/>
            </w14:solidFill>
          </w14:textFill>
        </w:rPr>
        <w:t xml:space="preserve"> 投标人需提交所投产品对应的医疗器械企业经营许可证</w:t>
      </w:r>
      <w:r>
        <w:rPr>
          <w:rFonts w:ascii="宋体" w:hAnsi="宋体"/>
          <w:color w:val="000000" w:themeColor="text1"/>
          <w:sz w:val="24"/>
          <w:szCs w:val="24"/>
          <w:shd w:val="clear" w:color="auto" w:fill="FFFFFF"/>
          <w14:textFill>
            <w14:solidFill>
              <w14:schemeClr w14:val="tx1"/>
            </w14:solidFill>
          </w14:textFill>
        </w:rPr>
        <w:t>或备案凭证</w:t>
      </w:r>
      <w:r>
        <w:rPr>
          <w:rFonts w:hint="eastAsia" w:ascii="宋体" w:hAnsi="宋体"/>
          <w:bCs/>
          <w:color w:val="000000" w:themeColor="text1"/>
          <w:sz w:val="24"/>
          <w:szCs w:val="24"/>
          <w14:textFill>
            <w14:solidFill>
              <w14:schemeClr w14:val="tx1"/>
            </w14:solidFill>
          </w14:textFill>
        </w:rPr>
        <w:t>复印件</w:t>
      </w:r>
    </w:p>
    <w:p>
      <w:pPr>
        <w:keepNext w:val="0"/>
        <w:keepLines w:val="0"/>
        <w:pageBreakBefore w:val="0"/>
        <w:tabs>
          <w:tab w:val="left" w:pos="525"/>
          <w:tab w:val="left" w:pos="1050"/>
        </w:tabs>
        <w:kinsoku/>
        <w:wordWrap/>
        <w:overflowPunct/>
        <w:topLinePunct w:val="0"/>
        <w:autoSpaceDE/>
        <w:autoSpaceDN/>
        <w:bidi w:val="0"/>
        <w:adjustRightInd w:val="0"/>
        <w:snapToGrid w:val="0"/>
        <w:spacing w:line="348" w:lineRule="auto"/>
        <w:ind w:firstLine="480" w:firstLineChars="200"/>
        <w:rPr>
          <w:rFonts w:ascii="宋体" w:hAns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⑫</w:t>
      </w:r>
      <w:r>
        <w:rPr>
          <w:rFonts w:hint="eastAsia" w:ascii="宋体" w:hAnsi="宋体"/>
          <w:bCs/>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所投设备若为进口设备，提供《制造商出具的授权函》（格式见附件，进口产品可由国内总代理出具）</w:t>
      </w:r>
      <w:r>
        <w:rPr>
          <w:rFonts w:hint="eastAsia" w:ascii="宋体" w:hAnsi="宋体"/>
          <w:bCs/>
          <w:color w:val="000000" w:themeColor="text1"/>
          <w:sz w:val="24"/>
          <w:szCs w:val="24"/>
          <w14:textFill>
            <w14:solidFill>
              <w14:schemeClr w14:val="tx1"/>
            </w14:solidFill>
          </w14:textFill>
        </w:rPr>
        <w:t>。</w:t>
      </w:r>
    </w:p>
    <w:p>
      <w:pPr>
        <w:keepNext w:val="0"/>
        <w:keepLines w:val="0"/>
        <w:pageBreakBefore w:val="0"/>
        <w:tabs>
          <w:tab w:val="left" w:pos="1134"/>
        </w:tabs>
        <w:kinsoku/>
        <w:wordWrap/>
        <w:overflowPunct/>
        <w:topLinePunct w:val="0"/>
        <w:autoSpaceDE/>
        <w:autoSpaceDN/>
        <w:bidi w:val="0"/>
        <w:adjustRightInd w:val="0"/>
        <w:snapToGrid w:val="0"/>
        <w:spacing w:line="348" w:lineRule="auto"/>
        <w:ind w:firstLine="480" w:firstLineChars="200"/>
        <w:rPr>
          <w:rFonts w:ascii="宋体" w:hAns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注：按照《政府采购法实施条例释义》，法人的分支机构由于其不能独立承担民事责任，不能以分支机构的身份参加政府采购，只能以法人身份参加。但银行、保险、石油石化、电力、电信等有行业特殊情况的，可以分支机构参加政府采购和签订合同。</w:t>
      </w:r>
    </w:p>
    <w:bookmarkEnd w:id="13"/>
    <w:bookmarkEnd w:id="14"/>
    <w:p>
      <w:pPr>
        <w:keepNext w:val="0"/>
        <w:keepLines w:val="0"/>
        <w:pageBreakBefore w:val="0"/>
        <w:numPr>
          <w:ilvl w:val="0"/>
          <w:numId w:val="5"/>
        </w:numPr>
        <w:kinsoku/>
        <w:wordWrap/>
        <w:overflowPunct/>
        <w:topLinePunct w:val="0"/>
        <w:autoSpaceDE/>
        <w:autoSpaceDN/>
        <w:bidi w:val="0"/>
        <w:adjustRightInd w:val="0"/>
        <w:snapToGrid w:val="0"/>
        <w:spacing w:line="348" w:lineRule="auto"/>
        <w:ind w:left="0" w:firstLine="628" w:firstLineChars="262"/>
        <w:rPr>
          <w:rFonts w:ascii="宋体"/>
          <w:color w:val="000000" w:themeColor="text1"/>
          <w:sz w:val="24"/>
          <w:szCs w:val="24"/>
          <w14:textFill>
            <w14:solidFill>
              <w14:schemeClr w14:val="tx1"/>
            </w14:solidFill>
          </w14:textFill>
        </w:rPr>
      </w:pPr>
      <w:bookmarkStart w:id="15" w:name="OLE_LINK21"/>
      <w:bookmarkStart w:id="16" w:name="OLE_LINK22"/>
      <w:r>
        <w:rPr>
          <w:rFonts w:hint="eastAsia" w:ascii="宋体" w:hAnsi="宋体" w:cs="宋体"/>
          <w:color w:val="000000" w:themeColor="text1"/>
          <w:sz w:val="24"/>
          <w:szCs w:val="24"/>
          <w14:textFill>
            <w14:solidFill>
              <w14:schemeClr w14:val="tx1"/>
            </w14:solidFill>
          </w14:textFill>
        </w:rPr>
        <w:t>开标一览表（格式见附件）</w:t>
      </w:r>
    </w:p>
    <w:p>
      <w:pPr>
        <w:keepNext w:val="0"/>
        <w:keepLines w:val="0"/>
        <w:pageBreakBefore w:val="0"/>
        <w:numPr>
          <w:ilvl w:val="0"/>
          <w:numId w:val="5"/>
        </w:numPr>
        <w:kinsoku/>
        <w:wordWrap/>
        <w:overflowPunct/>
        <w:topLinePunct w:val="0"/>
        <w:autoSpaceDE/>
        <w:autoSpaceDN/>
        <w:bidi w:val="0"/>
        <w:adjustRightInd w:val="0"/>
        <w:snapToGrid w:val="0"/>
        <w:spacing w:line="348" w:lineRule="auto"/>
        <w:ind w:left="0" w:firstLine="628" w:firstLineChars="262"/>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细目报价表（格式见附件）</w:t>
      </w:r>
    </w:p>
    <w:p>
      <w:pPr>
        <w:keepNext w:val="0"/>
        <w:keepLines w:val="0"/>
        <w:pageBreakBefore w:val="0"/>
        <w:numPr>
          <w:ilvl w:val="0"/>
          <w:numId w:val="5"/>
        </w:numPr>
        <w:kinsoku/>
        <w:wordWrap/>
        <w:overflowPunct/>
        <w:topLinePunct w:val="0"/>
        <w:autoSpaceDE/>
        <w:autoSpaceDN/>
        <w:bidi w:val="0"/>
        <w:adjustRightInd w:val="0"/>
        <w:snapToGrid w:val="0"/>
        <w:spacing w:line="348" w:lineRule="auto"/>
        <w:ind w:left="0" w:firstLine="628" w:firstLineChars="262"/>
        <w:rPr>
          <w:rFonts w:ascii="宋体"/>
          <w:color w:val="000000" w:themeColor="text1"/>
          <w:sz w:val="24"/>
          <w:szCs w:val="24"/>
          <w14:textFill>
            <w14:solidFill>
              <w14:schemeClr w14:val="tx1"/>
            </w14:solidFill>
          </w14:textFill>
        </w:rPr>
      </w:pPr>
      <w:r>
        <w:rPr>
          <w:rFonts w:hint="eastAsia" w:ascii="宋体" w:cs="宋体"/>
          <w:color w:val="000000" w:themeColor="text1"/>
          <w:sz w:val="24"/>
          <w:szCs w:val="24"/>
          <w14:textFill>
            <w14:solidFill>
              <w14:schemeClr w14:val="tx1"/>
            </w14:solidFill>
          </w14:textFill>
        </w:rPr>
        <w:t>《投标偏离表》</w:t>
      </w:r>
      <w:r>
        <w:rPr>
          <w:rFonts w:hint="eastAsia" w:ascii="宋体" w:hAnsi="宋体" w:cs="宋体"/>
          <w:color w:val="000000" w:themeColor="text1"/>
          <w:sz w:val="24"/>
          <w:szCs w:val="24"/>
          <w14:textFill>
            <w14:solidFill>
              <w14:schemeClr w14:val="tx1"/>
            </w14:solidFill>
          </w14:textFill>
        </w:rPr>
        <w:t>（格式见附件）</w:t>
      </w:r>
    </w:p>
    <w:p>
      <w:pPr>
        <w:keepNext w:val="0"/>
        <w:keepLines w:val="0"/>
        <w:pageBreakBefore w:val="0"/>
        <w:numPr>
          <w:ilvl w:val="0"/>
          <w:numId w:val="5"/>
        </w:numPr>
        <w:kinsoku/>
        <w:wordWrap/>
        <w:overflowPunct/>
        <w:topLinePunct w:val="0"/>
        <w:autoSpaceDE/>
        <w:autoSpaceDN/>
        <w:bidi w:val="0"/>
        <w:adjustRightInd w:val="0"/>
        <w:snapToGrid w:val="0"/>
        <w:spacing w:line="348" w:lineRule="auto"/>
        <w:ind w:left="0" w:firstLine="628" w:firstLineChars="262"/>
        <w:rPr>
          <w:rFonts w:ascii="宋体"/>
          <w:color w:val="000000" w:themeColor="text1"/>
          <w:sz w:val="24"/>
          <w:szCs w:val="24"/>
          <w14:textFill>
            <w14:solidFill>
              <w14:schemeClr w14:val="tx1"/>
            </w14:solidFill>
          </w14:textFill>
        </w:rPr>
      </w:pPr>
      <w:r>
        <w:rPr>
          <w:rFonts w:hint="eastAsia" w:ascii="宋体" w:cs="宋体"/>
          <w:color w:val="000000" w:themeColor="text1"/>
          <w:kern w:val="0"/>
          <w:sz w:val="24"/>
          <w:szCs w:val="24"/>
          <w14:textFill>
            <w14:solidFill>
              <w14:schemeClr w14:val="tx1"/>
            </w14:solidFill>
          </w14:textFill>
        </w:rPr>
        <w:t>能确保设备正常使用的，随机所需配备耗材清单</w:t>
      </w:r>
      <w:r>
        <w:rPr>
          <w:rFonts w:hint="eastAsia" w:ascii="宋体" w:hAnsi="宋体" w:cs="宋体"/>
          <w:color w:val="000000" w:themeColor="text1"/>
          <w:sz w:val="24"/>
          <w:szCs w:val="24"/>
          <w14:textFill>
            <w14:solidFill>
              <w14:schemeClr w14:val="tx1"/>
            </w14:solidFill>
          </w14:textFill>
        </w:rPr>
        <w:t>（格式可自拟）</w:t>
      </w:r>
    </w:p>
    <w:p>
      <w:pPr>
        <w:keepNext w:val="0"/>
        <w:keepLines w:val="0"/>
        <w:pageBreakBefore w:val="0"/>
        <w:numPr>
          <w:ilvl w:val="0"/>
          <w:numId w:val="5"/>
        </w:numPr>
        <w:kinsoku/>
        <w:wordWrap/>
        <w:overflowPunct/>
        <w:topLinePunct w:val="0"/>
        <w:autoSpaceDE/>
        <w:autoSpaceDN/>
        <w:bidi w:val="0"/>
        <w:adjustRightInd w:val="0"/>
        <w:snapToGrid w:val="0"/>
        <w:spacing w:line="348" w:lineRule="auto"/>
        <w:ind w:left="0" w:firstLine="628" w:firstLineChars="262"/>
        <w:rPr>
          <w:rFonts w:ascii="宋体"/>
          <w:color w:val="000000" w:themeColor="text1"/>
          <w:sz w:val="24"/>
          <w:szCs w:val="24"/>
          <w14:textFill>
            <w14:solidFill>
              <w14:schemeClr w14:val="tx1"/>
            </w14:solidFill>
          </w14:textFill>
        </w:rPr>
      </w:pPr>
      <w:r>
        <w:rPr>
          <w:rFonts w:hint="eastAsia" w:ascii="宋体"/>
          <w:color w:val="000000" w:themeColor="text1"/>
          <w:sz w:val="24"/>
          <w:szCs w:val="24"/>
          <w14:textFill>
            <w14:solidFill>
              <w14:schemeClr w14:val="tx1"/>
            </w14:solidFill>
          </w14:textFill>
        </w:rPr>
        <w:t>本项目产品售后服务方案及保障体系（格式见附件）</w:t>
      </w:r>
    </w:p>
    <w:p>
      <w:pPr>
        <w:keepNext w:val="0"/>
        <w:keepLines w:val="0"/>
        <w:pageBreakBefore w:val="0"/>
        <w:numPr>
          <w:ilvl w:val="0"/>
          <w:numId w:val="5"/>
        </w:numPr>
        <w:kinsoku/>
        <w:wordWrap/>
        <w:overflowPunct/>
        <w:topLinePunct w:val="0"/>
        <w:autoSpaceDE/>
        <w:autoSpaceDN/>
        <w:bidi w:val="0"/>
        <w:adjustRightInd w:val="0"/>
        <w:snapToGrid w:val="0"/>
        <w:spacing w:line="348" w:lineRule="auto"/>
        <w:ind w:left="0" w:firstLine="628" w:firstLineChars="262"/>
        <w:rPr>
          <w:rFonts w:ascii="宋体"/>
          <w:color w:val="000000" w:themeColor="text1"/>
          <w:sz w:val="24"/>
          <w:szCs w:val="24"/>
          <w14:textFill>
            <w14:solidFill>
              <w14:schemeClr w14:val="tx1"/>
            </w14:solidFill>
          </w14:textFill>
        </w:rPr>
      </w:pPr>
      <w:r>
        <w:rPr>
          <w:rFonts w:hint="eastAsia" w:ascii="宋体" w:cs="宋体"/>
          <w:color w:val="000000" w:themeColor="text1"/>
          <w:sz w:val="24"/>
          <w:szCs w:val="24"/>
          <w14:textFill>
            <w14:solidFill>
              <w14:schemeClr w14:val="tx1"/>
            </w14:solidFill>
          </w14:textFill>
        </w:rPr>
        <w:t>评分标准中对应的其他所需证明材料（</w:t>
      </w:r>
      <w:r>
        <w:rPr>
          <w:rFonts w:hint="eastAsia" w:ascii="宋体" w:hAnsi="宋体" w:cs="宋体"/>
          <w:color w:val="000000" w:themeColor="text1"/>
          <w:sz w:val="24"/>
          <w:szCs w:val="24"/>
          <w14:textFill>
            <w14:solidFill>
              <w14:schemeClr w14:val="tx1"/>
            </w14:solidFill>
          </w14:textFill>
        </w:rPr>
        <w:t>如有自行添加</w:t>
      </w:r>
      <w:r>
        <w:rPr>
          <w:rFonts w:hint="eastAsia" w:ascii="宋体" w:cs="宋体"/>
          <w:color w:val="000000" w:themeColor="text1"/>
          <w:sz w:val="24"/>
          <w:szCs w:val="24"/>
          <w14:textFill>
            <w14:solidFill>
              <w14:schemeClr w14:val="tx1"/>
            </w14:solidFill>
          </w14:textFill>
        </w:rPr>
        <w:t>）</w:t>
      </w:r>
    </w:p>
    <w:p>
      <w:pPr>
        <w:keepNext w:val="0"/>
        <w:keepLines w:val="0"/>
        <w:pageBreakBefore w:val="0"/>
        <w:numPr>
          <w:ilvl w:val="0"/>
          <w:numId w:val="5"/>
        </w:numPr>
        <w:kinsoku/>
        <w:wordWrap/>
        <w:overflowPunct/>
        <w:topLinePunct w:val="0"/>
        <w:autoSpaceDE/>
        <w:autoSpaceDN/>
        <w:bidi w:val="0"/>
        <w:adjustRightInd w:val="0"/>
        <w:snapToGrid w:val="0"/>
        <w:spacing w:line="348" w:lineRule="auto"/>
        <w:ind w:left="0" w:firstLine="628" w:firstLineChars="262"/>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要求需方提供的配合（如有自拟并自行添加）</w:t>
      </w:r>
    </w:p>
    <w:p>
      <w:pPr>
        <w:keepNext w:val="0"/>
        <w:keepLines w:val="0"/>
        <w:pageBreakBefore w:val="0"/>
        <w:numPr>
          <w:ilvl w:val="0"/>
          <w:numId w:val="5"/>
        </w:numPr>
        <w:kinsoku/>
        <w:wordWrap/>
        <w:overflowPunct/>
        <w:topLinePunct w:val="0"/>
        <w:autoSpaceDE/>
        <w:autoSpaceDN/>
        <w:bidi w:val="0"/>
        <w:adjustRightInd w:val="0"/>
        <w:snapToGrid w:val="0"/>
        <w:spacing w:line="348" w:lineRule="auto"/>
        <w:ind w:left="0" w:firstLine="628" w:firstLineChars="262"/>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其它（投标人认为有必要提供的声明和文件，如有自拟并自行添加）</w:t>
      </w:r>
    </w:p>
    <w:bookmarkEnd w:id="15"/>
    <w:bookmarkEnd w:id="16"/>
    <w:p>
      <w:pPr>
        <w:keepNext w:val="0"/>
        <w:keepLines w:val="0"/>
        <w:pageBreakBefore w:val="0"/>
        <w:widowControl/>
        <w:kinsoku/>
        <w:wordWrap/>
        <w:overflowPunct/>
        <w:topLinePunct w:val="0"/>
        <w:autoSpaceDE/>
        <w:autoSpaceDN/>
        <w:bidi w:val="0"/>
        <w:adjustRightInd w:val="0"/>
        <w:snapToGrid w:val="0"/>
        <w:spacing w:line="348"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① 如投标人本项目提供的货物全部由符合政策要求的中小企业制造的，须提供按格式填写的《中小企业声明函》（或提供投标人《残疾人福利性单位声明函》）</w:t>
      </w:r>
    </w:p>
    <w:p>
      <w:pPr>
        <w:keepNext w:val="0"/>
        <w:keepLines w:val="0"/>
        <w:pageBreakBefore w:val="0"/>
        <w:widowControl/>
        <w:kinsoku/>
        <w:wordWrap/>
        <w:overflowPunct/>
        <w:topLinePunct w:val="0"/>
        <w:autoSpaceDE/>
        <w:autoSpaceDN/>
        <w:bidi w:val="0"/>
        <w:adjustRightInd w:val="0"/>
        <w:snapToGrid w:val="0"/>
        <w:spacing w:line="348" w:lineRule="auto"/>
        <w:ind w:firstLine="480" w:firstLineChars="200"/>
        <w:jc w:val="left"/>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上述</w:t>
      </w:r>
      <w:r>
        <w:rPr>
          <w:rFonts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8项必须全部提供</w:t>
      </w:r>
      <w:r>
        <w:rPr>
          <w:rFonts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否则投标文件无效。如上述资格证明文件第⑤⑥⑦</w:t>
      </w:r>
      <w:r>
        <w:rPr>
          <w:rFonts w:hint="eastAsia" w:ascii="宋体" w:hAnsi="宋体" w:cs="宋体"/>
          <w:color w:val="000000" w:themeColor="text1"/>
          <w:sz w:val="24"/>
          <w:szCs w:val="24"/>
          <w14:textFill>
            <w14:solidFill>
              <w14:schemeClr w14:val="tx1"/>
            </w14:solidFill>
          </w14:textFill>
        </w:rPr>
        <w:t>⑧</w:t>
      </w:r>
      <w:r>
        <w:rPr>
          <w:rFonts w:hint="eastAsia" w:ascii="宋体" w:hAnsi="宋体" w:cs="宋体"/>
          <w:color w:val="000000" w:themeColor="text1"/>
          <w:kern w:val="0"/>
          <w:sz w:val="24"/>
          <w:szCs w:val="24"/>
          <w14:textFill>
            <w14:solidFill>
              <w14:schemeClr w14:val="tx1"/>
            </w14:solidFill>
          </w14:textFill>
        </w:rPr>
        <w:t>四项遇有国家相关政策规定可不具备的，必须提供相关政策规定或相关单位出具的有效证明复印件。其中要求提交的原件或公证件必须与响应文件同时提交，如果原件正在年检（或换证），则必须提供法定年检（或换证）单位出具的有效证明原件。投标人法定代表人或法定代表人授权代表为外籍、港、澳、台地区人士的，其身份证明须提供有效的护照或港澳同胞来往内地通行证、台湾同胞来往大陆通行证，或其它可在中国大陆有效居留的许可证明。</w:t>
      </w:r>
    </w:p>
    <w:p>
      <w:pPr>
        <w:keepNext w:val="0"/>
        <w:keepLines w:val="0"/>
        <w:pageBreakBefore w:val="0"/>
        <w:kinsoku/>
        <w:wordWrap/>
        <w:overflowPunct/>
        <w:topLinePunct w:val="0"/>
        <w:autoSpaceDE/>
        <w:autoSpaceDN/>
        <w:bidi w:val="0"/>
        <w:adjustRightInd w:val="0"/>
        <w:snapToGrid w:val="0"/>
        <w:spacing w:line="348" w:lineRule="auto"/>
        <w:ind w:firstLine="480" w:firstLineChars="200"/>
        <w:outlineLvl w:val="0"/>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（六）投标文件的要求：</w:t>
      </w:r>
    </w:p>
    <w:p>
      <w:pPr>
        <w:keepNext w:val="0"/>
        <w:keepLines w:val="0"/>
        <w:pageBreakBefore w:val="0"/>
        <w:widowControl/>
        <w:kinsoku/>
        <w:wordWrap/>
        <w:overflowPunct/>
        <w:topLinePunct w:val="0"/>
        <w:autoSpaceDE/>
        <w:autoSpaceDN/>
        <w:bidi w:val="0"/>
        <w:adjustRightInd w:val="0"/>
        <w:snapToGrid w:val="0"/>
        <w:spacing w:line="348"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1．所有文件、往来函件均应使用简体中文（规格、型号辅助符号例外）。</w:t>
      </w:r>
    </w:p>
    <w:p>
      <w:pPr>
        <w:keepNext w:val="0"/>
        <w:keepLines w:val="0"/>
        <w:pageBreakBefore w:val="0"/>
        <w:widowControl/>
        <w:kinsoku/>
        <w:wordWrap/>
        <w:overflowPunct/>
        <w:topLinePunct w:val="0"/>
        <w:autoSpaceDE/>
        <w:autoSpaceDN/>
        <w:bidi w:val="0"/>
        <w:adjustRightInd w:val="0"/>
        <w:snapToGrid w:val="0"/>
        <w:spacing w:line="348"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2．投标文件由投标人按招标文件给定格式如实填写，须有投标人（电子签章）、法定代表人或法定代表人授权代表电子签章，方为有效，未尽事宜可自行补充。</w:t>
      </w:r>
    </w:p>
    <w:p>
      <w:pPr>
        <w:keepNext w:val="0"/>
        <w:keepLines w:val="0"/>
        <w:pageBreakBefore w:val="0"/>
        <w:widowControl/>
        <w:kinsoku/>
        <w:wordWrap/>
        <w:overflowPunct/>
        <w:topLinePunct w:val="0"/>
        <w:autoSpaceDE/>
        <w:autoSpaceDN/>
        <w:bidi w:val="0"/>
        <w:adjustRightInd w:val="0"/>
        <w:snapToGrid w:val="0"/>
        <w:spacing w:line="348"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3．如无特别说明，投标人报价一律以人民币为投标结算货币,结算单位为“元”。</w:t>
      </w:r>
    </w:p>
    <w:p>
      <w:pPr>
        <w:keepNext w:val="0"/>
        <w:keepLines w:val="0"/>
        <w:pageBreakBefore w:val="0"/>
        <w:widowControl/>
        <w:kinsoku/>
        <w:wordWrap/>
        <w:overflowPunct/>
        <w:topLinePunct w:val="0"/>
        <w:autoSpaceDE/>
        <w:autoSpaceDN/>
        <w:bidi w:val="0"/>
        <w:adjustRightInd w:val="0"/>
        <w:snapToGrid w:val="0"/>
        <w:spacing w:line="348"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 投标文件中的非中文材料，需同时提供经公证处公证的中文翻译件，公证内容应包括中文翻译件与原文一致的内容。</w:t>
      </w:r>
    </w:p>
    <w:p>
      <w:pPr>
        <w:keepNext w:val="0"/>
        <w:keepLines w:val="0"/>
        <w:pageBreakBefore w:val="0"/>
        <w:widowControl/>
        <w:kinsoku/>
        <w:wordWrap/>
        <w:overflowPunct/>
        <w:topLinePunct w:val="0"/>
        <w:autoSpaceDE/>
        <w:autoSpaceDN/>
        <w:bidi w:val="0"/>
        <w:adjustRightInd w:val="0"/>
        <w:snapToGrid w:val="0"/>
        <w:spacing w:line="348"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5．投标费用自理。</w:t>
      </w:r>
    </w:p>
    <w:p>
      <w:pPr>
        <w:keepNext w:val="0"/>
        <w:keepLines w:val="0"/>
        <w:pageBreakBefore w:val="0"/>
        <w:tabs>
          <w:tab w:val="left" w:pos="945"/>
        </w:tabs>
        <w:kinsoku/>
        <w:wordWrap/>
        <w:overflowPunct/>
        <w:topLinePunct w:val="0"/>
        <w:autoSpaceDE/>
        <w:autoSpaceDN/>
        <w:bidi w:val="0"/>
        <w:adjustRightInd w:val="0"/>
        <w:snapToGrid w:val="0"/>
        <w:spacing w:line="348" w:lineRule="auto"/>
        <w:ind w:firstLine="480" w:firstLineChars="200"/>
        <w:rPr>
          <w:rFonts w:ascii="黑体" w:hAnsi="黑体" w:eastAsia="黑体" w:cs="黑体"/>
          <w:color w:val="000000" w:themeColor="text1"/>
          <w:sz w:val="24"/>
          <w:szCs w:val="24"/>
          <w14:textFill>
            <w14:solidFill>
              <w14:schemeClr w14:val="tx1"/>
            </w14:solidFill>
          </w14:textFill>
        </w:rPr>
      </w:pPr>
      <w:r>
        <w:rPr>
          <w:rFonts w:ascii="黑体" w:hAnsi="黑体" w:eastAsia="黑体" w:cs="黑体"/>
          <w:color w:val="000000" w:themeColor="text1"/>
          <w:sz w:val="24"/>
          <w:szCs w:val="24"/>
          <w14:textFill>
            <w14:solidFill>
              <w14:schemeClr w14:val="tx1"/>
            </w14:solidFill>
          </w14:textFill>
        </w:rPr>
        <w:t>(</w:t>
      </w:r>
      <w:r>
        <w:rPr>
          <w:rFonts w:hint="eastAsia" w:ascii="黑体" w:hAnsi="黑体" w:eastAsia="黑体" w:cs="黑体"/>
          <w:color w:val="000000" w:themeColor="text1"/>
          <w:sz w:val="24"/>
          <w:szCs w:val="24"/>
          <w14:textFill>
            <w14:solidFill>
              <w14:schemeClr w14:val="tx1"/>
            </w14:solidFill>
          </w14:textFill>
        </w:rPr>
        <w:t>七</w:t>
      </w:r>
      <w:r>
        <w:rPr>
          <w:rFonts w:ascii="黑体" w:hAnsi="黑体" w:eastAsia="黑体" w:cs="黑体"/>
          <w:color w:val="000000" w:themeColor="text1"/>
          <w:sz w:val="24"/>
          <w:szCs w:val="24"/>
          <w14:textFill>
            <w14:solidFill>
              <w14:schemeClr w14:val="tx1"/>
            </w14:solidFill>
          </w14:textFill>
        </w:rPr>
        <w:t xml:space="preserve">) </w:t>
      </w:r>
      <w:r>
        <w:rPr>
          <w:rFonts w:hint="eastAsia" w:ascii="黑体" w:hAnsi="黑体" w:eastAsia="黑体" w:cs="黑体"/>
          <w:color w:val="000000" w:themeColor="text1"/>
          <w:sz w:val="24"/>
          <w:szCs w:val="24"/>
          <w14:textFill>
            <w14:solidFill>
              <w14:schemeClr w14:val="tx1"/>
            </w14:solidFill>
          </w14:textFill>
        </w:rPr>
        <w:t>网上投标</w:t>
      </w:r>
    </w:p>
    <w:p>
      <w:pPr>
        <w:keepNext w:val="0"/>
        <w:keepLines w:val="0"/>
        <w:pageBreakBefore w:val="0"/>
        <w:tabs>
          <w:tab w:val="left" w:pos="945"/>
        </w:tabs>
        <w:kinsoku/>
        <w:wordWrap/>
        <w:overflowPunct/>
        <w:topLinePunct w:val="0"/>
        <w:autoSpaceDE/>
        <w:autoSpaceDN/>
        <w:bidi w:val="0"/>
        <w:adjustRightInd w:val="0"/>
        <w:snapToGrid w:val="0"/>
        <w:spacing w:line="348"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投标人应由其法定代表人或法定代表人授权代表在规定的网上投标时间内，凭CA数字证书登陆政府采购交易管理一体化系统获取招标文件，在投标客户端制作投标文件（电子数据），并在投标截止时间之前上传投标文件。</w:t>
      </w:r>
    </w:p>
    <w:p>
      <w:pPr>
        <w:keepNext w:val="0"/>
        <w:keepLines w:val="0"/>
        <w:pageBreakBefore w:val="0"/>
        <w:tabs>
          <w:tab w:val="left" w:pos="945"/>
        </w:tabs>
        <w:kinsoku/>
        <w:wordWrap/>
        <w:overflowPunct/>
        <w:topLinePunct w:val="0"/>
        <w:autoSpaceDE/>
        <w:autoSpaceDN/>
        <w:bidi w:val="0"/>
        <w:adjustRightInd w:val="0"/>
        <w:snapToGrid w:val="0"/>
        <w:spacing w:line="348"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投标人应对CA数字证书妥善保管，如被他人盗用投标，后果自负。</w:t>
      </w:r>
    </w:p>
    <w:p>
      <w:pPr>
        <w:keepNext w:val="0"/>
        <w:keepLines w:val="0"/>
        <w:pageBreakBefore w:val="0"/>
        <w:tabs>
          <w:tab w:val="left" w:pos="945"/>
        </w:tabs>
        <w:kinsoku/>
        <w:wordWrap/>
        <w:overflowPunct/>
        <w:topLinePunct w:val="0"/>
        <w:autoSpaceDE/>
        <w:autoSpaceDN/>
        <w:bidi w:val="0"/>
        <w:adjustRightInd w:val="0"/>
        <w:snapToGrid w:val="0"/>
        <w:spacing w:line="348"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投标人按招标文件规定的网上解密时间进行解密，如未按时解密后果自负。</w:t>
      </w:r>
    </w:p>
    <w:p>
      <w:pPr>
        <w:keepNext w:val="0"/>
        <w:keepLines w:val="0"/>
        <w:pageBreakBefore w:val="0"/>
        <w:tabs>
          <w:tab w:val="left" w:pos="945"/>
        </w:tabs>
        <w:kinsoku/>
        <w:wordWrap/>
        <w:overflowPunct/>
        <w:topLinePunct w:val="0"/>
        <w:autoSpaceDE/>
        <w:autoSpaceDN/>
        <w:bidi w:val="0"/>
        <w:adjustRightInd w:val="0"/>
        <w:snapToGrid w:val="0"/>
        <w:spacing w:line="348"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投标人应当对招标文件提出的要求和条件作出实质性响应，并在电子投标系统逐条应答。</w:t>
      </w:r>
    </w:p>
    <w:p>
      <w:pPr>
        <w:keepNext w:val="0"/>
        <w:keepLines w:val="0"/>
        <w:pageBreakBefore w:val="0"/>
        <w:tabs>
          <w:tab w:val="left" w:pos="945"/>
        </w:tabs>
        <w:kinsoku/>
        <w:wordWrap/>
        <w:overflowPunct/>
        <w:topLinePunct w:val="0"/>
        <w:autoSpaceDE/>
        <w:autoSpaceDN/>
        <w:bidi w:val="0"/>
        <w:adjustRightInd w:val="0"/>
        <w:snapToGrid w:val="0"/>
        <w:spacing w:line="348"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投标人应对要求提供的资格证明文件（如资质证书、资格证书）、技术资料（如白皮书、彩页、手册、检测报告等）扫描上传至投标系统。</w:t>
      </w:r>
    </w:p>
    <w:p>
      <w:pPr>
        <w:keepNext w:val="0"/>
        <w:keepLines w:val="0"/>
        <w:pageBreakBefore w:val="0"/>
        <w:tabs>
          <w:tab w:val="left" w:pos="945"/>
        </w:tabs>
        <w:kinsoku/>
        <w:wordWrap/>
        <w:overflowPunct/>
        <w:topLinePunct w:val="0"/>
        <w:autoSpaceDE/>
        <w:autoSpaceDN/>
        <w:bidi w:val="0"/>
        <w:adjustRightInd w:val="0"/>
        <w:snapToGrid w:val="0"/>
        <w:spacing w:line="348"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投标人进行网上投标请参照《政府采购项目电子交易管理操作指南-供应商》。</w:t>
      </w:r>
    </w:p>
    <w:p>
      <w:pPr>
        <w:keepNext w:val="0"/>
        <w:keepLines w:val="0"/>
        <w:pageBreakBefore w:val="0"/>
        <w:kinsoku/>
        <w:wordWrap/>
        <w:overflowPunct/>
        <w:topLinePunct w:val="0"/>
        <w:autoSpaceDE/>
        <w:autoSpaceDN/>
        <w:bidi w:val="0"/>
        <w:adjustRightInd w:val="0"/>
        <w:snapToGrid w:val="0"/>
        <w:spacing w:line="348" w:lineRule="auto"/>
        <w:ind w:firstLine="480" w:firstLineChars="200"/>
        <w:outlineLvl w:val="0"/>
        <w:rPr>
          <w:rFonts w:ascii="宋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（八）无效投标文件的确认：</w:t>
      </w:r>
    </w:p>
    <w:p>
      <w:pPr>
        <w:keepNext w:val="0"/>
        <w:keepLines w:val="0"/>
        <w:pageBreakBefore w:val="0"/>
        <w:kinsoku/>
        <w:wordWrap/>
        <w:overflowPunct/>
        <w:topLinePunct w:val="0"/>
        <w:autoSpaceDE/>
        <w:autoSpaceDN/>
        <w:bidi w:val="0"/>
        <w:adjustRightInd w:val="0"/>
        <w:snapToGrid w:val="0"/>
        <w:spacing w:line="348" w:lineRule="auto"/>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投标人有下列情况之一者，投标文件无效：</w:t>
      </w:r>
    </w:p>
    <w:p>
      <w:pPr>
        <w:keepNext w:val="0"/>
        <w:keepLines w:val="0"/>
        <w:pageBreakBefore w:val="0"/>
        <w:tabs>
          <w:tab w:val="left" w:pos="851"/>
        </w:tabs>
        <w:kinsoku/>
        <w:wordWrap/>
        <w:overflowPunct/>
        <w:topLinePunct w:val="0"/>
        <w:autoSpaceDE/>
        <w:autoSpaceDN/>
        <w:bidi w:val="0"/>
        <w:adjustRightInd w:val="0"/>
        <w:snapToGrid w:val="0"/>
        <w:spacing w:line="348"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 未按规定在无锡市政府采购供应商主体信息库注册的；</w:t>
      </w:r>
    </w:p>
    <w:p>
      <w:pPr>
        <w:keepNext w:val="0"/>
        <w:keepLines w:val="0"/>
        <w:pageBreakBefore w:val="0"/>
        <w:tabs>
          <w:tab w:val="left" w:pos="851"/>
        </w:tabs>
        <w:kinsoku/>
        <w:wordWrap/>
        <w:overflowPunct/>
        <w:topLinePunct w:val="0"/>
        <w:autoSpaceDE/>
        <w:autoSpaceDN/>
        <w:bidi w:val="0"/>
        <w:adjustRightInd w:val="0"/>
        <w:snapToGrid w:val="0"/>
        <w:spacing w:line="348"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电子投标文件未按规定期限投标的，纸质投标文件（如有）未按规定的期限、地点送达的；</w:t>
      </w:r>
    </w:p>
    <w:p>
      <w:pPr>
        <w:keepNext w:val="0"/>
        <w:keepLines w:val="0"/>
        <w:pageBreakBefore w:val="0"/>
        <w:tabs>
          <w:tab w:val="left" w:pos="851"/>
        </w:tabs>
        <w:kinsoku/>
        <w:wordWrap/>
        <w:overflowPunct/>
        <w:topLinePunct w:val="0"/>
        <w:autoSpaceDE/>
        <w:autoSpaceDN/>
        <w:bidi w:val="0"/>
        <w:adjustRightInd w:val="0"/>
        <w:snapToGrid w:val="0"/>
        <w:spacing w:line="348"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电子投标文件未按招标文件要求签章的；</w:t>
      </w:r>
    </w:p>
    <w:p>
      <w:pPr>
        <w:keepNext w:val="0"/>
        <w:keepLines w:val="0"/>
        <w:pageBreakBefore w:val="0"/>
        <w:tabs>
          <w:tab w:val="left" w:pos="851"/>
        </w:tabs>
        <w:kinsoku/>
        <w:wordWrap/>
        <w:overflowPunct/>
        <w:topLinePunct w:val="0"/>
        <w:autoSpaceDE/>
        <w:autoSpaceDN/>
        <w:bidi w:val="0"/>
        <w:adjustRightInd w:val="0"/>
        <w:snapToGrid w:val="0"/>
        <w:spacing w:line="348"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投标人未按招标文件要求解密电子投标文件的；</w:t>
      </w:r>
    </w:p>
    <w:p>
      <w:pPr>
        <w:keepNext w:val="0"/>
        <w:keepLines w:val="0"/>
        <w:pageBreakBefore w:val="0"/>
        <w:tabs>
          <w:tab w:val="left" w:pos="851"/>
        </w:tabs>
        <w:kinsoku/>
        <w:wordWrap/>
        <w:overflowPunct/>
        <w:topLinePunct w:val="0"/>
        <w:autoSpaceDE/>
        <w:autoSpaceDN/>
        <w:bidi w:val="0"/>
        <w:adjustRightInd w:val="0"/>
        <w:snapToGrid w:val="0"/>
        <w:spacing w:line="348"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投标人的法定代表人授权代表，无法定代表人授权委托书的；</w:t>
      </w:r>
    </w:p>
    <w:p>
      <w:pPr>
        <w:keepNext w:val="0"/>
        <w:keepLines w:val="0"/>
        <w:pageBreakBefore w:val="0"/>
        <w:tabs>
          <w:tab w:val="left" w:pos="851"/>
        </w:tabs>
        <w:kinsoku/>
        <w:wordWrap/>
        <w:overflowPunct/>
        <w:topLinePunct w:val="0"/>
        <w:autoSpaceDE/>
        <w:autoSpaceDN/>
        <w:bidi w:val="0"/>
        <w:adjustRightInd w:val="0"/>
        <w:snapToGrid w:val="0"/>
        <w:spacing w:line="348"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不具备招标文件中规定的资格要求或未按招标文件规定的要求提供资格、资信证明文件的；</w:t>
      </w:r>
    </w:p>
    <w:p>
      <w:pPr>
        <w:keepNext w:val="0"/>
        <w:keepLines w:val="0"/>
        <w:pageBreakBefore w:val="0"/>
        <w:tabs>
          <w:tab w:val="left" w:pos="851"/>
        </w:tabs>
        <w:kinsoku/>
        <w:wordWrap/>
        <w:overflowPunct/>
        <w:topLinePunct w:val="0"/>
        <w:autoSpaceDE/>
        <w:autoSpaceDN/>
        <w:bidi w:val="0"/>
        <w:adjustRightInd w:val="0"/>
        <w:snapToGrid w:val="0"/>
        <w:spacing w:line="348"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 投标文件未按招标文件规定的内容和要求填写的；没有在投标系统指定位置上传对应文件、材料的；</w:t>
      </w:r>
    </w:p>
    <w:p>
      <w:pPr>
        <w:keepNext w:val="0"/>
        <w:keepLines w:val="0"/>
        <w:pageBreakBefore w:val="0"/>
        <w:tabs>
          <w:tab w:val="left" w:pos="851"/>
        </w:tabs>
        <w:kinsoku/>
        <w:wordWrap/>
        <w:overflowPunct/>
        <w:topLinePunct w:val="0"/>
        <w:autoSpaceDE/>
        <w:autoSpaceDN/>
        <w:bidi w:val="0"/>
        <w:adjustRightInd w:val="0"/>
        <w:snapToGrid w:val="0"/>
        <w:spacing w:line="348"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 投标文件书写潦草、字迹模糊不清、无法辨认的；</w:t>
      </w:r>
    </w:p>
    <w:p>
      <w:pPr>
        <w:keepNext w:val="0"/>
        <w:keepLines w:val="0"/>
        <w:pageBreakBefore w:val="0"/>
        <w:tabs>
          <w:tab w:val="left" w:pos="851"/>
        </w:tabs>
        <w:kinsoku/>
        <w:wordWrap/>
        <w:overflowPunct/>
        <w:topLinePunct w:val="0"/>
        <w:autoSpaceDE/>
        <w:autoSpaceDN/>
        <w:bidi w:val="0"/>
        <w:adjustRightInd w:val="0"/>
        <w:snapToGrid w:val="0"/>
        <w:spacing w:line="348"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 投标文件中有采购文件未允许提供的选择性内容；</w:t>
      </w:r>
    </w:p>
    <w:p>
      <w:pPr>
        <w:keepNext w:val="0"/>
        <w:keepLines w:val="0"/>
        <w:pageBreakBefore w:val="0"/>
        <w:tabs>
          <w:tab w:val="left" w:pos="851"/>
        </w:tabs>
        <w:kinsoku/>
        <w:wordWrap/>
        <w:overflowPunct/>
        <w:topLinePunct w:val="0"/>
        <w:autoSpaceDE/>
        <w:autoSpaceDN/>
        <w:bidi w:val="0"/>
        <w:adjustRightInd w:val="0"/>
        <w:snapToGrid w:val="0"/>
        <w:spacing w:line="348"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 不同投标人投标文件相互混装的；</w:t>
      </w:r>
    </w:p>
    <w:p>
      <w:pPr>
        <w:keepNext w:val="0"/>
        <w:keepLines w:val="0"/>
        <w:pageBreakBefore w:val="0"/>
        <w:tabs>
          <w:tab w:val="left" w:pos="851"/>
        </w:tabs>
        <w:kinsoku/>
        <w:wordWrap/>
        <w:overflowPunct/>
        <w:topLinePunct w:val="0"/>
        <w:autoSpaceDE/>
        <w:autoSpaceDN/>
        <w:bidi w:val="0"/>
        <w:adjustRightInd w:val="0"/>
        <w:snapToGrid w:val="0"/>
        <w:spacing w:line="348"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 不同投标人投标文件中的项目相关人员出现同一人的；</w:t>
      </w:r>
    </w:p>
    <w:p>
      <w:pPr>
        <w:keepNext w:val="0"/>
        <w:keepLines w:val="0"/>
        <w:pageBreakBefore w:val="0"/>
        <w:tabs>
          <w:tab w:val="left" w:pos="851"/>
        </w:tabs>
        <w:kinsoku/>
        <w:wordWrap/>
        <w:overflowPunct/>
        <w:topLinePunct w:val="0"/>
        <w:autoSpaceDE/>
        <w:autoSpaceDN/>
        <w:bidi w:val="0"/>
        <w:adjustRightInd w:val="0"/>
        <w:snapToGrid w:val="0"/>
        <w:spacing w:line="348"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 不同投标人聘请同一人为其投标提供技术或经济咨询服务的；</w:t>
      </w:r>
    </w:p>
    <w:p>
      <w:pPr>
        <w:keepNext w:val="0"/>
        <w:keepLines w:val="0"/>
        <w:pageBreakBefore w:val="0"/>
        <w:tabs>
          <w:tab w:val="left" w:pos="851"/>
        </w:tabs>
        <w:kinsoku/>
        <w:wordWrap/>
        <w:overflowPunct/>
        <w:topLinePunct w:val="0"/>
        <w:autoSpaceDE/>
        <w:autoSpaceDN/>
        <w:bidi w:val="0"/>
        <w:adjustRightInd w:val="0"/>
        <w:snapToGrid w:val="0"/>
        <w:spacing w:line="348"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 不同投标人的投标文件的装订形式、纸张情况、目录序号、排版格式、文字风格等存在明显的相似性或一致性，特征显示由同一单位或者同一个人编制的；</w:t>
      </w:r>
    </w:p>
    <w:p>
      <w:pPr>
        <w:keepNext w:val="0"/>
        <w:keepLines w:val="0"/>
        <w:pageBreakBefore w:val="0"/>
        <w:tabs>
          <w:tab w:val="left" w:pos="851"/>
        </w:tabs>
        <w:kinsoku/>
        <w:wordWrap/>
        <w:overflowPunct/>
        <w:topLinePunct w:val="0"/>
        <w:autoSpaceDE/>
        <w:autoSpaceDN/>
        <w:bidi w:val="0"/>
        <w:adjustRightInd w:val="0"/>
        <w:snapToGrid w:val="0"/>
        <w:spacing w:line="348"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14. 不同投标人委托同一单位或者个人办理投标事宜；</w:t>
      </w:r>
    </w:p>
    <w:p>
      <w:pPr>
        <w:keepNext w:val="0"/>
        <w:keepLines w:val="0"/>
        <w:pageBreakBefore w:val="0"/>
        <w:tabs>
          <w:tab w:val="left" w:pos="851"/>
        </w:tabs>
        <w:kinsoku/>
        <w:wordWrap/>
        <w:overflowPunct/>
        <w:topLinePunct w:val="0"/>
        <w:autoSpaceDE/>
        <w:autoSpaceDN/>
        <w:bidi w:val="0"/>
        <w:adjustRightInd w:val="0"/>
        <w:snapToGrid w:val="0"/>
        <w:spacing w:line="348"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 不同投标人的投标文件载明的项目管理成员或者联系人员为同一人；</w:t>
      </w:r>
    </w:p>
    <w:p>
      <w:pPr>
        <w:keepNext w:val="0"/>
        <w:keepLines w:val="0"/>
        <w:pageBreakBefore w:val="0"/>
        <w:tabs>
          <w:tab w:val="left" w:pos="851"/>
        </w:tabs>
        <w:kinsoku/>
        <w:wordWrap/>
        <w:overflowPunct/>
        <w:topLinePunct w:val="0"/>
        <w:autoSpaceDE/>
        <w:autoSpaceDN/>
        <w:bidi w:val="0"/>
        <w:adjustRightInd w:val="0"/>
        <w:snapToGrid w:val="0"/>
        <w:spacing w:line="348"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16. 不同投标人的投标文件异常一致或者投标报价呈规律性差异；</w:t>
      </w:r>
    </w:p>
    <w:p>
      <w:pPr>
        <w:keepNext w:val="0"/>
        <w:keepLines w:val="0"/>
        <w:pageBreakBefore w:val="0"/>
        <w:tabs>
          <w:tab w:val="left" w:pos="851"/>
        </w:tabs>
        <w:kinsoku/>
        <w:wordWrap/>
        <w:overflowPunct/>
        <w:topLinePunct w:val="0"/>
        <w:autoSpaceDE/>
        <w:autoSpaceDN/>
        <w:bidi w:val="0"/>
        <w:adjustRightInd w:val="0"/>
        <w:snapToGrid w:val="0"/>
        <w:spacing w:line="348"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 不同投标人投标文件内容存在非正常一致、项目组成员出现同一人、投标文件中错误（或异常）一致或雷同、电子文档信息一致或雷同的；</w:t>
      </w:r>
    </w:p>
    <w:p>
      <w:pPr>
        <w:keepNext w:val="0"/>
        <w:keepLines w:val="0"/>
        <w:pageBreakBefore w:val="0"/>
        <w:tabs>
          <w:tab w:val="left" w:pos="851"/>
        </w:tabs>
        <w:kinsoku/>
        <w:wordWrap/>
        <w:overflowPunct/>
        <w:topLinePunct w:val="0"/>
        <w:autoSpaceDE/>
        <w:autoSpaceDN/>
        <w:bidi w:val="0"/>
        <w:adjustRightInd w:val="0"/>
        <w:snapToGrid w:val="0"/>
        <w:spacing w:line="348"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18. 不同投标人的委托代理人、项目负责人以及其他相关人员有在同一个单位缴纳社会保险；</w:t>
      </w:r>
    </w:p>
    <w:p>
      <w:pPr>
        <w:keepNext w:val="0"/>
        <w:keepLines w:val="0"/>
        <w:pageBreakBefore w:val="0"/>
        <w:tabs>
          <w:tab w:val="left" w:pos="851"/>
        </w:tabs>
        <w:kinsoku/>
        <w:wordWrap/>
        <w:overflowPunct/>
        <w:topLinePunct w:val="0"/>
        <w:autoSpaceDE/>
        <w:autoSpaceDN/>
        <w:bidi w:val="0"/>
        <w:adjustRightInd w:val="0"/>
        <w:snapToGrid w:val="0"/>
        <w:spacing w:line="348"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19. 不同投标人的单位负责人为同一人或者存在直接控股、管理关系的；</w:t>
      </w:r>
    </w:p>
    <w:p>
      <w:pPr>
        <w:keepNext w:val="0"/>
        <w:keepLines w:val="0"/>
        <w:pageBreakBefore w:val="0"/>
        <w:tabs>
          <w:tab w:val="left" w:pos="851"/>
        </w:tabs>
        <w:kinsoku/>
        <w:wordWrap/>
        <w:overflowPunct/>
        <w:topLinePunct w:val="0"/>
        <w:autoSpaceDE/>
        <w:autoSpaceDN/>
        <w:bidi w:val="0"/>
        <w:adjustRightInd w:val="0"/>
        <w:snapToGrid w:val="0"/>
        <w:spacing w:line="348"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20. 同一投标文件中单位名称落款与公章不是同一单位的；</w:t>
      </w:r>
    </w:p>
    <w:p>
      <w:pPr>
        <w:keepNext w:val="0"/>
        <w:keepLines w:val="0"/>
        <w:pageBreakBefore w:val="0"/>
        <w:tabs>
          <w:tab w:val="left" w:pos="851"/>
        </w:tabs>
        <w:kinsoku/>
        <w:wordWrap/>
        <w:overflowPunct/>
        <w:topLinePunct w:val="0"/>
        <w:autoSpaceDE/>
        <w:autoSpaceDN/>
        <w:bidi w:val="0"/>
        <w:adjustRightInd w:val="0"/>
        <w:snapToGrid w:val="0"/>
        <w:spacing w:line="348"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21. 提供虚假材料的（包括工商营业执照、财务报表、资格证明文件等）；</w:t>
      </w:r>
    </w:p>
    <w:p>
      <w:pPr>
        <w:keepNext w:val="0"/>
        <w:keepLines w:val="0"/>
        <w:pageBreakBefore w:val="0"/>
        <w:tabs>
          <w:tab w:val="left" w:pos="851"/>
        </w:tabs>
        <w:kinsoku/>
        <w:wordWrap/>
        <w:overflowPunct/>
        <w:topLinePunct w:val="0"/>
        <w:autoSpaceDE/>
        <w:autoSpaceDN/>
        <w:bidi w:val="0"/>
        <w:adjustRightInd w:val="0"/>
        <w:snapToGrid w:val="0"/>
        <w:spacing w:line="348"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22. 有一项★号指标负偏离；</w:t>
      </w:r>
    </w:p>
    <w:p>
      <w:pPr>
        <w:keepNext w:val="0"/>
        <w:keepLines w:val="0"/>
        <w:pageBreakBefore w:val="0"/>
        <w:tabs>
          <w:tab w:val="left" w:pos="851"/>
        </w:tabs>
        <w:kinsoku/>
        <w:wordWrap/>
        <w:overflowPunct/>
        <w:topLinePunct w:val="0"/>
        <w:autoSpaceDE/>
        <w:autoSpaceDN/>
        <w:bidi w:val="0"/>
        <w:adjustRightInd w:val="0"/>
        <w:snapToGrid w:val="0"/>
        <w:spacing w:line="348"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23. 项目（标段）投标总价超过本项目（标段）预算或者最高限价的；</w:t>
      </w:r>
    </w:p>
    <w:p>
      <w:pPr>
        <w:keepNext w:val="0"/>
        <w:keepLines w:val="0"/>
        <w:pageBreakBefore w:val="0"/>
        <w:tabs>
          <w:tab w:val="left" w:pos="851"/>
        </w:tabs>
        <w:kinsoku/>
        <w:wordWrap/>
        <w:overflowPunct/>
        <w:topLinePunct w:val="0"/>
        <w:autoSpaceDE/>
        <w:autoSpaceDN/>
        <w:bidi w:val="0"/>
        <w:adjustRightInd w:val="0"/>
        <w:snapToGrid w:val="0"/>
        <w:spacing w:line="348"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24. 投标文件内容不全或不符合法律法规和采购文件中规定的其它实质性要求的；</w:t>
      </w:r>
    </w:p>
    <w:p>
      <w:pPr>
        <w:keepNext w:val="0"/>
        <w:keepLines w:val="0"/>
        <w:pageBreakBefore w:val="0"/>
        <w:tabs>
          <w:tab w:val="left" w:pos="851"/>
        </w:tabs>
        <w:kinsoku/>
        <w:wordWrap/>
        <w:overflowPunct/>
        <w:topLinePunct w:val="0"/>
        <w:autoSpaceDE/>
        <w:autoSpaceDN/>
        <w:bidi w:val="0"/>
        <w:adjustRightInd w:val="0"/>
        <w:snapToGrid w:val="0"/>
        <w:spacing w:line="348"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25. 除单一来源采购项目外，为采购项目提供整体设计、规范编制或者项目管理、监理、检测等服务的；</w:t>
      </w:r>
    </w:p>
    <w:p>
      <w:pPr>
        <w:keepNext w:val="0"/>
        <w:keepLines w:val="0"/>
        <w:pageBreakBefore w:val="0"/>
        <w:tabs>
          <w:tab w:val="left" w:pos="851"/>
        </w:tabs>
        <w:kinsoku/>
        <w:wordWrap/>
        <w:overflowPunct/>
        <w:topLinePunct w:val="0"/>
        <w:autoSpaceDE/>
        <w:autoSpaceDN/>
        <w:bidi w:val="0"/>
        <w:adjustRightInd w:val="0"/>
        <w:snapToGrid w:val="0"/>
        <w:spacing w:line="348"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26.被列入失信被执行人、重大税收违法案件当事人名单、政府采购严重违法失信行为记录名单的；</w:t>
      </w:r>
    </w:p>
    <w:p>
      <w:pPr>
        <w:keepNext w:val="0"/>
        <w:keepLines w:val="0"/>
        <w:pageBreakBefore w:val="0"/>
        <w:tabs>
          <w:tab w:val="left" w:pos="851"/>
        </w:tabs>
        <w:kinsoku/>
        <w:wordWrap/>
        <w:overflowPunct/>
        <w:topLinePunct w:val="0"/>
        <w:autoSpaceDE/>
        <w:autoSpaceDN/>
        <w:bidi w:val="0"/>
        <w:adjustRightInd w:val="0"/>
        <w:snapToGrid w:val="0"/>
        <w:spacing w:line="348"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27. 投标文件含有采购人不能接受的附加条件的；</w:t>
      </w:r>
    </w:p>
    <w:p>
      <w:pPr>
        <w:keepNext w:val="0"/>
        <w:keepLines w:val="0"/>
        <w:pageBreakBefore w:val="0"/>
        <w:tabs>
          <w:tab w:val="left" w:pos="851"/>
        </w:tabs>
        <w:kinsoku/>
        <w:wordWrap/>
        <w:overflowPunct/>
        <w:topLinePunct w:val="0"/>
        <w:autoSpaceDE/>
        <w:autoSpaceDN/>
        <w:bidi w:val="0"/>
        <w:adjustRightInd w:val="0"/>
        <w:snapToGrid w:val="0"/>
        <w:spacing w:line="348"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28. 评标委员会认定投标人的报价明显低于其他通过符合性审查投标人的报价，有可能影响产品质量或者不能诚信履约，且投标人不能应评标委员会要求在评标现场合理的时间内提供书面说明（必要时评标委员会可要求投标人提交相关证明材料）证明其报价合理性的；</w:t>
      </w:r>
    </w:p>
    <w:p>
      <w:pPr>
        <w:keepNext w:val="0"/>
        <w:keepLines w:val="0"/>
        <w:pageBreakBefore w:val="0"/>
        <w:tabs>
          <w:tab w:val="left" w:pos="851"/>
        </w:tabs>
        <w:kinsoku/>
        <w:wordWrap/>
        <w:overflowPunct/>
        <w:topLinePunct w:val="0"/>
        <w:autoSpaceDE/>
        <w:autoSpaceDN/>
        <w:bidi w:val="0"/>
        <w:adjustRightInd w:val="0"/>
        <w:snapToGrid w:val="0"/>
        <w:spacing w:line="348"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29. 有法律法规规定的其他围标、串标行为的；</w:t>
      </w:r>
    </w:p>
    <w:p>
      <w:pPr>
        <w:keepNext w:val="0"/>
        <w:keepLines w:val="0"/>
        <w:pageBreakBefore w:val="0"/>
        <w:tabs>
          <w:tab w:val="left" w:pos="851"/>
        </w:tabs>
        <w:kinsoku/>
        <w:wordWrap/>
        <w:overflowPunct/>
        <w:topLinePunct w:val="0"/>
        <w:autoSpaceDE/>
        <w:autoSpaceDN/>
        <w:bidi w:val="0"/>
        <w:adjustRightInd w:val="0"/>
        <w:snapToGrid w:val="0"/>
        <w:spacing w:line="348"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30. 法律、法规和采购文件规定的其他无效情形。</w:t>
      </w:r>
    </w:p>
    <w:p>
      <w:pPr>
        <w:keepNext w:val="0"/>
        <w:keepLines w:val="0"/>
        <w:pageBreakBefore w:val="0"/>
        <w:kinsoku/>
        <w:wordWrap/>
        <w:overflowPunct/>
        <w:topLinePunct w:val="0"/>
        <w:autoSpaceDE/>
        <w:autoSpaceDN/>
        <w:bidi w:val="0"/>
        <w:adjustRightInd w:val="0"/>
        <w:snapToGrid w:val="0"/>
        <w:spacing w:line="348" w:lineRule="auto"/>
        <w:ind w:firstLine="480" w:firstLineChars="200"/>
        <w:outlineLvl w:val="0"/>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（九）开标、评标：</w:t>
      </w:r>
    </w:p>
    <w:p>
      <w:pPr>
        <w:keepNext w:val="0"/>
        <w:keepLines w:val="0"/>
        <w:pageBreakBefore w:val="0"/>
        <w:kinsoku/>
        <w:wordWrap/>
        <w:overflowPunct/>
        <w:topLinePunct w:val="0"/>
        <w:autoSpaceDE/>
        <w:autoSpaceDN/>
        <w:bidi w:val="0"/>
        <w:adjustRightInd w:val="0"/>
        <w:snapToGrid w:val="0"/>
        <w:spacing w:line="348" w:lineRule="auto"/>
        <w:ind w:left="-2" w:leftChars="-1" w:firstLine="420" w:firstLineChars="175"/>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所有投标单位在招标文件规定的时间内解密各自投标文件。</w:t>
      </w:r>
      <w:r>
        <w:rPr>
          <w:rFonts w:hint="eastAsia" w:ascii="宋体" w:hAnsi="宋体"/>
          <w:bCs/>
          <w:color w:val="000000" w:themeColor="text1"/>
          <w:sz w:val="24"/>
          <w14:textFill>
            <w14:solidFill>
              <w14:schemeClr w14:val="tx1"/>
            </w14:solidFill>
          </w14:textFill>
        </w:rPr>
        <w:t>投标人须自行准备设备（包括但不限于笔记本电脑、无线网络）登录“政府采购交易管理一体化系统” 按招标文件规定时间解密。</w:t>
      </w:r>
    </w:p>
    <w:p>
      <w:pPr>
        <w:keepNext w:val="0"/>
        <w:keepLines w:val="0"/>
        <w:pageBreakBefore w:val="0"/>
        <w:tabs>
          <w:tab w:val="left" w:pos="525"/>
          <w:tab w:val="left" w:pos="945"/>
        </w:tabs>
        <w:kinsoku/>
        <w:wordWrap/>
        <w:overflowPunct/>
        <w:topLinePunct w:val="0"/>
        <w:autoSpaceDE/>
        <w:autoSpaceDN/>
        <w:bidi w:val="0"/>
        <w:adjustRightInd w:val="0"/>
        <w:snapToGrid w:val="0"/>
        <w:spacing w:line="348"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投标截止时间后参加投标的供应商或解密投标文件的供应商不足三家的，不开标；开标后，所有投标供应商可在线上开标大厅中看到所有投标人的投标报价；投标供应商在线对报价记录表进行确认，如对报价记录表无异议，供应商对报价记录表进行CA签章；如对报价记录表有异议，先申请异议后再进行CA签章。</w:t>
      </w:r>
    </w:p>
    <w:p>
      <w:pPr>
        <w:keepNext w:val="0"/>
        <w:keepLines w:val="0"/>
        <w:pageBreakBefore w:val="0"/>
        <w:tabs>
          <w:tab w:val="left" w:pos="840"/>
          <w:tab w:val="left" w:pos="1050"/>
        </w:tabs>
        <w:kinsoku/>
        <w:wordWrap/>
        <w:overflowPunct/>
        <w:topLinePunct w:val="0"/>
        <w:autoSpaceDE/>
        <w:autoSpaceDN/>
        <w:bidi w:val="0"/>
        <w:adjustRightInd w:val="0"/>
        <w:snapToGrid w:val="0"/>
        <w:spacing w:line="348"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 开标时，投标文件报价出现前后不一致的，按照下列规定修正：</w:t>
      </w:r>
    </w:p>
    <w:p>
      <w:pPr>
        <w:keepNext w:val="0"/>
        <w:keepLines w:val="0"/>
        <w:pageBreakBefore w:val="0"/>
        <w:tabs>
          <w:tab w:val="left" w:pos="840"/>
          <w:tab w:val="left" w:pos="1050"/>
        </w:tabs>
        <w:kinsoku/>
        <w:wordWrap/>
        <w:overflowPunct/>
        <w:topLinePunct w:val="0"/>
        <w:autoSpaceDE/>
        <w:autoSpaceDN/>
        <w:bidi w:val="0"/>
        <w:adjustRightInd w:val="0"/>
        <w:snapToGrid w:val="0"/>
        <w:spacing w:line="348"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（1）投标文件中开标一览表（报价表）内容与投标文件中相应内容不一致的，以开标一览表（报价表）为准；</w:t>
      </w:r>
    </w:p>
    <w:p>
      <w:pPr>
        <w:keepNext w:val="0"/>
        <w:keepLines w:val="0"/>
        <w:pageBreakBefore w:val="0"/>
        <w:tabs>
          <w:tab w:val="left" w:pos="840"/>
          <w:tab w:val="left" w:pos="1050"/>
        </w:tabs>
        <w:kinsoku/>
        <w:wordWrap/>
        <w:overflowPunct/>
        <w:topLinePunct w:val="0"/>
        <w:autoSpaceDE/>
        <w:autoSpaceDN/>
        <w:bidi w:val="0"/>
        <w:adjustRightInd w:val="0"/>
        <w:snapToGrid w:val="0"/>
        <w:spacing w:line="348"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（2）大写金额和小写金额不一致的，以大写金额为准；</w:t>
      </w:r>
    </w:p>
    <w:p>
      <w:pPr>
        <w:keepNext w:val="0"/>
        <w:keepLines w:val="0"/>
        <w:pageBreakBefore w:val="0"/>
        <w:tabs>
          <w:tab w:val="left" w:pos="840"/>
          <w:tab w:val="left" w:pos="1050"/>
        </w:tabs>
        <w:kinsoku/>
        <w:wordWrap/>
        <w:overflowPunct/>
        <w:topLinePunct w:val="0"/>
        <w:autoSpaceDE/>
        <w:autoSpaceDN/>
        <w:bidi w:val="0"/>
        <w:adjustRightInd w:val="0"/>
        <w:snapToGrid w:val="0"/>
        <w:spacing w:line="348"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（3）单价金额小数点或者百分比有明显错位的，以开标一览表的总价为准，并修改单价；</w:t>
      </w:r>
    </w:p>
    <w:p>
      <w:pPr>
        <w:keepNext w:val="0"/>
        <w:keepLines w:val="0"/>
        <w:pageBreakBefore w:val="0"/>
        <w:tabs>
          <w:tab w:val="left" w:pos="840"/>
          <w:tab w:val="left" w:pos="1050"/>
        </w:tabs>
        <w:kinsoku/>
        <w:wordWrap/>
        <w:overflowPunct/>
        <w:topLinePunct w:val="0"/>
        <w:autoSpaceDE/>
        <w:autoSpaceDN/>
        <w:bidi w:val="0"/>
        <w:adjustRightInd w:val="0"/>
        <w:snapToGrid w:val="0"/>
        <w:spacing w:line="348"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（4）总价金额与按单价汇总金额不一致的，以单价金额计算结果为准。</w:t>
      </w:r>
    </w:p>
    <w:p>
      <w:pPr>
        <w:keepNext w:val="0"/>
        <w:keepLines w:val="0"/>
        <w:pageBreakBefore w:val="0"/>
        <w:tabs>
          <w:tab w:val="left" w:pos="840"/>
          <w:tab w:val="left" w:pos="1050"/>
        </w:tabs>
        <w:kinsoku/>
        <w:wordWrap/>
        <w:overflowPunct/>
        <w:topLinePunct w:val="0"/>
        <w:autoSpaceDE/>
        <w:autoSpaceDN/>
        <w:bidi w:val="0"/>
        <w:adjustRightInd w:val="0"/>
        <w:snapToGrid w:val="0"/>
        <w:spacing w:line="348"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（5）电子投标文件与纸质投标文件（如有）不符的，以电子投标文件为准；电子开标一览表中的投标报价与投标文件中的投标报价不一致的，以系统开标时公布的电子开标一览表为准。</w:t>
      </w:r>
    </w:p>
    <w:p>
      <w:pPr>
        <w:keepNext w:val="0"/>
        <w:keepLines w:val="0"/>
        <w:pageBreakBefore w:val="0"/>
        <w:tabs>
          <w:tab w:val="left" w:pos="840"/>
          <w:tab w:val="left" w:pos="1050"/>
        </w:tabs>
        <w:kinsoku/>
        <w:wordWrap/>
        <w:overflowPunct/>
        <w:topLinePunct w:val="0"/>
        <w:autoSpaceDE/>
        <w:autoSpaceDN/>
        <w:bidi w:val="0"/>
        <w:adjustRightInd w:val="0"/>
        <w:snapToGrid w:val="0"/>
        <w:spacing w:line="348"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同时出现两种以上不一致的，按照前款规定的顺序修正。修正后的报价评标委员会应当以书面形式要求投标人作出必要的澄清、说明或者补正，经投标人确认后产生约束力，投标人不确认的，其投标无效。</w:t>
      </w:r>
    </w:p>
    <w:p>
      <w:pPr>
        <w:keepNext w:val="0"/>
        <w:keepLines w:val="0"/>
        <w:pageBreakBefore w:val="0"/>
        <w:tabs>
          <w:tab w:val="left" w:pos="945"/>
          <w:tab w:val="left" w:pos="1125"/>
        </w:tabs>
        <w:kinsoku/>
        <w:wordWrap/>
        <w:overflowPunct/>
        <w:topLinePunct w:val="0"/>
        <w:autoSpaceDE/>
        <w:autoSpaceDN/>
        <w:bidi w:val="0"/>
        <w:adjustRightInd w:val="0"/>
        <w:snapToGrid w:val="0"/>
        <w:spacing w:line="348"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 投标人未参加开标的，视同认可开标结果。</w:t>
      </w:r>
      <w:r>
        <w:rPr>
          <w:rFonts w:hint="eastAsia" w:ascii="宋体" w:hAnsi="宋体"/>
          <w:bCs/>
          <w:color w:val="000000" w:themeColor="text1"/>
          <w:sz w:val="24"/>
          <w14:textFill>
            <w14:solidFill>
              <w14:schemeClr w14:val="tx1"/>
            </w14:solidFill>
          </w14:textFill>
        </w:rPr>
        <w:t>开标后，</w:t>
      </w:r>
      <w:r>
        <w:rPr>
          <w:rFonts w:hint="eastAsia" w:ascii="宋体" w:hAnsi="宋体" w:cs="宋体"/>
          <w:color w:val="000000" w:themeColor="text1"/>
          <w:sz w:val="24"/>
          <w:szCs w:val="24"/>
          <w14:textFill>
            <w14:solidFill>
              <w14:schemeClr w14:val="tx1"/>
            </w14:solidFill>
          </w14:textFill>
        </w:rPr>
        <w:t>投标的供应商应</w:t>
      </w:r>
      <w:r>
        <w:rPr>
          <w:rFonts w:hint="eastAsia" w:ascii="宋体" w:hAnsi="宋体"/>
          <w:bCs/>
          <w:color w:val="000000" w:themeColor="text1"/>
          <w:sz w:val="24"/>
          <w14:textFill>
            <w14:solidFill>
              <w14:schemeClr w14:val="tx1"/>
            </w14:solidFill>
          </w14:textFill>
        </w:rPr>
        <w:t>在评标过程中保持在线，等待评标委员会的询标和评标结果，中途不得离开。如未按要求应答，由此所产生的损失及风险由投标人自行承担。</w:t>
      </w:r>
    </w:p>
    <w:p>
      <w:pPr>
        <w:keepNext w:val="0"/>
        <w:keepLines w:val="0"/>
        <w:pageBreakBefore w:val="0"/>
        <w:tabs>
          <w:tab w:val="left" w:pos="840"/>
          <w:tab w:val="left" w:pos="1050"/>
        </w:tabs>
        <w:kinsoku/>
        <w:wordWrap/>
        <w:overflowPunct/>
        <w:topLinePunct w:val="0"/>
        <w:autoSpaceDE/>
        <w:autoSpaceDN/>
        <w:bidi w:val="0"/>
        <w:adjustRightInd w:val="0"/>
        <w:snapToGrid w:val="0"/>
        <w:spacing w:line="348"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 评标程序</w:t>
      </w:r>
    </w:p>
    <w:p>
      <w:pPr>
        <w:keepNext w:val="0"/>
        <w:keepLines w:val="0"/>
        <w:pageBreakBefore w:val="0"/>
        <w:tabs>
          <w:tab w:val="left" w:pos="840"/>
          <w:tab w:val="left" w:pos="1050"/>
        </w:tabs>
        <w:kinsoku/>
        <w:wordWrap/>
        <w:overflowPunct/>
        <w:topLinePunct w:val="0"/>
        <w:autoSpaceDE/>
        <w:autoSpaceDN/>
        <w:bidi w:val="0"/>
        <w:adjustRightInd w:val="0"/>
        <w:snapToGrid w:val="0"/>
        <w:spacing w:line="348" w:lineRule="auto"/>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评标工作由无锡市卫生健康综合服务中心负责组织，具体评标事务由依法组建的评标委员会负责。</w:t>
      </w:r>
    </w:p>
    <w:p>
      <w:pPr>
        <w:keepNext w:val="0"/>
        <w:keepLines w:val="0"/>
        <w:pageBreakBefore w:val="0"/>
        <w:tabs>
          <w:tab w:val="left" w:pos="840"/>
          <w:tab w:val="left" w:pos="1050"/>
        </w:tabs>
        <w:kinsoku/>
        <w:wordWrap/>
        <w:overflowPunct/>
        <w:topLinePunct w:val="0"/>
        <w:autoSpaceDE/>
        <w:autoSpaceDN/>
        <w:bidi w:val="0"/>
        <w:adjustRightInd w:val="0"/>
        <w:snapToGrid w:val="0"/>
        <w:spacing w:line="348" w:lineRule="auto"/>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（1）投标文件初审。初审分为资格性检查和符合性检查。</w:t>
      </w:r>
    </w:p>
    <w:p>
      <w:pPr>
        <w:keepNext w:val="0"/>
        <w:keepLines w:val="0"/>
        <w:pageBreakBefore w:val="0"/>
        <w:tabs>
          <w:tab w:val="left" w:pos="840"/>
          <w:tab w:val="left" w:pos="1050"/>
        </w:tabs>
        <w:kinsoku/>
        <w:wordWrap/>
        <w:overflowPunct/>
        <w:topLinePunct w:val="0"/>
        <w:autoSpaceDE/>
        <w:autoSpaceDN/>
        <w:bidi w:val="0"/>
        <w:adjustRightInd w:val="0"/>
        <w:snapToGrid w:val="0"/>
        <w:spacing w:line="348" w:lineRule="auto"/>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① 资格性检查。采购人依据法律法规和招标文件的规定，对投标文件中的资格性文件进行审查；通过“信用中国”网站（www.creditchina.gov.cn）、中国政府采购网(www.ccgp.gov.cn)查询投标供应商在投标截止时间之前，是否被列入失信被执行人、重大税收违法案件当事人名单、政府采购严重违法失信行为记录名单，以确定投标供应商是否具备投标资格。对列入失信被执行人、重大税收违法案件当事人名单、政府采购严重违法失信行为记录名单及其他不符合《中华人民共和国政府采购法》第二十二条规定条件的供应商，拒绝其参与政府采购活动。信用查询结果以网页打印的形式留存并归档。</w:t>
      </w:r>
    </w:p>
    <w:p>
      <w:pPr>
        <w:keepNext w:val="0"/>
        <w:keepLines w:val="0"/>
        <w:pageBreakBefore w:val="0"/>
        <w:tabs>
          <w:tab w:val="left" w:pos="840"/>
          <w:tab w:val="left" w:pos="1050"/>
        </w:tabs>
        <w:kinsoku/>
        <w:wordWrap/>
        <w:overflowPunct/>
        <w:topLinePunct w:val="0"/>
        <w:autoSpaceDE/>
        <w:autoSpaceDN/>
        <w:bidi w:val="0"/>
        <w:adjustRightInd w:val="0"/>
        <w:snapToGrid w:val="0"/>
        <w:spacing w:line="348" w:lineRule="auto"/>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② 符合性检查。评标委员会对符合资格的投标人的投标文件进行符合性审查，以确定其是否满足招标文件的实质性要求。</w:t>
      </w:r>
    </w:p>
    <w:p>
      <w:pPr>
        <w:keepNext w:val="0"/>
        <w:keepLines w:val="0"/>
        <w:pageBreakBefore w:val="0"/>
        <w:tabs>
          <w:tab w:val="left" w:pos="840"/>
          <w:tab w:val="left" w:pos="1050"/>
        </w:tabs>
        <w:kinsoku/>
        <w:wordWrap/>
        <w:overflowPunct/>
        <w:topLinePunct w:val="0"/>
        <w:autoSpaceDE/>
        <w:autoSpaceDN/>
        <w:bidi w:val="0"/>
        <w:adjustRightInd w:val="0"/>
        <w:snapToGrid w:val="0"/>
        <w:spacing w:line="348" w:lineRule="auto"/>
        <w:ind w:firstLine="480" w:firstLineChars="200"/>
        <w:rPr>
          <w:rFonts w:ascii="宋体"/>
          <w:b/>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（2）澄清有关问题。</w:t>
      </w:r>
      <w:r>
        <w:rPr>
          <w:rFonts w:hint="eastAsia"/>
          <w:color w:val="000000" w:themeColor="text1"/>
          <w:sz w:val="24"/>
          <w:szCs w:val="24"/>
          <w14:textFill>
            <w14:solidFill>
              <w14:schemeClr w14:val="tx1"/>
            </w14:solidFill>
          </w14:textFill>
        </w:rPr>
        <w:t>对投标文件中含义不明确、同类问题表述不一致或者有明显文字和计算错误的内容，评标委员会可以通过政府采购交易管理一体化系统发起询标，要求投标人作出必要的澄清、说明或者纠正。</w:t>
      </w:r>
      <w:r>
        <w:rPr>
          <w:rFonts w:hint="eastAsia"/>
          <w:b/>
          <w:bCs/>
          <w:color w:val="000000" w:themeColor="text1"/>
          <w:sz w:val="24"/>
          <w:szCs w:val="24"/>
          <w14:textFill>
            <w14:solidFill>
              <w14:schemeClr w14:val="tx1"/>
            </w14:solidFill>
          </w14:textFill>
        </w:rPr>
        <w:t>投标人的澄清、说明或者补正应当通过政府采购交易管理一体化系统，由其授权的代表应答并加盖电子公章，且不得超出投标文件的范围或者改变投标文件的实质性内容。</w:t>
      </w:r>
    </w:p>
    <w:p>
      <w:pPr>
        <w:keepNext w:val="0"/>
        <w:keepLines w:val="0"/>
        <w:pageBreakBefore w:val="0"/>
        <w:tabs>
          <w:tab w:val="left" w:pos="840"/>
          <w:tab w:val="left" w:pos="1050"/>
        </w:tabs>
        <w:kinsoku/>
        <w:wordWrap/>
        <w:overflowPunct/>
        <w:topLinePunct w:val="0"/>
        <w:autoSpaceDE/>
        <w:autoSpaceDN/>
        <w:bidi w:val="0"/>
        <w:adjustRightInd w:val="0"/>
        <w:snapToGrid w:val="0"/>
        <w:spacing w:line="348" w:lineRule="auto"/>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（3）比较与评价。按招标文件中规定的评标方法和标准，对资格性检查和符合性检查合格的投标文件进行商务和技术评估，综合比较与评价。</w:t>
      </w:r>
    </w:p>
    <w:p>
      <w:pPr>
        <w:keepNext w:val="0"/>
        <w:keepLines w:val="0"/>
        <w:pageBreakBefore w:val="0"/>
        <w:tabs>
          <w:tab w:val="left" w:pos="1155"/>
          <w:tab w:val="left" w:pos="1365"/>
        </w:tabs>
        <w:kinsoku/>
        <w:wordWrap/>
        <w:overflowPunct/>
        <w:topLinePunct w:val="0"/>
        <w:autoSpaceDE/>
        <w:autoSpaceDN/>
        <w:bidi w:val="0"/>
        <w:adjustRightInd w:val="0"/>
        <w:snapToGrid w:val="0"/>
        <w:spacing w:line="348" w:lineRule="auto"/>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评标方法</w:t>
      </w:r>
    </w:p>
    <w:p>
      <w:pPr>
        <w:keepNext w:val="0"/>
        <w:keepLines w:val="0"/>
        <w:pageBreakBefore w:val="0"/>
        <w:kinsoku/>
        <w:wordWrap/>
        <w:overflowPunct/>
        <w:topLinePunct w:val="0"/>
        <w:autoSpaceDE/>
        <w:autoSpaceDN/>
        <w:bidi w:val="0"/>
        <w:adjustRightInd w:val="0"/>
        <w:snapToGrid w:val="0"/>
        <w:spacing w:line="348" w:lineRule="auto"/>
        <w:ind w:firstLine="523" w:firstLineChars="218"/>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投标人通过初审的，方可进入比较与评价程序。</w:t>
      </w:r>
    </w:p>
    <w:p>
      <w:pPr>
        <w:keepNext w:val="0"/>
        <w:keepLines w:val="0"/>
        <w:pageBreakBefore w:val="0"/>
        <w:kinsoku/>
        <w:wordWrap/>
        <w:overflowPunct/>
        <w:topLinePunct w:val="0"/>
        <w:autoSpaceDE/>
        <w:autoSpaceDN/>
        <w:bidi w:val="0"/>
        <w:adjustRightInd w:val="0"/>
        <w:snapToGrid w:val="0"/>
        <w:spacing w:line="348" w:lineRule="auto"/>
        <w:ind w:firstLine="523" w:firstLineChars="218"/>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比较与评价采用综合评分法（计分均保留</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位小数）。</w:t>
      </w:r>
    </w:p>
    <w:p>
      <w:pPr>
        <w:keepNext w:val="0"/>
        <w:keepLines w:val="0"/>
        <w:pageBreakBefore w:val="0"/>
        <w:tabs>
          <w:tab w:val="left" w:pos="1155"/>
        </w:tabs>
        <w:kinsoku/>
        <w:wordWrap/>
        <w:overflowPunct/>
        <w:topLinePunct w:val="0"/>
        <w:autoSpaceDE/>
        <w:autoSpaceDN/>
        <w:bidi w:val="0"/>
        <w:adjustRightInd w:val="0"/>
        <w:snapToGrid w:val="0"/>
        <w:spacing w:line="348"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评标委员会遵循公平、公正、择优原则，独立按照评分标准按标段分别评定投标人的分值；各投标人的最终得分为各评委所评定分值的平均值，并按高低顺序排列，确定中标单位。若得分相同，按投标报价由低到高顺序排列。得分且投标报价相同的并列。投标文件满足招标文件全部实质性要求，且按照技术指标评审得分最高的投标人为排名第一的中标候选人。</w:t>
      </w:r>
      <w:bookmarkStart w:id="17" w:name="OLE_LINK47"/>
      <w:bookmarkStart w:id="18" w:name="OLE_LINK48"/>
      <w:r>
        <w:rPr>
          <w:rFonts w:hint="eastAsia" w:ascii="宋体" w:hAnsi="宋体" w:cs="宋体"/>
          <w:color w:val="000000" w:themeColor="text1"/>
          <w:sz w:val="24"/>
          <w:szCs w:val="24"/>
          <w14:textFill>
            <w14:solidFill>
              <w14:schemeClr w14:val="tx1"/>
            </w14:solidFill>
          </w14:textFill>
        </w:rPr>
        <w:t>提供相同品牌产品且通过资格审查、符合性审查的不同投标人参加同一合同项下投标的，按一家投标人计算，评审后得分最高的同品牌投标人获得中标人推荐资格；评审得分相同的，由采购人确定一个投标人获得中标人推荐资格，</w:t>
      </w:r>
      <w:bookmarkEnd w:id="17"/>
      <w:bookmarkEnd w:id="18"/>
      <w:r>
        <w:rPr>
          <w:rFonts w:hint="eastAsia" w:ascii="宋体" w:hAnsi="宋体" w:cs="宋体"/>
          <w:color w:val="000000" w:themeColor="text1"/>
          <w:sz w:val="24"/>
          <w:szCs w:val="24"/>
          <w14:textFill>
            <w14:solidFill>
              <w14:schemeClr w14:val="tx1"/>
            </w14:solidFill>
          </w14:textFill>
        </w:rPr>
        <w:t>其他同品牌投标人不作为中标候选人。非单一产品采购项目，多家投标人提供的核心产品品牌相同的，同上处理。</w:t>
      </w:r>
    </w:p>
    <w:p>
      <w:pPr>
        <w:keepNext w:val="0"/>
        <w:keepLines w:val="0"/>
        <w:pageBreakBefore w:val="0"/>
        <w:tabs>
          <w:tab w:val="left" w:pos="1155"/>
        </w:tabs>
        <w:kinsoku/>
        <w:wordWrap/>
        <w:overflowPunct/>
        <w:topLinePunct w:val="0"/>
        <w:autoSpaceDE/>
        <w:autoSpaceDN/>
        <w:bidi w:val="0"/>
        <w:adjustRightInd w:val="0"/>
        <w:snapToGrid w:val="0"/>
        <w:spacing w:line="348"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本项目核心产品：手术显微镜。</w:t>
      </w:r>
    </w:p>
    <w:p>
      <w:pPr>
        <w:keepNext w:val="0"/>
        <w:keepLines w:val="0"/>
        <w:pageBreakBefore w:val="0"/>
        <w:tabs>
          <w:tab w:val="left" w:pos="1155"/>
        </w:tabs>
        <w:kinsoku/>
        <w:wordWrap/>
        <w:overflowPunct/>
        <w:topLinePunct w:val="0"/>
        <w:autoSpaceDE/>
        <w:autoSpaceDN/>
        <w:bidi w:val="0"/>
        <w:adjustRightInd w:val="0"/>
        <w:snapToGrid w:val="0"/>
        <w:spacing w:line="348"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7.评标标准：</w:t>
      </w:r>
    </w:p>
    <w:p>
      <w:pPr>
        <w:keepNext w:val="0"/>
        <w:keepLines w:val="0"/>
        <w:pageBreakBefore w:val="0"/>
        <w:tabs>
          <w:tab w:val="left" w:pos="1155"/>
        </w:tabs>
        <w:kinsoku/>
        <w:wordWrap/>
        <w:overflowPunct/>
        <w:topLinePunct w:val="0"/>
        <w:autoSpaceDE/>
        <w:autoSpaceDN/>
        <w:bidi w:val="0"/>
        <w:adjustRightInd w:val="0"/>
        <w:snapToGrid w:val="0"/>
        <w:spacing w:line="348"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本次招标的评标办法采用综合评分法，评审因素及各比重如下：</w:t>
      </w:r>
    </w:p>
    <w:p>
      <w:pPr>
        <w:keepNext w:val="0"/>
        <w:keepLines w:val="0"/>
        <w:pageBreakBefore w:val="0"/>
        <w:tabs>
          <w:tab w:val="left" w:pos="1155"/>
        </w:tabs>
        <w:kinsoku/>
        <w:wordWrap/>
        <w:overflowPunct/>
        <w:topLinePunct w:val="0"/>
        <w:autoSpaceDE/>
        <w:autoSpaceDN/>
        <w:bidi w:val="0"/>
        <w:adjustRightInd w:val="0"/>
        <w:snapToGrid w:val="0"/>
        <w:spacing w:line="348"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7.1价格：（价格权值30分）</w:t>
      </w:r>
    </w:p>
    <w:p>
      <w:pPr>
        <w:keepNext w:val="0"/>
        <w:keepLines w:val="0"/>
        <w:pageBreakBefore w:val="0"/>
        <w:tabs>
          <w:tab w:val="left" w:pos="1155"/>
        </w:tabs>
        <w:kinsoku/>
        <w:wordWrap/>
        <w:overflowPunct/>
        <w:topLinePunct w:val="0"/>
        <w:autoSpaceDE/>
        <w:autoSpaceDN/>
        <w:bidi w:val="0"/>
        <w:adjustRightInd w:val="0"/>
        <w:snapToGrid w:val="0"/>
        <w:spacing w:line="348"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以进入评标程序、满足招标文件要求且报价最低的投标报价为评标基准价（须未超过采购预算价），其价格分为满分30分。其他投标人的价格分统一按照下列公式计算：</w:t>
      </w:r>
    </w:p>
    <w:p>
      <w:pPr>
        <w:keepNext w:val="0"/>
        <w:keepLines w:val="0"/>
        <w:pageBreakBefore w:val="0"/>
        <w:tabs>
          <w:tab w:val="left" w:pos="1155"/>
        </w:tabs>
        <w:kinsoku/>
        <w:wordWrap/>
        <w:overflowPunct/>
        <w:topLinePunct w:val="0"/>
        <w:autoSpaceDE/>
        <w:autoSpaceDN/>
        <w:bidi w:val="0"/>
        <w:adjustRightInd w:val="0"/>
        <w:snapToGrid w:val="0"/>
        <w:spacing w:line="348"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投标报价得分=（评标基准价/投标报价）×30 (保留两位小数)</w:t>
      </w:r>
    </w:p>
    <w:p>
      <w:pPr>
        <w:keepNext w:val="0"/>
        <w:keepLines w:val="0"/>
        <w:pageBreakBefore w:val="0"/>
        <w:tabs>
          <w:tab w:val="left" w:pos="1155"/>
        </w:tabs>
        <w:kinsoku/>
        <w:wordWrap/>
        <w:overflowPunct/>
        <w:topLinePunct w:val="0"/>
        <w:autoSpaceDE/>
        <w:autoSpaceDN/>
        <w:bidi w:val="0"/>
        <w:adjustRightInd w:val="0"/>
        <w:snapToGrid w:val="0"/>
        <w:spacing w:line="348"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价格扣除：</w:t>
      </w:r>
    </w:p>
    <w:p>
      <w:pPr>
        <w:keepNext w:val="0"/>
        <w:keepLines w:val="0"/>
        <w:pageBreakBefore w:val="0"/>
        <w:tabs>
          <w:tab w:val="left" w:pos="1155"/>
        </w:tabs>
        <w:kinsoku/>
        <w:wordWrap/>
        <w:overflowPunct/>
        <w:topLinePunct w:val="0"/>
        <w:autoSpaceDE/>
        <w:autoSpaceDN/>
        <w:bidi w:val="0"/>
        <w:adjustRightInd w:val="0"/>
        <w:snapToGrid w:val="0"/>
        <w:spacing w:line="348"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① 对小型和微型企业产品的价格给予10%的扣除，用扣除后的价格参与评审。参加投标的中小企业，应当按照《政府采购促进中小企业发展管理办法》（财库﹝2020﹞46 号）的规定提供《中小企业声明函》（货物/服务）（中小企业划型标准详见《关于印发中小企业划型标准规定的通知》工信部联企业〔2011〕300号）。</w:t>
      </w:r>
    </w:p>
    <w:p>
      <w:pPr>
        <w:keepNext w:val="0"/>
        <w:keepLines w:val="0"/>
        <w:pageBreakBefore w:val="0"/>
        <w:tabs>
          <w:tab w:val="left" w:pos="1155"/>
        </w:tabs>
        <w:kinsoku/>
        <w:wordWrap/>
        <w:overflowPunct/>
        <w:topLinePunct w:val="0"/>
        <w:autoSpaceDE/>
        <w:autoSpaceDN/>
        <w:bidi w:val="0"/>
        <w:adjustRightInd w:val="0"/>
        <w:snapToGrid w:val="0"/>
        <w:spacing w:line="348"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② 按照《财政部民政部中国残疾人联合会关于促进残疾人就业政府采购政策的通知》，残疾人福利性单位视同小型、微型企业，享受评审中价格扣除的政府采购政策。</w:t>
      </w:r>
    </w:p>
    <w:p>
      <w:pPr>
        <w:keepNext w:val="0"/>
        <w:keepLines w:val="0"/>
        <w:pageBreakBefore w:val="0"/>
        <w:tabs>
          <w:tab w:val="left" w:pos="1155"/>
        </w:tabs>
        <w:kinsoku/>
        <w:wordWrap/>
        <w:overflowPunct/>
        <w:topLinePunct w:val="0"/>
        <w:autoSpaceDE/>
        <w:autoSpaceDN/>
        <w:bidi w:val="0"/>
        <w:adjustRightInd w:val="0"/>
        <w:snapToGrid w:val="0"/>
        <w:spacing w:line="348"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同一投标人，上述两项价格扣除优惠不得重复享受。</w:t>
      </w:r>
    </w:p>
    <w:p>
      <w:pPr>
        <w:keepNext w:val="0"/>
        <w:keepLines w:val="0"/>
        <w:pageBreakBefore w:val="0"/>
        <w:tabs>
          <w:tab w:val="left" w:pos="1155"/>
        </w:tabs>
        <w:kinsoku/>
        <w:wordWrap/>
        <w:overflowPunct/>
        <w:topLinePunct w:val="0"/>
        <w:autoSpaceDE/>
        <w:autoSpaceDN/>
        <w:bidi w:val="0"/>
        <w:adjustRightInd w:val="0"/>
        <w:snapToGrid w:val="0"/>
        <w:spacing w:line="348"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7.2技术(最高得分 47分)</w:t>
      </w:r>
    </w:p>
    <w:tbl>
      <w:tblPr>
        <w:tblStyle w:val="45"/>
        <w:tblW w:w="10262" w:type="dxa"/>
        <w:tblInd w:w="-89" w:type="dxa"/>
        <w:tblLayout w:type="autofit"/>
        <w:tblCellMar>
          <w:top w:w="0" w:type="dxa"/>
          <w:left w:w="108" w:type="dxa"/>
          <w:bottom w:w="0" w:type="dxa"/>
          <w:right w:w="108" w:type="dxa"/>
        </w:tblCellMar>
      </w:tblPr>
      <w:tblGrid>
        <w:gridCol w:w="675"/>
        <w:gridCol w:w="3717"/>
        <w:gridCol w:w="4169"/>
        <w:gridCol w:w="850"/>
        <w:gridCol w:w="851"/>
      </w:tblGrid>
      <w:tr>
        <w:tblPrEx>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序号</w:t>
            </w:r>
          </w:p>
        </w:tc>
        <w:tc>
          <w:tcPr>
            <w:tcW w:w="371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技术参数</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评分标准(负偏离不得分，无偏离1.5分，正偏离按说明加分)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分值下限</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分值上限</w:t>
            </w:r>
          </w:p>
        </w:tc>
      </w:tr>
      <w:tr>
        <w:tblPrEx>
          <w:tblCellMar>
            <w:top w:w="0" w:type="dxa"/>
            <w:left w:w="108" w:type="dxa"/>
            <w:bottom w:w="0" w:type="dxa"/>
            <w:right w:w="108" w:type="dxa"/>
          </w:tblCellMar>
        </w:tblPrEx>
        <w:trPr>
          <w:trHeight w:val="1036"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采用复消色差光学技术</w:t>
            </w:r>
          </w:p>
        </w:tc>
        <w:tc>
          <w:tcPr>
            <w:tcW w:w="41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镜头部分的镜片采用部分复消色差得1.5分；全部复消色差为正偏离，得3分，没有不得分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r>
      <w:tr>
        <w:tblPrEx>
          <w:tblCellMar>
            <w:top w:w="0" w:type="dxa"/>
            <w:left w:w="108" w:type="dxa"/>
            <w:bottom w:w="0" w:type="dxa"/>
            <w:right w:w="108" w:type="dxa"/>
          </w:tblCellMar>
        </w:tblPrEx>
        <w:trPr>
          <w:trHeight w:val="7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调焦模式：同时具备电动和手动变焦，对手镜可独立调焦。</w:t>
            </w:r>
          </w:p>
        </w:tc>
        <w:tc>
          <w:tcPr>
            <w:tcW w:w="41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具备电动和手动变焦得1.5分，且对手镜具备独立调焦功能得3分，没有不得分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r>
      <w:tr>
        <w:tblPrEx>
          <w:tblCellMar>
            <w:top w:w="0" w:type="dxa"/>
            <w:left w:w="108" w:type="dxa"/>
            <w:bottom w:w="0" w:type="dxa"/>
            <w:right w:w="108" w:type="dxa"/>
          </w:tblCellMar>
        </w:tblPrEx>
        <w:trPr>
          <w:trHeight w:val="109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★物镜工作距离：最小工作距离≤230mm，最大工作距离≥590mm</w:t>
            </w:r>
          </w:p>
        </w:tc>
        <w:tc>
          <w:tcPr>
            <w:tcW w:w="41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符合为无偏离，最小工作距离＜230mm或最大工作距离＞590mm为正偏离，得2.5分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r>
      <w:tr>
        <w:tblPrEx>
          <w:tblCellMar>
            <w:top w:w="0" w:type="dxa"/>
            <w:left w:w="108" w:type="dxa"/>
            <w:bottom w:w="0" w:type="dxa"/>
            <w:right w:w="108" w:type="dxa"/>
          </w:tblCellMar>
        </w:tblPrEx>
        <w:trPr>
          <w:trHeight w:val="708"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放大倍数：最小倍数≤2倍，最大倍数≥11倍</w:t>
            </w:r>
          </w:p>
        </w:tc>
        <w:tc>
          <w:tcPr>
            <w:tcW w:w="41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符合为无偏离，最小倍数＜2倍或最大倍数＞11倍为正偏离，得1.5分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r>
      <w:tr>
        <w:tblPrEx>
          <w:tblCellMar>
            <w:top w:w="0" w:type="dxa"/>
            <w:left w:w="108" w:type="dxa"/>
            <w:bottom w:w="0" w:type="dxa"/>
            <w:right w:w="108" w:type="dxa"/>
          </w:tblCellMar>
        </w:tblPrEx>
        <w:trPr>
          <w:trHeight w:val="69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12.5倍目镜下，视场范围：最大视野≥170mm</w:t>
            </w:r>
          </w:p>
        </w:tc>
        <w:tc>
          <w:tcPr>
            <w:tcW w:w="41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符合为无偏离</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r>
      <w:tr>
        <w:tblPrEx>
          <w:tblCellMar>
            <w:top w:w="0" w:type="dxa"/>
            <w:left w:w="108" w:type="dxa"/>
            <w:bottom w:w="0" w:type="dxa"/>
            <w:right w:w="108" w:type="dxa"/>
          </w:tblCellMar>
        </w:tblPrEx>
        <w:trPr>
          <w:trHeight w:val="984"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保护功能：有内置控制系统使光强可以随着工作距离和放大倍数自动调整，光照范围跟随视野</w:t>
            </w:r>
          </w:p>
        </w:tc>
        <w:tc>
          <w:tcPr>
            <w:tcW w:w="41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符合为无偏离</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r>
      <w:tr>
        <w:tblPrEx>
          <w:tblCellMar>
            <w:top w:w="0" w:type="dxa"/>
            <w:left w:w="108" w:type="dxa"/>
            <w:bottom w:w="0" w:type="dxa"/>
            <w:right w:w="108" w:type="dxa"/>
          </w:tblCellMar>
        </w:tblPrEx>
        <w:trPr>
          <w:trHeight w:val="9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光学主镜体角度可调：镜头可前后左右调节观察角度，左右≥90°，前后≥150°，水平旋转≥500°</w:t>
            </w:r>
          </w:p>
        </w:tc>
        <w:tc>
          <w:tcPr>
            <w:tcW w:w="41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符合为无偏离，左右＞90°、前后＞160°或水平旋转＞500°为正偏离，得1.5分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r>
      <w:tr>
        <w:tblPrEx>
          <w:tblCellMar>
            <w:top w:w="0" w:type="dxa"/>
            <w:left w:w="108" w:type="dxa"/>
            <w:bottom w:w="0" w:type="dxa"/>
            <w:right w:w="108" w:type="dxa"/>
          </w:tblCellMar>
        </w:tblPrEx>
        <w:trPr>
          <w:trHeight w:val="724"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主刀目镜可水平调整，配有可折叠镜筒，主刀及助手镜屈光度可调</w:t>
            </w:r>
          </w:p>
        </w:tc>
        <w:tc>
          <w:tcPr>
            <w:tcW w:w="41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符合为无偏离</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r>
      <w:tr>
        <w:tblPrEx>
          <w:tblCellMar>
            <w:top w:w="0" w:type="dxa"/>
            <w:left w:w="108" w:type="dxa"/>
            <w:bottom w:w="0" w:type="dxa"/>
            <w:right w:w="108" w:type="dxa"/>
          </w:tblCellMar>
        </w:tblPrEx>
        <w:trPr>
          <w:trHeight w:val="70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助手镜可水平360°旋转，调至对手镜位置</w:t>
            </w:r>
          </w:p>
        </w:tc>
        <w:tc>
          <w:tcPr>
            <w:tcW w:w="41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符合为无偏离</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r>
      <w:tr>
        <w:tblPrEx>
          <w:tblCellMar>
            <w:top w:w="0" w:type="dxa"/>
            <w:left w:w="108" w:type="dxa"/>
            <w:bottom w:w="0" w:type="dxa"/>
            <w:right w:w="108" w:type="dxa"/>
          </w:tblCellMar>
        </w:tblPrEx>
        <w:trPr>
          <w:trHeight w:val="8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多功能手柄，可自由设定控制参数，包括：变倍、调焦、调光、拍照、录像、xy轴偏转微调及定解锁显微镜头等功能</w:t>
            </w:r>
          </w:p>
        </w:tc>
        <w:tc>
          <w:tcPr>
            <w:tcW w:w="41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符合为无偏离</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r>
      <w:tr>
        <w:tblPrEx>
          <w:tblCellMar>
            <w:top w:w="0" w:type="dxa"/>
            <w:left w:w="108" w:type="dxa"/>
            <w:bottom w:w="0" w:type="dxa"/>
            <w:right w:w="108" w:type="dxa"/>
          </w:tblCellMar>
        </w:tblPrEx>
        <w:trPr>
          <w:trHeight w:val="66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配有主光源和备用光源氙气灯≥300W</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符合为无偏离，大于300W为正偏离，得1.5分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r>
      <w:tr>
        <w:tblPrEx>
          <w:tblCellMar>
            <w:top w:w="0" w:type="dxa"/>
            <w:left w:w="108" w:type="dxa"/>
            <w:bottom w:w="0" w:type="dxa"/>
            <w:right w:w="108" w:type="dxa"/>
          </w:tblCellMar>
        </w:tblPrEx>
        <w:trPr>
          <w:trHeight w:val="71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主光源和备用光源供电系统独立，主光源故障时，备用光源不受影响</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符合为无偏离</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r>
      <w:tr>
        <w:tblPrEx>
          <w:tblCellMar>
            <w:top w:w="0" w:type="dxa"/>
            <w:left w:w="108" w:type="dxa"/>
            <w:bottom w:w="0" w:type="dxa"/>
            <w:right w:w="108" w:type="dxa"/>
          </w:tblCellMar>
        </w:tblPrEx>
        <w:trPr>
          <w:trHeight w:val="6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★支架臂展：≥1600mm，能跨越器械台和手术床</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符合为无偏离，支架臂展＞1600mm为正偏离，得2.5分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r>
      <w:tr>
        <w:tblPrEx>
          <w:tblCellMar>
            <w:top w:w="0" w:type="dxa"/>
            <w:left w:w="108" w:type="dxa"/>
            <w:bottom w:w="0" w:type="dxa"/>
            <w:right w:w="108" w:type="dxa"/>
          </w:tblCellMar>
        </w:tblPrEx>
        <w:trPr>
          <w:trHeight w:val="40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支架的每段关节臂能独立调整角度</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符合为无偏离</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r>
      <w:tr>
        <w:tblPrEx>
          <w:tblCellMar>
            <w:top w:w="0" w:type="dxa"/>
            <w:left w:w="108" w:type="dxa"/>
            <w:bottom w:w="0" w:type="dxa"/>
            <w:right w:w="108" w:type="dxa"/>
          </w:tblCellMar>
        </w:tblPrEx>
        <w:trPr>
          <w:trHeight w:val="994"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整机具备一键自动平衡，及术中一键自动平衡功能</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整机具备一键自动平衡得1.5分，同时具有术中一键自动平衡功能得3分，没有不得分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r>
      <w:tr>
        <w:tblPrEx>
          <w:tblCellMar>
            <w:top w:w="0" w:type="dxa"/>
            <w:left w:w="108" w:type="dxa"/>
            <w:bottom w:w="0" w:type="dxa"/>
            <w:right w:w="108" w:type="dxa"/>
          </w:tblCellMar>
        </w:tblPrEx>
        <w:trPr>
          <w:trHeight w:val="41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显微镜控制屏与显示器相互独立</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符合为无偏离</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r>
      <w:tr>
        <w:tblPrEx>
          <w:tblCellMar>
            <w:top w:w="0" w:type="dxa"/>
            <w:left w:w="108" w:type="dxa"/>
            <w:bottom w:w="0" w:type="dxa"/>
            <w:right w:w="108" w:type="dxa"/>
          </w:tblCellMar>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影像系统为内置一体机，无外接设备</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符合为无偏离</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r>
      <w:tr>
        <w:tblPrEx>
          <w:tblCellMar>
            <w:top w:w="0" w:type="dxa"/>
            <w:left w:w="108" w:type="dxa"/>
            <w:bottom w:w="0" w:type="dxa"/>
            <w:right w:w="108" w:type="dxa"/>
          </w:tblCellMar>
        </w:tblPrEx>
        <w:trPr>
          <w:trHeight w:val="1064"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高清显示屏24英寸，具有多轴旋转轴，可自行调整观测视野,全内置高清摄像头，清晰度至少达1080p</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符合为无偏离，清晰度＞1080p为正偏离，得1.5分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r>
      <w:tr>
        <w:tblPrEx>
          <w:tblCellMar>
            <w:top w:w="0" w:type="dxa"/>
            <w:left w:w="108" w:type="dxa"/>
            <w:bottom w:w="0" w:type="dxa"/>
            <w:right w:w="108" w:type="dxa"/>
          </w:tblCellMar>
        </w:tblPrEx>
        <w:trPr>
          <w:trHeight w:val="3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控制屏为液晶触摸屏</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符合为无偏离</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r>
      <w:tr>
        <w:tblPrEx>
          <w:tblCellMar>
            <w:top w:w="0" w:type="dxa"/>
            <w:left w:w="108" w:type="dxa"/>
            <w:bottom w:w="0" w:type="dxa"/>
            <w:right w:w="108" w:type="dxa"/>
          </w:tblCellMar>
        </w:tblPrEx>
        <w:trPr>
          <w:trHeight w:val="994"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具备多种数据传输方式：HDMI、USB 3.0等，支持教学、远程会诊和手术直播</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符合为无偏离</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r>
      <w:tr>
        <w:tblPrEx>
          <w:tblCellMar>
            <w:top w:w="0" w:type="dxa"/>
            <w:left w:w="108" w:type="dxa"/>
            <w:bottom w:w="0" w:type="dxa"/>
            <w:right w:w="108" w:type="dxa"/>
          </w:tblCellMar>
        </w:tblPrEx>
        <w:trPr>
          <w:trHeight w:val="41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配有血管荧光和导航接口</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符合为无偏离</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r>
    </w:tbl>
    <w:p>
      <w:pPr>
        <w:keepNext w:val="0"/>
        <w:keepLines w:val="0"/>
        <w:pageBreakBefore w:val="0"/>
        <w:tabs>
          <w:tab w:val="left" w:pos="1155"/>
        </w:tabs>
        <w:kinsoku/>
        <w:wordWrap/>
        <w:overflowPunct/>
        <w:topLinePunct w:val="0"/>
        <w:autoSpaceDE/>
        <w:autoSpaceDN/>
        <w:bidi w:val="0"/>
        <w:adjustRightInd w:val="0"/>
        <w:snapToGrid w:val="0"/>
        <w:spacing w:line="348" w:lineRule="auto"/>
        <w:ind w:firstLine="480" w:firstLineChars="200"/>
        <w:rPr>
          <w:rFonts w:ascii="宋体" w:hAnsi="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348" w:lineRule="auto"/>
        <w:ind w:firstLine="480" w:firstLineChars="200"/>
        <w:outlineLvl w:val="0"/>
        <w:rPr>
          <w:rFonts w:ascii="宋体"/>
          <w:color w:val="000000" w:themeColor="text1"/>
          <w:sz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技术参数符合性：所投设备的技术参数符合招标文件的要求得基本分31.5分。★号技术指标若出现负偏离即无效标书，具体评分标准见表格；技术参数的偏离不得改变该产品的性能和使用。</w:t>
      </w:r>
    </w:p>
    <w:p>
      <w:pPr>
        <w:keepNext w:val="0"/>
        <w:keepLines w:val="0"/>
        <w:pageBreakBefore w:val="0"/>
        <w:kinsoku/>
        <w:wordWrap/>
        <w:overflowPunct/>
        <w:topLinePunct w:val="0"/>
        <w:autoSpaceDE/>
        <w:autoSpaceDN/>
        <w:bidi w:val="0"/>
        <w:adjustRightInd w:val="0"/>
        <w:snapToGrid w:val="0"/>
        <w:spacing w:line="348" w:lineRule="auto"/>
        <w:ind w:firstLine="480" w:firstLineChars="200"/>
        <w:outlineLvl w:val="0"/>
        <w:rPr>
          <w:rFonts w:ascii="宋体"/>
          <w:color w:val="000000" w:themeColor="text1"/>
          <w:sz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注：投标人必须如实地在《投标偏离表》中逐条标明满足与否，并对其真实性负责。对带星号（“★”）的技术条款必须在投标文件中提供技术支持资料（如产品说明书、相关检测报告、医疗器械产品技术要求、白皮书、手册等），未提供技术支持资料、或提供的技术支持资料不能佐证偏离表内容的，评审时不予认可。</w:t>
      </w:r>
    </w:p>
    <w:p>
      <w:pPr>
        <w:keepNext w:val="0"/>
        <w:keepLines w:val="0"/>
        <w:pageBreakBefore w:val="0"/>
        <w:tabs>
          <w:tab w:val="left" w:pos="1155"/>
        </w:tabs>
        <w:kinsoku/>
        <w:wordWrap/>
        <w:overflowPunct/>
        <w:topLinePunct w:val="0"/>
        <w:autoSpaceDE/>
        <w:autoSpaceDN/>
        <w:bidi w:val="0"/>
        <w:adjustRightInd w:val="0"/>
        <w:snapToGrid w:val="0"/>
        <w:spacing w:line="348"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7.3售后和服务能力（最高得分17分）</w:t>
      </w:r>
    </w:p>
    <w:p>
      <w:pPr>
        <w:keepNext w:val="0"/>
        <w:keepLines w:val="0"/>
        <w:pageBreakBefore w:val="0"/>
        <w:kinsoku/>
        <w:wordWrap/>
        <w:overflowPunct/>
        <w:topLinePunct w:val="0"/>
        <w:autoSpaceDE/>
        <w:autoSpaceDN/>
        <w:bidi w:val="0"/>
        <w:adjustRightInd w:val="0"/>
        <w:snapToGrid w:val="0"/>
        <w:spacing w:line="348" w:lineRule="auto"/>
        <w:ind w:firstLine="480" w:firstLineChars="200"/>
        <w:outlineLvl w:val="0"/>
        <w:rPr>
          <w:rFonts w:ascii="宋体" w:hAnsi="宋体" w:cs="宋体"/>
          <w:color w:val="000000"/>
          <w:sz w:val="24"/>
          <w:szCs w:val="24"/>
        </w:rPr>
      </w:pPr>
      <w:r>
        <w:rPr>
          <w:rFonts w:hint="eastAsia" w:ascii="宋体" w:hAnsi="宋体" w:cs="宋体"/>
          <w:color w:val="000000"/>
          <w:sz w:val="24"/>
          <w:szCs w:val="24"/>
        </w:rPr>
        <w:t>①</w:t>
      </w:r>
      <w:r>
        <w:rPr>
          <w:rFonts w:hint="eastAsia" w:ascii="宋体" w:hAnsi="宋体"/>
          <w:color w:val="000000" w:themeColor="text1"/>
          <w:sz w:val="24"/>
          <w:szCs w:val="24"/>
          <w14:textFill>
            <w14:solidFill>
              <w14:schemeClr w14:val="tx1"/>
            </w14:solidFill>
          </w14:textFill>
        </w:rPr>
        <w:t>质保期（5分）：以招标文件要求</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3年</w:t>
      </w:r>
      <w:bookmarkStart w:id="23" w:name="_GoBack"/>
      <w:bookmarkEnd w:id="23"/>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为基准得2分，每多一年加</w:t>
      </w:r>
      <w:r>
        <w:rPr>
          <w:rFonts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分，不超过5分</w:t>
      </w:r>
      <w:r>
        <w:rPr>
          <w:rFonts w:hint="eastAsia" w:ascii="宋体" w:hAnsi="宋体" w:cs="宋体"/>
          <w:color w:val="000000"/>
          <w:sz w:val="24"/>
          <w:szCs w:val="24"/>
        </w:rPr>
        <w:t>。</w:t>
      </w:r>
    </w:p>
    <w:p>
      <w:pPr>
        <w:keepNext w:val="0"/>
        <w:keepLines w:val="0"/>
        <w:pageBreakBefore w:val="0"/>
        <w:kinsoku/>
        <w:wordWrap/>
        <w:overflowPunct/>
        <w:topLinePunct w:val="0"/>
        <w:autoSpaceDE/>
        <w:autoSpaceDN/>
        <w:bidi w:val="0"/>
        <w:adjustRightInd w:val="0"/>
        <w:snapToGrid w:val="0"/>
        <w:spacing w:line="348" w:lineRule="auto"/>
        <w:ind w:firstLine="480" w:firstLineChars="200"/>
        <w:outlineLvl w:val="0"/>
        <w:rPr>
          <w:rFonts w:ascii="宋体" w:hAnsi="宋体" w:cs="宋体"/>
          <w:color w:val="000000"/>
          <w:sz w:val="24"/>
          <w:szCs w:val="24"/>
        </w:rPr>
      </w:pPr>
      <w:r>
        <w:rPr>
          <w:rFonts w:hint="eastAsia" w:ascii="宋体" w:hAnsi="宋体" w:cs="宋体"/>
          <w:color w:val="000000"/>
          <w:sz w:val="24"/>
          <w:szCs w:val="24"/>
        </w:rPr>
        <w:t>②</w:t>
      </w:r>
      <w:r>
        <w:rPr>
          <w:rFonts w:hint="eastAsia" w:ascii="宋体" w:hAnsi="宋体"/>
          <w:color w:val="000000" w:themeColor="text1"/>
          <w:sz w:val="24"/>
          <w:szCs w:val="24"/>
          <w14:textFill>
            <w14:solidFill>
              <w14:schemeClr w14:val="tx1"/>
            </w14:solidFill>
          </w14:textFill>
        </w:rPr>
        <w:t>服务方案体系（5分）：投标人保障采购项目能够达到招标文件设定的使用和运行状态而提供的配送、安装、调试、培训、响应时间、咨询（技术支持）、维修以及应急保障措施等一系列服务方案，无方案不得分。提供的方案内容全面，不漏项且有针对性解释说明：5分；提供的方案内容较为全面，漏缺1项或2项或有1处或2处瑕疵，有针对性解释说明：3.5分；提供的方案基本全面，漏缺3项或4项或有3处或4处瑕疵，针对性解释说明不强：2分；提供的方案内容不全面，缺漏项或瑕疵过多，缺乏有效的针对性解释说明。不得分。</w:t>
      </w:r>
    </w:p>
    <w:p>
      <w:pPr>
        <w:keepNext w:val="0"/>
        <w:keepLines w:val="0"/>
        <w:pageBreakBefore w:val="0"/>
        <w:kinsoku/>
        <w:wordWrap/>
        <w:overflowPunct/>
        <w:topLinePunct w:val="0"/>
        <w:autoSpaceDE/>
        <w:autoSpaceDN/>
        <w:bidi w:val="0"/>
        <w:adjustRightInd w:val="0"/>
        <w:snapToGrid w:val="0"/>
        <w:spacing w:line="348" w:lineRule="auto"/>
        <w:ind w:firstLine="480" w:firstLineChars="200"/>
        <w:outlineLvl w:val="0"/>
        <w:rPr>
          <w:rFonts w:ascii="宋体" w:hAnsi="宋体" w:cs="宋体"/>
          <w:color w:val="000000"/>
          <w:sz w:val="24"/>
          <w:szCs w:val="24"/>
        </w:rPr>
      </w:pPr>
      <w:r>
        <w:rPr>
          <w:rFonts w:hint="eastAsia" w:ascii="宋体" w:hAnsi="宋体" w:cs="宋体"/>
          <w:color w:val="000000"/>
          <w:sz w:val="24"/>
          <w:szCs w:val="24"/>
        </w:rPr>
        <w:t>③</w:t>
      </w:r>
      <w:r>
        <w:rPr>
          <w:rFonts w:hint="eastAsia" w:ascii="宋体" w:hAnsi="宋体"/>
          <w:color w:val="000000" w:themeColor="text1"/>
          <w:sz w:val="24"/>
          <w:szCs w:val="24"/>
          <w14:textFill>
            <w14:solidFill>
              <w14:schemeClr w14:val="tx1"/>
            </w14:solidFill>
          </w14:textFill>
        </w:rPr>
        <w:t>服务保障体系（7分）：投标人保障服务方案的实施而设立的服务机构、配备的相应服务人员、设施装备（3分），以及相应的服务细则和规范的管理制度（2分），确保兑现服务承诺、保证服务质量的措施（2分）</w:t>
      </w:r>
      <w:r>
        <w:rPr>
          <w:rFonts w:hint="eastAsia" w:ascii="宋体" w:hAnsi="宋体"/>
          <w:bCs/>
          <w:color w:val="000000" w:themeColor="text1"/>
          <w:sz w:val="24"/>
          <w:szCs w:val="24"/>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348" w:lineRule="auto"/>
        <w:ind w:firstLine="480" w:firstLineChars="200"/>
        <w:outlineLvl w:val="0"/>
        <w:rPr>
          <w:rFonts w:ascii="宋体" w:hAnsi="宋体" w:cs="宋体"/>
          <w:color w:val="000000"/>
          <w:sz w:val="24"/>
          <w:szCs w:val="24"/>
        </w:rPr>
      </w:pPr>
      <w:r>
        <w:rPr>
          <w:rFonts w:hint="eastAsia" w:ascii="宋体" w:hAnsi="宋体" w:cs="宋体"/>
          <w:color w:val="000000"/>
          <w:sz w:val="24"/>
          <w:szCs w:val="24"/>
        </w:rPr>
        <w:t>7.4综合因素（最高得分</w:t>
      </w:r>
      <w:r>
        <w:rPr>
          <w:rFonts w:ascii="宋体" w:hAnsi="宋体" w:cs="宋体"/>
          <w:color w:val="000000"/>
          <w:sz w:val="24"/>
          <w:szCs w:val="24"/>
        </w:rPr>
        <w:t>6</w:t>
      </w:r>
      <w:r>
        <w:rPr>
          <w:rFonts w:hint="eastAsia" w:ascii="宋体" w:hAnsi="宋体" w:cs="宋体"/>
          <w:color w:val="000000"/>
          <w:sz w:val="24"/>
          <w:szCs w:val="24"/>
        </w:rPr>
        <w:t>分）</w:t>
      </w:r>
    </w:p>
    <w:p>
      <w:pPr>
        <w:keepNext w:val="0"/>
        <w:keepLines w:val="0"/>
        <w:pageBreakBefore w:val="0"/>
        <w:kinsoku/>
        <w:wordWrap/>
        <w:overflowPunct/>
        <w:topLinePunct w:val="0"/>
        <w:autoSpaceDE/>
        <w:autoSpaceDN/>
        <w:bidi w:val="0"/>
        <w:adjustRightInd w:val="0"/>
        <w:snapToGrid w:val="0"/>
        <w:spacing w:line="348" w:lineRule="auto"/>
        <w:ind w:firstLine="480" w:firstLineChars="200"/>
        <w:outlineLvl w:val="0"/>
        <w:rPr>
          <w:rFonts w:ascii="宋体" w:hAnsi="宋体" w:cs="宋体"/>
          <w:color w:val="000000"/>
          <w:sz w:val="24"/>
          <w:szCs w:val="24"/>
        </w:rPr>
      </w:pPr>
      <w:r>
        <w:rPr>
          <w:rFonts w:hint="eastAsia" w:ascii="宋体" w:hAnsi="宋体" w:cs="宋体"/>
          <w:color w:val="000000"/>
          <w:sz w:val="24"/>
          <w:szCs w:val="24"/>
        </w:rPr>
        <w:t>①标书制作评价（</w:t>
      </w:r>
      <w:r>
        <w:rPr>
          <w:rFonts w:ascii="宋体" w:hAnsi="宋体" w:cs="宋体"/>
          <w:color w:val="000000"/>
          <w:sz w:val="24"/>
          <w:szCs w:val="24"/>
        </w:rPr>
        <w:t>2</w:t>
      </w:r>
      <w:r>
        <w:rPr>
          <w:rFonts w:hint="eastAsia" w:ascii="宋体" w:hAnsi="宋体" w:cs="宋体"/>
          <w:color w:val="000000"/>
          <w:sz w:val="24"/>
          <w:szCs w:val="24"/>
        </w:rPr>
        <w:t>分）投标文件内容按照评分标准做对应位置绑定的得1分，提供所投产品检测报告或中文说明书的得</w:t>
      </w:r>
      <w:r>
        <w:rPr>
          <w:rFonts w:ascii="宋体" w:hAnsi="宋体" w:cs="宋体"/>
          <w:color w:val="000000"/>
          <w:sz w:val="24"/>
          <w:szCs w:val="24"/>
        </w:rPr>
        <w:t>1</w:t>
      </w:r>
      <w:r>
        <w:rPr>
          <w:rFonts w:hint="eastAsia" w:ascii="宋体" w:hAnsi="宋体" w:cs="宋体"/>
          <w:color w:val="000000"/>
          <w:sz w:val="24"/>
          <w:szCs w:val="24"/>
        </w:rPr>
        <w:t>分。</w:t>
      </w:r>
    </w:p>
    <w:p>
      <w:pPr>
        <w:keepNext w:val="0"/>
        <w:keepLines w:val="0"/>
        <w:pageBreakBefore w:val="0"/>
        <w:tabs>
          <w:tab w:val="left" w:pos="1155"/>
        </w:tabs>
        <w:kinsoku/>
        <w:wordWrap/>
        <w:overflowPunct/>
        <w:topLinePunct w:val="0"/>
        <w:autoSpaceDE/>
        <w:autoSpaceDN/>
        <w:bidi w:val="0"/>
        <w:adjustRightInd w:val="0"/>
        <w:snapToGrid w:val="0"/>
        <w:spacing w:line="348"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②销售业绩及客户评价比较，近二年主要</w:t>
      </w:r>
      <w:r>
        <w:rPr>
          <w:rFonts w:hint="eastAsia" w:ascii="宋体" w:hAnsi="宋体" w:cs="宋体"/>
          <w:b/>
          <w:color w:val="000000"/>
          <w:sz w:val="24"/>
          <w:szCs w:val="24"/>
        </w:rPr>
        <w:t>政府采购</w:t>
      </w:r>
      <w:r>
        <w:rPr>
          <w:rFonts w:hint="eastAsia" w:ascii="宋体" w:hAnsi="宋体" w:cs="宋体"/>
          <w:color w:val="000000"/>
          <w:sz w:val="24"/>
          <w:szCs w:val="24"/>
        </w:rPr>
        <w:t>业绩（4分）（提供投标人与终端用户</w:t>
      </w:r>
      <w:r>
        <w:rPr>
          <w:rFonts w:hint="eastAsia" w:ascii="宋体" w:hAnsi="宋体" w:cs="宋体"/>
          <w:b/>
          <w:color w:val="000000"/>
          <w:sz w:val="24"/>
          <w:szCs w:val="24"/>
        </w:rPr>
        <w:t>经政府采购招投标</w:t>
      </w:r>
      <w:r>
        <w:rPr>
          <w:rFonts w:hint="eastAsia" w:ascii="宋体" w:hAnsi="宋体" w:cs="宋体"/>
          <w:color w:val="000000"/>
          <w:sz w:val="24"/>
          <w:szCs w:val="24"/>
        </w:rPr>
        <w:t>签订的与本次招标采购项目同类产品的完整销售合同复印件。有一例得2分，最高不超过4分,复印件要求加盖投标单位电子公章）。</w:t>
      </w:r>
    </w:p>
    <w:p>
      <w:pPr>
        <w:keepNext w:val="0"/>
        <w:keepLines w:val="0"/>
        <w:pageBreakBefore w:val="0"/>
        <w:tabs>
          <w:tab w:val="left" w:pos="1155"/>
        </w:tabs>
        <w:kinsoku/>
        <w:wordWrap/>
        <w:overflowPunct/>
        <w:topLinePunct w:val="0"/>
        <w:autoSpaceDE/>
        <w:autoSpaceDN/>
        <w:bidi w:val="0"/>
        <w:adjustRightInd w:val="0"/>
        <w:snapToGrid w:val="0"/>
        <w:spacing w:line="348" w:lineRule="auto"/>
        <w:ind w:firstLine="480" w:firstLineChars="200"/>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7.5政策性加分因素</w:t>
      </w:r>
    </w:p>
    <w:p>
      <w:pPr>
        <w:keepNext w:val="0"/>
        <w:keepLines w:val="0"/>
        <w:pageBreakBefore w:val="0"/>
        <w:kinsoku/>
        <w:wordWrap/>
        <w:overflowPunct/>
        <w:topLinePunct w:val="0"/>
        <w:autoSpaceDE/>
        <w:autoSpaceDN/>
        <w:bidi w:val="0"/>
        <w:adjustRightInd w:val="0"/>
        <w:snapToGrid w:val="0"/>
        <w:spacing w:line="348"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 依据财政部、发展改革委发布的《节能产品政府采购品目清单》和财政部、生态环境部发布的《环境标志产品政府采购品目清单》,投标产品为政府采购节能（政府强制采购节能产品除外）、环保产品，给予1分的政策性加分。</w:t>
      </w:r>
    </w:p>
    <w:p>
      <w:pPr>
        <w:keepNext w:val="0"/>
        <w:keepLines w:val="0"/>
        <w:pageBreakBefore w:val="0"/>
        <w:tabs>
          <w:tab w:val="left" w:pos="1155"/>
        </w:tabs>
        <w:kinsoku/>
        <w:wordWrap/>
        <w:overflowPunct/>
        <w:topLinePunct w:val="0"/>
        <w:autoSpaceDE/>
        <w:autoSpaceDN/>
        <w:bidi w:val="0"/>
        <w:adjustRightInd w:val="0"/>
        <w:snapToGrid w:val="0"/>
        <w:spacing w:line="348" w:lineRule="auto"/>
        <w:ind w:firstLine="480" w:firstLineChars="200"/>
        <w:rPr>
          <w:rFonts w:hint="default" w:ascii="宋体" w:hAnsi="宋体" w:cs="宋体"/>
          <w:color w:val="000000"/>
          <w:sz w:val="24"/>
          <w:szCs w:val="24"/>
          <w:lang w:val="en-US" w:eastAsia="zh-CN"/>
        </w:rPr>
      </w:pP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 xml:space="preserve">. </w:t>
      </w:r>
      <w:r>
        <w:rPr>
          <w:rFonts w:ascii="宋体" w:hAnsi="宋体"/>
          <w:bCs/>
          <w:sz w:val="24"/>
          <w:szCs w:val="24"/>
        </w:rPr>
        <w:t>依据《江苏省财政厅关于加强政府绿色采购有关事项的通知》（苏财购〔2023〕65号），</w:t>
      </w:r>
      <w:r>
        <w:rPr>
          <w:rFonts w:hint="eastAsia" w:ascii="宋体" w:hAnsi="宋体"/>
          <w:bCs/>
          <w:sz w:val="24"/>
          <w:szCs w:val="24"/>
        </w:rPr>
        <w:t>本项目中如有涉及涂料、胶黏剂、油墨、清洗剂等挥发性有机物产品的，属于强制性标准的，供应商应当执行国家和我省</w:t>
      </w:r>
      <w:r>
        <w:rPr>
          <w:rFonts w:ascii="宋体" w:hAnsi="宋体"/>
          <w:bCs/>
          <w:sz w:val="24"/>
          <w:szCs w:val="24"/>
        </w:rPr>
        <w:t>VOCs</w:t>
      </w:r>
      <w:r>
        <w:rPr>
          <w:rFonts w:hint="eastAsia" w:ascii="宋体" w:hAnsi="宋体"/>
          <w:bCs/>
          <w:sz w:val="24"/>
          <w:szCs w:val="24"/>
        </w:rPr>
        <w:t>含量限制标准。</w:t>
      </w:r>
      <w:r>
        <w:rPr>
          <w:rFonts w:ascii="宋体" w:hAnsi="宋体"/>
          <w:bCs/>
          <w:sz w:val="24"/>
          <w:szCs w:val="24"/>
        </w:rPr>
        <w:t>供应商提供符合推荐性标准的涂料、胶黏剂、油墨、清洗剂等挥发性有机物产品的</w:t>
      </w:r>
      <w:r>
        <w:rPr>
          <w:rFonts w:hint="eastAsia" w:ascii="宋体" w:hAnsi="宋体"/>
          <w:bCs/>
          <w:sz w:val="24"/>
          <w:szCs w:val="24"/>
        </w:rPr>
        <w:t>或者</w:t>
      </w:r>
      <w:r>
        <w:rPr>
          <w:rFonts w:ascii="宋体" w:hAnsi="宋体"/>
          <w:bCs/>
          <w:sz w:val="24"/>
          <w:szCs w:val="24"/>
        </w:rPr>
        <w:t>在通用类货物、家具、印刷、公务车辆维修等采购项目中，供应商能够优先使用低挥发性原辅材料的加1分（投标时须提供相应</w:t>
      </w:r>
      <w:r>
        <w:rPr>
          <w:rFonts w:hint="eastAsia" w:ascii="宋体" w:hAnsi="宋体"/>
          <w:bCs/>
          <w:sz w:val="24"/>
          <w:szCs w:val="24"/>
        </w:rPr>
        <w:t>使用低</w:t>
      </w:r>
      <w:r>
        <w:rPr>
          <w:rFonts w:ascii="宋体" w:hAnsi="宋体"/>
          <w:bCs/>
          <w:sz w:val="24"/>
          <w:szCs w:val="24"/>
        </w:rPr>
        <w:t xml:space="preserve">VOCs </w:t>
      </w:r>
      <w:r>
        <w:rPr>
          <w:rFonts w:hint="eastAsia" w:ascii="宋体" w:hAnsi="宋体"/>
          <w:bCs/>
          <w:sz w:val="24"/>
          <w:szCs w:val="24"/>
        </w:rPr>
        <w:t>含量的</w:t>
      </w:r>
      <w:r>
        <w:rPr>
          <w:rFonts w:ascii="宋体" w:hAnsi="宋体"/>
          <w:bCs/>
          <w:sz w:val="24"/>
          <w:szCs w:val="24"/>
        </w:rPr>
        <w:t>有效证明材料，否则不得分）</w:t>
      </w:r>
      <w:r>
        <w:rPr>
          <w:rFonts w:hint="eastAsia" w:ascii="宋体" w:hAnsi="宋体"/>
          <w:bCs/>
          <w:sz w:val="24"/>
          <w:szCs w:val="24"/>
        </w:rPr>
        <w:t>。</w:t>
      </w:r>
    </w:p>
    <w:p>
      <w:pPr>
        <w:keepNext w:val="0"/>
        <w:keepLines w:val="0"/>
        <w:pageBreakBefore w:val="0"/>
        <w:kinsoku/>
        <w:wordWrap/>
        <w:overflowPunct/>
        <w:topLinePunct w:val="0"/>
        <w:autoSpaceDE/>
        <w:autoSpaceDN/>
        <w:bidi w:val="0"/>
        <w:adjustRightInd w:val="0"/>
        <w:snapToGrid w:val="0"/>
        <w:spacing w:line="348" w:lineRule="auto"/>
        <w:ind w:firstLine="480" w:firstLineChars="200"/>
        <w:outlineLvl w:val="0"/>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（十）定标：</w:t>
      </w:r>
    </w:p>
    <w:p>
      <w:pPr>
        <w:keepNext w:val="0"/>
        <w:keepLines w:val="0"/>
        <w:pageBreakBefore w:val="0"/>
        <w:tabs>
          <w:tab w:val="left" w:pos="1155"/>
        </w:tabs>
        <w:kinsoku/>
        <w:wordWrap/>
        <w:overflowPunct/>
        <w:topLinePunct w:val="0"/>
        <w:autoSpaceDE/>
        <w:autoSpaceDN/>
        <w:bidi w:val="0"/>
        <w:adjustRightInd w:val="0"/>
        <w:snapToGrid w:val="0"/>
        <w:spacing w:line="348" w:lineRule="auto"/>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 评标委员会根据招标文件规定的评标方法和评标标准进行评审，按招标文件的要求依法确定中标供应商。无锡市卫生健康综合服务中心将在财政部门指定的政府采购信息发布媒体上发布中标公告。如有质疑，应在法定质疑期限内，即中标公告</w:t>
      </w:r>
      <w:r>
        <w:rPr>
          <w:rFonts w:hint="eastAsia" w:ascii="宋体" w:hAnsi="宋体" w:cs="宋体"/>
          <w:color w:val="000000" w:themeColor="text1"/>
          <w:kern w:val="0"/>
          <w:sz w:val="24"/>
          <w:szCs w:val="24"/>
          <w14:textFill>
            <w14:solidFill>
              <w14:schemeClr w14:val="tx1"/>
            </w14:solidFill>
          </w14:textFill>
        </w:rPr>
        <w:t>期限届满之日</w:t>
      </w:r>
      <w:r>
        <w:rPr>
          <w:rFonts w:hint="eastAsia" w:ascii="宋体" w:hAnsi="宋体" w:cs="宋体"/>
          <w:color w:val="000000" w:themeColor="text1"/>
          <w:sz w:val="24"/>
          <w:szCs w:val="24"/>
          <w14:textFill>
            <w14:solidFill>
              <w14:schemeClr w14:val="tx1"/>
            </w14:solidFill>
          </w14:textFill>
        </w:rPr>
        <w:t>起</w:t>
      </w:r>
      <w:r>
        <w:rPr>
          <w:rFonts w:ascii="宋体" w:hAnsi="宋体" w:cs="宋体"/>
          <w:color w:val="000000" w:themeColor="text1"/>
          <w:sz w:val="24"/>
          <w:szCs w:val="24"/>
          <w14:textFill>
            <w14:solidFill>
              <w14:schemeClr w14:val="tx1"/>
            </w14:solidFill>
          </w14:textFill>
        </w:rPr>
        <w:t>7</w:t>
      </w:r>
      <w:r>
        <w:rPr>
          <w:rFonts w:hint="eastAsia" w:ascii="宋体" w:hAnsi="宋体" w:cs="宋体"/>
          <w:color w:val="000000" w:themeColor="text1"/>
          <w:sz w:val="24"/>
          <w:szCs w:val="24"/>
          <w14:textFill>
            <w14:solidFill>
              <w14:schemeClr w14:val="tx1"/>
            </w14:solidFill>
          </w14:textFill>
        </w:rPr>
        <w:t>个工作日内，以书面形式（原件）送达无锡市卫生健康综合服务中心。针对同一采购程序环节（采购文件，采购过程或结果）的质疑，应当在法定质疑期内一次性提出。质疑函应符合《政府采购质疑和投诉办法》(财政部令第94号) 第十二条、第三十九条，并按中国政府采购网《</w:t>
      </w:r>
      <w:r>
        <w:fldChar w:fldCharType="begin"/>
      </w:r>
      <w:r>
        <w:instrText xml:space="preserve"> HYPERLINK "http://download.ccgp.gov.cn/2018/zhiyihanfanben.zip" \t "_blank" </w:instrText>
      </w:r>
      <w:r>
        <w:fldChar w:fldCharType="separate"/>
      </w:r>
      <w:r>
        <w:rPr>
          <w:rFonts w:hint="eastAsia" w:ascii="宋体" w:hAnsi="宋体" w:cs="宋体"/>
          <w:color w:val="000000" w:themeColor="text1"/>
          <w:sz w:val="24"/>
          <w:szCs w:val="24"/>
          <w14:textFill>
            <w14:solidFill>
              <w14:schemeClr w14:val="tx1"/>
            </w14:solidFill>
          </w14:textFill>
        </w:rPr>
        <w:t>政府采购供应商质疑函范本</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t>》认真填写。无锡市卫生健康综合服务中心将在收到符合上述要求的书面质疑后七个工作日内，对质疑内容做出答复。投标人在法定质疑期限外送达的质疑函或法定质疑期限内送达的质疑函不符合上述要求的均为无效质疑，无锡市卫生健康综合服务中心对无效质疑不予受理。如质疑查无实据或投标人捏造事实，提供虚假材料进行恶意举报，不配合或采用不正当手段干扰政府采购质疑的，将记入投标人在江苏省和无锡市的政府采购“供应商诚信记录”，并按相关规定处理。</w:t>
      </w:r>
    </w:p>
    <w:p>
      <w:pPr>
        <w:keepNext w:val="0"/>
        <w:keepLines w:val="0"/>
        <w:pageBreakBefore w:val="0"/>
        <w:tabs>
          <w:tab w:val="left" w:pos="525"/>
          <w:tab w:val="left" w:pos="1155"/>
        </w:tabs>
        <w:kinsoku/>
        <w:wordWrap/>
        <w:overflowPunct/>
        <w:topLinePunct w:val="0"/>
        <w:autoSpaceDE/>
        <w:autoSpaceDN/>
        <w:bidi w:val="0"/>
        <w:adjustRightInd w:val="0"/>
        <w:snapToGrid w:val="0"/>
        <w:spacing w:line="348"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  投标、开标及定标的整个过程均受市级财政部门、市卫生健康委员会监督。</w:t>
      </w:r>
    </w:p>
    <w:p>
      <w:pPr>
        <w:keepNext w:val="0"/>
        <w:keepLines w:val="0"/>
        <w:pageBreakBefore w:val="0"/>
        <w:tabs>
          <w:tab w:val="left" w:pos="525"/>
          <w:tab w:val="left" w:pos="1155"/>
        </w:tabs>
        <w:kinsoku/>
        <w:wordWrap/>
        <w:overflowPunct/>
        <w:topLinePunct w:val="0"/>
        <w:autoSpaceDE/>
        <w:autoSpaceDN/>
        <w:bidi w:val="0"/>
        <w:adjustRightInd w:val="0"/>
        <w:snapToGrid w:val="0"/>
        <w:spacing w:line="348" w:lineRule="auto"/>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 无锡市卫生健康综合服务中心在公告中标结果的同时，向中标供应商发中标通知书，向未通过资格审查的投标人，告知其未通过的原因；采用综合评分法评审的，向未中标人告知本人的评审得分与排序。</w:t>
      </w:r>
    </w:p>
    <w:p>
      <w:pPr>
        <w:keepNext w:val="0"/>
        <w:keepLines w:val="0"/>
        <w:pageBreakBefore w:val="0"/>
        <w:tabs>
          <w:tab w:val="left" w:pos="525"/>
          <w:tab w:val="left" w:pos="1050"/>
        </w:tabs>
        <w:kinsoku/>
        <w:wordWrap/>
        <w:overflowPunct/>
        <w:topLinePunct w:val="0"/>
        <w:autoSpaceDE/>
        <w:autoSpaceDN/>
        <w:bidi w:val="0"/>
        <w:adjustRightInd w:val="0"/>
        <w:snapToGrid w:val="0"/>
        <w:spacing w:line="348" w:lineRule="auto"/>
        <w:ind w:left="132" w:leftChars="63" w:firstLine="480" w:firstLineChars="200"/>
        <w:rPr>
          <w:rFonts w:ascii="宋体" w:hAnsi="宋体"/>
          <w:bCs/>
          <w:color w:val="000000" w:themeColor="text1"/>
          <w:sz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 投标供应商电子投标文件将作为电子档案保存。定标后，参与评审的投标供应商提交纸质投标文件正本一份作为存档依据，不予退回。</w:t>
      </w:r>
      <w:r>
        <w:rPr>
          <w:rFonts w:hint="eastAsia" w:ascii="宋体" w:hAnsi="宋体"/>
          <w:bCs/>
          <w:color w:val="000000" w:themeColor="text1"/>
          <w:sz w:val="24"/>
          <w14:textFill>
            <w14:solidFill>
              <w14:schemeClr w14:val="tx1"/>
            </w14:solidFill>
          </w14:textFill>
        </w:rPr>
        <w:t>邮寄至无锡市滨湖区建筑路450号无锡市卫生健康综合服务中心采购管理科。</w:t>
      </w:r>
    </w:p>
    <w:p>
      <w:pPr>
        <w:keepNext w:val="0"/>
        <w:keepLines w:val="0"/>
        <w:pageBreakBefore w:val="0"/>
        <w:kinsoku/>
        <w:wordWrap/>
        <w:overflowPunct/>
        <w:topLinePunct w:val="0"/>
        <w:autoSpaceDE/>
        <w:autoSpaceDN/>
        <w:bidi w:val="0"/>
        <w:adjustRightInd w:val="0"/>
        <w:snapToGrid w:val="0"/>
        <w:spacing w:line="348" w:lineRule="auto"/>
        <w:ind w:firstLine="480" w:firstLineChars="200"/>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（十一）废标的确认：</w:t>
      </w:r>
    </w:p>
    <w:p>
      <w:pPr>
        <w:keepNext w:val="0"/>
        <w:keepLines w:val="0"/>
        <w:pageBreakBefore w:val="0"/>
        <w:kinsoku/>
        <w:wordWrap/>
        <w:overflowPunct/>
        <w:topLinePunct w:val="0"/>
        <w:autoSpaceDE/>
        <w:autoSpaceDN/>
        <w:bidi w:val="0"/>
        <w:adjustRightInd w:val="0"/>
        <w:snapToGrid w:val="0"/>
        <w:spacing w:line="348" w:lineRule="auto"/>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在招标采购中，出现下列情况之一的，应予废标：</w:t>
      </w:r>
    </w:p>
    <w:p>
      <w:pPr>
        <w:keepNext w:val="0"/>
        <w:keepLines w:val="0"/>
        <w:pageBreakBefore w:val="0"/>
        <w:tabs>
          <w:tab w:val="left" w:pos="525"/>
          <w:tab w:val="left" w:pos="1155"/>
          <w:tab w:val="left" w:pos="1260"/>
        </w:tabs>
        <w:kinsoku/>
        <w:wordWrap/>
        <w:overflowPunct/>
        <w:topLinePunct w:val="0"/>
        <w:autoSpaceDE/>
        <w:autoSpaceDN/>
        <w:bidi w:val="0"/>
        <w:adjustRightInd w:val="0"/>
        <w:snapToGrid w:val="0"/>
        <w:spacing w:line="348" w:lineRule="auto"/>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 符合专业条件的投标人或者对招标文件作出实质性响应的投标人不足三家；</w:t>
      </w:r>
    </w:p>
    <w:p>
      <w:pPr>
        <w:keepNext w:val="0"/>
        <w:keepLines w:val="0"/>
        <w:pageBreakBefore w:val="0"/>
        <w:tabs>
          <w:tab w:val="left" w:pos="525"/>
          <w:tab w:val="left" w:pos="1155"/>
          <w:tab w:val="left" w:pos="1260"/>
        </w:tabs>
        <w:kinsoku/>
        <w:wordWrap/>
        <w:overflowPunct/>
        <w:topLinePunct w:val="0"/>
        <w:autoSpaceDE/>
        <w:autoSpaceDN/>
        <w:bidi w:val="0"/>
        <w:adjustRightInd w:val="0"/>
        <w:snapToGrid w:val="0"/>
        <w:spacing w:line="348" w:lineRule="auto"/>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 出现影响采购公正的违法、违规行为；</w:t>
      </w:r>
    </w:p>
    <w:p>
      <w:pPr>
        <w:keepNext w:val="0"/>
        <w:keepLines w:val="0"/>
        <w:pageBreakBefore w:val="0"/>
        <w:tabs>
          <w:tab w:val="left" w:pos="525"/>
          <w:tab w:val="left" w:pos="1155"/>
          <w:tab w:val="left" w:pos="1260"/>
        </w:tabs>
        <w:kinsoku/>
        <w:wordWrap/>
        <w:overflowPunct/>
        <w:topLinePunct w:val="0"/>
        <w:autoSpaceDE/>
        <w:autoSpaceDN/>
        <w:bidi w:val="0"/>
        <w:adjustRightInd w:val="0"/>
        <w:snapToGrid w:val="0"/>
        <w:spacing w:line="348" w:lineRule="auto"/>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 投标人的报价均超过采购预算，采购人不能支付的；</w:t>
      </w:r>
    </w:p>
    <w:p>
      <w:pPr>
        <w:keepNext w:val="0"/>
        <w:keepLines w:val="0"/>
        <w:pageBreakBefore w:val="0"/>
        <w:tabs>
          <w:tab w:val="right" w:pos="180"/>
          <w:tab w:val="left" w:pos="525"/>
          <w:tab w:val="left" w:pos="1155"/>
          <w:tab w:val="left" w:pos="1260"/>
        </w:tabs>
        <w:kinsoku/>
        <w:wordWrap/>
        <w:overflowPunct/>
        <w:topLinePunct w:val="0"/>
        <w:autoSpaceDE/>
        <w:autoSpaceDN/>
        <w:bidi w:val="0"/>
        <w:adjustRightInd w:val="0"/>
        <w:snapToGrid w:val="0"/>
        <w:spacing w:line="348" w:lineRule="auto"/>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 因重大变故，采购任务取消。</w:t>
      </w:r>
    </w:p>
    <w:p>
      <w:pPr>
        <w:keepNext w:val="0"/>
        <w:keepLines w:val="0"/>
        <w:pageBreakBefore w:val="0"/>
        <w:kinsoku/>
        <w:wordWrap/>
        <w:overflowPunct/>
        <w:topLinePunct w:val="0"/>
        <w:autoSpaceDE/>
        <w:autoSpaceDN/>
        <w:bidi w:val="0"/>
        <w:adjustRightInd w:val="0"/>
        <w:snapToGrid w:val="0"/>
        <w:spacing w:line="348" w:lineRule="auto"/>
        <w:ind w:firstLine="480" w:firstLineChars="200"/>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（十二）中标无效的确认：</w:t>
      </w:r>
    </w:p>
    <w:p>
      <w:pPr>
        <w:keepNext w:val="0"/>
        <w:keepLines w:val="0"/>
        <w:pageBreakBefore w:val="0"/>
        <w:tabs>
          <w:tab w:val="left" w:pos="420"/>
        </w:tabs>
        <w:kinsoku/>
        <w:wordWrap/>
        <w:overflowPunct/>
        <w:topLinePunct w:val="0"/>
        <w:autoSpaceDE/>
        <w:autoSpaceDN/>
        <w:bidi w:val="0"/>
        <w:adjustRightInd w:val="0"/>
        <w:snapToGrid w:val="0"/>
        <w:spacing w:line="348" w:lineRule="auto"/>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 提供虚假材料谋取中标的；</w:t>
      </w:r>
    </w:p>
    <w:p>
      <w:pPr>
        <w:keepNext w:val="0"/>
        <w:keepLines w:val="0"/>
        <w:pageBreakBefore w:val="0"/>
        <w:tabs>
          <w:tab w:val="left" w:pos="420"/>
        </w:tabs>
        <w:kinsoku/>
        <w:wordWrap/>
        <w:overflowPunct/>
        <w:topLinePunct w:val="0"/>
        <w:autoSpaceDE/>
        <w:autoSpaceDN/>
        <w:bidi w:val="0"/>
        <w:adjustRightInd w:val="0"/>
        <w:snapToGrid w:val="0"/>
        <w:spacing w:line="348" w:lineRule="auto"/>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 采取不正当手段诋毁、排挤其他投标人的；</w:t>
      </w:r>
    </w:p>
    <w:p>
      <w:pPr>
        <w:keepNext w:val="0"/>
        <w:keepLines w:val="0"/>
        <w:pageBreakBefore w:val="0"/>
        <w:tabs>
          <w:tab w:val="left" w:pos="420"/>
        </w:tabs>
        <w:kinsoku/>
        <w:wordWrap/>
        <w:overflowPunct/>
        <w:topLinePunct w:val="0"/>
        <w:autoSpaceDE/>
        <w:autoSpaceDN/>
        <w:bidi w:val="0"/>
        <w:adjustRightInd w:val="0"/>
        <w:snapToGrid w:val="0"/>
        <w:spacing w:line="348" w:lineRule="auto"/>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 与招标采购单位、其他投标人恶意串通的；</w:t>
      </w:r>
    </w:p>
    <w:p>
      <w:pPr>
        <w:keepNext w:val="0"/>
        <w:keepLines w:val="0"/>
        <w:pageBreakBefore w:val="0"/>
        <w:tabs>
          <w:tab w:val="left" w:pos="420"/>
        </w:tabs>
        <w:kinsoku/>
        <w:wordWrap/>
        <w:overflowPunct/>
        <w:topLinePunct w:val="0"/>
        <w:autoSpaceDE/>
        <w:autoSpaceDN/>
        <w:bidi w:val="0"/>
        <w:adjustRightInd w:val="0"/>
        <w:snapToGrid w:val="0"/>
        <w:spacing w:line="348" w:lineRule="auto"/>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 向招标采购单位行贿或者提供其他不正当利益的；</w:t>
      </w:r>
    </w:p>
    <w:p>
      <w:pPr>
        <w:keepNext w:val="0"/>
        <w:keepLines w:val="0"/>
        <w:pageBreakBefore w:val="0"/>
        <w:tabs>
          <w:tab w:val="left" w:pos="420"/>
        </w:tabs>
        <w:kinsoku/>
        <w:wordWrap/>
        <w:overflowPunct/>
        <w:topLinePunct w:val="0"/>
        <w:autoSpaceDE/>
        <w:autoSpaceDN/>
        <w:bidi w:val="0"/>
        <w:adjustRightInd w:val="0"/>
        <w:snapToGrid w:val="0"/>
        <w:spacing w:line="348" w:lineRule="auto"/>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 在招标过程中与招标采购单位进行协商谈判、不按照招标文件和中标供应商的投标文件订立合同，或者与采购人另行订立背离合同实质性内容的协议的；</w:t>
      </w:r>
    </w:p>
    <w:p>
      <w:pPr>
        <w:keepNext w:val="0"/>
        <w:keepLines w:val="0"/>
        <w:pageBreakBefore w:val="0"/>
        <w:tabs>
          <w:tab w:val="left" w:pos="420"/>
        </w:tabs>
        <w:kinsoku/>
        <w:wordWrap/>
        <w:overflowPunct/>
        <w:topLinePunct w:val="0"/>
        <w:autoSpaceDE/>
        <w:autoSpaceDN/>
        <w:bidi w:val="0"/>
        <w:adjustRightInd w:val="0"/>
        <w:snapToGrid w:val="0"/>
        <w:spacing w:line="348" w:lineRule="auto"/>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 拒绝有关部门监督检查或者提供虚假情况的。</w:t>
      </w:r>
    </w:p>
    <w:p>
      <w:pPr>
        <w:keepNext w:val="0"/>
        <w:keepLines w:val="0"/>
        <w:pageBreakBefore w:val="0"/>
        <w:kinsoku/>
        <w:wordWrap/>
        <w:overflowPunct/>
        <w:topLinePunct w:val="0"/>
        <w:autoSpaceDE/>
        <w:autoSpaceDN/>
        <w:bidi w:val="0"/>
        <w:adjustRightInd w:val="0"/>
        <w:snapToGrid w:val="0"/>
        <w:spacing w:line="348" w:lineRule="auto"/>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投标人有上述（</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）至（</w:t>
      </w:r>
      <w:r>
        <w:rPr>
          <w:rFonts w:ascii="宋体" w:hAnsi="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）项情形之一的，中标无效。有上述（</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）至（</w:t>
      </w:r>
      <w:r>
        <w:rPr>
          <w:rFonts w:ascii="宋体" w:hAnsi="宋体" w:cs="宋体"/>
          <w:color w:val="000000" w:themeColor="text1"/>
          <w:sz w:val="24"/>
          <w:szCs w:val="24"/>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项情形之一的，处以政府采购项目中标金额千分之五以上千分之十以下的罚款，列入不良行为记录名单，在一至三年内禁止参加政府采购活动，并予以公告，有违法所得的，并处没收违法所得，情节严重的，由工商行政管理机构吊销营业执照；构成犯罪的，依法追究刑事责任。</w:t>
      </w:r>
    </w:p>
    <w:p>
      <w:pPr>
        <w:keepNext w:val="0"/>
        <w:keepLines w:val="0"/>
        <w:pageBreakBefore w:val="0"/>
        <w:kinsoku/>
        <w:wordWrap/>
        <w:overflowPunct/>
        <w:topLinePunct w:val="0"/>
        <w:autoSpaceDE/>
        <w:autoSpaceDN/>
        <w:bidi w:val="0"/>
        <w:adjustRightInd w:val="0"/>
        <w:snapToGrid w:val="0"/>
        <w:spacing w:line="348" w:lineRule="auto"/>
        <w:ind w:firstLine="480" w:firstLineChars="200"/>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（十三）签订、履行合同：</w:t>
      </w:r>
    </w:p>
    <w:p>
      <w:pPr>
        <w:keepNext w:val="0"/>
        <w:keepLines w:val="0"/>
        <w:pageBreakBefore w:val="0"/>
        <w:kinsoku/>
        <w:wordWrap/>
        <w:overflowPunct/>
        <w:topLinePunct w:val="0"/>
        <w:autoSpaceDE/>
        <w:autoSpaceDN/>
        <w:bidi w:val="0"/>
        <w:adjustRightInd w:val="0"/>
        <w:snapToGrid w:val="0"/>
        <w:spacing w:line="348"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采购人应当自中标通知书发出之日起三十日内（到新冠疫情应急响应解除之日前缩短至十五日内），按照招标文件和中标人投标文件的规定，与中标人签订书面合同。所签订的合同不得对招标文件确定的事项和中标人投标文件作实质性修改。采购人不得向中标供应商提出任何不合理的要求，作为签订合同的条件，不得与中标供应商私下订立背离合同实质性内容的协议。合同经无锡市卫生健康综合服务中心见证后生效。</w:t>
      </w:r>
    </w:p>
    <w:p>
      <w:pPr>
        <w:keepNext w:val="0"/>
        <w:keepLines w:val="0"/>
        <w:pageBreakBefore w:val="0"/>
        <w:kinsoku/>
        <w:wordWrap/>
        <w:overflowPunct/>
        <w:topLinePunct w:val="0"/>
        <w:autoSpaceDE/>
        <w:autoSpaceDN/>
        <w:bidi w:val="0"/>
        <w:adjustRightInd w:val="0"/>
        <w:snapToGrid w:val="0"/>
        <w:spacing w:line="348"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2.中标方非因不可抗力未履行招、投标文件和合同规定的义务，一经查实，无锡市卫生健康综合服务中心将根据具体情况提请政府采购管理部门作出相应处理。</w:t>
      </w:r>
    </w:p>
    <w:p>
      <w:pPr>
        <w:keepNext w:val="0"/>
        <w:keepLines w:val="0"/>
        <w:pageBreakBefore w:val="0"/>
        <w:kinsoku/>
        <w:wordWrap/>
        <w:overflowPunct/>
        <w:topLinePunct w:val="0"/>
        <w:autoSpaceDE/>
        <w:autoSpaceDN/>
        <w:bidi w:val="0"/>
        <w:adjustRightInd w:val="0"/>
        <w:snapToGrid w:val="0"/>
        <w:spacing w:line="348"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r>
        <w:rPr>
          <w:rFonts w:hint="eastAsia" w:ascii="宋体" w:hAnsi="宋体"/>
          <w:bCs/>
          <w:color w:val="000000" w:themeColor="text1"/>
          <w:sz w:val="24"/>
          <w:szCs w:val="24"/>
          <w14:textFill>
            <w14:solidFill>
              <w14:schemeClr w14:val="tx1"/>
            </w14:solidFill>
          </w14:textFill>
        </w:rPr>
        <w:t xml:space="preserve"> 中标供应商向采购人缴纳的履约保证金不超过政府采购合同金额的10%。收取履约保证金的，采购人应当允许供应商自主选择以支票、 汇票、 本票、 保函等非现金形式缴纳或提交，并与中标供应商在采购合同中约定履约保证金退还的方式、时间、条件和不予退还的情形，明确逾期退还履约保证金的违约责任。</w:t>
      </w:r>
    </w:p>
    <w:p>
      <w:pPr>
        <w:keepNext w:val="0"/>
        <w:keepLines w:val="0"/>
        <w:pageBreakBefore w:val="0"/>
        <w:kinsoku/>
        <w:wordWrap/>
        <w:overflowPunct/>
        <w:topLinePunct w:val="0"/>
        <w:autoSpaceDE/>
        <w:autoSpaceDN/>
        <w:bidi w:val="0"/>
        <w:adjustRightInd w:val="0"/>
        <w:snapToGrid w:val="0"/>
        <w:spacing w:line="348" w:lineRule="auto"/>
        <w:ind w:firstLine="480" w:firstLineChars="200"/>
        <w:rPr>
          <w:rFonts w:ascii="宋体"/>
          <w:bCs/>
          <w:color w:val="000000" w:themeColor="text1"/>
          <w:sz w:val="24"/>
          <w:szCs w:val="24"/>
          <w14:textFill>
            <w14:solidFill>
              <w14:schemeClr w14:val="tx1"/>
            </w14:solidFill>
          </w14:textFill>
        </w:rPr>
      </w:pPr>
      <w:r>
        <w:rPr>
          <w:rFonts w:hint="eastAsia" w:ascii="宋体"/>
          <w:bCs/>
          <w:color w:val="000000" w:themeColor="text1"/>
          <w:sz w:val="24"/>
          <w:szCs w:val="24"/>
          <w14:textFill>
            <w14:solidFill>
              <w14:schemeClr w14:val="tx1"/>
            </w14:solidFill>
          </w14:textFill>
        </w:rPr>
        <w:t>中标、成交供应商可以根据自身情况，自行决定是否选择采用履约担保形式，自主选择合作银行。除江苏省财政厅确定的江苏省再担保有限公司和无锡市财政局确定的科发投资担保有限公司为无锡市政府采购信用担保合作担保机构外，民生银行南京分行、江苏银行和中信银行南京分行、浙商银行无锡分行可以在无锡市范围内开展政府采购履约担保业务。</w:t>
      </w:r>
    </w:p>
    <w:p>
      <w:pPr>
        <w:keepNext w:val="0"/>
        <w:keepLines w:val="0"/>
        <w:pageBreakBefore w:val="0"/>
        <w:kinsoku/>
        <w:wordWrap/>
        <w:overflowPunct/>
        <w:topLinePunct w:val="0"/>
        <w:autoSpaceDE/>
        <w:autoSpaceDN/>
        <w:bidi w:val="0"/>
        <w:adjustRightInd w:val="0"/>
        <w:snapToGrid w:val="0"/>
        <w:spacing w:line="348"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bCs/>
          <w:color w:val="000000" w:themeColor="text1"/>
          <w:sz w:val="24"/>
          <w:szCs w:val="24"/>
          <w14:textFill>
            <w14:solidFill>
              <w14:schemeClr w14:val="tx1"/>
            </w14:solidFill>
          </w14:textFill>
        </w:rPr>
        <w:t>履约担保，是指由专业担保机构为中标、成交供应商支付履约保证金的义务向采购人提供的保函担保。专业担保机构根据中标、成交供应商的中标（成交）通知书为凭据，进行资信审查后出具保函, 中标、成交供应商以保函形式缴纳履约保证金；供应商未按政府采购合同履行约定义务而应实际支付保证金的，由专业担保机构按照担保函约定履行担保责任。供应商可以自愿选择是否采取履约担保函的形式交纳履约保证金。</w:t>
      </w:r>
    </w:p>
    <w:p>
      <w:pPr>
        <w:keepNext w:val="0"/>
        <w:keepLines w:val="0"/>
        <w:pageBreakBefore w:val="0"/>
        <w:kinsoku/>
        <w:wordWrap/>
        <w:overflowPunct/>
        <w:topLinePunct w:val="0"/>
        <w:autoSpaceDE/>
        <w:autoSpaceDN/>
        <w:bidi w:val="0"/>
        <w:adjustRightInd w:val="0"/>
        <w:snapToGrid w:val="0"/>
        <w:spacing w:line="348"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 中标、成交供应商可根据自身情况，自行决定是否选择采用合同融资形式。</w:t>
      </w:r>
    </w:p>
    <w:p>
      <w:pPr>
        <w:keepNext w:val="0"/>
        <w:keepLines w:val="0"/>
        <w:pageBreakBefore w:val="0"/>
        <w:kinsoku/>
        <w:wordWrap/>
        <w:overflowPunct/>
        <w:topLinePunct w:val="0"/>
        <w:autoSpaceDE/>
        <w:autoSpaceDN/>
        <w:bidi w:val="0"/>
        <w:adjustRightInd w:val="0"/>
        <w:snapToGrid w:val="0"/>
        <w:spacing w:line="348"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同融资，是指参与政府采购的供应商，凭借中标、成交通知书或政府采购合同向金融机构申请融资，金融机构以供应商信用审查和政府采购信誉为基础，按便捷贷款程序和优惠利率，为其发放无财产抵押贷款的一种融资模式。供应商与金融机构按照“银企自愿，风险共担”的原则开展融资活动，有融资需求的中标、成交供应商可根据自身情况，在无锡市政府采购交易管理一体化系统凭政府采购中标、成交通知书或政府采购合同在线提出融资申请，自主选择金融机构及其融资产品，金融机构进行融资信息审查决定是否为其提供融资，做好预授信。双方达成融资意向后签订融资协议，确定融资成交信息并约定融资回款账户。</w:t>
      </w:r>
    </w:p>
    <w:p>
      <w:pPr>
        <w:keepNext w:val="0"/>
        <w:keepLines w:val="0"/>
        <w:pageBreakBefore w:val="0"/>
        <w:kinsoku/>
        <w:wordWrap/>
        <w:overflowPunct/>
        <w:topLinePunct w:val="0"/>
        <w:autoSpaceDE/>
        <w:autoSpaceDN/>
        <w:bidi w:val="0"/>
        <w:adjustRightInd w:val="0"/>
        <w:snapToGrid w:val="0"/>
        <w:spacing w:line="348" w:lineRule="auto"/>
        <w:ind w:firstLine="480" w:firstLineChars="200"/>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（十四）中标服务费：</w:t>
      </w:r>
    </w:p>
    <w:p>
      <w:pPr>
        <w:keepNext w:val="0"/>
        <w:keepLines w:val="0"/>
        <w:pageBreakBefore w:val="0"/>
        <w:kinsoku/>
        <w:wordWrap/>
        <w:overflowPunct/>
        <w:topLinePunct w:val="0"/>
        <w:autoSpaceDE/>
        <w:autoSpaceDN/>
        <w:bidi w:val="0"/>
        <w:adjustRightInd w:val="0"/>
        <w:snapToGrid w:val="0"/>
        <w:spacing w:line="348"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本次招标，无锡市卫生健康综合服务中心为中标供应商提供免费服务。</w:t>
      </w:r>
    </w:p>
    <w:p>
      <w:pPr>
        <w:keepNext w:val="0"/>
        <w:keepLines w:val="0"/>
        <w:pageBreakBefore w:val="0"/>
        <w:kinsoku/>
        <w:wordWrap/>
        <w:overflowPunct/>
        <w:topLinePunct w:val="0"/>
        <w:autoSpaceDE/>
        <w:autoSpaceDN/>
        <w:bidi w:val="0"/>
        <w:adjustRightInd w:val="0"/>
        <w:snapToGrid w:val="0"/>
        <w:spacing w:line="348" w:lineRule="auto"/>
        <w:ind w:firstLine="480" w:firstLineChars="200"/>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（十五）注意事项：</w:t>
      </w:r>
    </w:p>
    <w:p>
      <w:pPr>
        <w:keepNext w:val="0"/>
        <w:keepLines w:val="0"/>
        <w:pageBreakBefore w:val="0"/>
        <w:tabs>
          <w:tab w:val="left" w:pos="945"/>
        </w:tabs>
        <w:kinsoku/>
        <w:wordWrap/>
        <w:overflowPunct/>
        <w:topLinePunct w:val="0"/>
        <w:autoSpaceDE/>
        <w:autoSpaceDN/>
        <w:bidi w:val="0"/>
        <w:adjustRightInd w:val="0"/>
        <w:snapToGrid w:val="0"/>
        <w:spacing w:line="348" w:lineRule="auto"/>
        <w:ind w:firstLine="480" w:firstLineChars="200"/>
        <w:rPr>
          <w:rFonts w:ascii="宋体" w:hAnsi="Calibri"/>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中标供应商有下列情形之一的，情节严重的，由财政部门将其列入不良行为记录名单，在一至三年内禁止参加政府采购活动，并予以通报：</w:t>
      </w:r>
    </w:p>
    <w:p>
      <w:pPr>
        <w:keepNext w:val="0"/>
        <w:keepLines w:val="0"/>
        <w:pageBreakBefore w:val="0"/>
        <w:tabs>
          <w:tab w:val="left" w:pos="735"/>
          <w:tab w:val="left" w:pos="945"/>
          <w:tab w:val="left" w:pos="1155"/>
        </w:tabs>
        <w:kinsoku/>
        <w:wordWrap/>
        <w:overflowPunct/>
        <w:topLinePunct w:val="0"/>
        <w:autoSpaceDE/>
        <w:autoSpaceDN/>
        <w:bidi w:val="0"/>
        <w:adjustRightInd w:val="0"/>
        <w:snapToGrid w:val="0"/>
        <w:spacing w:line="348" w:lineRule="auto"/>
        <w:ind w:firstLine="480" w:firstLineChars="200"/>
        <w:rPr>
          <w:rFonts w:ascii="宋体" w:hAnsi="Calibri"/>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（1）中标后无正当理由不与采购人签订合同的；</w:t>
      </w:r>
    </w:p>
    <w:p>
      <w:pPr>
        <w:keepNext w:val="0"/>
        <w:keepLines w:val="0"/>
        <w:pageBreakBefore w:val="0"/>
        <w:tabs>
          <w:tab w:val="left" w:pos="735"/>
          <w:tab w:val="left" w:pos="945"/>
          <w:tab w:val="left" w:pos="1155"/>
        </w:tabs>
        <w:kinsoku/>
        <w:wordWrap/>
        <w:overflowPunct/>
        <w:topLinePunct w:val="0"/>
        <w:autoSpaceDE/>
        <w:autoSpaceDN/>
        <w:bidi w:val="0"/>
        <w:adjustRightInd w:val="0"/>
        <w:snapToGrid w:val="0"/>
        <w:spacing w:line="348" w:lineRule="auto"/>
        <w:ind w:firstLine="480" w:firstLineChars="200"/>
        <w:rPr>
          <w:rFonts w:ascii="宋体" w:hAnsi="Calibri"/>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（2）将中标项目转让给他人，或者在投标文件中未说明，且未经过采购人同意，将中标项目分包给他人的；</w:t>
      </w:r>
    </w:p>
    <w:p>
      <w:pPr>
        <w:keepNext w:val="0"/>
        <w:keepLines w:val="0"/>
        <w:pageBreakBefore w:val="0"/>
        <w:tabs>
          <w:tab w:val="left" w:pos="525"/>
          <w:tab w:val="left" w:pos="945"/>
        </w:tabs>
        <w:kinsoku/>
        <w:wordWrap/>
        <w:overflowPunct/>
        <w:topLinePunct w:val="0"/>
        <w:autoSpaceDE/>
        <w:autoSpaceDN/>
        <w:bidi w:val="0"/>
        <w:adjustRightInd w:val="0"/>
        <w:snapToGrid w:val="0"/>
        <w:spacing w:line="348" w:lineRule="auto"/>
        <w:ind w:firstLine="480"/>
        <w:rPr>
          <w:rFonts w:ascii="宋体"/>
          <w:color w:val="000000" w:themeColor="text1"/>
          <w:sz w:val="24"/>
          <w:szCs w:val="24"/>
          <w14:textFill>
            <w14:solidFill>
              <w14:schemeClr w14:val="tx1"/>
            </w14:solidFill>
          </w14:textFill>
        </w:rPr>
      </w:pPr>
      <w:r>
        <w:rPr>
          <w:rFonts w:hint="eastAsia" w:ascii="宋体" w:hAnsi="宋体"/>
          <w:bCs/>
          <w:color w:val="000000" w:themeColor="text1"/>
          <w:kern w:val="0"/>
          <w:sz w:val="24"/>
          <w:szCs w:val="24"/>
          <w14:textFill>
            <w14:solidFill>
              <w14:schemeClr w14:val="tx1"/>
            </w14:solidFill>
          </w14:textFill>
        </w:rPr>
        <w:t>（3）拒绝履行合同义务的。</w:t>
      </w:r>
    </w:p>
    <w:p>
      <w:pPr>
        <w:adjustRightInd w:val="0"/>
        <w:snapToGrid w:val="0"/>
        <w:spacing w:line="360" w:lineRule="auto"/>
        <w:ind w:firstLine="480" w:firstLineChars="200"/>
        <w:rPr>
          <w:rFonts w:ascii="宋体"/>
          <w:color w:val="000000" w:themeColor="text1"/>
          <w:sz w:val="24"/>
          <w:szCs w:val="24"/>
          <w14:textFill>
            <w14:solidFill>
              <w14:schemeClr w14:val="tx1"/>
            </w14:solidFill>
          </w14:textFill>
        </w:rPr>
      </w:pPr>
    </w:p>
    <w:p>
      <w:pPr>
        <w:adjustRightInd w:val="0"/>
        <w:snapToGrid w:val="0"/>
        <w:spacing w:line="360" w:lineRule="auto"/>
        <w:ind w:firstLine="480" w:firstLineChars="200"/>
        <w:rPr>
          <w:rFonts w:ascii="宋体"/>
          <w:color w:val="000000" w:themeColor="text1"/>
          <w:sz w:val="24"/>
          <w:szCs w:val="24"/>
          <w14:textFill>
            <w14:solidFill>
              <w14:schemeClr w14:val="tx1"/>
            </w14:solidFill>
          </w14:textFill>
        </w:rPr>
      </w:pPr>
    </w:p>
    <w:p>
      <w:pPr>
        <w:adjustRightInd w:val="0"/>
        <w:snapToGrid w:val="0"/>
        <w:spacing w:line="360" w:lineRule="auto"/>
        <w:ind w:firstLine="480" w:firstLineChars="200"/>
        <w:rPr>
          <w:rFonts w:ascii="宋体"/>
          <w:color w:val="000000" w:themeColor="text1"/>
          <w:sz w:val="24"/>
          <w:szCs w:val="24"/>
          <w14:textFill>
            <w14:solidFill>
              <w14:schemeClr w14:val="tx1"/>
            </w14:solidFill>
          </w14:textFill>
        </w:rPr>
      </w:pPr>
    </w:p>
    <w:p>
      <w:pPr>
        <w:adjustRightInd w:val="0"/>
        <w:snapToGrid w:val="0"/>
        <w:spacing w:line="360" w:lineRule="auto"/>
        <w:ind w:firstLine="480" w:firstLineChars="200"/>
        <w:rPr>
          <w:rFonts w:ascii="宋体"/>
          <w:color w:val="000000" w:themeColor="text1"/>
          <w:sz w:val="24"/>
          <w:szCs w:val="24"/>
          <w14:textFill>
            <w14:solidFill>
              <w14:schemeClr w14:val="tx1"/>
            </w14:solidFill>
          </w14:textFill>
        </w:rPr>
      </w:pPr>
    </w:p>
    <w:p>
      <w:pPr>
        <w:adjustRightInd w:val="0"/>
        <w:snapToGrid w:val="0"/>
        <w:spacing w:line="360" w:lineRule="auto"/>
        <w:ind w:firstLine="480" w:firstLineChars="200"/>
        <w:rPr>
          <w:rFonts w:ascii="宋体"/>
          <w:color w:val="000000" w:themeColor="text1"/>
          <w:sz w:val="24"/>
          <w:szCs w:val="24"/>
          <w14:textFill>
            <w14:solidFill>
              <w14:schemeClr w14:val="tx1"/>
            </w14:solidFill>
          </w14:textFill>
        </w:rPr>
      </w:pPr>
    </w:p>
    <w:p>
      <w:pPr>
        <w:adjustRightInd w:val="0"/>
        <w:snapToGrid w:val="0"/>
        <w:spacing w:line="360" w:lineRule="auto"/>
        <w:ind w:firstLine="480" w:firstLineChars="200"/>
        <w:rPr>
          <w:rFonts w:ascii="宋体"/>
          <w:color w:val="000000" w:themeColor="text1"/>
          <w:sz w:val="24"/>
          <w:szCs w:val="24"/>
          <w14:textFill>
            <w14:solidFill>
              <w14:schemeClr w14:val="tx1"/>
            </w14:solidFill>
          </w14:textFill>
        </w:rPr>
      </w:pPr>
    </w:p>
    <w:p>
      <w:pPr>
        <w:numPr>
          <w:ilvl w:val="0"/>
          <w:numId w:val="6"/>
        </w:numPr>
        <w:jc w:val="center"/>
        <w:rPr>
          <w:rFonts w:ascii="黑体" w:eastAsia="黑体" w:cs="黑体"/>
          <w:color w:val="000000" w:themeColor="text1"/>
          <w:sz w:val="28"/>
          <w:szCs w:val="28"/>
          <w14:textFill>
            <w14:solidFill>
              <w14:schemeClr w14:val="tx1"/>
            </w14:solidFill>
          </w14:textFill>
        </w:rPr>
      </w:pPr>
      <w:r>
        <w:rPr>
          <w:rFonts w:hint="eastAsia" w:ascii="黑体" w:eastAsia="黑体" w:cs="黑体"/>
          <w:color w:val="000000" w:themeColor="text1"/>
          <w:sz w:val="28"/>
          <w:szCs w:val="28"/>
          <w14:textFill>
            <w14:solidFill>
              <w14:schemeClr w14:val="tx1"/>
            </w14:solidFill>
          </w14:textFill>
        </w:rPr>
        <w:t>项目技术要求和有关说明</w:t>
      </w:r>
    </w:p>
    <w:p>
      <w:pPr>
        <w:adjustRightInd w:val="0"/>
        <w:snapToGrid w:val="0"/>
        <w:spacing w:line="360" w:lineRule="auto"/>
        <w:ind w:firstLine="480" w:firstLineChars="200"/>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一、项目技术要求</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7" w:type="dxa"/>
          </w:tcPr>
          <w:p>
            <w:pPr>
              <w:pStyle w:val="72"/>
              <w:spacing w:line="360" w:lineRule="auto"/>
              <w:ind w:firstLine="0" w:firstLineChars="0"/>
              <w:jc w:val="left"/>
              <w:rPr>
                <w:rFonts w:ascii="宋体" w:hAnsi="宋体" w:cs="宋体"/>
                <w:b/>
                <w:bCs/>
                <w:sz w:val="24"/>
              </w:rPr>
            </w:pPr>
            <w:r>
              <w:rPr>
                <w:rFonts w:hint="eastAsia" w:ascii="宋体" w:hAnsi="宋体" w:cs="宋体"/>
                <w:b/>
                <w:bCs/>
                <w:sz w:val="24"/>
              </w:rPr>
              <w:t>（一）、使用范围</w:t>
            </w:r>
          </w:p>
          <w:p>
            <w:pPr>
              <w:pStyle w:val="72"/>
              <w:numPr>
                <w:ilvl w:val="1"/>
                <w:numId w:val="7"/>
              </w:numPr>
              <w:spacing w:line="360" w:lineRule="auto"/>
              <w:ind w:firstLineChars="0"/>
              <w:rPr>
                <w:rFonts w:ascii="宋体" w:hAnsi="宋体" w:cs="宋体"/>
                <w:sz w:val="24"/>
              </w:rPr>
            </w:pPr>
            <w:r>
              <w:rPr>
                <w:rFonts w:hint="eastAsia" w:ascii="宋体" w:hAnsi="宋体" w:cs="宋体"/>
                <w:sz w:val="24"/>
              </w:rPr>
              <w:t>使用范围：适用于儿童神经外科手术。</w:t>
            </w:r>
          </w:p>
          <w:p>
            <w:pPr>
              <w:pStyle w:val="72"/>
              <w:spacing w:line="360" w:lineRule="auto"/>
              <w:ind w:firstLine="0" w:firstLineChars="0"/>
              <w:rPr>
                <w:rFonts w:ascii="宋体" w:hAnsi="宋体" w:cs="宋体"/>
                <w:sz w:val="24"/>
              </w:rPr>
            </w:pPr>
            <w:r>
              <w:rPr>
                <w:rFonts w:hint="eastAsia" w:ascii="宋体" w:hAnsi="宋体" w:cs="宋体"/>
                <w:sz w:val="24"/>
              </w:rPr>
              <w:t>★1.2注册证明确显微镜可选配荧光模块，与荧光剂吲哚菁绿配合使用。</w:t>
            </w:r>
          </w:p>
          <w:p>
            <w:pPr>
              <w:pStyle w:val="72"/>
              <w:spacing w:line="360" w:lineRule="auto"/>
              <w:ind w:firstLine="0" w:firstLineChars="0"/>
              <w:jc w:val="left"/>
              <w:rPr>
                <w:rFonts w:ascii="宋体" w:hAnsi="宋体" w:cs="宋体"/>
                <w:b/>
                <w:bCs/>
                <w:sz w:val="24"/>
              </w:rPr>
            </w:pPr>
            <w:r>
              <w:rPr>
                <w:rFonts w:hint="eastAsia" w:ascii="宋体" w:hAnsi="宋体" w:cs="宋体"/>
                <w:b/>
                <w:bCs/>
                <w:sz w:val="24"/>
              </w:rPr>
              <w:t>（二）、技术参数</w:t>
            </w:r>
          </w:p>
          <w:p>
            <w:pPr>
              <w:pStyle w:val="72"/>
              <w:spacing w:line="360" w:lineRule="auto"/>
              <w:ind w:firstLine="0" w:firstLineChars="0"/>
              <w:jc w:val="left"/>
              <w:rPr>
                <w:rFonts w:ascii="宋体" w:hAnsi="宋体" w:cs="宋体"/>
                <w:b/>
                <w:bCs/>
                <w:sz w:val="24"/>
              </w:rPr>
            </w:pPr>
            <w:r>
              <w:rPr>
                <w:rFonts w:hint="eastAsia" w:ascii="宋体" w:hAnsi="宋体" w:cs="宋体"/>
                <w:b/>
                <w:bCs/>
                <w:sz w:val="24"/>
              </w:rPr>
              <w:t>1、镜头和光学系统</w:t>
            </w:r>
          </w:p>
          <w:p>
            <w:pPr>
              <w:pStyle w:val="72"/>
              <w:numPr>
                <w:ilvl w:val="1"/>
                <w:numId w:val="7"/>
              </w:numPr>
              <w:spacing w:line="360" w:lineRule="auto"/>
              <w:ind w:firstLineChars="0"/>
              <w:rPr>
                <w:rFonts w:ascii="宋体" w:hAnsi="宋体" w:cs="宋体"/>
                <w:sz w:val="24"/>
              </w:rPr>
            </w:pPr>
            <w:r>
              <w:rPr>
                <w:rFonts w:hint="eastAsia" w:ascii="宋体" w:hAnsi="宋体" w:cs="宋体"/>
                <w:sz w:val="24"/>
              </w:rPr>
              <w:t>采用复消色差光学技术；</w:t>
            </w:r>
          </w:p>
          <w:p>
            <w:pPr>
              <w:pStyle w:val="72"/>
              <w:numPr>
                <w:ilvl w:val="1"/>
                <w:numId w:val="7"/>
              </w:numPr>
              <w:spacing w:line="360" w:lineRule="auto"/>
              <w:ind w:firstLineChars="0"/>
              <w:rPr>
                <w:rFonts w:ascii="宋体" w:hAnsi="宋体" w:cs="宋体"/>
                <w:sz w:val="24"/>
              </w:rPr>
            </w:pPr>
            <w:r>
              <w:rPr>
                <w:rFonts w:hint="eastAsia" w:ascii="宋体" w:hAnsi="宋体" w:cs="宋体"/>
                <w:sz w:val="24"/>
              </w:rPr>
              <w:t>调焦模式：同时具备电动和手动变焦，对手镜可独立调焦；</w:t>
            </w:r>
          </w:p>
          <w:p>
            <w:pPr>
              <w:pStyle w:val="72"/>
              <w:spacing w:line="360" w:lineRule="auto"/>
              <w:ind w:firstLine="0" w:firstLineChars="0"/>
              <w:rPr>
                <w:rFonts w:ascii="宋体" w:hAnsi="宋体" w:cs="宋体"/>
                <w:sz w:val="24"/>
              </w:rPr>
            </w:pPr>
            <w:r>
              <w:rPr>
                <w:rFonts w:hint="eastAsia" w:ascii="宋体" w:hAnsi="宋体" w:cs="宋体"/>
                <w:sz w:val="24"/>
              </w:rPr>
              <w:t>★1.3物镜工作距离：最小工作距离≤230mm，最大工作距离≥590mm；</w:t>
            </w:r>
          </w:p>
          <w:p>
            <w:pPr>
              <w:pStyle w:val="72"/>
              <w:spacing w:line="360" w:lineRule="auto"/>
              <w:ind w:firstLine="0" w:firstLineChars="0"/>
              <w:rPr>
                <w:rFonts w:ascii="宋体" w:hAnsi="宋体" w:cs="宋体"/>
                <w:sz w:val="24"/>
              </w:rPr>
            </w:pPr>
            <w:r>
              <w:rPr>
                <w:rFonts w:hint="eastAsia" w:ascii="宋体" w:hAnsi="宋体" w:cs="宋体"/>
                <w:sz w:val="24"/>
              </w:rPr>
              <w:t>1.4放大倍数：最小倍数≤2倍，最大倍数≥11倍；</w:t>
            </w:r>
          </w:p>
          <w:p>
            <w:pPr>
              <w:pStyle w:val="72"/>
              <w:spacing w:line="360" w:lineRule="auto"/>
              <w:ind w:firstLine="0" w:firstLineChars="0"/>
              <w:rPr>
                <w:rFonts w:ascii="宋体" w:hAnsi="宋体" w:cs="宋体"/>
                <w:sz w:val="24"/>
              </w:rPr>
            </w:pPr>
            <w:r>
              <w:rPr>
                <w:rFonts w:hint="eastAsia" w:ascii="宋体" w:hAnsi="宋体" w:cs="宋体"/>
                <w:sz w:val="24"/>
              </w:rPr>
              <w:t>1.512.5倍目镜下，视场范围：最大视野≥170mm；</w:t>
            </w:r>
          </w:p>
          <w:p>
            <w:pPr>
              <w:pStyle w:val="72"/>
              <w:spacing w:line="360" w:lineRule="auto"/>
              <w:ind w:firstLine="0" w:firstLineChars="0"/>
              <w:rPr>
                <w:rFonts w:ascii="宋体" w:hAnsi="宋体" w:cs="宋体"/>
                <w:sz w:val="24"/>
              </w:rPr>
            </w:pPr>
            <w:r>
              <w:rPr>
                <w:rFonts w:hint="eastAsia" w:ascii="宋体" w:hAnsi="宋体" w:cs="宋体"/>
                <w:sz w:val="24"/>
              </w:rPr>
              <w:t>1.6保护功能：有内置控制系统使光强可以随着工作距离和放大倍数自动调整，光照范围跟随视野；</w:t>
            </w:r>
          </w:p>
          <w:p>
            <w:pPr>
              <w:pStyle w:val="72"/>
              <w:spacing w:line="360" w:lineRule="auto"/>
              <w:ind w:firstLine="0" w:firstLineChars="0"/>
              <w:rPr>
                <w:rFonts w:ascii="宋体" w:hAnsi="宋体" w:cs="宋体"/>
                <w:sz w:val="24"/>
              </w:rPr>
            </w:pPr>
            <w:r>
              <w:rPr>
                <w:rFonts w:hint="eastAsia" w:ascii="宋体" w:hAnsi="宋体" w:cs="宋体"/>
                <w:sz w:val="24"/>
              </w:rPr>
              <w:t>1.7光学主镜体角度可调：镜头可前后左右调节观察角度，左右≥90°，前后≥150°，水平旋转≥500°；</w:t>
            </w:r>
          </w:p>
          <w:p>
            <w:pPr>
              <w:pStyle w:val="72"/>
              <w:spacing w:line="360" w:lineRule="auto"/>
              <w:ind w:firstLine="0" w:firstLineChars="0"/>
              <w:rPr>
                <w:rFonts w:ascii="宋体" w:hAnsi="宋体" w:cs="宋体"/>
                <w:sz w:val="24"/>
              </w:rPr>
            </w:pPr>
            <w:r>
              <w:rPr>
                <w:rFonts w:hint="eastAsia" w:ascii="宋体" w:hAnsi="宋体" w:cs="宋体"/>
                <w:sz w:val="24"/>
              </w:rPr>
              <w:t>★1.8光学系统具有双激光点辅助对焦或自动聚焦；</w:t>
            </w:r>
          </w:p>
          <w:p>
            <w:pPr>
              <w:pStyle w:val="72"/>
              <w:spacing w:line="360" w:lineRule="auto"/>
              <w:ind w:firstLine="0" w:firstLineChars="0"/>
              <w:rPr>
                <w:rFonts w:ascii="宋体" w:hAnsi="宋体" w:cs="宋体"/>
                <w:sz w:val="24"/>
              </w:rPr>
            </w:pPr>
            <w:r>
              <w:rPr>
                <w:rFonts w:hint="eastAsia" w:ascii="宋体" w:hAnsi="宋体" w:cs="宋体"/>
                <w:sz w:val="24"/>
              </w:rPr>
              <w:t>1.9主刀目镜可水平调整，配有可折叠镜筒，主刀及助手镜屈光度可调；</w:t>
            </w:r>
          </w:p>
          <w:p>
            <w:pPr>
              <w:pStyle w:val="72"/>
              <w:spacing w:line="360" w:lineRule="auto"/>
              <w:ind w:firstLine="0" w:firstLineChars="0"/>
              <w:rPr>
                <w:rFonts w:ascii="宋体" w:hAnsi="宋体" w:cs="宋体"/>
                <w:sz w:val="24"/>
              </w:rPr>
            </w:pPr>
            <w:r>
              <w:rPr>
                <w:rFonts w:hint="eastAsia" w:ascii="宋体" w:hAnsi="宋体" w:cs="宋体"/>
                <w:sz w:val="24"/>
              </w:rPr>
              <w:t>1.10助手镜可水平360°旋转，调至对手镜位置。</w:t>
            </w:r>
          </w:p>
          <w:p>
            <w:pPr>
              <w:spacing w:line="360" w:lineRule="auto"/>
              <w:jc w:val="left"/>
              <w:rPr>
                <w:rFonts w:ascii="宋体" w:hAnsi="宋体" w:cs="宋体"/>
                <w:b/>
                <w:bCs/>
                <w:sz w:val="24"/>
              </w:rPr>
            </w:pPr>
            <w:r>
              <w:rPr>
                <w:rFonts w:hint="eastAsia" w:ascii="宋体" w:hAnsi="宋体" w:cs="宋体"/>
                <w:b/>
                <w:bCs/>
                <w:sz w:val="24"/>
              </w:rPr>
              <w:t>2、手柄</w:t>
            </w:r>
          </w:p>
          <w:p>
            <w:pPr>
              <w:spacing w:line="360" w:lineRule="auto"/>
              <w:ind w:firstLine="420"/>
              <w:jc w:val="left"/>
              <w:rPr>
                <w:rFonts w:ascii="宋体" w:hAnsi="宋体" w:cs="宋体"/>
                <w:sz w:val="24"/>
              </w:rPr>
            </w:pPr>
            <w:r>
              <w:rPr>
                <w:rFonts w:hint="eastAsia" w:ascii="宋体" w:hAnsi="宋体" w:cs="宋体"/>
                <w:sz w:val="24"/>
              </w:rPr>
              <w:t>多功能手柄，可自由设定控制参数，包括：变倍、调焦、调光、拍照、录像、xy轴偏转微调及定解锁显微镜头等功能。</w:t>
            </w:r>
          </w:p>
          <w:p>
            <w:pPr>
              <w:spacing w:line="360" w:lineRule="auto"/>
              <w:jc w:val="left"/>
              <w:rPr>
                <w:rFonts w:ascii="宋体" w:hAnsi="宋体" w:cs="宋体"/>
                <w:b/>
                <w:bCs/>
                <w:sz w:val="24"/>
              </w:rPr>
            </w:pPr>
            <w:r>
              <w:rPr>
                <w:rFonts w:hint="eastAsia" w:ascii="宋体" w:hAnsi="宋体" w:cs="宋体"/>
                <w:b/>
                <w:bCs/>
                <w:sz w:val="24"/>
              </w:rPr>
              <w:t>3、光源</w:t>
            </w:r>
          </w:p>
          <w:p>
            <w:pPr>
              <w:spacing w:line="360" w:lineRule="auto"/>
              <w:jc w:val="left"/>
              <w:rPr>
                <w:rFonts w:ascii="宋体" w:hAnsi="宋体" w:cs="宋体"/>
                <w:sz w:val="24"/>
              </w:rPr>
            </w:pPr>
            <w:r>
              <w:rPr>
                <w:rFonts w:hint="eastAsia" w:ascii="宋体" w:hAnsi="宋体" w:cs="宋体"/>
                <w:sz w:val="24"/>
              </w:rPr>
              <w:t>3.1 配有主光源和备用光源氙气灯≥300W；</w:t>
            </w:r>
          </w:p>
          <w:p>
            <w:pPr>
              <w:spacing w:line="360" w:lineRule="auto"/>
              <w:jc w:val="left"/>
              <w:rPr>
                <w:rFonts w:ascii="宋体" w:hAnsi="宋体" w:cs="宋体"/>
                <w:sz w:val="24"/>
              </w:rPr>
            </w:pPr>
            <w:r>
              <w:rPr>
                <w:rFonts w:hint="eastAsia" w:ascii="宋体" w:hAnsi="宋体" w:cs="宋体"/>
                <w:sz w:val="24"/>
              </w:rPr>
              <w:t>3.2主光源和备用光源供电系统独立，主光源故障时，备用光源不受影响。</w:t>
            </w:r>
          </w:p>
          <w:p>
            <w:pPr>
              <w:numPr>
                <w:ilvl w:val="0"/>
                <w:numId w:val="8"/>
              </w:numPr>
              <w:spacing w:line="360" w:lineRule="auto"/>
              <w:jc w:val="left"/>
              <w:rPr>
                <w:rFonts w:ascii="宋体" w:hAnsi="宋体" w:cs="宋体"/>
                <w:b/>
                <w:bCs/>
                <w:sz w:val="24"/>
              </w:rPr>
            </w:pPr>
            <w:r>
              <w:rPr>
                <w:rFonts w:hint="eastAsia" w:ascii="宋体" w:hAnsi="宋体" w:cs="宋体"/>
                <w:b/>
                <w:bCs/>
                <w:sz w:val="24"/>
              </w:rPr>
              <w:t>支架</w:t>
            </w:r>
          </w:p>
          <w:p>
            <w:pPr>
              <w:numPr>
                <w:ilvl w:val="255"/>
                <w:numId w:val="0"/>
              </w:numPr>
              <w:spacing w:line="360" w:lineRule="auto"/>
              <w:jc w:val="left"/>
              <w:rPr>
                <w:rFonts w:ascii="宋体" w:hAnsi="宋体" w:cs="宋体"/>
                <w:sz w:val="24"/>
              </w:rPr>
            </w:pPr>
            <w:r>
              <w:rPr>
                <w:rFonts w:hint="eastAsia" w:ascii="宋体" w:hAnsi="宋体" w:cs="宋体"/>
                <w:sz w:val="24"/>
              </w:rPr>
              <w:t>★4.1支架臂展：≥1600mm，能跨越器械台和手术床；</w:t>
            </w:r>
          </w:p>
          <w:p>
            <w:pPr>
              <w:numPr>
                <w:ilvl w:val="255"/>
                <w:numId w:val="0"/>
              </w:numPr>
              <w:spacing w:line="360" w:lineRule="auto"/>
              <w:jc w:val="left"/>
              <w:rPr>
                <w:rFonts w:ascii="宋体" w:hAnsi="宋体" w:cs="宋体"/>
                <w:sz w:val="24"/>
              </w:rPr>
            </w:pPr>
            <w:r>
              <w:rPr>
                <w:rFonts w:hint="eastAsia" w:ascii="宋体" w:hAnsi="宋体" w:cs="宋体"/>
                <w:sz w:val="24"/>
              </w:rPr>
              <w:t>4.2支架的每段关节臂能独立调整角度；</w:t>
            </w:r>
          </w:p>
          <w:p>
            <w:pPr>
              <w:numPr>
                <w:ilvl w:val="255"/>
                <w:numId w:val="0"/>
              </w:numPr>
              <w:spacing w:line="360" w:lineRule="auto"/>
              <w:jc w:val="left"/>
              <w:rPr>
                <w:rFonts w:ascii="宋体" w:hAnsi="宋体" w:cs="宋体"/>
                <w:sz w:val="24"/>
              </w:rPr>
            </w:pPr>
            <w:r>
              <w:rPr>
                <w:rFonts w:hint="eastAsia" w:ascii="宋体" w:hAnsi="宋体" w:cs="宋体"/>
                <w:sz w:val="24"/>
              </w:rPr>
              <w:t>4.3整机具备一键自动平衡，及术中一键自动平衡功能；</w:t>
            </w:r>
          </w:p>
          <w:p>
            <w:pPr>
              <w:numPr>
                <w:ilvl w:val="0"/>
                <w:numId w:val="8"/>
              </w:numPr>
              <w:spacing w:line="360" w:lineRule="auto"/>
              <w:rPr>
                <w:rFonts w:ascii="宋体" w:hAnsi="宋体" w:cs="宋体"/>
                <w:b/>
                <w:bCs/>
                <w:sz w:val="24"/>
              </w:rPr>
            </w:pPr>
            <w:r>
              <w:rPr>
                <w:rFonts w:hint="eastAsia" w:ascii="宋体" w:hAnsi="宋体" w:cs="宋体"/>
                <w:b/>
                <w:bCs/>
                <w:sz w:val="24"/>
              </w:rPr>
              <w:t>影像系统</w:t>
            </w:r>
          </w:p>
          <w:p>
            <w:pPr>
              <w:spacing w:line="360" w:lineRule="auto"/>
              <w:rPr>
                <w:rFonts w:ascii="宋体" w:hAnsi="宋体" w:cs="宋体"/>
                <w:sz w:val="24"/>
              </w:rPr>
            </w:pPr>
            <w:r>
              <w:rPr>
                <w:rFonts w:hint="eastAsia" w:ascii="宋体" w:hAnsi="宋体" w:cs="宋体"/>
                <w:sz w:val="24"/>
              </w:rPr>
              <w:t>5.1显微镜控制屏与显示器相互独立；</w:t>
            </w:r>
          </w:p>
          <w:p>
            <w:pPr>
              <w:spacing w:line="360" w:lineRule="auto"/>
              <w:rPr>
                <w:rFonts w:ascii="宋体" w:hAnsi="宋体" w:cs="宋体"/>
                <w:sz w:val="24"/>
              </w:rPr>
            </w:pPr>
            <w:r>
              <w:rPr>
                <w:rFonts w:hint="eastAsia" w:ascii="宋体" w:hAnsi="宋体" w:cs="宋体"/>
                <w:sz w:val="24"/>
              </w:rPr>
              <w:t>5.2影像系统为内置一体机，无外接设备；</w:t>
            </w:r>
          </w:p>
          <w:p>
            <w:pPr>
              <w:spacing w:line="360" w:lineRule="auto"/>
              <w:rPr>
                <w:rFonts w:ascii="宋体" w:hAnsi="宋体" w:cs="宋体"/>
                <w:sz w:val="24"/>
              </w:rPr>
            </w:pPr>
            <w:r>
              <w:rPr>
                <w:rFonts w:hint="eastAsia" w:ascii="宋体" w:hAnsi="宋体" w:cs="宋体"/>
                <w:sz w:val="24"/>
              </w:rPr>
              <w:t>★5.3可将内镜图像展示到显微镜的显示屏上；</w:t>
            </w:r>
          </w:p>
          <w:p>
            <w:pPr>
              <w:spacing w:line="360" w:lineRule="auto"/>
              <w:rPr>
                <w:rFonts w:ascii="宋体" w:hAnsi="宋体" w:cs="宋体"/>
                <w:sz w:val="24"/>
              </w:rPr>
            </w:pPr>
            <w:r>
              <w:rPr>
                <w:rFonts w:hint="eastAsia" w:ascii="宋体" w:hAnsi="宋体" w:cs="宋体"/>
                <w:sz w:val="24"/>
              </w:rPr>
              <w:t>5.4高清显示屏≥24英寸，具有多轴旋转轴，可自行调整观测视野,全内置高清摄像头，清晰度至少达1080p；</w:t>
            </w:r>
          </w:p>
          <w:p>
            <w:pPr>
              <w:spacing w:line="360" w:lineRule="auto"/>
              <w:rPr>
                <w:rFonts w:ascii="宋体" w:hAnsi="宋体" w:cs="宋体"/>
                <w:sz w:val="24"/>
              </w:rPr>
            </w:pPr>
            <w:r>
              <w:rPr>
                <w:rFonts w:hint="eastAsia" w:ascii="宋体" w:hAnsi="宋体" w:cs="宋体"/>
                <w:sz w:val="24"/>
              </w:rPr>
              <w:t>5.5控制屏为液晶触摸屏；</w:t>
            </w:r>
          </w:p>
          <w:p>
            <w:pPr>
              <w:spacing w:line="360" w:lineRule="auto"/>
              <w:rPr>
                <w:rFonts w:ascii="宋体" w:hAnsi="宋体" w:cs="宋体"/>
                <w:sz w:val="24"/>
              </w:rPr>
            </w:pPr>
            <w:r>
              <w:rPr>
                <w:rFonts w:hint="eastAsia" w:ascii="宋体" w:hAnsi="宋体" w:cs="宋体"/>
                <w:sz w:val="24"/>
              </w:rPr>
              <w:t>5.6具备多种数据传输方式：HDMI、USB 3.0等，支持教学、远程会诊和手术直播；</w:t>
            </w:r>
          </w:p>
          <w:p>
            <w:pPr>
              <w:spacing w:line="360" w:lineRule="auto"/>
              <w:rPr>
                <w:sz w:val="24"/>
              </w:rPr>
            </w:pPr>
            <w:r>
              <w:rPr>
                <w:rFonts w:hint="eastAsia" w:ascii="宋体" w:hAnsi="宋体" w:cs="宋体"/>
                <w:sz w:val="24"/>
              </w:rPr>
              <w:t>5.7配有血管荧光和导航接口。</w:t>
            </w:r>
          </w:p>
        </w:tc>
      </w:tr>
    </w:tbl>
    <w:p>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p>
    <w:p>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★二、其他要求（商务条款需在《投标偏离表》内逐条响应）：</w:t>
      </w:r>
    </w:p>
    <w:p>
      <w:pPr>
        <w:tabs>
          <w:tab w:val="left" w:pos="5670"/>
        </w:tabs>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1. </w:t>
      </w:r>
      <w:r>
        <w:rPr>
          <w:rFonts w:hint="eastAsia" w:ascii="宋体" w:hAnsi="宋体"/>
          <w:color w:val="000000"/>
          <w:kern w:val="0"/>
          <w:sz w:val="24"/>
        </w:rPr>
        <w:t>售后服务</w:t>
      </w: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ab/>
      </w:r>
    </w:p>
    <w:p>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（1）设备原厂免费保修期需</w:t>
      </w:r>
      <w:r>
        <w:rPr>
          <w:rFonts w:hint="eastAsia" w:ascii="宋体" w:hAnsi="宋体" w:cs="宋体"/>
          <w:sz w:val="24"/>
          <w:szCs w:val="24"/>
        </w:rPr>
        <w:t>满足3</w:t>
      </w:r>
      <w:r>
        <w:rPr>
          <w:rFonts w:hint="eastAsia" w:ascii="宋体" w:hAnsi="宋体" w:cs="宋体"/>
          <w:color w:val="000000" w:themeColor="text1"/>
          <w:sz w:val="24"/>
          <w:szCs w:val="24"/>
          <w14:textFill>
            <w14:solidFill>
              <w14:schemeClr w14:val="tx1"/>
            </w14:solidFill>
          </w14:textFill>
        </w:rPr>
        <w:t>年，自设备验收合格之日起算，以生产厂家出具免费维保证明原件为准。</w:t>
      </w:r>
    </w:p>
    <w:p>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（2）在质保期内，每年提供不少于2次定期巡检服务。如发生故障，要求供方在接报后2小时内作出有效响应，24小时之内维修人员到达现场提供服务。须提供故障不能排除时的解决方案</w:t>
      </w:r>
      <w:r>
        <w:rPr>
          <w:rFonts w:hint="eastAsia" w:ascii="宋体" w:hAnsi="宋体" w:cs="宋体"/>
          <w:color w:val="000000"/>
          <w:kern w:val="0"/>
          <w:sz w:val="24"/>
          <w:szCs w:val="24"/>
          <w:lang w:bidi="ar"/>
        </w:rPr>
        <w:t>。</w:t>
      </w:r>
    </w:p>
    <w:p>
      <w:pPr>
        <w:adjustRightInd w:val="0"/>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themeColor="text1"/>
          <w:sz w:val="24"/>
          <w:szCs w:val="24"/>
          <w14:textFill>
            <w14:solidFill>
              <w14:schemeClr w14:val="tx1"/>
            </w14:solidFill>
          </w14:textFill>
        </w:rPr>
        <w:t>（3）免费质保期后，设备终身维修，维修只收配件费</w:t>
      </w:r>
      <w:r>
        <w:rPr>
          <w:rFonts w:hint="eastAsia" w:ascii="宋体" w:hAnsi="宋体" w:cs="宋体"/>
          <w:color w:val="000000"/>
          <w:kern w:val="0"/>
          <w:sz w:val="24"/>
          <w:szCs w:val="24"/>
        </w:rPr>
        <w:t>。</w:t>
      </w:r>
    </w:p>
    <w:p>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2. </w:t>
      </w:r>
      <w:r>
        <w:rPr>
          <w:rFonts w:hint="eastAsia" w:ascii="宋体" w:hAnsi="宋体" w:cs="宋体"/>
          <w:color w:val="000000"/>
          <w:kern w:val="0"/>
          <w:sz w:val="24"/>
          <w:szCs w:val="24"/>
        </w:rPr>
        <w:t>交付时间：</w:t>
      </w:r>
      <w:r>
        <w:rPr>
          <w:rFonts w:hint="eastAsia" w:ascii="宋体" w:hAnsi="宋体" w:cs="宋体"/>
          <w:color w:val="000000" w:themeColor="text1"/>
          <w:sz w:val="24"/>
          <w:szCs w:val="24"/>
          <w14:textFill>
            <w14:solidFill>
              <w14:schemeClr w14:val="tx1"/>
            </w14:solidFill>
          </w14:textFill>
        </w:rPr>
        <w:t>合同签订后30天。</w:t>
      </w:r>
    </w:p>
    <w:p>
      <w:pPr>
        <w:tabs>
          <w:tab w:val="left" w:pos="1050"/>
        </w:tabs>
        <w:adjustRightInd w:val="0"/>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themeColor="text1"/>
          <w:sz w:val="24"/>
          <w:szCs w:val="24"/>
          <w14:textFill>
            <w14:solidFill>
              <w14:schemeClr w14:val="tx1"/>
            </w14:solidFill>
          </w14:textFill>
        </w:rPr>
        <w:t xml:space="preserve">3. </w:t>
      </w:r>
      <w:r>
        <w:rPr>
          <w:rFonts w:hint="eastAsia" w:ascii="宋体" w:hAnsi="宋体" w:cs="宋体"/>
          <w:color w:val="000000"/>
          <w:kern w:val="0"/>
          <w:sz w:val="24"/>
          <w:szCs w:val="24"/>
        </w:rPr>
        <w:t>验收标准：</w:t>
      </w:r>
      <w:r>
        <w:rPr>
          <w:rFonts w:hint="eastAsia" w:ascii="宋体" w:hAnsi="宋体" w:cs="宋体"/>
          <w:color w:val="000000" w:themeColor="text1"/>
          <w:sz w:val="24"/>
          <w:szCs w:val="24"/>
          <w14:textFill>
            <w14:solidFill>
              <w14:schemeClr w14:val="tx1"/>
            </w14:solidFill>
          </w14:textFill>
        </w:rPr>
        <w:t>供方提供的商品必须符合我国最新颁布的与之相关的技术规范与标准，同时必须满足招标书中所列全部规格、型号、具体配置、技术条件及功能要求和供方承诺的其它指标。</w:t>
      </w:r>
    </w:p>
    <w:p>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w:t>
      </w:r>
      <w:r>
        <w:rPr>
          <w:rFonts w:hint="eastAsia" w:ascii="宋体" w:hAnsi="宋体" w:cs="宋体"/>
          <w:color w:val="000000"/>
          <w:kern w:val="0"/>
          <w:sz w:val="24"/>
          <w:szCs w:val="24"/>
        </w:rPr>
        <w:t xml:space="preserve"> 货物到达需方地址至验收合格期间，由供方负责保管，若因保管不当造成的质量问题，供方应负责修理或更换，同时有关费用由供方承担；货物经验收合格后即由需方负责保管，若因保管不当造成的质量问题，供方应负责修理，但有关费用由需方承担。</w:t>
      </w:r>
    </w:p>
    <w:p>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 交货条件：产品交货时，包装完整无破损，还必须提供以下材料</w:t>
      </w:r>
    </w:p>
    <w:p>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（1）装箱单</w:t>
      </w:r>
    </w:p>
    <w:p>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（2）产品质检合格证明</w:t>
      </w:r>
    </w:p>
    <w:p>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（3）供方需要提供进口商品检验检疫证明</w:t>
      </w:r>
    </w:p>
    <w:p>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（4）需要提供维护手册、维修手册、软件备份、故障代码表、备件清单、零部件、维修密码等维护维修必需的材料和信息</w:t>
      </w:r>
    </w:p>
    <w:p>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 运输及到货地点：由供方负责办理运输及装卸，直接送至需方所在地，所有费用由供方承担。</w:t>
      </w:r>
    </w:p>
    <w:p>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 安装、调试及售后服务：供方负责本次采购设备的免费安装、调试（安装调试过程所需耗品应由供方免费提供），保证培训人员正常操作该设备的各种功能。供方提供设备操作规范张贴设备上，提供设备操作规范电子档交于采购人。</w:t>
      </w:r>
    </w:p>
    <w:p>
      <w:pPr>
        <w:adjustRightInd w:val="0"/>
        <w:snapToGrid w:val="0"/>
        <w:spacing w:line="360" w:lineRule="auto"/>
        <w:ind w:firstLine="480" w:firstLineChars="200"/>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8. 付款方式: 合同生效后预付合同总价30%；货到验收合格并收到供方开具的全额发票后付合同总价的20%;设备安装验收合格正常使用三个月后付合同总价的40%;正常使用一年后付款10%。 </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9．</w:t>
      </w:r>
      <w:r>
        <w:rPr>
          <w:rFonts w:hint="eastAsia" w:ascii="宋体" w:cs="宋体"/>
          <w:color w:val="000000" w:themeColor="text1"/>
          <w:kern w:val="0"/>
          <w:sz w:val="24"/>
          <w:szCs w:val="24"/>
          <w14:textFill>
            <w14:solidFill>
              <w14:schemeClr w14:val="tx1"/>
            </w14:solidFill>
          </w14:textFill>
        </w:rPr>
        <w:t>设备随机耗材要求：投标供应商应列明能确保设备正常使用的，所需耗材及维修配件的清单及价格（格式可自拟）；未列其中的，视为免费维保范围之材料。</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10.</w:t>
      </w:r>
      <w:r>
        <w:rPr>
          <w:rFonts w:hint="eastAsia" w:ascii="宋体" w:cs="宋体"/>
          <w:color w:val="000000" w:themeColor="text1"/>
          <w:kern w:val="0"/>
          <w:sz w:val="24"/>
          <w:szCs w:val="24"/>
          <w14:textFill>
            <w14:solidFill>
              <w14:schemeClr w14:val="tx1"/>
            </w14:solidFill>
          </w14:textFill>
        </w:rPr>
        <w:t xml:space="preserve"> 具备数字化接口的设备应承诺免费开放该接口，由供应商配合与医院信息系统相连接</w:t>
      </w:r>
      <w:r>
        <w:rPr>
          <w:rFonts w:hint="eastAsia" w:ascii="宋体" w:hAnsi="宋体"/>
          <w:color w:val="000000" w:themeColor="text1"/>
          <w:kern w:val="0"/>
          <w:sz w:val="24"/>
          <w14:textFill>
            <w14:solidFill>
              <w14:schemeClr w14:val="tx1"/>
            </w14:solidFill>
          </w14:textFill>
        </w:rPr>
        <w:t>。(格式可自拟)。</w:t>
      </w:r>
    </w:p>
    <w:p>
      <w:pPr>
        <w:adjustRightInd w:val="0"/>
        <w:snapToGrid w:val="0"/>
        <w:spacing w:line="34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olor w:val="000000"/>
          <w:kern w:val="0"/>
          <w:sz w:val="24"/>
        </w:rPr>
        <w:t>11．</w:t>
      </w:r>
      <w:r>
        <w:rPr>
          <w:rFonts w:hint="eastAsia" w:ascii="宋体" w:hAnsi="宋体" w:cs="宋体"/>
          <w:color w:val="000000" w:themeColor="text1"/>
          <w:sz w:val="24"/>
          <w:szCs w:val="24"/>
          <w14:textFill>
            <w14:solidFill>
              <w14:schemeClr w14:val="tx1"/>
            </w14:solidFill>
          </w14:textFill>
        </w:rPr>
        <w:t>具有汉字字库、中文支持的系统及中文文档的设备应承诺免费提供该系统，暂不具备的应承诺如日后具备此系统后免费向用户提供。(格式可自拟)。</w:t>
      </w:r>
    </w:p>
    <w:p>
      <w:pPr>
        <w:adjustRightInd w:val="0"/>
        <w:snapToGrid w:val="0"/>
        <w:spacing w:line="360" w:lineRule="auto"/>
        <w:ind w:firstLine="480" w:firstLineChars="200"/>
        <w:rPr>
          <w:rFonts w:ascii="宋体" w:hAnsi="宋体" w:cs="宋体"/>
          <w:color w:val="000000" w:themeColor="text1"/>
          <w:sz w:val="24"/>
          <w:szCs w:val="24"/>
          <w:u w:color="000000"/>
          <w14:textFill>
            <w14:solidFill>
              <w14:schemeClr w14:val="tx1"/>
            </w14:solidFill>
          </w14:textFill>
        </w:rPr>
      </w:pPr>
      <w:r>
        <w:rPr>
          <w:rFonts w:hint="eastAsia" w:ascii="宋体" w:hAnsi="宋体"/>
          <w:color w:val="000000"/>
          <w:kern w:val="0"/>
          <w:sz w:val="24"/>
        </w:rPr>
        <w:t>12.</w:t>
      </w:r>
      <w:r>
        <w:rPr>
          <w:rFonts w:hint="eastAsia" w:ascii="宋体" w:hAnsi="宋体" w:cs="宋体"/>
          <w:color w:val="000000" w:themeColor="text1"/>
          <w:sz w:val="24"/>
          <w:szCs w:val="24"/>
          <w14:textFill>
            <w14:solidFill>
              <w14:schemeClr w14:val="tx1"/>
            </w14:solidFill>
          </w14:textFill>
        </w:rPr>
        <w:t xml:space="preserve"> 设备使用年限内（本次所投产品的年限为10年），生产厂家应承诺保证配件、耗材的供应；若因设备升级等原因导致配件、耗材价格提高，或已无法正常供应配件、耗材时，采购人有权要求生产厂家按折旧后的价格将设备回购。</w:t>
      </w:r>
    </w:p>
    <w:p>
      <w:pPr>
        <w:adjustRightInd w:val="0"/>
        <w:snapToGrid w:val="0"/>
        <w:spacing w:line="360" w:lineRule="auto"/>
        <w:ind w:firstLine="480" w:firstLineChars="200"/>
        <w:rPr>
          <w:rFonts w:ascii="宋体"/>
          <w:color w:val="000000" w:themeColor="text1"/>
          <w:sz w:val="24"/>
          <w:szCs w:val="24"/>
          <w:u w:color="000000"/>
          <w14:textFill>
            <w14:solidFill>
              <w14:schemeClr w14:val="tx1"/>
            </w14:solidFill>
          </w14:textFill>
        </w:rPr>
      </w:pPr>
      <w:r>
        <w:rPr>
          <w:rFonts w:hint="eastAsia" w:ascii="宋体" w:hAnsi="宋体" w:cs="宋体"/>
          <w:color w:val="000000" w:themeColor="text1"/>
          <w:sz w:val="24"/>
          <w:szCs w:val="24"/>
          <w:u w:color="000000"/>
          <w14:textFill>
            <w14:solidFill>
              <w14:schemeClr w14:val="tx1"/>
            </w14:solidFill>
          </w14:textFill>
        </w:rPr>
        <w:t>三、有关说明</w:t>
      </w:r>
    </w:p>
    <w:p>
      <w:pPr>
        <w:adjustRightInd w:val="0"/>
        <w:snapToGrid w:val="0"/>
        <w:spacing w:line="360" w:lineRule="auto"/>
        <w:ind w:firstLine="480" w:firstLineChars="200"/>
        <w:rPr>
          <w:rFonts w:ascii="宋体" w:hAnsi="宋体"/>
          <w:bCs/>
          <w:color w:val="000000" w:themeColor="text1"/>
          <w:sz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1.  </w:t>
      </w:r>
      <w:r>
        <w:rPr>
          <w:rFonts w:hint="eastAsia" w:ascii="宋体" w:hAnsi="宋体" w:cs="宋体"/>
          <w:color w:val="000000" w:themeColor="text1"/>
          <w:sz w:val="24"/>
          <w:szCs w:val="24"/>
          <w14:textFill>
            <w14:solidFill>
              <w14:schemeClr w14:val="tx1"/>
            </w14:solidFill>
          </w14:textFill>
        </w:rPr>
        <w:t>本次采购项目允许进口产品参与。</w:t>
      </w:r>
      <w:r>
        <w:rPr>
          <w:rFonts w:hint="eastAsia" w:ascii="宋体" w:hAnsi="宋体"/>
          <w:bCs/>
          <w:color w:val="000000" w:themeColor="text1"/>
          <w:sz w:val="24"/>
          <w14:textFill>
            <w14:solidFill>
              <w14:schemeClr w14:val="tx1"/>
            </w14:solidFill>
          </w14:textFill>
        </w:rPr>
        <w:t>注：进口产品是指通过中国海关报关验放进入中国境内且产自关境外的产品。</w:t>
      </w:r>
    </w:p>
    <w:p>
      <w:pPr>
        <w:adjustRightInd w:val="0"/>
        <w:snapToGrid w:val="0"/>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 本项目投标总报价包括</w:t>
      </w:r>
      <w:r>
        <w:rPr>
          <w:rFonts w:hint="eastAsia" w:cs="宋体"/>
          <w:color w:val="000000" w:themeColor="text1"/>
          <w:sz w:val="24"/>
          <w:szCs w:val="24"/>
          <w14:textFill>
            <w14:solidFill>
              <w14:schemeClr w14:val="tx1"/>
            </w14:solidFill>
          </w14:textFill>
        </w:rPr>
        <w:t>所投产品</w:t>
      </w:r>
      <w:r>
        <w:rPr>
          <w:rFonts w:hint="eastAsia" w:ascii="宋体" w:hAnsi="宋体" w:cs="宋体"/>
          <w:color w:val="000000" w:themeColor="text1"/>
          <w:sz w:val="24"/>
          <w:szCs w:val="24"/>
          <w14:textFill>
            <w14:solidFill>
              <w14:schemeClr w14:val="tx1"/>
            </w14:solidFill>
          </w14:textFill>
        </w:rPr>
        <w:t>及其配件、包装、运杂、安装调试及售后服务等从项目中标起到项目正式交付以及质保期内所发生的一切费用。</w:t>
      </w:r>
    </w:p>
    <w:p>
      <w:pPr>
        <w:tabs>
          <w:tab w:val="left" w:pos="945"/>
          <w:tab w:val="left" w:pos="1125"/>
        </w:tabs>
        <w:adjustRightInd w:val="0"/>
        <w:snapToGrid w:val="0"/>
        <w:spacing w:line="360" w:lineRule="auto"/>
        <w:ind w:firstLine="480" w:firstLineChars="200"/>
        <w:rPr>
          <w:rFonts w:asciiTheme="minorEastAsia" w:hAnsiTheme="minorEastAsia" w:eastAsiaTheme="minorEastAsia"/>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r>
        <w:rPr>
          <w:rFonts w:ascii="宋体" w:hAnsi="宋体" w:cs="宋体"/>
          <w:color w:val="000000" w:themeColor="text1"/>
          <w:sz w:val="24"/>
          <w:szCs w:val="24"/>
          <w14:textFill>
            <w14:solidFill>
              <w14:schemeClr w14:val="tx1"/>
            </w14:solidFill>
          </w14:textFill>
        </w:rPr>
        <w:t xml:space="preserve">. </w:t>
      </w:r>
      <w:r>
        <w:rPr>
          <w:rFonts w:asciiTheme="minorEastAsia" w:hAnsiTheme="minorEastAsia" w:eastAsiaTheme="minorEastAsia"/>
          <w:bCs/>
          <w:color w:val="000000" w:themeColor="text1"/>
          <w:sz w:val="24"/>
          <w:szCs w:val="24"/>
          <w14:textFill>
            <w14:solidFill>
              <w14:schemeClr w14:val="tx1"/>
            </w14:solidFill>
          </w14:textFill>
        </w:rPr>
        <w:t>依据财政部、发展改革委发布的《节能产品政府采购品目清单》，本项目中有政府强制采购节能产品的（属于清单中打</w:t>
      </w:r>
      <w:r>
        <w:rPr>
          <w:rFonts w:hint="eastAsia" w:asciiTheme="minorEastAsia" w:hAnsiTheme="minorEastAsia" w:eastAsiaTheme="minorEastAsia"/>
          <w:bCs/>
          <w:color w:val="000000" w:themeColor="text1"/>
          <w:sz w:val="24"/>
          <w:szCs w:val="24"/>
          <w14:textFill>
            <w14:solidFill>
              <w14:schemeClr w14:val="tx1"/>
            </w14:solidFill>
          </w14:textFill>
        </w:rPr>
        <w:t>★</w:t>
      </w:r>
      <w:r>
        <w:rPr>
          <w:rFonts w:asciiTheme="minorEastAsia" w:hAnsiTheme="minorEastAsia" w:eastAsiaTheme="minorEastAsia"/>
          <w:bCs/>
          <w:color w:val="000000" w:themeColor="text1"/>
          <w:sz w:val="24"/>
          <w:szCs w:val="24"/>
          <w14:textFill>
            <w14:solidFill>
              <w14:schemeClr w14:val="tx1"/>
            </w14:solidFill>
          </w14:textFill>
        </w:rPr>
        <w:t>品目的），只能选择具有国家确定的认证机构出具的、处于有效期之内的节能产品认证证书的产品进行报价，认证机构详见市场监管总局发布的《参与实施政府采购节能产品认证机构名录》和《参与实施政府采购环境标志产品认证机构名录》。</w:t>
      </w:r>
    </w:p>
    <w:p>
      <w:pPr>
        <w:tabs>
          <w:tab w:val="left" w:pos="945"/>
          <w:tab w:val="left" w:pos="1125"/>
        </w:tabs>
        <w:adjustRightInd w:val="0"/>
        <w:snapToGrid w:val="0"/>
        <w:spacing w:line="360" w:lineRule="auto"/>
        <w:ind w:firstLine="480" w:firstLineChars="200"/>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4.本项目中有信息安全产品的，必须选择经国家认证的信息安全产品，并提供由中国信息安全认证中心（中国网络安全审查技术与认证中心）颁发的有效认证证书复印件。</w:t>
      </w:r>
    </w:p>
    <w:p>
      <w:pPr>
        <w:tabs>
          <w:tab w:val="left" w:pos="945"/>
          <w:tab w:val="left" w:pos="1125"/>
        </w:tabs>
        <w:adjustRightInd w:val="0"/>
        <w:snapToGrid w:val="0"/>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投标单位必须根据本采购文件“第三章、项目技术要求和有关说明”中规定的技术配置分别对自己所投产品进行报价，并</w:t>
      </w:r>
      <w:r>
        <w:rPr>
          <w:rFonts w:hint="eastAsia" w:ascii="宋体" w:cs="宋体"/>
          <w:color w:val="000000" w:themeColor="text1"/>
          <w:sz w:val="24"/>
          <w:szCs w:val="24"/>
          <w14:textFill>
            <w14:solidFill>
              <w14:schemeClr w14:val="tx1"/>
            </w14:solidFill>
          </w14:textFill>
        </w:rPr>
        <w:t>如实地在《投标偏离表》中逐条标明满足与否，并对其真实性负责，</w:t>
      </w:r>
      <w:r>
        <w:rPr>
          <w:rFonts w:hint="eastAsia" w:ascii="宋体" w:hAnsi="宋体" w:cs="宋体"/>
          <w:color w:val="000000" w:themeColor="text1"/>
          <w:sz w:val="24"/>
          <w:szCs w:val="24"/>
          <w14:textFill>
            <w14:solidFill>
              <w14:schemeClr w14:val="tx1"/>
            </w14:solidFill>
          </w14:textFill>
        </w:rPr>
        <w:t>如有偏离请于《投标偏离表》中说明。</w:t>
      </w:r>
    </w:p>
    <w:p>
      <w:pPr>
        <w:tabs>
          <w:tab w:val="left" w:pos="945"/>
          <w:tab w:val="left" w:pos="1155"/>
        </w:tabs>
        <w:adjustRightInd w:val="0"/>
        <w:snapToGrid w:val="0"/>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6. </w:t>
      </w:r>
      <w:r>
        <w:rPr>
          <w:rFonts w:ascii="宋体" w:hAnsi="宋体" w:cs="宋体"/>
          <w:color w:val="000000" w:themeColor="text1"/>
          <w:sz w:val="24"/>
          <w:szCs w:val="24"/>
          <w14:textFill>
            <w14:solidFill>
              <w14:schemeClr w14:val="tx1"/>
            </w14:solidFill>
          </w14:textFill>
        </w:rPr>
        <w:t>根据国家扶持中小企业的有关政策，在</w:t>
      </w:r>
      <w:r>
        <w:rPr>
          <w:rFonts w:hint="eastAsia" w:ascii="宋体" w:hAnsi="宋体" w:cs="宋体"/>
          <w:color w:val="000000" w:themeColor="text1"/>
          <w:sz w:val="24"/>
          <w:szCs w:val="24"/>
          <w14:textFill>
            <w14:solidFill>
              <w14:schemeClr w14:val="tx1"/>
            </w14:solidFill>
          </w14:textFill>
        </w:rPr>
        <w:t>无锡市卫生健康综合服务中心</w:t>
      </w:r>
      <w:r>
        <w:rPr>
          <w:rFonts w:ascii="宋体" w:hAnsi="宋体" w:cs="宋体"/>
          <w:color w:val="000000" w:themeColor="text1"/>
          <w:sz w:val="24"/>
          <w:szCs w:val="24"/>
          <w14:textFill>
            <w14:solidFill>
              <w14:schemeClr w14:val="tx1"/>
            </w14:solidFill>
          </w14:textFill>
        </w:rPr>
        <w:t>组织的采购项目中标的供应商，如需要政府采购信用担保融资，请按锡财购【2013】5号文件执行</w:t>
      </w: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如需要政府采购合同融资，请按锡财购【2020】17号文件执行</w:t>
      </w:r>
      <w:r>
        <w:rPr>
          <w:rFonts w:ascii="宋体" w:hAnsi="宋体"/>
          <w:bCs/>
          <w:color w:val="000000" w:themeColor="text1"/>
          <w:sz w:val="24"/>
          <w:szCs w:val="24"/>
          <w14:textFill>
            <w14:solidFill>
              <w14:schemeClr w14:val="tx1"/>
            </w14:solidFill>
          </w14:textFill>
        </w:rPr>
        <w:t>。</w:t>
      </w:r>
    </w:p>
    <w:p>
      <w:pPr>
        <w:tabs>
          <w:tab w:val="left" w:pos="945"/>
          <w:tab w:val="left" w:pos="1155"/>
        </w:tabs>
        <w:adjustRightInd w:val="0"/>
        <w:snapToGrid w:val="0"/>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7.</w:t>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中标供应商为残疾人福利性单位的，其《残疾人福利性单位声明函》将随中标公告同时发布，接受社会监督。投标人提供的《残疾人福利性单位声明函》与事实不符的，依照《政府采购法》第七十七条第一款的规定追究法律责任。</w:t>
      </w:r>
    </w:p>
    <w:p>
      <w:pPr>
        <w:tabs>
          <w:tab w:val="left" w:pos="945"/>
          <w:tab w:val="left" w:pos="1155"/>
        </w:tabs>
        <w:adjustRightInd w:val="0"/>
        <w:snapToGrid w:val="0"/>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8.</w:t>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依据《政府采购促进中小企业发展管理办法》规定享受扶持政策获得政府采购合同的，小微企业不得将合同分包给大中型企业，中型企业不得将合同分包给大型企业。</w:t>
      </w:r>
    </w:p>
    <w:p>
      <w:pPr>
        <w:tabs>
          <w:tab w:val="left" w:pos="945"/>
          <w:tab w:val="left" w:pos="1155"/>
        </w:tabs>
        <w:adjustRightInd w:val="0"/>
        <w:snapToGrid w:val="0"/>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9. 本项目中如有涉及到商品包装、快递包装要求的，应当按《关于印发〈商品包装政府采购需求标准（试行）〉、〈快递包装政府采购需求标准（试行）〉的通知》（财办库〔2020〕123号）文件执行。采购人在招标（采购）文件对商品包装和快递包装提出具体要求的，在政府采购合同中应当载明对政府采购供应商提供产品及相关快递服务的具体包装要求和履约验收相关条款，中标（成交）供应商须严格执行，必要时应按照要求在履约验收环节出具检测报告。</w:t>
      </w:r>
    </w:p>
    <w:p>
      <w:pPr>
        <w:tabs>
          <w:tab w:val="left" w:pos="945"/>
          <w:tab w:val="left" w:pos="1155"/>
        </w:tabs>
        <w:adjustRightInd w:val="0"/>
        <w:snapToGrid w:val="0"/>
        <w:spacing w:line="341" w:lineRule="auto"/>
        <w:ind w:firstLine="480" w:firstLineChars="200"/>
        <w:rPr>
          <w:rFonts w:ascii="宋体" w:hAnsi="宋体"/>
          <w:bCs/>
          <w:color w:val="000000" w:themeColor="text1"/>
          <w:sz w:val="24"/>
          <w:szCs w:val="24"/>
          <w14:textFill>
            <w14:solidFill>
              <w14:schemeClr w14:val="tx1"/>
            </w14:solidFill>
          </w14:textFill>
        </w:rPr>
      </w:pPr>
    </w:p>
    <w:p>
      <w:pPr>
        <w:pStyle w:val="16"/>
        <w:rPr>
          <w:rFonts w:ascii="宋体" w:hAnsi="宋体"/>
          <w:bCs/>
          <w:color w:val="000000" w:themeColor="text1"/>
          <w:sz w:val="24"/>
          <w:szCs w:val="24"/>
          <w14:textFill>
            <w14:solidFill>
              <w14:schemeClr w14:val="tx1"/>
            </w14:solidFill>
          </w14:textFill>
        </w:rPr>
      </w:pPr>
    </w:p>
    <w:p>
      <w:pPr>
        <w:pStyle w:val="16"/>
        <w:rPr>
          <w:rFonts w:ascii="宋体" w:hAnsi="宋体"/>
          <w:bCs/>
          <w:color w:val="000000" w:themeColor="text1"/>
          <w:sz w:val="24"/>
          <w:szCs w:val="24"/>
          <w14:textFill>
            <w14:solidFill>
              <w14:schemeClr w14:val="tx1"/>
            </w14:solidFill>
          </w14:textFill>
        </w:rPr>
      </w:pPr>
    </w:p>
    <w:p>
      <w:pPr>
        <w:pStyle w:val="16"/>
        <w:rPr>
          <w:rFonts w:ascii="宋体" w:hAnsi="宋体"/>
          <w:bCs/>
          <w:color w:val="000000" w:themeColor="text1"/>
          <w:sz w:val="24"/>
          <w:szCs w:val="24"/>
          <w14:textFill>
            <w14:solidFill>
              <w14:schemeClr w14:val="tx1"/>
            </w14:solidFill>
          </w14:textFill>
        </w:rPr>
      </w:pPr>
    </w:p>
    <w:p>
      <w:pPr>
        <w:pStyle w:val="16"/>
        <w:rPr>
          <w:rFonts w:ascii="宋体" w:hAnsi="宋体"/>
          <w:bCs/>
          <w:color w:val="000000" w:themeColor="text1"/>
          <w:sz w:val="24"/>
          <w:szCs w:val="24"/>
          <w14:textFill>
            <w14:solidFill>
              <w14:schemeClr w14:val="tx1"/>
            </w14:solidFill>
          </w14:textFill>
        </w:rPr>
      </w:pPr>
    </w:p>
    <w:p>
      <w:pPr>
        <w:pStyle w:val="16"/>
        <w:rPr>
          <w:rFonts w:ascii="宋体" w:hAnsi="宋体"/>
          <w:bCs/>
          <w:color w:val="000000" w:themeColor="text1"/>
          <w:sz w:val="24"/>
          <w:szCs w:val="24"/>
          <w14:textFill>
            <w14:solidFill>
              <w14:schemeClr w14:val="tx1"/>
            </w14:solidFill>
          </w14:textFill>
        </w:rPr>
      </w:pPr>
    </w:p>
    <w:p>
      <w:pPr>
        <w:pStyle w:val="16"/>
        <w:rPr>
          <w:rFonts w:ascii="宋体" w:hAnsi="宋体"/>
          <w:bCs/>
          <w:color w:val="000000" w:themeColor="text1"/>
          <w:sz w:val="24"/>
          <w:szCs w:val="24"/>
          <w14:textFill>
            <w14:solidFill>
              <w14:schemeClr w14:val="tx1"/>
            </w14:solidFill>
          </w14:textFill>
        </w:rPr>
      </w:pPr>
    </w:p>
    <w:p>
      <w:pPr>
        <w:pStyle w:val="16"/>
        <w:rPr>
          <w:rFonts w:ascii="宋体" w:hAnsi="宋体"/>
          <w:bCs/>
          <w:color w:val="000000" w:themeColor="text1"/>
          <w:sz w:val="24"/>
          <w:szCs w:val="24"/>
          <w14:textFill>
            <w14:solidFill>
              <w14:schemeClr w14:val="tx1"/>
            </w14:solidFill>
          </w14:textFill>
        </w:rPr>
      </w:pPr>
    </w:p>
    <w:p>
      <w:pPr>
        <w:pStyle w:val="16"/>
        <w:rPr>
          <w:rFonts w:ascii="宋体" w:hAnsi="宋体"/>
          <w:bCs/>
          <w:color w:val="000000" w:themeColor="text1"/>
          <w:sz w:val="24"/>
          <w:szCs w:val="24"/>
          <w14:textFill>
            <w14:solidFill>
              <w14:schemeClr w14:val="tx1"/>
            </w14:solidFill>
          </w14:textFill>
        </w:rPr>
      </w:pPr>
    </w:p>
    <w:p>
      <w:pPr>
        <w:pStyle w:val="16"/>
        <w:rPr>
          <w:rFonts w:ascii="宋体" w:hAnsi="宋体"/>
          <w:bCs/>
          <w:color w:val="000000" w:themeColor="text1"/>
          <w:sz w:val="24"/>
          <w:szCs w:val="24"/>
          <w14:textFill>
            <w14:solidFill>
              <w14:schemeClr w14:val="tx1"/>
            </w14:solidFill>
          </w14:textFill>
        </w:rPr>
      </w:pPr>
    </w:p>
    <w:p>
      <w:pPr>
        <w:pStyle w:val="16"/>
        <w:rPr>
          <w:rFonts w:ascii="宋体" w:hAnsi="宋体"/>
          <w:bCs/>
          <w:color w:val="000000" w:themeColor="text1"/>
          <w:sz w:val="24"/>
          <w:szCs w:val="24"/>
          <w14:textFill>
            <w14:solidFill>
              <w14:schemeClr w14:val="tx1"/>
            </w14:solidFill>
          </w14:textFill>
        </w:rPr>
      </w:pPr>
    </w:p>
    <w:p>
      <w:pPr>
        <w:pStyle w:val="16"/>
        <w:rPr>
          <w:rFonts w:ascii="宋体" w:hAnsi="宋体"/>
          <w:bCs/>
          <w:color w:val="000000" w:themeColor="text1"/>
          <w:sz w:val="24"/>
          <w:szCs w:val="24"/>
          <w14:textFill>
            <w14:solidFill>
              <w14:schemeClr w14:val="tx1"/>
            </w14:solidFill>
          </w14:textFill>
        </w:rPr>
      </w:pPr>
    </w:p>
    <w:p>
      <w:pPr>
        <w:pStyle w:val="16"/>
        <w:rPr>
          <w:rFonts w:ascii="宋体" w:hAnsi="宋体"/>
          <w:bCs/>
          <w:color w:val="000000" w:themeColor="text1"/>
          <w:sz w:val="24"/>
          <w:szCs w:val="24"/>
          <w14:textFill>
            <w14:solidFill>
              <w14:schemeClr w14:val="tx1"/>
            </w14:solidFill>
          </w14:textFill>
        </w:rPr>
      </w:pPr>
    </w:p>
    <w:p>
      <w:pPr>
        <w:pStyle w:val="16"/>
        <w:rPr>
          <w:rFonts w:ascii="宋体" w:hAnsi="宋体"/>
          <w:bCs/>
          <w:color w:val="000000" w:themeColor="text1"/>
          <w:sz w:val="24"/>
          <w:szCs w:val="24"/>
          <w14:textFill>
            <w14:solidFill>
              <w14:schemeClr w14:val="tx1"/>
            </w14:solidFill>
          </w14:textFill>
        </w:rPr>
      </w:pPr>
    </w:p>
    <w:p>
      <w:pPr>
        <w:pStyle w:val="16"/>
        <w:rPr>
          <w:rFonts w:ascii="宋体" w:hAnsi="宋体"/>
          <w:bCs/>
          <w:color w:val="000000" w:themeColor="text1"/>
          <w:sz w:val="24"/>
          <w:szCs w:val="24"/>
          <w14:textFill>
            <w14:solidFill>
              <w14:schemeClr w14:val="tx1"/>
            </w14:solidFill>
          </w14:textFill>
        </w:rPr>
      </w:pPr>
    </w:p>
    <w:p>
      <w:pPr>
        <w:pStyle w:val="16"/>
        <w:rPr>
          <w:rFonts w:ascii="宋体" w:hAnsi="宋体"/>
          <w:bCs/>
          <w:color w:val="000000" w:themeColor="text1"/>
          <w:sz w:val="24"/>
          <w:szCs w:val="24"/>
          <w14:textFill>
            <w14:solidFill>
              <w14:schemeClr w14:val="tx1"/>
            </w14:solidFill>
          </w14:textFill>
        </w:rPr>
      </w:pPr>
    </w:p>
    <w:p>
      <w:pPr>
        <w:pStyle w:val="16"/>
        <w:rPr>
          <w:rFonts w:ascii="宋体" w:hAnsi="宋体"/>
          <w:bCs/>
          <w:color w:val="000000" w:themeColor="text1"/>
          <w:sz w:val="24"/>
          <w:szCs w:val="24"/>
          <w14:textFill>
            <w14:solidFill>
              <w14:schemeClr w14:val="tx1"/>
            </w14:solidFill>
          </w14:textFill>
        </w:rPr>
      </w:pPr>
    </w:p>
    <w:p>
      <w:pPr>
        <w:pStyle w:val="16"/>
        <w:rPr>
          <w:rFonts w:ascii="宋体" w:hAnsi="宋体"/>
          <w:bCs/>
          <w:color w:val="000000" w:themeColor="text1"/>
          <w:sz w:val="24"/>
          <w:szCs w:val="24"/>
          <w14:textFill>
            <w14:solidFill>
              <w14:schemeClr w14:val="tx1"/>
            </w14:solidFill>
          </w14:textFill>
        </w:rPr>
      </w:pPr>
    </w:p>
    <w:p>
      <w:pPr>
        <w:pStyle w:val="16"/>
        <w:rPr>
          <w:rFonts w:ascii="宋体" w:hAnsi="宋体"/>
          <w:bCs/>
          <w:color w:val="000000" w:themeColor="text1"/>
          <w:sz w:val="24"/>
          <w:szCs w:val="24"/>
          <w14:textFill>
            <w14:solidFill>
              <w14:schemeClr w14:val="tx1"/>
            </w14:solidFill>
          </w14:textFill>
        </w:rPr>
      </w:pPr>
    </w:p>
    <w:p>
      <w:pPr>
        <w:pStyle w:val="16"/>
        <w:rPr>
          <w:rFonts w:ascii="宋体" w:hAnsi="宋体"/>
          <w:bCs/>
          <w:color w:val="000000" w:themeColor="text1"/>
          <w:sz w:val="24"/>
          <w:szCs w:val="24"/>
          <w14:textFill>
            <w14:solidFill>
              <w14:schemeClr w14:val="tx1"/>
            </w14:solidFill>
          </w14:textFill>
        </w:rPr>
      </w:pPr>
    </w:p>
    <w:p>
      <w:pPr>
        <w:pStyle w:val="16"/>
        <w:rPr>
          <w:rFonts w:ascii="宋体" w:hAnsi="宋体"/>
          <w:bCs/>
          <w:color w:val="000000" w:themeColor="text1"/>
          <w:sz w:val="24"/>
          <w:szCs w:val="24"/>
          <w14:textFill>
            <w14:solidFill>
              <w14:schemeClr w14:val="tx1"/>
            </w14:solidFill>
          </w14:textFill>
        </w:rPr>
      </w:pPr>
    </w:p>
    <w:p>
      <w:pPr>
        <w:pStyle w:val="16"/>
        <w:rPr>
          <w:rFonts w:ascii="宋体" w:hAnsi="宋体"/>
          <w:bCs/>
          <w:color w:val="000000" w:themeColor="text1"/>
          <w:sz w:val="24"/>
          <w:szCs w:val="24"/>
          <w14:textFill>
            <w14:solidFill>
              <w14:schemeClr w14:val="tx1"/>
            </w14:solidFill>
          </w14:textFill>
        </w:rPr>
      </w:pPr>
    </w:p>
    <w:p>
      <w:pPr>
        <w:pStyle w:val="16"/>
        <w:rPr>
          <w:rFonts w:ascii="宋体" w:hAnsi="宋体"/>
          <w:bCs/>
          <w:color w:val="000000" w:themeColor="text1"/>
          <w:sz w:val="24"/>
          <w:szCs w:val="24"/>
          <w14:textFill>
            <w14:solidFill>
              <w14:schemeClr w14:val="tx1"/>
            </w14:solidFill>
          </w14:textFill>
        </w:rPr>
      </w:pPr>
    </w:p>
    <w:p>
      <w:pPr>
        <w:pStyle w:val="16"/>
        <w:rPr>
          <w:rFonts w:ascii="宋体" w:hAnsi="宋体"/>
          <w:bCs/>
          <w:color w:val="000000" w:themeColor="text1"/>
          <w:sz w:val="24"/>
          <w:szCs w:val="24"/>
          <w14:textFill>
            <w14:solidFill>
              <w14:schemeClr w14:val="tx1"/>
            </w14:solidFill>
          </w14:textFill>
        </w:rPr>
      </w:pPr>
    </w:p>
    <w:p>
      <w:pPr>
        <w:pStyle w:val="16"/>
        <w:rPr>
          <w:rFonts w:ascii="宋体" w:hAnsi="宋体"/>
          <w:bCs/>
          <w:color w:val="000000" w:themeColor="text1"/>
          <w:sz w:val="24"/>
          <w:szCs w:val="24"/>
          <w14:textFill>
            <w14:solidFill>
              <w14:schemeClr w14:val="tx1"/>
            </w14:solidFill>
          </w14:textFill>
        </w:rPr>
      </w:pPr>
    </w:p>
    <w:p>
      <w:pPr>
        <w:pStyle w:val="16"/>
        <w:rPr>
          <w:rFonts w:ascii="宋体" w:hAnsi="宋体"/>
          <w:bCs/>
          <w:color w:val="000000" w:themeColor="text1"/>
          <w:sz w:val="24"/>
          <w:szCs w:val="24"/>
          <w14:textFill>
            <w14:solidFill>
              <w14:schemeClr w14:val="tx1"/>
            </w14:solidFill>
          </w14:textFill>
        </w:rPr>
      </w:pPr>
    </w:p>
    <w:p>
      <w:pPr>
        <w:pStyle w:val="16"/>
        <w:rPr>
          <w:rFonts w:ascii="宋体" w:hAnsi="宋体"/>
          <w:bCs/>
          <w:color w:val="000000" w:themeColor="text1"/>
          <w:sz w:val="24"/>
          <w:szCs w:val="24"/>
          <w14:textFill>
            <w14:solidFill>
              <w14:schemeClr w14:val="tx1"/>
            </w14:solidFill>
          </w14:textFill>
        </w:rPr>
      </w:pPr>
    </w:p>
    <w:p>
      <w:pPr>
        <w:pStyle w:val="16"/>
        <w:rPr>
          <w:rFonts w:ascii="宋体" w:hAnsi="宋体"/>
          <w:bCs/>
          <w:color w:val="000000" w:themeColor="text1"/>
          <w:sz w:val="24"/>
          <w:szCs w:val="24"/>
          <w14:textFill>
            <w14:solidFill>
              <w14:schemeClr w14:val="tx1"/>
            </w14:solidFill>
          </w14:textFill>
        </w:rPr>
      </w:pPr>
    </w:p>
    <w:p>
      <w:pPr>
        <w:pStyle w:val="16"/>
        <w:rPr>
          <w:rFonts w:ascii="宋体" w:hAnsi="宋体"/>
          <w:bCs/>
          <w:color w:val="000000" w:themeColor="text1"/>
          <w:sz w:val="24"/>
          <w:szCs w:val="24"/>
          <w14:textFill>
            <w14:solidFill>
              <w14:schemeClr w14:val="tx1"/>
            </w14:solidFill>
          </w14:textFill>
        </w:rPr>
      </w:pPr>
    </w:p>
    <w:p>
      <w:pPr>
        <w:pStyle w:val="16"/>
        <w:rPr>
          <w:rFonts w:ascii="宋体" w:hAnsi="宋体"/>
          <w:bCs/>
          <w:color w:val="000000" w:themeColor="text1"/>
          <w:sz w:val="24"/>
          <w:szCs w:val="24"/>
          <w14:textFill>
            <w14:solidFill>
              <w14:schemeClr w14:val="tx1"/>
            </w14:solidFill>
          </w14:textFill>
        </w:rPr>
      </w:pPr>
    </w:p>
    <w:p>
      <w:pPr>
        <w:pStyle w:val="16"/>
        <w:ind w:firstLine="0"/>
        <w:rPr>
          <w:rFonts w:ascii="宋体" w:hAnsi="宋体"/>
          <w:bCs/>
          <w:color w:val="000000" w:themeColor="text1"/>
          <w:sz w:val="24"/>
          <w:szCs w:val="24"/>
          <w14:textFill>
            <w14:solidFill>
              <w14:schemeClr w14:val="tx1"/>
            </w14:solidFill>
          </w14:textFill>
        </w:rPr>
      </w:pPr>
    </w:p>
    <w:p>
      <w:pPr>
        <w:pStyle w:val="16"/>
        <w:rPr>
          <w:rFonts w:ascii="宋体" w:hAnsi="宋体"/>
          <w:bCs/>
          <w:color w:val="000000" w:themeColor="text1"/>
          <w:sz w:val="24"/>
          <w:szCs w:val="24"/>
          <w14:textFill>
            <w14:solidFill>
              <w14:schemeClr w14:val="tx1"/>
            </w14:solidFill>
          </w14:textFill>
        </w:rPr>
      </w:pPr>
    </w:p>
    <w:p>
      <w:pPr>
        <w:pStyle w:val="16"/>
        <w:ind w:firstLine="0"/>
        <w:rPr>
          <w:rFonts w:ascii="宋体" w:hAnsi="宋体"/>
          <w:bCs/>
          <w:color w:val="000000" w:themeColor="text1"/>
          <w:sz w:val="24"/>
          <w:szCs w:val="24"/>
          <w14:textFill>
            <w14:solidFill>
              <w14:schemeClr w14:val="tx1"/>
            </w14:solidFill>
          </w14:textFill>
        </w:rPr>
      </w:pPr>
    </w:p>
    <w:p>
      <w:pPr>
        <w:spacing w:line="360" w:lineRule="auto"/>
        <w:jc w:val="center"/>
        <w:rPr>
          <w:rFonts w:ascii="黑体" w:hAnsi="宋体" w:eastAsia="黑体"/>
          <w:b/>
          <w:color w:val="000000" w:themeColor="text1"/>
          <w:sz w:val="28"/>
          <w:szCs w:val="28"/>
          <w14:textFill>
            <w14:solidFill>
              <w14:schemeClr w14:val="tx1"/>
            </w14:solidFill>
          </w14:textFill>
        </w:rPr>
      </w:pPr>
      <w:r>
        <w:rPr>
          <w:rFonts w:hint="eastAsia" w:ascii="黑体" w:eastAsia="黑体"/>
          <w:bCs/>
          <w:color w:val="000000" w:themeColor="text1"/>
          <w:sz w:val="28"/>
          <w:szCs w:val="28"/>
          <w14:textFill>
            <w14:solidFill>
              <w14:schemeClr w14:val="tx1"/>
            </w14:solidFill>
          </w14:textFill>
        </w:rPr>
        <w:t>四．合同书（格式文本）</w:t>
      </w:r>
    </w:p>
    <w:p>
      <w:pPr>
        <w:snapToGrid w:val="0"/>
        <w:spacing w:line="288" w:lineRule="auto"/>
        <w:jc w:val="center"/>
        <w:rPr>
          <w:rFonts w:ascii="黑体" w:hAnsi="宋体" w:eastAsia="黑体"/>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合同书(货物）格式条款</w:t>
      </w:r>
    </w:p>
    <w:p>
      <w:pPr>
        <w:snapToGrid w:val="0"/>
        <w:spacing w:line="288" w:lineRule="auto"/>
        <w:ind w:firstLine="480" w:firstLineChars="200"/>
        <w:jc w:val="left"/>
        <w:rPr>
          <w:rFonts w:ascii="黑体" w:hAnsi="宋体" w:eastAsia="黑体"/>
          <w:b/>
          <w:color w:val="000000" w:themeColor="text1"/>
          <w:sz w:val="28"/>
          <w:szCs w:val="28"/>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根据《中华人民共和国政府采购法》及相关法规、《中华人民共和国民法典》，遵循平等、自愿、公平和诚实信用的原则，甲乙双方就项目（项目编号： ）采购及有关事项协商一致，共同达成如下协议：</w:t>
      </w:r>
    </w:p>
    <w:p>
      <w:pPr>
        <w:snapToGrid w:val="0"/>
        <w:spacing w:line="288" w:lineRule="auto"/>
        <w:rPr>
          <w:rFonts w:ascii="宋体"/>
          <w:bCs/>
          <w:color w:val="000000" w:themeColor="text1"/>
          <w:sz w:val="24"/>
          <w:szCs w:val="24"/>
          <w:u w:val="single"/>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需方（采购人）：</w:t>
      </w:r>
    </w:p>
    <w:p>
      <w:pPr>
        <w:snapToGrid w:val="0"/>
        <w:spacing w:line="288" w:lineRule="auto"/>
        <w:rPr>
          <w:rFonts w:ascii="宋体"/>
          <w:bCs/>
          <w:color w:val="000000" w:themeColor="text1"/>
          <w:sz w:val="24"/>
          <w:szCs w:val="24"/>
          <w:u w:val="single"/>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供方（中标方）：</w:t>
      </w:r>
    </w:p>
    <w:p>
      <w:pPr>
        <w:tabs>
          <w:tab w:val="left" w:pos="210"/>
          <w:tab w:val="left" w:pos="840"/>
          <w:tab w:val="left" w:pos="1260"/>
        </w:tabs>
        <w:snapToGrid w:val="0"/>
        <w:spacing w:line="288"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一、采购项目编号：</w:t>
      </w:r>
    </w:p>
    <w:p>
      <w:pPr>
        <w:tabs>
          <w:tab w:val="left" w:pos="210"/>
          <w:tab w:val="left" w:pos="840"/>
          <w:tab w:val="left" w:pos="1260"/>
        </w:tabs>
        <w:snapToGrid w:val="0"/>
        <w:spacing w:line="288"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二、采购项目名称：</w:t>
      </w:r>
    </w:p>
    <w:p>
      <w:pPr>
        <w:tabs>
          <w:tab w:val="left" w:pos="210"/>
          <w:tab w:val="left" w:pos="840"/>
          <w:tab w:val="left" w:pos="1260"/>
        </w:tabs>
        <w:snapToGrid w:val="0"/>
        <w:spacing w:line="288"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三、中标（成交）金额：（大写）；（小写）；</w:t>
      </w:r>
    </w:p>
    <w:p>
      <w:pPr>
        <w:tabs>
          <w:tab w:val="left" w:pos="210"/>
          <w:tab w:val="left" w:pos="840"/>
          <w:tab w:val="left" w:pos="1260"/>
        </w:tabs>
        <w:snapToGrid w:val="0"/>
        <w:spacing w:line="288"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四、交货期或完工期：</w:t>
      </w:r>
    </w:p>
    <w:p>
      <w:pPr>
        <w:tabs>
          <w:tab w:val="left" w:pos="210"/>
          <w:tab w:val="left" w:pos="840"/>
          <w:tab w:val="left" w:pos="1260"/>
        </w:tabs>
        <w:snapToGrid w:val="0"/>
        <w:spacing w:line="288"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五、项目整体质保期：</w:t>
      </w:r>
    </w:p>
    <w:p>
      <w:pPr>
        <w:tabs>
          <w:tab w:val="left" w:pos="210"/>
          <w:tab w:val="left" w:pos="840"/>
          <w:tab w:val="left" w:pos="1260"/>
        </w:tabs>
        <w:snapToGrid w:val="0"/>
        <w:spacing w:line="288"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六、交货地点和方式：</w:t>
      </w:r>
    </w:p>
    <w:p>
      <w:pPr>
        <w:tabs>
          <w:tab w:val="left" w:pos="210"/>
          <w:tab w:val="left" w:pos="840"/>
          <w:tab w:val="left" w:pos="1260"/>
        </w:tabs>
        <w:snapToGrid w:val="0"/>
        <w:spacing w:line="288"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七、货款支付步骤和办法：</w:t>
      </w:r>
    </w:p>
    <w:p>
      <w:pPr>
        <w:tabs>
          <w:tab w:val="left" w:pos="210"/>
          <w:tab w:val="left" w:pos="840"/>
          <w:tab w:val="left" w:pos="1260"/>
        </w:tabs>
        <w:snapToGrid w:val="0"/>
        <w:spacing w:line="288"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八、合同书不可分割部分：</w:t>
      </w:r>
    </w:p>
    <w:p>
      <w:pPr>
        <w:tabs>
          <w:tab w:val="left" w:pos="210"/>
          <w:tab w:val="left" w:pos="840"/>
          <w:tab w:val="left" w:pos="1260"/>
        </w:tabs>
        <w:snapToGrid w:val="0"/>
        <w:spacing w:line="288"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招标（采购）文件、投标（报价）文件、合同条款及中标</w:t>
      </w:r>
      <w:r>
        <w:rPr>
          <w:rFonts w:hint="eastAsia" w:ascii="宋体" w:hAnsi="宋体"/>
          <w:color w:val="000000" w:themeColor="text1"/>
          <w:sz w:val="24"/>
          <w:szCs w:val="24"/>
          <w14:textFill>
            <w14:solidFill>
              <w14:schemeClr w14:val="tx1"/>
            </w14:solidFill>
          </w14:textFill>
        </w:rPr>
        <w:t>（成交）</w:t>
      </w:r>
      <w:r>
        <w:rPr>
          <w:rFonts w:hint="eastAsia" w:ascii="宋体" w:hAnsi="宋体"/>
          <w:bCs/>
          <w:color w:val="000000" w:themeColor="text1"/>
          <w:sz w:val="24"/>
          <w:szCs w:val="24"/>
          <w14:textFill>
            <w14:solidFill>
              <w14:schemeClr w14:val="tx1"/>
            </w14:solidFill>
          </w14:textFill>
        </w:rPr>
        <w:t>通知书，供方在投标（响应）、评标（评审）过程中所作其它有关承诺、声明、书面澄清等均为合同不可分割的部分，与主合同具有同等法律效力。</w:t>
      </w:r>
    </w:p>
    <w:p>
      <w:pPr>
        <w:tabs>
          <w:tab w:val="left" w:pos="210"/>
          <w:tab w:val="left" w:pos="735"/>
          <w:tab w:val="left" w:pos="1155"/>
        </w:tabs>
        <w:snapToGrid w:val="0"/>
        <w:spacing w:line="288"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九、合同书组成：</w:t>
      </w:r>
    </w:p>
    <w:p>
      <w:pPr>
        <w:tabs>
          <w:tab w:val="left" w:pos="210"/>
          <w:tab w:val="left" w:pos="735"/>
          <w:tab w:val="left" w:pos="1155"/>
        </w:tabs>
        <w:snapToGrid w:val="0"/>
        <w:spacing w:line="288"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合同书由格式条款</w:t>
      </w:r>
      <w:r>
        <w:rPr>
          <w:rFonts w:hint="eastAsia" w:ascii="宋体" w:hAnsi="宋体"/>
          <w:bCs/>
          <w:color w:val="000000" w:themeColor="text1"/>
          <w:sz w:val="24"/>
          <w:szCs w:val="24"/>
          <w14:textFill>
            <w14:solidFill>
              <w14:schemeClr w14:val="tx1"/>
            </w14:solidFill>
          </w14:textFill>
        </w:rPr>
        <w:t>和合同条款二部分组成。合同条款应当包含法定必备条款和采购需求的所有内容，并应与“合同书不可分割部分”的内容一致，包括但不限于</w:t>
      </w:r>
      <w:r>
        <w:rPr>
          <w:rFonts w:hint="eastAsia" w:ascii="宋体" w:hAnsi="宋体"/>
          <w:color w:val="000000" w:themeColor="text1"/>
          <w:sz w:val="24"/>
          <w:szCs w:val="24"/>
          <w14:textFill>
            <w14:solidFill>
              <w14:schemeClr w14:val="tx1"/>
            </w14:solidFill>
          </w14:textFill>
        </w:rPr>
        <w:t>合同类型,</w:t>
      </w:r>
      <w:r>
        <w:rPr>
          <w:rFonts w:hint="eastAsia" w:ascii="宋体" w:hAnsi="宋体"/>
          <w:bCs/>
          <w:color w:val="000000" w:themeColor="text1"/>
          <w:sz w:val="24"/>
          <w:szCs w:val="24"/>
          <w14:textFill>
            <w14:solidFill>
              <w14:schemeClr w14:val="tx1"/>
            </w14:solidFill>
          </w14:textFill>
        </w:rPr>
        <w:t>标的名称、采购标的质量、数量，履行时间、地点和方式，包装方式，履约保证金要求，价款或报酬、付款进度安排、</w:t>
      </w:r>
      <w:r>
        <w:rPr>
          <w:rFonts w:ascii="宋体" w:hAnsi="宋体" w:cs="宋体"/>
          <w:color w:val="000000" w:themeColor="text1"/>
          <w:sz w:val="24"/>
          <w:szCs w:val="24"/>
          <w14:textFill>
            <w14:solidFill>
              <w14:schemeClr w14:val="tx1"/>
            </w14:solidFill>
          </w14:textFill>
        </w:rPr>
        <w:t>与履约验收挂钩的资金支付条件及时间</w:t>
      </w:r>
      <w:r>
        <w:rPr>
          <w:rFonts w:hint="eastAsia" w:ascii="宋体" w:hAnsi="宋体"/>
          <w:bCs/>
          <w:color w:val="000000" w:themeColor="text1"/>
          <w:sz w:val="24"/>
          <w:szCs w:val="24"/>
          <w14:textFill>
            <w14:solidFill>
              <w14:schemeClr w14:val="tx1"/>
            </w14:solidFill>
          </w14:textFill>
        </w:rPr>
        <w:t>，验收、交付标准和方法，质量保修范围和保修期，违约责任与解决争议的方法，甲乙双方权利与义务，合同分包要求等。</w:t>
      </w:r>
    </w:p>
    <w:p>
      <w:pPr>
        <w:tabs>
          <w:tab w:val="left" w:pos="210"/>
          <w:tab w:val="left" w:pos="840"/>
          <w:tab w:val="left" w:pos="1155"/>
        </w:tabs>
        <w:snapToGrid w:val="0"/>
        <w:spacing w:line="288"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十、合同书生效及注意事项：</w:t>
      </w:r>
    </w:p>
    <w:p>
      <w:pPr>
        <w:tabs>
          <w:tab w:val="left" w:pos="210"/>
          <w:tab w:val="left" w:pos="840"/>
          <w:tab w:val="left" w:pos="1155"/>
        </w:tabs>
        <w:snapToGrid w:val="0"/>
        <w:spacing w:line="288"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合同书格式条款与合同条款共同组成完整合同书。采购人在确定中标（成交）供应商之日起三十个日历天内，完成合同书签订工作。供需双方在合同书上确认签章后，合同即生效并经系统自动将合同书推送“无锡市政府采购网”进行公示。</w:t>
      </w:r>
    </w:p>
    <w:p>
      <w:pPr>
        <w:tabs>
          <w:tab w:val="left" w:pos="210"/>
          <w:tab w:val="left" w:pos="840"/>
          <w:tab w:val="left" w:pos="1155"/>
        </w:tabs>
        <w:snapToGrid w:val="0"/>
        <w:spacing w:line="288"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十一、供需双方如有其它要求，可参照招标（采购）文件、投标（报价）文件（采购人不得向供应商提出超出采购文件以外的任何要求作为签订合同的条件，不得与成交供应商订立背离采购文件确定的合同文本以及采购标的、规格型号、采购金额、采购数量、技术和服务要求等实质性内容的协议），并在不违反本合同条款的前提下，供需双方自行拟定补充条款。</w:t>
      </w:r>
    </w:p>
    <w:p>
      <w:pPr>
        <w:tabs>
          <w:tab w:val="left" w:pos="210"/>
          <w:tab w:val="left" w:pos="840"/>
          <w:tab w:val="left" w:pos="1155"/>
        </w:tabs>
        <w:snapToGrid w:val="0"/>
        <w:spacing w:line="288"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十二、根据《政府采购法》第四十九、五十条规定，甲乙双方不得擅自变更、中止或终止合同。</w:t>
      </w:r>
    </w:p>
    <w:p>
      <w:pPr>
        <w:snapToGrid w:val="0"/>
        <w:spacing w:line="288" w:lineRule="auto"/>
        <w:jc w:val="right"/>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见证方：无锡市卫生健康综合服务中心（签章）</w:t>
      </w:r>
    </w:p>
    <w:p>
      <w:pPr>
        <w:wordWrap w:val="0"/>
        <w:snapToGrid w:val="0"/>
        <w:spacing w:line="288" w:lineRule="auto"/>
        <w:jc w:val="right"/>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 xml:space="preserve">见证人：                          </w:t>
      </w:r>
    </w:p>
    <w:p>
      <w:pPr>
        <w:spacing w:line="360" w:lineRule="auto"/>
        <w:jc w:val="center"/>
        <w:rPr>
          <w:rFonts w:ascii="黑体" w:hAnsi="宋体" w:eastAsia="黑体"/>
          <w:b/>
          <w:color w:val="000000" w:themeColor="text1"/>
          <w:sz w:val="28"/>
          <w:szCs w:val="28"/>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 xml:space="preserve">                                                             年   月   日</w:t>
      </w:r>
    </w:p>
    <w:p>
      <w:pPr>
        <w:spacing w:line="440" w:lineRule="exact"/>
        <w:rPr>
          <w:rFonts w:ascii="宋体" w:hAnsi="宋体"/>
          <w:bCs/>
          <w:color w:val="000000" w:themeColor="text1"/>
          <w:sz w:val="24"/>
          <w:szCs w:val="24"/>
          <w14:textFill>
            <w14:solidFill>
              <w14:schemeClr w14:val="tx1"/>
            </w14:solidFill>
          </w14:textFill>
        </w:rPr>
      </w:pPr>
    </w:p>
    <w:p>
      <w:pPr>
        <w:spacing w:line="360" w:lineRule="auto"/>
        <w:jc w:val="center"/>
        <w:rPr>
          <w:rFonts w:ascii="黑体" w:eastAsia="黑体"/>
          <w:bCs/>
          <w:color w:val="000000" w:themeColor="text1"/>
          <w:sz w:val="28"/>
          <w:szCs w:val="28"/>
          <w14:textFill>
            <w14:solidFill>
              <w14:schemeClr w14:val="tx1"/>
            </w14:solidFill>
          </w14:textFill>
        </w:rPr>
      </w:pPr>
      <w:r>
        <w:rPr>
          <w:rFonts w:hint="eastAsia" w:ascii="黑体" w:eastAsia="黑体"/>
          <w:bCs/>
          <w:color w:val="000000" w:themeColor="text1"/>
          <w:sz w:val="28"/>
          <w:szCs w:val="28"/>
          <w14:textFill>
            <w14:solidFill>
              <w14:schemeClr w14:val="tx1"/>
            </w14:solidFill>
          </w14:textFill>
        </w:rPr>
        <w:t>五．合同条款</w:t>
      </w:r>
    </w:p>
    <w:p>
      <w:pPr>
        <w:snapToGrid w:val="0"/>
        <w:spacing w:line="336" w:lineRule="auto"/>
        <w:ind w:firstLine="480" w:firstLineChars="200"/>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（根据相关法律规定以及采购文件确定事项订立）</w:t>
      </w:r>
    </w:p>
    <w:p>
      <w:pPr>
        <w:snapToGrid w:val="0"/>
        <w:spacing w:line="336"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（一）合同内容：需方向供方购买。</w:t>
      </w:r>
    </w:p>
    <w:p>
      <w:pPr>
        <w:snapToGrid w:val="0"/>
        <w:spacing w:line="336"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（二）价格及支付：</w:t>
      </w:r>
    </w:p>
    <w:p>
      <w:pPr>
        <w:tabs>
          <w:tab w:val="left" w:pos="525"/>
          <w:tab w:val="left" w:pos="1050"/>
          <w:tab w:val="left" w:pos="1155"/>
        </w:tabs>
        <w:snapToGrid w:val="0"/>
        <w:spacing w:line="336" w:lineRule="auto"/>
        <w:ind w:firstLine="523" w:firstLineChars="218"/>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 按此次中标价格执行，合同总标的额为元。</w:t>
      </w:r>
    </w:p>
    <w:p>
      <w:pPr>
        <w:numPr>
          <w:ilvl w:val="1"/>
          <w:numId w:val="9"/>
        </w:numPr>
        <w:tabs>
          <w:tab w:val="left" w:pos="945"/>
          <w:tab w:val="left" w:pos="2100"/>
          <w:tab w:val="clear" w:pos="1770"/>
        </w:tabs>
        <w:snapToGrid w:val="0"/>
        <w:spacing w:line="336" w:lineRule="auto"/>
        <w:ind w:left="0" w:firstLine="525"/>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付款方式：</w:t>
      </w:r>
    </w:p>
    <w:p>
      <w:pPr>
        <w:numPr>
          <w:ilvl w:val="1"/>
          <w:numId w:val="9"/>
        </w:numPr>
        <w:tabs>
          <w:tab w:val="left" w:pos="945"/>
          <w:tab w:val="left" w:pos="2100"/>
          <w:tab w:val="clear" w:pos="1770"/>
        </w:tabs>
        <w:snapToGrid w:val="0"/>
        <w:spacing w:line="336" w:lineRule="auto"/>
        <w:ind w:left="0" w:firstLine="525"/>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履约保证金的缴纳和退付：</w:t>
      </w:r>
    </w:p>
    <w:p>
      <w:pPr>
        <w:tabs>
          <w:tab w:val="left" w:pos="945"/>
          <w:tab w:val="left" w:pos="2100"/>
        </w:tabs>
        <w:snapToGrid w:val="0"/>
        <w:spacing w:line="336"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本项目是/否向采购人缴纳履约保证金： 。</w:t>
      </w:r>
    </w:p>
    <w:p>
      <w:pPr>
        <w:tabs>
          <w:tab w:val="left" w:pos="945"/>
          <w:tab w:val="left" w:pos="2100"/>
        </w:tabs>
        <w:snapToGrid w:val="0"/>
        <w:spacing w:line="336"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履约保证金缴纳金额：元。</w:t>
      </w:r>
    </w:p>
    <w:p>
      <w:pPr>
        <w:tabs>
          <w:tab w:val="left" w:pos="945"/>
          <w:tab w:val="left" w:pos="2100"/>
        </w:tabs>
        <w:snapToGrid w:val="0"/>
        <w:spacing w:line="336"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履约保证金的缴纳时间：，缴纳形式：</w:t>
      </w:r>
      <w:r>
        <w:rPr>
          <w:rFonts w:hint="eastAsia" w:ascii="宋体" w:hAnsi="宋体"/>
          <w:bCs/>
          <w:color w:val="000000" w:themeColor="text1"/>
          <w:sz w:val="24"/>
          <w14:textFill>
            <w14:solidFill>
              <w14:schemeClr w14:val="tx1"/>
            </w14:solidFill>
          </w14:textFill>
        </w:rPr>
        <w:t>。</w:t>
      </w:r>
    </w:p>
    <w:p>
      <w:pPr>
        <w:tabs>
          <w:tab w:val="left" w:pos="945"/>
          <w:tab w:val="left" w:pos="2100"/>
        </w:tabs>
        <w:snapToGrid w:val="0"/>
        <w:spacing w:line="336"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履约保证金的退付时间：，退付办法：</w:t>
      </w:r>
      <w:r>
        <w:rPr>
          <w:rFonts w:hint="eastAsia" w:ascii="宋体" w:hAnsi="宋体"/>
          <w:bCs/>
          <w:color w:val="000000" w:themeColor="text1"/>
          <w:sz w:val="24"/>
          <w14:textFill>
            <w14:solidFill>
              <w14:schemeClr w14:val="tx1"/>
            </w14:solidFill>
          </w14:textFill>
        </w:rPr>
        <w:t>。</w:t>
      </w:r>
    </w:p>
    <w:p>
      <w:pPr>
        <w:tabs>
          <w:tab w:val="left" w:pos="945"/>
          <w:tab w:val="left" w:pos="2100"/>
        </w:tabs>
        <w:snapToGrid w:val="0"/>
        <w:spacing w:line="336"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履约保证金不予退还的情形：。</w:t>
      </w:r>
    </w:p>
    <w:p>
      <w:pPr>
        <w:tabs>
          <w:tab w:val="left" w:pos="945"/>
          <w:tab w:val="left" w:pos="2100"/>
        </w:tabs>
        <w:snapToGrid w:val="0"/>
        <w:spacing w:line="336"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14:textFill>
            <w14:solidFill>
              <w14:schemeClr w14:val="tx1"/>
            </w14:solidFill>
          </w14:textFill>
        </w:rPr>
        <w:t>逾期退还履约保证金的违约责任：。</w:t>
      </w:r>
    </w:p>
    <w:p>
      <w:pPr>
        <w:tabs>
          <w:tab w:val="left" w:pos="0"/>
          <w:tab w:val="left" w:pos="1365"/>
        </w:tabs>
        <w:snapToGrid w:val="0"/>
        <w:spacing w:line="336"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（三）知识产权</w:t>
      </w:r>
    </w:p>
    <w:p>
      <w:pPr>
        <w:tabs>
          <w:tab w:val="left" w:pos="945"/>
        </w:tabs>
        <w:snapToGrid w:val="0"/>
        <w:spacing w:line="336"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供方应保证需方在使用其交付物、服务及其任何部分时不受到第三方关于侵犯专利权、商标权或软件著作权等知识产权的指控。任何第三方如果提出侵权指控，供方应承担可能发生的一切法律责任和费用。</w:t>
      </w:r>
    </w:p>
    <w:p>
      <w:pPr>
        <w:tabs>
          <w:tab w:val="left" w:pos="735"/>
        </w:tabs>
        <w:snapToGrid w:val="0"/>
        <w:spacing w:line="336"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（四）质量要求与检验：</w:t>
      </w:r>
    </w:p>
    <w:p>
      <w:pPr>
        <w:tabs>
          <w:tab w:val="left" w:pos="525"/>
          <w:tab w:val="left" w:pos="1050"/>
          <w:tab w:val="left" w:pos="1155"/>
        </w:tabs>
        <w:snapToGrid w:val="0"/>
        <w:spacing w:line="336"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1.供方应严格按照招标文件的有关规定和供方投标文件提供合格的货物及服务。</w:t>
      </w:r>
    </w:p>
    <w:p>
      <w:pPr>
        <w:tabs>
          <w:tab w:val="left" w:pos="1050"/>
          <w:tab w:val="left" w:pos="1155"/>
        </w:tabs>
        <w:snapToGrid w:val="0"/>
        <w:spacing w:line="336"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2.如果任何被检验的货物或服务不符合质量要求，需方均可以拒绝接受，供方应及时更换被拒绝的货物或重新提供服务，且不得影响需方正常工作，费用由供方承担，如因更换或重作导致供方逾期交付货物的，供方还应承担逾期交付的违约责任。本规定并不免除供方在本合同项下的货物质量保证义务或其他义务。</w:t>
      </w:r>
    </w:p>
    <w:p>
      <w:pPr>
        <w:tabs>
          <w:tab w:val="left" w:pos="420"/>
          <w:tab w:val="left" w:pos="1050"/>
          <w:tab w:val="left" w:pos="1155"/>
        </w:tabs>
        <w:snapToGrid w:val="0"/>
        <w:spacing w:line="336"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3.货物的到货验收包括：数量、外观、质量、性能、随机备件、装箱单、质量证书等随机资料及包装完整无破损。</w:t>
      </w:r>
    </w:p>
    <w:p>
      <w:pPr>
        <w:tabs>
          <w:tab w:val="left" w:pos="1050"/>
          <w:tab w:val="left" w:pos="1155"/>
        </w:tabs>
        <w:snapToGrid w:val="0"/>
        <w:spacing w:line="336"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4.货物和系统调试验收标准：按行业通行标准、厂方出厂标准、招标文件要求和供方投标文件的承诺，并不低于国家相关标准。</w:t>
      </w:r>
    </w:p>
    <w:p>
      <w:pPr>
        <w:tabs>
          <w:tab w:val="left" w:pos="1050"/>
          <w:tab w:val="left" w:pos="1155"/>
        </w:tabs>
        <w:snapToGrid w:val="0"/>
        <w:spacing w:line="336"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5.货物运到需方指定地点并经需方验证签收后，由于需方保管不善造成的质量问题，供方应负责修理，但有关费用由需方承担。</w:t>
      </w:r>
    </w:p>
    <w:p>
      <w:pPr>
        <w:tabs>
          <w:tab w:val="left" w:pos="1050"/>
          <w:tab w:val="left" w:pos="1155"/>
        </w:tabs>
        <w:snapToGrid w:val="0"/>
        <w:spacing w:line="336"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6.经验收不合格的，供方应当按照需方要求在指定的合理期限内进行整改和完善，直至符合招标文件要求的相关标准。逾期不予整改或经整改仍不能符合相关要求，或者导致合同目的无法实现，需方有权依照法律程序解除合同，并追究供方的违约责任。</w:t>
      </w:r>
    </w:p>
    <w:p>
      <w:pPr>
        <w:tabs>
          <w:tab w:val="left" w:pos="1050"/>
          <w:tab w:val="left" w:pos="1155"/>
        </w:tabs>
        <w:snapToGrid w:val="0"/>
        <w:spacing w:line="336"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7.需方不得擅自变更招投标文件约定的性能、指标等相关内容，如有变更应按《中华人民共和国政府采购法》、财政部《政府采购货物和服务招标投标管理办法》的相关程序执行。</w:t>
      </w:r>
    </w:p>
    <w:p>
      <w:pPr>
        <w:snapToGrid w:val="0"/>
        <w:spacing w:line="336"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（五）交货条件：</w:t>
      </w:r>
    </w:p>
    <w:p>
      <w:pPr>
        <w:tabs>
          <w:tab w:val="left" w:pos="420"/>
          <w:tab w:val="left" w:pos="1155"/>
        </w:tabs>
        <w:snapToGrid w:val="0"/>
        <w:spacing w:line="336"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1.交货日期（或完工期）：</w:t>
      </w:r>
    </w:p>
    <w:p>
      <w:pPr>
        <w:tabs>
          <w:tab w:val="left" w:pos="1155"/>
        </w:tabs>
        <w:snapToGrid w:val="0"/>
        <w:spacing w:line="336"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2.供方在验收时应先用信函、传真、电子邮件等书面方式通知需方。</w:t>
      </w:r>
    </w:p>
    <w:p>
      <w:pPr>
        <w:tabs>
          <w:tab w:val="left" w:pos="1155"/>
        </w:tabs>
        <w:snapToGrid w:val="0"/>
        <w:spacing w:line="336"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3.货物的外观、包装、运输应按国家有关规定或相关部颁标准执行。如因供方包装或运输不当等原因造成损坏或丢失，应由供方负责调换或补缺，如因此导致供方逾期交付货物的，供方还应承担逾期交付的违约责任。</w:t>
      </w:r>
    </w:p>
    <w:p>
      <w:pPr>
        <w:tabs>
          <w:tab w:val="left" w:pos="1155"/>
        </w:tabs>
        <w:snapToGrid w:val="0"/>
        <w:spacing w:line="336"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4.货物交货时，所有货物必须带有货物质量检验合格证书、中文质保单、装箱单、中文货物安装使用说明书。其它附件所有部件必须原包装。</w:t>
      </w:r>
    </w:p>
    <w:p>
      <w:pPr>
        <w:tabs>
          <w:tab w:val="left" w:pos="945"/>
          <w:tab w:val="left" w:pos="1155"/>
        </w:tabs>
        <w:snapToGrid w:val="0"/>
        <w:spacing w:line="336" w:lineRule="auto"/>
        <w:ind w:left="2"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5.运输及到货地点：由供方负责办理运输并承担所有费用，直接送到需方指定地点，即：以合同书上的地点为准。</w:t>
      </w:r>
    </w:p>
    <w:p>
      <w:pPr>
        <w:snapToGrid w:val="0"/>
        <w:spacing w:line="336"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（六）安装调试及售后服务：</w:t>
      </w:r>
    </w:p>
    <w:p>
      <w:pPr>
        <w:tabs>
          <w:tab w:val="left" w:pos="525"/>
          <w:tab w:val="left" w:pos="840"/>
          <w:tab w:val="left" w:pos="945"/>
          <w:tab w:val="left" w:pos="1965"/>
        </w:tabs>
        <w:snapToGrid w:val="0"/>
        <w:spacing w:line="336"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1.供方负责本项目的安装和调试，并保证其提供的货物符合国家、行业、地方、招投标文件及合同规定的质量、性能和标准，并正确且安全地安装。</w:t>
      </w:r>
    </w:p>
    <w:p>
      <w:pPr>
        <w:tabs>
          <w:tab w:val="left" w:pos="525"/>
          <w:tab w:val="left" w:pos="840"/>
          <w:tab w:val="left" w:pos="945"/>
          <w:tab w:val="left" w:pos="1050"/>
          <w:tab w:val="left" w:pos="1965"/>
        </w:tabs>
        <w:snapToGrid w:val="0"/>
        <w:spacing w:line="336"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2.供方提供的服务全部按照国家有关法律法规规章和“三包”规定以及按招标文件要求和供方投标文件中的承诺执行。</w:t>
      </w:r>
    </w:p>
    <w:p>
      <w:pPr>
        <w:tabs>
          <w:tab w:val="left" w:pos="525"/>
          <w:tab w:val="left" w:pos="840"/>
          <w:tab w:val="left" w:pos="945"/>
          <w:tab w:val="left" w:pos="1050"/>
          <w:tab w:val="left" w:pos="1965"/>
        </w:tabs>
        <w:snapToGrid w:val="0"/>
        <w:spacing w:line="336"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3.质保期后的货物维护由双方协商再定。</w:t>
      </w:r>
    </w:p>
    <w:p>
      <w:pPr>
        <w:tabs>
          <w:tab w:val="left" w:pos="525"/>
          <w:tab w:val="left" w:pos="840"/>
          <w:tab w:val="left" w:pos="945"/>
          <w:tab w:val="left" w:pos="1050"/>
          <w:tab w:val="left" w:pos="1965"/>
        </w:tabs>
        <w:snapToGrid w:val="0"/>
        <w:spacing w:line="336"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4.需方应向供方现场调试的技术人员及维修人员提供方便条件，有关费用由供方负责。</w:t>
      </w:r>
    </w:p>
    <w:p>
      <w:pPr>
        <w:tabs>
          <w:tab w:val="left" w:pos="525"/>
          <w:tab w:val="left" w:pos="840"/>
          <w:tab w:val="left" w:pos="945"/>
          <w:tab w:val="left" w:pos="1050"/>
          <w:tab w:val="left" w:pos="1965"/>
        </w:tabs>
        <w:snapToGrid w:val="0"/>
        <w:spacing w:line="336"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5.需方如要求供方提供招标文件及供方投标文件以外的其它服务，其费用另定。</w:t>
      </w:r>
    </w:p>
    <w:p>
      <w:pPr>
        <w:snapToGrid w:val="0"/>
        <w:spacing w:line="336"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（七）违约责任：</w:t>
      </w:r>
    </w:p>
    <w:p>
      <w:pPr>
        <w:tabs>
          <w:tab w:val="left" w:pos="0"/>
          <w:tab w:val="left" w:pos="315"/>
          <w:tab w:val="left" w:pos="525"/>
          <w:tab w:val="left" w:pos="945"/>
        </w:tabs>
        <w:snapToGrid w:val="0"/>
        <w:spacing w:line="336"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在履行合同的过程中，如果供方遇到妨碍按时交货和提供服务的情况时，应及时以书面形式将拖延的事实、可能拖延的时间和原因通知需方。需方在收到供方通知后，应尽快对情况进行核实，并有权根据情况确定是否酌情延长交货时间以及是否收取逾期交货的违约金及损害赔偿金（如有），或依照法律程序解除部分或全部合同。延期应通过签订补充合同的方式由双方认可并履行。</w:t>
      </w:r>
    </w:p>
    <w:p>
      <w:pPr>
        <w:tabs>
          <w:tab w:val="left" w:pos="0"/>
          <w:tab w:val="left" w:pos="315"/>
          <w:tab w:val="left" w:pos="525"/>
          <w:tab w:val="left" w:pos="945"/>
        </w:tabs>
        <w:snapToGrid w:val="0"/>
        <w:spacing w:line="336"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2.如供方逾期交货且未经需方同意延长交货时间，除不可抗力外，每逾期一日，供方应按照逾期交货金额的万分之五的标准累计计算向需方支付违约金。逾期超过20个工作日的，需方有权依照法律程序解除合同，需方如已支付费用的，供方全部返还，且供方应按照合同总价的30%向需方支付违约金，如给需方造成损失的，还应赔偿损失。</w:t>
      </w:r>
    </w:p>
    <w:p>
      <w:pPr>
        <w:tabs>
          <w:tab w:val="left" w:pos="105"/>
          <w:tab w:val="left" w:pos="315"/>
          <w:tab w:val="left" w:pos="525"/>
          <w:tab w:val="left" w:pos="945"/>
        </w:tabs>
        <w:snapToGrid w:val="0"/>
        <w:spacing w:line="336"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3.需方无正当理由逾期付款时，每逾期一日，需方应按照逾期付款金额的万分之五的标准累计计算向供方支付违约金。</w:t>
      </w:r>
    </w:p>
    <w:p>
      <w:pPr>
        <w:tabs>
          <w:tab w:val="left" w:pos="105"/>
          <w:tab w:val="left" w:pos="315"/>
          <w:tab w:val="left" w:pos="525"/>
          <w:tab w:val="left" w:pos="945"/>
        </w:tabs>
        <w:snapToGrid w:val="0"/>
        <w:spacing w:line="336"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4.由于需方的原因要求延期交货，需方应按规定承付货款，并承担供方提供的代为保管费。（有关仓储规定另议）</w:t>
      </w:r>
    </w:p>
    <w:p>
      <w:pPr>
        <w:tabs>
          <w:tab w:val="left" w:pos="105"/>
          <w:tab w:val="left" w:pos="315"/>
          <w:tab w:val="left" w:pos="525"/>
          <w:tab w:val="left" w:pos="945"/>
        </w:tabs>
        <w:snapToGrid w:val="0"/>
        <w:spacing w:line="336"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5.供方如无不可抗力，又未履行招标文件、投标文件和合同条款的，一经查实，由供方赔偿由此给需方造成的损失，并按照合同总价的30%向需方支付违约金，因招、投标产生的其他责任及后果按招标文件的相关要求及处理方式执行。</w:t>
      </w:r>
    </w:p>
    <w:p>
      <w:pPr>
        <w:tabs>
          <w:tab w:val="left" w:pos="105"/>
          <w:tab w:val="left" w:pos="315"/>
          <w:tab w:val="left" w:pos="525"/>
          <w:tab w:val="left" w:pos="945"/>
        </w:tabs>
        <w:snapToGrid w:val="0"/>
        <w:spacing w:line="336"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6.由于供方提供货物质量和安装存在问题和缺陷导致任何人身、财产损害的，供方应负责承担由此产生的责任，与需方无关。如不可避免地造成需方损失的，需方有权向供方追偿（该等损失包括但不限于损害赔偿金、需方为解决纠纷支付的律师费、诉讼费、差旅费等合理费用）。供方并应按照合同总价的20%向需方支付违约金，如给需方造成其他损失的，供方还应负责赔偿。</w:t>
      </w:r>
    </w:p>
    <w:p>
      <w:pPr>
        <w:tabs>
          <w:tab w:val="left" w:pos="105"/>
          <w:tab w:val="left" w:pos="315"/>
          <w:tab w:val="left" w:pos="525"/>
          <w:tab w:val="left" w:pos="945"/>
        </w:tabs>
        <w:snapToGrid w:val="0"/>
        <w:spacing w:line="336"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7.如遭遇不可抗力事件，遭遇不可抗力的一方应尽快以书面形式将不可抗力的情况和原因通知另一方，并积极采取措施防止损失扩大。因不可抗力造成的损失，供、需双方按照法律规定处理。</w:t>
      </w:r>
    </w:p>
    <w:p>
      <w:pPr>
        <w:tabs>
          <w:tab w:val="left" w:pos="105"/>
          <w:tab w:val="left" w:pos="315"/>
          <w:tab w:val="left" w:pos="525"/>
          <w:tab w:val="left" w:pos="945"/>
        </w:tabs>
        <w:snapToGrid w:val="0"/>
        <w:spacing w:line="336"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8.招标文件及合同中所述之“不可抗力”系指不可预见、不可避免、不可克服的事件，包括但不限于：战争、洪水、台风、地震及其他法律、法规规定的事件。</w:t>
      </w:r>
    </w:p>
    <w:p>
      <w:pPr>
        <w:snapToGrid w:val="0"/>
        <w:spacing w:line="336"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（八）合同生效及其它：</w:t>
      </w:r>
    </w:p>
    <w:p>
      <w:pPr>
        <w:tabs>
          <w:tab w:val="left" w:pos="0"/>
          <w:tab w:val="left" w:pos="315"/>
          <w:tab w:val="left" w:pos="525"/>
          <w:tab w:val="left" w:pos="945"/>
        </w:tabs>
        <w:snapToGrid w:val="0"/>
        <w:spacing w:line="336"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1.合同经供需双方代表签字并盖章，且在无锡市卫生健康综合服务中心见证后即生效。</w:t>
      </w:r>
    </w:p>
    <w:p>
      <w:pPr>
        <w:tabs>
          <w:tab w:val="left" w:pos="0"/>
          <w:tab w:val="left" w:pos="315"/>
          <w:tab w:val="left" w:pos="525"/>
          <w:tab w:val="left" w:pos="945"/>
        </w:tabs>
        <w:snapToGrid w:val="0"/>
        <w:spacing w:line="336"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2.合同签订后供需双方即直接产生权利与义务的关系，合同执行过程中出现的问题应按照合同约定、法律法规的规定办理。在合同履行过程中，双方如有争议，</w:t>
      </w:r>
      <w:r>
        <w:rPr>
          <w:rFonts w:hint="eastAsia" w:ascii="宋体" w:hAnsi="宋体"/>
          <w:color w:val="000000" w:themeColor="text1"/>
          <w:sz w:val="24"/>
          <w:szCs w:val="24"/>
          <w14:textFill>
            <w14:solidFill>
              <w14:schemeClr w14:val="tx1"/>
            </w14:solidFill>
          </w14:textFill>
        </w:rPr>
        <w:t>由供需双方协商处理，若协商不成，</w:t>
      </w:r>
      <w:r>
        <w:rPr>
          <w:rFonts w:hint="eastAsia" w:ascii="宋体" w:hAnsi="宋体"/>
          <w:bCs/>
          <w:color w:val="000000" w:themeColor="text1"/>
          <w:sz w:val="24"/>
          <w:szCs w:val="24"/>
          <w14:textFill>
            <w14:solidFill>
              <w14:schemeClr w14:val="tx1"/>
            </w14:solidFill>
          </w14:textFill>
        </w:rPr>
        <w:t>可选择以下方式处理：</w:t>
      </w:r>
    </w:p>
    <w:p>
      <w:pPr>
        <w:tabs>
          <w:tab w:val="left" w:pos="0"/>
          <w:tab w:val="left" w:pos="315"/>
          <w:tab w:val="left" w:pos="525"/>
          <w:tab w:val="left" w:pos="945"/>
        </w:tabs>
        <w:snapToGrid w:val="0"/>
        <w:spacing w:line="336"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（1）向无锡仲裁委员会申请仲裁。</w:t>
      </w:r>
    </w:p>
    <w:p>
      <w:pPr>
        <w:tabs>
          <w:tab w:val="left" w:pos="0"/>
          <w:tab w:val="left" w:pos="315"/>
          <w:tab w:val="left" w:pos="525"/>
          <w:tab w:val="left" w:pos="945"/>
        </w:tabs>
        <w:snapToGrid w:val="0"/>
        <w:spacing w:line="336" w:lineRule="auto"/>
        <w:ind w:firstLine="480" w:firstLineChars="2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（2）向需方所在地法院提起诉讼。</w:t>
      </w:r>
    </w:p>
    <w:p>
      <w:pPr>
        <w:tabs>
          <w:tab w:val="left" w:pos="0"/>
          <w:tab w:val="left" w:pos="315"/>
          <w:tab w:val="left" w:pos="525"/>
          <w:tab w:val="left" w:pos="945"/>
        </w:tabs>
        <w:snapToGrid w:val="0"/>
        <w:spacing w:line="336"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3.合同在执行过程中出现的未尽事宜，双方在不违背本合同和招标文件的原则下协商解决，协商结果以书面形式签订补充协议，且补充协议与本合同具有同等效力。</w:t>
      </w:r>
    </w:p>
    <w:p>
      <w:pPr>
        <w:tabs>
          <w:tab w:val="left" w:pos="0"/>
          <w:tab w:val="left" w:pos="315"/>
          <w:tab w:val="left" w:pos="525"/>
          <w:tab w:val="left" w:pos="945"/>
        </w:tabs>
        <w:snapToGrid w:val="0"/>
        <w:spacing w:line="336"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4.合同中未有约定的按照有关的法律法规以及国家行业标准或技术文件规定予以解决。</w:t>
      </w:r>
    </w:p>
    <w:p>
      <w:pPr>
        <w:tabs>
          <w:tab w:val="left" w:pos="0"/>
          <w:tab w:val="left" w:pos="315"/>
          <w:tab w:val="left" w:pos="525"/>
          <w:tab w:val="left" w:pos="945"/>
        </w:tabs>
        <w:snapToGrid w:val="0"/>
        <w:spacing w:line="336"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5.供需双方确认：对本合同条款及后果均已知悉，一致确认不存在欺诈、胁迫、乘人之危、重大误解、显失公平等任何可能导致合同无效或被撤销的情形。</w:t>
      </w:r>
    </w:p>
    <w:p>
      <w:pPr>
        <w:snapToGrid w:val="0"/>
        <w:spacing w:line="336" w:lineRule="auto"/>
        <w:rPr>
          <w:rFonts w:ascii="宋体" w:hAnsi="宋体"/>
          <w:bCs/>
          <w:color w:val="000000" w:themeColor="text1"/>
          <w:sz w:val="24"/>
          <w:szCs w:val="24"/>
          <w14:textFill>
            <w14:solidFill>
              <w14:schemeClr w14:val="tx1"/>
            </w14:solidFill>
          </w14:textFill>
        </w:rPr>
      </w:pPr>
    </w:p>
    <w:p>
      <w:pPr>
        <w:snapToGrid w:val="0"/>
        <w:spacing w:line="336" w:lineRule="auto"/>
        <w:ind w:firstLine="480" w:firstLineChars="200"/>
        <w:jc w:val="center"/>
        <w:rPr>
          <w:rFonts w:ascii="宋体" w:hAnsi="宋体"/>
          <w:bCs/>
          <w:color w:val="000000" w:themeColor="text1"/>
          <w:sz w:val="24"/>
          <w:szCs w:val="24"/>
          <w14:textFill>
            <w14:solidFill>
              <w14:schemeClr w14:val="tx1"/>
            </w14:solidFill>
          </w14:textFill>
        </w:rPr>
      </w:pPr>
    </w:p>
    <w:p>
      <w:pPr>
        <w:snapToGrid w:val="0"/>
        <w:spacing w:line="336" w:lineRule="auto"/>
        <w:rPr>
          <w:rFonts w:ascii="宋体"/>
          <w:bCs/>
          <w:color w:val="000000" w:themeColor="text1"/>
          <w:sz w:val="24"/>
          <w:szCs w:val="24"/>
          <w:u w:val="single"/>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需方（采购人）：（签章）                   供方（中标方）：（签章）</w:t>
      </w:r>
    </w:p>
    <w:p>
      <w:pPr>
        <w:snapToGrid w:val="0"/>
        <w:spacing w:line="336" w:lineRule="auto"/>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法定（授权）代表人：                     法定（授权）代表人：</w:t>
      </w:r>
    </w:p>
    <w:p>
      <w:pPr>
        <w:snapToGrid w:val="0"/>
        <w:spacing w:line="336" w:lineRule="auto"/>
        <w:rPr>
          <w:rFonts w:ascii="宋体" w:hAnsi="宋体"/>
          <w:bCs/>
          <w:color w:val="000000" w:themeColor="text1"/>
          <w:sz w:val="24"/>
          <w:szCs w:val="24"/>
          <w:u w:val="single"/>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地址：                                   地址：</w:t>
      </w:r>
    </w:p>
    <w:p>
      <w:pPr>
        <w:snapToGrid w:val="0"/>
        <w:spacing w:line="336" w:lineRule="auto"/>
        <w:ind w:firstLine="480" w:firstLineChars="200"/>
        <w:rPr>
          <w:rFonts w:ascii="宋体"/>
          <w:bCs/>
          <w:color w:val="000000" w:themeColor="text1"/>
          <w:sz w:val="24"/>
          <w:szCs w:val="24"/>
          <w:u w:val="single"/>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年    月    日                           年      月       日</w:t>
      </w:r>
    </w:p>
    <w:p>
      <w:pPr>
        <w:snapToGrid w:val="0"/>
        <w:spacing w:line="336" w:lineRule="auto"/>
        <w:ind w:firstLine="480" w:firstLineChars="200"/>
        <w:rPr>
          <w:rFonts w:ascii="宋体" w:hAnsi="宋体"/>
          <w:bCs/>
          <w:color w:val="000000" w:themeColor="text1"/>
          <w:sz w:val="24"/>
          <w:szCs w:val="24"/>
          <w:u w:val="single"/>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 xml:space="preserve">                                     供方户名：</w:t>
      </w:r>
    </w:p>
    <w:p>
      <w:pPr>
        <w:snapToGrid w:val="0"/>
        <w:spacing w:line="336" w:lineRule="auto"/>
        <w:rPr>
          <w:rFonts w:ascii="宋体" w:hAnsi="宋体"/>
          <w:bCs/>
          <w:color w:val="000000" w:themeColor="text1"/>
          <w:sz w:val="24"/>
          <w:szCs w:val="24"/>
          <w:u w:val="single"/>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 xml:space="preserve">                                         供方开户银行：</w:t>
      </w:r>
    </w:p>
    <w:p>
      <w:pPr>
        <w:snapToGrid w:val="0"/>
        <w:spacing w:line="336"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 xml:space="preserve">                                     供方帐号：</w:t>
      </w:r>
    </w:p>
    <w:p>
      <w:pPr>
        <w:snapToGrid w:val="0"/>
        <w:spacing w:line="336" w:lineRule="auto"/>
        <w:rPr>
          <w:rFonts w:ascii="宋体" w:hAnsi="宋体"/>
          <w:bCs/>
          <w:color w:val="000000" w:themeColor="text1"/>
          <w:sz w:val="24"/>
          <w:szCs w:val="24"/>
          <w14:textFill>
            <w14:solidFill>
              <w14:schemeClr w14:val="tx1"/>
            </w14:solidFill>
          </w14:textFill>
        </w:rPr>
      </w:pPr>
    </w:p>
    <w:p>
      <w:pPr>
        <w:jc w:val="center"/>
        <w:rPr>
          <w:rFonts w:ascii="黑体" w:eastAsia="黑体"/>
          <w:color w:val="000000" w:themeColor="text1"/>
          <w:sz w:val="28"/>
          <w:szCs w:val="28"/>
          <w14:textFill>
            <w14:solidFill>
              <w14:schemeClr w14:val="tx1"/>
            </w14:solidFill>
          </w14:textFill>
        </w:rPr>
      </w:pPr>
      <w:r>
        <w:rPr>
          <w:rFonts w:hint="eastAsia" w:ascii="黑体" w:eastAsia="黑体" w:cs="黑体"/>
          <w:color w:val="000000" w:themeColor="text1"/>
          <w:sz w:val="28"/>
          <w:szCs w:val="28"/>
          <w14:textFill>
            <w14:solidFill>
              <w14:schemeClr w14:val="tx1"/>
            </w14:solidFill>
          </w14:textFill>
        </w:rPr>
        <w:t>六</w:t>
      </w:r>
      <w:r>
        <w:rPr>
          <w:rFonts w:ascii="黑体" w:eastAsia="黑体" w:cs="黑体"/>
          <w:color w:val="000000" w:themeColor="text1"/>
          <w:sz w:val="28"/>
          <w:szCs w:val="28"/>
          <w14:textFill>
            <w14:solidFill>
              <w14:schemeClr w14:val="tx1"/>
            </w14:solidFill>
          </w14:textFill>
        </w:rPr>
        <w:t xml:space="preserve">. </w:t>
      </w:r>
      <w:r>
        <w:rPr>
          <w:rFonts w:hint="eastAsia" w:ascii="黑体" w:eastAsia="黑体" w:cs="黑体"/>
          <w:color w:val="000000" w:themeColor="text1"/>
          <w:sz w:val="28"/>
          <w:szCs w:val="28"/>
          <w14:textFill>
            <w14:solidFill>
              <w14:schemeClr w14:val="tx1"/>
            </w14:solidFill>
          </w14:textFill>
        </w:rPr>
        <w:t>附件（投标文件格式）</w:t>
      </w:r>
    </w:p>
    <w:p>
      <w:pPr>
        <w:jc w:val="center"/>
        <w:rPr>
          <w:rFonts w:ascii="黑体" w:hAnsi="黑体" w:eastAsia="黑体"/>
          <w:color w:val="000000" w:themeColor="text1"/>
          <w:sz w:val="28"/>
          <w:szCs w:val="28"/>
          <w14:textFill>
            <w14:solidFill>
              <w14:schemeClr w14:val="tx1"/>
            </w14:solidFill>
          </w14:textFill>
        </w:rPr>
      </w:pPr>
    </w:p>
    <w:p>
      <w:pPr>
        <w:jc w:val="center"/>
        <w:rPr>
          <w:rFonts w:ascii="黑体" w:hAnsi="黑体" w:eastAsia="黑体"/>
          <w:color w:val="000000" w:themeColor="text1"/>
          <w:sz w:val="28"/>
          <w:szCs w:val="28"/>
          <w14:textFill>
            <w14:solidFill>
              <w14:schemeClr w14:val="tx1"/>
            </w14:solidFill>
          </w14:textFill>
        </w:rPr>
      </w:pPr>
    </w:p>
    <w:p>
      <w:pPr>
        <w:jc w:val="center"/>
        <w:rPr>
          <w:rFonts w:ascii="黑体" w:hAnsi="黑体" w:eastAsia="黑体"/>
          <w:color w:val="000000" w:themeColor="text1"/>
          <w:sz w:val="52"/>
          <w:szCs w:val="52"/>
          <w14:textFill>
            <w14:solidFill>
              <w14:schemeClr w14:val="tx1"/>
            </w14:solidFill>
          </w14:textFill>
        </w:rPr>
      </w:pPr>
      <w:r>
        <w:rPr>
          <w:rFonts w:hint="eastAsia" w:ascii="黑体" w:hAnsi="黑体" w:eastAsia="黑体" w:cs="黑体"/>
          <w:color w:val="000000" w:themeColor="text1"/>
          <w:sz w:val="52"/>
          <w:szCs w:val="52"/>
          <w14:textFill>
            <w14:solidFill>
              <w14:schemeClr w14:val="tx1"/>
            </w14:solidFill>
          </w14:textFill>
        </w:rPr>
        <w:t>投</w:t>
      </w:r>
    </w:p>
    <w:p>
      <w:pPr>
        <w:jc w:val="center"/>
        <w:rPr>
          <w:rFonts w:ascii="黑体" w:hAnsi="黑体" w:eastAsia="黑体"/>
          <w:color w:val="000000" w:themeColor="text1"/>
          <w:sz w:val="52"/>
          <w:szCs w:val="52"/>
          <w14:textFill>
            <w14:solidFill>
              <w14:schemeClr w14:val="tx1"/>
            </w14:solidFill>
          </w14:textFill>
        </w:rPr>
      </w:pPr>
    </w:p>
    <w:p>
      <w:pPr>
        <w:jc w:val="center"/>
        <w:rPr>
          <w:rFonts w:ascii="黑体" w:hAnsi="黑体" w:eastAsia="黑体"/>
          <w:color w:val="000000" w:themeColor="text1"/>
          <w:sz w:val="52"/>
          <w:szCs w:val="52"/>
          <w14:textFill>
            <w14:solidFill>
              <w14:schemeClr w14:val="tx1"/>
            </w14:solidFill>
          </w14:textFill>
        </w:rPr>
      </w:pPr>
      <w:r>
        <w:rPr>
          <w:rFonts w:hint="eastAsia" w:ascii="黑体" w:hAnsi="黑体" w:eastAsia="黑体" w:cs="黑体"/>
          <w:color w:val="000000" w:themeColor="text1"/>
          <w:sz w:val="52"/>
          <w:szCs w:val="52"/>
          <w14:textFill>
            <w14:solidFill>
              <w14:schemeClr w14:val="tx1"/>
            </w14:solidFill>
          </w14:textFill>
        </w:rPr>
        <w:t>标</w:t>
      </w:r>
    </w:p>
    <w:p>
      <w:pPr>
        <w:jc w:val="center"/>
        <w:rPr>
          <w:rFonts w:ascii="黑体" w:hAnsi="黑体" w:eastAsia="黑体"/>
          <w:color w:val="000000" w:themeColor="text1"/>
          <w:sz w:val="52"/>
          <w:szCs w:val="52"/>
          <w14:textFill>
            <w14:solidFill>
              <w14:schemeClr w14:val="tx1"/>
            </w14:solidFill>
          </w14:textFill>
        </w:rPr>
      </w:pPr>
    </w:p>
    <w:p>
      <w:pPr>
        <w:jc w:val="center"/>
        <w:rPr>
          <w:rFonts w:ascii="黑体" w:hAnsi="黑体" w:eastAsia="黑体"/>
          <w:color w:val="000000" w:themeColor="text1"/>
          <w:sz w:val="52"/>
          <w:szCs w:val="52"/>
          <w14:textFill>
            <w14:solidFill>
              <w14:schemeClr w14:val="tx1"/>
            </w14:solidFill>
          </w14:textFill>
        </w:rPr>
      </w:pPr>
      <w:r>
        <w:rPr>
          <w:rFonts w:hint="eastAsia" w:ascii="黑体" w:hAnsi="黑体" w:eastAsia="黑体" w:cs="黑体"/>
          <w:color w:val="000000" w:themeColor="text1"/>
          <w:sz w:val="52"/>
          <w:szCs w:val="52"/>
          <w14:textFill>
            <w14:solidFill>
              <w14:schemeClr w14:val="tx1"/>
            </w14:solidFill>
          </w14:textFill>
        </w:rPr>
        <w:t>文</w:t>
      </w:r>
    </w:p>
    <w:p>
      <w:pPr>
        <w:jc w:val="center"/>
        <w:rPr>
          <w:rFonts w:ascii="黑体" w:hAnsi="黑体" w:eastAsia="黑体"/>
          <w:color w:val="000000" w:themeColor="text1"/>
          <w:sz w:val="52"/>
          <w:szCs w:val="52"/>
          <w14:textFill>
            <w14:solidFill>
              <w14:schemeClr w14:val="tx1"/>
            </w14:solidFill>
          </w14:textFill>
        </w:rPr>
      </w:pPr>
    </w:p>
    <w:p>
      <w:pPr>
        <w:jc w:val="center"/>
        <w:rPr>
          <w:rFonts w:ascii="黑体" w:hAnsi="黑体" w:eastAsia="黑体"/>
          <w:color w:val="000000" w:themeColor="text1"/>
          <w:sz w:val="52"/>
          <w:szCs w:val="52"/>
          <w14:textFill>
            <w14:solidFill>
              <w14:schemeClr w14:val="tx1"/>
            </w14:solidFill>
          </w14:textFill>
        </w:rPr>
      </w:pPr>
      <w:r>
        <w:rPr>
          <w:rFonts w:hint="eastAsia" w:ascii="黑体" w:hAnsi="黑体" w:eastAsia="黑体" w:cs="黑体"/>
          <w:color w:val="000000" w:themeColor="text1"/>
          <w:sz w:val="52"/>
          <w:szCs w:val="52"/>
          <w14:textFill>
            <w14:solidFill>
              <w14:schemeClr w14:val="tx1"/>
            </w14:solidFill>
          </w14:textFill>
        </w:rPr>
        <w:t>件</w:t>
      </w:r>
    </w:p>
    <w:p>
      <w:pPr>
        <w:jc w:val="center"/>
        <w:rPr>
          <w:rFonts w:ascii="黑体" w:hAnsi="黑体" w:eastAsia="黑体"/>
          <w:color w:val="000000" w:themeColor="text1"/>
          <w:sz w:val="52"/>
          <w:szCs w:val="52"/>
          <w14:textFill>
            <w14:solidFill>
              <w14:schemeClr w14:val="tx1"/>
            </w14:solidFill>
          </w14:textFill>
        </w:rPr>
      </w:pPr>
    </w:p>
    <w:p>
      <w:pPr>
        <w:jc w:val="center"/>
        <w:rPr>
          <w:rFonts w:ascii="黑体" w:hAnsi="黑体" w:eastAsia="黑体"/>
          <w:color w:val="000000" w:themeColor="text1"/>
          <w:sz w:val="52"/>
          <w:szCs w:val="52"/>
          <w14:textFill>
            <w14:solidFill>
              <w14:schemeClr w14:val="tx1"/>
            </w14:solidFill>
          </w14:textFill>
        </w:rPr>
      </w:pPr>
    </w:p>
    <w:p>
      <w:pPr>
        <w:rPr>
          <w:rFonts w:ascii="宋体"/>
          <w:color w:val="000000" w:themeColor="text1"/>
          <w:sz w:val="24"/>
          <w:szCs w:val="24"/>
          <w14:textFill>
            <w14:solidFill>
              <w14:schemeClr w14:val="tx1"/>
            </w14:solidFill>
          </w14:textFill>
        </w:rPr>
      </w:pPr>
    </w:p>
    <w:p>
      <w:pPr>
        <w:ind w:firstLine="2715"/>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政府采购编号：WXWJCG2023-</w:t>
      </w:r>
    </w:p>
    <w:p>
      <w:pPr>
        <w:ind w:firstLine="2703"/>
        <w:rPr>
          <w:rFonts w:ascii="黑体" w:hAnsi="黑体" w:eastAsia="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采购项目名称：</w:t>
      </w:r>
    </w:p>
    <w:p>
      <w:pPr>
        <w:ind w:firstLine="2703"/>
        <w:rPr>
          <w:rFonts w:ascii="黑体" w:hAnsi="黑体" w:eastAsia="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投标人：</w:t>
      </w:r>
    </w:p>
    <w:p>
      <w:pPr>
        <w:ind w:firstLine="2703"/>
        <w:rPr>
          <w:rFonts w:ascii="黑体" w:hAnsi="黑体" w:eastAsia="黑体"/>
          <w:color w:val="000000" w:themeColor="text1"/>
          <w:sz w:val="28"/>
          <w:szCs w:val="28"/>
          <w14:textFill>
            <w14:solidFill>
              <w14:schemeClr w14:val="tx1"/>
            </w14:solidFill>
          </w14:textFill>
        </w:rPr>
      </w:pPr>
    </w:p>
    <w:p>
      <w:pPr>
        <w:rPr>
          <w:rFonts w:ascii="黑体" w:hAnsi="黑体" w:eastAsia="黑体"/>
          <w:color w:val="000000" w:themeColor="text1"/>
          <w:sz w:val="28"/>
          <w:szCs w:val="28"/>
          <w14:textFill>
            <w14:solidFill>
              <w14:schemeClr w14:val="tx1"/>
            </w14:solidFill>
          </w14:textFill>
        </w:rPr>
      </w:pPr>
    </w:p>
    <w:p>
      <w:pPr>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s="黑体"/>
          <w:color w:val="000000" w:themeColor="text1"/>
          <w:sz w:val="36"/>
          <w:szCs w:val="36"/>
          <w14:textFill>
            <w14:solidFill>
              <w14:schemeClr w14:val="tx1"/>
            </w14:solidFill>
          </w14:textFill>
        </w:rPr>
        <w:t>二○   年 月 日</w:t>
      </w:r>
    </w:p>
    <w:p>
      <w:pPr>
        <w:outlineLvl w:val="0"/>
        <w:rPr>
          <w:rFonts w:ascii="宋体"/>
          <w:color w:val="000000" w:themeColor="text1"/>
          <w:sz w:val="24"/>
          <w:szCs w:val="24"/>
          <w14:textFill>
            <w14:solidFill>
              <w14:schemeClr w14:val="tx1"/>
            </w14:solidFill>
          </w14:textFill>
        </w:rPr>
      </w:pPr>
      <w:bookmarkStart w:id="19" w:name="一．报价函（格式）"/>
      <w:bookmarkEnd w:id="19"/>
    </w:p>
    <w:p>
      <w:pPr>
        <w:outlineLvl w:val="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（一）投标函（格式）：</w:t>
      </w:r>
    </w:p>
    <w:p>
      <w:pPr>
        <w:outlineLvl w:val="0"/>
        <w:rPr>
          <w:rFonts w:ascii="宋体"/>
          <w:color w:val="000000" w:themeColor="text1"/>
          <w:sz w:val="24"/>
          <w:szCs w:val="24"/>
          <w14:textFill>
            <w14:solidFill>
              <w14:schemeClr w14:val="tx1"/>
            </w14:solidFill>
          </w14:textFill>
        </w:rPr>
      </w:pPr>
    </w:p>
    <w:p>
      <w:pPr>
        <w:spacing w:line="360" w:lineRule="auto"/>
        <w:jc w:val="center"/>
        <w:rPr>
          <w:rFonts w:ascii="黑体" w:hAnsi="黑体" w:eastAsia="黑体"/>
          <w:bCs/>
          <w:color w:val="000000" w:themeColor="text1"/>
          <w:sz w:val="28"/>
          <w:szCs w:val="28"/>
          <w14:textFill>
            <w14:solidFill>
              <w14:schemeClr w14:val="tx1"/>
            </w14:solidFill>
          </w14:textFill>
        </w:rPr>
      </w:pPr>
      <w:r>
        <w:rPr>
          <w:rFonts w:hint="eastAsia" w:ascii="黑体" w:hAnsi="黑体" w:eastAsia="黑体" w:cs="黑体"/>
          <w:bCs/>
          <w:color w:val="000000" w:themeColor="text1"/>
          <w:sz w:val="28"/>
          <w:szCs w:val="28"/>
          <w14:textFill>
            <w14:solidFill>
              <w14:schemeClr w14:val="tx1"/>
            </w14:solidFill>
          </w14:textFill>
        </w:rPr>
        <w:t>投标函</w:t>
      </w:r>
    </w:p>
    <w:p>
      <w:pPr>
        <w:adjustRightInd w:val="0"/>
        <w:snapToGrid w:val="0"/>
        <w:spacing w:line="36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致无锡市卫生健康综合服务中心：</w:t>
      </w:r>
    </w:p>
    <w:p>
      <w:pPr>
        <w:wordWrap w:val="0"/>
        <w:adjustRightInd w:val="0"/>
        <w:snapToGrid w:val="0"/>
        <w:spacing w:line="360" w:lineRule="auto"/>
        <w:ind w:firstLine="628" w:firstLineChars="262"/>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我方收到贵中心编号WXWJCG2023-</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招标文件，经仔细阅读和研究，我方决定参加此次项目的投标。</w:t>
      </w:r>
    </w:p>
    <w:p>
      <w:pPr>
        <w:numPr>
          <w:ilvl w:val="0"/>
          <w:numId w:val="10"/>
        </w:numPr>
        <w:tabs>
          <w:tab w:val="left" w:pos="315"/>
          <w:tab w:val="left" w:pos="840"/>
          <w:tab w:val="left" w:pos="945"/>
          <w:tab w:val="left" w:pos="1050"/>
          <w:tab w:val="left" w:pos="1260"/>
          <w:tab w:val="clear" w:pos="552"/>
        </w:tabs>
        <w:spacing w:line="360" w:lineRule="auto"/>
        <w:ind w:left="0" w:firstLine="525"/>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我方愿意按照招标文件的一切要求，提供本项目的投标，投标总价见《开标一览表》。</w:t>
      </w:r>
    </w:p>
    <w:p>
      <w:pPr>
        <w:numPr>
          <w:ilvl w:val="0"/>
          <w:numId w:val="10"/>
        </w:numPr>
        <w:tabs>
          <w:tab w:val="left" w:pos="0"/>
          <w:tab w:val="left" w:pos="315"/>
          <w:tab w:val="left" w:pos="525"/>
          <w:tab w:val="left" w:pos="840"/>
          <w:tab w:val="left" w:pos="945"/>
          <w:tab w:val="left" w:pos="1050"/>
          <w:tab w:val="clear" w:pos="552"/>
        </w:tabs>
        <w:spacing w:line="360" w:lineRule="auto"/>
        <w:ind w:left="0" w:firstLine="523" w:firstLineChars="218"/>
        <w:rPr>
          <w:rStyle w:val="52"/>
          <w:rFonts w:hAnsi="Times New Roman" w:cs="Times New Roman"/>
          <w:bCs/>
          <w:color w:val="000000" w:themeColor="text1"/>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我方愿意提供无锡市卫生健康综合服务中心在招标文件中要求的文件、资料。</w:t>
      </w:r>
    </w:p>
    <w:p>
      <w:pPr>
        <w:numPr>
          <w:ilvl w:val="0"/>
          <w:numId w:val="10"/>
        </w:numPr>
        <w:tabs>
          <w:tab w:val="left" w:pos="0"/>
          <w:tab w:val="left" w:pos="315"/>
          <w:tab w:val="left" w:pos="525"/>
          <w:tab w:val="left" w:pos="945"/>
          <w:tab w:val="left" w:pos="1050"/>
          <w:tab w:val="clear" w:pos="552"/>
        </w:tabs>
        <w:spacing w:line="360" w:lineRule="auto"/>
        <w:ind w:left="0" w:firstLine="523" w:firstLineChars="218"/>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我方同意按招标文件中的规定，本投标文件投标的有效期限为开标之日起</w:t>
      </w:r>
      <w:r>
        <w:rPr>
          <w:rFonts w:ascii="宋体" w:hAnsi="宋体"/>
          <w:bCs/>
          <w:color w:val="000000" w:themeColor="text1"/>
          <w:sz w:val="24"/>
          <w:szCs w:val="24"/>
          <w14:textFill>
            <w14:solidFill>
              <w14:schemeClr w14:val="tx1"/>
            </w14:solidFill>
          </w14:textFill>
        </w:rPr>
        <w:t>90</w:t>
      </w:r>
      <w:r>
        <w:rPr>
          <w:rFonts w:hint="eastAsia" w:ascii="宋体" w:hAnsi="宋体"/>
          <w:bCs/>
          <w:color w:val="000000" w:themeColor="text1"/>
          <w:sz w:val="24"/>
          <w:szCs w:val="24"/>
          <w14:textFill>
            <w14:solidFill>
              <w14:schemeClr w14:val="tx1"/>
            </w14:solidFill>
          </w14:textFill>
        </w:rPr>
        <w:t>天。</w:t>
      </w:r>
    </w:p>
    <w:p>
      <w:pPr>
        <w:numPr>
          <w:ilvl w:val="0"/>
          <w:numId w:val="10"/>
        </w:numPr>
        <w:tabs>
          <w:tab w:val="left" w:pos="0"/>
          <w:tab w:val="left" w:pos="315"/>
          <w:tab w:val="left" w:pos="525"/>
          <w:tab w:val="left" w:pos="945"/>
          <w:tab w:val="left" w:pos="1050"/>
          <w:tab w:val="clear" w:pos="552"/>
        </w:tabs>
        <w:spacing w:line="360" w:lineRule="auto"/>
        <w:ind w:left="0" w:firstLine="523" w:firstLineChars="218"/>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如果我方的投标文件被接受，我方将履行招标文件中规定的每一项要求，按期、按质、按量，完成交货任务。</w:t>
      </w:r>
    </w:p>
    <w:p>
      <w:pPr>
        <w:numPr>
          <w:ilvl w:val="0"/>
          <w:numId w:val="10"/>
        </w:numPr>
        <w:tabs>
          <w:tab w:val="left" w:pos="0"/>
          <w:tab w:val="left" w:pos="315"/>
          <w:tab w:val="left" w:pos="525"/>
          <w:tab w:val="left" w:pos="945"/>
          <w:tab w:val="left" w:pos="1050"/>
          <w:tab w:val="clear" w:pos="552"/>
        </w:tabs>
        <w:spacing w:line="360" w:lineRule="auto"/>
        <w:ind w:left="0" w:firstLine="523" w:firstLineChars="218"/>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我方认为贵中心有权决定中标者。</w:t>
      </w:r>
    </w:p>
    <w:p>
      <w:pPr>
        <w:numPr>
          <w:ilvl w:val="0"/>
          <w:numId w:val="10"/>
        </w:numPr>
        <w:tabs>
          <w:tab w:val="left" w:pos="0"/>
          <w:tab w:val="left" w:pos="315"/>
          <w:tab w:val="left" w:pos="525"/>
          <w:tab w:val="left" w:pos="945"/>
          <w:tab w:val="left" w:pos="1050"/>
          <w:tab w:val="clear" w:pos="552"/>
        </w:tabs>
        <w:spacing w:line="360" w:lineRule="auto"/>
        <w:ind w:left="0" w:firstLine="523" w:firstLineChars="218"/>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我方愿意遵守《中华人民共和国政府采购法》，并按《中华人民共和国民法典》、财政部《政府采购货物和服务招标投标管理办法》</w:t>
      </w:r>
      <w:r>
        <w:rPr>
          <w:rFonts w:hint="eastAsia" w:ascii="宋体" w:hAnsi="宋体"/>
          <w:color w:val="000000" w:themeColor="text1"/>
          <w:sz w:val="24"/>
          <w:szCs w:val="24"/>
          <w14:textFill>
            <w14:solidFill>
              <w14:schemeClr w14:val="tx1"/>
            </w14:solidFill>
          </w14:textFill>
        </w:rPr>
        <w:t>和</w:t>
      </w:r>
      <w:r>
        <w:rPr>
          <w:rFonts w:hint="eastAsia" w:ascii="宋体" w:hAnsi="宋体"/>
          <w:bCs/>
          <w:color w:val="000000" w:themeColor="text1"/>
          <w:sz w:val="24"/>
          <w:szCs w:val="24"/>
          <w14:textFill>
            <w14:solidFill>
              <w14:schemeClr w14:val="tx1"/>
            </w14:solidFill>
          </w14:textFill>
        </w:rPr>
        <w:t>合同条款履行自己的全部责任。</w:t>
      </w:r>
    </w:p>
    <w:p>
      <w:pPr>
        <w:numPr>
          <w:ilvl w:val="0"/>
          <w:numId w:val="10"/>
        </w:numPr>
        <w:tabs>
          <w:tab w:val="left" w:pos="0"/>
          <w:tab w:val="left" w:pos="315"/>
          <w:tab w:val="left" w:pos="525"/>
          <w:tab w:val="left" w:pos="945"/>
          <w:tab w:val="left" w:pos="1050"/>
          <w:tab w:val="clear" w:pos="552"/>
        </w:tabs>
        <w:spacing w:line="360" w:lineRule="auto"/>
        <w:ind w:left="0" w:firstLine="523" w:firstLineChars="218"/>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我方认可并遵守招标文件的所有规定，放弃对招标文件提出质疑的权利。</w:t>
      </w:r>
    </w:p>
    <w:p>
      <w:pPr>
        <w:numPr>
          <w:ilvl w:val="0"/>
          <w:numId w:val="10"/>
        </w:numPr>
        <w:tabs>
          <w:tab w:val="left" w:pos="0"/>
          <w:tab w:val="left" w:pos="315"/>
          <w:tab w:val="left" w:pos="525"/>
          <w:tab w:val="left" w:pos="945"/>
          <w:tab w:val="left" w:pos="1050"/>
          <w:tab w:val="clear" w:pos="552"/>
        </w:tabs>
        <w:spacing w:line="360" w:lineRule="auto"/>
        <w:ind w:left="0" w:firstLine="523" w:firstLineChars="218"/>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如我方在投标截止期后撤回投标及中标后拒绝遵守投标承诺或拒绝在规定的时间内与采购人签订合同，则接受政府采购监督管理部门的处理。</w:t>
      </w:r>
    </w:p>
    <w:p>
      <w:pPr>
        <w:numPr>
          <w:ilvl w:val="0"/>
          <w:numId w:val="10"/>
        </w:numPr>
        <w:tabs>
          <w:tab w:val="left" w:pos="0"/>
          <w:tab w:val="left" w:pos="315"/>
          <w:tab w:val="left" w:pos="525"/>
          <w:tab w:val="left" w:pos="945"/>
          <w:tab w:val="left" w:pos="1050"/>
          <w:tab w:val="clear" w:pos="552"/>
        </w:tabs>
        <w:spacing w:line="360" w:lineRule="auto"/>
        <w:ind w:left="0" w:firstLine="523" w:firstLineChars="218"/>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如果我方被确定为中标供应商，我方愿意</w:t>
      </w:r>
      <w:r>
        <w:rPr>
          <w:rFonts w:hint="eastAsia" w:ascii="宋体" w:hAnsi="宋体"/>
          <w:color w:val="000000" w:themeColor="text1"/>
          <w:sz w:val="24"/>
          <w:szCs w:val="24"/>
          <w14:textFill>
            <w14:solidFill>
              <w14:schemeClr w14:val="tx1"/>
            </w14:solidFill>
          </w14:textFill>
        </w:rPr>
        <w:t>向</w:t>
      </w:r>
      <w:r>
        <w:rPr>
          <w:rFonts w:hint="eastAsia" w:ascii="宋体" w:hAnsi="宋体"/>
          <w:bCs/>
          <w:color w:val="000000" w:themeColor="text1"/>
          <w:sz w:val="24"/>
          <w:szCs w:val="24"/>
          <w14:textFill>
            <w14:solidFill>
              <w14:schemeClr w14:val="tx1"/>
            </w14:solidFill>
          </w14:textFill>
        </w:rPr>
        <w:t>采购人交纳履约保证金。且我方如无不可抗力，又未履行招标文件、投标文件和合同条款的，一经查实，我方愿意赔偿由此而造成的一切损失，并同意接受按招标文件的相关要求对我方进行的处理。</w:t>
      </w:r>
    </w:p>
    <w:p>
      <w:pPr>
        <w:numPr>
          <w:ilvl w:val="0"/>
          <w:numId w:val="10"/>
        </w:numPr>
        <w:tabs>
          <w:tab w:val="left" w:pos="0"/>
          <w:tab w:val="left" w:pos="315"/>
          <w:tab w:val="left" w:pos="525"/>
          <w:tab w:val="left" w:pos="945"/>
          <w:tab w:val="left" w:pos="1050"/>
          <w:tab w:val="clear" w:pos="552"/>
        </w:tabs>
        <w:spacing w:line="360" w:lineRule="auto"/>
        <w:ind w:left="0" w:firstLine="523" w:firstLineChars="218"/>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我方决不提供虚假材料谋取中标、决不采取不正当手段诋毁、排挤其他供应商、决不与采购人、其它供应商或者无锡市卫生健康综合服务中心恶意串通、决不向采购人、无锡市卫生健康综合服务中心工作人员和评委进行商业贿赂、决不在采购过程中与采购人进行协商谈判、决不拒绝有关部门监督检查或提供虚假情况，如有违反，无条件接受贵方及相关管理部门的处罚。</w:t>
      </w:r>
    </w:p>
    <w:p>
      <w:pPr>
        <w:adjustRightInd w:val="0"/>
        <w:snapToGrid w:val="0"/>
        <w:spacing w:line="360" w:lineRule="auto"/>
        <w:ind w:firstLine="720" w:firstLineChars="300"/>
        <w:rPr>
          <w:rFonts w:ascii="宋体"/>
          <w:color w:val="000000" w:themeColor="text1"/>
          <w:sz w:val="24"/>
          <w:szCs w:val="24"/>
          <w14:textFill>
            <w14:solidFill>
              <w14:schemeClr w14:val="tx1"/>
            </w14:solidFill>
          </w14:textFill>
        </w:rPr>
      </w:pPr>
    </w:p>
    <w:p>
      <w:pPr>
        <w:adjustRightInd w:val="0"/>
        <w:snapToGrid w:val="0"/>
        <w:spacing w:line="360" w:lineRule="auto"/>
        <w:ind w:firstLine="720" w:firstLineChars="300"/>
        <w:rPr>
          <w:rFonts w:ascii="宋体"/>
          <w:color w:val="000000" w:themeColor="text1"/>
          <w:sz w:val="24"/>
          <w:szCs w:val="24"/>
          <w14:textFill>
            <w14:solidFill>
              <w14:schemeClr w14:val="tx1"/>
            </w14:solidFill>
          </w14:textFill>
        </w:rPr>
      </w:pPr>
    </w:p>
    <w:p>
      <w:pPr>
        <w:adjustRightInd w:val="0"/>
        <w:snapToGrid w:val="0"/>
        <w:spacing w:line="360" w:lineRule="auto"/>
        <w:ind w:firstLine="4800" w:firstLineChars="20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投标人（CA签章）：</w:t>
      </w:r>
    </w:p>
    <w:p>
      <w:pPr>
        <w:adjustRightInd w:val="0"/>
        <w:snapToGrid w:val="0"/>
        <w:spacing w:line="360" w:lineRule="auto"/>
        <w:ind w:firstLine="4800" w:firstLineChars="20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法定代表人或法定代表人授权代表CA签章：</w:t>
      </w:r>
    </w:p>
    <w:p>
      <w:pPr>
        <w:adjustRightInd w:val="0"/>
        <w:snapToGrid w:val="0"/>
        <w:spacing w:line="360" w:lineRule="auto"/>
        <w:ind w:firstLine="4800" w:firstLineChars="20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电话：  传真：</w:t>
      </w:r>
    </w:p>
    <w:p>
      <w:pPr>
        <w:adjustRightInd w:val="0"/>
        <w:snapToGrid w:val="0"/>
        <w:spacing w:line="360" w:lineRule="auto"/>
        <w:ind w:firstLine="4800" w:firstLineChars="20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通讯地址：  邮编：</w:t>
      </w:r>
    </w:p>
    <w:p>
      <w:pPr>
        <w:outlineLvl w:val="0"/>
        <w:rPr>
          <w:rFonts w:ascii="宋体" w:hAnsi="宋体" w:cs="宋体"/>
          <w:color w:val="000000" w:themeColor="text1"/>
          <w:sz w:val="24"/>
          <w:szCs w:val="24"/>
          <w14:textFill>
            <w14:solidFill>
              <w14:schemeClr w14:val="tx1"/>
            </w14:solidFill>
          </w14:textFill>
        </w:rPr>
      </w:pPr>
    </w:p>
    <w:p>
      <w:pPr>
        <w:outlineLvl w:val="0"/>
        <w:rPr>
          <w:rFonts w:ascii="宋体" w:hAnsi="宋体" w:cs="宋体"/>
          <w:color w:val="000000" w:themeColor="text1"/>
          <w:sz w:val="24"/>
          <w:szCs w:val="24"/>
          <w14:textFill>
            <w14:solidFill>
              <w14:schemeClr w14:val="tx1"/>
            </w14:solidFill>
          </w14:textFill>
        </w:rPr>
      </w:pPr>
    </w:p>
    <w:p>
      <w:pPr>
        <w:numPr>
          <w:ilvl w:val="0"/>
          <w:numId w:val="4"/>
        </w:numPr>
        <w:tabs>
          <w:tab w:val="left" w:pos="855"/>
        </w:tabs>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资格、资信证明文件</w:t>
      </w:r>
    </w:p>
    <w:p>
      <w:pPr>
        <w:outlineLvl w:val="0"/>
        <w:rPr>
          <w:rFonts w:ascii="宋体" w:hAnsi="宋体" w:cs="宋体"/>
          <w:color w:val="000000" w:themeColor="text1"/>
          <w:sz w:val="24"/>
          <w:szCs w:val="24"/>
          <w14:textFill>
            <w14:solidFill>
              <w14:schemeClr w14:val="tx1"/>
            </w14:solidFill>
          </w14:textFill>
        </w:rPr>
      </w:pPr>
    </w:p>
    <w:p>
      <w:pPr>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（1）（投标人）关于资格的声明函（格式）：</w:t>
      </w:r>
    </w:p>
    <w:p>
      <w:pPr>
        <w:outlineLvl w:val="0"/>
        <w:rPr>
          <w:rFonts w:ascii="宋体"/>
          <w:color w:val="000000" w:themeColor="text1"/>
          <w:sz w:val="24"/>
          <w:szCs w:val="24"/>
          <w14:textFill>
            <w14:solidFill>
              <w14:schemeClr w14:val="tx1"/>
            </w14:solidFill>
          </w14:textFill>
        </w:rPr>
      </w:pPr>
    </w:p>
    <w:p>
      <w:pPr>
        <w:adjustRightInd w:val="0"/>
        <w:snapToGrid w:val="0"/>
        <w:spacing w:line="360" w:lineRule="auto"/>
        <w:jc w:val="center"/>
        <w:outlineLvl w:val="0"/>
        <w:rPr>
          <w:rFonts w:ascii="黑体" w:hAnsi="黑体" w:eastAsia="黑体"/>
          <w:color w:val="000000" w:themeColor="text1"/>
          <w:sz w:val="28"/>
          <w:szCs w:val="28"/>
          <w14:textFill>
            <w14:solidFill>
              <w14:schemeClr w14:val="tx1"/>
            </w14:solidFill>
          </w14:textFill>
        </w:rPr>
      </w:pPr>
      <w:bookmarkStart w:id="20" w:name="报价方关于资格的声明函（格式）"/>
      <w:bookmarkEnd w:id="20"/>
      <w:r>
        <w:rPr>
          <w:rFonts w:hint="eastAsia" w:ascii="黑体" w:hAnsi="黑体" w:eastAsia="黑体" w:cs="黑体"/>
          <w:color w:val="000000" w:themeColor="text1"/>
          <w:sz w:val="28"/>
          <w:szCs w:val="28"/>
          <w14:textFill>
            <w14:solidFill>
              <w14:schemeClr w14:val="tx1"/>
            </w14:solidFill>
          </w14:textFill>
        </w:rPr>
        <w:t>关于资格的声明函</w:t>
      </w:r>
    </w:p>
    <w:p>
      <w:pPr>
        <w:adjustRightInd w:val="0"/>
        <w:snapToGrid w:val="0"/>
        <w:spacing w:line="360" w:lineRule="auto"/>
        <w:rPr>
          <w:rFonts w:ascii="宋体"/>
          <w:color w:val="000000" w:themeColor="text1"/>
          <w:sz w:val="24"/>
          <w:szCs w:val="24"/>
          <w14:textFill>
            <w14:solidFill>
              <w14:schemeClr w14:val="tx1"/>
            </w14:solidFill>
          </w14:textFill>
        </w:rPr>
      </w:pPr>
    </w:p>
    <w:p>
      <w:pPr>
        <w:adjustRightInd w:val="0"/>
        <w:snapToGrid w:val="0"/>
        <w:spacing w:line="360" w:lineRule="auto"/>
        <w:jc w:val="center"/>
        <w:rPr>
          <w:rFonts w:ascii="宋体"/>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采购项目编号</w:t>
      </w:r>
      <w:r>
        <w:rPr>
          <w:rFonts w:hint="eastAsia" w:ascii="宋体" w:hAnsi="宋体" w:cs="宋体"/>
          <w:color w:val="000000" w:themeColor="text1"/>
          <w:sz w:val="24"/>
          <w:szCs w:val="24"/>
          <w14:textFill>
            <w14:solidFill>
              <w14:schemeClr w14:val="tx1"/>
            </w14:solidFill>
          </w14:textFill>
        </w:rPr>
        <w:t>：</w:t>
      </w:r>
    </w:p>
    <w:p>
      <w:pPr>
        <w:tabs>
          <w:tab w:val="left" w:pos="6300"/>
        </w:tabs>
        <w:adjustRightInd w:val="0"/>
        <w:snapToGrid w:val="0"/>
        <w:spacing w:line="360" w:lineRule="auto"/>
        <w:jc w:val="center"/>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日期：</w:t>
      </w:r>
    </w:p>
    <w:p>
      <w:pPr>
        <w:adjustRightInd w:val="0"/>
        <w:snapToGrid w:val="0"/>
        <w:spacing w:line="360" w:lineRule="auto"/>
        <w:jc w:val="center"/>
        <w:rPr>
          <w:rFonts w:ascii="宋体"/>
          <w:color w:val="000000" w:themeColor="text1"/>
          <w:sz w:val="24"/>
          <w:szCs w:val="24"/>
          <w14:textFill>
            <w14:solidFill>
              <w14:schemeClr w14:val="tx1"/>
            </w14:solidFill>
          </w14:textFill>
        </w:rPr>
      </w:pPr>
    </w:p>
    <w:p>
      <w:pPr>
        <w:adjustRightInd w:val="0"/>
        <w:snapToGrid w:val="0"/>
        <w:spacing w:line="36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无锡市卫生健康综合服务中心：</w:t>
      </w:r>
    </w:p>
    <w:p>
      <w:pPr>
        <w:adjustRightInd w:val="0"/>
        <w:snapToGrid w:val="0"/>
        <w:spacing w:line="360" w:lineRule="auto"/>
        <w:rPr>
          <w:rFonts w:ascii="宋体"/>
          <w:color w:val="000000" w:themeColor="text1"/>
          <w:sz w:val="24"/>
          <w:szCs w:val="24"/>
          <w14:textFill>
            <w14:solidFill>
              <w14:schemeClr w14:val="tx1"/>
            </w14:solidFill>
          </w14:textFill>
        </w:rPr>
      </w:pPr>
    </w:p>
    <w:p>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我公司（单位）参加本次项目（WXWJCG2023-</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）政府采购活动前三年内，在经营活动中没有重大违法记录；未被列入失信执行人、重大税收违法案件当事人名单、政府采购严重违法失信行为记录名单.</w:t>
      </w:r>
    </w:p>
    <w:p>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我公司（单位）从未有采用</w:t>
      </w:r>
      <w:r>
        <w:rPr>
          <w:rFonts w:ascii="宋体" w:hAnsi="宋体" w:cs="宋体"/>
          <w:color w:val="000000" w:themeColor="text1"/>
          <w:sz w:val="24"/>
          <w:szCs w:val="24"/>
          <w14:textFill>
            <w14:solidFill>
              <w14:schemeClr w14:val="tx1"/>
            </w14:solidFill>
          </w14:textFill>
        </w:rPr>
        <w:t>财物或者其他手段贿赂</w:t>
      </w:r>
      <w:r>
        <w:rPr>
          <w:rFonts w:hint="eastAsia" w:ascii="宋体" w:hAnsi="宋体" w:cs="宋体"/>
          <w:color w:val="000000" w:themeColor="text1"/>
          <w:sz w:val="24"/>
          <w:szCs w:val="24"/>
          <w14:textFill>
            <w14:solidFill>
              <w14:schemeClr w14:val="tx1"/>
            </w14:solidFill>
          </w14:textFill>
        </w:rPr>
        <w:t>有关单位和个人以谋取交易机会或者竞争优势的行为发生。</w:t>
      </w:r>
    </w:p>
    <w:p>
      <w:pPr>
        <w:adjustRightInd w:val="0"/>
        <w:snapToGrid w:val="0"/>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我公司（单位）愿针对本次项目（WXWJCG2023-</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）进行投标，投标文件中所有关于投标资格的文件、证明、陈述均是真实的、准确的。若有违背，我公司（单位）愿意承担由此而产生的一切后果。</w:t>
      </w:r>
    </w:p>
    <w:p>
      <w:pPr>
        <w:adjustRightInd w:val="0"/>
        <w:snapToGrid w:val="0"/>
        <w:spacing w:line="360" w:lineRule="auto"/>
        <w:rPr>
          <w:rFonts w:ascii="宋体"/>
          <w:color w:val="000000" w:themeColor="text1"/>
          <w:sz w:val="24"/>
          <w:szCs w:val="24"/>
          <w14:textFill>
            <w14:solidFill>
              <w14:schemeClr w14:val="tx1"/>
            </w14:solidFill>
          </w14:textFill>
        </w:rPr>
      </w:pPr>
    </w:p>
    <w:p>
      <w:pPr>
        <w:adjustRightInd w:val="0"/>
        <w:snapToGrid w:val="0"/>
        <w:spacing w:line="360" w:lineRule="auto"/>
        <w:rPr>
          <w:rFonts w:ascii="宋体"/>
          <w:color w:val="000000" w:themeColor="text1"/>
          <w:sz w:val="24"/>
          <w:szCs w:val="24"/>
          <w14:textFill>
            <w14:solidFill>
              <w14:schemeClr w14:val="tx1"/>
            </w14:solidFill>
          </w14:textFill>
        </w:rPr>
      </w:pPr>
    </w:p>
    <w:p>
      <w:pPr>
        <w:adjustRightInd w:val="0"/>
        <w:snapToGrid w:val="0"/>
        <w:spacing w:line="360" w:lineRule="auto"/>
        <w:ind w:firstLine="5160" w:firstLineChars="215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投标人（CA签章）：</w:t>
      </w:r>
    </w:p>
    <w:p>
      <w:pPr>
        <w:adjustRightInd w:val="0"/>
        <w:snapToGrid w:val="0"/>
        <w:spacing w:before="5" w:line="360" w:lineRule="auto"/>
        <w:ind w:firstLine="5160" w:firstLineChars="2150"/>
        <w:rPr>
          <w:rFonts w:ascii="宋体"/>
          <w:color w:val="000000" w:themeColor="text1"/>
          <w:sz w:val="24"/>
          <w:szCs w:val="24"/>
          <w14:textFill>
            <w14:solidFill>
              <w14:schemeClr w14:val="tx1"/>
            </w14:solidFill>
          </w14:textFill>
        </w:rPr>
      </w:pPr>
      <w:r>
        <w:rPr>
          <w:rFonts w:hint="eastAsia" w:ascii="宋体" w:cs="宋体"/>
          <w:color w:val="000000" w:themeColor="text1"/>
          <w:sz w:val="24"/>
          <w:szCs w:val="24"/>
          <w14:textFill>
            <w14:solidFill>
              <w14:schemeClr w14:val="tx1"/>
            </w14:solidFill>
          </w14:textFill>
        </w:rPr>
        <w:t>法定代表人（</w:t>
      </w:r>
      <w:r>
        <w:rPr>
          <w:rFonts w:hint="eastAsia" w:ascii="宋体" w:hAnsi="宋体" w:cs="宋体"/>
          <w:color w:val="000000" w:themeColor="text1"/>
          <w:sz w:val="24"/>
          <w:szCs w:val="24"/>
          <w14:textFill>
            <w14:solidFill>
              <w14:schemeClr w14:val="tx1"/>
            </w14:solidFill>
          </w14:textFill>
        </w:rPr>
        <w:t>CA签章</w:t>
      </w:r>
      <w:r>
        <w:rPr>
          <w:rFonts w:hint="eastAsia" w:ascii="宋体" w:cs="宋体"/>
          <w:color w:val="000000" w:themeColor="text1"/>
          <w:sz w:val="24"/>
          <w:szCs w:val="24"/>
          <w14:textFill>
            <w14:solidFill>
              <w14:schemeClr w14:val="tx1"/>
            </w14:solidFill>
          </w14:textFill>
        </w:rPr>
        <w:t>）：</w:t>
      </w:r>
    </w:p>
    <w:p>
      <w:pPr>
        <w:spacing w:line="360" w:lineRule="auto"/>
        <w:outlineLvl w:val="0"/>
        <w:rPr>
          <w:rFonts w:ascii="宋体"/>
          <w:color w:val="000000" w:themeColor="text1"/>
          <w:sz w:val="24"/>
          <w:szCs w:val="24"/>
          <w14:textFill>
            <w14:solidFill>
              <w14:schemeClr w14:val="tx1"/>
            </w14:solidFill>
          </w14:textFill>
        </w:rPr>
      </w:pPr>
    </w:p>
    <w:p>
      <w:pPr>
        <w:spacing w:line="360" w:lineRule="auto"/>
        <w:outlineLvl w:val="0"/>
        <w:rPr>
          <w:rFonts w:ascii="宋体"/>
          <w:color w:val="000000" w:themeColor="text1"/>
          <w:sz w:val="24"/>
          <w:szCs w:val="24"/>
          <w14:textFill>
            <w14:solidFill>
              <w14:schemeClr w14:val="tx1"/>
            </w14:solidFill>
          </w14:textFill>
        </w:rPr>
      </w:pPr>
    </w:p>
    <w:p>
      <w:pPr>
        <w:outlineLvl w:val="0"/>
        <w:rPr>
          <w:rFonts w:ascii="宋体"/>
          <w:color w:val="000000" w:themeColor="text1"/>
          <w:sz w:val="24"/>
          <w:szCs w:val="24"/>
          <w14:textFill>
            <w14:solidFill>
              <w14:schemeClr w14:val="tx1"/>
            </w14:solidFill>
          </w14:textFill>
        </w:rPr>
      </w:pPr>
    </w:p>
    <w:p>
      <w:pPr>
        <w:ind w:firstLine="420" w:firstLineChars="200"/>
        <w:outlineLvl w:val="0"/>
        <w:rPr>
          <w:color w:val="000000" w:themeColor="text1"/>
          <w14:textFill>
            <w14:solidFill>
              <w14:schemeClr w14:val="tx1"/>
            </w14:solidFill>
          </w14:textFill>
        </w:rPr>
      </w:pPr>
      <w:r>
        <w:rPr>
          <w:rFonts w:hint="eastAsia"/>
          <w:color w:val="000000" w:themeColor="text1"/>
          <w14:textFill>
            <w14:solidFill>
              <w14:schemeClr w14:val="tx1"/>
            </w14:solidFill>
          </w14:textFill>
        </w:rPr>
        <w:t>备注：上述所称“重大违法记录”,是指供应商因违法经营受到刑事处罚或者责令停产停业、吊销许可证或者执照、较大数额罚款等行政处罚。《中华人民共和国政府采购法实施条例》第十九条第一款规定的“较大数额罚款”认定为200万元以上的罚款，法律、行政法规以及国务院有关部门明确规定相关领域“较大数额罚款”标准高于200万元的，从其规定。</w:t>
      </w: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outlineLvl w:val="0"/>
        <w:rPr>
          <w:rFonts w:ascii="宋体"/>
          <w:color w:val="000000" w:themeColor="text1"/>
          <w:sz w:val="24"/>
          <w:szCs w:val="24"/>
          <w14:textFill>
            <w14:solidFill>
              <w14:schemeClr w14:val="tx1"/>
            </w14:solidFill>
          </w14:textFill>
        </w:rPr>
      </w:pPr>
    </w:p>
    <w:p>
      <w:pPr>
        <w:outlineLvl w:val="0"/>
        <w:rPr>
          <w:rFonts w:ascii="宋体"/>
          <w:color w:val="000000" w:themeColor="text1"/>
          <w:sz w:val="24"/>
          <w:szCs w:val="24"/>
          <w14:textFill>
            <w14:solidFill>
              <w14:schemeClr w14:val="tx1"/>
            </w14:solidFill>
          </w14:textFill>
        </w:rPr>
      </w:pPr>
    </w:p>
    <w:p>
      <w:pPr>
        <w:outlineLvl w:val="0"/>
        <w:rPr>
          <w:rFonts w:ascii="宋体"/>
          <w:color w:val="000000" w:themeColor="text1"/>
          <w:sz w:val="24"/>
          <w:szCs w:val="24"/>
          <w14:textFill>
            <w14:solidFill>
              <w14:schemeClr w14:val="tx1"/>
            </w14:solidFill>
          </w14:textFill>
        </w:rPr>
      </w:pPr>
    </w:p>
    <w:p>
      <w:pPr>
        <w:outlineLvl w:val="0"/>
        <w:rPr>
          <w:rFonts w:ascii="宋体"/>
          <w:color w:val="000000" w:themeColor="text1"/>
          <w:sz w:val="24"/>
          <w:szCs w:val="24"/>
          <w14:textFill>
            <w14:solidFill>
              <w14:schemeClr w14:val="tx1"/>
            </w14:solidFill>
          </w14:textFill>
        </w:rPr>
      </w:pPr>
    </w:p>
    <w:p>
      <w:pPr>
        <w:outlineLvl w:val="0"/>
        <w:rPr>
          <w:rFonts w:ascii="宋体"/>
          <w:color w:val="000000" w:themeColor="text1"/>
          <w:sz w:val="24"/>
          <w:szCs w:val="24"/>
          <w14:textFill>
            <w14:solidFill>
              <w14:schemeClr w14:val="tx1"/>
            </w14:solidFill>
          </w14:textFill>
        </w:rPr>
      </w:pPr>
    </w:p>
    <w:p>
      <w:pPr>
        <w:adjustRightInd w:val="0"/>
        <w:spacing w:before="5" w:line="36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（2）（投标人）法定代表人授权委托书（格式）：</w:t>
      </w:r>
    </w:p>
    <w:p>
      <w:pPr>
        <w:adjustRightInd w:val="0"/>
        <w:spacing w:line="360" w:lineRule="auto"/>
        <w:jc w:val="center"/>
        <w:outlineLvl w:val="0"/>
        <w:rPr>
          <w:rFonts w:ascii="宋体"/>
          <w:color w:val="000000" w:themeColor="text1"/>
          <w:sz w:val="24"/>
          <w:szCs w:val="24"/>
          <w14:textFill>
            <w14:solidFill>
              <w14:schemeClr w14:val="tx1"/>
            </w14:solidFill>
          </w14:textFill>
        </w:rPr>
      </w:pPr>
    </w:p>
    <w:p>
      <w:pPr>
        <w:adjustRightInd w:val="0"/>
        <w:snapToGrid w:val="0"/>
        <w:spacing w:line="360" w:lineRule="auto"/>
        <w:jc w:val="center"/>
        <w:outlineLvl w:val="0"/>
        <w:rPr>
          <w:rFonts w:ascii="黑体" w:hAnsi="黑体" w:eastAsia="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法定代表人授权委托书</w:t>
      </w:r>
    </w:p>
    <w:p>
      <w:pPr>
        <w:spacing w:line="480" w:lineRule="auto"/>
        <w:ind w:firstLine="5640" w:firstLineChars="235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采购项目编号：</w:t>
      </w:r>
    </w:p>
    <w:p>
      <w:pPr>
        <w:spacing w:line="480" w:lineRule="auto"/>
        <w:ind w:firstLine="6600" w:firstLineChars="275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日期：</w:t>
      </w:r>
    </w:p>
    <w:p>
      <w:pPr>
        <w:spacing w:line="600" w:lineRule="exact"/>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无锡市卫生健康综合服务中心：</w:t>
      </w:r>
    </w:p>
    <w:p>
      <w:pPr>
        <w:spacing w:line="580" w:lineRule="exact"/>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   ）系中华人民共和国合法公司（单位），特授权（ ）代表我公司（单位）全权办理针对本项目</w:t>
      </w:r>
      <w:r>
        <w:rPr>
          <w:rFonts w:hint="eastAsia" w:ascii="宋体" w:hAnsi="宋体" w:cs="宋体"/>
          <w:color w:val="000000" w:themeColor="text1"/>
          <w:sz w:val="24"/>
          <w:szCs w:val="24"/>
          <w14:textFill>
            <w14:solidFill>
              <w14:schemeClr w14:val="tx1"/>
            </w14:solidFill>
          </w14:textFill>
        </w:rPr>
        <w:t>（WXWJCG2023-）</w:t>
      </w:r>
      <w:r>
        <w:rPr>
          <w:rFonts w:hint="eastAsia" w:ascii="宋体" w:hAnsi="宋体"/>
          <w:bCs/>
          <w:color w:val="000000" w:themeColor="text1"/>
          <w:sz w:val="24"/>
          <w:szCs w:val="24"/>
          <w14:textFill>
            <w14:solidFill>
              <w14:schemeClr w14:val="tx1"/>
            </w14:solidFill>
          </w14:textFill>
        </w:rPr>
        <w:t>的投标、参与开标、评标、签约等具体工作，并签署全部有关的文件、协议及合同。</w:t>
      </w:r>
    </w:p>
    <w:p>
      <w:pPr>
        <w:spacing w:line="580" w:lineRule="exact"/>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我公司（单位）对被授权代表的签名负全部责任。</w:t>
      </w:r>
    </w:p>
    <w:p>
      <w:pPr>
        <w:spacing w:line="580" w:lineRule="exact"/>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在撤销授权的书面通知送达你处以前，本授权书一直有效，被授权代表签署的所有文件（在授权书有效期内签署的）不因授权的撤销而失效。</w:t>
      </w:r>
    </w:p>
    <w:p>
      <w:pPr>
        <w:spacing w:line="580" w:lineRule="exact"/>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被授权代表情况：</w:t>
      </w:r>
    </w:p>
    <w:p>
      <w:pPr>
        <w:spacing w:line="580" w:lineRule="exact"/>
        <w:ind w:firstLine="525"/>
        <w:rPr>
          <w:rFonts w:ascii="宋体"/>
          <w:bCs/>
          <w:color w:val="000000" w:themeColor="text1"/>
          <w:sz w:val="24"/>
          <w:szCs w:val="24"/>
          <w:u w:val="single"/>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姓名：     性别：     身份证号：     电话：</w:t>
      </w:r>
    </w:p>
    <w:p>
      <w:pPr>
        <w:spacing w:line="580" w:lineRule="exact"/>
        <w:ind w:firstLine="5040" w:firstLineChars="21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单位名称（</w:t>
      </w:r>
      <w:r>
        <w:rPr>
          <w:rFonts w:hint="eastAsia" w:ascii="宋体" w:hAnsi="宋体" w:cs="宋体"/>
          <w:color w:val="000000" w:themeColor="text1"/>
          <w:sz w:val="24"/>
          <w:szCs w:val="24"/>
          <w14:textFill>
            <w14:solidFill>
              <w14:schemeClr w14:val="tx1"/>
            </w14:solidFill>
          </w14:textFill>
        </w:rPr>
        <w:t>CA签章</w:t>
      </w:r>
      <w:r>
        <w:rPr>
          <w:rFonts w:hint="eastAsia" w:ascii="宋体" w:hAnsi="宋体"/>
          <w:bCs/>
          <w:color w:val="000000" w:themeColor="text1"/>
          <w:sz w:val="24"/>
          <w:szCs w:val="24"/>
          <w14:textFill>
            <w14:solidFill>
              <w14:schemeClr w14:val="tx1"/>
            </w14:solidFill>
          </w14:textFill>
        </w:rPr>
        <w:t>）：</w:t>
      </w:r>
    </w:p>
    <w:p>
      <w:pPr>
        <w:spacing w:line="580" w:lineRule="exact"/>
        <w:ind w:firstLine="4800" w:firstLineChars="20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法定代表人（</w:t>
      </w:r>
      <w:r>
        <w:rPr>
          <w:rFonts w:hint="eastAsia" w:ascii="宋体" w:hAnsi="宋体" w:cs="宋体"/>
          <w:color w:val="000000" w:themeColor="text1"/>
          <w:sz w:val="24"/>
          <w:szCs w:val="24"/>
          <w14:textFill>
            <w14:solidFill>
              <w14:schemeClr w14:val="tx1"/>
            </w14:solidFill>
          </w14:textFill>
        </w:rPr>
        <w:t>CA签章</w:t>
      </w:r>
      <w:r>
        <w:rPr>
          <w:rFonts w:hint="eastAsia" w:ascii="宋体" w:hAnsi="宋体"/>
          <w:bCs/>
          <w:color w:val="000000" w:themeColor="text1"/>
          <w:sz w:val="24"/>
          <w:szCs w:val="24"/>
          <w14:textFill>
            <w14:solidFill>
              <w14:schemeClr w14:val="tx1"/>
            </w14:solidFill>
          </w14:textFill>
        </w:rPr>
        <w:t>）：</w:t>
      </w:r>
    </w:p>
    <w:p>
      <w:pPr>
        <w:spacing w:line="36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附：</w:t>
      </w:r>
    </w:p>
    <w:p>
      <w:pPr>
        <w:spacing w:line="480" w:lineRule="auto"/>
        <w:ind w:firstLine="420"/>
        <w:rPr>
          <w:rFonts w:ascii="宋体"/>
          <w:color w:val="000000" w:themeColor="text1"/>
          <w:sz w:val="24"/>
          <w:szCs w:val="24"/>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1533525</wp:posOffset>
                </wp:positionH>
                <wp:positionV relativeFrom="paragraph">
                  <wp:posOffset>62230</wp:posOffset>
                </wp:positionV>
                <wp:extent cx="2867025" cy="1348105"/>
                <wp:effectExtent l="0" t="0" r="28575" b="23495"/>
                <wp:wrapTight wrapText="bothSides">
                  <wp:wrapPolygon>
                    <wp:start x="0" y="0"/>
                    <wp:lineTo x="0" y="21671"/>
                    <wp:lineTo x="21672" y="21671"/>
                    <wp:lineTo x="21672" y="0"/>
                    <wp:lineTo x="0" y="0"/>
                  </wp:wrapPolygon>
                </wp:wrapTight>
                <wp:docPr id="2" name="Text Box 9"/>
                <wp:cNvGraphicFramePr/>
                <a:graphic xmlns:a="http://schemas.openxmlformats.org/drawingml/2006/main">
                  <a:graphicData uri="http://schemas.microsoft.com/office/word/2010/wordprocessingShape">
                    <wps:wsp>
                      <wps:cNvSpPr txBox="1">
                        <a:spLocks noChangeArrowheads="1"/>
                      </wps:cNvSpPr>
                      <wps:spPr bwMode="auto">
                        <a:xfrm>
                          <a:off x="0" y="0"/>
                          <a:ext cx="2867025" cy="1348105"/>
                        </a:xfrm>
                        <a:prstGeom prst="rect">
                          <a:avLst/>
                        </a:prstGeom>
                        <a:solidFill>
                          <a:srgbClr val="FFFFFF"/>
                        </a:solidFill>
                        <a:ln w="9525">
                          <a:solidFill>
                            <a:srgbClr val="000000"/>
                          </a:solidFill>
                          <a:miter lim="800000"/>
                        </a:ln>
                      </wps:spPr>
                      <wps:txbx>
                        <w:txbxContent>
                          <w:p>
                            <w:pPr>
                              <w:jc w:val="center"/>
                              <w:rPr>
                                <w:rFonts w:ascii="黑体" w:eastAsia="黑体"/>
                                <w:sz w:val="32"/>
                                <w:szCs w:val="32"/>
                              </w:rPr>
                            </w:pPr>
                          </w:p>
                          <w:p>
                            <w:pPr>
                              <w:jc w:val="center"/>
                              <w:rPr>
                                <w:rFonts w:ascii="黑体" w:eastAsia="黑体"/>
                                <w:sz w:val="32"/>
                                <w:szCs w:val="32"/>
                              </w:rPr>
                            </w:pPr>
                            <w:r>
                              <w:rPr>
                                <w:rFonts w:hint="eastAsia" w:ascii="黑体" w:eastAsia="黑体" w:cs="黑体"/>
                                <w:sz w:val="32"/>
                                <w:szCs w:val="32"/>
                              </w:rPr>
                              <w:t>法定代表人身份证件复印件</w:t>
                            </w:r>
                          </w:p>
                        </w:txbxContent>
                      </wps:txbx>
                      <wps:bodyPr rot="0" vert="horz" wrap="square" lIns="91440" tIns="45720" rIns="91440" bIns="45720" anchor="t" anchorCtr="0" upright="1">
                        <a:noAutofit/>
                      </wps:bodyPr>
                    </wps:wsp>
                  </a:graphicData>
                </a:graphic>
              </wp:anchor>
            </w:drawing>
          </mc:Choice>
          <mc:Fallback>
            <w:pict>
              <v:shape id="Text Box 9" o:spid="_x0000_s1026" o:spt="202" type="#_x0000_t202" style="position:absolute;left:0pt;margin-left:120.75pt;margin-top:4.9pt;height:106.15pt;width:225.75pt;mso-wrap-distance-left:9pt;mso-wrap-distance-right:9pt;z-index:-251656192;mso-width-relative:page;mso-height-relative:page;" fillcolor="#FFFFFF" filled="t" stroked="t" coordsize="21600,21600" wrapcoords="0 0 0 21671 21672 21671 21672 0 0 0" o:gfxdata="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AYlqa2AAAAAkBAAAPAAAAAAAAAAEAIAAAACIAAABkcnMvZG93bnJldi54bWxQ&#10;SwECFAAUAAAACACHTuJABIgCujACAACHBAAADgAAAAAAAAABACAAAAAnAQAAZHJzL2Uyb0RvYy54&#10;bWxQSwUGAAAAAAYABgBZAQAAyQUAAAAA&#10;">
                <v:fill on="t" focussize="0,0"/>
                <v:stroke color="#000000" miterlimit="8" joinstyle="miter"/>
                <v:imagedata o:title=""/>
                <o:lock v:ext="edit" aspectratio="f"/>
                <v:textbox>
                  <w:txbxContent>
                    <w:p>
                      <w:pPr>
                        <w:jc w:val="center"/>
                        <w:rPr>
                          <w:rFonts w:ascii="黑体" w:eastAsia="黑体"/>
                          <w:sz w:val="32"/>
                          <w:szCs w:val="32"/>
                        </w:rPr>
                      </w:pPr>
                    </w:p>
                    <w:p>
                      <w:pPr>
                        <w:jc w:val="center"/>
                        <w:rPr>
                          <w:rFonts w:ascii="黑体" w:eastAsia="黑体"/>
                          <w:sz w:val="32"/>
                          <w:szCs w:val="32"/>
                        </w:rPr>
                      </w:pPr>
                      <w:r>
                        <w:rPr>
                          <w:rFonts w:hint="eastAsia" w:ascii="黑体" w:eastAsia="黑体" w:cs="黑体"/>
                          <w:sz w:val="32"/>
                          <w:szCs w:val="32"/>
                        </w:rPr>
                        <w:t>法定代表人身份证件复印件</w:t>
                      </w:r>
                    </w:p>
                  </w:txbxContent>
                </v:textbox>
                <w10:wrap type="tight"/>
              </v:shape>
            </w:pict>
          </mc:Fallback>
        </mc:AlternateContent>
      </w:r>
    </w:p>
    <w:p>
      <w:pPr>
        <w:spacing w:line="360" w:lineRule="auto"/>
        <w:ind w:firstLine="420"/>
        <w:rPr>
          <w:rFonts w:ascii="宋体"/>
          <w:color w:val="000000" w:themeColor="text1"/>
          <w:sz w:val="24"/>
          <w:szCs w:val="24"/>
          <w14:textFill>
            <w14:solidFill>
              <w14:schemeClr w14:val="tx1"/>
            </w14:solidFill>
          </w14:textFill>
        </w:rPr>
      </w:pPr>
    </w:p>
    <w:p>
      <w:pPr>
        <w:spacing w:line="360" w:lineRule="auto"/>
        <w:ind w:firstLine="420"/>
        <w:rPr>
          <w:rFonts w:ascii="宋体"/>
          <w:color w:val="000000" w:themeColor="text1"/>
          <w:sz w:val="24"/>
          <w:szCs w:val="24"/>
          <w14:textFill>
            <w14:solidFill>
              <w14:schemeClr w14:val="tx1"/>
            </w14:solidFill>
          </w14:textFill>
        </w:rPr>
      </w:pPr>
    </w:p>
    <w:p>
      <w:pPr>
        <w:spacing w:line="360" w:lineRule="auto"/>
        <w:ind w:firstLine="420"/>
        <w:rPr>
          <w:rFonts w:ascii="宋体"/>
          <w:color w:val="000000" w:themeColor="text1"/>
          <w:sz w:val="24"/>
          <w:szCs w:val="24"/>
          <w14:textFill>
            <w14:solidFill>
              <w14:schemeClr w14:val="tx1"/>
            </w14:solidFill>
          </w14:textFill>
        </w:rPr>
      </w:pPr>
    </w:p>
    <w:p>
      <w:pPr>
        <w:spacing w:line="360" w:lineRule="auto"/>
        <w:rPr>
          <w:rFonts w:ascii="宋体"/>
          <w:color w:val="000000" w:themeColor="text1"/>
          <w:sz w:val="24"/>
          <w:szCs w:val="24"/>
          <w14:textFill>
            <w14:solidFill>
              <w14:schemeClr w14:val="tx1"/>
            </w14:solidFill>
          </w14:textFill>
        </w:rPr>
      </w:pPr>
    </w:p>
    <w:p>
      <w:pPr>
        <w:spacing w:line="360" w:lineRule="auto"/>
        <w:ind w:firstLine="420"/>
        <w:rPr>
          <w:rFonts w:ascii="宋体"/>
          <w:color w:val="000000" w:themeColor="text1"/>
          <w:sz w:val="24"/>
          <w:szCs w:val="24"/>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1533525</wp:posOffset>
                </wp:positionH>
                <wp:positionV relativeFrom="paragraph">
                  <wp:posOffset>62230</wp:posOffset>
                </wp:positionV>
                <wp:extent cx="2867025" cy="1308735"/>
                <wp:effectExtent l="0" t="0" r="28575" b="24765"/>
                <wp:wrapTight wrapText="bothSides">
                  <wp:wrapPolygon>
                    <wp:start x="0" y="0"/>
                    <wp:lineTo x="0" y="21694"/>
                    <wp:lineTo x="21672" y="21694"/>
                    <wp:lineTo x="21672" y="0"/>
                    <wp:lineTo x="0" y="0"/>
                  </wp:wrapPolygon>
                </wp:wrapTight>
                <wp:docPr id="1" name="Text Box 10"/>
                <wp:cNvGraphicFramePr/>
                <a:graphic xmlns:a="http://schemas.openxmlformats.org/drawingml/2006/main">
                  <a:graphicData uri="http://schemas.microsoft.com/office/word/2010/wordprocessingShape">
                    <wps:wsp>
                      <wps:cNvSpPr txBox="1">
                        <a:spLocks noChangeArrowheads="1"/>
                      </wps:cNvSpPr>
                      <wps:spPr bwMode="auto">
                        <a:xfrm>
                          <a:off x="0" y="0"/>
                          <a:ext cx="2867025" cy="1308735"/>
                        </a:xfrm>
                        <a:prstGeom prst="rect">
                          <a:avLst/>
                        </a:prstGeom>
                        <a:solidFill>
                          <a:srgbClr val="FFFFFF"/>
                        </a:solidFill>
                        <a:ln w="9525">
                          <a:solidFill>
                            <a:srgbClr val="000000"/>
                          </a:solidFill>
                          <a:miter lim="800000"/>
                        </a:ln>
                      </wps:spPr>
                      <wps:txbx>
                        <w:txbxContent>
                          <w:p>
                            <w:pPr>
                              <w:jc w:val="center"/>
                              <w:rPr>
                                <w:rFonts w:ascii="黑体" w:eastAsia="黑体"/>
                                <w:sz w:val="32"/>
                                <w:szCs w:val="32"/>
                              </w:rPr>
                            </w:pPr>
                          </w:p>
                          <w:p>
                            <w:pPr>
                              <w:jc w:val="center"/>
                              <w:rPr>
                                <w:rFonts w:ascii="黑体" w:eastAsia="黑体"/>
                                <w:sz w:val="32"/>
                                <w:szCs w:val="32"/>
                              </w:rPr>
                            </w:pPr>
                            <w:r>
                              <w:rPr>
                                <w:rFonts w:hint="eastAsia" w:ascii="黑体" w:eastAsia="黑体" w:cs="黑体"/>
                                <w:sz w:val="32"/>
                                <w:szCs w:val="32"/>
                              </w:rPr>
                              <w:t>被授权代表身份证件复印件</w:t>
                            </w:r>
                          </w:p>
                        </w:txbxContent>
                      </wps:txbx>
                      <wps:bodyPr rot="0" vert="horz" wrap="square" lIns="91440" tIns="45720" rIns="91440" bIns="45720" anchor="t" anchorCtr="0" upright="1">
                        <a:noAutofit/>
                      </wps:bodyPr>
                    </wps:wsp>
                  </a:graphicData>
                </a:graphic>
              </wp:anchor>
            </w:drawing>
          </mc:Choice>
          <mc:Fallback>
            <w:pict>
              <v:shape id="Text Box 10" o:spid="_x0000_s1026" o:spt="202" type="#_x0000_t202" style="position:absolute;left:0pt;margin-left:120.75pt;margin-top:4.9pt;height:103.05pt;width:225.75pt;mso-wrap-distance-left:9pt;mso-wrap-distance-right:9pt;z-index:-251656192;mso-width-relative:page;mso-height-relative:page;" fillcolor="#FFFFFF" filled="t" stroked="t" coordsize="21600,21600" wrapcoords="0 0 0 21694 21672 21694 21672 0 0 0" o:gfxdata="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tVuhCdgAAAAJAQAADwAAAAAAAAABACAAAAAiAAAAZHJzL2Rvd25yZXYueG1s&#10;UEsBAhQAFAAAAAgAh07iQDe18NQxAgAAiAQAAA4AAAAAAAAAAQAgAAAAJwEAAGRycy9lMm9Eb2Mu&#10;eG1sUEsFBgAAAAAGAAYAWQEAAMoFAAAAAA==&#10;">
                <v:fill on="t" focussize="0,0"/>
                <v:stroke color="#000000" miterlimit="8" joinstyle="miter"/>
                <v:imagedata o:title=""/>
                <o:lock v:ext="edit" aspectratio="f"/>
                <v:textbox>
                  <w:txbxContent>
                    <w:p>
                      <w:pPr>
                        <w:jc w:val="center"/>
                        <w:rPr>
                          <w:rFonts w:ascii="黑体" w:eastAsia="黑体"/>
                          <w:sz w:val="32"/>
                          <w:szCs w:val="32"/>
                        </w:rPr>
                      </w:pPr>
                    </w:p>
                    <w:p>
                      <w:pPr>
                        <w:jc w:val="center"/>
                        <w:rPr>
                          <w:rFonts w:ascii="黑体" w:eastAsia="黑体"/>
                          <w:sz w:val="32"/>
                          <w:szCs w:val="32"/>
                        </w:rPr>
                      </w:pPr>
                      <w:r>
                        <w:rPr>
                          <w:rFonts w:hint="eastAsia" w:ascii="黑体" w:eastAsia="黑体" w:cs="黑体"/>
                          <w:sz w:val="32"/>
                          <w:szCs w:val="32"/>
                        </w:rPr>
                        <w:t>被授权代表身份证件复印件</w:t>
                      </w:r>
                    </w:p>
                  </w:txbxContent>
                </v:textbox>
                <w10:wrap type="tight"/>
              </v:shape>
            </w:pict>
          </mc:Fallback>
        </mc:AlternateContent>
      </w:r>
    </w:p>
    <w:p>
      <w:pPr>
        <w:spacing w:line="360" w:lineRule="auto"/>
        <w:ind w:firstLine="420"/>
        <w:rPr>
          <w:rFonts w:ascii="宋体"/>
          <w:color w:val="000000" w:themeColor="text1"/>
          <w:sz w:val="24"/>
          <w:szCs w:val="24"/>
          <w14:textFill>
            <w14:solidFill>
              <w14:schemeClr w14:val="tx1"/>
            </w14:solidFill>
          </w14:textFill>
        </w:rPr>
      </w:pPr>
    </w:p>
    <w:p>
      <w:pPr>
        <w:spacing w:line="360" w:lineRule="auto"/>
        <w:ind w:firstLine="420"/>
        <w:rPr>
          <w:rFonts w:ascii="宋体"/>
          <w:color w:val="000000" w:themeColor="text1"/>
          <w:sz w:val="24"/>
          <w:szCs w:val="24"/>
          <w14:textFill>
            <w14:solidFill>
              <w14:schemeClr w14:val="tx1"/>
            </w14:solidFill>
          </w14:textFill>
        </w:rPr>
      </w:pPr>
    </w:p>
    <w:p>
      <w:pPr>
        <w:spacing w:line="360" w:lineRule="auto"/>
        <w:ind w:firstLine="420"/>
        <w:rPr>
          <w:rFonts w:ascii="宋体"/>
          <w:color w:val="000000" w:themeColor="text1"/>
          <w:sz w:val="24"/>
          <w:szCs w:val="24"/>
          <w14:textFill>
            <w14:solidFill>
              <w14:schemeClr w14:val="tx1"/>
            </w14:solidFill>
          </w14:textFill>
        </w:rPr>
      </w:pPr>
    </w:p>
    <w:p>
      <w:pPr>
        <w:outlineLvl w:val="0"/>
        <w:rPr>
          <w:rFonts w:ascii="宋体"/>
          <w:color w:val="000000" w:themeColor="text1"/>
          <w:sz w:val="24"/>
          <w:szCs w:val="24"/>
          <w14:textFill>
            <w14:solidFill>
              <w14:schemeClr w14:val="tx1"/>
            </w14:solidFill>
          </w14:textFill>
        </w:rPr>
      </w:pPr>
    </w:p>
    <w:p>
      <w:pPr>
        <w:outlineLvl w:val="0"/>
        <w:rPr>
          <w:rFonts w:ascii="宋体"/>
          <w:color w:val="000000" w:themeColor="text1"/>
          <w:sz w:val="24"/>
          <w:szCs w:val="24"/>
          <w14:textFill>
            <w14:solidFill>
              <w14:schemeClr w14:val="tx1"/>
            </w14:solidFill>
          </w14:textFill>
        </w:rPr>
      </w:pPr>
    </w:p>
    <w:p>
      <w:pPr>
        <w:outlineLvl w:val="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（3）制造商出具的授权函（格式）</w:t>
      </w:r>
    </w:p>
    <w:p>
      <w:pPr>
        <w:spacing w:line="360" w:lineRule="auto"/>
        <w:outlineLvl w:val="0"/>
        <w:rPr>
          <w:rFonts w:ascii="宋体"/>
          <w:color w:val="000000" w:themeColor="text1"/>
          <w:sz w:val="24"/>
          <w:szCs w:val="24"/>
          <w14:textFill>
            <w14:solidFill>
              <w14:schemeClr w14:val="tx1"/>
            </w14:solidFill>
          </w14:textFill>
        </w:rPr>
      </w:pPr>
    </w:p>
    <w:p>
      <w:pPr>
        <w:adjustRightInd w:val="0"/>
        <w:snapToGrid w:val="0"/>
        <w:spacing w:line="360" w:lineRule="auto"/>
        <w:jc w:val="center"/>
        <w:outlineLvl w:val="0"/>
        <w:rPr>
          <w:rFonts w:ascii="黑体" w:hAnsi="黑体" w:eastAsia="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制造商出具的授权函</w:t>
      </w:r>
    </w:p>
    <w:p>
      <w:pPr>
        <w:adjustRightInd w:val="0"/>
        <w:snapToGrid w:val="0"/>
        <w:spacing w:line="360" w:lineRule="auto"/>
        <w:outlineLvl w:val="0"/>
        <w:rPr>
          <w:rFonts w:ascii="宋体"/>
          <w:color w:val="000000" w:themeColor="text1"/>
          <w:sz w:val="24"/>
          <w:szCs w:val="24"/>
          <w14:textFill>
            <w14:solidFill>
              <w14:schemeClr w14:val="tx1"/>
            </w14:solidFill>
          </w14:textFill>
        </w:rPr>
      </w:pPr>
    </w:p>
    <w:p>
      <w:pPr>
        <w:adjustRightInd w:val="0"/>
        <w:snapToGrid w:val="0"/>
        <w:spacing w:line="360" w:lineRule="auto"/>
        <w:outlineLvl w:val="0"/>
        <w:rPr>
          <w:rFonts w:ascii="宋体"/>
          <w:color w:val="000000" w:themeColor="text1"/>
          <w:sz w:val="24"/>
          <w:szCs w:val="24"/>
          <w14:textFill>
            <w14:solidFill>
              <w14:schemeClr w14:val="tx1"/>
            </w14:solidFill>
          </w14:textFill>
        </w:rPr>
      </w:pPr>
      <w:r>
        <w:rPr>
          <w:rFonts w:hint="eastAsia" w:ascii="宋体" w:cs="宋体"/>
          <w:color w:val="000000" w:themeColor="text1"/>
          <w:sz w:val="24"/>
          <w:szCs w:val="24"/>
          <w14:textFill>
            <w14:solidFill>
              <w14:schemeClr w14:val="tx1"/>
            </w14:solidFill>
          </w14:textFill>
        </w:rPr>
        <w:t>致：无锡市卫生健康综合服务中心</w:t>
      </w:r>
    </w:p>
    <w:p>
      <w:pPr>
        <w:adjustRightInd w:val="0"/>
        <w:snapToGrid w:val="0"/>
        <w:spacing w:line="360" w:lineRule="auto"/>
        <w:outlineLvl w:val="0"/>
        <w:rPr>
          <w:rFonts w:ascii="宋体"/>
          <w:color w:val="000000" w:themeColor="text1"/>
          <w:sz w:val="24"/>
          <w:szCs w:val="24"/>
          <w14:textFill>
            <w14:solidFill>
              <w14:schemeClr w14:val="tx1"/>
            </w14:solidFill>
          </w14:textFill>
        </w:rPr>
      </w:pPr>
    </w:p>
    <w:p>
      <w:pPr>
        <w:adjustRightInd w:val="0"/>
        <w:snapToGrid w:val="0"/>
        <w:spacing w:line="360" w:lineRule="auto"/>
        <w:ind w:firstLine="480" w:firstLineChars="200"/>
        <w:outlineLvl w:val="0"/>
        <w:rPr>
          <w:rFonts w:ascii="宋体"/>
          <w:color w:val="000000" w:themeColor="text1"/>
          <w:sz w:val="24"/>
          <w:szCs w:val="24"/>
          <w14:textFill>
            <w14:solidFill>
              <w14:schemeClr w14:val="tx1"/>
            </w14:solidFill>
          </w14:textFill>
        </w:rPr>
      </w:pPr>
      <w:r>
        <w:rPr>
          <w:rFonts w:hint="eastAsia" w:ascii="宋体" w:cs="宋体"/>
          <w:color w:val="000000" w:themeColor="text1"/>
          <w:sz w:val="24"/>
          <w:szCs w:val="24"/>
          <w14:textFill>
            <w14:solidFill>
              <w14:schemeClr w14:val="tx1"/>
            </w14:solidFill>
          </w14:textFill>
        </w:rPr>
        <w:t>我们（</w:t>
      </w:r>
      <w:r>
        <w:rPr>
          <w:rFonts w:hint="eastAsia" w:ascii="宋体" w:cs="宋体"/>
          <w:color w:val="000000" w:themeColor="text1"/>
          <w:sz w:val="24"/>
          <w:szCs w:val="24"/>
          <w:u w:val="single"/>
          <w14:textFill>
            <w14:solidFill>
              <w14:schemeClr w14:val="tx1"/>
            </w14:solidFill>
          </w14:textFill>
        </w:rPr>
        <w:t>制造商名称</w:t>
      </w:r>
      <w:r>
        <w:rPr>
          <w:rFonts w:hint="eastAsia" w:ascii="宋体" w:cs="宋体"/>
          <w:color w:val="000000" w:themeColor="text1"/>
          <w:sz w:val="24"/>
          <w:szCs w:val="24"/>
          <w14:textFill>
            <w14:solidFill>
              <w14:schemeClr w14:val="tx1"/>
            </w14:solidFill>
          </w14:textFill>
        </w:rPr>
        <w:t>）根据（</w:t>
      </w:r>
      <w:r>
        <w:rPr>
          <w:rFonts w:hint="eastAsia" w:ascii="宋体" w:cs="宋体"/>
          <w:color w:val="000000" w:themeColor="text1"/>
          <w:sz w:val="24"/>
          <w:szCs w:val="24"/>
          <w:u w:val="single"/>
          <w14:textFill>
            <w14:solidFill>
              <w14:schemeClr w14:val="tx1"/>
            </w14:solidFill>
          </w14:textFill>
        </w:rPr>
        <w:t>国家名称</w:t>
      </w:r>
      <w:r>
        <w:rPr>
          <w:rFonts w:hint="eastAsia" w:ascii="宋体" w:cs="宋体"/>
          <w:color w:val="000000" w:themeColor="text1"/>
          <w:sz w:val="24"/>
          <w:szCs w:val="24"/>
          <w14:textFill>
            <w14:solidFill>
              <w14:schemeClr w14:val="tx1"/>
            </w14:solidFill>
          </w14:textFill>
        </w:rPr>
        <w:t>）法律正式成立的一家制造商，其主要营业地点设在（</w:t>
      </w:r>
      <w:r>
        <w:rPr>
          <w:rFonts w:hint="eastAsia" w:ascii="宋体" w:cs="宋体"/>
          <w:color w:val="000000" w:themeColor="text1"/>
          <w:sz w:val="24"/>
          <w:szCs w:val="24"/>
          <w:u w:val="single"/>
          <w14:textFill>
            <w14:solidFill>
              <w14:schemeClr w14:val="tx1"/>
            </w14:solidFill>
          </w14:textFill>
        </w:rPr>
        <w:t>制造商地址</w:t>
      </w:r>
      <w:r>
        <w:rPr>
          <w:rFonts w:hint="eastAsia" w:ascii="宋体" w:cs="宋体"/>
          <w:color w:val="000000" w:themeColor="text1"/>
          <w:sz w:val="24"/>
          <w:szCs w:val="24"/>
          <w14:textFill>
            <w14:solidFill>
              <w14:schemeClr w14:val="tx1"/>
            </w14:solidFill>
          </w14:textFill>
        </w:rPr>
        <w:t>）。兹指派按（</w:t>
      </w:r>
      <w:r>
        <w:rPr>
          <w:rFonts w:hint="eastAsia" w:ascii="宋体" w:cs="宋体"/>
          <w:color w:val="000000" w:themeColor="text1"/>
          <w:sz w:val="24"/>
          <w:szCs w:val="24"/>
          <w:u w:val="single"/>
          <w14:textFill>
            <w14:solidFill>
              <w14:schemeClr w14:val="tx1"/>
            </w14:solidFill>
          </w14:textFill>
        </w:rPr>
        <w:t>国家名称</w:t>
      </w:r>
      <w:r>
        <w:rPr>
          <w:rFonts w:hint="eastAsia" w:ascii="宋体" w:cs="宋体"/>
          <w:color w:val="000000" w:themeColor="text1"/>
          <w:sz w:val="24"/>
          <w:szCs w:val="24"/>
          <w14:textFill>
            <w14:solidFill>
              <w14:schemeClr w14:val="tx1"/>
            </w14:solidFill>
          </w14:textFill>
        </w:rPr>
        <w:t>）的法律正式成立的，其主要营业地点设在（投</w:t>
      </w:r>
      <w:r>
        <w:rPr>
          <w:rFonts w:hint="eastAsia" w:ascii="宋体" w:cs="宋体"/>
          <w:color w:val="000000" w:themeColor="text1"/>
          <w:sz w:val="24"/>
          <w:szCs w:val="24"/>
          <w:u w:val="single"/>
          <w14:textFill>
            <w14:solidFill>
              <w14:schemeClr w14:val="tx1"/>
            </w14:solidFill>
          </w14:textFill>
        </w:rPr>
        <w:t>标供应商地址</w:t>
      </w:r>
      <w:r>
        <w:rPr>
          <w:rFonts w:hint="eastAsia" w:ascii="宋体" w:cs="宋体"/>
          <w:color w:val="000000" w:themeColor="text1"/>
          <w:sz w:val="24"/>
          <w:szCs w:val="24"/>
          <w14:textFill>
            <w14:solidFill>
              <w14:schemeClr w14:val="tx1"/>
            </w14:solidFill>
          </w14:textFill>
        </w:rPr>
        <w:t>）的（</w:t>
      </w:r>
      <w:r>
        <w:rPr>
          <w:rFonts w:hint="eastAsia" w:ascii="宋体" w:cs="宋体"/>
          <w:color w:val="000000" w:themeColor="text1"/>
          <w:sz w:val="24"/>
          <w:szCs w:val="24"/>
          <w:u w:val="single"/>
          <w14:textFill>
            <w14:solidFill>
              <w14:schemeClr w14:val="tx1"/>
            </w14:solidFill>
          </w14:textFill>
        </w:rPr>
        <w:t>投标供应商名称</w:t>
      </w:r>
      <w:r>
        <w:rPr>
          <w:rFonts w:hint="eastAsia" w:ascii="宋体" w:cs="宋体"/>
          <w:color w:val="000000" w:themeColor="text1"/>
          <w:sz w:val="24"/>
          <w:szCs w:val="24"/>
          <w14:textFill>
            <w14:solidFill>
              <w14:schemeClr w14:val="tx1"/>
            </w14:solidFill>
          </w14:textFill>
        </w:rPr>
        <w:t>）作为我方真正的合法代理人进行下列有效的活动：</w:t>
      </w:r>
    </w:p>
    <w:p>
      <w:pPr>
        <w:adjustRightInd w:val="0"/>
        <w:snapToGrid w:val="0"/>
        <w:spacing w:line="360" w:lineRule="auto"/>
        <w:ind w:firstLine="480" w:firstLineChars="200"/>
        <w:outlineLvl w:val="0"/>
        <w:rPr>
          <w:rFonts w:ascii="宋体"/>
          <w:color w:val="000000" w:themeColor="text1"/>
          <w:sz w:val="24"/>
          <w:szCs w:val="24"/>
          <w14:textFill>
            <w14:solidFill>
              <w14:schemeClr w14:val="tx1"/>
            </w14:solidFill>
          </w14:textFill>
        </w:rPr>
      </w:pPr>
      <w:r>
        <w:rPr>
          <w:rFonts w:ascii="宋体" w:cs="宋体"/>
          <w:color w:val="000000" w:themeColor="text1"/>
          <w:sz w:val="24"/>
          <w:szCs w:val="24"/>
          <w14:textFill>
            <w14:solidFill>
              <w14:schemeClr w14:val="tx1"/>
            </w14:solidFill>
          </w14:textFill>
        </w:rPr>
        <w:t>1</w:t>
      </w:r>
      <w:r>
        <w:rPr>
          <w:rFonts w:hint="eastAsia" w:ascii="宋体" w:cs="宋体"/>
          <w:color w:val="000000" w:themeColor="text1"/>
          <w:sz w:val="24"/>
          <w:szCs w:val="24"/>
          <w14:textFill>
            <w14:solidFill>
              <w14:schemeClr w14:val="tx1"/>
            </w14:solidFill>
          </w14:textFill>
        </w:rPr>
        <w:t>、代表我方在中华人民共和国办理贵方（项目名称）（采购编号）要求提供的由我方制造的货物的有关事宜，并对我方具有约束力。</w:t>
      </w:r>
    </w:p>
    <w:p>
      <w:pPr>
        <w:adjustRightInd w:val="0"/>
        <w:snapToGrid w:val="0"/>
        <w:spacing w:line="360" w:lineRule="auto"/>
        <w:ind w:firstLine="480" w:firstLineChars="200"/>
        <w:outlineLvl w:val="0"/>
        <w:rPr>
          <w:rFonts w:ascii="宋体"/>
          <w:color w:val="000000" w:themeColor="text1"/>
          <w:sz w:val="24"/>
          <w:szCs w:val="24"/>
          <w14:textFill>
            <w14:solidFill>
              <w14:schemeClr w14:val="tx1"/>
            </w14:solidFill>
          </w14:textFill>
        </w:rPr>
      </w:pPr>
      <w:r>
        <w:rPr>
          <w:rFonts w:ascii="宋体" w:cs="宋体"/>
          <w:color w:val="000000" w:themeColor="text1"/>
          <w:sz w:val="24"/>
          <w:szCs w:val="24"/>
          <w14:textFill>
            <w14:solidFill>
              <w14:schemeClr w14:val="tx1"/>
            </w14:solidFill>
          </w14:textFill>
        </w:rPr>
        <w:t>2</w:t>
      </w:r>
      <w:r>
        <w:rPr>
          <w:rFonts w:hint="eastAsia" w:ascii="宋体" w:cs="宋体"/>
          <w:color w:val="000000" w:themeColor="text1"/>
          <w:sz w:val="24"/>
          <w:szCs w:val="24"/>
          <w14:textFill>
            <w14:solidFill>
              <w14:schemeClr w14:val="tx1"/>
            </w14:solidFill>
          </w14:textFill>
        </w:rPr>
        <w:t>、作为制造商，我方保证以报价合作者来约束自己，并对该报价共同和分别承担采购文件中所规定的义务。</w:t>
      </w:r>
    </w:p>
    <w:p>
      <w:pPr>
        <w:adjustRightInd w:val="0"/>
        <w:snapToGrid w:val="0"/>
        <w:spacing w:line="360" w:lineRule="auto"/>
        <w:ind w:firstLine="480" w:firstLineChars="200"/>
        <w:outlineLvl w:val="0"/>
        <w:rPr>
          <w:rFonts w:ascii="宋体"/>
          <w:color w:val="000000" w:themeColor="text1"/>
          <w:sz w:val="24"/>
          <w:szCs w:val="24"/>
          <w14:textFill>
            <w14:solidFill>
              <w14:schemeClr w14:val="tx1"/>
            </w14:solidFill>
          </w14:textFill>
        </w:rPr>
      </w:pPr>
      <w:r>
        <w:rPr>
          <w:rFonts w:ascii="宋体" w:cs="宋体"/>
          <w:color w:val="000000" w:themeColor="text1"/>
          <w:sz w:val="24"/>
          <w:szCs w:val="24"/>
          <w14:textFill>
            <w14:solidFill>
              <w14:schemeClr w14:val="tx1"/>
            </w14:solidFill>
          </w14:textFill>
        </w:rPr>
        <w:t>3</w:t>
      </w:r>
      <w:r>
        <w:rPr>
          <w:rFonts w:hint="eastAsia" w:ascii="宋体" w:cs="宋体"/>
          <w:color w:val="000000" w:themeColor="text1"/>
          <w:sz w:val="24"/>
          <w:szCs w:val="24"/>
          <w14:textFill>
            <w14:solidFill>
              <w14:schemeClr w14:val="tx1"/>
            </w14:solidFill>
          </w14:textFill>
        </w:rPr>
        <w:t>、我方兹授予（投标供应商名称）全权办理和履行上述我方为完成上述各点所必须的事宜，且有替换或撤消或另行授权的全权。兹确认（投标供应商名称）或正式授权代表依此合法办理一切事宜。</w:t>
      </w:r>
    </w:p>
    <w:p>
      <w:pPr>
        <w:adjustRightInd w:val="0"/>
        <w:snapToGrid w:val="0"/>
        <w:spacing w:line="360" w:lineRule="auto"/>
        <w:ind w:firstLine="480" w:firstLineChars="200"/>
        <w:outlineLvl w:val="0"/>
        <w:rPr>
          <w:rFonts w:ascii="宋体"/>
          <w:color w:val="000000" w:themeColor="text1"/>
          <w:sz w:val="24"/>
          <w:szCs w:val="24"/>
          <w14:textFill>
            <w14:solidFill>
              <w14:schemeClr w14:val="tx1"/>
            </w14:solidFill>
          </w14:textFill>
        </w:rPr>
      </w:pPr>
      <w:r>
        <w:rPr>
          <w:rFonts w:hint="eastAsia" w:ascii="宋体" w:cs="宋体"/>
          <w:color w:val="000000" w:themeColor="text1"/>
          <w:sz w:val="24"/>
          <w:szCs w:val="24"/>
          <w14:textFill>
            <w14:solidFill>
              <w14:schemeClr w14:val="tx1"/>
            </w14:solidFill>
          </w14:textFill>
        </w:rPr>
        <w:t>我方于年月日签署本文件，（投标供应商名称）于年月日接受此件，以此为证。</w:t>
      </w:r>
    </w:p>
    <w:p>
      <w:pPr>
        <w:adjustRightInd w:val="0"/>
        <w:snapToGrid w:val="0"/>
        <w:spacing w:line="360" w:lineRule="auto"/>
        <w:outlineLvl w:val="0"/>
        <w:rPr>
          <w:rFonts w:ascii="宋体"/>
          <w:color w:val="000000" w:themeColor="text1"/>
          <w:sz w:val="24"/>
          <w:szCs w:val="24"/>
          <w14:textFill>
            <w14:solidFill>
              <w14:schemeClr w14:val="tx1"/>
            </w14:solidFill>
          </w14:textFill>
        </w:rPr>
      </w:pPr>
    </w:p>
    <w:p>
      <w:pPr>
        <w:adjustRightInd w:val="0"/>
        <w:snapToGrid w:val="0"/>
        <w:spacing w:line="360" w:lineRule="auto"/>
        <w:outlineLvl w:val="0"/>
        <w:rPr>
          <w:rFonts w:ascii="宋体"/>
          <w:color w:val="000000" w:themeColor="text1"/>
          <w:sz w:val="24"/>
          <w:szCs w:val="24"/>
          <w14:textFill>
            <w14:solidFill>
              <w14:schemeClr w14:val="tx1"/>
            </w14:solidFill>
          </w14:textFill>
        </w:rPr>
      </w:pPr>
    </w:p>
    <w:p>
      <w:pPr>
        <w:adjustRightInd w:val="0"/>
        <w:snapToGrid w:val="0"/>
        <w:spacing w:line="360" w:lineRule="auto"/>
        <w:ind w:firstLine="4560" w:firstLineChars="1900"/>
        <w:outlineLvl w:val="0"/>
        <w:rPr>
          <w:rFonts w:ascii="宋体" w:cs="宋体"/>
          <w:color w:val="000000" w:themeColor="text1"/>
          <w:sz w:val="24"/>
          <w:szCs w:val="24"/>
          <w14:textFill>
            <w14:solidFill>
              <w14:schemeClr w14:val="tx1"/>
            </w14:solidFill>
          </w14:textFill>
        </w:rPr>
      </w:pPr>
      <w:r>
        <w:rPr>
          <w:rFonts w:hint="eastAsia" w:ascii="宋体" w:cs="宋体"/>
          <w:color w:val="000000" w:themeColor="text1"/>
          <w:sz w:val="24"/>
          <w:szCs w:val="24"/>
          <w14:textFill>
            <w14:solidFill>
              <w14:schemeClr w14:val="tx1"/>
            </w14:solidFill>
          </w14:textFill>
        </w:rPr>
        <w:t>出具授权书的制造商名称（盖章）：</w:t>
      </w:r>
    </w:p>
    <w:p>
      <w:pPr>
        <w:adjustRightInd w:val="0"/>
        <w:snapToGrid w:val="0"/>
        <w:spacing w:line="360" w:lineRule="auto"/>
        <w:ind w:firstLine="5640" w:firstLineChars="2350"/>
        <w:outlineLvl w:val="0"/>
        <w:rPr>
          <w:rFonts w:ascii="宋体"/>
          <w:color w:val="000000" w:themeColor="text1"/>
          <w:sz w:val="24"/>
          <w:szCs w:val="24"/>
          <w14:textFill>
            <w14:solidFill>
              <w14:schemeClr w14:val="tx1"/>
            </w14:solidFill>
          </w14:textFill>
        </w:rPr>
      </w:pPr>
      <w:r>
        <w:rPr>
          <w:rFonts w:hint="eastAsia" w:ascii="宋体" w:cs="宋体"/>
          <w:color w:val="000000" w:themeColor="text1"/>
          <w:sz w:val="24"/>
          <w:szCs w:val="24"/>
          <w14:textFill>
            <w14:solidFill>
              <w14:schemeClr w14:val="tx1"/>
            </w14:solidFill>
          </w14:textFill>
        </w:rPr>
        <w:t>制造商授权代表的签字：</w:t>
      </w:r>
    </w:p>
    <w:p>
      <w:pPr>
        <w:adjustRightInd w:val="0"/>
        <w:snapToGrid w:val="0"/>
        <w:spacing w:line="360" w:lineRule="auto"/>
        <w:ind w:firstLine="6120" w:firstLineChars="2550"/>
        <w:outlineLvl w:val="0"/>
        <w:rPr>
          <w:rFonts w:ascii="宋体"/>
          <w:color w:val="000000" w:themeColor="text1"/>
          <w:sz w:val="24"/>
          <w:szCs w:val="24"/>
          <w14:textFill>
            <w14:solidFill>
              <w14:schemeClr w14:val="tx1"/>
            </w14:solidFill>
          </w14:textFill>
        </w:rPr>
      </w:pPr>
      <w:r>
        <w:rPr>
          <w:rFonts w:hint="eastAsia" w:ascii="宋体" w:cs="宋体"/>
          <w:color w:val="000000" w:themeColor="text1"/>
          <w:sz w:val="24"/>
          <w:szCs w:val="24"/>
          <w14:textFill>
            <w14:solidFill>
              <w14:schemeClr w14:val="tx1"/>
            </w14:solidFill>
          </w14:textFill>
        </w:rPr>
        <w:t>姓名、职务和部门：</w:t>
      </w:r>
    </w:p>
    <w:p>
      <w:pPr>
        <w:adjustRightInd w:val="0"/>
        <w:snapToGrid w:val="0"/>
        <w:spacing w:line="360" w:lineRule="auto"/>
        <w:ind w:firstLine="7560" w:firstLineChars="3150"/>
        <w:outlineLvl w:val="0"/>
        <w:rPr>
          <w:rFonts w:ascii="宋体"/>
          <w:color w:val="000000" w:themeColor="text1"/>
          <w:sz w:val="24"/>
          <w:szCs w:val="24"/>
          <w14:textFill>
            <w14:solidFill>
              <w14:schemeClr w14:val="tx1"/>
            </w14:solidFill>
          </w14:textFill>
        </w:rPr>
      </w:pPr>
      <w:r>
        <w:rPr>
          <w:rFonts w:hint="eastAsia" w:ascii="宋体" w:cs="宋体"/>
          <w:color w:val="000000" w:themeColor="text1"/>
          <w:sz w:val="24"/>
          <w:szCs w:val="24"/>
          <w14:textFill>
            <w14:solidFill>
              <w14:schemeClr w14:val="tx1"/>
            </w14:solidFill>
          </w14:textFill>
        </w:rPr>
        <w:t>日期：</w:t>
      </w:r>
    </w:p>
    <w:p>
      <w:pPr>
        <w:spacing w:line="360" w:lineRule="auto"/>
        <w:outlineLvl w:val="0"/>
        <w:rPr>
          <w:rFonts w:ascii="宋体"/>
          <w:color w:val="000000" w:themeColor="text1"/>
          <w:sz w:val="24"/>
          <w:szCs w:val="24"/>
          <w14:textFill>
            <w14:solidFill>
              <w14:schemeClr w14:val="tx1"/>
            </w14:solidFill>
          </w14:textFill>
        </w:rPr>
      </w:pPr>
    </w:p>
    <w:p>
      <w:pPr>
        <w:spacing w:line="360" w:lineRule="auto"/>
        <w:outlineLvl w:val="0"/>
        <w:rPr>
          <w:rFonts w:ascii="宋体"/>
          <w:color w:val="000000" w:themeColor="text1"/>
          <w:sz w:val="24"/>
          <w:szCs w:val="24"/>
          <w14:textFill>
            <w14:solidFill>
              <w14:schemeClr w14:val="tx1"/>
            </w14:solidFill>
          </w14:textFill>
        </w:rPr>
      </w:pPr>
    </w:p>
    <w:p>
      <w:pPr>
        <w:spacing w:line="360" w:lineRule="auto"/>
        <w:outlineLvl w:val="0"/>
        <w:rPr>
          <w:rFonts w:ascii="宋体"/>
          <w:color w:val="000000" w:themeColor="text1"/>
          <w:sz w:val="24"/>
          <w:szCs w:val="24"/>
          <w14:textFill>
            <w14:solidFill>
              <w14:schemeClr w14:val="tx1"/>
            </w14:solidFill>
          </w14:textFill>
        </w:rPr>
      </w:pPr>
    </w:p>
    <w:p>
      <w:pPr>
        <w:spacing w:line="360" w:lineRule="auto"/>
        <w:outlineLvl w:val="0"/>
        <w:rPr>
          <w:rFonts w:ascii="宋体"/>
          <w:color w:val="000000" w:themeColor="text1"/>
          <w:sz w:val="24"/>
          <w:szCs w:val="24"/>
          <w14:textFill>
            <w14:solidFill>
              <w14:schemeClr w14:val="tx1"/>
            </w14:solidFill>
          </w14:textFill>
        </w:rPr>
      </w:pPr>
    </w:p>
    <w:p>
      <w:pPr>
        <w:spacing w:line="360" w:lineRule="auto"/>
        <w:outlineLvl w:val="0"/>
        <w:rPr>
          <w:rFonts w:ascii="宋体"/>
          <w:color w:val="000000" w:themeColor="text1"/>
          <w:sz w:val="24"/>
          <w:szCs w:val="24"/>
          <w14:textFill>
            <w14:solidFill>
              <w14:schemeClr w14:val="tx1"/>
            </w14:solidFill>
          </w14:textFill>
        </w:rPr>
      </w:pPr>
    </w:p>
    <w:p>
      <w:pPr>
        <w:spacing w:line="360" w:lineRule="auto"/>
        <w:outlineLvl w:val="0"/>
        <w:rPr>
          <w:rFonts w:ascii="宋体"/>
          <w:color w:val="000000" w:themeColor="text1"/>
          <w:sz w:val="24"/>
          <w:szCs w:val="24"/>
          <w14:textFill>
            <w14:solidFill>
              <w14:schemeClr w14:val="tx1"/>
            </w14:solidFill>
          </w14:textFill>
        </w:rPr>
      </w:pPr>
    </w:p>
    <w:p>
      <w:pPr>
        <w:spacing w:line="360" w:lineRule="auto"/>
        <w:outlineLvl w:val="0"/>
        <w:rPr>
          <w:rFonts w:ascii="宋体"/>
          <w:color w:val="000000" w:themeColor="text1"/>
          <w:sz w:val="24"/>
          <w:szCs w:val="24"/>
          <w14:textFill>
            <w14:solidFill>
              <w14:schemeClr w14:val="tx1"/>
            </w14:solidFill>
          </w14:textFill>
        </w:rPr>
      </w:pPr>
    </w:p>
    <w:p>
      <w:pPr>
        <w:spacing w:line="360" w:lineRule="auto"/>
        <w:outlineLvl w:val="0"/>
        <w:rPr>
          <w:rFonts w:ascii="宋体"/>
          <w:color w:val="000000" w:themeColor="text1"/>
          <w:sz w:val="24"/>
          <w:szCs w:val="24"/>
          <w14:textFill>
            <w14:solidFill>
              <w14:schemeClr w14:val="tx1"/>
            </w14:solidFill>
          </w14:textFill>
        </w:rPr>
      </w:pPr>
    </w:p>
    <w:p>
      <w:pPr>
        <w:spacing w:before="5"/>
        <w:rPr>
          <w:rFonts w:ascii="宋体"/>
          <w:color w:val="000000" w:themeColor="text1"/>
          <w:sz w:val="24"/>
          <w:szCs w:val="24"/>
          <w14:textFill>
            <w14:solidFill>
              <w14:schemeClr w14:val="tx1"/>
            </w14:solidFill>
          </w14:textFill>
        </w:rPr>
      </w:pPr>
    </w:p>
    <w:p>
      <w:pPr>
        <w:outlineLvl w:val="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（三）开标一览表（格式）：</w:t>
      </w:r>
    </w:p>
    <w:p>
      <w:pPr>
        <w:spacing w:line="360" w:lineRule="auto"/>
        <w:ind w:left="1080"/>
        <w:outlineLvl w:val="0"/>
        <w:rPr>
          <w:rFonts w:ascii="宋体"/>
          <w:color w:val="000000" w:themeColor="text1"/>
          <w:sz w:val="24"/>
          <w:szCs w:val="24"/>
          <w14:textFill>
            <w14:solidFill>
              <w14:schemeClr w14:val="tx1"/>
            </w14:solidFill>
          </w14:textFill>
        </w:rPr>
      </w:pPr>
    </w:p>
    <w:p>
      <w:pPr>
        <w:spacing w:line="400" w:lineRule="exact"/>
        <w:jc w:val="center"/>
        <w:outlineLvl w:val="0"/>
        <w:rPr>
          <w:rFonts w:ascii="黑体" w:hAnsi="黑体" w:eastAsia="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开标一览表</w:t>
      </w:r>
    </w:p>
    <w:p>
      <w:pPr>
        <w:spacing w:line="400" w:lineRule="exact"/>
        <w:jc w:val="center"/>
        <w:outlineLvl w:val="0"/>
        <w:rPr>
          <w:rFonts w:ascii="黑体" w:hAnsi="黑体" w:eastAsia="黑体"/>
          <w:color w:val="000000" w:themeColor="text1"/>
          <w:sz w:val="28"/>
          <w:szCs w:val="28"/>
          <w14:textFill>
            <w14:solidFill>
              <w14:schemeClr w14:val="tx1"/>
            </w14:solidFill>
          </w14:textFill>
        </w:rPr>
      </w:pPr>
    </w:p>
    <w:p>
      <w:pPr>
        <w:spacing w:line="36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投标人名称（CA签章）          单位：人民币元           </w:t>
      </w:r>
      <w:r>
        <w:rPr>
          <w:rFonts w:hint="eastAsia" w:ascii="宋体" w:hAnsi="宋体"/>
          <w:bCs/>
          <w:color w:val="000000" w:themeColor="text1"/>
          <w:sz w:val="24"/>
          <w:szCs w:val="24"/>
          <w14:textFill>
            <w14:solidFill>
              <w14:schemeClr w14:val="tx1"/>
            </w14:solidFill>
          </w14:textFill>
        </w:rPr>
        <w:t>采购项目编号：</w:t>
      </w:r>
      <w:r>
        <w:rPr>
          <w:rFonts w:hint="eastAsia" w:ascii="宋体" w:hAnsi="宋体" w:cs="宋体"/>
          <w:color w:val="000000" w:themeColor="text1"/>
          <w:sz w:val="24"/>
          <w:szCs w:val="24"/>
          <w14:textFill>
            <w14:solidFill>
              <w14:schemeClr w14:val="tx1"/>
            </w14:solidFill>
          </w14:textFill>
        </w:rPr>
        <w:t>：WXWJCG2023-</w:t>
      </w:r>
      <w:r>
        <w:rPr>
          <w:rFonts w:ascii="宋体" w:hAnsi="宋体" w:cs="宋体"/>
          <w:color w:val="000000" w:themeColor="text1"/>
          <w:sz w:val="24"/>
          <w:szCs w:val="24"/>
          <w14:textFill>
            <w14:solidFill>
              <w14:schemeClr w14:val="tx1"/>
            </w14:solidFill>
          </w14:textFill>
        </w:rPr>
        <w:t xml:space="preserve"> </w:t>
      </w:r>
    </w:p>
    <w:tbl>
      <w:tblPr>
        <w:tblStyle w:val="45"/>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1"/>
        <w:gridCol w:w="1134"/>
        <w:gridCol w:w="2126"/>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6" w:hRule="atLeast"/>
        </w:trPr>
        <w:tc>
          <w:tcPr>
            <w:tcW w:w="4211" w:type="dxa"/>
            <w:vAlign w:val="center"/>
          </w:tcPr>
          <w:p>
            <w:pPr>
              <w:spacing w:line="400" w:lineRule="exact"/>
              <w:jc w:val="center"/>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项目名称</w:t>
            </w:r>
          </w:p>
        </w:tc>
        <w:tc>
          <w:tcPr>
            <w:tcW w:w="1134" w:type="dxa"/>
            <w:vAlign w:val="center"/>
          </w:tcPr>
          <w:p>
            <w:pPr>
              <w:spacing w:line="400" w:lineRule="exact"/>
              <w:jc w:val="center"/>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数量</w:t>
            </w:r>
          </w:p>
        </w:tc>
        <w:tc>
          <w:tcPr>
            <w:tcW w:w="2126" w:type="dxa"/>
            <w:vAlign w:val="center"/>
          </w:tcPr>
          <w:p>
            <w:pPr>
              <w:spacing w:line="400" w:lineRule="exact"/>
              <w:jc w:val="center"/>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单价</w:t>
            </w:r>
          </w:p>
        </w:tc>
        <w:tc>
          <w:tcPr>
            <w:tcW w:w="2217" w:type="dxa"/>
            <w:vAlign w:val="center"/>
          </w:tcPr>
          <w:p>
            <w:pPr>
              <w:spacing w:line="400" w:lineRule="exact"/>
              <w:jc w:val="center"/>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4211" w:type="dxa"/>
            <w:vAlign w:val="center"/>
          </w:tcPr>
          <w:p>
            <w:pPr>
              <w:rPr>
                <w:rFonts w:ascii="宋体"/>
                <w:color w:val="000000" w:themeColor="text1"/>
                <w:sz w:val="22"/>
                <w14:textFill>
                  <w14:solidFill>
                    <w14:schemeClr w14:val="tx1"/>
                  </w14:solidFill>
                </w14:textFill>
              </w:rPr>
            </w:pPr>
          </w:p>
        </w:tc>
        <w:tc>
          <w:tcPr>
            <w:tcW w:w="1134" w:type="dxa"/>
            <w:vAlign w:val="center"/>
          </w:tcPr>
          <w:p>
            <w:pPr>
              <w:jc w:val="center"/>
              <w:rPr>
                <w:rFonts w:ascii="仿宋_GB2312" w:hAnsi="宋体" w:eastAsia="仿宋_GB2312"/>
                <w:color w:val="000000" w:themeColor="text1"/>
                <w:sz w:val="24"/>
                <w:szCs w:val="24"/>
                <w14:textFill>
                  <w14:solidFill>
                    <w14:schemeClr w14:val="tx1"/>
                  </w14:solidFill>
                </w14:textFill>
              </w:rPr>
            </w:pPr>
          </w:p>
        </w:tc>
        <w:tc>
          <w:tcPr>
            <w:tcW w:w="2126" w:type="dxa"/>
            <w:vAlign w:val="center"/>
          </w:tcPr>
          <w:p>
            <w:pPr>
              <w:jc w:val="left"/>
              <w:rPr>
                <w:rFonts w:ascii="宋体"/>
                <w:color w:val="000000" w:themeColor="text1"/>
                <w:sz w:val="24"/>
                <w:szCs w:val="24"/>
                <w14:textFill>
                  <w14:solidFill>
                    <w14:schemeClr w14:val="tx1"/>
                  </w14:solidFill>
                </w14:textFill>
              </w:rPr>
            </w:pPr>
          </w:p>
        </w:tc>
        <w:tc>
          <w:tcPr>
            <w:tcW w:w="2217" w:type="dxa"/>
            <w:vAlign w:val="center"/>
          </w:tcPr>
          <w:p>
            <w:pPr>
              <w:jc w:val="left"/>
              <w:rPr>
                <w:rFonts w:asci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4211" w:type="dxa"/>
            <w:vAlign w:val="center"/>
          </w:tcPr>
          <w:p>
            <w:pPr>
              <w:rPr>
                <w:rFonts w:ascii="宋体"/>
                <w:color w:val="000000" w:themeColor="text1"/>
                <w:sz w:val="22"/>
                <w14:textFill>
                  <w14:solidFill>
                    <w14:schemeClr w14:val="tx1"/>
                  </w14:solidFill>
                </w14:textFill>
              </w:rPr>
            </w:pPr>
          </w:p>
        </w:tc>
        <w:tc>
          <w:tcPr>
            <w:tcW w:w="1134" w:type="dxa"/>
            <w:vAlign w:val="center"/>
          </w:tcPr>
          <w:p>
            <w:pPr>
              <w:jc w:val="center"/>
              <w:rPr>
                <w:rFonts w:ascii="仿宋_GB2312" w:hAnsi="宋体" w:eastAsia="仿宋_GB2312"/>
                <w:b/>
                <w:bCs/>
                <w:color w:val="000000" w:themeColor="text1"/>
                <w:sz w:val="24"/>
                <w:szCs w:val="24"/>
                <w14:textFill>
                  <w14:solidFill>
                    <w14:schemeClr w14:val="tx1"/>
                  </w14:solidFill>
                </w14:textFill>
              </w:rPr>
            </w:pPr>
          </w:p>
        </w:tc>
        <w:tc>
          <w:tcPr>
            <w:tcW w:w="2126" w:type="dxa"/>
            <w:vAlign w:val="center"/>
          </w:tcPr>
          <w:p>
            <w:pPr>
              <w:jc w:val="left"/>
              <w:rPr>
                <w:rFonts w:ascii="宋体"/>
                <w:color w:val="000000" w:themeColor="text1"/>
                <w:sz w:val="24"/>
                <w:szCs w:val="24"/>
                <w14:textFill>
                  <w14:solidFill>
                    <w14:schemeClr w14:val="tx1"/>
                  </w14:solidFill>
                </w14:textFill>
              </w:rPr>
            </w:pPr>
          </w:p>
        </w:tc>
        <w:tc>
          <w:tcPr>
            <w:tcW w:w="2217" w:type="dxa"/>
            <w:vAlign w:val="center"/>
          </w:tcPr>
          <w:p>
            <w:pPr>
              <w:jc w:val="left"/>
              <w:rPr>
                <w:rFonts w:asci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9688" w:type="dxa"/>
            <w:gridSpan w:val="4"/>
            <w:vAlign w:val="center"/>
          </w:tcPr>
          <w:p>
            <w:pPr>
              <w:jc w:val="left"/>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投标总价  大写：                     小写：</w:t>
            </w:r>
          </w:p>
        </w:tc>
      </w:tr>
    </w:tbl>
    <w:p>
      <w:pPr>
        <w:spacing w:before="5" w:line="360" w:lineRule="auto"/>
        <w:rPr>
          <w:rFonts w:ascii="宋体"/>
          <w:color w:val="000000" w:themeColor="text1"/>
          <w:sz w:val="24"/>
          <w:szCs w:val="24"/>
          <w14:textFill>
            <w14:solidFill>
              <w14:schemeClr w14:val="tx1"/>
            </w14:solidFill>
          </w14:textFill>
        </w:rPr>
      </w:pPr>
    </w:p>
    <w:p>
      <w:pPr>
        <w:spacing w:before="5" w:line="360" w:lineRule="auto"/>
        <w:rPr>
          <w:rFonts w:ascii="宋体"/>
          <w:color w:val="000000" w:themeColor="text1"/>
          <w:sz w:val="24"/>
          <w:szCs w:val="24"/>
          <w14:textFill>
            <w14:solidFill>
              <w14:schemeClr w14:val="tx1"/>
            </w14:solidFill>
          </w14:textFill>
        </w:rPr>
      </w:pPr>
    </w:p>
    <w:p>
      <w:pPr>
        <w:spacing w:before="5" w:line="360" w:lineRule="auto"/>
        <w:ind w:firstLine="1920" w:firstLineChars="8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法定代表人或法定代表人授权代表CA签章：</w:t>
      </w:r>
    </w:p>
    <w:p>
      <w:pPr>
        <w:outlineLvl w:val="0"/>
        <w:rPr>
          <w:rFonts w:ascii="宋体"/>
          <w:color w:val="000000" w:themeColor="text1"/>
          <w:sz w:val="24"/>
          <w:szCs w:val="24"/>
          <w14:textFill>
            <w14:solidFill>
              <w14:schemeClr w14:val="tx1"/>
            </w14:solidFill>
          </w14:textFill>
        </w:rPr>
      </w:pPr>
    </w:p>
    <w:p>
      <w:pPr>
        <w:spacing w:before="5"/>
        <w:rPr>
          <w:rFonts w:ascii="宋体"/>
          <w:color w:val="000000" w:themeColor="text1"/>
          <w:sz w:val="24"/>
          <w:szCs w:val="24"/>
          <w14:textFill>
            <w14:solidFill>
              <w14:schemeClr w14:val="tx1"/>
            </w14:solidFill>
          </w14:textFill>
        </w:rPr>
      </w:pPr>
    </w:p>
    <w:p>
      <w:pPr>
        <w:spacing w:before="5"/>
        <w:rPr>
          <w:rFonts w:ascii="宋体"/>
          <w:color w:val="000000" w:themeColor="text1"/>
          <w:sz w:val="24"/>
          <w:szCs w:val="24"/>
          <w14:textFill>
            <w14:solidFill>
              <w14:schemeClr w14:val="tx1"/>
            </w14:solidFill>
          </w14:textFill>
        </w:rPr>
      </w:pPr>
    </w:p>
    <w:p>
      <w:pPr>
        <w:spacing w:before="5"/>
        <w:rPr>
          <w:rFonts w:ascii="宋体"/>
          <w:color w:val="000000" w:themeColor="text1"/>
          <w:sz w:val="24"/>
          <w:szCs w:val="24"/>
          <w14:textFill>
            <w14:solidFill>
              <w14:schemeClr w14:val="tx1"/>
            </w14:solidFill>
          </w14:textFill>
        </w:rPr>
      </w:pPr>
    </w:p>
    <w:p>
      <w:pPr>
        <w:spacing w:before="5"/>
        <w:rPr>
          <w:rFonts w:ascii="宋体"/>
          <w:color w:val="000000" w:themeColor="text1"/>
          <w:sz w:val="24"/>
          <w:szCs w:val="24"/>
          <w14:textFill>
            <w14:solidFill>
              <w14:schemeClr w14:val="tx1"/>
            </w14:solidFill>
          </w14:textFill>
        </w:rPr>
      </w:pPr>
    </w:p>
    <w:p>
      <w:pPr>
        <w:spacing w:before="5"/>
        <w:rPr>
          <w:rFonts w:ascii="宋体"/>
          <w:color w:val="000000" w:themeColor="text1"/>
          <w:sz w:val="24"/>
          <w:szCs w:val="24"/>
          <w14:textFill>
            <w14:solidFill>
              <w14:schemeClr w14:val="tx1"/>
            </w14:solidFill>
          </w14:textFill>
        </w:rPr>
      </w:pPr>
    </w:p>
    <w:p>
      <w:pPr>
        <w:spacing w:before="5"/>
        <w:rPr>
          <w:rFonts w:ascii="宋体"/>
          <w:color w:val="000000" w:themeColor="text1"/>
          <w:sz w:val="24"/>
          <w:szCs w:val="24"/>
          <w14:textFill>
            <w14:solidFill>
              <w14:schemeClr w14:val="tx1"/>
            </w14:solidFill>
          </w14:textFill>
        </w:rPr>
      </w:pPr>
    </w:p>
    <w:p>
      <w:pPr>
        <w:spacing w:before="5"/>
        <w:rPr>
          <w:rFonts w:ascii="宋体"/>
          <w:color w:val="000000" w:themeColor="text1"/>
          <w:sz w:val="24"/>
          <w:szCs w:val="24"/>
          <w14:textFill>
            <w14:solidFill>
              <w14:schemeClr w14:val="tx1"/>
            </w14:solidFill>
          </w14:textFill>
        </w:rPr>
      </w:pPr>
    </w:p>
    <w:p>
      <w:pPr>
        <w:spacing w:before="5"/>
        <w:rPr>
          <w:rFonts w:ascii="宋体"/>
          <w:color w:val="000000" w:themeColor="text1"/>
          <w:sz w:val="24"/>
          <w:szCs w:val="24"/>
          <w14:textFill>
            <w14:solidFill>
              <w14:schemeClr w14:val="tx1"/>
            </w14:solidFill>
          </w14:textFill>
        </w:rPr>
      </w:pPr>
    </w:p>
    <w:p>
      <w:pPr>
        <w:spacing w:before="5"/>
        <w:rPr>
          <w:rFonts w:ascii="宋体"/>
          <w:color w:val="000000" w:themeColor="text1"/>
          <w:sz w:val="24"/>
          <w:szCs w:val="24"/>
          <w14:textFill>
            <w14:solidFill>
              <w14:schemeClr w14:val="tx1"/>
            </w14:solidFill>
          </w14:textFill>
        </w:rPr>
      </w:pPr>
    </w:p>
    <w:p>
      <w:pPr>
        <w:spacing w:before="5"/>
        <w:rPr>
          <w:rFonts w:ascii="宋体"/>
          <w:color w:val="000000" w:themeColor="text1"/>
          <w:sz w:val="24"/>
          <w:szCs w:val="24"/>
          <w14:textFill>
            <w14:solidFill>
              <w14:schemeClr w14:val="tx1"/>
            </w14:solidFill>
          </w14:textFill>
        </w:rPr>
      </w:pPr>
    </w:p>
    <w:p>
      <w:pPr>
        <w:spacing w:before="5"/>
        <w:rPr>
          <w:rFonts w:ascii="宋体"/>
          <w:color w:val="000000" w:themeColor="text1"/>
          <w:sz w:val="24"/>
          <w:szCs w:val="24"/>
          <w14:textFill>
            <w14:solidFill>
              <w14:schemeClr w14:val="tx1"/>
            </w14:solidFill>
          </w14:textFill>
        </w:rPr>
      </w:pPr>
    </w:p>
    <w:p>
      <w:pPr>
        <w:spacing w:before="5"/>
        <w:rPr>
          <w:rFonts w:ascii="宋体"/>
          <w:color w:val="000000" w:themeColor="text1"/>
          <w:sz w:val="24"/>
          <w:szCs w:val="24"/>
          <w14:textFill>
            <w14:solidFill>
              <w14:schemeClr w14:val="tx1"/>
            </w14:solidFill>
          </w14:textFill>
        </w:rPr>
      </w:pPr>
    </w:p>
    <w:p>
      <w:pPr>
        <w:spacing w:before="5"/>
        <w:rPr>
          <w:rFonts w:ascii="宋体"/>
          <w:color w:val="000000" w:themeColor="text1"/>
          <w:sz w:val="24"/>
          <w:szCs w:val="24"/>
          <w14:textFill>
            <w14:solidFill>
              <w14:schemeClr w14:val="tx1"/>
            </w14:solidFill>
          </w14:textFill>
        </w:rPr>
      </w:pPr>
    </w:p>
    <w:p>
      <w:pPr>
        <w:spacing w:before="5"/>
        <w:rPr>
          <w:rFonts w:ascii="宋体"/>
          <w:color w:val="000000" w:themeColor="text1"/>
          <w:sz w:val="24"/>
          <w:szCs w:val="24"/>
          <w14:textFill>
            <w14:solidFill>
              <w14:schemeClr w14:val="tx1"/>
            </w14:solidFill>
          </w14:textFill>
        </w:rPr>
      </w:pPr>
    </w:p>
    <w:p>
      <w:pPr>
        <w:spacing w:before="5"/>
        <w:rPr>
          <w:rFonts w:ascii="宋体"/>
          <w:color w:val="000000" w:themeColor="text1"/>
          <w:sz w:val="24"/>
          <w:szCs w:val="24"/>
          <w14:textFill>
            <w14:solidFill>
              <w14:schemeClr w14:val="tx1"/>
            </w14:solidFill>
          </w14:textFill>
        </w:rPr>
      </w:pPr>
    </w:p>
    <w:p>
      <w:pPr>
        <w:spacing w:before="5"/>
        <w:rPr>
          <w:rFonts w:ascii="宋体"/>
          <w:color w:val="000000" w:themeColor="text1"/>
          <w:sz w:val="24"/>
          <w:szCs w:val="24"/>
          <w14:textFill>
            <w14:solidFill>
              <w14:schemeClr w14:val="tx1"/>
            </w14:solidFill>
          </w14:textFill>
        </w:rPr>
      </w:pPr>
    </w:p>
    <w:p>
      <w:pPr>
        <w:spacing w:before="5"/>
        <w:rPr>
          <w:rFonts w:ascii="宋体"/>
          <w:color w:val="000000" w:themeColor="text1"/>
          <w:sz w:val="24"/>
          <w:szCs w:val="24"/>
          <w14:textFill>
            <w14:solidFill>
              <w14:schemeClr w14:val="tx1"/>
            </w14:solidFill>
          </w14:textFill>
        </w:rPr>
      </w:pPr>
    </w:p>
    <w:p>
      <w:pPr>
        <w:spacing w:before="5"/>
        <w:rPr>
          <w:rFonts w:ascii="宋体"/>
          <w:color w:val="000000" w:themeColor="text1"/>
          <w:sz w:val="24"/>
          <w:szCs w:val="24"/>
          <w14:textFill>
            <w14:solidFill>
              <w14:schemeClr w14:val="tx1"/>
            </w14:solidFill>
          </w14:textFill>
        </w:rPr>
      </w:pPr>
    </w:p>
    <w:p>
      <w:pPr>
        <w:spacing w:before="5"/>
        <w:rPr>
          <w:rFonts w:ascii="宋体"/>
          <w:color w:val="000000" w:themeColor="text1"/>
          <w:sz w:val="24"/>
          <w:szCs w:val="24"/>
          <w14:textFill>
            <w14:solidFill>
              <w14:schemeClr w14:val="tx1"/>
            </w14:solidFill>
          </w14:textFill>
        </w:rPr>
      </w:pPr>
    </w:p>
    <w:p>
      <w:pPr>
        <w:spacing w:before="5"/>
        <w:rPr>
          <w:rFonts w:ascii="宋体"/>
          <w:color w:val="000000" w:themeColor="text1"/>
          <w:sz w:val="24"/>
          <w:szCs w:val="24"/>
          <w14:textFill>
            <w14:solidFill>
              <w14:schemeClr w14:val="tx1"/>
            </w14:solidFill>
          </w14:textFill>
        </w:rPr>
      </w:pPr>
    </w:p>
    <w:p>
      <w:pPr>
        <w:spacing w:before="5"/>
        <w:rPr>
          <w:rFonts w:ascii="宋体"/>
          <w:color w:val="000000" w:themeColor="text1"/>
          <w:sz w:val="24"/>
          <w:szCs w:val="24"/>
          <w14:textFill>
            <w14:solidFill>
              <w14:schemeClr w14:val="tx1"/>
            </w14:solidFill>
          </w14:textFill>
        </w:rPr>
      </w:pPr>
    </w:p>
    <w:p>
      <w:pPr>
        <w:spacing w:before="5"/>
        <w:rPr>
          <w:rFonts w:ascii="宋体"/>
          <w:color w:val="000000" w:themeColor="text1"/>
          <w:sz w:val="24"/>
          <w:szCs w:val="24"/>
          <w14:textFill>
            <w14:solidFill>
              <w14:schemeClr w14:val="tx1"/>
            </w14:solidFill>
          </w14:textFill>
        </w:rPr>
      </w:pPr>
    </w:p>
    <w:p>
      <w:pPr>
        <w:spacing w:before="5"/>
        <w:rPr>
          <w:rFonts w:ascii="宋体"/>
          <w:color w:val="000000" w:themeColor="text1"/>
          <w:sz w:val="24"/>
          <w:szCs w:val="24"/>
          <w14:textFill>
            <w14:solidFill>
              <w14:schemeClr w14:val="tx1"/>
            </w14:solidFill>
          </w14:textFill>
        </w:rPr>
      </w:pPr>
    </w:p>
    <w:p>
      <w:pPr>
        <w:spacing w:before="5"/>
        <w:rPr>
          <w:rFonts w:ascii="宋体"/>
          <w:color w:val="000000" w:themeColor="text1"/>
          <w:sz w:val="24"/>
          <w:szCs w:val="24"/>
          <w14:textFill>
            <w14:solidFill>
              <w14:schemeClr w14:val="tx1"/>
            </w14:solidFill>
          </w14:textFill>
        </w:rPr>
      </w:pPr>
    </w:p>
    <w:p>
      <w:pPr>
        <w:spacing w:before="5"/>
        <w:rPr>
          <w:rFonts w:ascii="宋体"/>
          <w:color w:val="000000" w:themeColor="text1"/>
          <w:sz w:val="24"/>
          <w:szCs w:val="24"/>
          <w14:textFill>
            <w14:solidFill>
              <w14:schemeClr w14:val="tx1"/>
            </w14:solidFill>
          </w14:textFill>
        </w:rPr>
      </w:pPr>
    </w:p>
    <w:p>
      <w:pPr>
        <w:outlineLvl w:val="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（四）细目报价表（格式）：</w:t>
      </w:r>
    </w:p>
    <w:p>
      <w:pPr>
        <w:outlineLvl w:val="0"/>
        <w:rPr>
          <w:rFonts w:ascii="宋体"/>
          <w:color w:val="000000" w:themeColor="text1"/>
          <w:sz w:val="24"/>
          <w:szCs w:val="24"/>
          <w14:textFill>
            <w14:solidFill>
              <w14:schemeClr w14:val="tx1"/>
            </w14:solidFill>
          </w14:textFill>
        </w:rPr>
      </w:pPr>
    </w:p>
    <w:p>
      <w:pPr>
        <w:spacing w:line="400" w:lineRule="exact"/>
        <w:jc w:val="center"/>
        <w:outlineLvl w:val="0"/>
        <w:rPr>
          <w:rFonts w:ascii="黑体" w:hAnsi="黑体" w:eastAsia="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细目报价表</w:t>
      </w:r>
    </w:p>
    <w:p>
      <w:pPr>
        <w:spacing w:line="400" w:lineRule="exact"/>
        <w:jc w:val="center"/>
        <w:outlineLvl w:val="0"/>
        <w:rPr>
          <w:rFonts w:ascii="黑体" w:hAnsi="黑体" w:eastAsia="黑体"/>
          <w:color w:val="000000" w:themeColor="text1"/>
          <w:sz w:val="28"/>
          <w:szCs w:val="28"/>
          <w14:textFill>
            <w14:solidFill>
              <w14:schemeClr w14:val="tx1"/>
            </w14:solidFill>
          </w14:textFill>
        </w:rPr>
      </w:pPr>
    </w:p>
    <w:p>
      <w:pPr>
        <w:spacing w:line="400" w:lineRule="exact"/>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投标人名称（CA签章）                          </w:t>
      </w:r>
      <w:r>
        <w:rPr>
          <w:rFonts w:hint="eastAsia" w:ascii="宋体" w:hAnsi="宋体"/>
          <w:bCs/>
          <w:color w:val="000000" w:themeColor="text1"/>
          <w:sz w:val="24"/>
          <w:szCs w:val="24"/>
          <w14:textFill>
            <w14:solidFill>
              <w14:schemeClr w14:val="tx1"/>
            </w14:solidFill>
          </w14:textFill>
        </w:rPr>
        <w:t>采购项目编号：</w:t>
      </w:r>
      <w:r>
        <w:rPr>
          <w:rFonts w:hint="eastAsia" w:ascii="宋体" w:hAnsi="宋体" w:cs="宋体"/>
          <w:color w:val="000000" w:themeColor="text1"/>
          <w:sz w:val="24"/>
          <w:szCs w:val="24"/>
          <w14:textFill>
            <w14:solidFill>
              <w14:schemeClr w14:val="tx1"/>
            </w14:solidFill>
          </w14:textFill>
        </w:rPr>
        <w:t>WXWJCG2023-</w:t>
      </w:r>
      <w:r>
        <w:rPr>
          <w:rFonts w:ascii="宋体" w:hAnsi="宋体" w:cs="宋体"/>
          <w:color w:val="000000" w:themeColor="text1"/>
          <w:sz w:val="24"/>
          <w:szCs w:val="24"/>
          <w14:textFill>
            <w14:solidFill>
              <w14:schemeClr w14:val="tx1"/>
            </w14:solidFill>
          </w14:textFill>
        </w:rPr>
        <w:t xml:space="preserve"> </w:t>
      </w:r>
    </w:p>
    <w:tbl>
      <w:tblPr>
        <w:tblStyle w:val="45"/>
        <w:tblW w:w="10311"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1"/>
        <w:gridCol w:w="1559"/>
        <w:gridCol w:w="638"/>
        <w:gridCol w:w="638"/>
        <w:gridCol w:w="992"/>
        <w:gridCol w:w="992"/>
        <w:gridCol w:w="992"/>
        <w:gridCol w:w="992"/>
        <w:gridCol w:w="992"/>
        <w:gridCol w:w="993"/>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8" w:hRule="atLeast"/>
        </w:trPr>
        <w:tc>
          <w:tcPr>
            <w:tcW w:w="531" w:type="dxa"/>
            <w:noWrap/>
            <w:tcMar>
              <w:top w:w="15" w:type="dxa"/>
              <w:left w:w="15" w:type="dxa"/>
              <w:bottom w:w="0" w:type="dxa"/>
              <w:right w:w="15" w:type="dxa"/>
            </w:tcMar>
            <w:vAlign w:val="center"/>
          </w:tcPr>
          <w:p>
            <w:pPr>
              <w:spacing w:before="5" w:line="360" w:lineRule="auto"/>
              <w:jc w:val="center"/>
              <w:rPr>
                <w:rFonts w:ascii="宋体" w:hAnsi="宋体"/>
                <w:color w:val="000000" w:themeColor="text1"/>
                <w:sz w:val="24"/>
                <w:szCs w:val="24"/>
                <w:u w:color="FF0000"/>
                <w14:textFill>
                  <w14:solidFill>
                    <w14:schemeClr w14:val="tx1"/>
                  </w14:solidFill>
                </w14:textFill>
              </w:rPr>
            </w:pPr>
            <w:r>
              <w:rPr>
                <w:rFonts w:hint="eastAsia" w:ascii="宋体" w:hAnsi="宋体"/>
                <w:color w:val="000000" w:themeColor="text1"/>
                <w:sz w:val="24"/>
                <w:szCs w:val="24"/>
                <w:u w:color="FF0000"/>
                <w14:textFill>
                  <w14:solidFill>
                    <w14:schemeClr w14:val="tx1"/>
                  </w14:solidFill>
                </w14:textFill>
              </w:rPr>
              <w:t>序号</w:t>
            </w:r>
          </w:p>
        </w:tc>
        <w:tc>
          <w:tcPr>
            <w:tcW w:w="1559" w:type="dxa"/>
            <w:tcMar>
              <w:top w:w="15" w:type="dxa"/>
              <w:left w:w="15" w:type="dxa"/>
              <w:bottom w:w="0" w:type="dxa"/>
              <w:right w:w="15" w:type="dxa"/>
            </w:tcMar>
            <w:vAlign w:val="center"/>
          </w:tcPr>
          <w:p>
            <w:pPr>
              <w:spacing w:before="5" w:line="360" w:lineRule="auto"/>
              <w:jc w:val="center"/>
              <w:rPr>
                <w:rFonts w:ascii="宋体" w:hAnsi="宋体"/>
                <w:color w:val="000000" w:themeColor="text1"/>
                <w:sz w:val="24"/>
                <w:szCs w:val="24"/>
                <w:u w:color="FF0000"/>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名称</w:t>
            </w:r>
          </w:p>
        </w:tc>
        <w:tc>
          <w:tcPr>
            <w:tcW w:w="638" w:type="dxa"/>
            <w:noWrap/>
            <w:tcMar>
              <w:top w:w="15" w:type="dxa"/>
              <w:left w:w="15" w:type="dxa"/>
              <w:bottom w:w="0" w:type="dxa"/>
              <w:right w:w="15" w:type="dxa"/>
            </w:tcMar>
            <w:vAlign w:val="center"/>
          </w:tcPr>
          <w:p>
            <w:pPr>
              <w:spacing w:before="5"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u w:color="FF0000"/>
                <w14:textFill>
                  <w14:solidFill>
                    <w14:schemeClr w14:val="tx1"/>
                  </w14:solidFill>
                </w14:textFill>
              </w:rPr>
              <w:t>品牌</w:t>
            </w:r>
          </w:p>
        </w:tc>
        <w:tc>
          <w:tcPr>
            <w:tcW w:w="638" w:type="dxa"/>
            <w:tcMar>
              <w:top w:w="15" w:type="dxa"/>
              <w:left w:w="15" w:type="dxa"/>
              <w:bottom w:w="0" w:type="dxa"/>
              <w:right w:w="15" w:type="dxa"/>
            </w:tcMar>
            <w:vAlign w:val="center"/>
          </w:tcPr>
          <w:p>
            <w:pPr>
              <w:spacing w:before="5"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u w:color="FF0000"/>
                <w14:textFill>
                  <w14:solidFill>
                    <w14:schemeClr w14:val="tx1"/>
                  </w14:solidFill>
                </w14:textFill>
              </w:rPr>
              <w:t>型号</w:t>
            </w:r>
          </w:p>
        </w:tc>
        <w:tc>
          <w:tcPr>
            <w:tcW w:w="992" w:type="dxa"/>
            <w:tcMar>
              <w:top w:w="15" w:type="dxa"/>
              <w:left w:w="15" w:type="dxa"/>
              <w:bottom w:w="0" w:type="dxa"/>
              <w:right w:w="15" w:type="dxa"/>
            </w:tcMar>
            <w:vAlign w:val="center"/>
          </w:tcPr>
          <w:p>
            <w:pPr>
              <w:spacing w:before="5"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数量</w:t>
            </w:r>
          </w:p>
        </w:tc>
        <w:tc>
          <w:tcPr>
            <w:tcW w:w="992" w:type="dxa"/>
            <w:noWrap/>
            <w:tcMar>
              <w:top w:w="15" w:type="dxa"/>
              <w:left w:w="15" w:type="dxa"/>
              <w:bottom w:w="0" w:type="dxa"/>
              <w:right w:w="15" w:type="dxa"/>
            </w:tcMar>
            <w:vAlign w:val="center"/>
          </w:tcPr>
          <w:p>
            <w:pPr>
              <w:spacing w:before="5"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生产</w:t>
            </w:r>
          </w:p>
          <w:p>
            <w:pPr>
              <w:spacing w:before="5"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厂家</w:t>
            </w:r>
          </w:p>
        </w:tc>
        <w:tc>
          <w:tcPr>
            <w:tcW w:w="992" w:type="dxa"/>
            <w:vAlign w:val="center"/>
          </w:tcPr>
          <w:p>
            <w:pPr>
              <w:spacing w:before="5"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产地</w:t>
            </w:r>
          </w:p>
        </w:tc>
        <w:tc>
          <w:tcPr>
            <w:tcW w:w="992" w:type="dxa"/>
            <w:vAlign w:val="center"/>
          </w:tcPr>
          <w:p>
            <w:pPr>
              <w:spacing w:before="5"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是否中小企业</w:t>
            </w:r>
          </w:p>
        </w:tc>
        <w:tc>
          <w:tcPr>
            <w:tcW w:w="992" w:type="dxa"/>
            <w:vAlign w:val="center"/>
          </w:tcPr>
          <w:p>
            <w:pPr>
              <w:spacing w:before="5"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免费</w:t>
            </w:r>
          </w:p>
          <w:p>
            <w:pPr>
              <w:spacing w:before="5"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质保期</w:t>
            </w:r>
          </w:p>
        </w:tc>
        <w:tc>
          <w:tcPr>
            <w:tcW w:w="993" w:type="dxa"/>
            <w:vAlign w:val="center"/>
          </w:tcPr>
          <w:p>
            <w:pPr>
              <w:spacing w:before="5"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单报价</w:t>
            </w:r>
          </w:p>
        </w:tc>
        <w:tc>
          <w:tcPr>
            <w:tcW w:w="992" w:type="dxa"/>
            <w:vAlign w:val="center"/>
          </w:tcPr>
          <w:p>
            <w:pPr>
              <w:spacing w:before="5"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分项总报价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6" w:hRule="atLeast"/>
        </w:trPr>
        <w:tc>
          <w:tcPr>
            <w:tcW w:w="531" w:type="dxa"/>
            <w:noWrap/>
            <w:tcMar>
              <w:top w:w="15" w:type="dxa"/>
              <w:left w:w="15" w:type="dxa"/>
              <w:bottom w:w="0" w:type="dxa"/>
              <w:right w:w="15" w:type="dxa"/>
            </w:tcMar>
            <w:vAlign w:val="center"/>
          </w:tcPr>
          <w:p>
            <w:pPr>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p>
        </w:tc>
        <w:tc>
          <w:tcPr>
            <w:tcW w:w="1559" w:type="dxa"/>
            <w:tcMar>
              <w:top w:w="15" w:type="dxa"/>
              <w:left w:w="15" w:type="dxa"/>
              <w:bottom w:w="0" w:type="dxa"/>
              <w:right w:w="15" w:type="dxa"/>
            </w:tcMar>
            <w:vAlign w:val="center"/>
          </w:tcPr>
          <w:p>
            <w:pPr>
              <w:spacing w:line="360" w:lineRule="auto"/>
              <w:rPr>
                <w:rFonts w:ascii="宋体" w:hAnsi="宋体"/>
                <w:color w:val="000000" w:themeColor="text1"/>
                <w:sz w:val="24"/>
                <w:szCs w:val="24"/>
                <w14:textFill>
                  <w14:solidFill>
                    <w14:schemeClr w14:val="tx1"/>
                  </w14:solidFill>
                </w14:textFill>
              </w:rPr>
            </w:pPr>
          </w:p>
        </w:tc>
        <w:tc>
          <w:tcPr>
            <w:tcW w:w="638" w:type="dxa"/>
            <w:tcMar>
              <w:top w:w="15" w:type="dxa"/>
              <w:left w:w="15" w:type="dxa"/>
              <w:bottom w:w="0" w:type="dxa"/>
              <w:right w:w="15" w:type="dxa"/>
            </w:tcMar>
            <w:vAlign w:val="center"/>
          </w:tcPr>
          <w:p>
            <w:pPr>
              <w:spacing w:line="360" w:lineRule="auto"/>
              <w:rPr>
                <w:rFonts w:ascii="宋体" w:hAnsi="宋体"/>
                <w:bCs/>
                <w:color w:val="000000" w:themeColor="text1"/>
                <w:sz w:val="24"/>
                <w:szCs w:val="24"/>
                <w14:textFill>
                  <w14:solidFill>
                    <w14:schemeClr w14:val="tx1"/>
                  </w14:solidFill>
                </w14:textFill>
              </w:rPr>
            </w:pPr>
          </w:p>
        </w:tc>
        <w:tc>
          <w:tcPr>
            <w:tcW w:w="638" w:type="dxa"/>
            <w:tcMar>
              <w:top w:w="15" w:type="dxa"/>
              <w:left w:w="15" w:type="dxa"/>
              <w:bottom w:w="0" w:type="dxa"/>
              <w:right w:w="15" w:type="dxa"/>
            </w:tcMar>
            <w:vAlign w:val="center"/>
          </w:tcPr>
          <w:p>
            <w:pPr>
              <w:spacing w:line="360" w:lineRule="auto"/>
              <w:rPr>
                <w:rFonts w:ascii="宋体" w:hAnsi="宋体"/>
                <w:bCs/>
                <w:color w:val="000000" w:themeColor="text1"/>
                <w:sz w:val="24"/>
                <w:szCs w:val="24"/>
                <w14:textFill>
                  <w14:solidFill>
                    <w14:schemeClr w14:val="tx1"/>
                  </w14:solidFill>
                </w14:textFill>
              </w:rPr>
            </w:pPr>
          </w:p>
        </w:tc>
        <w:tc>
          <w:tcPr>
            <w:tcW w:w="992" w:type="dxa"/>
            <w:tcMar>
              <w:top w:w="15" w:type="dxa"/>
              <w:left w:w="15" w:type="dxa"/>
              <w:bottom w:w="0" w:type="dxa"/>
              <w:right w:w="15" w:type="dxa"/>
            </w:tcMar>
            <w:vAlign w:val="center"/>
          </w:tcPr>
          <w:p>
            <w:pPr>
              <w:spacing w:line="360" w:lineRule="auto"/>
              <w:jc w:val="center"/>
              <w:rPr>
                <w:rFonts w:ascii="宋体" w:hAnsi="宋体"/>
                <w:color w:val="000000" w:themeColor="text1"/>
                <w:sz w:val="24"/>
                <w:szCs w:val="24"/>
                <w14:textFill>
                  <w14:solidFill>
                    <w14:schemeClr w14:val="tx1"/>
                  </w14:solidFill>
                </w14:textFill>
              </w:rPr>
            </w:pPr>
          </w:p>
        </w:tc>
        <w:tc>
          <w:tcPr>
            <w:tcW w:w="992" w:type="dxa"/>
            <w:noWrap/>
            <w:tcMar>
              <w:top w:w="15" w:type="dxa"/>
              <w:left w:w="15" w:type="dxa"/>
              <w:bottom w:w="0" w:type="dxa"/>
              <w:right w:w="15" w:type="dxa"/>
            </w:tcMar>
            <w:vAlign w:val="center"/>
          </w:tcPr>
          <w:p>
            <w:pPr>
              <w:spacing w:line="360" w:lineRule="auto"/>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　</w:t>
            </w:r>
          </w:p>
        </w:tc>
        <w:tc>
          <w:tcPr>
            <w:tcW w:w="992" w:type="dxa"/>
          </w:tcPr>
          <w:p>
            <w:pPr>
              <w:spacing w:line="360" w:lineRule="auto"/>
              <w:jc w:val="center"/>
              <w:rPr>
                <w:rFonts w:ascii="宋体" w:hAnsi="宋体"/>
                <w:bCs/>
                <w:color w:val="000000" w:themeColor="text1"/>
                <w:sz w:val="24"/>
                <w:szCs w:val="24"/>
                <w14:textFill>
                  <w14:solidFill>
                    <w14:schemeClr w14:val="tx1"/>
                  </w14:solidFill>
                </w14:textFill>
              </w:rPr>
            </w:pPr>
          </w:p>
        </w:tc>
        <w:tc>
          <w:tcPr>
            <w:tcW w:w="992" w:type="dxa"/>
            <w:vAlign w:val="center"/>
          </w:tcPr>
          <w:p>
            <w:pPr>
              <w:spacing w:line="360" w:lineRule="auto"/>
              <w:jc w:val="center"/>
              <w:rPr>
                <w:rFonts w:ascii="宋体" w:hAnsi="宋体"/>
                <w:bCs/>
                <w:color w:val="000000" w:themeColor="text1"/>
                <w:sz w:val="24"/>
                <w:szCs w:val="24"/>
                <w14:textFill>
                  <w14:solidFill>
                    <w14:schemeClr w14:val="tx1"/>
                  </w14:solidFill>
                </w14:textFill>
              </w:rPr>
            </w:pPr>
          </w:p>
        </w:tc>
        <w:tc>
          <w:tcPr>
            <w:tcW w:w="992" w:type="dxa"/>
            <w:vAlign w:val="center"/>
          </w:tcPr>
          <w:p>
            <w:pPr>
              <w:spacing w:line="360" w:lineRule="auto"/>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　</w:t>
            </w:r>
          </w:p>
        </w:tc>
        <w:tc>
          <w:tcPr>
            <w:tcW w:w="993" w:type="dxa"/>
            <w:vAlign w:val="center"/>
          </w:tcPr>
          <w:p>
            <w:pPr>
              <w:spacing w:line="360" w:lineRule="auto"/>
              <w:jc w:val="center"/>
              <w:rPr>
                <w:rFonts w:ascii="宋体" w:hAnsi="宋体"/>
                <w:bCs/>
                <w:color w:val="000000" w:themeColor="text1"/>
                <w:sz w:val="24"/>
                <w:szCs w:val="24"/>
                <w14:textFill>
                  <w14:solidFill>
                    <w14:schemeClr w14:val="tx1"/>
                  </w14:solidFill>
                </w14:textFill>
              </w:rPr>
            </w:pPr>
          </w:p>
        </w:tc>
        <w:tc>
          <w:tcPr>
            <w:tcW w:w="992" w:type="dxa"/>
            <w:vAlign w:val="center"/>
          </w:tcPr>
          <w:p>
            <w:pPr>
              <w:spacing w:line="360" w:lineRule="auto"/>
              <w:jc w:val="center"/>
              <w:rPr>
                <w:rFonts w:ascii="宋体" w:hAnsi="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6" w:hRule="atLeast"/>
        </w:trPr>
        <w:tc>
          <w:tcPr>
            <w:tcW w:w="531" w:type="dxa"/>
            <w:noWrap/>
            <w:tcMar>
              <w:top w:w="15" w:type="dxa"/>
              <w:left w:w="15" w:type="dxa"/>
              <w:bottom w:w="0" w:type="dxa"/>
              <w:right w:w="15" w:type="dxa"/>
            </w:tcMar>
            <w:vAlign w:val="center"/>
          </w:tcPr>
          <w:p>
            <w:pPr>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w:t>
            </w:r>
          </w:p>
        </w:tc>
        <w:tc>
          <w:tcPr>
            <w:tcW w:w="1559" w:type="dxa"/>
            <w:tcMar>
              <w:top w:w="15" w:type="dxa"/>
              <w:left w:w="15" w:type="dxa"/>
              <w:bottom w:w="0" w:type="dxa"/>
              <w:right w:w="15" w:type="dxa"/>
            </w:tcMar>
            <w:vAlign w:val="center"/>
          </w:tcPr>
          <w:p>
            <w:pPr>
              <w:spacing w:line="360" w:lineRule="auto"/>
              <w:rPr>
                <w:rFonts w:ascii="宋体" w:hAnsi="宋体"/>
                <w:color w:val="000000" w:themeColor="text1"/>
                <w:sz w:val="24"/>
                <w:szCs w:val="24"/>
                <w14:textFill>
                  <w14:solidFill>
                    <w14:schemeClr w14:val="tx1"/>
                  </w14:solidFill>
                </w14:textFill>
              </w:rPr>
            </w:pPr>
          </w:p>
        </w:tc>
        <w:tc>
          <w:tcPr>
            <w:tcW w:w="638" w:type="dxa"/>
            <w:tcMar>
              <w:top w:w="15" w:type="dxa"/>
              <w:left w:w="15" w:type="dxa"/>
              <w:bottom w:w="0" w:type="dxa"/>
              <w:right w:w="15" w:type="dxa"/>
            </w:tcMar>
            <w:vAlign w:val="center"/>
          </w:tcPr>
          <w:p>
            <w:pPr>
              <w:spacing w:line="360" w:lineRule="auto"/>
              <w:rPr>
                <w:rFonts w:ascii="宋体" w:hAnsi="宋体"/>
                <w:bCs/>
                <w:color w:val="000000" w:themeColor="text1"/>
                <w:sz w:val="24"/>
                <w:szCs w:val="24"/>
                <w14:textFill>
                  <w14:solidFill>
                    <w14:schemeClr w14:val="tx1"/>
                  </w14:solidFill>
                </w14:textFill>
              </w:rPr>
            </w:pPr>
          </w:p>
        </w:tc>
        <w:tc>
          <w:tcPr>
            <w:tcW w:w="638" w:type="dxa"/>
            <w:tcMar>
              <w:top w:w="15" w:type="dxa"/>
              <w:left w:w="15" w:type="dxa"/>
              <w:bottom w:w="0" w:type="dxa"/>
              <w:right w:w="15" w:type="dxa"/>
            </w:tcMar>
            <w:vAlign w:val="center"/>
          </w:tcPr>
          <w:p>
            <w:pPr>
              <w:spacing w:line="360" w:lineRule="auto"/>
              <w:rPr>
                <w:rFonts w:ascii="宋体" w:hAnsi="宋体"/>
                <w:bCs/>
                <w:color w:val="000000" w:themeColor="text1"/>
                <w:sz w:val="24"/>
                <w:szCs w:val="24"/>
                <w14:textFill>
                  <w14:solidFill>
                    <w14:schemeClr w14:val="tx1"/>
                  </w14:solidFill>
                </w14:textFill>
              </w:rPr>
            </w:pPr>
          </w:p>
        </w:tc>
        <w:tc>
          <w:tcPr>
            <w:tcW w:w="992" w:type="dxa"/>
            <w:tcMar>
              <w:top w:w="15" w:type="dxa"/>
              <w:left w:w="15" w:type="dxa"/>
              <w:bottom w:w="0" w:type="dxa"/>
              <w:right w:w="15" w:type="dxa"/>
            </w:tcMar>
            <w:vAlign w:val="center"/>
          </w:tcPr>
          <w:p>
            <w:pPr>
              <w:spacing w:line="360" w:lineRule="auto"/>
              <w:jc w:val="center"/>
              <w:rPr>
                <w:rFonts w:ascii="宋体" w:hAnsi="宋体"/>
                <w:color w:val="000000" w:themeColor="text1"/>
                <w:sz w:val="24"/>
                <w:szCs w:val="24"/>
                <w14:textFill>
                  <w14:solidFill>
                    <w14:schemeClr w14:val="tx1"/>
                  </w14:solidFill>
                </w14:textFill>
              </w:rPr>
            </w:pPr>
          </w:p>
        </w:tc>
        <w:tc>
          <w:tcPr>
            <w:tcW w:w="992" w:type="dxa"/>
            <w:noWrap/>
            <w:tcMar>
              <w:top w:w="15" w:type="dxa"/>
              <w:left w:w="15" w:type="dxa"/>
              <w:bottom w:w="0" w:type="dxa"/>
              <w:right w:w="15" w:type="dxa"/>
            </w:tcMar>
            <w:vAlign w:val="center"/>
          </w:tcPr>
          <w:p>
            <w:pPr>
              <w:spacing w:line="360" w:lineRule="auto"/>
              <w:jc w:val="center"/>
              <w:rPr>
                <w:rFonts w:ascii="宋体" w:hAnsi="宋体"/>
                <w:bCs/>
                <w:color w:val="000000" w:themeColor="text1"/>
                <w:sz w:val="24"/>
                <w:szCs w:val="24"/>
                <w14:textFill>
                  <w14:solidFill>
                    <w14:schemeClr w14:val="tx1"/>
                  </w14:solidFill>
                </w14:textFill>
              </w:rPr>
            </w:pPr>
          </w:p>
        </w:tc>
        <w:tc>
          <w:tcPr>
            <w:tcW w:w="992" w:type="dxa"/>
          </w:tcPr>
          <w:p>
            <w:pPr>
              <w:spacing w:line="360" w:lineRule="auto"/>
              <w:jc w:val="center"/>
              <w:rPr>
                <w:rFonts w:ascii="宋体" w:hAnsi="宋体"/>
                <w:bCs/>
                <w:color w:val="000000" w:themeColor="text1"/>
                <w:sz w:val="24"/>
                <w:szCs w:val="24"/>
                <w14:textFill>
                  <w14:solidFill>
                    <w14:schemeClr w14:val="tx1"/>
                  </w14:solidFill>
                </w14:textFill>
              </w:rPr>
            </w:pPr>
          </w:p>
        </w:tc>
        <w:tc>
          <w:tcPr>
            <w:tcW w:w="992" w:type="dxa"/>
            <w:vAlign w:val="center"/>
          </w:tcPr>
          <w:p>
            <w:pPr>
              <w:spacing w:line="360" w:lineRule="auto"/>
              <w:jc w:val="center"/>
              <w:rPr>
                <w:rFonts w:ascii="宋体" w:hAnsi="宋体"/>
                <w:bCs/>
                <w:color w:val="000000" w:themeColor="text1"/>
                <w:sz w:val="24"/>
                <w:szCs w:val="24"/>
                <w14:textFill>
                  <w14:solidFill>
                    <w14:schemeClr w14:val="tx1"/>
                  </w14:solidFill>
                </w14:textFill>
              </w:rPr>
            </w:pPr>
          </w:p>
        </w:tc>
        <w:tc>
          <w:tcPr>
            <w:tcW w:w="992" w:type="dxa"/>
            <w:vAlign w:val="center"/>
          </w:tcPr>
          <w:p>
            <w:pPr>
              <w:spacing w:line="360" w:lineRule="auto"/>
              <w:jc w:val="center"/>
              <w:rPr>
                <w:rFonts w:ascii="宋体" w:hAnsi="宋体"/>
                <w:bCs/>
                <w:color w:val="000000" w:themeColor="text1"/>
                <w:sz w:val="24"/>
                <w:szCs w:val="24"/>
                <w14:textFill>
                  <w14:solidFill>
                    <w14:schemeClr w14:val="tx1"/>
                  </w14:solidFill>
                </w14:textFill>
              </w:rPr>
            </w:pPr>
          </w:p>
        </w:tc>
        <w:tc>
          <w:tcPr>
            <w:tcW w:w="993" w:type="dxa"/>
            <w:vAlign w:val="center"/>
          </w:tcPr>
          <w:p>
            <w:pPr>
              <w:spacing w:line="360" w:lineRule="auto"/>
              <w:jc w:val="center"/>
              <w:rPr>
                <w:rFonts w:ascii="宋体" w:hAnsi="宋体"/>
                <w:bCs/>
                <w:color w:val="000000" w:themeColor="text1"/>
                <w:sz w:val="24"/>
                <w:szCs w:val="24"/>
                <w14:textFill>
                  <w14:solidFill>
                    <w14:schemeClr w14:val="tx1"/>
                  </w14:solidFill>
                </w14:textFill>
              </w:rPr>
            </w:pPr>
          </w:p>
        </w:tc>
        <w:tc>
          <w:tcPr>
            <w:tcW w:w="992" w:type="dxa"/>
            <w:vAlign w:val="center"/>
          </w:tcPr>
          <w:p>
            <w:pPr>
              <w:spacing w:line="360" w:lineRule="auto"/>
              <w:jc w:val="center"/>
              <w:rPr>
                <w:rFonts w:ascii="宋体" w:hAnsi="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trPr>
        <w:tc>
          <w:tcPr>
            <w:tcW w:w="531" w:type="dxa"/>
            <w:noWrap/>
            <w:tcMar>
              <w:top w:w="15" w:type="dxa"/>
              <w:left w:w="15" w:type="dxa"/>
              <w:bottom w:w="0" w:type="dxa"/>
              <w:right w:w="15" w:type="dxa"/>
            </w:tcMar>
            <w:vAlign w:val="center"/>
          </w:tcPr>
          <w:p>
            <w:pPr>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w:t>
            </w:r>
          </w:p>
        </w:tc>
        <w:tc>
          <w:tcPr>
            <w:tcW w:w="1559" w:type="dxa"/>
            <w:tcMar>
              <w:top w:w="15" w:type="dxa"/>
              <w:left w:w="15" w:type="dxa"/>
              <w:bottom w:w="0" w:type="dxa"/>
              <w:right w:w="15" w:type="dxa"/>
            </w:tcMar>
            <w:vAlign w:val="center"/>
          </w:tcPr>
          <w:p>
            <w:pPr>
              <w:spacing w:line="360" w:lineRule="auto"/>
              <w:rPr>
                <w:rFonts w:ascii="宋体" w:hAnsi="宋体"/>
                <w:color w:val="000000" w:themeColor="text1"/>
                <w:sz w:val="24"/>
                <w:szCs w:val="24"/>
                <w14:textFill>
                  <w14:solidFill>
                    <w14:schemeClr w14:val="tx1"/>
                  </w14:solidFill>
                </w14:textFill>
              </w:rPr>
            </w:pPr>
          </w:p>
        </w:tc>
        <w:tc>
          <w:tcPr>
            <w:tcW w:w="638" w:type="dxa"/>
            <w:tcMar>
              <w:top w:w="15" w:type="dxa"/>
              <w:left w:w="15" w:type="dxa"/>
              <w:bottom w:w="0" w:type="dxa"/>
              <w:right w:w="15" w:type="dxa"/>
            </w:tcMar>
            <w:vAlign w:val="center"/>
          </w:tcPr>
          <w:p>
            <w:pPr>
              <w:spacing w:line="360" w:lineRule="auto"/>
              <w:rPr>
                <w:rFonts w:ascii="宋体" w:hAnsi="宋体"/>
                <w:bCs/>
                <w:color w:val="000000" w:themeColor="text1"/>
                <w:sz w:val="24"/>
                <w:szCs w:val="24"/>
                <w14:textFill>
                  <w14:solidFill>
                    <w14:schemeClr w14:val="tx1"/>
                  </w14:solidFill>
                </w14:textFill>
              </w:rPr>
            </w:pPr>
          </w:p>
        </w:tc>
        <w:tc>
          <w:tcPr>
            <w:tcW w:w="638" w:type="dxa"/>
            <w:tcMar>
              <w:top w:w="15" w:type="dxa"/>
              <w:left w:w="15" w:type="dxa"/>
              <w:bottom w:w="0" w:type="dxa"/>
              <w:right w:w="15" w:type="dxa"/>
            </w:tcMar>
            <w:vAlign w:val="center"/>
          </w:tcPr>
          <w:p>
            <w:pPr>
              <w:spacing w:line="360" w:lineRule="auto"/>
              <w:rPr>
                <w:rFonts w:ascii="宋体" w:hAnsi="宋体"/>
                <w:bCs/>
                <w:color w:val="000000" w:themeColor="text1"/>
                <w:sz w:val="24"/>
                <w:szCs w:val="24"/>
                <w14:textFill>
                  <w14:solidFill>
                    <w14:schemeClr w14:val="tx1"/>
                  </w14:solidFill>
                </w14:textFill>
              </w:rPr>
            </w:pPr>
          </w:p>
        </w:tc>
        <w:tc>
          <w:tcPr>
            <w:tcW w:w="992" w:type="dxa"/>
            <w:tcMar>
              <w:top w:w="15" w:type="dxa"/>
              <w:left w:w="15" w:type="dxa"/>
              <w:bottom w:w="0" w:type="dxa"/>
              <w:right w:w="15" w:type="dxa"/>
            </w:tcMar>
            <w:vAlign w:val="center"/>
          </w:tcPr>
          <w:p>
            <w:pPr>
              <w:spacing w:line="360" w:lineRule="auto"/>
              <w:jc w:val="center"/>
              <w:rPr>
                <w:rFonts w:ascii="宋体" w:hAnsi="宋体"/>
                <w:color w:val="000000" w:themeColor="text1"/>
                <w:sz w:val="24"/>
                <w:szCs w:val="24"/>
                <w14:textFill>
                  <w14:solidFill>
                    <w14:schemeClr w14:val="tx1"/>
                  </w14:solidFill>
                </w14:textFill>
              </w:rPr>
            </w:pPr>
          </w:p>
        </w:tc>
        <w:tc>
          <w:tcPr>
            <w:tcW w:w="992" w:type="dxa"/>
            <w:noWrap/>
            <w:tcMar>
              <w:top w:w="15" w:type="dxa"/>
              <w:left w:w="15" w:type="dxa"/>
              <w:bottom w:w="0" w:type="dxa"/>
              <w:right w:w="15" w:type="dxa"/>
            </w:tcMar>
            <w:vAlign w:val="center"/>
          </w:tcPr>
          <w:p>
            <w:pPr>
              <w:spacing w:line="360" w:lineRule="auto"/>
              <w:jc w:val="center"/>
              <w:rPr>
                <w:rFonts w:ascii="宋体" w:hAnsi="宋体"/>
                <w:bCs/>
                <w:color w:val="000000" w:themeColor="text1"/>
                <w:sz w:val="24"/>
                <w:szCs w:val="24"/>
                <w14:textFill>
                  <w14:solidFill>
                    <w14:schemeClr w14:val="tx1"/>
                  </w14:solidFill>
                </w14:textFill>
              </w:rPr>
            </w:pPr>
          </w:p>
        </w:tc>
        <w:tc>
          <w:tcPr>
            <w:tcW w:w="992" w:type="dxa"/>
          </w:tcPr>
          <w:p>
            <w:pPr>
              <w:spacing w:line="360" w:lineRule="auto"/>
              <w:jc w:val="center"/>
              <w:rPr>
                <w:rFonts w:ascii="宋体" w:hAnsi="宋体"/>
                <w:bCs/>
                <w:color w:val="000000" w:themeColor="text1"/>
                <w:sz w:val="24"/>
                <w:szCs w:val="24"/>
                <w14:textFill>
                  <w14:solidFill>
                    <w14:schemeClr w14:val="tx1"/>
                  </w14:solidFill>
                </w14:textFill>
              </w:rPr>
            </w:pPr>
          </w:p>
        </w:tc>
        <w:tc>
          <w:tcPr>
            <w:tcW w:w="992" w:type="dxa"/>
            <w:vAlign w:val="center"/>
          </w:tcPr>
          <w:p>
            <w:pPr>
              <w:spacing w:line="360" w:lineRule="auto"/>
              <w:jc w:val="center"/>
              <w:rPr>
                <w:rFonts w:ascii="宋体" w:hAnsi="宋体"/>
                <w:bCs/>
                <w:color w:val="000000" w:themeColor="text1"/>
                <w:sz w:val="24"/>
                <w:szCs w:val="24"/>
                <w14:textFill>
                  <w14:solidFill>
                    <w14:schemeClr w14:val="tx1"/>
                  </w14:solidFill>
                </w14:textFill>
              </w:rPr>
            </w:pPr>
          </w:p>
        </w:tc>
        <w:tc>
          <w:tcPr>
            <w:tcW w:w="992" w:type="dxa"/>
            <w:vAlign w:val="center"/>
          </w:tcPr>
          <w:p>
            <w:pPr>
              <w:spacing w:line="360" w:lineRule="auto"/>
              <w:jc w:val="center"/>
              <w:rPr>
                <w:rFonts w:ascii="宋体" w:hAnsi="宋体"/>
                <w:bCs/>
                <w:color w:val="000000" w:themeColor="text1"/>
                <w:sz w:val="24"/>
                <w:szCs w:val="24"/>
                <w14:textFill>
                  <w14:solidFill>
                    <w14:schemeClr w14:val="tx1"/>
                  </w14:solidFill>
                </w14:textFill>
              </w:rPr>
            </w:pPr>
          </w:p>
        </w:tc>
        <w:tc>
          <w:tcPr>
            <w:tcW w:w="993" w:type="dxa"/>
            <w:vAlign w:val="center"/>
          </w:tcPr>
          <w:p>
            <w:pPr>
              <w:spacing w:line="360" w:lineRule="auto"/>
              <w:jc w:val="center"/>
              <w:rPr>
                <w:rFonts w:ascii="宋体" w:hAnsi="宋体"/>
                <w:bCs/>
                <w:color w:val="000000" w:themeColor="text1"/>
                <w:sz w:val="24"/>
                <w:szCs w:val="24"/>
                <w14:textFill>
                  <w14:solidFill>
                    <w14:schemeClr w14:val="tx1"/>
                  </w14:solidFill>
                </w14:textFill>
              </w:rPr>
            </w:pPr>
          </w:p>
        </w:tc>
        <w:tc>
          <w:tcPr>
            <w:tcW w:w="992" w:type="dxa"/>
            <w:vAlign w:val="center"/>
          </w:tcPr>
          <w:p>
            <w:pPr>
              <w:spacing w:line="360" w:lineRule="auto"/>
              <w:jc w:val="center"/>
              <w:rPr>
                <w:rFonts w:ascii="宋体" w:hAnsi="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1" w:hRule="atLeast"/>
        </w:trPr>
        <w:tc>
          <w:tcPr>
            <w:tcW w:w="10311" w:type="dxa"/>
            <w:gridSpan w:val="11"/>
            <w:noWrap/>
            <w:tcMar>
              <w:top w:w="15" w:type="dxa"/>
              <w:left w:w="15" w:type="dxa"/>
              <w:bottom w:w="0" w:type="dxa"/>
              <w:right w:w="15" w:type="dxa"/>
            </w:tcMar>
            <w:vAlign w:val="center"/>
          </w:tcPr>
          <w:p>
            <w:pPr>
              <w:tabs>
                <w:tab w:val="left" w:pos="630"/>
                <w:tab w:val="left" w:pos="735"/>
                <w:tab w:val="left" w:pos="945"/>
              </w:tabs>
              <w:spacing w:line="360" w:lineRule="auto"/>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交货完工期： 合同签订生效后（  ）天内送货并安装调试完毕。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trPr>
        <w:tc>
          <w:tcPr>
            <w:tcW w:w="10311" w:type="dxa"/>
            <w:gridSpan w:val="11"/>
            <w:noWrap/>
            <w:tcMar>
              <w:top w:w="15" w:type="dxa"/>
              <w:left w:w="15" w:type="dxa"/>
              <w:bottom w:w="0" w:type="dxa"/>
              <w:right w:w="15" w:type="dxa"/>
            </w:tcMar>
            <w:vAlign w:val="center"/>
          </w:tcPr>
          <w:p>
            <w:pPr>
              <w:spacing w:line="360" w:lineRule="auto"/>
              <w:rPr>
                <w:rFonts w:ascii="宋体" w:hAnsi="宋体"/>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总报价：大写                                              小写</w:t>
            </w:r>
          </w:p>
        </w:tc>
      </w:tr>
    </w:tbl>
    <w:p>
      <w:pPr>
        <w:spacing w:before="5" w:line="360" w:lineRule="auto"/>
        <w:rPr>
          <w:rFonts w:ascii="宋体"/>
          <w:color w:val="000000" w:themeColor="text1"/>
          <w:sz w:val="24"/>
          <w:szCs w:val="24"/>
          <w14:textFill>
            <w14:solidFill>
              <w14:schemeClr w14:val="tx1"/>
            </w14:solidFill>
          </w14:textFill>
        </w:rPr>
      </w:pPr>
    </w:p>
    <w:p>
      <w:pPr>
        <w:spacing w:before="5" w:line="360" w:lineRule="auto"/>
        <w:rPr>
          <w:rFonts w:ascii="宋体"/>
          <w:color w:val="000000" w:themeColor="text1"/>
          <w:sz w:val="24"/>
          <w:szCs w:val="24"/>
          <w14:textFill>
            <w14:solidFill>
              <w14:schemeClr w14:val="tx1"/>
            </w14:solidFill>
          </w14:textFill>
        </w:rPr>
      </w:pPr>
    </w:p>
    <w:p>
      <w:pPr>
        <w:spacing w:before="5" w:line="360" w:lineRule="auto"/>
        <w:ind w:firstLine="3000" w:firstLineChars="125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法定代表人或法定代表人授权代表CA签章：</w:t>
      </w:r>
    </w:p>
    <w:p>
      <w:pPr>
        <w:spacing w:line="360" w:lineRule="auto"/>
        <w:outlineLvl w:val="0"/>
        <w:rPr>
          <w:rFonts w:ascii="宋体"/>
          <w:color w:val="000000" w:themeColor="text1"/>
          <w:sz w:val="24"/>
          <w:szCs w:val="24"/>
          <w14:textFill>
            <w14:solidFill>
              <w14:schemeClr w14:val="tx1"/>
            </w14:solidFill>
          </w14:textFill>
        </w:rPr>
      </w:pPr>
    </w:p>
    <w:p>
      <w:pPr>
        <w:spacing w:line="360" w:lineRule="auto"/>
        <w:outlineLvl w:val="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注：</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w:t>
      </w:r>
      <w:r>
        <w:rPr>
          <w:rFonts w:hint="eastAsia" w:ascii="宋体"/>
          <w:bCs/>
          <w:color w:val="000000" w:themeColor="text1"/>
          <w14:textFill>
            <w14:solidFill>
              <w14:schemeClr w14:val="tx1"/>
            </w14:solidFill>
          </w14:textFill>
        </w:rPr>
        <w:t>投标人本项目提供的货物全部由符合政策要求的中小企业制造的，须提供按格式填写的《中小企业声明函》（货物）（《中小企业声明函》（货物）相应内容须与上表填列内容保持一致）；投标人本项目提供的服务全部由符合政策要求的中小企业承接的，须提供按格式填写的《中小企业声明函》（服务）；或提供投标人《残疾人福利性单位声明函》。如未按要求填写和提供有效证明或相关内容表述不清的，不得享受价格扣除。投标人对所报相关数据的真实性负责，</w:t>
      </w:r>
      <w:r>
        <w:rPr>
          <w:rFonts w:hint="eastAsia" w:ascii="宋体" w:hAnsi="宋体" w:cs="宋体"/>
          <w:color w:val="000000" w:themeColor="text1"/>
          <w14:textFill>
            <w14:solidFill>
              <w14:schemeClr w14:val="tx1"/>
            </w14:solidFill>
          </w14:textFill>
        </w:rPr>
        <w:t>无锡市卫生健康综合服务中心有权将相关内容进行公示。</w:t>
      </w:r>
    </w:p>
    <w:p>
      <w:pPr>
        <w:spacing w:line="360" w:lineRule="auto"/>
        <w:outlineLvl w:val="0"/>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）投标人应当根据“项目技术要求和有关说明”的内容在上表中详细填写；报价表内项目有医疗器械产品注册证的均须逐一提供。</w:t>
      </w:r>
    </w:p>
    <w:p>
      <w:pPr>
        <w:spacing w:line="360" w:lineRule="auto"/>
        <w:outlineLvl w:val="0"/>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）表格不够可自行延长。</w:t>
      </w:r>
    </w:p>
    <w:p>
      <w:pPr>
        <w:ind w:firstLine="480" w:firstLineChars="200"/>
        <w:outlineLvl w:val="0"/>
        <w:rPr>
          <w:rFonts w:ascii="宋体"/>
          <w:color w:val="000000" w:themeColor="text1"/>
          <w:sz w:val="24"/>
          <w:szCs w:val="24"/>
          <w14:textFill>
            <w14:solidFill>
              <w14:schemeClr w14:val="tx1"/>
            </w14:solidFill>
          </w14:textFill>
        </w:rPr>
      </w:pPr>
    </w:p>
    <w:p>
      <w:pPr>
        <w:adjustRightInd w:val="0"/>
        <w:snapToGrid w:val="0"/>
        <w:spacing w:line="360" w:lineRule="auto"/>
        <w:jc w:val="left"/>
        <w:rPr>
          <w:rFonts w:ascii="宋体" w:cs="宋体"/>
          <w:color w:val="000000" w:themeColor="text1"/>
          <w:sz w:val="24"/>
          <w:szCs w:val="24"/>
          <w14:textFill>
            <w14:solidFill>
              <w14:schemeClr w14:val="tx1"/>
            </w14:solidFill>
          </w14:textFill>
        </w:rPr>
      </w:pPr>
    </w:p>
    <w:p>
      <w:pPr>
        <w:adjustRightInd w:val="0"/>
        <w:snapToGrid w:val="0"/>
        <w:spacing w:line="360" w:lineRule="auto"/>
        <w:jc w:val="left"/>
        <w:rPr>
          <w:rFonts w:ascii="宋体" w:cs="宋体"/>
          <w:color w:val="000000" w:themeColor="text1"/>
          <w:sz w:val="24"/>
          <w:szCs w:val="24"/>
          <w14:textFill>
            <w14:solidFill>
              <w14:schemeClr w14:val="tx1"/>
            </w14:solidFill>
          </w14:textFill>
        </w:rPr>
      </w:pPr>
    </w:p>
    <w:p>
      <w:pPr>
        <w:adjustRightInd w:val="0"/>
        <w:snapToGrid w:val="0"/>
        <w:spacing w:line="360" w:lineRule="auto"/>
        <w:jc w:val="left"/>
        <w:rPr>
          <w:rFonts w:ascii="宋体" w:cs="宋体"/>
          <w:color w:val="000000" w:themeColor="text1"/>
          <w:sz w:val="24"/>
          <w:szCs w:val="24"/>
          <w14:textFill>
            <w14:solidFill>
              <w14:schemeClr w14:val="tx1"/>
            </w14:solidFill>
          </w14:textFill>
        </w:rPr>
      </w:pPr>
    </w:p>
    <w:p>
      <w:pPr>
        <w:adjustRightInd w:val="0"/>
        <w:snapToGrid w:val="0"/>
        <w:spacing w:line="360" w:lineRule="auto"/>
        <w:jc w:val="left"/>
        <w:rPr>
          <w:rFonts w:ascii="宋体" w:cs="宋体"/>
          <w:color w:val="000000" w:themeColor="text1"/>
          <w:sz w:val="24"/>
          <w:szCs w:val="24"/>
          <w14:textFill>
            <w14:solidFill>
              <w14:schemeClr w14:val="tx1"/>
            </w14:solidFill>
          </w14:textFill>
        </w:rPr>
      </w:pPr>
    </w:p>
    <w:p>
      <w:pPr>
        <w:adjustRightInd w:val="0"/>
        <w:snapToGrid w:val="0"/>
        <w:spacing w:line="360" w:lineRule="auto"/>
        <w:jc w:val="left"/>
        <w:rPr>
          <w:rFonts w:ascii="宋体" w:cs="宋体"/>
          <w:color w:val="000000" w:themeColor="text1"/>
          <w:sz w:val="24"/>
          <w:szCs w:val="24"/>
          <w14:textFill>
            <w14:solidFill>
              <w14:schemeClr w14:val="tx1"/>
            </w14:solidFill>
          </w14:textFill>
        </w:rPr>
      </w:pPr>
    </w:p>
    <w:p>
      <w:pPr>
        <w:adjustRightInd w:val="0"/>
        <w:snapToGrid w:val="0"/>
        <w:spacing w:line="360" w:lineRule="auto"/>
        <w:jc w:val="left"/>
        <w:rPr>
          <w:rFonts w:ascii="宋体" w:cs="宋体"/>
          <w:color w:val="000000" w:themeColor="text1"/>
          <w:sz w:val="24"/>
          <w:szCs w:val="24"/>
          <w14:textFill>
            <w14:solidFill>
              <w14:schemeClr w14:val="tx1"/>
            </w14:solidFill>
          </w14:textFill>
        </w:rPr>
      </w:pPr>
    </w:p>
    <w:p>
      <w:pPr>
        <w:adjustRightInd w:val="0"/>
        <w:snapToGrid w:val="0"/>
        <w:spacing w:line="360" w:lineRule="auto"/>
        <w:jc w:val="left"/>
        <w:rPr>
          <w:rFonts w:ascii="宋体" w:cs="宋体"/>
          <w:color w:val="000000" w:themeColor="text1"/>
          <w:sz w:val="24"/>
          <w:szCs w:val="24"/>
          <w14:textFill>
            <w14:solidFill>
              <w14:schemeClr w14:val="tx1"/>
            </w14:solidFill>
          </w14:textFill>
        </w:rPr>
      </w:pPr>
    </w:p>
    <w:p>
      <w:pPr>
        <w:adjustRightInd w:val="0"/>
        <w:snapToGrid w:val="0"/>
        <w:spacing w:line="360" w:lineRule="auto"/>
        <w:jc w:val="left"/>
        <w:rPr>
          <w:rFonts w:ascii="宋体" w:cs="宋体"/>
          <w:color w:val="000000" w:themeColor="text1"/>
          <w:sz w:val="24"/>
          <w:szCs w:val="24"/>
          <w14:textFill>
            <w14:solidFill>
              <w14:schemeClr w14:val="tx1"/>
            </w14:solidFill>
          </w14:textFill>
        </w:rPr>
      </w:pPr>
    </w:p>
    <w:p>
      <w:pPr>
        <w:outlineLvl w:val="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（五）《投标偏离表》（格式）</w:t>
      </w:r>
    </w:p>
    <w:p>
      <w:pPr>
        <w:spacing w:before="5"/>
        <w:rPr>
          <w:rFonts w:ascii="宋体"/>
          <w:color w:val="000000" w:themeColor="text1"/>
          <w:sz w:val="24"/>
          <w:szCs w:val="24"/>
          <w14:textFill>
            <w14:solidFill>
              <w14:schemeClr w14:val="tx1"/>
            </w14:solidFill>
          </w14:textFill>
        </w:rPr>
      </w:pPr>
    </w:p>
    <w:p>
      <w:pPr>
        <w:ind w:firstLine="490" w:firstLineChars="175"/>
        <w:jc w:val="center"/>
        <w:outlineLvl w:val="0"/>
        <w:rPr>
          <w:rFonts w:ascii="黑体" w:eastAsia="黑体"/>
          <w:color w:val="000000" w:themeColor="text1"/>
          <w:sz w:val="28"/>
          <w:szCs w:val="28"/>
          <w14:textFill>
            <w14:solidFill>
              <w14:schemeClr w14:val="tx1"/>
            </w14:solidFill>
          </w14:textFill>
        </w:rPr>
      </w:pPr>
      <w:r>
        <w:rPr>
          <w:rFonts w:hint="eastAsia" w:ascii="黑体" w:eastAsia="黑体" w:cs="黑体"/>
          <w:color w:val="000000" w:themeColor="text1"/>
          <w:sz w:val="28"/>
          <w:szCs w:val="28"/>
          <w14:textFill>
            <w14:solidFill>
              <w14:schemeClr w14:val="tx1"/>
            </w14:solidFill>
          </w14:textFill>
        </w:rPr>
        <w:t>投标偏离表</w:t>
      </w:r>
    </w:p>
    <w:p>
      <w:pPr>
        <w:spacing w:line="400" w:lineRule="exact"/>
        <w:outlineLvl w:val="0"/>
        <w:rPr>
          <w:rFonts w:ascii="黑体" w:eastAsia="黑体"/>
          <w:color w:val="000000" w:themeColor="text1"/>
          <w:sz w:val="28"/>
          <w:szCs w:val="28"/>
          <w14:textFill>
            <w14:solidFill>
              <w14:schemeClr w14:val="tx1"/>
            </w14:solidFill>
          </w14:textFill>
        </w:rPr>
      </w:pPr>
    </w:p>
    <w:p>
      <w:pPr>
        <w:spacing w:line="400" w:lineRule="exact"/>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投标人名称（CA签章）                            采购项目编号：WXWJCG2023-</w:t>
      </w:r>
    </w:p>
    <w:p>
      <w:pPr>
        <w:spacing w:line="400" w:lineRule="exact"/>
        <w:rPr>
          <w:rFonts w:ascii="宋体" w:cs="宋体"/>
          <w:color w:val="000000" w:themeColor="text1"/>
          <w:sz w:val="24"/>
          <w:szCs w:val="24"/>
          <w14:textFill>
            <w14:solidFill>
              <w14:schemeClr w14:val="tx1"/>
            </w14:solidFill>
          </w14:textFill>
        </w:rPr>
      </w:pPr>
    </w:p>
    <w:tbl>
      <w:tblPr>
        <w:tblStyle w:val="45"/>
        <w:tblW w:w="9885" w:type="dxa"/>
        <w:tblInd w:w="2" w:type="dxa"/>
        <w:tblLayout w:type="fixed"/>
        <w:tblCellMar>
          <w:top w:w="0" w:type="dxa"/>
          <w:left w:w="0" w:type="dxa"/>
          <w:bottom w:w="0" w:type="dxa"/>
          <w:right w:w="0" w:type="dxa"/>
        </w:tblCellMar>
      </w:tblPr>
      <w:tblGrid>
        <w:gridCol w:w="1905"/>
        <w:gridCol w:w="2835"/>
        <w:gridCol w:w="2835"/>
        <w:gridCol w:w="2310"/>
      </w:tblGrid>
      <w:tr>
        <w:tblPrEx>
          <w:tblCellMar>
            <w:top w:w="0" w:type="dxa"/>
            <w:left w:w="0" w:type="dxa"/>
            <w:bottom w:w="0" w:type="dxa"/>
            <w:right w:w="0" w:type="dxa"/>
          </w:tblCellMar>
        </w:tblPrEx>
        <w:trPr>
          <w:cantSplit/>
          <w:trHeight w:val="555" w:hRule="atLeast"/>
        </w:trPr>
        <w:tc>
          <w:tcPr>
            <w:tcW w:w="190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名称</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采购要求</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实报内容</w:t>
            </w:r>
          </w:p>
        </w:tc>
        <w:tc>
          <w:tcPr>
            <w:tcW w:w="2310"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偏离说明</w:t>
            </w:r>
          </w:p>
        </w:tc>
      </w:tr>
      <w:tr>
        <w:tblPrEx>
          <w:tblCellMar>
            <w:top w:w="0" w:type="dxa"/>
            <w:left w:w="0" w:type="dxa"/>
            <w:bottom w:w="0" w:type="dxa"/>
            <w:right w:w="0" w:type="dxa"/>
          </w:tblCellMar>
        </w:tblPrEx>
        <w:trPr>
          <w:cantSplit/>
          <w:trHeight w:val="510" w:hRule="atLeast"/>
        </w:trPr>
        <w:tc>
          <w:tcPr>
            <w:tcW w:w="190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color w:val="000000" w:themeColor="text1"/>
                <w:sz w:val="24"/>
                <w:szCs w:val="24"/>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 w:val="24"/>
                <w:szCs w:val="24"/>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themeColor="text1"/>
                <w:sz w:val="24"/>
                <w:szCs w:val="24"/>
                <w14:textFill>
                  <w14:solidFill>
                    <w14:schemeClr w14:val="tx1"/>
                  </w14:solidFill>
                </w14:textFill>
              </w:rPr>
            </w:pPr>
          </w:p>
        </w:tc>
        <w:tc>
          <w:tcPr>
            <w:tcW w:w="2310"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cantSplit/>
          <w:trHeight w:val="510" w:hRule="atLeast"/>
        </w:trPr>
        <w:tc>
          <w:tcPr>
            <w:tcW w:w="190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color w:val="000000" w:themeColor="text1"/>
                <w:sz w:val="24"/>
                <w:szCs w:val="24"/>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 w:val="24"/>
                <w:szCs w:val="24"/>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themeColor="text1"/>
                <w:sz w:val="24"/>
                <w:szCs w:val="24"/>
                <w14:textFill>
                  <w14:solidFill>
                    <w14:schemeClr w14:val="tx1"/>
                  </w14:solidFill>
                </w14:textFill>
              </w:rPr>
            </w:pPr>
          </w:p>
        </w:tc>
        <w:tc>
          <w:tcPr>
            <w:tcW w:w="2310"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themeColor="text1"/>
                <w:sz w:val="24"/>
                <w:szCs w:val="24"/>
                <w14:textFill>
                  <w14:solidFill>
                    <w14:schemeClr w14:val="tx1"/>
                  </w14:solidFill>
                </w14:textFill>
              </w:rPr>
            </w:pPr>
          </w:p>
        </w:tc>
      </w:tr>
    </w:tbl>
    <w:p>
      <w:pPr>
        <w:rPr>
          <w:rFonts w:cs="宋体"/>
          <w:b/>
          <w:bCs/>
          <w:color w:val="000000" w:themeColor="text1"/>
          <w:sz w:val="24"/>
          <w:szCs w:val="24"/>
          <w14:textFill>
            <w14:solidFill>
              <w14:schemeClr w14:val="tx1"/>
            </w14:solidFill>
          </w14:textFill>
        </w:rPr>
      </w:pPr>
    </w:p>
    <w:p>
      <w:pPr>
        <w:rPr>
          <w:rFonts w:cs="宋体"/>
          <w:b/>
          <w:bCs/>
          <w:color w:val="000000" w:themeColor="text1"/>
          <w:sz w:val="24"/>
          <w:szCs w:val="24"/>
          <w14:textFill>
            <w14:solidFill>
              <w14:schemeClr w14:val="tx1"/>
            </w14:solidFill>
          </w14:textFill>
        </w:rPr>
      </w:pPr>
    </w:p>
    <w:p>
      <w:pPr>
        <w:ind w:firstLine="2116" w:firstLineChars="882"/>
        <w:rPr>
          <w:rFonts w:cs="宋体"/>
          <w:bCs/>
          <w:color w:val="000000" w:themeColor="text1"/>
          <w:sz w:val="24"/>
          <w:szCs w:val="24"/>
          <w14:textFill>
            <w14:solidFill>
              <w14:schemeClr w14:val="tx1"/>
            </w14:solidFill>
          </w14:textFill>
        </w:rPr>
      </w:pPr>
      <w:r>
        <w:rPr>
          <w:rFonts w:hint="eastAsia" w:cs="宋体"/>
          <w:bCs/>
          <w:color w:val="000000" w:themeColor="text1"/>
          <w:sz w:val="24"/>
          <w:szCs w:val="24"/>
          <w14:textFill>
            <w14:solidFill>
              <w14:schemeClr w14:val="tx1"/>
            </w14:solidFill>
          </w14:textFill>
        </w:rPr>
        <w:t>法定代表人或法定代表人授权代表CA签章：</w:t>
      </w:r>
    </w:p>
    <w:p>
      <w:pPr>
        <w:rPr>
          <w:rFonts w:ascii="宋体"/>
          <w:color w:val="000000" w:themeColor="text1"/>
          <w:sz w:val="30"/>
          <w:szCs w:val="30"/>
          <w14:textFill>
            <w14:solidFill>
              <w14:schemeClr w14:val="tx1"/>
            </w14:solidFill>
          </w14:textFill>
        </w:rPr>
      </w:pPr>
    </w:p>
    <w:p>
      <w:pPr>
        <w:ind w:firstLine="420" w:firstLineChars="175"/>
        <w:outlineLvl w:val="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注：（</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）本表不得删除；</w:t>
      </w:r>
    </w:p>
    <w:p>
      <w:pPr>
        <w:ind w:firstLine="420" w:firstLineChars="175"/>
        <w:outlineLvl w:val="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）如无任何技术偏离，请于本表“偏离说明”中注明“无偏离”；</w:t>
      </w:r>
    </w:p>
    <w:p>
      <w:pPr>
        <w:ind w:firstLine="420" w:firstLineChars="175"/>
        <w:outlineLvl w:val="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）如有技术偏离项，请于本表中列明偏离内容，如需要可自行延长，其余无偏离内容不须赘述。</w:t>
      </w:r>
    </w:p>
    <w:p>
      <w:pPr>
        <w:spacing w:before="5"/>
        <w:rPr>
          <w:rFonts w:ascii="宋体"/>
          <w:color w:val="000000" w:themeColor="text1"/>
          <w:sz w:val="24"/>
          <w:szCs w:val="24"/>
          <w14:textFill>
            <w14:solidFill>
              <w14:schemeClr w14:val="tx1"/>
            </w14:solidFill>
          </w14:textFill>
        </w:rPr>
      </w:pPr>
    </w:p>
    <w:p>
      <w:pPr>
        <w:spacing w:before="5"/>
        <w:rPr>
          <w:rFonts w:ascii="宋体"/>
          <w:color w:val="000000" w:themeColor="text1"/>
          <w:sz w:val="24"/>
          <w:szCs w:val="24"/>
          <w14:textFill>
            <w14:solidFill>
              <w14:schemeClr w14:val="tx1"/>
            </w14:solidFill>
          </w14:textFill>
        </w:rPr>
      </w:pPr>
    </w:p>
    <w:p>
      <w:pPr>
        <w:spacing w:before="5"/>
        <w:rPr>
          <w:rFonts w:ascii="宋体"/>
          <w:color w:val="000000" w:themeColor="text1"/>
          <w:sz w:val="24"/>
          <w:szCs w:val="24"/>
          <w14:textFill>
            <w14:solidFill>
              <w14:schemeClr w14:val="tx1"/>
            </w14:solidFill>
          </w14:textFill>
        </w:rPr>
      </w:pPr>
    </w:p>
    <w:p>
      <w:pPr>
        <w:spacing w:before="5"/>
        <w:rPr>
          <w:rFonts w:ascii="宋体"/>
          <w:color w:val="000000" w:themeColor="text1"/>
          <w:sz w:val="24"/>
          <w:szCs w:val="24"/>
          <w14:textFill>
            <w14:solidFill>
              <w14:schemeClr w14:val="tx1"/>
            </w14:solidFill>
          </w14:textFill>
        </w:rPr>
      </w:pPr>
    </w:p>
    <w:p>
      <w:pPr>
        <w:spacing w:before="5"/>
        <w:rPr>
          <w:rFonts w:ascii="宋体"/>
          <w:color w:val="000000" w:themeColor="text1"/>
          <w:sz w:val="24"/>
          <w:szCs w:val="24"/>
          <w14:textFill>
            <w14:solidFill>
              <w14:schemeClr w14:val="tx1"/>
            </w14:solidFill>
          </w14:textFill>
        </w:rPr>
      </w:pPr>
    </w:p>
    <w:p>
      <w:pPr>
        <w:spacing w:before="5"/>
        <w:rPr>
          <w:rFonts w:ascii="宋体"/>
          <w:color w:val="000000" w:themeColor="text1"/>
          <w:sz w:val="24"/>
          <w:szCs w:val="24"/>
          <w14:textFill>
            <w14:solidFill>
              <w14:schemeClr w14:val="tx1"/>
            </w14:solidFill>
          </w14:textFill>
        </w:rPr>
      </w:pPr>
    </w:p>
    <w:p>
      <w:pPr>
        <w:spacing w:before="5"/>
        <w:rPr>
          <w:rFonts w:ascii="宋体"/>
          <w:color w:val="000000" w:themeColor="text1"/>
          <w:sz w:val="24"/>
          <w:szCs w:val="24"/>
          <w14:textFill>
            <w14:solidFill>
              <w14:schemeClr w14:val="tx1"/>
            </w14:solidFill>
          </w14:textFill>
        </w:rPr>
      </w:pPr>
    </w:p>
    <w:p>
      <w:pPr>
        <w:spacing w:before="5"/>
        <w:rPr>
          <w:rFonts w:ascii="宋体"/>
          <w:color w:val="000000" w:themeColor="text1"/>
          <w:sz w:val="24"/>
          <w:szCs w:val="24"/>
          <w14:textFill>
            <w14:solidFill>
              <w14:schemeClr w14:val="tx1"/>
            </w14:solidFill>
          </w14:textFill>
        </w:rPr>
      </w:pPr>
    </w:p>
    <w:p>
      <w:pPr>
        <w:spacing w:before="5"/>
        <w:rPr>
          <w:rFonts w:ascii="宋体"/>
          <w:color w:val="000000" w:themeColor="text1"/>
          <w:sz w:val="24"/>
          <w:szCs w:val="24"/>
          <w14:textFill>
            <w14:solidFill>
              <w14:schemeClr w14:val="tx1"/>
            </w14:solidFill>
          </w14:textFill>
        </w:rPr>
      </w:pPr>
    </w:p>
    <w:p>
      <w:pPr>
        <w:spacing w:before="5"/>
        <w:rPr>
          <w:rFonts w:ascii="宋体"/>
          <w:color w:val="000000" w:themeColor="text1"/>
          <w:sz w:val="24"/>
          <w:szCs w:val="24"/>
          <w14:textFill>
            <w14:solidFill>
              <w14:schemeClr w14:val="tx1"/>
            </w14:solidFill>
          </w14:textFill>
        </w:rPr>
      </w:pPr>
    </w:p>
    <w:p>
      <w:pPr>
        <w:spacing w:before="5"/>
        <w:rPr>
          <w:rFonts w:ascii="宋体"/>
          <w:color w:val="000000" w:themeColor="text1"/>
          <w:sz w:val="24"/>
          <w:szCs w:val="24"/>
          <w14:textFill>
            <w14:solidFill>
              <w14:schemeClr w14:val="tx1"/>
            </w14:solidFill>
          </w14:textFill>
        </w:rPr>
      </w:pPr>
    </w:p>
    <w:p>
      <w:pPr>
        <w:spacing w:before="5"/>
        <w:rPr>
          <w:rFonts w:ascii="宋体"/>
          <w:color w:val="000000" w:themeColor="text1"/>
          <w:sz w:val="24"/>
          <w:szCs w:val="24"/>
          <w14:textFill>
            <w14:solidFill>
              <w14:schemeClr w14:val="tx1"/>
            </w14:solidFill>
          </w14:textFill>
        </w:rPr>
      </w:pPr>
    </w:p>
    <w:p>
      <w:pPr>
        <w:spacing w:before="5"/>
        <w:rPr>
          <w:rFonts w:ascii="宋体"/>
          <w:color w:val="000000" w:themeColor="text1"/>
          <w:sz w:val="24"/>
          <w:szCs w:val="24"/>
          <w14:textFill>
            <w14:solidFill>
              <w14:schemeClr w14:val="tx1"/>
            </w14:solidFill>
          </w14:textFill>
        </w:rPr>
      </w:pPr>
    </w:p>
    <w:p>
      <w:pPr>
        <w:spacing w:before="5"/>
        <w:rPr>
          <w:rFonts w:ascii="宋体"/>
          <w:color w:val="000000" w:themeColor="text1"/>
          <w:sz w:val="24"/>
          <w:szCs w:val="24"/>
          <w14:textFill>
            <w14:solidFill>
              <w14:schemeClr w14:val="tx1"/>
            </w14:solidFill>
          </w14:textFill>
        </w:rPr>
      </w:pPr>
    </w:p>
    <w:p>
      <w:pPr>
        <w:spacing w:before="5"/>
        <w:rPr>
          <w:rFonts w:ascii="宋体"/>
          <w:color w:val="000000" w:themeColor="text1"/>
          <w:sz w:val="24"/>
          <w:szCs w:val="24"/>
          <w14:textFill>
            <w14:solidFill>
              <w14:schemeClr w14:val="tx1"/>
            </w14:solidFill>
          </w14:textFill>
        </w:rPr>
      </w:pPr>
    </w:p>
    <w:p>
      <w:pPr>
        <w:spacing w:before="5"/>
        <w:rPr>
          <w:rFonts w:ascii="宋体"/>
          <w:color w:val="000000" w:themeColor="text1"/>
          <w:sz w:val="24"/>
          <w:szCs w:val="24"/>
          <w14:textFill>
            <w14:solidFill>
              <w14:schemeClr w14:val="tx1"/>
            </w14:solidFill>
          </w14:textFill>
        </w:rPr>
      </w:pPr>
    </w:p>
    <w:p>
      <w:pPr>
        <w:spacing w:before="5"/>
        <w:rPr>
          <w:rFonts w:ascii="宋体"/>
          <w:color w:val="000000" w:themeColor="text1"/>
          <w:sz w:val="24"/>
          <w:szCs w:val="24"/>
          <w14:textFill>
            <w14:solidFill>
              <w14:schemeClr w14:val="tx1"/>
            </w14:solidFill>
          </w14:textFill>
        </w:rPr>
      </w:pPr>
    </w:p>
    <w:p>
      <w:pPr>
        <w:spacing w:before="5"/>
        <w:rPr>
          <w:rFonts w:ascii="宋体"/>
          <w:color w:val="000000" w:themeColor="text1"/>
          <w:sz w:val="24"/>
          <w:szCs w:val="24"/>
          <w14:textFill>
            <w14:solidFill>
              <w14:schemeClr w14:val="tx1"/>
            </w14:solidFill>
          </w14:textFill>
        </w:rPr>
      </w:pPr>
    </w:p>
    <w:p>
      <w:pPr>
        <w:spacing w:before="5"/>
        <w:rPr>
          <w:rFonts w:ascii="宋体"/>
          <w:color w:val="000000" w:themeColor="text1"/>
          <w:sz w:val="24"/>
          <w:szCs w:val="24"/>
          <w14:textFill>
            <w14:solidFill>
              <w14:schemeClr w14:val="tx1"/>
            </w14:solidFill>
          </w14:textFill>
        </w:rPr>
      </w:pPr>
    </w:p>
    <w:p>
      <w:pPr>
        <w:spacing w:before="5"/>
        <w:rPr>
          <w:rFonts w:ascii="宋体"/>
          <w:color w:val="000000" w:themeColor="text1"/>
          <w:sz w:val="24"/>
          <w:szCs w:val="24"/>
          <w14:textFill>
            <w14:solidFill>
              <w14:schemeClr w14:val="tx1"/>
            </w14:solidFill>
          </w14:textFill>
        </w:rPr>
      </w:pPr>
    </w:p>
    <w:p>
      <w:pPr>
        <w:spacing w:before="5"/>
        <w:rPr>
          <w:rFonts w:ascii="宋体"/>
          <w:color w:val="000000" w:themeColor="text1"/>
          <w:sz w:val="24"/>
          <w:szCs w:val="24"/>
          <w14:textFill>
            <w14:solidFill>
              <w14:schemeClr w14:val="tx1"/>
            </w14:solidFill>
          </w14:textFill>
        </w:rPr>
      </w:pPr>
    </w:p>
    <w:p>
      <w:pPr>
        <w:spacing w:before="5"/>
        <w:rPr>
          <w:rFonts w:ascii="宋体"/>
          <w:color w:val="000000" w:themeColor="text1"/>
          <w:sz w:val="24"/>
          <w:szCs w:val="24"/>
          <w14:textFill>
            <w14:solidFill>
              <w14:schemeClr w14:val="tx1"/>
            </w14:solidFill>
          </w14:textFill>
        </w:rPr>
      </w:pPr>
    </w:p>
    <w:p>
      <w:pPr>
        <w:spacing w:before="5"/>
        <w:rPr>
          <w:rFonts w:ascii="宋体"/>
          <w:color w:val="000000" w:themeColor="text1"/>
          <w:sz w:val="24"/>
          <w:szCs w:val="24"/>
          <w14:textFill>
            <w14:solidFill>
              <w14:schemeClr w14:val="tx1"/>
            </w14:solidFill>
          </w14:textFill>
        </w:rPr>
      </w:pPr>
    </w:p>
    <w:p>
      <w:pPr>
        <w:spacing w:before="5"/>
        <w:rPr>
          <w:rFonts w:ascii="宋体"/>
          <w:color w:val="000000" w:themeColor="text1"/>
          <w:sz w:val="24"/>
          <w:szCs w:val="24"/>
          <w14:textFill>
            <w14:solidFill>
              <w14:schemeClr w14:val="tx1"/>
            </w14:solidFill>
          </w14:textFill>
        </w:rPr>
      </w:pPr>
    </w:p>
    <w:p>
      <w:pPr>
        <w:spacing w:before="5"/>
        <w:rPr>
          <w:rFonts w:ascii="宋体"/>
          <w:color w:val="000000" w:themeColor="text1"/>
          <w:sz w:val="24"/>
          <w:szCs w:val="24"/>
          <w14:textFill>
            <w14:solidFill>
              <w14:schemeClr w14:val="tx1"/>
            </w14:solidFill>
          </w14:textFill>
        </w:rPr>
      </w:pPr>
    </w:p>
    <w:p>
      <w:pPr>
        <w:adjustRightInd w:val="0"/>
        <w:snapToGrid w:val="0"/>
        <w:spacing w:line="36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（六）《</w:t>
      </w:r>
      <w:r>
        <w:rPr>
          <w:rFonts w:hint="eastAsia" w:ascii="宋体" w:cs="宋体"/>
          <w:color w:val="000000" w:themeColor="text1"/>
          <w:kern w:val="0"/>
          <w:sz w:val="24"/>
          <w:szCs w:val="24"/>
          <w14:textFill>
            <w14:solidFill>
              <w14:schemeClr w14:val="tx1"/>
            </w14:solidFill>
          </w14:textFill>
        </w:rPr>
        <w:t>能确保设备正常使用的，随机所需配备耗材清单</w:t>
      </w:r>
      <w:r>
        <w:rPr>
          <w:rFonts w:hint="eastAsia" w:ascii="宋体" w:hAnsi="宋体" w:cs="宋体"/>
          <w:color w:val="000000" w:themeColor="text1"/>
          <w:sz w:val="24"/>
          <w:szCs w:val="24"/>
          <w14:textFill>
            <w14:solidFill>
              <w14:schemeClr w14:val="tx1"/>
            </w14:solidFill>
          </w14:textFill>
        </w:rPr>
        <w:t>》（格式可自拟）</w:t>
      </w:r>
    </w:p>
    <w:p>
      <w:pPr>
        <w:spacing w:before="5"/>
        <w:rPr>
          <w:rFonts w:ascii="宋体"/>
          <w:color w:val="000000" w:themeColor="text1"/>
          <w:sz w:val="24"/>
          <w:szCs w:val="24"/>
          <w14:textFill>
            <w14:solidFill>
              <w14:schemeClr w14:val="tx1"/>
            </w14:solidFill>
          </w14:textFill>
        </w:rPr>
      </w:pPr>
    </w:p>
    <w:p>
      <w:pPr>
        <w:spacing w:before="5"/>
        <w:rPr>
          <w:rFonts w:ascii="宋体"/>
          <w:color w:val="000000" w:themeColor="text1"/>
          <w:sz w:val="24"/>
          <w:szCs w:val="24"/>
          <w14:textFill>
            <w14:solidFill>
              <w14:schemeClr w14:val="tx1"/>
            </w14:solidFill>
          </w14:textFill>
        </w:rPr>
      </w:pPr>
    </w:p>
    <w:p>
      <w:pPr>
        <w:spacing w:before="5"/>
        <w:rPr>
          <w:rFonts w:ascii="宋体"/>
          <w:color w:val="000000" w:themeColor="text1"/>
          <w:sz w:val="24"/>
          <w:szCs w:val="24"/>
          <w14:textFill>
            <w14:solidFill>
              <w14:schemeClr w14:val="tx1"/>
            </w14:solidFill>
          </w14:textFill>
        </w:rPr>
      </w:pPr>
    </w:p>
    <w:p>
      <w:pPr>
        <w:spacing w:before="5"/>
        <w:rPr>
          <w:rFonts w:ascii="宋体"/>
          <w:color w:val="000000" w:themeColor="text1"/>
          <w:sz w:val="24"/>
          <w:szCs w:val="24"/>
          <w14:textFill>
            <w14:solidFill>
              <w14:schemeClr w14:val="tx1"/>
            </w14:solidFill>
          </w14:textFill>
        </w:rPr>
      </w:pPr>
    </w:p>
    <w:p>
      <w:pPr>
        <w:spacing w:before="5"/>
        <w:rPr>
          <w:rFonts w:ascii="宋体"/>
          <w:color w:val="000000" w:themeColor="text1"/>
          <w:sz w:val="24"/>
          <w:szCs w:val="24"/>
          <w14:textFill>
            <w14:solidFill>
              <w14:schemeClr w14:val="tx1"/>
            </w14:solidFill>
          </w14:textFill>
        </w:rPr>
      </w:pPr>
    </w:p>
    <w:p>
      <w:pPr>
        <w:spacing w:before="5"/>
        <w:rPr>
          <w:rFonts w:ascii="宋体"/>
          <w:color w:val="000000" w:themeColor="text1"/>
          <w:sz w:val="24"/>
          <w:szCs w:val="24"/>
          <w14:textFill>
            <w14:solidFill>
              <w14:schemeClr w14:val="tx1"/>
            </w14:solidFill>
          </w14:textFill>
        </w:rPr>
      </w:pPr>
    </w:p>
    <w:p>
      <w:pPr>
        <w:spacing w:before="5"/>
        <w:rPr>
          <w:rFonts w:ascii="宋体"/>
          <w:color w:val="000000" w:themeColor="text1"/>
          <w:sz w:val="24"/>
          <w:szCs w:val="24"/>
          <w14:textFill>
            <w14:solidFill>
              <w14:schemeClr w14:val="tx1"/>
            </w14:solidFill>
          </w14:textFill>
        </w:rPr>
      </w:pPr>
    </w:p>
    <w:p>
      <w:pPr>
        <w:spacing w:before="5"/>
        <w:rPr>
          <w:rFonts w:ascii="宋体"/>
          <w:color w:val="000000" w:themeColor="text1"/>
          <w:sz w:val="24"/>
          <w:szCs w:val="24"/>
          <w14:textFill>
            <w14:solidFill>
              <w14:schemeClr w14:val="tx1"/>
            </w14:solidFill>
          </w14:textFill>
        </w:rPr>
      </w:pPr>
    </w:p>
    <w:p>
      <w:pPr>
        <w:spacing w:before="5"/>
        <w:rPr>
          <w:rFonts w:ascii="宋体"/>
          <w:color w:val="000000" w:themeColor="text1"/>
          <w:sz w:val="24"/>
          <w:szCs w:val="24"/>
          <w14:textFill>
            <w14:solidFill>
              <w14:schemeClr w14:val="tx1"/>
            </w14:solidFill>
          </w14:textFill>
        </w:rPr>
      </w:pPr>
    </w:p>
    <w:p>
      <w:pPr>
        <w:spacing w:before="5"/>
        <w:rPr>
          <w:rFonts w:ascii="宋体"/>
          <w:color w:val="000000" w:themeColor="text1"/>
          <w:sz w:val="24"/>
          <w:szCs w:val="24"/>
          <w14:textFill>
            <w14:solidFill>
              <w14:schemeClr w14:val="tx1"/>
            </w14:solidFill>
          </w14:textFill>
        </w:rPr>
      </w:pPr>
    </w:p>
    <w:p>
      <w:pPr>
        <w:spacing w:before="5"/>
        <w:rPr>
          <w:rFonts w:ascii="宋体"/>
          <w:color w:val="000000" w:themeColor="text1"/>
          <w:sz w:val="24"/>
          <w:szCs w:val="24"/>
          <w14:textFill>
            <w14:solidFill>
              <w14:schemeClr w14:val="tx1"/>
            </w14:solidFill>
          </w14:textFill>
        </w:rPr>
      </w:pPr>
    </w:p>
    <w:p>
      <w:pPr>
        <w:spacing w:before="5"/>
        <w:rPr>
          <w:rFonts w:ascii="宋体"/>
          <w:color w:val="000000" w:themeColor="text1"/>
          <w:sz w:val="24"/>
          <w:szCs w:val="24"/>
          <w14:textFill>
            <w14:solidFill>
              <w14:schemeClr w14:val="tx1"/>
            </w14:solidFill>
          </w14:textFill>
        </w:rPr>
      </w:pPr>
    </w:p>
    <w:p>
      <w:pPr>
        <w:spacing w:before="5"/>
        <w:rPr>
          <w:rFonts w:ascii="宋体"/>
          <w:color w:val="000000" w:themeColor="text1"/>
          <w:sz w:val="24"/>
          <w:szCs w:val="24"/>
          <w14:textFill>
            <w14:solidFill>
              <w14:schemeClr w14:val="tx1"/>
            </w14:solidFill>
          </w14:textFill>
        </w:rPr>
      </w:pPr>
    </w:p>
    <w:p>
      <w:pPr>
        <w:spacing w:before="5"/>
        <w:rPr>
          <w:rFonts w:ascii="宋体"/>
          <w:color w:val="000000" w:themeColor="text1"/>
          <w:sz w:val="24"/>
          <w:szCs w:val="24"/>
          <w14:textFill>
            <w14:solidFill>
              <w14:schemeClr w14:val="tx1"/>
            </w14:solidFill>
          </w14:textFill>
        </w:rPr>
      </w:pPr>
    </w:p>
    <w:p>
      <w:pPr>
        <w:spacing w:before="5"/>
        <w:rPr>
          <w:rFonts w:ascii="宋体"/>
          <w:color w:val="000000" w:themeColor="text1"/>
          <w:sz w:val="24"/>
          <w:szCs w:val="24"/>
          <w14:textFill>
            <w14:solidFill>
              <w14:schemeClr w14:val="tx1"/>
            </w14:solidFill>
          </w14:textFill>
        </w:rPr>
      </w:pPr>
    </w:p>
    <w:p>
      <w:pPr>
        <w:spacing w:before="5"/>
        <w:rPr>
          <w:rFonts w:ascii="宋体"/>
          <w:color w:val="000000" w:themeColor="text1"/>
          <w:sz w:val="24"/>
          <w:szCs w:val="24"/>
          <w14:textFill>
            <w14:solidFill>
              <w14:schemeClr w14:val="tx1"/>
            </w14:solidFill>
          </w14:textFill>
        </w:rPr>
      </w:pPr>
    </w:p>
    <w:p>
      <w:pPr>
        <w:spacing w:before="5"/>
        <w:rPr>
          <w:rFonts w:ascii="宋体"/>
          <w:color w:val="000000" w:themeColor="text1"/>
          <w:sz w:val="24"/>
          <w:szCs w:val="24"/>
          <w14:textFill>
            <w14:solidFill>
              <w14:schemeClr w14:val="tx1"/>
            </w14:solidFill>
          </w14:textFill>
        </w:rPr>
      </w:pPr>
    </w:p>
    <w:p>
      <w:pPr>
        <w:spacing w:before="5"/>
        <w:rPr>
          <w:rFonts w:ascii="宋体"/>
          <w:color w:val="000000" w:themeColor="text1"/>
          <w:sz w:val="24"/>
          <w:szCs w:val="24"/>
          <w14:textFill>
            <w14:solidFill>
              <w14:schemeClr w14:val="tx1"/>
            </w14:solidFill>
          </w14:textFill>
        </w:rPr>
      </w:pPr>
    </w:p>
    <w:p>
      <w:pPr>
        <w:spacing w:before="5"/>
        <w:rPr>
          <w:rFonts w:ascii="宋体"/>
          <w:color w:val="000000" w:themeColor="text1"/>
          <w:sz w:val="24"/>
          <w:szCs w:val="24"/>
          <w14:textFill>
            <w14:solidFill>
              <w14:schemeClr w14:val="tx1"/>
            </w14:solidFill>
          </w14:textFill>
        </w:rPr>
      </w:pPr>
    </w:p>
    <w:p>
      <w:pPr>
        <w:spacing w:before="5"/>
        <w:rPr>
          <w:rFonts w:ascii="宋体"/>
          <w:color w:val="000000" w:themeColor="text1"/>
          <w:sz w:val="24"/>
          <w:szCs w:val="24"/>
          <w14:textFill>
            <w14:solidFill>
              <w14:schemeClr w14:val="tx1"/>
            </w14:solidFill>
          </w14:textFill>
        </w:rPr>
      </w:pPr>
    </w:p>
    <w:p>
      <w:pPr>
        <w:spacing w:before="5"/>
        <w:rPr>
          <w:rFonts w:ascii="宋体"/>
          <w:color w:val="000000" w:themeColor="text1"/>
          <w:sz w:val="24"/>
          <w:szCs w:val="24"/>
          <w14:textFill>
            <w14:solidFill>
              <w14:schemeClr w14:val="tx1"/>
            </w14:solidFill>
          </w14:textFill>
        </w:rPr>
      </w:pPr>
    </w:p>
    <w:p>
      <w:pPr>
        <w:spacing w:before="5"/>
        <w:rPr>
          <w:rFonts w:ascii="宋体"/>
          <w:color w:val="000000" w:themeColor="text1"/>
          <w:sz w:val="24"/>
          <w:szCs w:val="24"/>
          <w14:textFill>
            <w14:solidFill>
              <w14:schemeClr w14:val="tx1"/>
            </w14:solidFill>
          </w14:textFill>
        </w:rPr>
      </w:pPr>
    </w:p>
    <w:p>
      <w:pPr>
        <w:spacing w:before="5"/>
        <w:rPr>
          <w:rFonts w:ascii="宋体"/>
          <w:color w:val="000000" w:themeColor="text1"/>
          <w:sz w:val="24"/>
          <w:szCs w:val="24"/>
          <w14:textFill>
            <w14:solidFill>
              <w14:schemeClr w14:val="tx1"/>
            </w14:solidFill>
          </w14:textFill>
        </w:rPr>
      </w:pPr>
    </w:p>
    <w:p>
      <w:pPr>
        <w:spacing w:before="5"/>
        <w:rPr>
          <w:rFonts w:ascii="宋体"/>
          <w:color w:val="000000" w:themeColor="text1"/>
          <w:sz w:val="24"/>
          <w:szCs w:val="24"/>
          <w14:textFill>
            <w14:solidFill>
              <w14:schemeClr w14:val="tx1"/>
            </w14:solidFill>
          </w14:textFill>
        </w:rPr>
      </w:pPr>
    </w:p>
    <w:p>
      <w:pPr>
        <w:spacing w:before="5"/>
        <w:rPr>
          <w:rFonts w:ascii="宋体"/>
          <w:color w:val="000000" w:themeColor="text1"/>
          <w:sz w:val="24"/>
          <w:szCs w:val="24"/>
          <w14:textFill>
            <w14:solidFill>
              <w14:schemeClr w14:val="tx1"/>
            </w14:solidFill>
          </w14:textFill>
        </w:rPr>
      </w:pPr>
    </w:p>
    <w:p>
      <w:pPr>
        <w:spacing w:before="5"/>
        <w:rPr>
          <w:rFonts w:ascii="宋体"/>
          <w:color w:val="000000" w:themeColor="text1"/>
          <w:sz w:val="24"/>
          <w:szCs w:val="24"/>
          <w14:textFill>
            <w14:solidFill>
              <w14:schemeClr w14:val="tx1"/>
            </w14:solidFill>
          </w14:textFill>
        </w:rPr>
      </w:pPr>
    </w:p>
    <w:p>
      <w:pPr>
        <w:spacing w:before="5"/>
        <w:rPr>
          <w:rFonts w:ascii="宋体"/>
          <w:color w:val="000000" w:themeColor="text1"/>
          <w:sz w:val="24"/>
          <w:szCs w:val="24"/>
          <w14:textFill>
            <w14:solidFill>
              <w14:schemeClr w14:val="tx1"/>
            </w14:solidFill>
          </w14:textFill>
        </w:rPr>
      </w:pPr>
    </w:p>
    <w:p>
      <w:pPr>
        <w:spacing w:before="5"/>
        <w:rPr>
          <w:rFonts w:ascii="宋体"/>
          <w:color w:val="000000" w:themeColor="text1"/>
          <w:sz w:val="24"/>
          <w:szCs w:val="24"/>
          <w14:textFill>
            <w14:solidFill>
              <w14:schemeClr w14:val="tx1"/>
            </w14:solidFill>
          </w14:textFill>
        </w:rPr>
      </w:pPr>
    </w:p>
    <w:p>
      <w:pPr>
        <w:spacing w:before="5"/>
        <w:rPr>
          <w:rFonts w:ascii="宋体"/>
          <w:color w:val="000000" w:themeColor="text1"/>
          <w:sz w:val="24"/>
          <w:szCs w:val="24"/>
          <w14:textFill>
            <w14:solidFill>
              <w14:schemeClr w14:val="tx1"/>
            </w14:solidFill>
          </w14:textFill>
        </w:rPr>
      </w:pPr>
    </w:p>
    <w:p>
      <w:pPr>
        <w:spacing w:before="5"/>
        <w:rPr>
          <w:rFonts w:ascii="宋体"/>
          <w:color w:val="000000" w:themeColor="text1"/>
          <w:sz w:val="24"/>
          <w:szCs w:val="24"/>
          <w14:textFill>
            <w14:solidFill>
              <w14:schemeClr w14:val="tx1"/>
            </w14:solidFill>
          </w14:textFill>
        </w:rPr>
      </w:pPr>
    </w:p>
    <w:p>
      <w:pPr>
        <w:spacing w:before="5"/>
        <w:rPr>
          <w:rFonts w:ascii="宋体"/>
          <w:color w:val="000000" w:themeColor="text1"/>
          <w:sz w:val="24"/>
          <w:szCs w:val="24"/>
          <w14:textFill>
            <w14:solidFill>
              <w14:schemeClr w14:val="tx1"/>
            </w14:solidFill>
          </w14:textFill>
        </w:rPr>
      </w:pPr>
    </w:p>
    <w:p>
      <w:pPr>
        <w:spacing w:before="5"/>
        <w:rPr>
          <w:rFonts w:ascii="宋体"/>
          <w:color w:val="000000" w:themeColor="text1"/>
          <w:sz w:val="24"/>
          <w:szCs w:val="24"/>
          <w14:textFill>
            <w14:solidFill>
              <w14:schemeClr w14:val="tx1"/>
            </w14:solidFill>
          </w14:textFill>
        </w:rPr>
      </w:pPr>
    </w:p>
    <w:p>
      <w:pPr>
        <w:spacing w:before="5"/>
        <w:rPr>
          <w:rFonts w:ascii="宋体"/>
          <w:color w:val="000000" w:themeColor="text1"/>
          <w:sz w:val="24"/>
          <w:szCs w:val="24"/>
          <w14:textFill>
            <w14:solidFill>
              <w14:schemeClr w14:val="tx1"/>
            </w14:solidFill>
          </w14:textFill>
        </w:rPr>
      </w:pPr>
    </w:p>
    <w:p>
      <w:pPr>
        <w:spacing w:before="5"/>
        <w:rPr>
          <w:rFonts w:ascii="宋体"/>
          <w:color w:val="000000" w:themeColor="text1"/>
          <w:sz w:val="24"/>
          <w:szCs w:val="24"/>
          <w14:textFill>
            <w14:solidFill>
              <w14:schemeClr w14:val="tx1"/>
            </w14:solidFill>
          </w14:textFill>
        </w:rPr>
      </w:pPr>
    </w:p>
    <w:p>
      <w:pPr>
        <w:spacing w:before="5"/>
        <w:rPr>
          <w:rFonts w:ascii="宋体"/>
          <w:color w:val="000000" w:themeColor="text1"/>
          <w:sz w:val="24"/>
          <w:szCs w:val="24"/>
          <w14:textFill>
            <w14:solidFill>
              <w14:schemeClr w14:val="tx1"/>
            </w14:solidFill>
          </w14:textFill>
        </w:rPr>
      </w:pPr>
    </w:p>
    <w:p>
      <w:pPr>
        <w:spacing w:before="5"/>
        <w:rPr>
          <w:rFonts w:ascii="宋体"/>
          <w:color w:val="000000" w:themeColor="text1"/>
          <w:sz w:val="24"/>
          <w:szCs w:val="24"/>
          <w14:textFill>
            <w14:solidFill>
              <w14:schemeClr w14:val="tx1"/>
            </w14:solidFill>
          </w14:textFill>
        </w:rPr>
      </w:pPr>
    </w:p>
    <w:p>
      <w:pPr>
        <w:spacing w:before="5"/>
        <w:rPr>
          <w:rFonts w:ascii="宋体"/>
          <w:color w:val="000000" w:themeColor="text1"/>
          <w:sz w:val="24"/>
          <w:szCs w:val="24"/>
          <w14:textFill>
            <w14:solidFill>
              <w14:schemeClr w14:val="tx1"/>
            </w14:solidFill>
          </w14:textFill>
        </w:rPr>
      </w:pPr>
    </w:p>
    <w:p>
      <w:pPr>
        <w:spacing w:before="5"/>
        <w:rPr>
          <w:rFonts w:ascii="宋体"/>
          <w:color w:val="000000" w:themeColor="text1"/>
          <w:sz w:val="24"/>
          <w:szCs w:val="24"/>
          <w14:textFill>
            <w14:solidFill>
              <w14:schemeClr w14:val="tx1"/>
            </w14:solidFill>
          </w14:textFill>
        </w:rPr>
      </w:pPr>
    </w:p>
    <w:p>
      <w:pPr>
        <w:spacing w:before="5"/>
        <w:rPr>
          <w:rFonts w:ascii="宋体"/>
          <w:color w:val="000000" w:themeColor="text1"/>
          <w:sz w:val="24"/>
          <w:szCs w:val="24"/>
          <w14:textFill>
            <w14:solidFill>
              <w14:schemeClr w14:val="tx1"/>
            </w14:solidFill>
          </w14:textFill>
        </w:rPr>
      </w:pPr>
    </w:p>
    <w:p>
      <w:pPr>
        <w:spacing w:before="5"/>
        <w:rPr>
          <w:rFonts w:ascii="宋体"/>
          <w:color w:val="000000" w:themeColor="text1"/>
          <w:sz w:val="24"/>
          <w:szCs w:val="24"/>
          <w14:textFill>
            <w14:solidFill>
              <w14:schemeClr w14:val="tx1"/>
            </w14:solidFill>
          </w14:textFill>
        </w:rPr>
      </w:pPr>
    </w:p>
    <w:p>
      <w:pPr>
        <w:spacing w:before="5"/>
        <w:rPr>
          <w:rFonts w:ascii="宋体"/>
          <w:color w:val="000000" w:themeColor="text1"/>
          <w:sz w:val="24"/>
          <w:szCs w:val="24"/>
          <w14:textFill>
            <w14:solidFill>
              <w14:schemeClr w14:val="tx1"/>
            </w14:solidFill>
          </w14:textFill>
        </w:rPr>
      </w:pPr>
    </w:p>
    <w:p>
      <w:pPr>
        <w:spacing w:before="5"/>
        <w:rPr>
          <w:rFonts w:ascii="宋体"/>
          <w:color w:val="000000" w:themeColor="text1"/>
          <w:sz w:val="24"/>
          <w:szCs w:val="24"/>
          <w14:textFill>
            <w14:solidFill>
              <w14:schemeClr w14:val="tx1"/>
            </w14:solidFill>
          </w14:textFill>
        </w:rPr>
      </w:pPr>
    </w:p>
    <w:p>
      <w:pPr>
        <w:spacing w:before="5"/>
        <w:rPr>
          <w:rFonts w:ascii="宋体"/>
          <w:color w:val="000000" w:themeColor="text1"/>
          <w:sz w:val="24"/>
          <w:szCs w:val="24"/>
          <w14:textFill>
            <w14:solidFill>
              <w14:schemeClr w14:val="tx1"/>
            </w14:solidFill>
          </w14:textFill>
        </w:rPr>
      </w:pPr>
    </w:p>
    <w:p>
      <w:pPr>
        <w:spacing w:before="5"/>
        <w:rPr>
          <w:rFonts w:ascii="宋体"/>
          <w:color w:val="000000" w:themeColor="text1"/>
          <w:sz w:val="24"/>
          <w:szCs w:val="24"/>
          <w14:textFill>
            <w14:solidFill>
              <w14:schemeClr w14:val="tx1"/>
            </w14:solidFill>
          </w14:textFill>
        </w:rPr>
      </w:pPr>
    </w:p>
    <w:p>
      <w:pPr>
        <w:spacing w:before="5"/>
        <w:rPr>
          <w:rFonts w:ascii="宋体"/>
          <w:color w:val="000000" w:themeColor="text1"/>
          <w:sz w:val="24"/>
          <w:szCs w:val="24"/>
          <w14:textFill>
            <w14:solidFill>
              <w14:schemeClr w14:val="tx1"/>
            </w14:solidFill>
          </w14:textFill>
        </w:rPr>
      </w:pPr>
    </w:p>
    <w:p>
      <w:pPr>
        <w:adjustRightInd w:val="0"/>
        <w:snapToGrid w:val="0"/>
        <w:spacing w:line="360" w:lineRule="auto"/>
        <w:jc w:val="left"/>
        <w:rPr>
          <w:rFonts w:ascii="宋体" w:cs="宋体"/>
          <w:color w:val="000000" w:themeColor="text1"/>
          <w:sz w:val="24"/>
          <w:szCs w:val="24"/>
          <w14:textFill>
            <w14:solidFill>
              <w14:schemeClr w14:val="tx1"/>
            </w14:solidFill>
          </w14:textFill>
        </w:rPr>
      </w:pPr>
      <w:r>
        <w:rPr>
          <w:rFonts w:hint="eastAsia" w:ascii="宋体" w:cs="宋体"/>
          <w:color w:val="000000" w:themeColor="text1"/>
          <w:sz w:val="24"/>
          <w:szCs w:val="24"/>
          <w14:textFill>
            <w14:solidFill>
              <w14:schemeClr w14:val="tx1"/>
            </w14:solidFill>
          </w14:textFill>
        </w:rPr>
        <w:t>（七）产品售后服务方案及保障体系</w:t>
      </w:r>
      <w:r>
        <w:rPr>
          <w:rFonts w:ascii="宋体" w:cs="宋体"/>
          <w:color w:val="000000" w:themeColor="text1"/>
          <w:sz w:val="24"/>
          <w:szCs w:val="24"/>
          <w14:textFill>
            <w14:solidFill>
              <w14:schemeClr w14:val="tx1"/>
            </w14:solidFill>
          </w14:textFill>
        </w:rPr>
        <w:t xml:space="preserve"> (</w:t>
      </w:r>
      <w:r>
        <w:rPr>
          <w:rFonts w:hint="eastAsia" w:ascii="宋体" w:cs="宋体"/>
          <w:color w:val="000000" w:themeColor="text1"/>
          <w:sz w:val="24"/>
          <w:szCs w:val="24"/>
          <w14:textFill>
            <w14:solidFill>
              <w14:schemeClr w14:val="tx1"/>
            </w14:solidFill>
          </w14:textFill>
        </w:rPr>
        <w:t>格式</w:t>
      </w:r>
      <w:r>
        <w:rPr>
          <w:rFonts w:ascii="宋体" w:cs="宋体"/>
          <w:color w:val="000000" w:themeColor="text1"/>
          <w:sz w:val="24"/>
          <w:szCs w:val="24"/>
          <w14:textFill>
            <w14:solidFill>
              <w14:schemeClr w14:val="tx1"/>
            </w14:solidFill>
          </w14:textFill>
        </w:rPr>
        <w:t>)</w:t>
      </w:r>
    </w:p>
    <w:p>
      <w:pPr>
        <w:spacing w:line="480" w:lineRule="auto"/>
        <w:rPr>
          <w:rFonts w:ascii="黑体" w:hAnsi="黑体" w:eastAsia="黑体"/>
          <w:color w:val="000000" w:themeColor="text1"/>
          <w:sz w:val="28"/>
          <w:szCs w:val="28"/>
          <w:u w:val="single"/>
          <w14:textFill>
            <w14:solidFill>
              <w14:schemeClr w14:val="tx1"/>
            </w14:solidFill>
          </w14:textFill>
        </w:rPr>
      </w:pPr>
    </w:p>
    <w:p>
      <w:pPr>
        <w:adjustRightInd w:val="0"/>
        <w:snapToGrid w:val="0"/>
        <w:spacing w:line="360" w:lineRule="auto"/>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产品售后服务方案及保障体系</w:t>
      </w:r>
    </w:p>
    <w:p>
      <w:pPr>
        <w:adjustRightInd w:val="0"/>
        <w:snapToGrid w:val="0"/>
        <w:spacing w:line="360" w:lineRule="auto"/>
        <w:ind w:firstLine="480" w:firstLineChars="200"/>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（一）基本承诺</w:t>
      </w:r>
    </w:p>
    <w:p>
      <w:pPr>
        <w:adjustRightInd w:val="0"/>
        <w:snapToGrid w:val="0"/>
        <w:spacing w:line="360" w:lineRule="auto"/>
        <w:ind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．本公司（单位）对本项目（WXWJCG2023-</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）所提供的货物均为原厂全新合格品。</w:t>
      </w:r>
    </w:p>
    <w:p>
      <w:pPr>
        <w:adjustRightInd w:val="0"/>
        <w:snapToGrid w:val="0"/>
        <w:spacing w:line="360" w:lineRule="auto"/>
        <w:ind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．本公司（单位）具备履行合同所必需的设备和专业技术能力；</w:t>
      </w:r>
    </w:p>
    <w:p>
      <w:pPr>
        <w:adjustRightInd w:val="0"/>
        <w:snapToGrid w:val="0"/>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3.（制造厂商）保证（投标供应商）在本项目所投的涉及本公司的产品质量，并提供</w:t>
      </w:r>
      <w:r>
        <w:rPr>
          <w:rFonts w:hint="eastAsia" w:ascii="宋体" w:hAnsi="宋体" w:cs="宋体"/>
          <w:color w:val="000000" w:themeColor="text1"/>
          <w:kern w:val="0"/>
          <w:sz w:val="24"/>
          <w:szCs w:val="24"/>
          <w:u w:val="single"/>
          <w14:textFill>
            <w14:solidFill>
              <w14:schemeClr w14:val="tx1"/>
            </w14:solidFill>
          </w14:textFill>
        </w:rPr>
        <w:t>　　</w:t>
      </w:r>
      <w:r>
        <w:rPr>
          <w:rFonts w:hint="eastAsia" w:ascii="宋体" w:hAnsi="宋体" w:cs="宋体"/>
          <w:color w:val="000000" w:themeColor="text1"/>
          <w:kern w:val="0"/>
          <w:sz w:val="24"/>
          <w:szCs w:val="24"/>
          <w14:textFill>
            <w14:solidFill>
              <w14:schemeClr w14:val="tx1"/>
            </w14:solidFill>
          </w14:textFill>
        </w:rPr>
        <w:t>年原厂商上门免费保修。</w:t>
      </w:r>
    </w:p>
    <w:p>
      <w:pPr>
        <w:widowControl/>
        <w:adjustRightInd w:val="0"/>
        <w:snapToGrid w:val="0"/>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4. </w:t>
      </w:r>
      <w:r>
        <w:rPr>
          <w:rFonts w:hint="eastAsia" w:ascii="宋体" w:hAnsi="宋体" w:cs="宋体"/>
          <w:color w:val="000000" w:themeColor="text1"/>
          <w:sz w:val="24"/>
          <w:szCs w:val="24"/>
          <w14:textFill>
            <w14:solidFill>
              <w14:schemeClr w14:val="tx1"/>
            </w14:solidFill>
          </w14:textFill>
        </w:rPr>
        <w:t>本公司（单位）</w:t>
      </w:r>
      <w:r>
        <w:rPr>
          <w:rFonts w:hint="eastAsia" w:ascii="宋体" w:hAnsi="宋体" w:cs="宋体"/>
          <w:color w:val="000000" w:themeColor="text1"/>
          <w:kern w:val="0"/>
          <w:sz w:val="24"/>
          <w:szCs w:val="24"/>
          <w14:textFill>
            <w14:solidFill>
              <w14:schemeClr w14:val="tx1"/>
            </w14:solidFill>
          </w14:textFill>
        </w:rPr>
        <w:t>确保所提供的设备在设备使用年限（自设备安装验收合格之日算起</w:t>
      </w:r>
      <w:r>
        <w:rPr>
          <w:rFonts w:hint="eastAsia" w:ascii="宋体" w:hAnsi="宋体" w:cs="宋体"/>
          <w:color w:val="000000" w:themeColor="text1"/>
          <w:kern w:val="0"/>
          <w:sz w:val="24"/>
          <w:szCs w:val="24"/>
          <w:u w:val="single"/>
          <w14:textFill>
            <w14:solidFill>
              <w14:schemeClr w14:val="tx1"/>
            </w14:solidFill>
          </w14:textFill>
        </w:rPr>
        <w:t>10</w:t>
      </w:r>
      <w:r>
        <w:rPr>
          <w:rFonts w:hint="eastAsia" w:ascii="宋体" w:hAnsi="宋体" w:cs="宋体"/>
          <w:color w:val="000000" w:themeColor="text1"/>
          <w:kern w:val="0"/>
          <w:sz w:val="24"/>
          <w:szCs w:val="24"/>
          <w14:textFill>
            <w14:solidFill>
              <w14:schemeClr w14:val="tx1"/>
            </w14:solidFill>
          </w14:textFill>
        </w:rPr>
        <w:t>年）内的配件、耗材的正常供应；如因设备升级等原因而导致配件、耗材价格提高，且采购人无法接受时；或已无法正常供应配件、耗材时，</w:t>
      </w:r>
      <w:r>
        <w:rPr>
          <w:rFonts w:hint="eastAsia" w:ascii="宋体" w:hAnsi="宋体" w:cs="宋体"/>
          <w:color w:val="000000" w:themeColor="text1"/>
          <w:sz w:val="24"/>
          <w:szCs w:val="24"/>
          <w14:textFill>
            <w14:solidFill>
              <w14:schemeClr w14:val="tx1"/>
            </w14:solidFill>
          </w14:textFill>
        </w:rPr>
        <w:t>本公司（单位）</w:t>
      </w:r>
      <w:r>
        <w:rPr>
          <w:rFonts w:hint="eastAsia" w:ascii="宋体" w:hAnsi="宋体" w:cs="宋体"/>
          <w:color w:val="000000" w:themeColor="text1"/>
          <w:kern w:val="0"/>
          <w:sz w:val="24"/>
          <w:szCs w:val="24"/>
          <w14:textFill>
            <w14:solidFill>
              <w14:schemeClr w14:val="tx1"/>
            </w14:solidFill>
          </w14:textFill>
        </w:rPr>
        <w:t>同意按折旧后的价格将设备回购（折旧方法：直线折旧法）。</w:t>
      </w:r>
    </w:p>
    <w:p>
      <w:pPr>
        <w:adjustRightInd w:val="0"/>
        <w:snapToGrid w:val="0"/>
        <w:spacing w:line="360" w:lineRule="auto"/>
        <w:ind w:firstLine="480" w:firstLineChars="200"/>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（二）其他承诺</w:t>
      </w:r>
    </w:p>
    <w:p>
      <w:pPr>
        <w:tabs>
          <w:tab w:val="left" w:pos="0"/>
        </w:tabs>
        <w:adjustRightInd w:val="0"/>
        <w:snapToGrid w:val="0"/>
        <w:spacing w:line="360" w:lineRule="auto"/>
        <w:ind w:firstLine="480" w:firstLineChars="200"/>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1.针对本项目的售后服务方案（指保障采购项目能够达到招标文件设定的使用和运行状态而提供的配送、安装、调试、培训、响应时间、技术支持、维修以及应急保障措施</w:t>
      </w:r>
      <w:r>
        <w:rPr>
          <w:rFonts w:hint="eastAsia" w:ascii="宋体" w:cs="宋体"/>
          <w:color w:val="000000" w:themeColor="text1"/>
          <w:sz w:val="24"/>
          <w:szCs w:val="24"/>
          <w14:textFill>
            <w14:solidFill>
              <w14:schemeClr w14:val="tx1"/>
            </w14:solidFill>
          </w14:textFill>
        </w:rPr>
        <w:t>等一系列服务方案）。本公司承诺：</w:t>
      </w:r>
    </w:p>
    <w:p>
      <w:pPr>
        <w:tabs>
          <w:tab w:val="left" w:pos="0"/>
        </w:tabs>
        <w:adjustRightInd w:val="0"/>
        <w:snapToGrid w:val="0"/>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cs="宋体"/>
          <w:color w:val="000000" w:themeColor="text1"/>
          <w:sz w:val="24"/>
          <w:szCs w:val="24"/>
          <w14:textFill>
            <w14:solidFill>
              <w14:schemeClr w14:val="tx1"/>
            </w14:solidFill>
          </w14:textFill>
        </w:rPr>
        <w:t>2. 针对本项目的服务保障体系（指保障服务方案的实施而设立的服务机构、配备的相应服务人员、设施装备，以及相应的服务细则和规范的管理制度，保证服务质量的措施）。本公司承诺：</w:t>
      </w:r>
    </w:p>
    <w:p>
      <w:pPr>
        <w:adjustRightInd w:val="0"/>
        <w:snapToGrid w:val="0"/>
        <w:spacing w:line="360" w:lineRule="auto"/>
        <w:rPr>
          <w:rFonts w:ascii="宋体"/>
          <w:color w:val="000000" w:themeColor="text1"/>
          <w:sz w:val="24"/>
          <w:szCs w:val="24"/>
          <w14:textFill>
            <w14:solidFill>
              <w14:schemeClr w14:val="tx1"/>
            </w14:solidFill>
          </w14:textFill>
        </w:rPr>
      </w:pPr>
    </w:p>
    <w:p>
      <w:pPr>
        <w:adjustRightInd w:val="0"/>
        <w:snapToGrid w:val="0"/>
        <w:spacing w:line="360" w:lineRule="auto"/>
        <w:rPr>
          <w:rFonts w:ascii="宋体"/>
          <w:color w:val="000000" w:themeColor="text1"/>
          <w:sz w:val="24"/>
          <w:szCs w:val="24"/>
          <w14:textFill>
            <w14:solidFill>
              <w14:schemeClr w14:val="tx1"/>
            </w14:solidFill>
          </w14:textFill>
        </w:rPr>
      </w:pPr>
    </w:p>
    <w:p>
      <w:pPr>
        <w:adjustRightInd w:val="0"/>
        <w:snapToGrid w:val="0"/>
        <w:spacing w:line="360" w:lineRule="auto"/>
        <w:ind w:firstLine="5400" w:firstLineChars="2250"/>
        <w:rPr>
          <w:rFonts w:ascii="宋体"/>
          <w:color w:val="000000" w:themeColor="text1"/>
          <w:sz w:val="24"/>
          <w:szCs w:val="24"/>
          <w14:textFill>
            <w14:solidFill>
              <w14:schemeClr w14:val="tx1"/>
            </w14:solidFill>
          </w14:textFill>
        </w:rPr>
      </w:pPr>
      <w:r>
        <w:rPr>
          <w:rFonts w:hint="eastAsia" w:ascii="宋体" w:cs="宋体"/>
          <w:color w:val="000000" w:themeColor="text1"/>
          <w:sz w:val="24"/>
          <w:szCs w:val="24"/>
          <w14:textFill>
            <w14:solidFill>
              <w14:schemeClr w14:val="tx1"/>
            </w14:solidFill>
          </w14:textFill>
        </w:rPr>
        <w:t>制造厂商（盖章）：</w:t>
      </w:r>
    </w:p>
    <w:p>
      <w:pPr>
        <w:adjustRightInd w:val="0"/>
        <w:snapToGrid w:val="0"/>
        <w:spacing w:line="360" w:lineRule="auto"/>
        <w:ind w:firstLine="4920" w:firstLineChars="2050"/>
        <w:rPr>
          <w:rFonts w:ascii="宋体"/>
          <w:color w:val="000000" w:themeColor="text1"/>
          <w:sz w:val="24"/>
          <w:szCs w:val="24"/>
          <w14:textFill>
            <w14:solidFill>
              <w14:schemeClr w14:val="tx1"/>
            </w14:solidFill>
          </w14:textFill>
        </w:rPr>
      </w:pPr>
      <w:r>
        <w:rPr>
          <w:rFonts w:hint="eastAsia" w:ascii="宋体" w:cs="宋体"/>
          <w:color w:val="000000" w:themeColor="text1"/>
          <w:sz w:val="24"/>
          <w:szCs w:val="24"/>
          <w14:textFill>
            <w14:solidFill>
              <w14:schemeClr w14:val="tx1"/>
            </w14:solidFill>
          </w14:textFill>
        </w:rPr>
        <w:t>投标供应商（</w:t>
      </w:r>
      <w:r>
        <w:rPr>
          <w:rFonts w:hint="eastAsia" w:ascii="宋体" w:hAnsi="宋体" w:cs="宋体"/>
          <w:color w:val="000000" w:themeColor="text1"/>
          <w:sz w:val="24"/>
          <w:szCs w:val="24"/>
          <w14:textFill>
            <w14:solidFill>
              <w14:schemeClr w14:val="tx1"/>
            </w14:solidFill>
          </w14:textFill>
        </w:rPr>
        <w:t>CA签章</w:t>
      </w:r>
      <w:r>
        <w:rPr>
          <w:rFonts w:hint="eastAsia" w:ascii="宋体" w:cs="宋体"/>
          <w:color w:val="000000" w:themeColor="text1"/>
          <w:sz w:val="24"/>
          <w:szCs w:val="24"/>
          <w14:textFill>
            <w14:solidFill>
              <w14:schemeClr w14:val="tx1"/>
            </w14:solidFill>
          </w14:textFill>
        </w:rPr>
        <w:t>）：</w:t>
      </w:r>
    </w:p>
    <w:p>
      <w:pPr>
        <w:adjustRightInd w:val="0"/>
        <w:snapToGrid w:val="0"/>
        <w:spacing w:line="360" w:lineRule="auto"/>
        <w:ind w:firstLine="6720" w:firstLineChars="2800"/>
        <w:rPr>
          <w:rFonts w:ascii="宋体"/>
          <w:color w:val="000000" w:themeColor="text1"/>
          <w:sz w:val="24"/>
          <w:szCs w:val="24"/>
          <w14:textFill>
            <w14:solidFill>
              <w14:schemeClr w14:val="tx1"/>
            </w14:solidFill>
          </w14:textFill>
        </w:rPr>
      </w:pPr>
      <w:r>
        <w:rPr>
          <w:rFonts w:hint="eastAsia" w:ascii="宋体" w:cs="宋体"/>
          <w:color w:val="000000" w:themeColor="text1"/>
          <w:sz w:val="24"/>
          <w:szCs w:val="24"/>
          <w14:textFill>
            <w14:solidFill>
              <w14:schemeClr w14:val="tx1"/>
            </w14:solidFill>
          </w14:textFill>
        </w:rPr>
        <w:t>日期：</w:t>
      </w:r>
    </w:p>
    <w:p>
      <w:pPr>
        <w:spacing w:line="480" w:lineRule="auto"/>
        <w:rPr>
          <w:rFonts w:ascii="宋体"/>
          <w:color w:val="000000" w:themeColor="text1"/>
          <w:sz w:val="24"/>
          <w:szCs w:val="24"/>
          <w14:textFill>
            <w14:solidFill>
              <w14:schemeClr w14:val="tx1"/>
            </w14:solidFill>
          </w14:textFill>
        </w:rPr>
      </w:pPr>
    </w:p>
    <w:p>
      <w:pPr>
        <w:spacing w:line="480" w:lineRule="auto"/>
        <w:rPr>
          <w:rFonts w:ascii="宋体"/>
          <w:color w:val="000000" w:themeColor="text1"/>
          <w:sz w:val="24"/>
          <w:szCs w:val="24"/>
          <w14:textFill>
            <w14:solidFill>
              <w14:schemeClr w14:val="tx1"/>
            </w14:solidFill>
          </w14:textFill>
        </w:rPr>
      </w:pPr>
    </w:p>
    <w:p>
      <w:pPr>
        <w:spacing w:line="480" w:lineRule="auto"/>
        <w:rPr>
          <w:rFonts w:ascii="宋体"/>
          <w:color w:val="000000" w:themeColor="text1"/>
          <w:sz w:val="24"/>
          <w:szCs w:val="24"/>
          <w14:textFill>
            <w14:solidFill>
              <w14:schemeClr w14:val="tx1"/>
            </w14:solidFill>
          </w14:textFill>
        </w:rPr>
      </w:pPr>
    </w:p>
    <w:p>
      <w:pPr>
        <w:outlineLvl w:val="0"/>
        <w:rPr>
          <w:rFonts w:ascii="宋体"/>
          <w:color w:val="000000" w:themeColor="text1"/>
          <w:sz w:val="24"/>
          <w:szCs w:val="24"/>
          <w14:textFill>
            <w14:solidFill>
              <w14:schemeClr w14:val="tx1"/>
            </w14:solidFill>
          </w14:textFill>
        </w:rPr>
      </w:pPr>
    </w:p>
    <w:p>
      <w:pPr>
        <w:outlineLvl w:val="0"/>
        <w:rPr>
          <w:rFonts w:ascii="宋体"/>
          <w:color w:val="000000" w:themeColor="text1"/>
          <w:sz w:val="24"/>
          <w:szCs w:val="24"/>
          <w14:textFill>
            <w14:solidFill>
              <w14:schemeClr w14:val="tx1"/>
            </w14:solidFill>
          </w14:textFill>
        </w:rPr>
      </w:pPr>
    </w:p>
    <w:p>
      <w:pPr>
        <w:outlineLvl w:val="0"/>
        <w:rPr>
          <w:rFonts w:ascii="宋体"/>
          <w:color w:val="000000" w:themeColor="text1"/>
          <w:sz w:val="24"/>
          <w:szCs w:val="24"/>
          <w14:textFill>
            <w14:solidFill>
              <w14:schemeClr w14:val="tx1"/>
            </w14:solidFill>
          </w14:textFill>
        </w:rPr>
      </w:pPr>
    </w:p>
    <w:p>
      <w:pPr>
        <w:outlineLvl w:val="0"/>
        <w:rPr>
          <w:rFonts w:ascii="宋体"/>
          <w:color w:val="000000" w:themeColor="text1"/>
          <w:sz w:val="24"/>
          <w:szCs w:val="24"/>
          <w14:textFill>
            <w14:solidFill>
              <w14:schemeClr w14:val="tx1"/>
            </w14:solidFill>
          </w14:textFill>
        </w:rPr>
      </w:pPr>
    </w:p>
    <w:p>
      <w:pPr>
        <w:spacing w:before="5"/>
        <w:rPr>
          <w:rFonts w:ascii="宋体"/>
          <w:color w:val="000000" w:themeColor="text1"/>
          <w:sz w:val="24"/>
          <w:szCs w:val="24"/>
          <w14:textFill>
            <w14:solidFill>
              <w14:schemeClr w14:val="tx1"/>
            </w14:solidFill>
          </w14:textFill>
        </w:rPr>
      </w:pPr>
      <w:r>
        <w:rPr>
          <w:rFonts w:hint="eastAsia" w:ascii="宋体" w:cs="宋体"/>
          <w:color w:val="000000" w:themeColor="text1"/>
          <w:sz w:val="24"/>
          <w:szCs w:val="24"/>
          <w14:textFill>
            <w14:solidFill>
              <w14:schemeClr w14:val="tx1"/>
            </w14:solidFill>
          </w14:textFill>
        </w:rPr>
        <w:t>（八）（投标人）中小企业声明函（格式）</w:t>
      </w:r>
    </w:p>
    <w:p>
      <w:pPr>
        <w:adjustRightInd w:val="0"/>
        <w:snapToGrid w:val="0"/>
        <w:spacing w:before="312" w:beforeLines="100" w:after="312" w:afterLines="100" w:line="640" w:lineRule="exact"/>
        <w:jc w:val="center"/>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中小企业声明函（货物）</w:t>
      </w:r>
    </w:p>
    <w:p>
      <w:pPr>
        <w:pStyle w:val="148"/>
        <w:snapToGrid w:val="0"/>
        <w:spacing w:line="360" w:lineRule="auto"/>
        <w:ind w:firstLine="480" w:firstLineChars="200"/>
        <w:jc w:val="both"/>
        <w:rPr>
          <w:rFonts w:cs="仿宋" w:asciiTheme="minorEastAsia" w:hAnsiTheme="minorEastAsia" w:eastAsiaTheme="minorEastAsia"/>
          <w:color w:val="000000" w:themeColor="text1"/>
          <w14:textFill>
            <w14:solidFill>
              <w14:schemeClr w14:val="tx1"/>
            </w14:solidFill>
          </w14:textFill>
        </w:rPr>
      </w:pPr>
      <w:r>
        <w:rPr>
          <w:rFonts w:hint="eastAsia" w:cs="仿宋" w:asciiTheme="minorEastAsia" w:hAnsiTheme="minorEastAsia" w:eastAsiaTheme="minorEastAsia"/>
          <w:color w:val="000000" w:themeColor="text1"/>
          <w14:textFill>
            <w14:solidFill>
              <w14:schemeClr w14:val="tx1"/>
            </w14:solidFill>
          </w14:textFill>
        </w:rPr>
        <w:t>本公司（联合体）郑重声明，根据《政府采购促进中小企业发展管理办法》（财库</w:t>
      </w:r>
      <w:r>
        <w:rPr>
          <w:rFonts w:hint="eastAsia" w:cs="宋体" w:asciiTheme="minorEastAsia" w:hAnsiTheme="minorEastAsia" w:eastAsiaTheme="minorEastAsia"/>
          <w:color w:val="000000" w:themeColor="text1"/>
          <w14:textFill>
            <w14:solidFill>
              <w14:schemeClr w14:val="tx1"/>
            </w14:solidFill>
          </w14:textFill>
        </w:rPr>
        <w:t>﹝</w:t>
      </w:r>
      <w:r>
        <w:rPr>
          <w:rFonts w:cs="仿宋" w:asciiTheme="minorEastAsia" w:hAnsiTheme="minorEastAsia" w:eastAsiaTheme="minorEastAsia"/>
          <w:color w:val="000000" w:themeColor="text1"/>
          <w14:textFill>
            <w14:solidFill>
              <w14:schemeClr w14:val="tx1"/>
            </w14:solidFill>
          </w14:textFill>
        </w:rPr>
        <w:t>2020</w:t>
      </w:r>
      <w:r>
        <w:rPr>
          <w:rFonts w:hint="eastAsia" w:cs="宋体" w:asciiTheme="minorEastAsia" w:hAnsiTheme="minorEastAsia" w:eastAsiaTheme="minorEastAsia"/>
          <w:color w:val="000000" w:themeColor="text1"/>
          <w14:textFill>
            <w14:solidFill>
              <w14:schemeClr w14:val="tx1"/>
            </w14:solidFill>
          </w14:textFill>
        </w:rPr>
        <w:t>﹞</w:t>
      </w:r>
      <w:r>
        <w:rPr>
          <w:rFonts w:cs="仿宋" w:asciiTheme="minorEastAsia" w:hAnsiTheme="minorEastAsia" w:eastAsiaTheme="minorEastAsia"/>
          <w:color w:val="000000" w:themeColor="text1"/>
          <w14:textFill>
            <w14:solidFill>
              <w14:schemeClr w14:val="tx1"/>
            </w14:solidFill>
          </w14:textFill>
        </w:rPr>
        <w:t>46</w:t>
      </w:r>
      <w:r>
        <w:rPr>
          <w:rFonts w:hint="eastAsia" w:cs="仿宋" w:asciiTheme="minorEastAsia" w:hAnsiTheme="minorEastAsia" w:eastAsiaTheme="minorEastAsia"/>
          <w:color w:val="000000" w:themeColor="text1"/>
          <w14:textFill>
            <w14:solidFill>
              <w14:schemeClr w14:val="tx1"/>
            </w14:solidFill>
          </w14:textFill>
        </w:rPr>
        <w:t>号）的规定，本公司（联合体）参加</w:t>
      </w:r>
      <w:r>
        <w:rPr>
          <w:rFonts w:hint="eastAsia" w:cs="仿宋" w:asciiTheme="minorEastAsia" w:hAnsiTheme="minorEastAsia" w:eastAsiaTheme="minorEastAsia"/>
          <w:color w:val="000000" w:themeColor="text1"/>
          <w:u w:val="single"/>
          <w14:textFill>
            <w14:solidFill>
              <w14:schemeClr w14:val="tx1"/>
            </w14:solidFill>
          </w14:textFill>
        </w:rPr>
        <w:t>（单位名称）</w:t>
      </w:r>
      <w:r>
        <w:rPr>
          <w:rFonts w:hint="eastAsia" w:cs="仿宋" w:asciiTheme="minorEastAsia" w:hAnsiTheme="minorEastAsia" w:eastAsiaTheme="minorEastAsia"/>
          <w:color w:val="000000" w:themeColor="text1"/>
          <w14:textFill>
            <w14:solidFill>
              <w14:schemeClr w14:val="tx1"/>
            </w14:solidFill>
          </w14:textFill>
        </w:rPr>
        <w:t>的</w:t>
      </w:r>
      <w:r>
        <w:rPr>
          <w:rFonts w:hint="eastAsia" w:cs="仿宋" w:asciiTheme="minorEastAsia" w:hAnsiTheme="minorEastAsia" w:eastAsiaTheme="minorEastAsia"/>
          <w:color w:val="000000" w:themeColor="text1"/>
          <w:u w:val="single"/>
          <w14:textFill>
            <w14:solidFill>
              <w14:schemeClr w14:val="tx1"/>
            </w14:solidFill>
          </w14:textFill>
        </w:rPr>
        <w:t>（项目名称）</w:t>
      </w:r>
      <w:r>
        <w:rPr>
          <w:rFonts w:hint="eastAsia" w:cs="仿宋" w:asciiTheme="minorEastAsia" w:hAnsiTheme="minorEastAsia" w:eastAsiaTheme="minorEastAsia"/>
          <w:color w:val="000000" w:themeColor="text1"/>
          <w14:textFill>
            <w14:solidFill>
              <w14:schemeClr w14:val="tx1"/>
            </w14:solidFill>
          </w14:textFill>
        </w:rPr>
        <w:t>采购活动，提供的货物全部由符合政策要求的中小企业制造。相关企业（含联合体中的中小企业、签订分包意向协议的中小企业）的具体情况如下：</w:t>
      </w:r>
    </w:p>
    <w:p>
      <w:pPr>
        <w:pStyle w:val="147"/>
        <w:numPr>
          <w:ilvl w:val="0"/>
          <w:numId w:val="11"/>
        </w:numPr>
        <w:snapToGrid w:val="0"/>
        <w:spacing w:line="360" w:lineRule="auto"/>
        <w:ind w:firstLine="480" w:firstLineChars="200"/>
        <w:jc w:val="both"/>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u w:val="single"/>
          <w14:textFill>
            <w14:solidFill>
              <w14:schemeClr w14:val="tx1"/>
            </w14:solidFill>
          </w14:textFill>
        </w:rPr>
        <w:t>（标的名称）</w:t>
      </w:r>
      <w:r>
        <w:rPr>
          <w:rFonts w:hint="eastAsia" w:asciiTheme="minorEastAsia" w:hAnsiTheme="minorEastAsia" w:eastAsiaTheme="minorEastAsia"/>
          <w:color w:val="000000" w:themeColor="text1"/>
          <w14:textFill>
            <w14:solidFill>
              <w14:schemeClr w14:val="tx1"/>
            </w14:solidFill>
          </w14:textFill>
        </w:rPr>
        <w:t>，属于</w:t>
      </w:r>
      <w:r>
        <w:rPr>
          <w:rFonts w:hint="eastAsia" w:asciiTheme="minorEastAsia" w:hAnsiTheme="minorEastAsia" w:eastAsiaTheme="minorEastAsia"/>
          <w:color w:val="000000" w:themeColor="text1"/>
          <w:u w:val="single"/>
          <w14:textFill>
            <w14:solidFill>
              <w14:schemeClr w14:val="tx1"/>
            </w14:solidFill>
          </w14:textFill>
        </w:rPr>
        <w:t>（采购文件中明确的所属行业）行业</w:t>
      </w:r>
      <w:r>
        <w:rPr>
          <w:rFonts w:hint="eastAsia" w:asciiTheme="minorEastAsia" w:hAnsiTheme="minorEastAsia" w:eastAsiaTheme="minorEastAsia"/>
          <w:color w:val="000000" w:themeColor="text1"/>
          <w14:textFill>
            <w14:solidFill>
              <w14:schemeClr w14:val="tx1"/>
            </w14:solidFill>
          </w14:textFill>
        </w:rPr>
        <w:t>；制造商为</w:t>
      </w:r>
      <w:r>
        <w:rPr>
          <w:rFonts w:hint="eastAsia" w:asciiTheme="minorEastAsia" w:hAnsiTheme="minorEastAsia" w:eastAsiaTheme="minorEastAsia"/>
          <w:color w:val="000000" w:themeColor="text1"/>
          <w:u w:val="single"/>
          <w14:textFill>
            <w14:solidFill>
              <w14:schemeClr w14:val="tx1"/>
            </w14:solidFill>
          </w14:textFill>
        </w:rPr>
        <w:t>（企业名称）</w:t>
      </w:r>
      <w:r>
        <w:rPr>
          <w:rFonts w:hint="eastAsia" w:asciiTheme="minorEastAsia" w:hAnsiTheme="minorEastAsia" w:eastAsiaTheme="minorEastAsia"/>
          <w:color w:val="000000" w:themeColor="text1"/>
          <w14:textFill>
            <w14:solidFill>
              <w14:schemeClr w14:val="tx1"/>
            </w14:solidFill>
          </w14:textFill>
        </w:rPr>
        <w:t>，从业人员人，营业收入为万元，资产总额为万元，属于</w:t>
      </w:r>
      <w:r>
        <w:rPr>
          <w:rFonts w:hint="eastAsia" w:asciiTheme="minorEastAsia" w:hAnsiTheme="minorEastAsia" w:eastAsiaTheme="minorEastAsia"/>
          <w:color w:val="000000" w:themeColor="text1"/>
          <w:u w:val="single"/>
          <w14:textFill>
            <w14:solidFill>
              <w14:schemeClr w14:val="tx1"/>
            </w14:solidFill>
          </w14:textFill>
        </w:rPr>
        <w:t>（中型企业、小型企业、微型企业）</w:t>
      </w:r>
      <w:r>
        <w:rPr>
          <w:rFonts w:hint="eastAsia" w:asciiTheme="minorEastAsia" w:hAnsiTheme="minorEastAsia" w:eastAsiaTheme="minorEastAsia"/>
          <w:color w:val="000000" w:themeColor="text1"/>
          <w14:textFill>
            <w14:solidFill>
              <w14:schemeClr w14:val="tx1"/>
            </w14:solidFill>
          </w14:textFill>
        </w:rPr>
        <w:t>；</w:t>
      </w:r>
    </w:p>
    <w:p>
      <w:pPr>
        <w:pStyle w:val="147"/>
        <w:numPr>
          <w:ilvl w:val="0"/>
          <w:numId w:val="11"/>
        </w:numPr>
        <w:snapToGrid w:val="0"/>
        <w:spacing w:line="360" w:lineRule="auto"/>
        <w:ind w:firstLine="480" w:firstLineChars="200"/>
        <w:jc w:val="both"/>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u w:val="single"/>
          <w14:textFill>
            <w14:solidFill>
              <w14:schemeClr w14:val="tx1"/>
            </w14:solidFill>
          </w14:textFill>
        </w:rPr>
        <w:t>（标的名称）</w:t>
      </w:r>
      <w:r>
        <w:rPr>
          <w:rFonts w:hint="eastAsia" w:asciiTheme="minorEastAsia" w:hAnsiTheme="minorEastAsia" w:eastAsiaTheme="minorEastAsia"/>
          <w:color w:val="000000" w:themeColor="text1"/>
          <w14:textFill>
            <w14:solidFill>
              <w14:schemeClr w14:val="tx1"/>
            </w14:solidFill>
          </w14:textFill>
        </w:rPr>
        <w:t>，属于</w:t>
      </w:r>
      <w:r>
        <w:rPr>
          <w:rFonts w:hint="eastAsia" w:asciiTheme="minorEastAsia" w:hAnsiTheme="minorEastAsia" w:eastAsiaTheme="minorEastAsia"/>
          <w:color w:val="000000" w:themeColor="text1"/>
          <w:u w:val="single"/>
          <w14:textFill>
            <w14:solidFill>
              <w14:schemeClr w14:val="tx1"/>
            </w14:solidFill>
          </w14:textFill>
        </w:rPr>
        <w:t>（采购文件中明确的所属行业）行业</w:t>
      </w:r>
      <w:r>
        <w:rPr>
          <w:rFonts w:hint="eastAsia" w:asciiTheme="minorEastAsia" w:hAnsiTheme="minorEastAsia" w:eastAsiaTheme="minorEastAsia"/>
          <w:color w:val="000000" w:themeColor="text1"/>
          <w14:textFill>
            <w14:solidFill>
              <w14:schemeClr w14:val="tx1"/>
            </w14:solidFill>
          </w14:textFill>
        </w:rPr>
        <w:t>；制造商为</w:t>
      </w:r>
      <w:r>
        <w:rPr>
          <w:rFonts w:hint="eastAsia" w:asciiTheme="minorEastAsia" w:hAnsiTheme="minorEastAsia" w:eastAsiaTheme="minorEastAsia"/>
          <w:color w:val="000000" w:themeColor="text1"/>
          <w:u w:val="single"/>
          <w14:textFill>
            <w14:solidFill>
              <w14:schemeClr w14:val="tx1"/>
            </w14:solidFill>
          </w14:textFill>
        </w:rPr>
        <w:t>（企业名称）</w:t>
      </w:r>
      <w:r>
        <w:rPr>
          <w:rFonts w:hint="eastAsia" w:asciiTheme="minorEastAsia" w:hAnsiTheme="minorEastAsia" w:eastAsiaTheme="minorEastAsia"/>
          <w:color w:val="000000" w:themeColor="text1"/>
          <w14:textFill>
            <w14:solidFill>
              <w14:schemeClr w14:val="tx1"/>
            </w14:solidFill>
          </w14:textFill>
        </w:rPr>
        <w:t>，从业人员人，营业收入为万元，资产总额为万元，属于</w:t>
      </w:r>
      <w:r>
        <w:rPr>
          <w:rFonts w:hint="eastAsia" w:asciiTheme="minorEastAsia" w:hAnsiTheme="minorEastAsia" w:eastAsiaTheme="minorEastAsia"/>
          <w:color w:val="000000" w:themeColor="text1"/>
          <w:u w:val="single"/>
          <w14:textFill>
            <w14:solidFill>
              <w14:schemeClr w14:val="tx1"/>
            </w14:solidFill>
          </w14:textFill>
        </w:rPr>
        <w:t>（中型企业、小型企业、微型企业）</w:t>
      </w:r>
      <w:r>
        <w:rPr>
          <w:rFonts w:hint="eastAsia" w:asciiTheme="minorEastAsia" w:hAnsiTheme="minorEastAsia" w:eastAsiaTheme="minorEastAsia"/>
          <w:color w:val="000000" w:themeColor="text1"/>
          <w14:textFill>
            <w14:solidFill>
              <w14:schemeClr w14:val="tx1"/>
            </w14:solidFill>
          </w14:textFill>
        </w:rPr>
        <w:t>；</w:t>
      </w:r>
    </w:p>
    <w:p>
      <w:pPr>
        <w:pStyle w:val="147"/>
        <w:snapToGrid w:val="0"/>
        <w:spacing w:line="360" w:lineRule="auto"/>
        <w:ind w:firstLine="480" w:firstLineChars="200"/>
        <w:jc w:val="both"/>
        <w:rPr>
          <w:rFonts w:asciiTheme="minorEastAsia" w:hAnsiTheme="minorEastAsia" w:eastAsiaTheme="minorEastAsia"/>
          <w:color w:val="000000" w:themeColor="text1"/>
          <w14:textFill>
            <w14:solidFill>
              <w14:schemeClr w14:val="tx1"/>
            </w14:solidFill>
          </w14:textFill>
        </w:rPr>
      </w:pPr>
    </w:p>
    <w:p>
      <w:pPr>
        <w:pStyle w:val="149"/>
        <w:snapToGrid w:val="0"/>
        <w:spacing w:line="360" w:lineRule="auto"/>
        <w:ind w:firstLine="480" w:firstLineChars="200"/>
        <w:jc w:val="both"/>
        <w:rPr>
          <w:rFonts w:cs="仿宋" w:asciiTheme="minorEastAsia" w:hAnsiTheme="minorEastAsia" w:eastAsiaTheme="minorEastAsia"/>
          <w:color w:val="000000" w:themeColor="text1"/>
          <w14:textFill>
            <w14:solidFill>
              <w14:schemeClr w14:val="tx1"/>
            </w14:solidFill>
          </w14:textFill>
        </w:rPr>
      </w:pPr>
      <w:r>
        <w:rPr>
          <w:rFonts w:hint="eastAsia" w:cs="仿宋" w:asciiTheme="minorEastAsia" w:hAnsiTheme="minorEastAsia" w:eastAsiaTheme="minorEastAsia"/>
          <w:color w:val="000000" w:themeColor="text1"/>
          <w14:textFill>
            <w14:solidFill>
              <w14:schemeClr w14:val="tx1"/>
            </w14:solidFill>
          </w14:textFill>
        </w:rPr>
        <w:t>……</w:t>
      </w:r>
    </w:p>
    <w:p>
      <w:pPr>
        <w:pStyle w:val="148"/>
        <w:snapToGrid w:val="0"/>
        <w:spacing w:line="360" w:lineRule="auto"/>
        <w:ind w:firstLine="480" w:firstLineChars="200"/>
        <w:jc w:val="both"/>
        <w:rPr>
          <w:rFonts w:cs="仿宋" w:asciiTheme="minorEastAsia" w:hAnsiTheme="minorEastAsia" w:eastAsiaTheme="minorEastAsia"/>
          <w:color w:val="000000" w:themeColor="text1"/>
          <w14:textFill>
            <w14:solidFill>
              <w14:schemeClr w14:val="tx1"/>
            </w14:solidFill>
          </w14:textFill>
        </w:rPr>
      </w:pPr>
      <w:r>
        <w:rPr>
          <w:rFonts w:hint="eastAsia" w:cs="仿宋" w:asciiTheme="minorEastAsia" w:hAnsiTheme="minorEastAsia" w:eastAsiaTheme="minorEastAsia"/>
          <w:color w:val="000000" w:themeColor="text1"/>
          <w14:textFill>
            <w14:solidFill>
              <w14:schemeClr w14:val="tx1"/>
            </w14:solidFill>
          </w14:textFill>
        </w:rPr>
        <w:t>以上企业，不属于大企业的分支机构，不存在控股股东为大企业的情形，也不存在与大企业的负责人为同一人的情形。</w:t>
      </w:r>
    </w:p>
    <w:p>
      <w:pPr>
        <w:pStyle w:val="149"/>
        <w:snapToGrid w:val="0"/>
        <w:spacing w:line="360" w:lineRule="auto"/>
        <w:ind w:firstLine="480" w:firstLineChars="200"/>
        <w:jc w:val="both"/>
        <w:rPr>
          <w:rFonts w:cs="仿宋" w:asciiTheme="minorEastAsia" w:hAnsiTheme="minorEastAsia" w:eastAsiaTheme="minorEastAsia"/>
          <w:color w:val="000000" w:themeColor="text1"/>
          <w14:textFill>
            <w14:solidFill>
              <w14:schemeClr w14:val="tx1"/>
            </w14:solidFill>
          </w14:textFill>
        </w:rPr>
      </w:pPr>
      <w:r>
        <w:rPr>
          <w:rFonts w:hint="eastAsia" w:cs="仿宋" w:asciiTheme="minorEastAsia" w:hAnsiTheme="minorEastAsia" w:eastAsiaTheme="minorEastAsia"/>
          <w:color w:val="000000" w:themeColor="text1"/>
          <w14:textFill>
            <w14:solidFill>
              <w14:schemeClr w14:val="tx1"/>
            </w14:solidFill>
          </w14:textFill>
        </w:rPr>
        <w:t>本企业对上述声明内容的真实性负责。如有虚假，将依法承担相应责任。</w:t>
      </w:r>
    </w:p>
    <w:p>
      <w:pPr>
        <w:pStyle w:val="149"/>
        <w:snapToGrid w:val="0"/>
        <w:spacing w:line="360" w:lineRule="auto"/>
        <w:ind w:firstLine="480" w:firstLineChars="200"/>
        <w:jc w:val="both"/>
        <w:rPr>
          <w:rFonts w:cs="仿宋" w:asciiTheme="minorEastAsia" w:hAnsiTheme="minorEastAsia" w:eastAsiaTheme="minorEastAsia"/>
          <w:color w:val="000000" w:themeColor="text1"/>
          <w14:textFill>
            <w14:solidFill>
              <w14:schemeClr w14:val="tx1"/>
            </w14:solidFill>
          </w14:textFill>
        </w:rPr>
      </w:pPr>
    </w:p>
    <w:p>
      <w:pPr>
        <w:pStyle w:val="149"/>
        <w:snapToGrid w:val="0"/>
        <w:spacing w:line="360" w:lineRule="auto"/>
        <w:ind w:firstLine="480" w:firstLineChars="200"/>
        <w:jc w:val="both"/>
        <w:rPr>
          <w:rFonts w:cs="仿宋" w:asciiTheme="minorEastAsia" w:hAnsiTheme="minorEastAsia" w:eastAsiaTheme="minorEastAsia"/>
          <w:color w:val="000000" w:themeColor="text1"/>
          <w14:textFill>
            <w14:solidFill>
              <w14:schemeClr w14:val="tx1"/>
            </w14:solidFill>
          </w14:textFill>
        </w:rPr>
      </w:pPr>
    </w:p>
    <w:p>
      <w:pPr>
        <w:pStyle w:val="149"/>
        <w:snapToGrid w:val="0"/>
        <w:spacing w:line="360" w:lineRule="auto"/>
        <w:ind w:firstLine="6000" w:firstLineChars="2500"/>
        <w:jc w:val="both"/>
        <w:rPr>
          <w:rFonts w:cs="仿宋" w:asciiTheme="minorEastAsia" w:hAnsiTheme="minorEastAsia" w:eastAsiaTheme="minorEastAsia"/>
          <w:color w:val="000000" w:themeColor="text1"/>
          <w14:textFill>
            <w14:solidFill>
              <w14:schemeClr w14:val="tx1"/>
            </w14:solidFill>
          </w14:textFill>
        </w:rPr>
      </w:pPr>
      <w:r>
        <w:rPr>
          <w:rFonts w:hint="eastAsia" w:cs="仿宋" w:asciiTheme="minorEastAsia" w:hAnsiTheme="minorEastAsia" w:eastAsiaTheme="minorEastAsia"/>
          <w:color w:val="000000" w:themeColor="text1"/>
          <w14:textFill>
            <w14:solidFill>
              <w14:schemeClr w14:val="tx1"/>
            </w14:solidFill>
          </w14:textFill>
        </w:rPr>
        <w:t>企业名称（</w:t>
      </w:r>
      <w:r>
        <w:rPr>
          <w:rFonts w:hint="eastAsia" w:ascii="宋体" w:hAnsi="宋体" w:cs="宋体"/>
          <w:color w:val="000000" w:themeColor="text1"/>
          <w14:textFill>
            <w14:solidFill>
              <w14:schemeClr w14:val="tx1"/>
            </w14:solidFill>
          </w14:textFill>
        </w:rPr>
        <w:t>CA签章</w:t>
      </w:r>
      <w:r>
        <w:rPr>
          <w:rFonts w:hint="eastAsia" w:cs="仿宋" w:asciiTheme="minorEastAsia" w:hAnsiTheme="minorEastAsia" w:eastAsiaTheme="minorEastAsia"/>
          <w:color w:val="000000" w:themeColor="text1"/>
          <w14:textFill>
            <w14:solidFill>
              <w14:schemeClr w14:val="tx1"/>
            </w14:solidFill>
          </w14:textFill>
        </w:rPr>
        <w:t>）：</w:t>
      </w:r>
    </w:p>
    <w:p>
      <w:pPr>
        <w:pStyle w:val="149"/>
        <w:snapToGrid w:val="0"/>
        <w:spacing w:line="360" w:lineRule="auto"/>
        <w:ind w:firstLine="7080" w:firstLineChars="2950"/>
        <w:jc w:val="both"/>
        <w:rPr>
          <w:rFonts w:cs="仿宋" w:asciiTheme="minorEastAsia" w:hAnsiTheme="minorEastAsia" w:eastAsiaTheme="minorEastAsia"/>
          <w:color w:val="000000" w:themeColor="text1"/>
          <w14:textFill>
            <w14:solidFill>
              <w14:schemeClr w14:val="tx1"/>
            </w14:solidFill>
          </w14:textFill>
        </w:rPr>
      </w:pPr>
      <w:r>
        <w:rPr>
          <w:rFonts w:hint="eastAsia" w:cs="仿宋" w:asciiTheme="minorEastAsia" w:hAnsiTheme="minorEastAsia" w:eastAsiaTheme="minorEastAsia"/>
          <w:color w:val="000000" w:themeColor="text1"/>
          <w14:textFill>
            <w14:solidFill>
              <w14:schemeClr w14:val="tx1"/>
            </w14:solidFill>
          </w14:textFill>
        </w:rPr>
        <w:t>日  期 ：</w:t>
      </w:r>
    </w:p>
    <w:p>
      <w:pPr>
        <w:pStyle w:val="147"/>
        <w:snapToGrid w:val="0"/>
        <w:spacing w:line="360" w:lineRule="auto"/>
        <w:jc w:val="both"/>
        <w:rPr>
          <w:rFonts w:cs="宋体" w:asciiTheme="minorEastAsia" w:hAnsiTheme="minorEastAsia" w:eastAsiaTheme="minorEastAsia"/>
          <w:color w:val="000000" w:themeColor="text1"/>
          <w14:textFill>
            <w14:solidFill>
              <w14:schemeClr w14:val="tx1"/>
            </w14:solidFill>
          </w14:textFill>
        </w:rPr>
      </w:pPr>
    </w:p>
    <w:p>
      <w:pPr>
        <w:pStyle w:val="147"/>
        <w:snapToGrid w:val="0"/>
        <w:spacing w:line="360" w:lineRule="auto"/>
        <w:jc w:val="both"/>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注：</w:t>
      </w:r>
    </w:p>
    <w:p>
      <w:pPr>
        <w:pStyle w:val="147"/>
        <w:snapToGrid w:val="0"/>
        <w:spacing w:line="360" w:lineRule="auto"/>
        <w:jc w:val="both"/>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1. 从业人员、营业收入、资产总额填报上一年度数据，无上一年度数据的新成立企业可不填报。</w:t>
      </w:r>
    </w:p>
    <w:p>
      <w:pPr>
        <w:pStyle w:val="147"/>
        <w:snapToGrid w:val="0"/>
        <w:spacing w:line="360" w:lineRule="auto"/>
        <w:jc w:val="both"/>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2. 在货物采购项目中，供应商提供的货物既有中小企业制造货物，也有大型企业制造货物的，不享受本办法规定的中小企业扶持政策。中标、成交供应商的《中小企业声明函》将随中标、成交公告进行公示。供应商按照本办法规定提供声明函内容不实的，属于提供虚假材料谋取中标、成交，依照《中华人民共和国政府采购法》等国家有关规定追究相应责任。</w:t>
      </w:r>
    </w:p>
    <w:p>
      <w:pPr>
        <w:pStyle w:val="147"/>
        <w:snapToGrid w:val="0"/>
        <w:spacing w:line="360" w:lineRule="auto"/>
        <w:jc w:val="both"/>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3.对照《细目报价表》如实逐条填写。</w:t>
      </w:r>
    </w:p>
    <w:p>
      <w:pPr>
        <w:pStyle w:val="147"/>
        <w:snapToGrid w:val="0"/>
        <w:spacing w:line="360" w:lineRule="auto"/>
        <w:jc w:val="both"/>
        <w:rPr>
          <w:rFonts w:cs="宋体" w:asciiTheme="minorEastAsia" w:hAnsiTheme="minorEastAsia" w:eastAsiaTheme="minorEastAsia"/>
          <w:color w:val="000000" w:themeColor="text1"/>
          <w14:textFill>
            <w14:solidFill>
              <w14:schemeClr w14:val="tx1"/>
            </w14:solidFill>
          </w14:textFill>
        </w:rPr>
      </w:pPr>
    </w:p>
    <w:p>
      <w:pPr>
        <w:spacing w:before="5"/>
        <w:rPr>
          <w:rFonts w:ascii="宋体" w:cs="宋体"/>
          <w:color w:val="000000" w:themeColor="text1"/>
          <w:sz w:val="24"/>
          <w:szCs w:val="24"/>
          <w14:textFill>
            <w14:solidFill>
              <w14:schemeClr w14:val="tx1"/>
            </w14:solidFill>
          </w14:textFill>
        </w:rPr>
      </w:pPr>
    </w:p>
    <w:p>
      <w:pPr>
        <w:spacing w:before="5"/>
        <w:rPr>
          <w:rFonts w:ascii="宋体" w:cs="宋体"/>
          <w:color w:val="000000" w:themeColor="text1"/>
          <w:sz w:val="24"/>
          <w:szCs w:val="24"/>
          <w14:textFill>
            <w14:solidFill>
              <w14:schemeClr w14:val="tx1"/>
            </w14:solidFill>
          </w14:textFill>
        </w:rPr>
      </w:pPr>
    </w:p>
    <w:p>
      <w:pPr>
        <w:spacing w:before="5"/>
        <w:rPr>
          <w:rFonts w:ascii="宋体" w:cs="宋体"/>
          <w:color w:val="000000" w:themeColor="text1"/>
          <w:sz w:val="24"/>
          <w:szCs w:val="24"/>
          <w14:textFill>
            <w14:solidFill>
              <w14:schemeClr w14:val="tx1"/>
            </w14:solidFill>
          </w14:textFill>
        </w:rPr>
      </w:pPr>
    </w:p>
    <w:p>
      <w:pPr>
        <w:spacing w:before="5"/>
        <w:rPr>
          <w:rFonts w:ascii="宋体"/>
          <w:color w:val="000000" w:themeColor="text1"/>
          <w:sz w:val="24"/>
          <w:szCs w:val="24"/>
          <w14:textFill>
            <w14:solidFill>
              <w14:schemeClr w14:val="tx1"/>
            </w14:solidFill>
          </w14:textFill>
        </w:rPr>
      </w:pPr>
      <w:r>
        <w:rPr>
          <w:rFonts w:hint="eastAsia" w:ascii="宋体" w:cs="宋体"/>
          <w:color w:val="000000" w:themeColor="text1"/>
          <w:sz w:val="24"/>
          <w:szCs w:val="24"/>
          <w14:textFill>
            <w14:solidFill>
              <w14:schemeClr w14:val="tx1"/>
            </w14:solidFill>
          </w14:textFill>
        </w:rPr>
        <w:t>（九）（投标人）残疾人福利性单位声明函（格式）：</w:t>
      </w:r>
      <w:bookmarkStart w:id="21" w:name="OLE_LINK13"/>
      <w:bookmarkStart w:id="22" w:name="OLE_LINK14"/>
    </w:p>
    <w:bookmarkEnd w:id="21"/>
    <w:bookmarkEnd w:id="22"/>
    <w:p>
      <w:pPr>
        <w:spacing w:line="588" w:lineRule="exact"/>
        <w:rPr>
          <w:rFonts w:ascii="仿宋_GB2312" w:eastAsia="仿宋_GB2312"/>
          <w:b/>
          <w:bCs/>
          <w:color w:val="000000" w:themeColor="text1"/>
          <w:spacing w:val="6"/>
          <w:sz w:val="30"/>
          <w:szCs w:val="30"/>
          <w14:textFill>
            <w14:solidFill>
              <w14:schemeClr w14:val="tx1"/>
            </w14:solidFill>
          </w14:textFill>
        </w:rPr>
      </w:pPr>
    </w:p>
    <w:p>
      <w:pPr>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残疾人福利性单位声明函</w:t>
      </w:r>
    </w:p>
    <w:p>
      <w:pPr>
        <w:jc w:val="center"/>
        <w:rPr>
          <w:rFonts w:ascii="黑体" w:eastAsia="黑体"/>
          <w:color w:val="000000" w:themeColor="text1"/>
          <w:sz w:val="28"/>
          <w:szCs w:val="28"/>
          <w14:textFill>
            <w14:solidFill>
              <w14:schemeClr w14:val="tx1"/>
            </w14:solidFill>
          </w14:textFill>
        </w:rPr>
      </w:pPr>
    </w:p>
    <w:p>
      <w:pPr>
        <w:spacing w:line="5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本单位郑重声明，根据《财政部民政部中国残疾人联合会关于促进残疾人就业政府采购政策的通知》（财库〔</w:t>
      </w:r>
      <w:r>
        <w:rPr>
          <w:rFonts w:ascii="宋体" w:hAnsi="宋体" w:cs="宋体"/>
          <w:color w:val="000000" w:themeColor="text1"/>
          <w:sz w:val="24"/>
          <w:szCs w:val="24"/>
          <w14:textFill>
            <w14:solidFill>
              <w14:schemeClr w14:val="tx1"/>
            </w14:solidFill>
          </w14:textFill>
        </w:rPr>
        <w:t>2017</w:t>
      </w: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 xml:space="preserve"> 141</w:t>
      </w:r>
      <w:r>
        <w:rPr>
          <w:rFonts w:hint="eastAsia" w:ascii="宋体" w:hAnsi="宋体" w:cs="宋体"/>
          <w:color w:val="000000" w:themeColor="text1"/>
          <w:sz w:val="24"/>
          <w:szCs w:val="24"/>
          <w14:textFill>
            <w14:solidFill>
              <w14:schemeClr w14:val="tx1"/>
            </w14:solidFill>
          </w14:textFill>
        </w:rPr>
        <w:t>号）的规定，本单位为符合条件的残疾人福利性单位，且本单位参加</w:t>
      </w:r>
      <w:r>
        <w:rPr>
          <w:rFonts w:ascii="宋体" w:hAnsi="宋体" w:cs="宋体"/>
          <w:color w:val="000000" w:themeColor="text1"/>
          <w:sz w:val="24"/>
          <w:szCs w:val="24"/>
          <w14:textFill>
            <w14:solidFill>
              <w14:schemeClr w14:val="tx1"/>
            </w14:solidFill>
          </w14:textFill>
        </w:rPr>
        <w:t>______</w:t>
      </w:r>
      <w:r>
        <w:rPr>
          <w:rFonts w:hint="eastAsia" w:ascii="宋体" w:hAnsi="宋体" w:cs="宋体"/>
          <w:color w:val="000000" w:themeColor="text1"/>
          <w:sz w:val="24"/>
          <w:szCs w:val="24"/>
          <w14:textFill>
            <w14:solidFill>
              <w14:schemeClr w14:val="tx1"/>
            </w14:solidFill>
          </w14:textFill>
        </w:rPr>
        <w:t>单位的</w:t>
      </w:r>
      <w:r>
        <w:rPr>
          <w:rFonts w:ascii="宋体" w:hAnsi="宋体" w:cs="宋体"/>
          <w:color w:val="000000" w:themeColor="text1"/>
          <w:sz w:val="24"/>
          <w:szCs w:val="24"/>
          <w14:textFill>
            <w14:solidFill>
              <w14:schemeClr w14:val="tx1"/>
            </w14:solidFill>
          </w14:textFill>
        </w:rPr>
        <w:t>______</w:t>
      </w:r>
      <w:r>
        <w:rPr>
          <w:rFonts w:hint="eastAsia" w:ascii="宋体" w:hAnsi="宋体" w:cs="宋体"/>
          <w:color w:val="000000" w:themeColor="text1"/>
          <w:sz w:val="24"/>
          <w:szCs w:val="24"/>
          <w14:textFill>
            <w14:solidFill>
              <w14:schemeClr w14:val="tx1"/>
            </w14:solidFill>
          </w14:textFill>
        </w:rPr>
        <w:t>项目采购活动提供本单位制造的货物（由本单位承担工程</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提供服务），或者提供其他残疾人福利性单位制造的货物（不包括使用非残疾人福利性单位注册商标的货物）。</w:t>
      </w:r>
    </w:p>
    <w:p>
      <w:pPr>
        <w:spacing w:line="5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本单位对上述声明的真实性负责。如有虚假，将依法承担相应责任。</w:t>
      </w:r>
    </w:p>
    <w:p>
      <w:pPr>
        <w:spacing w:line="580" w:lineRule="exact"/>
        <w:ind w:firstLine="480" w:firstLineChars="200"/>
        <w:rPr>
          <w:rFonts w:ascii="宋体"/>
          <w:color w:val="000000" w:themeColor="text1"/>
          <w:sz w:val="24"/>
          <w:szCs w:val="24"/>
          <w14:textFill>
            <w14:solidFill>
              <w14:schemeClr w14:val="tx1"/>
            </w14:solidFill>
          </w14:textFill>
        </w:rPr>
      </w:pPr>
    </w:p>
    <w:p>
      <w:pPr>
        <w:spacing w:line="580" w:lineRule="exact"/>
        <w:ind w:firstLine="480" w:firstLineChars="200"/>
        <w:rPr>
          <w:rFonts w:ascii="宋体"/>
          <w:color w:val="000000" w:themeColor="text1"/>
          <w:sz w:val="24"/>
          <w:szCs w:val="24"/>
          <w14:textFill>
            <w14:solidFill>
              <w14:schemeClr w14:val="tx1"/>
            </w14:solidFill>
          </w14:textFill>
        </w:rPr>
      </w:pPr>
    </w:p>
    <w:p>
      <w:pPr>
        <w:spacing w:line="580" w:lineRule="exact"/>
        <w:ind w:firstLine="5640" w:firstLineChars="235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单位名称（CA签章）：</w:t>
      </w:r>
    </w:p>
    <w:p>
      <w:pPr>
        <w:spacing w:line="580" w:lineRule="exact"/>
        <w:ind w:firstLine="5640" w:firstLineChars="235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日期：</w:t>
      </w:r>
    </w:p>
    <w:p>
      <w:pPr>
        <w:spacing w:before="5"/>
        <w:rPr>
          <w:rFonts w:ascii="黑体" w:hAnsi="宋体" w:eastAsia="黑体"/>
          <w:color w:val="000000" w:themeColor="text1"/>
          <w:sz w:val="24"/>
          <w:szCs w:val="24"/>
          <w14:textFill>
            <w14:solidFill>
              <w14:schemeClr w14:val="tx1"/>
            </w14:solidFill>
          </w14:textFill>
        </w:rPr>
      </w:pPr>
    </w:p>
    <w:p>
      <w:pPr>
        <w:spacing w:before="5"/>
        <w:rPr>
          <w:rFonts w:ascii="黑体" w:hAnsi="宋体" w:eastAsia="黑体"/>
          <w:color w:val="000000" w:themeColor="text1"/>
          <w:sz w:val="24"/>
          <w:szCs w:val="24"/>
          <w14:textFill>
            <w14:solidFill>
              <w14:schemeClr w14:val="tx1"/>
            </w14:solidFill>
          </w14:textFill>
        </w:rPr>
      </w:pPr>
    </w:p>
    <w:p>
      <w:pPr>
        <w:spacing w:before="5"/>
        <w:rPr>
          <w:rFonts w:ascii="黑体" w:hAnsi="宋体" w:eastAsia="黑体"/>
          <w:color w:val="000000" w:themeColor="text1"/>
          <w:sz w:val="24"/>
          <w:szCs w:val="24"/>
          <w14:textFill>
            <w14:solidFill>
              <w14:schemeClr w14:val="tx1"/>
            </w14:solidFill>
          </w14:textFill>
        </w:rPr>
      </w:pPr>
    </w:p>
    <w:p>
      <w:pPr>
        <w:spacing w:before="5"/>
        <w:rPr>
          <w:rFonts w:ascii="黑体" w:hAnsi="宋体" w:eastAsia="黑体"/>
          <w:color w:val="000000" w:themeColor="text1"/>
          <w:sz w:val="24"/>
          <w:szCs w:val="24"/>
          <w14:textFill>
            <w14:solidFill>
              <w14:schemeClr w14:val="tx1"/>
            </w14:solidFill>
          </w14:textFill>
        </w:rPr>
      </w:pPr>
    </w:p>
    <w:p>
      <w:pPr>
        <w:spacing w:before="5"/>
        <w:rPr>
          <w:rFonts w:ascii="黑体" w:hAnsi="宋体" w:eastAsia="黑体"/>
          <w:color w:val="000000" w:themeColor="text1"/>
          <w:sz w:val="24"/>
          <w:szCs w:val="24"/>
          <w14:textFill>
            <w14:solidFill>
              <w14:schemeClr w14:val="tx1"/>
            </w14:solidFill>
          </w14:textFill>
        </w:rPr>
      </w:pPr>
    </w:p>
    <w:p>
      <w:pPr>
        <w:spacing w:before="5"/>
        <w:rPr>
          <w:rFonts w:ascii="黑体" w:hAnsi="宋体" w:eastAsia="黑体"/>
          <w:color w:val="000000" w:themeColor="text1"/>
          <w:sz w:val="24"/>
          <w:szCs w:val="24"/>
          <w14:textFill>
            <w14:solidFill>
              <w14:schemeClr w14:val="tx1"/>
            </w14:solidFill>
          </w14:textFill>
        </w:rPr>
      </w:pPr>
    </w:p>
    <w:p>
      <w:pPr>
        <w:spacing w:before="5"/>
        <w:rPr>
          <w:rFonts w:ascii="黑体" w:hAnsi="宋体" w:eastAsia="黑体"/>
          <w:color w:val="000000" w:themeColor="text1"/>
          <w:sz w:val="24"/>
          <w:szCs w:val="24"/>
          <w14:textFill>
            <w14:solidFill>
              <w14:schemeClr w14:val="tx1"/>
            </w14:solidFill>
          </w14:textFill>
        </w:rPr>
      </w:pPr>
    </w:p>
    <w:p>
      <w:pPr>
        <w:spacing w:before="5"/>
        <w:rPr>
          <w:rFonts w:ascii="黑体" w:hAnsi="宋体" w:eastAsia="黑体"/>
          <w:color w:val="000000" w:themeColor="text1"/>
          <w:sz w:val="24"/>
          <w:szCs w:val="24"/>
          <w14:textFill>
            <w14:solidFill>
              <w14:schemeClr w14:val="tx1"/>
            </w14:solidFill>
          </w14:textFill>
        </w:rPr>
      </w:pPr>
    </w:p>
    <w:p>
      <w:pPr>
        <w:spacing w:before="5"/>
        <w:rPr>
          <w:rFonts w:ascii="黑体" w:hAnsi="宋体" w:eastAsia="黑体"/>
          <w:color w:val="000000" w:themeColor="text1"/>
          <w:sz w:val="24"/>
          <w:szCs w:val="24"/>
          <w14:textFill>
            <w14:solidFill>
              <w14:schemeClr w14:val="tx1"/>
            </w14:solidFill>
          </w14:textFill>
        </w:rPr>
      </w:pPr>
    </w:p>
    <w:p>
      <w:pPr>
        <w:spacing w:before="5"/>
        <w:rPr>
          <w:rFonts w:ascii="黑体" w:hAnsi="宋体" w:eastAsia="黑体"/>
          <w:color w:val="000000" w:themeColor="text1"/>
          <w:sz w:val="24"/>
          <w:szCs w:val="24"/>
          <w14:textFill>
            <w14:solidFill>
              <w14:schemeClr w14:val="tx1"/>
            </w14:solidFill>
          </w14:textFill>
        </w:rPr>
      </w:pPr>
    </w:p>
    <w:p>
      <w:pPr>
        <w:spacing w:before="5"/>
        <w:rPr>
          <w:rFonts w:ascii="黑体" w:hAnsi="宋体" w:eastAsia="黑体"/>
          <w:color w:val="000000" w:themeColor="text1"/>
          <w:sz w:val="24"/>
          <w:szCs w:val="24"/>
          <w14:textFill>
            <w14:solidFill>
              <w14:schemeClr w14:val="tx1"/>
            </w14:solidFill>
          </w14:textFill>
        </w:rPr>
      </w:pPr>
    </w:p>
    <w:p>
      <w:pPr>
        <w:spacing w:before="5"/>
        <w:rPr>
          <w:rFonts w:ascii="黑体" w:hAnsi="宋体" w:eastAsia="黑体"/>
          <w:color w:val="000000" w:themeColor="text1"/>
          <w:sz w:val="24"/>
          <w:szCs w:val="24"/>
          <w14:textFill>
            <w14:solidFill>
              <w14:schemeClr w14:val="tx1"/>
            </w14:solidFill>
          </w14:textFill>
        </w:rPr>
      </w:pPr>
    </w:p>
    <w:p>
      <w:pPr>
        <w:spacing w:before="5"/>
        <w:rPr>
          <w:rFonts w:ascii="黑体" w:hAnsi="宋体" w:eastAsia="黑体"/>
          <w:color w:val="000000" w:themeColor="text1"/>
          <w:sz w:val="24"/>
          <w:szCs w:val="24"/>
          <w14:textFill>
            <w14:solidFill>
              <w14:schemeClr w14:val="tx1"/>
            </w14:solidFill>
          </w14:textFill>
        </w:rPr>
      </w:pPr>
    </w:p>
    <w:p>
      <w:pPr>
        <w:spacing w:before="5"/>
        <w:rPr>
          <w:rFonts w:ascii="黑体" w:hAnsi="宋体" w:eastAsia="黑体"/>
          <w:color w:val="000000" w:themeColor="text1"/>
          <w:sz w:val="24"/>
          <w:szCs w:val="24"/>
          <w14:textFill>
            <w14:solidFill>
              <w14:schemeClr w14:val="tx1"/>
            </w14:solidFill>
          </w14:textFill>
        </w:rPr>
      </w:pPr>
    </w:p>
    <w:p>
      <w:pPr>
        <w:spacing w:before="5"/>
        <w:rPr>
          <w:rFonts w:ascii="黑体" w:hAnsi="宋体" w:eastAsia="黑体"/>
          <w:color w:val="000000" w:themeColor="text1"/>
          <w:sz w:val="24"/>
          <w:szCs w:val="24"/>
          <w14:textFill>
            <w14:solidFill>
              <w14:schemeClr w14:val="tx1"/>
            </w14:solidFill>
          </w14:textFill>
        </w:rPr>
      </w:pPr>
    </w:p>
    <w:p>
      <w:pPr>
        <w:spacing w:before="5"/>
        <w:rPr>
          <w:rFonts w:ascii="黑体" w:hAnsi="宋体" w:eastAsia="黑体"/>
          <w:color w:val="000000" w:themeColor="text1"/>
          <w:sz w:val="24"/>
          <w:szCs w:val="24"/>
          <w14:textFill>
            <w14:solidFill>
              <w14:schemeClr w14:val="tx1"/>
            </w14:solidFill>
          </w14:textFill>
        </w:rPr>
      </w:pPr>
    </w:p>
    <w:p>
      <w:pPr>
        <w:spacing w:before="5"/>
        <w:rPr>
          <w:rFonts w:ascii="黑体" w:hAnsi="宋体" w:eastAsia="黑体"/>
          <w:color w:val="000000" w:themeColor="text1"/>
          <w:sz w:val="24"/>
          <w:szCs w:val="24"/>
          <w14:textFill>
            <w14:solidFill>
              <w14:schemeClr w14:val="tx1"/>
            </w14:solidFill>
          </w14:textFill>
        </w:rPr>
      </w:pPr>
    </w:p>
    <w:p>
      <w:pPr>
        <w:spacing w:before="5"/>
        <w:rPr>
          <w:rFonts w:ascii="黑体" w:hAnsi="宋体" w:eastAsia="黑体"/>
          <w:color w:val="000000" w:themeColor="text1"/>
          <w:sz w:val="24"/>
          <w:szCs w:val="24"/>
          <w14:textFill>
            <w14:solidFill>
              <w14:schemeClr w14:val="tx1"/>
            </w14:solidFill>
          </w14:textFill>
        </w:rPr>
      </w:pPr>
    </w:p>
    <w:p>
      <w:pPr>
        <w:spacing w:before="5"/>
        <w:rPr>
          <w:rFonts w:ascii="黑体" w:hAnsi="宋体" w:eastAsia="黑体"/>
          <w:color w:val="000000" w:themeColor="text1"/>
          <w:sz w:val="24"/>
          <w:szCs w:val="24"/>
          <w14:textFill>
            <w14:solidFill>
              <w14:schemeClr w14:val="tx1"/>
            </w14:solidFill>
          </w14:textFill>
        </w:rPr>
      </w:pPr>
    </w:p>
    <w:sectPr>
      <w:headerReference r:id="rId3" w:type="default"/>
      <w:footerReference r:id="rId4" w:type="default"/>
      <w:pgSz w:w="11906" w:h="16838"/>
      <w:pgMar w:top="567" w:right="851" w:bottom="567" w:left="1134" w:header="624" w:footer="907" w:gutter="0"/>
      <w:pgNumType w:start="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40C5ED9-1D40-4F1F-A6D9-A70D45285BC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FCDFD5E-07BA-4A39-A8B0-D5A15E93038E}"/>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embedRegular r:id="rId3" w:fontKey="{1C3AF74A-CC66-48AF-A844-5A2F4CACA6F4}"/>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roman"/>
    <w:pitch w:val="default"/>
    <w:sig w:usb0="00000000" w:usb1="00000000" w:usb2="00000000" w:usb3="00000000" w:csb0="00040000" w:csb1="00000000"/>
    <w:embedRegular r:id="rId4" w:fontKey="{FAFB36C7-5C6E-4833-8C8E-17E904F626A9}"/>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embedRegular r:id="rId5" w:fontKey="{6229BD2F-9355-4CB3-874F-5BF8592EC840}"/>
  </w:font>
  <w:font w:name="RotisSansSerif">
    <w:altName w:val="Segoe UI"/>
    <w:panose1 w:val="00000000000000000000"/>
    <w:charset w:val="00"/>
    <w:family w:val="swiss"/>
    <w:pitch w:val="default"/>
    <w:sig w:usb0="00000000" w:usb1="00000000" w:usb2="00000000" w:usb3="00000000" w:csb0="00000093" w:csb1="00000000"/>
  </w:font>
  <w:font w:name="华文中宋">
    <w:panose1 w:val="02010600040101010101"/>
    <w:charset w:val="86"/>
    <w:family w:val="auto"/>
    <w:pitch w:val="default"/>
    <w:sig w:usb0="00000287" w:usb1="080F0000" w:usb2="00000000" w:usb3="00000000" w:csb0="0004009F" w:csb1="DFD70000"/>
    <w:embedRegular r:id="rId6" w:fontKey="{73F6EF87-89A9-4524-80D2-09E6B4D98B01}"/>
  </w:font>
  <w:font w:name="华文新魏">
    <w:panose1 w:val="02010800040101010101"/>
    <w:charset w:val="86"/>
    <w:family w:val="auto"/>
    <w:pitch w:val="default"/>
    <w:sig w:usb0="00000001" w:usb1="080F0000" w:usb2="00000000" w:usb3="00000000" w:csb0="00040000" w:csb1="00000000"/>
    <w:embedRegular r:id="rId7" w:fontKey="{AB8AC08D-815E-4ED8-BE7C-BF2BB4455C5A}"/>
  </w:font>
  <w:font w:name="方正小标宋简体">
    <w:panose1 w:val="02000000000000000000"/>
    <w:charset w:val="86"/>
    <w:family w:val="auto"/>
    <w:pitch w:val="default"/>
    <w:sig w:usb0="00000001" w:usb1="08000000" w:usb2="00000000" w:usb3="00000000" w:csb0="00040000" w:csb1="00000000"/>
    <w:embedRegular r:id="rId8" w:fontKey="{4979A6F7-1F5C-4A20-AA0A-06615053AFD4}"/>
  </w:font>
  <w:font w:name="方正黑体_GBK">
    <w:panose1 w:val="03000509000000000000"/>
    <w:charset w:val="86"/>
    <w:family w:val="auto"/>
    <w:pitch w:val="default"/>
    <w:sig w:usb0="00000001" w:usb1="080E0000" w:usb2="00000000" w:usb3="00000000" w:csb0="00040000" w:csb1="00000000"/>
    <w:embedRegular r:id="rId9" w:fontKey="{8EC4EE09-91B4-4207-AC8D-974355545496}"/>
  </w:font>
  <w:font w:name="方正楷体_GB2312">
    <w:panose1 w:val="02000000000000000000"/>
    <w:charset w:val="86"/>
    <w:family w:val="auto"/>
    <w:pitch w:val="default"/>
    <w:sig w:usb0="A00002BF" w:usb1="184F6CFA" w:usb2="00000012" w:usb3="00000000" w:csb0="00040001" w:csb1="00000000"/>
    <w:embedRegular r:id="rId10" w:fontKey="{95973775-4BE9-45F4-A306-6D7A844DD062}"/>
  </w:font>
  <w:font w:name="方正仿宋_GB2312">
    <w:panose1 w:val="02000000000000000000"/>
    <w:charset w:val="86"/>
    <w:family w:val="auto"/>
    <w:pitch w:val="default"/>
    <w:sig w:usb0="A00002BF" w:usb1="184F6CFA" w:usb2="00000012" w:usb3="00000000" w:csb0="00040001" w:csb1="00000000"/>
    <w:embedRegular r:id="rId11" w:fontKey="{6323DC63-47B9-439A-BCC9-9A743AC91603}"/>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t xml:space="preserve">- </w:t>
    </w:r>
    <w:r>
      <w:fldChar w:fldCharType="begin"/>
    </w:r>
    <w:r>
      <w:instrText xml:space="preserve"> PAGE </w:instrText>
    </w:r>
    <w:r>
      <w:fldChar w:fldCharType="separate"/>
    </w:r>
    <w:r>
      <w:t>15</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single" w:color="auto" w:sz="6" w:space="0"/>
      </w:pBdr>
      <w:jc w:val="both"/>
      <w:rPr>
        <w:rFonts w:eastAsia="华文新魏"/>
        <w:w w:val="90"/>
      </w:rPr>
    </w:pPr>
    <w:r>
      <w:rPr>
        <w:rFonts w:hint="eastAsia" w:eastAsia="华文新魏" w:cs="华文新魏"/>
        <w:w w:val="80"/>
      </w:rPr>
      <w:t>WXWJCG2023-058无锡市儿童医院手术显微镜项目                                                      无锡市卫生健康综合服务中心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6E9B0C"/>
    <w:multiLevelType w:val="multilevel"/>
    <w:tmpl w:val="A36E9B0C"/>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C09AFBA6"/>
    <w:multiLevelType w:val="multilevel"/>
    <w:tmpl w:val="C09AFBA6"/>
    <w:lvl w:ilvl="0" w:tentative="0">
      <w:start w:val="1"/>
      <w:numFmt w:val="decimal"/>
      <w:lvlText w:val="%1"/>
      <w:lvlJc w:val="left"/>
      <w:pPr>
        <w:ind w:left="440" w:hanging="440"/>
      </w:pPr>
      <w:rPr>
        <w:rFonts w:hint="eastAsia"/>
      </w:rPr>
    </w:lvl>
    <w:lvl w:ilvl="1" w:tentative="0">
      <w:start w:val="1"/>
      <w:numFmt w:val="decimal"/>
      <w:lvlText w:val="%1.%2"/>
      <w:lvlJc w:val="left"/>
      <w:pPr>
        <w:ind w:left="0" w:firstLine="0"/>
      </w:pPr>
      <w:rPr>
        <w:rFonts w:hint="default"/>
      </w:rPr>
    </w:lvl>
    <w:lvl w:ilvl="2" w:tentative="0">
      <w:start w:val="1"/>
      <w:numFmt w:val="decimal"/>
      <w:lvlText w:val="%1.%2.%3"/>
      <w:lvlJc w:val="left"/>
      <w:pPr>
        <w:ind w:left="1560" w:hanging="720"/>
      </w:pPr>
      <w:rPr>
        <w:rFonts w:hint="eastAsia"/>
      </w:rPr>
    </w:lvl>
    <w:lvl w:ilvl="3" w:tentative="0">
      <w:start w:val="1"/>
      <w:numFmt w:val="decimal"/>
      <w:lvlText w:val="%1.%2.%3.%4"/>
      <w:lvlJc w:val="left"/>
      <w:pPr>
        <w:ind w:left="2340" w:hanging="1080"/>
      </w:pPr>
      <w:rPr>
        <w:rFonts w:hint="eastAsia"/>
      </w:rPr>
    </w:lvl>
    <w:lvl w:ilvl="4" w:tentative="0">
      <w:start w:val="1"/>
      <w:numFmt w:val="decimal"/>
      <w:lvlText w:val="%1.%2.%3.%4.%5"/>
      <w:lvlJc w:val="left"/>
      <w:pPr>
        <w:ind w:left="2760" w:hanging="1080"/>
      </w:pPr>
      <w:rPr>
        <w:rFonts w:hint="eastAsia"/>
      </w:rPr>
    </w:lvl>
    <w:lvl w:ilvl="5" w:tentative="0">
      <w:start w:val="1"/>
      <w:numFmt w:val="decimal"/>
      <w:lvlText w:val="%1.%2.%3.%4.%5.%6"/>
      <w:lvlJc w:val="left"/>
      <w:pPr>
        <w:ind w:left="3540" w:hanging="1440"/>
      </w:pPr>
      <w:rPr>
        <w:rFonts w:hint="eastAsia"/>
      </w:rPr>
    </w:lvl>
    <w:lvl w:ilvl="6" w:tentative="0">
      <w:start w:val="1"/>
      <w:numFmt w:val="decimal"/>
      <w:lvlText w:val="%1.%2.%3.%4.%5.%6.%7"/>
      <w:lvlJc w:val="left"/>
      <w:pPr>
        <w:ind w:left="3960" w:hanging="1440"/>
      </w:pPr>
      <w:rPr>
        <w:rFonts w:hint="eastAsia"/>
      </w:rPr>
    </w:lvl>
    <w:lvl w:ilvl="7" w:tentative="0">
      <w:start w:val="1"/>
      <w:numFmt w:val="decimal"/>
      <w:lvlText w:val="%1.%2.%3.%4.%5.%6.%7.%8"/>
      <w:lvlJc w:val="left"/>
      <w:pPr>
        <w:ind w:left="4740" w:hanging="1800"/>
      </w:pPr>
      <w:rPr>
        <w:rFonts w:hint="eastAsia"/>
      </w:rPr>
    </w:lvl>
    <w:lvl w:ilvl="8" w:tentative="0">
      <w:start w:val="1"/>
      <w:numFmt w:val="decimal"/>
      <w:lvlText w:val="%1.%2.%3.%4.%5.%6.%7.%8.%9"/>
      <w:lvlJc w:val="left"/>
      <w:pPr>
        <w:ind w:left="5160" w:hanging="1800"/>
      </w:pPr>
      <w:rPr>
        <w:rFonts w:hint="eastAsia"/>
      </w:rPr>
    </w:lvl>
  </w:abstractNum>
  <w:abstractNum w:abstractNumId="2">
    <w:nsid w:val="CA5184D0"/>
    <w:multiLevelType w:val="singleLevel"/>
    <w:tmpl w:val="CA5184D0"/>
    <w:lvl w:ilvl="0" w:tentative="0">
      <w:start w:val="4"/>
      <w:numFmt w:val="decimal"/>
      <w:suff w:val="nothing"/>
      <w:lvlText w:val="%1、"/>
      <w:lvlJc w:val="left"/>
    </w:lvl>
  </w:abstractNum>
  <w:abstractNum w:abstractNumId="3">
    <w:nsid w:val="00000019"/>
    <w:multiLevelType w:val="multilevel"/>
    <w:tmpl w:val="00000019"/>
    <w:lvl w:ilvl="0" w:tentative="0">
      <w:start w:val="1"/>
      <w:numFmt w:val="japaneseCounting"/>
      <w:lvlText w:val="（%1）"/>
      <w:lvlJc w:val="left"/>
      <w:pPr>
        <w:tabs>
          <w:tab w:val="left" w:pos="1380"/>
        </w:tabs>
        <w:ind w:left="1380" w:hanging="855"/>
      </w:pPr>
      <w:rPr>
        <w:rFonts w:hint="eastAsia"/>
      </w:rPr>
    </w:lvl>
    <w:lvl w:ilvl="1" w:tentative="0">
      <w:start w:val="3"/>
      <w:numFmt w:val="decimal"/>
      <w:lvlText w:val="%2."/>
      <w:lvlJc w:val="left"/>
      <w:pPr>
        <w:tabs>
          <w:tab w:val="left" w:pos="1650"/>
        </w:tabs>
        <w:ind w:left="1650" w:hanging="705"/>
      </w:pPr>
      <w:rPr>
        <w:rFonts w:hint="default"/>
      </w:rPr>
    </w:lvl>
    <w:lvl w:ilvl="2" w:tentative="0">
      <w:start w:val="1"/>
      <w:numFmt w:val="decimal"/>
      <w:lvlText w:val="%3."/>
      <w:lvlJc w:val="left"/>
      <w:pPr>
        <w:tabs>
          <w:tab w:val="left" w:pos="2265"/>
        </w:tabs>
        <w:ind w:left="2265" w:hanging="900"/>
      </w:pPr>
      <w:rPr>
        <w:rFonts w:hint="eastAsia"/>
      </w:rPr>
    </w:lvl>
    <w:lvl w:ilvl="3" w:tentative="0">
      <w:start w:val="1"/>
      <w:numFmt w:val="decimal"/>
      <w:lvlText w:val="（%4）"/>
      <w:lvlJc w:val="left"/>
      <w:pPr>
        <w:tabs>
          <w:tab w:val="left" w:pos="2505"/>
        </w:tabs>
        <w:ind w:left="2505" w:hanging="720"/>
      </w:pPr>
      <w:rPr>
        <w:rFonts w:hint="eastAsia" w:ascii="宋体" w:hAnsi="宋体" w:eastAsia="宋体"/>
        <w:sz w:val="24"/>
        <w:szCs w:val="24"/>
      </w:rPr>
    </w:lvl>
    <w:lvl w:ilvl="4" w:tentative="0">
      <w:start w:val="1"/>
      <w:numFmt w:val="lowerLetter"/>
      <w:lvlText w:val="%5."/>
      <w:lvlJc w:val="left"/>
      <w:pPr>
        <w:tabs>
          <w:tab w:val="left" w:pos="2565"/>
        </w:tabs>
        <w:ind w:left="2565" w:hanging="360"/>
      </w:pPr>
      <w:rPr>
        <w:rFonts w:hint="eastAsia"/>
      </w:rPr>
    </w:lvl>
    <w:lvl w:ilvl="5" w:tentative="0">
      <w:start w:val="1"/>
      <w:numFmt w:val="decimal"/>
      <w:lvlText w:val="%6．"/>
      <w:lvlJc w:val="left"/>
      <w:pPr>
        <w:tabs>
          <w:tab w:val="left" w:pos="3345"/>
        </w:tabs>
        <w:ind w:left="3345" w:hanging="720"/>
      </w:pPr>
      <w:rPr>
        <w:rFonts w:hint="eastAsia"/>
      </w:rPr>
    </w:lvl>
    <w:lvl w:ilvl="6" w:tentative="0">
      <w:start w:val="1"/>
      <w:numFmt w:val="decimal"/>
      <w:lvlText w:val="%7."/>
      <w:lvlJc w:val="left"/>
      <w:pPr>
        <w:tabs>
          <w:tab w:val="left" w:pos="3465"/>
        </w:tabs>
        <w:ind w:left="3465" w:hanging="420"/>
      </w:pPr>
    </w:lvl>
    <w:lvl w:ilvl="7" w:tentative="0">
      <w:start w:val="1"/>
      <w:numFmt w:val="lowerLetter"/>
      <w:lvlText w:val="%8)"/>
      <w:lvlJc w:val="left"/>
      <w:pPr>
        <w:tabs>
          <w:tab w:val="left" w:pos="3885"/>
        </w:tabs>
        <w:ind w:left="3885" w:hanging="420"/>
      </w:pPr>
    </w:lvl>
    <w:lvl w:ilvl="8" w:tentative="0">
      <w:start w:val="1"/>
      <w:numFmt w:val="lowerRoman"/>
      <w:lvlText w:val="%9."/>
      <w:lvlJc w:val="right"/>
      <w:pPr>
        <w:tabs>
          <w:tab w:val="left" w:pos="4305"/>
        </w:tabs>
        <w:ind w:left="4305" w:hanging="420"/>
      </w:pPr>
    </w:lvl>
  </w:abstractNum>
  <w:abstractNum w:abstractNumId="4">
    <w:nsid w:val="0000001F"/>
    <w:multiLevelType w:val="singleLevel"/>
    <w:tmpl w:val="0000001F"/>
    <w:lvl w:ilvl="0" w:tentative="0">
      <w:start w:val="1"/>
      <w:numFmt w:val="decimal"/>
      <w:lvlText w:val="%1．"/>
      <w:lvlJc w:val="left"/>
      <w:pPr>
        <w:tabs>
          <w:tab w:val="left" w:pos="552"/>
        </w:tabs>
        <w:ind w:left="552" w:hanging="420"/>
      </w:pPr>
      <w:rPr>
        <w:rFonts w:hint="eastAsia"/>
      </w:rPr>
    </w:lvl>
  </w:abstractNum>
  <w:abstractNum w:abstractNumId="5">
    <w:nsid w:val="00000022"/>
    <w:multiLevelType w:val="multilevel"/>
    <w:tmpl w:val="00000022"/>
    <w:lvl w:ilvl="0" w:tentative="0">
      <w:start w:val="1"/>
      <w:numFmt w:val="decimal"/>
      <w:lvlText w:val="%1."/>
      <w:lvlJc w:val="left"/>
      <w:pPr>
        <w:tabs>
          <w:tab w:val="left" w:pos="704"/>
        </w:tabs>
        <w:ind w:left="704" w:hanging="420"/>
      </w:pPr>
    </w:lvl>
    <w:lvl w:ilvl="1" w:tentative="0">
      <w:start w:val="1"/>
      <w:numFmt w:val="lowerLetter"/>
      <w:lvlText w:val="%2)"/>
      <w:lvlJc w:val="left"/>
      <w:pPr>
        <w:tabs>
          <w:tab w:val="left" w:pos="1050"/>
        </w:tabs>
        <w:ind w:left="1050" w:hanging="420"/>
      </w:pPr>
    </w:lvl>
    <w:lvl w:ilvl="2" w:tentative="0">
      <w:start w:val="1"/>
      <w:numFmt w:val="lowerRoman"/>
      <w:lvlText w:val="%3."/>
      <w:lvlJc w:val="right"/>
      <w:pPr>
        <w:tabs>
          <w:tab w:val="left" w:pos="1470"/>
        </w:tabs>
        <w:ind w:left="1470" w:hanging="420"/>
      </w:pPr>
    </w:lvl>
    <w:lvl w:ilvl="3" w:tentative="0">
      <w:start w:val="1"/>
      <w:numFmt w:val="decimal"/>
      <w:lvlText w:val="%4."/>
      <w:lvlJc w:val="left"/>
      <w:pPr>
        <w:tabs>
          <w:tab w:val="left" w:pos="1890"/>
        </w:tabs>
        <w:ind w:left="1890" w:hanging="420"/>
      </w:pPr>
    </w:lvl>
    <w:lvl w:ilvl="4" w:tentative="0">
      <w:start w:val="1"/>
      <w:numFmt w:val="lowerLetter"/>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abstractNum w:abstractNumId="6">
    <w:nsid w:val="35F4C5BA"/>
    <w:multiLevelType w:val="singleLevel"/>
    <w:tmpl w:val="35F4C5BA"/>
    <w:lvl w:ilvl="0" w:tentative="0">
      <w:start w:val="3"/>
      <w:numFmt w:val="chineseCounting"/>
      <w:suff w:val="nothing"/>
      <w:lvlText w:val="%1．"/>
      <w:lvlJc w:val="left"/>
      <w:rPr>
        <w:rFonts w:hint="eastAsia"/>
      </w:rPr>
    </w:lvl>
  </w:abstractNum>
  <w:abstractNum w:abstractNumId="7">
    <w:nsid w:val="64607A38"/>
    <w:multiLevelType w:val="multilevel"/>
    <w:tmpl w:val="64607A38"/>
    <w:lvl w:ilvl="0" w:tentative="0">
      <w:start w:val="1"/>
      <w:numFmt w:val="japaneseCounting"/>
      <w:lvlText w:val="%1、"/>
      <w:lvlJc w:val="left"/>
      <w:pPr>
        <w:tabs>
          <w:tab w:val="left" w:pos="552"/>
        </w:tabs>
        <w:ind w:left="552" w:hanging="420"/>
      </w:pPr>
      <w:rPr>
        <w:rFonts w:ascii="Times New Roman" w:hAnsi="Times New Roman" w:eastAsia="Times New Roman" w:cs="Times New Roman"/>
        <w:color w:val="auto"/>
      </w:rPr>
    </w:lvl>
    <w:lvl w:ilvl="1" w:tentative="0">
      <w:start w:val="1"/>
      <w:numFmt w:val="lowerLetter"/>
      <w:lvlText w:val="%2)"/>
      <w:lvlJc w:val="left"/>
      <w:pPr>
        <w:tabs>
          <w:tab w:val="left" w:pos="840"/>
        </w:tabs>
        <w:ind w:left="840" w:hanging="420"/>
      </w:pPr>
      <w:rPr>
        <w:rFonts w:cs="Times New Roman"/>
      </w:rPr>
    </w:lvl>
    <w:lvl w:ilvl="2" w:tentative="0">
      <w:start w:val="10"/>
      <w:numFmt w:val="decimal"/>
      <w:lvlText w:val="%3."/>
      <w:lvlJc w:val="left"/>
      <w:pPr>
        <w:tabs>
          <w:tab w:val="left" w:pos="1200"/>
        </w:tabs>
        <w:ind w:left="1200" w:hanging="360"/>
      </w:pPr>
      <w:rPr>
        <w:rFonts w:hint="default"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666030AB"/>
    <w:multiLevelType w:val="multilevel"/>
    <w:tmpl w:val="666030AB"/>
    <w:lvl w:ilvl="0" w:tentative="0">
      <w:start w:val="1"/>
      <w:numFmt w:val="decimal"/>
      <w:lvlText w:val="（%1）"/>
      <w:lvlJc w:val="left"/>
      <w:pPr>
        <w:tabs>
          <w:tab w:val="left" w:pos="1710"/>
        </w:tabs>
        <w:ind w:left="1710" w:hanging="720"/>
      </w:pPr>
      <w:rPr>
        <w:rFonts w:hint="eastAsia"/>
      </w:rPr>
    </w:lvl>
    <w:lvl w:ilvl="1" w:tentative="0">
      <w:start w:val="2"/>
      <w:numFmt w:val="decimal"/>
      <w:lvlText w:val="%2."/>
      <w:lvlJc w:val="left"/>
      <w:pPr>
        <w:tabs>
          <w:tab w:val="left" w:pos="1770"/>
        </w:tabs>
        <w:ind w:left="1770" w:hanging="360"/>
      </w:pPr>
      <w:rPr>
        <w:rFonts w:hint="default"/>
      </w:rPr>
    </w:lvl>
    <w:lvl w:ilvl="2" w:tentative="0">
      <w:start w:val="1"/>
      <w:numFmt w:val="lowerRoman"/>
      <w:lvlText w:val="%3."/>
      <w:lvlJc w:val="right"/>
      <w:pPr>
        <w:tabs>
          <w:tab w:val="left" w:pos="2250"/>
        </w:tabs>
        <w:ind w:left="2250" w:hanging="420"/>
      </w:pPr>
    </w:lvl>
    <w:lvl w:ilvl="3" w:tentative="0">
      <w:start w:val="1"/>
      <w:numFmt w:val="decimal"/>
      <w:lvlText w:val="%4."/>
      <w:lvlJc w:val="left"/>
      <w:pPr>
        <w:tabs>
          <w:tab w:val="left" w:pos="2670"/>
        </w:tabs>
        <w:ind w:left="2670" w:hanging="420"/>
      </w:pPr>
    </w:lvl>
    <w:lvl w:ilvl="4" w:tentative="0">
      <w:start w:val="1"/>
      <w:numFmt w:val="lowerLetter"/>
      <w:lvlText w:val="%5)"/>
      <w:lvlJc w:val="left"/>
      <w:pPr>
        <w:tabs>
          <w:tab w:val="left" w:pos="3090"/>
        </w:tabs>
        <w:ind w:left="3090" w:hanging="420"/>
      </w:pPr>
    </w:lvl>
    <w:lvl w:ilvl="5" w:tentative="0">
      <w:start w:val="1"/>
      <w:numFmt w:val="lowerRoman"/>
      <w:lvlText w:val="%6."/>
      <w:lvlJc w:val="right"/>
      <w:pPr>
        <w:tabs>
          <w:tab w:val="left" w:pos="3510"/>
        </w:tabs>
        <w:ind w:left="3510" w:hanging="420"/>
      </w:pPr>
    </w:lvl>
    <w:lvl w:ilvl="6" w:tentative="0">
      <w:start w:val="1"/>
      <w:numFmt w:val="decimal"/>
      <w:lvlText w:val="%7."/>
      <w:lvlJc w:val="left"/>
      <w:pPr>
        <w:tabs>
          <w:tab w:val="left" w:pos="3930"/>
        </w:tabs>
        <w:ind w:left="3930" w:hanging="420"/>
      </w:pPr>
    </w:lvl>
    <w:lvl w:ilvl="7" w:tentative="0">
      <w:start w:val="1"/>
      <w:numFmt w:val="lowerLetter"/>
      <w:lvlText w:val="%8)"/>
      <w:lvlJc w:val="left"/>
      <w:pPr>
        <w:tabs>
          <w:tab w:val="left" w:pos="4350"/>
        </w:tabs>
        <w:ind w:left="4350" w:hanging="420"/>
      </w:pPr>
    </w:lvl>
    <w:lvl w:ilvl="8" w:tentative="0">
      <w:start w:val="1"/>
      <w:numFmt w:val="lowerRoman"/>
      <w:lvlText w:val="%9."/>
      <w:lvlJc w:val="right"/>
      <w:pPr>
        <w:tabs>
          <w:tab w:val="left" w:pos="4770"/>
        </w:tabs>
        <w:ind w:left="4770" w:hanging="420"/>
      </w:pPr>
    </w:lvl>
  </w:abstractNum>
  <w:abstractNum w:abstractNumId="9">
    <w:nsid w:val="7A4340BD"/>
    <w:multiLevelType w:val="multilevel"/>
    <w:tmpl w:val="7A4340BD"/>
    <w:lvl w:ilvl="0" w:tentative="0">
      <w:start w:val="1"/>
      <w:numFmt w:val="japaneseCounting"/>
      <w:lvlText w:val="（%1）"/>
      <w:lvlJc w:val="left"/>
      <w:pPr>
        <w:tabs>
          <w:tab w:val="left" w:pos="855"/>
        </w:tabs>
        <w:ind w:left="855" w:hanging="855"/>
      </w:pPr>
      <w:rPr>
        <w:rFonts w:hint="eastAsia"/>
      </w:rPr>
    </w:lvl>
    <w:lvl w:ilvl="1" w:tentative="0">
      <w:start w:val="3"/>
      <w:numFmt w:val="decimal"/>
      <w:lvlText w:val="%2."/>
      <w:lvlJc w:val="left"/>
      <w:pPr>
        <w:tabs>
          <w:tab w:val="left" w:pos="1125"/>
        </w:tabs>
        <w:ind w:left="1125" w:hanging="705"/>
      </w:pPr>
      <w:rPr>
        <w:rFonts w:hint="default"/>
      </w:rPr>
    </w:lvl>
    <w:lvl w:ilvl="2" w:tentative="0">
      <w:start w:val="1"/>
      <w:numFmt w:val="decimal"/>
      <w:lvlText w:val="%3."/>
      <w:lvlJc w:val="left"/>
      <w:pPr>
        <w:tabs>
          <w:tab w:val="left" w:pos="1740"/>
        </w:tabs>
        <w:ind w:left="1740" w:hanging="900"/>
      </w:pPr>
      <w:rPr>
        <w:rFonts w:hint="eastAsia"/>
      </w:rPr>
    </w:lvl>
    <w:lvl w:ilvl="3" w:tentative="0">
      <w:start w:val="1"/>
      <w:numFmt w:val="decimal"/>
      <w:lvlText w:val="（%4）"/>
      <w:lvlJc w:val="left"/>
      <w:pPr>
        <w:tabs>
          <w:tab w:val="left" w:pos="1980"/>
        </w:tabs>
        <w:ind w:left="1980" w:hanging="720"/>
      </w:pPr>
      <w:rPr>
        <w:rFonts w:hint="eastAsia" w:ascii="宋体" w:hAnsi="宋体" w:eastAsia="宋体"/>
        <w:sz w:val="24"/>
        <w:szCs w:val="24"/>
      </w:rPr>
    </w:lvl>
    <w:lvl w:ilvl="4" w:tentative="0">
      <w:start w:val="1"/>
      <w:numFmt w:val="lowerLetter"/>
      <w:lvlText w:val="%5."/>
      <w:lvlJc w:val="left"/>
      <w:pPr>
        <w:tabs>
          <w:tab w:val="left" w:pos="2040"/>
        </w:tabs>
        <w:ind w:left="2040" w:hanging="360"/>
      </w:pPr>
      <w:rPr>
        <w:rFonts w:hint="eastAsia"/>
      </w:rPr>
    </w:lvl>
    <w:lvl w:ilvl="5" w:tentative="0">
      <w:start w:val="1"/>
      <w:numFmt w:val="decimal"/>
      <w:lvlText w:val="%6．"/>
      <w:lvlJc w:val="left"/>
      <w:pPr>
        <w:tabs>
          <w:tab w:val="left" w:pos="2820"/>
        </w:tabs>
        <w:ind w:left="2820" w:hanging="720"/>
      </w:pPr>
      <w:rPr>
        <w:rFonts w:hint="eastAsia"/>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4"/>
  </w:num>
  <w:num w:numId="3">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5"/>
  </w:num>
  <w:num w:numId="6">
    <w:abstractNumId w:val="6"/>
  </w:num>
  <w:num w:numId="7">
    <w:abstractNumId w:val="1"/>
  </w:num>
  <w:num w:numId="8">
    <w:abstractNumId w:val="2"/>
  </w:num>
  <w:num w:numId="9">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5"/>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5NDQxYWZjZmZjNDVhMzA5YWZmOWI1M2I3ZTM1NGIifQ=="/>
  </w:docVars>
  <w:rsids>
    <w:rsidRoot w:val="00172A27"/>
    <w:rsid w:val="00000A59"/>
    <w:rsid w:val="00001A20"/>
    <w:rsid w:val="0000288C"/>
    <w:rsid w:val="000038F1"/>
    <w:rsid w:val="00003F72"/>
    <w:rsid w:val="0000501B"/>
    <w:rsid w:val="00005159"/>
    <w:rsid w:val="0000752B"/>
    <w:rsid w:val="0000782C"/>
    <w:rsid w:val="000079F2"/>
    <w:rsid w:val="00007A68"/>
    <w:rsid w:val="00010742"/>
    <w:rsid w:val="0001107D"/>
    <w:rsid w:val="000110D3"/>
    <w:rsid w:val="00011BFC"/>
    <w:rsid w:val="00012062"/>
    <w:rsid w:val="00012CBC"/>
    <w:rsid w:val="00012D81"/>
    <w:rsid w:val="00014DA0"/>
    <w:rsid w:val="000150EE"/>
    <w:rsid w:val="000154BF"/>
    <w:rsid w:val="00015B4B"/>
    <w:rsid w:val="00015D00"/>
    <w:rsid w:val="000162DC"/>
    <w:rsid w:val="00016541"/>
    <w:rsid w:val="00016688"/>
    <w:rsid w:val="00016ED4"/>
    <w:rsid w:val="000202D5"/>
    <w:rsid w:val="00021945"/>
    <w:rsid w:val="000224C2"/>
    <w:rsid w:val="0002378A"/>
    <w:rsid w:val="00023855"/>
    <w:rsid w:val="00024C02"/>
    <w:rsid w:val="00026AAF"/>
    <w:rsid w:val="0002720D"/>
    <w:rsid w:val="00027365"/>
    <w:rsid w:val="0002736F"/>
    <w:rsid w:val="00030060"/>
    <w:rsid w:val="000308B6"/>
    <w:rsid w:val="00031A2D"/>
    <w:rsid w:val="00031B66"/>
    <w:rsid w:val="0003338D"/>
    <w:rsid w:val="00034A66"/>
    <w:rsid w:val="0003731D"/>
    <w:rsid w:val="000378B6"/>
    <w:rsid w:val="00040263"/>
    <w:rsid w:val="00041A56"/>
    <w:rsid w:val="00043BC2"/>
    <w:rsid w:val="00043E2E"/>
    <w:rsid w:val="00043FD3"/>
    <w:rsid w:val="000445FC"/>
    <w:rsid w:val="00044C72"/>
    <w:rsid w:val="00046040"/>
    <w:rsid w:val="00046194"/>
    <w:rsid w:val="00046D78"/>
    <w:rsid w:val="00047A2A"/>
    <w:rsid w:val="000500BC"/>
    <w:rsid w:val="000505B0"/>
    <w:rsid w:val="000512E6"/>
    <w:rsid w:val="00051F33"/>
    <w:rsid w:val="00052709"/>
    <w:rsid w:val="00053C0D"/>
    <w:rsid w:val="000548DA"/>
    <w:rsid w:val="00054B25"/>
    <w:rsid w:val="000572C0"/>
    <w:rsid w:val="00057D5F"/>
    <w:rsid w:val="0006099B"/>
    <w:rsid w:val="00060EE8"/>
    <w:rsid w:val="00064682"/>
    <w:rsid w:val="00064CB8"/>
    <w:rsid w:val="00066009"/>
    <w:rsid w:val="000660CC"/>
    <w:rsid w:val="00066B5F"/>
    <w:rsid w:val="00067C3C"/>
    <w:rsid w:val="00067E65"/>
    <w:rsid w:val="00070CF8"/>
    <w:rsid w:val="00070D3D"/>
    <w:rsid w:val="000712AA"/>
    <w:rsid w:val="00071736"/>
    <w:rsid w:val="00071987"/>
    <w:rsid w:val="00071A56"/>
    <w:rsid w:val="00072378"/>
    <w:rsid w:val="00072613"/>
    <w:rsid w:val="00072F4A"/>
    <w:rsid w:val="0007382D"/>
    <w:rsid w:val="00073A3E"/>
    <w:rsid w:val="000744D0"/>
    <w:rsid w:val="000748E9"/>
    <w:rsid w:val="00074E0B"/>
    <w:rsid w:val="0007616B"/>
    <w:rsid w:val="00076399"/>
    <w:rsid w:val="000771A2"/>
    <w:rsid w:val="00077CD3"/>
    <w:rsid w:val="000807C6"/>
    <w:rsid w:val="00081029"/>
    <w:rsid w:val="00082BDE"/>
    <w:rsid w:val="00083BB8"/>
    <w:rsid w:val="00083ED4"/>
    <w:rsid w:val="00084AC1"/>
    <w:rsid w:val="00084CD9"/>
    <w:rsid w:val="00086384"/>
    <w:rsid w:val="00086529"/>
    <w:rsid w:val="00087035"/>
    <w:rsid w:val="0008738D"/>
    <w:rsid w:val="00087907"/>
    <w:rsid w:val="00090835"/>
    <w:rsid w:val="000909C6"/>
    <w:rsid w:val="0009108C"/>
    <w:rsid w:val="00093BFF"/>
    <w:rsid w:val="000949BA"/>
    <w:rsid w:val="00094A59"/>
    <w:rsid w:val="00094A81"/>
    <w:rsid w:val="00096998"/>
    <w:rsid w:val="000A012E"/>
    <w:rsid w:val="000A0579"/>
    <w:rsid w:val="000A07C9"/>
    <w:rsid w:val="000A0A62"/>
    <w:rsid w:val="000A0D54"/>
    <w:rsid w:val="000A190A"/>
    <w:rsid w:val="000A3201"/>
    <w:rsid w:val="000A4571"/>
    <w:rsid w:val="000A47F2"/>
    <w:rsid w:val="000A4D59"/>
    <w:rsid w:val="000A5113"/>
    <w:rsid w:val="000A5616"/>
    <w:rsid w:val="000A63FB"/>
    <w:rsid w:val="000A758C"/>
    <w:rsid w:val="000A796B"/>
    <w:rsid w:val="000A79EF"/>
    <w:rsid w:val="000B1027"/>
    <w:rsid w:val="000B193C"/>
    <w:rsid w:val="000B1F20"/>
    <w:rsid w:val="000B3B4B"/>
    <w:rsid w:val="000B514E"/>
    <w:rsid w:val="000B6FB5"/>
    <w:rsid w:val="000C019C"/>
    <w:rsid w:val="000C0E02"/>
    <w:rsid w:val="000C2116"/>
    <w:rsid w:val="000C234F"/>
    <w:rsid w:val="000C2391"/>
    <w:rsid w:val="000C2C09"/>
    <w:rsid w:val="000C2C24"/>
    <w:rsid w:val="000C2EDC"/>
    <w:rsid w:val="000C37AE"/>
    <w:rsid w:val="000C45C1"/>
    <w:rsid w:val="000C4D49"/>
    <w:rsid w:val="000C56DA"/>
    <w:rsid w:val="000C5C6A"/>
    <w:rsid w:val="000C64CE"/>
    <w:rsid w:val="000C71A6"/>
    <w:rsid w:val="000C78F8"/>
    <w:rsid w:val="000D0C02"/>
    <w:rsid w:val="000D0DF7"/>
    <w:rsid w:val="000D1814"/>
    <w:rsid w:val="000D29FB"/>
    <w:rsid w:val="000D4C0B"/>
    <w:rsid w:val="000D5477"/>
    <w:rsid w:val="000D5FFE"/>
    <w:rsid w:val="000D608F"/>
    <w:rsid w:val="000D670A"/>
    <w:rsid w:val="000D7388"/>
    <w:rsid w:val="000D7839"/>
    <w:rsid w:val="000D7ADC"/>
    <w:rsid w:val="000E0EB5"/>
    <w:rsid w:val="000E185D"/>
    <w:rsid w:val="000E209E"/>
    <w:rsid w:val="000E2622"/>
    <w:rsid w:val="000E397C"/>
    <w:rsid w:val="000E4956"/>
    <w:rsid w:val="000E49C4"/>
    <w:rsid w:val="000E4C48"/>
    <w:rsid w:val="000E56ED"/>
    <w:rsid w:val="000E5D89"/>
    <w:rsid w:val="000E68B0"/>
    <w:rsid w:val="000E7981"/>
    <w:rsid w:val="000F171A"/>
    <w:rsid w:val="000F2C6E"/>
    <w:rsid w:val="000F44CB"/>
    <w:rsid w:val="000F4A06"/>
    <w:rsid w:val="000F4CBB"/>
    <w:rsid w:val="000F5F3E"/>
    <w:rsid w:val="000F6188"/>
    <w:rsid w:val="000F6B4D"/>
    <w:rsid w:val="000F6C33"/>
    <w:rsid w:val="000F6EFE"/>
    <w:rsid w:val="000F774A"/>
    <w:rsid w:val="001009F9"/>
    <w:rsid w:val="00101CF1"/>
    <w:rsid w:val="0010393B"/>
    <w:rsid w:val="00104B43"/>
    <w:rsid w:val="001050BB"/>
    <w:rsid w:val="00105457"/>
    <w:rsid w:val="00105FE6"/>
    <w:rsid w:val="0010645D"/>
    <w:rsid w:val="0010648A"/>
    <w:rsid w:val="001073D7"/>
    <w:rsid w:val="00107B5A"/>
    <w:rsid w:val="00107C84"/>
    <w:rsid w:val="00111072"/>
    <w:rsid w:val="001119EE"/>
    <w:rsid w:val="00111BDD"/>
    <w:rsid w:val="00111C03"/>
    <w:rsid w:val="00111E79"/>
    <w:rsid w:val="00111EE9"/>
    <w:rsid w:val="00113C3A"/>
    <w:rsid w:val="00114417"/>
    <w:rsid w:val="001151A4"/>
    <w:rsid w:val="00115A4A"/>
    <w:rsid w:val="00115BDE"/>
    <w:rsid w:val="001165B3"/>
    <w:rsid w:val="00116A67"/>
    <w:rsid w:val="00120404"/>
    <w:rsid w:val="001239A2"/>
    <w:rsid w:val="00124455"/>
    <w:rsid w:val="00124592"/>
    <w:rsid w:val="00124CBF"/>
    <w:rsid w:val="00125423"/>
    <w:rsid w:val="0012550C"/>
    <w:rsid w:val="00125A12"/>
    <w:rsid w:val="001261D8"/>
    <w:rsid w:val="00126484"/>
    <w:rsid w:val="001269D7"/>
    <w:rsid w:val="00126BCF"/>
    <w:rsid w:val="00131317"/>
    <w:rsid w:val="00131564"/>
    <w:rsid w:val="0013178E"/>
    <w:rsid w:val="00131830"/>
    <w:rsid w:val="00131BE3"/>
    <w:rsid w:val="00131D7E"/>
    <w:rsid w:val="001322B6"/>
    <w:rsid w:val="00132BE3"/>
    <w:rsid w:val="001331B1"/>
    <w:rsid w:val="00134BFF"/>
    <w:rsid w:val="00135F21"/>
    <w:rsid w:val="00137A8E"/>
    <w:rsid w:val="00140BE1"/>
    <w:rsid w:val="001414AE"/>
    <w:rsid w:val="0014168E"/>
    <w:rsid w:val="001418D4"/>
    <w:rsid w:val="0014199A"/>
    <w:rsid w:val="00141D7A"/>
    <w:rsid w:val="00142A16"/>
    <w:rsid w:val="001431C7"/>
    <w:rsid w:val="0014350A"/>
    <w:rsid w:val="00143707"/>
    <w:rsid w:val="00144582"/>
    <w:rsid w:val="00145404"/>
    <w:rsid w:val="00146552"/>
    <w:rsid w:val="0015048D"/>
    <w:rsid w:val="0015237D"/>
    <w:rsid w:val="0015355D"/>
    <w:rsid w:val="00154CDA"/>
    <w:rsid w:val="0015507D"/>
    <w:rsid w:val="00155855"/>
    <w:rsid w:val="001559B0"/>
    <w:rsid w:val="00155E29"/>
    <w:rsid w:val="00155F41"/>
    <w:rsid w:val="00157441"/>
    <w:rsid w:val="00157961"/>
    <w:rsid w:val="00157C64"/>
    <w:rsid w:val="00160A8C"/>
    <w:rsid w:val="00162685"/>
    <w:rsid w:val="0016402A"/>
    <w:rsid w:val="001645A6"/>
    <w:rsid w:val="00164DA4"/>
    <w:rsid w:val="00164DC7"/>
    <w:rsid w:val="00164EAF"/>
    <w:rsid w:val="001675A3"/>
    <w:rsid w:val="0016794D"/>
    <w:rsid w:val="00167EAB"/>
    <w:rsid w:val="00170135"/>
    <w:rsid w:val="00172136"/>
    <w:rsid w:val="00172A27"/>
    <w:rsid w:val="0017346A"/>
    <w:rsid w:val="00174AB4"/>
    <w:rsid w:val="00180634"/>
    <w:rsid w:val="0018112E"/>
    <w:rsid w:val="00181AF3"/>
    <w:rsid w:val="00181B6B"/>
    <w:rsid w:val="0018246B"/>
    <w:rsid w:val="00182AB1"/>
    <w:rsid w:val="0018312C"/>
    <w:rsid w:val="0018314E"/>
    <w:rsid w:val="00184A54"/>
    <w:rsid w:val="00184D2A"/>
    <w:rsid w:val="001852C0"/>
    <w:rsid w:val="00186A88"/>
    <w:rsid w:val="00187714"/>
    <w:rsid w:val="00187BF4"/>
    <w:rsid w:val="00187C5B"/>
    <w:rsid w:val="00187D68"/>
    <w:rsid w:val="001904C3"/>
    <w:rsid w:val="001905DC"/>
    <w:rsid w:val="00190A6F"/>
    <w:rsid w:val="00190C06"/>
    <w:rsid w:val="00191289"/>
    <w:rsid w:val="0019259B"/>
    <w:rsid w:val="00192AE2"/>
    <w:rsid w:val="001932D3"/>
    <w:rsid w:val="00193B2A"/>
    <w:rsid w:val="00193B41"/>
    <w:rsid w:val="00193C9B"/>
    <w:rsid w:val="0019407D"/>
    <w:rsid w:val="00195E6C"/>
    <w:rsid w:val="00196A08"/>
    <w:rsid w:val="00197DAC"/>
    <w:rsid w:val="001A08C7"/>
    <w:rsid w:val="001A0FD5"/>
    <w:rsid w:val="001A1B0E"/>
    <w:rsid w:val="001A2448"/>
    <w:rsid w:val="001A2811"/>
    <w:rsid w:val="001A2B1C"/>
    <w:rsid w:val="001A2BD3"/>
    <w:rsid w:val="001A2FF2"/>
    <w:rsid w:val="001A3C26"/>
    <w:rsid w:val="001A4EAA"/>
    <w:rsid w:val="001A56B9"/>
    <w:rsid w:val="001A6381"/>
    <w:rsid w:val="001A6554"/>
    <w:rsid w:val="001A717F"/>
    <w:rsid w:val="001A7827"/>
    <w:rsid w:val="001B0100"/>
    <w:rsid w:val="001B0D47"/>
    <w:rsid w:val="001B1B3B"/>
    <w:rsid w:val="001B2E6E"/>
    <w:rsid w:val="001B3F52"/>
    <w:rsid w:val="001B486A"/>
    <w:rsid w:val="001B5088"/>
    <w:rsid w:val="001B5162"/>
    <w:rsid w:val="001B5C57"/>
    <w:rsid w:val="001B783C"/>
    <w:rsid w:val="001C07BE"/>
    <w:rsid w:val="001C0D96"/>
    <w:rsid w:val="001C11FD"/>
    <w:rsid w:val="001C19DA"/>
    <w:rsid w:val="001C2B25"/>
    <w:rsid w:val="001C3EAB"/>
    <w:rsid w:val="001C40FB"/>
    <w:rsid w:val="001C41F8"/>
    <w:rsid w:val="001C427A"/>
    <w:rsid w:val="001C516F"/>
    <w:rsid w:val="001C5519"/>
    <w:rsid w:val="001C6252"/>
    <w:rsid w:val="001C6585"/>
    <w:rsid w:val="001D0808"/>
    <w:rsid w:val="001D0938"/>
    <w:rsid w:val="001D438C"/>
    <w:rsid w:val="001D47A1"/>
    <w:rsid w:val="001D5014"/>
    <w:rsid w:val="001D56C4"/>
    <w:rsid w:val="001D6206"/>
    <w:rsid w:val="001D7056"/>
    <w:rsid w:val="001D7470"/>
    <w:rsid w:val="001D79D4"/>
    <w:rsid w:val="001E042A"/>
    <w:rsid w:val="001E0EF6"/>
    <w:rsid w:val="001E2BC4"/>
    <w:rsid w:val="001E4FBC"/>
    <w:rsid w:val="001E6B89"/>
    <w:rsid w:val="001E7FC4"/>
    <w:rsid w:val="001F0035"/>
    <w:rsid w:val="001F1658"/>
    <w:rsid w:val="001F19D4"/>
    <w:rsid w:val="001F2DA4"/>
    <w:rsid w:val="001F42A2"/>
    <w:rsid w:val="001F4AF2"/>
    <w:rsid w:val="001F5867"/>
    <w:rsid w:val="001F6FA2"/>
    <w:rsid w:val="001F75AC"/>
    <w:rsid w:val="002024E7"/>
    <w:rsid w:val="00202FE1"/>
    <w:rsid w:val="00203446"/>
    <w:rsid w:val="002035C0"/>
    <w:rsid w:val="0020489B"/>
    <w:rsid w:val="00204C7E"/>
    <w:rsid w:val="00204C88"/>
    <w:rsid w:val="00205788"/>
    <w:rsid w:val="00205B0A"/>
    <w:rsid w:val="00206204"/>
    <w:rsid w:val="00206EA8"/>
    <w:rsid w:val="002102B6"/>
    <w:rsid w:val="002105A3"/>
    <w:rsid w:val="0021198B"/>
    <w:rsid w:val="002122D5"/>
    <w:rsid w:val="002132FF"/>
    <w:rsid w:val="00213F0C"/>
    <w:rsid w:val="00216312"/>
    <w:rsid w:val="0022133C"/>
    <w:rsid w:val="00221BE7"/>
    <w:rsid w:val="00221D5E"/>
    <w:rsid w:val="00222534"/>
    <w:rsid w:val="002238F8"/>
    <w:rsid w:val="002240D6"/>
    <w:rsid w:val="00225246"/>
    <w:rsid w:val="0022613B"/>
    <w:rsid w:val="0022690E"/>
    <w:rsid w:val="00226F29"/>
    <w:rsid w:val="00227712"/>
    <w:rsid w:val="002278ED"/>
    <w:rsid w:val="0022799A"/>
    <w:rsid w:val="002307CD"/>
    <w:rsid w:val="00230A55"/>
    <w:rsid w:val="00232285"/>
    <w:rsid w:val="00233449"/>
    <w:rsid w:val="00233987"/>
    <w:rsid w:val="00233ECA"/>
    <w:rsid w:val="00234EF2"/>
    <w:rsid w:val="0023621F"/>
    <w:rsid w:val="00236910"/>
    <w:rsid w:val="002376A0"/>
    <w:rsid w:val="00240805"/>
    <w:rsid w:val="0024083E"/>
    <w:rsid w:val="00242A5D"/>
    <w:rsid w:val="002441FE"/>
    <w:rsid w:val="00244A0C"/>
    <w:rsid w:val="00246D6C"/>
    <w:rsid w:val="002501E3"/>
    <w:rsid w:val="0025276F"/>
    <w:rsid w:val="002534CC"/>
    <w:rsid w:val="00253731"/>
    <w:rsid w:val="00254212"/>
    <w:rsid w:val="002547BC"/>
    <w:rsid w:val="00254C31"/>
    <w:rsid w:val="00254E2E"/>
    <w:rsid w:val="002555A8"/>
    <w:rsid w:val="002563F4"/>
    <w:rsid w:val="00256524"/>
    <w:rsid w:val="00256D30"/>
    <w:rsid w:val="00256EC7"/>
    <w:rsid w:val="00257764"/>
    <w:rsid w:val="00257E7E"/>
    <w:rsid w:val="002603BA"/>
    <w:rsid w:val="00260A2E"/>
    <w:rsid w:val="00260AAA"/>
    <w:rsid w:val="0026141B"/>
    <w:rsid w:val="00261AB5"/>
    <w:rsid w:val="00261EE0"/>
    <w:rsid w:val="0026244D"/>
    <w:rsid w:val="00262C6C"/>
    <w:rsid w:val="00262E1C"/>
    <w:rsid w:val="0026313F"/>
    <w:rsid w:val="00263190"/>
    <w:rsid w:val="00264CD9"/>
    <w:rsid w:val="00265921"/>
    <w:rsid w:val="00266CE0"/>
    <w:rsid w:val="00266CF2"/>
    <w:rsid w:val="0027018D"/>
    <w:rsid w:val="00270566"/>
    <w:rsid w:val="00270B69"/>
    <w:rsid w:val="00270B9A"/>
    <w:rsid w:val="00270FE6"/>
    <w:rsid w:val="00271115"/>
    <w:rsid w:val="00272A50"/>
    <w:rsid w:val="00272B3E"/>
    <w:rsid w:val="00272EE7"/>
    <w:rsid w:val="002733E4"/>
    <w:rsid w:val="0027376D"/>
    <w:rsid w:val="0027392C"/>
    <w:rsid w:val="00273E1A"/>
    <w:rsid w:val="00273EBE"/>
    <w:rsid w:val="00274975"/>
    <w:rsid w:val="00274BA7"/>
    <w:rsid w:val="00275226"/>
    <w:rsid w:val="00276032"/>
    <w:rsid w:val="0027738A"/>
    <w:rsid w:val="002777C6"/>
    <w:rsid w:val="00277E06"/>
    <w:rsid w:val="00280142"/>
    <w:rsid w:val="00280A01"/>
    <w:rsid w:val="002817BD"/>
    <w:rsid w:val="002818B8"/>
    <w:rsid w:val="00281FD9"/>
    <w:rsid w:val="0028344F"/>
    <w:rsid w:val="00283727"/>
    <w:rsid w:val="00283841"/>
    <w:rsid w:val="00284EA7"/>
    <w:rsid w:val="002879A8"/>
    <w:rsid w:val="00287CFB"/>
    <w:rsid w:val="0029104D"/>
    <w:rsid w:val="00291FA3"/>
    <w:rsid w:val="002927A8"/>
    <w:rsid w:val="00292BA7"/>
    <w:rsid w:val="00292E56"/>
    <w:rsid w:val="002945FB"/>
    <w:rsid w:val="002946FF"/>
    <w:rsid w:val="002953AA"/>
    <w:rsid w:val="00295BD4"/>
    <w:rsid w:val="00296959"/>
    <w:rsid w:val="00296A96"/>
    <w:rsid w:val="0029731C"/>
    <w:rsid w:val="0029748C"/>
    <w:rsid w:val="00297FFD"/>
    <w:rsid w:val="002A093B"/>
    <w:rsid w:val="002A098A"/>
    <w:rsid w:val="002A0B72"/>
    <w:rsid w:val="002A0F25"/>
    <w:rsid w:val="002A1434"/>
    <w:rsid w:val="002A254E"/>
    <w:rsid w:val="002A2740"/>
    <w:rsid w:val="002A2A37"/>
    <w:rsid w:val="002A359A"/>
    <w:rsid w:val="002A5510"/>
    <w:rsid w:val="002A663E"/>
    <w:rsid w:val="002A6F74"/>
    <w:rsid w:val="002A73D1"/>
    <w:rsid w:val="002B0746"/>
    <w:rsid w:val="002B20D6"/>
    <w:rsid w:val="002B45BC"/>
    <w:rsid w:val="002B4C42"/>
    <w:rsid w:val="002B5302"/>
    <w:rsid w:val="002C1D7C"/>
    <w:rsid w:val="002C208B"/>
    <w:rsid w:val="002C28E5"/>
    <w:rsid w:val="002C2997"/>
    <w:rsid w:val="002C2FF3"/>
    <w:rsid w:val="002C3543"/>
    <w:rsid w:val="002C36C2"/>
    <w:rsid w:val="002C3ADB"/>
    <w:rsid w:val="002C5B7B"/>
    <w:rsid w:val="002C67F1"/>
    <w:rsid w:val="002D0CF2"/>
    <w:rsid w:val="002D1F03"/>
    <w:rsid w:val="002D1F86"/>
    <w:rsid w:val="002D24E8"/>
    <w:rsid w:val="002D2888"/>
    <w:rsid w:val="002D394D"/>
    <w:rsid w:val="002D3EDF"/>
    <w:rsid w:val="002D3F31"/>
    <w:rsid w:val="002D4252"/>
    <w:rsid w:val="002D47EF"/>
    <w:rsid w:val="002D4D09"/>
    <w:rsid w:val="002D4D76"/>
    <w:rsid w:val="002D50CD"/>
    <w:rsid w:val="002D520F"/>
    <w:rsid w:val="002D605D"/>
    <w:rsid w:val="002D66E5"/>
    <w:rsid w:val="002D678D"/>
    <w:rsid w:val="002D6A30"/>
    <w:rsid w:val="002E0118"/>
    <w:rsid w:val="002E01E6"/>
    <w:rsid w:val="002E0BF9"/>
    <w:rsid w:val="002E176D"/>
    <w:rsid w:val="002E1A36"/>
    <w:rsid w:val="002E24D2"/>
    <w:rsid w:val="002E2F34"/>
    <w:rsid w:val="002E40FB"/>
    <w:rsid w:val="002E4881"/>
    <w:rsid w:val="002E559C"/>
    <w:rsid w:val="002E6FC7"/>
    <w:rsid w:val="002E7580"/>
    <w:rsid w:val="002F0737"/>
    <w:rsid w:val="002F08E5"/>
    <w:rsid w:val="002F0AF2"/>
    <w:rsid w:val="002F0E7E"/>
    <w:rsid w:val="002F125A"/>
    <w:rsid w:val="002F2A9E"/>
    <w:rsid w:val="002F3004"/>
    <w:rsid w:val="002F34FA"/>
    <w:rsid w:val="002F44BE"/>
    <w:rsid w:val="002F53FA"/>
    <w:rsid w:val="002F55DE"/>
    <w:rsid w:val="002F653F"/>
    <w:rsid w:val="002F6B6D"/>
    <w:rsid w:val="003012AB"/>
    <w:rsid w:val="00302183"/>
    <w:rsid w:val="00302B3D"/>
    <w:rsid w:val="003033AE"/>
    <w:rsid w:val="00303641"/>
    <w:rsid w:val="0030386F"/>
    <w:rsid w:val="00303C71"/>
    <w:rsid w:val="00305C46"/>
    <w:rsid w:val="00305ED4"/>
    <w:rsid w:val="00306840"/>
    <w:rsid w:val="003068F9"/>
    <w:rsid w:val="0030706B"/>
    <w:rsid w:val="00307F3E"/>
    <w:rsid w:val="003102AE"/>
    <w:rsid w:val="003106DB"/>
    <w:rsid w:val="00313F56"/>
    <w:rsid w:val="003142B1"/>
    <w:rsid w:val="00315127"/>
    <w:rsid w:val="00315BDA"/>
    <w:rsid w:val="00315F29"/>
    <w:rsid w:val="00320EBE"/>
    <w:rsid w:val="003214F9"/>
    <w:rsid w:val="003218DC"/>
    <w:rsid w:val="00321B8A"/>
    <w:rsid w:val="0032228B"/>
    <w:rsid w:val="003226E6"/>
    <w:rsid w:val="003227DF"/>
    <w:rsid w:val="0032293A"/>
    <w:rsid w:val="00322B41"/>
    <w:rsid w:val="00322BFB"/>
    <w:rsid w:val="0032322D"/>
    <w:rsid w:val="003232B0"/>
    <w:rsid w:val="00324EC7"/>
    <w:rsid w:val="00324F17"/>
    <w:rsid w:val="00326C5E"/>
    <w:rsid w:val="00326E3E"/>
    <w:rsid w:val="003272C8"/>
    <w:rsid w:val="0032780B"/>
    <w:rsid w:val="003278EF"/>
    <w:rsid w:val="00330B24"/>
    <w:rsid w:val="00330F2E"/>
    <w:rsid w:val="003323D7"/>
    <w:rsid w:val="0033392C"/>
    <w:rsid w:val="0033519C"/>
    <w:rsid w:val="0033532C"/>
    <w:rsid w:val="00335CFD"/>
    <w:rsid w:val="00336B0E"/>
    <w:rsid w:val="00336CA6"/>
    <w:rsid w:val="00337096"/>
    <w:rsid w:val="0034021B"/>
    <w:rsid w:val="003403BF"/>
    <w:rsid w:val="0034340A"/>
    <w:rsid w:val="003439A7"/>
    <w:rsid w:val="00343EB5"/>
    <w:rsid w:val="00344F46"/>
    <w:rsid w:val="00345628"/>
    <w:rsid w:val="00346370"/>
    <w:rsid w:val="00346E29"/>
    <w:rsid w:val="003506FD"/>
    <w:rsid w:val="00350B6E"/>
    <w:rsid w:val="0035139A"/>
    <w:rsid w:val="003518D1"/>
    <w:rsid w:val="00353277"/>
    <w:rsid w:val="00353D9E"/>
    <w:rsid w:val="00353EAB"/>
    <w:rsid w:val="003549DF"/>
    <w:rsid w:val="003559D8"/>
    <w:rsid w:val="00355BDC"/>
    <w:rsid w:val="00355C48"/>
    <w:rsid w:val="00355D1B"/>
    <w:rsid w:val="00356628"/>
    <w:rsid w:val="003576EA"/>
    <w:rsid w:val="00360F40"/>
    <w:rsid w:val="0036166F"/>
    <w:rsid w:val="00362BB0"/>
    <w:rsid w:val="00362DE0"/>
    <w:rsid w:val="003634F3"/>
    <w:rsid w:val="00363AAC"/>
    <w:rsid w:val="003646A8"/>
    <w:rsid w:val="00364887"/>
    <w:rsid w:val="00366D99"/>
    <w:rsid w:val="0036714A"/>
    <w:rsid w:val="00367F2E"/>
    <w:rsid w:val="00370188"/>
    <w:rsid w:val="00371BAA"/>
    <w:rsid w:val="00371C78"/>
    <w:rsid w:val="003725A5"/>
    <w:rsid w:val="003745F4"/>
    <w:rsid w:val="00374B5E"/>
    <w:rsid w:val="00375F8D"/>
    <w:rsid w:val="00377667"/>
    <w:rsid w:val="003800A7"/>
    <w:rsid w:val="00380B85"/>
    <w:rsid w:val="003815ED"/>
    <w:rsid w:val="00382D8D"/>
    <w:rsid w:val="00383DB0"/>
    <w:rsid w:val="003841AD"/>
    <w:rsid w:val="003847B9"/>
    <w:rsid w:val="00385201"/>
    <w:rsid w:val="00385463"/>
    <w:rsid w:val="0038569B"/>
    <w:rsid w:val="00385A75"/>
    <w:rsid w:val="00385EB8"/>
    <w:rsid w:val="0038653C"/>
    <w:rsid w:val="00387081"/>
    <w:rsid w:val="00387453"/>
    <w:rsid w:val="0038773C"/>
    <w:rsid w:val="003923FE"/>
    <w:rsid w:val="00392C9D"/>
    <w:rsid w:val="00393829"/>
    <w:rsid w:val="00393ADD"/>
    <w:rsid w:val="00393D10"/>
    <w:rsid w:val="003941B3"/>
    <w:rsid w:val="00395406"/>
    <w:rsid w:val="0039631A"/>
    <w:rsid w:val="00397444"/>
    <w:rsid w:val="00397AF9"/>
    <w:rsid w:val="003A015D"/>
    <w:rsid w:val="003A0A99"/>
    <w:rsid w:val="003A20E6"/>
    <w:rsid w:val="003A23EE"/>
    <w:rsid w:val="003A3205"/>
    <w:rsid w:val="003A34AF"/>
    <w:rsid w:val="003A3912"/>
    <w:rsid w:val="003A4596"/>
    <w:rsid w:val="003A5EB5"/>
    <w:rsid w:val="003A61A0"/>
    <w:rsid w:val="003A66BB"/>
    <w:rsid w:val="003A6A2F"/>
    <w:rsid w:val="003B0614"/>
    <w:rsid w:val="003B079A"/>
    <w:rsid w:val="003B22A6"/>
    <w:rsid w:val="003B29A1"/>
    <w:rsid w:val="003B3790"/>
    <w:rsid w:val="003B5141"/>
    <w:rsid w:val="003B5382"/>
    <w:rsid w:val="003B5796"/>
    <w:rsid w:val="003B59BA"/>
    <w:rsid w:val="003B5CCC"/>
    <w:rsid w:val="003B5E96"/>
    <w:rsid w:val="003B681B"/>
    <w:rsid w:val="003B6FFA"/>
    <w:rsid w:val="003B76FF"/>
    <w:rsid w:val="003C283D"/>
    <w:rsid w:val="003C29BF"/>
    <w:rsid w:val="003C2D7B"/>
    <w:rsid w:val="003C3210"/>
    <w:rsid w:val="003C323C"/>
    <w:rsid w:val="003C345E"/>
    <w:rsid w:val="003C387F"/>
    <w:rsid w:val="003C522D"/>
    <w:rsid w:val="003C6334"/>
    <w:rsid w:val="003C6AA6"/>
    <w:rsid w:val="003C7965"/>
    <w:rsid w:val="003D130C"/>
    <w:rsid w:val="003D1E3B"/>
    <w:rsid w:val="003D2035"/>
    <w:rsid w:val="003D22F1"/>
    <w:rsid w:val="003D2D74"/>
    <w:rsid w:val="003D36DF"/>
    <w:rsid w:val="003D43DD"/>
    <w:rsid w:val="003D44B3"/>
    <w:rsid w:val="003D4D51"/>
    <w:rsid w:val="003D4EEF"/>
    <w:rsid w:val="003D5288"/>
    <w:rsid w:val="003D6DA2"/>
    <w:rsid w:val="003D703E"/>
    <w:rsid w:val="003D7D3C"/>
    <w:rsid w:val="003D7DC9"/>
    <w:rsid w:val="003E03B1"/>
    <w:rsid w:val="003E137E"/>
    <w:rsid w:val="003E18EA"/>
    <w:rsid w:val="003E2DFD"/>
    <w:rsid w:val="003E3685"/>
    <w:rsid w:val="003E3758"/>
    <w:rsid w:val="003E4658"/>
    <w:rsid w:val="003E5096"/>
    <w:rsid w:val="003E542B"/>
    <w:rsid w:val="003E5729"/>
    <w:rsid w:val="003E5731"/>
    <w:rsid w:val="003E5E1E"/>
    <w:rsid w:val="003E6140"/>
    <w:rsid w:val="003E66B4"/>
    <w:rsid w:val="003E7132"/>
    <w:rsid w:val="003E7456"/>
    <w:rsid w:val="003F0316"/>
    <w:rsid w:val="003F0A5F"/>
    <w:rsid w:val="003F0FA0"/>
    <w:rsid w:val="003F11D0"/>
    <w:rsid w:val="003F2603"/>
    <w:rsid w:val="003F42BE"/>
    <w:rsid w:val="003F45A8"/>
    <w:rsid w:val="003F6A06"/>
    <w:rsid w:val="003F6CBD"/>
    <w:rsid w:val="003F7BF6"/>
    <w:rsid w:val="003F7FC7"/>
    <w:rsid w:val="004001ED"/>
    <w:rsid w:val="0040025E"/>
    <w:rsid w:val="0040064B"/>
    <w:rsid w:val="00400E5C"/>
    <w:rsid w:val="00401403"/>
    <w:rsid w:val="00402ACC"/>
    <w:rsid w:val="00402E58"/>
    <w:rsid w:val="004035CA"/>
    <w:rsid w:val="00403806"/>
    <w:rsid w:val="00403877"/>
    <w:rsid w:val="00404C4C"/>
    <w:rsid w:val="00404E80"/>
    <w:rsid w:val="00406517"/>
    <w:rsid w:val="0040683D"/>
    <w:rsid w:val="00407F64"/>
    <w:rsid w:val="004101B8"/>
    <w:rsid w:val="00411978"/>
    <w:rsid w:val="004128F1"/>
    <w:rsid w:val="00414791"/>
    <w:rsid w:val="00416FD3"/>
    <w:rsid w:val="0041732E"/>
    <w:rsid w:val="00417532"/>
    <w:rsid w:val="0041768B"/>
    <w:rsid w:val="004176A8"/>
    <w:rsid w:val="00420044"/>
    <w:rsid w:val="004202BA"/>
    <w:rsid w:val="00420DB1"/>
    <w:rsid w:val="004212F9"/>
    <w:rsid w:val="00421488"/>
    <w:rsid w:val="00421A0C"/>
    <w:rsid w:val="004222FB"/>
    <w:rsid w:val="004231DD"/>
    <w:rsid w:val="00423905"/>
    <w:rsid w:val="00423BA1"/>
    <w:rsid w:val="00424720"/>
    <w:rsid w:val="00424F70"/>
    <w:rsid w:val="00425EA3"/>
    <w:rsid w:val="0042646C"/>
    <w:rsid w:val="00426532"/>
    <w:rsid w:val="00427027"/>
    <w:rsid w:val="00427814"/>
    <w:rsid w:val="00427A67"/>
    <w:rsid w:val="00432524"/>
    <w:rsid w:val="00432AFB"/>
    <w:rsid w:val="00432D05"/>
    <w:rsid w:val="0043489B"/>
    <w:rsid w:val="004349E6"/>
    <w:rsid w:val="00434B35"/>
    <w:rsid w:val="00435D39"/>
    <w:rsid w:val="004362DE"/>
    <w:rsid w:val="00436777"/>
    <w:rsid w:val="004367DB"/>
    <w:rsid w:val="00437270"/>
    <w:rsid w:val="004377EE"/>
    <w:rsid w:val="00437F73"/>
    <w:rsid w:val="0044006C"/>
    <w:rsid w:val="004411BC"/>
    <w:rsid w:val="004413EA"/>
    <w:rsid w:val="00442C95"/>
    <w:rsid w:val="0044303C"/>
    <w:rsid w:val="0044380E"/>
    <w:rsid w:val="004441A5"/>
    <w:rsid w:val="004443C4"/>
    <w:rsid w:val="0044503E"/>
    <w:rsid w:val="004452EB"/>
    <w:rsid w:val="004455CE"/>
    <w:rsid w:val="00445F14"/>
    <w:rsid w:val="00446B9C"/>
    <w:rsid w:val="0044708C"/>
    <w:rsid w:val="00447F79"/>
    <w:rsid w:val="004517B8"/>
    <w:rsid w:val="00451897"/>
    <w:rsid w:val="0045272E"/>
    <w:rsid w:val="004540A6"/>
    <w:rsid w:val="004540D3"/>
    <w:rsid w:val="0045521A"/>
    <w:rsid w:val="00455471"/>
    <w:rsid w:val="0045646D"/>
    <w:rsid w:val="00456BCA"/>
    <w:rsid w:val="004572C3"/>
    <w:rsid w:val="00457AC3"/>
    <w:rsid w:val="0046004A"/>
    <w:rsid w:val="00460192"/>
    <w:rsid w:val="004619E8"/>
    <w:rsid w:val="00461D2A"/>
    <w:rsid w:val="004621A6"/>
    <w:rsid w:val="00462991"/>
    <w:rsid w:val="00462C62"/>
    <w:rsid w:val="00463051"/>
    <w:rsid w:val="004636B8"/>
    <w:rsid w:val="00463C03"/>
    <w:rsid w:val="004640D7"/>
    <w:rsid w:val="004649AD"/>
    <w:rsid w:val="00464A7A"/>
    <w:rsid w:val="00465317"/>
    <w:rsid w:val="004663CD"/>
    <w:rsid w:val="004664CD"/>
    <w:rsid w:val="00467162"/>
    <w:rsid w:val="00467C44"/>
    <w:rsid w:val="00471861"/>
    <w:rsid w:val="00471D19"/>
    <w:rsid w:val="00473539"/>
    <w:rsid w:val="00473A01"/>
    <w:rsid w:val="00473A92"/>
    <w:rsid w:val="00474ED9"/>
    <w:rsid w:val="00475646"/>
    <w:rsid w:val="004757AE"/>
    <w:rsid w:val="00475A5F"/>
    <w:rsid w:val="00475CB7"/>
    <w:rsid w:val="0047626E"/>
    <w:rsid w:val="00476877"/>
    <w:rsid w:val="00476DDD"/>
    <w:rsid w:val="004804AC"/>
    <w:rsid w:val="00480BF6"/>
    <w:rsid w:val="00481043"/>
    <w:rsid w:val="00482433"/>
    <w:rsid w:val="00482851"/>
    <w:rsid w:val="004830E1"/>
    <w:rsid w:val="00483F3F"/>
    <w:rsid w:val="00484313"/>
    <w:rsid w:val="0048538A"/>
    <w:rsid w:val="0048656B"/>
    <w:rsid w:val="00487863"/>
    <w:rsid w:val="00487C7C"/>
    <w:rsid w:val="004904DE"/>
    <w:rsid w:val="00492120"/>
    <w:rsid w:val="00492B6C"/>
    <w:rsid w:val="00493060"/>
    <w:rsid w:val="00493666"/>
    <w:rsid w:val="0049370B"/>
    <w:rsid w:val="00494870"/>
    <w:rsid w:val="00494DC9"/>
    <w:rsid w:val="004950D2"/>
    <w:rsid w:val="00495939"/>
    <w:rsid w:val="00496C44"/>
    <w:rsid w:val="00496F02"/>
    <w:rsid w:val="004A0D38"/>
    <w:rsid w:val="004A0EF8"/>
    <w:rsid w:val="004A12FC"/>
    <w:rsid w:val="004A1655"/>
    <w:rsid w:val="004A37B4"/>
    <w:rsid w:val="004A416C"/>
    <w:rsid w:val="004A42D9"/>
    <w:rsid w:val="004A4FE5"/>
    <w:rsid w:val="004A6469"/>
    <w:rsid w:val="004A6639"/>
    <w:rsid w:val="004A6826"/>
    <w:rsid w:val="004A6C30"/>
    <w:rsid w:val="004A75E2"/>
    <w:rsid w:val="004B158E"/>
    <w:rsid w:val="004B1FDE"/>
    <w:rsid w:val="004B2A3F"/>
    <w:rsid w:val="004B4B86"/>
    <w:rsid w:val="004B4B9B"/>
    <w:rsid w:val="004B53D6"/>
    <w:rsid w:val="004B7EB9"/>
    <w:rsid w:val="004C13BA"/>
    <w:rsid w:val="004C1A23"/>
    <w:rsid w:val="004C2497"/>
    <w:rsid w:val="004C24C1"/>
    <w:rsid w:val="004C3CAB"/>
    <w:rsid w:val="004C3DD9"/>
    <w:rsid w:val="004C3E9B"/>
    <w:rsid w:val="004C4BF8"/>
    <w:rsid w:val="004C5367"/>
    <w:rsid w:val="004C54B1"/>
    <w:rsid w:val="004C5B22"/>
    <w:rsid w:val="004C660E"/>
    <w:rsid w:val="004C6B38"/>
    <w:rsid w:val="004C6E2B"/>
    <w:rsid w:val="004C7C42"/>
    <w:rsid w:val="004D007F"/>
    <w:rsid w:val="004D1D02"/>
    <w:rsid w:val="004D1FB3"/>
    <w:rsid w:val="004D2398"/>
    <w:rsid w:val="004D311A"/>
    <w:rsid w:val="004D37BD"/>
    <w:rsid w:val="004D4BC8"/>
    <w:rsid w:val="004D61D6"/>
    <w:rsid w:val="004D7971"/>
    <w:rsid w:val="004E0AAD"/>
    <w:rsid w:val="004E21C0"/>
    <w:rsid w:val="004E3B28"/>
    <w:rsid w:val="004E5632"/>
    <w:rsid w:val="004E5745"/>
    <w:rsid w:val="004E6599"/>
    <w:rsid w:val="004E69D6"/>
    <w:rsid w:val="004E6D7F"/>
    <w:rsid w:val="004E71F0"/>
    <w:rsid w:val="004E72FA"/>
    <w:rsid w:val="004E774E"/>
    <w:rsid w:val="004E78A9"/>
    <w:rsid w:val="004E7EB3"/>
    <w:rsid w:val="004F0328"/>
    <w:rsid w:val="004F0720"/>
    <w:rsid w:val="004F20D0"/>
    <w:rsid w:val="004F3844"/>
    <w:rsid w:val="004F4D34"/>
    <w:rsid w:val="004F5114"/>
    <w:rsid w:val="004F53DB"/>
    <w:rsid w:val="004F5535"/>
    <w:rsid w:val="004F655C"/>
    <w:rsid w:val="004F6AAC"/>
    <w:rsid w:val="004F7C54"/>
    <w:rsid w:val="00501959"/>
    <w:rsid w:val="00501B92"/>
    <w:rsid w:val="00502F8E"/>
    <w:rsid w:val="00503578"/>
    <w:rsid w:val="00503BF1"/>
    <w:rsid w:val="0050464A"/>
    <w:rsid w:val="00504CCA"/>
    <w:rsid w:val="00504DEA"/>
    <w:rsid w:val="005052C8"/>
    <w:rsid w:val="005065BA"/>
    <w:rsid w:val="00510372"/>
    <w:rsid w:val="00510768"/>
    <w:rsid w:val="00511844"/>
    <w:rsid w:val="00513891"/>
    <w:rsid w:val="00514393"/>
    <w:rsid w:val="00515D14"/>
    <w:rsid w:val="005179C6"/>
    <w:rsid w:val="005210B8"/>
    <w:rsid w:val="00521898"/>
    <w:rsid w:val="00521991"/>
    <w:rsid w:val="00523119"/>
    <w:rsid w:val="005232B7"/>
    <w:rsid w:val="005232D1"/>
    <w:rsid w:val="00524399"/>
    <w:rsid w:val="005246FB"/>
    <w:rsid w:val="005247CF"/>
    <w:rsid w:val="00525400"/>
    <w:rsid w:val="00525A62"/>
    <w:rsid w:val="00525CFC"/>
    <w:rsid w:val="00526379"/>
    <w:rsid w:val="00526586"/>
    <w:rsid w:val="00526AEB"/>
    <w:rsid w:val="00527012"/>
    <w:rsid w:val="005276C6"/>
    <w:rsid w:val="00527FB7"/>
    <w:rsid w:val="00530028"/>
    <w:rsid w:val="005300B1"/>
    <w:rsid w:val="0053075C"/>
    <w:rsid w:val="0053155E"/>
    <w:rsid w:val="00531870"/>
    <w:rsid w:val="00534E9F"/>
    <w:rsid w:val="00537265"/>
    <w:rsid w:val="005373B8"/>
    <w:rsid w:val="005375DA"/>
    <w:rsid w:val="00537933"/>
    <w:rsid w:val="00540F73"/>
    <w:rsid w:val="005410D4"/>
    <w:rsid w:val="005416DE"/>
    <w:rsid w:val="005427B7"/>
    <w:rsid w:val="00542AB9"/>
    <w:rsid w:val="00542F5B"/>
    <w:rsid w:val="00542FA6"/>
    <w:rsid w:val="00543372"/>
    <w:rsid w:val="005447F5"/>
    <w:rsid w:val="00544AB9"/>
    <w:rsid w:val="00545116"/>
    <w:rsid w:val="005454CA"/>
    <w:rsid w:val="00545977"/>
    <w:rsid w:val="00545AC8"/>
    <w:rsid w:val="00545EB8"/>
    <w:rsid w:val="00546750"/>
    <w:rsid w:val="00547ABD"/>
    <w:rsid w:val="0055033E"/>
    <w:rsid w:val="005504F1"/>
    <w:rsid w:val="00550B41"/>
    <w:rsid w:val="00551E14"/>
    <w:rsid w:val="00551FA5"/>
    <w:rsid w:val="0055213A"/>
    <w:rsid w:val="0055218C"/>
    <w:rsid w:val="005521E7"/>
    <w:rsid w:val="005522F9"/>
    <w:rsid w:val="00553534"/>
    <w:rsid w:val="00553572"/>
    <w:rsid w:val="005535D5"/>
    <w:rsid w:val="0055557F"/>
    <w:rsid w:val="00555BBE"/>
    <w:rsid w:val="00555FC9"/>
    <w:rsid w:val="00556019"/>
    <w:rsid w:val="0055637D"/>
    <w:rsid w:val="005572F9"/>
    <w:rsid w:val="0055797F"/>
    <w:rsid w:val="00560DF9"/>
    <w:rsid w:val="00561BBF"/>
    <w:rsid w:val="00561C28"/>
    <w:rsid w:val="005628B7"/>
    <w:rsid w:val="00562A99"/>
    <w:rsid w:val="00562CE0"/>
    <w:rsid w:val="00563123"/>
    <w:rsid w:val="00563906"/>
    <w:rsid w:val="00565549"/>
    <w:rsid w:val="00566FF6"/>
    <w:rsid w:val="0056710F"/>
    <w:rsid w:val="005673C4"/>
    <w:rsid w:val="0057092D"/>
    <w:rsid w:val="00571F67"/>
    <w:rsid w:val="00572095"/>
    <w:rsid w:val="00572E25"/>
    <w:rsid w:val="0057302F"/>
    <w:rsid w:val="00576B7B"/>
    <w:rsid w:val="00577F2C"/>
    <w:rsid w:val="00581E34"/>
    <w:rsid w:val="00582F41"/>
    <w:rsid w:val="0058340D"/>
    <w:rsid w:val="00584370"/>
    <w:rsid w:val="00585AC5"/>
    <w:rsid w:val="00585DDD"/>
    <w:rsid w:val="00586949"/>
    <w:rsid w:val="00586B1E"/>
    <w:rsid w:val="005870CE"/>
    <w:rsid w:val="005900C2"/>
    <w:rsid w:val="00590609"/>
    <w:rsid w:val="00591111"/>
    <w:rsid w:val="00591613"/>
    <w:rsid w:val="0059199B"/>
    <w:rsid w:val="00591CF8"/>
    <w:rsid w:val="00592803"/>
    <w:rsid w:val="005937AB"/>
    <w:rsid w:val="00593EA4"/>
    <w:rsid w:val="0059459F"/>
    <w:rsid w:val="005955E7"/>
    <w:rsid w:val="005957BB"/>
    <w:rsid w:val="00596690"/>
    <w:rsid w:val="00596B3B"/>
    <w:rsid w:val="00596D9D"/>
    <w:rsid w:val="00596E8B"/>
    <w:rsid w:val="00597C24"/>
    <w:rsid w:val="005A0495"/>
    <w:rsid w:val="005A2450"/>
    <w:rsid w:val="005A28BC"/>
    <w:rsid w:val="005A2F25"/>
    <w:rsid w:val="005A2FCA"/>
    <w:rsid w:val="005A4FCA"/>
    <w:rsid w:val="005A65EB"/>
    <w:rsid w:val="005A6B0C"/>
    <w:rsid w:val="005B14F9"/>
    <w:rsid w:val="005B1DB9"/>
    <w:rsid w:val="005B2639"/>
    <w:rsid w:val="005B2DC6"/>
    <w:rsid w:val="005B35F4"/>
    <w:rsid w:val="005B44C1"/>
    <w:rsid w:val="005B45B8"/>
    <w:rsid w:val="005B49E1"/>
    <w:rsid w:val="005B585B"/>
    <w:rsid w:val="005B7455"/>
    <w:rsid w:val="005C00A7"/>
    <w:rsid w:val="005C058B"/>
    <w:rsid w:val="005C10E6"/>
    <w:rsid w:val="005C14C3"/>
    <w:rsid w:val="005C26A7"/>
    <w:rsid w:val="005C3364"/>
    <w:rsid w:val="005C3551"/>
    <w:rsid w:val="005C4ECE"/>
    <w:rsid w:val="005C6717"/>
    <w:rsid w:val="005C681C"/>
    <w:rsid w:val="005C6AA3"/>
    <w:rsid w:val="005C6D02"/>
    <w:rsid w:val="005D0746"/>
    <w:rsid w:val="005D2775"/>
    <w:rsid w:val="005D3E93"/>
    <w:rsid w:val="005D41E9"/>
    <w:rsid w:val="005D4262"/>
    <w:rsid w:val="005D4658"/>
    <w:rsid w:val="005D57EF"/>
    <w:rsid w:val="005D7D10"/>
    <w:rsid w:val="005E1039"/>
    <w:rsid w:val="005E104B"/>
    <w:rsid w:val="005E11D5"/>
    <w:rsid w:val="005E1F5E"/>
    <w:rsid w:val="005E2A64"/>
    <w:rsid w:val="005E3063"/>
    <w:rsid w:val="005E3337"/>
    <w:rsid w:val="005E3AA1"/>
    <w:rsid w:val="005E41F5"/>
    <w:rsid w:val="005E4331"/>
    <w:rsid w:val="005E5269"/>
    <w:rsid w:val="005E5279"/>
    <w:rsid w:val="005E55B6"/>
    <w:rsid w:val="005E62E9"/>
    <w:rsid w:val="005E64D1"/>
    <w:rsid w:val="005E756A"/>
    <w:rsid w:val="005E78F3"/>
    <w:rsid w:val="005F01D8"/>
    <w:rsid w:val="005F0224"/>
    <w:rsid w:val="005F02ED"/>
    <w:rsid w:val="005F15AF"/>
    <w:rsid w:val="005F1942"/>
    <w:rsid w:val="005F2B19"/>
    <w:rsid w:val="005F2CDB"/>
    <w:rsid w:val="005F2F91"/>
    <w:rsid w:val="005F317A"/>
    <w:rsid w:val="005F3B47"/>
    <w:rsid w:val="005F3B92"/>
    <w:rsid w:val="005F3E5E"/>
    <w:rsid w:val="005F4932"/>
    <w:rsid w:val="005F54A4"/>
    <w:rsid w:val="005F5A47"/>
    <w:rsid w:val="005F68FC"/>
    <w:rsid w:val="005F6F1F"/>
    <w:rsid w:val="006008BA"/>
    <w:rsid w:val="00602870"/>
    <w:rsid w:val="00602E7A"/>
    <w:rsid w:val="00603A59"/>
    <w:rsid w:val="006047E5"/>
    <w:rsid w:val="00604870"/>
    <w:rsid w:val="0060516C"/>
    <w:rsid w:val="0060574F"/>
    <w:rsid w:val="00605AA1"/>
    <w:rsid w:val="006062DA"/>
    <w:rsid w:val="006069EE"/>
    <w:rsid w:val="00606A7D"/>
    <w:rsid w:val="00606D11"/>
    <w:rsid w:val="00606FEB"/>
    <w:rsid w:val="00607219"/>
    <w:rsid w:val="00610592"/>
    <w:rsid w:val="00611BDB"/>
    <w:rsid w:val="00611E42"/>
    <w:rsid w:val="00612570"/>
    <w:rsid w:val="00614349"/>
    <w:rsid w:val="006174AA"/>
    <w:rsid w:val="00620D69"/>
    <w:rsid w:val="00621184"/>
    <w:rsid w:val="00621680"/>
    <w:rsid w:val="006218CA"/>
    <w:rsid w:val="006229EB"/>
    <w:rsid w:val="00623051"/>
    <w:rsid w:val="006240E0"/>
    <w:rsid w:val="00624333"/>
    <w:rsid w:val="006252E0"/>
    <w:rsid w:val="00625E8B"/>
    <w:rsid w:val="00627013"/>
    <w:rsid w:val="00627DB1"/>
    <w:rsid w:val="00627EC7"/>
    <w:rsid w:val="00630130"/>
    <w:rsid w:val="006302D2"/>
    <w:rsid w:val="00630C07"/>
    <w:rsid w:val="00631483"/>
    <w:rsid w:val="00631C17"/>
    <w:rsid w:val="006325C2"/>
    <w:rsid w:val="006329EC"/>
    <w:rsid w:val="0063302E"/>
    <w:rsid w:val="00633B0B"/>
    <w:rsid w:val="006342C9"/>
    <w:rsid w:val="00635299"/>
    <w:rsid w:val="00635BD1"/>
    <w:rsid w:val="00635E4F"/>
    <w:rsid w:val="006404BE"/>
    <w:rsid w:val="006411E3"/>
    <w:rsid w:val="0064251D"/>
    <w:rsid w:val="00643327"/>
    <w:rsid w:val="006433CE"/>
    <w:rsid w:val="00643577"/>
    <w:rsid w:val="00644654"/>
    <w:rsid w:val="00644C9D"/>
    <w:rsid w:val="0064532E"/>
    <w:rsid w:val="00646CAE"/>
    <w:rsid w:val="0064779A"/>
    <w:rsid w:val="00647B1F"/>
    <w:rsid w:val="00647BBF"/>
    <w:rsid w:val="0065000E"/>
    <w:rsid w:val="006501BD"/>
    <w:rsid w:val="00651888"/>
    <w:rsid w:val="006518A9"/>
    <w:rsid w:val="00651AF4"/>
    <w:rsid w:val="00651FE5"/>
    <w:rsid w:val="00652BA6"/>
    <w:rsid w:val="00652E66"/>
    <w:rsid w:val="006539D3"/>
    <w:rsid w:val="006547FA"/>
    <w:rsid w:val="006548F5"/>
    <w:rsid w:val="006559A3"/>
    <w:rsid w:val="006564FA"/>
    <w:rsid w:val="00657EF5"/>
    <w:rsid w:val="00660560"/>
    <w:rsid w:val="00660DE8"/>
    <w:rsid w:val="0066194E"/>
    <w:rsid w:val="0066378B"/>
    <w:rsid w:val="0066591C"/>
    <w:rsid w:val="00666490"/>
    <w:rsid w:val="00666992"/>
    <w:rsid w:val="00666D53"/>
    <w:rsid w:val="00666E07"/>
    <w:rsid w:val="00667B44"/>
    <w:rsid w:val="0067109C"/>
    <w:rsid w:val="00672237"/>
    <w:rsid w:val="006722AD"/>
    <w:rsid w:val="00672801"/>
    <w:rsid w:val="00672C4A"/>
    <w:rsid w:val="00672F65"/>
    <w:rsid w:val="00672F92"/>
    <w:rsid w:val="0067351B"/>
    <w:rsid w:val="00674D7B"/>
    <w:rsid w:val="00674E0F"/>
    <w:rsid w:val="0067592A"/>
    <w:rsid w:val="0067659D"/>
    <w:rsid w:val="0067664A"/>
    <w:rsid w:val="00677918"/>
    <w:rsid w:val="0068209A"/>
    <w:rsid w:val="00683437"/>
    <w:rsid w:val="00684618"/>
    <w:rsid w:val="0068524F"/>
    <w:rsid w:val="00686AE1"/>
    <w:rsid w:val="00687BF1"/>
    <w:rsid w:val="00687F4E"/>
    <w:rsid w:val="0069023F"/>
    <w:rsid w:val="00690CF2"/>
    <w:rsid w:val="00690DF5"/>
    <w:rsid w:val="00691B8B"/>
    <w:rsid w:val="00692FDD"/>
    <w:rsid w:val="00693202"/>
    <w:rsid w:val="0069389F"/>
    <w:rsid w:val="00694E4B"/>
    <w:rsid w:val="00695BFF"/>
    <w:rsid w:val="00696B5B"/>
    <w:rsid w:val="0069702C"/>
    <w:rsid w:val="00697355"/>
    <w:rsid w:val="0069760A"/>
    <w:rsid w:val="006A044B"/>
    <w:rsid w:val="006A202E"/>
    <w:rsid w:val="006A23C9"/>
    <w:rsid w:val="006A2C18"/>
    <w:rsid w:val="006A3395"/>
    <w:rsid w:val="006A37B5"/>
    <w:rsid w:val="006A482D"/>
    <w:rsid w:val="006A482F"/>
    <w:rsid w:val="006A5315"/>
    <w:rsid w:val="006A5378"/>
    <w:rsid w:val="006A539B"/>
    <w:rsid w:val="006A5905"/>
    <w:rsid w:val="006A5D31"/>
    <w:rsid w:val="006A5FDA"/>
    <w:rsid w:val="006A69E1"/>
    <w:rsid w:val="006A6C9D"/>
    <w:rsid w:val="006A7FDB"/>
    <w:rsid w:val="006B00CF"/>
    <w:rsid w:val="006B08B9"/>
    <w:rsid w:val="006B0E09"/>
    <w:rsid w:val="006B14C5"/>
    <w:rsid w:val="006B16A8"/>
    <w:rsid w:val="006B1700"/>
    <w:rsid w:val="006B1B08"/>
    <w:rsid w:val="006B2866"/>
    <w:rsid w:val="006B293A"/>
    <w:rsid w:val="006B3164"/>
    <w:rsid w:val="006B54C0"/>
    <w:rsid w:val="006B5571"/>
    <w:rsid w:val="006B6120"/>
    <w:rsid w:val="006C0564"/>
    <w:rsid w:val="006C1910"/>
    <w:rsid w:val="006C24C0"/>
    <w:rsid w:val="006C2BAB"/>
    <w:rsid w:val="006C2FD5"/>
    <w:rsid w:val="006C329D"/>
    <w:rsid w:val="006C35ED"/>
    <w:rsid w:val="006C3F3D"/>
    <w:rsid w:val="006C4278"/>
    <w:rsid w:val="006C466D"/>
    <w:rsid w:val="006C4DAD"/>
    <w:rsid w:val="006C4F9E"/>
    <w:rsid w:val="006C5259"/>
    <w:rsid w:val="006C568B"/>
    <w:rsid w:val="006C5D50"/>
    <w:rsid w:val="006C75D4"/>
    <w:rsid w:val="006C7722"/>
    <w:rsid w:val="006D0B14"/>
    <w:rsid w:val="006D2125"/>
    <w:rsid w:val="006D2137"/>
    <w:rsid w:val="006D2650"/>
    <w:rsid w:val="006D27FC"/>
    <w:rsid w:val="006D3E3C"/>
    <w:rsid w:val="006D3E71"/>
    <w:rsid w:val="006D4085"/>
    <w:rsid w:val="006D4E43"/>
    <w:rsid w:val="006D502B"/>
    <w:rsid w:val="006D5F0E"/>
    <w:rsid w:val="006D7778"/>
    <w:rsid w:val="006E0F78"/>
    <w:rsid w:val="006E1332"/>
    <w:rsid w:val="006E19D3"/>
    <w:rsid w:val="006E240F"/>
    <w:rsid w:val="006E324F"/>
    <w:rsid w:val="006E587D"/>
    <w:rsid w:val="006E5A69"/>
    <w:rsid w:val="006E5C65"/>
    <w:rsid w:val="006E66E4"/>
    <w:rsid w:val="006E7428"/>
    <w:rsid w:val="006E7DC8"/>
    <w:rsid w:val="006F0773"/>
    <w:rsid w:val="006F0A8C"/>
    <w:rsid w:val="006F2380"/>
    <w:rsid w:val="006F2FD1"/>
    <w:rsid w:val="006F4270"/>
    <w:rsid w:val="006F4916"/>
    <w:rsid w:val="006F492B"/>
    <w:rsid w:val="006F4F67"/>
    <w:rsid w:val="006F71C5"/>
    <w:rsid w:val="006F71F2"/>
    <w:rsid w:val="006F791C"/>
    <w:rsid w:val="006F7C1A"/>
    <w:rsid w:val="006F7DEF"/>
    <w:rsid w:val="0070097B"/>
    <w:rsid w:val="00700AC0"/>
    <w:rsid w:val="00700DCA"/>
    <w:rsid w:val="00701530"/>
    <w:rsid w:val="007015DF"/>
    <w:rsid w:val="007017A8"/>
    <w:rsid w:val="00702545"/>
    <w:rsid w:val="00702819"/>
    <w:rsid w:val="007034E2"/>
    <w:rsid w:val="007038AF"/>
    <w:rsid w:val="0070423E"/>
    <w:rsid w:val="007043BB"/>
    <w:rsid w:val="00704425"/>
    <w:rsid w:val="0070459E"/>
    <w:rsid w:val="00705E5C"/>
    <w:rsid w:val="00706065"/>
    <w:rsid w:val="007063A1"/>
    <w:rsid w:val="00706544"/>
    <w:rsid w:val="00707589"/>
    <w:rsid w:val="0070793B"/>
    <w:rsid w:val="007102D0"/>
    <w:rsid w:val="0071065B"/>
    <w:rsid w:val="007123B3"/>
    <w:rsid w:val="00712545"/>
    <w:rsid w:val="0071472E"/>
    <w:rsid w:val="00715215"/>
    <w:rsid w:val="007155C5"/>
    <w:rsid w:val="00715D52"/>
    <w:rsid w:val="0071660F"/>
    <w:rsid w:val="0071740F"/>
    <w:rsid w:val="00720399"/>
    <w:rsid w:val="00720A9B"/>
    <w:rsid w:val="0072104D"/>
    <w:rsid w:val="00721592"/>
    <w:rsid w:val="00721AFE"/>
    <w:rsid w:val="007227ED"/>
    <w:rsid w:val="007230AF"/>
    <w:rsid w:val="0072350B"/>
    <w:rsid w:val="00723A57"/>
    <w:rsid w:val="0072751A"/>
    <w:rsid w:val="007278B4"/>
    <w:rsid w:val="007279DB"/>
    <w:rsid w:val="00730C5E"/>
    <w:rsid w:val="007310BE"/>
    <w:rsid w:val="007316D5"/>
    <w:rsid w:val="00732187"/>
    <w:rsid w:val="007322DA"/>
    <w:rsid w:val="00732427"/>
    <w:rsid w:val="007329AE"/>
    <w:rsid w:val="00734388"/>
    <w:rsid w:val="00734522"/>
    <w:rsid w:val="0073495C"/>
    <w:rsid w:val="00734DA8"/>
    <w:rsid w:val="00735A40"/>
    <w:rsid w:val="00737C64"/>
    <w:rsid w:val="00740BE9"/>
    <w:rsid w:val="00740F8F"/>
    <w:rsid w:val="00740FE3"/>
    <w:rsid w:val="00741A56"/>
    <w:rsid w:val="007434CB"/>
    <w:rsid w:val="00743C78"/>
    <w:rsid w:val="007447A1"/>
    <w:rsid w:val="00744D71"/>
    <w:rsid w:val="007454C8"/>
    <w:rsid w:val="00746061"/>
    <w:rsid w:val="00746091"/>
    <w:rsid w:val="00747303"/>
    <w:rsid w:val="007473BB"/>
    <w:rsid w:val="00747FB6"/>
    <w:rsid w:val="007514F2"/>
    <w:rsid w:val="007521C0"/>
    <w:rsid w:val="00752848"/>
    <w:rsid w:val="00752EAA"/>
    <w:rsid w:val="007531D1"/>
    <w:rsid w:val="00753B71"/>
    <w:rsid w:val="00753CF6"/>
    <w:rsid w:val="00754199"/>
    <w:rsid w:val="0075441A"/>
    <w:rsid w:val="007560A8"/>
    <w:rsid w:val="007579B2"/>
    <w:rsid w:val="007579BF"/>
    <w:rsid w:val="007605FC"/>
    <w:rsid w:val="0076063E"/>
    <w:rsid w:val="007612CC"/>
    <w:rsid w:val="0076134F"/>
    <w:rsid w:val="007614EF"/>
    <w:rsid w:val="007616E8"/>
    <w:rsid w:val="007623C8"/>
    <w:rsid w:val="00762A1C"/>
    <w:rsid w:val="00762F56"/>
    <w:rsid w:val="007633DD"/>
    <w:rsid w:val="00763E84"/>
    <w:rsid w:val="007649A3"/>
    <w:rsid w:val="00765292"/>
    <w:rsid w:val="0076611A"/>
    <w:rsid w:val="0077005C"/>
    <w:rsid w:val="00770791"/>
    <w:rsid w:val="007708FF"/>
    <w:rsid w:val="0077127F"/>
    <w:rsid w:val="00771BCB"/>
    <w:rsid w:val="00772BAB"/>
    <w:rsid w:val="00773A7D"/>
    <w:rsid w:val="00774682"/>
    <w:rsid w:val="0077530A"/>
    <w:rsid w:val="00775E60"/>
    <w:rsid w:val="007769BA"/>
    <w:rsid w:val="007769E4"/>
    <w:rsid w:val="00776A15"/>
    <w:rsid w:val="00777461"/>
    <w:rsid w:val="007800E3"/>
    <w:rsid w:val="00780CC9"/>
    <w:rsid w:val="00781A8D"/>
    <w:rsid w:val="00783439"/>
    <w:rsid w:val="00783697"/>
    <w:rsid w:val="00784940"/>
    <w:rsid w:val="00784F62"/>
    <w:rsid w:val="0078537C"/>
    <w:rsid w:val="00785AFA"/>
    <w:rsid w:val="007861A2"/>
    <w:rsid w:val="007869DA"/>
    <w:rsid w:val="00786F99"/>
    <w:rsid w:val="007900FB"/>
    <w:rsid w:val="007903D5"/>
    <w:rsid w:val="0079069D"/>
    <w:rsid w:val="0079132E"/>
    <w:rsid w:val="00791684"/>
    <w:rsid w:val="00792140"/>
    <w:rsid w:val="00792153"/>
    <w:rsid w:val="00792299"/>
    <w:rsid w:val="0079290F"/>
    <w:rsid w:val="00793C40"/>
    <w:rsid w:val="007940B5"/>
    <w:rsid w:val="007942DE"/>
    <w:rsid w:val="00794B50"/>
    <w:rsid w:val="007950E3"/>
    <w:rsid w:val="007961B6"/>
    <w:rsid w:val="00796570"/>
    <w:rsid w:val="007970EC"/>
    <w:rsid w:val="0079724C"/>
    <w:rsid w:val="007A00E3"/>
    <w:rsid w:val="007A0320"/>
    <w:rsid w:val="007A17D5"/>
    <w:rsid w:val="007A1BB6"/>
    <w:rsid w:val="007A1C88"/>
    <w:rsid w:val="007A2304"/>
    <w:rsid w:val="007A25F3"/>
    <w:rsid w:val="007A4025"/>
    <w:rsid w:val="007A430C"/>
    <w:rsid w:val="007A4C21"/>
    <w:rsid w:val="007A5BF2"/>
    <w:rsid w:val="007A5F61"/>
    <w:rsid w:val="007B1BEA"/>
    <w:rsid w:val="007B1FD5"/>
    <w:rsid w:val="007B230B"/>
    <w:rsid w:val="007B279B"/>
    <w:rsid w:val="007B3730"/>
    <w:rsid w:val="007B3A80"/>
    <w:rsid w:val="007B67F2"/>
    <w:rsid w:val="007B6B09"/>
    <w:rsid w:val="007B75CF"/>
    <w:rsid w:val="007B776F"/>
    <w:rsid w:val="007C06FA"/>
    <w:rsid w:val="007C181B"/>
    <w:rsid w:val="007C212F"/>
    <w:rsid w:val="007C2BEE"/>
    <w:rsid w:val="007C4186"/>
    <w:rsid w:val="007C418A"/>
    <w:rsid w:val="007C4434"/>
    <w:rsid w:val="007C4511"/>
    <w:rsid w:val="007C4E60"/>
    <w:rsid w:val="007C63B6"/>
    <w:rsid w:val="007D1270"/>
    <w:rsid w:val="007D1A11"/>
    <w:rsid w:val="007D1BA7"/>
    <w:rsid w:val="007D1F51"/>
    <w:rsid w:val="007D27E1"/>
    <w:rsid w:val="007D31BD"/>
    <w:rsid w:val="007D4CA3"/>
    <w:rsid w:val="007D6D30"/>
    <w:rsid w:val="007E09CE"/>
    <w:rsid w:val="007E11E5"/>
    <w:rsid w:val="007E1727"/>
    <w:rsid w:val="007E3152"/>
    <w:rsid w:val="007E3270"/>
    <w:rsid w:val="007E3BB9"/>
    <w:rsid w:val="007E4618"/>
    <w:rsid w:val="007E5233"/>
    <w:rsid w:val="007E549F"/>
    <w:rsid w:val="007E563D"/>
    <w:rsid w:val="007E65BE"/>
    <w:rsid w:val="007E66B4"/>
    <w:rsid w:val="007E7FE0"/>
    <w:rsid w:val="007F0CEA"/>
    <w:rsid w:val="007F3B14"/>
    <w:rsid w:val="007F4A08"/>
    <w:rsid w:val="007F5877"/>
    <w:rsid w:val="007F6333"/>
    <w:rsid w:val="008003B0"/>
    <w:rsid w:val="00800B62"/>
    <w:rsid w:val="008012E7"/>
    <w:rsid w:val="00802258"/>
    <w:rsid w:val="00802C31"/>
    <w:rsid w:val="0080366E"/>
    <w:rsid w:val="00803971"/>
    <w:rsid w:val="00803AD1"/>
    <w:rsid w:val="008040D0"/>
    <w:rsid w:val="0080455A"/>
    <w:rsid w:val="00804A57"/>
    <w:rsid w:val="0080503B"/>
    <w:rsid w:val="0080634F"/>
    <w:rsid w:val="00806EB0"/>
    <w:rsid w:val="00806EB1"/>
    <w:rsid w:val="00806F4D"/>
    <w:rsid w:val="00807807"/>
    <w:rsid w:val="00811726"/>
    <w:rsid w:val="00811C56"/>
    <w:rsid w:val="00811DC1"/>
    <w:rsid w:val="00811F5D"/>
    <w:rsid w:val="00812972"/>
    <w:rsid w:val="008129FA"/>
    <w:rsid w:val="00812E28"/>
    <w:rsid w:val="008147E3"/>
    <w:rsid w:val="00814DF4"/>
    <w:rsid w:val="00815208"/>
    <w:rsid w:val="0081610A"/>
    <w:rsid w:val="008171DA"/>
    <w:rsid w:val="0082038A"/>
    <w:rsid w:val="00820A71"/>
    <w:rsid w:val="008210F8"/>
    <w:rsid w:val="008217C3"/>
    <w:rsid w:val="008238E8"/>
    <w:rsid w:val="00824C60"/>
    <w:rsid w:val="00825334"/>
    <w:rsid w:val="00827D40"/>
    <w:rsid w:val="0083089B"/>
    <w:rsid w:val="00831A9F"/>
    <w:rsid w:val="00831FC1"/>
    <w:rsid w:val="0083265B"/>
    <w:rsid w:val="00832AA4"/>
    <w:rsid w:val="0083363D"/>
    <w:rsid w:val="00833840"/>
    <w:rsid w:val="00834B9C"/>
    <w:rsid w:val="00837BAF"/>
    <w:rsid w:val="008417D5"/>
    <w:rsid w:val="008417FB"/>
    <w:rsid w:val="00842A0A"/>
    <w:rsid w:val="00842BA0"/>
    <w:rsid w:val="00843646"/>
    <w:rsid w:val="00843842"/>
    <w:rsid w:val="00844051"/>
    <w:rsid w:val="00844206"/>
    <w:rsid w:val="008448C3"/>
    <w:rsid w:val="008449EF"/>
    <w:rsid w:val="00845F27"/>
    <w:rsid w:val="0084691B"/>
    <w:rsid w:val="008472CC"/>
    <w:rsid w:val="008475B1"/>
    <w:rsid w:val="00850734"/>
    <w:rsid w:val="00850792"/>
    <w:rsid w:val="00850F2A"/>
    <w:rsid w:val="00852AC8"/>
    <w:rsid w:val="00852C66"/>
    <w:rsid w:val="00853167"/>
    <w:rsid w:val="0085355B"/>
    <w:rsid w:val="0085419D"/>
    <w:rsid w:val="0085488E"/>
    <w:rsid w:val="00854A9C"/>
    <w:rsid w:val="00854B31"/>
    <w:rsid w:val="008553AE"/>
    <w:rsid w:val="0085692F"/>
    <w:rsid w:val="00856CBC"/>
    <w:rsid w:val="00857145"/>
    <w:rsid w:val="0085784D"/>
    <w:rsid w:val="00857CC6"/>
    <w:rsid w:val="008608E8"/>
    <w:rsid w:val="008625BE"/>
    <w:rsid w:val="00862FA4"/>
    <w:rsid w:val="00863A2B"/>
    <w:rsid w:val="008649E1"/>
    <w:rsid w:val="00865664"/>
    <w:rsid w:val="00865CB7"/>
    <w:rsid w:val="00866258"/>
    <w:rsid w:val="0086665C"/>
    <w:rsid w:val="008667FE"/>
    <w:rsid w:val="008672D4"/>
    <w:rsid w:val="0086769C"/>
    <w:rsid w:val="00871CA0"/>
    <w:rsid w:val="00873EB5"/>
    <w:rsid w:val="00873FA5"/>
    <w:rsid w:val="00874217"/>
    <w:rsid w:val="00875401"/>
    <w:rsid w:val="00876BAA"/>
    <w:rsid w:val="00877BD1"/>
    <w:rsid w:val="0088077C"/>
    <w:rsid w:val="008810F8"/>
    <w:rsid w:val="00881984"/>
    <w:rsid w:val="00883642"/>
    <w:rsid w:val="00883FFF"/>
    <w:rsid w:val="008847E7"/>
    <w:rsid w:val="00884B7F"/>
    <w:rsid w:val="008850F7"/>
    <w:rsid w:val="0088564A"/>
    <w:rsid w:val="008861C0"/>
    <w:rsid w:val="00886C48"/>
    <w:rsid w:val="00887F9E"/>
    <w:rsid w:val="00890477"/>
    <w:rsid w:val="00890D0A"/>
    <w:rsid w:val="00890E09"/>
    <w:rsid w:val="00893E3F"/>
    <w:rsid w:val="0089436D"/>
    <w:rsid w:val="008947CA"/>
    <w:rsid w:val="00894A75"/>
    <w:rsid w:val="00895E5A"/>
    <w:rsid w:val="00896EA6"/>
    <w:rsid w:val="0089737D"/>
    <w:rsid w:val="0089752A"/>
    <w:rsid w:val="008977E4"/>
    <w:rsid w:val="008A0227"/>
    <w:rsid w:val="008A1B0D"/>
    <w:rsid w:val="008A26AB"/>
    <w:rsid w:val="008A2BC2"/>
    <w:rsid w:val="008A2E0E"/>
    <w:rsid w:val="008A2F51"/>
    <w:rsid w:val="008A3A78"/>
    <w:rsid w:val="008A3DA8"/>
    <w:rsid w:val="008A465B"/>
    <w:rsid w:val="008A489D"/>
    <w:rsid w:val="008A4C3B"/>
    <w:rsid w:val="008A4D1F"/>
    <w:rsid w:val="008A6CCC"/>
    <w:rsid w:val="008A6FF0"/>
    <w:rsid w:val="008A7452"/>
    <w:rsid w:val="008A7D31"/>
    <w:rsid w:val="008B061D"/>
    <w:rsid w:val="008B0FEE"/>
    <w:rsid w:val="008B115D"/>
    <w:rsid w:val="008B19A9"/>
    <w:rsid w:val="008B2036"/>
    <w:rsid w:val="008B2905"/>
    <w:rsid w:val="008B2974"/>
    <w:rsid w:val="008B2A85"/>
    <w:rsid w:val="008B3342"/>
    <w:rsid w:val="008B40DD"/>
    <w:rsid w:val="008B459C"/>
    <w:rsid w:val="008B5195"/>
    <w:rsid w:val="008B5439"/>
    <w:rsid w:val="008B6D95"/>
    <w:rsid w:val="008B733C"/>
    <w:rsid w:val="008C0189"/>
    <w:rsid w:val="008C0279"/>
    <w:rsid w:val="008C089C"/>
    <w:rsid w:val="008C1F82"/>
    <w:rsid w:val="008C2BF4"/>
    <w:rsid w:val="008C3854"/>
    <w:rsid w:val="008C3C4C"/>
    <w:rsid w:val="008C3C53"/>
    <w:rsid w:val="008C3FBA"/>
    <w:rsid w:val="008C6EB0"/>
    <w:rsid w:val="008C7AED"/>
    <w:rsid w:val="008C7F4D"/>
    <w:rsid w:val="008D13F8"/>
    <w:rsid w:val="008D1879"/>
    <w:rsid w:val="008D1F78"/>
    <w:rsid w:val="008D263F"/>
    <w:rsid w:val="008D2E10"/>
    <w:rsid w:val="008D371A"/>
    <w:rsid w:val="008D3EFE"/>
    <w:rsid w:val="008D40A0"/>
    <w:rsid w:val="008D43AA"/>
    <w:rsid w:val="008D48C5"/>
    <w:rsid w:val="008D50DB"/>
    <w:rsid w:val="008D569A"/>
    <w:rsid w:val="008D68ED"/>
    <w:rsid w:val="008E0A7A"/>
    <w:rsid w:val="008E10DC"/>
    <w:rsid w:val="008E18CB"/>
    <w:rsid w:val="008E1A48"/>
    <w:rsid w:val="008E1FB8"/>
    <w:rsid w:val="008E1FBF"/>
    <w:rsid w:val="008E23E3"/>
    <w:rsid w:val="008E23F4"/>
    <w:rsid w:val="008E285F"/>
    <w:rsid w:val="008E2A17"/>
    <w:rsid w:val="008E2B3B"/>
    <w:rsid w:val="008E3979"/>
    <w:rsid w:val="008E4440"/>
    <w:rsid w:val="008E47BA"/>
    <w:rsid w:val="008E4A64"/>
    <w:rsid w:val="008E5711"/>
    <w:rsid w:val="008E711A"/>
    <w:rsid w:val="008F0652"/>
    <w:rsid w:val="008F09BB"/>
    <w:rsid w:val="008F0A1F"/>
    <w:rsid w:val="008F0BD7"/>
    <w:rsid w:val="008F1AFB"/>
    <w:rsid w:val="008F5362"/>
    <w:rsid w:val="008F58E2"/>
    <w:rsid w:val="008F61D3"/>
    <w:rsid w:val="008F64CE"/>
    <w:rsid w:val="008F6627"/>
    <w:rsid w:val="008F6964"/>
    <w:rsid w:val="008F6D0F"/>
    <w:rsid w:val="008F768F"/>
    <w:rsid w:val="008F7A42"/>
    <w:rsid w:val="008F7D52"/>
    <w:rsid w:val="0090085A"/>
    <w:rsid w:val="009022A4"/>
    <w:rsid w:val="00903810"/>
    <w:rsid w:val="00903A3A"/>
    <w:rsid w:val="00903B25"/>
    <w:rsid w:val="00904572"/>
    <w:rsid w:val="00905327"/>
    <w:rsid w:val="009055E2"/>
    <w:rsid w:val="009055EC"/>
    <w:rsid w:val="00905A43"/>
    <w:rsid w:val="00905B9D"/>
    <w:rsid w:val="00906541"/>
    <w:rsid w:val="0090688F"/>
    <w:rsid w:val="009075BB"/>
    <w:rsid w:val="009100E8"/>
    <w:rsid w:val="00911B1F"/>
    <w:rsid w:val="00911C03"/>
    <w:rsid w:val="00911FEB"/>
    <w:rsid w:val="009129C1"/>
    <w:rsid w:val="00913057"/>
    <w:rsid w:val="009130B5"/>
    <w:rsid w:val="00913CD4"/>
    <w:rsid w:val="00914940"/>
    <w:rsid w:val="00914C19"/>
    <w:rsid w:val="00914DB5"/>
    <w:rsid w:val="00914F18"/>
    <w:rsid w:val="009152C5"/>
    <w:rsid w:val="00915B3D"/>
    <w:rsid w:val="00916C94"/>
    <w:rsid w:val="0092011A"/>
    <w:rsid w:val="009209E1"/>
    <w:rsid w:val="009221E9"/>
    <w:rsid w:val="00922926"/>
    <w:rsid w:val="00923641"/>
    <w:rsid w:val="009236C4"/>
    <w:rsid w:val="00923D5F"/>
    <w:rsid w:val="009252B3"/>
    <w:rsid w:val="00925A57"/>
    <w:rsid w:val="009263CE"/>
    <w:rsid w:val="009302C2"/>
    <w:rsid w:val="00931A00"/>
    <w:rsid w:val="00931CAC"/>
    <w:rsid w:val="00932640"/>
    <w:rsid w:val="00932D85"/>
    <w:rsid w:val="00933F81"/>
    <w:rsid w:val="009344E3"/>
    <w:rsid w:val="00934A16"/>
    <w:rsid w:val="00934DCD"/>
    <w:rsid w:val="00934F63"/>
    <w:rsid w:val="0093645B"/>
    <w:rsid w:val="00936786"/>
    <w:rsid w:val="00936831"/>
    <w:rsid w:val="00936A03"/>
    <w:rsid w:val="00942369"/>
    <w:rsid w:val="00942A06"/>
    <w:rsid w:val="00942A83"/>
    <w:rsid w:val="00943165"/>
    <w:rsid w:val="0094352B"/>
    <w:rsid w:val="00944947"/>
    <w:rsid w:val="00946D27"/>
    <w:rsid w:val="00946D77"/>
    <w:rsid w:val="009470D0"/>
    <w:rsid w:val="009478FA"/>
    <w:rsid w:val="00947A7E"/>
    <w:rsid w:val="009511DD"/>
    <w:rsid w:val="009523BD"/>
    <w:rsid w:val="00952477"/>
    <w:rsid w:val="00953600"/>
    <w:rsid w:val="00953695"/>
    <w:rsid w:val="00953731"/>
    <w:rsid w:val="00953F13"/>
    <w:rsid w:val="00954B3E"/>
    <w:rsid w:val="009550EC"/>
    <w:rsid w:val="00955E9B"/>
    <w:rsid w:val="00957CB2"/>
    <w:rsid w:val="009603AD"/>
    <w:rsid w:val="00961ACB"/>
    <w:rsid w:val="00961DED"/>
    <w:rsid w:val="00961E2C"/>
    <w:rsid w:val="00962AE3"/>
    <w:rsid w:val="009630CF"/>
    <w:rsid w:val="009633E4"/>
    <w:rsid w:val="0096348E"/>
    <w:rsid w:val="00965388"/>
    <w:rsid w:val="00965DA5"/>
    <w:rsid w:val="00965F15"/>
    <w:rsid w:val="0096610A"/>
    <w:rsid w:val="0096623D"/>
    <w:rsid w:val="009707D2"/>
    <w:rsid w:val="0097152C"/>
    <w:rsid w:val="009715AF"/>
    <w:rsid w:val="009719E2"/>
    <w:rsid w:val="0097257F"/>
    <w:rsid w:val="009761ED"/>
    <w:rsid w:val="00976EE3"/>
    <w:rsid w:val="00977034"/>
    <w:rsid w:val="009772C1"/>
    <w:rsid w:val="00977F94"/>
    <w:rsid w:val="00980799"/>
    <w:rsid w:val="00980A65"/>
    <w:rsid w:val="00980E64"/>
    <w:rsid w:val="00980E8C"/>
    <w:rsid w:val="00981FA4"/>
    <w:rsid w:val="009821F2"/>
    <w:rsid w:val="0098274B"/>
    <w:rsid w:val="009827FE"/>
    <w:rsid w:val="00983581"/>
    <w:rsid w:val="00983AF2"/>
    <w:rsid w:val="009853D7"/>
    <w:rsid w:val="00985E20"/>
    <w:rsid w:val="00986B85"/>
    <w:rsid w:val="00986D3B"/>
    <w:rsid w:val="009907CB"/>
    <w:rsid w:val="00991344"/>
    <w:rsid w:val="00992690"/>
    <w:rsid w:val="009926B7"/>
    <w:rsid w:val="00992CDA"/>
    <w:rsid w:val="00993D61"/>
    <w:rsid w:val="0099469F"/>
    <w:rsid w:val="00995E85"/>
    <w:rsid w:val="00996535"/>
    <w:rsid w:val="0099681B"/>
    <w:rsid w:val="00996932"/>
    <w:rsid w:val="00996F8F"/>
    <w:rsid w:val="00997973"/>
    <w:rsid w:val="00997D9D"/>
    <w:rsid w:val="009A103F"/>
    <w:rsid w:val="009A10FB"/>
    <w:rsid w:val="009A1259"/>
    <w:rsid w:val="009A23C5"/>
    <w:rsid w:val="009A24A4"/>
    <w:rsid w:val="009A28D0"/>
    <w:rsid w:val="009A2D0E"/>
    <w:rsid w:val="009A2FA6"/>
    <w:rsid w:val="009A48B7"/>
    <w:rsid w:val="009A53CD"/>
    <w:rsid w:val="009A5E50"/>
    <w:rsid w:val="009A641F"/>
    <w:rsid w:val="009A67FA"/>
    <w:rsid w:val="009A75D0"/>
    <w:rsid w:val="009A786C"/>
    <w:rsid w:val="009A7AD0"/>
    <w:rsid w:val="009B01A3"/>
    <w:rsid w:val="009B0A86"/>
    <w:rsid w:val="009B0DA4"/>
    <w:rsid w:val="009B2436"/>
    <w:rsid w:val="009B2F70"/>
    <w:rsid w:val="009B490A"/>
    <w:rsid w:val="009B534F"/>
    <w:rsid w:val="009B6AB6"/>
    <w:rsid w:val="009C0CBA"/>
    <w:rsid w:val="009C1809"/>
    <w:rsid w:val="009C2CB2"/>
    <w:rsid w:val="009C328F"/>
    <w:rsid w:val="009C3478"/>
    <w:rsid w:val="009C5861"/>
    <w:rsid w:val="009C5A4D"/>
    <w:rsid w:val="009C5FED"/>
    <w:rsid w:val="009C7A5A"/>
    <w:rsid w:val="009D03EF"/>
    <w:rsid w:val="009D0EA6"/>
    <w:rsid w:val="009D10A0"/>
    <w:rsid w:val="009D2BBC"/>
    <w:rsid w:val="009D3957"/>
    <w:rsid w:val="009D4D48"/>
    <w:rsid w:val="009D59D3"/>
    <w:rsid w:val="009D7D5E"/>
    <w:rsid w:val="009E1095"/>
    <w:rsid w:val="009E2610"/>
    <w:rsid w:val="009E2C68"/>
    <w:rsid w:val="009E36B9"/>
    <w:rsid w:val="009E36E2"/>
    <w:rsid w:val="009E4128"/>
    <w:rsid w:val="009E4316"/>
    <w:rsid w:val="009E44A4"/>
    <w:rsid w:val="009E4553"/>
    <w:rsid w:val="009E59E9"/>
    <w:rsid w:val="009E69D7"/>
    <w:rsid w:val="009E6A91"/>
    <w:rsid w:val="009E7CBF"/>
    <w:rsid w:val="009E7DFA"/>
    <w:rsid w:val="009F0F9D"/>
    <w:rsid w:val="009F0FF3"/>
    <w:rsid w:val="009F1C96"/>
    <w:rsid w:val="009F2790"/>
    <w:rsid w:val="009F27DB"/>
    <w:rsid w:val="009F316A"/>
    <w:rsid w:val="009F4614"/>
    <w:rsid w:val="009F5A07"/>
    <w:rsid w:val="009F60C2"/>
    <w:rsid w:val="009F75A0"/>
    <w:rsid w:val="009F7CB7"/>
    <w:rsid w:val="00A002EA"/>
    <w:rsid w:val="00A0066C"/>
    <w:rsid w:val="00A00D76"/>
    <w:rsid w:val="00A010C8"/>
    <w:rsid w:val="00A01745"/>
    <w:rsid w:val="00A02747"/>
    <w:rsid w:val="00A02EE2"/>
    <w:rsid w:val="00A04296"/>
    <w:rsid w:val="00A05224"/>
    <w:rsid w:val="00A053AD"/>
    <w:rsid w:val="00A071D5"/>
    <w:rsid w:val="00A1026D"/>
    <w:rsid w:val="00A12651"/>
    <w:rsid w:val="00A13D12"/>
    <w:rsid w:val="00A13EBD"/>
    <w:rsid w:val="00A1464A"/>
    <w:rsid w:val="00A14DB1"/>
    <w:rsid w:val="00A15167"/>
    <w:rsid w:val="00A15639"/>
    <w:rsid w:val="00A1579B"/>
    <w:rsid w:val="00A15EAE"/>
    <w:rsid w:val="00A16155"/>
    <w:rsid w:val="00A170B8"/>
    <w:rsid w:val="00A21B8E"/>
    <w:rsid w:val="00A22504"/>
    <w:rsid w:val="00A2278E"/>
    <w:rsid w:val="00A23817"/>
    <w:rsid w:val="00A239F2"/>
    <w:rsid w:val="00A242B8"/>
    <w:rsid w:val="00A24650"/>
    <w:rsid w:val="00A24F09"/>
    <w:rsid w:val="00A25239"/>
    <w:rsid w:val="00A25DDF"/>
    <w:rsid w:val="00A27473"/>
    <w:rsid w:val="00A27EC9"/>
    <w:rsid w:val="00A31E0E"/>
    <w:rsid w:val="00A33D15"/>
    <w:rsid w:val="00A34044"/>
    <w:rsid w:val="00A369BC"/>
    <w:rsid w:val="00A36AF0"/>
    <w:rsid w:val="00A36D3C"/>
    <w:rsid w:val="00A36EA8"/>
    <w:rsid w:val="00A377D3"/>
    <w:rsid w:val="00A37E31"/>
    <w:rsid w:val="00A402D0"/>
    <w:rsid w:val="00A4050E"/>
    <w:rsid w:val="00A41060"/>
    <w:rsid w:val="00A42D68"/>
    <w:rsid w:val="00A431B2"/>
    <w:rsid w:val="00A43495"/>
    <w:rsid w:val="00A43B32"/>
    <w:rsid w:val="00A44D58"/>
    <w:rsid w:val="00A4594E"/>
    <w:rsid w:val="00A4595F"/>
    <w:rsid w:val="00A46E13"/>
    <w:rsid w:val="00A477C3"/>
    <w:rsid w:val="00A47CB7"/>
    <w:rsid w:val="00A504FB"/>
    <w:rsid w:val="00A50F96"/>
    <w:rsid w:val="00A52D55"/>
    <w:rsid w:val="00A53441"/>
    <w:rsid w:val="00A53520"/>
    <w:rsid w:val="00A55823"/>
    <w:rsid w:val="00A5595C"/>
    <w:rsid w:val="00A56544"/>
    <w:rsid w:val="00A577C3"/>
    <w:rsid w:val="00A6075B"/>
    <w:rsid w:val="00A6234A"/>
    <w:rsid w:val="00A63771"/>
    <w:rsid w:val="00A641BC"/>
    <w:rsid w:val="00A64341"/>
    <w:rsid w:val="00A64D2A"/>
    <w:rsid w:val="00A651C6"/>
    <w:rsid w:val="00A6610E"/>
    <w:rsid w:val="00A6687C"/>
    <w:rsid w:val="00A67038"/>
    <w:rsid w:val="00A673F5"/>
    <w:rsid w:val="00A7008F"/>
    <w:rsid w:val="00A712AA"/>
    <w:rsid w:val="00A71683"/>
    <w:rsid w:val="00A731CB"/>
    <w:rsid w:val="00A736FF"/>
    <w:rsid w:val="00A73D68"/>
    <w:rsid w:val="00A74DBF"/>
    <w:rsid w:val="00A74E17"/>
    <w:rsid w:val="00A7521D"/>
    <w:rsid w:val="00A75427"/>
    <w:rsid w:val="00A774F7"/>
    <w:rsid w:val="00A800CE"/>
    <w:rsid w:val="00A80976"/>
    <w:rsid w:val="00A81D10"/>
    <w:rsid w:val="00A82089"/>
    <w:rsid w:val="00A82DE9"/>
    <w:rsid w:val="00A85C3A"/>
    <w:rsid w:val="00A85E34"/>
    <w:rsid w:val="00A86724"/>
    <w:rsid w:val="00A86E78"/>
    <w:rsid w:val="00A91DDD"/>
    <w:rsid w:val="00A91EA9"/>
    <w:rsid w:val="00A934A3"/>
    <w:rsid w:val="00A938F1"/>
    <w:rsid w:val="00A94A2D"/>
    <w:rsid w:val="00A958A6"/>
    <w:rsid w:val="00A95999"/>
    <w:rsid w:val="00A95AC2"/>
    <w:rsid w:val="00A96224"/>
    <w:rsid w:val="00A962D7"/>
    <w:rsid w:val="00A96D56"/>
    <w:rsid w:val="00AA0940"/>
    <w:rsid w:val="00AA291C"/>
    <w:rsid w:val="00AA2A5A"/>
    <w:rsid w:val="00AA3154"/>
    <w:rsid w:val="00AA3BF3"/>
    <w:rsid w:val="00AA3D5B"/>
    <w:rsid w:val="00AA465D"/>
    <w:rsid w:val="00AA4977"/>
    <w:rsid w:val="00AA4D5A"/>
    <w:rsid w:val="00AA5820"/>
    <w:rsid w:val="00AA5DAF"/>
    <w:rsid w:val="00AA64E5"/>
    <w:rsid w:val="00AA68CF"/>
    <w:rsid w:val="00AA6D3E"/>
    <w:rsid w:val="00AA7274"/>
    <w:rsid w:val="00AA79A9"/>
    <w:rsid w:val="00AA7E86"/>
    <w:rsid w:val="00AB17B2"/>
    <w:rsid w:val="00AB1970"/>
    <w:rsid w:val="00AB19FE"/>
    <w:rsid w:val="00AB32A1"/>
    <w:rsid w:val="00AB3660"/>
    <w:rsid w:val="00AB3F00"/>
    <w:rsid w:val="00AB49BA"/>
    <w:rsid w:val="00AB4D84"/>
    <w:rsid w:val="00AB4F2E"/>
    <w:rsid w:val="00AB55CA"/>
    <w:rsid w:val="00AB55F2"/>
    <w:rsid w:val="00AB5B86"/>
    <w:rsid w:val="00AB690F"/>
    <w:rsid w:val="00AB69E0"/>
    <w:rsid w:val="00AB6C11"/>
    <w:rsid w:val="00AB6E68"/>
    <w:rsid w:val="00AB75F2"/>
    <w:rsid w:val="00AC01AC"/>
    <w:rsid w:val="00AC0937"/>
    <w:rsid w:val="00AC0B31"/>
    <w:rsid w:val="00AC0E1F"/>
    <w:rsid w:val="00AC4FA0"/>
    <w:rsid w:val="00AC665E"/>
    <w:rsid w:val="00AC6B8B"/>
    <w:rsid w:val="00AC6BFF"/>
    <w:rsid w:val="00AD057B"/>
    <w:rsid w:val="00AD08DF"/>
    <w:rsid w:val="00AD1024"/>
    <w:rsid w:val="00AD1500"/>
    <w:rsid w:val="00AD16A6"/>
    <w:rsid w:val="00AD1A79"/>
    <w:rsid w:val="00AD2526"/>
    <w:rsid w:val="00AD262E"/>
    <w:rsid w:val="00AD3C41"/>
    <w:rsid w:val="00AD41C2"/>
    <w:rsid w:val="00AD428C"/>
    <w:rsid w:val="00AD462D"/>
    <w:rsid w:val="00AD5687"/>
    <w:rsid w:val="00AD5E89"/>
    <w:rsid w:val="00AD6793"/>
    <w:rsid w:val="00AD7DB0"/>
    <w:rsid w:val="00AE0B27"/>
    <w:rsid w:val="00AE0C96"/>
    <w:rsid w:val="00AE19E5"/>
    <w:rsid w:val="00AE224D"/>
    <w:rsid w:val="00AE23EE"/>
    <w:rsid w:val="00AE3265"/>
    <w:rsid w:val="00AE34F0"/>
    <w:rsid w:val="00AE37CD"/>
    <w:rsid w:val="00AE3A41"/>
    <w:rsid w:val="00AE4275"/>
    <w:rsid w:val="00AE44F7"/>
    <w:rsid w:val="00AE5D73"/>
    <w:rsid w:val="00AE6278"/>
    <w:rsid w:val="00AE6B57"/>
    <w:rsid w:val="00AE7F31"/>
    <w:rsid w:val="00AF217F"/>
    <w:rsid w:val="00AF2866"/>
    <w:rsid w:val="00AF2B5E"/>
    <w:rsid w:val="00AF4204"/>
    <w:rsid w:val="00AF4F89"/>
    <w:rsid w:val="00AF56E1"/>
    <w:rsid w:val="00AF5C66"/>
    <w:rsid w:val="00AF6B41"/>
    <w:rsid w:val="00B02893"/>
    <w:rsid w:val="00B02ABB"/>
    <w:rsid w:val="00B02E61"/>
    <w:rsid w:val="00B032BA"/>
    <w:rsid w:val="00B039CD"/>
    <w:rsid w:val="00B039E5"/>
    <w:rsid w:val="00B05974"/>
    <w:rsid w:val="00B0599D"/>
    <w:rsid w:val="00B064C8"/>
    <w:rsid w:val="00B06B35"/>
    <w:rsid w:val="00B075A7"/>
    <w:rsid w:val="00B07922"/>
    <w:rsid w:val="00B1042F"/>
    <w:rsid w:val="00B111E4"/>
    <w:rsid w:val="00B113B1"/>
    <w:rsid w:val="00B11E43"/>
    <w:rsid w:val="00B1231A"/>
    <w:rsid w:val="00B12930"/>
    <w:rsid w:val="00B1325E"/>
    <w:rsid w:val="00B13BA8"/>
    <w:rsid w:val="00B140CA"/>
    <w:rsid w:val="00B15D19"/>
    <w:rsid w:val="00B172E5"/>
    <w:rsid w:val="00B17913"/>
    <w:rsid w:val="00B20992"/>
    <w:rsid w:val="00B2174F"/>
    <w:rsid w:val="00B21966"/>
    <w:rsid w:val="00B21FDA"/>
    <w:rsid w:val="00B2204B"/>
    <w:rsid w:val="00B22955"/>
    <w:rsid w:val="00B2305F"/>
    <w:rsid w:val="00B2341A"/>
    <w:rsid w:val="00B23629"/>
    <w:rsid w:val="00B23D57"/>
    <w:rsid w:val="00B23DBB"/>
    <w:rsid w:val="00B23E35"/>
    <w:rsid w:val="00B241E2"/>
    <w:rsid w:val="00B24C99"/>
    <w:rsid w:val="00B25585"/>
    <w:rsid w:val="00B256ED"/>
    <w:rsid w:val="00B25E7C"/>
    <w:rsid w:val="00B276BC"/>
    <w:rsid w:val="00B278C3"/>
    <w:rsid w:val="00B27CAA"/>
    <w:rsid w:val="00B31B0C"/>
    <w:rsid w:val="00B324D8"/>
    <w:rsid w:val="00B32914"/>
    <w:rsid w:val="00B32931"/>
    <w:rsid w:val="00B32C21"/>
    <w:rsid w:val="00B32C34"/>
    <w:rsid w:val="00B3434E"/>
    <w:rsid w:val="00B34E11"/>
    <w:rsid w:val="00B34E36"/>
    <w:rsid w:val="00B351F4"/>
    <w:rsid w:val="00B353EC"/>
    <w:rsid w:val="00B35F2D"/>
    <w:rsid w:val="00B37416"/>
    <w:rsid w:val="00B37EA4"/>
    <w:rsid w:val="00B4028B"/>
    <w:rsid w:val="00B40348"/>
    <w:rsid w:val="00B404AF"/>
    <w:rsid w:val="00B41557"/>
    <w:rsid w:val="00B420E0"/>
    <w:rsid w:val="00B4223B"/>
    <w:rsid w:val="00B42515"/>
    <w:rsid w:val="00B43044"/>
    <w:rsid w:val="00B44834"/>
    <w:rsid w:val="00B45707"/>
    <w:rsid w:val="00B46DE6"/>
    <w:rsid w:val="00B4782D"/>
    <w:rsid w:val="00B5026F"/>
    <w:rsid w:val="00B50691"/>
    <w:rsid w:val="00B50BCC"/>
    <w:rsid w:val="00B510B2"/>
    <w:rsid w:val="00B511D6"/>
    <w:rsid w:val="00B51499"/>
    <w:rsid w:val="00B514B7"/>
    <w:rsid w:val="00B526FF"/>
    <w:rsid w:val="00B52DCB"/>
    <w:rsid w:val="00B52E52"/>
    <w:rsid w:val="00B5314F"/>
    <w:rsid w:val="00B53400"/>
    <w:rsid w:val="00B53FD2"/>
    <w:rsid w:val="00B5413D"/>
    <w:rsid w:val="00B5573B"/>
    <w:rsid w:val="00B55C6D"/>
    <w:rsid w:val="00B560D5"/>
    <w:rsid w:val="00B566ED"/>
    <w:rsid w:val="00B56886"/>
    <w:rsid w:val="00B56FB2"/>
    <w:rsid w:val="00B577A4"/>
    <w:rsid w:val="00B57E34"/>
    <w:rsid w:val="00B60162"/>
    <w:rsid w:val="00B6021D"/>
    <w:rsid w:val="00B60726"/>
    <w:rsid w:val="00B62245"/>
    <w:rsid w:val="00B62C8B"/>
    <w:rsid w:val="00B62E9E"/>
    <w:rsid w:val="00B631D0"/>
    <w:rsid w:val="00B63D28"/>
    <w:rsid w:val="00B64DA7"/>
    <w:rsid w:val="00B65481"/>
    <w:rsid w:val="00B65D1F"/>
    <w:rsid w:val="00B7078C"/>
    <w:rsid w:val="00B70933"/>
    <w:rsid w:val="00B70F16"/>
    <w:rsid w:val="00B70FD9"/>
    <w:rsid w:val="00B729E1"/>
    <w:rsid w:val="00B72A16"/>
    <w:rsid w:val="00B72F5B"/>
    <w:rsid w:val="00B745F3"/>
    <w:rsid w:val="00B75C87"/>
    <w:rsid w:val="00B76A82"/>
    <w:rsid w:val="00B76B33"/>
    <w:rsid w:val="00B76BDF"/>
    <w:rsid w:val="00B77FD2"/>
    <w:rsid w:val="00B80303"/>
    <w:rsid w:val="00B80F6F"/>
    <w:rsid w:val="00B8105A"/>
    <w:rsid w:val="00B8203D"/>
    <w:rsid w:val="00B82516"/>
    <w:rsid w:val="00B82CDD"/>
    <w:rsid w:val="00B83FF3"/>
    <w:rsid w:val="00B84515"/>
    <w:rsid w:val="00B84D66"/>
    <w:rsid w:val="00B87D18"/>
    <w:rsid w:val="00B9052E"/>
    <w:rsid w:val="00B90843"/>
    <w:rsid w:val="00B91382"/>
    <w:rsid w:val="00B91930"/>
    <w:rsid w:val="00B91FF9"/>
    <w:rsid w:val="00B9266A"/>
    <w:rsid w:val="00B92A80"/>
    <w:rsid w:val="00B92B4D"/>
    <w:rsid w:val="00B92DA2"/>
    <w:rsid w:val="00B943A0"/>
    <w:rsid w:val="00B94C88"/>
    <w:rsid w:val="00B95203"/>
    <w:rsid w:val="00B9677A"/>
    <w:rsid w:val="00B978DB"/>
    <w:rsid w:val="00B97F50"/>
    <w:rsid w:val="00BA092C"/>
    <w:rsid w:val="00BA0E7B"/>
    <w:rsid w:val="00BA1283"/>
    <w:rsid w:val="00BA2879"/>
    <w:rsid w:val="00BA317D"/>
    <w:rsid w:val="00BA49A0"/>
    <w:rsid w:val="00BA5AD8"/>
    <w:rsid w:val="00BA5D91"/>
    <w:rsid w:val="00BA5E07"/>
    <w:rsid w:val="00BA649D"/>
    <w:rsid w:val="00BA6B01"/>
    <w:rsid w:val="00BA6B7E"/>
    <w:rsid w:val="00BA757C"/>
    <w:rsid w:val="00BA7D9D"/>
    <w:rsid w:val="00BA7E37"/>
    <w:rsid w:val="00BB0752"/>
    <w:rsid w:val="00BB0DA7"/>
    <w:rsid w:val="00BB15E5"/>
    <w:rsid w:val="00BB1BCB"/>
    <w:rsid w:val="00BB3241"/>
    <w:rsid w:val="00BB489A"/>
    <w:rsid w:val="00BB4B3D"/>
    <w:rsid w:val="00BB7CF9"/>
    <w:rsid w:val="00BB7DC7"/>
    <w:rsid w:val="00BC07E2"/>
    <w:rsid w:val="00BC09FB"/>
    <w:rsid w:val="00BC1615"/>
    <w:rsid w:val="00BC18F3"/>
    <w:rsid w:val="00BC26A9"/>
    <w:rsid w:val="00BC2D1F"/>
    <w:rsid w:val="00BC335F"/>
    <w:rsid w:val="00BC34E8"/>
    <w:rsid w:val="00BC3BF9"/>
    <w:rsid w:val="00BC43BA"/>
    <w:rsid w:val="00BC5733"/>
    <w:rsid w:val="00BC5F66"/>
    <w:rsid w:val="00BC6AA7"/>
    <w:rsid w:val="00BC7496"/>
    <w:rsid w:val="00BC7EC5"/>
    <w:rsid w:val="00BD06EC"/>
    <w:rsid w:val="00BD0931"/>
    <w:rsid w:val="00BD142C"/>
    <w:rsid w:val="00BD1511"/>
    <w:rsid w:val="00BD2F15"/>
    <w:rsid w:val="00BD3F28"/>
    <w:rsid w:val="00BD443D"/>
    <w:rsid w:val="00BD4796"/>
    <w:rsid w:val="00BD48E0"/>
    <w:rsid w:val="00BD4A1D"/>
    <w:rsid w:val="00BD5FE9"/>
    <w:rsid w:val="00BD6D5A"/>
    <w:rsid w:val="00BD7E9E"/>
    <w:rsid w:val="00BE08FE"/>
    <w:rsid w:val="00BE0B32"/>
    <w:rsid w:val="00BE0DAB"/>
    <w:rsid w:val="00BE2FBE"/>
    <w:rsid w:val="00BE7129"/>
    <w:rsid w:val="00BE7485"/>
    <w:rsid w:val="00BE79C4"/>
    <w:rsid w:val="00BE7D7A"/>
    <w:rsid w:val="00BF0A6B"/>
    <w:rsid w:val="00BF0EDB"/>
    <w:rsid w:val="00BF15D1"/>
    <w:rsid w:val="00BF3C85"/>
    <w:rsid w:val="00BF41EF"/>
    <w:rsid w:val="00BF49DE"/>
    <w:rsid w:val="00BF4BC4"/>
    <w:rsid w:val="00BF5268"/>
    <w:rsid w:val="00BF52C8"/>
    <w:rsid w:val="00BF6CEE"/>
    <w:rsid w:val="00BF7451"/>
    <w:rsid w:val="00C003CA"/>
    <w:rsid w:val="00C00FC9"/>
    <w:rsid w:val="00C01FA6"/>
    <w:rsid w:val="00C02602"/>
    <w:rsid w:val="00C029EA"/>
    <w:rsid w:val="00C02B05"/>
    <w:rsid w:val="00C047B2"/>
    <w:rsid w:val="00C04C4F"/>
    <w:rsid w:val="00C04FAA"/>
    <w:rsid w:val="00C07348"/>
    <w:rsid w:val="00C07466"/>
    <w:rsid w:val="00C07E86"/>
    <w:rsid w:val="00C07ED6"/>
    <w:rsid w:val="00C1063A"/>
    <w:rsid w:val="00C11BD2"/>
    <w:rsid w:val="00C12978"/>
    <w:rsid w:val="00C12B4C"/>
    <w:rsid w:val="00C12E7A"/>
    <w:rsid w:val="00C12FAD"/>
    <w:rsid w:val="00C13086"/>
    <w:rsid w:val="00C138E4"/>
    <w:rsid w:val="00C13AE0"/>
    <w:rsid w:val="00C140F8"/>
    <w:rsid w:val="00C153E2"/>
    <w:rsid w:val="00C15683"/>
    <w:rsid w:val="00C162A8"/>
    <w:rsid w:val="00C16548"/>
    <w:rsid w:val="00C1656C"/>
    <w:rsid w:val="00C166C4"/>
    <w:rsid w:val="00C1695F"/>
    <w:rsid w:val="00C173FD"/>
    <w:rsid w:val="00C17F3A"/>
    <w:rsid w:val="00C2094E"/>
    <w:rsid w:val="00C20ECC"/>
    <w:rsid w:val="00C21F1B"/>
    <w:rsid w:val="00C223D6"/>
    <w:rsid w:val="00C224B5"/>
    <w:rsid w:val="00C22D0B"/>
    <w:rsid w:val="00C22FAA"/>
    <w:rsid w:val="00C23BEC"/>
    <w:rsid w:val="00C2412C"/>
    <w:rsid w:val="00C2422C"/>
    <w:rsid w:val="00C2529C"/>
    <w:rsid w:val="00C25631"/>
    <w:rsid w:val="00C27CF1"/>
    <w:rsid w:val="00C3000A"/>
    <w:rsid w:val="00C30606"/>
    <w:rsid w:val="00C332EA"/>
    <w:rsid w:val="00C33430"/>
    <w:rsid w:val="00C34F43"/>
    <w:rsid w:val="00C35A2E"/>
    <w:rsid w:val="00C36157"/>
    <w:rsid w:val="00C36B50"/>
    <w:rsid w:val="00C3710A"/>
    <w:rsid w:val="00C37A98"/>
    <w:rsid w:val="00C42AE2"/>
    <w:rsid w:val="00C43B41"/>
    <w:rsid w:val="00C4412C"/>
    <w:rsid w:val="00C441A8"/>
    <w:rsid w:val="00C441FE"/>
    <w:rsid w:val="00C4538B"/>
    <w:rsid w:val="00C46AD8"/>
    <w:rsid w:val="00C46F7E"/>
    <w:rsid w:val="00C478F8"/>
    <w:rsid w:val="00C47B42"/>
    <w:rsid w:val="00C51703"/>
    <w:rsid w:val="00C52601"/>
    <w:rsid w:val="00C52A95"/>
    <w:rsid w:val="00C52C2B"/>
    <w:rsid w:val="00C52CE8"/>
    <w:rsid w:val="00C546C9"/>
    <w:rsid w:val="00C54FB7"/>
    <w:rsid w:val="00C55141"/>
    <w:rsid w:val="00C5598D"/>
    <w:rsid w:val="00C55AE4"/>
    <w:rsid w:val="00C569E2"/>
    <w:rsid w:val="00C60CA7"/>
    <w:rsid w:val="00C61BF3"/>
    <w:rsid w:val="00C61E3F"/>
    <w:rsid w:val="00C61E47"/>
    <w:rsid w:val="00C6221B"/>
    <w:rsid w:val="00C62E21"/>
    <w:rsid w:val="00C631BC"/>
    <w:rsid w:val="00C63C3A"/>
    <w:rsid w:val="00C67101"/>
    <w:rsid w:val="00C6779D"/>
    <w:rsid w:val="00C678B3"/>
    <w:rsid w:val="00C7099C"/>
    <w:rsid w:val="00C71A41"/>
    <w:rsid w:val="00C73316"/>
    <w:rsid w:val="00C733C5"/>
    <w:rsid w:val="00C73E2D"/>
    <w:rsid w:val="00C74BF7"/>
    <w:rsid w:val="00C753E9"/>
    <w:rsid w:val="00C75DB1"/>
    <w:rsid w:val="00C76CA8"/>
    <w:rsid w:val="00C7727B"/>
    <w:rsid w:val="00C77CA9"/>
    <w:rsid w:val="00C77EC9"/>
    <w:rsid w:val="00C8133C"/>
    <w:rsid w:val="00C8134D"/>
    <w:rsid w:val="00C81430"/>
    <w:rsid w:val="00C81973"/>
    <w:rsid w:val="00C82405"/>
    <w:rsid w:val="00C8277A"/>
    <w:rsid w:val="00C83B72"/>
    <w:rsid w:val="00C841F5"/>
    <w:rsid w:val="00C84C7F"/>
    <w:rsid w:val="00C8510F"/>
    <w:rsid w:val="00C8587B"/>
    <w:rsid w:val="00C85AB3"/>
    <w:rsid w:val="00C85C3F"/>
    <w:rsid w:val="00C85DF7"/>
    <w:rsid w:val="00C869FB"/>
    <w:rsid w:val="00C87641"/>
    <w:rsid w:val="00C9004F"/>
    <w:rsid w:val="00C913F5"/>
    <w:rsid w:val="00C9177F"/>
    <w:rsid w:val="00C9354D"/>
    <w:rsid w:val="00C936FD"/>
    <w:rsid w:val="00C94CF1"/>
    <w:rsid w:val="00C94D0D"/>
    <w:rsid w:val="00C94E3F"/>
    <w:rsid w:val="00C94E8E"/>
    <w:rsid w:val="00C96601"/>
    <w:rsid w:val="00C96D6E"/>
    <w:rsid w:val="00C9704F"/>
    <w:rsid w:val="00C97F02"/>
    <w:rsid w:val="00CA0857"/>
    <w:rsid w:val="00CA0CEC"/>
    <w:rsid w:val="00CA20DD"/>
    <w:rsid w:val="00CA22B1"/>
    <w:rsid w:val="00CA2D22"/>
    <w:rsid w:val="00CA384E"/>
    <w:rsid w:val="00CA3944"/>
    <w:rsid w:val="00CA3E6D"/>
    <w:rsid w:val="00CA42EE"/>
    <w:rsid w:val="00CA48B9"/>
    <w:rsid w:val="00CA4902"/>
    <w:rsid w:val="00CA4A5C"/>
    <w:rsid w:val="00CA5DF4"/>
    <w:rsid w:val="00CB0310"/>
    <w:rsid w:val="00CB2880"/>
    <w:rsid w:val="00CB325C"/>
    <w:rsid w:val="00CB3CB8"/>
    <w:rsid w:val="00CB3D4B"/>
    <w:rsid w:val="00CB4079"/>
    <w:rsid w:val="00CB41AF"/>
    <w:rsid w:val="00CB47EF"/>
    <w:rsid w:val="00CB4A77"/>
    <w:rsid w:val="00CB4C77"/>
    <w:rsid w:val="00CB5027"/>
    <w:rsid w:val="00CB52A6"/>
    <w:rsid w:val="00CB5ECD"/>
    <w:rsid w:val="00CB6EA0"/>
    <w:rsid w:val="00CB7C5D"/>
    <w:rsid w:val="00CC0A03"/>
    <w:rsid w:val="00CC3776"/>
    <w:rsid w:val="00CC4239"/>
    <w:rsid w:val="00CC4534"/>
    <w:rsid w:val="00CC4831"/>
    <w:rsid w:val="00CC483A"/>
    <w:rsid w:val="00CC5041"/>
    <w:rsid w:val="00CC5658"/>
    <w:rsid w:val="00CC74DD"/>
    <w:rsid w:val="00CD06E6"/>
    <w:rsid w:val="00CD1405"/>
    <w:rsid w:val="00CD182D"/>
    <w:rsid w:val="00CD2393"/>
    <w:rsid w:val="00CD2AC2"/>
    <w:rsid w:val="00CD3130"/>
    <w:rsid w:val="00CD47D6"/>
    <w:rsid w:val="00CD4ADA"/>
    <w:rsid w:val="00CD58F2"/>
    <w:rsid w:val="00CD5D55"/>
    <w:rsid w:val="00CD5DE9"/>
    <w:rsid w:val="00CD5E8A"/>
    <w:rsid w:val="00CD617C"/>
    <w:rsid w:val="00CD64F5"/>
    <w:rsid w:val="00CD6FC3"/>
    <w:rsid w:val="00CE08D4"/>
    <w:rsid w:val="00CE1607"/>
    <w:rsid w:val="00CE254F"/>
    <w:rsid w:val="00CE2603"/>
    <w:rsid w:val="00CE33A8"/>
    <w:rsid w:val="00CE53BF"/>
    <w:rsid w:val="00CE581C"/>
    <w:rsid w:val="00CE5B10"/>
    <w:rsid w:val="00CE6976"/>
    <w:rsid w:val="00CF014C"/>
    <w:rsid w:val="00CF0154"/>
    <w:rsid w:val="00CF01A4"/>
    <w:rsid w:val="00CF0EE6"/>
    <w:rsid w:val="00CF1A8B"/>
    <w:rsid w:val="00CF1D64"/>
    <w:rsid w:val="00CF2C9A"/>
    <w:rsid w:val="00CF3507"/>
    <w:rsid w:val="00CF45CB"/>
    <w:rsid w:val="00CF5999"/>
    <w:rsid w:val="00CF62DB"/>
    <w:rsid w:val="00CF7302"/>
    <w:rsid w:val="00CF7D0A"/>
    <w:rsid w:val="00CF7E8C"/>
    <w:rsid w:val="00D016FE"/>
    <w:rsid w:val="00D0242B"/>
    <w:rsid w:val="00D028CF"/>
    <w:rsid w:val="00D032D9"/>
    <w:rsid w:val="00D0391A"/>
    <w:rsid w:val="00D039A0"/>
    <w:rsid w:val="00D03BF1"/>
    <w:rsid w:val="00D03F83"/>
    <w:rsid w:val="00D05496"/>
    <w:rsid w:val="00D0551C"/>
    <w:rsid w:val="00D06BE5"/>
    <w:rsid w:val="00D06D04"/>
    <w:rsid w:val="00D07AFC"/>
    <w:rsid w:val="00D11343"/>
    <w:rsid w:val="00D121C1"/>
    <w:rsid w:val="00D12E1A"/>
    <w:rsid w:val="00D1350A"/>
    <w:rsid w:val="00D1542A"/>
    <w:rsid w:val="00D159CF"/>
    <w:rsid w:val="00D2048C"/>
    <w:rsid w:val="00D215AD"/>
    <w:rsid w:val="00D21AD1"/>
    <w:rsid w:val="00D21DB2"/>
    <w:rsid w:val="00D226DE"/>
    <w:rsid w:val="00D227E2"/>
    <w:rsid w:val="00D232E5"/>
    <w:rsid w:val="00D23338"/>
    <w:rsid w:val="00D23C4A"/>
    <w:rsid w:val="00D23CE9"/>
    <w:rsid w:val="00D258D8"/>
    <w:rsid w:val="00D26F32"/>
    <w:rsid w:val="00D27382"/>
    <w:rsid w:val="00D279A3"/>
    <w:rsid w:val="00D32C53"/>
    <w:rsid w:val="00D32F40"/>
    <w:rsid w:val="00D33248"/>
    <w:rsid w:val="00D33BAF"/>
    <w:rsid w:val="00D344B4"/>
    <w:rsid w:val="00D3593E"/>
    <w:rsid w:val="00D36710"/>
    <w:rsid w:val="00D3679F"/>
    <w:rsid w:val="00D36FB0"/>
    <w:rsid w:val="00D370A1"/>
    <w:rsid w:val="00D37396"/>
    <w:rsid w:val="00D37D62"/>
    <w:rsid w:val="00D40B1A"/>
    <w:rsid w:val="00D422EA"/>
    <w:rsid w:val="00D42A88"/>
    <w:rsid w:val="00D42E78"/>
    <w:rsid w:val="00D430B1"/>
    <w:rsid w:val="00D44C11"/>
    <w:rsid w:val="00D44E5F"/>
    <w:rsid w:val="00D44F85"/>
    <w:rsid w:val="00D45342"/>
    <w:rsid w:val="00D45E98"/>
    <w:rsid w:val="00D46C60"/>
    <w:rsid w:val="00D5028B"/>
    <w:rsid w:val="00D50906"/>
    <w:rsid w:val="00D51C5C"/>
    <w:rsid w:val="00D527D5"/>
    <w:rsid w:val="00D52FF9"/>
    <w:rsid w:val="00D534BF"/>
    <w:rsid w:val="00D5383A"/>
    <w:rsid w:val="00D5516C"/>
    <w:rsid w:val="00D554F4"/>
    <w:rsid w:val="00D560A8"/>
    <w:rsid w:val="00D562D2"/>
    <w:rsid w:val="00D56677"/>
    <w:rsid w:val="00D56949"/>
    <w:rsid w:val="00D569DE"/>
    <w:rsid w:val="00D56D92"/>
    <w:rsid w:val="00D5775A"/>
    <w:rsid w:val="00D57DD1"/>
    <w:rsid w:val="00D61E16"/>
    <w:rsid w:val="00D62011"/>
    <w:rsid w:val="00D62763"/>
    <w:rsid w:val="00D63122"/>
    <w:rsid w:val="00D636FF"/>
    <w:rsid w:val="00D63ACA"/>
    <w:rsid w:val="00D64161"/>
    <w:rsid w:val="00D64CF0"/>
    <w:rsid w:val="00D66580"/>
    <w:rsid w:val="00D67EAB"/>
    <w:rsid w:val="00D7002D"/>
    <w:rsid w:val="00D707E6"/>
    <w:rsid w:val="00D70CBF"/>
    <w:rsid w:val="00D70E34"/>
    <w:rsid w:val="00D71B5A"/>
    <w:rsid w:val="00D71D8B"/>
    <w:rsid w:val="00D72095"/>
    <w:rsid w:val="00D72699"/>
    <w:rsid w:val="00D72949"/>
    <w:rsid w:val="00D72A68"/>
    <w:rsid w:val="00D72CBD"/>
    <w:rsid w:val="00D72F2C"/>
    <w:rsid w:val="00D731BA"/>
    <w:rsid w:val="00D74590"/>
    <w:rsid w:val="00D74BC9"/>
    <w:rsid w:val="00D750C3"/>
    <w:rsid w:val="00D76291"/>
    <w:rsid w:val="00D764A5"/>
    <w:rsid w:val="00D76DF7"/>
    <w:rsid w:val="00D776E1"/>
    <w:rsid w:val="00D77A12"/>
    <w:rsid w:val="00D77FAC"/>
    <w:rsid w:val="00D81586"/>
    <w:rsid w:val="00D81D00"/>
    <w:rsid w:val="00D81DB0"/>
    <w:rsid w:val="00D8234B"/>
    <w:rsid w:val="00D82647"/>
    <w:rsid w:val="00D830D7"/>
    <w:rsid w:val="00D8501B"/>
    <w:rsid w:val="00D86530"/>
    <w:rsid w:val="00D86578"/>
    <w:rsid w:val="00D873B7"/>
    <w:rsid w:val="00D87C0D"/>
    <w:rsid w:val="00D903DD"/>
    <w:rsid w:val="00D90446"/>
    <w:rsid w:val="00D91141"/>
    <w:rsid w:val="00D91FBF"/>
    <w:rsid w:val="00D92298"/>
    <w:rsid w:val="00D922D4"/>
    <w:rsid w:val="00D92333"/>
    <w:rsid w:val="00D92489"/>
    <w:rsid w:val="00D93827"/>
    <w:rsid w:val="00D9428B"/>
    <w:rsid w:val="00D94AA8"/>
    <w:rsid w:val="00D95231"/>
    <w:rsid w:val="00D96122"/>
    <w:rsid w:val="00D96933"/>
    <w:rsid w:val="00DA037C"/>
    <w:rsid w:val="00DA0A8C"/>
    <w:rsid w:val="00DA12ED"/>
    <w:rsid w:val="00DA19FC"/>
    <w:rsid w:val="00DA229F"/>
    <w:rsid w:val="00DA25B2"/>
    <w:rsid w:val="00DA260F"/>
    <w:rsid w:val="00DA4911"/>
    <w:rsid w:val="00DA4B45"/>
    <w:rsid w:val="00DA55C4"/>
    <w:rsid w:val="00DA5CE2"/>
    <w:rsid w:val="00DA5D0F"/>
    <w:rsid w:val="00DA5E0B"/>
    <w:rsid w:val="00DB0B77"/>
    <w:rsid w:val="00DB1012"/>
    <w:rsid w:val="00DB1BC3"/>
    <w:rsid w:val="00DB28FC"/>
    <w:rsid w:val="00DB3679"/>
    <w:rsid w:val="00DB3FCC"/>
    <w:rsid w:val="00DB4686"/>
    <w:rsid w:val="00DB4998"/>
    <w:rsid w:val="00DB5B01"/>
    <w:rsid w:val="00DB74B1"/>
    <w:rsid w:val="00DB7AE8"/>
    <w:rsid w:val="00DC0719"/>
    <w:rsid w:val="00DC0BE6"/>
    <w:rsid w:val="00DC1B6A"/>
    <w:rsid w:val="00DC2574"/>
    <w:rsid w:val="00DC3339"/>
    <w:rsid w:val="00DC3DAF"/>
    <w:rsid w:val="00DC44A9"/>
    <w:rsid w:val="00DC51F5"/>
    <w:rsid w:val="00DC5E62"/>
    <w:rsid w:val="00DC703C"/>
    <w:rsid w:val="00DC74D6"/>
    <w:rsid w:val="00DC776B"/>
    <w:rsid w:val="00DD029C"/>
    <w:rsid w:val="00DD0551"/>
    <w:rsid w:val="00DD0801"/>
    <w:rsid w:val="00DD1C29"/>
    <w:rsid w:val="00DD2198"/>
    <w:rsid w:val="00DD29D1"/>
    <w:rsid w:val="00DD2CD7"/>
    <w:rsid w:val="00DD30A0"/>
    <w:rsid w:val="00DD4097"/>
    <w:rsid w:val="00DD42C3"/>
    <w:rsid w:val="00DD5221"/>
    <w:rsid w:val="00DD541E"/>
    <w:rsid w:val="00DD5487"/>
    <w:rsid w:val="00DD6172"/>
    <w:rsid w:val="00DD709E"/>
    <w:rsid w:val="00DD7948"/>
    <w:rsid w:val="00DD7A97"/>
    <w:rsid w:val="00DE2454"/>
    <w:rsid w:val="00DE3267"/>
    <w:rsid w:val="00DE3A07"/>
    <w:rsid w:val="00DE3C71"/>
    <w:rsid w:val="00DE4956"/>
    <w:rsid w:val="00DE5374"/>
    <w:rsid w:val="00DE5956"/>
    <w:rsid w:val="00DE7486"/>
    <w:rsid w:val="00DE7739"/>
    <w:rsid w:val="00DE7FA5"/>
    <w:rsid w:val="00DF06E4"/>
    <w:rsid w:val="00DF199E"/>
    <w:rsid w:val="00DF253A"/>
    <w:rsid w:val="00DF34C0"/>
    <w:rsid w:val="00DF5D4E"/>
    <w:rsid w:val="00DF5EA3"/>
    <w:rsid w:val="00DF670B"/>
    <w:rsid w:val="00E003CA"/>
    <w:rsid w:val="00E00984"/>
    <w:rsid w:val="00E0119F"/>
    <w:rsid w:val="00E019E0"/>
    <w:rsid w:val="00E01CE0"/>
    <w:rsid w:val="00E01F45"/>
    <w:rsid w:val="00E02095"/>
    <w:rsid w:val="00E02DC3"/>
    <w:rsid w:val="00E0300B"/>
    <w:rsid w:val="00E03E6C"/>
    <w:rsid w:val="00E0625B"/>
    <w:rsid w:val="00E065B1"/>
    <w:rsid w:val="00E06C53"/>
    <w:rsid w:val="00E07936"/>
    <w:rsid w:val="00E10737"/>
    <w:rsid w:val="00E13107"/>
    <w:rsid w:val="00E1338C"/>
    <w:rsid w:val="00E150D7"/>
    <w:rsid w:val="00E15B05"/>
    <w:rsid w:val="00E15B2F"/>
    <w:rsid w:val="00E16C4F"/>
    <w:rsid w:val="00E2018D"/>
    <w:rsid w:val="00E21302"/>
    <w:rsid w:val="00E2268B"/>
    <w:rsid w:val="00E23198"/>
    <w:rsid w:val="00E24C28"/>
    <w:rsid w:val="00E25083"/>
    <w:rsid w:val="00E25A28"/>
    <w:rsid w:val="00E25C71"/>
    <w:rsid w:val="00E2683B"/>
    <w:rsid w:val="00E2683D"/>
    <w:rsid w:val="00E27C47"/>
    <w:rsid w:val="00E27DA4"/>
    <w:rsid w:val="00E3077D"/>
    <w:rsid w:val="00E30DB3"/>
    <w:rsid w:val="00E32161"/>
    <w:rsid w:val="00E329AD"/>
    <w:rsid w:val="00E34253"/>
    <w:rsid w:val="00E354B0"/>
    <w:rsid w:val="00E35B21"/>
    <w:rsid w:val="00E36009"/>
    <w:rsid w:val="00E36257"/>
    <w:rsid w:val="00E36E8A"/>
    <w:rsid w:val="00E400E6"/>
    <w:rsid w:val="00E411F1"/>
    <w:rsid w:val="00E41E02"/>
    <w:rsid w:val="00E42209"/>
    <w:rsid w:val="00E42866"/>
    <w:rsid w:val="00E42A85"/>
    <w:rsid w:val="00E42A91"/>
    <w:rsid w:val="00E444E9"/>
    <w:rsid w:val="00E46217"/>
    <w:rsid w:val="00E47182"/>
    <w:rsid w:val="00E47557"/>
    <w:rsid w:val="00E47636"/>
    <w:rsid w:val="00E520A9"/>
    <w:rsid w:val="00E53A87"/>
    <w:rsid w:val="00E54E6B"/>
    <w:rsid w:val="00E55857"/>
    <w:rsid w:val="00E57871"/>
    <w:rsid w:val="00E62090"/>
    <w:rsid w:val="00E62AE2"/>
    <w:rsid w:val="00E62EF0"/>
    <w:rsid w:val="00E638EE"/>
    <w:rsid w:val="00E63B50"/>
    <w:rsid w:val="00E64EB1"/>
    <w:rsid w:val="00E664EC"/>
    <w:rsid w:val="00E67289"/>
    <w:rsid w:val="00E7024E"/>
    <w:rsid w:val="00E70E13"/>
    <w:rsid w:val="00E710C8"/>
    <w:rsid w:val="00E71194"/>
    <w:rsid w:val="00E717DD"/>
    <w:rsid w:val="00E72D70"/>
    <w:rsid w:val="00E73923"/>
    <w:rsid w:val="00E73E83"/>
    <w:rsid w:val="00E74AE7"/>
    <w:rsid w:val="00E750D1"/>
    <w:rsid w:val="00E75F2F"/>
    <w:rsid w:val="00E766D0"/>
    <w:rsid w:val="00E76EC2"/>
    <w:rsid w:val="00E76F1A"/>
    <w:rsid w:val="00E776DA"/>
    <w:rsid w:val="00E7777B"/>
    <w:rsid w:val="00E77AE8"/>
    <w:rsid w:val="00E81400"/>
    <w:rsid w:val="00E81EC0"/>
    <w:rsid w:val="00E81FB7"/>
    <w:rsid w:val="00E824D5"/>
    <w:rsid w:val="00E82C98"/>
    <w:rsid w:val="00E83A19"/>
    <w:rsid w:val="00E840B3"/>
    <w:rsid w:val="00E844EF"/>
    <w:rsid w:val="00E86B12"/>
    <w:rsid w:val="00E87BBF"/>
    <w:rsid w:val="00E901D9"/>
    <w:rsid w:val="00E90A56"/>
    <w:rsid w:val="00E90B7C"/>
    <w:rsid w:val="00E91136"/>
    <w:rsid w:val="00E93696"/>
    <w:rsid w:val="00E94124"/>
    <w:rsid w:val="00E94729"/>
    <w:rsid w:val="00E95D51"/>
    <w:rsid w:val="00E95DAF"/>
    <w:rsid w:val="00E9683A"/>
    <w:rsid w:val="00E96F87"/>
    <w:rsid w:val="00E976FF"/>
    <w:rsid w:val="00E977A8"/>
    <w:rsid w:val="00E97B53"/>
    <w:rsid w:val="00EA13D9"/>
    <w:rsid w:val="00EA1580"/>
    <w:rsid w:val="00EA1686"/>
    <w:rsid w:val="00EA1B5F"/>
    <w:rsid w:val="00EA258E"/>
    <w:rsid w:val="00EA2EED"/>
    <w:rsid w:val="00EA376D"/>
    <w:rsid w:val="00EA3A67"/>
    <w:rsid w:val="00EA411A"/>
    <w:rsid w:val="00EA4173"/>
    <w:rsid w:val="00EA4EA1"/>
    <w:rsid w:val="00EA5785"/>
    <w:rsid w:val="00EA68EE"/>
    <w:rsid w:val="00EA6D59"/>
    <w:rsid w:val="00EA7930"/>
    <w:rsid w:val="00EB08E4"/>
    <w:rsid w:val="00EB0B1C"/>
    <w:rsid w:val="00EB192C"/>
    <w:rsid w:val="00EB2D34"/>
    <w:rsid w:val="00EB4728"/>
    <w:rsid w:val="00EB4C45"/>
    <w:rsid w:val="00EB5D92"/>
    <w:rsid w:val="00EB5EAD"/>
    <w:rsid w:val="00EB614B"/>
    <w:rsid w:val="00EB6CB5"/>
    <w:rsid w:val="00EB7239"/>
    <w:rsid w:val="00EB7338"/>
    <w:rsid w:val="00EB7B7F"/>
    <w:rsid w:val="00EC09D9"/>
    <w:rsid w:val="00EC0E48"/>
    <w:rsid w:val="00EC2457"/>
    <w:rsid w:val="00EC2ABB"/>
    <w:rsid w:val="00EC44A1"/>
    <w:rsid w:val="00EC44B3"/>
    <w:rsid w:val="00EC44D8"/>
    <w:rsid w:val="00EC4C1F"/>
    <w:rsid w:val="00EC4E49"/>
    <w:rsid w:val="00EC654B"/>
    <w:rsid w:val="00EC716E"/>
    <w:rsid w:val="00EC7EC4"/>
    <w:rsid w:val="00ED0129"/>
    <w:rsid w:val="00ED0BF4"/>
    <w:rsid w:val="00ED1440"/>
    <w:rsid w:val="00ED1592"/>
    <w:rsid w:val="00ED1ABB"/>
    <w:rsid w:val="00ED1E58"/>
    <w:rsid w:val="00ED249C"/>
    <w:rsid w:val="00ED28D3"/>
    <w:rsid w:val="00ED2D41"/>
    <w:rsid w:val="00ED2F76"/>
    <w:rsid w:val="00ED5E5F"/>
    <w:rsid w:val="00ED7597"/>
    <w:rsid w:val="00ED764C"/>
    <w:rsid w:val="00ED7C01"/>
    <w:rsid w:val="00EE0932"/>
    <w:rsid w:val="00EE1108"/>
    <w:rsid w:val="00EE127F"/>
    <w:rsid w:val="00EE1F41"/>
    <w:rsid w:val="00EE3F84"/>
    <w:rsid w:val="00EE4229"/>
    <w:rsid w:val="00EE44E3"/>
    <w:rsid w:val="00EE44F8"/>
    <w:rsid w:val="00EE478B"/>
    <w:rsid w:val="00EE4ECA"/>
    <w:rsid w:val="00EE5828"/>
    <w:rsid w:val="00EE5CF6"/>
    <w:rsid w:val="00EE5EA8"/>
    <w:rsid w:val="00EE6699"/>
    <w:rsid w:val="00EE67C9"/>
    <w:rsid w:val="00EE6D7A"/>
    <w:rsid w:val="00EE71F0"/>
    <w:rsid w:val="00EE78C3"/>
    <w:rsid w:val="00EF0240"/>
    <w:rsid w:val="00EF07C3"/>
    <w:rsid w:val="00EF17D9"/>
    <w:rsid w:val="00EF22BD"/>
    <w:rsid w:val="00EF2631"/>
    <w:rsid w:val="00EF30B4"/>
    <w:rsid w:val="00EF357B"/>
    <w:rsid w:val="00EF576A"/>
    <w:rsid w:val="00EF7D22"/>
    <w:rsid w:val="00EF7DB9"/>
    <w:rsid w:val="00EF7F61"/>
    <w:rsid w:val="00F002D2"/>
    <w:rsid w:val="00F01241"/>
    <w:rsid w:val="00F013FB"/>
    <w:rsid w:val="00F022DD"/>
    <w:rsid w:val="00F02464"/>
    <w:rsid w:val="00F02950"/>
    <w:rsid w:val="00F03861"/>
    <w:rsid w:val="00F044F3"/>
    <w:rsid w:val="00F05DF8"/>
    <w:rsid w:val="00F0773B"/>
    <w:rsid w:val="00F07A52"/>
    <w:rsid w:val="00F07B0B"/>
    <w:rsid w:val="00F07B23"/>
    <w:rsid w:val="00F10077"/>
    <w:rsid w:val="00F10F30"/>
    <w:rsid w:val="00F11A04"/>
    <w:rsid w:val="00F11A2B"/>
    <w:rsid w:val="00F12992"/>
    <w:rsid w:val="00F135EE"/>
    <w:rsid w:val="00F14281"/>
    <w:rsid w:val="00F159AE"/>
    <w:rsid w:val="00F16E40"/>
    <w:rsid w:val="00F175FB"/>
    <w:rsid w:val="00F1789E"/>
    <w:rsid w:val="00F17C78"/>
    <w:rsid w:val="00F202C0"/>
    <w:rsid w:val="00F20814"/>
    <w:rsid w:val="00F20D75"/>
    <w:rsid w:val="00F2104C"/>
    <w:rsid w:val="00F216FA"/>
    <w:rsid w:val="00F2256A"/>
    <w:rsid w:val="00F22F5D"/>
    <w:rsid w:val="00F22FBC"/>
    <w:rsid w:val="00F2312E"/>
    <w:rsid w:val="00F232EB"/>
    <w:rsid w:val="00F23955"/>
    <w:rsid w:val="00F2490F"/>
    <w:rsid w:val="00F24DB9"/>
    <w:rsid w:val="00F251CC"/>
    <w:rsid w:val="00F25B53"/>
    <w:rsid w:val="00F26A63"/>
    <w:rsid w:val="00F27E7F"/>
    <w:rsid w:val="00F30BA6"/>
    <w:rsid w:val="00F31109"/>
    <w:rsid w:val="00F3359E"/>
    <w:rsid w:val="00F33E20"/>
    <w:rsid w:val="00F345A4"/>
    <w:rsid w:val="00F37886"/>
    <w:rsid w:val="00F37BA0"/>
    <w:rsid w:val="00F400BC"/>
    <w:rsid w:val="00F41C38"/>
    <w:rsid w:val="00F422B5"/>
    <w:rsid w:val="00F422C6"/>
    <w:rsid w:val="00F4234E"/>
    <w:rsid w:val="00F427FB"/>
    <w:rsid w:val="00F42DF6"/>
    <w:rsid w:val="00F42F1A"/>
    <w:rsid w:val="00F439A3"/>
    <w:rsid w:val="00F44E38"/>
    <w:rsid w:val="00F4504C"/>
    <w:rsid w:val="00F45835"/>
    <w:rsid w:val="00F4614C"/>
    <w:rsid w:val="00F46150"/>
    <w:rsid w:val="00F477B7"/>
    <w:rsid w:val="00F47A81"/>
    <w:rsid w:val="00F47BC4"/>
    <w:rsid w:val="00F5041D"/>
    <w:rsid w:val="00F508FD"/>
    <w:rsid w:val="00F50F80"/>
    <w:rsid w:val="00F51282"/>
    <w:rsid w:val="00F51951"/>
    <w:rsid w:val="00F51DCB"/>
    <w:rsid w:val="00F5223B"/>
    <w:rsid w:val="00F5306A"/>
    <w:rsid w:val="00F533BD"/>
    <w:rsid w:val="00F54952"/>
    <w:rsid w:val="00F5557B"/>
    <w:rsid w:val="00F55634"/>
    <w:rsid w:val="00F565A3"/>
    <w:rsid w:val="00F565D0"/>
    <w:rsid w:val="00F5770D"/>
    <w:rsid w:val="00F577A3"/>
    <w:rsid w:val="00F60222"/>
    <w:rsid w:val="00F61850"/>
    <w:rsid w:val="00F63D68"/>
    <w:rsid w:val="00F64724"/>
    <w:rsid w:val="00F64EC8"/>
    <w:rsid w:val="00F651EB"/>
    <w:rsid w:val="00F679AF"/>
    <w:rsid w:val="00F67A9E"/>
    <w:rsid w:val="00F70176"/>
    <w:rsid w:val="00F71A47"/>
    <w:rsid w:val="00F71DF0"/>
    <w:rsid w:val="00F71FCE"/>
    <w:rsid w:val="00F721AD"/>
    <w:rsid w:val="00F726CD"/>
    <w:rsid w:val="00F73425"/>
    <w:rsid w:val="00F73729"/>
    <w:rsid w:val="00F73B09"/>
    <w:rsid w:val="00F73ECE"/>
    <w:rsid w:val="00F746E0"/>
    <w:rsid w:val="00F75D11"/>
    <w:rsid w:val="00F75E3B"/>
    <w:rsid w:val="00F7757E"/>
    <w:rsid w:val="00F80AFE"/>
    <w:rsid w:val="00F80E0F"/>
    <w:rsid w:val="00F81A1F"/>
    <w:rsid w:val="00F83B4F"/>
    <w:rsid w:val="00F84860"/>
    <w:rsid w:val="00F84C70"/>
    <w:rsid w:val="00F8602C"/>
    <w:rsid w:val="00F86B8A"/>
    <w:rsid w:val="00F879D0"/>
    <w:rsid w:val="00F9096C"/>
    <w:rsid w:val="00F90A8F"/>
    <w:rsid w:val="00F91CFD"/>
    <w:rsid w:val="00F92278"/>
    <w:rsid w:val="00F9296D"/>
    <w:rsid w:val="00F92B0A"/>
    <w:rsid w:val="00F9324D"/>
    <w:rsid w:val="00F93C13"/>
    <w:rsid w:val="00F943FD"/>
    <w:rsid w:val="00F94539"/>
    <w:rsid w:val="00F94675"/>
    <w:rsid w:val="00F957C0"/>
    <w:rsid w:val="00F969F5"/>
    <w:rsid w:val="00F979C1"/>
    <w:rsid w:val="00F97CF7"/>
    <w:rsid w:val="00FA0547"/>
    <w:rsid w:val="00FA1AC2"/>
    <w:rsid w:val="00FA1B47"/>
    <w:rsid w:val="00FA1F7F"/>
    <w:rsid w:val="00FA222B"/>
    <w:rsid w:val="00FA243D"/>
    <w:rsid w:val="00FA27BD"/>
    <w:rsid w:val="00FA3220"/>
    <w:rsid w:val="00FA375B"/>
    <w:rsid w:val="00FA437B"/>
    <w:rsid w:val="00FA4459"/>
    <w:rsid w:val="00FA448A"/>
    <w:rsid w:val="00FA5983"/>
    <w:rsid w:val="00FA6275"/>
    <w:rsid w:val="00FA6A70"/>
    <w:rsid w:val="00FA6C42"/>
    <w:rsid w:val="00FA7A16"/>
    <w:rsid w:val="00FA7D09"/>
    <w:rsid w:val="00FB0B80"/>
    <w:rsid w:val="00FB1860"/>
    <w:rsid w:val="00FB1993"/>
    <w:rsid w:val="00FB1E81"/>
    <w:rsid w:val="00FB208E"/>
    <w:rsid w:val="00FB2B41"/>
    <w:rsid w:val="00FB3631"/>
    <w:rsid w:val="00FB5F9C"/>
    <w:rsid w:val="00FB608A"/>
    <w:rsid w:val="00FB613A"/>
    <w:rsid w:val="00FB6974"/>
    <w:rsid w:val="00FB6C17"/>
    <w:rsid w:val="00FB6CEE"/>
    <w:rsid w:val="00FB7FAC"/>
    <w:rsid w:val="00FC045B"/>
    <w:rsid w:val="00FC0E0F"/>
    <w:rsid w:val="00FC0F21"/>
    <w:rsid w:val="00FC1697"/>
    <w:rsid w:val="00FC22F1"/>
    <w:rsid w:val="00FC2625"/>
    <w:rsid w:val="00FC3815"/>
    <w:rsid w:val="00FC4A1A"/>
    <w:rsid w:val="00FC5660"/>
    <w:rsid w:val="00FC7B01"/>
    <w:rsid w:val="00FD1619"/>
    <w:rsid w:val="00FD2A11"/>
    <w:rsid w:val="00FD2C78"/>
    <w:rsid w:val="00FD4697"/>
    <w:rsid w:val="00FD6770"/>
    <w:rsid w:val="00FD78B3"/>
    <w:rsid w:val="00FD7D14"/>
    <w:rsid w:val="00FE187C"/>
    <w:rsid w:val="00FE2F7D"/>
    <w:rsid w:val="00FE34C1"/>
    <w:rsid w:val="00FE4E3D"/>
    <w:rsid w:val="00FE51B1"/>
    <w:rsid w:val="00FE5ADF"/>
    <w:rsid w:val="00FE6739"/>
    <w:rsid w:val="00FE72C7"/>
    <w:rsid w:val="00FE7B73"/>
    <w:rsid w:val="00FF0F2D"/>
    <w:rsid w:val="00FF1672"/>
    <w:rsid w:val="00FF2772"/>
    <w:rsid w:val="00FF39A8"/>
    <w:rsid w:val="00FF5161"/>
    <w:rsid w:val="00FF639B"/>
    <w:rsid w:val="00FF6611"/>
    <w:rsid w:val="00FF6933"/>
    <w:rsid w:val="00FF6C65"/>
    <w:rsid w:val="01875DDB"/>
    <w:rsid w:val="02327F74"/>
    <w:rsid w:val="031C07A5"/>
    <w:rsid w:val="03E274D9"/>
    <w:rsid w:val="042A23E4"/>
    <w:rsid w:val="0596483F"/>
    <w:rsid w:val="072639A0"/>
    <w:rsid w:val="08AA0916"/>
    <w:rsid w:val="08FA2C55"/>
    <w:rsid w:val="096D2F9D"/>
    <w:rsid w:val="0A3B63F0"/>
    <w:rsid w:val="0A3F3BEA"/>
    <w:rsid w:val="0AA677DA"/>
    <w:rsid w:val="0EB637B5"/>
    <w:rsid w:val="0FAC553E"/>
    <w:rsid w:val="11A35F61"/>
    <w:rsid w:val="13B07E03"/>
    <w:rsid w:val="14294459"/>
    <w:rsid w:val="14940F72"/>
    <w:rsid w:val="159D5080"/>
    <w:rsid w:val="16D731B5"/>
    <w:rsid w:val="184532D1"/>
    <w:rsid w:val="19916AEB"/>
    <w:rsid w:val="19D73A2E"/>
    <w:rsid w:val="1CB222E1"/>
    <w:rsid w:val="1D33770F"/>
    <w:rsid w:val="1D795913"/>
    <w:rsid w:val="1DE103BE"/>
    <w:rsid w:val="1E3D5D47"/>
    <w:rsid w:val="1F5F345D"/>
    <w:rsid w:val="1F6B3154"/>
    <w:rsid w:val="1F8C6262"/>
    <w:rsid w:val="1F9024CC"/>
    <w:rsid w:val="202253C5"/>
    <w:rsid w:val="226D0939"/>
    <w:rsid w:val="23315AC8"/>
    <w:rsid w:val="241E5DD7"/>
    <w:rsid w:val="24446B20"/>
    <w:rsid w:val="24DE63EE"/>
    <w:rsid w:val="27DE193A"/>
    <w:rsid w:val="2937448B"/>
    <w:rsid w:val="2AB23AFF"/>
    <w:rsid w:val="2BD52AB2"/>
    <w:rsid w:val="2C3F390E"/>
    <w:rsid w:val="2CD22903"/>
    <w:rsid w:val="2FBA2A94"/>
    <w:rsid w:val="31E14EEF"/>
    <w:rsid w:val="32B46702"/>
    <w:rsid w:val="33097422"/>
    <w:rsid w:val="343E1548"/>
    <w:rsid w:val="34C31EDF"/>
    <w:rsid w:val="34FC4D64"/>
    <w:rsid w:val="36194FD8"/>
    <w:rsid w:val="36AC70D6"/>
    <w:rsid w:val="3772660A"/>
    <w:rsid w:val="380A29FE"/>
    <w:rsid w:val="38AF2B7C"/>
    <w:rsid w:val="395D4EBE"/>
    <w:rsid w:val="39B859AD"/>
    <w:rsid w:val="3B296949"/>
    <w:rsid w:val="3D282879"/>
    <w:rsid w:val="3E1F46CA"/>
    <w:rsid w:val="3EAE18C2"/>
    <w:rsid w:val="413B646B"/>
    <w:rsid w:val="4434236E"/>
    <w:rsid w:val="44D35DBA"/>
    <w:rsid w:val="46535859"/>
    <w:rsid w:val="46CC1167"/>
    <w:rsid w:val="483D3554"/>
    <w:rsid w:val="48733DAE"/>
    <w:rsid w:val="48C81442"/>
    <w:rsid w:val="49F77915"/>
    <w:rsid w:val="4CD55FB9"/>
    <w:rsid w:val="4D194F41"/>
    <w:rsid w:val="4EE83C7C"/>
    <w:rsid w:val="50DF6093"/>
    <w:rsid w:val="51AE00F7"/>
    <w:rsid w:val="541A6CDE"/>
    <w:rsid w:val="565D2B52"/>
    <w:rsid w:val="56EB0DB4"/>
    <w:rsid w:val="56F12204"/>
    <w:rsid w:val="573752D9"/>
    <w:rsid w:val="584629A8"/>
    <w:rsid w:val="5B861D23"/>
    <w:rsid w:val="5D1635AD"/>
    <w:rsid w:val="5D655362"/>
    <w:rsid w:val="60791777"/>
    <w:rsid w:val="61E47D74"/>
    <w:rsid w:val="62636984"/>
    <w:rsid w:val="62CE6F12"/>
    <w:rsid w:val="648D56A6"/>
    <w:rsid w:val="64FC0861"/>
    <w:rsid w:val="673B33DA"/>
    <w:rsid w:val="67E5491B"/>
    <w:rsid w:val="695874D0"/>
    <w:rsid w:val="699B3542"/>
    <w:rsid w:val="6B5A7CB7"/>
    <w:rsid w:val="6D0C66BB"/>
    <w:rsid w:val="6E5E2B77"/>
    <w:rsid w:val="6FBD2AD2"/>
    <w:rsid w:val="704502A1"/>
    <w:rsid w:val="719E4F61"/>
    <w:rsid w:val="71E5631D"/>
    <w:rsid w:val="741A01D8"/>
    <w:rsid w:val="749E5641"/>
    <w:rsid w:val="74EC45FF"/>
    <w:rsid w:val="77FC74B6"/>
    <w:rsid w:val="78262DCD"/>
    <w:rsid w:val="784C6426"/>
    <w:rsid w:val="795C256A"/>
    <w:rsid w:val="795F05AF"/>
    <w:rsid w:val="79BF1B9B"/>
    <w:rsid w:val="7BD477E2"/>
    <w:rsid w:val="7CA47E6B"/>
    <w:rsid w:val="7D351C40"/>
    <w:rsid w:val="7E085F80"/>
    <w:rsid w:val="7E95503D"/>
    <w:rsid w:val="7FB977D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99" w:name="index 1"/>
    <w:lsdException w:qFormat="1" w:unhideWhenUsed="0" w:uiPriority="99" w:name="index 2"/>
    <w:lsdException w:qFormat="1" w:unhideWhenUsed="0" w:uiPriority="99" w:name="index 3"/>
    <w:lsdException w:qFormat="1" w:unhideWhenUsed="0" w:uiPriority="99" w:name="index 4"/>
    <w:lsdException w:qFormat="1" w:unhideWhenUsed="0" w:uiPriority="99" w:name="index 5"/>
    <w:lsdException w:qFormat="1" w:unhideWhenUsed="0" w:uiPriority="99" w:name="index 6"/>
    <w:lsdException w:qFormat="1" w:unhideWhenUsed="0" w:uiPriority="99" w:name="index 7"/>
    <w:lsdException w:qFormat="1" w:unhideWhenUsed="0" w:uiPriority="99" w:name="index 8"/>
    <w:lsdException w:qFormat="1" w:unhideWhenUsed="0" w:uiPriority="99"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iPriority="0" w:name="caption" w:locked="1"/>
    <w:lsdException w:qFormat="1" w:unhideWhenUsed="0"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nhideWhenUsed="0" w:uiPriority="99" w:semiHidden="0" w:name="HTML Code"/>
    <w:lsdException w:uiPriority="99" w:name="HTML Definition"/>
    <w:lsdException w:uiPriority="99" w:name="HTML Keyboard"/>
    <w:lsdException w:qFormat="1" w:unhideWhenUsed="0" w:uiPriority="99" w:semiHidden="0" w:name="HTML Preformatted"/>
    <w:lsdException w:uiPriority="99" w:name="HTML Sample"/>
    <w:lsdException w:qFormat="1" w:unhideWhenUsed="0" w:uiPriority="99" w:semiHidden="0"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56"/>
    <w:qFormat/>
    <w:uiPriority w:val="99"/>
    <w:pPr>
      <w:keepNext/>
      <w:jc w:val="center"/>
      <w:outlineLvl w:val="0"/>
    </w:pPr>
    <w:rPr>
      <w:b/>
      <w:bCs/>
      <w:kern w:val="44"/>
      <w:sz w:val="44"/>
      <w:szCs w:val="44"/>
    </w:rPr>
  </w:style>
  <w:style w:type="paragraph" w:styleId="3">
    <w:name w:val="heading 2"/>
    <w:basedOn w:val="1"/>
    <w:next w:val="1"/>
    <w:link w:val="57"/>
    <w:qFormat/>
    <w:uiPriority w:val="99"/>
    <w:pPr>
      <w:keepNext/>
      <w:jc w:val="center"/>
      <w:outlineLvl w:val="1"/>
    </w:pPr>
    <w:rPr>
      <w:rFonts w:ascii="Cambria" w:hAnsi="Cambria" w:cs="Cambria"/>
      <w:b/>
      <w:bCs/>
      <w:kern w:val="0"/>
      <w:sz w:val="32"/>
      <w:szCs w:val="32"/>
    </w:rPr>
  </w:style>
  <w:style w:type="paragraph" w:styleId="4">
    <w:name w:val="heading 3"/>
    <w:basedOn w:val="1"/>
    <w:next w:val="1"/>
    <w:link w:val="58"/>
    <w:qFormat/>
    <w:uiPriority w:val="99"/>
    <w:pPr>
      <w:keepNext/>
      <w:jc w:val="center"/>
      <w:outlineLvl w:val="2"/>
    </w:pPr>
    <w:rPr>
      <w:b/>
      <w:bCs/>
      <w:kern w:val="0"/>
      <w:sz w:val="32"/>
      <w:szCs w:val="32"/>
    </w:rPr>
  </w:style>
  <w:style w:type="paragraph" w:styleId="5">
    <w:name w:val="heading 4"/>
    <w:basedOn w:val="1"/>
    <w:next w:val="1"/>
    <w:link w:val="59"/>
    <w:qFormat/>
    <w:uiPriority w:val="99"/>
    <w:pPr>
      <w:keepNext/>
      <w:jc w:val="center"/>
      <w:outlineLvl w:val="3"/>
    </w:pPr>
    <w:rPr>
      <w:rFonts w:ascii="Cambria" w:hAnsi="Cambria" w:cs="Cambria"/>
      <w:b/>
      <w:bCs/>
      <w:kern w:val="0"/>
      <w:sz w:val="28"/>
      <w:szCs w:val="28"/>
    </w:rPr>
  </w:style>
  <w:style w:type="paragraph" w:styleId="6">
    <w:name w:val="heading 5"/>
    <w:basedOn w:val="1"/>
    <w:next w:val="1"/>
    <w:link w:val="60"/>
    <w:qFormat/>
    <w:uiPriority w:val="99"/>
    <w:pPr>
      <w:keepNext/>
      <w:tabs>
        <w:tab w:val="left" w:pos="360"/>
      </w:tabs>
      <w:ind w:left="360" w:hanging="360"/>
      <w:outlineLvl w:val="4"/>
    </w:pPr>
    <w:rPr>
      <w:b/>
      <w:bCs/>
      <w:kern w:val="0"/>
      <w:sz w:val="28"/>
      <w:szCs w:val="28"/>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semiHidden/>
    <w:qFormat/>
    <w:uiPriority w:val="99"/>
    <w:pPr>
      <w:ind w:left="2520"/>
    </w:pPr>
    <w:rPr>
      <w:rFonts w:eastAsia="楷体_GB2312"/>
      <w:sz w:val="26"/>
      <w:szCs w:val="26"/>
    </w:rPr>
  </w:style>
  <w:style w:type="paragraph" w:styleId="8">
    <w:name w:val="index 8"/>
    <w:basedOn w:val="1"/>
    <w:next w:val="1"/>
    <w:semiHidden/>
    <w:qFormat/>
    <w:uiPriority w:val="99"/>
    <w:pPr>
      <w:ind w:left="2940"/>
    </w:pPr>
    <w:rPr>
      <w:rFonts w:eastAsia="楷体_GB2312"/>
      <w:sz w:val="26"/>
      <w:szCs w:val="26"/>
    </w:rPr>
  </w:style>
  <w:style w:type="paragraph" w:styleId="9">
    <w:name w:val="Normal Indent"/>
    <w:basedOn w:val="1"/>
    <w:qFormat/>
    <w:uiPriority w:val="99"/>
    <w:pPr>
      <w:ind w:firstLine="420"/>
    </w:pPr>
  </w:style>
  <w:style w:type="paragraph" w:styleId="10">
    <w:name w:val="index 5"/>
    <w:basedOn w:val="1"/>
    <w:next w:val="1"/>
    <w:semiHidden/>
    <w:qFormat/>
    <w:uiPriority w:val="99"/>
    <w:pPr>
      <w:ind w:left="1680"/>
    </w:pPr>
    <w:rPr>
      <w:rFonts w:eastAsia="楷体_GB2312"/>
      <w:sz w:val="26"/>
      <w:szCs w:val="26"/>
    </w:rPr>
  </w:style>
  <w:style w:type="paragraph" w:styleId="11">
    <w:name w:val="List Bullet"/>
    <w:basedOn w:val="12"/>
    <w:qFormat/>
    <w:uiPriority w:val="99"/>
    <w:pPr>
      <w:widowControl/>
      <w:tabs>
        <w:tab w:val="left" w:pos="360"/>
      </w:tabs>
      <w:spacing w:before="120" w:after="120" w:line="288" w:lineRule="auto"/>
      <w:ind w:left="576"/>
      <w:jc w:val="left"/>
    </w:pPr>
    <w:rPr>
      <w:sz w:val="22"/>
      <w:szCs w:val="22"/>
      <w:lang w:eastAsia="en-US"/>
    </w:rPr>
  </w:style>
  <w:style w:type="paragraph" w:styleId="12">
    <w:name w:val="Body Text"/>
    <w:basedOn w:val="1"/>
    <w:link w:val="125"/>
    <w:qFormat/>
    <w:uiPriority w:val="99"/>
    <w:rPr>
      <w:kern w:val="0"/>
      <w:sz w:val="20"/>
      <w:szCs w:val="20"/>
    </w:rPr>
  </w:style>
  <w:style w:type="paragraph" w:styleId="13">
    <w:name w:val="Document Map"/>
    <w:basedOn w:val="1"/>
    <w:link w:val="118"/>
    <w:semiHidden/>
    <w:qFormat/>
    <w:uiPriority w:val="99"/>
    <w:pPr>
      <w:shd w:val="clear" w:color="auto" w:fill="000080"/>
    </w:pPr>
    <w:rPr>
      <w:kern w:val="0"/>
      <w:sz w:val="2"/>
      <w:szCs w:val="2"/>
    </w:rPr>
  </w:style>
  <w:style w:type="paragraph" w:styleId="14">
    <w:name w:val="annotation text"/>
    <w:basedOn w:val="1"/>
    <w:link w:val="132"/>
    <w:semiHidden/>
    <w:qFormat/>
    <w:uiPriority w:val="99"/>
    <w:pPr>
      <w:jc w:val="left"/>
    </w:pPr>
    <w:rPr>
      <w:kern w:val="0"/>
      <w:sz w:val="20"/>
      <w:szCs w:val="20"/>
    </w:rPr>
  </w:style>
  <w:style w:type="paragraph" w:styleId="15">
    <w:name w:val="index 6"/>
    <w:basedOn w:val="1"/>
    <w:next w:val="1"/>
    <w:semiHidden/>
    <w:qFormat/>
    <w:uiPriority w:val="99"/>
    <w:pPr>
      <w:ind w:left="2100"/>
    </w:pPr>
    <w:rPr>
      <w:rFonts w:eastAsia="楷体_GB2312"/>
      <w:sz w:val="26"/>
      <w:szCs w:val="26"/>
    </w:rPr>
  </w:style>
  <w:style w:type="paragraph" w:styleId="16">
    <w:name w:val="Body Text Indent"/>
    <w:basedOn w:val="1"/>
    <w:link w:val="82"/>
    <w:qFormat/>
    <w:uiPriority w:val="99"/>
    <w:pPr>
      <w:ind w:firstLine="576"/>
    </w:pPr>
    <w:rPr>
      <w:kern w:val="0"/>
      <w:sz w:val="20"/>
      <w:szCs w:val="20"/>
    </w:rPr>
  </w:style>
  <w:style w:type="paragraph" w:styleId="17">
    <w:name w:val="index 4"/>
    <w:basedOn w:val="1"/>
    <w:next w:val="1"/>
    <w:semiHidden/>
    <w:qFormat/>
    <w:uiPriority w:val="99"/>
    <w:pPr>
      <w:ind w:left="1260"/>
    </w:pPr>
    <w:rPr>
      <w:rFonts w:eastAsia="楷体_GB2312"/>
      <w:sz w:val="26"/>
      <w:szCs w:val="26"/>
    </w:rPr>
  </w:style>
  <w:style w:type="paragraph" w:styleId="18">
    <w:name w:val="toc 5"/>
    <w:basedOn w:val="1"/>
    <w:next w:val="1"/>
    <w:semiHidden/>
    <w:qFormat/>
    <w:uiPriority w:val="99"/>
    <w:pPr>
      <w:ind w:left="1680"/>
    </w:pPr>
    <w:rPr>
      <w:rFonts w:eastAsia="楷体_GB2312"/>
      <w:sz w:val="26"/>
      <w:szCs w:val="26"/>
    </w:rPr>
  </w:style>
  <w:style w:type="paragraph" w:styleId="19">
    <w:name w:val="toc 3"/>
    <w:basedOn w:val="1"/>
    <w:next w:val="1"/>
    <w:semiHidden/>
    <w:qFormat/>
    <w:uiPriority w:val="99"/>
    <w:pPr>
      <w:ind w:left="840"/>
    </w:pPr>
    <w:rPr>
      <w:rFonts w:eastAsia="楷体_GB2312"/>
      <w:sz w:val="26"/>
      <w:szCs w:val="26"/>
    </w:rPr>
  </w:style>
  <w:style w:type="paragraph" w:styleId="20">
    <w:name w:val="Plain Text"/>
    <w:basedOn w:val="1"/>
    <w:link w:val="99"/>
    <w:qFormat/>
    <w:uiPriority w:val="99"/>
    <w:rPr>
      <w:rFonts w:ascii="宋体" w:hAnsi="Courier New" w:cs="宋体"/>
      <w:kern w:val="0"/>
      <w:sz w:val="20"/>
      <w:szCs w:val="20"/>
    </w:rPr>
  </w:style>
  <w:style w:type="paragraph" w:styleId="21">
    <w:name w:val="toc 8"/>
    <w:basedOn w:val="1"/>
    <w:next w:val="1"/>
    <w:semiHidden/>
    <w:qFormat/>
    <w:uiPriority w:val="99"/>
    <w:pPr>
      <w:ind w:left="2940"/>
    </w:pPr>
    <w:rPr>
      <w:rFonts w:eastAsia="楷体_GB2312"/>
      <w:sz w:val="26"/>
      <w:szCs w:val="26"/>
    </w:rPr>
  </w:style>
  <w:style w:type="paragraph" w:styleId="22">
    <w:name w:val="index 3"/>
    <w:basedOn w:val="1"/>
    <w:next w:val="1"/>
    <w:semiHidden/>
    <w:qFormat/>
    <w:uiPriority w:val="99"/>
    <w:pPr>
      <w:ind w:left="840"/>
    </w:pPr>
    <w:rPr>
      <w:rFonts w:eastAsia="楷体_GB2312"/>
      <w:sz w:val="26"/>
      <w:szCs w:val="26"/>
    </w:rPr>
  </w:style>
  <w:style w:type="paragraph" w:styleId="23">
    <w:name w:val="Date"/>
    <w:basedOn w:val="1"/>
    <w:next w:val="1"/>
    <w:link w:val="77"/>
    <w:qFormat/>
    <w:uiPriority w:val="99"/>
    <w:rPr>
      <w:kern w:val="0"/>
      <w:sz w:val="20"/>
      <w:szCs w:val="20"/>
    </w:rPr>
  </w:style>
  <w:style w:type="paragraph" w:styleId="24">
    <w:name w:val="Body Text Indent 2"/>
    <w:basedOn w:val="1"/>
    <w:link w:val="62"/>
    <w:qFormat/>
    <w:uiPriority w:val="99"/>
    <w:pPr>
      <w:ind w:left="900"/>
    </w:pPr>
    <w:rPr>
      <w:kern w:val="0"/>
      <w:sz w:val="20"/>
      <w:szCs w:val="20"/>
    </w:rPr>
  </w:style>
  <w:style w:type="paragraph" w:styleId="25">
    <w:name w:val="Balloon Text"/>
    <w:basedOn w:val="1"/>
    <w:link w:val="134"/>
    <w:semiHidden/>
    <w:qFormat/>
    <w:uiPriority w:val="99"/>
    <w:rPr>
      <w:kern w:val="0"/>
      <w:sz w:val="2"/>
      <w:szCs w:val="2"/>
    </w:rPr>
  </w:style>
  <w:style w:type="paragraph" w:styleId="26">
    <w:name w:val="footer"/>
    <w:basedOn w:val="1"/>
    <w:link w:val="64"/>
    <w:qFormat/>
    <w:uiPriority w:val="99"/>
    <w:pPr>
      <w:tabs>
        <w:tab w:val="center" w:pos="4153"/>
        <w:tab w:val="right" w:pos="8306"/>
      </w:tabs>
      <w:snapToGrid w:val="0"/>
      <w:jc w:val="left"/>
    </w:pPr>
    <w:rPr>
      <w:kern w:val="0"/>
      <w:sz w:val="18"/>
      <w:szCs w:val="18"/>
    </w:rPr>
  </w:style>
  <w:style w:type="paragraph" w:styleId="27">
    <w:name w:val="header"/>
    <w:basedOn w:val="1"/>
    <w:link w:val="63"/>
    <w:qFormat/>
    <w:uiPriority w:val="99"/>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semiHidden/>
    <w:qFormat/>
    <w:uiPriority w:val="99"/>
    <w:pPr>
      <w:adjustRightInd w:val="0"/>
      <w:jc w:val="left"/>
      <w:textAlignment w:val="baseline"/>
    </w:pPr>
    <w:rPr>
      <w:rFonts w:eastAsia="楷体_GB2312"/>
      <w:sz w:val="24"/>
      <w:szCs w:val="24"/>
    </w:rPr>
  </w:style>
  <w:style w:type="paragraph" w:styleId="29">
    <w:name w:val="toc 4"/>
    <w:basedOn w:val="1"/>
    <w:next w:val="1"/>
    <w:semiHidden/>
    <w:qFormat/>
    <w:uiPriority w:val="99"/>
    <w:pPr>
      <w:ind w:left="1260"/>
    </w:pPr>
    <w:rPr>
      <w:rFonts w:eastAsia="楷体_GB2312"/>
      <w:sz w:val="26"/>
      <w:szCs w:val="26"/>
    </w:rPr>
  </w:style>
  <w:style w:type="paragraph" w:styleId="30">
    <w:name w:val="index heading"/>
    <w:basedOn w:val="1"/>
    <w:next w:val="31"/>
    <w:semiHidden/>
    <w:qFormat/>
    <w:uiPriority w:val="99"/>
    <w:rPr>
      <w:rFonts w:eastAsia="楷体_GB2312"/>
      <w:sz w:val="26"/>
      <w:szCs w:val="26"/>
    </w:rPr>
  </w:style>
  <w:style w:type="paragraph" w:styleId="31">
    <w:name w:val="index 1"/>
    <w:basedOn w:val="1"/>
    <w:next w:val="1"/>
    <w:semiHidden/>
    <w:qFormat/>
    <w:uiPriority w:val="99"/>
    <w:rPr>
      <w:rFonts w:eastAsia="楷体_GB2312"/>
      <w:sz w:val="26"/>
      <w:szCs w:val="26"/>
    </w:rPr>
  </w:style>
  <w:style w:type="paragraph" w:styleId="32">
    <w:name w:val="footnote text"/>
    <w:basedOn w:val="1"/>
    <w:link w:val="90"/>
    <w:semiHidden/>
    <w:qFormat/>
    <w:uiPriority w:val="99"/>
    <w:pPr>
      <w:snapToGrid w:val="0"/>
      <w:jc w:val="left"/>
    </w:pPr>
    <w:rPr>
      <w:kern w:val="0"/>
      <w:sz w:val="18"/>
      <w:szCs w:val="18"/>
    </w:rPr>
  </w:style>
  <w:style w:type="paragraph" w:styleId="33">
    <w:name w:val="toc 6"/>
    <w:basedOn w:val="1"/>
    <w:next w:val="1"/>
    <w:semiHidden/>
    <w:qFormat/>
    <w:uiPriority w:val="99"/>
    <w:pPr>
      <w:ind w:left="2100"/>
    </w:pPr>
    <w:rPr>
      <w:rFonts w:eastAsia="楷体_GB2312"/>
      <w:sz w:val="26"/>
      <w:szCs w:val="26"/>
    </w:rPr>
  </w:style>
  <w:style w:type="paragraph" w:styleId="34">
    <w:name w:val="Body Text Indent 3"/>
    <w:basedOn w:val="1"/>
    <w:link w:val="109"/>
    <w:qFormat/>
    <w:uiPriority w:val="99"/>
    <w:pPr>
      <w:ind w:left="359" w:leftChars="171" w:firstLine="359" w:firstLineChars="171"/>
    </w:pPr>
    <w:rPr>
      <w:kern w:val="0"/>
      <w:sz w:val="16"/>
      <w:szCs w:val="16"/>
    </w:rPr>
  </w:style>
  <w:style w:type="paragraph" w:styleId="35">
    <w:name w:val="index 7"/>
    <w:basedOn w:val="1"/>
    <w:next w:val="1"/>
    <w:semiHidden/>
    <w:qFormat/>
    <w:uiPriority w:val="99"/>
    <w:pPr>
      <w:ind w:left="2520"/>
    </w:pPr>
    <w:rPr>
      <w:rFonts w:eastAsia="楷体_GB2312"/>
      <w:sz w:val="26"/>
      <w:szCs w:val="26"/>
    </w:rPr>
  </w:style>
  <w:style w:type="paragraph" w:styleId="36">
    <w:name w:val="index 9"/>
    <w:basedOn w:val="1"/>
    <w:next w:val="1"/>
    <w:semiHidden/>
    <w:qFormat/>
    <w:uiPriority w:val="99"/>
    <w:pPr>
      <w:ind w:left="3360"/>
    </w:pPr>
    <w:rPr>
      <w:rFonts w:eastAsia="楷体_GB2312"/>
      <w:sz w:val="26"/>
      <w:szCs w:val="26"/>
    </w:rPr>
  </w:style>
  <w:style w:type="paragraph" w:styleId="37">
    <w:name w:val="table of figures"/>
    <w:basedOn w:val="1"/>
    <w:next w:val="1"/>
    <w:semiHidden/>
    <w:qFormat/>
    <w:uiPriority w:val="99"/>
    <w:pPr>
      <w:adjustRightInd w:val="0"/>
      <w:ind w:left="420" w:hanging="420"/>
      <w:jc w:val="left"/>
      <w:textAlignment w:val="baseline"/>
    </w:pPr>
    <w:rPr>
      <w:rFonts w:eastAsia="楷体_GB2312"/>
      <w:smallCaps/>
      <w:sz w:val="24"/>
      <w:szCs w:val="24"/>
    </w:rPr>
  </w:style>
  <w:style w:type="paragraph" w:styleId="38">
    <w:name w:val="toc 2"/>
    <w:basedOn w:val="1"/>
    <w:next w:val="1"/>
    <w:semiHidden/>
    <w:qFormat/>
    <w:uiPriority w:val="99"/>
    <w:pPr>
      <w:ind w:left="420"/>
    </w:pPr>
    <w:rPr>
      <w:rFonts w:eastAsia="楷体_GB2312"/>
      <w:sz w:val="26"/>
      <w:szCs w:val="26"/>
    </w:rPr>
  </w:style>
  <w:style w:type="paragraph" w:styleId="39">
    <w:name w:val="toc 9"/>
    <w:basedOn w:val="1"/>
    <w:next w:val="1"/>
    <w:semiHidden/>
    <w:qFormat/>
    <w:uiPriority w:val="99"/>
    <w:pPr>
      <w:ind w:left="3360"/>
    </w:pPr>
    <w:rPr>
      <w:rFonts w:eastAsia="楷体_GB2312"/>
      <w:sz w:val="26"/>
      <w:szCs w:val="26"/>
    </w:rPr>
  </w:style>
  <w:style w:type="paragraph" w:styleId="40">
    <w:name w:val="Body Text 2"/>
    <w:basedOn w:val="1"/>
    <w:link w:val="76"/>
    <w:qFormat/>
    <w:uiPriority w:val="99"/>
    <w:pPr>
      <w:spacing w:after="120" w:line="480" w:lineRule="auto"/>
    </w:pPr>
    <w:rPr>
      <w:kern w:val="0"/>
      <w:sz w:val="20"/>
      <w:szCs w:val="20"/>
    </w:rPr>
  </w:style>
  <w:style w:type="paragraph" w:styleId="41">
    <w:name w:val="HTML Preformatted"/>
    <w:basedOn w:val="1"/>
    <w:link w:val="7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0"/>
      <w:szCs w:val="20"/>
    </w:rPr>
  </w:style>
  <w:style w:type="paragraph" w:styleId="4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3">
    <w:name w:val="index 2"/>
    <w:basedOn w:val="1"/>
    <w:next w:val="1"/>
    <w:semiHidden/>
    <w:qFormat/>
    <w:uiPriority w:val="99"/>
    <w:pPr>
      <w:ind w:left="420"/>
    </w:pPr>
    <w:rPr>
      <w:rFonts w:eastAsia="楷体_GB2312"/>
      <w:sz w:val="26"/>
      <w:szCs w:val="26"/>
    </w:rPr>
  </w:style>
  <w:style w:type="paragraph" w:styleId="44">
    <w:name w:val="annotation subject"/>
    <w:basedOn w:val="14"/>
    <w:next w:val="14"/>
    <w:link w:val="133"/>
    <w:semiHidden/>
    <w:qFormat/>
    <w:uiPriority w:val="99"/>
    <w:rPr>
      <w:b/>
      <w:bCs/>
    </w:rPr>
  </w:style>
  <w:style w:type="table" w:styleId="46">
    <w:name w:val="Table Grid"/>
    <w:basedOn w:val="4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basedOn w:val="47"/>
    <w:qFormat/>
    <w:uiPriority w:val="99"/>
    <w:rPr>
      <w:b/>
      <w:bCs/>
    </w:rPr>
  </w:style>
  <w:style w:type="character" w:styleId="49">
    <w:name w:val="page number"/>
    <w:basedOn w:val="47"/>
    <w:qFormat/>
    <w:uiPriority w:val="99"/>
  </w:style>
  <w:style w:type="character" w:styleId="50">
    <w:name w:val="FollowedHyperlink"/>
    <w:basedOn w:val="47"/>
    <w:qFormat/>
    <w:uiPriority w:val="99"/>
    <w:rPr>
      <w:color w:val="auto"/>
      <w:u w:val="none"/>
    </w:rPr>
  </w:style>
  <w:style w:type="character" w:styleId="51">
    <w:name w:val="Emphasis"/>
    <w:basedOn w:val="47"/>
    <w:qFormat/>
    <w:uiPriority w:val="99"/>
    <w:rPr>
      <w:color w:val="auto"/>
    </w:rPr>
  </w:style>
  <w:style w:type="character" w:styleId="52">
    <w:name w:val="HTML Typewriter"/>
    <w:basedOn w:val="47"/>
    <w:qFormat/>
    <w:uiPriority w:val="99"/>
    <w:rPr>
      <w:rFonts w:ascii="宋体" w:hAnsi="宋体" w:eastAsia="宋体" w:cs="宋体"/>
      <w:sz w:val="24"/>
      <w:szCs w:val="24"/>
    </w:rPr>
  </w:style>
  <w:style w:type="character" w:styleId="53">
    <w:name w:val="Hyperlink"/>
    <w:basedOn w:val="47"/>
    <w:qFormat/>
    <w:uiPriority w:val="99"/>
    <w:rPr>
      <w:color w:val="auto"/>
      <w:u w:val="none"/>
    </w:rPr>
  </w:style>
  <w:style w:type="character" w:styleId="54">
    <w:name w:val="HTML Code"/>
    <w:basedOn w:val="47"/>
    <w:qFormat/>
    <w:uiPriority w:val="99"/>
    <w:rPr>
      <w:rFonts w:ascii="宋体" w:hAnsi="宋体" w:eastAsia="宋体" w:cs="宋体"/>
      <w:sz w:val="24"/>
      <w:szCs w:val="24"/>
    </w:rPr>
  </w:style>
  <w:style w:type="character" w:styleId="55">
    <w:name w:val="annotation reference"/>
    <w:basedOn w:val="47"/>
    <w:semiHidden/>
    <w:qFormat/>
    <w:uiPriority w:val="99"/>
    <w:rPr>
      <w:sz w:val="21"/>
      <w:szCs w:val="21"/>
    </w:rPr>
  </w:style>
  <w:style w:type="character" w:customStyle="1" w:styleId="56">
    <w:name w:val="标题 1 Char"/>
    <w:basedOn w:val="47"/>
    <w:link w:val="2"/>
    <w:qFormat/>
    <w:locked/>
    <w:uiPriority w:val="99"/>
    <w:rPr>
      <w:b/>
      <w:bCs/>
      <w:kern w:val="44"/>
      <w:sz w:val="44"/>
      <w:szCs w:val="44"/>
    </w:rPr>
  </w:style>
  <w:style w:type="character" w:customStyle="1" w:styleId="57">
    <w:name w:val="标题 2 Char"/>
    <w:basedOn w:val="47"/>
    <w:link w:val="3"/>
    <w:semiHidden/>
    <w:qFormat/>
    <w:locked/>
    <w:uiPriority w:val="99"/>
    <w:rPr>
      <w:rFonts w:ascii="Cambria" w:hAnsi="Cambria" w:eastAsia="宋体" w:cs="Cambria"/>
      <w:b/>
      <w:bCs/>
      <w:sz w:val="32"/>
      <w:szCs w:val="32"/>
    </w:rPr>
  </w:style>
  <w:style w:type="character" w:customStyle="1" w:styleId="58">
    <w:name w:val="标题 3 Char"/>
    <w:basedOn w:val="47"/>
    <w:link w:val="4"/>
    <w:semiHidden/>
    <w:qFormat/>
    <w:locked/>
    <w:uiPriority w:val="99"/>
    <w:rPr>
      <w:b/>
      <w:bCs/>
      <w:sz w:val="32"/>
      <w:szCs w:val="32"/>
    </w:rPr>
  </w:style>
  <w:style w:type="character" w:customStyle="1" w:styleId="59">
    <w:name w:val="标题 4 Char"/>
    <w:basedOn w:val="47"/>
    <w:link w:val="5"/>
    <w:semiHidden/>
    <w:qFormat/>
    <w:locked/>
    <w:uiPriority w:val="99"/>
    <w:rPr>
      <w:rFonts w:ascii="Cambria" w:hAnsi="Cambria" w:eastAsia="宋体" w:cs="Cambria"/>
      <w:b/>
      <w:bCs/>
      <w:sz w:val="28"/>
      <w:szCs w:val="28"/>
    </w:rPr>
  </w:style>
  <w:style w:type="character" w:customStyle="1" w:styleId="60">
    <w:name w:val="标题 5 Char"/>
    <w:basedOn w:val="47"/>
    <w:link w:val="6"/>
    <w:semiHidden/>
    <w:qFormat/>
    <w:locked/>
    <w:uiPriority w:val="99"/>
    <w:rPr>
      <w:b/>
      <w:bCs/>
      <w:sz w:val="28"/>
      <w:szCs w:val="28"/>
    </w:rPr>
  </w:style>
  <w:style w:type="character" w:customStyle="1" w:styleId="61">
    <w:name w:val="case31"/>
    <w:qFormat/>
    <w:uiPriority w:val="99"/>
    <w:rPr>
      <w:sz w:val="21"/>
      <w:szCs w:val="21"/>
    </w:rPr>
  </w:style>
  <w:style w:type="character" w:customStyle="1" w:styleId="62">
    <w:name w:val="正文文本缩进 2 Char"/>
    <w:basedOn w:val="47"/>
    <w:link w:val="24"/>
    <w:semiHidden/>
    <w:qFormat/>
    <w:locked/>
    <w:uiPriority w:val="99"/>
    <w:rPr>
      <w:sz w:val="20"/>
      <w:szCs w:val="20"/>
    </w:rPr>
  </w:style>
  <w:style w:type="character" w:customStyle="1" w:styleId="63">
    <w:name w:val="页眉 Char"/>
    <w:basedOn w:val="47"/>
    <w:link w:val="27"/>
    <w:qFormat/>
    <w:locked/>
    <w:uiPriority w:val="99"/>
    <w:rPr>
      <w:sz w:val="18"/>
      <w:szCs w:val="18"/>
    </w:rPr>
  </w:style>
  <w:style w:type="character" w:customStyle="1" w:styleId="64">
    <w:name w:val="页脚 Char"/>
    <w:basedOn w:val="47"/>
    <w:link w:val="26"/>
    <w:semiHidden/>
    <w:qFormat/>
    <w:locked/>
    <w:uiPriority w:val="99"/>
    <w:rPr>
      <w:sz w:val="18"/>
      <w:szCs w:val="18"/>
    </w:rPr>
  </w:style>
  <w:style w:type="paragraph" w:customStyle="1" w:styleId="65">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66">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szCs w:val="20"/>
    </w:rPr>
  </w:style>
  <w:style w:type="paragraph" w:customStyle="1" w:styleId="67">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szCs w:val="20"/>
    </w:rPr>
  </w:style>
  <w:style w:type="paragraph" w:customStyle="1" w:styleId="68">
    <w:name w:val="xl58"/>
    <w:basedOn w:val="1"/>
    <w:qFormat/>
    <w:uiPriority w:val="99"/>
    <w:pPr>
      <w:widowControl/>
      <w:pBdr>
        <w:left w:val="single" w:color="auto" w:sz="4" w:space="0"/>
        <w:right w:val="single" w:color="auto" w:sz="4" w:space="0"/>
      </w:pBdr>
      <w:spacing w:before="100" w:beforeAutospacing="1" w:after="100" w:afterAutospacing="1"/>
      <w:jc w:val="center"/>
      <w:textAlignment w:val="center"/>
    </w:pPr>
    <w:rPr>
      <w:b/>
      <w:bCs/>
      <w:i/>
      <w:iCs/>
      <w:kern w:val="0"/>
      <w:sz w:val="20"/>
      <w:szCs w:val="20"/>
    </w:rPr>
  </w:style>
  <w:style w:type="paragraph" w:customStyle="1" w:styleId="69">
    <w:name w:val="xl46"/>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70">
    <w:name w:val="xl45"/>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71">
    <w:name w:val="font13"/>
    <w:basedOn w:val="1"/>
    <w:qFormat/>
    <w:uiPriority w:val="99"/>
    <w:pPr>
      <w:widowControl/>
      <w:spacing w:before="100" w:beforeAutospacing="1" w:after="100" w:afterAutospacing="1"/>
      <w:jc w:val="left"/>
    </w:pPr>
    <w:rPr>
      <w:i/>
      <w:iCs/>
      <w:kern w:val="0"/>
      <w:sz w:val="36"/>
      <w:szCs w:val="36"/>
    </w:rPr>
  </w:style>
  <w:style w:type="paragraph" w:styleId="72">
    <w:name w:val="List Paragraph"/>
    <w:basedOn w:val="1"/>
    <w:qFormat/>
    <w:uiPriority w:val="34"/>
    <w:pPr>
      <w:ind w:firstLine="420" w:firstLineChars="200"/>
    </w:pPr>
    <w:rPr>
      <w:rFonts w:ascii="Calibri" w:hAnsi="Calibri" w:cs="Calibri"/>
    </w:rPr>
  </w:style>
  <w:style w:type="paragraph" w:customStyle="1" w:styleId="73">
    <w:name w:val="font10"/>
    <w:basedOn w:val="1"/>
    <w:qFormat/>
    <w:uiPriority w:val="99"/>
    <w:pPr>
      <w:widowControl/>
      <w:spacing w:before="100" w:beforeAutospacing="1" w:after="100" w:afterAutospacing="1"/>
      <w:jc w:val="left"/>
    </w:pPr>
    <w:rPr>
      <w:rFonts w:ascii="楷体_GB2312" w:hAnsi="宋体" w:eastAsia="楷体_GB2312" w:cs="楷体_GB2312"/>
      <w:b/>
      <w:bCs/>
      <w:kern w:val="0"/>
      <w:sz w:val="18"/>
      <w:szCs w:val="18"/>
    </w:rPr>
  </w:style>
  <w:style w:type="paragraph" w:customStyle="1" w:styleId="74">
    <w:name w:val="默认段落字体 Para Char"/>
    <w:basedOn w:val="1"/>
    <w:qFormat/>
    <w:uiPriority w:val="99"/>
    <w:pPr>
      <w:tabs>
        <w:tab w:val="left" w:pos="552"/>
      </w:tabs>
      <w:ind w:left="552" w:hanging="420"/>
    </w:pPr>
    <w:rPr>
      <w:sz w:val="24"/>
      <w:szCs w:val="24"/>
    </w:rPr>
  </w:style>
  <w:style w:type="character" w:customStyle="1" w:styleId="75">
    <w:name w:val="HTML 预设格式 Char"/>
    <w:basedOn w:val="47"/>
    <w:link w:val="41"/>
    <w:semiHidden/>
    <w:qFormat/>
    <w:locked/>
    <w:uiPriority w:val="99"/>
    <w:rPr>
      <w:rFonts w:ascii="Courier New" w:hAnsi="Courier New" w:cs="Courier New"/>
      <w:sz w:val="20"/>
      <w:szCs w:val="20"/>
    </w:rPr>
  </w:style>
  <w:style w:type="character" w:customStyle="1" w:styleId="76">
    <w:name w:val="正文文本 2 Char"/>
    <w:basedOn w:val="47"/>
    <w:link w:val="40"/>
    <w:semiHidden/>
    <w:qFormat/>
    <w:locked/>
    <w:uiPriority w:val="99"/>
    <w:rPr>
      <w:sz w:val="20"/>
      <w:szCs w:val="20"/>
    </w:rPr>
  </w:style>
  <w:style w:type="character" w:customStyle="1" w:styleId="77">
    <w:name w:val="日期 Char"/>
    <w:basedOn w:val="47"/>
    <w:link w:val="23"/>
    <w:semiHidden/>
    <w:qFormat/>
    <w:locked/>
    <w:uiPriority w:val="99"/>
    <w:rPr>
      <w:sz w:val="20"/>
      <w:szCs w:val="20"/>
    </w:rPr>
  </w:style>
  <w:style w:type="paragraph" w:customStyle="1" w:styleId="78">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szCs w:val="20"/>
    </w:rPr>
  </w:style>
  <w:style w:type="paragraph" w:customStyle="1" w:styleId="79">
    <w:name w:val="xl53"/>
    <w:basedOn w:val="1"/>
    <w:qFormat/>
    <w:uiPriority w:val="99"/>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szCs w:val="20"/>
    </w:rPr>
  </w:style>
  <w:style w:type="paragraph" w:customStyle="1" w:styleId="80">
    <w:name w:val="font6"/>
    <w:basedOn w:val="1"/>
    <w:qFormat/>
    <w:uiPriority w:val="99"/>
    <w:pPr>
      <w:widowControl/>
      <w:spacing w:before="100" w:beforeAutospacing="1" w:after="100" w:afterAutospacing="1"/>
      <w:jc w:val="left"/>
    </w:pPr>
    <w:rPr>
      <w:rFonts w:ascii="宋体" w:hAnsi="宋体" w:cs="宋体"/>
      <w:b/>
      <w:bCs/>
      <w:kern w:val="0"/>
      <w:sz w:val="20"/>
      <w:szCs w:val="20"/>
    </w:rPr>
  </w:style>
  <w:style w:type="paragraph" w:customStyle="1" w:styleId="81">
    <w:name w:val="xl62"/>
    <w:basedOn w:val="1"/>
    <w:qFormat/>
    <w:uiPriority w:val="99"/>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szCs w:val="20"/>
    </w:rPr>
  </w:style>
  <w:style w:type="character" w:customStyle="1" w:styleId="82">
    <w:name w:val="正文文本缩进 Char"/>
    <w:basedOn w:val="47"/>
    <w:link w:val="16"/>
    <w:semiHidden/>
    <w:qFormat/>
    <w:locked/>
    <w:uiPriority w:val="99"/>
    <w:rPr>
      <w:sz w:val="20"/>
      <w:szCs w:val="20"/>
    </w:rPr>
  </w:style>
  <w:style w:type="paragraph" w:customStyle="1" w:styleId="83">
    <w:name w:val="xl63"/>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szCs w:val="20"/>
    </w:rPr>
  </w:style>
  <w:style w:type="paragraph" w:customStyle="1" w:styleId="84">
    <w:name w:val="xl54"/>
    <w:basedOn w:val="1"/>
    <w:qFormat/>
    <w:uiPriority w:val="99"/>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szCs w:val="20"/>
    </w:rPr>
  </w:style>
  <w:style w:type="paragraph" w:customStyle="1" w:styleId="85">
    <w:name w:val="xl61"/>
    <w:basedOn w:val="1"/>
    <w:qFormat/>
    <w:uiPriority w:val="99"/>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szCs w:val="20"/>
    </w:rPr>
  </w:style>
  <w:style w:type="paragraph" w:customStyle="1" w:styleId="86">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i/>
      <w:iCs/>
      <w:kern w:val="0"/>
      <w:sz w:val="20"/>
      <w:szCs w:val="20"/>
    </w:rPr>
  </w:style>
  <w:style w:type="paragraph" w:customStyle="1" w:styleId="87">
    <w:name w:val="font11"/>
    <w:basedOn w:val="1"/>
    <w:qFormat/>
    <w:uiPriority w:val="99"/>
    <w:pPr>
      <w:widowControl/>
      <w:spacing w:before="100" w:beforeAutospacing="1" w:after="100" w:afterAutospacing="1"/>
      <w:jc w:val="left"/>
    </w:pPr>
    <w:rPr>
      <w:b/>
      <w:bCs/>
      <w:kern w:val="0"/>
      <w:sz w:val="18"/>
      <w:szCs w:val="18"/>
    </w:rPr>
  </w:style>
  <w:style w:type="paragraph" w:customStyle="1" w:styleId="88">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89">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character" w:customStyle="1" w:styleId="90">
    <w:name w:val="脚注文本 Char"/>
    <w:basedOn w:val="47"/>
    <w:link w:val="32"/>
    <w:semiHidden/>
    <w:qFormat/>
    <w:locked/>
    <w:uiPriority w:val="99"/>
    <w:rPr>
      <w:sz w:val="18"/>
      <w:szCs w:val="18"/>
    </w:rPr>
  </w:style>
  <w:style w:type="paragraph" w:customStyle="1" w:styleId="91">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szCs w:val="20"/>
    </w:rPr>
  </w:style>
  <w:style w:type="paragraph" w:customStyle="1" w:styleId="92">
    <w:name w:val="xl5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93">
    <w:name w:val="font7"/>
    <w:basedOn w:val="1"/>
    <w:qFormat/>
    <w:uiPriority w:val="99"/>
    <w:pPr>
      <w:widowControl/>
      <w:spacing w:before="100" w:beforeAutospacing="1" w:after="100" w:afterAutospacing="1"/>
      <w:jc w:val="left"/>
    </w:pPr>
    <w:rPr>
      <w:b/>
      <w:bCs/>
      <w:i/>
      <w:iCs/>
      <w:kern w:val="0"/>
      <w:sz w:val="20"/>
      <w:szCs w:val="20"/>
    </w:rPr>
  </w:style>
  <w:style w:type="paragraph" w:customStyle="1" w:styleId="94">
    <w:name w:val="普通文字"/>
    <w:basedOn w:val="1"/>
    <w:next w:val="1"/>
    <w:qFormat/>
    <w:uiPriority w:val="99"/>
    <w:rPr>
      <w:rFonts w:ascii="宋体" w:cs="宋体"/>
      <w:kern w:val="0"/>
      <w:sz w:val="24"/>
      <w:szCs w:val="24"/>
      <w:u w:color="000000"/>
    </w:rPr>
  </w:style>
  <w:style w:type="paragraph" w:customStyle="1" w:styleId="95">
    <w:name w:val="xl3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szCs w:val="20"/>
    </w:rPr>
  </w:style>
  <w:style w:type="paragraph" w:customStyle="1" w:styleId="96">
    <w:name w:val="font8"/>
    <w:basedOn w:val="1"/>
    <w:qFormat/>
    <w:uiPriority w:val="99"/>
    <w:pPr>
      <w:widowControl/>
      <w:spacing w:before="100" w:beforeAutospacing="1" w:after="100" w:afterAutospacing="1"/>
      <w:jc w:val="left"/>
    </w:pPr>
    <w:rPr>
      <w:rFonts w:ascii="宋体" w:hAnsi="宋体" w:cs="宋体"/>
      <w:b/>
      <w:bCs/>
      <w:i/>
      <w:iCs/>
      <w:kern w:val="0"/>
      <w:sz w:val="20"/>
      <w:szCs w:val="20"/>
    </w:rPr>
  </w:style>
  <w:style w:type="paragraph" w:customStyle="1" w:styleId="97">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98">
    <w:name w:val="xl49"/>
    <w:basedOn w:val="1"/>
    <w:qFormat/>
    <w:uiPriority w:val="99"/>
    <w:pPr>
      <w:widowControl/>
      <w:pBdr>
        <w:left w:val="single" w:color="auto" w:sz="4" w:space="0"/>
        <w:right w:val="single" w:color="auto" w:sz="4" w:space="0"/>
      </w:pBdr>
      <w:spacing w:before="100" w:beforeAutospacing="1" w:after="100" w:afterAutospacing="1"/>
      <w:jc w:val="center"/>
      <w:textAlignment w:val="center"/>
    </w:pPr>
    <w:rPr>
      <w:b/>
      <w:bCs/>
      <w:kern w:val="0"/>
      <w:sz w:val="20"/>
      <w:szCs w:val="20"/>
    </w:rPr>
  </w:style>
  <w:style w:type="character" w:customStyle="1" w:styleId="99">
    <w:name w:val="纯文本 Char"/>
    <w:basedOn w:val="47"/>
    <w:link w:val="20"/>
    <w:semiHidden/>
    <w:qFormat/>
    <w:locked/>
    <w:uiPriority w:val="99"/>
    <w:rPr>
      <w:rFonts w:ascii="宋体" w:hAnsi="Courier New" w:cs="宋体"/>
      <w:sz w:val="21"/>
      <w:szCs w:val="21"/>
    </w:rPr>
  </w:style>
  <w:style w:type="paragraph" w:customStyle="1" w:styleId="100">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101">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02">
    <w:name w:val="xl4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03">
    <w:name w:val="font14"/>
    <w:basedOn w:val="1"/>
    <w:qFormat/>
    <w:uiPriority w:val="99"/>
    <w:pPr>
      <w:widowControl/>
      <w:spacing w:before="100" w:beforeAutospacing="1" w:after="100" w:afterAutospacing="1"/>
      <w:jc w:val="left"/>
    </w:pPr>
    <w:rPr>
      <w:kern w:val="0"/>
      <w:sz w:val="36"/>
      <w:szCs w:val="36"/>
    </w:rPr>
  </w:style>
  <w:style w:type="paragraph" w:customStyle="1" w:styleId="104">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szCs w:val="20"/>
    </w:rPr>
  </w:style>
  <w:style w:type="paragraph" w:customStyle="1" w:styleId="105">
    <w:name w:val="Char Char Char Char"/>
    <w:basedOn w:val="13"/>
    <w:qFormat/>
    <w:uiPriority w:val="99"/>
    <w:pPr>
      <w:adjustRightInd w:val="0"/>
      <w:snapToGrid w:val="0"/>
      <w:spacing w:line="360" w:lineRule="auto"/>
    </w:pPr>
    <w:rPr>
      <w:rFonts w:ascii="Tahoma" w:hAnsi="Tahoma" w:cs="Tahoma"/>
      <w:sz w:val="24"/>
      <w:szCs w:val="24"/>
    </w:rPr>
  </w:style>
  <w:style w:type="paragraph" w:customStyle="1" w:styleId="106">
    <w:name w:val="xl52"/>
    <w:basedOn w:val="1"/>
    <w:qFormat/>
    <w:uiPriority w:val="99"/>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szCs w:val="20"/>
    </w:rPr>
  </w:style>
  <w:style w:type="paragraph" w:customStyle="1" w:styleId="107">
    <w:name w:val="xl55"/>
    <w:basedOn w:val="1"/>
    <w:qFormat/>
    <w:uiPriority w:val="99"/>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szCs w:val="20"/>
    </w:rPr>
  </w:style>
  <w:style w:type="paragraph" w:customStyle="1" w:styleId="108">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szCs w:val="20"/>
    </w:rPr>
  </w:style>
  <w:style w:type="character" w:customStyle="1" w:styleId="109">
    <w:name w:val="正文文本缩进 3 Char"/>
    <w:basedOn w:val="47"/>
    <w:link w:val="34"/>
    <w:semiHidden/>
    <w:qFormat/>
    <w:locked/>
    <w:uiPriority w:val="99"/>
    <w:rPr>
      <w:sz w:val="16"/>
      <w:szCs w:val="16"/>
    </w:rPr>
  </w:style>
  <w:style w:type="paragraph" w:customStyle="1" w:styleId="110">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111">
    <w:name w:val="xl51"/>
    <w:basedOn w:val="1"/>
    <w:qFormat/>
    <w:uiPriority w:val="99"/>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szCs w:val="20"/>
    </w:rPr>
  </w:style>
  <w:style w:type="paragraph" w:customStyle="1" w:styleId="112">
    <w:name w:val="font12"/>
    <w:basedOn w:val="1"/>
    <w:qFormat/>
    <w:uiPriority w:val="99"/>
    <w:pPr>
      <w:widowControl/>
      <w:spacing w:before="100" w:beforeAutospacing="1" w:after="100" w:afterAutospacing="1"/>
      <w:jc w:val="left"/>
    </w:pPr>
    <w:rPr>
      <w:rFonts w:ascii="宋体" w:hAnsi="宋体" w:cs="宋体"/>
      <w:kern w:val="0"/>
      <w:sz w:val="36"/>
      <w:szCs w:val="36"/>
    </w:rPr>
  </w:style>
  <w:style w:type="paragraph" w:customStyle="1" w:styleId="113">
    <w:name w:val="xl56"/>
    <w:basedOn w:val="1"/>
    <w:qFormat/>
    <w:uiPriority w:val="99"/>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szCs w:val="20"/>
    </w:rPr>
  </w:style>
  <w:style w:type="paragraph" w:customStyle="1" w:styleId="114">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15">
    <w:name w:val="xl59"/>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szCs w:val="20"/>
    </w:rPr>
  </w:style>
  <w:style w:type="paragraph" w:customStyle="1" w:styleId="116">
    <w:name w:val="font9"/>
    <w:basedOn w:val="1"/>
    <w:qFormat/>
    <w:uiPriority w:val="99"/>
    <w:pPr>
      <w:widowControl/>
      <w:spacing w:before="100" w:beforeAutospacing="1" w:after="100" w:afterAutospacing="1"/>
      <w:jc w:val="left"/>
    </w:pPr>
    <w:rPr>
      <w:b/>
      <w:bCs/>
      <w:kern w:val="0"/>
      <w:sz w:val="20"/>
      <w:szCs w:val="20"/>
    </w:rPr>
  </w:style>
  <w:style w:type="paragraph" w:customStyle="1" w:styleId="117">
    <w:name w:val="xl43"/>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character" w:customStyle="1" w:styleId="118">
    <w:name w:val="文档结构图 Char"/>
    <w:basedOn w:val="47"/>
    <w:link w:val="13"/>
    <w:semiHidden/>
    <w:qFormat/>
    <w:locked/>
    <w:uiPriority w:val="99"/>
    <w:rPr>
      <w:sz w:val="2"/>
      <w:szCs w:val="2"/>
    </w:rPr>
  </w:style>
  <w:style w:type="paragraph" w:customStyle="1" w:styleId="119">
    <w:name w:val="Char"/>
    <w:basedOn w:val="1"/>
    <w:qFormat/>
    <w:uiPriority w:val="99"/>
  </w:style>
  <w:style w:type="paragraph" w:customStyle="1" w:styleId="120">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楷体_GB2312"/>
      <w:b/>
      <w:bCs/>
      <w:kern w:val="0"/>
      <w:sz w:val="24"/>
      <w:szCs w:val="24"/>
    </w:rPr>
  </w:style>
  <w:style w:type="paragraph" w:customStyle="1" w:styleId="121">
    <w:name w:val="xl60"/>
    <w:basedOn w:val="1"/>
    <w:qFormat/>
    <w:uiPriority w:val="99"/>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szCs w:val="20"/>
    </w:rPr>
  </w:style>
  <w:style w:type="paragraph" w:customStyle="1" w:styleId="122">
    <w:name w:val="xl44"/>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23">
    <w:name w:val="xl57"/>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szCs w:val="20"/>
    </w:rPr>
  </w:style>
  <w:style w:type="paragraph" w:customStyle="1" w:styleId="124">
    <w:name w:val="xl48"/>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szCs w:val="20"/>
    </w:rPr>
  </w:style>
  <w:style w:type="character" w:customStyle="1" w:styleId="125">
    <w:name w:val="正文文本 Char"/>
    <w:basedOn w:val="47"/>
    <w:link w:val="12"/>
    <w:qFormat/>
    <w:locked/>
    <w:uiPriority w:val="99"/>
    <w:rPr>
      <w:sz w:val="20"/>
      <w:szCs w:val="20"/>
    </w:rPr>
  </w:style>
  <w:style w:type="paragraph" w:customStyle="1" w:styleId="126">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27">
    <w:name w:val="xl4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28">
    <w:name w:val="纯文本1"/>
    <w:basedOn w:val="1"/>
    <w:qFormat/>
    <w:uiPriority w:val="99"/>
    <w:pPr>
      <w:adjustRightInd w:val="0"/>
      <w:textAlignment w:val="baseline"/>
    </w:pPr>
    <w:rPr>
      <w:rFonts w:ascii="宋体" w:hAnsi="Courier New" w:eastAsia="楷体_GB2312" w:cs="宋体"/>
      <w:sz w:val="26"/>
      <w:szCs w:val="26"/>
    </w:rPr>
  </w:style>
  <w:style w:type="paragraph" w:customStyle="1" w:styleId="129">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30">
    <w:name w:val="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131">
    <w:name w:val="Char1 Char Char Char"/>
    <w:basedOn w:val="1"/>
    <w:qFormat/>
    <w:uiPriority w:val="99"/>
    <w:pPr>
      <w:spacing w:line="360" w:lineRule="auto"/>
    </w:pPr>
    <w:rPr>
      <w:rFonts w:ascii="Tahoma" w:hAnsi="Tahoma" w:cs="Tahoma"/>
      <w:sz w:val="24"/>
      <w:szCs w:val="24"/>
    </w:rPr>
  </w:style>
  <w:style w:type="character" w:customStyle="1" w:styleId="132">
    <w:name w:val="批注文字 Char"/>
    <w:basedOn w:val="47"/>
    <w:link w:val="14"/>
    <w:semiHidden/>
    <w:qFormat/>
    <w:locked/>
    <w:uiPriority w:val="99"/>
    <w:rPr>
      <w:sz w:val="20"/>
      <w:szCs w:val="20"/>
    </w:rPr>
  </w:style>
  <w:style w:type="character" w:customStyle="1" w:styleId="133">
    <w:name w:val="批注主题 Char"/>
    <w:basedOn w:val="132"/>
    <w:link w:val="44"/>
    <w:semiHidden/>
    <w:qFormat/>
    <w:locked/>
    <w:uiPriority w:val="99"/>
    <w:rPr>
      <w:b/>
      <w:bCs/>
      <w:sz w:val="20"/>
      <w:szCs w:val="20"/>
    </w:rPr>
  </w:style>
  <w:style w:type="character" w:customStyle="1" w:styleId="134">
    <w:name w:val="批注框文本 Char"/>
    <w:basedOn w:val="47"/>
    <w:link w:val="25"/>
    <w:semiHidden/>
    <w:qFormat/>
    <w:locked/>
    <w:uiPriority w:val="99"/>
    <w:rPr>
      <w:sz w:val="2"/>
      <w:szCs w:val="2"/>
    </w:rPr>
  </w:style>
  <w:style w:type="paragraph" w:customStyle="1" w:styleId="135">
    <w:name w:val="Char Char Char Char Char Char Char Char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136">
    <w:name w:val="正文 A"/>
    <w:qFormat/>
    <w:uiPriority w:val="99"/>
    <w:pPr>
      <w:widowControl w:val="0"/>
      <w:jc w:val="both"/>
    </w:pPr>
    <w:rPr>
      <w:rFonts w:ascii="Times New Roman" w:hAnsi="Times New Roman" w:eastAsia="幼圆" w:cs="Times New Roman"/>
      <w:color w:val="000000"/>
      <w:kern w:val="2"/>
      <w:sz w:val="21"/>
      <w:szCs w:val="21"/>
      <w:lang w:val="en-US" w:eastAsia="zh-CN" w:bidi="ar-SA"/>
    </w:rPr>
  </w:style>
  <w:style w:type="paragraph" w:customStyle="1" w:styleId="137">
    <w:name w:val="p0"/>
    <w:basedOn w:val="1"/>
    <w:qFormat/>
    <w:uiPriority w:val="99"/>
    <w:pPr>
      <w:widowControl/>
      <w:jc w:val="left"/>
    </w:pPr>
    <w:rPr>
      <w:rFonts w:ascii="Calibri" w:hAnsi="Calibri" w:cs="Calibri"/>
      <w:kern w:val="0"/>
      <w:sz w:val="24"/>
      <w:szCs w:val="24"/>
    </w:rPr>
  </w:style>
  <w:style w:type="paragraph" w:customStyle="1" w:styleId="138">
    <w:name w:val="列出段落1"/>
    <w:basedOn w:val="1"/>
    <w:qFormat/>
    <w:uiPriority w:val="0"/>
    <w:pPr>
      <w:ind w:firstLine="420" w:firstLineChars="200"/>
    </w:pPr>
  </w:style>
  <w:style w:type="paragraph" w:customStyle="1" w:styleId="139">
    <w:name w:val="p15"/>
    <w:basedOn w:val="1"/>
    <w:qFormat/>
    <w:uiPriority w:val="99"/>
    <w:pPr>
      <w:widowControl/>
      <w:ind w:firstLine="420"/>
    </w:pPr>
    <w:rPr>
      <w:rFonts w:ascii="Calibri" w:hAnsi="Calibri" w:cs="Calibri"/>
      <w:kern w:val="0"/>
    </w:rPr>
  </w:style>
  <w:style w:type="paragraph" w:customStyle="1" w:styleId="140">
    <w:name w:val="ecxp0"/>
    <w:basedOn w:val="1"/>
    <w:qFormat/>
    <w:uiPriority w:val="99"/>
    <w:pPr>
      <w:widowControl/>
      <w:spacing w:after="324"/>
      <w:jc w:val="left"/>
    </w:pPr>
    <w:rPr>
      <w:rFonts w:ascii="宋体" w:hAnsi="宋体" w:cs="宋体"/>
      <w:kern w:val="0"/>
      <w:sz w:val="24"/>
      <w:szCs w:val="24"/>
    </w:rPr>
  </w:style>
  <w:style w:type="paragraph" w:customStyle="1" w:styleId="141">
    <w:name w:val="Char Char Char Char Char1 Char Char Char Char"/>
    <w:basedOn w:val="1"/>
    <w:qFormat/>
    <w:uiPriority w:val="99"/>
    <w:pPr>
      <w:spacing w:line="360" w:lineRule="auto"/>
      <w:ind w:firstLine="420"/>
    </w:pPr>
    <w:rPr>
      <w:rFonts w:eastAsia="仿宋_GB2312"/>
      <w:sz w:val="32"/>
      <w:szCs w:val="32"/>
    </w:rPr>
  </w:style>
  <w:style w:type="paragraph" w:customStyle="1" w:styleId="142">
    <w:name w:val="Body 1"/>
    <w:qFormat/>
    <w:uiPriority w:val="99"/>
    <w:pPr>
      <w:outlineLvl w:val="0"/>
    </w:pPr>
    <w:rPr>
      <w:rFonts w:ascii="Helvetica" w:hAnsi="Helvetica" w:eastAsia="宋体" w:cs="Helvetica"/>
      <w:b/>
      <w:bCs/>
      <w:color w:val="000000"/>
      <w:u w:color="000000"/>
      <w:lang w:val="en-US" w:eastAsia="zh-CN" w:bidi="ar-SA"/>
    </w:rPr>
  </w:style>
  <w:style w:type="character" w:customStyle="1" w:styleId="143">
    <w:name w:val="bookmark-item"/>
    <w:basedOn w:val="47"/>
    <w:qFormat/>
    <w:uiPriority w:val="99"/>
  </w:style>
  <w:style w:type="paragraph" w:customStyle="1" w:styleId="144">
    <w:name w:val="flNote"/>
    <w:basedOn w:val="1"/>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customStyle="1" w:styleId="145">
    <w:name w:val="列出段落3"/>
    <w:basedOn w:val="1"/>
    <w:qFormat/>
    <w:uiPriority w:val="99"/>
    <w:pPr>
      <w:ind w:firstLine="420" w:firstLineChars="200"/>
    </w:pPr>
  </w:style>
  <w:style w:type="character" w:customStyle="1" w:styleId="146">
    <w:name w:val="NormalCharacter"/>
    <w:semiHidden/>
    <w:qFormat/>
    <w:uiPriority w:val="99"/>
  </w:style>
  <w:style w:type="paragraph" w:customStyle="1" w:styleId="147">
    <w:name w:val="Default"/>
    <w:qFormat/>
    <w:uiPriority w:val="0"/>
    <w:pPr>
      <w:widowControl w:val="0"/>
      <w:autoSpaceDE w:val="0"/>
      <w:autoSpaceDN w:val="0"/>
      <w:adjustRightInd w:val="0"/>
    </w:pPr>
    <w:rPr>
      <w:rFonts w:ascii="仿宋" w:eastAsia="仿宋" w:cs="仿宋" w:hAnsiTheme="minorHAnsi"/>
      <w:color w:val="000000"/>
      <w:sz w:val="24"/>
      <w:szCs w:val="24"/>
      <w:lang w:val="en-US" w:eastAsia="zh-CN" w:bidi="ar-SA"/>
    </w:rPr>
  </w:style>
  <w:style w:type="paragraph" w:customStyle="1" w:styleId="148">
    <w:name w:val="CM11"/>
    <w:basedOn w:val="147"/>
    <w:next w:val="147"/>
    <w:qFormat/>
    <w:uiPriority w:val="99"/>
    <w:pPr>
      <w:spacing w:line="520" w:lineRule="atLeast"/>
    </w:pPr>
    <w:rPr>
      <w:rFonts w:cstheme="minorBidi"/>
      <w:color w:val="auto"/>
    </w:rPr>
  </w:style>
  <w:style w:type="paragraph" w:customStyle="1" w:styleId="149">
    <w:name w:val="CM13"/>
    <w:basedOn w:val="147"/>
    <w:next w:val="147"/>
    <w:qFormat/>
    <w:uiPriority w:val="99"/>
    <w:pPr>
      <w:spacing w:line="520" w:lineRule="atLeast"/>
    </w:pPr>
    <w:rPr>
      <w:rFonts w:cstheme="minorBidi"/>
      <w:color w:val="auto"/>
    </w:rPr>
  </w:style>
  <w:style w:type="paragraph" w:customStyle="1" w:styleId="150">
    <w:name w:val="列出段落2"/>
    <w:basedOn w:val="1"/>
    <w:qFormat/>
    <w:uiPriority w:val="0"/>
    <w:pPr>
      <w:widowControl/>
      <w:ind w:left="708"/>
      <w:jc w:val="left"/>
    </w:pPr>
    <w:rPr>
      <w:rFonts w:ascii="RotisSansSerif" w:hAnsi="RotisSansSerif" w:cs="Arial"/>
      <w:kern w:val="0"/>
      <w:sz w:val="24"/>
      <w:szCs w:val="24"/>
      <w:lang w:val="de-DE"/>
    </w:rPr>
  </w:style>
  <w:style w:type="paragraph" w:customStyle="1" w:styleId="151">
    <w:name w:val="列出段落4"/>
    <w:basedOn w:val="1"/>
    <w:qFormat/>
    <w:uiPriority w:val="34"/>
    <w:pPr>
      <w:ind w:firstLine="420" w:firstLineChars="200"/>
    </w:pPr>
    <w:rPr>
      <w:rFonts w:ascii="Calibri" w:hAnsi="Calibri"/>
      <w:szCs w:val="24"/>
    </w:rPr>
  </w:style>
  <w:style w:type="paragraph" w:customStyle="1" w:styleId="152">
    <w:name w:val="_Style 151"/>
    <w:basedOn w:val="1"/>
    <w:next w:val="72"/>
    <w:qFormat/>
    <w:uiPriority w:val="34"/>
    <w:pPr>
      <w:ind w:firstLine="420" w:firstLineChars="200"/>
    </w:pPr>
    <w:rPr>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5B9CFF-2515-4406-BB09-94AA60D9F7E6}">
  <ds:schemaRefs/>
</ds:datastoreItem>
</file>

<file path=docProps/app.xml><?xml version="1.0" encoding="utf-8"?>
<Properties xmlns="http://schemas.openxmlformats.org/officeDocument/2006/extended-properties" xmlns:vt="http://schemas.openxmlformats.org/officeDocument/2006/docPropsVTypes">
  <Template>Normal</Template>
  <Company>zyf</Company>
  <Pages>39</Pages>
  <Words>4030</Words>
  <Characters>22972</Characters>
  <Lines>191</Lines>
  <Paragraphs>53</Paragraphs>
  <TotalTime>1</TotalTime>
  <ScaleCrop>false</ScaleCrop>
  <LinksUpToDate>false</LinksUpToDate>
  <CharactersWithSpaces>26949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2022-12-21T06:41:00Z</dcterms:created>
  <dc:creator>雨林木风</dc:creator>
  <cp:lastModifiedBy>郭郭</cp:lastModifiedBy>
  <cp:lastPrinted>2023-09-06T00:53:00Z</cp:lastPrinted>
  <dcterms:modified xsi:type="dcterms:W3CDTF">2023-11-14T02:33:34Z</dcterms:modified>
  <dc:title>无 锡 市 政 府 采 购</dc:title>
  <cp:revision>202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986602956FBF442BBB66A252C5275F74_13</vt:lpwstr>
  </property>
</Properties>
</file>