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宋体" w:hAnsi="宋体" w:cs="宋体"/>
          <w:b/>
          <w:color w:val="auto"/>
          <w:sz w:val="72"/>
          <w:szCs w:val="72"/>
          <w:highlight w:val="none"/>
        </w:rPr>
      </w:pPr>
    </w:p>
    <w:p>
      <w:pPr>
        <w:topLinePunct/>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无锡市政府采购项目</w:t>
      </w:r>
    </w:p>
    <w:p>
      <w:pPr>
        <w:topLinePunct/>
        <w:spacing w:line="360" w:lineRule="auto"/>
        <w:jc w:val="center"/>
        <w:rPr>
          <w:rFonts w:ascii="宋体" w:hAnsi="宋体" w:cs="宋体"/>
          <w:b/>
          <w:color w:val="auto"/>
          <w:sz w:val="52"/>
          <w:szCs w:val="52"/>
          <w:highlight w:val="none"/>
        </w:rPr>
      </w:pPr>
    </w:p>
    <w:p>
      <w:pPr>
        <w:topLinePunct/>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公开采购文件</w:t>
      </w: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ind w:left="3036" w:hanging="3036" w:hangingChars="945"/>
        <w:rPr>
          <w:rFonts w:ascii="宋体" w:hAnsi="宋体" w:cs="宋体"/>
          <w:b/>
          <w:color w:val="auto"/>
          <w:sz w:val="32"/>
          <w:szCs w:val="32"/>
          <w:highlight w:val="none"/>
        </w:rPr>
      </w:pPr>
    </w:p>
    <w:p>
      <w:pPr>
        <w:ind w:left="3036" w:hanging="3036" w:hangingChars="945"/>
        <w:rPr>
          <w:rFonts w:ascii="宋体" w:hAnsi="宋体" w:cs="宋体"/>
          <w:b/>
          <w:color w:val="auto"/>
          <w:sz w:val="32"/>
          <w:szCs w:val="32"/>
          <w:highlight w:val="none"/>
        </w:rPr>
      </w:pPr>
    </w:p>
    <w:p>
      <w:pPr>
        <w:pStyle w:val="2"/>
        <w:rPr>
          <w:color w:val="auto"/>
          <w:highlight w:val="none"/>
        </w:rPr>
      </w:pPr>
    </w:p>
    <w:p>
      <w:pPr>
        <w:pStyle w:val="7"/>
        <w:ind w:firstLine="0"/>
        <w:rPr>
          <w:rFonts w:ascii="宋体" w:hAnsi="宋体" w:cs="宋体"/>
          <w:b/>
          <w:color w:val="auto"/>
          <w:sz w:val="32"/>
          <w:szCs w:val="32"/>
          <w:highlight w:val="none"/>
        </w:rPr>
      </w:pPr>
    </w:p>
    <w:p>
      <w:pPr>
        <w:pStyle w:val="7"/>
        <w:ind w:firstLine="0"/>
        <w:rPr>
          <w:rFonts w:ascii="宋体" w:hAnsi="宋体" w:cs="宋体"/>
          <w:b/>
          <w:color w:val="auto"/>
          <w:sz w:val="32"/>
          <w:szCs w:val="32"/>
          <w:highlight w:val="none"/>
        </w:rPr>
      </w:pPr>
    </w:p>
    <w:p>
      <w:pPr>
        <w:spacing w:line="500" w:lineRule="exact"/>
        <w:ind w:left="2553" w:leftChars="307" w:hanging="1908" w:hangingChars="594"/>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采购项目编号：</w:t>
      </w:r>
      <w:r>
        <w:rPr>
          <w:rFonts w:hint="eastAsia" w:ascii="宋体" w:hAnsi="宋体" w:cs="宋体"/>
          <w:b/>
          <w:color w:val="auto"/>
          <w:sz w:val="32"/>
          <w:szCs w:val="32"/>
          <w:highlight w:val="none"/>
          <w:u w:val="none"/>
          <w:lang w:eastAsia="zh-CN"/>
        </w:rPr>
        <w:t>JKCGJ（2023）ZZ0057</w:t>
      </w:r>
    </w:p>
    <w:p>
      <w:pPr>
        <w:spacing w:line="500" w:lineRule="exact"/>
        <w:ind w:left="3036" w:hanging="3036" w:hangingChars="945"/>
        <w:rPr>
          <w:rFonts w:ascii="宋体" w:hAnsi="宋体" w:cs="宋体"/>
          <w:b/>
          <w:color w:val="auto"/>
          <w:sz w:val="32"/>
          <w:szCs w:val="32"/>
          <w:highlight w:val="none"/>
        </w:rPr>
      </w:pPr>
    </w:p>
    <w:p>
      <w:pPr>
        <w:spacing w:line="500" w:lineRule="exact"/>
        <w:ind w:left="2892" w:leftChars="306" w:hanging="2249" w:hangingChars="700"/>
        <w:rPr>
          <w:rFonts w:ascii="宋体" w:hAnsi="宋体" w:cs="宋体"/>
          <w:b/>
          <w:color w:val="auto"/>
          <w:sz w:val="32"/>
          <w:szCs w:val="32"/>
          <w:highlight w:val="none"/>
          <w:u w:val="single"/>
        </w:rPr>
      </w:pPr>
      <w:r>
        <w:rPr>
          <w:rFonts w:hint="eastAsia" w:ascii="宋体" w:hAnsi="宋体" w:cs="宋体"/>
          <w:b/>
          <w:color w:val="auto"/>
          <w:sz w:val="32"/>
          <w:szCs w:val="32"/>
          <w:highlight w:val="none"/>
        </w:rPr>
        <w:t>项 目 名 称</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w:t>
      </w:r>
      <w:r>
        <w:rPr>
          <w:rFonts w:hint="eastAsia" w:ascii="宋体" w:hAnsi="宋体" w:cs="宋体"/>
          <w:b/>
          <w:color w:val="auto"/>
          <w:sz w:val="30"/>
          <w:szCs w:val="30"/>
          <w:highlight w:val="none"/>
          <w:u w:val="single"/>
        </w:rPr>
        <w:t>华庄街道安置房小区垃圾分类管理服务</w:t>
      </w:r>
    </w:p>
    <w:p>
      <w:pPr>
        <w:spacing w:line="500" w:lineRule="exact"/>
        <w:ind w:left="3036" w:hanging="3036" w:hangingChars="945"/>
        <w:rPr>
          <w:rFonts w:ascii="宋体" w:hAnsi="宋体" w:cs="宋体"/>
          <w:b/>
          <w:color w:val="auto"/>
          <w:sz w:val="32"/>
          <w:szCs w:val="32"/>
          <w:highlight w:val="none"/>
          <w:u w:val="single"/>
        </w:rPr>
      </w:pPr>
    </w:p>
    <w:p>
      <w:pPr>
        <w:spacing w:line="500" w:lineRule="exact"/>
        <w:ind w:left="2553" w:leftChars="307" w:hanging="1908" w:hangingChars="594"/>
        <w:rPr>
          <w:rFonts w:ascii="宋体" w:hAnsi="宋体" w:cs="宋体"/>
          <w:b/>
          <w:color w:val="auto"/>
          <w:sz w:val="32"/>
          <w:szCs w:val="32"/>
          <w:highlight w:val="none"/>
          <w:u w:val="single"/>
        </w:rPr>
      </w:pPr>
      <w:r>
        <w:rPr>
          <w:rFonts w:hint="eastAsia" w:ascii="宋体" w:hAnsi="宋体" w:cs="宋体"/>
          <w:b/>
          <w:color w:val="auto"/>
          <w:sz w:val="32"/>
          <w:szCs w:val="32"/>
          <w:highlight w:val="none"/>
        </w:rPr>
        <w:t>采</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购 </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人：</w:t>
      </w:r>
      <w:r>
        <w:rPr>
          <w:rFonts w:hint="eastAsia" w:ascii="宋体" w:hAnsi="宋体" w:cs="宋体"/>
          <w:b/>
          <w:color w:val="auto"/>
          <w:sz w:val="32"/>
          <w:szCs w:val="32"/>
          <w:highlight w:val="none"/>
          <w:u w:val="single"/>
        </w:rPr>
        <w:t>无锡市滨湖区华庄街道办事处</w:t>
      </w:r>
    </w:p>
    <w:p>
      <w:pPr>
        <w:pStyle w:val="7"/>
        <w:rPr>
          <w:rFonts w:ascii="宋体" w:hAnsi="宋体" w:cs="宋体"/>
          <w:color w:val="auto"/>
          <w:highlight w:val="none"/>
        </w:rPr>
      </w:pPr>
    </w:p>
    <w:p>
      <w:pPr>
        <w:topLinePunct/>
        <w:spacing w:line="500" w:lineRule="exact"/>
        <w:rPr>
          <w:rFonts w:ascii="宋体" w:hAnsi="宋体" w:cs="宋体"/>
          <w:b/>
          <w:color w:val="auto"/>
          <w:sz w:val="32"/>
          <w:szCs w:val="32"/>
          <w:highlight w:val="none"/>
        </w:rPr>
      </w:pPr>
    </w:p>
    <w:p>
      <w:pPr>
        <w:topLinePunct/>
        <w:spacing w:line="500" w:lineRule="exact"/>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u w:val="single"/>
        </w:rPr>
        <w:t>江苏通汇工程管理咨询有限公司</w:t>
      </w:r>
    </w:p>
    <w:p>
      <w:pPr>
        <w:topLinePunct/>
        <w:spacing w:line="360" w:lineRule="auto"/>
        <w:rPr>
          <w:rFonts w:ascii="宋体" w:hAnsi="宋体" w:cs="宋体"/>
          <w:b/>
          <w:color w:val="auto"/>
          <w:sz w:val="32"/>
          <w:szCs w:val="32"/>
          <w:highlight w:val="none"/>
        </w:rPr>
      </w:pPr>
    </w:p>
    <w:p>
      <w:pPr>
        <w:topLinePunct/>
        <w:spacing w:line="360" w:lineRule="auto"/>
        <w:rPr>
          <w:rFonts w:ascii="宋体" w:hAnsi="宋体" w:cs="宋体"/>
          <w:b/>
          <w:color w:val="auto"/>
          <w:sz w:val="24"/>
          <w:highlight w:val="none"/>
        </w:rPr>
      </w:pPr>
    </w:p>
    <w:p>
      <w:pPr>
        <w:topLinePunct/>
        <w:spacing w:line="360" w:lineRule="auto"/>
        <w:ind w:firstLine="3213" w:firstLineChars="1000"/>
        <w:rPr>
          <w:rFonts w:ascii="宋体" w:hAnsi="宋体" w:cs="宋体"/>
          <w:b/>
          <w:color w:val="auto"/>
          <w:sz w:val="32"/>
          <w:szCs w:val="32"/>
          <w:highlight w:val="none"/>
        </w:rPr>
      </w:pPr>
      <w:r>
        <w:rPr>
          <w:rFonts w:hint="eastAsia" w:ascii="宋体" w:hAnsi="宋体" w:cs="宋体"/>
          <w:b/>
          <w:color w:val="auto"/>
          <w:sz w:val="32"/>
          <w:szCs w:val="32"/>
          <w:highlight w:val="none"/>
        </w:rPr>
        <w:t>二○二三年三月</w:t>
      </w:r>
    </w:p>
    <w:p>
      <w:pPr>
        <w:topLinePunct/>
        <w:snapToGrid w:val="0"/>
        <w:spacing w:line="360" w:lineRule="auto"/>
        <w:jc w:val="center"/>
        <w:rPr>
          <w:rFonts w:ascii="宋体" w:hAnsi="宋体" w:cs="宋体"/>
          <w:b/>
          <w:color w:val="auto"/>
          <w:sz w:val="44"/>
          <w:szCs w:val="44"/>
          <w:highlight w:val="none"/>
        </w:rPr>
      </w:pPr>
    </w:p>
    <w:p>
      <w:pPr>
        <w:topLinePunct/>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44"/>
          <w:szCs w:val="44"/>
          <w:highlight w:val="none"/>
        </w:rPr>
        <w:t>目  录</w:t>
      </w:r>
    </w:p>
    <w:p>
      <w:pPr>
        <w:tabs>
          <w:tab w:val="left" w:pos="8000"/>
        </w:tabs>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第一部分    投标邀请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第二部分    投标人须知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第三部分    项目技术要求和有关说明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第四部分    合同书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第五部分    附件 </w:t>
      </w: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pStyle w:val="4"/>
        <w:keepNext w:val="0"/>
        <w:keepLines w:val="0"/>
        <w:numPr>
          <w:ilvl w:val="0"/>
          <w:numId w:val="0"/>
        </w:numPr>
        <w:spacing w:before="0" w:after="0"/>
        <w:ind w:hanging="425"/>
        <w:rPr>
          <w:rFonts w:ascii="宋体" w:hAnsi="宋体" w:eastAsia="宋体" w:cs="宋体"/>
          <w:color w:val="auto"/>
          <w:highlight w:val="none"/>
        </w:rPr>
      </w:pPr>
    </w:p>
    <w:p>
      <w:pPr>
        <w:rPr>
          <w:rFonts w:ascii="宋体" w:hAnsi="宋体" w:cs="宋体"/>
          <w:color w:val="auto"/>
          <w:highlight w:val="none"/>
        </w:rPr>
      </w:pPr>
    </w:p>
    <w:p>
      <w:pPr>
        <w:pStyle w:val="4"/>
        <w:keepNext w:val="0"/>
        <w:keepLines w:val="0"/>
        <w:numPr>
          <w:ilvl w:val="0"/>
          <w:numId w:val="0"/>
        </w:numPr>
        <w:spacing w:before="0" w:after="0"/>
        <w:ind w:hanging="425"/>
        <w:rPr>
          <w:rFonts w:ascii="宋体" w:hAnsi="宋体" w:eastAsia="宋体" w:cs="宋体"/>
          <w:color w:val="auto"/>
          <w:highlight w:val="none"/>
        </w:rPr>
      </w:pPr>
    </w:p>
    <w:p>
      <w:pPr>
        <w:rPr>
          <w:rFonts w:ascii="宋体" w:hAnsi="宋体" w:cs="宋体"/>
          <w:color w:val="auto"/>
          <w:highlight w:val="none"/>
        </w:rPr>
      </w:pPr>
    </w:p>
    <w:p>
      <w:pPr>
        <w:widowControl/>
        <w:topLinePunct/>
        <w:rPr>
          <w:rFonts w:ascii="宋体" w:hAnsi="宋体" w:cs="宋体"/>
          <w:b/>
          <w:color w:val="auto"/>
          <w:sz w:val="36"/>
          <w:szCs w:val="36"/>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widowControl/>
        <w:topLinePunct/>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第一部分. 投标邀请</w:t>
      </w:r>
    </w:p>
    <w:p>
      <w:pPr>
        <w:widowControl/>
        <w:spacing w:line="360" w:lineRule="auto"/>
        <w:ind w:firstLine="480" w:firstLineChars="200"/>
        <w:rPr>
          <w:rFonts w:ascii="宋体" w:hAnsi="宋体" w:cs="宋体"/>
          <w:color w:val="auto"/>
          <w:kern w:val="0"/>
          <w:sz w:val="24"/>
          <w:highlight w:val="none"/>
        </w:rPr>
      </w:pPr>
    </w:p>
    <w:p>
      <w:pPr>
        <w:widowControl/>
        <w:spacing w:line="360" w:lineRule="auto"/>
        <w:ind w:firstLine="480" w:firstLineChars="200"/>
        <w:rPr>
          <w:color w:val="auto"/>
          <w:highlight w:val="none"/>
        </w:rPr>
      </w:pPr>
      <w:r>
        <w:rPr>
          <w:rFonts w:hint="eastAsia" w:ascii="宋体" w:hAnsi="宋体" w:cs="宋体"/>
          <w:color w:val="auto"/>
          <w:kern w:val="0"/>
          <w:sz w:val="24"/>
          <w:highlight w:val="none"/>
        </w:rPr>
        <w:t>江苏通汇工程管理咨询有限公司受</w:t>
      </w:r>
      <w:r>
        <w:rPr>
          <w:rFonts w:hint="eastAsia" w:ascii="宋体" w:hAnsi="宋体" w:cs="宋体"/>
          <w:b/>
          <w:bCs/>
          <w:color w:val="auto"/>
          <w:kern w:val="0"/>
          <w:sz w:val="24"/>
          <w:highlight w:val="none"/>
        </w:rPr>
        <w:t>无锡市滨湖区华庄街道办事处</w:t>
      </w:r>
      <w:r>
        <w:rPr>
          <w:rFonts w:hint="eastAsia" w:ascii="宋体" w:hAnsi="宋体" w:cs="宋体"/>
          <w:color w:val="auto"/>
          <w:kern w:val="0"/>
          <w:sz w:val="24"/>
          <w:highlight w:val="none"/>
        </w:rPr>
        <w:t>委托，就其</w:t>
      </w:r>
      <w:r>
        <w:rPr>
          <w:rFonts w:hint="eastAsia" w:ascii="宋体" w:hAnsi="宋体" w:cs="宋体"/>
          <w:b/>
          <w:bCs/>
          <w:color w:val="auto"/>
          <w:kern w:val="0"/>
          <w:sz w:val="24"/>
          <w:highlight w:val="none"/>
        </w:rPr>
        <w:t>华庄街道安置房小区垃圾分类管理服务</w:t>
      </w:r>
      <w:r>
        <w:rPr>
          <w:rFonts w:hint="eastAsia" w:ascii="宋体" w:hAnsi="宋体" w:cs="宋体"/>
          <w:color w:val="auto"/>
          <w:kern w:val="0"/>
          <w:sz w:val="24"/>
          <w:highlight w:val="none"/>
        </w:rPr>
        <w:t>进行公开招标。欢迎符合相关条件的投标人参加投标并提请注意下列相关事项：</w:t>
      </w:r>
    </w:p>
    <w:tbl>
      <w:tblPr>
        <w:tblStyle w:val="6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8859"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项目名称：华庄街道安置房小区垃圾分类管理服务 </w:t>
            </w:r>
          </w:p>
          <w:p>
            <w:pPr>
              <w:keepNext w:val="0"/>
              <w:keepLines w:val="0"/>
              <w:pageBreakBefore w:val="0"/>
              <w:kinsoku/>
              <w:wordWrap/>
              <w:overflowPunct/>
              <w:autoSpaceDE/>
              <w:autoSpaceDN/>
              <w:bidi w:val="0"/>
              <w:spacing w:line="44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采购编号：</w:t>
            </w:r>
            <w:r>
              <w:rPr>
                <w:rFonts w:hint="eastAsia" w:ascii="宋体" w:hAnsi="宋体" w:cs="宋体"/>
                <w:color w:val="auto"/>
                <w:kern w:val="0"/>
                <w:sz w:val="24"/>
                <w:highlight w:val="none"/>
                <w:lang w:eastAsia="zh-CN"/>
              </w:rPr>
              <w:t>JKCGJ（2023）ZZ0057</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采购方式：公开招标</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kern w:val="0"/>
                <w:sz w:val="24"/>
                <w:highlight w:val="none"/>
              </w:rPr>
              <w:t>采购内容：对</w:t>
            </w:r>
            <w:r>
              <w:rPr>
                <w:rFonts w:hint="eastAsia" w:ascii="宋体" w:hAnsi="宋体" w:cs="宋体"/>
                <w:color w:val="auto"/>
                <w:sz w:val="24"/>
                <w:highlight w:val="none"/>
              </w:rPr>
              <w:t>2023年经开区部分居民小区生活垃圾进行收集、转运及垃圾分类服务。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采购人：无锡市滨湖区华庄街道办事处</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采购人地址：无锡市高浪东路999号</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采购代理机构：江苏通汇工程管理咨询有限公司</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采购机构地址：无锡市锡山区万马广场59-102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项目概况：华庄街道现有安置房小区14个，共设置垃圾分类收集房172只，中转站18只。自2021年起，14个安置小区陆续对易腐垃圾、其他垃圾分类项目实施服务外包工作，并相继通过了省、市相关部门的验收。为加强生活垃圾分类管理，改善人居环境，节约资源，促进生态文明建设和经济社会可持续发展，根据市、区相关部门最新垃圾分类要求，结合工作实际，拟将华庄街道安置房小区内易腐垃圾、其他垃圾分类项目实施服务外包，</w:t>
            </w:r>
            <w:r>
              <w:rPr>
                <w:rFonts w:hint="eastAsia" w:ascii="宋体" w:hAnsi="宋体" w:cs="宋体"/>
                <w:bCs/>
                <w:color w:val="auto"/>
                <w:kern w:val="0"/>
                <w:sz w:val="24"/>
                <w:highlight w:val="none"/>
                <w:lang w:eastAsia="zh-CN"/>
              </w:rPr>
              <w:t>具体详见项目技术要求和有关说明</w:t>
            </w:r>
            <w:r>
              <w:rPr>
                <w:rFonts w:hint="eastAsia" w:ascii="宋体" w:hAnsi="宋体" w:cs="宋体"/>
                <w:bCs/>
                <w:color w:val="auto"/>
                <w:kern w:val="0"/>
                <w:sz w:val="24"/>
                <w:highlight w:val="none"/>
              </w:rPr>
              <w:t>。</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（2）服务内容：</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1、定时定点接受居民垃圾投放；每个小区周末及法定节假日设置误时投放点；</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2、每日对易腐垃圾、其他垃圾实施分类；</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3、每日对垃圾桶清洗、消毒；垃圾分类收集房保持清洁，无异味，每日做好消杀工作；</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4、建立健全垃圾分类服务台账；</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5、根据要求做好垃圾分类宣传及激励奖惩；</w:t>
            </w:r>
          </w:p>
          <w:p>
            <w:pPr>
              <w:keepNext w:val="0"/>
              <w:keepLines w:val="0"/>
              <w:pageBreakBefore w:val="0"/>
              <w:widowControl/>
              <w:kinsoku/>
              <w:wordWrap/>
              <w:overflowPunct/>
              <w:topLinePunct/>
              <w:autoSpaceDE/>
              <w:autoSpaceDN/>
              <w:bidi w:val="0"/>
              <w:spacing w:line="440" w:lineRule="exact"/>
              <w:textAlignment w:val="auto"/>
              <w:rPr>
                <w:color w:val="auto"/>
                <w:highlight w:val="none"/>
              </w:rPr>
            </w:pPr>
            <w:r>
              <w:rPr>
                <w:rFonts w:hint="eastAsia" w:ascii="宋体" w:hAnsi="宋体" w:cs="宋体"/>
                <w:bCs/>
                <w:color w:val="auto"/>
                <w:kern w:val="0"/>
                <w:sz w:val="24"/>
                <w:highlight w:val="none"/>
              </w:rPr>
              <w:t>（3）运营服务地点：华庄街道辖区范围内采购人指定地点；</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color w:val="auto"/>
                <w:sz w:val="24"/>
                <w:highlight w:val="none"/>
              </w:rPr>
              <w:t>（4）</w:t>
            </w:r>
            <w:r>
              <w:rPr>
                <w:rFonts w:hint="eastAsia" w:ascii="宋体" w:hAnsi="宋体" w:cs="宋体"/>
                <w:bCs/>
                <w:color w:val="auto"/>
                <w:kern w:val="0"/>
                <w:sz w:val="24"/>
                <w:highlight w:val="none"/>
              </w:rPr>
              <w:t>运营服务标准：合格，满足采购人需求</w:t>
            </w:r>
          </w:p>
          <w:p>
            <w:pPr>
              <w:keepNext w:val="0"/>
              <w:keepLines w:val="0"/>
              <w:pageBreakBefore w:val="0"/>
              <w:widowControl/>
              <w:kinsoku/>
              <w:wordWrap/>
              <w:overflowPunct/>
              <w:topLinePunct/>
              <w:autoSpaceDE/>
              <w:autoSpaceDN/>
              <w:bidi w:val="0"/>
              <w:spacing w:line="440" w:lineRule="exact"/>
              <w:textAlignment w:val="auto"/>
              <w:rPr>
                <w:color w:val="auto"/>
                <w:highlight w:val="none"/>
              </w:rPr>
            </w:pPr>
            <w:r>
              <w:rPr>
                <w:rFonts w:hint="eastAsia" w:ascii="宋体" w:hAnsi="宋体" w:cs="宋体"/>
                <w:color w:val="auto"/>
                <w:sz w:val="24"/>
                <w:highlight w:val="none"/>
              </w:rPr>
              <w:t>（5）项目采购预算、</w:t>
            </w:r>
            <w:r>
              <w:rPr>
                <w:rFonts w:hint="eastAsia" w:ascii="宋体" w:hAnsi="宋体"/>
                <w:color w:val="auto"/>
                <w:sz w:val="24"/>
                <w:highlight w:val="none"/>
              </w:rPr>
              <w:t>最高限价为</w:t>
            </w:r>
            <w:r>
              <w:rPr>
                <w:rFonts w:hint="eastAsia" w:ascii="宋体" w:hAnsi="宋体" w:cs="宋体"/>
                <w:color w:val="auto"/>
                <w:sz w:val="24"/>
                <w:highlight w:val="none"/>
              </w:rPr>
              <w:t>：人民币</w:t>
            </w:r>
            <w:r>
              <w:rPr>
                <w:rFonts w:hint="eastAsia" w:ascii="宋体" w:hAnsi="宋体"/>
                <w:color w:val="auto"/>
                <w:sz w:val="24"/>
                <w:highlight w:val="none"/>
                <w:u w:val="single"/>
              </w:rPr>
              <w:t xml:space="preserve"> 1590.7750 </w:t>
            </w:r>
            <w:r>
              <w:rPr>
                <w:rFonts w:hint="eastAsia" w:ascii="宋体" w:hAnsi="宋体" w:cs="宋体"/>
                <w:color w:val="auto"/>
                <w:sz w:val="24"/>
                <w:highlight w:val="none"/>
              </w:rPr>
              <w:t>万元。</w:t>
            </w:r>
            <w:r>
              <w:rPr>
                <w:rFonts w:hint="eastAsia" w:ascii="宋体" w:hAnsi="宋体" w:cs="宋体"/>
                <w:b/>
                <w:bCs/>
                <w:color w:val="auto"/>
                <w:sz w:val="24"/>
                <w:highlight w:val="none"/>
              </w:rPr>
              <w:t>超过最高限价的按无效投标文件处理。</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bCs/>
                <w:color w:val="auto"/>
                <w:kern w:val="0"/>
                <w:sz w:val="24"/>
                <w:highlight w:val="none"/>
              </w:rPr>
            </w:pPr>
            <w:r>
              <w:rPr>
                <w:rFonts w:hint="eastAsia" w:ascii="宋体" w:hAnsi="宋体" w:cs="宋体"/>
                <w:color w:val="auto"/>
                <w:sz w:val="24"/>
                <w:highlight w:val="none"/>
              </w:rPr>
              <w:t>（6）运营服务期限：</w:t>
            </w:r>
            <w:r>
              <w:rPr>
                <w:rFonts w:hint="eastAsia" w:ascii="宋体" w:hAnsi="宋体" w:cs="宋体"/>
                <w:bCs/>
                <w:color w:val="auto"/>
                <w:kern w:val="0"/>
                <w:sz w:val="24"/>
                <w:highlight w:val="none"/>
              </w:rPr>
              <w:t>本次垃圾分类服务采购期限与各安置房小区的物业服务期限同步（</w:t>
            </w:r>
            <w:r>
              <w:rPr>
                <w:rFonts w:hint="eastAsia" w:ascii="宋体" w:hAnsi="宋体" w:cs="宋体"/>
                <w:bCs/>
                <w:color w:val="auto"/>
                <w:kern w:val="0"/>
                <w:sz w:val="24"/>
                <w:highlight w:val="none"/>
                <w:lang w:eastAsia="zh-CN"/>
              </w:rPr>
              <w:t>具体详见项目技术要求和有关说明</w:t>
            </w:r>
            <w:r>
              <w:rPr>
                <w:rFonts w:hint="eastAsia" w:ascii="宋体" w:hAnsi="宋体" w:cs="宋体"/>
                <w:bCs/>
                <w:color w:val="auto"/>
                <w:kern w:val="0"/>
                <w:sz w:val="24"/>
                <w:highlight w:val="none"/>
              </w:rPr>
              <w:t>）；</w:t>
            </w:r>
          </w:p>
          <w:p>
            <w:pPr>
              <w:keepNext w:val="0"/>
              <w:keepLines w:val="0"/>
              <w:pageBreakBefore w:val="0"/>
              <w:widowControl/>
              <w:kinsoku/>
              <w:wordWrap/>
              <w:overflowPunct/>
              <w:topLinePunct/>
              <w:autoSpaceDE/>
              <w:autoSpaceDN/>
              <w:bidi w:val="0"/>
              <w:spacing w:line="440" w:lineRule="exact"/>
              <w:textAlignment w:val="auto"/>
              <w:rPr>
                <w:color w:val="auto"/>
                <w:sz w:val="24"/>
                <w:highlight w:val="none"/>
              </w:rPr>
            </w:pPr>
            <w:r>
              <w:rPr>
                <w:rFonts w:hint="eastAsia"/>
                <w:color w:val="auto"/>
                <w:sz w:val="24"/>
                <w:highlight w:val="none"/>
              </w:rPr>
              <w:t>（7）本项目是否专门面向中小企业：否；</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highlight w:val="none"/>
              </w:rPr>
            </w:pPr>
            <w:r>
              <w:rPr>
                <w:rFonts w:hint="eastAsia"/>
                <w:color w:val="auto"/>
                <w:sz w:val="24"/>
                <w:highlight w:val="none"/>
              </w:rPr>
              <w:t>（8）本项目标的所属行业：</w:t>
            </w:r>
            <w:r>
              <w:rPr>
                <w:rFonts w:hint="eastAsia" w:ascii="宋体" w:hAnsi="宋体" w:cs="宋体"/>
                <w:color w:val="auto"/>
                <w:sz w:val="24"/>
                <w:highlight w:val="none"/>
              </w:rPr>
              <w:t>其他未列明行业；从业人员300人以下的为中小微型企业。其中从业人员100人及以上的为中型企业；从业人员10人及以上的为小型企业；从业人员10人以下的为微型企业</w:t>
            </w:r>
            <w:r>
              <w:rPr>
                <w:rFonts w:hint="eastAsia" w:ascii="宋体" w:hAnsi="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81" w:type="dxa"/>
            <w:vAlign w:val="center"/>
          </w:tcPr>
          <w:p>
            <w:pPr>
              <w:pStyle w:val="59"/>
              <w:keepNext w:val="0"/>
              <w:keepLines w:val="0"/>
              <w:pageBreakBefore w:val="0"/>
              <w:tabs>
                <w:tab w:val="left" w:pos="0"/>
              </w:tabs>
              <w:kinsoku/>
              <w:wordWrap/>
              <w:overflowPunct/>
              <w:autoSpaceDE/>
              <w:autoSpaceDN/>
              <w:bidi w:val="0"/>
              <w:adjustRightInd/>
              <w:spacing w:before="0" w:beforeAutospacing="0" w:after="0" w:afterAutospacing="0" w:line="440" w:lineRule="exact"/>
              <w:ind w:left="451" w:firstLine="0"/>
              <w:textAlignment w:val="auto"/>
              <w:rPr>
                <w:rFonts w:cs="宋体"/>
                <w:color w:val="auto"/>
                <w:highlight w:val="none"/>
              </w:rPr>
            </w:pPr>
            <w:r>
              <w:rPr>
                <w:rFonts w:hint="eastAsia" w:cs="宋体"/>
                <w:color w:val="auto"/>
                <w:highlight w:val="none"/>
              </w:rPr>
              <w:t>4</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投标人参加本次政府采购活动应当符合《中华人民共和国政府采购法》第二十二条的规定，还必须同时具备下列条件：</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kern w:val="0"/>
                <w:sz w:val="24"/>
                <w:highlight w:val="none"/>
                <w:u w:color="000000"/>
              </w:rPr>
            </w:pPr>
            <w:r>
              <w:rPr>
                <w:rFonts w:hint="eastAsia" w:ascii="宋体" w:hAnsi="宋体" w:cs="宋体"/>
                <w:color w:val="auto"/>
                <w:sz w:val="24"/>
                <w:highlight w:val="none"/>
              </w:rPr>
              <w:t>（1）</w:t>
            </w:r>
            <w:r>
              <w:rPr>
                <w:rFonts w:hint="eastAsia" w:ascii="宋体" w:hAnsi="宋体" w:cs="宋体"/>
                <w:color w:val="auto"/>
                <w:kern w:val="0"/>
                <w:sz w:val="24"/>
                <w:highlight w:val="none"/>
                <w:u w:color="000000"/>
              </w:rPr>
              <w:t>投标人必须具有独立承担民事责任的能力，在中华人民共和国境内注册的法人；</w:t>
            </w:r>
          </w:p>
          <w:p>
            <w:pPr>
              <w:keepNext w:val="0"/>
              <w:keepLines w:val="0"/>
              <w:pageBreakBefore w:val="0"/>
              <w:widowControl/>
              <w:kinsoku/>
              <w:wordWrap/>
              <w:overflowPunct/>
              <w:topLinePunct/>
              <w:autoSpaceDE/>
              <w:autoSpaceDN/>
              <w:bidi w:val="0"/>
              <w:spacing w:line="440" w:lineRule="exact"/>
              <w:jc w:val="left"/>
              <w:textAlignment w:val="auto"/>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（2）未被“信用中国”（www.creditchina.gov.cn）、中国政府采购网（www.ccgp.gov.cn）列入失信被执行人、重大税收违法案件当事人名单、政府采购严重违法失信行为记录名单。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kern w:val="0"/>
                <w:sz w:val="24"/>
                <w:highlight w:val="none"/>
                <w:u w:color="000000"/>
              </w:rPr>
              <w:t>（3）</w:t>
            </w:r>
            <w:r>
              <w:rPr>
                <w:rFonts w:hint="eastAsia" w:ascii="宋体" w:hAnsi="宋体" w:cs="宋体"/>
                <w:bCs/>
                <w:color w:val="auto"/>
                <w:sz w:val="24"/>
                <w:highlight w:val="none"/>
              </w:rPr>
              <w:t>拟派项目负责人</w:t>
            </w:r>
            <w:r>
              <w:rPr>
                <w:rFonts w:hint="eastAsia" w:ascii="宋体" w:hAnsi="宋体" w:cs="宋体"/>
                <w:color w:val="auto"/>
                <w:kern w:val="0"/>
                <w:sz w:val="24"/>
                <w:highlight w:val="none"/>
                <w:u w:color="000000"/>
              </w:rPr>
              <w:t>提供与本企业签订的劳动合同</w:t>
            </w:r>
            <w:r>
              <w:rPr>
                <w:rFonts w:hint="eastAsia" w:ascii="宋体" w:hAnsi="宋体" w:cs="宋体"/>
                <w:color w:val="auto"/>
                <w:kern w:val="2"/>
                <w:sz w:val="24"/>
                <w:highlight w:val="none"/>
                <w:lang w:val="en-US" w:eastAsia="zh-CN"/>
              </w:rPr>
              <w:t>及</w:t>
            </w:r>
            <w:r>
              <w:rPr>
                <w:rFonts w:hint="eastAsia" w:ascii="宋体" w:hAnsi="宋体" w:cs="宋体"/>
                <w:color w:val="auto"/>
                <w:kern w:val="0"/>
                <w:sz w:val="24"/>
                <w:highlight w:val="none"/>
                <w:u w:color="000000"/>
              </w:rPr>
              <w:t>本企业为其缴纳的社保机构出具的可扫描二维码的2022年9月-2023年2月社会保险的证明（法定代表人亲自参加的除外）；</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提供采购文件时间：</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lang w:val="zh-CN"/>
              </w:rPr>
              <w:t>（法定假日除外），每天</w:t>
            </w:r>
            <w:r>
              <w:rPr>
                <w:rFonts w:hint="eastAsia" w:ascii="宋体" w:hAnsi="宋体" w:cs="宋体"/>
                <w:color w:val="auto"/>
                <w:sz w:val="24"/>
                <w:highlight w:val="none"/>
              </w:rPr>
              <w:t>上</w:t>
            </w:r>
            <w:r>
              <w:rPr>
                <w:rFonts w:hint="eastAsia" w:ascii="宋体" w:hAnsi="宋体" w:cs="宋体"/>
                <w:color w:val="auto"/>
                <w:sz w:val="24"/>
                <w:highlight w:val="none"/>
                <w:lang w:val="zh-CN"/>
              </w:rPr>
              <w:t>午</w:t>
            </w:r>
            <w:r>
              <w:rPr>
                <w:rFonts w:hint="eastAsia" w:ascii="宋体" w:hAnsi="宋体" w:cs="宋体"/>
                <w:bCs/>
                <w:color w:val="auto"/>
                <w:sz w:val="24"/>
                <w:highlight w:val="none"/>
              </w:rPr>
              <w:t>9:00至11:30</w:t>
            </w:r>
            <w:r>
              <w:rPr>
                <w:rFonts w:hint="eastAsia" w:ascii="宋体" w:hAnsi="宋体" w:cs="宋体"/>
                <w:color w:val="auto"/>
                <w:sz w:val="24"/>
                <w:highlight w:val="none"/>
                <w:lang w:val="zh-CN"/>
              </w:rPr>
              <w:t>，下午</w:t>
            </w:r>
            <w:r>
              <w:rPr>
                <w:rFonts w:hint="eastAsia" w:ascii="宋体" w:hAnsi="宋体" w:cs="宋体"/>
                <w:bCs/>
                <w:color w:val="auto"/>
                <w:sz w:val="24"/>
                <w:highlight w:val="none"/>
              </w:rPr>
              <w:t>13:30至16:00</w:t>
            </w:r>
            <w:r>
              <w:rPr>
                <w:rFonts w:hint="eastAsia" w:ascii="宋体" w:hAnsi="宋体" w:cs="宋体"/>
                <w:color w:val="auto"/>
                <w:sz w:val="24"/>
                <w:highlight w:val="none"/>
                <w:lang w:val="zh-CN"/>
              </w:rPr>
              <w:t>接受报名</w:t>
            </w:r>
            <w:r>
              <w:rPr>
                <w:rFonts w:hint="eastAsia" w:ascii="宋体" w:hAnsi="宋体" w:cs="宋体"/>
                <w:color w:val="auto"/>
                <w:sz w:val="24"/>
                <w:highlight w:val="none"/>
              </w:rPr>
              <w:t>。</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售价：捌佰圆/份，现金支付，采购文件售后不退。</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lang w:val="zh-CN"/>
              </w:rPr>
            </w:pPr>
            <w:r>
              <w:rPr>
                <w:rFonts w:hint="eastAsia" w:ascii="宋体" w:hAnsi="宋体" w:cs="宋体"/>
                <w:color w:val="auto"/>
                <w:sz w:val="24"/>
                <w:highlight w:val="none"/>
              </w:rPr>
              <w:t>提供采购文件</w:t>
            </w:r>
            <w:r>
              <w:rPr>
                <w:rFonts w:hint="eastAsia" w:ascii="宋体" w:hAnsi="宋体" w:cs="宋体"/>
                <w:color w:val="auto"/>
                <w:sz w:val="24"/>
                <w:highlight w:val="none"/>
                <w:lang w:val="zh-CN"/>
              </w:rPr>
              <w:t>地点：无锡市锡山区万马广场59-102</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购买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lang w:val="zh-CN"/>
              </w:rPr>
              <w:t>文件时须提供以下资料复印件并加盖公章：</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①法人代表授权委托书和授权委托人的身份证、联系方式（电话、电子邮件地址）；</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②营业执照副本（“三证合一”企业只需提供营业执照）；</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投标人应承担其编制投标文件以及递交投标文件所涉及的一切费用。无论评标结果如何，采购人对上述费用不负任何责任。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提疑截止时间：</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时，以书面传真形式和电子邮件形式发送给采购代理机构。（采购代理机构传真：0510-88226300；电子邮箱312606411@qq.com）</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sz w:val="24"/>
                <w:highlight w:val="none"/>
              </w:rPr>
              <w:t>答疑时间：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28 </w:t>
            </w:r>
            <w:r>
              <w:rPr>
                <w:rFonts w:hint="eastAsia" w:ascii="宋体" w:hAnsi="宋体" w:cs="宋体"/>
                <w:sz w:val="24"/>
                <w:highlight w:val="none"/>
                <w:u w:val="single"/>
              </w:rPr>
              <w:t>日</w:t>
            </w:r>
            <w:r>
              <w:rPr>
                <w:rFonts w:hint="eastAsia" w:ascii="宋体" w:hAnsi="宋体" w:cs="宋体"/>
                <w:sz w:val="24"/>
                <w:highlight w:val="none"/>
                <w:u w:val="none"/>
              </w:rPr>
              <w:t>1</w:t>
            </w:r>
            <w:r>
              <w:rPr>
                <w:rFonts w:hint="eastAsia" w:ascii="宋体" w:hAnsi="宋体" w:cs="宋体"/>
                <w:sz w:val="24"/>
                <w:highlight w:val="none"/>
                <w:u w:val="none"/>
                <w:lang w:val="en-US" w:eastAsia="zh-CN"/>
              </w:rPr>
              <w:t>7</w:t>
            </w:r>
            <w:r>
              <w:rPr>
                <w:rFonts w:hint="eastAsia" w:ascii="宋体" w:hAnsi="宋体" w:cs="宋体"/>
                <w:sz w:val="24"/>
                <w:highlight w:val="none"/>
              </w:rPr>
              <w:t>时前，以书面（或电子稿）形式发送给各</w:t>
            </w:r>
            <w:r>
              <w:rPr>
                <w:rFonts w:hint="eastAsia" w:ascii="宋体" w:hAnsi="宋体" w:cs="宋体"/>
                <w:sz w:val="24"/>
                <w:highlight w:val="none"/>
                <w:lang w:eastAsia="zh-CN"/>
              </w:rPr>
              <w:t>报价供应商</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7</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投标担保：本项目无需缴纳投标保证金。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投标有效期：</w:t>
            </w:r>
            <w:r>
              <w:rPr>
                <w:rFonts w:hint="eastAsia" w:ascii="宋体" w:hAnsi="宋体" w:cs="宋体"/>
                <w:color w:val="auto"/>
                <w:kern w:val="0"/>
                <w:sz w:val="24"/>
                <w:highlight w:val="none"/>
              </w:rPr>
              <w:t>投标截止之日</w:t>
            </w:r>
            <w:r>
              <w:rPr>
                <w:rFonts w:hint="eastAsia" w:ascii="宋体" w:hAnsi="宋体" w:cs="宋体"/>
                <w:color w:val="auto"/>
                <w:sz w:val="24"/>
                <w:highlight w:val="none"/>
              </w:rPr>
              <w:t>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投标文件接收时间：</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lang w:eastAsia="zh-CN"/>
              </w:rPr>
              <w:t>上午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:00</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投标截止时间：</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lang w:eastAsia="zh-CN"/>
              </w:rPr>
              <w:t>上</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:30</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截止期后的投标文件恕不接受</w:t>
            </w:r>
          </w:p>
          <w:p>
            <w:pPr>
              <w:keepNext w:val="0"/>
              <w:keepLines w:val="0"/>
              <w:pageBreakBefore w:val="0"/>
              <w:kinsoku/>
              <w:wordWrap/>
              <w:overflow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投标地点：无锡市锡山区万马广场59-102号二楼开标室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8859" w:type="dxa"/>
            <w:vAlign w:val="center"/>
          </w:tcPr>
          <w:p>
            <w:pPr>
              <w:keepNext w:val="0"/>
              <w:keepLines w:val="0"/>
              <w:pageBreakBefore w:val="0"/>
              <w:kinsoku/>
              <w:wordWrap/>
              <w:overflowPunct/>
              <w:autoSpaceDE/>
              <w:autoSpaceDN/>
              <w:bidi w:val="0"/>
              <w:spacing w:line="440" w:lineRule="exac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日上午09:30</w:t>
            </w:r>
          </w:p>
          <w:p>
            <w:pPr>
              <w:keepNext w:val="0"/>
              <w:keepLines w:val="0"/>
              <w:pageBreakBefore w:val="0"/>
              <w:kinsoku/>
              <w:wordWrap/>
              <w:overflowPunct/>
              <w:autoSpaceDE/>
              <w:autoSpaceDN/>
              <w:bidi w:val="0"/>
              <w:spacing w:line="440" w:lineRule="exact"/>
              <w:textAlignment w:val="auto"/>
              <w:rPr>
                <w:rFonts w:ascii="宋体" w:hAnsi="宋体" w:cs="宋体"/>
                <w:color w:val="auto"/>
                <w:sz w:val="24"/>
                <w:highlight w:val="none"/>
              </w:rPr>
            </w:pPr>
            <w:bookmarkStart w:id="2" w:name="_GoBack"/>
            <w:bookmarkEnd w:id="2"/>
            <w:r>
              <w:rPr>
                <w:rFonts w:hint="eastAsia" w:ascii="宋体" w:hAnsi="宋体" w:cs="宋体"/>
                <w:color w:val="auto"/>
                <w:sz w:val="24"/>
                <w:highlight w:val="none"/>
              </w:rPr>
              <w:t>开标地点：无锡市锡山区万马广场59-102号二楼开标室</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评审时间：</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w:t>
            </w:r>
          </w:p>
          <w:p>
            <w:pPr>
              <w:pStyle w:val="7"/>
              <w:keepNext w:val="0"/>
              <w:keepLines w:val="0"/>
              <w:pageBreakBefore w:val="0"/>
              <w:kinsoku/>
              <w:wordWrap/>
              <w:overflowPunct/>
              <w:autoSpaceDE/>
              <w:autoSpaceDN/>
              <w:bidi w:val="0"/>
              <w:spacing w:line="440" w:lineRule="exact"/>
              <w:ind w:firstLine="0"/>
              <w:textAlignment w:val="auto"/>
              <w:rPr>
                <w:rFonts w:ascii="宋体" w:hAnsi="宋体" w:cs="宋体"/>
                <w:color w:val="auto"/>
                <w:highlight w:val="none"/>
              </w:rPr>
            </w:pPr>
            <w:r>
              <w:rPr>
                <w:rFonts w:hint="eastAsia" w:ascii="宋体" w:hAnsi="宋体" w:cs="宋体"/>
                <w:color w:val="auto"/>
                <w:sz w:val="24"/>
                <w:highlight w:val="none"/>
              </w:rPr>
              <w:t>评审地点：无锡市锡山区万马广场59-102号二楼评标室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确定中标单位时间：</w:t>
            </w:r>
            <w:r>
              <w:rPr>
                <w:rFonts w:hint="eastAsia" w:ascii="宋体" w:hAnsi="宋体" w:cs="宋体"/>
                <w:color w:val="auto"/>
                <w:sz w:val="24"/>
                <w:highlight w:val="none"/>
                <w:u w:val="single"/>
              </w:rPr>
              <w:t xml:space="preserve">2023年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评审结束</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确定中标单位地点：无锡市锡山区万马广场59-102号二楼开标室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8859" w:type="dxa"/>
            <w:vAlign w:val="center"/>
          </w:tcPr>
          <w:p>
            <w:pPr>
              <w:keepNext w:val="0"/>
              <w:keepLines w:val="0"/>
              <w:pageBreakBefore w:val="0"/>
              <w:widowControl/>
              <w:kinsoku/>
              <w:wordWrap/>
              <w:overflowPunct/>
              <w:topLinePunct/>
              <w:autoSpaceDE/>
              <w:autoSpaceDN/>
              <w:bidi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投标文件份数：</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b/>
                <w:color w:val="auto"/>
                <w:sz w:val="24"/>
                <w:highlight w:val="none"/>
              </w:rPr>
              <w:t>明标</w:t>
            </w:r>
            <w:r>
              <w:rPr>
                <w:rFonts w:hint="eastAsia" w:ascii="宋体" w:hAnsi="宋体" w:cs="宋体"/>
                <w:color w:val="auto"/>
                <w:sz w:val="24"/>
                <w:highlight w:val="none"/>
              </w:rPr>
              <w:t>部分一正三副，</w:t>
            </w:r>
            <w:r>
              <w:rPr>
                <w:rFonts w:hint="eastAsia" w:ascii="宋体" w:hAnsi="宋体" w:cs="宋体"/>
                <w:b/>
                <w:color w:val="auto"/>
                <w:sz w:val="24"/>
                <w:highlight w:val="none"/>
              </w:rPr>
              <w:t>暗标</w:t>
            </w:r>
            <w:r>
              <w:rPr>
                <w:rFonts w:hint="eastAsia" w:ascii="宋体" w:hAnsi="宋体" w:cs="宋体"/>
                <w:color w:val="auto"/>
                <w:sz w:val="24"/>
                <w:highlight w:val="none"/>
              </w:rPr>
              <w:t>部分一正五副。</w:t>
            </w:r>
          </w:p>
          <w:p>
            <w:pPr>
              <w:keepNext w:val="0"/>
              <w:keepLines w:val="0"/>
              <w:pageBreakBefore w:val="0"/>
              <w:widowControl/>
              <w:kinsoku/>
              <w:wordWrap/>
              <w:overflowPunct/>
              <w:topLinePunct/>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投标文件电子光盘或U盘一张，并在光盘或U盘上清楚的标明投标人名称、光盘或U盘内容名称，</w:t>
            </w:r>
            <w:r>
              <w:rPr>
                <w:rFonts w:hint="eastAsia" w:ascii="宋体" w:hAnsi="宋体" w:cs="宋体"/>
                <w:bCs/>
                <w:color w:val="auto"/>
                <w:sz w:val="24"/>
                <w:highlight w:val="none"/>
              </w:rPr>
              <w:t>电子文本密封于</w:t>
            </w:r>
            <w:r>
              <w:rPr>
                <w:rFonts w:hint="eastAsia" w:ascii="宋体" w:hAnsi="宋体" w:cs="宋体"/>
                <w:b/>
                <w:bCs/>
                <w:color w:val="auto"/>
                <w:sz w:val="24"/>
                <w:highlight w:val="none"/>
              </w:rPr>
              <w:t>明标</w:t>
            </w:r>
            <w:r>
              <w:rPr>
                <w:rFonts w:hint="eastAsia" w:ascii="宋体" w:hAnsi="宋体" w:cs="宋体"/>
                <w:bCs/>
                <w:color w:val="auto"/>
                <w:sz w:val="24"/>
                <w:highlight w:val="none"/>
              </w:rPr>
              <w:t>正本中</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8859" w:type="dxa"/>
            <w:vAlign w:val="center"/>
          </w:tcPr>
          <w:p>
            <w:pPr>
              <w:keepNext w:val="0"/>
              <w:keepLines w:val="0"/>
              <w:pageBreakBefore w:val="0"/>
              <w:widowControl/>
              <w:kinsoku/>
              <w:wordWrap/>
              <w:overflowPunct/>
              <w:topLinePunct/>
              <w:autoSpaceDE/>
              <w:autoSpaceDN/>
              <w:bidi w:val="0"/>
              <w:spacing w:line="44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有关本次采购活动程序方面的问题，可来人、来函（传真）或电话联系。</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 xml:space="preserve">采购人：无锡市滨湖区华庄街道办事处 </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采购人地址：无锡市高浪东路999号</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联系人：</w:t>
            </w:r>
            <w:r>
              <w:rPr>
                <w:rFonts w:hint="eastAsia" w:ascii="宋体" w:hAnsi="宋体" w:cs="宋体"/>
                <w:color w:val="auto"/>
                <w:sz w:val="24"/>
                <w:highlight w:val="none"/>
              </w:rPr>
              <w:t>张利</w:t>
            </w:r>
            <w:r>
              <w:rPr>
                <w:rFonts w:hint="eastAsia" w:ascii="宋体" w:hAnsi="宋体" w:cs="宋体"/>
                <w:bCs/>
                <w:color w:val="auto"/>
                <w:sz w:val="24"/>
                <w:highlight w:val="none"/>
              </w:rPr>
              <w:t xml:space="preserve"> </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采购代理机构：江苏通汇工程管理咨询有限公司</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联系人：陆翠芹、王磊</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联系电话：</w:t>
            </w:r>
            <w:r>
              <w:rPr>
                <w:rFonts w:hint="eastAsia" w:ascii="宋体" w:hAnsi="宋体" w:cs="宋体"/>
                <w:color w:val="auto"/>
                <w:sz w:val="24"/>
                <w:highlight w:val="none"/>
              </w:rPr>
              <w:t>0510-88226300</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联系地址：无锡市锡山区万马广场59-102</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 xml:space="preserve">邮政编码：214000       </w:t>
            </w:r>
          </w:p>
          <w:p>
            <w:pPr>
              <w:keepNext w:val="0"/>
              <w:keepLines w:val="0"/>
              <w:pageBreakBefore w:val="0"/>
              <w:kinsoku/>
              <w:wordWrap/>
              <w:overflowPunct/>
              <w:autoSpaceDE/>
              <w:autoSpaceDN/>
              <w:bidi w:val="0"/>
              <w:adjustRightInd w:val="0"/>
              <w:snapToGrid w:val="0"/>
              <w:spacing w:line="440" w:lineRule="exact"/>
              <w:textAlignment w:val="auto"/>
              <w:rPr>
                <w:rFonts w:ascii="宋体" w:hAnsi="宋体" w:cs="宋体"/>
                <w:bCs/>
                <w:color w:val="auto"/>
                <w:sz w:val="24"/>
                <w:highlight w:val="none"/>
              </w:rPr>
            </w:pPr>
            <w:r>
              <w:rPr>
                <w:rFonts w:hint="eastAsia" w:ascii="宋体" w:hAnsi="宋体" w:cs="宋体"/>
                <w:bCs/>
                <w:color w:val="auto"/>
                <w:sz w:val="24"/>
                <w:highlight w:val="none"/>
              </w:rPr>
              <w:t>电子邮件地址：312606411@qq.com</w:t>
            </w:r>
          </w:p>
          <w:p>
            <w:pPr>
              <w:keepNext w:val="0"/>
              <w:keepLines w:val="0"/>
              <w:pageBreakBefore w:val="0"/>
              <w:widowControl/>
              <w:kinsoku/>
              <w:wordWrap/>
              <w:overflowPunct/>
              <w:autoSpaceDE/>
              <w:autoSpaceDN/>
              <w:bidi w:val="0"/>
              <w:spacing w:line="440" w:lineRule="exact"/>
              <w:textAlignment w:val="auto"/>
              <w:rPr>
                <w:rFonts w:ascii="宋体" w:hAnsi="宋体" w:cs="宋体"/>
                <w:color w:val="auto"/>
                <w:sz w:val="24"/>
                <w:highlight w:val="none"/>
              </w:rPr>
            </w:pPr>
            <w:r>
              <w:rPr>
                <w:rFonts w:hint="eastAsia" w:ascii="宋体" w:hAnsi="宋体" w:cs="宋体"/>
                <w:bCs/>
                <w:color w:val="auto"/>
                <w:sz w:val="24"/>
                <w:highlight w:val="none"/>
              </w:rPr>
              <w:t>有关本次活动方面的问题,可来人、来函（传真）或电话联系。</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keepNext w:val="0"/>
              <w:keepLines w:val="0"/>
              <w:pageBreakBefore w:val="0"/>
              <w:widowControl/>
              <w:kinsoku/>
              <w:wordWrap/>
              <w:overflowPunct/>
              <w:topLinePunct/>
              <w:autoSpaceDE/>
              <w:autoSpaceDN/>
              <w:bidi w:val="0"/>
              <w:spacing w:line="44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8859" w:type="dxa"/>
          </w:tcPr>
          <w:p>
            <w:pPr>
              <w:keepNext w:val="0"/>
              <w:keepLines w:val="0"/>
              <w:pageBreakBefore w:val="0"/>
              <w:widowControl/>
              <w:kinsoku/>
              <w:wordWrap/>
              <w:overflowPunct/>
              <w:autoSpaceDE/>
              <w:autoSpaceDN/>
              <w:bidi w:val="0"/>
              <w:spacing w:line="440" w:lineRule="exact"/>
              <w:textAlignment w:val="auto"/>
              <w:rPr>
                <w:rFonts w:ascii="宋体" w:hAnsi="宋体" w:cs="宋体"/>
                <w:color w:val="auto"/>
                <w:highlight w:val="none"/>
              </w:rPr>
            </w:pPr>
            <w:r>
              <w:rPr>
                <w:rFonts w:hint="eastAsia" w:ascii="宋体" w:hAnsi="宋体" w:cs="宋体"/>
                <w:color w:val="auto"/>
                <w:sz w:val="24"/>
                <w:highlight w:val="none"/>
              </w:rPr>
              <w:t>请有意参加本项目的投标人完成投标人主体信息库的注册登记手续，注册流程详见无锡市公共资源交易中心网政府采购（市级）公示栏《关于启用无锡市政府采购交易管理一体化系统投标人注册登记模块的通知》。注册地址：</w:t>
            </w:r>
            <w:r>
              <w:rPr>
                <w:color w:val="auto"/>
                <w:highlight w:val="none"/>
              </w:rPr>
              <w:fldChar w:fldCharType="begin"/>
            </w:r>
            <w:r>
              <w:rPr>
                <w:color w:val="auto"/>
                <w:highlight w:val="none"/>
              </w:rPr>
              <w:instrText xml:space="preserve"> HYPERLINK "http://middle.wuxi.zcygov.cn/v-settle-front/registry，或前往“无锡政府采购网" </w:instrText>
            </w:r>
            <w:r>
              <w:rPr>
                <w:color w:val="auto"/>
                <w:highlight w:val="none"/>
              </w:rPr>
              <w:fldChar w:fldCharType="separate"/>
            </w:r>
            <w:r>
              <w:rPr>
                <w:rStyle w:val="75"/>
                <w:rFonts w:hint="eastAsia" w:ascii="宋体" w:hAnsi="宋体" w:cs="宋体"/>
                <w:color w:val="auto"/>
                <w:sz w:val="24"/>
                <w:highlight w:val="none"/>
              </w:rPr>
              <w:t>http://middle.wuxi.zcygov.cn/v-settle-front/registry，或前往“无锡政府采购网</w:t>
            </w:r>
            <w:r>
              <w:rPr>
                <w:rStyle w:val="75"/>
                <w:rFonts w:hint="eastAsia" w:ascii="宋体" w:hAnsi="宋体" w:cs="宋体"/>
                <w:color w:val="auto"/>
                <w:sz w:val="24"/>
                <w:highlight w:val="none"/>
              </w:rPr>
              <w:fldChar w:fldCharType="end"/>
            </w:r>
            <w:r>
              <w:rPr>
                <w:rFonts w:hint="eastAsia" w:ascii="宋体" w:hAnsi="宋体" w:cs="宋体"/>
                <w:color w:val="auto"/>
                <w:sz w:val="24"/>
                <w:highlight w:val="none"/>
              </w:rPr>
              <w:t xml:space="preserve"> — 政府采购交易管理一体化系统—商家入驻”点击进入。</w:t>
            </w:r>
          </w:p>
        </w:tc>
      </w:tr>
    </w:tbl>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ascii="宋体" w:hAnsi="宋体" w:cs="宋体"/>
          <w:b/>
          <w:color w:val="auto"/>
          <w:sz w:val="36"/>
          <w:szCs w:val="36"/>
          <w:highlight w:val="none"/>
        </w:rPr>
        <w:br w:type="page"/>
      </w:r>
      <w:r>
        <w:rPr>
          <w:rFonts w:hint="eastAsia" w:ascii="宋体" w:hAnsi="宋体" w:cs="宋体"/>
          <w:b/>
          <w:color w:val="auto"/>
          <w:sz w:val="36"/>
          <w:szCs w:val="36"/>
          <w:highlight w:val="none"/>
        </w:rPr>
        <w:t>第二部分. 投标人须知</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（一）遵循原则：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公开透明原则、公平竞争原则、公正原则和诚实信用原则。</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（二）采购文件：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1．采购文件包括文件目录所列全部内容，投标人应仔细阅读，并在投标文件中充分响应采购文件的所有要求。</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2．投标人应向</w:t>
      </w:r>
      <w:r>
        <w:rPr>
          <w:rFonts w:hint="eastAsia" w:ascii="宋体" w:hAnsi="宋体" w:cs="宋体"/>
          <w:color w:val="auto"/>
          <w:kern w:val="0"/>
          <w:sz w:val="24"/>
          <w:highlight w:val="none"/>
        </w:rPr>
        <w:t>江苏通汇工程管理咨询有限公司</w:t>
      </w:r>
      <w:r>
        <w:rPr>
          <w:rFonts w:hint="eastAsia" w:ascii="宋体" w:hAnsi="宋体" w:cs="宋体"/>
          <w:color w:val="auto"/>
          <w:sz w:val="24"/>
          <w:highlight w:val="none"/>
        </w:rPr>
        <w:t>购买文件及有关资料，按采购文件要求提交全部资料并对采购文件各项内容做出实质性响应，否则投标无效。</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3．投标人一旦参加本项目投标，即表明承诺接受了本采购文件中所有条件和规定。</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4．采购文件一经售出、一律不退，且仅作为本次采购投标使用。</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（三）采购文件的解释：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1．投标人如有需要对采购文件要求澄清的问题，请以书面提出，并按“投标邀请”第6项规定的时间将电子邮件及书面传真（两种形式均须发送）至</w:t>
      </w:r>
      <w:r>
        <w:rPr>
          <w:rFonts w:hint="eastAsia" w:ascii="宋体" w:hAnsi="宋体" w:cs="宋体"/>
          <w:color w:val="auto"/>
          <w:kern w:val="0"/>
          <w:sz w:val="24"/>
          <w:highlight w:val="none"/>
        </w:rPr>
        <w:t>江苏通汇工程管理咨询有限公司</w:t>
      </w:r>
      <w:r>
        <w:rPr>
          <w:rFonts w:hint="eastAsia" w:ascii="宋体" w:hAnsi="宋体" w:cs="宋体"/>
          <w:color w:val="auto"/>
          <w:sz w:val="24"/>
          <w:highlight w:val="none"/>
        </w:rPr>
        <w:t>，联系方式详见投标邀请第13项。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w:t>
      </w:r>
      <w:r>
        <w:rPr>
          <w:rFonts w:hint="eastAsia" w:ascii="宋体" w:hAnsi="宋体" w:cs="宋体"/>
          <w:color w:val="auto"/>
          <w:kern w:val="0"/>
          <w:sz w:val="24"/>
          <w:highlight w:val="none"/>
        </w:rPr>
        <w:t>江苏通汇工程管理咨询有限公司</w:t>
      </w:r>
      <w:r>
        <w:rPr>
          <w:rFonts w:hint="eastAsia" w:ascii="宋体" w:hAnsi="宋体" w:cs="宋体"/>
          <w:color w:val="auto"/>
          <w:sz w:val="24"/>
          <w:highlight w:val="none"/>
        </w:rPr>
        <w:t>将按“投标邀请”第6项规定的时间对投标人针对采购文件书面提出的要求澄清的问题进行书面答疑。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3．本文件的最终解释权归采购人。</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（四）采购文件的补充或修正：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1．采购人或者采购代理机构可以对已发出的采购文件进行必要的澄清或者修改，澄清或者修改将在江苏政府采购网、无锡政府采购网上发布澄清公告。澄清或者修改的内容为采购文件的组成部分。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澄清或者修改的内容可能影响投标文件编制的，采购人或者采购代理机构将在投标截止时间至少15日前，以书面形式通知所有获取采购文件的潜在投标人；不足15日的，采购人或者采购代理机构应当顺延提交投标文件的截止时间。</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（五）投标文件的组成：</w:t>
      </w:r>
    </w:p>
    <w:p>
      <w:pPr>
        <w:adjustRightInd w:val="0"/>
        <w:snapToGrid w:val="0"/>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投标文件分为明标和暗标两部分，明标部分</w:t>
      </w:r>
      <w:r>
        <w:rPr>
          <w:rFonts w:hint="eastAsia" w:ascii="宋体" w:hAnsi="宋体" w:cs="宋体"/>
          <w:bCs/>
          <w:color w:val="auto"/>
          <w:sz w:val="24"/>
          <w:highlight w:val="none"/>
        </w:rPr>
        <w:t>由证明文件部分、投标函部分、报价部分组成（装订成一册），</w:t>
      </w:r>
      <w:r>
        <w:rPr>
          <w:rFonts w:hint="eastAsia" w:ascii="宋体" w:hAnsi="宋体" w:cs="宋体"/>
          <w:b/>
          <w:bCs/>
          <w:color w:val="auto"/>
          <w:sz w:val="24"/>
          <w:highlight w:val="none"/>
        </w:rPr>
        <w:t>暗标部分</w:t>
      </w:r>
      <w:r>
        <w:rPr>
          <w:rFonts w:hint="eastAsia" w:ascii="宋体" w:hAnsi="宋体" w:cs="宋体"/>
          <w:bCs/>
          <w:color w:val="auto"/>
          <w:sz w:val="24"/>
          <w:highlight w:val="none"/>
        </w:rPr>
        <w:t>为服务方案（另装订成一册）。另外需提供电子文本一份，电子文本需包括上述投标文件全部内容。</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明标部分：</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1.证明文件部分：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1.1资格、资信证明文件</w:t>
      </w:r>
    </w:p>
    <w:p>
      <w:pPr>
        <w:tabs>
          <w:tab w:val="left" w:pos="0"/>
        </w:tabs>
        <w:spacing w:line="360" w:lineRule="auto"/>
        <w:ind w:firstLine="422" w:firstLineChars="176"/>
        <w:rPr>
          <w:rFonts w:ascii="宋体" w:hAnsi="宋体" w:cs="宋体"/>
          <w:b/>
          <w:bCs/>
          <w:color w:val="auto"/>
          <w:sz w:val="24"/>
          <w:highlight w:val="none"/>
        </w:rPr>
      </w:pPr>
      <w:r>
        <w:rPr>
          <w:rFonts w:hint="eastAsia" w:ascii="宋体" w:hAnsi="宋体" w:cs="宋体"/>
          <w:color w:val="auto"/>
          <w:sz w:val="24"/>
          <w:highlight w:val="none"/>
        </w:rPr>
        <w:t>（1）关于资格的声明函</w:t>
      </w:r>
      <w:r>
        <w:rPr>
          <w:rFonts w:hint="eastAsia" w:ascii="宋体" w:hAnsi="宋体" w:cs="宋体"/>
          <w:b/>
          <w:bCs/>
          <w:color w:val="auto"/>
          <w:sz w:val="24"/>
          <w:highlight w:val="none"/>
        </w:rPr>
        <w:t>（格式见附件）；</w:t>
      </w:r>
    </w:p>
    <w:p>
      <w:pPr>
        <w:tabs>
          <w:tab w:val="left" w:pos="0"/>
        </w:tabs>
        <w:spacing w:line="360" w:lineRule="auto"/>
        <w:ind w:firstLine="422" w:firstLineChars="176"/>
        <w:rPr>
          <w:rFonts w:ascii="宋体" w:hAnsi="宋体" w:cs="宋体"/>
          <w:b/>
          <w:bCs/>
          <w:color w:val="auto"/>
          <w:sz w:val="24"/>
          <w:highlight w:val="none"/>
        </w:rPr>
      </w:pPr>
      <w:r>
        <w:rPr>
          <w:rFonts w:hint="eastAsia" w:ascii="宋体" w:hAnsi="宋体" w:cs="宋体"/>
          <w:color w:val="auto"/>
          <w:sz w:val="24"/>
          <w:highlight w:val="none"/>
        </w:rPr>
        <w:t>（2）投标人有效期内企业法人营业执照复印件加盖公章</w:t>
      </w:r>
      <w:r>
        <w:rPr>
          <w:rFonts w:hint="eastAsia" w:ascii="宋体" w:hAnsi="宋体" w:cs="宋体"/>
          <w:b/>
          <w:bCs/>
          <w:color w:val="auto"/>
          <w:sz w:val="24"/>
          <w:szCs w:val="22"/>
          <w:highlight w:val="none"/>
        </w:rPr>
        <w:t>（报价时提供原件或可查询二维码清晰、可扫描的复印件加盖公章）</w:t>
      </w:r>
      <w:r>
        <w:rPr>
          <w:rFonts w:hint="eastAsia" w:ascii="宋体" w:hAnsi="宋体" w:cs="宋体"/>
          <w:b/>
          <w:bCs/>
          <w:color w:val="auto"/>
          <w:sz w:val="24"/>
          <w:highlight w:val="none"/>
        </w:rPr>
        <w:t>；</w:t>
      </w:r>
    </w:p>
    <w:p>
      <w:pPr>
        <w:tabs>
          <w:tab w:val="left" w:pos="0"/>
        </w:tabs>
        <w:spacing w:line="360" w:lineRule="auto"/>
        <w:ind w:firstLine="422" w:firstLineChars="176"/>
        <w:rPr>
          <w:rFonts w:ascii="宋体" w:hAnsi="宋体" w:cs="宋体"/>
          <w:b/>
          <w:bCs/>
          <w:color w:val="auto"/>
          <w:sz w:val="24"/>
          <w:highlight w:val="none"/>
        </w:rPr>
      </w:pPr>
      <w:r>
        <w:rPr>
          <w:rFonts w:hint="eastAsia" w:ascii="宋体" w:hAnsi="宋体" w:cs="宋体"/>
          <w:color w:val="auto"/>
          <w:sz w:val="24"/>
          <w:highlight w:val="none"/>
        </w:rPr>
        <w:t>（3）投标人法定代表人授权委托书（</w:t>
      </w:r>
      <w:r>
        <w:rPr>
          <w:rFonts w:hint="eastAsia" w:ascii="宋体" w:hAnsi="宋体" w:cs="宋体"/>
          <w:b/>
          <w:bCs/>
          <w:color w:val="auto"/>
          <w:sz w:val="24"/>
          <w:highlight w:val="none"/>
        </w:rPr>
        <w:t>法定代表人亲自参与投标的除外，格式见附件</w:t>
      </w:r>
      <w:r>
        <w:rPr>
          <w:rFonts w:hint="eastAsia" w:ascii="宋体" w:hAnsi="宋体" w:cs="宋体"/>
          <w:color w:val="auto"/>
          <w:sz w:val="24"/>
          <w:highlight w:val="none"/>
        </w:rPr>
        <w:t>）</w:t>
      </w:r>
      <w:r>
        <w:rPr>
          <w:rFonts w:hint="eastAsia" w:ascii="宋体" w:hAnsi="宋体" w:cs="宋体"/>
          <w:b/>
          <w:bCs/>
          <w:color w:val="auto"/>
          <w:sz w:val="24"/>
          <w:highlight w:val="none"/>
        </w:rPr>
        <w:t>；</w:t>
      </w:r>
    </w:p>
    <w:p>
      <w:pPr>
        <w:tabs>
          <w:tab w:val="left" w:pos="0"/>
        </w:tabs>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（4）投标人法定代表人身份证复印件及法定代表人授权代表身份证复印件</w:t>
      </w:r>
      <w:r>
        <w:rPr>
          <w:rFonts w:hint="eastAsia" w:ascii="宋体" w:hAnsi="宋体" w:cs="宋体"/>
          <w:b/>
          <w:color w:val="auto"/>
          <w:sz w:val="24"/>
          <w:highlight w:val="none"/>
        </w:rPr>
        <w:t>（投标时必须携带法定代表人身份证或法定代表人授权代表身份证原件）</w:t>
      </w:r>
      <w:r>
        <w:rPr>
          <w:rFonts w:hint="eastAsia" w:ascii="宋体" w:hAnsi="宋体" w:cs="宋体"/>
          <w:color w:val="auto"/>
          <w:sz w:val="24"/>
          <w:highlight w:val="none"/>
        </w:rPr>
        <w:t>；</w:t>
      </w:r>
    </w:p>
    <w:p>
      <w:pPr>
        <w:tabs>
          <w:tab w:val="left" w:pos="0"/>
        </w:tabs>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val="0"/>
          <w:color w:val="auto"/>
          <w:sz w:val="24"/>
          <w:highlight w:val="none"/>
        </w:rPr>
        <w:t>拟派项目负责人</w:t>
      </w:r>
      <w:r>
        <w:rPr>
          <w:rFonts w:hint="eastAsia" w:ascii="宋体" w:hAnsi="宋体" w:cs="宋体"/>
          <w:color w:val="auto"/>
          <w:kern w:val="2"/>
          <w:sz w:val="24"/>
          <w:highlight w:val="none"/>
        </w:rPr>
        <w:t>提供与本企业签订的劳动合同</w:t>
      </w:r>
      <w:r>
        <w:rPr>
          <w:rFonts w:hint="eastAsia" w:ascii="宋体" w:hAnsi="宋体" w:cs="宋体"/>
          <w:color w:val="auto"/>
          <w:kern w:val="2"/>
          <w:sz w:val="24"/>
          <w:highlight w:val="none"/>
          <w:lang w:val="en-US" w:eastAsia="zh-CN"/>
        </w:rPr>
        <w:t>及</w:t>
      </w:r>
      <w:r>
        <w:rPr>
          <w:rFonts w:hint="eastAsia" w:ascii="宋体" w:hAnsi="宋体" w:cs="宋体"/>
          <w:color w:val="auto"/>
          <w:kern w:val="2"/>
          <w:sz w:val="24"/>
          <w:highlight w:val="none"/>
        </w:rPr>
        <w:t>本企业为其缴纳的社保机构出具的可扫描二维码的2022年9月-2023年2月社会保险的证明</w:t>
      </w:r>
      <w:r>
        <w:rPr>
          <w:rFonts w:hint="eastAsia" w:ascii="宋体" w:hAnsi="宋体" w:cs="宋体"/>
          <w:b/>
          <w:bCs/>
          <w:color w:val="auto"/>
          <w:sz w:val="24"/>
          <w:highlight w:val="none"/>
        </w:rPr>
        <w:t>（报价时提须供原件，法定代表人亲自参加的除外）</w:t>
      </w:r>
      <w:r>
        <w:rPr>
          <w:rFonts w:hint="eastAsia" w:ascii="宋体" w:hAnsi="宋体" w:cs="宋体"/>
          <w:color w:val="auto"/>
          <w:sz w:val="24"/>
          <w:highlight w:val="none"/>
        </w:rPr>
        <w:t xml:space="preserve">； </w:t>
      </w:r>
    </w:p>
    <w:p>
      <w:pPr>
        <w:tabs>
          <w:tab w:val="left" w:pos="0"/>
        </w:tabs>
        <w:spacing w:line="360" w:lineRule="auto"/>
        <w:ind w:firstLine="422" w:firstLineChars="176"/>
        <w:rPr>
          <w:rFonts w:ascii="宋体" w:hAnsi="宋体" w:cs="宋体"/>
          <w:b/>
          <w:color w:val="auto"/>
          <w:sz w:val="24"/>
          <w:highlight w:val="none"/>
        </w:rPr>
      </w:pPr>
      <w:r>
        <w:rPr>
          <w:rFonts w:hint="eastAsia" w:ascii="宋体" w:hAnsi="宋体" w:cs="宋体"/>
          <w:bCs/>
          <w:color w:val="auto"/>
          <w:sz w:val="24"/>
          <w:highlight w:val="none"/>
        </w:rPr>
        <w:t>（6）</w:t>
      </w:r>
      <w:r>
        <w:rPr>
          <w:rFonts w:hint="eastAsia" w:ascii="宋体" w:hAnsi="宋体" w:cs="宋体"/>
          <w:color w:val="auto"/>
          <w:sz w:val="24"/>
          <w:highlight w:val="none"/>
        </w:rPr>
        <w:t>投标人近</w:t>
      </w:r>
      <w:r>
        <w:rPr>
          <w:rFonts w:hint="eastAsia" w:ascii="宋体" w:hAnsi="宋体" w:cs="宋体"/>
          <w:color w:val="auto"/>
          <w:sz w:val="24"/>
          <w:highlight w:val="none"/>
          <w:lang w:val="en-US" w:eastAsia="zh-CN"/>
        </w:rPr>
        <w:t>半年</w:t>
      </w:r>
      <w:r>
        <w:rPr>
          <w:rFonts w:hint="eastAsia" w:ascii="宋体" w:hAnsi="宋体" w:cs="宋体"/>
          <w:color w:val="auto"/>
          <w:sz w:val="24"/>
          <w:highlight w:val="none"/>
        </w:rPr>
        <w:t>中任意一个月份(不含投标当月)的财务状况报告（资产负债表和利润表）或由第三方审计机构</w:t>
      </w:r>
      <w:r>
        <w:rPr>
          <w:rFonts w:hint="eastAsia" w:ascii="宋体" w:hAnsi="宋体" w:cs="宋体"/>
          <w:color w:val="auto"/>
          <w:sz w:val="24"/>
          <w:highlight w:val="none"/>
          <w:lang w:eastAsia="zh-CN"/>
        </w:rPr>
        <w:t>（</w:t>
      </w:r>
      <w:r>
        <w:rPr>
          <w:rFonts w:hint="eastAsia" w:ascii="宋体" w:hAnsi="宋体" w:cs="宋体"/>
          <w:color w:val="auto"/>
          <w:sz w:val="24"/>
          <w:highlight w:val="none"/>
        </w:rPr>
        <w:t>具有财政部门颁发的会计师事务所执业证书或税务机关颁发的税务师事务所执业证书的，且2021年(含)之前未列入中国会计师协会黑名单里的)出具的2021年度的财务审计报告复印件加盖公章</w:t>
      </w:r>
      <w:r>
        <w:rPr>
          <w:rFonts w:hint="eastAsia" w:ascii="宋体" w:hAnsi="宋体" w:cs="宋体"/>
          <w:b/>
          <w:color w:val="auto"/>
          <w:sz w:val="24"/>
          <w:highlight w:val="none"/>
        </w:rPr>
        <w:t>（投标时必须提交原件）；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（7）投标人近三个月中任意一个月份(不含投标当月)的依法缴纳税收的相关材料（提供相关主管部门证明或银行代扣证明）复印件加盖公章；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（8）投标人近三个月中任意一个月份(不含投标当月)的依法缴纳社会保障资金的相关材料（提供相关主管部门证明或银行代扣证明）复印件并加盖公章；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（9）承诺书（格式见附件）；</w:t>
      </w:r>
    </w:p>
    <w:p>
      <w:pPr>
        <w:pStyle w:val="2"/>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投标人如已按《无锡市政府采购投标人注册登记管理办法》（锡财购〔2012〕3号）要求加入投标人库的，可注册入库（详见http://cz.wuxi.gov.cn/doc/2012/10/11/51585.shtml）成功后，从网上下载打印《无锡市政府采购注册投标人资格信息登记表》（以下简称信息登记表），并经法定代表人签字和加盖公章后,可作为投标人投标文件的有效组成部分提交采购代理机构。信息登记表所记录的信息如能反映投标人具备对应资格条件项的，在本项目评审时，可凭该信息登记表免于提供相应的资格、资信证明材料的原件或公证件，否则必须按要求提供相应的资格、资信证明材料原件或公证件。</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上述证明文件中的资格、资信证明文件必须全部提供。其中要求提交的原件或公证</w:t>
      </w:r>
      <w:r>
        <w:rPr>
          <w:rFonts w:hint="eastAsia" w:ascii="宋体" w:hAnsi="宋体" w:cs="宋体"/>
          <w:b/>
          <w:bCs/>
          <w:color w:val="auto"/>
          <w:sz w:val="24"/>
          <w:highlight w:val="none"/>
        </w:rPr>
        <w:t>件必须与投标文件同时提交。如果原件正在年检（或换证），则必须提供法定年检（或换证）单位出具的有效证明原件。投标人所提交的资格、资信证明文件的完整与否，将直接影响其投标文件的审核结果。</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b/>
          <w:color w:val="auto"/>
          <w:sz w:val="24"/>
          <w:highlight w:val="none"/>
        </w:rPr>
        <w:t>补充证明文件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（1）投标人基本情况声明；</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highlight w:val="none"/>
        </w:rPr>
        <w:t>（2）中小企业声明函（如是，格式见附件）或残疾人福利性单位声明函（如是，格式见附件）或由省级以上监狱管理局、戒毒管理局出具的属于监狱企业的证明文件；</w:t>
      </w:r>
    </w:p>
    <w:p>
      <w:pPr>
        <w:widowControl/>
        <w:spacing w:line="360" w:lineRule="auto"/>
        <w:ind w:firstLine="480" w:firstLineChars="200"/>
        <w:jc w:val="left"/>
        <w:rPr>
          <w:rFonts w:hint="eastAsia" w:ascii="宋体" w:hAnsi="宋体" w:eastAsia="宋体" w:cs="宋体"/>
          <w:bCs/>
          <w:color w:val="auto"/>
          <w:kern w:val="2"/>
          <w:sz w:val="24"/>
          <w:highlight w:val="none"/>
          <w:lang w:val="en-US" w:eastAsia="zh-CN"/>
        </w:rPr>
      </w:pPr>
      <w:r>
        <w:rPr>
          <w:rFonts w:hint="eastAsia" w:ascii="宋体" w:hAnsi="宋体" w:cs="宋体"/>
          <w:bCs/>
          <w:color w:val="auto"/>
          <w:kern w:val="2"/>
          <w:sz w:val="24"/>
          <w:highlight w:val="none"/>
        </w:rPr>
        <w:t>（3）项目管理机构配备情况表（格式见附件）</w:t>
      </w:r>
      <w:r>
        <w:rPr>
          <w:rFonts w:hint="eastAsia" w:ascii="宋体" w:hAnsi="宋体" w:cs="宋体"/>
          <w:bCs/>
          <w:color w:val="auto"/>
          <w:kern w:val="2"/>
          <w:sz w:val="24"/>
          <w:highlight w:val="none"/>
          <w:lang w:val="en-US" w:eastAsia="zh-CN"/>
        </w:rPr>
        <w:t>；</w:t>
      </w:r>
    </w:p>
    <w:p>
      <w:pPr>
        <w:widowControl/>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（4）项目负责人简历表（格式见附件）</w:t>
      </w:r>
      <w:r>
        <w:rPr>
          <w:rFonts w:hint="eastAsia" w:ascii="宋体" w:hAnsi="宋体" w:eastAsia="宋体" w:cs="宋体"/>
          <w:color w:val="auto"/>
          <w:kern w:val="0"/>
          <w:sz w:val="24"/>
          <w:highlight w:val="none"/>
          <w:lang w:val="en-US" w:eastAsia="zh-CN"/>
        </w:rPr>
        <w:t>；</w:t>
      </w:r>
    </w:p>
    <w:p>
      <w:pPr>
        <w:widowControl/>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偏离表（格式见附件）</w:t>
      </w:r>
      <w:r>
        <w:rPr>
          <w:rFonts w:hint="eastAsia" w:ascii="宋体" w:hAnsi="宋体" w:eastAsia="宋体" w:cs="宋体"/>
          <w:color w:val="auto"/>
          <w:kern w:val="0"/>
          <w:sz w:val="24"/>
          <w:highlight w:val="none"/>
          <w:lang w:val="en-US" w:eastAsia="zh-CN"/>
        </w:rPr>
        <w:t>；</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企业类似业绩一览表（格式见附件）</w:t>
      </w:r>
      <w:r>
        <w:rPr>
          <w:rFonts w:hint="eastAsia" w:ascii="宋体" w:hAnsi="宋体" w:eastAsia="宋体" w:cs="宋体"/>
          <w:color w:val="auto"/>
          <w:kern w:val="0"/>
          <w:sz w:val="24"/>
          <w:highlight w:val="none"/>
          <w:lang w:val="en-US" w:eastAsia="zh-CN"/>
        </w:rPr>
        <w:t>；</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）投标人认为有必要提供的其</w:t>
      </w:r>
      <w:r>
        <w:rPr>
          <w:rFonts w:hint="eastAsia" w:ascii="宋体" w:hAnsi="宋体" w:cs="宋体"/>
          <w:color w:val="auto"/>
          <w:kern w:val="0"/>
          <w:sz w:val="24"/>
          <w:highlight w:val="none"/>
        </w:rPr>
        <w:t>他证明材料（</w:t>
      </w:r>
      <w:r>
        <w:rPr>
          <w:rFonts w:hint="eastAsia" w:ascii="宋体" w:hAnsi="宋体" w:cs="宋体"/>
          <w:b/>
          <w:bCs/>
          <w:color w:val="auto"/>
          <w:sz w:val="24"/>
          <w:highlight w:val="none"/>
        </w:rPr>
        <w:t>详见评分标准所要求之证明材料</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2.投标函部分（格式见附件）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投标函；</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3.报价部分（格式见附件）</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kern w:val="0"/>
          <w:sz w:val="24"/>
          <w:highlight w:val="none"/>
        </w:rPr>
        <w:t>开标一览表</w:t>
      </w:r>
      <w:r>
        <w:rPr>
          <w:rFonts w:hint="eastAsia" w:ascii="宋体" w:hAnsi="宋体" w:cs="宋体"/>
          <w:color w:val="auto"/>
          <w:kern w:val="0"/>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报价明细表；</w:t>
      </w:r>
    </w:p>
    <w:p>
      <w:pPr>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暗标部分：</w:t>
      </w:r>
      <w:r>
        <w:rPr>
          <w:rFonts w:hint="eastAsia" w:ascii="宋体" w:hAnsi="宋体" w:cs="宋体"/>
          <w:b/>
          <w:color w:val="auto"/>
          <w:sz w:val="24"/>
          <w:highlight w:val="none"/>
        </w:rPr>
        <w:t>服务方案</w:t>
      </w:r>
      <w:r>
        <w:rPr>
          <w:rFonts w:hint="eastAsia" w:ascii="宋体" w:hAnsi="宋体" w:cs="宋体"/>
          <w:bCs/>
          <w:color w:val="auto"/>
          <w:sz w:val="24"/>
          <w:highlight w:val="none"/>
        </w:rPr>
        <w:t>（与评分标准的技术方案部分相对应）</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 报价要求：</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1.投标报价中应包含安全、人工、机械、车辆、保险、管理费、利润、税金等一切费用。一旦中标，采购人不承担其它任何费用。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提供详细的报价明细表。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3.本项目报价必须是唯一的，任何有选择的报价将不予接受。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投标报价明显低于其他通过符合性审查投标人的报价，有可能影响产品质量或者不能诚信履约的，投标人必须在30分钟内提供书面说明，必要时提交相关证明材料以证明其报价合理性。投标人不能证明其报价合理性的，评标委员会应当将其作为无效投标处理。</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（七）投标文件的要求：</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1、所有文件、往来函件均应使用简体中文（规格、型号辅助符号例外）。</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2、投标文件由投标人按给定格式如实填写（编写），须有法人（盖章）、法定代表人或法定代表人授权代表签字或盖章，方为有效，未尽事宜可自行补充。</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如无特别说明，</w:t>
      </w:r>
      <w:r>
        <w:rPr>
          <w:rFonts w:hint="eastAsia" w:ascii="宋体" w:hAnsi="宋体" w:cs="宋体"/>
          <w:bCs/>
          <w:color w:val="auto"/>
          <w:sz w:val="24"/>
          <w:highlight w:val="none"/>
        </w:rPr>
        <w:t>投标人报价一律以人民币为投标结算货币,结算单位为“元”。</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4、投标文件格式部分，应由投标人按给定格式提供，不得更改。</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5、投标文件应用不褪色的黑色墨水书写或打印。</w:t>
      </w:r>
    </w:p>
    <w:p>
      <w:pPr>
        <w:tabs>
          <w:tab w:val="left" w:pos="525"/>
          <w:tab w:val="left" w:pos="1050"/>
        </w:tabs>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6、投标文件统一用A4纸，按照投标函格式中的顺序制作，并请编制目录和页码。</w:t>
      </w:r>
    </w:p>
    <w:p>
      <w:pPr>
        <w:tabs>
          <w:tab w:val="left" w:pos="0"/>
          <w:tab w:val="left" w:pos="425"/>
          <w:tab w:val="left" w:pos="898"/>
          <w:tab w:val="left" w:pos="993"/>
        </w:tabs>
        <w:spacing w:line="360" w:lineRule="auto"/>
        <w:ind w:firstLine="480" w:firstLineChars="200"/>
        <w:rPr>
          <w:rFonts w:ascii="宋体" w:hAnsi="宋体" w:cs="宋体"/>
          <w:b/>
          <w:color w:val="auto"/>
          <w:sz w:val="24"/>
          <w:highlight w:val="none"/>
        </w:rPr>
      </w:pPr>
      <w:bookmarkStart w:id="0" w:name="OLE_LINK3"/>
      <w:r>
        <w:rPr>
          <w:rFonts w:hint="eastAsia" w:ascii="宋体" w:hAnsi="宋体" w:cs="宋体"/>
          <w:bCs/>
          <w:color w:val="auto"/>
          <w:sz w:val="24"/>
          <w:highlight w:val="none"/>
        </w:rPr>
        <w:t>7</w:t>
      </w:r>
      <w:bookmarkEnd w:id="0"/>
      <w:r>
        <w:rPr>
          <w:rFonts w:hint="eastAsia" w:ascii="宋体" w:hAnsi="宋体" w:cs="宋体"/>
          <w:bCs/>
          <w:color w:val="auto"/>
          <w:sz w:val="24"/>
          <w:highlight w:val="none"/>
        </w:rPr>
        <w:t>、</w:t>
      </w:r>
      <w:r>
        <w:rPr>
          <w:rFonts w:hint="eastAsia" w:ascii="宋体" w:hAnsi="宋体" w:cs="宋体"/>
          <w:b/>
          <w:color w:val="auto"/>
          <w:sz w:val="24"/>
          <w:highlight w:val="none"/>
        </w:rPr>
        <w:t>投标文件份数：</w:t>
      </w:r>
      <w:r>
        <w:rPr>
          <w:rFonts w:hint="eastAsia" w:ascii="宋体" w:hAnsi="宋体" w:cs="宋体"/>
          <w:b/>
          <w:bCs/>
          <w:color w:val="auto"/>
          <w:sz w:val="24"/>
          <w:highlight w:val="none"/>
        </w:rPr>
        <w:t>明标与暗标分开制作、各自装订成册分别密封。</w:t>
      </w:r>
      <w:r>
        <w:rPr>
          <w:rFonts w:hint="eastAsia" w:ascii="宋体" w:hAnsi="宋体" w:cs="宋体"/>
          <w:b/>
          <w:color w:val="auto"/>
          <w:sz w:val="24"/>
          <w:highlight w:val="none"/>
        </w:rPr>
        <w:t>明标部分正本一份，副本三份；暗标正本一份，副本五份。</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1）投标人应将投标文件明标正本和光盘或U盘密封在一个封袋中并在封袋上清楚地表明“明标正本”；</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2）将投标文件明标所有副本密封在另一个封袋中并在密封袋上清楚地标明 “明标副本”；</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3）服务方案（暗标）正本单独密封在一个封袋中并在封袋上清楚地表明“暗标正本”；</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4）服务方案（暗标）所有副本密封在另一个封袋中并在密封袋上清楚地标明 “暗标副本”； </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采购</w:t>
      </w:r>
      <w:r>
        <w:rPr>
          <w:rFonts w:hint="eastAsia" w:ascii="宋体" w:hAnsi="宋体" w:cs="宋体"/>
          <w:b/>
          <w:color w:val="auto"/>
          <w:sz w:val="24"/>
          <w:highlight w:val="none"/>
        </w:rPr>
        <w:t>文件的评标方法中所需提供的原件资料需单独密封在一个封袋中，并在密封袋上清楚地表明“原件资料”；</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所有投标文件封袋的封口处（包括“明标正本”、“明标副本”、“暗标正本”、“暗标副本”、“原件资料”）应加盖投标人印章。密封袋上还均应注明采购编号、项目名称、投标人名称。注：封袋：包含档案袋、封盒、牛皮纸等密封形式。</w:t>
      </w:r>
    </w:p>
    <w:p>
      <w:pPr>
        <w:tabs>
          <w:tab w:val="left" w:pos="0"/>
          <w:tab w:val="left" w:pos="425"/>
          <w:tab w:val="left" w:pos="898"/>
          <w:tab w:val="left" w:pos="993"/>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8、投标文件不应有涂改、增删和潦草之处，如有必须修改时，修改处必须有法人、法定代表人或法定代表人授权代表的签章。</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9、投标费用自理。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10.暗标编制、装订要求：</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暗标需单独成册，不得有分册。暗标的封面、封底由采购代理机构提供统一格式，由报价投标人自行打印(</w:t>
      </w:r>
      <w:r>
        <w:rPr>
          <w:rFonts w:hint="eastAsia" w:ascii="宋体" w:hAnsi="宋体" w:cs="宋体"/>
          <w:b/>
          <w:color w:val="auto"/>
          <w:sz w:val="24"/>
          <w:highlight w:val="none"/>
          <w:lang w:val="zh-CN"/>
        </w:rPr>
        <w:t>装订夹由招标代理机构统一提供，装订夹</w:t>
      </w:r>
      <w:r>
        <w:rPr>
          <w:rFonts w:hint="eastAsia" w:ascii="宋体" w:hAnsi="宋体" w:cs="宋体"/>
          <w:b/>
          <w:color w:val="auto"/>
          <w:sz w:val="24"/>
          <w:highlight w:val="none"/>
        </w:rPr>
        <w:t>采用</w:t>
      </w:r>
      <w:r>
        <w:rPr>
          <w:rFonts w:hint="eastAsia" w:ascii="宋体" w:hAnsi="宋体" w:cs="宋体"/>
          <w:b/>
          <w:color w:val="auto"/>
          <w:sz w:val="24"/>
          <w:highlight w:val="none"/>
          <w:lang w:val="zh-CN"/>
        </w:rPr>
        <w:t>白铁皮夹两长脚朝下靠左侧居中装订</w:t>
      </w:r>
      <w:r>
        <w:rPr>
          <w:rFonts w:hint="eastAsia" w:ascii="宋体" w:hAnsi="宋体" w:cs="宋体"/>
          <w:b/>
          <w:color w:val="auto"/>
          <w:sz w:val="24"/>
          <w:highlight w:val="none"/>
        </w:rPr>
        <w:t>形式</w:t>
      </w:r>
      <w:r>
        <w:rPr>
          <w:rFonts w:hint="eastAsia" w:ascii="宋体" w:hAnsi="宋体" w:cs="宋体"/>
          <w:b/>
          <w:color w:val="auto"/>
          <w:sz w:val="24"/>
          <w:highlight w:val="none"/>
          <w:lang w:val="zh-CN"/>
        </w:rPr>
        <w:t>），不得有分册，目录部分自拟</w:t>
      </w:r>
      <w:r>
        <w:rPr>
          <w:rFonts w:hint="eastAsia" w:ascii="宋体" w:hAnsi="宋体" w:cs="宋体"/>
          <w:b/>
          <w:color w:val="auto"/>
          <w:sz w:val="24"/>
          <w:highlight w:val="none"/>
        </w:rPr>
        <w:t>并</w:t>
      </w:r>
      <w:r>
        <w:rPr>
          <w:rFonts w:hint="eastAsia" w:ascii="宋体" w:hAnsi="宋体" w:cs="宋体"/>
          <w:b/>
          <w:color w:val="auto"/>
          <w:sz w:val="24"/>
          <w:highlight w:val="none"/>
          <w:lang w:val="zh-CN"/>
        </w:rPr>
        <w:t>标注页码。</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暗标中不得出现报价投标人名称、人员姓名；要求版面整洁、字迹清楚、不许涂改，不得出现能显示企业特征或其它提示性的标记或标识，也不得采用任何不符合常规、有别于其他报价投标人的特殊做法。</w:t>
      </w:r>
    </w:p>
    <w:p>
      <w:pPr>
        <w:pStyle w:val="21"/>
        <w:spacing w:line="360" w:lineRule="auto"/>
        <w:ind w:firstLine="472" w:firstLineChars="196"/>
        <w:rPr>
          <w:rFonts w:ascii="宋体" w:hAnsi="宋体"/>
          <w:b/>
          <w:color w:val="auto"/>
          <w:sz w:val="24"/>
          <w:highlight w:val="none"/>
        </w:rPr>
      </w:pPr>
      <w:r>
        <w:rPr>
          <w:rFonts w:hint="eastAsia" w:ascii="宋体" w:hAnsi="宋体" w:cs="宋体"/>
          <w:b/>
          <w:color w:val="auto"/>
          <w:sz w:val="24"/>
          <w:highlight w:val="none"/>
        </w:rPr>
        <w:t>排版要求：使用word文件形式，A4白色复印纸单面黑</w:t>
      </w:r>
      <w:r>
        <w:rPr>
          <w:rFonts w:hint="eastAsia" w:ascii="宋体" w:hAnsi="宋体" w:cs="宋体"/>
          <w:b/>
          <w:color w:val="auto"/>
          <w:sz w:val="24"/>
          <w:szCs w:val="22"/>
          <w:highlight w:val="none"/>
        </w:rPr>
        <w:t>色打印，页边距上下左右各为2.5厘米，字体</w:t>
      </w:r>
      <w:r>
        <w:rPr>
          <w:rFonts w:hint="eastAsia" w:ascii="宋体" w:hAnsi="宋体" w:cs="宋体"/>
          <w:b/>
          <w:color w:val="auto"/>
          <w:sz w:val="24"/>
          <w:highlight w:val="none"/>
        </w:rPr>
        <w:t>为小四号宋体，不得出现手写；单倍行间距；不得有任何加粗、斜体、下划线、边框、底纹、阴影等标记；</w:t>
      </w:r>
      <w:r>
        <w:rPr>
          <w:rFonts w:hint="eastAsia" w:ascii="宋体" w:hAnsi="宋体" w:cs="宋体"/>
          <w:b/>
          <w:bCs/>
          <w:color w:val="auto"/>
          <w:sz w:val="24"/>
          <w:highlight w:val="none"/>
        </w:rPr>
        <w:t>不得有空白页；</w:t>
      </w:r>
      <w:r>
        <w:rPr>
          <w:rFonts w:hint="eastAsia" w:ascii="宋体" w:hAnsi="宋体" w:cs="宋体"/>
          <w:b/>
          <w:color w:val="auto"/>
          <w:sz w:val="24"/>
          <w:highlight w:val="none"/>
        </w:rPr>
        <w:t>不得设置页眉，</w:t>
      </w:r>
      <w:r>
        <w:rPr>
          <w:rFonts w:hint="eastAsia" w:ascii="宋体" w:hAnsi="宋体" w:cs="宋体"/>
          <w:b/>
          <w:bCs/>
          <w:color w:val="auto"/>
          <w:sz w:val="24"/>
          <w:highlight w:val="none"/>
        </w:rPr>
        <w:t>页脚只准出现页码，设在页脚对中位置，页码应当连续；编制目录，从目录页后开始编制页码，页码采用宋体五号阿拉伯数字小写（如1、2、3…），装订必须在左侧装订</w:t>
      </w:r>
      <w:r>
        <w:rPr>
          <w:rFonts w:hint="eastAsia" w:ascii="宋体" w:hAnsi="宋体" w:cs="宋体"/>
          <w:b/>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图表中字体用宋体字，字号不作限制。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11.投标费用自理。</w:t>
      </w:r>
    </w:p>
    <w:p>
      <w:pPr>
        <w:spacing w:line="360" w:lineRule="auto"/>
        <w:ind w:firstLine="241" w:firstLineChars="100"/>
        <w:outlineLvl w:val="0"/>
        <w:rPr>
          <w:rFonts w:ascii="宋体" w:hAnsi="宋体" w:cs="宋体"/>
          <w:b/>
          <w:color w:val="auto"/>
          <w:sz w:val="24"/>
          <w:highlight w:val="none"/>
        </w:rPr>
      </w:pPr>
      <w:r>
        <w:rPr>
          <w:rFonts w:hint="eastAsia" w:ascii="宋体" w:hAnsi="宋体" w:cs="宋体"/>
          <w:b/>
          <w:color w:val="auto"/>
          <w:sz w:val="24"/>
          <w:highlight w:val="none"/>
        </w:rPr>
        <w:t>（八）无效投标文件的确认：</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投标人有下列情况之一者，其投标文件无效：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1.投标文件未按规定的期限、地点送达的；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2.投标文件未按要求密封、签署、盖章的；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3.投标人的法定代表人或法定代表人授权代表，未准时参加投标会议的；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4.投标人的法定代表人授权代表无法定代表人授权委托书的；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5.不具备</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文件中规定的资格要求及未按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文件规定的要求提供资格证明文件的；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6.投标文件含有采购人不能接受的附加条件的；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7.投标文件未按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文件规定的格式、内容和要求填写、制作的；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8.投标文件书写潦草、字迹模糊不清、无法辨认的；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9.投标文件中有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文件未允许提供的选择性内容的；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10.恶意串通其他投标人，故意哄抬价格或压价的；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11.提供虚假材料的（包括工商营业执照、财务报表、资格证明文件等）；</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12.商务标（明标）和服务方案（暗标）未分别制作、装订、密封包装的；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13.投标文件商务标（明标）未加盖投标人公章及法定代表人或授权代表签字和盖章的；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14.不同投标人投标文件相互混装的；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15.不同投标人投标文件中的项目相关人员出现同一人的；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16.不同投标人聘请同一人为其投标提供技术或经济咨询服务的；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17.不同投标人的单位负责人为同一人或者存在直接控股、管理关系的；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18.投标人为本项目提供整体设计、规范编制或者项目管理、监理、检测等服务的；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19.不同投标人的投标文件异常一致或者投标报价呈规律性差异；</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20.投标文件商务标（明标）中同一方案有选择性报价且未声明以哪一个为准的；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21.服务方案（暗标）中出现该投标人单位名称、简称、人员姓名、Logo、商标、电话号码等任何标识标记及其他暗示性标志的；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22.商务标（明标）和服务方案（暗标），其中某一标被本项目评委确认为无效投标文件的；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23.改变</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文件规定的暂定价格或不可竞争费用的；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24.改变</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文件提供的工程量清单内容、特征、计量单位、数量；</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25.未按要求提供服务方案的；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26.服务方案编制粗糙，缺漏项较多；</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27.未按要求提供电子光盘或U盘或光盘或U盘内容不全、格式不符要求的；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28.投标文件报价出现前后不一致，投标人拒不确认修正后的报价的；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29.超过</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文件规定的最高限价的；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31.未通过初步资格性审查、投标文件资格性检查、 投标文件符合性检查的；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32.列入失信被执行人、重大税收违法案件当事人名单、政府采购严重违法失信行为记录名单及其他不符合《中华人民共和国政府采购法》第二十二条规定条件的；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33.投标人的投标报价畸高或畸低，但投标总报价与各分项报价不能相互对应，在询标时没有合理的解释或者不能提供计算依据和报价依据的；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34.不同投标人的投标文件的装订形式、纸张情况、目录序号、排版格式、文字风格等存在明显的相似性或一致性，特征显示由同一单位或者同一个人编制的；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35.不同投标人投标文件内容存在非正常一致、项目组成员或者联系人员出现同一人、投标文件中错误（或异常）一致或雷同、电子文档信息一致或雷同的；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36.不同投标人的委托代理人、项目负责人以及其他相关人员有在同一个单位缴纳社会保险的；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37.同一投标文件中单位名称落款与公章不是同一单位的；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38.不同投标人委托同一单位或者个人办理投标事宜的；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39.单位负责人为同一人或者存在直接控股、管理关系的不同投标人；</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40.投标文件内容不全或不符合法律法规和</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文件中规定的其他实质性要求的。</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41.投标人未遵循公平竞争的原则，恶意串通，妨碍其他投标人的竞争行为，损害采购人或者其他投标人的合法权益的。</w:t>
      </w:r>
    </w:p>
    <w:p>
      <w:pPr>
        <w:spacing w:line="360" w:lineRule="auto"/>
        <w:ind w:firstLine="200"/>
        <w:outlineLvl w:val="0"/>
        <w:rPr>
          <w:rFonts w:ascii="宋体" w:hAnsi="宋体" w:cs="宋体"/>
          <w:b/>
          <w:color w:val="auto"/>
          <w:sz w:val="24"/>
          <w:highlight w:val="none"/>
        </w:rPr>
      </w:pPr>
      <w:r>
        <w:rPr>
          <w:rFonts w:hint="eastAsia" w:ascii="宋体" w:hAnsi="宋体" w:cs="宋体"/>
          <w:b/>
          <w:color w:val="auto"/>
          <w:sz w:val="24"/>
          <w:highlight w:val="none"/>
        </w:rPr>
        <w:t>（九） 开标、评标：</w:t>
      </w:r>
    </w:p>
    <w:p>
      <w:pPr>
        <w:tabs>
          <w:tab w:val="left" w:pos="840"/>
          <w:tab w:val="left" w:pos="1050"/>
          <w:tab w:val="left" w:pos="1146"/>
          <w:tab w:val="left" w:pos="177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1、开标工作程序</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开标由采购人或者代理机构主持，邀请投标人参加。</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1.1密封性审查：</w:t>
      </w:r>
    </w:p>
    <w:p>
      <w:pPr>
        <w:tabs>
          <w:tab w:val="left" w:pos="840"/>
          <w:tab w:val="left" w:pos="105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由投标人或其推选的代表检查投标文件的密封情况；</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 初步资格性审查：</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由工作人员在公证或监督下，按照投标人签到时间顺序进行。审查内容有：</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1.2.1投标人的投标文件是否规定的期限、地点送达；</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1.2.2投标人的法定代表人或负责人或授权代表是否准时参加开标会议。</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1.2.3投标人的法定代表人授权代表是否提供有效的身份证明和法定代表人授权委托书。（必须单独出具授权委托书原件，不另行拆封原件资料和响应文件）</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1.3信用信息查询</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采购人或采购代理机构在</w:t>
      </w:r>
      <w:r>
        <w:rPr>
          <w:rFonts w:hint="eastAsia" w:ascii="宋体" w:hAnsi="宋体" w:cs="宋体"/>
          <w:color w:val="auto"/>
          <w:sz w:val="24"/>
          <w:highlight w:val="none"/>
        </w:rPr>
        <w:t>投标截止时间</w:t>
      </w:r>
      <w:r>
        <w:rPr>
          <w:rFonts w:hint="eastAsia" w:ascii="宋体" w:hAnsi="宋体" w:cs="宋体"/>
          <w:color w:val="auto"/>
          <w:sz w:val="24"/>
          <w:szCs w:val="20"/>
          <w:highlight w:val="none"/>
        </w:rPr>
        <w:t>前通过“信用中国”网站(www.creditchina.gov.cn)、中国政府采购网(www.ccgp.gov.cn）等渠道查询相关投标人主体信用记录，对列入失信被执行人、重大税收违法案件当事人名单、政府采购严重违法失信行为记录名单及其他不符合《中华人民共和国政府采购法》第二十二条规定条件的投标人，拒绝其参与政府采购活动。</w:t>
      </w:r>
    </w:p>
    <w:p>
      <w:pPr>
        <w:tabs>
          <w:tab w:val="left" w:pos="840"/>
          <w:tab w:val="left" w:pos="1050"/>
        </w:tabs>
        <w:spacing w:line="360" w:lineRule="auto"/>
        <w:ind w:firstLine="480" w:firstLineChars="200"/>
        <w:rPr>
          <w:rFonts w:ascii="宋体" w:hAnsi="宋体" w:cs="宋体"/>
          <w:color w:val="auto"/>
          <w:highlight w:val="none"/>
        </w:rPr>
      </w:pPr>
      <w:r>
        <w:rPr>
          <w:rFonts w:hint="eastAsia" w:ascii="宋体" w:hAnsi="宋体" w:cs="宋体"/>
          <w:color w:val="auto"/>
          <w:sz w:val="24"/>
          <w:szCs w:val="20"/>
          <w:highlight w:val="none"/>
        </w:rPr>
        <w:t>采购人或采购代理机构通过相关渠道查询的投标人主体信用记录，与项目其他采购资料一并保存</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2、唱标</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2.1经初步资格性审查确认无误后的投标文件，由采购代理机构工作人员当众拆封，宣布投标人名称、投标价格和</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文件规定的需要宣布的其他内容</w:t>
      </w:r>
      <w:r>
        <w:rPr>
          <w:rFonts w:hint="eastAsia" w:ascii="宋体" w:hAnsi="宋体" w:cs="宋体"/>
          <w:color w:val="auto"/>
          <w:sz w:val="24"/>
          <w:szCs w:val="20"/>
          <w:highlight w:val="none"/>
        </w:rPr>
        <w:t>。</w:t>
      </w:r>
    </w:p>
    <w:p>
      <w:pPr>
        <w:tabs>
          <w:tab w:val="left" w:pos="840"/>
          <w:tab w:val="left" w:pos="1050"/>
          <w:tab w:val="left" w:pos="1146"/>
          <w:tab w:val="left" w:pos="177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3、抽取投标人暗标编号</w:t>
      </w:r>
    </w:p>
    <w:p>
      <w:pPr>
        <w:tabs>
          <w:tab w:val="left" w:pos="840"/>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由工作人员或采购人代表在公证或监督下，随机抽取暗标编号，并记录在暗标编号汇总表上，同时将对应的服务方案（暗标）副本封面上进行编号，服务方案（暗标）正本不拆封。暗标编号汇总表当场封存、专人保管，直至服务方案（暗标）和商务标（明标）评审全部结束才予打开。</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4、评标工作程序：</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4.1由专家及采购人代表组成评标委员会，并实行回避制度。</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4.2评审时，投标文件出现不一致情形的，按下列规定执行：</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4.2.1投标文件正本与副本不符的，以正本为准。</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4.2.2投标文件报价出现前后不一致的，按照下列规定修正：</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（1）投标文件中开标一览表（报价表）内容与投标文件中相应内容不一致的，以开标一览表（报价表）为准；</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（2）大写金额和小写金额不一致的，以大写金额为准；</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（3）单价金额小数点或者百分比有明显错位的，以开标一览表的总价为准，并修改单价；</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（4）总价金额与按单价汇总金额不一致的，以单价金额计算结果为准。</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5）同时出现两种以上不一致的，按照上述（1）-（4）款规定的顺序修正。修正后的报价经投标人书面澄清、说明或者补正，并加盖公章，或者有法定代表人或其授权的代表签字作为确认后产生约束力，投标人不确认的，其投标无效。</w:t>
      </w:r>
    </w:p>
    <w:p>
      <w:pPr>
        <w:tabs>
          <w:tab w:val="left" w:pos="840"/>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4.3投标文件资格性检查。</w:t>
      </w:r>
    </w:p>
    <w:p>
      <w:pPr>
        <w:tabs>
          <w:tab w:val="left" w:pos="840"/>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4.3.1投标文件资格性检查由资格审查小组负责。资格审查小组有采购人和代理机构组成。</w:t>
      </w:r>
    </w:p>
    <w:p>
      <w:pPr>
        <w:tabs>
          <w:tab w:val="left" w:pos="525"/>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highlight w:val="none"/>
        </w:rPr>
        <w:t>4.3.2</w:t>
      </w:r>
      <w:r>
        <w:rPr>
          <w:rFonts w:hint="eastAsia" w:ascii="宋体" w:hAnsi="宋体" w:cs="宋体"/>
          <w:bCs/>
          <w:color w:val="auto"/>
          <w:sz w:val="24"/>
          <w:szCs w:val="20"/>
          <w:highlight w:val="none"/>
        </w:rPr>
        <w:t>依据法律法规和</w:t>
      </w:r>
      <w:r>
        <w:rPr>
          <w:rFonts w:hint="eastAsia" w:ascii="宋体" w:hAnsi="宋体" w:cs="宋体"/>
          <w:color w:val="auto"/>
          <w:sz w:val="24"/>
          <w:highlight w:val="none"/>
          <w:lang w:val="en-US" w:eastAsia="zh-CN"/>
        </w:rPr>
        <w:t>采购</w:t>
      </w:r>
      <w:r>
        <w:rPr>
          <w:rFonts w:hint="eastAsia" w:ascii="宋体" w:hAnsi="宋体" w:cs="宋体"/>
          <w:bCs/>
          <w:color w:val="auto"/>
          <w:sz w:val="24"/>
          <w:szCs w:val="20"/>
          <w:highlight w:val="none"/>
        </w:rPr>
        <w:t>文件的规定，对投标文件中的资格证明等进行审查，以确定投标人提供资格证明的合法性、真实性，是否具备投标资格。</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4.3.3对意见难以统一或出现争议的事项，提交评标委员会全体成员进行表决。</w:t>
      </w:r>
    </w:p>
    <w:p>
      <w:pPr>
        <w:tabs>
          <w:tab w:val="left" w:pos="1365"/>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4.4 投标文件符合性检查。</w:t>
      </w:r>
    </w:p>
    <w:p>
      <w:pPr>
        <w:tabs>
          <w:tab w:val="left" w:pos="525"/>
        </w:tabs>
        <w:spacing w:line="360" w:lineRule="auto"/>
        <w:ind w:firstLine="480" w:firstLineChars="200"/>
        <w:rPr>
          <w:rFonts w:ascii="宋体" w:hAnsi="宋体" w:cs="宋体"/>
          <w:b/>
          <w:color w:val="auto"/>
          <w:sz w:val="24"/>
          <w:szCs w:val="20"/>
          <w:highlight w:val="none"/>
        </w:rPr>
      </w:pPr>
      <w:r>
        <w:rPr>
          <w:rFonts w:hint="eastAsia" w:ascii="宋体" w:hAnsi="宋体" w:cs="宋体"/>
          <w:bCs/>
          <w:color w:val="auto"/>
          <w:sz w:val="24"/>
          <w:szCs w:val="20"/>
          <w:highlight w:val="none"/>
        </w:rPr>
        <w:t>4.4.1</w:t>
      </w:r>
      <w:r>
        <w:rPr>
          <w:rFonts w:hint="eastAsia" w:ascii="宋体" w:hAnsi="宋体" w:cs="宋体"/>
          <w:bCs/>
          <w:color w:val="auto"/>
          <w:sz w:val="24"/>
          <w:highlight w:val="none"/>
        </w:rPr>
        <w:t>明标评审小组对投标人的投标文件商务标（明标）进行</w:t>
      </w:r>
      <w:r>
        <w:rPr>
          <w:rFonts w:hint="eastAsia" w:ascii="宋体" w:hAnsi="宋体" w:cs="宋体"/>
          <w:bCs/>
          <w:color w:val="auto"/>
          <w:sz w:val="24"/>
          <w:szCs w:val="20"/>
          <w:highlight w:val="none"/>
        </w:rPr>
        <w:t>符合性审查</w:t>
      </w:r>
      <w:r>
        <w:rPr>
          <w:rFonts w:hint="eastAsia" w:ascii="宋体" w:hAnsi="宋体" w:cs="宋体"/>
          <w:b/>
          <w:color w:val="auto"/>
          <w:sz w:val="24"/>
          <w:szCs w:val="20"/>
          <w:highlight w:val="none"/>
        </w:rPr>
        <w:t>，</w:t>
      </w:r>
      <w:r>
        <w:rPr>
          <w:rFonts w:hint="eastAsia" w:ascii="宋体" w:hAnsi="宋体" w:cs="宋体"/>
          <w:bCs/>
          <w:color w:val="auto"/>
          <w:sz w:val="24"/>
          <w:szCs w:val="20"/>
          <w:highlight w:val="none"/>
        </w:rPr>
        <w:t>以确定其是否满足</w:t>
      </w:r>
      <w:r>
        <w:rPr>
          <w:rFonts w:hint="eastAsia" w:ascii="宋体" w:hAnsi="宋体" w:cs="宋体"/>
          <w:color w:val="auto"/>
          <w:sz w:val="24"/>
          <w:highlight w:val="none"/>
          <w:lang w:val="en-US" w:eastAsia="zh-CN"/>
        </w:rPr>
        <w:t>采购</w:t>
      </w:r>
      <w:r>
        <w:rPr>
          <w:rFonts w:hint="eastAsia" w:ascii="宋体" w:hAnsi="宋体" w:cs="宋体"/>
          <w:bCs/>
          <w:color w:val="auto"/>
          <w:sz w:val="24"/>
          <w:szCs w:val="20"/>
          <w:highlight w:val="none"/>
        </w:rPr>
        <w:t>文件的实质性要求。</w:t>
      </w:r>
    </w:p>
    <w:p>
      <w:pPr>
        <w:tabs>
          <w:tab w:val="left" w:pos="525"/>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4.4.2</w:t>
      </w:r>
      <w:r>
        <w:rPr>
          <w:rFonts w:hint="eastAsia" w:ascii="宋体" w:hAnsi="宋体" w:cs="宋体"/>
          <w:bCs/>
          <w:color w:val="auto"/>
          <w:sz w:val="24"/>
          <w:highlight w:val="none"/>
        </w:rPr>
        <w:t>暗标评审小组对投标人的服务方案（暗标）进行</w:t>
      </w:r>
      <w:r>
        <w:rPr>
          <w:rFonts w:hint="eastAsia" w:ascii="宋体" w:hAnsi="宋体" w:cs="宋体"/>
          <w:bCs/>
          <w:color w:val="auto"/>
          <w:sz w:val="24"/>
          <w:szCs w:val="20"/>
          <w:highlight w:val="none"/>
        </w:rPr>
        <w:t>符合性审查，以确定其是否满足</w:t>
      </w:r>
      <w:r>
        <w:rPr>
          <w:rFonts w:hint="eastAsia" w:ascii="宋体" w:hAnsi="宋体" w:cs="宋体"/>
          <w:color w:val="auto"/>
          <w:sz w:val="24"/>
          <w:highlight w:val="none"/>
          <w:lang w:val="en-US" w:eastAsia="zh-CN"/>
        </w:rPr>
        <w:t>采购</w:t>
      </w:r>
      <w:r>
        <w:rPr>
          <w:rFonts w:hint="eastAsia" w:ascii="宋体" w:hAnsi="宋体" w:cs="宋体"/>
          <w:bCs/>
          <w:color w:val="auto"/>
          <w:sz w:val="24"/>
          <w:szCs w:val="20"/>
          <w:highlight w:val="none"/>
        </w:rPr>
        <w:t>文件的实质性要求。</w:t>
      </w:r>
    </w:p>
    <w:p>
      <w:pPr>
        <w:tabs>
          <w:tab w:val="left" w:pos="90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4.4.3评标委员会认为：投标文件中有含义不明确、同类问题表述不一致或者有明显文字和计算错误的；</w:t>
      </w:r>
      <w:r>
        <w:rPr>
          <w:rFonts w:hint="eastAsia" w:ascii="宋体" w:hAnsi="宋体" w:cs="宋体"/>
          <w:bCs/>
          <w:color w:val="auto"/>
          <w:sz w:val="24"/>
          <w:highlight w:val="none"/>
        </w:rPr>
        <w:t>投标报价畸高或畸低，投标总报价与各分项报价不能相互对应；</w:t>
      </w:r>
      <w:r>
        <w:rPr>
          <w:rFonts w:hint="eastAsia" w:ascii="宋体" w:hAnsi="宋体" w:cs="宋体"/>
          <w:bCs/>
          <w:color w:val="auto"/>
          <w:sz w:val="24"/>
          <w:szCs w:val="20"/>
          <w:highlight w:val="none"/>
        </w:rPr>
        <w:t>投标人的投标报价明显低于其他通过符合性审查投标人的报价（有可能影响产品质量或者不能诚信履约的）；应以书面形式提出询标内容，由招标工作人员传递给投标人授权代表或法定代表人。投标人授权代表或法定代表人以书面形式（30分钟内）作出澄清、说明或者补正，明标部分投标供商盖公章或法定代表人签字或被授权委托人签字予以确认，暗标部分由投标人授权代表或法定代表人按手印代替签字。在暗标评审小组确认签字时，签署“×（服务方案编号）号投标人”。投标人的澄清、说明或者补正不得超出投标文件的范围或者改变投标文件的实质性内容。</w:t>
      </w:r>
    </w:p>
    <w:p>
      <w:pPr>
        <w:tabs>
          <w:tab w:val="left" w:pos="1365"/>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4.5比较与评价</w:t>
      </w:r>
    </w:p>
    <w:p>
      <w:pPr>
        <w:tabs>
          <w:tab w:val="left" w:pos="1365"/>
        </w:tabs>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0"/>
          <w:highlight w:val="none"/>
        </w:rPr>
        <w:t>4.5</w:t>
      </w:r>
      <w:r>
        <w:rPr>
          <w:rFonts w:hint="eastAsia" w:ascii="宋体" w:hAnsi="宋体" w:cs="宋体"/>
          <w:color w:val="auto"/>
          <w:sz w:val="24"/>
          <w:szCs w:val="22"/>
          <w:highlight w:val="none"/>
        </w:rPr>
        <w:t>.1投标文件资格性检查和符合性检查结束后，凡属于“（八）无效投标文件的确认”的投标文件不进入比较与评价程序。</w:t>
      </w:r>
    </w:p>
    <w:p>
      <w:pPr>
        <w:tabs>
          <w:tab w:val="left" w:pos="1365"/>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4.5</w:t>
      </w:r>
      <w:r>
        <w:rPr>
          <w:rFonts w:hint="eastAsia" w:ascii="宋体" w:hAnsi="宋体" w:cs="宋体"/>
          <w:color w:val="auto"/>
          <w:sz w:val="24"/>
          <w:szCs w:val="22"/>
          <w:highlight w:val="none"/>
        </w:rPr>
        <w:t>.2经评审有效的投标文件按采购文件中规定的评标方法和标准，由评标委员会进行比较与评价。</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szCs w:val="20"/>
          <w:highlight w:val="none"/>
        </w:rPr>
        <w:t>4.5</w:t>
      </w:r>
      <w:r>
        <w:rPr>
          <w:rFonts w:hint="eastAsia" w:ascii="宋体" w:hAnsi="宋体" w:cs="宋体"/>
          <w:b/>
          <w:bCs/>
          <w:color w:val="auto"/>
          <w:sz w:val="24"/>
          <w:szCs w:val="22"/>
          <w:highlight w:val="none"/>
        </w:rPr>
        <w:t>.</w:t>
      </w:r>
      <w:r>
        <w:rPr>
          <w:rFonts w:hint="eastAsia" w:ascii="宋体" w:hAnsi="宋体" w:cs="宋体"/>
          <w:bCs/>
          <w:color w:val="auto"/>
          <w:sz w:val="24"/>
          <w:highlight w:val="none"/>
        </w:rPr>
        <w:t>3明标评审小组负责对</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文件评分标准中涉及的投标人投标价格、业绩、答辩、信誉等明标部分内容进行评审；</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szCs w:val="20"/>
          <w:highlight w:val="none"/>
        </w:rPr>
        <w:t>4.5</w:t>
      </w:r>
      <w:r>
        <w:rPr>
          <w:rFonts w:hint="eastAsia" w:ascii="宋体" w:hAnsi="宋体" w:cs="宋体"/>
          <w:b/>
          <w:bCs/>
          <w:color w:val="auto"/>
          <w:sz w:val="24"/>
          <w:szCs w:val="22"/>
          <w:highlight w:val="none"/>
        </w:rPr>
        <w:t>.</w:t>
      </w:r>
      <w:r>
        <w:rPr>
          <w:rFonts w:hint="eastAsia" w:ascii="宋体" w:hAnsi="宋体" w:cs="宋体"/>
          <w:bCs/>
          <w:color w:val="auto"/>
          <w:sz w:val="24"/>
          <w:highlight w:val="none"/>
        </w:rPr>
        <w:t>4暗标评审小组负责对</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文件评分标准中涉及的技术方案、性能、服务质量等暗标部分内容进行评审。</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评审中，暗标评审小组成员不接触明标商务标文本。需要对照、查阅明标商务标有关内容的，由工作人员在公证或监督下查阅告知。</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color w:val="auto"/>
          <w:sz w:val="24"/>
          <w:szCs w:val="20"/>
          <w:highlight w:val="none"/>
        </w:rPr>
        <w:t>4.5</w:t>
      </w:r>
      <w:r>
        <w:rPr>
          <w:rFonts w:hint="eastAsia" w:ascii="宋体" w:hAnsi="宋体" w:cs="宋体"/>
          <w:b/>
          <w:bCs/>
          <w:color w:val="auto"/>
          <w:sz w:val="24"/>
          <w:szCs w:val="22"/>
          <w:highlight w:val="none"/>
        </w:rPr>
        <w:t>.</w:t>
      </w:r>
      <w:r>
        <w:rPr>
          <w:rFonts w:hint="eastAsia" w:ascii="宋体" w:hAnsi="宋体" w:cs="宋体"/>
          <w:bCs/>
          <w:color w:val="auto"/>
          <w:sz w:val="24"/>
          <w:highlight w:val="none"/>
        </w:rPr>
        <w:t>5服务方案暗标和商务标明标评审全部结束后，由工作人员在公证或监督下，在评标室当场核对、公布各投标人服务方案编号，汇总各投标人商务标和服务方案得分，确定各投标人总分和最终排序。</w:t>
      </w:r>
    </w:p>
    <w:p>
      <w:pPr>
        <w:tabs>
          <w:tab w:val="left" w:pos="525"/>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5、评标方法</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投标人通过资格性与符合性审查的，方可进入比较与评价程序。</w:t>
      </w:r>
    </w:p>
    <w:p>
      <w:pPr>
        <w:tabs>
          <w:tab w:val="left" w:pos="1365"/>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比较与评价采用综合评分法（计分均保留2位小数），评审委员会遵循公平、公正、择优原则，独立按照评分标准分别评定投标人的分值；评标结果按评审后得分由高到低顺序排列。得分相同的，按投标报价由低到高顺序排列。得分且投标报价相同的并列。投标文件满足</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文件全部实质性要求，且按照评审因素的量化指标评审得分最高的投标人为排名第一的中标候选人。未列入本评分标准的其他条件不作为评分内容</w:t>
      </w:r>
      <w:r>
        <w:rPr>
          <w:rFonts w:hint="eastAsia" w:ascii="宋体" w:hAnsi="宋体" w:cs="宋体"/>
          <w:b/>
          <w:bCs/>
          <w:color w:val="auto"/>
          <w:sz w:val="24"/>
          <w:highlight w:val="none"/>
        </w:rPr>
        <w:t>。</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具体评分标准如下：</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1.评分项目及总分（总分100分）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（1）报价                                     15分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（2）投标人评价                               28分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（3）项目负责人答辩                            6分</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（4）服务</w:t>
      </w:r>
      <w:r>
        <w:rPr>
          <w:rFonts w:hint="eastAsia" w:ascii="宋体" w:hAnsi="宋体" w:cs="宋体"/>
          <w:b/>
          <w:bCs/>
          <w:color w:val="auto"/>
          <w:sz w:val="24"/>
          <w:highlight w:val="none"/>
        </w:rPr>
        <w:t>方案</w:t>
      </w:r>
      <w:r>
        <w:rPr>
          <w:rFonts w:hint="eastAsia" w:ascii="宋体" w:hAnsi="宋体" w:cs="宋体"/>
          <w:b/>
          <w:color w:val="auto"/>
          <w:sz w:val="24"/>
          <w:highlight w:val="none"/>
        </w:rPr>
        <w:t>（暗标部分</w:t>
      </w:r>
      <w:r>
        <w:rPr>
          <w:rFonts w:hint="eastAsia" w:ascii="宋体" w:hAnsi="宋体" w:cs="宋体"/>
          <w:b/>
          <w:bCs/>
          <w:color w:val="auto"/>
          <w:sz w:val="24"/>
          <w:highlight w:val="none"/>
        </w:rPr>
        <w:t xml:space="preserve">）                     51分 </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2.各项目评分标准：</w:t>
      </w:r>
    </w:p>
    <w:p>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一、明标部分：</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（1）报价：（15分）</w:t>
      </w:r>
    </w:p>
    <w:p>
      <w:pPr>
        <w:tabs>
          <w:tab w:val="left" w:pos="945"/>
          <w:tab w:val="left" w:pos="1155"/>
        </w:tabs>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各投标人的有效报价，满足</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文件要求且经评审的价格有效的最低报价为基准价，其价格得满分。其他投标人的价格分统一按照下列公式计算：</w:t>
      </w:r>
    </w:p>
    <w:p>
      <w:pPr>
        <w:tabs>
          <w:tab w:val="left" w:pos="945"/>
          <w:tab w:val="left" w:pos="1155"/>
        </w:tabs>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报价得分=（基准价/投标报价) ×价格权值×100</w:t>
      </w:r>
    </w:p>
    <w:p>
      <w:pPr>
        <w:spacing w:line="360" w:lineRule="auto"/>
        <w:ind w:firstLine="544" w:firstLineChars="227"/>
        <w:rPr>
          <w:rFonts w:ascii="宋体" w:hAnsi="宋体" w:cs="宋体"/>
          <w:bCs/>
          <w:color w:val="auto"/>
          <w:sz w:val="24"/>
          <w:highlight w:val="none"/>
        </w:rPr>
      </w:pPr>
      <w:r>
        <w:rPr>
          <w:rFonts w:hint="eastAsia" w:ascii="宋体" w:hAnsi="宋体" w:cs="宋体"/>
          <w:color w:val="auto"/>
          <w:sz w:val="24"/>
          <w:highlight w:val="none"/>
        </w:rPr>
        <w:t>价格扣除：根据《政府采购促进中小企业发展管理办法》（财库﹝2020﹞46 号）的规定，对于非专门面向中小微企业的项目，对小型和微型企业产品价格给予扣除，用扣除后的价格参与评审。本项目对小型和微型企业产品价格给予10%的扣除，用扣除后的价格参与评审。残疾人福利性单位、监狱企业视同小型、微型企业，还应提供以下有效证明文件（如未按要求填写和提供有效证明或相关内容表述不清的，不得享受价格扣除）。①参与政府采购活动的投标人对其企业规模实行承诺制，由企业自行对照国家《关于印发中小企业划型标准规定的通知》工信部联企业〔2011〕300号文件内容诚信确定自身企业规模，按照《政府采购促进中小企业发展管理办法》（财库〔2020〕46号）的规定提供《中小企业声明函》（格式见附件），对其声明的真实性承担法律责任，在资格审查和评审过程中无需提供证明其企业规模的其他材料。②参加投标的监狱企业，应当按照《关于政府采购支持监狱企业发展有关问题的通知》（财库[2014]68号）的规定提供由省级以上监狱管理局、戒毒管理局(含新疆生产建设兵团)出具的属于监狱企业的证明文件复印件。③参加投标的残疾人福利性单位，应当按照《财政部、民政部、中国残疾人联合会关于促进残疾人就业政府采购政策的通知》（财库〔2017〕141号）的规定提供《残疾人福利性单位声明函》。注：同一投标人，上述三项价格扣除优惠不得重复享受。</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（2）投标人评价（28分）</w:t>
      </w:r>
    </w:p>
    <w:p>
      <w:pP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1）体系认证（3分）：</w:t>
      </w:r>
      <w:r>
        <w:rPr>
          <w:rFonts w:hint="eastAsia"/>
          <w:color w:val="auto"/>
          <w:sz w:val="24"/>
          <w:highlight w:val="none"/>
        </w:rPr>
        <w:t>投标人</w:t>
      </w:r>
      <w:r>
        <w:rPr>
          <w:rFonts w:hint="eastAsia" w:ascii="宋体" w:hAnsi="宋体" w:cs="宋体"/>
          <w:color w:val="auto"/>
          <w:sz w:val="24"/>
          <w:highlight w:val="none"/>
        </w:rPr>
        <w:t>提供有效的体系认证文件，质量管理体系、环境管理体系、职业健康与安全管理体系，每提供1个得1分，最高得3分</w:t>
      </w:r>
      <w:r>
        <w:rPr>
          <w:rFonts w:hint="eastAsia" w:ascii="宋体" w:hAnsi="宋体" w:cs="宋体"/>
          <w:b/>
          <w:bCs/>
          <w:color w:val="auto"/>
          <w:sz w:val="24"/>
          <w:highlight w:val="none"/>
        </w:rPr>
        <w:t>（证书复印件并加盖公章放入补充证明文件中，投标时提供</w:t>
      </w:r>
      <w:r>
        <w:rPr>
          <w:rFonts w:hint="eastAsia"/>
          <w:b/>
          <w:bCs/>
          <w:color w:val="auto"/>
          <w:sz w:val="24"/>
          <w:highlight w:val="none"/>
        </w:rPr>
        <w:t>第三方认证机构的认证证书</w:t>
      </w:r>
      <w:r>
        <w:rPr>
          <w:rFonts w:hint="eastAsia" w:ascii="宋体" w:hAnsi="宋体" w:cs="宋体"/>
          <w:b/>
          <w:bCs/>
          <w:color w:val="auto"/>
          <w:sz w:val="24"/>
          <w:highlight w:val="none"/>
        </w:rPr>
        <w:t>原件和</w:t>
      </w:r>
      <w:r>
        <w:rPr>
          <w:rFonts w:hint="cs" w:ascii="宋体" w:hAnsi="宋体" w:cs="宋体"/>
          <w:b/>
          <w:bCs/>
          <w:color w:val="auto"/>
          <w:sz w:val="24"/>
          <w:highlight w:val="none"/>
          <w:cs/>
        </w:rPr>
        <w:t>“</w:t>
      </w:r>
      <w:r>
        <w:rPr>
          <w:rFonts w:hint="eastAsia" w:ascii="宋体" w:hAnsi="宋体" w:cs="宋体"/>
          <w:b/>
          <w:bCs/>
          <w:color w:val="auto"/>
          <w:sz w:val="24"/>
          <w:highlight w:val="none"/>
        </w:rPr>
        <w:t>全国认证认可信息公共服务平台</w:t>
      </w:r>
      <w:r>
        <w:rPr>
          <w:rFonts w:hint="cs" w:ascii="宋体" w:hAnsi="宋体" w:cs="宋体"/>
          <w:b/>
          <w:bCs/>
          <w:color w:val="auto"/>
          <w:sz w:val="24"/>
          <w:highlight w:val="none"/>
          <w:cs/>
        </w:rPr>
        <w:t>”</w:t>
      </w:r>
      <w:r>
        <w:rPr>
          <w:rFonts w:ascii="宋体" w:hAnsi="宋体" w:cs="宋体"/>
          <w:b/>
          <w:bCs/>
          <w:color w:val="auto"/>
          <w:sz w:val="24"/>
          <w:highlight w:val="none"/>
        </w:rPr>
        <w:t xml:space="preserve"> http://cx.cnca.cn </w:t>
      </w:r>
      <w:r>
        <w:rPr>
          <w:rFonts w:hint="eastAsia" w:ascii="宋体" w:hAnsi="宋体" w:cs="宋体"/>
          <w:b/>
          <w:bCs/>
          <w:color w:val="auto"/>
          <w:sz w:val="24"/>
          <w:highlight w:val="none"/>
        </w:rPr>
        <w:t>查询截图，不提供不得分）。</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2）业绩（6分）：</w:t>
      </w:r>
      <w:r>
        <w:rPr>
          <w:rFonts w:hint="eastAsia"/>
          <w:color w:val="auto"/>
          <w:sz w:val="24"/>
          <w:highlight w:val="none"/>
        </w:rPr>
        <w:t>投标人</w:t>
      </w:r>
      <w:r>
        <w:rPr>
          <w:rFonts w:hint="eastAsia" w:ascii="宋体" w:hAnsi="宋体" w:cs="宋体"/>
          <w:color w:val="auto"/>
          <w:sz w:val="24"/>
          <w:highlight w:val="none"/>
        </w:rPr>
        <w:t>提供自2021年1月1日以来承担过类似业绩的，有一个得2分，最多得6分</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时间以合同签订时间为准，合同复印件加盖公章放入补充证明文件中，投标时提供有效原件，不提供不得分）。</w:t>
      </w:r>
    </w:p>
    <w:p>
      <w:pP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w:t>
      </w:r>
      <w:r>
        <w:rPr>
          <w:rFonts w:hint="eastAsia"/>
          <w:color w:val="auto"/>
          <w:sz w:val="24"/>
          <w:highlight w:val="none"/>
        </w:rPr>
        <w:t>投标人具有生活垃圾分类服务能力认证证书、智慧环卫作业服务企业资质证书的，有1个得</w:t>
      </w:r>
      <w:r>
        <w:rPr>
          <w:rFonts w:hint="eastAsia"/>
          <w:color w:val="auto"/>
          <w:sz w:val="24"/>
          <w:highlight w:val="none"/>
          <w:lang w:val="en-US" w:eastAsia="zh-CN"/>
        </w:rPr>
        <w:t>3</w:t>
      </w:r>
      <w:r>
        <w:rPr>
          <w:rFonts w:hint="eastAsia"/>
          <w:color w:val="auto"/>
          <w:sz w:val="24"/>
          <w:highlight w:val="none"/>
        </w:rPr>
        <w:t>分，最高得6分</w:t>
      </w:r>
      <w:r>
        <w:rPr>
          <w:rFonts w:hint="eastAsia"/>
          <w:b/>
          <w:bCs/>
          <w:color w:val="auto"/>
          <w:sz w:val="24"/>
          <w:highlight w:val="none"/>
        </w:rPr>
        <w:t>（证</w:t>
      </w:r>
      <w:r>
        <w:rPr>
          <w:rFonts w:hint="eastAsia" w:ascii="宋体" w:hAnsi="宋体" w:cs="宋体"/>
          <w:b/>
          <w:bCs/>
          <w:color w:val="auto"/>
          <w:sz w:val="24"/>
          <w:highlight w:val="none"/>
        </w:rPr>
        <w:t>书复印件并加盖公章放入补充证明文件中，投标时提供</w:t>
      </w:r>
      <w:r>
        <w:rPr>
          <w:rFonts w:hint="eastAsia"/>
          <w:b/>
          <w:bCs/>
          <w:color w:val="auto"/>
          <w:sz w:val="24"/>
          <w:highlight w:val="none"/>
        </w:rPr>
        <w:t>证书</w:t>
      </w:r>
      <w:r>
        <w:rPr>
          <w:rFonts w:hint="eastAsia" w:ascii="宋体" w:hAnsi="宋体" w:cs="宋体"/>
          <w:b/>
          <w:bCs/>
          <w:color w:val="auto"/>
          <w:sz w:val="24"/>
          <w:highlight w:val="none"/>
        </w:rPr>
        <w:t>原件，不提供不得分）。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4）项目管理机构（13分）</w:t>
      </w:r>
    </w:p>
    <w:p>
      <w:pPr>
        <w:tabs>
          <w:tab w:val="left" w:pos="945"/>
          <w:tab w:val="left" w:pos="1155"/>
          <w:tab w:val="left" w:pos="2250"/>
        </w:tabs>
        <w:spacing w:line="360" w:lineRule="auto"/>
        <w:ind w:right="420" w:rightChars="200" w:firstLine="480" w:firstLineChars="200"/>
        <w:rPr>
          <w:rFonts w:ascii="宋体" w:hAnsi="宋体" w:cs="宋体"/>
          <w:b/>
          <w:bCs/>
          <w:color w:val="auto"/>
          <w:sz w:val="24"/>
          <w:highlight w:val="none"/>
        </w:rPr>
      </w:pPr>
      <w:r>
        <w:rPr>
          <w:rFonts w:hint="eastAsia" w:ascii="宋体" w:hAnsi="宋体" w:cs="宋体"/>
          <w:bCs/>
          <w:color w:val="auto"/>
          <w:sz w:val="24"/>
          <w:highlight w:val="none"/>
        </w:rPr>
        <w:t>①项目负责人</w:t>
      </w:r>
      <w:r>
        <w:rPr>
          <w:rFonts w:hint="eastAsia"/>
          <w:color w:val="auto"/>
          <w:sz w:val="24"/>
          <w:highlight w:val="none"/>
        </w:rPr>
        <w:t>具有高级项目经理证书的得2分</w:t>
      </w:r>
      <w:r>
        <w:rPr>
          <w:rFonts w:hint="eastAsia"/>
          <w:color w:val="auto"/>
          <w:sz w:val="24"/>
          <w:highlight w:val="none"/>
          <w:lang w:eastAsia="zh-CN"/>
        </w:rPr>
        <w:t>，</w:t>
      </w:r>
      <w:r>
        <w:rPr>
          <w:rFonts w:hint="eastAsia"/>
          <w:color w:val="auto"/>
          <w:sz w:val="24"/>
          <w:highlight w:val="none"/>
        </w:rPr>
        <w:t>具有本科学历的得1分</w:t>
      </w:r>
      <w:r>
        <w:rPr>
          <w:rFonts w:hint="eastAsia" w:ascii="宋体" w:hAnsi="宋体" w:cs="宋体"/>
          <w:b/>
          <w:bCs/>
          <w:color w:val="auto"/>
          <w:sz w:val="24"/>
          <w:highlight w:val="none"/>
        </w:rPr>
        <w:t>（提供投标人为其缴纳的近六个月（不含开标当月）的社保缴费证明、有效证书的复印件加盖公章放入投标文件中，投标时提供原件，不提供或提供不全的不得分）。</w:t>
      </w:r>
    </w:p>
    <w:p>
      <w:pPr>
        <w:tabs>
          <w:tab w:val="left" w:pos="945"/>
          <w:tab w:val="left" w:pos="1155"/>
          <w:tab w:val="left" w:pos="2250"/>
        </w:tabs>
        <w:spacing w:line="360" w:lineRule="auto"/>
        <w:ind w:right="420" w:rightChars="200" w:firstLine="480" w:firstLineChars="200"/>
        <w:rPr>
          <w:rFonts w:ascii="宋体" w:hAnsi="宋体" w:cs="宋体"/>
          <w:b/>
          <w:bCs/>
          <w:color w:val="auto"/>
          <w:sz w:val="24"/>
          <w:highlight w:val="none"/>
        </w:rPr>
      </w:pPr>
      <w:r>
        <w:rPr>
          <w:rFonts w:hint="eastAsia" w:ascii="宋体" w:hAnsi="宋体" w:cs="宋体"/>
          <w:bCs/>
          <w:color w:val="auto"/>
          <w:sz w:val="24"/>
          <w:highlight w:val="none"/>
        </w:rPr>
        <w:t>②项目管理机构人员配备中：</w:t>
      </w:r>
      <w:r>
        <w:rPr>
          <w:rFonts w:hint="eastAsia"/>
          <w:color w:val="auto"/>
          <w:sz w:val="24"/>
          <w:highlight w:val="none"/>
        </w:rPr>
        <w:t>具有垃圾中转管理师证的得2分、垃圾分类处置工程师的得2分</w:t>
      </w:r>
      <w:r>
        <w:rPr>
          <w:rFonts w:hint="eastAsia" w:ascii="宋体" w:hAnsi="宋体" w:cs="宋体"/>
          <w:bCs/>
          <w:color w:val="auto"/>
          <w:sz w:val="24"/>
          <w:highlight w:val="none"/>
        </w:rPr>
        <w:t>、</w:t>
      </w:r>
      <w:r>
        <w:rPr>
          <w:rFonts w:hint="eastAsia"/>
          <w:color w:val="auto"/>
          <w:sz w:val="24"/>
          <w:highlight w:val="none"/>
        </w:rPr>
        <w:t>安全生产管理员证的得2分、固废处理工程师证的得2分、垃圾处理工程师证的得2分，最高</w:t>
      </w:r>
      <w:r>
        <w:rPr>
          <w:color w:val="auto"/>
          <w:sz w:val="24"/>
          <w:highlight w:val="none"/>
        </w:rPr>
        <w:t>10</w:t>
      </w:r>
      <w:r>
        <w:rPr>
          <w:rFonts w:hint="eastAsia"/>
          <w:color w:val="auto"/>
          <w:sz w:val="24"/>
          <w:highlight w:val="none"/>
        </w:rPr>
        <w:t>分</w:t>
      </w:r>
      <w:r>
        <w:rPr>
          <w:rFonts w:hint="eastAsia" w:ascii="宋体" w:hAnsi="宋体" w:cs="宋体"/>
          <w:b/>
          <w:bCs/>
          <w:color w:val="auto"/>
          <w:sz w:val="24"/>
          <w:highlight w:val="none"/>
        </w:rPr>
        <w:t>（提供投标人为其缴纳的近三个月（不含开标当月）的社保缴费证明、有效证书的复印件加盖公章放入投标文件中，投标时提供原件，不提供或提供不全的不得分；一人多证的，不重复计分）。</w:t>
      </w:r>
    </w:p>
    <w:p>
      <w:pPr>
        <w:pStyle w:val="2"/>
        <w:spacing w:line="360" w:lineRule="auto"/>
        <w:ind w:firstLine="482"/>
        <w:rPr>
          <w:rFonts w:ascii="宋体" w:hAnsi="宋体" w:eastAsia="宋体" w:cs="宋体"/>
          <w:b/>
          <w:color w:val="auto"/>
          <w:sz w:val="24"/>
          <w:szCs w:val="22"/>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szCs w:val="22"/>
          <w:highlight w:val="none"/>
        </w:rPr>
        <w:t>项目负责人答辩（6分）</w:t>
      </w:r>
    </w:p>
    <w:p>
      <w:pPr>
        <w:adjustRightInd w:val="0"/>
        <w:snapToGrid w:val="0"/>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结合本项目特点，评标委员会对拟派项目负责人的综合素质、专业技术水平、项目管理水平等方面进行综合考核。由评标委员会现场以书面形式出题（2题，每题3分），项目负责人以书面形式作答，评标委员会按照项目负责人答辩内容酌情评分，答辩时间为20分钟</w:t>
      </w:r>
      <w:r>
        <w:rPr>
          <w:rFonts w:hint="eastAsia" w:ascii="宋体" w:hAnsi="宋体" w:cs="宋体"/>
          <w:b/>
          <w:color w:val="auto"/>
          <w:sz w:val="24"/>
          <w:highlight w:val="none"/>
        </w:rPr>
        <w:t>（项目负责人须携带身份证原件，工作人员检查确认后方可进场，未提供身份证原件或未参加答辩的不得分）</w:t>
      </w:r>
      <w:r>
        <w:rPr>
          <w:rFonts w:hint="eastAsia" w:ascii="宋体" w:hAnsi="宋体" w:cs="宋体"/>
          <w:bCs/>
          <w:color w:val="auto"/>
          <w:sz w:val="24"/>
          <w:szCs w:val="22"/>
          <w:highlight w:val="none"/>
        </w:rPr>
        <w:t>。</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szCs w:val="22"/>
          <w:highlight w:val="none"/>
        </w:rPr>
        <w:t>（4）</w:t>
      </w:r>
      <w:r>
        <w:rPr>
          <w:rFonts w:hint="eastAsia" w:ascii="宋体" w:hAnsi="宋体" w:cs="宋体"/>
          <w:b/>
          <w:color w:val="auto"/>
          <w:sz w:val="24"/>
          <w:highlight w:val="none"/>
        </w:rPr>
        <w:t>暗标</w:t>
      </w:r>
      <w:r>
        <w:rPr>
          <w:rFonts w:hint="eastAsia" w:ascii="宋体" w:hAnsi="宋体" w:cs="宋体"/>
          <w:b/>
          <w:bCs/>
          <w:color w:val="auto"/>
          <w:sz w:val="24"/>
          <w:highlight w:val="none"/>
        </w:rPr>
        <w:t xml:space="preserve">部分（服务方案）51分 </w:t>
      </w:r>
    </w:p>
    <w:p>
      <w:pPr>
        <w:spacing w:line="360" w:lineRule="auto"/>
        <w:ind w:firstLine="482"/>
        <w:rPr>
          <w:color w:val="auto"/>
          <w:sz w:val="24"/>
          <w:highlight w:val="none"/>
        </w:rPr>
      </w:pPr>
      <w:r>
        <w:rPr>
          <w:rFonts w:hint="eastAsia" w:ascii="宋体" w:hAnsi="宋体" w:cs="宋体"/>
          <w:bCs/>
          <w:color w:val="auto"/>
          <w:sz w:val="24"/>
          <w:highlight w:val="none"/>
        </w:rPr>
        <w:t>1）</w:t>
      </w:r>
      <w:r>
        <w:rPr>
          <w:color w:val="auto"/>
          <w:sz w:val="24"/>
          <w:highlight w:val="none"/>
        </w:rPr>
        <w:t>组织方案管理</w:t>
      </w:r>
      <w:r>
        <w:rPr>
          <w:rFonts w:hint="eastAsia"/>
          <w:color w:val="auto"/>
          <w:sz w:val="24"/>
          <w:highlight w:val="none"/>
        </w:rPr>
        <w:t>（15分）</w:t>
      </w:r>
      <w:r>
        <w:rPr>
          <w:rFonts w:hint="eastAsia" w:ascii="宋体" w:hAnsi="宋体" w:cs="宋体"/>
          <w:bCs/>
          <w:color w:val="auto"/>
          <w:sz w:val="24"/>
          <w:highlight w:val="none"/>
        </w:rPr>
        <w:t>：</w:t>
      </w:r>
      <w:r>
        <w:rPr>
          <w:color w:val="auto"/>
          <w:sz w:val="24"/>
          <w:highlight w:val="none"/>
        </w:rPr>
        <w:t>根据</w:t>
      </w:r>
      <w:r>
        <w:rPr>
          <w:rFonts w:hint="eastAsia"/>
          <w:color w:val="auto"/>
          <w:sz w:val="24"/>
          <w:highlight w:val="none"/>
        </w:rPr>
        <w:t>投标人</w:t>
      </w:r>
      <w:r>
        <w:rPr>
          <w:color w:val="auto"/>
          <w:sz w:val="24"/>
          <w:highlight w:val="none"/>
        </w:rPr>
        <w:t>提供</w:t>
      </w:r>
      <w:r>
        <w:rPr>
          <w:rFonts w:hint="eastAsia"/>
          <w:color w:val="auto"/>
          <w:sz w:val="24"/>
          <w:highlight w:val="none"/>
        </w:rPr>
        <w:t>的</w:t>
      </w:r>
      <w:r>
        <w:rPr>
          <w:color w:val="auto"/>
          <w:sz w:val="24"/>
          <w:highlight w:val="none"/>
        </w:rPr>
        <w:t>组织管理方案是否合理、全面、可行等进行评价，包括但不限于制定完善的工作机制</w:t>
      </w:r>
      <w:r>
        <w:rPr>
          <w:rFonts w:hint="eastAsia"/>
          <w:color w:val="auto"/>
          <w:sz w:val="24"/>
          <w:highlight w:val="none"/>
        </w:rPr>
        <w:t>；</w:t>
      </w:r>
    </w:p>
    <w:p>
      <w:pPr>
        <w:spacing w:line="360" w:lineRule="auto"/>
        <w:ind w:firstLine="482"/>
        <w:rPr>
          <w:rFonts w:ascii="宋体" w:hAnsi="宋体" w:cs="宋体"/>
          <w:bCs/>
          <w:color w:val="auto"/>
          <w:sz w:val="24"/>
          <w:highlight w:val="none"/>
        </w:rPr>
      </w:pPr>
      <w:r>
        <w:rPr>
          <w:color w:val="auto"/>
          <w:sz w:val="24"/>
          <w:highlight w:val="none"/>
        </w:rPr>
        <w:t>①责任机制方案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针对本项目有完整、优良的</w:t>
      </w:r>
      <w:r>
        <w:rPr>
          <w:color w:val="auto"/>
          <w:sz w:val="24"/>
          <w:highlight w:val="none"/>
        </w:rPr>
        <w:t>责任机制方案管理</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针对本项目有较为完整、优良的</w:t>
      </w:r>
      <w:r>
        <w:rPr>
          <w:color w:val="auto"/>
          <w:sz w:val="24"/>
          <w:highlight w:val="none"/>
        </w:rPr>
        <w:t>责任机制方案管理</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针对本项目缺乏完整、优良的</w:t>
      </w:r>
      <w:r>
        <w:rPr>
          <w:color w:val="auto"/>
          <w:sz w:val="24"/>
          <w:highlight w:val="none"/>
        </w:rPr>
        <w:t>责任机制方案管理</w:t>
      </w:r>
      <w:r>
        <w:rPr>
          <w:rFonts w:hint="eastAsia" w:ascii="宋体" w:hAnsi="宋体" w:cs="宋体"/>
          <w:bCs/>
          <w:color w:val="auto"/>
          <w:sz w:val="24"/>
          <w:highlight w:val="none"/>
        </w:rPr>
        <w:t>的得1分；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无项目</w:t>
      </w:r>
      <w:r>
        <w:rPr>
          <w:color w:val="auto"/>
          <w:sz w:val="24"/>
          <w:highlight w:val="none"/>
        </w:rPr>
        <w:t>责任机制方案管理</w:t>
      </w:r>
      <w:r>
        <w:rPr>
          <w:rFonts w:hint="eastAsia" w:ascii="宋体" w:hAnsi="宋体" w:cs="宋体"/>
          <w:bCs/>
          <w:color w:val="auto"/>
          <w:sz w:val="24"/>
          <w:highlight w:val="none"/>
        </w:rPr>
        <w:t>的得0分。</w:t>
      </w:r>
    </w:p>
    <w:p>
      <w:pPr>
        <w:spacing w:line="360" w:lineRule="auto"/>
        <w:ind w:firstLine="482"/>
        <w:rPr>
          <w:color w:val="auto"/>
          <w:sz w:val="24"/>
          <w:highlight w:val="none"/>
        </w:rPr>
      </w:pPr>
      <w:r>
        <w:rPr>
          <w:color w:val="auto"/>
          <w:sz w:val="24"/>
          <w:highlight w:val="none"/>
        </w:rPr>
        <w:t>②激励机制方案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针对本项目有完整、优良的</w:t>
      </w:r>
      <w:r>
        <w:rPr>
          <w:color w:val="auto"/>
          <w:sz w:val="24"/>
          <w:highlight w:val="none"/>
        </w:rPr>
        <w:t>激励机制方案管理</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针对本项目有较为完整、优良的</w:t>
      </w:r>
      <w:r>
        <w:rPr>
          <w:color w:val="auto"/>
          <w:sz w:val="24"/>
          <w:highlight w:val="none"/>
        </w:rPr>
        <w:t>激励机制方案管理</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针对本项目缺乏完整、优良的</w:t>
      </w:r>
      <w:r>
        <w:rPr>
          <w:color w:val="auto"/>
          <w:sz w:val="24"/>
          <w:highlight w:val="none"/>
        </w:rPr>
        <w:t>激励机制方案管理</w:t>
      </w:r>
      <w:r>
        <w:rPr>
          <w:rFonts w:hint="eastAsia" w:ascii="宋体" w:hAnsi="宋体" w:cs="宋体"/>
          <w:bCs/>
          <w:color w:val="auto"/>
          <w:sz w:val="24"/>
          <w:highlight w:val="none"/>
        </w:rPr>
        <w:t>的得1分；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无项目</w:t>
      </w:r>
      <w:r>
        <w:rPr>
          <w:color w:val="auto"/>
          <w:sz w:val="24"/>
          <w:highlight w:val="none"/>
        </w:rPr>
        <w:t>激励机制方案管理</w:t>
      </w:r>
      <w:r>
        <w:rPr>
          <w:rFonts w:hint="eastAsia" w:ascii="宋体" w:hAnsi="宋体" w:cs="宋体"/>
          <w:bCs/>
          <w:color w:val="auto"/>
          <w:sz w:val="24"/>
          <w:highlight w:val="none"/>
        </w:rPr>
        <w:t>的得0分。</w:t>
      </w:r>
    </w:p>
    <w:p>
      <w:pPr>
        <w:spacing w:line="360" w:lineRule="auto"/>
        <w:ind w:firstLine="482"/>
        <w:rPr>
          <w:color w:val="auto"/>
          <w:highlight w:val="none"/>
        </w:rPr>
      </w:pPr>
      <w:r>
        <w:rPr>
          <w:color w:val="auto"/>
          <w:sz w:val="24"/>
          <w:highlight w:val="none"/>
        </w:rPr>
        <w:t>③协商机制方案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针对本项目有完整、优良的</w:t>
      </w:r>
      <w:r>
        <w:rPr>
          <w:color w:val="auto"/>
          <w:sz w:val="24"/>
          <w:highlight w:val="none"/>
        </w:rPr>
        <w:t>协商机制方案管理</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针对本项目有较为完整、优良的</w:t>
      </w:r>
      <w:r>
        <w:rPr>
          <w:color w:val="auto"/>
          <w:sz w:val="24"/>
          <w:highlight w:val="none"/>
        </w:rPr>
        <w:t>协商机制方案管理</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针对本项目缺乏完整、优良的</w:t>
      </w:r>
      <w:r>
        <w:rPr>
          <w:color w:val="auto"/>
          <w:sz w:val="24"/>
          <w:highlight w:val="none"/>
        </w:rPr>
        <w:t>协商机制方案管理</w:t>
      </w:r>
      <w:r>
        <w:rPr>
          <w:rFonts w:hint="eastAsia" w:ascii="宋体" w:hAnsi="宋体" w:cs="宋体"/>
          <w:bCs/>
          <w:color w:val="auto"/>
          <w:sz w:val="24"/>
          <w:highlight w:val="none"/>
        </w:rPr>
        <w:t>的得1分；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无项目</w:t>
      </w:r>
      <w:r>
        <w:rPr>
          <w:color w:val="auto"/>
          <w:sz w:val="24"/>
          <w:highlight w:val="none"/>
        </w:rPr>
        <w:t>协商机制方案管理</w:t>
      </w:r>
      <w:r>
        <w:rPr>
          <w:rFonts w:hint="eastAsia" w:ascii="宋体" w:hAnsi="宋体" w:cs="宋体"/>
          <w:bCs/>
          <w:color w:val="auto"/>
          <w:sz w:val="24"/>
          <w:highlight w:val="none"/>
        </w:rPr>
        <w:t>的得0分。</w:t>
      </w:r>
    </w:p>
    <w:p>
      <w:pPr>
        <w:spacing w:line="360" w:lineRule="auto"/>
        <w:ind w:firstLine="482"/>
        <w:rPr>
          <w:color w:val="auto"/>
          <w:sz w:val="24"/>
          <w:highlight w:val="none"/>
        </w:rPr>
      </w:pPr>
      <w:r>
        <w:rPr>
          <w:color w:val="auto"/>
          <w:sz w:val="24"/>
          <w:highlight w:val="none"/>
        </w:rPr>
        <w:t>④台账机制方案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针对本项目有完整、优良的</w:t>
      </w:r>
      <w:r>
        <w:rPr>
          <w:color w:val="auto"/>
          <w:sz w:val="24"/>
          <w:highlight w:val="none"/>
        </w:rPr>
        <w:t>台账机制方案管理</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针对本项目有较为完整、优良的</w:t>
      </w:r>
      <w:r>
        <w:rPr>
          <w:color w:val="auto"/>
          <w:sz w:val="24"/>
          <w:highlight w:val="none"/>
        </w:rPr>
        <w:t>台账机制方案管理</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针对本项目缺乏完整、优良的</w:t>
      </w:r>
      <w:r>
        <w:rPr>
          <w:color w:val="auto"/>
          <w:sz w:val="24"/>
          <w:highlight w:val="none"/>
        </w:rPr>
        <w:t>台账机制方案管理</w:t>
      </w:r>
      <w:r>
        <w:rPr>
          <w:rFonts w:hint="eastAsia" w:ascii="宋体" w:hAnsi="宋体" w:cs="宋体"/>
          <w:bCs/>
          <w:color w:val="auto"/>
          <w:sz w:val="24"/>
          <w:highlight w:val="none"/>
        </w:rPr>
        <w:t>的得1分；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无项目</w:t>
      </w:r>
      <w:r>
        <w:rPr>
          <w:color w:val="auto"/>
          <w:sz w:val="24"/>
          <w:highlight w:val="none"/>
        </w:rPr>
        <w:t>台账机制方案管理</w:t>
      </w:r>
      <w:r>
        <w:rPr>
          <w:rFonts w:hint="eastAsia" w:ascii="宋体" w:hAnsi="宋体" w:cs="宋体"/>
          <w:bCs/>
          <w:color w:val="auto"/>
          <w:sz w:val="24"/>
          <w:highlight w:val="none"/>
        </w:rPr>
        <w:t>的得0分。</w:t>
      </w:r>
    </w:p>
    <w:p>
      <w:pPr>
        <w:spacing w:line="360" w:lineRule="auto"/>
        <w:ind w:firstLine="482"/>
        <w:rPr>
          <w:color w:val="auto"/>
          <w:sz w:val="24"/>
          <w:highlight w:val="none"/>
        </w:rPr>
      </w:pPr>
      <w:r>
        <w:rPr>
          <w:color w:val="auto"/>
          <w:sz w:val="24"/>
          <w:highlight w:val="none"/>
        </w:rPr>
        <w:t>⑤日常考核机制方案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针对本项目有完整、优良的</w:t>
      </w:r>
      <w:r>
        <w:rPr>
          <w:color w:val="auto"/>
          <w:sz w:val="24"/>
          <w:highlight w:val="none"/>
        </w:rPr>
        <w:t>日常考核机制方案</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针对本项目有较为完整、优良的</w:t>
      </w:r>
      <w:r>
        <w:rPr>
          <w:color w:val="auto"/>
          <w:sz w:val="24"/>
          <w:highlight w:val="none"/>
        </w:rPr>
        <w:t>日常考核机制方案</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针对本项目缺乏完整、优良的</w:t>
      </w:r>
      <w:r>
        <w:rPr>
          <w:color w:val="auto"/>
          <w:sz w:val="24"/>
          <w:highlight w:val="none"/>
        </w:rPr>
        <w:t>日常考核机制方案</w:t>
      </w:r>
      <w:r>
        <w:rPr>
          <w:rFonts w:hint="eastAsia" w:ascii="宋体" w:hAnsi="宋体" w:cs="宋体"/>
          <w:bCs/>
          <w:color w:val="auto"/>
          <w:sz w:val="24"/>
          <w:highlight w:val="none"/>
        </w:rPr>
        <w:t>的得1分；</w:t>
      </w:r>
    </w:p>
    <w:p>
      <w:pPr>
        <w:spacing w:line="360" w:lineRule="auto"/>
        <w:ind w:firstLine="482"/>
        <w:rPr>
          <w:color w:val="auto"/>
          <w:highlight w:val="none"/>
        </w:rPr>
      </w:pPr>
      <w:r>
        <w:rPr>
          <w:rFonts w:hint="eastAsia" w:ascii="宋体" w:hAnsi="宋体" w:cs="宋体"/>
          <w:bCs/>
          <w:color w:val="auto"/>
          <w:sz w:val="24"/>
          <w:highlight w:val="none"/>
        </w:rPr>
        <w:t>无项目</w:t>
      </w:r>
      <w:r>
        <w:rPr>
          <w:color w:val="auto"/>
          <w:sz w:val="24"/>
          <w:highlight w:val="none"/>
        </w:rPr>
        <w:t>日常考核机制方案</w:t>
      </w:r>
      <w:r>
        <w:rPr>
          <w:rFonts w:hint="eastAsia" w:ascii="宋体" w:hAnsi="宋体" w:cs="宋体"/>
          <w:bCs/>
          <w:color w:val="auto"/>
          <w:sz w:val="24"/>
          <w:highlight w:val="none"/>
        </w:rPr>
        <w:t>的得0分。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2）垃</w:t>
      </w:r>
      <w:r>
        <w:rPr>
          <w:color w:val="auto"/>
          <w:sz w:val="24"/>
          <w:highlight w:val="none"/>
        </w:rPr>
        <w:t>圾分类、指导及宣传方案</w:t>
      </w:r>
      <w:r>
        <w:rPr>
          <w:rFonts w:hint="eastAsia" w:ascii="宋体" w:hAnsi="宋体" w:cs="宋体"/>
          <w:bCs/>
          <w:color w:val="auto"/>
          <w:sz w:val="24"/>
          <w:highlight w:val="none"/>
        </w:rPr>
        <w:t>（12分）：</w:t>
      </w:r>
      <w:r>
        <w:rPr>
          <w:color w:val="auto"/>
          <w:sz w:val="24"/>
          <w:highlight w:val="none"/>
        </w:rPr>
        <w:t>根据</w:t>
      </w:r>
      <w:r>
        <w:rPr>
          <w:rFonts w:hint="eastAsia"/>
          <w:color w:val="auto"/>
          <w:sz w:val="24"/>
          <w:highlight w:val="none"/>
        </w:rPr>
        <w:t>投标人</w:t>
      </w:r>
      <w:r>
        <w:rPr>
          <w:color w:val="auto"/>
          <w:sz w:val="24"/>
          <w:highlight w:val="none"/>
        </w:rPr>
        <w:t>提供</w:t>
      </w:r>
      <w:r>
        <w:rPr>
          <w:rFonts w:hint="eastAsia"/>
          <w:color w:val="auto"/>
          <w:sz w:val="24"/>
          <w:highlight w:val="none"/>
        </w:rPr>
        <w:t>的垃</w:t>
      </w:r>
      <w:r>
        <w:rPr>
          <w:color w:val="auto"/>
          <w:sz w:val="24"/>
          <w:highlight w:val="none"/>
        </w:rPr>
        <w:t>圾分类、指导及宣传方案是否合理、全面、可行等进行评价，包括但不限于制定完善的工作机制</w:t>
      </w:r>
      <w:r>
        <w:rPr>
          <w:rFonts w:hint="eastAsia"/>
          <w:color w:val="auto"/>
          <w:sz w:val="24"/>
          <w:highlight w:val="none"/>
        </w:rPr>
        <w:t>；</w:t>
      </w:r>
    </w:p>
    <w:p>
      <w:pPr>
        <w:spacing w:line="360" w:lineRule="auto"/>
        <w:ind w:firstLine="482"/>
        <w:rPr>
          <w:rFonts w:ascii="宋体" w:hAnsi="宋体" w:cs="宋体"/>
          <w:color w:val="auto"/>
          <w:sz w:val="24"/>
          <w:highlight w:val="none"/>
        </w:rPr>
      </w:pPr>
      <w:r>
        <w:rPr>
          <w:color w:val="auto"/>
          <w:sz w:val="24"/>
          <w:highlight w:val="none"/>
        </w:rPr>
        <w:t>①生活垃圾管理条例</w:t>
      </w:r>
      <w:r>
        <w:rPr>
          <w:rFonts w:hint="eastAsia" w:ascii="宋体" w:hAnsi="宋体" w:cs="宋体"/>
          <w:bCs/>
          <w:color w:val="auto"/>
          <w:sz w:val="24"/>
          <w:szCs w:val="20"/>
          <w:highlight w:val="none"/>
        </w:rPr>
        <w:t>（3分）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针对本项目有完整且切实可行的生活垃圾管理条例的得3分；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针对本项目有较为完整且切实可行的生活垃圾管理条例的得2分；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针对本项目缺乏完整且切实可行的生活垃圾管理条例的得1分；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无生活垃圾管理条例的得0分。</w:t>
      </w:r>
    </w:p>
    <w:p>
      <w:pPr>
        <w:pStyle w:val="66"/>
        <w:ind w:firstLine="480"/>
        <w:rPr>
          <w:color w:val="auto"/>
          <w:sz w:val="24"/>
          <w:szCs w:val="24"/>
          <w:highlight w:val="none"/>
        </w:rPr>
      </w:pPr>
      <w:r>
        <w:rPr>
          <w:rFonts w:ascii="Times New Roman" w:hAnsi="Times New Roman" w:eastAsia="宋体"/>
          <w:color w:val="auto"/>
          <w:spacing w:val="0"/>
          <w:sz w:val="24"/>
          <w:szCs w:val="24"/>
          <w:highlight w:val="none"/>
        </w:rPr>
        <w:t>②生活垃圾分类收集的必要性和可行性</w:t>
      </w:r>
      <w:r>
        <w:rPr>
          <w:rFonts w:hint="eastAsia" w:ascii="宋体" w:eastAsia="宋体" w:cs="宋体"/>
          <w:bCs/>
          <w:color w:val="auto"/>
          <w:sz w:val="24"/>
          <w:highlight w:val="none"/>
        </w:rPr>
        <w:t>（3分）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针对本项目有完整且切实可行的</w:t>
      </w:r>
      <w:r>
        <w:rPr>
          <w:rFonts w:ascii="Times New Roman" w:hAnsi="Times New Roman" w:eastAsia="宋体"/>
          <w:color w:val="auto"/>
          <w:spacing w:val="0"/>
          <w:sz w:val="24"/>
          <w:szCs w:val="24"/>
          <w:highlight w:val="none"/>
        </w:rPr>
        <w:t>生活垃圾分类收集的必要性和可行性</w:t>
      </w:r>
      <w:r>
        <w:rPr>
          <w:rFonts w:hint="eastAsia"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针对本项目有较为完整且切实可行的</w:t>
      </w:r>
      <w:r>
        <w:rPr>
          <w:rFonts w:ascii="Times New Roman" w:hAnsi="Times New Roman" w:eastAsia="宋体"/>
          <w:color w:val="auto"/>
          <w:spacing w:val="0"/>
          <w:sz w:val="24"/>
          <w:szCs w:val="24"/>
          <w:highlight w:val="none"/>
        </w:rPr>
        <w:t>生活垃圾分类收集的必要性和可行性</w:t>
      </w:r>
      <w:r>
        <w:rPr>
          <w:rFonts w:hint="eastAsia"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的得2分；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针对本项目缺乏完整且切实可行的</w:t>
      </w:r>
      <w:r>
        <w:rPr>
          <w:rFonts w:ascii="Times New Roman" w:hAnsi="Times New Roman" w:eastAsia="宋体"/>
          <w:color w:val="auto"/>
          <w:spacing w:val="0"/>
          <w:sz w:val="24"/>
          <w:szCs w:val="24"/>
          <w:highlight w:val="none"/>
        </w:rPr>
        <w:t>生活垃圾分类收集的必要性和可行性</w:t>
      </w:r>
      <w:r>
        <w:rPr>
          <w:rFonts w:hint="eastAsia"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的得1分；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无</w:t>
      </w:r>
      <w:r>
        <w:rPr>
          <w:rFonts w:ascii="Times New Roman" w:hAnsi="Times New Roman" w:eastAsia="宋体"/>
          <w:color w:val="auto"/>
          <w:spacing w:val="0"/>
          <w:sz w:val="24"/>
          <w:szCs w:val="24"/>
          <w:highlight w:val="none"/>
        </w:rPr>
        <w:t>生活垃圾分类收集的必要性和可行性</w:t>
      </w:r>
      <w:r>
        <w:rPr>
          <w:rFonts w:hint="eastAsia"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的得0分。</w:t>
      </w:r>
    </w:p>
    <w:p>
      <w:pPr>
        <w:pStyle w:val="66"/>
        <w:ind w:firstLine="480"/>
        <w:rPr>
          <w:rFonts w:ascii="Times New Roman" w:hAnsi="Times New Roman" w:eastAsia="宋体"/>
          <w:color w:val="auto"/>
          <w:spacing w:val="0"/>
          <w:sz w:val="24"/>
          <w:szCs w:val="24"/>
          <w:highlight w:val="none"/>
        </w:rPr>
      </w:pPr>
      <w:r>
        <w:rPr>
          <w:rFonts w:ascii="Times New Roman" w:hAnsi="Times New Roman" w:eastAsia="宋体"/>
          <w:color w:val="auto"/>
          <w:spacing w:val="0"/>
          <w:sz w:val="24"/>
          <w:szCs w:val="24"/>
          <w:highlight w:val="none"/>
        </w:rPr>
        <w:t>③垃圾分类宣传主要工作内容</w:t>
      </w:r>
      <w:r>
        <w:rPr>
          <w:rFonts w:hint="eastAsia" w:ascii="Times New Roman" w:hAnsi="Times New Roman" w:eastAsia="宋体"/>
          <w:color w:val="auto"/>
          <w:spacing w:val="0"/>
          <w:sz w:val="24"/>
          <w:szCs w:val="24"/>
          <w:highlight w:val="none"/>
        </w:rPr>
        <w:t>描述</w:t>
      </w:r>
      <w:r>
        <w:rPr>
          <w:rFonts w:hint="eastAsia" w:ascii="宋体" w:eastAsia="宋体" w:cs="宋体"/>
          <w:bCs/>
          <w:color w:val="auto"/>
          <w:sz w:val="24"/>
          <w:highlight w:val="none"/>
        </w:rPr>
        <w:t>（3分）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针对本项目有完整且切实可行的</w:t>
      </w:r>
      <w:r>
        <w:rPr>
          <w:rFonts w:ascii="Times New Roman" w:hAnsi="Times New Roman" w:eastAsia="宋体"/>
          <w:color w:val="auto"/>
          <w:spacing w:val="0"/>
          <w:sz w:val="24"/>
          <w:szCs w:val="24"/>
          <w:highlight w:val="none"/>
        </w:rPr>
        <w:t>垃圾分类宣传主要工作内容</w:t>
      </w:r>
      <w:r>
        <w:rPr>
          <w:rFonts w:hint="eastAsia" w:ascii="Times New Roman" w:hAnsi="Times New Roman" w:eastAsia="宋体"/>
          <w:color w:val="auto"/>
          <w:spacing w:val="0"/>
          <w:sz w:val="24"/>
          <w:szCs w:val="24"/>
          <w:highlight w:val="none"/>
        </w:rPr>
        <w:t>描述</w:t>
      </w:r>
      <w:r>
        <w:rPr>
          <w:rFonts w:hint="eastAsia" w:ascii="宋体" w:eastAsia="宋体" w:cs="宋体"/>
          <w:color w:val="auto"/>
          <w:sz w:val="24"/>
          <w:highlight w:val="none"/>
        </w:rPr>
        <w:t>的得3分；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针对本项目有较为完整且切实可行的</w:t>
      </w:r>
      <w:r>
        <w:rPr>
          <w:rFonts w:ascii="Times New Roman" w:hAnsi="Times New Roman" w:eastAsia="宋体"/>
          <w:color w:val="auto"/>
          <w:spacing w:val="0"/>
          <w:sz w:val="24"/>
          <w:szCs w:val="24"/>
          <w:highlight w:val="none"/>
        </w:rPr>
        <w:t>垃圾分类宣传主要工作内容</w:t>
      </w:r>
      <w:r>
        <w:rPr>
          <w:rFonts w:hint="eastAsia" w:ascii="Times New Roman" w:hAnsi="Times New Roman" w:eastAsia="宋体"/>
          <w:color w:val="auto"/>
          <w:spacing w:val="0"/>
          <w:sz w:val="24"/>
          <w:szCs w:val="24"/>
          <w:highlight w:val="none"/>
        </w:rPr>
        <w:t>描述</w:t>
      </w:r>
      <w:r>
        <w:rPr>
          <w:rFonts w:hint="eastAsia" w:ascii="宋体" w:eastAsia="宋体" w:cs="宋体"/>
          <w:color w:val="auto"/>
          <w:sz w:val="24"/>
          <w:highlight w:val="none"/>
        </w:rPr>
        <w:t>的得2分；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针对本项目缺乏完整且切实可行的</w:t>
      </w:r>
      <w:r>
        <w:rPr>
          <w:rFonts w:ascii="Times New Roman" w:hAnsi="Times New Roman" w:eastAsia="宋体"/>
          <w:color w:val="auto"/>
          <w:spacing w:val="0"/>
          <w:sz w:val="24"/>
          <w:szCs w:val="24"/>
          <w:highlight w:val="none"/>
        </w:rPr>
        <w:t>垃圾分类宣传主要工作内容</w:t>
      </w:r>
      <w:r>
        <w:rPr>
          <w:rFonts w:hint="eastAsia" w:ascii="Times New Roman" w:hAnsi="Times New Roman" w:eastAsia="宋体"/>
          <w:color w:val="auto"/>
          <w:spacing w:val="0"/>
          <w:sz w:val="24"/>
          <w:szCs w:val="24"/>
          <w:highlight w:val="none"/>
        </w:rPr>
        <w:t>描述</w:t>
      </w:r>
      <w:r>
        <w:rPr>
          <w:rFonts w:hint="eastAsia" w:ascii="宋体" w:eastAsia="宋体" w:cs="宋体"/>
          <w:color w:val="auto"/>
          <w:sz w:val="24"/>
          <w:highlight w:val="none"/>
        </w:rPr>
        <w:t>的得1分；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无</w:t>
      </w:r>
      <w:r>
        <w:rPr>
          <w:rFonts w:ascii="Times New Roman" w:hAnsi="Times New Roman" w:eastAsia="宋体"/>
          <w:color w:val="auto"/>
          <w:spacing w:val="0"/>
          <w:sz w:val="24"/>
          <w:szCs w:val="24"/>
          <w:highlight w:val="none"/>
        </w:rPr>
        <w:t>垃圾分类宣传主要工作内容</w:t>
      </w:r>
      <w:r>
        <w:rPr>
          <w:rFonts w:hint="eastAsia" w:ascii="Times New Roman" w:hAnsi="Times New Roman" w:eastAsia="宋体"/>
          <w:color w:val="auto"/>
          <w:spacing w:val="0"/>
          <w:sz w:val="24"/>
          <w:szCs w:val="24"/>
          <w:highlight w:val="none"/>
        </w:rPr>
        <w:t>描述</w:t>
      </w:r>
      <w:r>
        <w:rPr>
          <w:rFonts w:hint="eastAsia" w:ascii="宋体" w:eastAsia="宋体" w:cs="宋体"/>
          <w:color w:val="auto"/>
          <w:sz w:val="24"/>
          <w:highlight w:val="none"/>
        </w:rPr>
        <w:t>的得0分。</w:t>
      </w:r>
    </w:p>
    <w:p>
      <w:pPr>
        <w:pStyle w:val="66"/>
        <w:ind w:firstLine="480"/>
        <w:rPr>
          <w:rFonts w:ascii="Times New Roman" w:hAnsi="Times New Roman" w:eastAsia="宋体"/>
          <w:color w:val="auto"/>
          <w:spacing w:val="0"/>
          <w:sz w:val="24"/>
          <w:szCs w:val="24"/>
          <w:highlight w:val="none"/>
        </w:rPr>
      </w:pPr>
      <w:r>
        <w:rPr>
          <w:rFonts w:ascii="Times New Roman" w:hAnsi="Times New Roman" w:eastAsia="宋体"/>
          <w:color w:val="auto"/>
          <w:spacing w:val="0"/>
          <w:sz w:val="24"/>
          <w:szCs w:val="24"/>
          <w:highlight w:val="none"/>
        </w:rPr>
        <w:t>④垃圾分类宣传</w:t>
      </w:r>
      <w:r>
        <w:rPr>
          <w:rFonts w:hint="eastAsia" w:ascii="Times New Roman" w:hAnsi="Times New Roman" w:eastAsia="宋体"/>
          <w:color w:val="auto"/>
          <w:spacing w:val="0"/>
          <w:sz w:val="24"/>
          <w:szCs w:val="24"/>
          <w:highlight w:val="none"/>
        </w:rPr>
        <w:t>活动的</w:t>
      </w:r>
      <w:r>
        <w:rPr>
          <w:rFonts w:ascii="Times New Roman" w:hAnsi="Times New Roman" w:eastAsia="宋体"/>
          <w:color w:val="auto"/>
          <w:spacing w:val="0"/>
          <w:sz w:val="24"/>
          <w:szCs w:val="24"/>
          <w:highlight w:val="none"/>
        </w:rPr>
        <w:t>具体</w:t>
      </w:r>
      <w:r>
        <w:rPr>
          <w:rFonts w:hint="eastAsia" w:ascii="Times New Roman" w:hAnsi="Times New Roman" w:eastAsia="宋体"/>
          <w:color w:val="auto"/>
          <w:spacing w:val="0"/>
          <w:sz w:val="24"/>
          <w:szCs w:val="24"/>
          <w:highlight w:val="none"/>
        </w:rPr>
        <w:t>规划</w:t>
      </w:r>
      <w:r>
        <w:rPr>
          <w:rFonts w:ascii="Times New Roman" w:hAnsi="Times New Roman" w:eastAsia="宋体"/>
          <w:color w:val="auto"/>
          <w:spacing w:val="0"/>
          <w:sz w:val="24"/>
          <w:szCs w:val="24"/>
          <w:highlight w:val="none"/>
        </w:rPr>
        <w:t>方案</w:t>
      </w:r>
      <w:r>
        <w:rPr>
          <w:rFonts w:hint="eastAsia" w:ascii="宋体" w:eastAsia="宋体" w:cs="宋体"/>
          <w:bCs/>
          <w:color w:val="auto"/>
          <w:sz w:val="24"/>
          <w:highlight w:val="none"/>
        </w:rPr>
        <w:t>（3分）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针对本项目有完整且切实可行的</w:t>
      </w:r>
      <w:r>
        <w:rPr>
          <w:rFonts w:ascii="Times New Roman" w:hAnsi="Times New Roman" w:eastAsia="宋体"/>
          <w:color w:val="auto"/>
          <w:spacing w:val="0"/>
          <w:sz w:val="24"/>
          <w:szCs w:val="24"/>
          <w:highlight w:val="none"/>
        </w:rPr>
        <w:t>垃圾分类宣传</w:t>
      </w:r>
      <w:r>
        <w:rPr>
          <w:rFonts w:hint="eastAsia" w:ascii="Times New Roman" w:hAnsi="Times New Roman" w:eastAsia="宋体"/>
          <w:color w:val="auto"/>
          <w:spacing w:val="0"/>
          <w:sz w:val="24"/>
          <w:szCs w:val="24"/>
          <w:highlight w:val="none"/>
        </w:rPr>
        <w:t>活动的</w:t>
      </w:r>
      <w:r>
        <w:rPr>
          <w:rFonts w:ascii="Times New Roman" w:hAnsi="Times New Roman" w:eastAsia="宋体"/>
          <w:color w:val="auto"/>
          <w:spacing w:val="0"/>
          <w:sz w:val="24"/>
          <w:szCs w:val="24"/>
          <w:highlight w:val="none"/>
        </w:rPr>
        <w:t>具体</w:t>
      </w:r>
      <w:r>
        <w:rPr>
          <w:rFonts w:hint="eastAsia" w:ascii="Times New Roman" w:hAnsi="Times New Roman" w:eastAsia="宋体"/>
          <w:color w:val="auto"/>
          <w:spacing w:val="0"/>
          <w:sz w:val="24"/>
          <w:szCs w:val="24"/>
          <w:highlight w:val="none"/>
        </w:rPr>
        <w:t>规划</w:t>
      </w:r>
      <w:r>
        <w:rPr>
          <w:rFonts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的得3分；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针对本项目有较为完整且切实可行的</w:t>
      </w:r>
      <w:r>
        <w:rPr>
          <w:rFonts w:ascii="Times New Roman" w:hAnsi="Times New Roman" w:eastAsia="宋体"/>
          <w:color w:val="auto"/>
          <w:spacing w:val="0"/>
          <w:sz w:val="24"/>
          <w:szCs w:val="24"/>
          <w:highlight w:val="none"/>
        </w:rPr>
        <w:t>垃圾分类宣传</w:t>
      </w:r>
      <w:r>
        <w:rPr>
          <w:rFonts w:hint="eastAsia" w:ascii="Times New Roman" w:hAnsi="Times New Roman" w:eastAsia="宋体"/>
          <w:color w:val="auto"/>
          <w:spacing w:val="0"/>
          <w:sz w:val="24"/>
          <w:szCs w:val="24"/>
          <w:highlight w:val="none"/>
        </w:rPr>
        <w:t>活动的</w:t>
      </w:r>
      <w:r>
        <w:rPr>
          <w:rFonts w:ascii="Times New Roman" w:hAnsi="Times New Roman" w:eastAsia="宋体"/>
          <w:color w:val="auto"/>
          <w:spacing w:val="0"/>
          <w:sz w:val="24"/>
          <w:szCs w:val="24"/>
          <w:highlight w:val="none"/>
        </w:rPr>
        <w:t>具体</w:t>
      </w:r>
      <w:r>
        <w:rPr>
          <w:rFonts w:hint="eastAsia" w:ascii="Times New Roman" w:hAnsi="Times New Roman" w:eastAsia="宋体"/>
          <w:color w:val="auto"/>
          <w:spacing w:val="0"/>
          <w:sz w:val="24"/>
          <w:szCs w:val="24"/>
          <w:highlight w:val="none"/>
        </w:rPr>
        <w:t>规划</w:t>
      </w:r>
      <w:r>
        <w:rPr>
          <w:rFonts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的得2分；</w:t>
      </w:r>
    </w:p>
    <w:p>
      <w:pPr>
        <w:pStyle w:val="66"/>
        <w:ind w:firstLine="448"/>
        <w:rPr>
          <w:rFonts w:ascii="宋体" w:eastAsia="宋体" w:cs="宋体"/>
          <w:color w:val="auto"/>
          <w:sz w:val="24"/>
          <w:highlight w:val="none"/>
        </w:rPr>
      </w:pPr>
      <w:r>
        <w:rPr>
          <w:rFonts w:hint="eastAsia" w:ascii="宋体" w:eastAsia="宋体" w:cs="宋体"/>
          <w:color w:val="auto"/>
          <w:sz w:val="24"/>
          <w:highlight w:val="none"/>
        </w:rPr>
        <w:t>针对本项目缺乏完整且切实可行的</w:t>
      </w:r>
      <w:r>
        <w:rPr>
          <w:rFonts w:ascii="Times New Roman" w:hAnsi="Times New Roman" w:eastAsia="宋体"/>
          <w:color w:val="auto"/>
          <w:spacing w:val="0"/>
          <w:sz w:val="24"/>
          <w:szCs w:val="24"/>
          <w:highlight w:val="none"/>
        </w:rPr>
        <w:t>垃圾分类宣传</w:t>
      </w:r>
      <w:r>
        <w:rPr>
          <w:rFonts w:hint="eastAsia" w:ascii="Times New Roman" w:hAnsi="Times New Roman" w:eastAsia="宋体"/>
          <w:color w:val="auto"/>
          <w:spacing w:val="0"/>
          <w:sz w:val="24"/>
          <w:szCs w:val="24"/>
          <w:highlight w:val="none"/>
        </w:rPr>
        <w:t>活动的</w:t>
      </w:r>
      <w:r>
        <w:rPr>
          <w:rFonts w:ascii="Times New Roman" w:hAnsi="Times New Roman" w:eastAsia="宋体"/>
          <w:color w:val="auto"/>
          <w:spacing w:val="0"/>
          <w:sz w:val="24"/>
          <w:szCs w:val="24"/>
          <w:highlight w:val="none"/>
        </w:rPr>
        <w:t>具体</w:t>
      </w:r>
      <w:r>
        <w:rPr>
          <w:rFonts w:hint="eastAsia" w:ascii="Times New Roman" w:hAnsi="Times New Roman" w:eastAsia="宋体"/>
          <w:color w:val="auto"/>
          <w:spacing w:val="0"/>
          <w:sz w:val="24"/>
          <w:szCs w:val="24"/>
          <w:highlight w:val="none"/>
        </w:rPr>
        <w:t>规划</w:t>
      </w:r>
      <w:r>
        <w:rPr>
          <w:rFonts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的得1分；</w:t>
      </w:r>
    </w:p>
    <w:p>
      <w:pPr>
        <w:pStyle w:val="66"/>
        <w:ind w:firstLine="448"/>
        <w:rPr>
          <w:rFonts w:ascii="Times New Roman" w:hAnsi="Times New Roman" w:eastAsia="宋体"/>
          <w:color w:val="auto"/>
          <w:spacing w:val="0"/>
          <w:sz w:val="24"/>
          <w:szCs w:val="24"/>
          <w:highlight w:val="none"/>
        </w:rPr>
      </w:pPr>
      <w:r>
        <w:rPr>
          <w:rFonts w:hint="eastAsia" w:ascii="宋体" w:eastAsia="宋体" w:cs="宋体"/>
          <w:color w:val="auto"/>
          <w:sz w:val="24"/>
          <w:highlight w:val="none"/>
        </w:rPr>
        <w:t>无</w:t>
      </w:r>
      <w:r>
        <w:rPr>
          <w:rFonts w:ascii="Times New Roman" w:hAnsi="Times New Roman" w:eastAsia="宋体"/>
          <w:color w:val="auto"/>
          <w:spacing w:val="0"/>
          <w:sz w:val="24"/>
          <w:szCs w:val="24"/>
          <w:highlight w:val="none"/>
        </w:rPr>
        <w:t>垃圾分类宣传</w:t>
      </w:r>
      <w:r>
        <w:rPr>
          <w:rFonts w:hint="eastAsia" w:ascii="Times New Roman" w:hAnsi="Times New Roman" w:eastAsia="宋体"/>
          <w:color w:val="auto"/>
          <w:spacing w:val="0"/>
          <w:sz w:val="24"/>
          <w:szCs w:val="24"/>
          <w:highlight w:val="none"/>
        </w:rPr>
        <w:t>活动的</w:t>
      </w:r>
      <w:r>
        <w:rPr>
          <w:rFonts w:ascii="Times New Roman" w:hAnsi="Times New Roman" w:eastAsia="宋体"/>
          <w:color w:val="auto"/>
          <w:spacing w:val="0"/>
          <w:sz w:val="24"/>
          <w:szCs w:val="24"/>
          <w:highlight w:val="none"/>
        </w:rPr>
        <w:t>具体</w:t>
      </w:r>
      <w:r>
        <w:rPr>
          <w:rFonts w:hint="eastAsia" w:ascii="Times New Roman" w:hAnsi="Times New Roman" w:eastAsia="宋体"/>
          <w:color w:val="auto"/>
          <w:spacing w:val="0"/>
          <w:sz w:val="24"/>
          <w:szCs w:val="24"/>
          <w:highlight w:val="none"/>
        </w:rPr>
        <w:t>规划</w:t>
      </w:r>
      <w:r>
        <w:rPr>
          <w:rFonts w:ascii="Times New Roman" w:hAnsi="Times New Roman" w:eastAsia="宋体"/>
          <w:color w:val="auto"/>
          <w:spacing w:val="0"/>
          <w:sz w:val="24"/>
          <w:szCs w:val="24"/>
          <w:highlight w:val="none"/>
        </w:rPr>
        <w:t>方案</w:t>
      </w:r>
      <w:r>
        <w:rPr>
          <w:rFonts w:hint="eastAsia" w:ascii="宋体" w:eastAsia="宋体" w:cs="宋体"/>
          <w:color w:val="auto"/>
          <w:sz w:val="24"/>
          <w:highlight w:val="none"/>
        </w:rPr>
        <w:t>的得0分。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3）</w:t>
      </w:r>
      <w:r>
        <w:rPr>
          <w:color w:val="auto"/>
          <w:sz w:val="24"/>
          <w:highlight w:val="none"/>
        </w:rPr>
        <w:t>垃圾分类投放收运方案</w:t>
      </w:r>
      <w:r>
        <w:rPr>
          <w:rFonts w:hint="eastAsia" w:ascii="宋体" w:hAnsi="宋体" w:cs="宋体"/>
          <w:bCs/>
          <w:color w:val="auto"/>
          <w:sz w:val="24"/>
          <w:highlight w:val="none"/>
        </w:rPr>
        <w:t>（9分）：</w:t>
      </w:r>
      <w:r>
        <w:rPr>
          <w:color w:val="auto"/>
          <w:sz w:val="24"/>
          <w:highlight w:val="none"/>
        </w:rPr>
        <w:t>根据</w:t>
      </w:r>
      <w:r>
        <w:rPr>
          <w:rFonts w:hint="eastAsia"/>
          <w:color w:val="auto"/>
          <w:sz w:val="24"/>
          <w:highlight w:val="none"/>
        </w:rPr>
        <w:t>投标人</w:t>
      </w:r>
      <w:r>
        <w:rPr>
          <w:color w:val="auto"/>
          <w:sz w:val="24"/>
          <w:highlight w:val="none"/>
        </w:rPr>
        <w:t>提供</w:t>
      </w:r>
      <w:r>
        <w:rPr>
          <w:rFonts w:hint="eastAsia"/>
          <w:color w:val="auto"/>
          <w:sz w:val="24"/>
          <w:highlight w:val="none"/>
        </w:rPr>
        <w:t>的</w:t>
      </w:r>
      <w:r>
        <w:rPr>
          <w:color w:val="auto"/>
          <w:sz w:val="24"/>
          <w:highlight w:val="none"/>
        </w:rPr>
        <w:t>垃圾分类投放收运方案是否合理、全面、可行等进行评价，包括但不限于制定完善的工作机制</w:t>
      </w:r>
      <w:r>
        <w:rPr>
          <w:rFonts w:hint="eastAsia"/>
          <w:color w:val="auto"/>
          <w:sz w:val="24"/>
          <w:highlight w:val="none"/>
        </w:rPr>
        <w:t>；</w:t>
      </w:r>
    </w:p>
    <w:p>
      <w:pPr>
        <w:spacing w:line="360" w:lineRule="auto"/>
        <w:ind w:firstLine="482"/>
        <w:rPr>
          <w:rFonts w:ascii="宋体" w:hAnsi="宋体" w:cs="宋体"/>
          <w:bCs/>
          <w:color w:val="auto"/>
          <w:sz w:val="24"/>
          <w:highlight w:val="none"/>
        </w:rPr>
      </w:pPr>
      <w:r>
        <w:rPr>
          <w:color w:val="auto"/>
          <w:sz w:val="24"/>
          <w:highlight w:val="none"/>
        </w:rPr>
        <w:t>①分类投放设施配置方案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有完整的</w:t>
      </w:r>
      <w:r>
        <w:rPr>
          <w:color w:val="auto"/>
          <w:sz w:val="24"/>
          <w:highlight w:val="none"/>
        </w:rPr>
        <w:t>分类投放设施配置方案</w:t>
      </w:r>
      <w:r>
        <w:rPr>
          <w:rFonts w:hint="eastAsia" w:ascii="宋体" w:hAnsi="宋体" w:cs="宋体"/>
          <w:bCs/>
          <w:color w:val="auto"/>
          <w:sz w:val="24"/>
          <w:highlight w:val="none"/>
        </w:rPr>
        <w:t>且切实可行的得3分；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有较为完整的</w:t>
      </w:r>
      <w:r>
        <w:rPr>
          <w:color w:val="auto"/>
          <w:sz w:val="24"/>
          <w:highlight w:val="none"/>
        </w:rPr>
        <w:t>分类投放设施配置方案</w:t>
      </w:r>
      <w:r>
        <w:rPr>
          <w:rFonts w:hint="eastAsia" w:ascii="宋体" w:hAnsi="宋体" w:cs="宋体"/>
          <w:bCs/>
          <w:color w:val="auto"/>
          <w:sz w:val="24"/>
          <w:highlight w:val="none"/>
        </w:rPr>
        <w:t>且切实可行的得2分；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可操作性较差的</w:t>
      </w:r>
      <w:r>
        <w:rPr>
          <w:color w:val="auto"/>
          <w:sz w:val="24"/>
          <w:highlight w:val="none"/>
        </w:rPr>
        <w:t>分类投放设施配置方案</w:t>
      </w:r>
      <w:r>
        <w:rPr>
          <w:rFonts w:hint="eastAsia" w:ascii="宋体" w:hAnsi="宋体" w:cs="宋体"/>
          <w:bCs/>
          <w:color w:val="auto"/>
          <w:sz w:val="24"/>
          <w:highlight w:val="none"/>
        </w:rPr>
        <w:t>的得1分；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无项目</w:t>
      </w:r>
      <w:r>
        <w:rPr>
          <w:color w:val="auto"/>
          <w:sz w:val="24"/>
          <w:highlight w:val="none"/>
        </w:rPr>
        <w:t>分类投放设施配置方案</w:t>
      </w:r>
      <w:r>
        <w:rPr>
          <w:rFonts w:hint="eastAsia" w:ascii="宋体" w:hAnsi="宋体" w:cs="宋体"/>
          <w:bCs/>
          <w:color w:val="auto"/>
          <w:sz w:val="24"/>
          <w:highlight w:val="none"/>
        </w:rPr>
        <w:t>的得0分。</w:t>
      </w:r>
    </w:p>
    <w:p>
      <w:pPr>
        <w:spacing w:line="360" w:lineRule="auto"/>
        <w:ind w:firstLine="480" w:firstLineChars="200"/>
        <w:rPr>
          <w:color w:val="auto"/>
          <w:sz w:val="24"/>
          <w:highlight w:val="none"/>
        </w:rPr>
      </w:pPr>
      <w:r>
        <w:rPr>
          <w:color w:val="auto"/>
          <w:sz w:val="24"/>
          <w:highlight w:val="none"/>
        </w:rPr>
        <w:t>②分类收集方式</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有完整的</w:t>
      </w:r>
      <w:r>
        <w:rPr>
          <w:color w:val="auto"/>
          <w:sz w:val="24"/>
          <w:highlight w:val="none"/>
        </w:rPr>
        <w:t>分类收集方式</w:t>
      </w:r>
      <w:r>
        <w:rPr>
          <w:rFonts w:hint="eastAsia" w:ascii="宋体" w:hAnsi="宋体" w:cs="宋体"/>
          <w:bCs/>
          <w:color w:val="auto"/>
          <w:sz w:val="24"/>
          <w:highlight w:val="none"/>
        </w:rPr>
        <w:t>且切实可行的得3分；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有较为完整的</w:t>
      </w:r>
      <w:r>
        <w:rPr>
          <w:color w:val="auto"/>
          <w:sz w:val="24"/>
          <w:highlight w:val="none"/>
        </w:rPr>
        <w:t>分类收集方式</w:t>
      </w:r>
      <w:r>
        <w:rPr>
          <w:rFonts w:hint="eastAsia" w:ascii="宋体" w:hAnsi="宋体" w:cs="宋体"/>
          <w:bCs/>
          <w:color w:val="auto"/>
          <w:sz w:val="24"/>
          <w:highlight w:val="none"/>
        </w:rPr>
        <w:t>且切实可行的得2分；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可操作性较差的</w:t>
      </w:r>
      <w:r>
        <w:rPr>
          <w:color w:val="auto"/>
          <w:sz w:val="24"/>
          <w:highlight w:val="none"/>
        </w:rPr>
        <w:t>分类收集方式</w:t>
      </w:r>
      <w:r>
        <w:rPr>
          <w:rFonts w:hint="eastAsia" w:ascii="宋体" w:hAnsi="宋体" w:cs="宋体"/>
          <w:bCs/>
          <w:color w:val="auto"/>
          <w:sz w:val="24"/>
          <w:highlight w:val="none"/>
        </w:rPr>
        <w:t>的得1分；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无项目</w:t>
      </w:r>
      <w:r>
        <w:rPr>
          <w:color w:val="auto"/>
          <w:sz w:val="24"/>
          <w:highlight w:val="none"/>
        </w:rPr>
        <w:t>分类收集方式</w:t>
      </w:r>
      <w:r>
        <w:rPr>
          <w:rFonts w:hint="eastAsia" w:ascii="宋体" w:hAnsi="宋体" w:cs="宋体"/>
          <w:bCs/>
          <w:color w:val="auto"/>
          <w:sz w:val="24"/>
          <w:highlight w:val="none"/>
        </w:rPr>
        <w:t>的得0分。</w:t>
      </w:r>
    </w:p>
    <w:p>
      <w:pPr>
        <w:spacing w:line="360" w:lineRule="auto"/>
        <w:ind w:firstLine="482"/>
        <w:rPr>
          <w:color w:val="auto"/>
          <w:sz w:val="24"/>
          <w:highlight w:val="none"/>
        </w:rPr>
      </w:pPr>
      <w:r>
        <w:rPr>
          <w:color w:val="auto"/>
          <w:sz w:val="24"/>
          <w:highlight w:val="none"/>
        </w:rPr>
        <w:t>③垃圾分类作业实施方案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有完整的</w:t>
      </w:r>
      <w:r>
        <w:rPr>
          <w:color w:val="auto"/>
          <w:sz w:val="24"/>
          <w:highlight w:val="none"/>
        </w:rPr>
        <w:t>垃圾分类作业实施方案</w:t>
      </w:r>
      <w:r>
        <w:rPr>
          <w:rFonts w:hint="eastAsia" w:ascii="宋体" w:hAnsi="宋体" w:cs="宋体"/>
          <w:bCs/>
          <w:color w:val="auto"/>
          <w:sz w:val="24"/>
          <w:highlight w:val="none"/>
        </w:rPr>
        <w:t>且切实可行的得3分；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有较为完整的</w:t>
      </w:r>
      <w:r>
        <w:rPr>
          <w:color w:val="auto"/>
          <w:sz w:val="24"/>
          <w:highlight w:val="none"/>
        </w:rPr>
        <w:t>垃圾分类作业实施方案</w:t>
      </w:r>
      <w:r>
        <w:rPr>
          <w:rFonts w:hint="eastAsia" w:ascii="宋体" w:hAnsi="宋体" w:cs="宋体"/>
          <w:bCs/>
          <w:color w:val="auto"/>
          <w:sz w:val="24"/>
          <w:highlight w:val="none"/>
        </w:rPr>
        <w:t>且切实可行的得2分；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可操作性较差的</w:t>
      </w:r>
      <w:r>
        <w:rPr>
          <w:color w:val="auto"/>
          <w:sz w:val="24"/>
          <w:highlight w:val="none"/>
        </w:rPr>
        <w:t>垃圾分类作业实施方案</w:t>
      </w:r>
      <w:r>
        <w:rPr>
          <w:rFonts w:hint="eastAsia" w:ascii="宋体" w:hAnsi="宋体" w:cs="宋体"/>
          <w:bCs/>
          <w:color w:val="auto"/>
          <w:sz w:val="24"/>
          <w:highlight w:val="none"/>
        </w:rPr>
        <w:t>的得1分；</w:t>
      </w:r>
    </w:p>
    <w:p>
      <w:pPr>
        <w:spacing w:line="360" w:lineRule="auto"/>
        <w:ind w:firstLine="482"/>
        <w:rPr>
          <w:color w:val="auto"/>
          <w:highlight w:val="none"/>
        </w:rPr>
      </w:pPr>
      <w:r>
        <w:rPr>
          <w:rFonts w:hint="eastAsia" w:ascii="宋体" w:hAnsi="宋体" w:cs="宋体"/>
          <w:bCs/>
          <w:color w:val="auto"/>
          <w:sz w:val="24"/>
          <w:highlight w:val="none"/>
        </w:rPr>
        <w:t>无项目</w:t>
      </w:r>
      <w:r>
        <w:rPr>
          <w:color w:val="auto"/>
          <w:sz w:val="24"/>
          <w:highlight w:val="none"/>
        </w:rPr>
        <w:t>垃圾分类作业实施方案</w:t>
      </w:r>
      <w:r>
        <w:rPr>
          <w:rFonts w:hint="eastAsia" w:ascii="宋体" w:hAnsi="宋体" w:cs="宋体"/>
          <w:bCs/>
          <w:color w:val="auto"/>
          <w:sz w:val="24"/>
          <w:highlight w:val="none"/>
        </w:rPr>
        <w:t>的得0分。</w:t>
      </w:r>
    </w:p>
    <w:p>
      <w:pPr>
        <w:spacing w:line="360" w:lineRule="auto"/>
        <w:ind w:firstLine="480" w:firstLineChars="200"/>
        <w:rPr>
          <w:color w:val="auto"/>
          <w:sz w:val="24"/>
          <w:highlight w:val="none"/>
        </w:rPr>
      </w:pPr>
      <w:r>
        <w:rPr>
          <w:rFonts w:hint="eastAsia" w:ascii="宋体" w:hAnsi="宋体" w:cs="宋体"/>
          <w:bCs/>
          <w:color w:val="auto"/>
          <w:sz w:val="24"/>
          <w:highlight w:val="none"/>
        </w:rPr>
        <w:t>4）</w:t>
      </w:r>
      <w:r>
        <w:rPr>
          <w:color w:val="auto"/>
          <w:sz w:val="24"/>
          <w:highlight w:val="none"/>
        </w:rPr>
        <w:t>应急服务措施和临时性重大活动保障措施</w:t>
      </w:r>
      <w:r>
        <w:rPr>
          <w:rFonts w:hint="eastAsia" w:ascii="宋体" w:hAnsi="宋体" w:cs="宋体"/>
          <w:bCs/>
          <w:color w:val="auto"/>
          <w:sz w:val="24"/>
          <w:highlight w:val="none"/>
        </w:rPr>
        <w:t>（12分）：</w:t>
      </w:r>
      <w:r>
        <w:rPr>
          <w:color w:val="auto"/>
          <w:sz w:val="24"/>
          <w:highlight w:val="none"/>
        </w:rPr>
        <w:t>根据</w:t>
      </w:r>
      <w:r>
        <w:rPr>
          <w:rFonts w:hint="eastAsia"/>
          <w:color w:val="auto"/>
          <w:sz w:val="24"/>
          <w:highlight w:val="none"/>
        </w:rPr>
        <w:t>投标人</w:t>
      </w:r>
      <w:r>
        <w:rPr>
          <w:color w:val="auto"/>
          <w:sz w:val="24"/>
          <w:highlight w:val="none"/>
        </w:rPr>
        <w:t>提供</w:t>
      </w:r>
      <w:r>
        <w:rPr>
          <w:rFonts w:hint="eastAsia"/>
          <w:color w:val="auto"/>
          <w:sz w:val="24"/>
          <w:highlight w:val="none"/>
        </w:rPr>
        <w:t>的</w:t>
      </w:r>
      <w:r>
        <w:rPr>
          <w:color w:val="auto"/>
          <w:sz w:val="24"/>
          <w:highlight w:val="none"/>
        </w:rPr>
        <w:t>垃圾分类投放收运方案是否合理、全面、可行等进行评价，包括但不限于制定完善的工作机制</w:t>
      </w:r>
      <w:r>
        <w:rPr>
          <w:rFonts w:hint="eastAsia"/>
          <w:color w:val="auto"/>
          <w:sz w:val="24"/>
          <w:highlight w:val="none"/>
        </w:rPr>
        <w:t>；</w:t>
      </w:r>
      <w:r>
        <w:rPr>
          <w:color w:val="auto"/>
          <w:sz w:val="24"/>
          <w:highlight w:val="none"/>
        </w:rPr>
        <w:t>④疫情防控预案。</w:t>
      </w:r>
    </w:p>
    <w:p>
      <w:pPr>
        <w:spacing w:line="360" w:lineRule="auto"/>
        <w:ind w:firstLine="480" w:firstLineChars="200"/>
        <w:rPr>
          <w:color w:val="auto"/>
          <w:highlight w:val="none"/>
        </w:rPr>
      </w:pPr>
      <w:r>
        <w:rPr>
          <w:color w:val="auto"/>
          <w:sz w:val="24"/>
          <w:highlight w:val="none"/>
        </w:rPr>
        <w:t>①重大活动处置预案</w:t>
      </w:r>
      <w:r>
        <w:rPr>
          <w:rFonts w:hint="eastAsia" w:ascii="宋体" w:hAnsi="宋体" w:cs="宋体"/>
          <w:bCs/>
          <w:color w:val="auto"/>
          <w:sz w:val="24"/>
          <w:szCs w:val="20"/>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有完整和规范的</w:t>
      </w:r>
      <w:r>
        <w:rPr>
          <w:color w:val="auto"/>
          <w:sz w:val="24"/>
          <w:highlight w:val="none"/>
        </w:rPr>
        <w:t>重大活动处置预案</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有较为完整和规范的</w:t>
      </w:r>
      <w:r>
        <w:rPr>
          <w:color w:val="auto"/>
          <w:sz w:val="24"/>
          <w:highlight w:val="none"/>
        </w:rPr>
        <w:t>重大活动处置预案</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缺乏完整和规范的</w:t>
      </w:r>
      <w:r>
        <w:rPr>
          <w:color w:val="auto"/>
          <w:sz w:val="24"/>
          <w:highlight w:val="none"/>
        </w:rPr>
        <w:t>重大活动处置预案</w:t>
      </w:r>
      <w:r>
        <w:rPr>
          <w:rFonts w:hint="eastAsia" w:ascii="宋体" w:hAnsi="宋体" w:cs="宋体"/>
          <w:bCs/>
          <w:color w:val="auto"/>
          <w:sz w:val="24"/>
          <w:highlight w:val="none"/>
        </w:rPr>
        <w:t>的得1分；</w:t>
      </w:r>
    </w:p>
    <w:p>
      <w:pPr>
        <w:pStyle w:val="2"/>
        <w:spacing w:line="360" w:lineRule="auto"/>
        <w:ind w:firstLine="420" w:firstLineChars="175"/>
        <w:rPr>
          <w:rFonts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无重大活动处置预案的得0分。</w:t>
      </w:r>
    </w:p>
    <w:p>
      <w:pPr>
        <w:pStyle w:val="2"/>
        <w:spacing w:line="360" w:lineRule="auto"/>
        <w:ind w:firstLine="420" w:firstLineChars="175"/>
        <w:rPr>
          <w:rFonts w:ascii="Times New Roman" w:eastAsia="宋体"/>
          <w:color w:val="auto"/>
          <w:kern w:val="2"/>
          <w:sz w:val="24"/>
          <w:szCs w:val="24"/>
          <w:highlight w:val="none"/>
        </w:rPr>
      </w:pPr>
      <w:r>
        <w:rPr>
          <w:rFonts w:ascii="Times New Roman" w:eastAsia="宋体"/>
          <w:color w:val="auto"/>
          <w:kern w:val="2"/>
          <w:sz w:val="24"/>
          <w:szCs w:val="24"/>
          <w:highlight w:val="none"/>
        </w:rPr>
        <w:t>②突击性任务应急方案</w:t>
      </w:r>
      <w:r>
        <w:rPr>
          <w:rFonts w:hint="eastAsia" w:ascii="宋体" w:hAnsi="宋体" w:eastAsia="宋体" w:cs="宋体"/>
          <w:bCs/>
          <w:color w:val="auto"/>
          <w:kern w:val="2"/>
          <w:sz w:val="24"/>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有完整和规范的</w:t>
      </w:r>
      <w:r>
        <w:rPr>
          <w:color w:val="auto"/>
          <w:sz w:val="24"/>
          <w:highlight w:val="none"/>
        </w:rPr>
        <w:t>突击性任务应急方案</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有较为完整和规范的</w:t>
      </w:r>
      <w:r>
        <w:rPr>
          <w:color w:val="auto"/>
          <w:sz w:val="24"/>
          <w:highlight w:val="none"/>
        </w:rPr>
        <w:t>突击性任务应急方案</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缺乏完整和规范的</w:t>
      </w:r>
      <w:r>
        <w:rPr>
          <w:color w:val="auto"/>
          <w:sz w:val="24"/>
          <w:highlight w:val="none"/>
        </w:rPr>
        <w:t>突击性任务应急方案</w:t>
      </w:r>
      <w:r>
        <w:rPr>
          <w:rFonts w:hint="eastAsia" w:ascii="宋体" w:hAnsi="宋体" w:cs="宋体"/>
          <w:bCs/>
          <w:color w:val="auto"/>
          <w:sz w:val="24"/>
          <w:highlight w:val="none"/>
        </w:rPr>
        <w:t>的得1分；</w:t>
      </w:r>
    </w:p>
    <w:p>
      <w:pPr>
        <w:pStyle w:val="2"/>
        <w:spacing w:line="360" w:lineRule="auto"/>
        <w:ind w:firstLine="420" w:firstLineChars="175"/>
        <w:rPr>
          <w:rFonts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无重大活动处置预案的得0分。</w:t>
      </w:r>
    </w:p>
    <w:p>
      <w:pPr>
        <w:pStyle w:val="2"/>
        <w:spacing w:line="360" w:lineRule="auto"/>
        <w:ind w:firstLine="420" w:firstLineChars="175"/>
        <w:rPr>
          <w:rFonts w:ascii="宋体" w:hAnsi="宋体" w:eastAsia="宋体" w:cs="宋体"/>
          <w:bCs/>
          <w:color w:val="auto"/>
          <w:kern w:val="2"/>
          <w:sz w:val="24"/>
          <w:highlight w:val="none"/>
        </w:rPr>
      </w:pPr>
      <w:r>
        <w:rPr>
          <w:rFonts w:ascii="宋体" w:hAnsi="宋体" w:eastAsia="宋体" w:cs="宋体"/>
          <w:bCs/>
          <w:color w:val="auto"/>
          <w:kern w:val="2"/>
          <w:sz w:val="24"/>
          <w:highlight w:val="none"/>
        </w:rPr>
        <w:t>③针对恶劣天气、自然灾害应急处置预案</w:t>
      </w:r>
      <w:r>
        <w:rPr>
          <w:rFonts w:hint="eastAsia" w:ascii="宋体" w:hAnsi="宋体" w:eastAsia="宋体" w:cs="宋体"/>
          <w:bCs/>
          <w:color w:val="auto"/>
          <w:kern w:val="2"/>
          <w:sz w:val="24"/>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有完整和规范</w:t>
      </w:r>
      <w:r>
        <w:rPr>
          <w:rFonts w:ascii="宋体" w:hAnsi="宋体" w:cs="宋体"/>
          <w:bCs/>
          <w:color w:val="auto"/>
          <w:sz w:val="24"/>
          <w:highlight w:val="none"/>
        </w:rPr>
        <w:t>针对恶劣天气、自然灾害应急处置预案</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有较为完整和规范</w:t>
      </w:r>
      <w:r>
        <w:rPr>
          <w:rFonts w:ascii="宋体" w:hAnsi="宋体" w:cs="宋体"/>
          <w:bCs/>
          <w:color w:val="auto"/>
          <w:sz w:val="24"/>
          <w:highlight w:val="none"/>
        </w:rPr>
        <w:t>针对恶劣天气、自然灾害应急处置预案</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缺乏完整和规范</w:t>
      </w:r>
      <w:r>
        <w:rPr>
          <w:rFonts w:ascii="宋体" w:hAnsi="宋体" w:cs="宋体"/>
          <w:bCs/>
          <w:color w:val="auto"/>
          <w:sz w:val="24"/>
          <w:highlight w:val="none"/>
        </w:rPr>
        <w:t>针对恶劣天气、自然灾害应急处置预案</w:t>
      </w:r>
      <w:r>
        <w:rPr>
          <w:rFonts w:hint="eastAsia" w:ascii="宋体" w:hAnsi="宋体" w:cs="宋体"/>
          <w:bCs/>
          <w:color w:val="auto"/>
          <w:sz w:val="24"/>
          <w:highlight w:val="none"/>
        </w:rPr>
        <w:t>的得1分；</w:t>
      </w:r>
    </w:p>
    <w:p>
      <w:pPr>
        <w:pStyle w:val="2"/>
        <w:spacing w:line="360" w:lineRule="auto"/>
        <w:ind w:firstLine="420" w:firstLineChars="175"/>
        <w:rPr>
          <w:rFonts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无</w:t>
      </w:r>
      <w:r>
        <w:rPr>
          <w:rFonts w:ascii="宋体" w:hAnsi="宋体" w:eastAsia="宋体" w:cs="宋体"/>
          <w:bCs/>
          <w:color w:val="auto"/>
          <w:kern w:val="2"/>
          <w:sz w:val="24"/>
          <w:highlight w:val="none"/>
        </w:rPr>
        <w:t>针对恶劣天气、自然灾害应急处置预案</w:t>
      </w:r>
      <w:r>
        <w:rPr>
          <w:rFonts w:hint="eastAsia" w:ascii="宋体" w:hAnsi="宋体" w:eastAsia="宋体" w:cs="宋体"/>
          <w:bCs/>
          <w:color w:val="auto"/>
          <w:kern w:val="2"/>
          <w:sz w:val="24"/>
          <w:highlight w:val="none"/>
        </w:rPr>
        <w:t>的得0分。</w:t>
      </w:r>
    </w:p>
    <w:p>
      <w:pPr>
        <w:pStyle w:val="2"/>
        <w:spacing w:line="360" w:lineRule="auto"/>
        <w:ind w:firstLine="420" w:firstLineChars="175"/>
        <w:rPr>
          <w:rFonts w:ascii="宋体" w:hAnsi="宋体" w:eastAsia="宋体" w:cs="宋体"/>
          <w:bCs/>
          <w:color w:val="auto"/>
          <w:kern w:val="2"/>
          <w:sz w:val="24"/>
          <w:highlight w:val="none"/>
        </w:rPr>
      </w:pPr>
      <w:r>
        <w:rPr>
          <w:rFonts w:ascii="宋体" w:hAnsi="宋体" w:eastAsia="宋体" w:cs="宋体"/>
          <w:bCs/>
          <w:color w:val="auto"/>
          <w:kern w:val="2"/>
          <w:sz w:val="24"/>
          <w:highlight w:val="none"/>
        </w:rPr>
        <w:t>④疫情防控预案</w:t>
      </w:r>
      <w:r>
        <w:rPr>
          <w:rFonts w:hint="eastAsia" w:ascii="宋体" w:hAnsi="宋体" w:eastAsia="宋体" w:cs="宋体"/>
          <w:bCs/>
          <w:color w:val="auto"/>
          <w:kern w:val="2"/>
          <w:sz w:val="24"/>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有完整和规范</w:t>
      </w:r>
      <w:r>
        <w:rPr>
          <w:rFonts w:ascii="宋体" w:hAnsi="宋体" w:cs="宋体"/>
          <w:bCs/>
          <w:color w:val="auto"/>
          <w:sz w:val="24"/>
          <w:szCs w:val="20"/>
          <w:highlight w:val="none"/>
        </w:rPr>
        <w:t>疫情防控预案</w:t>
      </w:r>
      <w:r>
        <w:rPr>
          <w:rFonts w:hint="eastAsia" w:ascii="宋体" w:hAnsi="宋体" w:cs="宋体"/>
          <w:bCs/>
          <w:color w:val="auto"/>
          <w:sz w:val="24"/>
          <w:highlight w:val="none"/>
        </w:rPr>
        <w:t>的得3分；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有较为完整和规范</w:t>
      </w:r>
      <w:r>
        <w:rPr>
          <w:rFonts w:ascii="宋体" w:hAnsi="宋体" w:cs="宋体"/>
          <w:bCs/>
          <w:color w:val="auto"/>
          <w:sz w:val="24"/>
          <w:szCs w:val="20"/>
          <w:highlight w:val="none"/>
        </w:rPr>
        <w:t>疫情防控预案</w:t>
      </w:r>
      <w:r>
        <w:rPr>
          <w:rFonts w:hint="eastAsia" w:ascii="宋体" w:hAnsi="宋体" w:cs="宋体"/>
          <w:bCs/>
          <w:color w:val="auto"/>
          <w:sz w:val="24"/>
          <w:highlight w:val="none"/>
        </w:rPr>
        <w:t>的得2分；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缺乏完整和规范</w:t>
      </w:r>
      <w:r>
        <w:rPr>
          <w:rFonts w:ascii="宋体" w:hAnsi="宋体" w:cs="宋体"/>
          <w:bCs/>
          <w:color w:val="auto"/>
          <w:sz w:val="24"/>
          <w:szCs w:val="20"/>
          <w:highlight w:val="none"/>
        </w:rPr>
        <w:t>疫情防控预案</w:t>
      </w:r>
      <w:r>
        <w:rPr>
          <w:rFonts w:hint="eastAsia" w:ascii="宋体" w:hAnsi="宋体" w:cs="宋体"/>
          <w:bCs/>
          <w:color w:val="auto"/>
          <w:sz w:val="24"/>
          <w:highlight w:val="none"/>
        </w:rPr>
        <w:t>的得1分；</w:t>
      </w:r>
    </w:p>
    <w:p>
      <w:pPr>
        <w:pStyle w:val="2"/>
        <w:spacing w:line="360" w:lineRule="auto"/>
        <w:ind w:firstLine="420" w:firstLineChars="175"/>
        <w:rPr>
          <w:rFonts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无</w:t>
      </w:r>
      <w:r>
        <w:rPr>
          <w:rFonts w:ascii="宋体" w:hAnsi="宋体" w:eastAsia="宋体" w:cs="宋体"/>
          <w:bCs/>
          <w:color w:val="auto"/>
          <w:kern w:val="2"/>
          <w:sz w:val="24"/>
          <w:highlight w:val="none"/>
        </w:rPr>
        <w:t>疫情防控预案</w:t>
      </w:r>
      <w:r>
        <w:rPr>
          <w:rFonts w:hint="eastAsia" w:ascii="宋体" w:hAnsi="宋体" w:eastAsia="宋体" w:cs="宋体"/>
          <w:bCs/>
          <w:color w:val="auto"/>
          <w:kern w:val="2"/>
          <w:sz w:val="24"/>
          <w:highlight w:val="none"/>
        </w:rPr>
        <w:t>的得0分。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5）</w:t>
      </w:r>
      <w:r>
        <w:rPr>
          <w:color w:val="auto"/>
          <w:sz w:val="24"/>
          <w:highlight w:val="none"/>
        </w:rPr>
        <w:t>其他优惠承诺及个性化服务情况</w:t>
      </w:r>
      <w:r>
        <w:rPr>
          <w:rFonts w:hint="eastAsia" w:ascii="宋体" w:hAnsi="宋体" w:cs="宋体"/>
          <w:bCs/>
          <w:color w:val="auto"/>
          <w:sz w:val="24"/>
          <w:highlight w:val="none"/>
        </w:rPr>
        <w:t>（3分）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针对本项目有完整且切实可行的</w:t>
      </w:r>
      <w:r>
        <w:rPr>
          <w:color w:val="auto"/>
          <w:sz w:val="24"/>
          <w:highlight w:val="none"/>
        </w:rPr>
        <w:t>实施过程中的服务承诺及个性化服务内容</w:t>
      </w:r>
      <w:r>
        <w:rPr>
          <w:rFonts w:hint="eastAsia" w:ascii="宋体" w:hAnsi="宋体" w:cs="宋体"/>
          <w:bCs/>
          <w:color w:val="auto"/>
          <w:sz w:val="24"/>
          <w:highlight w:val="none"/>
        </w:rPr>
        <w:t>得3分；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针对本项目有较为完整且切实可行的</w:t>
      </w:r>
      <w:r>
        <w:rPr>
          <w:color w:val="auto"/>
          <w:sz w:val="24"/>
          <w:highlight w:val="none"/>
        </w:rPr>
        <w:t>实施过程中的服务承诺及个性化服务内容</w:t>
      </w:r>
      <w:r>
        <w:rPr>
          <w:rFonts w:hint="eastAsia" w:ascii="宋体" w:hAnsi="宋体" w:cs="宋体"/>
          <w:bCs/>
          <w:color w:val="auto"/>
          <w:sz w:val="24"/>
          <w:highlight w:val="none"/>
        </w:rPr>
        <w:t>得2分；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针对本项目缺乏完整且切实可行的</w:t>
      </w:r>
      <w:r>
        <w:rPr>
          <w:color w:val="auto"/>
          <w:sz w:val="24"/>
          <w:highlight w:val="none"/>
        </w:rPr>
        <w:t>实施过程中的服务承诺及个性化服务内容</w:t>
      </w:r>
      <w:r>
        <w:rPr>
          <w:rFonts w:hint="eastAsia" w:ascii="宋体" w:hAnsi="宋体" w:cs="宋体"/>
          <w:bCs/>
          <w:color w:val="auto"/>
          <w:sz w:val="24"/>
          <w:highlight w:val="none"/>
        </w:rPr>
        <w:t>得1分；</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无项目</w:t>
      </w:r>
      <w:r>
        <w:rPr>
          <w:color w:val="auto"/>
          <w:sz w:val="24"/>
          <w:highlight w:val="none"/>
        </w:rPr>
        <w:t>实施过程中的服务承诺及个性化服务内容</w:t>
      </w:r>
      <w:r>
        <w:rPr>
          <w:rFonts w:hint="eastAsia" w:ascii="宋体" w:hAnsi="宋体" w:cs="宋体"/>
          <w:bCs/>
          <w:color w:val="auto"/>
          <w:sz w:val="24"/>
          <w:highlight w:val="none"/>
        </w:rPr>
        <w:t>的得0分。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评标委员会为5人以上的单数（含5人）时，计算分项得分时取平均值为报价单位的得分，各分项得分合计即为报价单位的总得分。投标文件无相应评分内容时，该项目为零分。报价单位如对</w:t>
      </w:r>
      <w:r>
        <w:rPr>
          <w:rFonts w:hint="eastAsia" w:ascii="宋体" w:hAnsi="宋体" w:cs="宋体"/>
          <w:color w:val="auto"/>
          <w:sz w:val="24"/>
          <w:highlight w:val="none"/>
          <w:lang w:val="en-US" w:eastAsia="zh-CN"/>
        </w:rPr>
        <w:t>采购</w:t>
      </w:r>
      <w:r>
        <w:rPr>
          <w:rFonts w:hint="eastAsia" w:ascii="宋体" w:hAnsi="宋体" w:cs="宋体"/>
          <w:b/>
          <w:bCs/>
          <w:color w:val="auto"/>
          <w:sz w:val="24"/>
          <w:highlight w:val="none"/>
        </w:rPr>
        <w:t>文件提出的合理要求不作出相应承诺或对招标单位提出不合理要求的不予得标。每项评分的具体内容和方法由评委独立评分。所有评委打分的平均值为各投标人最终得分。评分办法及评分细则的解释权属采购人。未列入本评分细则的其他条件不作为评分内容。</w:t>
      </w:r>
    </w:p>
    <w:p>
      <w:pPr>
        <w:spacing w:line="360" w:lineRule="auto"/>
        <w:ind w:firstLine="420" w:firstLineChars="175"/>
        <w:outlineLvl w:val="0"/>
        <w:rPr>
          <w:rFonts w:ascii="宋体" w:hAnsi="宋体" w:cs="宋体"/>
          <w:bCs/>
          <w:color w:val="auto"/>
          <w:sz w:val="24"/>
          <w:highlight w:val="none"/>
        </w:rPr>
      </w:pPr>
      <w:r>
        <w:rPr>
          <w:rFonts w:hint="eastAsia" w:ascii="宋体" w:hAnsi="宋体" w:cs="宋体"/>
          <w:bCs/>
          <w:color w:val="auto"/>
          <w:sz w:val="24"/>
          <w:highlight w:val="none"/>
        </w:rPr>
        <w:t>（十）确定中标投标人：</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1.评标委员会根据</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文件规定的评审方法和评分标准进行评审，按</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文件的要求在3家中标候选单位中，依法确定中标投标人。自评审结束之日起2个工作日内将评审报告送交采购人。采购人自收到评审报告之日起5个工作日内按</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的要求，在评审报告推荐的中标候选单位中，依法确定中标投标人。江苏通汇工程管理咨询有限公司自中标投标人确定之日起2个工作日内，发出中标通知书，并在媒体（江苏政府采购网、无锡政府采购网）上发布中标结果公告。如有质疑，按《中华人民共和国政府采购法》、财政部《政府采购货物和服务招标投标管理办法》等有关法规处理。</w:t>
      </w:r>
    </w:p>
    <w:p>
      <w:pPr>
        <w:tabs>
          <w:tab w:val="left" w:pos="525"/>
          <w:tab w:val="left" w:pos="1155"/>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2.投标、开标及定标的整个过程均接受无锡市</w:t>
      </w:r>
      <w:r>
        <w:rPr>
          <w:rFonts w:hint="eastAsia" w:ascii="宋体" w:hAnsi="宋体" w:cs="宋体"/>
          <w:color w:val="auto"/>
          <w:sz w:val="24"/>
          <w:highlight w:val="none"/>
        </w:rPr>
        <w:t>政府采购监管部门的监督</w:t>
      </w:r>
      <w:r>
        <w:rPr>
          <w:rFonts w:hint="eastAsia" w:ascii="宋体" w:hAnsi="宋体" w:cs="宋体"/>
          <w:bCs/>
          <w:color w:val="auto"/>
          <w:sz w:val="24"/>
          <w:highlight w:val="none"/>
        </w:rPr>
        <w:t>。</w:t>
      </w:r>
    </w:p>
    <w:p>
      <w:pPr>
        <w:tabs>
          <w:tab w:val="left" w:pos="525"/>
          <w:tab w:val="left" w:pos="1155"/>
        </w:tabs>
        <w:spacing w:line="444" w:lineRule="atLeast"/>
        <w:ind w:firstLine="600" w:firstLineChars="250"/>
        <w:rPr>
          <w:rFonts w:ascii="宋体" w:hAnsi="宋体" w:cs="宋体"/>
          <w:bCs/>
          <w:color w:val="auto"/>
          <w:sz w:val="24"/>
          <w:highlight w:val="none"/>
        </w:rPr>
      </w:pPr>
      <w:r>
        <w:rPr>
          <w:rFonts w:hint="eastAsia" w:ascii="宋体" w:hAnsi="宋体" w:cs="宋体"/>
          <w:bCs/>
          <w:color w:val="auto"/>
          <w:sz w:val="24"/>
          <w:highlight w:val="none"/>
        </w:rPr>
        <w:t>3.在发布中标公告的同时，江苏通汇工程管理咨询有限公司将向中标投标人发出中标通知书。</w:t>
      </w:r>
    </w:p>
    <w:p>
      <w:pPr>
        <w:spacing w:line="444" w:lineRule="atLeast"/>
        <w:ind w:firstLine="420" w:firstLineChars="175"/>
        <w:outlineLvl w:val="0"/>
        <w:rPr>
          <w:rFonts w:ascii="宋体" w:hAnsi="宋体" w:cs="宋体"/>
          <w:bCs/>
          <w:color w:val="auto"/>
          <w:sz w:val="24"/>
          <w:highlight w:val="none"/>
        </w:rPr>
      </w:pPr>
      <w:r>
        <w:rPr>
          <w:rFonts w:hint="eastAsia" w:ascii="宋体" w:hAnsi="宋体" w:cs="宋体"/>
          <w:bCs/>
          <w:color w:val="auto"/>
          <w:sz w:val="24"/>
          <w:highlight w:val="none"/>
        </w:rPr>
        <w:t>（十一） 废标的确认：</w:t>
      </w:r>
    </w:p>
    <w:p>
      <w:pPr>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在招标采购中，出现下列情况之一的，应予废标：</w:t>
      </w:r>
    </w:p>
    <w:p>
      <w:pPr>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1.符合专业条件的投标人或者对采购文件做出实质性响应的投标人不足三家；</w:t>
      </w:r>
    </w:p>
    <w:p>
      <w:pPr>
        <w:tabs>
          <w:tab w:val="left" w:pos="525"/>
          <w:tab w:val="left" w:pos="1155"/>
          <w:tab w:val="left" w:pos="1260"/>
        </w:tabs>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2.出现影响采购公正的违法、违规行为；</w:t>
      </w:r>
    </w:p>
    <w:p>
      <w:pPr>
        <w:tabs>
          <w:tab w:val="left" w:pos="525"/>
          <w:tab w:val="left" w:pos="1155"/>
          <w:tab w:val="left" w:pos="1260"/>
        </w:tabs>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3.投标人的报价超过规定的最高限价的；</w:t>
      </w:r>
    </w:p>
    <w:p>
      <w:pPr>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4.因重大变故，采购任务取消。</w:t>
      </w:r>
    </w:p>
    <w:p>
      <w:pPr>
        <w:spacing w:line="444" w:lineRule="atLeas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5.投标文件中未说明，且未经过采购人同意，将</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项目分包给他人的；</w:t>
      </w:r>
    </w:p>
    <w:p>
      <w:pPr>
        <w:pStyle w:val="7"/>
        <w:spacing w:line="444" w:lineRule="atLeast"/>
        <w:ind w:firstLine="480" w:firstLineChars="200"/>
        <w:rPr>
          <w:rFonts w:ascii="宋体" w:hAnsi="宋体" w:cs="宋体"/>
          <w:color w:val="auto"/>
          <w:highlight w:val="none"/>
        </w:rPr>
      </w:pPr>
      <w:r>
        <w:rPr>
          <w:rFonts w:hint="eastAsia" w:ascii="宋体" w:hAnsi="宋体" w:cs="宋体"/>
          <w:color w:val="auto"/>
          <w:sz w:val="24"/>
          <w:highlight w:val="none"/>
        </w:rPr>
        <w:t>6.拒绝履行合同义务的</w:t>
      </w:r>
    </w:p>
    <w:p>
      <w:pPr>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（十二）中标无效的确认：</w:t>
      </w:r>
    </w:p>
    <w:p>
      <w:pPr>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1.提供虚假材料谋取中标的；</w:t>
      </w:r>
    </w:p>
    <w:p>
      <w:pPr>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2.采取不正当手段诋毁、排挤其他投标人的；</w:t>
      </w:r>
    </w:p>
    <w:p>
      <w:pPr>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3.与招标采购单位、其他投标人恶意串通的；</w:t>
      </w:r>
    </w:p>
    <w:p>
      <w:pPr>
        <w:tabs>
          <w:tab w:val="left" w:pos="1140"/>
        </w:tabs>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4.向采购人行贿或者提供其他不正当利益的；</w:t>
      </w:r>
    </w:p>
    <w:p>
      <w:pPr>
        <w:tabs>
          <w:tab w:val="left" w:pos="1140"/>
        </w:tabs>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5.在招标过程中与采购人进行协商谈判、不按照采购文件和中标投标人的投标文件订立合同，或者与采购人另行订立背离合同实质性内容协议的；</w:t>
      </w:r>
    </w:p>
    <w:p>
      <w:pPr>
        <w:tabs>
          <w:tab w:val="left" w:pos="1140"/>
        </w:tabs>
        <w:spacing w:line="444"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6.拒绝有关部门监督检查或者提供虚假情况的。</w:t>
      </w:r>
    </w:p>
    <w:p>
      <w:pPr>
        <w:pStyle w:val="7"/>
        <w:spacing w:line="444" w:lineRule="atLeast"/>
        <w:ind w:firstLine="480" w:firstLineChars="200"/>
        <w:rPr>
          <w:rFonts w:ascii="宋体" w:hAnsi="宋体" w:cs="宋体"/>
          <w:color w:val="auto"/>
          <w:highlight w:val="none"/>
        </w:rPr>
      </w:pPr>
      <w:r>
        <w:rPr>
          <w:rFonts w:hint="eastAsia" w:ascii="宋体" w:hAnsi="宋体" w:cs="宋体"/>
          <w:color w:val="auto"/>
          <w:sz w:val="24"/>
          <w:highlight w:val="none"/>
        </w:rPr>
        <w:t>7.中标投标人拒绝签订政府采购合同的。</w:t>
      </w:r>
    </w:p>
    <w:p>
      <w:pPr>
        <w:spacing w:line="444" w:lineRule="atLeast"/>
        <w:ind w:firstLine="240" w:firstLineChars="100"/>
        <w:rPr>
          <w:rFonts w:ascii="宋体" w:hAnsi="宋体" w:cs="宋体"/>
          <w:bCs/>
          <w:color w:val="auto"/>
          <w:sz w:val="24"/>
          <w:highlight w:val="none"/>
        </w:rPr>
      </w:pPr>
      <w:r>
        <w:rPr>
          <w:rFonts w:hint="eastAsia" w:ascii="宋体" w:hAnsi="宋体" w:cs="宋体"/>
          <w:bCs/>
          <w:color w:val="auto"/>
          <w:sz w:val="24"/>
          <w:highlight w:val="none"/>
        </w:rPr>
        <w:t xml:space="preserve">  投标人有上述1至5项情形之一的，中标无效。有上述1至7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444" w:lineRule="atLeast"/>
        <w:ind w:firstLine="422" w:firstLineChars="175"/>
        <w:outlineLvl w:val="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十三）签订、履行合同：</w:t>
      </w:r>
    </w:p>
    <w:p>
      <w:pPr>
        <w:tabs>
          <w:tab w:val="left" w:pos="525"/>
          <w:tab w:val="left" w:pos="1050"/>
        </w:tabs>
        <w:spacing w:line="444" w:lineRule="atLeas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1、</w:t>
      </w:r>
      <w:r>
        <w:rPr>
          <w:rFonts w:ascii="宋体" w:hAnsi="宋体" w:cs="宋体"/>
          <w:color w:val="auto"/>
          <w:sz w:val="24"/>
          <w:szCs w:val="28"/>
          <w:highlight w:val="none"/>
        </w:rPr>
        <w:t>采购人应当自</w:t>
      </w:r>
      <w:r>
        <w:rPr>
          <w:rFonts w:hint="eastAsia" w:ascii="宋体" w:hAnsi="宋体" w:cs="宋体"/>
          <w:color w:val="auto"/>
          <w:sz w:val="24"/>
          <w:szCs w:val="28"/>
          <w:highlight w:val="none"/>
          <w:lang w:val="en-US" w:eastAsia="zh-CN"/>
        </w:rPr>
        <w:t>中标</w:t>
      </w:r>
      <w:r>
        <w:rPr>
          <w:rFonts w:ascii="宋体" w:hAnsi="宋体" w:cs="宋体"/>
          <w:color w:val="auto"/>
          <w:sz w:val="24"/>
          <w:szCs w:val="28"/>
          <w:highlight w:val="none"/>
        </w:rPr>
        <w:t>通知书发出之日起三十日内，按照</w:t>
      </w:r>
      <w:r>
        <w:rPr>
          <w:rFonts w:hint="eastAsia" w:ascii="宋体" w:hAnsi="宋体" w:cs="宋体"/>
          <w:color w:val="auto"/>
          <w:sz w:val="24"/>
          <w:szCs w:val="28"/>
          <w:highlight w:val="none"/>
          <w:lang w:val="en-US" w:eastAsia="zh-CN"/>
        </w:rPr>
        <w:t>采购</w:t>
      </w:r>
      <w:r>
        <w:rPr>
          <w:rFonts w:ascii="宋体" w:hAnsi="宋体" w:cs="宋体"/>
          <w:color w:val="auto"/>
          <w:sz w:val="24"/>
          <w:szCs w:val="28"/>
          <w:highlight w:val="none"/>
        </w:rPr>
        <w:t>文件和</w:t>
      </w:r>
      <w:r>
        <w:rPr>
          <w:rFonts w:hint="eastAsia" w:ascii="宋体" w:hAnsi="宋体" w:cs="宋体"/>
          <w:color w:val="auto"/>
          <w:sz w:val="24"/>
          <w:szCs w:val="28"/>
          <w:highlight w:val="none"/>
          <w:lang w:val="en-US" w:eastAsia="zh-CN"/>
        </w:rPr>
        <w:t>中标</w:t>
      </w:r>
      <w:r>
        <w:rPr>
          <w:rFonts w:ascii="宋体" w:hAnsi="宋体" w:cs="宋体"/>
          <w:color w:val="auto"/>
          <w:sz w:val="24"/>
          <w:szCs w:val="28"/>
          <w:highlight w:val="none"/>
        </w:rPr>
        <w:t>供应商</w:t>
      </w:r>
      <w:r>
        <w:rPr>
          <w:rFonts w:hint="eastAsia" w:ascii="宋体" w:hAnsi="宋体" w:cs="宋体"/>
          <w:color w:val="auto"/>
          <w:sz w:val="24"/>
          <w:szCs w:val="28"/>
          <w:highlight w:val="none"/>
          <w:lang w:val="en-US" w:eastAsia="zh-CN"/>
        </w:rPr>
        <w:t>投标</w:t>
      </w:r>
      <w:r>
        <w:rPr>
          <w:rFonts w:ascii="宋体" w:hAnsi="宋体" w:cs="宋体"/>
          <w:color w:val="auto"/>
          <w:sz w:val="24"/>
          <w:szCs w:val="28"/>
          <w:highlight w:val="none"/>
        </w:rPr>
        <w:t>文件的约定，与</w:t>
      </w:r>
      <w:r>
        <w:rPr>
          <w:rFonts w:hint="eastAsia" w:ascii="宋体" w:hAnsi="宋体" w:cs="宋体"/>
          <w:color w:val="auto"/>
          <w:sz w:val="24"/>
          <w:szCs w:val="28"/>
          <w:highlight w:val="none"/>
          <w:lang w:val="en-US" w:eastAsia="zh-CN"/>
        </w:rPr>
        <w:t>中标</w:t>
      </w:r>
      <w:r>
        <w:rPr>
          <w:rFonts w:ascii="宋体" w:hAnsi="宋体" w:cs="宋体"/>
          <w:color w:val="auto"/>
          <w:sz w:val="24"/>
          <w:szCs w:val="28"/>
          <w:highlight w:val="none"/>
        </w:rPr>
        <w:t>供应商签订书面合同。所签订的合同不得对</w:t>
      </w:r>
      <w:r>
        <w:rPr>
          <w:rFonts w:hint="eastAsia" w:ascii="宋体" w:hAnsi="宋体" w:cs="宋体"/>
          <w:color w:val="auto"/>
          <w:sz w:val="24"/>
          <w:highlight w:val="none"/>
          <w:lang w:val="en-US" w:eastAsia="zh-CN"/>
        </w:rPr>
        <w:t>采购</w:t>
      </w:r>
      <w:r>
        <w:rPr>
          <w:rFonts w:ascii="宋体" w:hAnsi="宋体" w:cs="宋体"/>
          <w:color w:val="auto"/>
          <w:sz w:val="24"/>
          <w:szCs w:val="28"/>
          <w:highlight w:val="none"/>
        </w:rPr>
        <w:t>文件和</w:t>
      </w:r>
      <w:r>
        <w:rPr>
          <w:rFonts w:hint="eastAsia" w:ascii="宋体" w:hAnsi="宋体" w:cs="宋体"/>
          <w:color w:val="auto"/>
          <w:sz w:val="24"/>
          <w:szCs w:val="28"/>
          <w:highlight w:val="none"/>
          <w:lang w:val="en-US" w:eastAsia="zh-CN"/>
        </w:rPr>
        <w:t>中标</w:t>
      </w:r>
      <w:r>
        <w:rPr>
          <w:rFonts w:ascii="宋体" w:hAnsi="宋体" w:cs="宋体"/>
          <w:color w:val="auto"/>
          <w:sz w:val="24"/>
          <w:szCs w:val="28"/>
          <w:highlight w:val="none"/>
        </w:rPr>
        <w:t>供应商</w:t>
      </w:r>
      <w:r>
        <w:rPr>
          <w:rFonts w:hint="eastAsia" w:ascii="宋体" w:hAnsi="宋体" w:cs="宋体"/>
          <w:color w:val="auto"/>
          <w:sz w:val="24"/>
          <w:szCs w:val="28"/>
          <w:highlight w:val="none"/>
          <w:lang w:val="en-US" w:eastAsia="zh-CN"/>
        </w:rPr>
        <w:t>投标</w:t>
      </w:r>
      <w:r>
        <w:rPr>
          <w:rFonts w:ascii="宋体" w:hAnsi="宋体" w:cs="宋体"/>
          <w:color w:val="auto"/>
          <w:sz w:val="24"/>
          <w:szCs w:val="28"/>
          <w:highlight w:val="none"/>
        </w:rPr>
        <w:t>文件作实质性修改。</w:t>
      </w:r>
      <w:r>
        <w:rPr>
          <w:rFonts w:hint="eastAsia" w:ascii="宋体" w:hAnsi="宋体" w:cs="宋体"/>
          <w:color w:val="auto"/>
          <w:sz w:val="24"/>
          <w:szCs w:val="28"/>
          <w:highlight w:val="none"/>
        </w:rPr>
        <w:t>采购人</w:t>
      </w:r>
      <w:r>
        <w:rPr>
          <w:rFonts w:ascii="宋体" w:hAnsi="宋体" w:cs="宋体"/>
          <w:color w:val="auto"/>
          <w:sz w:val="24"/>
          <w:szCs w:val="28"/>
          <w:highlight w:val="none"/>
        </w:rPr>
        <w:t>不得向</w:t>
      </w:r>
      <w:r>
        <w:rPr>
          <w:rFonts w:hint="eastAsia" w:ascii="宋体" w:hAnsi="宋体" w:cs="宋体"/>
          <w:color w:val="auto"/>
          <w:sz w:val="24"/>
          <w:szCs w:val="28"/>
          <w:highlight w:val="none"/>
          <w:lang w:val="en-US" w:eastAsia="zh-CN"/>
        </w:rPr>
        <w:t>中标</w:t>
      </w:r>
      <w:r>
        <w:rPr>
          <w:rFonts w:ascii="宋体" w:hAnsi="宋体" w:cs="宋体"/>
          <w:color w:val="auto"/>
          <w:sz w:val="24"/>
          <w:szCs w:val="28"/>
          <w:highlight w:val="none"/>
        </w:rPr>
        <w:t>供应商提出任何不合理的要求，作为签订合同的条件，不得与</w:t>
      </w:r>
      <w:r>
        <w:rPr>
          <w:rFonts w:hint="eastAsia" w:ascii="宋体" w:hAnsi="宋体" w:cs="宋体"/>
          <w:color w:val="auto"/>
          <w:sz w:val="24"/>
          <w:szCs w:val="28"/>
          <w:highlight w:val="none"/>
          <w:lang w:val="en-US" w:eastAsia="zh-CN"/>
        </w:rPr>
        <w:t>中标</w:t>
      </w:r>
      <w:r>
        <w:rPr>
          <w:rFonts w:ascii="宋体" w:hAnsi="宋体" w:cs="宋体"/>
          <w:color w:val="auto"/>
          <w:sz w:val="24"/>
          <w:szCs w:val="28"/>
          <w:highlight w:val="none"/>
        </w:rPr>
        <w:t>供应商私下订立背离合同实质性内容的协议。</w:t>
      </w:r>
      <w:r>
        <w:rPr>
          <w:rFonts w:hint="eastAsia" w:ascii="宋体" w:hAnsi="宋体" w:cs="宋体"/>
          <w:color w:val="auto"/>
          <w:sz w:val="24"/>
          <w:szCs w:val="28"/>
          <w:highlight w:val="none"/>
        </w:rPr>
        <w:t>合同经江苏通汇工程管理咨询有限公司见证后生效。</w:t>
      </w:r>
    </w:p>
    <w:p>
      <w:pPr>
        <w:keepNext w:val="0"/>
        <w:keepLines w:val="0"/>
        <w:pageBreakBefore w:val="0"/>
        <w:widowControl w:val="0"/>
        <w:tabs>
          <w:tab w:val="left" w:pos="945"/>
        </w:tabs>
        <w:kinsoku/>
        <w:overflowPunct/>
        <w:autoSpaceDE/>
        <w:autoSpaceDN/>
        <w:bidi w:val="0"/>
        <w:snapToGrid/>
        <w:spacing w:line="430" w:lineRule="atLeast"/>
        <w:ind w:firstLine="480" w:firstLineChars="200"/>
        <w:textAlignment w:val="auto"/>
        <w:outlineLvl w:val="0"/>
        <w:rPr>
          <w:rFonts w:ascii="宋体" w:hAnsi="宋体" w:cs="宋体"/>
          <w:bCs/>
          <w:color w:val="auto"/>
          <w:sz w:val="24"/>
          <w:highlight w:val="none"/>
        </w:rPr>
      </w:pPr>
      <w:r>
        <w:rPr>
          <w:rFonts w:hint="eastAsia" w:ascii="宋体" w:hAnsi="宋体" w:cs="宋体"/>
          <w:bCs/>
          <w:color w:val="auto"/>
          <w:sz w:val="24"/>
          <w:highlight w:val="none"/>
        </w:rPr>
        <w:t>2、江苏通汇工程管理咨询有限公司监督合同的履行。中标方非因不可抗力未履行招、投标文件和合同规定的义务，一经查实，采购代理机构将根据具体情况提请政府采购管理部门作出相应处理。</w:t>
      </w:r>
    </w:p>
    <w:p>
      <w:pPr>
        <w:keepNext w:val="0"/>
        <w:keepLines w:val="0"/>
        <w:pageBreakBefore w:val="0"/>
        <w:widowControl w:val="0"/>
        <w:tabs>
          <w:tab w:val="left" w:pos="945"/>
        </w:tabs>
        <w:kinsoku/>
        <w:overflowPunct/>
        <w:autoSpaceDE/>
        <w:autoSpaceDN/>
        <w:bidi w:val="0"/>
        <w:snapToGrid/>
        <w:spacing w:line="430" w:lineRule="atLeast"/>
        <w:ind w:firstLine="480" w:firstLineChars="200"/>
        <w:textAlignment w:val="auto"/>
        <w:outlineLvl w:val="0"/>
        <w:rPr>
          <w:rFonts w:ascii="宋体" w:hAnsi="宋体" w:cs="宋体"/>
          <w:bCs/>
          <w:color w:val="auto"/>
          <w:sz w:val="24"/>
          <w:highlight w:val="none"/>
        </w:rPr>
      </w:pPr>
      <w:r>
        <w:rPr>
          <w:rFonts w:hint="eastAsia" w:ascii="宋体" w:hAnsi="宋体" w:cs="宋体"/>
          <w:color w:val="auto"/>
          <w:sz w:val="24"/>
          <w:highlight w:val="none"/>
        </w:rPr>
        <w:t>（十四）代理服务费：</w:t>
      </w:r>
    </w:p>
    <w:p>
      <w:pPr>
        <w:keepNext w:val="0"/>
        <w:keepLines w:val="0"/>
        <w:pageBreakBefore w:val="0"/>
        <w:widowControl w:val="0"/>
        <w:kinsoku/>
        <w:overflowPunct/>
        <w:autoSpaceDE/>
        <w:autoSpaceDN/>
        <w:bidi w:val="0"/>
        <w:snapToGrid/>
        <w:spacing w:line="430" w:lineRule="atLeas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本项目代理服务费由中标人支付。具体计算方法如下：</w:t>
      </w:r>
    </w:p>
    <w:p>
      <w:pPr>
        <w:keepNext w:val="0"/>
        <w:keepLines w:val="0"/>
        <w:pageBreakBefore w:val="0"/>
        <w:widowControl w:val="0"/>
        <w:kinsoku/>
        <w:overflowPunct/>
        <w:autoSpaceDE/>
        <w:autoSpaceDN/>
        <w:bidi w:val="0"/>
        <w:snapToGrid/>
        <w:spacing w:line="430" w:lineRule="atLeas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（1）招标代理费用</w:t>
      </w:r>
      <w:r>
        <w:rPr>
          <w:rFonts w:hint="eastAsia" w:ascii="宋体" w:hAnsi="宋体" w:cs="宋体"/>
          <w:b/>
          <w:color w:val="auto"/>
          <w:sz w:val="24"/>
          <w:highlight w:val="none"/>
          <w:lang w:val="en-US" w:eastAsia="zh-CN"/>
        </w:rPr>
        <w:t>参照</w:t>
      </w:r>
      <w:r>
        <w:rPr>
          <w:rFonts w:hint="eastAsia" w:ascii="宋体" w:hAnsi="宋体" w:cs="宋体"/>
          <w:b/>
          <w:color w:val="auto"/>
          <w:sz w:val="24"/>
          <w:highlight w:val="none"/>
        </w:rPr>
        <w:t>国家计委《招标代理服务收费管理暂行方法》的(2002)1980号文件规定6.7折计算（以中标价为基数）。</w:t>
      </w:r>
    </w:p>
    <w:p>
      <w:pPr>
        <w:keepNext w:val="0"/>
        <w:keepLines w:val="0"/>
        <w:pageBreakBefore w:val="0"/>
        <w:widowControl w:val="0"/>
        <w:kinsoku/>
        <w:overflowPunct/>
        <w:autoSpaceDE/>
        <w:autoSpaceDN/>
        <w:bidi w:val="0"/>
        <w:snapToGrid/>
        <w:spacing w:line="430" w:lineRule="atLeas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（2）领取中标通知书时中标人向采购代理机构一次性付清。</w:t>
      </w:r>
      <w:r>
        <w:rPr>
          <w:rFonts w:hint="eastAsia" w:ascii="宋体" w:hAnsi="宋体" w:cs="宋体"/>
          <w:b/>
          <w:color w:val="auto"/>
          <w:sz w:val="24"/>
          <w:highlight w:val="none"/>
          <w:shd w:val="clear" w:color="auto" w:fill="FFFFFF"/>
        </w:rPr>
        <w:t>中标投标人如果未按规定缴纳采购代理服务费,采购代理机构将保留诉讼的权利。</w:t>
      </w:r>
    </w:p>
    <w:p>
      <w:pPr>
        <w:keepNext w:val="0"/>
        <w:keepLines w:val="0"/>
        <w:pageBreakBefore w:val="0"/>
        <w:widowControl w:val="0"/>
        <w:kinsoku/>
        <w:overflowPunct/>
        <w:autoSpaceDE/>
        <w:autoSpaceDN/>
        <w:bidi w:val="0"/>
        <w:snapToGrid/>
        <w:spacing w:line="430" w:lineRule="atLeast"/>
        <w:ind w:firstLine="480" w:firstLineChars="200"/>
        <w:textAlignment w:val="auto"/>
        <w:outlineLvl w:val="0"/>
        <w:rPr>
          <w:rFonts w:ascii="宋体" w:hAnsi="宋体"/>
          <w:bCs/>
          <w:color w:val="auto"/>
          <w:sz w:val="24"/>
          <w:highlight w:val="none"/>
        </w:rPr>
      </w:pPr>
      <w:r>
        <w:rPr>
          <w:rFonts w:hint="eastAsia" w:ascii="宋体" w:hAnsi="宋体"/>
          <w:bCs/>
          <w:color w:val="auto"/>
          <w:sz w:val="24"/>
          <w:highlight w:val="none"/>
        </w:rPr>
        <w:t>(十五) 政府采购信用担保</w:t>
      </w:r>
    </w:p>
    <w:p>
      <w:pPr>
        <w:keepNext w:val="0"/>
        <w:keepLines w:val="0"/>
        <w:pageBreakBefore w:val="0"/>
        <w:widowControl w:val="0"/>
        <w:kinsoku/>
        <w:overflowPunct/>
        <w:autoSpaceDE/>
        <w:autoSpaceDN/>
        <w:bidi w:val="0"/>
        <w:snapToGrid/>
        <w:spacing w:line="430" w:lineRule="atLeast"/>
        <w:ind w:firstLine="480" w:firstLineChars="200"/>
        <w:textAlignment w:val="auto"/>
        <w:outlineLvl w:val="0"/>
        <w:rPr>
          <w:rFonts w:ascii="宋体" w:hAnsi="宋体"/>
          <w:bCs/>
          <w:color w:val="auto"/>
          <w:sz w:val="24"/>
          <w:highlight w:val="none"/>
        </w:rPr>
      </w:pPr>
      <w:r>
        <w:rPr>
          <w:rFonts w:hint="eastAsia" w:ascii="宋体" w:hAnsi="宋体"/>
          <w:bCs/>
          <w:color w:val="auto"/>
          <w:sz w:val="24"/>
          <w:highlight w:val="none"/>
        </w:rPr>
        <w:t>履约担保，是指由专业担保机构为中标投标人支付履约保证金的义务向采购人提供的保函担保。专业担保机构根据中标投标人的中标通知书为凭据，进行资信审查后出具保函, 中标投标人以保函形式缴纳履约保证金；投标人未按政府采购合同履行约定义务而应实际支付保证金的，由专业担保机构按照担保函约定履行担保责任。投标人可以自愿选择是否采取履约担保函的形式交纳履约保证金。</w:t>
      </w:r>
    </w:p>
    <w:p>
      <w:pPr>
        <w:keepNext w:val="0"/>
        <w:keepLines w:val="0"/>
        <w:pageBreakBefore w:val="0"/>
        <w:widowControl w:val="0"/>
        <w:kinsoku/>
        <w:overflowPunct/>
        <w:autoSpaceDE/>
        <w:autoSpaceDN/>
        <w:bidi w:val="0"/>
        <w:snapToGrid/>
        <w:spacing w:line="430" w:lineRule="atLeast"/>
        <w:ind w:firstLine="480" w:firstLineChars="200"/>
        <w:textAlignment w:val="auto"/>
        <w:outlineLvl w:val="0"/>
        <w:rPr>
          <w:rFonts w:ascii="宋体" w:hAnsi="宋体"/>
          <w:bCs/>
          <w:color w:val="auto"/>
          <w:sz w:val="24"/>
          <w:highlight w:val="none"/>
        </w:rPr>
      </w:pPr>
      <w:r>
        <w:rPr>
          <w:rFonts w:hint="eastAsia" w:ascii="宋体" w:hAnsi="宋体"/>
          <w:bCs/>
          <w:color w:val="auto"/>
          <w:sz w:val="24"/>
          <w:highlight w:val="none"/>
        </w:rPr>
        <w:t>中标投标人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keepNext w:val="0"/>
        <w:keepLines w:val="0"/>
        <w:pageBreakBefore w:val="0"/>
        <w:widowControl w:val="0"/>
        <w:kinsoku/>
        <w:overflowPunct/>
        <w:autoSpaceDE/>
        <w:autoSpaceDN/>
        <w:bidi w:val="0"/>
        <w:snapToGrid/>
        <w:spacing w:line="430" w:lineRule="atLeast"/>
        <w:ind w:firstLine="480" w:firstLineChars="200"/>
        <w:textAlignment w:val="auto"/>
        <w:outlineLvl w:val="0"/>
        <w:rPr>
          <w:rFonts w:ascii="宋体" w:hAnsi="宋体"/>
          <w:bCs/>
          <w:color w:val="auto"/>
          <w:sz w:val="24"/>
          <w:highlight w:val="none"/>
        </w:rPr>
      </w:pPr>
      <w:r>
        <w:rPr>
          <w:rFonts w:hint="eastAsia" w:ascii="宋体" w:hAnsi="宋体"/>
          <w:bCs/>
          <w:color w:val="auto"/>
          <w:sz w:val="24"/>
          <w:highlight w:val="none"/>
        </w:rPr>
        <w:t>合作担保机构及银行出具的投标担保函、履约担保函及银行保函等，均具有《财政部关于开展政府采购信用担保试点工作的通知》中列明的担保效力。除不可抗力外，无论基于何种原因，投标人一旦出现违约情形，承担保证责任的专业担保机构应当先行按照政府采购担保函及时进行偿付，偿付完成后，再按与投标人签订的协议约定内容进行追偿。</w:t>
      </w:r>
    </w:p>
    <w:p>
      <w:pPr>
        <w:keepNext w:val="0"/>
        <w:keepLines w:val="0"/>
        <w:pageBreakBefore w:val="0"/>
        <w:widowControl w:val="0"/>
        <w:kinsoku/>
        <w:overflowPunct/>
        <w:autoSpaceDE/>
        <w:autoSpaceDN/>
        <w:bidi w:val="0"/>
        <w:snapToGrid/>
        <w:spacing w:line="430" w:lineRule="atLeast"/>
        <w:ind w:firstLine="480" w:firstLineChars="200"/>
        <w:textAlignment w:val="auto"/>
        <w:outlineLvl w:val="0"/>
        <w:rPr>
          <w:rFonts w:ascii="宋体" w:hAnsi="宋体"/>
          <w:bCs/>
          <w:color w:val="auto"/>
          <w:sz w:val="24"/>
          <w:highlight w:val="none"/>
        </w:rPr>
      </w:pPr>
      <w:r>
        <w:rPr>
          <w:rFonts w:hint="eastAsia" w:ascii="宋体" w:hAnsi="宋体"/>
          <w:bCs/>
          <w:color w:val="auto"/>
          <w:sz w:val="24"/>
          <w:highlight w:val="none"/>
        </w:rPr>
        <w:t>（十六）政府采购合同融资</w:t>
      </w:r>
    </w:p>
    <w:p>
      <w:pPr>
        <w:keepNext w:val="0"/>
        <w:keepLines w:val="0"/>
        <w:pageBreakBefore w:val="0"/>
        <w:widowControl w:val="0"/>
        <w:kinsoku/>
        <w:overflowPunct/>
        <w:autoSpaceDE/>
        <w:autoSpaceDN/>
        <w:bidi w:val="0"/>
        <w:snapToGrid/>
        <w:spacing w:line="430" w:lineRule="atLeast"/>
        <w:ind w:firstLine="480" w:firstLineChars="200"/>
        <w:textAlignment w:val="auto"/>
        <w:outlineLvl w:val="0"/>
        <w:rPr>
          <w:rFonts w:ascii="宋体" w:hAnsi="宋体"/>
          <w:bCs/>
          <w:color w:val="auto"/>
          <w:sz w:val="24"/>
          <w:highlight w:val="none"/>
        </w:rPr>
      </w:pPr>
      <w:r>
        <w:rPr>
          <w:rFonts w:hint="eastAsia" w:ascii="宋体" w:hAnsi="宋体"/>
          <w:bCs/>
          <w:color w:val="auto"/>
          <w:sz w:val="24"/>
          <w:highlight w:val="none"/>
        </w:rPr>
        <w:t>合同融资，是指参与政府采购的投标人，凭借中标、成交通知书或政府采购合同向金融机构申请融资，金融机构以投标人信用审查和政府采购信誉为基础，按便捷贷款程序和优惠利率，为其发放无财产抵押贷款的一种融资模式。投标人与金融机构按照“银企自愿，风险共担”的原则开展融资活动，有融资需求的中标、中标投标人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1050"/>
        </w:tabs>
        <w:spacing w:line="440" w:lineRule="exact"/>
        <w:ind w:firstLine="480" w:firstLineChars="200"/>
        <w:jc w:val="center"/>
        <w:rPr>
          <w:rFonts w:ascii="宋体" w:hAnsi="宋体" w:cs="宋体"/>
          <w:b/>
          <w:color w:val="auto"/>
          <w:sz w:val="44"/>
          <w:szCs w:val="44"/>
          <w:highlight w:val="none"/>
        </w:rPr>
      </w:pPr>
      <w:r>
        <w:rPr>
          <w:rFonts w:hint="eastAsia" w:ascii="宋体" w:hAnsi="宋体"/>
          <w:bCs/>
          <w:color w:val="auto"/>
          <w:sz w:val="24"/>
          <w:highlight w:val="none"/>
        </w:rPr>
        <w:t>中标、中标投标人可根据自身情况，自行决定是否选择采用合同融资形式，在无锡政府采购网——政采贷专栏提供的银行名录内自主选择合作银行。</w:t>
      </w:r>
      <w:r>
        <w:rPr>
          <w:rFonts w:hint="eastAsia" w:ascii="宋体" w:hAnsi="宋体" w:cs="宋体"/>
          <w:bCs/>
          <w:color w:val="auto"/>
          <w:sz w:val="24"/>
          <w:highlight w:val="none"/>
        </w:rPr>
        <w:br w:type="page"/>
      </w:r>
      <w:r>
        <w:rPr>
          <w:rFonts w:hint="eastAsia" w:ascii="宋体" w:hAnsi="宋体" w:cs="宋体"/>
          <w:b/>
          <w:color w:val="auto"/>
          <w:sz w:val="44"/>
          <w:szCs w:val="44"/>
          <w:highlight w:val="none"/>
        </w:rPr>
        <w:t>第三部分．项目技术要求和有关说明</w:t>
      </w:r>
    </w:p>
    <w:p>
      <w:pPr>
        <w:widowControl/>
        <w:tabs>
          <w:tab w:val="left" w:pos="360"/>
          <w:tab w:val="left" w:pos="960"/>
        </w:tabs>
        <w:spacing w:line="360" w:lineRule="auto"/>
        <w:ind w:firstLine="480" w:firstLineChars="200"/>
        <w:jc w:val="left"/>
        <w:rPr>
          <w:rFonts w:hint="eastAsia" w:ascii="宋体" w:hAnsi="宋体" w:cs="宋体"/>
          <w:bCs/>
          <w:color w:val="auto"/>
          <w:kern w:val="0"/>
          <w:sz w:val="24"/>
          <w:highlight w:val="none"/>
        </w:rPr>
      </w:pPr>
    </w:p>
    <w:p>
      <w:pPr>
        <w:widowControl/>
        <w:tabs>
          <w:tab w:val="left" w:pos="360"/>
          <w:tab w:val="left" w:pos="960"/>
        </w:tabs>
        <w:spacing w:line="360" w:lineRule="auto"/>
        <w:ind w:firstLine="480" w:firstLineChars="200"/>
        <w:jc w:val="left"/>
        <w:rPr>
          <w:rFonts w:ascii="宋体" w:hAnsi="宋体" w:cs="宋体"/>
          <w:color w:val="auto"/>
          <w:sz w:val="24"/>
          <w:highlight w:val="none"/>
        </w:rPr>
      </w:pPr>
      <w:r>
        <w:rPr>
          <w:rFonts w:hint="eastAsia" w:ascii="宋体" w:hAnsi="宋体" w:cs="宋体"/>
          <w:bCs/>
          <w:color w:val="auto"/>
          <w:kern w:val="0"/>
          <w:sz w:val="24"/>
          <w:highlight w:val="none"/>
        </w:rPr>
        <w:t>华庄街道现有安置房小区14个，共设置垃圾分类收集房172只，中转站18只。自2021年起，14个安置小区陆续对易腐垃圾、其他垃圾分类项目实施服务外包工作，并相继通过了省、市相关部门的验收。为加强生活垃圾分类管理，改善人居环境，节约资源，促进生态文明建设和经济社会可持续发展，根据市、区相关部门最新垃圾分类要求，结合工作实际，拟将华庄街道安置房小区内易腐垃圾、其他垃圾分类项目实施服务外包</w:t>
      </w:r>
      <w:r>
        <w:rPr>
          <w:rFonts w:hint="eastAsia" w:ascii="宋体" w:hAnsi="宋体" w:cs="宋体"/>
          <w:color w:val="auto"/>
          <w:sz w:val="24"/>
          <w:highlight w:val="none"/>
        </w:rPr>
        <w:t>，服务内容、期限及费用如下：</w:t>
      </w:r>
    </w:p>
    <w:p>
      <w:pPr>
        <w:widowControl/>
        <w:tabs>
          <w:tab w:val="left" w:pos="360"/>
          <w:tab w:val="left" w:pos="960"/>
        </w:tabs>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一、垃圾分类服务内容及标准：</w:t>
      </w:r>
    </w:p>
    <w:p>
      <w:pPr>
        <w:widowControl/>
        <w:tabs>
          <w:tab w:val="left" w:pos="360"/>
          <w:tab w:val="left" w:pos="960"/>
        </w:tabs>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1、服务内容：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（1）定时定点接受居民垃圾投放；每个小区周末及法定节假日设置误时投放点；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（2）每日对易腐垃圾、其他垃圾实施分类；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（3）每日对垃圾桶清洗、消毒；垃圾分类收集房保持清洁，无异味，每日做好消杀工作；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（4）建立健全垃圾分类服务台账；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（5）根据要求做好垃圾分类宣传及激励奖惩；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2、配置清单：</w:t>
      </w:r>
    </w:p>
    <w:tbl>
      <w:tblPr>
        <w:tblStyle w:val="67"/>
        <w:tblW w:w="10154" w:type="dxa"/>
        <w:jc w:val="center"/>
        <w:tblLayout w:type="fixed"/>
        <w:tblCellMar>
          <w:top w:w="0" w:type="dxa"/>
          <w:left w:w="108" w:type="dxa"/>
          <w:bottom w:w="0" w:type="dxa"/>
          <w:right w:w="108" w:type="dxa"/>
        </w:tblCellMar>
      </w:tblPr>
      <w:tblGrid>
        <w:gridCol w:w="1214"/>
        <w:gridCol w:w="1200"/>
        <w:gridCol w:w="4680"/>
        <w:gridCol w:w="924"/>
        <w:gridCol w:w="731"/>
        <w:gridCol w:w="1405"/>
      </w:tblGrid>
      <w:tr>
        <w:tblPrEx>
          <w:tblCellMar>
            <w:top w:w="0" w:type="dxa"/>
            <w:left w:w="108" w:type="dxa"/>
            <w:bottom w:w="0" w:type="dxa"/>
            <w:right w:w="108" w:type="dxa"/>
          </w:tblCellMar>
        </w:tblPrEx>
        <w:trPr>
          <w:trHeight w:val="315" w:hRule="atLeast"/>
          <w:jc w:val="center"/>
        </w:trPr>
        <w:tc>
          <w:tcPr>
            <w:tcW w:w="12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名称</w:t>
            </w:r>
          </w:p>
        </w:tc>
        <w:tc>
          <w:tcPr>
            <w:tcW w:w="5880"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内容</w:t>
            </w:r>
          </w:p>
        </w:tc>
        <w:tc>
          <w:tcPr>
            <w:tcW w:w="924"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73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单位</w:t>
            </w:r>
          </w:p>
        </w:tc>
        <w:tc>
          <w:tcPr>
            <w:tcW w:w="140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399" w:hRule="atLeast"/>
          <w:jc w:val="center"/>
        </w:trPr>
        <w:tc>
          <w:tcPr>
            <w:tcW w:w="121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垃圾分类宣传</w:t>
            </w:r>
          </w:p>
        </w:tc>
        <w:tc>
          <w:tcPr>
            <w:tcW w:w="120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入户宣传活动</w:t>
            </w:r>
          </w:p>
        </w:tc>
        <w:tc>
          <w:tcPr>
            <w:tcW w:w="46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宣传折页：垃圾分类知识，1户1张</w:t>
            </w:r>
          </w:p>
        </w:tc>
        <w:tc>
          <w:tcPr>
            <w:tcW w:w="92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42500</w:t>
            </w:r>
          </w:p>
        </w:tc>
        <w:tc>
          <w:tcPr>
            <w:tcW w:w="7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户</w:t>
            </w:r>
          </w:p>
        </w:tc>
        <w:tc>
          <w:tcPr>
            <w:tcW w:w="1405" w:type="dxa"/>
            <w:tcBorders>
              <w:top w:val="single" w:color="000000" w:sz="8" w:space="0"/>
              <w:left w:val="nil"/>
              <w:bottom w:val="single" w:color="000000" w:sz="8" w:space="0"/>
              <w:right w:val="single" w:color="000000" w:sz="8"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83" w:hRule="atLeast"/>
          <w:jc w:val="center"/>
        </w:trPr>
        <w:tc>
          <w:tcPr>
            <w:tcW w:w="121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auto"/>
                <w:szCs w:val="21"/>
                <w:highlight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auto"/>
                <w:szCs w:val="21"/>
                <w:highlight w:val="none"/>
              </w:rPr>
            </w:pPr>
          </w:p>
        </w:tc>
        <w:tc>
          <w:tcPr>
            <w:tcW w:w="46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承诺书：入户宣传垃圾分类承诺书，1户1张</w:t>
            </w:r>
          </w:p>
        </w:tc>
        <w:tc>
          <w:tcPr>
            <w:tcW w:w="92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42500</w:t>
            </w:r>
          </w:p>
        </w:tc>
        <w:tc>
          <w:tcPr>
            <w:tcW w:w="7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户</w:t>
            </w:r>
          </w:p>
        </w:tc>
        <w:tc>
          <w:tcPr>
            <w:tcW w:w="140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45" w:hRule="atLeast"/>
          <w:jc w:val="center"/>
        </w:trPr>
        <w:tc>
          <w:tcPr>
            <w:tcW w:w="121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auto"/>
                <w:szCs w:val="21"/>
                <w:highlight w:val="none"/>
              </w:rPr>
            </w:pPr>
          </w:p>
        </w:tc>
        <w:tc>
          <w:tcPr>
            <w:tcW w:w="120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集中宣传活动</w:t>
            </w:r>
          </w:p>
        </w:tc>
        <w:tc>
          <w:tcPr>
            <w:tcW w:w="4680"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垃圾分类宣传活动：知识科普、技能实操讲解</w:t>
            </w:r>
          </w:p>
        </w:tc>
        <w:tc>
          <w:tcPr>
            <w:tcW w:w="92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140</w:t>
            </w:r>
          </w:p>
        </w:tc>
        <w:tc>
          <w:tcPr>
            <w:tcW w:w="7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场</w:t>
            </w:r>
          </w:p>
        </w:tc>
        <w:tc>
          <w:tcPr>
            <w:tcW w:w="14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两个月一场宣传活动</w:t>
            </w:r>
          </w:p>
        </w:tc>
      </w:tr>
      <w:tr>
        <w:tblPrEx>
          <w:tblCellMar>
            <w:top w:w="0" w:type="dxa"/>
            <w:left w:w="108" w:type="dxa"/>
            <w:bottom w:w="0" w:type="dxa"/>
            <w:right w:w="108" w:type="dxa"/>
          </w:tblCellMar>
        </w:tblPrEx>
        <w:trPr>
          <w:trHeight w:val="1148" w:hRule="atLeast"/>
          <w:jc w:val="center"/>
        </w:trPr>
        <w:tc>
          <w:tcPr>
            <w:tcW w:w="121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auto"/>
                <w:szCs w:val="21"/>
                <w:highlight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auto"/>
                <w:szCs w:val="21"/>
                <w:highlight w:val="none"/>
              </w:rPr>
            </w:pPr>
          </w:p>
        </w:tc>
        <w:tc>
          <w:tcPr>
            <w:tcW w:w="4680"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垃圾分类培训活动：以居委会为单位，对辖区内参加垃圾分类活动的小区强化培训。对社区核心力量进行培训和引导。包括居委干部、志愿者、居民骨干</w:t>
            </w:r>
          </w:p>
        </w:tc>
        <w:tc>
          <w:tcPr>
            <w:tcW w:w="92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93</w:t>
            </w:r>
          </w:p>
        </w:tc>
        <w:tc>
          <w:tcPr>
            <w:tcW w:w="7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场</w:t>
            </w:r>
          </w:p>
        </w:tc>
        <w:tc>
          <w:tcPr>
            <w:tcW w:w="14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每个季度一场专职人员培训</w:t>
            </w:r>
          </w:p>
        </w:tc>
      </w:tr>
      <w:tr>
        <w:tblPrEx>
          <w:tblCellMar>
            <w:top w:w="0" w:type="dxa"/>
            <w:left w:w="108" w:type="dxa"/>
            <w:bottom w:w="0" w:type="dxa"/>
            <w:right w:w="108" w:type="dxa"/>
          </w:tblCellMar>
        </w:tblPrEx>
        <w:trPr>
          <w:trHeight w:val="1228" w:hRule="atLeast"/>
          <w:jc w:val="center"/>
        </w:trPr>
        <w:tc>
          <w:tcPr>
            <w:tcW w:w="121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auto"/>
                <w:szCs w:val="21"/>
                <w:highlight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auto"/>
                <w:szCs w:val="21"/>
                <w:highlight w:val="none"/>
              </w:rPr>
            </w:pPr>
          </w:p>
        </w:tc>
        <w:tc>
          <w:tcPr>
            <w:tcW w:w="46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易腐账户培训与引导：以居委会为单位，对辖区内已参加或新增的绿色账户活动的小区强化培训。对社区核心力量进行培训和引导。包括居委干部、志愿者、居民骨干</w:t>
            </w:r>
          </w:p>
        </w:tc>
        <w:tc>
          <w:tcPr>
            <w:tcW w:w="92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93</w:t>
            </w:r>
          </w:p>
        </w:tc>
        <w:tc>
          <w:tcPr>
            <w:tcW w:w="7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场</w:t>
            </w:r>
          </w:p>
        </w:tc>
        <w:tc>
          <w:tcPr>
            <w:tcW w:w="14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每个季度一场专职人员培训</w:t>
            </w:r>
          </w:p>
        </w:tc>
      </w:tr>
      <w:tr>
        <w:tblPrEx>
          <w:tblCellMar>
            <w:top w:w="0" w:type="dxa"/>
            <w:left w:w="108" w:type="dxa"/>
            <w:bottom w:w="0" w:type="dxa"/>
            <w:right w:w="108" w:type="dxa"/>
          </w:tblCellMar>
        </w:tblPrEx>
        <w:trPr>
          <w:trHeight w:val="683" w:hRule="atLeast"/>
          <w:jc w:val="center"/>
        </w:trPr>
        <w:tc>
          <w:tcPr>
            <w:tcW w:w="1214" w:type="dxa"/>
            <w:vMerge w:val="continue"/>
            <w:tcBorders>
              <w:top w:val="nil"/>
              <w:left w:val="single" w:color="000000" w:sz="8" w:space="0"/>
              <w:bottom w:val="single" w:color="auto" w:sz="4" w:space="0"/>
              <w:right w:val="single" w:color="000000" w:sz="8" w:space="0"/>
            </w:tcBorders>
            <w:shd w:val="clear" w:color="auto" w:fill="auto"/>
            <w:noWrap/>
            <w:vAlign w:val="center"/>
          </w:tcPr>
          <w:p>
            <w:pPr>
              <w:jc w:val="center"/>
              <w:rPr>
                <w:rFonts w:ascii="宋体" w:hAnsi="宋体" w:cs="宋体"/>
                <w:color w:val="auto"/>
                <w:szCs w:val="21"/>
                <w:highlight w:val="none"/>
              </w:rPr>
            </w:pPr>
          </w:p>
        </w:tc>
        <w:tc>
          <w:tcPr>
            <w:tcW w:w="1200" w:type="dxa"/>
            <w:tcBorders>
              <w:top w:val="nil"/>
              <w:left w:val="nil"/>
              <w:bottom w:val="single" w:color="auto"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垃圾积分奖励活动</w:t>
            </w:r>
          </w:p>
        </w:tc>
        <w:tc>
          <w:tcPr>
            <w:tcW w:w="4680" w:type="dxa"/>
            <w:tcBorders>
              <w:top w:val="nil"/>
              <w:left w:val="single" w:color="000000" w:sz="8" w:space="0"/>
              <w:bottom w:val="single" w:color="auto" w:sz="4"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积分达到一定分值，小奖励（垃圾袋、毛巾、香皂等），达标户每户一份</w:t>
            </w:r>
          </w:p>
        </w:tc>
        <w:tc>
          <w:tcPr>
            <w:tcW w:w="924"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10000</w:t>
            </w:r>
          </w:p>
        </w:tc>
        <w:tc>
          <w:tcPr>
            <w:tcW w:w="731"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户</w:t>
            </w:r>
          </w:p>
        </w:tc>
        <w:tc>
          <w:tcPr>
            <w:tcW w:w="1405" w:type="dxa"/>
            <w:tcBorders>
              <w:top w:val="nil"/>
              <w:left w:val="nil"/>
              <w:bottom w:val="single" w:color="auto" w:sz="4" w:space="0"/>
              <w:right w:val="single" w:color="000000" w:sz="8"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88" w:hRule="atLeast"/>
          <w:jc w:val="center"/>
        </w:trPr>
        <w:tc>
          <w:tcPr>
            <w:tcW w:w="1214" w:type="dxa"/>
            <w:vMerge w:val="restart"/>
            <w:tcBorders>
              <w:top w:val="single" w:color="auto" w:sz="4" w:space="0"/>
              <w:left w:val="single" w:color="auto" w:sz="4"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运营管理，如报价中产生设备添置，则服务到期后设备归属采购人</w:t>
            </w:r>
          </w:p>
        </w:tc>
        <w:tc>
          <w:tcPr>
            <w:tcW w:w="5880" w:type="dxa"/>
            <w:gridSpan w:val="2"/>
            <w:tcBorders>
              <w:top w:val="single" w:color="auto" w:sz="4"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负责小区垃圾投放点收集垃圾的驳运，满桶垃圾应及时转运，空桶应及时周转</w:t>
            </w:r>
          </w:p>
        </w:tc>
        <w:tc>
          <w:tcPr>
            <w:tcW w:w="924"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172</w:t>
            </w:r>
          </w:p>
        </w:tc>
        <w:tc>
          <w:tcPr>
            <w:tcW w:w="731" w:type="dxa"/>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1405" w:type="dxa"/>
            <w:tcBorders>
              <w:top w:val="single" w:color="auto" w:sz="4" w:space="0"/>
              <w:left w:val="nil"/>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54" w:hRule="atLeast"/>
          <w:jc w:val="center"/>
        </w:trPr>
        <w:tc>
          <w:tcPr>
            <w:tcW w:w="1214" w:type="dxa"/>
            <w:vMerge w:val="continue"/>
            <w:tcBorders>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Cs w:val="21"/>
                <w:highlight w:val="none"/>
              </w:rPr>
            </w:pPr>
          </w:p>
        </w:tc>
        <w:tc>
          <w:tcPr>
            <w:tcW w:w="5880" w:type="dxa"/>
            <w:gridSpan w:val="2"/>
            <w:tcBorders>
              <w:top w:val="single" w:color="auto" w:sz="4"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负责每个收集点或垃圾房投放时间段的分类指导，居民投放时，能接收到对垃圾分类内容及定点定时投放的正确引导</w:t>
            </w:r>
          </w:p>
        </w:tc>
        <w:tc>
          <w:tcPr>
            <w:tcW w:w="924"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172</w:t>
            </w:r>
          </w:p>
        </w:tc>
        <w:tc>
          <w:tcPr>
            <w:tcW w:w="731" w:type="dxa"/>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点</w:t>
            </w:r>
          </w:p>
        </w:tc>
        <w:tc>
          <w:tcPr>
            <w:tcW w:w="1405" w:type="dxa"/>
            <w:tcBorders>
              <w:top w:val="single" w:color="auto" w:sz="4" w:space="0"/>
              <w:left w:val="nil"/>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bl>
    <w:p>
      <w:pPr>
        <w:spacing w:line="240" w:lineRule="auto"/>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二、采购服务内容：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1、作业要求</w:t>
      </w:r>
      <w:r>
        <w:rPr>
          <w:rFonts w:hint="eastAsia" w:ascii="宋体" w:hAnsi="宋体" w:cs="宋体"/>
          <w:b/>
          <w:bCs/>
          <w:color w:val="auto"/>
          <w:sz w:val="24"/>
          <w:highlight w:val="none"/>
        </w:rPr>
        <w:t>：</w:t>
      </w:r>
    </w:p>
    <w:p>
      <w:pPr>
        <w:pStyle w:val="279"/>
        <w:spacing w:before="0" w:beforeAutospacing="0" w:after="0" w:afterAutospacing="0" w:line="360" w:lineRule="auto"/>
        <w:ind w:firstLine="480" w:firstLineChars="200"/>
        <w:jc w:val="both"/>
        <w:rPr>
          <w:color w:val="auto"/>
          <w:highlight w:val="none"/>
        </w:rPr>
      </w:pPr>
      <w:r>
        <w:rPr>
          <w:rFonts w:hint="eastAsia"/>
          <w:color w:val="auto"/>
          <w:highlight w:val="none"/>
        </w:rPr>
        <w:t>(1)每天固定分两个时间段：上午6:15点至8:45点、晚上18:15点至20:45点（做好准备工作和清扫工作，每名垃圾分类指导员每天的实际工作的时间不少于5小时），居民将垃圾投入垃圾点。每个分类点每天现场需有工作人员协助、督导对业主每袋易腐垃圾进行破袋，分类正确的居民按规定投放，分类不正确的现场指导居民如何正确分类。对小区的易腐垃圾进行分拣及数据统计工作（包括记录及汇总），每月制表后上交社区。（含现场督导、上门一对一指导、及时分类信息反馈）。</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(2)对居民垃圾分类投放进行宣传和指导，对小区内投放点开展分拣和督导，提供垃圾分类引导服务，对居民进行分类宣传，使小区形成垃圾分类的氛围。</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(3)以上垃圾分类管理事项需向所在社区报备。</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(4)垃圾分类投放定时定点：服务期限内由中标单位拟派督导人员定时开放，定时关闭垃圾分类收集屋，定时开放时间根据小区实际情况确定。每天固定分两个时间段：上午6:</w:t>
      </w:r>
      <w:r>
        <w:rPr>
          <w:rFonts w:hint="eastAsia" w:cs="宋体"/>
          <w:color w:val="auto"/>
          <w:sz w:val="24"/>
          <w:highlight w:val="none"/>
        </w:rPr>
        <w:t>15</w:t>
      </w:r>
      <w:r>
        <w:rPr>
          <w:rFonts w:hint="eastAsia" w:ascii="宋体" w:hAnsi="宋体" w:cs="宋体"/>
          <w:color w:val="auto"/>
          <w:sz w:val="24"/>
          <w:highlight w:val="none"/>
        </w:rPr>
        <w:t>点至8:</w:t>
      </w:r>
      <w:r>
        <w:rPr>
          <w:rFonts w:hint="eastAsia" w:cs="宋体"/>
          <w:color w:val="auto"/>
          <w:sz w:val="24"/>
          <w:highlight w:val="none"/>
        </w:rPr>
        <w:t>45</w:t>
      </w:r>
      <w:r>
        <w:rPr>
          <w:rFonts w:hint="eastAsia" w:ascii="宋体" w:hAnsi="宋体" w:cs="宋体"/>
          <w:color w:val="auto"/>
          <w:sz w:val="24"/>
          <w:highlight w:val="none"/>
        </w:rPr>
        <w:t>点、晚上18:</w:t>
      </w:r>
      <w:r>
        <w:rPr>
          <w:rFonts w:hint="eastAsia" w:cs="宋体"/>
          <w:color w:val="auto"/>
          <w:sz w:val="24"/>
          <w:highlight w:val="none"/>
        </w:rPr>
        <w:t>15</w:t>
      </w:r>
      <w:r>
        <w:rPr>
          <w:rFonts w:hint="eastAsia" w:ascii="宋体" w:hAnsi="宋体" w:cs="宋体"/>
          <w:color w:val="auto"/>
          <w:sz w:val="24"/>
          <w:highlight w:val="none"/>
        </w:rPr>
        <w:t>点至20:</w:t>
      </w:r>
      <w:r>
        <w:rPr>
          <w:rFonts w:hint="eastAsia" w:cs="宋体"/>
          <w:color w:val="auto"/>
          <w:sz w:val="24"/>
          <w:highlight w:val="none"/>
        </w:rPr>
        <w:t>45</w:t>
      </w:r>
      <w:r>
        <w:rPr>
          <w:rFonts w:hint="eastAsia" w:ascii="宋体" w:hAnsi="宋体" w:cs="宋体"/>
          <w:color w:val="auto"/>
          <w:sz w:val="24"/>
          <w:highlight w:val="none"/>
        </w:rPr>
        <w:t>点（根据实地需要时间可自行调整），节假日增加误时投放时间：11:</w:t>
      </w:r>
      <w:r>
        <w:rPr>
          <w:rFonts w:hint="eastAsia" w:cs="宋体"/>
          <w:color w:val="auto"/>
          <w:sz w:val="24"/>
          <w:highlight w:val="none"/>
        </w:rPr>
        <w:t>15</w:t>
      </w:r>
      <w:r>
        <w:rPr>
          <w:rFonts w:hint="eastAsia" w:ascii="宋体" w:hAnsi="宋体" w:cs="宋体"/>
          <w:color w:val="auto"/>
          <w:sz w:val="24"/>
          <w:highlight w:val="none"/>
        </w:rPr>
        <w:t>点至13:</w:t>
      </w:r>
      <w:r>
        <w:rPr>
          <w:rFonts w:hint="eastAsia" w:cs="宋体"/>
          <w:color w:val="auto"/>
          <w:sz w:val="24"/>
          <w:highlight w:val="none"/>
        </w:rPr>
        <w:t>45</w:t>
      </w:r>
      <w:r>
        <w:rPr>
          <w:rFonts w:hint="eastAsia" w:ascii="宋体" w:hAnsi="宋体" w:cs="宋体"/>
          <w:color w:val="auto"/>
          <w:sz w:val="24"/>
          <w:highlight w:val="none"/>
        </w:rPr>
        <w:t>点。</w:t>
      </w:r>
    </w:p>
    <w:p>
      <w:pPr>
        <w:pStyle w:val="7"/>
        <w:spacing w:line="360"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2、定时定点收集房垃圾的收集、转运：</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(1)易腐垃圾：中标单位负责易腐垃圾分类</w:t>
      </w:r>
      <w:r>
        <w:rPr>
          <w:rFonts w:hint="eastAsia" w:ascii="宋体" w:hAnsi="宋体" w:cs="宋体"/>
          <w:b w:val="0"/>
          <w:bCs w:val="0"/>
          <w:color w:val="auto"/>
          <w:sz w:val="24"/>
          <w:highlight w:val="none"/>
        </w:rPr>
        <w:t>转运</w:t>
      </w:r>
      <w:r>
        <w:rPr>
          <w:rFonts w:hint="eastAsia" w:ascii="宋体" w:hAnsi="宋体" w:cs="宋体"/>
          <w:color w:val="auto"/>
          <w:sz w:val="24"/>
          <w:highlight w:val="none"/>
        </w:rPr>
        <w:t>。一日两清，每天分上午、下午两个时间段，转运垃圾，防止出现垃圾满溢现象。中标单位负责厨余垃圾的收集、破袋，集中运送至收集房回收处理。中标单位做好厨余垃圾的收集及垃圾量统计工作，同时防止出现垃圾满溢现象。</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(2)其它垃圾：中标单位负责其他垃圾分类转运；</w:t>
      </w:r>
    </w:p>
    <w:p>
      <w:pPr>
        <w:pStyle w:val="7"/>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3、垃圾分类房清洗保洁</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(1)垃圾分类房保洁</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督导员在垃圾分类定时投放时段结束后对垃圾分类房及周边进行全面清洗保洁，确保垃圾分类房及周边环境干净、整洁，垃圾分类房内无异味。</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(2)分类垃圾桶清洗</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督导员在垃圾分类定时投放时段结束后，对所有分类垃圾桶进行清洗、消杀，确保分类垃圾桶干净无污渍。</w:t>
      </w:r>
    </w:p>
    <w:p>
      <w:pPr>
        <w:pStyle w:val="7"/>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4、运营服务其他要求：</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(1)建立健全台账资料管理，根据垃圾收运情况（记录及汇总），垃圾分类收集设施日常保洁、消杀和维护情况等进行统计汇总制表，每月制作报表上报采购单位。</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(2)做好居民垃圾分类的正确投放工作，配合街道、社区、小区物业公司和垃圾收运单位的工作，同时关注居民参与情况，及时反馈问题，并协助市环卫处进行垃圾采样。</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(3)接受采购单位及各级管理部门的检查考核及其相应结果。在特殊情况（包括重大活动或灾害性天气）应服从甲方工作的需要和安排，主动加强突击与保障，确保重大活动对垃圾分类工作的特殊要求。</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(4)自觉接受社会监督，对居民群众和新闻媒体提出的批评意见或建议，必须在24小时内整改到位，并将结果上报至采购单位。</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(5)保洁人员按要求统一着装，文明作业，爱护基础设施，如发现垃圾桶、收集亭、指示牌等有破损情况的，及时拍照记录，上报采购单位，由采购单位落实维修或更新。</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(6)做到各类垃圾分类统计数据及时、准确、真实，偏差率不得大于5%。</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(7)对小区内所有垃圾分类收集设施等进行日常保洁和维护，每天至少1次，同时防止出现垃圾满溢现象。</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(8)服务期内前3个月投放垃圾准确率达到90%。</w:t>
      </w:r>
    </w:p>
    <w:p>
      <w:pPr>
        <w:spacing w:line="360" w:lineRule="auto"/>
        <w:outlineLvl w:val="0"/>
        <w:rPr>
          <w:rFonts w:ascii="宋体" w:hAnsi="宋体" w:cs="宋体"/>
          <w:color w:val="auto"/>
          <w:sz w:val="24"/>
          <w:highlight w:val="none"/>
        </w:rPr>
      </w:pPr>
      <w:r>
        <w:rPr>
          <w:rFonts w:hint="eastAsia" w:ascii="宋体" w:hAnsi="宋体" w:cs="宋体"/>
          <w:b/>
          <w:bCs/>
          <w:color w:val="auto"/>
          <w:spacing w:val="-9"/>
          <w:sz w:val="24"/>
          <w:highlight w:val="none"/>
        </w:rPr>
        <w:t>三、垃圾分类人员配置：</w:t>
      </w:r>
    </w:p>
    <w:p>
      <w:pPr>
        <w:spacing w:line="360" w:lineRule="auto"/>
        <w:ind w:firstLine="462" w:firstLineChars="200"/>
        <w:outlineLvl w:val="0"/>
        <w:rPr>
          <w:rFonts w:ascii="宋体" w:hAnsi="宋体" w:cs="宋体"/>
          <w:color w:val="auto"/>
          <w:sz w:val="24"/>
          <w:highlight w:val="none"/>
        </w:rPr>
      </w:pPr>
      <w:r>
        <w:rPr>
          <w:rFonts w:hint="eastAsia" w:ascii="宋体" w:hAnsi="宋体" w:cs="宋体"/>
          <w:b/>
          <w:bCs/>
          <w:color w:val="auto"/>
          <w:spacing w:val="-5"/>
          <w:sz w:val="24"/>
          <w:highlight w:val="none"/>
        </w:rPr>
        <w:t>1、垃圾分类指导员配置（172人）：</w:t>
      </w:r>
    </w:p>
    <w:p>
      <w:pPr>
        <w:spacing w:line="360" w:lineRule="auto"/>
        <w:ind w:firstLine="508" w:firstLineChars="200"/>
        <w:rPr>
          <w:rFonts w:ascii="宋体" w:hAnsi="宋体" w:cs="宋体"/>
          <w:color w:val="auto"/>
          <w:sz w:val="24"/>
          <w:highlight w:val="none"/>
        </w:rPr>
      </w:pPr>
      <w:r>
        <w:rPr>
          <w:rFonts w:hint="eastAsia" w:ascii="宋体" w:hAnsi="宋体" w:cs="宋体"/>
          <w:color w:val="auto"/>
          <w:spacing w:val="7"/>
          <w:sz w:val="24"/>
          <w:highlight w:val="none"/>
        </w:rPr>
        <w:t>华庄街道现有安置房小区14个，共设置垃圾分类收</w:t>
      </w:r>
      <w:r>
        <w:rPr>
          <w:rFonts w:hint="eastAsia" w:ascii="宋体" w:hAnsi="宋体" w:cs="宋体"/>
          <w:color w:val="auto"/>
          <w:spacing w:val="6"/>
          <w:sz w:val="24"/>
          <w:highlight w:val="none"/>
        </w:rPr>
        <w:t>集房172只</w:t>
      </w:r>
      <w:r>
        <w:rPr>
          <w:rFonts w:hint="eastAsia" w:ascii="宋体" w:hAnsi="宋体" w:cs="宋体"/>
          <w:color w:val="auto"/>
          <w:spacing w:val="2"/>
          <w:sz w:val="24"/>
          <w:highlight w:val="none"/>
        </w:rPr>
        <w:t>，结合工作实际，分类指导员配置如下：</w:t>
      </w:r>
    </w:p>
    <w:p>
      <w:pPr>
        <w:spacing w:line="360" w:lineRule="auto"/>
        <w:ind w:firstLine="516" w:firstLineChars="200"/>
        <w:rPr>
          <w:rFonts w:ascii="宋体" w:hAnsi="宋体" w:cs="宋体"/>
          <w:color w:val="auto"/>
          <w:sz w:val="24"/>
          <w:highlight w:val="none"/>
        </w:rPr>
      </w:pPr>
      <w:r>
        <w:rPr>
          <w:rFonts w:hint="eastAsia" w:ascii="宋体" w:hAnsi="宋体" w:cs="宋体"/>
          <w:color w:val="auto"/>
          <w:spacing w:val="9"/>
          <w:sz w:val="24"/>
          <w:highlight w:val="none"/>
        </w:rPr>
        <w:t>(1)禾塘社区水乡苑二、四区：22人；</w:t>
      </w:r>
    </w:p>
    <w:p>
      <w:pPr>
        <w:spacing w:line="360" w:lineRule="auto"/>
        <w:ind w:firstLine="520" w:firstLineChars="200"/>
        <w:rPr>
          <w:rFonts w:ascii="宋体" w:hAnsi="宋体" w:cs="宋体"/>
          <w:color w:val="auto"/>
          <w:spacing w:val="10"/>
          <w:sz w:val="24"/>
          <w:highlight w:val="none"/>
        </w:rPr>
      </w:pPr>
      <w:r>
        <w:rPr>
          <w:rFonts w:hint="eastAsia" w:ascii="宋体" w:hAnsi="宋体" w:cs="宋体"/>
          <w:color w:val="auto"/>
          <w:spacing w:val="10"/>
          <w:sz w:val="24"/>
          <w:highlight w:val="none"/>
        </w:rPr>
        <w:t>(2)旺安社区旺安佳园：16人；</w:t>
      </w:r>
    </w:p>
    <w:p>
      <w:pPr>
        <w:spacing w:line="360" w:lineRule="auto"/>
        <w:ind w:firstLine="528" w:firstLineChars="200"/>
        <w:rPr>
          <w:rFonts w:ascii="宋体" w:hAnsi="宋体" w:cs="宋体"/>
          <w:color w:val="auto"/>
          <w:spacing w:val="9"/>
          <w:sz w:val="24"/>
          <w:highlight w:val="none"/>
        </w:rPr>
      </w:pPr>
      <w:r>
        <w:rPr>
          <w:rFonts w:hint="eastAsia" w:ascii="宋体" w:hAnsi="宋体" w:cs="宋体"/>
          <w:color w:val="auto"/>
          <w:spacing w:val="12"/>
          <w:sz w:val="24"/>
          <w:highlight w:val="none"/>
        </w:rPr>
        <w:t>(3)太湖社区太湖佳园B、C、D块：18人</w:t>
      </w:r>
    </w:p>
    <w:p>
      <w:pPr>
        <w:spacing w:line="360" w:lineRule="auto"/>
        <w:ind w:firstLine="516" w:firstLineChars="200"/>
        <w:rPr>
          <w:rFonts w:ascii="宋体" w:hAnsi="宋体" w:cs="宋体"/>
          <w:color w:val="auto"/>
          <w:sz w:val="24"/>
          <w:highlight w:val="none"/>
        </w:rPr>
      </w:pPr>
      <w:r>
        <w:rPr>
          <w:rFonts w:hint="eastAsia" w:ascii="宋体" w:hAnsi="宋体" w:cs="宋体"/>
          <w:color w:val="auto"/>
          <w:spacing w:val="9"/>
          <w:sz w:val="24"/>
          <w:highlight w:val="none"/>
        </w:rPr>
        <w:t>(4)水乡社区水乡苑一、三区：10人；</w:t>
      </w:r>
    </w:p>
    <w:p>
      <w:pPr>
        <w:spacing w:line="360" w:lineRule="auto"/>
        <w:ind w:firstLine="528" w:firstLineChars="200"/>
        <w:rPr>
          <w:rFonts w:ascii="宋体" w:hAnsi="宋体" w:cs="宋体"/>
          <w:color w:val="auto"/>
          <w:sz w:val="24"/>
          <w:highlight w:val="none"/>
        </w:rPr>
      </w:pPr>
      <w:r>
        <w:rPr>
          <w:rFonts w:hint="eastAsia" w:ascii="宋体" w:hAnsi="宋体" w:cs="宋体"/>
          <w:color w:val="auto"/>
          <w:spacing w:val="12"/>
          <w:sz w:val="24"/>
          <w:highlight w:val="none"/>
        </w:rPr>
        <w:t>(5)清舒社区太湖佳园A1、A2块：10人；</w:t>
      </w:r>
    </w:p>
    <w:p>
      <w:pPr>
        <w:spacing w:line="360" w:lineRule="auto"/>
        <w:ind w:firstLine="520" w:firstLineChars="200"/>
        <w:rPr>
          <w:rFonts w:ascii="宋体" w:hAnsi="宋体" w:cs="宋体"/>
          <w:color w:val="auto"/>
          <w:sz w:val="24"/>
          <w:highlight w:val="none"/>
        </w:rPr>
      </w:pPr>
      <w:r>
        <w:rPr>
          <w:rFonts w:hint="eastAsia" w:ascii="宋体" w:hAnsi="宋体" w:cs="宋体"/>
          <w:color w:val="auto"/>
          <w:spacing w:val="10"/>
          <w:sz w:val="24"/>
          <w:highlight w:val="none"/>
        </w:rPr>
        <w:t>(6)农联社区侬联佳园：18人</w:t>
      </w:r>
      <w:r>
        <w:rPr>
          <w:rFonts w:hint="eastAsia" w:ascii="宋体" w:hAnsi="宋体" w:cs="宋体"/>
          <w:color w:val="auto"/>
          <w:spacing w:val="9"/>
          <w:sz w:val="24"/>
          <w:highlight w:val="none"/>
        </w:rPr>
        <w:t>；</w:t>
      </w:r>
    </w:p>
    <w:p>
      <w:pPr>
        <w:spacing w:line="360" w:lineRule="auto"/>
        <w:ind w:firstLine="520" w:firstLineChars="200"/>
        <w:rPr>
          <w:rFonts w:ascii="宋体" w:hAnsi="宋体" w:cs="宋体"/>
          <w:color w:val="auto"/>
          <w:sz w:val="24"/>
          <w:highlight w:val="none"/>
        </w:rPr>
      </w:pPr>
      <w:r>
        <w:rPr>
          <w:rFonts w:hint="eastAsia" w:ascii="宋体" w:hAnsi="宋体" w:cs="宋体"/>
          <w:color w:val="auto"/>
          <w:spacing w:val="10"/>
          <w:sz w:val="24"/>
          <w:highlight w:val="none"/>
        </w:rPr>
        <w:t>(7)华庄社区华憬佳园：10人；</w:t>
      </w:r>
    </w:p>
    <w:p>
      <w:pPr>
        <w:spacing w:line="360" w:lineRule="auto"/>
        <w:ind w:firstLine="512" w:firstLineChars="200"/>
        <w:rPr>
          <w:rFonts w:ascii="宋体" w:hAnsi="宋体" w:cs="宋体"/>
          <w:color w:val="auto"/>
          <w:sz w:val="24"/>
          <w:highlight w:val="none"/>
        </w:rPr>
      </w:pPr>
      <w:r>
        <w:rPr>
          <w:rFonts w:hint="eastAsia" w:ascii="宋体" w:hAnsi="宋体" w:cs="宋体"/>
          <w:color w:val="auto"/>
          <w:spacing w:val="8"/>
          <w:sz w:val="24"/>
          <w:highlight w:val="none"/>
        </w:rPr>
        <w:t>(8)华新社区凯发苑三、五期：11人</w:t>
      </w:r>
    </w:p>
    <w:p>
      <w:pPr>
        <w:spacing w:line="360" w:lineRule="auto"/>
        <w:ind w:firstLine="528" w:firstLineChars="200"/>
        <w:rPr>
          <w:rFonts w:ascii="宋体" w:hAnsi="宋体" w:cs="宋体"/>
          <w:color w:val="auto"/>
          <w:sz w:val="24"/>
          <w:highlight w:val="none"/>
        </w:rPr>
      </w:pPr>
      <w:r>
        <w:rPr>
          <w:rFonts w:hint="eastAsia" w:ascii="宋体" w:hAnsi="宋体" w:cs="宋体"/>
          <w:color w:val="auto"/>
          <w:spacing w:val="12"/>
          <w:sz w:val="24"/>
          <w:highlight w:val="none"/>
        </w:rPr>
        <w:t>(9)周潭社区周潭佳园B、C块：10人</w:t>
      </w:r>
    </w:p>
    <w:p>
      <w:pPr>
        <w:spacing w:line="360" w:lineRule="auto"/>
        <w:ind w:firstLine="520" w:firstLineChars="200"/>
        <w:rPr>
          <w:rFonts w:ascii="宋体" w:hAnsi="宋体" w:cs="宋体"/>
          <w:color w:val="auto"/>
          <w:sz w:val="24"/>
          <w:highlight w:val="none"/>
        </w:rPr>
      </w:pPr>
      <w:r>
        <w:rPr>
          <w:rFonts w:hint="eastAsia" w:ascii="宋体" w:hAnsi="宋体" w:cs="宋体"/>
          <w:color w:val="auto"/>
          <w:spacing w:val="10"/>
          <w:sz w:val="24"/>
          <w:highlight w:val="none"/>
        </w:rPr>
        <w:t>(10)泓澄社区双茂佳园：3人；</w:t>
      </w:r>
    </w:p>
    <w:p>
      <w:pPr>
        <w:spacing w:line="360" w:lineRule="auto"/>
        <w:ind w:firstLine="516" w:firstLineChars="200"/>
        <w:rPr>
          <w:rFonts w:ascii="宋体" w:hAnsi="宋体" w:cs="宋体"/>
          <w:color w:val="auto"/>
          <w:sz w:val="24"/>
          <w:highlight w:val="none"/>
        </w:rPr>
      </w:pPr>
      <w:r>
        <w:rPr>
          <w:rFonts w:hint="eastAsia" w:ascii="宋体" w:hAnsi="宋体" w:cs="宋体"/>
          <w:color w:val="auto"/>
          <w:spacing w:val="9"/>
          <w:sz w:val="24"/>
          <w:highlight w:val="none"/>
        </w:rPr>
        <w:t>(11)南张社区落霞苑一、二期：13人；</w:t>
      </w:r>
    </w:p>
    <w:p>
      <w:pPr>
        <w:spacing w:line="360" w:lineRule="auto"/>
        <w:ind w:firstLine="520" w:firstLineChars="200"/>
        <w:rPr>
          <w:rFonts w:ascii="宋体" w:hAnsi="宋体" w:cs="宋体"/>
          <w:color w:val="auto"/>
          <w:spacing w:val="10"/>
          <w:sz w:val="24"/>
          <w:highlight w:val="none"/>
        </w:rPr>
      </w:pPr>
      <w:r>
        <w:rPr>
          <w:rFonts w:hint="eastAsia" w:ascii="宋体" w:hAnsi="宋体" w:cs="宋体"/>
          <w:color w:val="auto"/>
          <w:spacing w:val="10"/>
          <w:sz w:val="24"/>
          <w:highlight w:val="none"/>
        </w:rPr>
        <w:t>(12)落霞社区落霞苑三期：7人；</w:t>
      </w:r>
    </w:p>
    <w:p>
      <w:pPr>
        <w:spacing w:line="360" w:lineRule="auto"/>
        <w:ind w:firstLine="520" w:firstLineChars="200"/>
        <w:rPr>
          <w:rFonts w:ascii="宋体" w:hAnsi="宋体" w:cs="宋体"/>
          <w:color w:val="auto"/>
          <w:spacing w:val="10"/>
          <w:sz w:val="24"/>
          <w:highlight w:val="none"/>
        </w:rPr>
      </w:pPr>
      <w:r>
        <w:rPr>
          <w:rFonts w:hint="eastAsia" w:ascii="宋体" w:hAnsi="宋体" w:cs="宋体"/>
          <w:color w:val="auto"/>
          <w:spacing w:val="10"/>
          <w:sz w:val="24"/>
          <w:highlight w:val="none"/>
        </w:rPr>
        <w:t>(13)里桥社区落霞苑四期：8人；</w:t>
      </w:r>
    </w:p>
    <w:p>
      <w:pPr>
        <w:spacing w:line="360" w:lineRule="auto"/>
        <w:ind w:firstLine="512" w:firstLineChars="200"/>
        <w:rPr>
          <w:rFonts w:ascii="宋体" w:hAnsi="宋体" w:cs="宋体"/>
          <w:color w:val="auto"/>
          <w:sz w:val="24"/>
          <w:highlight w:val="none"/>
        </w:rPr>
      </w:pPr>
      <w:r>
        <w:rPr>
          <w:rFonts w:hint="eastAsia" w:ascii="宋体" w:hAnsi="宋体" w:cs="宋体"/>
          <w:color w:val="auto"/>
          <w:spacing w:val="8"/>
          <w:sz w:val="24"/>
          <w:highlight w:val="none"/>
        </w:rPr>
        <w:t>(14)凯发社区凯发苑一、二期：16人。</w:t>
      </w:r>
    </w:p>
    <w:p>
      <w:pPr>
        <w:spacing w:line="360" w:lineRule="auto"/>
        <w:ind w:firstLine="462" w:firstLineChars="200"/>
        <w:outlineLvl w:val="0"/>
        <w:rPr>
          <w:rFonts w:ascii="宋体" w:hAnsi="宋体" w:cs="宋体"/>
          <w:color w:val="auto"/>
          <w:sz w:val="24"/>
          <w:highlight w:val="none"/>
        </w:rPr>
      </w:pPr>
      <w:r>
        <w:rPr>
          <w:rFonts w:hint="eastAsia" w:ascii="宋体" w:hAnsi="宋体" w:cs="宋体"/>
          <w:b/>
          <w:bCs/>
          <w:color w:val="auto"/>
          <w:spacing w:val="-5"/>
          <w:sz w:val="24"/>
          <w:highlight w:val="none"/>
        </w:rPr>
        <w:t>2、垃圾桶转运清洗人员配置（54人）：</w:t>
      </w:r>
    </w:p>
    <w:p>
      <w:pPr>
        <w:spacing w:line="360" w:lineRule="auto"/>
        <w:ind w:firstLine="520" w:firstLineChars="200"/>
        <w:rPr>
          <w:rFonts w:ascii="宋体" w:hAnsi="宋体" w:cs="宋体"/>
          <w:color w:val="auto"/>
          <w:spacing w:val="11"/>
          <w:sz w:val="24"/>
          <w:highlight w:val="none"/>
        </w:rPr>
      </w:pPr>
      <w:r>
        <w:rPr>
          <w:rFonts w:hint="eastAsia" w:ascii="宋体" w:hAnsi="宋体" w:cs="宋体"/>
          <w:color w:val="auto"/>
          <w:spacing w:val="10"/>
          <w:sz w:val="24"/>
          <w:highlight w:val="none"/>
        </w:rPr>
        <w:t>华庄街道14个安置房小区共设置垃圾分类中转站18只，每只中转站配备转运人员2人、清洗人员1人，每天负责把垃圾收集房的满桶垃圾用车辆拖运</w:t>
      </w:r>
      <w:r>
        <w:rPr>
          <w:rFonts w:hint="eastAsia" w:ascii="宋体" w:hAnsi="宋体" w:cs="宋体"/>
          <w:color w:val="auto"/>
          <w:spacing w:val="1"/>
          <w:sz w:val="24"/>
          <w:highlight w:val="none"/>
        </w:rPr>
        <w:t>至中转站，并把清洗过后的干净空桶转运至每只垃圾收集房，确保垃圾收集房</w:t>
      </w:r>
      <w:r>
        <w:rPr>
          <w:rFonts w:hint="eastAsia" w:ascii="宋体" w:hAnsi="宋体" w:cs="宋体"/>
          <w:color w:val="auto"/>
          <w:spacing w:val="6"/>
          <w:sz w:val="24"/>
          <w:highlight w:val="none"/>
        </w:rPr>
        <w:t>的正常运转。人员配置如下：</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(1)禾塘社区水乡苑二、四区：中转站2只；（中转站位于小区内）</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(2)旺安社区旺安佳园：中转站1只；（中转站位于小区内）</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(3)太湖社区太湖佳园B、C、D块：中转站1只；（中转站位于瑞景道与干城路路口）</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(4)水乡社区水乡苑一、三区：中转站1只；（中转站位于瑞景道与干城路路口）</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(5)清舒社区太湖佳园A1、A2块：中转站1只；（中转站位于瑞景道与干城路路口）</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(6)农联社区侬联佳园：中转站1只；（中转站位于军民路与清源路路口）</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(7)华庄社区华憬佳园：中转站1只；（中转站位于华憬佳园EG块与F块小区之间）</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(8)华新社区凯发苑三、五期：中转站2只；（中转站位于凯发苑三、五期小区外公园路与吴都路路口）</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(9)周潭社区周潭佳园B、C块：中转站1只；（中转站位于振新路与清源路路口）</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(10)泓澄社区双茂佳园：中转站1只；（中转站位于振新路与清源路路口）</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(11)南张社区落霞苑一、二期：中转站2只；（中转站位于小区内）</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(12)落霞社区落霞苑三期：中转站1只；（中转站位于小区内）</w:t>
      </w:r>
    </w:p>
    <w:p>
      <w:pPr>
        <w:spacing w:line="360" w:lineRule="auto"/>
        <w:ind w:firstLine="524" w:firstLineChars="200"/>
        <w:rPr>
          <w:rFonts w:hint="eastAsia" w:ascii="宋体" w:hAnsi="宋体" w:cs="宋体"/>
          <w:color w:val="auto"/>
          <w:spacing w:val="11"/>
          <w:sz w:val="24"/>
          <w:highlight w:val="none"/>
        </w:rPr>
      </w:pPr>
      <w:r>
        <w:rPr>
          <w:rFonts w:hint="eastAsia" w:ascii="宋体" w:hAnsi="宋体" w:cs="宋体"/>
          <w:color w:val="auto"/>
          <w:spacing w:val="11"/>
          <w:sz w:val="24"/>
          <w:highlight w:val="none"/>
        </w:rPr>
        <w:t>(13)里桥社区落霞苑四期：中转站1只；（中转站位于小区内）</w:t>
      </w:r>
    </w:p>
    <w:p>
      <w:pPr>
        <w:spacing w:line="360" w:lineRule="auto"/>
        <w:ind w:firstLine="524" w:firstLineChars="200"/>
        <w:rPr>
          <w:rFonts w:ascii="宋体" w:hAnsi="宋体" w:cs="宋体"/>
          <w:color w:val="auto"/>
          <w:sz w:val="24"/>
          <w:highlight w:val="none"/>
        </w:rPr>
      </w:pPr>
      <w:r>
        <w:rPr>
          <w:rFonts w:hint="eastAsia" w:ascii="宋体" w:hAnsi="宋体" w:cs="宋体"/>
          <w:color w:val="auto"/>
          <w:spacing w:val="11"/>
          <w:sz w:val="24"/>
          <w:highlight w:val="none"/>
        </w:rPr>
        <w:t>(14)凯发社区凯发苑一、二期：2只。（中转站位于小区内）</w:t>
      </w:r>
    </w:p>
    <w:p>
      <w:pPr>
        <w:spacing w:line="360" w:lineRule="auto"/>
        <w:ind w:firstLine="462" w:firstLineChars="200"/>
        <w:outlineLvl w:val="0"/>
        <w:rPr>
          <w:rFonts w:ascii="宋体" w:hAnsi="宋体" w:cs="宋体"/>
          <w:color w:val="auto"/>
          <w:sz w:val="24"/>
          <w:highlight w:val="none"/>
        </w:rPr>
      </w:pPr>
      <w:r>
        <w:rPr>
          <w:rFonts w:hint="eastAsia" w:ascii="宋体" w:hAnsi="宋体" w:cs="宋体"/>
          <w:b/>
          <w:bCs/>
          <w:color w:val="auto"/>
          <w:spacing w:val="-5"/>
          <w:sz w:val="24"/>
          <w:highlight w:val="none"/>
        </w:rPr>
        <w:t>3、误时投放时间段人员配置（29人）：</w:t>
      </w:r>
    </w:p>
    <w:p>
      <w:pPr>
        <w:spacing w:line="360" w:lineRule="auto"/>
        <w:ind w:firstLine="492" w:firstLineChars="200"/>
        <w:rPr>
          <w:rFonts w:ascii="宋体" w:hAnsi="宋体" w:cs="宋体"/>
          <w:color w:val="auto"/>
          <w:sz w:val="24"/>
          <w:highlight w:val="none"/>
        </w:rPr>
      </w:pPr>
      <w:r>
        <w:rPr>
          <w:rFonts w:hint="eastAsia" w:ascii="宋体" w:hAnsi="宋体" w:cs="宋体"/>
          <w:color w:val="auto"/>
          <w:spacing w:val="3"/>
          <w:sz w:val="24"/>
          <w:highlight w:val="none"/>
        </w:rPr>
        <w:t>根据每个小区的实际需要，在周末及法定节假日增设</w:t>
      </w:r>
      <w:r>
        <w:rPr>
          <w:rFonts w:hint="eastAsia" w:ascii="宋体" w:hAnsi="宋体" w:cs="宋体"/>
          <w:color w:val="auto"/>
          <w:spacing w:val="2"/>
          <w:sz w:val="24"/>
          <w:highlight w:val="none"/>
        </w:rPr>
        <w:t>垃圾误时投</w:t>
      </w:r>
      <w:r>
        <w:rPr>
          <w:rFonts w:hint="eastAsia" w:ascii="宋体" w:hAnsi="宋体" w:cs="宋体"/>
          <w:color w:val="auto"/>
          <w:spacing w:val="1"/>
          <w:sz w:val="24"/>
          <w:highlight w:val="none"/>
        </w:rPr>
        <w:t>放时间段，每次2小时，一般为11:15点至13:45点,</w:t>
      </w:r>
      <w:r>
        <w:rPr>
          <w:rFonts w:hint="eastAsia" w:ascii="宋体" w:hAnsi="宋体" w:cs="宋体"/>
          <w:color w:val="auto"/>
          <w:sz w:val="24"/>
          <w:highlight w:val="none"/>
        </w:rPr>
        <w:t xml:space="preserve"> </w:t>
      </w:r>
      <w:r>
        <w:rPr>
          <w:rFonts w:hint="eastAsia" w:ascii="宋体" w:hAnsi="宋体" w:cs="宋体"/>
          <w:color w:val="auto"/>
          <w:spacing w:val="10"/>
          <w:sz w:val="24"/>
          <w:highlight w:val="none"/>
        </w:rPr>
        <w:t>全年52个星期，11个法定节假日，华庄街道14个安置房小区共</w:t>
      </w:r>
      <w:r>
        <w:rPr>
          <w:rFonts w:hint="eastAsia" w:ascii="宋体" w:hAnsi="宋体" w:cs="宋体"/>
          <w:color w:val="auto"/>
          <w:spacing w:val="6"/>
          <w:sz w:val="24"/>
          <w:highlight w:val="none"/>
        </w:rPr>
        <w:t>设置垃圾分类误时投放点29处。每个误时投放点配置1人。具体配置如下：</w:t>
      </w:r>
    </w:p>
    <w:p>
      <w:pPr>
        <w:spacing w:line="360" w:lineRule="auto"/>
        <w:ind w:firstLine="524" w:firstLineChars="200"/>
        <w:rPr>
          <w:rFonts w:ascii="宋体" w:hAnsi="宋体" w:cs="宋体"/>
          <w:color w:val="auto"/>
          <w:sz w:val="24"/>
          <w:highlight w:val="none"/>
        </w:rPr>
      </w:pPr>
      <w:r>
        <w:rPr>
          <w:rFonts w:hint="eastAsia" w:ascii="宋体" w:hAnsi="宋体" w:cs="宋体"/>
          <w:color w:val="auto"/>
          <w:spacing w:val="11"/>
          <w:sz w:val="24"/>
          <w:highlight w:val="none"/>
        </w:rPr>
        <w:t>(1)禾塘社区水乡苑二、四区：误时投放点2处</w:t>
      </w:r>
      <w:r>
        <w:rPr>
          <w:rFonts w:hint="eastAsia" w:ascii="宋体" w:hAnsi="宋体" w:cs="宋体"/>
          <w:color w:val="auto"/>
          <w:spacing w:val="10"/>
          <w:sz w:val="24"/>
          <w:highlight w:val="none"/>
        </w:rPr>
        <w:t>；</w:t>
      </w:r>
    </w:p>
    <w:p>
      <w:pPr>
        <w:spacing w:line="360" w:lineRule="auto"/>
        <w:ind w:firstLine="528" w:firstLineChars="200"/>
        <w:rPr>
          <w:rFonts w:ascii="宋体" w:hAnsi="宋体" w:cs="宋体"/>
          <w:color w:val="auto"/>
          <w:spacing w:val="12"/>
          <w:sz w:val="24"/>
          <w:highlight w:val="none"/>
        </w:rPr>
      </w:pPr>
      <w:r>
        <w:rPr>
          <w:rFonts w:hint="eastAsia" w:ascii="宋体" w:hAnsi="宋体" w:cs="宋体"/>
          <w:color w:val="auto"/>
          <w:spacing w:val="12"/>
          <w:sz w:val="24"/>
          <w:highlight w:val="none"/>
        </w:rPr>
        <w:t>(2)旺安社区旺安佳园：误时投放点2处；</w:t>
      </w:r>
    </w:p>
    <w:p>
      <w:pPr>
        <w:spacing w:line="360" w:lineRule="auto"/>
        <w:ind w:firstLine="536" w:firstLineChars="200"/>
        <w:rPr>
          <w:rFonts w:ascii="宋体" w:hAnsi="宋体" w:cs="宋体"/>
          <w:color w:val="auto"/>
          <w:spacing w:val="13"/>
          <w:sz w:val="24"/>
          <w:highlight w:val="none"/>
        </w:rPr>
      </w:pPr>
      <w:r>
        <w:rPr>
          <w:rFonts w:hint="eastAsia" w:ascii="宋体" w:hAnsi="宋体" w:cs="宋体"/>
          <w:color w:val="auto"/>
          <w:spacing w:val="14"/>
          <w:sz w:val="24"/>
          <w:highlight w:val="none"/>
        </w:rPr>
        <w:t>(3)太湖社区太湖佳园B、C、D块：误时投放</w:t>
      </w:r>
      <w:r>
        <w:rPr>
          <w:rFonts w:hint="eastAsia" w:ascii="宋体" w:hAnsi="宋体" w:cs="宋体"/>
          <w:color w:val="auto"/>
          <w:spacing w:val="13"/>
          <w:sz w:val="24"/>
          <w:highlight w:val="none"/>
        </w:rPr>
        <w:t>点4处；</w:t>
      </w:r>
    </w:p>
    <w:p>
      <w:pPr>
        <w:spacing w:line="360" w:lineRule="auto"/>
        <w:ind w:firstLine="524" w:firstLineChars="200"/>
        <w:rPr>
          <w:rFonts w:ascii="宋体" w:hAnsi="宋体" w:cs="宋体"/>
          <w:color w:val="auto"/>
          <w:spacing w:val="10"/>
          <w:sz w:val="24"/>
          <w:highlight w:val="none"/>
        </w:rPr>
      </w:pPr>
      <w:r>
        <w:rPr>
          <w:rFonts w:hint="eastAsia" w:ascii="宋体" w:hAnsi="宋体" w:cs="宋体"/>
          <w:color w:val="auto"/>
          <w:spacing w:val="11"/>
          <w:sz w:val="24"/>
          <w:highlight w:val="none"/>
        </w:rPr>
        <w:t>(4)水乡社区水乡苑一、三区：误时投放点2处</w:t>
      </w:r>
      <w:r>
        <w:rPr>
          <w:rFonts w:hint="eastAsia" w:ascii="宋体" w:hAnsi="宋体" w:cs="宋体"/>
          <w:color w:val="auto"/>
          <w:spacing w:val="10"/>
          <w:sz w:val="24"/>
          <w:highlight w:val="none"/>
        </w:rPr>
        <w:t>；</w:t>
      </w:r>
    </w:p>
    <w:p>
      <w:pPr>
        <w:spacing w:line="360" w:lineRule="auto"/>
        <w:ind w:firstLine="536" w:firstLineChars="200"/>
        <w:rPr>
          <w:color w:val="auto"/>
          <w:highlight w:val="none"/>
        </w:rPr>
      </w:pPr>
      <w:r>
        <w:rPr>
          <w:rFonts w:hint="eastAsia" w:ascii="宋体" w:hAnsi="宋体" w:cs="宋体"/>
          <w:color w:val="auto"/>
          <w:spacing w:val="14"/>
          <w:sz w:val="24"/>
          <w:highlight w:val="none"/>
        </w:rPr>
        <w:t>(5)清舒社区太湖佳园A1、A2块：误时投放点2处</w:t>
      </w:r>
      <w:r>
        <w:rPr>
          <w:rFonts w:hint="eastAsia" w:ascii="宋体" w:hAnsi="宋体" w:cs="宋体"/>
          <w:color w:val="auto"/>
          <w:spacing w:val="13"/>
          <w:sz w:val="24"/>
          <w:highlight w:val="none"/>
        </w:rPr>
        <w:t>；</w:t>
      </w:r>
    </w:p>
    <w:p>
      <w:pPr>
        <w:spacing w:line="360" w:lineRule="auto"/>
        <w:ind w:firstLine="528" w:firstLineChars="200"/>
        <w:rPr>
          <w:rFonts w:ascii="宋体" w:hAnsi="宋体" w:cs="宋体"/>
          <w:color w:val="auto"/>
          <w:spacing w:val="11"/>
          <w:sz w:val="24"/>
          <w:highlight w:val="none"/>
        </w:rPr>
      </w:pPr>
      <w:r>
        <w:rPr>
          <w:rFonts w:hint="eastAsia" w:ascii="宋体" w:hAnsi="宋体" w:cs="宋体"/>
          <w:color w:val="auto"/>
          <w:spacing w:val="12"/>
          <w:sz w:val="24"/>
          <w:highlight w:val="none"/>
        </w:rPr>
        <w:t>(6)农联社区侬联佳园：误时投放点4处</w:t>
      </w:r>
      <w:r>
        <w:rPr>
          <w:rFonts w:hint="eastAsia" w:ascii="宋体" w:hAnsi="宋体" w:cs="宋体"/>
          <w:color w:val="auto"/>
          <w:spacing w:val="11"/>
          <w:sz w:val="24"/>
          <w:highlight w:val="none"/>
        </w:rPr>
        <w:t>；</w:t>
      </w:r>
    </w:p>
    <w:p>
      <w:pPr>
        <w:spacing w:line="360" w:lineRule="auto"/>
        <w:ind w:firstLine="524" w:firstLineChars="200"/>
        <w:rPr>
          <w:rFonts w:ascii="宋体" w:hAnsi="宋体" w:cs="宋体"/>
          <w:color w:val="auto"/>
          <w:sz w:val="24"/>
          <w:highlight w:val="none"/>
        </w:rPr>
      </w:pPr>
      <w:r>
        <w:rPr>
          <w:rFonts w:hint="eastAsia" w:ascii="宋体" w:hAnsi="宋体" w:cs="宋体"/>
          <w:color w:val="auto"/>
          <w:spacing w:val="11"/>
          <w:sz w:val="24"/>
          <w:highlight w:val="none"/>
        </w:rPr>
        <w:t>(7)华庄社区华憬佳园：误时投放点2处；</w:t>
      </w:r>
    </w:p>
    <w:p>
      <w:pPr>
        <w:spacing w:line="360" w:lineRule="auto"/>
        <w:ind w:firstLine="524" w:firstLineChars="200"/>
        <w:rPr>
          <w:rFonts w:ascii="宋体" w:hAnsi="宋体" w:cs="宋体"/>
          <w:color w:val="auto"/>
          <w:spacing w:val="10"/>
          <w:sz w:val="24"/>
          <w:highlight w:val="none"/>
        </w:rPr>
      </w:pPr>
      <w:r>
        <w:rPr>
          <w:rFonts w:hint="eastAsia" w:ascii="宋体" w:hAnsi="宋体" w:cs="宋体"/>
          <w:color w:val="auto"/>
          <w:spacing w:val="11"/>
          <w:sz w:val="24"/>
          <w:highlight w:val="none"/>
        </w:rPr>
        <w:t>(8)华新社区凯发苑三、五期：误时投放</w:t>
      </w:r>
      <w:r>
        <w:rPr>
          <w:rFonts w:hint="eastAsia" w:ascii="宋体" w:hAnsi="宋体" w:cs="宋体"/>
          <w:color w:val="auto"/>
          <w:spacing w:val="10"/>
          <w:sz w:val="24"/>
          <w:highlight w:val="none"/>
        </w:rPr>
        <w:t>点2处；</w:t>
      </w:r>
    </w:p>
    <w:p>
      <w:pPr>
        <w:spacing w:line="360" w:lineRule="auto"/>
        <w:ind w:firstLine="536" w:firstLineChars="200"/>
        <w:rPr>
          <w:rFonts w:ascii="宋体" w:hAnsi="宋体" w:cs="宋体"/>
          <w:color w:val="auto"/>
          <w:spacing w:val="14"/>
          <w:sz w:val="24"/>
          <w:highlight w:val="none"/>
        </w:rPr>
      </w:pPr>
      <w:r>
        <w:rPr>
          <w:rFonts w:hint="eastAsia" w:ascii="宋体" w:hAnsi="宋体" w:cs="宋体"/>
          <w:color w:val="auto"/>
          <w:spacing w:val="14"/>
          <w:sz w:val="24"/>
          <w:highlight w:val="none"/>
        </w:rPr>
        <w:t>(9)周潭社区周潭佳园B、C块：误时投放点2处；</w:t>
      </w:r>
    </w:p>
    <w:p>
      <w:pPr>
        <w:spacing w:line="360" w:lineRule="auto"/>
        <w:ind w:firstLine="528" w:firstLineChars="200"/>
        <w:rPr>
          <w:rFonts w:ascii="宋体" w:hAnsi="宋体" w:cs="宋体"/>
          <w:color w:val="auto"/>
          <w:spacing w:val="12"/>
          <w:sz w:val="24"/>
          <w:highlight w:val="none"/>
        </w:rPr>
      </w:pPr>
      <w:r>
        <w:rPr>
          <w:rFonts w:hint="eastAsia" w:ascii="宋体" w:hAnsi="宋体" w:cs="宋体"/>
          <w:color w:val="auto"/>
          <w:spacing w:val="12"/>
          <w:sz w:val="24"/>
          <w:highlight w:val="none"/>
        </w:rPr>
        <w:t>(10)泓澄社区双茂佳园：误时投放点1处；</w:t>
      </w:r>
    </w:p>
    <w:p>
      <w:pPr>
        <w:spacing w:line="360" w:lineRule="auto"/>
        <w:ind w:firstLine="520" w:firstLineChars="200"/>
        <w:rPr>
          <w:rFonts w:ascii="宋体" w:hAnsi="宋体" w:cs="宋体"/>
          <w:color w:val="auto"/>
          <w:spacing w:val="11"/>
          <w:sz w:val="24"/>
          <w:highlight w:val="none"/>
        </w:rPr>
      </w:pPr>
      <w:r>
        <w:rPr>
          <w:rFonts w:hint="eastAsia" w:ascii="宋体" w:hAnsi="宋体" w:cs="宋体"/>
          <w:color w:val="auto"/>
          <w:spacing w:val="10"/>
          <w:sz w:val="24"/>
          <w:highlight w:val="none"/>
        </w:rPr>
        <w:t>(11)南张社区落霞苑一、二期：误时投放点2处</w:t>
      </w:r>
      <w:r>
        <w:rPr>
          <w:rFonts w:hint="eastAsia" w:ascii="宋体" w:hAnsi="宋体" w:cs="宋体"/>
          <w:color w:val="auto"/>
          <w:spacing w:val="9"/>
          <w:sz w:val="24"/>
          <w:highlight w:val="none"/>
        </w:rPr>
        <w:t>；</w:t>
      </w:r>
    </w:p>
    <w:p>
      <w:pPr>
        <w:spacing w:line="360" w:lineRule="auto"/>
        <w:ind w:firstLine="524" w:firstLineChars="200"/>
        <w:rPr>
          <w:rFonts w:ascii="宋体" w:hAnsi="宋体" w:cs="宋体"/>
          <w:color w:val="auto"/>
          <w:sz w:val="24"/>
          <w:highlight w:val="none"/>
        </w:rPr>
      </w:pPr>
      <w:r>
        <w:rPr>
          <w:rFonts w:hint="eastAsia" w:ascii="宋体" w:hAnsi="宋体" w:cs="宋体"/>
          <w:color w:val="auto"/>
          <w:spacing w:val="11"/>
          <w:sz w:val="24"/>
          <w:highlight w:val="none"/>
        </w:rPr>
        <w:t>(12)落霞社区落霞苑三期：误时投放点1处；</w:t>
      </w:r>
    </w:p>
    <w:p>
      <w:pPr>
        <w:spacing w:line="360" w:lineRule="auto"/>
        <w:ind w:firstLine="524" w:firstLineChars="200"/>
        <w:rPr>
          <w:rFonts w:ascii="宋体" w:hAnsi="宋体" w:cs="宋体"/>
          <w:color w:val="auto"/>
          <w:spacing w:val="11"/>
          <w:sz w:val="24"/>
          <w:highlight w:val="none"/>
        </w:rPr>
      </w:pPr>
      <w:r>
        <w:rPr>
          <w:rFonts w:hint="eastAsia" w:ascii="宋体" w:hAnsi="宋体" w:cs="宋体"/>
          <w:color w:val="auto"/>
          <w:spacing w:val="11"/>
          <w:sz w:val="24"/>
          <w:highlight w:val="none"/>
        </w:rPr>
        <w:t>(13)里桥社区落霞苑四期：误时投放点1处；</w:t>
      </w:r>
    </w:p>
    <w:p>
      <w:pPr>
        <w:spacing w:line="360" w:lineRule="auto"/>
        <w:ind w:firstLine="524" w:firstLineChars="200"/>
        <w:rPr>
          <w:rFonts w:ascii="宋体" w:hAnsi="宋体" w:cs="宋体"/>
          <w:color w:val="auto"/>
          <w:sz w:val="24"/>
          <w:highlight w:val="none"/>
        </w:rPr>
      </w:pPr>
      <w:r>
        <w:rPr>
          <w:rFonts w:hint="eastAsia" w:ascii="宋体" w:hAnsi="宋体" w:cs="宋体"/>
          <w:color w:val="auto"/>
          <w:spacing w:val="11"/>
          <w:sz w:val="24"/>
          <w:highlight w:val="none"/>
        </w:rPr>
        <w:t>(14)凯发社区凯发苑一、二期：误时投放点2处。</w:t>
      </w:r>
    </w:p>
    <w:p>
      <w:pPr>
        <w:spacing w:line="360" w:lineRule="auto"/>
        <w:ind w:firstLine="488" w:firstLineChars="200"/>
        <w:rPr>
          <w:rFonts w:ascii="宋体" w:hAnsi="宋体" w:cs="宋体"/>
          <w:color w:val="auto"/>
          <w:spacing w:val="3"/>
          <w:sz w:val="24"/>
          <w:highlight w:val="none"/>
        </w:rPr>
      </w:pPr>
      <w:r>
        <w:rPr>
          <w:rFonts w:hint="eastAsia" w:ascii="宋体" w:hAnsi="宋体" w:cs="宋体"/>
          <w:color w:val="auto"/>
          <w:spacing w:val="2"/>
          <w:sz w:val="24"/>
          <w:highlight w:val="none"/>
        </w:rPr>
        <w:t>为更高标准做好垃圾分类服务，结合华庄街道实际，今后安置房小区的垃圾分类服务拟统一纳入小区物业管理服务范围，</w:t>
      </w:r>
      <w:r>
        <w:rPr>
          <w:rFonts w:hint="eastAsia" w:ascii="宋体" w:hAnsi="宋体" w:cs="宋体"/>
          <w:b/>
          <w:bCs/>
          <w:color w:val="auto"/>
          <w:spacing w:val="2"/>
          <w:sz w:val="24"/>
          <w:highlight w:val="none"/>
        </w:rPr>
        <w:t>故本次垃圾分类服务采购期限与各安置房小区的物业服务期限同步</w:t>
      </w:r>
      <w:r>
        <w:rPr>
          <w:rFonts w:hint="eastAsia" w:ascii="宋体" w:hAnsi="宋体" w:cs="宋体"/>
          <w:color w:val="auto"/>
          <w:spacing w:val="3"/>
          <w:sz w:val="24"/>
          <w:highlight w:val="none"/>
        </w:rPr>
        <w:t>。各小区垃圾分类招标期限如下：</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124"/>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序号</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社区名称</w:t>
            </w:r>
          </w:p>
        </w:tc>
        <w:tc>
          <w:tcPr>
            <w:tcW w:w="53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拟招标期限（具体实施时间以合同签订日期往后计算）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禾塘社区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2</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旺安社区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3</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太湖社区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4</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水乡社区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5</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清舒社区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6</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农联社区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7</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华庄社区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8</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华新社区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9</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周潭社区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10</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泓澄社区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11</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南张社区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12</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落霞社区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13</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里桥社区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14</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凯发社区</w:t>
            </w:r>
          </w:p>
        </w:tc>
        <w:tc>
          <w:tcPr>
            <w:tcW w:w="5390"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bl>
    <w:p>
      <w:pPr>
        <w:spacing w:line="360" w:lineRule="auto"/>
        <w:ind w:firstLine="512" w:firstLineChars="200"/>
        <w:rPr>
          <w:rFonts w:ascii="宋体" w:hAnsi="宋体" w:cs="宋体"/>
          <w:color w:val="auto"/>
          <w:spacing w:val="8"/>
          <w:sz w:val="24"/>
          <w:highlight w:val="none"/>
        </w:rPr>
      </w:pPr>
      <w:r>
        <w:rPr>
          <w:rFonts w:hint="eastAsia" w:ascii="宋体" w:hAnsi="宋体" w:cs="宋体"/>
          <w:color w:val="auto"/>
          <w:spacing w:val="8"/>
          <w:sz w:val="24"/>
          <w:highlight w:val="none"/>
        </w:rPr>
        <w:t>上述费用包含：</w:t>
      </w:r>
    </w:p>
    <w:p>
      <w:pPr>
        <w:spacing w:line="360" w:lineRule="auto"/>
        <w:ind w:firstLine="512" w:firstLineChars="200"/>
        <w:rPr>
          <w:rFonts w:ascii="宋体" w:hAnsi="宋体" w:cs="宋体"/>
          <w:color w:val="auto"/>
          <w:spacing w:val="8"/>
          <w:sz w:val="24"/>
          <w:highlight w:val="none"/>
        </w:rPr>
      </w:pPr>
      <w:r>
        <w:rPr>
          <w:rFonts w:hint="eastAsia" w:ascii="宋体" w:hAnsi="宋体" w:cs="宋体"/>
          <w:color w:val="auto"/>
          <w:spacing w:val="8"/>
          <w:sz w:val="24"/>
          <w:highlight w:val="none"/>
        </w:rPr>
        <w:t>(1)垃圾分类指导员和转运清洗人员的全部薪酬；</w:t>
      </w:r>
    </w:p>
    <w:p>
      <w:pPr>
        <w:spacing w:line="360" w:lineRule="auto"/>
        <w:ind w:firstLine="512" w:firstLineChars="200"/>
        <w:rPr>
          <w:rFonts w:ascii="宋体" w:hAnsi="宋体" w:cs="宋体"/>
          <w:color w:val="auto"/>
          <w:spacing w:val="6"/>
          <w:sz w:val="24"/>
          <w:highlight w:val="none"/>
        </w:rPr>
      </w:pPr>
      <w:r>
        <w:rPr>
          <w:rFonts w:hint="eastAsia" w:ascii="宋体" w:hAnsi="宋体" w:cs="宋体"/>
          <w:color w:val="auto"/>
          <w:spacing w:val="8"/>
          <w:sz w:val="24"/>
          <w:highlight w:val="none"/>
        </w:rPr>
        <w:t>(2)各</w:t>
      </w:r>
      <w:r>
        <w:rPr>
          <w:rFonts w:hint="eastAsia" w:ascii="宋体" w:hAnsi="宋体" w:cs="宋体"/>
          <w:color w:val="auto"/>
          <w:spacing w:val="6"/>
          <w:sz w:val="24"/>
          <w:highlight w:val="none"/>
        </w:rPr>
        <w:t>类人员的工作服、生产工具、意外保险等费用；</w:t>
      </w:r>
    </w:p>
    <w:p>
      <w:pPr>
        <w:spacing w:line="360" w:lineRule="auto"/>
        <w:ind w:firstLine="512" w:firstLineChars="200"/>
        <w:rPr>
          <w:rFonts w:ascii="宋体" w:hAnsi="宋体" w:cs="宋体"/>
          <w:color w:val="auto"/>
          <w:spacing w:val="6"/>
          <w:sz w:val="24"/>
          <w:highlight w:val="none"/>
        </w:rPr>
      </w:pPr>
      <w:r>
        <w:rPr>
          <w:rFonts w:hint="eastAsia" w:ascii="宋体" w:hAnsi="宋体" w:cs="宋体"/>
          <w:color w:val="auto"/>
          <w:spacing w:val="8"/>
          <w:sz w:val="24"/>
          <w:highlight w:val="none"/>
        </w:rPr>
        <w:t>(3)</w:t>
      </w:r>
      <w:r>
        <w:rPr>
          <w:rFonts w:hint="eastAsia" w:ascii="宋体" w:hAnsi="宋体" w:cs="宋体"/>
          <w:color w:val="auto"/>
          <w:spacing w:val="6"/>
          <w:sz w:val="24"/>
          <w:highlight w:val="none"/>
        </w:rPr>
        <w:t>垃圾分类收集房使用的垃圾袋、消毒药品、劳保用品等耗材；</w:t>
      </w:r>
    </w:p>
    <w:p>
      <w:pPr>
        <w:spacing w:line="360" w:lineRule="auto"/>
        <w:ind w:firstLine="512" w:firstLineChars="200"/>
        <w:rPr>
          <w:rFonts w:ascii="宋体" w:hAnsi="宋体" w:cs="宋体"/>
          <w:color w:val="auto"/>
          <w:spacing w:val="6"/>
          <w:sz w:val="24"/>
          <w:highlight w:val="none"/>
        </w:rPr>
      </w:pPr>
      <w:r>
        <w:rPr>
          <w:rFonts w:hint="eastAsia" w:ascii="宋体" w:hAnsi="宋体" w:cs="宋体"/>
          <w:color w:val="auto"/>
          <w:spacing w:val="8"/>
          <w:sz w:val="24"/>
          <w:highlight w:val="none"/>
        </w:rPr>
        <w:t>(4)</w:t>
      </w:r>
      <w:r>
        <w:rPr>
          <w:rFonts w:hint="eastAsia" w:ascii="宋体" w:hAnsi="宋体" w:cs="宋体"/>
          <w:color w:val="auto"/>
          <w:spacing w:val="6"/>
          <w:sz w:val="24"/>
          <w:highlight w:val="none"/>
        </w:rPr>
        <w:t>垃圾桶转运车辆及日常维修、垃圾桶配件正常损耗、必要的办公设备、办公用品等；</w:t>
      </w:r>
    </w:p>
    <w:p>
      <w:pPr>
        <w:spacing w:line="360" w:lineRule="auto"/>
        <w:ind w:firstLine="512" w:firstLineChars="200"/>
        <w:rPr>
          <w:rFonts w:ascii="宋体" w:hAnsi="宋体" w:cs="宋体"/>
          <w:color w:val="auto"/>
          <w:spacing w:val="6"/>
          <w:sz w:val="24"/>
          <w:highlight w:val="none"/>
        </w:rPr>
      </w:pPr>
      <w:r>
        <w:rPr>
          <w:rFonts w:hint="eastAsia" w:ascii="宋体" w:hAnsi="宋体" w:cs="宋体"/>
          <w:color w:val="auto"/>
          <w:spacing w:val="8"/>
          <w:sz w:val="24"/>
          <w:highlight w:val="none"/>
        </w:rPr>
        <w:t>(5)</w:t>
      </w:r>
      <w:r>
        <w:rPr>
          <w:rFonts w:hint="eastAsia" w:ascii="宋体" w:hAnsi="宋体" w:cs="宋体"/>
          <w:color w:val="auto"/>
          <w:spacing w:val="6"/>
          <w:sz w:val="24"/>
          <w:highlight w:val="none"/>
        </w:rPr>
        <w:t>税收；</w:t>
      </w:r>
    </w:p>
    <w:p>
      <w:pPr>
        <w:spacing w:line="360" w:lineRule="auto"/>
        <w:ind w:firstLine="512" w:firstLineChars="200"/>
        <w:rPr>
          <w:rFonts w:ascii="宋体" w:hAnsi="宋体" w:cs="宋体"/>
          <w:color w:val="auto"/>
          <w:spacing w:val="6"/>
          <w:sz w:val="24"/>
          <w:highlight w:val="none"/>
        </w:rPr>
      </w:pPr>
      <w:r>
        <w:rPr>
          <w:rFonts w:hint="eastAsia" w:ascii="宋体" w:hAnsi="宋体" w:cs="宋体"/>
          <w:color w:val="auto"/>
          <w:spacing w:val="8"/>
          <w:sz w:val="24"/>
          <w:highlight w:val="none"/>
        </w:rPr>
        <w:t>(6)</w:t>
      </w:r>
      <w:r>
        <w:rPr>
          <w:rFonts w:hint="eastAsia" w:ascii="宋体" w:hAnsi="宋体" w:cs="宋体"/>
          <w:color w:val="auto"/>
          <w:spacing w:val="6"/>
          <w:sz w:val="24"/>
          <w:highlight w:val="none"/>
        </w:rPr>
        <w:t>包含专职垃圾分类台账管理人员费用。</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垃圾分类指导员和</w:t>
      </w:r>
      <w:r>
        <w:rPr>
          <w:rFonts w:hint="eastAsia" w:ascii="宋体" w:hAnsi="宋体" w:cs="宋体"/>
          <w:color w:val="auto"/>
          <w:spacing w:val="-2"/>
          <w:sz w:val="24"/>
          <w:highlight w:val="none"/>
        </w:rPr>
        <w:t>转运清洗人员的人身安全及车辆安全均由乙方负责，与甲</w:t>
      </w:r>
      <w:r>
        <w:rPr>
          <w:rFonts w:hint="eastAsia" w:ascii="宋体" w:hAnsi="宋体" w:cs="宋体"/>
          <w:color w:val="auto"/>
          <w:spacing w:val="6"/>
          <w:sz w:val="24"/>
          <w:highlight w:val="none"/>
        </w:rPr>
        <w:t>方无涉。</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上述费用不包括：</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(1)垃圾分类收集房的建设、搬迁、维修、水电费；</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(2)分类垃圾桶(240L)。</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四、垃圾分类台账要求</w:t>
      </w:r>
      <w:r>
        <w:rPr>
          <w:rFonts w:hint="eastAsia" w:ascii="宋体" w:hAnsi="宋体" w:cs="宋体"/>
          <w:color w:val="auto"/>
          <w:sz w:val="24"/>
          <w:highlight w:val="none"/>
        </w:rPr>
        <w:t>：</w:t>
      </w:r>
    </w:p>
    <w:p>
      <w:pPr>
        <w:pStyle w:val="2"/>
        <w:jc w:val="center"/>
        <w:rPr>
          <w:rFonts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日常运营管理台账</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6016"/>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016"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台账名称</w:t>
            </w:r>
          </w:p>
        </w:tc>
        <w:tc>
          <w:tcPr>
            <w:tcW w:w="2568"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生活垃圾分类研究季度会议记录</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小区党员带头进行垃圾分类的活记录</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社区、物业、垃圾分类第三方、小区居民代表民主协商季度会议记录表</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垃圾分类之星信息公示</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垃圾分类激励机制积分兑换活动记录表</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垃圾分类现场活动记录</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小区垃圾分类志愿服务季度活动记录表</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小区垃圾分类宣传活动记录</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小区垃圾分类入户宣传工作台账记录表</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小区垃圾分类地面宣传季度活动记录表</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小区垃圾分类岗前培训活动记录表</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易腐垃圾收运台账</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一天两次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pStyle w:val="2"/>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其他垃圾收运台账</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一天两次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易腐垃圾接收台账</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其他垃圾接收台账</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6016" w:type="dxa"/>
          </w:tcPr>
          <w:p>
            <w:pPr>
              <w:jc w:val="center"/>
              <w:rPr>
                <w:rFonts w:hint="eastAsia" w:ascii="宋体" w:hAnsi="宋体" w:cs="宋体"/>
                <w:color w:val="auto"/>
                <w:sz w:val="24"/>
                <w:highlight w:val="none"/>
              </w:rPr>
            </w:pPr>
            <w:r>
              <w:rPr>
                <w:rFonts w:hint="eastAsia" w:ascii="宋体" w:hAnsi="宋体" w:cs="宋体"/>
                <w:color w:val="auto"/>
                <w:sz w:val="24"/>
                <w:highlight w:val="none"/>
              </w:rPr>
              <w:t>其他台账</w:t>
            </w:r>
          </w:p>
        </w:tc>
        <w:tc>
          <w:tcPr>
            <w:tcW w:w="2568" w:type="dxa"/>
          </w:tcPr>
          <w:p>
            <w:pPr>
              <w:jc w:val="center"/>
              <w:rPr>
                <w:rFonts w:hint="eastAsia" w:ascii="宋体" w:hAnsi="宋体" w:cs="宋体"/>
                <w:color w:val="auto"/>
                <w:sz w:val="24"/>
                <w:highlight w:val="none"/>
              </w:rPr>
            </w:pPr>
            <w:r>
              <w:rPr>
                <w:rFonts w:hint="eastAsia" w:ascii="宋体" w:hAnsi="宋体" w:cs="宋体"/>
                <w:color w:val="auto"/>
                <w:sz w:val="24"/>
                <w:highlight w:val="none"/>
              </w:rPr>
              <w:t>每月</w:t>
            </w:r>
          </w:p>
        </w:tc>
      </w:tr>
    </w:tbl>
    <w:p>
      <w:pPr>
        <w:jc w:val="center"/>
        <w:rPr>
          <w:rFonts w:ascii="宋体" w:hAnsi="宋体" w:cs="宋体"/>
          <w:b/>
          <w:bCs/>
          <w:color w:val="auto"/>
          <w:sz w:val="24"/>
          <w:highlight w:val="none"/>
        </w:rPr>
      </w:pPr>
      <w:r>
        <w:rPr>
          <w:rFonts w:hint="eastAsia" w:ascii="宋体" w:hAnsi="宋体" w:cs="宋体"/>
          <w:b/>
          <w:bCs/>
          <w:color w:val="auto"/>
          <w:sz w:val="24"/>
          <w:highlight w:val="none"/>
        </w:rPr>
        <w:t>日常管理考核台账</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20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620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台账名称</w:t>
            </w:r>
          </w:p>
        </w:tc>
        <w:tc>
          <w:tcPr>
            <w:tcW w:w="2314"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6206" w:type="dxa"/>
          </w:tcPr>
          <w:p>
            <w:pPr>
              <w:jc w:val="center"/>
              <w:rPr>
                <w:rFonts w:ascii="宋体" w:hAnsi="宋体" w:cs="宋体"/>
                <w:color w:val="auto"/>
                <w:sz w:val="24"/>
                <w:highlight w:val="none"/>
              </w:rPr>
            </w:pPr>
            <w:r>
              <w:rPr>
                <w:rFonts w:hint="eastAsia" w:ascii="宋体" w:hAnsi="宋体" w:cs="宋体"/>
                <w:color w:val="auto"/>
                <w:sz w:val="24"/>
                <w:highlight w:val="none"/>
              </w:rPr>
              <w:t>体制机制建设台账</w:t>
            </w:r>
          </w:p>
        </w:tc>
        <w:tc>
          <w:tcPr>
            <w:tcW w:w="2314" w:type="dxa"/>
          </w:tcPr>
          <w:p>
            <w:pPr>
              <w:jc w:val="center"/>
              <w:rPr>
                <w:rFonts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6206" w:type="dxa"/>
          </w:tcPr>
          <w:p>
            <w:pPr>
              <w:jc w:val="center"/>
              <w:rPr>
                <w:rFonts w:ascii="宋体" w:hAnsi="宋体" w:cs="宋体"/>
                <w:color w:val="auto"/>
                <w:sz w:val="24"/>
                <w:highlight w:val="none"/>
              </w:rPr>
            </w:pPr>
            <w:r>
              <w:rPr>
                <w:rFonts w:hint="eastAsia" w:ascii="宋体" w:hAnsi="宋体" w:cs="宋体"/>
                <w:color w:val="auto"/>
                <w:sz w:val="24"/>
                <w:highlight w:val="none"/>
              </w:rPr>
              <w:t>组织动员和宣传教育台账</w:t>
            </w:r>
          </w:p>
        </w:tc>
        <w:tc>
          <w:tcPr>
            <w:tcW w:w="2314" w:type="dxa"/>
          </w:tcPr>
          <w:p>
            <w:pPr>
              <w:jc w:val="center"/>
              <w:rPr>
                <w:rFonts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6206" w:type="dxa"/>
          </w:tcPr>
          <w:p>
            <w:pPr>
              <w:jc w:val="center"/>
              <w:rPr>
                <w:rFonts w:ascii="宋体" w:hAnsi="宋体" w:cs="宋体"/>
                <w:color w:val="auto"/>
                <w:sz w:val="24"/>
                <w:highlight w:val="none"/>
              </w:rPr>
            </w:pPr>
            <w:r>
              <w:rPr>
                <w:rFonts w:hint="eastAsia" w:ascii="宋体" w:hAnsi="宋体" w:cs="宋体"/>
                <w:color w:val="auto"/>
                <w:sz w:val="24"/>
                <w:highlight w:val="none"/>
              </w:rPr>
              <w:t>基层组织建设和社区治理台账</w:t>
            </w:r>
          </w:p>
        </w:tc>
        <w:tc>
          <w:tcPr>
            <w:tcW w:w="2314" w:type="dxa"/>
          </w:tcPr>
          <w:p>
            <w:pPr>
              <w:jc w:val="center"/>
              <w:rPr>
                <w:rFonts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6206" w:type="dxa"/>
          </w:tcPr>
          <w:p>
            <w:pPr>
              <w:jc w:val="center"/>
              <w:rPr>
                <w:rFonts w:ascii="宋体" w:hAnsi="宋体" w:cs="宋体"/>
                <w:color w:val="auto"/>
                <w:sz w:val="24"/>
                <w:highlight w:val="none"/>
              </w:rPr>
            </w:pPr>
            <w:r>
              <w:rPr>
                <w:rFonts w:hint="eastAsia" w:ascii="宋体" w:hAnsi="宋体" w:cs="宋体"/>
                <w:color w:val="auto"/>
                <w:sz w:val="24"/>
                <w:highlight w:val="none"/>
              </w:rPr>
              <w:t>文明习惯养成台账</w:t>
            </w:r>
          </w:p>
        </w:tc>
        <w:tc>
          <w:tcPr>
            <w:tcW w:w="2314" w:type="dxa"/>
          </w:tcPr>
          <w:p>
            <w:pPr>
              <w:jc w:val="center"/>
              <w:rPr>
                <w:rFonts w:ascii="宋体" w:hAnsi="宋体" w:cs="宋体"/>
                <w:color w:val="auto"/>
                <w:sz w:val="24"/>
                <w:highlight w:val="none"/>
              </w:rPr>
            </w:pPr>
            <w:r>
              <w:rPr>
                <w:rFonts w:hint="eastAsia" w:ascii="宋体" w:hAnsi="宋体" w:cs="宋体"/>
                <w:color w:val="auto"/>
                <w:sz w:val="24"/>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6206" w:type="dxa"/>
          </w:tcPr>
          <w:p>
            <w:pPr>
              <w:jc w:val="center"/>
              <w:rPr>
                <w:rFonts w:ascii="宋体" w:hAnsi="宋体" w:cs="宋体"/>
                <w:color w:val="auto"/>
                <w:sz w:val="24"/>
                <w:highlight w:val="none"/>
              </w:rPr>
            </w:pPr>
            <w:r>
              <w:rPr>
                <w:rFonts w:hint="eastAsia" w:ascii="宋体" w:hAnsi="宋体" w:cs="宋体"/>
                <w:color w:val="auto"/>
                <w:sz w:val="24"/>
                <w:highlight w:val="none"/>
              </w:rPr>
              <w:t>保障措施台账</w:t>
            </w:r>
          </w:p>
        </w:tc>
        <w:tc>
          <w:tcPr>
            <w:tcW w:w="2314" w:type="dxa"/>
          </w:tcPr>
          <w:p>
            <w:pPr>
              <w:jc w:val="center"/>
              <w:rPr>
                <w:rFonts w:ascii="宋体" w:hAnsi="宋体" w:cs="宋体"/>
                <w:color w:val="auto"/>
                <w:sz w:val="24"/>
                <w:highlight w:val="none"/>
              </w:rPr>
            </w:pPr>
            <w:r>
              <w:rPr>
                <w:rFonts w:hint="eastAsia" w:ascii="宋体" w:hAnsi="宋体" w:cs="宋体"/>
                <w:color w:val="auto"/>
                <w:sz w:val="24"/>
                <w:highlight w:val="none"/>
              </w:rPr>
              <w:t>每季度</w:t>
            </w:r>
          </w:p>
        </w:tc>
      </w:tr>
    </w:tbl>
    <w:p>
      <w:pPr>
        <w:spacing w:before="1" w:line="218" w:lineRule="auto"/>
        <w:ind w:hanging="8"/>
        <w:rPr>
          <w:rFonts w:ascii="宋体" w:hAnsi="宋体" w:cs="宋体"/>
          <w:color w:val="auto"/>
          <w:sz w:val="28"/>
          <w:szCs w:val="28"/>
          <w:highlight w:val="none"/>
        </w:rPr>
      </w:pPr>
    </w:p>
    <w:p>
      <w:pPr>
        <w:pStyle w:val="7"/>
        <w:spacing w:line="440" w:lineRule="exact"/>
        <w:ind w:firstLine="480" w:firstLineChars="200"/>
        <w:rPr>
          <w:rFonts w:ascii="宋体" w:hAnsi="宋体" w:cs="宋体"/>
          <w:bCs/>
          <w:color w:val="auto"/>
          <w:sz w:val="24"/>
          <w:highlight w:val="none"/>
        </w:rPr>
        <w:sectPr>
          <w:headerReference r:id="rId3" w:type="default"/>
          <w:footerReference r:id="rId4" w:type="default"/>
          <w:pgSz w:w="11906" w:h="16838"/>
          <w:pgMar w:top="1213" w:right="1157" w:bottom="1213" w:left="974" w:header="850" w:footer="992" w:gutter="0"/>
          <w:cols w:space="720" w:num="1"/>
          <w:docGrid w:linePitch="312" w:charSpace="0"/>
        </w:sectPr>
      </w:pPr>
    </w:p>
    <w:p>
      <w:pPr>
        <w:spacing w:line="360" w:lineRule="auto"/>
        <w:ind w:firstLine="3092" w:firstLineChars="700"/>
        <w:outlineLvl w:val="0"/>
        <w:rPr>
          <w:rFonts w:ascii="宋体" w:hAnsi="宋体" w:cs="宋体"/>
          <w:b/>
          <w:color w:val="auto"/>
          <w:sz w:val="44"/>
          <w:szCs w:val="44"/>
          <w:highlight w:val="none"/>
        </w:rPr>
      </w:pPr>
      <w:r>
        <w:rPr>
          <w:rFonts w:hint="eastAsia" w:ascii="宋体" w:hAnsi="宋体" w:cs="宋体"/>
          <w:b/>
          <w:color w:val="auto"/>
          <w:sz w:val="44"/>
          <w:szCs w:val="44"/>
          <w:highlight w:val="none"/>
        </w:rPr>
        <w:t>第四部分．合同书</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发包人（全称）：</w:t>
      </w:r>
      <w:r>
        <w:rPr>
          <w:rFonts w:hint="eastAsia" w:ascii="宋体" w:hAnsi="宋体" w:cs="宋体"/>
          <w:b/>
          <w:color w:val="auto"/>
          <w:sz w:val="24"/>
          <w:highlight w:val="none"/>
          <w:u w:val="single"/>
        </w:rPr>
        <w:t>无锡市滨湖区华庄街道办事处</w:t>
      </w:r>
      <w:r>
        <w:rPr>
          <w:rFonts w:hint="eastAsia" w:ascii="宋体" w:hAnsi="宋体" w:cs="宋体"/>
          <w:color w:val="auto"/>
          <w:sz w:val="24"/>
          <w:highlight w:val="none"/>
          <w:shd w:val="clear" w:color="auto" w:fill="FFFFFF"/>
        </w:rPr>
        <w:t>（以下简称“甲方”）</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承包人（全称）：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shd w:val="clear" w:color="auto" w:fill="FFFFFF"/>
        </w:rPr>
        <w:t>（以下简称“乙方”）</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依照《中华人民共和国民法典》的有关规定，结合本工程具体情况，发包人行使本次签订的合同协议书下的管理职责,承包人承诺接受发包人的统一管理。合同协议书若产生争议，由发包人与承包人协商或诉讼解决。经</w:t>
      </w:r>
      <w:r>
        <w:rPr>
          <w:rFonts w:hint="eastAsia" w:ascii="宋体" w:hAnsi="宋体" w:cs="宋体"/>
          <w:color w:val="auto"/>
          <w:sz w:val="24"/>
          <w:highlight w:val="none"/>
          <w:lang w:val="en-US" w:eastAsia="zh-CN"/>
        </w:rPr>
        <w:t>双</w:t>
      </w:r>
      <w:r>
        <w:rPr>
          <w:rFonts w:hint="eastAsia" w:ascii="宋体" w:hAnsi="宋体" w:cs="宋体"/>
          <w:color w:val="auto"/>
          <w:sz w:val="24"/>
          <w:highlight w:val="none"/>
        </w:rPr>
        <w:t>方充分协商，签订如下合同。</w:t>
      </w:r>
    </w:p>
    <w:p>
      <w:pPr>
        <w:pStyle w:val="26"/>
        <w:spacing w:line="360" w:lineRule="auto"/>
        <w:ind w:left="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1、项目概况</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华庄街道安置房小区垃圾分类管理服务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项目地点：</w:t>
      </w:r>
      <w:r>
        <w:rPr>
          <w:rFonts w:hint="eastAsia" w:ascii="宋体" w:hAnsi="宋体" w:cs="宋体"/>
          <w:color w:val="auto"/>
          <w:sz w:val="24"/>
          <w:highlight w:val="none"/>
          <w:u w:val="single"/>
          <w:lang w:eastAsia="zh-CN"/>
        </w:rPr>
        <w:t>无锡市经济开发区</w:t>
      </w:r>
      <w:r>
        <w:rPr>
          <w:rFonts w:hint="eastAsia" w:ascii="宋体" w:hAnsi="宋体" w:cs="宋体"/>
          <w:color w:val="auto"/>
          <w:sz w:val="24"/>
          <w:highlight w:val="none"/>
          <w:u w:val="single"/>
        </w:rPr>
        <w:t>华庄街道</w:t>
      </w:r>
    </w:p>
    <w:p>
      <w:pPr>
        <w:widowControl/>
        <w:topLinePunct/>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项目内容：</w:t>
      </w:r>
      <w:r>
        <w:rPr>
          <w:rFonts w:hint="eastAsia" w:ascii="宋体" w:hAnsi="宋体" w:cs="宋体"/>
          <w:bCs/>
          <w:color w:val="auto"/>
          <w:kern w:val="0"/>
          <w:sz w:val="24"/>
          <w:highlight w:val="none"/>
          <w:u w:val="single"/>
        </w:rPr>
        <w:t>①定时定点接受居民垃圾投放；每个小区周末及法定节假日设置误时投放点；②每日对易腐垃圾、其他垃圾实施分类；③每日对垃圾桶清洗、消毒；垃圾分类收集房保持清洁，无异味，每日做好消杀工作；思建立健全垃圾分类服务台账；⑤根据要求做好垃圾分类宣传及激励奖惩；</w:t>
      </w:r>
    </w:p>
    <w:p>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服务目标：</w:t>
      </w:r>
      <w:r>
        <w:rPr>
          <w:rFonts w:hint="eastAsia" w:ascii="宋体" w:hAnsi="宋体" w:cs="宋体"/>
          <w:color w:val="auto"/>
          <w:sz w:val="24"/>
          <w:highlight w:val="none"/>
          <w:u w:val="single"/>
        </w:rPr>
        <w:t>《无锡市生活垃圾分类管理条例》于2019年9月1日正式实施，明确了垃圾分类的规划与建设、分类投放标准、各类责任主体、推行城乡一体化、生活垃圾分类全程覆盖等内容，确定分类标准为易腐垃圾、其他垃圾分类项目实施服务外包工作。</w:t>
      </w:r>
    </w:p>
    <w:p>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本项目是针对</w:t>
      </w:r>
      <w:r>
        <w:rPr>
          <w:rFonts w:hint="eastAsia" w:ascii="宋体" w:hAnsi="宋体" w:cs="宋体"/>
          <w:color w:val="auto"/>
          <w:sz w:val="24"/>
          <w:highlight w:val="none"/>
          <w:u w:val="single"/>
          <w:lang w:eastAsia="zh-CN"/>
        </w:rPr>
        <w:t>无锡市经济开发区</w:t>
      </w:r>
      <w:r>
        <w:rPr>
          <w:rFonts w:hint="eastAsia" w:ascii="宋体" w:hAnsi="宋体" w:cs="宋体"/>
          <w:color w:val="auto"/>
          <w:sz w:val="24"/>
          <w:highlight w:val="none"/>
          <w:u w:val="single"/>
        </w:rPr>
        <w:t>部分安置房小区按照《无锡市生活垃圾分类管理条例》、《无锡市生活垃圾分类工作导则（试行）》等文件要求进行小区垃圾分类宣传指导，对居民进行生活垃圾定时定点分类宣传指导工作，提高知晓率、参与率及准确率，满足《</w:t>
      </w:r>
      <w:r>
        <w:rPr>
          <w:rFonts w:hint="eastAsia" w:ascii="宋体" w:hAnsi="宋体" w:cs="宋体"/>
          <w:color w:val="auto"/>
          <w:sz w:val="24"/>
          <w:highlight w:val="none"/>
          <w:u w:val="single"/>
          <w:lang w:eastAsia="zh-CN"/>
        </w:rPr>
        <w:t>华庄街道安置房小区垃圾分类管理工作考核办法</w:t>
      </w:r>
      <w:r>
        <w:rPr>
          <w:rFonts w:hint="eastAsia" w:ascii="宋体" w:hAnsi="宋体" w:cs="宋体"/>
          <w:color w:val="auto"/>
          <w:sz w:val="24"/>
          <w:highlight w:val="none"/>
          <w:u w:val="single"/>
        </w:rPr>
        <w:t>》（按照现行的标准适时调整）。并承担所有商品房生活垃圾的分类收集转运工作。</w:t>
      </w:r>
      <w:r>
        <w:rPr>
          <w:rFonts w:hint="eastAsia" w:ascii="宋体" w:hAnsi="宋体" w:cs="宋体"/>
          <w:b/>
          <w:bCs/>
          <w:color w:val="auto"/>
          <w:sz w:val="24"/>
          <w:highlight w:val="none"/>
          <w:u w:val="single"/>
          <w:lang w:eastAsia="zh-CN"/>
        </w:rPr>
        <w:t>（</w:t>
      </w:r>
      <w:r>
        <w:rPr>
          <w:rFonts w:hint="eastAsia" w:ascii="宋体" w:hAnsi="宋体" w:cs="宋体"/>
          <w:b/>
          <w:color w:val="auto"/>
          <w:kern w:val="0"/>
          <w:sz w:val="24"/>
          <w:highlight w:val="none"/>
          <w:u w:val="single"/>
          <w:lang w:val="en-US" w:eastAsia="zh-CN"/>
        </w:rPr>
        <w:t>考核标准详见合同附件1、附件2</w:t>
      </w:r>
      <w:r>
        <w:rPr>
          <w:rFonts w:hint="eastAsia" w:ascii="宋体" w:hAnsi="宋体" w:cs="宋体"/>
          <w:b/>
          <w:color w:val="auto"/>
          <w:kern w:val="0"/>
          <w:sz w:val="24"/>
          <w:highlight w:val="none"/>
          <w:u w:val="single"/>
        </w:rPr>
        <w:t>）</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资金来源：</w:t>
      </w:r>
      <w:r>
        <w:rPr>
          <w:rFonts w:hint="eastAsia" w:ascii="宋体" w:hAnsi="宋体" w:cs="宋体"/>
          <w:color w:val="auto"/>
          <w:sz w:val="24"/>
          <w:highlight w:val="none"/>
          <w:u w:val="single"/>
        </w:rPr>
        <w:t>财政性资金</w:t>
      </w:r>
    </w:p>
    <w:p>
      <w:pPr>
        <w:pStyle w:val="26"/>
        <w:spacing w:line="360" w:lineRule="auto"/>
        <w:ind w:left="0"/>
        <w:rPr>
          <w:rFonts w:ascii="宋体" w:hAnsi="宋体" w:eastAsia="宋体" w:cs="宋体"/>
          <w:color w:val="auto"/>
          <w:sz w:val="24"/>
          <w:szCs w:val="24"/>
          <w:highlight w:val="none"/>
        </w:rPr>
      </w:pPr>
      <w:r>
        <w:rPr>
          <w:rFonts w:ascii="宋体" w:hAnsi="宋体" w:eastAsia="宋体" w:cs="宋体"/>
          <w:b/>
          <w:bCs/>
          <w:color w:val="auto"/>
          <w:sz w:val="24"/>
          <w:szCs w:val="24"/>
          <w:highlight w:val="none"/>
        </w:rPr>
        <w:t>2、工程承包范围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承包范围：</w:t>
      </w:r>
      <w:r>
        <w:rPr>
          <w:rFonts w:hint="eastAsia" w:ascii="宋体" w:hAnsi="宋体" w:cs="宋体"/>
          <w:color w:val="auto"/>
          <w:sz w:val="24"/>
          <w:highlight w:val="none"/>
          <w:u w:val="single"/>
        </w:rPr>
        <w:t>华庄街道安置房小区垃圾分类管理服务</w:t>
      </w:r>
      <w:r>
        <w:rPr>
          <w:rFonts w:hint="eastAsia" w:ascii="宋体" w:hAnsi="宋体" w:cs="宋体"/>
          <w:color w:val="auto"/>
          <w:sz w:val="24"/>
          <w:highlight w:val="none"/>
        </w:rPr>
        <w:t>（详见招标清单）</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3、承包方式</w:t>
      </w:r>
    </w:p>
    <w:p>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本项目由乙方包工、包料、包质量、包安全、包文明施工的方式实施总承包，乙方应对全部垃圾分类相关服务负责，中标以后不得分包、转包。如一经发现上述行为，甲方单位有权立即终止服务承包合同，由此产生的一切法律责任和经济损失均由乙方承担。</w:t>
      </w:r>
    </w:p>
    <w:p>
      <w:pPr>
        <w:pStyle w:val="26"/>
        <w:spacing w:line="360" w:lineRule="auto"/>
        <w:ind w:left="0"/>
        <w:rPr>
          <w:rFonts w:ascii="宋体" w:hAnsi="宋体" w:eastAsia="宋体" w:cs="宋体"/>
          <w:color w:val="auto"/>
          <w:sz w:val="24"/>
          <w:szCs w:val="24"/>
          <w:highlight w:val="none"/>
        </w:rPr>
      </w:pPr>
      <w:r>
        <w:rPr>
          <w:rFonts w:ascii="宋体" w:hAnsi="宋体" w:eastAsia="宋体" w:cs="宋体"/>
          <w:b/>
          <w:bCs/>
          <w:color w:val="auto"/>
          <w:sz w:val="24"/>
          <w:szCs w:val="24"/>
          <w:highlight w:val="none"/>
        </w:rPr>
        <w:t>4、合同期限</w:t>
      </w:r>
    </w:p>
    <w:p>
      <w:pPr>
        <w:spacing w:line="360" w:lineRule="auto"/>
        <w:ind w:firstLine="480" w:firstLineChars="200"/>
        <w:rPr>
          <w:rFonts w:ascii="宋体" w:hAnsi="宋体" w:cs="宋体"/>
          <w:color w:val="auto"/>
          <w:spacing w:val="3"/>
          <w:sz w:val="24"/>
          <w:highlight w:val="none"/>
        </w:rPr>
      </w:pPr>
      <w:r>
        <w:rPr>
          <w:rFonts w:hint="eastAsia" w:ascii="宋体" w:hAnsi="宋体" w:cs="宋体"/>
          <w:bCs/>
          <w:color w:val="auto"/>
          <w:sz w:val="24"/>
          <w:highlight w:val="none"/>
          <w:u w:val="single"/>
        </w:rPr>
        <w:t>本次垃圾分类服务采购期限与各安置房小区的物业服务期限同步，</w:t>
      </w:r>
      <w:r>
        <w:rPr>
          <w:rFonts w:hint="eastAsia" w:ascii="宋体" w:hAnsi="宋体" w:cs="宋体"/>
          <w:color w:val="auto"/>
          <w:spacing w:val="3"/>
          <w:sz w:val="24"/>
          <w:highlight w:val="none"/>
        </w:rPr>
        <w:t>各小区垃圾分类招标期限如下：</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12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序号</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社区名称</w:t>
            </w:r>
          </w:p>
        </w:tc>
        <w:tc>
          <w:tcPr>
            <w:tcW w:w="6663"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拟招标期限（具体实施时间以合同签订日期往后计算）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禾塘社区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2</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旺安社区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3</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太湖社区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4</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水乡社区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5</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清舒社区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6</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农联社区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7</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华庄社区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8</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华新社区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17个月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9</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周潭社区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10</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泓澄社区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11</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南张社区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12</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落霞社区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13</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里桥社区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14</w:t>
            </w:r>
          </w:p>
        </w:tc>
        <w:tc>
          <w:tcPr>
            <w:tcW w:w="2124" w:type="dxa"/>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凯发社区</w:t>
            </w:r>
          </w:p>
        </w:tc>
        <w:tc>
          <w:tcPr>
            <w:tcW w:w="6663" w:type="dxa"/>
            <w:vAlign w:val="center"/>
          </w:tcPr>
          <w:p>
            <w:pPr>
              <w:widowControl/>
              <w:jc w:val="center"/>
              <w:textAlignment w:val="center"/>
              <w:rPr>
                <w:rFonts w:ascii="宋体" w:hAnsi="宋体" w:cs="宋体"/>
                <w:color w:val="auto"/>
                <w:szCs w:val="21"/>
                <w:highlight w:val="none"/>
              </w:rPr>
            </w:pPr>
            <w:r>
              <w:rPr>
                <w:rStyle w:val="121"/>
                <w:rFonts w:hint="eastAsia" w:ascii="宋体" w:hAnsi="宋体" w:eastAsia="宋体" w:cs="宋体"/>
                <w:color w:val="auto"/>
                <w:sz w:val="21"/>
                <w:szCs w:val="21"/>
                <w:highlight w:val="none"/>
              </w:rPr>
              <w:t>23个月</w:t>
            </w:r>
          </w:p>
        </w:tc>
      </w:tr>
    </w:tbl>
    <w:p>
      <w:pPr>
        <w:pStyle w:val="26"/>
        <w:spacing w:line="160" w:lineRule="atLeast"/>
        <w:ind w:left="0" w:firstLine="482" w:firstLineChars="0"/>
        <w:rPr>
          <w:rFonts w:ascii="宋体" w:hAnsi="宋体" w:eastAsia="宋体" w:cs="宋体"/>
          <w:b/>
          <w:bCs/>
          <w:color w:val="auto"/>
          <w:sz w:val="24"/>
          <w:szCs w:val="24"/>
          <w:highlight w:val="none"/>
        </w:rPr>
      </w:pPr>
    </w:p>
    <w:p>
      <w:pPr>
        <w:pStyle w:val="26"/>
        <w:spacing w:line="360" w:lineRule="auto"/>
        <w:ind w:left="0" w:firstLine="0" w:firstLineChars="0"/>
        <w:rPr>
          <w:rFonts w:ascii="宋体" w:hAnsi="宋体" w:eastAsia="宋体" w:cs="宋体"/>
          <w:color w:val="auto"/>
          <w:sz w:val="24"/>
          <w:szCs w:val="24"/>
          <w:highlight w:val="none"/>
        </w:rPr>
      </w:pPr>
      <w:r>
        <w:rPr>
          <w:rFonts w:ascii="宋体" w:hAnsi="宋体" w:eastAsia="宋体" w:cs="宋体"/>
          <w:b/>
          <w:bCs/>
          <w:color w:val="auto"/>
          <w:sz w:val="24"/>
          <w:szCs w:val="24"/>
          <w:highlight w:val="none"/>
        </w:rPr>
        <w:t>5、</w:t>
      </w:r>
      <w:r>
        <w:rPr>
          <w:rFonts w:hint="eastAsia" w:ascii="宋体" w:hAnsi="宋体" w:eastAsia="宋体" w:cs="宋体"/>
          <w:color w:val="auto"/>
          <w:sz w:val="24"/>
          <w:szCs w:val="24"/>
          <w:highlight w:val="none"/>
        </w:rPr>
        <w:t>合同价款金额（大写）：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元（含税）</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6、付款方式</w:t>
      </w:r>
    </w:p>
    <w:p>
      <w:pPr>
        <w:tabs>
          <w:tab w:val="left" w:pos="525"/>
          <w:tab w:val="left" w:pos="570"/>
          <w:tab w:val="left" w:pos="1050"/>
        </w:tabs>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季度按实结算一次，根据采购人的考核标准《</w:t>
      </w:r>
      <w:r>
        <w:rPr>
          <w:rFonts w:hint="eastAsia" w:ascii="宋体" w:hAnsi="宋体" w:cs="宋体"/>
          <w:color w:val="auto"/>
          <w:sz w:val="24"/>
          <w:highlight w:val="none"/>
          <w:lang w:eastAsia="zh-CN"/>
        </w:rPr>
        <w:t>华庄街道安置房小区垃圾分类管理工作考核办法</w:t>
      </w:r>
      <w:r>
        <w:rPr>
          <w:rFonts w:hint="eastAsia" w:ascii="宋体" w:hAnsi="宋体" w:cs="宋体"/>
          <w:color w:val="auto"/>
          <w:sz w:val="24"/>
          <w:highlight w:val="none"/>
        </w:rPr>
        <w:t>》</w:t>
      </w:r>
      <w:r>
        <w:rPr>
          <w:rFonts w:hint="eastAsia" w:ascii="宋体" w:hAnsi="宋体" w:cs="宋体"/>
          <w:color w:val="auto"/>
          <w:sz w:val="24"/>
          <w:highlight w:val="none"/>
          <w:lang w:eastAsia="zh-CN"/>
        </w:rPr>
        <w:t>（按照现行的标准适时调整）</w:t>
      </w:r>
      <w:r>
        <w:rPr>
          <w:rFonts w:hint="eastAsia" w:ascii="宋体" w:hAnsi="宋体" w:cs="宋体"/>
          <w:color w:val="auto"/>
          <w:sz w:val="24"/>
          <w:highlight w:val="none"/>
        </w:rPr>
        <w:t>按季度频次进行考核。每季度根据考核结果支付合同价的12.5%,甲方于每季度结束后的次月支付给乙方。</w:t>
      </w:r>
      <w:r>
        <w:rPr>
          <w:rFonts w:hint="eastAsia" w:ascii="宋体" w:hAnsi="宋体" w:cs="宋体"/>
          <w:b/>
          <w:color w:val="auto"/>
          <w:sz w:val="24"/>
          <w:highlight w:val="none"/>
        </w:rPr>
        <w:t>每次支付前，乙方均需提供付款申请书以及正式等额税务发票</w:t>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考核标准详见合同附件1、附件2</w:t>
      </w:r>
      <w:r>
        <w:rPr>
          <w:rFonts w:hint="eastAsia" w:ascii="宋体" w:hAnsi="宋体" w:cs="宋体"/>
          <w:b/>
          <w:color w:val="auto"/>
          <w:kern w:val="0"/>
          <w:sz w:val="24"/>
          <w:highlight w:val="none"/>
        </w:rPr>
        <w:t>）</w:t>
      </w:r>
      <w:r>
        <w:rPr>
          <w:rFonts w:hint="eastAsia" w:ascii="宋体" w:hAnsi="宋体" w:cs="宋体"/>
          <w:color w:val="auto"/>
          <w:sz w:val="24"/>
          <w:highlight w:val="none"/>
        </w:rPr>
        <w:t>。</w:t>
      </w:r>
    </w:p>
    <w:p>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7、服务要求</w:t>
      </w:r>
      <w:r>
        <w:rPr>
          <w:rFonts w:hint="eastAsia" w:ascii="宋体" w:hAnsi="宋体" w:cs="宋体"/>
          <w:b/>
          <w:color w:val="auto"/>
          <w:kern w:val="0"/>
          <w:sz w:val="24"/>
          <w:highlight w:val="none"/>
        </w:rPr>
        <w:t>（下述要求中有不全面的地方，按照现行的管理条例和考核标准适时调整</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考核标准详见合同附件1、附件2</w:t>
      </w:r>
      <w:r>
        <w:rPr>
          <w:rFonts w:hint="eastAsia" w:ascii="宋体" w:hAnsi="宋体" w:cs="宋体"/>
          <w:b/>
          <w:color w:val="auto"/>
          <w:kern w:val="0"/>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1、作业要求</w:t>
      </w:r>
      <w:r>
        <w:rPr>
          <w:rFonts w:hint="eastAsia" w:ascii="宋体" w:hAnsi="宋体" w:cs="宋体"/>
          <w:b/>
          <w:bCs/>
          <w:color w:val="auto"/>
          <w:sz w:val="24"/>
          <w:highlight w:val="none"/>
        </w:rPr>
        <w:t>：</w:t>
      </w:r>
    </w:p>
    <w:p>
      <w:pPr>
        <w:pStyle w:val="279"/>
        <w:spacing w:before="0" w:beforeAutospacing="0" w:after="0" w:afterAutospacing="0" w:line="360" w:lineRule="auto"/>
        <w:ind w:firstLine="480" w:firstLineChars="200"/>
        <w:jc w:val="both"/>
        <w:rPr>
          <w:color w:val="auto"/>
          <w:highlight w:val="none"/>
        </w:rPr>
      </w:pPr>
      <w:r>
        <w:rPr>
          <w:rFonts w:hint="eastAsia"/>
          <w:color w:val="auto"/>
          <w:highlight w:val="none"/>
        </w:rPr>
        <w:t>(1)每天固定分两个时间段：上午6:15点至8:45点、晚上18:15点至20:45点（做好准备工作和清扫工作，每名垃圾分类指导员每天的实际工作的时间不少于5小时），居民将垃圾投入垃圾点。每个分类点每天现场需有工作人员协助、督导对业主每袋易腐垃圾进行破袋，分类正确的居民按规定投放，分类不正确的现场指导居民如何正确分类。对小区的易腐垃圾进行分拣及数据统计工作（包括记录及汇总），每月制表后上交社区。（含现场督导、上门一对一指导、及时分类信息反馈）。</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(2)对居民垃圾分类投放进行宣传和指导，对小区内投放点开展分拣和督导，提供垃圾分类引导服务，对居民进行分类宣传，使小区形成垃圾分类的氛围。</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(3)以上垃圾分类管理事项需向所在社区报备。</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(4)垃圾分类投放定时定点：服务期限内由中标单位拟派督导人员定时开放，定时关闭垃圾分类收集屋，定时开放时间根据小区实际情况确定。每天固定分两个时间段：上午6:</w:t>
      </w:r>
      <w:r>
        <w:rPr>
          <w:rFonts w:hint="eastAsia" w:cs="宋体"/>
          <w:color w:val="auto"/>
          <w:sz w:val="24"/>
          <w:highlight w:val="none"/>
        </w:rPr>
        <w:t>15</w:t>
      </w:r>
      <w:r>
        <w:rPr>
          <w:rFonts w:hint="eastAsia" w:ascii="宋体" w:hAnsi="宋体" w:cs="宋体"/>
          <w:color w:val="auto"/>
          <w:sz w:val="24"/>
          <w:highlight w:val="none"/>
        </w:rPr>
        <w:t>点至8:</w:t>
      </w:r>
      <w:r>
        <w:rPr>
          <w:rFonts w:hint="eastAsia" w:cs="宋体"/>
          <w:color w:val="auto"/>
          <w:sz w:val="24"/>
          <w:highlight w:val="none"/>
        </w:rPr>
        <w:t>45</w:t>
      </w:r>
      <w:r>
        <w:rPr>
          <w:rFonts w:hint="eastAsia" w:ascii="宋体" w:hAnsi="宋体" w:cs="宋体"/>
          <w:color w:val="auto"/>
          <w:sz w:val="24"/>
          <w:highlight w:val="none"/>
        </w:rPr>
        <w:t>点、晚上18:</w:t>
      </w:r>
      <w:r>
        <w:rPr>
          <w:rFonts w:hint="eastAsia" w:cs="宋体"/>
          <w:color w:val="auto"/>
          <w:sz w:val="24"/>
          <w:highlight w:val="none"/>
        </w:rPr>
        <w:t>15</w:t>
      </w:r>
      <w:r>
        <w:rPr>
          <w:rFonts w:hint="eastAsia" w:ascii="宋体" w:hAnsi="宋体" w:cs="宋体"/>
          <w:color w:val="auto"/>
          <w:sz w:val="24"/>
          <w:highlight w:val="none"/>
        </w:rPr>
        <w:t>点至20:</w:t>
      </w:r>
      <w:r>
        <w:rPr>
          <w:rFonts w:hint="eastAsia" w:cs="宋体"/>
          <w:color w:val="auto"/>
          <w:sz w:val="24"/>
          <w:highlight w:val="none"/>
        </w:rPr>
        <w:t>45</w:t>
      </w:r>
      <w:r>
        <w:rPr>
          <w:rFonts w:hint="eastAsia" w:ascii="宋体" w:hAnsi="宋体" w:cs="宋体"/>
          <w:color w:val="auto"/>
          <w:sz w:val="24"/>
          <w:highlight w:val="none"/>
        </w:rPr>
        <w:t>点（根据实地需要时间可自行调整），节假日增加误时投放时间：11:</w:t>
      </w:r>
      <w:r>
        <w:rPr>
          <w:rFonts w:hint="eastAsia" w:cs="宋体"/>
          <w:color w:val="auto"/>
          <w:sz w:val="24"/>
          <w:highlight w:val="none"/>
        </w:rPr>
        <w:t>15</w:t>
      </w:r>
      <w:r>
        <w:rPr>
          <w:rFonts w:hint="eastAsia" w:ascii="宋体" w:hAnsi="宋体" w:cs="宋体"/>
          <w:color w:val="auto"/>
          <w:sz w:val="24"/>
          <w:highlight w:val="none"/>
        </w:rPr>
        <w:t>点至13:</w:t>
      </w:r>
      <w:r>
        <w:rPr>
          <w:rFonts w:hint="eastAsia" w:cs="宋体"/>
          <w:color w:val="auto"/>
          <w:sz w:val="24"/>
          <w:highlight w:val="none"/>
        </w:rPr>
        <w:t>45</w:t>
      </w:r>
      <w:r>
        <w:rPr>
          <w:rFonts w:hint="eastAsia" w:ascii="宋体" w:hAnsi="宋体" w:cs="宋体"/>
          <w:color w:val="auto"/>
          <w:sz w:val="24"/>
          <w:highlight w:val="none"/>
        </w:rPr>
        <w:t>点。</w:t>
      </w:r>
    </w:p>
    <w:p>
      <w:pPr>
        <w:pStyle w:val="7"/>
        <w:spacing w:line="360"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2、定时定点收集房垃圾的收集、转运：</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易腐垃圾：中标单位负责易腐垃圾分类转运。一日两清，每天分上午、下午两个时间段，转运垃圾，防止出现垃圾满溢现象。中标单位负责厨余垃圾的收集、破袋，集中运送至收集房回收处理。中标单位做好厨余垃圾的收集及垃圾量统计工作，同时防止出现垃圾满溢现象。</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(2)其它垃圾：中标单位负责其他垃圾分类转运；</w:t>
      </w:r>
    </w:p>
    <w:p>
      <w:pPr>
        <w:pStyle w:val="7"/>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3、垃圾分类房清洗保洁</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(1)垃圾分类房保洁</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督导员在垃圾分类定时投放时段结束后对垃圾分类房及周边进行全面清洗保洁，确保垃圾分类房及周边环境干净、整洁，垃圾分类房内无异味。</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(2)分类垃圾桶清洗</w:t>
      </w:r>
    </w:p>
    <w:p>
      <w:pPr>
        <w:pStyle w:val="7"/>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督导员在垃圾分类定时投放时段结束后，对所有分类垃圾桶进行清洗、消杀，确保分类垃圾桶干净无污渍。</w:t>
      </w:r>
    </w:p>
    <w:p>
      <w:pPr>
        <w:pStyle w:val="7"/>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4、运营服务其他要求：</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(1)建立健全台账资料管理，根据垃圾收运情况（记录及汇总），垃圾分类收集设施日常保洁、消杀和维护情况等进行统计汇总制表，每月制作报表上报采购单位。</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(2)做好居民垃圾分类的正确投放工作，配合街道、社区、小区物业公司和垃圾收运单位的工作，同时关注居民参与情况，及时反馈问题，并协助市环卫处进行垃圾采样。</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(3)接受采购单位及各级管理部门的检查考核及其相应结果。在特殊情况（包括重大活动或灾害性天气）应服从甲方工作的需要和安排，主动加强突击与保障，确保重大活动对垃圾分类工作的特殊要求。</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(4)自觉接受社会监督，对居民群众和新闻媒体提出的批评意见或建议，必须在24小时内整改到位，并将结果上报至采购单位。</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(5)保洁人员按要求统一着装，文明作业，爱护基础设施，如发现垃圾桶、收集亭、指示牌等有破损情况的，及时拍照记录，上报采购单位，由采购单位落实维修或更新。</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(6)做到各类垃圾分类统计数据及时、准确、真实，偏差率不得大于5%。</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(7)对小区内所有垃圾分类收集设施等进行日常保洁和维护，每天至少1次，同时防止出现垃圾满溢现象。</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(8)服务期内前3个月投放垃圾准确率达到90%。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8.检查考核</w:t>
      </w:r>
    </w:p>
    <w:p>
      <w:pPr>
        <w:pStyle w:val="259"/>
        <w:spacing w:line="360" w:lineRule="auto"/>
        <w:ind w:left="0" w:leftChars="0" w:firstLine="480" w:firstLineChars="200"/>
        <w:jc w:val="left"/>
        <w:rPr>
          <w:rFonts w:ascii="宋体" w:hAnsi="宋体" w:cs="宋体"/>
          <w:color w:val="auto"/>
          <w:sz w:val="24"/>
          <w:szCs w:val="24"/>
          <w:highlight w:val="none"/>
        </w:rPr>
      </w:pPr>
      <w:r>
        <w:rPr>
          <w:rFonts w:hint="eastAsia" w:ascii="宋体" w:hAnsi="宋体" w:cs="宋体"/>
          <w:color w:val="auto"/>
          <w:kern w:val="0"/>
          <w:sz w:val="24"/>
          <w:highlight w:val="none"/>
        </w:rPr>
        <w:t>乙方接受市城市管理局、区执法局或其指定单位关于生活垃圾分类工作的考核，实现垃圾分类投放、收集、运输、处理的有效融合。具体考核及验收标准详见关于印发《</w:t>
      </w:r>
      <w:r>
        <w:rPr>
          <w:rFonts w:hint="eastAsia" w:ascii="宋体" w:hAnsi="宋体" w:cs="宋体"/>
          <w:color w:val="auto"/>
          <w:kern w:val="0"/>
          <w:sz w:val="24"/>
          <w:highlight w:val="none"/>
          <w:lang w:eastAsia="zh-CN"/>
        </w:rPr>
        <w:t>华庄街道安置房小区垃圾分类管理工作考核办法</w:t>
      </w:r>
      <w:r>
        <w:rPr>
          <w:rFonts w:hint="eastAsia" w:ascii="宋体" w:hAnsi="宋体" w:cs="宋体"/>
          <w:color w:val="auto"/>
          <w:kern w:val="0"/>
          <w:sz w:val="24"/>
          <w:highlight w:val="none"/>
        </w:rPr>
        <w:t>》、</w:t>
      </w:r>
      <w:r>
        <w:rPr>
          <w:rFonts w:hint="eastAsia" w:ascii="宋体" w:hAnsi="宋体" w:cs="宋体"/>
          <w:b/>
          <w:bCs/>
          <w:color w:val="auto"/>
          <w:sz w:val="24"/>
          <w:highlight w:val="none"/>
        </w:rPr>
        <w:t>（按照现行的标准适时调整）</w:t>
      </w:r>
      <w:r>
        <w:rPr>
          <w:rFonts w:hint="eastAsia" w:ascii="宋体" w:hAnsi="宋体" w:cs="宋体"/>
          <w:color w:val="auto"/>
          <w:kern w:val="0"/>
          <w:sz w:val="24"/>
          <w:highlight w:val="none"/>
        </w:rPr>
        <w:t>。</w:t>
      </w:r>
      <w:r>
        <w:rPr>
          <w:rFonts w:hint="eastAsia" w:ascii="宋体" w:hAnsi="宋体" w:cs="宋体"/>
          <w:color w:val="auto"/>
          <w:sz w:val="24"/>
          <w:szCs w:val="24"/>
          <w:highlight w:val="none"/>
        </w:rPr>
        <w:t>按季度频次进行考核。</w:t>
      </w:r>
      <w:r>
        <w:rPr>
          <w:rFonts w:hint="eastAsia" w:ascii="宋体" w:hAnsi="宋体" w:cs="宋体"/>
          <w:b/>
          <w:bCs/>
          <w:color w:val="auto"/>
          <w:sz w:val="24"/>
          <w:szCs w:val="24"/>
          <w:highlight w:val="none"/>
          <w:lang w:eastAsia="zh-CN"/>
        </w:rPr>
        <w:t>（</w:t>
      </w:r>
      <w:r>
        <w:rPr>
          <w:rFonts w:hint="eastAsia" w:ascii="宋体" w:hAnsi="宋体" w:cs="宋体"/>
          <w:b/>
          <w:color w:val="auto"/>
          <w:kern w:val="0"/>
          <w:sz w:val="24"/>
          <w:highlight w:val="none"/>
          <w:lang w:val="en-US" w:eastAsia="zh-CN"/>
        </w:rPr>
        <w:t>考核标准详见合同附件1、附件2</w:t>
      </w:r>
      <w:r>
        <w:rPr>
          <w:rFonts w:hint="eastAsia" w:ascii="宋体" w:hAnsi="宋体" w:cs="宋体"/>
          <w:b/>
          <w:color w:val="auto"/>
          <w:kern w:val="0"/>
          <w:sz w:val="24"/>
          <w:highlight w:val="none"/>
        </w:rPr>
        <w:t>）</w:t>
      </w:r>
    </w:p>
    <w:p>
      <w:pPr>
        <w:pStyle w:val="26"/>
        <w:spacing w:line="360" w:lineRule="auto"/>
        <w:ind w:left="0"/>
        <w:rPr>
          <w:rFonts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rPr>
        <w:t>9、组成合同的文件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9.1组成本合同的文件包括：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（1）本合同协议书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（3）投标书及其附件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9.2双方有关工程的洽商、变更等书面协议或文件视为本合同的组成部分。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10、安全生产和文明施工</w:t>
      </w:r>
    </w:p>
    <w:p>
      <w:pPr>
        <w:spacing w:line="360" w:lineRule="auto"/>
        <w:rPr>
          <w:rFonts w:ascii="宋体" w:hAnsi="宋体" w:cs="宋体"/>
          <w:color w:val="auto"/>
          <w:sz w:val="24"/>
          <w:highlight w:val="none"/>
        </w:rPr>
      </w:pPr>
      <w:r>
        <w:rPr>
          <w:rFonts w:hint="eastAsia" w:ascii="宋体" w:hAnsi="宋体" w:cs="宋体"/>
          <w:color w:val="auto"/>
          <w:sz w:val="24"/>
          <w:highlight w:val="none"/>
        </w:rPr>
        <w:t>10.1乙方负责安全生产责任， 应做好保洁作业管理区内的安全管理工作，并随时接受甲方或行业安全检查人员依法实施的监察检查，采取必要的安全防护措施，消除事故隐患。</w:t>
      </w:r>
    </w:p>
    <w:p>
      <w:pPr>
        <w:spacing w:line="360" w:lineRule="auto"/>
        <w:rPr>
          <w:rFonts w:ascii="宋体" w:hAnsi="宋体" w:cs="宋体"/>
          <w:color w:val="auto"/>
          <w:sz w:val="24"/>
          <w:highlight w:val="none"/>
        </w:rPr>
      </w:pPr>
      <w:r>
        <w:rPr>
          <w:rFonts w:hint="eastAsia" w:ascii="宋体" w:hAnsi="宋体" w:cs="宋体"/>
          <w:color w:val="auto"/>
          <w:sz w:val="24"/>
          <w:highlight w:val="none"/>
        </w:rPr>
        <w:t>10.2 由于乙方管理不善，引起政府职能部门处罚和停工整改，或安全措施不力造成事故的责任和因此发生的费用，由乙方承担。</w:t>
      </w:r>
    </w:p>
    <w:p>
      <w:pPr>
        <w:spacing w:line="360" w:lineRule="auto"/>
        <w:rPr>
          <w:rFonts w:ascii="宋体" w:hAnsi="宋体" w:cs="宋体"/>
          <w:color w:val="auto"/>
          <w:sz w:val="24"/>
          <w:highlight w:val="none"/>
        </w:rPr>
      </w:pPr>
      <w:r>
        <w:rPr>
          <w:rFonts w:hint="eastAsia" w:ascii="宋体" w:hAnsi="宋体" w:cs="宋体"/>
          <w:color w:val="auto"/>
          <w:sz w:val="24"/>
          <w:highlight w:val="none"/>
        </w:rPr>
        <w:t>10.3发生重大伤亡及其他安全事故时，乙方应按有关规定立即上报有关部门并通知甲方代表，同时按政府有关部门要求处理，造成的损失由事故责任方承担。</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11、违约</w:t>
      </w:r>
    </w:p>
    <w:p>
      <w:pPr>
        <w:spacing w:line="360" w:lineRule="auto"/>
        <w:rPr>
          <w:rFonts w:ascii="宋体" w:hAnsi="宋体" w:cs="宋体"/>
          <w:b/>
          <w:bCs/>
          <w:color w:val="auto"/>
          <w:sz w:val="24"/>
          <w:highlight w:val="none"/>
        </w:rPr>
      </w:pPr>
      <w:r>
        <w:rPr>
          <w:rFonts w:ascii="宋体" w:hAnsi="宋体" w:cs="宋体"/>
          <w:b/>
          <w:bCs/>
          <w:color w:val="auto"/>
          <w:sz w:val="24"/>
          <w:highlight w:val="none"/>
        </w:rPr>
        <w:t>11.1</w:t>
      </w:r>
      <w:r>
        <w:rPr>
          <w:rFonts w:hint="eastAsia" w:ascii="宋体" w:hAnsi="宋体" w:cs="宋体"/>
          <w:b/>
          <w:bCs/>
          <w:color w:val="auto"/>
          <w:sz w:val="24"/>
          <w:highlight w:val="none"/>
        </w:rPr>
        <w:t>合同签订后至服务正式开始前配齐所有人员，如果因乙方原因未能及时配备人员的按合同价的</w:t>
      </w:r>
      <w:r>
        <w:rPr>
          <w:rFonts w:ascii="宋体" w:hAnsi="宋体" w:cs="宋体"/>
          <w:b/>
          <w:bCs/>
          <w:color w:val="auto"/>
          <w:sz w:val="24"/>
          <w:highlight w:val="none"/>
        </w:rPr>
        <w:t>20%</w:t>
      </w:r>
      <w:r>
        <w:rPr>
          <w:rFonts w:hint="eastAsia" w:ascii="宋体" w:hAnsi="宋体" w:cs="宋体"/>
          <w:b/>
          <w:bCs/>
          <w:color w:val="auto"/>
          <w:sz w:val="24"/>
          <w:highlight w:val="none"/>
        </w:rPr>
        <w:t>作为违约金支付给甲方。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11.2乙方不能达到本协议约定的作业要求、服务要求及有关技术规范标准，甲方有权单方解除合同，乙方需赔偿因违约给甲方造成的损失。</w:t>
      </w:r>
    </w:p>
    <w:p>
      <w:pPr>
        <w:spacing w:line="360" w:lineRule="auto"/>
        <w:rPr>
          <w:rFonts w:ascii="宋体" w:hAnsi="宋体" w:cs="宋体"/>
          <w:color w:val="auto"/>
          <w:sz w:val="24"/>
          <w:highlight w:val="none"/>
        </w:rPr>
      </w:pPr>
      <w:r>
        <w:rPr>
          <w:rFonts w:hint="eastAsia" w:ascii="宋体" w:hAnsi="宋体" w:cs="宋体"/>
          <w:color w:val="auto"/>
          <w:sz w:val="24"/>
          <w:highlight w:val="none"/>
        </w:rPr>
        <w:t>11.3 因一方违约使合同不能履行，另一方欲终止或解除全部合同的，应提前10天通知违约方，违约方应承担相应的违约责任。</w:t>
      </w:r>
    </w:p>
    <w:p>
      <w:pPr>
        <w:spacing w:line="360" w:lineRule="auto"/>
        <w:rPr>
          <w:rFonts w:ascii="宋体" w:hAnsi="宋体" w:cs="宋体"/>
          <w:color w:val="auto"/>
          <w:sz w:val="24"/>
          <w:highlight w:val="none"/>
        </w:rPr>
      </w:pPr>
      <w:r>
        <w:rPr>
          <w:rFonts w:hint="eastAsia" w:ascii="宋体" w:hAnsi="宋体" w:cs="宋体"/>
          <w:color w:val="auto"/>
          <w:sz w:val="24"/>
          <w:highlight w:val="none"/>
        </w:rPr>
        <w:t>11.4 发生争议后，除出现以下情况的，双方都应继续履行合同：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（1）合同确已无法履行；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（2）双方协议停止作业；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（3）仲裁机构要求停止作业；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（4）法院要求停止作业。</w:t>
      </w:r>
    </w:p>
    <w:p>
      <w:pPr>
        <w:tabs>
          <w:tab w:val="left" w:pos="315"/>
        </w:tabs>
        <w:spacing w:line="360" w:lineRule="auto"/>
        <w:rPr>
          <w:rFonts w:ascii="宋体" w:hAnsi="宋体" w:cs="宋体"/>
          <w:b/>
          <w:color w:val="auto"/>
          <w:sz w:val="24"/>
          <w:highlight w:val="none"/>
        </w:rPr>
      </w:pPr>
      <w:r>
        <w:rPr>
          <w:rFonts w:hint="eastAsia" w:ascii="宋体" w:hAnsi="宋体" w:cs="宋体"/>
          <w:b/>
          <w:color w:val="auto"/>
          <w:sz w:val="24"/>
          <w:highlight w:val="none"/>
        </w:rPr>
        <w:t>12、其他</w:t>
      </w:r>
    </w:p>
    <w:p>
      <w:pPr>
        <w:spacing w:line="360" w:lineRule="auto"/>
        <w:rPr>
          <w:rFonts w:ascii="宋体" w:hAnsi="宋体" w:cs="宋体"/>
          <w:color w:val="auto"/>
          <w:sz w:val="24"/>
          <w:highlight w:val="none"/>
        </w:rPr>
      </w:pPr>
      <w:r>
        <w:rPr>
          <w:rFonts w:hint="eastAsia" w:ascii="宋体" w:hAnsi="宋体" w:cs="宋体"/>
          <w:color w:val="auto"/>
          <w:sz w:val="24"/>
          <w:highlight w:val="none"/>
        </w:rPr>
        <w:t>12.1 在本合同执行过程中如遇和国家政策、地方法规的有关规定不符时，按有关政策法规执行。</w:t>
      </w:r>
    </w:p>
    <w:p>
      <w:pPr>
        <w:spacing w:line="360" w:lineRule="auto"/>
        <w:rPr>
          <w:rFonts w:ascii="宋体" w:hAnsi="宋体" w:cs="宋体"/>
          <w:color w:val="auto"/>
          <w:sz w:val="24"/>
          <w:highlight w:val="none"/>
        </w:rPr>
      </w:pPr>
      <w:r>
        <w:rPr>
          <w:rFonts w:hint="eastAsia" w:ascii="宋体" w:hAnsi="宋体" w:cs="宋体"/>
          <w:color w:val="auto"/>
          <w:sz w:val="24"/>
          <w:highlight w:val="none"/>
        </w:rPr>
        <w:t>12.2 如遇自然灾害和不可抗力造成损失的，经双方协商解决。</w:t>
      </w:r>
    </w:p>
    <w:p>
      <w:pPr>
        <w:spacing w:line="360" w:lineRule="auto"/>
        <w:rPr>
          <w:rFonts w:ascii="宋体" w:hAnsi="宋体" w:cs="宋体"/>
          <w:color w:val="auto"/>
          <w:sz w:val="24"/>
          <w:highlight w:val="none"/>
        </w:rPr>
      </w:pPr>
      <w:r>
        <w:rPr>
          <w:rFonts w:hint="eastAsia" w:ascii="宋体" w:hAnsi="宋体" w:cs="宋体"/>
          <w:color w:val="auto"/>
          <w:sz w:val="24"/>
          <w:highlight w:val="none"/>
        </w:rPr>
        <w:t>12.3 本合同如有未尽事宜，双方可通过协商补充协议解决，补充协议作为本合同的附件，与本合同具有同等法律效力。</w:t>
      </w:r>
    </w:p>
    <w:p>
      <w:pPr>
        <w:pStyle w:val="2"/>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12.4 合同履行过程发生的争议，双方应友好协商解决，协商不成的，任何一方均可向合同签订地人民法院提起诉讼。</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13、合同生效   </w:t>
      </w:r>
    </w:p>
    <w:p>
      <w:pPr>
        <w:spacing w:line="360" w:lineRule="auto"/>
        <w:rPr>
          <w:rFonts w:ascii="宋体" w:hAnsi="宋体" w:cs="宋体"/>
          <w:color w:val="auto"/>
          <w:sz w:val="24"/>
          <w:highlight w:val="none"/>
        </w:rPr>
      </w:pPr>
      <w:r>
        <w:rPr>
          <w:rFonts w:hint="eastAsia" w:ascii="宋体" w:hAnsi="宋体" w:cs="宋体"/>
          <w:color w:val="auto"/>
          <w:sz w:val="24"/>
          <w:highlight w:val="none"/>
        </w:rPr>
        <w:t>13.1合同订立地点：</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13.2本合同自三方</w:t>
      </w:r>
      <w:r>
        <w:rPr>
          <w:rFonts w:hint="eastAsia" w:ascii="宋体" w:hAnsi="宋体" w:cs="宋体"/>
          <w:color w:val="auto"/>
          <w:sz w:val="24"/>
          <w:highlight w:val="none"/>
          <w:u w:val="single"/>
        </w:rPr>
        <w:t xml:space="preserve">  签字、盖章</w:t>
      </w:r>
      <w:r>
        <w:rPr>
          <w:rFonts w:hint="eastAsia" w:ascii="宋体" w:hAnsi="宋体" w:cs="宋体"/>
          <w:color w:val="auto"/>
          <w:sz w:val="24"/>
          <w:highlight w:val="none"/>
        </w:rPr>
        <w:t>后生效。</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14、合同份数</w:t>
      </w:r>
    </w:p>
    <w:p>
      <w:pPr>
        <w:pStyle w:val="26"/>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本合同一式柒份，甲乙丙三方方各执贰份，见证方执一份，各份具有同等法律效力。</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(本页无正文，为合同签署页)</w:t>
      </w:r>
    </w:p>
    <w:p>
      <w:pPr>
        <w:pStyle w:val="2"/>
        <w:rPr>
          <w:rFonts w:ascii="宋体" w:hAnsi="宋体" w:eastAsia="宋体" w:cs="宋体"/>
          <w:b/>
          <w:color w:val="auto"/>
          <w:sz w:val="24"/>
          <w:szCs w:val="24"/>
          <w:highlight w:val="none"/>
        </w:rPr>
      </w:pPr>
    </w:p>
    <w:p>
      <w:pPr>
        <w:tabs>
          <w:tab w:val="left" w:pos="4700"/>
        </w:tabs>
        <w:ind w:firstLine="490"/>
        <w:rPr>
          <w:rFonts w:ascii="宋体" w:hAnsi="宋体" w:cs="宋体"/>
          <w:color w:val="auto"/>
          <w:sz w:val="24"/>
          <w:highlight w:val="none"/>
        </w:rPr>
      </w:pPr>
      <w:r>
        <w:rPr>
          <w:rFonts w:hint="eastAsia" w:ascii="宋体" w:hAnsi="宋体" w:cs="宋体"/>
          <w:color w:val="auto"/>
          <w:sz w:val="24"/>
          <w:highlight w:val="none"/>
        </w:rPr>
        <w:t>甲方：（公章）                       乙方：（公章）</w:t>
      </w:r>
    </w:p>
    <w:p>
      <w:pPr>
        <w:tabs>
          <w:tab w:val="left" w:pos="4700"/>
        </w:tabs>
        <w:ind w:firstLine="490"/>
        <w:rPr>
          <w:rFonts w:ascii="宋体" w:hAnsi="宋体" w:cs="宋体"/>
          <w:color w:val="auto"/>
          <w:sz w:val="24"/>
          <w:highlight w:val="none"/>
        </w:rPr>
      </w:pPr>
      <w:r>
        <w:rPr>
          <w:rFonts w:hint="eastAsia" w:ascii="宋体" w:hAnsi="宋体" w:cs="宋体"/>
          <w:color w:val="auto"/>
          <w:sz w:val="24"/>
          <w:highlight w:val="none"/>
        </w:rPr>
        <w:t>法定代表人：                         法定代表人：</w:t>
      </w:r>
    </w:p>
    <w:p>
      <w:pPr>
        <w:pStyle w:val="2"/>
        <w:rPr>
          <w:rFonts w:ascii="宋体" w:hAnsi="宋体" w:eastAsia="宋体" w:cs="宋体"/>
          <w:color w:val="auto"/>
          <w:sz w:val="24"/>
          <w:szCs w:val="24"/>
          <w:highlight w:val="none"/>
        </w:rPr>
      </w:pPr>
    </w:p>
    <w:p>
      <w:pPr>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pPr>
        <w:pStyle w:val="2"/>
        <w:rPr>
          <w:rFonts w:ascii="宋体" w:hAnsi="宋体" w:eastAsia="宋体" w:cs="宋体"/>
          <w:color w:val="auto"/>
          <w:sz w:val="24"/>
          <w:szCs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见证方：（公章）</w:t>
      </w:r>
    </w:p>
    <w:p>
      <w:pPr>
        <w:pStyle w:val="2"/>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
        <w:ind w:firstLine="1680" w:firstLineChars="7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pPr>
        <w:jc w:val="left"/>
        <w:rPr>
          <w:rFonts w:hint="eastAsia" w:ascii="宋体" w:hAnsi="宋体" w:cs="宋体"/>
          <w:bCs/>
          <w:color w:val="auto"/>
          <w:sz w:val="44"/>
          <w:szCs w:val="44"/>
          <w:highlight w:val="none"/>
        </w:rPr>
      </w:pPr>
      <w:r>
        <w:rPr>
          <w:rFonts w:hint="eastAsia" w:ascii="宋体" w:hAnsi="宋体" w:cs="宋体"/>
          <w:bCs/>
          <w:color w:val="auto"/>
          <w:sz w:val="44"/>
          <w:szCs w:val="44"/>
          <w:highlight w:val="none"/>
        </w:rPr>
        <w:br w:type="page"/>
      </w:r>
    </w:p>
    <w:p>
      <w:pPr>
        <w:ind w:firstLine="0" w:firstLineChars="0"/>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附件1</w:t>
      </w:r>
    </w:p>
    <w:p>
      <w:pPr>
        <w:jc w:val="center"/>
        <w:rPr>
          <w:b/>
          <w:color w:val="auto"/>
          <w:sz w:val="32"/>
          <w:szCs w:val="32"/>
          <w:highlight w:val="none"/>
        </w:rPr>
      </w:pPr>
      <w:r>
        <w:rPr>
          <w:b/>
          <w:color w:val="auto"/>
          <w:sz w:val="32"/>
          <w:szCs w:val="32"/>
          <w:highlight w:val="none"/>
        </w:rPr>
        <w:t>华庄街道安置房小区</w:t>
      </w:r>
      <w:r>
        <w:rPr>
          <w:rFonts w:hint="eastAsia"/>
          <w:b/>
          <w:color w:val="auto"/>
          <w:sz w:val="32"/>
          <w:szCs w:val="32"/>
          <w:highlight w:val="none"/>
        </w:rPr>
        <w:t>垃圾分类管理工作</w:t>
      </w:r>
      <w:r>
        <w:rPr>
          <w:b/>
          <w:color w:val="auto"/>
          <w:sz w:val="32"/>
          <w:szCs w:val="32"/>
          <w:highlight w:val="none"/>
        </w:rPr>
        <w:t>考核办法</w:t>
      </w:r>
    </w:p>
    <w:p>
      <w:pPr>
        <w:spacing w:line="360" w:lineRule="auto"/>
        <w:ind w:firstLine="480" w:firstLineChars="200"/>
        <w:rPr>
          <w:color w:val="auto"/>
          <w:sz w:val="24"/>
          <w:szCs w:val="24"/>
          <w:highlight w:val="none"/>
        </w:rPr>
      </w:pPr>
      <w:r>
        <w:rPr>
          <w:color w:val="auto"/>
          <w:sz w:val="24"/>
          <w:szCs w:val="24"/>
          <w:highlight w:val="none"/>
        </w:rPr>
        <w:t>为加强街道安置房小区</w:t>
      </w:r>
      <w:r>
        <w:rPr>
          <w:rFonts w:hint="eastAsia"/>
          <w:color w:val="auto"/>
          <w:sz w:val="24"/>
          <w:szCs w:val="24"/>
          <w:highlight w:val="none"/>
        </w:rPr>
        <w:t>垃圾分类监管</w:t>
      </w:r>
      <w:r>
        <w:rPr>
          <w:color w:val="auto"/>
          <w:sz w:val="24"/>
          <w:szCs w:val="24"/>
          <w:highlight w:val="none"/>
        </w:rPr>
        <w:t>，推动安置房小区</w:t>
      </w:r>
      <w:r>
        <w:rPr>
          <w:rFonts w:hint="eastAsia"/>
          <w:color w:val="auto"/>
          <w:sz w:val="24"/>
          <w:szCs w:val="24"/>
          <w:highlight w:val="none"/>
        </w:rPr>
        <w:t>垃圾分类</w:t>
      </w:r>
      <w:r>
        <w:rPr>
          <w:color w:val="auto"/>
          <w:sz w:val="24"/>
          <w:szCs w:val="24"/>
          <w:highlight w:val="none"/>
        </w:rPr>
        <w:t>标准化、规范化、长效化，营造安置房小区整洁、有序、安全、和谐的居住环境，全面提</w:t>
      </w:r>
      <w:r>
        <w:rPr>
          <w:rFonts w:hint="eastAsia"/>
          <w:color w:val="auto"/>
          <w:sz w:val="24"/>
          <w:szCs w:val="24"/>
          <w:highlight w:val="none"/>
        </w:rPr>
        <w:t>升</w:t>
      </w:r>
      <w:r>
        <w:rPr>
          <w:color w:val="auto"/>
          <w:sz w:val="24"/>
          <w:szCs w:val="24"/>
          <w:highlight w:val="none"/>
        </w:rPr>
        <w:t>安置房小区</w:t>
      </w:r>
      <w:r>
        <w:rPr>
          <w:rFonts w:hint="eastAsia"/>
          <w:color w:val="auto"/>
          <w:sz w:val="24"/>
          <w:szCs w:val="24"/>
          <w:highlight w:val="none"/>
        </w:rPr>
        <w:t>垃圾分类</w:t>
      </w:r>
      <w:r>
        <w:rPr>
          <w:color w:val="auto"/>
          <w:sz w:val="24"/>
          <w:szCs w:val="24"/>
          <w:highlight w:val="none"/>
        </w:rPr>
        <w:t>实效，根据</w:t>
      </w:r>
      <w:r>
        <w:rPr>
          <w:rFonts w:hint="eastAsia" w:ascii="Times New Roman" w:hAnsi="Times New Roman" w:eastAsia="方正仿宋_GBK" w:cs="方正仿宋_GBK"/>
          <w:color w:val="auto"/>
          <w:sz w:val="24"/>
          <w:szCs w:val="24"/>
          <w:highlight w:val="none"/>
        </w:rPr>
        <w:t>《</w:t>
      </w:r>
      <w:r>
        <w:rPr>
          <w:rFonts w:hint="eastAsia"/>
          <w:color w:val="auto"/>
          <w:sz w:val="24"/>
          <w:szCs w:val="24"/>
          <w:highlight w:val="none"/>
        </w:rPr>
        <w:t>关于在全国地级及以上城市全面开展生活垃圾分类工作的通知》（建城〔2019〕56号）和《关于贯彻&lt;无锡市生活垃圾分类管理条例&gt;稳步推进生活垃圾分类实施方案的通知》（锡政办发〔2019〕57号）等文件精神</w:t>
      </w:r>
      <w:r>
        <w:rPr>
          <w:color w:val="auto"/>
          <w:sz w:val="24"/>
          <w:szCs w:val="24"/>
          <w:highlight w:val="none"/>
        </w:rPr>
        <w:t xml:space="preserve">，结合街道实际，制定本办法。 </w:t>
      </w:r>
    </w:p>
    <w:p>
      <w:pPr>
        <w:spacing w:line="360" w:lineRule="auto"/>
        <w:ind w:firstLine="560"/>
        <w:rPr>
          <w:color w:val="auto"/>
          <w:sz w:val="24"/>
          <w:szCs w:val="24"/>
          <w:highlight w:val="none"/>
        </w:rPr>
      </w:pPr>
      <w:r>
        <w:rPr>
          <w:color w:val="auto"/>
          <w:sz w:val="24"/>
          <w:szCs w:val="24"/>
          <w:highlight w:val="none"/>
        </w:rPr>
        <w:t xml:space="preserve">一、适用范围 </w:t>
      </w:r>
    </w:p>
    <w:p>
      <w:pPr>
        <w:spacing w:line="360" w:lineRule="auto"/>
        <w:ind w:firstLine="560"/>
        <w:rPr>
          <w:color w:val="auto"/>
          <w:sz w:val="24"/>
          <w:szCs w:val="24"/>
          <w:highlight w:val="none"/>
        </w:rPr>
      </w:pPr>
      <w:r>
        <w:rPr>
          <w:color w:val="auto"/>
          <w:sz w:val="24"/>
          <w:szCs w:val="24"/>
          <w:highlight w:val="none"/>
        </w:rPr>
        <w:t>由华庄街道实行</w:t>
      </w:r>
      <w:r>
        <w:rPr>
          <w:rFonts w:hint="eastAsia"/>
          <w:color w:val="auto"/>
          <w:sz w:val="24"/>
          <w:szCs w:val="24"/>
          <w:highlight w:val="none"/>
        </w:rPr>
        <w:t>垃圾分类</w:t>
      </w:r>
      <w:r>
        <w:rPr>
          <w:color w:val="auto"/>
          <w:sz w:val="24"/>
          <w:szCs w:val="24"/>
          <w:highlight w:val="none"/>
        </w:rPr>
        <w:t xml:space="preserve">市场化运作的安置房小区。 </w:t>
      </w:r>
    </w:p>
    <w:p>
      <w:pPr>
        <w:spacing w:line="360" w:lineRule="auto"/>
        <w:ind w:firstLine="560"/>
        <w:rPr>
          <w:color w:val="auto"/>
          <w:sz w:val="24"/>
          <w:szCs w:val="24"/>
          <w:highlight w:val="none"/>
        </w:rPr>
      </w:pPr>
      <w:r>
        <w:rPr>
          <w:color w:val="auto"/>
          <w:sz w:val="24"/>
          <w:szCs w:val="24"/>
          <w:highlight w:val="none"/>
        </w:rPr>
        <w:t xml:space="preserve">二、组织实施 </w:t>
      </w:r>
    </w:p>
    <w:p>
      <w:pPr>
        <w:spacing w:line="360" w:lineRule="auto"/>
        <w:ind w:firstLine="560"/>
        <w:rPr>
          <w:color w:val="auto"/>
          <w:sz w:val="24"/>
          <w:szCs w:val="24"/>
          <w:highlight w:val="none"/>
        </w:rPr>
      </w:pPr>
      <w:r>
        <w:rPr>
          <w:color w:val="auto"/>
          <w:sz w:val="24"/>
          <w:szCs w:val="24"/>
          <w:highlight w:val="none"/>
        </w:rPr>
        <w:t>成立华庄街道垃圾分类考核领导小组，由街道分管领导担任组长，</w:t>
      </w:r>
      <w:r>
        <w:rPr>
          <w:rFonts w:hint="eastAsia"/>
          <w:color w:val="auto"/>
          <w:sz w:val="24"/>
          <w:szCs w:val="24"/>
          <w:highlight w:val="none"/>
        </w:rPr>
        <w:t>物管</w:t>
      </w:r>
      <w:r>
        <w:rPr>
          <w:color w:val="auto"/>
          <w:sz w:val="24"/>
          <w:szCs w:val="24"/>
          <w:highlight w:val="none"/>
        </w:rPr>
        <w:t>科、环卫所负责人担任副组长，</w:t>
      </w:r>
      <w:r>
        <w:rPr>
          <w:rFonts w:hint="eastAsia"/>
          <w:color w:val="auto"/>
          <w:sz w:val="24"/>
          <w:szCs w:val="24"/>
          <w:highlight w:val="none"/>
        </w:rPr>
        <w:t>物管</w:t>
      </w:r>
      <w:r>
        <w:rPr>
          <w:color w:val="auto"/>
          <w:sz w:val="24"/>
          <w:szCs w:val="24"/>
          <w:highlight w:val="none"/>
        </w:rPr>
        <w:t>科、城市管理科、环卫所等相关单位工作人员为小组组员。社区成立垃圾分类考核小组，由社区负责人（社区书记或工作站站长）担任组长，社区相关工作人员为组员。</w:t>
      </w:r>
    </w:p>
    <w:p>
      <w:pPr>
        <w:spacing w:line="360" w:lineRule="auto"/>
        <w:ind w:firstLine="560"/>
        <w:rPr>
          <w:color w:val="auto"/>
          <w:sz w:val="24"/>
          <w:szCs w:val="24"/>
          <w:highlight w:val="none"/>
        </w:rPr>
      </w:pPr>
      <w:r>
        <w:rPr>
          <w:color w:val="auto"/>
          <w:sz w:val="24"/>
          <w:szCs w:val="24"/>
          <w:highlight w:val="none"/>
        </w:rPr>
        <w:t xml:space="preserve"> 根据《华庄街道垃圾分类考核表》（见附件）要求，街道</w:t>
      </w:r>
      <w:r>
        <w:rPr>
          <w:rFonts w:hint="eastAsia"/>
          <w:color w:val="auto"/>
          <w:sz w:val="24"/>
          <w:szCs w:val="24"/>
          <w:highlight w:val="none"/>
        </w:rPr>
        <w:t>物管</w:t>
      </w:r>
      <w:r>
        <w:rPr>
          <w:color w:val="auto"/>
          <w:sz w:val="24"/>
          <w:szCs w:val="24"/>
          <w:highlight w:val="none"/>
        </w:rPr>
        <w:t>科、环卫所负责季度考核，属地社区负责月度考核，物管科、环卫所和社区要做好工作对接，确保考核顺利进行。每次考核完毕，考核小组成员要在评分表上签字确认（扣分之处拍照留档），评分表由街道</w:t>
      </w:r>
      <w:r>
        <w:rPr>
          <w:rFonts w:hint="eastAsia"/>
          <w:color w:val="auto"/>
          <w:sz w:val="24"/>
          <w:szCs w:val="24"/>
          <w:highlight w:val="none"/>
        </w:rPr>
        <w:t>环卫所</w:t>
      </w:r>
      <w:r>
        <w:rPr>
          <w:color w:val="auto"/>
          <w:sz w:val="24"/>
          <w:szCs w:val="24"/>
          <w:highlight w:val="none"/>
        </w:rPr>
        <w:t>负责汇总和存档，并将考核情况及时通告第三方</w:t>
      </w:r>
      <w:r>
        <w:rPr>
          <w:rFonts w:hint="eastAsia"/>
          <w:color w:val="auto"/>
          <w:sz w:val="24"/>
          <w:szCs w:val="24"/>
          <w:highlight w:val="none"/>
        </w:rPr>
        <w:t>公司</w:t>
      </w:r>
      <w:r>
        <w:rPr>
          <w:color w:val="auto"/>
          <w:sz w:val="24"/>
          <w:szCs w:val="24"/>
          <w:highlight w:val="none"/>
        </w:rPr>
        <w:t>，对存在问题督促其立即整改。</w:t>
      </w:r>
    </w:p>
    <w:p>
      <w:pPr>
        <w:spacing w:line="360" w:lineRule="auto"/>
        <w:ind w:firstLine="560"/>
        <w:rPr>
          <w:color w:val="auto"/>
          <w:sz w:val="24"/>
          <w:szCs w:val="24"/>
          <w:highlight w:val="none"/>
        </w:rPr>
      </w:pPr>
      <w:r>
        <w:rPr>
          <w:color w:val="auto"/>
          <w:sz w:val="24"/>
          <w:szCs w:val="24"/>
          <w:highlight w:val="none"/>
        </w:rPr>
        <w:t xml:space="preserve"> 三、考核内容 </w:t>
      </w:r>
    </w:p>
    <w:p>
      <w:pPr>
        <w:spacing w:line="360" w:lineRule="auto"/>
        <w:ind w:firstLine="560"/>
        <w:rPr>
          <w:color w:val="auto"/>
          <w:sz w:val="24"/>
          <w:szCs w:val="24"/>
          <w:highlight w:val="none"/>
        </w:rPr>
      </w:pPr>
      <w:r>
        <w:rPr>
          <w:color w:val="auto"/>
          <w:sz w:val="24"/>
          <w:szCs w:val="24"/>
          <w:highlight w:val="none"/>
        </w:rPr>
        <w:t>考核小组按照《华庄街道垃圾分类考核表》要求，</w:t>
      </w:r>
      <w:r>
        <w:rPr>
          <w:rFonts w:hint="eastAsia"/>
          <w:color w:val="auto"/>
          <w:sz w:val="24"/>
          <w:szCs w:val="24"/>
          <w:highlight w:val="none"/>
        </w:rPr>
        <w:t>主要围绕机构建设、基础台账、宣传教育等基础工作，以及分类投放、分类收运、分类处置等情况进行考核。</w:t>
      </w:r>
    </w:p>
    <w:p>
      <w:pPr>
        <w:spacing w:line="360" w:lineRule="auto"/>
        <w:ind w:firstLine="560"/>
        <w:rPr>
          <w:color w:val="auto"/>
          <w:sz w:val="24"/>
          <w:szCs w:val="24"/>
          <w:highlight w:val="none"/>
        </w:rPr>
      </w:pPr>
      <w:r>
        <w:rPr>
          <w:color w:val="auto"/>
          <w:sz w:val="24"/>
          <w:szCs w:val="24"/>
          <w:highlight w:val="none"/>
        </w:rPr>
        <w:t xml:space="preserve"> 四、考核标准</w:t>
      </w:r>
    </w:p>
    <w:p>
      <w:pPr>
        <w:spacing w:line="360" w:lineRule="auto"/>
        <w:ind w:firstLine="560"/>
        <w:rPr>
          <w:color w:val="auto"/>
          <w:sz w:val="24"/>
          <w:szCs w:val="24"/>
          <w:highlight w:val="none"/>
        </w:rPr>
      </w:pPr>
      <w:r>
        <w:rPr>
          <w:color w:val="auto"/>
          <w:sz w:val="24"/>
          <w:szCs w:val="24"/>
          <w:highlight w:val="none"/>
        </w:rPr>
        <w:t xml:space="preserve"> 1.月度考核 </w:t>
      </w:r>
    </w:p>
    <w:p>
      <w:pPr>
        <w:spacing w:line="360" w:lineRule="auto"/>
        <w:ind w:firstLine="560"/>
        <w:rPr>
          <w:color w:val="auto"/>
          <w:sz w:val="24"/>
          <w:szCs w:val="24"/>
          <w:highlight w:val="none"/>
        </w:rPr>
      </w:pPr>
      <w:r>
        <w:rPr>
          <w:color w:val="auto"/>
          <w:sz w:val="24"/>
          <w:szCs w:val="24"/>
          <w:highlight w:val="none"/>
        </w:rPr>
        <w:t xml:space="preserve">（1）月度考核费用占比：月度考核评分占当月垃圾分类费的70%，全年考核汇总12次。 </w:t>
      </w:r>
    </w:p>
    <w:p>
      <w:pPr>
        <w:spacing w:line="360" w:lineRule="auto"/>
        <w:ind w:firstLine="560"/>
        <w:rPr>
          <w:color w:val="auto"/>
          <w:sz w:val="24"/>
          <w:szCs w:val="24"/>
          <w:highlight w:val="none"/>
        </w:rPr>
      </w:pPr>
      <w:r>
        <w:rPr>
          <w:color w:val="auto"/>
          <w:sz w:val="24"/>
          <w:szCs w:val="24"/>
          <w:highlight w:val="none"/>
        </w:rPr>
        <w:t>（2）月度费用结算：实行100分制，如当月考核得分超过 90分（含），不扣</w:t>
      </w:r>
      <w:r>
        <w:rPr>
          <w:rFonts w:hint="eastAsia"/>
          <w:color w:val="auto"/>
          <w:sz w:val="24"/>
          <w:szCs w:val="24"/>
          <w:highlight w:val="none"/>
        </w:rPr>
        <w:t>垃圾分类</w:t>
      </w:r>
      <w:r>
        <w:rPr>
          <w:color w:val="auto"/>
          <w:sz w:val="24"/>
          <w:szCs w:val="24"/>
          <w:highlight w:val="none"/>
        </w:rPr>
        <w:t xml:space="preserve">费用；如得分低于90分（不含），每低1 分扣月度考核费用的1%；如得分低于80分（不含），先扣除当月月度管理费的10％，每低1分再扣除当月月度管理费的2％； 如得分低于70分（不含），先扣除当月月度管理费的30％，每低1分再扣除当月月度管理费的3％。 </w:t>
      </w:r>
    </w:p>
    <w:p>
      <w:pPr>
        <w:spacing w:line="360" w:lineRule="auto"/>
        <w:ind w:firstLine="560"/>
        <w:rPr>
          <w:color w:val="auto"/>
          <w:sz w:val="24"/>
          <w:szCs w:val="24"/>
          <w:highlight w:val="none"/>
        </w:rPr>
      </w:pPr>
      <w:r>
        <w:rPr>
          <w:color w:val="auto"/>
          <w:sz w:val="24"/>
          <w:szCs w:val="24"/>
          <w:highlight w:val="none"/>
        </w:rPr>
        <w:t xml:space="preserve">2.季度考核 </w:t>
      </w:r>
    </w:p>
    <w:p>
      <w:pPr>
        <w:spacing w:line="360" w:lineRule="auto"/>
        <w:ind w:firstLine="560"/>
        <w:rPr>
          <w:color w:val="auto"/>
          <w:sz w:val="24"/>
          <w:szCs w:val="24"/>
          <w:highlight w:val="none"/>
        </w:rPr>
      </w:pPr>
      <w:r>
        <w:rPr>
          <w:color w:val="auto"/>
          <w:sz w:val="24"/>
          <w:szCs w:val="24"/>
          <w:highlight w:val="none"/>
        </w:rPr>
        <w:t>（1）季度考核费用占比：季度检查考核评分占季度</w:t>
      </w:r>
      <w:r>
        <w:rPr>
          <w:rFonts w:hint="eastAsia"/>
          <w:color w:val="auto"/>
          <w:sz w:val="24"/>
          <w:szCs w:val="24"/>
          <w:highlight w:val="none"/>
        </w:rPr>
        <w:t>垃圾分类</w:t>
      </w:r>
      <w:r>
        <w:rPr>
          <w:color w:val="auto"/>
          <w:sz w:val="24"/>
          <w:szCs w:val="24"/>
          <w:highlight w:val="none"/>
        </w:rPr>
        <w:t xml:space="preserve">管 理费的30%，全年考核汇总4次。 </w:t>
      </w:r>
    </w:p>
    <w:p>
      <w:pPr>
        <w:spacing w:line="360" w:lineRule="auto"/>
        <w:ind w:firstLine="560"/>
        <w:rPr>
          <w:color w:val="auto"/>
          <w:sz w:val="24"/>
          <w:szCs w:val="24"/>
          <w:highlight w:val="none"/>
        </w:rPr>
      </w:pPr>
      <w:r>
        <w:rPr>
          <w:color w:val="auto"/>
          <w:sz w:val="24"/>
          <w:szCs w:val="24"/>
          <w:highlight w:val="none"/>
        </w:rPr>
        <w:t>（2）季度考核费用结算：实行100分制，季度考核得分超过90分，不扣费用；如得分低于90分，每低1分扣季度考核费用的1%。</w:t>
      </w:r>
    </w:p>
    <w:p>
      <w:pPr>
        <w:spacing w:line="360" w:lineRule="auto"/>
        <w:ind w:firstLine="560"/>
        <w:rPr>
          <w:color w:val="auto"/>
          <w:sz w:val="24"/>
          <w:szCs w:val="24"/>
          <w:highlight w:val="none"/>
        </w:rPr>
      </w:pPr>
      <w:r>
        <w:rPr>
          <w:color w:val="auto"/>
          <w:sz w:val="24"/>
          <w:szCs w:val="24"/>
          <w:highlight w:val="none"/>
        </w:rPr>
        <w:t xml:space="preserve"> 3.其他考核 </w:t>
      </w:r>
    </w:p>
    <w:p>
      <w:pPr>
        <w:spacing w:line="360" w:lineRule="auto"/>
        <w:ind w:firstLine="560"/>
        <w:rPr>
          <w:color w:val="auto"/>
          <w:sz w:val="24"/>
          <w:szCs w:val="24"/>
          <w:highlight w:val="none"/>
        </w:rPr>
      </w:pPr>
      <w:r>
        <w:rPr>
          <w:color w:val="auto"/>
          <w:sz w:val="24"/>
          <w:szCs w:val="24"/>
          <w:highlight w:val="none"/>
        </w:rPr>
        <w:t>相关专项检查通报（包括但不限于</w:t>
      </w:r>
      <w:r>
        <w:rPr>
          <w:rFonts w:hint="eastAsia"/>
          <w:color w:val="auto"/>
          <w:sz w:val="24"/>
          <w:szCs w:val="24"/>
          <w:highlight w:val="none"/>
        </w:rPr>
        <w:t>垃圾分类</w:t>
      </w:r>
      <w:r>
        <w:rPr>
          <w:color w:val="auto"/>
          <w:sz w:val="24"/>
          <w:szCs w:val="24"/>
          <w:highlight w:val="none"/>
        </w:rPr>
        <w:t>管理红黑榜、 文明城市创建工作督导情况等）奖惩：在文明城市创建、城市精细化管理等专项检查中，小区垃圾分类被市级及以上通报红榜一次，奖励</w:t>
      </w:r>
      <w:r>
        <w:rPr>
          <w:rFonts w:hint="eastAsia"/>
          <w:color w:val="auto"/>
          <w:sz w:val="24"/>
          <w:szCs w:val="24"/>
          <w:highlight w:val="none"/>
        </w:rPr>
        <w:t>2</w:t>
      </w:r>
      <w:r>
        <w:rPr>
          <w:color w:val="auto"/>
          <w:sz w:val="24"/>
          <w:szCs w:val="24"/>
          <w:highlight w:val="none"/>
        </w:rPr>
        <w:t>万元（在季度垃圾分类费中兑现）；被市级及以上通报黑榜或通报突出问题一次，在季度垃圾分类服务费中扣除</w:t>
      </w:r>
      <w:r>
        <w:rPr>
          <w:rFonts w:hint="eastAsia"/>
          <w:color w:val="auto"/>
          <w:sz w:val="24"/>
          <w:szCs w:val="24"/>
          <w:highlight w:val="none"/>
        </w:rPr>
        <w:t>2</w:t>
      </w:r>
      <w:r>
        <w:rPr>
          <w:color w:val="auto"/>
          <w:sz w:val="24"/>
          <w:szCs w:val="24"/>
          <w:highlight w:val="none"/>
        </w:rPr>
        <w:t>万元，被市级及以上通报黑榜或通报突出问题第二次的，在季度垃圾分类服务费中扣除</w:t>
      </w:r>
      <w:r>
        <w:rPr>
          <w:rFonts w:hint="eastAsia"/>
          <w:color w:val="auto"/>
          <w:sz w:val="24"/>
          <w:szCs w:val="24"/>
          <w:highlight w:val="none"/>
        </w:rPr>
        <w:t>5</w:t>
      </w:r>
      <w:r>
        <w:rPr>
          <w:color w:val="auto"/>
          <w:sz w:val="24"/>
          <w:szCs w:val="24"/>
          <w:highlight w:val="none"/>
        </w:rPr>
        <w:t>万元。</w:t>
      </w:r>
    </w:p>
    <w:p>
      <w:pPr>
        <w:spacing w:line="360" w:lineRule="auto"/>
        <w:ind w:firstLine="560"/>
        <w:rPr>
          <w:color w:val="auto"/>
          <w:sz w:val="24"/>
          <w:szCs w:val="24"/>
          <w:highlight w:val="none"/>
        </w:rPr>
      </w:pPr>
      <w:r>
        <w:rPr>
          <w:color w:val="auto"/>
          <w:sz w:val="24"/>
          <w:szCs w:val="24"/>
          <w:highlight w:val="none"/>
        </w:rPr>
        <w:t xml:space="preserve"> 各级督查通报中存在的问题在社区月度考核和季度考核中作为扣分依据。 </w:t>
      </w:r>
    </w:p>
    <w:p>
      <w:pPr>
        <w:spacing w:line="360" w:lineRule="auto"/>
        <w:ind w:firstLine="560"/>
        <w:rPr>
          <w:color w:val="auto"/>
          <w:sz w:val="24"/>
          <w:szCs w:val="24"/>
          <w:highlight w:val="none"/>
        </w:rPr>
      </w:pPr>
      <w:r>
        <w:rPr>
          <w:color w:val="auto"/>
          <w:sz w:val="24"/>
          <w:szCs w:val="24"/>
          <w:highlight w:val="none"/>
        </w:rPr>
        <w:t xml:space="preserve"> 4.合同解除</w:t>
      </w:r>
    </w:p>
    <w:p>
      <w:pPr>
        <w:spacing w:line="360" w:lineRule="auto"/>
        <w:ind w:firstLine="560"/>
        <w:rPr>
          <w:color w:val="auto"/>
          <w:sz w:val="24"/>
          <w:szCs w:val="24"/>
          <w:highlight w:val="none"/>
        </w:rPr>
      </w:pPr>
      <w:r>
        <w:rPr>
          <w:rFonts w:hint="eastAsia"/>
          <w:color w:val="auto"/>
          <w:sz w:val="24"/>
          <w:szCs w:val="24"/>
          <w:highlight w:val="none"/>
        </w:rPr>
        <w:t>垃圾分类</w:t>
      </w:r>
      <w:r>
        <w:rPr>
          <w:color w:val="auto"/>
          <w:sz w:val="24"/>
          <w:szCs w:val="24"/>
          <w:highlight w:val="none"/>
        </w:rPr>
        <w:t>服务企业出现以下情况的，采购人有权依法解除合同：</w:t>
      </w:r>
    </w:p>
    <w:p>
      <w:pPr>
        <w:spacing w:line="360" w:lineRule="auto"/>
        <w:ind w:firstLine="560"/>
        <w:rPr>
          <w:color w:val="auto"/>
          <w:sz w:val="24"/>
          <w:szCs w:val="24"/>
          <w:highlight w:val="none"/>
        </w:rPr>
      </w:pPr>
      <w:r>
        <w:rPr>
          <w:color w:val="auto"/>
          <w:sz w:val="24"/>
          <w:szCs w:val="24"/>
          <w:highlight w:val="none"/>
        </w:rPr>
        <w:t xml:space="preserve"> （1）未按合同（</w:t>
      </w:r>
      <w:r>
        <w:rPr>
          <w:rFonts w:hint="eastAsia" w:ascii="宋体" w:hAnsi="宋体" w:cs="宋体"/>
          <w:color w:val="auto"/>
          <w:sz w:val="24"/>
          <w:highlight w:val="none"/>
          <w:lang w:val="en-US" w:eastAsia="zh-CN"/>
        </w:rPr>
        <w:t>采购</w:t>
      </w:r>
      <w:r>
        <w:rPr>
          <w:color w:val="auto"/>
          <w:sz w:val="24"/>
          <w:szCs w:val="24"/>
          <w:highlight w:val="none"/>
        </w:rPr>
        <w:t xml:space="preserve">文件）要求配备人员的； </w:t>
      </w:r>
    </w:p>
    <w:p>
      <w:pPr>
        <w:spacing w:line="360" w:lineRule="auto"/>
        <w:ind w:firstLine="560"/>
        <w:rPr>
          <w:color w:val="auto"/>
          <w:sz w:val="24"/>
          <w:szCs w:val="24"/>
          <w:highlight w:val="none"/>
        </w:rPr>
      </w:pPr>
      <w:r>
        <w:rPr>
          <w:color w:val="auto"/>
          <w:sz w:val="24"/>
          <w:szCs w:val="24"/>
          <w:highlight w:val="none"/>
        </w:rPr>
        <w:t>（2）中标人违反合同（</w:t>
      </w:r>
      <w:r>
        <w:rPr>
          <w:rFonts w:hint="eastAsia" w:ascii="宋体" w:hAnsi="宋体" w:cs="宋体"/>
          <w:color w:val="auto"/>
          <w:sz w:val="24"/>
          <w:highlight w:val="none"/>
          <w:lang w:val="en-US" w:eastAsia="zh-CN"/>
        </w:rPr>
        <w:t>采购</w:t>
      </w:r>
      <w:r>
        <w:rPr>
          <w:color w:val="auto"/>
          <w:sz w:val="24"/>
          <w:szCs w:val="24"/>
          <w:highlight w:val="none"/>
        </w:rPr>
        <w:t>文件）约定，未能达到双方约定的管理目标的；</w:t>
      </w:r>
    </w:p>
    <w:p>
      <w:pPr>
        <w:spacing w:line="360" w:lineRule="auto"/>
        <w:ind w:firstLine="560"/>
        <w:rPr>
          <w:color w:val="auto"/>
          <w:sz w:val="24"/>
          <w:szCs w:val="24"/>
          <w:highlight w:val="none"/>
        </w:rPr>
      </w:pPr>
      <w:r>
        <w:rPr>
          <w:color w:val="auto"/>
          <w:sz w:val="24"/>
          <w:szCs w:val="24"/>
          <w:highlight w:val="none"/>
        </w:rPr>
        <w:t xml:space="preserve"> （3）连续3个月或年度累计4个月考核低于70分（不含）的；</w:t>
      </w:r>
    </w:p>
    <w:p>
      <w:pPr>
        <w:spacing w:line="360" w:lineRule="auto"/>
        <w:ind w:firstLine="560"/>
        <w:rPr>
          <w:color w:val="auto"/>
          <w:sz w:val="24"/>
          <w:szCs w:val="24"/>
          <w:highlight w:val="none"/>
        </w:rPr>
      </w:pPr>
      <w:r>
        <w:rPr>
          <w:color w:val="auto"/>
          <w:sz w:val="24"/>
          <w:szCs w:val="24"/>
          <w:highlight w:val="none"/>
        </w:rPr>
        <w:t xml:space="preserve"> （4）近一年内被市级及以上通报黑榜两次的；</w:t>
      </w:r>
    </w:p>
    <w:p>
      <w:pPr>
        <w:spacing w:line="360" w:lineRule="auto"/>
        <w:ind w:firstLine="560"/>
        <w:rPr>
          <w:color w:val="auto"/>
          <w:sz w:val="24"/>
          <w:szCs w:val="24"/>
          <w:highlight w:val="none"/>
        </w:rPr>
      </w:pPr>
      <w:r>
        <w:rPr>
          <w:color w:val="auto"/>
          <w:sz w:val="24"/>
          <w:szCs w:val="24"/>
          <w:highlight w:val="none"/>
        </w:rPr>
        <w:t xml:space="preserve"> （5）有其他违反合同及</w:t>
      </w:r>
      <w:r>
        <w:rPr>
          <w:rFonts w:hint="eastAsia" w:ascii="宋体" w:hAnsi="宋体" w:cs="宋体"/>
          <w:color w:val="auto"/>
          <w:sz w:val="24"/>
          <w:highlight w:val="none"/>
          <w:lang w:val="en-US" w:eastAsia="zh-CN"/>
        </w:rPr>
        <w:t>采购</w:t>
      </w:r>
      <w:r>
        <w:rPr>
          <w:color w:val="auto"/>
          <w:sz w:val="24"/>
          <w:szCs w:val="24"/>
          <w:highlight w:val="none"/>
        </w:rPr>
        <w:t>文件的约定或法律法规规定情形经街道通知后逾期未改正的。</w:t>
      </w:r>
    </w:p>
    <w:p>
      <w:pPr>
        <w:spacing w:line="360" w:lineRule="auto"/>
        <w:ind w:firstLine="560"/>
        <w:rPr>
          <w:color w:val="auto"/>
          <w:sz w:val="24"/>
          <w:szCs w:val="24"/>
          <w:highlight w:val="none"/>
        </w:rPr>
      </w:pPr>
      <w:r>
        <w:rPr>
          <w:color w:val="auto"/>
          <w:sz w:val="24"/>
          <w:szCs w:val="24"/>
          <w:highlight w:val="none"/>
        </w:rPr>
        <w:t xml:space="preserve"> 五、工作要求 </w:t>
      </w:r>
    </w:p>
    <w:p>
      <w:pPr>
        <w:spacing w:line="360" w:lineRule="auto"/>
        <w:ind w:firstLine="560"/>
        <w:rPr>
          <w:color w:val="auto"/>
          <w:sz w:val="24"/>
          <w:szCs w:val="24"/>
          <w:highlight w:val="none"/>
        </w:rPr>
      </w:pPr>
      <w:r>
        <w:rPr>
          <w:color w:val="auto"/>
          <w:sz w:val="24"/>
          <w:szCs w:val="24"/>
          <w:highlight w:val="none"/>
        </w:rPr>
        <w:t xml:space="preserve">（一）强化责任意识 </w:t>
      </w:r>
    </w:p>
    <w:p>
      <w:pPr>
        <w:spacing w:line="360" w:lineRule="auto"/>
        <w:ind w:firstLine="560"/>
        <w:rPr>
          <w:color w:val="auto"/>
          <w:sz w:val="24"/>
          <w:szCs w:val="24"/>
          <w:highlight w:val="none"/>
        </w:rPr>
      </w:pPr>
      <w:r>
        <w:rPr>
          <w:color w:val="auto"/>
          <w:sz w:val="24"/>
          <w:szCs w:val="24"/>
          <w:highlight w:val="none"/>
        </w:rPr>
        <w:t>小区垃圾分类是人民群众始终关心的重点民生问题，</w:t>
      </w:r>
      <w:r>
        <w:rPr>
          <w:rFonts w:hint="eastAsia"/>
          <w:color w:val="auto"/>
          <w:sz w:val="24"/>
          <w:szCs w:val="24"/>
          <w:highlight w:val="none"/>
        </w:rPr>
        <w:t>垃圾分类</w:t>
      </w:r>
      <w:r>
        <w:rPr>
          <w:color w:val="auto"/>
          <w:sz w:val="24"/>
          <w:szCs w:val="24"/>
          <w:highlight w:val="none"/>
        </w:rPr>
        <w:t>管理的质量水平直接关系到人民群众的获得感和幸福感。各相关社区、相关部门要切实强化责任意识，牢固树立考核导向，以考核为抓手促进垃圾分类质量不断提升。</w:t>
      </w:r>
    </w:p>
    <w:p>
      <w:pPr>
        <w:spacing w:line="360" w:lineRule="auto"/>
        <w:ind w:firstLine="560"/>
        <w:rPr>
          <w:color w:val="auto"/>
          <w:sz w:val="24"/>
          <w:szCs w:val="24"/>
          <w:highlight w:val="none"/>
        </w:rPr>
      </w:pPr>
      <w:r>
        <w:rPr>
          <w:color w:val="auto"/>
          <w:sz w:val="24"/>
          <w:szCs w:val="24"/>
          <w:highlight w:val="none"/>
        </w:rPr>
        <w:t xml:space="preserve"> （二）加强监督检查 </w:t>
      </w:r>
    </w:p>
    <w:p>
      <w:pPr>
        <w:spacing w:line="360" w:lineRule="auto"/>
        <w:ind w:firstLine="560"/>
        <w:rPr>
          <w:color w:val="auto"/>
          <w:sz w:val="24"/>
          <w:szCs w:val="24"/>
          <w:highlight w:val="none"/>
        </w:rPr>
      </w:pPr>
      <w:r>
        <w:rPr>
          <w:color w:val="auto"/>
          <w:sz w:val="24"/>
          <w:szCs w:val="24"/>
          <w:highlight w:val="none"/>
        </w:rPr>
        <w:t>社区具体负责对</w:t>
      </w:r>
      <w:r>
        <w:rPr>
          <w:rFonts w:hint="eastAsia"/>
          <w:color w:val="auto"/>
          <w:sz w:val="24"/>
          <w:szCs w:val="24"/>
          <w:highlight w:val="none"/>
        </w:rPr>
        <w:t>垃圾分类</w:t>
      </w:r>
      <w:r>
        <w:rPr>
          <w:color w:val="auto"/>
          <w:sz w:val="24"/>
          <w:szCs w:val="24"/>
          <w:highlight w:val="none"/>
        </w:rPr>
        <w:t>第三方公司日常管理的监督检查和考核，要按照“两巡查一汇总”工作要求，及时发现和处置垃圾分类工作中存在的问题，对查出的问题现场开具《检查反馈整改单》， 由垃圾分类项目负责人签字确认，并督促</w:t>
      </w:r>
      <w:r>
        <w:rPr>
          <w:rFonts w:hint="eastAsia"/>
          <w:color w:val="auto"/>
          <w:sz w:val="24"/>
          <w:szCs w:val="24"/>
          <w:highlight w:val="none"/>
        </w:rPr>
        <w:t>第三方</w:t>
      </w:r>
      <w:r>
        <w:rPr>
          <w:color w:val="auto"/>
          <w:sz w:val="24"/>
          <w:szCs w:val="24"/>
          <w:highlight w:val="none"/>
        </w:rPr>
        <w:t>公司按要求完成整改，形成闭环。各社区要认真做好月度垃圾分类考核工作，社区月度考核工作原则上应在当月下旬完成，并将考核结果报街道</w:t>
      </w:r>
      <w:r>
        <w:rPr>
          <w:rFonts w:hint="eastAsia"/>
          <w:color w:val="auto"/>
          <w:sz w:val="24"/>
          <w:szCs w:val="24"/>
          <w:highlight w:val="none"/>
        </w:rPr>
        <w:t>物管</w:t>
      </w:r>
      <w:r>
        <w:rPr>
          <w:color w:val="auto"/>
          <w:sz w:val="24"/>
          <w:szCs w:val="24"/>
          <w:highlight w:val="none"/>
        </w:rPr>
        <w:t xml:space="preserve">科、环卫所。同时，各社区要做好日常监督检查和月度考核台账。 </w:t>
      </w:r>
      <w:r>
        <w:rPr>
          <w:rFonts w:hint="eastAsia"/>
          <w:color w:val="auto"/>
          <w:sz w:val="24"/>
          <w:szCs w:val="24"/>
          <w:highlight w:val="none"/>
        </w:rPr>
        <w:t>物管</w:t>
      </w:r>
      <w:r>
        <w:rPr>
          <w:color w:val="auto"/>
          <w:sz w:val="24"/>
          <w:szCs w:val="24"/>
          <w:highlight w:val="none"/>
        </w:rPr>
        <w:t>科、环卫所要对社区垃圾分类工作监管质效进行监督考核，加大行业监管力度，。要认真做好季度考核工作，对查出的问题现场开具《检查反馈整改单》，由垃圾分类项目负责人签字确认，并督促物业公司按要求完成整改，形成闭环。季度考核工作原则上应在每季度第三个月下旬完成。</w:t>
      </w:r>
      <w:r>
        <w:rPr>
          <w:rFonts w:hint="eastAsia"/>
          <w:color w:val="auto"/>
          <w:sz w:val="24"/>
          <w:szCs w:val="24"/>
          <w:highlight w:val="none"/>
        </w:rPr>
        <w:t>环卫所</w:t>
      </w:r>
      <w:r>
        <w:rPr>
          <w:color w:val="auto"/>
          <w:sz w:val="24"/>
          <w:szCs w:val="24"/>
          <w:highlight w:val="none"/>
        </w:rPr>
        <w:t xml:space="preserve">要做好各类考核资料的归档工作。 </w:t>
      </w:r>
    </w:p>
    <w:p>
      <w:pPr>
        <w:spacing w:line="360" w:lineRule="auto"/>
        <w:ind w:firstLine="560"/>
        <w:rPr>
          <w:color w:val="auto"/>
          <w:sz w:val="24"/>
          <w:szCs w:val="24"/>
          <w:highlight w:val="none"/>
        </w:rPr>
      </w:pPr>
      <w:r>
        <w:rPr>
          <w:color w:val="auto"/>
          <w:sz w:val="24"/>
          <w:szCs w:val="24"/>
          <w:highlight w:val="none"/>
        </w:rPr>
        <w:t xml:space="preserve">（三）严格考核标准 </w:t>
      </w:r>
    </w:p>
    <w:p>
      <w:pPr>
        <w:spacing w:line="360" w:lineRule="auto"/>
        <w:ind w:firstLine="560"/>
        <w:rPr>
          <w:color w:val="auto"/>
          <w:sz w:val="24"/>
          <w:szCs w:val="24"/>
          <w:highlight w:val="none"/>
        </w:rPr>
      </w:pPr>
      <w:r>
        <w:rPr>
          <w:color w:val="auto"/>
          <w:sz w:val="24"/>
          <w:szCs w:val="24"/>
          <w:highlight w:val="none"/>
        </w:rPr>
        <w:t>考核人员要坚持客观公正、一视同仁的基本原则，统一评价标准，做到实事求是、依据充分，确保考核如实反映</w:t>
      </w:r>
      <w:r>
        <w:rPr>
          <w:rFonts w:hint="eastAsia"/>
          <w:color w:val="auto"/>
          <w:sz w:val="24"/>
          <w:szCs w:val="24"/>
          <w:highlight w:val="none"/>
        </w:rPr>
        <w:t>垃圾分类</w:t>
      </w:r>
      <w:r>
        <w:rPr>
          <w:color w:val="auto"/>
          <w:sz w:val="24"/>
          <w:szCs w:val="24"/>
          <w:highlight w:val="none"/>
        </w:rPr>
        <w:t xml:space="preserve">管理的质量水平，同时做到相互提醒和监督，如发生徇私舞弊、私自篡改考核结果等问题的，街道将严肃追究当事人的相关责任。 </w:t>
      </w:r>
    </w:p>
    <w:p>
      <w:pPr>
        <w:spacing w:line="360" w:lineRule="auto"/>
        <w:ind w:firstLine="560"/>
        <w:rPr>
          <w:color w:val="auto"/>
          <w:sz w:val="24"/>
          <w:szCs w:val="24"/>
          <w:highlight w:val="none"/>
        </w:rPr>
      </w:pPr>
      <w:r>
        <w:rPr>
          <w:color w:val="auto"/>
          <w:sz w:val="24"/>
          <w:szCs w:val="24"/>
          <w:highlight w:val="none"/>
        </w:rPr>
        <w:t xml:space="preserve">（四）加大问责力度 </w:t>
      </w:r>
    </w:p>
    <w:p>
      <w:pPr>
        <w:spacing w:line="360" w:lineRule="auto"/>
        <w:ind w:firstLine="560"/>
        <w:rPr>
          <w:color w:val="auto"/>
          <w:sz w:val="24"/>
          <w:szCs w:val="24"/>
          <w:highlight w:val="none"/>
        </w:rPr>
      </w:pPr>
      <w:r>
        <w:rPr>
          <w:color w:val="auto"/>
          <w:sz w:val="24"/>
          <w:szCs w:val="24"/>
          <w:highlight w:val="none"/>
        </w:rPr>
        <w:t>近一年内被市级通报黑榜一次的社区，将视情对该社区主要负责人和相关责任人进行问责；近一年内被市级通报黑榜第二次的社区，将视情对该社区主要负责人和相关责任人进行党纪处分；近一年内被市级通报黑榜第三次的社区，对该社区主要负责人和相关责任人进行降职处理。</w:t>
      </w:r>
    </w:p>
    <w:p>
      <w:pPr>
        <w:spacing w:line="360" w:lineRule="auto"/>
        <w:ind w:firstLine="560"/>
        <w:rPr>
          <w:rFonts w:hint="default" w:eastAsia="宋体"/>
          <w:color w:val="auto"/>
          <w:sz w:val="28"/>
          <w:szCs w:val="28"/>
          <w:highlight w:val="none"/>
          <w:lang w:val="en-US" w:eastAsia="zh-CN"/>
        </w:rPr>
      </w:pPr>
      <w:r>
        <w:rPr>
          <w:color w:val="auto"/>
          <w:sz w:val="24"/>
          <w:szCs w:val="24"/>
          <w:highlight w:val="none"/>
        </w:rPr>
        <w:t>本实施办法由街道</w:t>
      </w:r>
      <w:r>
        <w:rPr>
          <w:rFonts w:hint="eastAsia"/>
          <w:color w:val="auto"/>
          <w:sz w:val="24"/>
          <w:szCs w:val="24"/>
          <w:highlight w:val="none"/>
        </w:rPr>
        <w:t>物管</w:t>
      </w:r>
      <w:r>
        <w:rPr>
          <w:color w:val="auto"/>
          <w:sz w:val="24"/>
          <w:szCs w:val="24"/>
          <w:highlight w:val="none"/>
        </w:rPr>
        <w:t>科、环卫所负责解释。</w:t>
      </w:r>
    </w:p>
    <w:p>
      <w:pPr>
        <w:ind w:firstLine="560"/>
        <w:jc w:val="left"/>
        <w:rPr>
          <w:rFonts w:hint="default" w:ascii="Times New Roman" w:hAnsi="Times New Roman" w:cs="Times New Roman"/>
          <w:bCs w:val="0"/>
          <w:color w:val="auto"/>
          <w:sz w:val="28"/>
          <w:szCs w:val="28"/>
          <w:highlight w:val="none"/>
        </w:rPr>
        <w:sectPr>
          <w:headerReference r:id="rId5" w:type="default"/>
          <w:footerReference r:id="rId6" w:type="default"/>
          <w:footerReference r:id="rId7" w:type="even"/>
          <w:pgSz w:w="11906" w:h="16838"/>
          <w:pgMar w:top="1213" w:right="1157" w:bottom="1213" w:left="1174" w:header="850" w:footer="992" w:gutter="0"/>
          <w:cols w:space="720" w:num="1"/>
          <w:docGrid w:linePitch="312" w:charSpace="0"/>
        </w:sectPr>
      </w:pPr>
      <w:r>
        <w:rPr>
          <w:rFonts w:hint="default" w:ascii="Times New Roman" w:hAnsi="Times New Roman" w:cs="Times New Roman"/>
          <w:bCs w:val="0"/>
          <w:color w:val="auto"/>
          <w:sz w:val="28"/>
          <w:szCs w:val="28"/>
          <w:highlight w:val="none"/>
        </w:rPr>
        <w:br w:type="page"/>
      </w:r>
    </w:p>
    <w:p>
      <w:pPr>
        <w:jc w:val="left"/>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附件2</w:t>
      </w:r>
    </w:p>
    <w:p>
      <w:pPr>
        <w:jc w:val="center"/>
        <w:rPr>
          <w:rFonts w:ascii="Times New Roman" w:hAnsi="Times New Roman" w:eastAsia="方正小标宋_GBK"/>
          <w:bCs/>
          <w:color w:val="auto"/>
          <w:sz w:val="44"/>
          <w:szCs w:val="44"/>
          <w:highlight w:val="none"/>
        </w:rPr>
      </w:pPr>
      <w:r>
        <w:rPr>
          <w:rFonts w:ascii="Times New Roman" w:hAnsi="Times New Roman" w:eastAsia="方正小标宋_GBK"/>
          <w:bCs/>
          <w:color w:val="auto"/>
          <w:sz w:val="44"/>
          <w:szCs w:val="44"/>
          <w:highlight w:val="none"/>
        </w:rPr>
        <w:t>华庄街道垃圾分类考核表</w:t>
      </w:r>
    </w:p>
    <w:p>
      <w:pPr>
        <w:pStyle w:val="2"/>
        <w:rPr>
          <w:rFonts w:ascii="Times New Roman" w:hAnsi="Times New Roman"/>
          <w:color w:val="auto"/>
          <w:highlight w:val="none"/>
        </w:rPr>
      </w:pPr>
    </w:p>
    <w:tbl>
      <w:tblPr>
        <w:tblStyle w:val="67"/>
        <w:tblW w:w="1492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94"/>
        <w:gridCol w:w="1237"/>
        <w:gridCol w:w="4814"/>
        <w:gridCol w:w="5139"/>
        <w:gridCol w:w="1020"/>
        <w:gridCol w:w="615"/>
        <w:gridCol w:w="100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1" w:hRule="atLeast"/>
          <w:jc w:val="center"/>
        </w:trPr>
        <w:tc>
          <w:tcPr>
            <w:tcW w:w="1094" w:type="dxa"/>
            <w:tcBorders>
              <w:bottom w:val="nil"/>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考核项目</w:t>
            </w:r>
          </w:p>
        </w:tc>
        <w:tc>
          <w:tcPr>
            <w:tcW w:w="1237" w:type="dxa"/>
            <w:tcBorders>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考核指标</w:t>
            </w:r>
          </w:p>
        </w:tc>
        <w:tc>
          <w:tcPr>
            <w:tcW w:w="4814" w:type="dxa"/>
            <w:tcBorders>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exact"/>
              <w:jc w:val="center"/>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b/>
                <w:color w:val="auto"/>
                <w:sz w:val="18"/>
                <w:szCs w:val="18"/>
                <w:highlight w:val="none"/>
              </w:rPr>
              <w:t>评分内容</w:t>
            </w:r>
          </w:p>
        </w:tc>
        <w:tc>
          <w:tcPr>
            <w:tcW w:w="5139" w:type="dxa"/>
            <w:tcBorders>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exact"/>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评分细则</w:t>
            </w:r>
          </w:p>
        </w:tc>
        <w:tc>
          <w:tcPr>
            <w:tcW w:w="1020" w:type="dxa"/>
            <w:tcBorders>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exact"/>
              <w:jc w:val="center"/>
              <w:rPr>
                <w:rFonts w:ascii="Times New Roman" w:hAnsi="Times New Roman" w:eastAsia="方正仿宋_GBK" w:cs="宋体"/>
                <w:color w:val="auto"/>
                <w:sz w:val="18"/>
                <w:szCs w:val="18"/>
                <w:highlight w:val="none"/>
              </w:rPr>
            </w:pPr>
            <w:r>
              <w:rPr>
                <w:rFonts w:hint="eastAsia" w:ascii="Times New Roman" w:hAnsi="Times New Roman" w:eastAsia="方正仿宋_GBK" w:cs="宋体"/>
                <w:b/>
                <w:bCs/>
                <w:color w:val="auto"/>
                <w:sz w:val="18"/>
                <w:szCs w:val="18"/>
                <w:highlight w:val="none"/>
              </w:rPr>
              <w:t>评估方式</w:t>
            </w:r>
          </w:p>
        </w:tc>
        <w:tc>
          <w:tcPr>
            <w:tcW w:w="615" w:type="dxa"/>
            <w:tcBorders>
              <w:left w:val="single" w:color="000000" w:sz="4" w:space="0"/>
              <w:bottom w:val="nil"/>
            </w:tcBorders>
            <w:shd w:val="clear" w:color="auto" w:fill="FFFFFF"/>
            <w:tcMar>
              <w:top w:w="15" w:type="dxa"/>
              <w:left w:w="15" w:type="dxa"/>
              <w:right w:w="15" w:type="dxa"/>
            </w:tcMar>
            <w:vAlign w:val="center"/>
          </w:tcPr>
          <w:p>
            <w:pPr>
              <w:spacing w:line="240" w:lineRule="exact"/>
              <w:jc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得分</w:t>
            </w:r>
          </w:p>
        </w:tc>
        <w:tc>
          <w:tcPr>
            <w:tcW w:w="1002" w:type="dxa"/>
            <w:tcBorders>
              <w:left w:val="single" w:color="000000" w:sz="4" w:space="0"/>
              <w:bottom w:val="nil"/>
            </w:tcBorders>
            <w:shd w:val="clear" w:color="auto" w:fill="FFFFFF"/>
            <w:tcMar>
              <w:top w:w="15" w:type="dxa"/>
              <w:left w:w="15" w:type="dxa"/>
              <w:right w:w="15" w:type="dxa"/>
            </w:tcMar>
            <w:vAlign w:val="center"/>
          </w:tcPr>
          <w:p>
            <w:pPr>
              <w:spacing w:line="240" w:lineRule="exact"/>
              <w:jc w:val="center"/>
              <w:rPr>
                <w:rFonts w:ascii="Times New Roman" w:hAnsi="Times New Roman" w:eastAsia="方正仿宋_GBK" w:cs="宋体"/>
                <w:color w:val="auto"/>
                <w:sz w:val="18"/>
                <w:szCs w:val="18"/>
                <w:highlight w:val="none"/>
              </w:rPr>
            </w:pPr>
            <w:r>
              <w:rPr>
                <w:rFonts w:hint="eastAsia" w:ascii="Times New Roman" w:hAnsi="Times New Roman" w:eastAsia="方正仿宋_GBK" w:cs="宋体"/>
                <w:b/>
                <w:color w:val="auto"/>
                <w:sz w:val="18"/>
                <w:szCs w:val="18"/>
                <w:highlight w:val="none"/>
              </w:rPr>
              <w:t>问题记录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9" w:hRule="atLeast"/>
          <w:jc w:val="center"/>
        </w:trPr>
        <w:tc>
          <w:tcPr>
            <w:tcW w:w="1094" w:type="dxa"/>
            <w:vMerge w:val="restart"/>
            <w:tcBorders>
              <w:top w:val="single" w:color="000000"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工作机制</w:t>
            </w:r>
          </w:p>
          <w:p>
            <w:pPr>
              <w:spacing w:line="240" w:lineRule="atLeast"/>
              <w:ind w:left="105" w:leftChars="50" w:right="105" w:rightChars="50"/>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（20分）</w:t>
            </w:r>
          </w:p>
        </w:tc>
        <w:tc>
          <w:tcPr>
            <w:tcW w:w="123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责任机制</w:t>
            </w:r>
          </w:p>
          <w:p>
            <w:pPr>
              <w:spacing w:line="240" w:lineRule="atLeast"/>
              <w:ind w:left="105" w:leftChars="50" w:right="105" w:rightChars="50"/>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（10分）</w:t>
            </w:r>
          </w:p>
        </w:tc>
        <w:tc>
          <w:tcPr>
            <w:tcW w:w="481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分类小区责任网络图张贴在醒目位置（2分）</w:t>
            </w:r>
          </w:p>
        </w:tc>
        <w:tc>
          <w:tcPr>
            <w:tcW w:w="5139" w:type="dxa"/>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无责任网络图，责任机制大项得0分</w:t>
            </w:r>
          </w:p>
        </w:tc>
        <w:tc>
          <w:tcPr>
            <w:tcW w:w="1020" w:type="dxa"/>
            <w:vMerge w:val="restart"/>
            <w:tcBorders>
              <w:top w:val="single" w:color="000000"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现场查看</w:t>
            </w:r>
          </w:p>
        </w:tc>
        <w:tc>
          <w:tcPr>
            <w:tcW w:w="615" w:type="dxa"/>
            <w:vMerge w:val="restart"/>
            <w:tcBorders>
              <w:top w:val="single" w:color="000000"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rPr>
                <w:rFonts w:ascii="Times New Roman" w:hAnsi="Times New Roman" w:eastAsia="方正仿宋_GBK" w:cs="宋体"/>
                <w:color w:val="auto"/>
                <w:sz w:val="18"/>
                <w:szCs w:val="18"/>
                <w:highlight w:val="none"/>
              </w:rPr>
            </w:pPr>
          </w:p>
        </w:tc>
        <w:tc>
          <w:tcPr>
            <w:tcW w:w="1002" w:type="dxa"/>
            <w:vMerge w:val="restart"/>
            <w:tcBorders>
              <w:top w:val="single" w:color="000000"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28" w:hRule="atLeast"/>
          <w:jc w:val="center"/>
        </w:trPr>
        <w:tc>
          <w:tcPr>
            <w:tcW w:w="1094" w:type="dxa"/>
            <w:vMerge w:val="continue"/>
            <w:tcBorders>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责任网络图中包含社区、物业（无物业管理小区不考核）、环卫公司（或环卫所）、分类指导员等人员（4分）</w:t>
            </w:r>
          </w:p>
        </w:tc>
        <w:tc>
          <w:tcPr>
            <w:tcW w:w="5139" w:type="dxa"/>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责任网络图中各相关责任人每缺一项扣1分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11" w:hRule="atLeast"/>
          <w:jc w:val="center"/>
        </w:trPr>
        <w:tc>
          <w:tcPr>
            <w:tcW w:w="1094" w:type="dxa"/>
            <w:vMerge w:val="continue"/>
            <w:tcBorders>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责任网络图中社区、物业（无物业管理小区不考核）、环卫公司（或环卫所）、分类指导员职责内容具体清晰合理（4分）</w:t>
            </w:r>
          </w:p>
        </w:tc>
        <w:tc>
          <w:tcPr>
            <w:tcW w:w="5139" w:type="dxa"/>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责任网络图中各相关责任人职责内容每缺一项扣1分</w:t>
            </w:r>
          </w:p>
        </w:tc>
        <w:tc>
          <w:tcPr>
            <w:tcW w:w="1020" w:type="dxa"/>
            <w:vMerge w:val="continue"/>
            <w:tcBorders>
              <w:left w:val="nil"/>
              <w:bottom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bottom w:val="nil"/>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bottom w:val="nil"/>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03" w:hRule="atLeast"/>
          <w:jc w:val="center"/>
        </w:trPr>
        <w:tc>
          <w:tcPr>
            <w:tcW w:w="1094" w:type="dxa"/>
            <w:vMerge w:val="continue"/>
            <w:tcBorders>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center"/>
              <w:rPr>
                <w:rFonts w:ascii="Times New Roman" w:hAnsi="Times New Roman" w:eastAsia="方正仿宋_GBK" w:cs="宋体"/>
                <w:b/>
                <w:color w:val="auto"/>
                <w:sz w:val="18"/>
                <w:szCs w:val="18"/>
                <w:highlight w:val="none"/>
              </w:rPr>
            </w:pPr>
          </w:p>
        </w:tc>
        <w:tc>
          <w:tcPr>
            <w:tcW w:w="1237" w:type="dxa"/>
            <w:tcBorders>
              <w:top w:val="single" w:color="000000" w:sz="4" w:space="0"/>
              <w:left w:val="single" w:color="000000"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专职人员</w:t>
            </w:r>
          </w:p>
          <w:p>
            <w:pPr>
              <w:spacing w:line="240" w:lineRule="atLeast"/>
              <w:ind w:left="105" w:leftChars="50" w:right="105" w:rightChars="50"/>
              <w:jc w:val="center"/>
              <w:textAlignment w:val="center"/>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（10分）</w:t>
            </w:r>
          </w:p>
        </w:tc>
        <w:tc>
          <w:tcPr>
            <w:tcW w:w="4814" w:type="dxa"/>
            <w:tcBorders>
              <w:top w:val="single" w:color="000000" w:sz="4" w:space="0"/>
              <w:left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分类小区成立指导员队伍并开展分类指导工作（10分）</w:t>
            </w:r>
          </w:p>
        </w:tc>
        <w:tc>
          <w:tcPr>
            <w:tcW w:w="5139" w:type="dxa"/>
            <w:tcBorders>
              <w:top w:val="single" w:color="000000"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小区每处分类收集点配置分类指导员，在投放时间内未见分类指导员的，每缺一人扣2分，扣完为止；全小区未配置分类指导员，得0分，对于超时开放分类收集点，如果无专职人员值守，按照3分/点位进行扣分</w:t>
            </w:r>
          </w:p>
        </w:tc>
        <w:tc>
          <w:tcPr>
            <w:tcW w:w="1020" w:type="dxa"/>
            <w:tcBorders>
              <w:top w:val="single" w:color="000000"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现场查看</w:t>
            </w:r>
          </w:p>
        </w:tc>
        <w:tc>
          <w:tcPr>
            <w:tcW w:w="615" w:type="dxa"/>
            <w:tcBorders>
              <w:top w:val="single" w:color="000000"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rPr>
                <w:rFonts w:ascii="Times New Roman" w:hAnsi="Times New Roman" w:eastAsia="方正仿宋_GBK" w:cs="宋体"/>
                <w:color w:val="auto"/>
                <w:sz w:val="18"/>
                <w:szCs w:val="18"/>
                <w:highlight w:val="none"/>
              </w:rPr>
            </w:pPr>
          </w:p>
        </w:tc>
        <w:tc>
          <w:tcPr>
            <w:tcW w:w="1002" w:type="dxa"/>
            <w:tcBorders>
              <w:top w:val="single" w:color="000000"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0" w:hRule="atLeast"/>
          <w:jc w:val="center"/>
        </w:trPr>
        <w:tc>
          <w:tcPr>
            <w:tcW w:w="1094" w:type="dxa"/>
            <w:vMerge w:val="restart"/>
            <w:tcBorders>
              <w:top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宣传教育</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（15分）</w:t>
            </w:r>
          </w:p>
        </w:tc>
        <w:tc>
          <w:tcPr>
            <w:tcW w:w="1237"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宣传活动</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（10分）</w:t>
            </w: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分类小区设有宣传员1人及以上（2分）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分类小区未设宣传员，得0分</w:t>
            </w:r>
          </w:p>
        </w:tc>
        <w:tc>
          <w:tcPr>
            <w:tcW w:w="1020" w:type="dxa"/>
            <w:vMerge w:val="restart"/>
            <w:tcBorders>
              <w:top w:val="single" w:color="auto"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调查问卷</w:t>
            </w:r>
          </w:p>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现场查看</w:t>
            </w:r>
          </w:p>
        </w:tc>
        <w:tc>
          <w:tcPr>
            <w:tcW w:w="615" w:type="dxa"/>
            <w:vMerge w:val="restart"/>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restart"/>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55"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设置1处以上的垃圾分类宣传栏，宣传垃圾分类知识，包含公示小区情况、分类种类、分类收集点布局、投放时间、分类收运方式、投诉举报等垃圾分类信息（3分）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宣传栏内容每缺失一项，扣0.5分；未设置垃圾分类宣传栏，得0分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bottom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0"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合理制定宣传计划，通过广场活动、入户宣传、新媒体渠道等多种宣传途径开展生活垃圾分类宣传引导（5分）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合理制定本年度垃圾分类宣传计划，及时更新完成情况，完整清晰记录宣传开展情况和内容，得1分。</w:t>
            </w:r>
          </w:p>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开展小区入户宣传，内容包含垃圾分类信息、投放知识、投放位置、普法教育等，记录完整工作台账，得2分。</w:t>
            </w:r>
          </w:p>
          <w:p>
            <w:pPr>
              <w:spacing w:line="240" w:lineRule="atLeast"/>
              <w:ind w:left="105" w:leftChars="50" w:right="105" w:rightChars="50"/>
              <w:textAlignment w:val="top"/>
              <w:rPr>
                <w:rFonts w:ascii="Times New Roman" w:hAnsi="Times New Roman" w:eastAsia="方正仿宋_GBK" w:cs="宋体"/>
                <w:color w:val="auto"/>
                <w:kern w:val="0"/>
                <w:sz w:val="18"/>
                <w:szCs w:val="18"/>
                <w:highlight w:val="none"/>
              </w:rPr>
            </w:pPr>
            <w:r>
              <w:rPr>
                <w:rFonts w:hint="eastAsia" w:ascii="Times New Roman" w:hAnsi="Times New Roman" w:eastAsia="方正仿宋_GBK" w:cs="宋体"/>
                <w:color w:val="auto"/>
                <w:sz w:val="18"/>
                <w:szCs w:val="18"/>
                <w:highlight w:val="none"/>
              </w:rPr>
              <w:t>每月至少组织开展一次地面宣传活动，记录时间、地点、参与人员、主题等相关内容，得2分。每少一次扣0.5分，扣完为止。</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bottom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65" w:hRule="atLeast"/>
          <w:jc w:val="center"/>
        </w:trPr>
        <w:tc>
          <w:tcPr>
            <w:tcW w:w="1094" w:type="dxa"/>
            <w:vMerge w:val="continue"/>
            <w:tcBorders>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培训教育</w:t>
            </w:r>
          </w:p>
          <w:p>
            <w:pPr>
              <w:spacing w:line="240" w:lineRule="atLeast"/>
              <w:ind w:left="105" w:leftChars="50" w:right="105" w:rightChars="50"/>
              <w:jc w:val="center"/>
              <w:textAlignment w:val="top"/>
              <w:rPr>
                <w:rFonts w:ascii="Times New Roman" w:hAnsi="Times New Roman"/>
                <w:color w:val="auto"/>
                <w:sz w:val="18"/>
                <w:szCs w:val="21"/>
                <w:highlight w:val="none"/>
              </w:rPr>
            </w:pPr>
            <w:r>
              <w:rPr>
                <w:rFonts w:hint="eastAsia" w:ascii="Times New Roman" w:hAnsi="Times New Roman" w:eastAsia="方正仿宋_GBK" w:cs="宋体"/>
                <w:b/>
                <w:color w:val="auto"/>
                <w:sz w:val="18"/>
                <w:szCs w:val="18"/>
                <w:highlight w:val="none"/>
              </w:rPr>
              <w:t>（5分）</w:t>
            </w: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组织相关人员参加岗前培训和在岗培训。培训内容包括生活垃圾分类知识、与居民的沟通技巧、生活垃圾分类收集操作规范等（5分）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合理制定本年度垃圾分类培训计划，及时更新完成情况，完整清晰记录培训开展情况和内容，得1分。</w:t>
            </w:r>
          </w:p>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每季度至少组织开展一次培训，对物业相关管理人员、清洁人员、指导员等进行岗前、在岗培训，记录培训时间、地点、人员、主要内容并拍摄照片，得4分。每少一次扣1分，扣完为止。</w:t>
            </w:r>
          </w:p>
        </w:tc>
        <w:tc>
          <w:tcPr>
            <w:tcW w:w="1020" w:type="dxa"/>
            <w:vMerge w:val="continue"/>
            <w:tcBorders>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tcBorders>
              <w:top w:val="single" w:color="000000" w:sz="4" w:space="0"/>
              <w:left w:val="single" w:color="000000" w:sz="4" w:space="0"/>
              <w:bottom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0" w:hRule="atLeast"/>
          <w:jc w:val="center"/>
        </w:trPr>
        <w:tc>
          <w:tcPr>
            <w:tcW w:w="1094" w:type="dxa"/>
            <w:vMerge w:val="restart"/>
            <w:tcBorders>
              <w:top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分类投放</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（45分）</w:t>
            </w:r>
          </w:p>
        </w:tc>
        <w:tc>
          <w:tcPr>
            <w:tcW w:w="1237"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分类投放</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设施配置</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（30分）</w:t>
            </w: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小区分类收集点应建设固定收集屋或亭棚，地面硬化处理，配置给排水、洗手池、照明、摄像头等设施；采用定时移动收集车的应明确点位，非投放时段撤离，车容整洁干净；建设在地下室的分类收集点应配置通风和空气净化设施；收集点应安排专人管理，周边做到整洁、无存留垃圾和污水，不产生二次污染，符合规范（10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各收集点给排水、洗手池、照明、摄像头等设施每少一项扣0.5分，总计2分；定时移动收集车点位不明确的，或未在投放时段外整车撤离的，或车辆污损的扣2分；地下室收集点缺少通风或空气净化设施扣1分；分类收集点周边环境脏乱，每处扣1分，总计5分；各项设施未正常使用，每项扣0.5分，总计2分；投放时间段内，有分类收集点未开放的，按3分/点位对未开放点位进行扣分,若全部未开放,此项全扣。</w:t>
            </w:r>
          </w:p>
        </w:tc>
        <w:tc>
          <w:tcPr>
            <w:tcW w:w="1020" w:type="dxa"/>
            <w:vMerge w:val="restart"/>
            <w:tcBorders>
              <w:top w:val="single" w:color="auto"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restart"/>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restart"/>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34"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分类收集容器(含户外活动场所果壳箱)分类标识完整且设置规范（2分）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分类标识缺失或设置不规范，每个扣0.5分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79"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分类收集容器颜色标准：可回收物为蓝色，有害垃圾为红色，易腐垃圾为绿色，其他垃圾为灰色，颜色规范（3分）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可回收物或有害垃圾收集容器颜色不规范，每个扣1分；其他垃圾或易腐垃圾容器颜色不规范，每个扣0.5分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82"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可回收物、有害垃圾收集容器结合收集点设置或小区出入通道、公共休闲区域等地设置（5分）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未设置可回收物收集容器，扣2分；未设置有害垃圾收集容器，扣2分；设置的可回收物和有害垃圾智能化箱体未正常使用的，扣1分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5"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分类收集容器每日清洗消杀，外观无破损，整洁干净（5分）</w:t>
            </w:r>
          </w:p>
        </w:tc>
        <w:tc>
          <w:tcPr>
            <w:tcW w:w="5139" w:type="dxa"/>
            <w:tcBorders>
              <w:top w:val="single" w:color="auto"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分类收集容器外观破损或未清洗的，每个扣0.5分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5"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小区内环境整洁，无散落的垃圾（5分）</w:t>
            </w:r>
          </w:p>
        </w:tc>
        <w:tc>
          <w:tcPr>
            <w:tcW w:w="5139" w:type="dxa"/>
            <w:tcBorders>
              <w:top w:val="single" w:color="auto"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散落垃圾超过30分钟未清理，每处扣0.5分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12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分类知识</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知晓率</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（5分）</w:t>
            </w: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小区内随机抽取居民10人调查问卷，按知晓率折算分数。（5分）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随机抽取10位小区居民调查问卷，调查问卷设计10个选择题，每题0.5分，满分5分，通过将每位调查居民的问卷得分加和除以100，得出知晓率，并得出小区分类知识知晓率得分</w:t>
            </w:r>
          </w:p>
        </w:tc>
        <w:tc>
          <w:tcPr>
            <w:tcW w:w="1020"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调查问卷</w:t>
            </w:r>
          </w:p>
        </w:tc>
        <w:tc>
          <w:tcPr>
            <w:tcW w:w="615" w:type="dxa"/>
            <w:tcBorders>
              <w:top w:val="single" w:color="auto" w:sz="4" w:space="0"/>
              <w:left w:val="single" w:color="000000" w:sz="4" w:space="0"/>
              <w:bottom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tcBorders>
              <w:top w:val="single" w:color="auto" w:sz="4" w:space="0"/>
              <w:left w:val="single" w:color="000000" w:sz="4" w:space="0"/>
              <w:bottom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jc w:val="center"/>
        </w:trPr>
        <w:tc>
          <w:tcPr>
            <w:tcW w:w="1094" w:type="dxa"/>
            <w:vMerge w:val="continue"/>
            <w:tcBorders>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12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分类投放</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准确率</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（10分）</w:t>
            </w: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小区内随机选择一定数量垃圾收集容器，以投放准确的容器数量占抽检容器总数的百分比计分。（10分）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小区内随机抽取10个收集容器（不足10个收集容器的小区，采取全部抽取的方式），以投放准确的容器数量占抽检容器总数的百分比，乘以分类投放准确率的设置分10分，得出小区分类投放准确率得分</w:t>
            </w:r>
          </w:p>
        </w:tc>
        <w:tc>
          <w:tcPr>
            <w:tcW w:w="1020"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现场查看</w:t>
            </w:r>
          </w:p>
        </w:tc>
        <w:tc>
          <w:tcPr>
            <w:tcW w:w="615" w:type="dxa"/>
            <w:tcBorders>
              <w:top w:val="single" w:color="auto" w:sz="4" w:space="0"/>
              <w:left w:val="single" w:color="000000" w:sz="4" w:space="0"/>
              <w:bottom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tcBorders>
              <w:top w:val="single" w:color="auto" w:sz="4" w:space="0"/>
              <w:left w:val="single" w:color="000000" w:sz="4" w:space="0"/>
              <w:bottom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jc w:val="center"/>
        </w:trPr>
        <w:tc>
          <w:tcPr>
            <w:tcW w:w="1094" w:type="dxa"/>
            <w:vMerge w:val="restart"/>
            <w:tcBorders>
              <w:top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分类收运</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（20分）</w:t>
            </w:r>
          </w:p>
        </w:tc>
        <w:tc>
          <w:tcPr>
            <w:tcW w:w="1237"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分类收运</w:t>
            </w:r>
          </w:p>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（20分）</w:t>
            </w: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通过询问居民和收运时段现场查看的方式核查是否分类收运和“一日两清运”。（10分）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询问居民人数应不少于10人；在小区垃圾收运时段进行现场查看；未分类收运的，扣10 分；未落实“一日两清运”的，扣5分；</w:t>
            </w:r>
          </w:p>
          <w:p>
            <w:pPr>
              <w:spacing w:line="240" w:lineRule="atLeast"/>
              <w:ind w:left="105" w:leftChars="50" w:right="105" w:rightChars="50"/>
              <w:textAlignment w:val="top"/>
              <w:rPr>
                <w:color w:val="auto"/>
                <w:highlight w:val="none"/>
              </w:rPr>
            </w:pPr>
            <w:r>
              <w:rPr>
                <w:rFonts w:hint="eastAsia" w:ascii="Times New Roman" w:hAnsi="Times New Roman" w:eastAsia="方正仿宋_GBK" w:cs="宋体"/>
                <w:color w:val="auto"/>
                <w:sz w:val="18"/>
                <w:szCs w:val="18"/>
                <w:highlight w:val="none"/>
              </w:rPr>
              <w:t>投放时间段前一小时,小区垃圾桶仍有存量垃圾的，扣5分（若投放时间有早、晚两个时间段，则每个投放时间段前一小时均查看；若投放时间有早、中、晚三个时间段，则早、中两个投放时间段前一小时查看</w:t>
            </w:r>
          </w:p>
        </w:tc>
        <w:tc>
          <w:tcPr>
            <w:tcW w:w="1020" w:type="dxa"/>
            <w:vMerge w:val="restart"/>
            <w:tcBorders>
              <w:top w:val="single" w:color="auto"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调查问卷</w:t>
            </w:r>
          </w:p>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现场查看</w:t>
            </w:r>
          </w:p>
        </w:tc>
        <w:tc>
          <w:tcPr>
            <w:tcW w:w="615" w:type="dxa"/>
            <w:vMerge w:val="restart"/>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restart"/>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有害垃圾收运：分类收运管理有序、规范。（2分）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有害垃圾定期统一送到有害垃圾归集点，得2分；未分类收运或无规范手续和台账不得分。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可回收物收运：分类收运管理有序、规范。（2分）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可回收物定期统一送到城市可回收物分拣中心或再生资源回收利用单位进行分拣再利用，得2分。</w:t>
            </w:r>
            <w:r>
              <w:rPr>
                <w:rFonts w:hint="eastAsia" w:ascii="Times New Roman" w:hAnsi="Times New Roman" w:eastAsia="方正仿宋_GBK" w:cs="宋体"/>
                <w:color w:val="auto"/>
                <w:sz w:val="18"/>
                <w:szCs w:val="18"/>
                <w:highlight w:val="none"/>
              </w:rPr>
              <w:br w:type="textWrapping"/>
            </w:r>
            <w:r>
              <w:rPr>
                <w:rFonts w:hint="eastAsia" w:ascii="Times New Roman" w:hAnsi="Times New Roman" w:eastAsia="方正仿宋_GBK" w:cs="宋体"/>
                <w:color w:val="auto"/>
                <w:sz w:val="18"/>
                <w:szCs w:val="18"/>
                <w:highlight w:val="none"/>
              </w:rPr>
              <w:t>未分类收运或无规范手续或台账记录不得分。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jc w:val="center"/>
        </w:trPr>
        <w:tc>
          <w:tcPr>
            <w:tcW w:w="1094" w:type="dxa"/>
            <w:vMerge w:val="continue"/>
            <w:tcBorders>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易腐垃圾收运：分类收运管理有序、规范。（3分）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易腐垃圾分类收运、按时统一送到易腐垃圾转运或处置企业，得3分；未分类收运或无规范手续或台账记录不得分。</w:t>
            </w:r>
          </w:p>
        </w:tc>
        <w:tc>
          <w:tcPr>
            <w:tcW w:w="1020" w:type="dxa"/>
            <w:vMerge w:val="continue"/>
            <w:tcBorders>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jc w:val="center"/>
        </w:trPr>
        <w:tc>
          <w:tcPr>
            <w:tcW w:w="1094" w:type="dxa"/>
            <w:vMerge w:val="continue"/>
            <w:tcBorders>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1237"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p>
        </w:tc>
        <w:tc>
          <w:tcPr>
            <w:tcW w:w="4814"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其他垃圾收运：分类收运管理有序、规范。（3分）</w:t>
            </w:r>
          </w:p>
        </w:tc>
        <w:tc>
          <w:tcPr>
            <w:tcW w:w="5139" w:type="dxa"/>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r>
              <w:rPr>
                <w:rFonts w:hint="eastAsia" w:ascii="Times New Roman" w:hAnsi="Times New Roman" w:eastAsia="方正仿宋_GBK" w:cs="宋体"/>
                <w:color w:val="auto"/>
                <w:sz w:val="18"/>
                <w:szCs w:val="18"/>
                <w:highlight w:val="none"/>
              </w:rPr>
              <w:t>其他垃圾分类收运、按时统一送到其他垃圾转运或处置企业，得3分；未分类收运或无规范手续或台账记录不得分。</w:t>
            </w:r>
          </w:p>
        </w:tc>
        <w:tc>
          <w:tcPr>
            <w:tcW w:w="1020" w:type="dxa"/>
            <w:vMerge w:val="continue"/>
            <w:tcBorders>
              <w:left w:val="nil"/>
              <w:bottom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vMerge w:val="continue"/>
            <w:tcBorders>
              <w:left w:val="single" w:color="000000" w:sz="4" w:space="0"/>
              <w:bottom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vMerge w:val="continue"/>
            <w:tcBorders>
              <w:left w:val="single" w:color="000000" w:sz="4" w:space="0"/>
              <w:bottom w:val="single" w:color="auto"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40" w:hRule="atLeast"/>
          <w:jc w:val="center"/>
        </w:trPr>
        <w:tc>
          <w:tcPr>
            <w:tcW w:w="12284" w:type="dxa"/>
            <w:gridSpan w:val="4"/>
            <w:tcBorders>
              <w:top w:val="single" w:color="auto" w:sz="4" w:space="0"/>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jc w:val="center"/>
              <w:textAlignment w:val="top"/>
              <w:rPr>
                <w:rFonts w:ascii="Times New Roman" w:hAnsi="Times New Roman" w:eastAsia="方正仿宋_GBK" w:cs="宋体"/>
                <w:b/>
                <w:color w:val="auto"/>
                <w:sz w:val="18"/>
                <w:szCs w:val="18"/>
                <w:highlight w:val="none"/>
              </w:rPr>
            </w:pPr>
            <w:r>
              <w:rPr>
                <w:rFonts w:hint="eastAsia" w:ascii="Times New Roman" w:hAnsi="Times New Roman" w:eastAsia="方正仿宋_GBK" w:cs="宋体"/>
                <w:b/>
                <w:color w:val="auto"/>
                <w:sz w:val="18"/>
                <w:szCs w:val="18"/>
                <w:highlight w:val="none"/>
              </w:rPr>
              <w:t>合计得分</w:t>
            </w:r>
          </w:p>
        </w:tc>
        <w:tc>
          <w:tcPr>
            <w:tcW w:w="1020" w:type="dxa"/>
            <w:tcBorders>
              <w:top w:val="single" w:color="auto" w:sz="4" w:space="0"/>
              <w:left w:val="nil"/>
              <w:righ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615" w:type="dxa"/>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c>
          <w:tcPr>
            <w:tcW w:w="1002" w:type="dxa"/>
            <w:tcBorders>
              <w:top w:val="single" w:color="auto" w:sz="4" w:space="0"/>
              <w:left w:val="single" w:color="000000" w:sz="4" w:space="0"/>
            </w:tcBorders>
            <w:shd w:val="clear" w:color="auto" w:fill="FFFFFF"/>
            <w:tcMar>
              <w:top w:w="15" w:type="dxa"/>
              <w:left w:w="15" w:type="dxa"/>
              <w:right w:w="15" w:type="dxa"/>
            </w:tcMar>
            <w:vAlign w:val="center"/>
          </w:tcPr>
          <w:p>
            <w:pPr>
              <w:spacing w:line="240" w:lineRule="atLeast"/>
              <w:ind w:left="105" w:leftChars="50" w:right="105" w:rightChars="50"/>
              <w:textAlignment w:val="top"/>
              <w:rPr>
                <w:rFonts w:ascii="Times New Roman" w:hAnsi="Times New Roman" w:eastAsia="方正仿宋_GBK" w:cs="宋体"/>
                <w:color w:val="auto"/>
                <w:sz w:val="18"/>
                <w:szCs w:val="18"/>
                <w:highlight w:val="none"/>
              </w:rPr>
            </w:pPr>
          </w:p>
        </w:tc>
      </w:tr>
    </w:tbl>
    <w:p>
      <w:pPr>
        <w:spacing w:line="240" w:lineRule="atLeast"/>
        <w:ind w:left="105" w:leftChars="50" w:right="105" w:rightChars="50"/>
        <w:rPr>
          <w:color w:val="auto"/>
          <w:highlight w:val="none"/>
        </w:rPr>
      </w:pPr>
      <w:r>
        <w:rPr>
          <w:rFonts w:hint="eastAsia" w:ascii="宋体" w:hAnsi="宋体" w:cs="宋体"/>
          <w:color w:val="auto"/>
          <w:sz w:val="18"/>
          <w:szCs w:val="18"/>
          <w:highlight w:val="none"/>
        </w:rPr>
        <w:t>备注：如果小区内存在无人值守的散落的垃圾桶，专职人员和投放准确率两项均得0分。</w:t>
      </w:r>
    </w:p>
    <w:p>
      <w:pPr>
        <w:pStyle w:val="2"/>
        <w:rPr>
          <w:rFonts w:hint="default"/>
          <w:color w:val="auto"/>
          <w:highlight w:val="none"/>
        </w:rPr>
        <w:sectPr>
          <w:pgSz w:w="16838" w:h="11906" w:orient="landscape"/>
          <w:pgMar w:top="1174" w:right="1213" w:bottom="1157" w:left="1213" w:header="850" w:footer="992" w:gutter="0"/>
          <w:cols w:space="720" w:num="1"/>
          <w:docGrid w:linePitch="312" w:charSpace="0"/>
        </w:sectPr>
      </w:pPr>
    </w:p>
    <w:p>
      <w:pPr>
        <w:jc w:val="center"/>
        <w:rPr>
          <w:rFonts w:ascii="宋体" w:hAnsi="宋体" w:cs="宋体"/>
          <w:bCs/>
          <w:color w:val="auto"/>
          <w:sz w:val="44"/>
          <w:szCs w:val="44"/>
          <w:highlight w:val="none"/>
        </w:rPr>
      </w:pPr>
      <w:r>
        <w:rPr>
          <w:rFonts w:hint="eastAsia" w:ascii="宋体" w:hAnsi="宋体" w:cs="宋体"/>
          <w:bCs/>
          <w:color w:val="auto"/>
          <w:sz w:val="44"/>
          <w:szCs w:val="44"/>
          <w:highlight w:val="none"/>
        </w:rPr>
        <w:t>第六部分. 附件（投标文件格式）</w:t>
      </w:r>
    </w:p>
    <w:p>
      <w:pPr>
        <w:rPr>
          <w:rFonts w:ascii="宋体" w:hAnsi="宋体" w:cs="宋体"/>
          <w:b/>
          <w:bCs/>
          <w:color w:val="auto"/>
          <w:sz w:val="24"/>
          <w:highlight w:val="none"/>
        </w:rPr>
      </w:pPr>
    </w:p>
    <w:p>
      <w:pPr>
        <w:spacing w:line="360" w:lineRule="auto"/>
        <w:jc w:val="center"/>
        <w:rPr>
          <w:rFonts w:ascii="宋体" w:hAnsi="宋体" w:cs="宋体"/>
          <w:b/>
          <w:bCs/>
          <w:color w:val="auto"/>
          <w:sz w:val="28"/>
          <w:szCs w:val="28"/>
          <w:highlight w:val="none"/>
        </w:rPr>
      </w:pPr>
      <w:bookmarkStart w:id="1" w:name="一．报价函（格式）"/>
      <w:bookmarkEnd w:id="1"/>
    </w:p>
    <w:p>
      <w:pPr>
        <w:spacing w:line="360" w:lineRule="auto"/>
        <w:jc w:val="center"/>
        <w:rPr>
          <w:rFonts w:ascii="宋体" w:hAnsi="宋体" w:cs="宋体"/>
          <w:b/>
          <w:bCs/>
          <w:color w:val="auto"/>
          <w:sz w:val="28"/>
          <w:szCs w:val="28"/>
          <w:highlight w:val="none"/>
        </w:rPr>
      </w:pPr>
    </w:p>
    <w:p>
      <w:pPr>
        <w:pStyle w:val="66"/>
        <w:ind w:firstLine="388"/>
        <w:rPr>
          <w:rFonts w:ascii="宋体" w:eastAsia="宋体" w:cs="宋体"/>
          <w:color w:val="auto"/>
          <w:highlight w:val="none"/>
        </w:rPr>
      </w:pPr>
    </w:p>
    <w:p>
      <w:pPr>
        <w:spacing w:line="360" w:lineRule="auto"/>
        <w:jc w:val="center"/>
        <w:rPr>
          <w:rFonts w:ascii="宋体" w:hAnsi="宋体" w:cs="宋体"/>
          <w:b/>
          <w:bCs/>
          <w:color w:val="auto"/>
          <w:sz w:val="28"/>
          <w:szCs w:val="28"/>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44"/>
          <w:szCs w:val="44"/>
          <w:highlight w:val="none"/>
          <w:u w:val="single"/>
        </w:rPr>
        <w:t xml:space="preserve">           </w:t>
      </w:r>
      <w:r>
        <w:rPr>
          <w:rFonts w:hint="eastAsia" w:ascii="宋体" w:hAnsi="宋体" w:cs="宋体"/>
          <w:b/>
          <w:color w:val="auto"/>
          <w:sz w:val="44"/>
          <w:szCs w:val="44"/>
          <w:highlight w:val="none"/>
        </w:rPr>
        <w:t xml:space="preserve"> 公开招标</w:t>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投标文件</w:t>
      </w:r>
    </w:p>
    <w:p>
      <w:pPr>
        <w:spacing w:line="360" w:lineRule="auto"/>
        <w:jc w:val="center"/>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pStyle w:val="2"/>
        <w:rPr>
          <w:rFonts w:ascii="宋体" w:hAnsi="宋体" w:eastAsia="宋体" w:cs="宋体"/>
          <w:b/>
          <w:color w:val="auto"/>
          <w:szCs w:val="28"/>
          <w:highlight w:val="none"/>
        </w:rPr>
      </w:pPr>
    </w:p>
    <w:p>
      <w:pPr>
        <w:pStyle w:val="45"/>
        <w:numPr>
          <w:ilvl w:val="0"/>
          <w:numId w:val="0"/>
        </w:numPr>
        <w:rPr>
          <w:rFonts w:ascii="宋体" w:hAnsi="宋体" w:cs="宋体"/>
          <w:b/>
          <w:color w:val="auto"/>
          <w:sz w:val="28"/>
          <w:szCs w:val="28"/>
          <w:highlight w:val="none"/>
        </w:rPr>
      </w:pPr>
    </w:p>
    <w:p>
      <w:pPr>
        <w:pStyle w:val="45"/>
        <w:numPr>
          <w:ilvl w:val="0"/>
          <w:numId w:val="0"/>
        </w:numPr>
        <w:rPr>
          <w:rFonts w:ascii="宋体" w:hAnsi="宋体" w:cs="宋体"/>
          <w:b/>
          <w:color w:val="auto"/>
          <w:sz w:val="28"/>
          <w:szCs w:val="28"/>
          <w:highlight w:val="none"/>
        </w:rPr>
      </w:pPr>
    </w:p>
    <w:p>
      <w:pPr>
        <w:snapToGrid w:val="0"/>
        <w:spacing w:line="360" w:lineRule="auto"/>
        <w:ind w:firstLine="562" w:firstLineChars="2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p>
    <w:p>
      <w:pPr>
        <w:snapToGrid w:val="0"/>
        <w:spacing w:line="360" w:lineRule="auto"/>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时</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分</w:t>
      </w:r>
      <w:r>
        <w:rPr>
          <w:rFonts w:hint="eastAsia" w:ascii="宋体" w:hAnsi="宋体" w:cs="宋体"/>
          <w:color w:val="auto"/>
          <w:sz w:val="28"/>
          <w:szCs w:val="28"/>
          <w:highlight w:val="none"/>
        </w:rPr>
        <w:t>开标，此时间以前不得开封；</w:t>
      </w:r>
    </w:p>
    <w:p>
      <w:pPr>
        <w:snapToGrid w:val="0"/>
        <w:spacing w:line="360" w:lineRule="auto"/>
        <w:rPr>
          <w:rFonts w:ascii="宋体" w:hAnsi="宋体" w:cs="宋体"/>
          <w:b/>
          <w:color w:val="auto"/>
          <w:sz w:val="28"/>
          <w:szCs w:val="28"/>
          <w:highlight w:val="none"/>
        </w:rPr>
      </w:pPr>
    </w:p>
    <w:p>
      <w:pPr>
        <w:snapToGrid w:val="0"/>
        <w:spacing w:line="360" w:lineRule="auto"/>
        <w:ind w:firstLine="562" w:firstLineChars="200"/>
        <w:rPr>
          <w:rFonts w:ascii="宋体" w:hAnsi="宋体" w:cs="宋体"/>
          <w:b/>
          <w:color w:val="auto"/>
          <w:sz w:val="28"/>
          <w:szCs w:val="28"/>
          <w:highlight w:val="none"/>
          <w:u w:val="single"/>
        </w:rPr>
      </w:pPr>
      <w:r>
        <w:rPr>
          <w:rFonts w:hint="eastAsia" w:ascii="宋体" w:hAnsi="宋体" w:cs="宋体"/>
          <w:b/>
          <w:color w:val="auto"/>
          <w:sz w:val="28"/>
          <w:szCs w:val="28"/>
          <w:highlight w:val="none"/>
        </w:rPr>
        <w:t>投标人：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（盖公章）</w:t>
      </w:r>
    </w:p>
    <w:p>
      <w:pPr>
        <w:snapToGrid w:val="0"/>
        <w:spacing w:line="360" w:lineRule="auto"/>
        <w:rPr>
          <w:rFonts w:ascii="宋体" w:hAnsi="宋体" w:cs="宋体"/>
          <w:b/>
          <w:color w:val="auto"/>
          <w:sz w:val="28"/>
          <w:szCs w:val="28"/>
          <w:highlight w:val="none"/>
          <w:u w:val="single"/>
        </w:rPr>
      </w:pPr>
    </w:p>
    <w:p>
      <w:pPr>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法定代表人或</w:t>
      </w:r>
    </w:p>
    <w:p>
      <w:pPr>
        <w:snapToGrid w:val="0"/>
        <w:spacing w:line="360" w:lineRule="auto"/>
        <w:ind w:firstLine="562" w:firstLineChars="200"/>
        <w:rPr>
          <w:rFonts w:ascii="宋体" w:hAnsi="宋体" w:cs="宋体"/>
          <w:b/>
          <w:color w:val="auto"/>
          <w:sz w:val="28"/>
          <w:szCs w:val="28"/>
          <w:highlight w:val="none"/>
          <w:u w:val="single"/>
        </w:rPr>
      </w:pPr>
      <w:r>
        <w:rPr>
          <w:rFonts w:hint="eastAsia" w:ascii="宋体" w:hAnsi="宋体" w:cs="宋体"/>
          <w:b/>
          <w:color w:val="auto"/>
          <w:sz w:val="28"/>
          <w:szCs w:val="28"/>
          <w:highlight w:val="none"/>
        </w:rPr>
        <w:t>其委托代理人：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（签字或盖章）</w:t>
      </w:r>
    </w:p>
    <w:p>
      <w:pPr>
        <w:snapToGrid w:val="0"/>
        <w:spacing w:line="360" w:lineRule="auto"/>
        <w:rPr>
          <w:rFonts w:ascii="宋体" w:hAnsi="宋体" w:cs="宋体"/>
          <w:b/>
          <w:color w:val="auto"/>
          <w:sz w:val="28"/>
          <w:szCs w:val="28"/>
          <w:highlight w:val="none"/>
        </w:rPr>
      </w:pPr>
    </w:p>
    <w:p>
      <w:pPr>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日        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spacing w:line="460" w:lineRule="exact"/>
        <w:ind w:firstLine="420" w:firstLineChars="175"/>
        <w:jc w:val="center"/>
        <w:outlineLvl w:val="0"/>
        <w:rPr>
          <w:rFonts w:ascii="宋体" w:hAnsi="宋体" w:cs="宋体"/>
          <w:bCs/>
          <w:color w:val="auto"/>
          <w:sz w:val="24"/>
          <w:highlight w:val="none"/>
        </w:rPr>
      </w:pP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jc w:val="left"/>
        <w:outlineLvl w:val="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（一）关于资格的声明函（格式）</w:t>
      </w:r>
      <w:r>
        <w:rPr>
          <w:rFonts w:hint="eastAsia" w:ascii="宋体" w:hAnsi="宋体" w:eastAsia="宋体" w:cs="宋体"/>
          <w:b/>
          <w:color w:val="auto"/>
          <w:sz w:val="30"/>
          <w:szCs w:val="30"/>
          <w:highlight w:val="none"/>
          <w:lang w:eastAsia="zh-CN"/>
        </w:rPr>
        <w:t>：</w:t>
      </w:r>
    </w:p>
    <w:p>
      <w:pPr>
        <w:ind w:firstLine="420" w:firstLineChars="150"/>
        <w:jc w:val="center"/>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pPr>
        <w:spacing w:line="480" w:lineRule="auto"/>
        <w:jc w:val="center"/>
        <w:rPr>
          <w:rFonts w:hint="eastAsia" w:ascii="宋体" w:hAnsi="宋体" w:cs="宋体"/>
          <w:bCs/>
          <w:color w:val="auto"/>
          <w:sz w:val="24"/>
          <w:highlight w:val="none"/>
        </w:rPr>
      </w:pPr>
      <w:r>
        <w:rPr>
          <w:rFonts w:hint="eastAsia" w:ascii="宋体" w:hAnsi="宋体" w:eastAsia="宋体" w:cs="宋体"/>
          <w:b/>
          <w:color w:val="auto"/>
          <w:sz w:val="32"/>
          <w:szCs w:val="32"/>
          <w:highlight w:val="none"/>
        </w:rPr>
        <w:t>关于资格的声明函</w:t>
      </w:r>
    </w:p>
    <w:p>
      <w:pPr>
        <w:spacing w:line="48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采购编号： </w:t>
      </w:r>
    </w:p>
    <w:p>
      <w:pPr>
        <w:spacing w:line="48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 日期：</w:t>
      </w:r>
    </w:p>
    <w:p>
      <w:pPr>
        <w:spacing w:line="480" w:lineRule="auto"/>
        <w:rPr>
          <w:rFonts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我公司（单位）参加政府采购活动前三年内在经营活动中没有重大违法记录。</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我公司（单位）愿针对本次项目</w:t>
      </w:r>
      <w:r>
        <w:rPr>
          <w:rFonts w:hint="eastAsia" w:ascii="宋体" w:hAnsi="宋体" w:cs="宋体"/>
          <w:bCs/>
          <w:color w:val="auto"/>
          <w:sz w:val="24"/>
          <w:highlight w:val="none"/>
          <w:u w:val="single"/>
        </w:rPr>
        <w:t xml:space="preserve">             （项目名称）   </w:t>
      </w:r>
      <w:r>
        <w:rPr>
          <w:rFonts w:hint="eastAsia" w:ascii="宋体" w:hAnsi="宋体" w:cs="宋体"/>
          <w:bCs/>
          <w:color w:val="auto"/>
          <w:sz w:val="24"/>
          <w:highlight w:val="none"/>
        </w:rPr>
        <w:t>进行投标，投标文件中所有关于投标资格的文件、证明、陈述均是真实的、准确的。若有违背，我公司（单位）愿意承担由此而产生的一切后果。</w:t>
      </w: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投标人（盖章）：</w:t>
      </w:r>
    </w:p>
    <w:p>
      <w:pPr>
        <w:spacing w:line="460" w:lineRule="exact"/>
        <w:ind w:firstLine="420" w:firstLineChars="175"/>
        <w:jc w:val="center"/>
        <w:outlineLvl w:val="0"/>
        <w:rPr>
          <w:rFonts w:ascii="宋体" w:hAnsi="宋体" w:cs="宋体"/>
          <w:bCs/>
          <w:color w:val="auto"/>
          <w:sz w:val="24"/>
          <w:highlight w:val="none"/>
        </w:rPr>
      </w:pPr>
      <w:r>
        <w:rPr>
          <w:rFonts w:hint="eastAsia" w:ascii="宋体" w:hAnsi="宋体" w:cs="宋体"/>
          <w:bCs/>
          <w:color w:val="auto"/>
          <w:sz w:val="24"/>
          <w:highlight w:val="none"/>
        </w:rPr>
        <w:t xml:space="preserve">                            法定代表人（签字或盖章）：</w:t>
      </w:r>
    </w:p>
    <w:p>
      <w:pPr>
        <w:jc w:val="left"/>
        <w:rPr>
          <w:rFonts w:ascii="宋体" w:hAnsi="宋体" w:cs="宋体"/>
          <w:b/>
          <w:color w:val="auto"/>
          <w:sz w:val="28"/>
          <w:szCs w:val="28"/>
          <w:highlight w:val="none"/>
        </w:rPr>
      </w:pPr>
      <w:r>
        <w:rPr>
          <w:rFonts w:hint="eastAsia" w:ascii="宋体" w:hAnsi="宋体" w:cs="宋体"/>
          <w:bCs/>
          <w:color w:val="auto"/>
          <w:sz w:val="24"/>
          <w:highlight w:val="none"/>
        </w:rPr>
        <w:br w:type="page"/>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）法定代表人（或负责人）授权委托书（格式）：</w:t>
      </w:r>
    </w:p>
    <w:p>
      <w:pPr>
        <w:spacing w:line="480" w:lineRule="auto"/>
        <w:jc w:val="center"/>
        <w:rPr>
          <w:rFonts w:hint="eastAsia" w:ascii="宋体" w:hAnsi="宋体" w:cs="宋体"/>
          <w:b/>
          <w:bCs w:val="0"/>
          <w:color w:val="auto"/>
          <w:sz w:val="32"/>
          <w:szCs w:val="32"/>
          <w:highlight w:val="none"/>
        </w:rPr>
      </w:pPr>
    </w:p>
    <w:p>
      <w:pPr>
        <w:spacing w:line="480" w:lineRule="auto"/>
        <w:jc w:val="center"/>
        <w:rPr>
          <w:rFonts w:hint="eastAsia" w:ascii="宋体" w:hAnsi="宋体" w:cs="宋体"/>
          <w:bCs/>
          <w:color w:val="auto"/>
          <w:sz w:val="24"/>
          <w:highlight w:val="none"/>
        </w:rPr>
      </w:pPr>
      <w:r>
        <w:rPr>
          <w:rFonts w:hint="eastAsia" w:ascii="宋体" w:hAnsi="宋体" w:cs="宋体"/>
          <w:b/>
          <w:bCs w:val="0"/>
          <w:color w:val="auto"/>
          <w:sz w:val="32"/>
          <w:szCs w:val="32"/>
          <w:highlight w:val="none"/>
        </w:rPr>
        <w:t>法定代表人授权委托书</w:t>
      </w:r>
    </w:p>
    <w:p>
      <w:pPr>
        <w:spacing w:line="480" w:lineRule="auto"/>
        <w:rPr>
          <w:rFonts w:hint="eastAsia" w:ascii="宋体" w:hAnsi="宋体" w:cs="宋体"/>
          <w:bCs/>
          <w:color w:val="auto"/>
          <w:sz w:val="24"/>
          <w:highlight w:val="none"/>
        </w:rPr>
      </w:pPr>
      <w:r>
        <w:rPr>
          <w:rFonts w:hint="eastAsia" w:ascii="宋体" w:hAnsi="宋体" w:cs="宋体"/>
          <w:bCs/>
          <w:color w:val="auto"/>
          <w:sz w:val="24"/>
          <w:highlight w:val="none"/>
        </w:rPr>
        <w:t>采购编号：</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日期：</w:t>
      </w:r>
    </w:p>
    <w:p>
      <w:pPr>
        <w:spacing w:line="480" w:lineRule="auto"/>
        <w:rPr>
          <w:rFonts w:ascii="宋体" w:hAnsi="宋体" w:cs="宋体"/>
          <w:bCs/>
          <w:color w:val="auto"/>
          <w:sz w:val="24"/>
          <w:highlight w:val="none"/>
        </w:rPr>
      </w:pPr>
      <w:r>
        <w:rPr>
          <w:rFonts w:hint="eastAsia" w:ascii="宋体" w:hAnsi="宋体" w:cs="宋体"/>
          <w:color w:val="auto"/>
          <w:kern w:val="0"/>
          <w:sz w:val="24"/>
          <w:highlight w:val="none"/>
        </w:rPr>
        <w:t>江苏通汇工程管理咨询有限公司</w:t>
      </w:r>
      <w:r>
        <w:rPr>
          <w:rFonts w:hint="eastAsia" w:ascii="宋体" w:hAnsi="宋体" w:cs="宋体"/>
          <w:bCs/>
          <w:color w:val="auto"/>
          <w:sz w:val="24"/>
          <w:highlight w:val="none"/>
        </w:rPr>
        <w:t>：</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u w:val="single"/>
        </w:rPr>
        <w:t xml:space="preserve">   （投标人单位名称）          </w:t>
      </w:r>
      <w:r>
        <w:rPr>
          <w:rFonts w:hint="eastAsia" w:ascii="宋体" w:hAnsi="宋体" w:cs="宋体"/>
          <w:bCs/>
          <w:color w:val="auto"/>
          <w:sz w:val="24"/>
          <w:highlight w:val="none"/>
        </w:rPr>
        <w:t>系中华人民共和国合法企业，</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法定地址：</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，特授权</w:t>
      </w:r>
      <w:r>
        <w:rPr>
          <w:rFonts w:hint="eastAsia" w:ascii="宋体" w:hAnsi="宋体" w:cs="宋体"/>
          <w:bCs/>
          <w:color w:val="auto"/>
          <w:sz w:val="24"/>
          <w:highlight w:val="none"/>
          <w:u w:val="single"/>
        </w:rPr>
        <w:t xml:space="preserve">    （姓名）   </w:t>
      </w:r>
      <w:r>
        <w:rPr>
          <w:rFonts w:hint="eastAsia" w:ascii="宋体" w:hAnsi="宋体" w:cs="宋体"/>
          <w:bCs/>
          <w:color w:val="auto"/>
          <w:sz w:val="24"/>
          <w:highlight w:val="none"/>
        </w:rPr>
        <w:t>代表我公司（单位）全权办理针对本项目</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的投标，参与谈判、评审、签约等具体工作，并签署全部有关的文件、协议及合同。</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我公司（单位）对被授权人的签名负全部责任。</w:t>
      </w:r>
    </w:p>
    <w:p>
      <w:pPr>
        <w:spacing w:line="480" w:lineRule="auto"/>
        <w:ind w:firstLine="523" w:firstLineChars="218"/>
        <w:rPr>
          <w:rFonts w:ascii="宋体" w:hAnsi="宋体" w:cs="宋体"/>
          <w:bCs/>
          <w:color w:val="auto"/>
          <w:sz w:val="24"/>
          <w:highlight w:val="none"/>
        </w:rPr>
      </w:pPr>
      <w:r>
        <w:rPr>
          <w:rFonts w:hint="eastAsia" w:ascii="宋体" w:hAnsi="宋体" w:cs="宋体"/>
          <w:bCs/>
          <w:color w:val="auto"/>
          <w:sz w:val="24"/>
          <w:highlight w:val="none"/>
        </w:rPr>
        <w:t>在撤销授权的书面通知送达你处以前，本授权书一直有效，被授权人签署的所有文件（在授权书有效期内签署的）不因授权的撤销而失效。被授权人有（无）转委托权。</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被授权人情况：</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姓名：         性别：       年龄：       职务：</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身份证号码：                电话：</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通讯地址：</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被授权人签名：                单位名称（盖章）：</w:t>
      </w:r>
    </w:p>
    <w:p>
      <w:pPr>
        <w:spacing w:line="480" w:lineRule="auto"/>
        <w:ind w:firstLine="420"/>
        <w:rPr>
          <w:rFonts w:ascii="宋体" w:hAnsi="宋体" w:cs="宋体"/>
          <w:bCs/>
          <w:color w:val="auto"/>
          <w:sz w:val="24"/>
          <w:highlight w:val="none"/>
        </w:rPr>
      </w:pPr>
      <w:r>
        <w:rPr>
          <w:rFonts w:ascii="宋体" w:hAnsi="宋体" w:cs="宋体"/>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3267075</wp:posOffset>
                </wp:positionH>
                <wp:positionV relativeFrom="paragraph">
                  <wp:posOffset>476250</wp:posOffset>
                </wp:positionV>
                <wp:extent cx="2867025" cy="1584960"/>
                <wp:effectExtent l="4445" t="4445" r="5080" b="10795"/>
                <wp:wrapNone/>
                <wp:docPr id="2" name="文本框 2"/>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wps:txbx>
                      <wps:bodyPr upright="1"/>
                    </wps:wsp>
                  </a:graphicData>
                </a:graphic>
              </wp:anchor>
            </w:drawing>
          </mc:Choice>
          <mc:Fallback>
            <w:pict>
              <v:shape id="_x0000_s1026" o:spid="_x0000_s1026" o:spt="202" type="#_x0000_t202" style="position:absolute;left:0pt;margin-left:257.25pt;margin-top:37.5pt;height:124.8pt;width:225.75pt;z-index:251660288;mso-width-relative:page;mso-height-relative:page;" fillcolor="#FFFFFF" filled="t" stroked="t" coordsize="21600,21600" o:gfxdata="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xZCK2gAAAAoBAAAPAAAA&#10;AAAAAAEAIAAAACIAAABkcnMvZG93bnJldi54bWxQSwECFAAUAAAACACHTuJAx8aYuBMCAABFBAAA&#10;DgAAAAAAAAABACAAAAApAQAAZHJzL2Uyb0RvYy54bWxQSwUGAAAAAAYABgBZAQAArg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v:textbox>
              </v:shape>
            </w:pict>
          </mc:Fallback>
        </mc:AlternateContent>
      </w:r>
      <w:r>
        <w:rPr>
          <w:rFonts w:hint="eastAsia" w:ascii="宋体" w:hAnsi="宋体" w:cs="宋体"/>
          <w:bCs/>
          <w:color w:val="auto"/>
          <w:sz w:val="24"/>
          <w:highlight w:val="none"/>
        </w:rPr>
        <w:t xml:space="preserve">                       法定代表人（或负责人）（签字或盖章）：</w:t>
      </w:r>
    </w:p>
    <w:p>
      <w:pPr>
        <w:spacing w:line="480" w:lineRule="auto"/>
        <w:ind w:firstLine="420"/>
        <w:rPr>
          <w:rFonts w:ascii="宋体" w:hAnsi="宋体" w:cs="宋体"/>
          <w:bCs/>
          <w:color w:val="auto"/>
          <w:sz w:val="24"/>
          <w:highlight w:val="none"/>
        </w:rPr>
      </w:pPr>
      <w:r>
        <w:rPr>
          <w:rFonts w:ascii="宋体" w:hAnsi="宋体" w:cs="宋体"/>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65405</wp:posOffset>
                </wp:positionV>
                <wp:extent cx="2867025" cy="1584960"/>
                <wp:effectExtent l="4445" t="4445" r="5080" b="10795"/>
                <wp:wrapNone/>
                <wp:docPr id="1" name="文本框 3"/>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wps:txbx>
                      <wps:bodyPr upright="1"/>
                    </wps:wsp>
                  </a:graphicData>
                </a:graphic>
              </wp:anchor>
            </w:drawing>
          </mc:Choice>
          <mc:Fallback>
            <w:pict>
              <v:shape id="文本框 3" o:spid="_x0000_s1026" o:spt="202" type="#_x0000_t202" style="position:absolute;left:0pt;margin-left:-5.25pt;margin-top:5.15pt;height:124.8pt;width:225.75pt;z-index:251659264;mso-width-relative:page;mso-height-relative:page;" fillcolor="#FFFFFF" filled="t" stroked="t" coordsize="21600,21600" o:gfxdata="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u8OkbaAAAACgEAAA8AAAAA&#10;AAAAAQAgAAAAIgAAAGRycy9kb3ducmV2LnhtbFBLAQIUABQAAAAIAIdO4kDq4wBZEgIAAEUEAAAO&#10;AAAAAAAAAAEAIAAAACkBAABkcnMvZTJvRG9jLnhtbFBLBQYAAAAABgAGAFkBAACt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v:textbox>
              </v:shape>
            </w:pict>
          </mc:Fallback>
        </mc:AlternateContent>
      </w:r>
    </w:p>
    <w:p>
      <w:pPr>
        <w:spacing w:line="480" w:lineRule="auto"/>
        <w:ind w:firstLine="420"/>
        <w:rPr>
          <w:rFonts w:ascii="宋体" w:hAnsi="宋体" w:cs="宋体"/>
          <w:bCs/>
          <w:color w:val="auto"/>
          <w:sz w:val="24"/>
          <w:highlight w:val="none"/>
        </w:rPr>
      </w:pPr>
    </w:p>
    <w:p>
      <w:pPr>
        <w:spacing w:line="480" w:lineRule="auto"/>
        <w:ind w:firstLine="420"/>
        <w:rPr>
          <w:rFonts w:ascii="宋体" w:hAnsi="宋体" w:cs="宋体"/>
          <w:bCs/>
          <w:color w:val="auto"/>
          <w:sz w:val="24"/>
          <w:highlight w:val="none"/>
        </w:rPr>
      </w:pPr>
    </w:p>
    <w:p>
      <w:pPr>
        <w:ind w:firstLine="420" w:firstLineChars="175"/>
        <w:outlineLvl w:val="0"/>
        <w:rPr>
          <w:rFonts w:ascii="宋体" w:hAnsi="宋体" w:cs="宋体"/>
          <w:bCs/>
          <w:color w:val="auto"/>
          <w:sz w:val="24"/>
          <w:highlight w:val="none"/>
        </w:rPr>
      </w:pPr>
    </w:p>
    <w:p>
      <w:pPr>
        <w:jc w:val="left"/>
        <w:outlineLvl w:val="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三</w:t>
      </w:r>
      <w:r>
        <w:rPr>
          <w:rFonts w:hint="eastAsia" w:ascii="宋体" w:hAnsi="宋体" w:eastAsia="宋体" w:cs="宋体"/>
          <w:b/>
          <w:color w:val="auto"/>
          <w:sz w:val="30"/>
          <w:szCs w:val="30"/>
          <w:highlight w:val="none"/>
        </w:rPr>
        <w:t>）承诺书（格式）</w:t>
      </w:r>
      <w:r>
        <w:rPr>
          <w:rFonts w:hint="eastAsia" w:ascii="宋体" w:hAnsi="宋体" w:cs="宋体"/>
          <w:b/>
          <w:color w:val="auto"/>
          <w:sz w:val="30"/>
          <w:szCs w:val="30"/>
          <w:highlight w:val="none"/>
          <w:lang w:eastAsia="zh-CN"/>
        </w:rPr>
        <w:t>：</w:t>
      </w:r>
    </w:p>
    <w:p>
      <w:pPr>
        <w:pStyle w:val="6"/>
        <w:jc w:val="center"/>
        <w:rPr>
          <w:rFonts w:ascii="宋体" w:hAnsi="宋体" w:eastAsia="宋体" w:cs="宋体"/>
          <w:bCs w:val="0"/>
          <w:color w:val="auto"/>
          <w:highlight w:val="none"/>
        </w:rPr>
      </w:pPr>
      <w:r>
        <w:rPr>
          <w:rFonts w:hint="eastAsia" w:ascii="宋体" w:hAnsi="宋体" w:eastAsia="宋体" w:cs="宋体"/>
          <w:bCs w:val="0"/>
          <w:color w:val="auto"/>
          <w:highlight w:val="none"/>
        </w:rPr>
        <w:t>承诺书一</w:t>
      </w:r>
    </w:p>
    <w:p>
      <w:pPr>
        <w:spacing w:line="480" w:lineRule="auto"/>
        <w:rPr>
          <w:rFonts w:ascii="宋体" w:hAnsi="宋体"/>
          <w:color w:val="auto"/>
          <w:sz w:val="24"/>
          <w:highlight w:val="none"/>
        </w:rPr>
      </w:pPr>
      <w:r>
        <w:rPr>
          <w:rFonts w:hint="eastAsia" w:ascii="宋体" w:hAnsi="宋体"/>
          <w:color w:val="auto"/>
          <w:sz w:val="24"/>
          <w:highlight w:val="none"/>
          <w:u w:val="single"/>
        </w:rPr>
        <w:t xml:space="preserve">      （投标人名称）           </w:t>
      </w:r>
      <w:r>
        <w:rPr>
          <w:rFonts w:hint="eastAsia" w:ascii="宋体" w:hAnsi="宋体"/>
          <w:color w:val="auto"/>
          <w:sz w:val="24"/>
          <w:highlight w:val="none"/>
        </w:rPr>
        <w:t>在此承诺：</w:t>
      </w:r>
    </w:p>
    <w:p>
      <w:pPr>
        <w:spacing w:before="240" w:line="360" w:lineRule="auto"/>
        <w:ind w:firstLine="480"/>
        <w:rPr>
          <w:rFonts w:ascii="宋体" w:hAnsi="宋体"/>
          <w:color w:val="auto"/>
          <w:sz w:val="24"/>
          <w:highlight w:val="none"/>
        </w:rPr>
      </w:pPr>
      <w:r>
        <w:rPr>
          <w:rFonts w:hint="eastAsia" w:ascii="宋体" w:hAnsi="宋体"/>
          <w:color w:val="auto"/>
          <w:sz w:val="24"/>
          <w:highlight w:val="none"/>
        </w:rPr>
        <w:t>我公司自愿参加贵单位（公司）</w:t>
      </w:r>
      <w:r>
        <w:rPr>
          <w:rFonts w:hint="eastAsia" w:ascii="宋体" w:hAnsi="宋体"/>
          <w:color w:val="auto"/>
          <w:sz w:val="24"/>
          <w:highlight w:val="none"/>
          <w:u w:val="single"/>
        </w:rPr>
        <w:t xml:space="preserve">                    </w:t>
      </w:r>
      <w:r>
        <w:rPr>
          <w:rFonts w:hint="eastAsia" w:ascii="宋体" w:hAnsi="宋体"/>
          <w:color w:val="auto"/>
          <w:sz w:val="24"/>
          <w:highlight w:val="none"/>
        </w:rPr>
        <w:t>项目的投标，并接受对我公司的资格审查，我公司承诺：</w:t>
      </w:r>
    </w:p>
    <w:p>
      <w:pPr>
        <w:spacing w:line="360" w:lineRule="auto"/>
        <w:ind w:firstLine="482"/>
        <w:rPr>
          <w:rFonts w:ascii="宋体" w:hAnsi="宋体"/>
          <w:color w:val="auto"/>
          <w:sz w:val="24"/>
          <w:highlight w:val="none"/>
        </w:rPr>
      </w:pPr>
      <w:r>
        <w:rPr>
          <w:rFonts w:hint="eastAsia" w:ascii="宋体" w:hAnsi="宋体"/>
          <w:color w:val="auto"/>
          <w:sz w:val="24"/>
          <w:highlight w:val="none"/>
        </w:rPr>
        <w:t>1.我公司（单位）具备履行合同所必需的设备和专业技术能力；</w:t>
      </w:r>
    </w:p>
    <w:p>
      <w:pPr>
        <w:spacing w:line="360" w:lineRule="auto"/>
        <w:ind w:firstLine="482"/>
        <w:rPr>
          <w:rFonts w:ascii="宋体" w:hAnsi="宋体"/>
          <w:color w:val="auto"/>
          <w:sz w:val="24"/>
          <w:highlight w:val="none"/>
        </w:rPr>
      </w:pPr>
      <w:r>
        <w:rPr>
          <w:rFonts w:hint="eastAsia" w:ascii="宋体" w:hAnsi="宋体"/>
          <w:color w:val="auto"/>
          <w:sz w:val="24"/>
          <w:highlight w:val="none"/>
        </w:rPr>
        <w:t>2.我公司未被“信用中国”网站（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z w:val="24"/>
          <w:highlight w:val="none"/>
        </w:rPr>
        <w:t>www.creditchina.gov.cn</w:t>
      </w:r>
      <w:r>
        <w:rPr>
          <w:rFonts w:hint="eastAsia" w:ascii="宋体" w:hAnsi="宋体"/>
          <w:color w:val="auto"/>
          <w:sz w:val="24"/>
          <w:highlight w:val="none"/>
        </w:rPr>
        <w:fldChar w:fldCharType="end"/>
      </w:r>
      <w:r>
        <w:rPr>
          <w:rFonts w:hint="eastAsia" w:ascii="宋体" w:hAnsi="宋体"/>
          <w:color w:val="auto"/>
          <w:sz w:val="24"/>
          <w:highlight w:val="none"/>
        </w:rPr>
        <w:t>）列入失信被执行人、重大税收违法案件当事人名单、政府采购严重违法失信行为记录名单。</w:t>
      </w:r>
    </w:p>
    <w:p>
      <w:pPr>
        <w:spacing w:line="360" w:lineRule="auto"/>
        <w:ind w:firstLine="482"/>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我公司未处于被责令停业，投标资格被取消，财产被接管、冻结，破产状态；</w:t>
      </w:r>
    </w:p>
    <w:p>
      <w:pPr>
        <w:spacing w:line="360" w:lineRule="auto"/>
        <w:ind w:firstLine="482"/>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企业没有因骗取中标或者严重违约以及发生重大质量事故等问题，被有关部门暂停投标资格并在暂停期内的。</w:t>
      </w:r>
    </w:p>
    <w:p>
      <w:pPr>
        <w:spacing w:line="360" w:lineRule="auto"/>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根据贵单位（公司）提出的采购文件要求，我公司递交的投标文件中的内容没有隐瞒、虚假、伪造等弄虚作假行为。</w:t>
      </w:r>
    </w:p>
    <w:p>
      <w:pPr>
        <w:spacing w:line="360" w:lineRule="auto"/>
        <w:ind w:firstLine="482"/>
        <w:rPr>
          <w:rFonts w:ascii="宋体" w:hAnsi="宋体"/>
          <w:color w:val="auto"/>
          <w:sz w:val="24"/>
          <w:highlight w:val="none"/>
        </w:rPr>
      </w:pPr>
      <w:r>
        <w:rPr>
          <w:rFonts w:hint="eastAsia" w:ascii="宋体" w:hAnsi="宋体"/>
          <w:color w:val="auto"/>
          <w:sz w:val="24"/>
          <w:highlight w:val="none"/>
        </w:rPr>
        <w:t>若发现该行为，贵公司可以拒绝我公司报价，如已中标，我公司自愿放弃中标资格，并接受政府采购主管部门对我公司弄虚作假、违反公平和诚实信用原则做出的任何处理。</w:t>
      </w:r>
    </w:p>
    <w:p>
      <w:pPr>
        <w:spacing w:line="480" w:lineRule="auto"/>
        <w:rPr>
          <w:rFonts w:ascii="宋体" w:hAnsi="宋体"/>
          <w:color w:val="auto"/>
          <w:sz w:val="24"/>
          <w:highlight w:val="none"/>
        </w:rPr>
      </w:pPr>
    </w:p>
    <w:p>
      <w:pPr>
        <w:spacing w:line="480" w:lineRule="auto"/>
        <w:ind w:firstLine="5400" w:firstLineChars="2250"/>
        <w:rPr>
          <w:rFonts w:ascii="宋体" w:hAnsi="宋体"/>
          <w:bCs/>
          <w:color w:val="auto"/>
          <w:sz w:val="24"/>
          <w:highlight w:val="none"/>
        </w:rPr>
      </w:pPr>
    </w:p>
    <w:p>
      <w:pPr>
        <w:spacing w:line="480" w:lineRule="auto"/>
        <w:ind w:firstLine="4560" w:firstLineChars="1900"/>
        <w:rPr>
          <w:rFonts w:ascii="宋体" w:hAnsi="宋体"/>
          <w:bCs/>
          <w:color w:val="auto"/>
          <w:sz w:val="24"/>
          <w:highlight w:val="none"/>
        </w:rPr>
      </w:pPr>
      <w:r>
        <w:rPr>
          <w:rFonts w:hint="eastAsia" w:ascii="宋体" w:hAnsi="宋体"/>
          <w:color w:val="auto"/>
          <w:sz w:val="24"/>
          <w:highlight w:val="none"/>
        </w:rPr>
        <w:t>投标人</w:t>
      </w:r>
      <w:r>
        <w:rPr>
          <w:rFonts w:hint="eastAsia" w:ascii="宋体" w:hAnsi="宋体"/>
          <w:bCs/>
          <w:color w:val="auto"/>
          <w:sz w:val="24"/>
          <w:highlight w:val="none"/>
        </w:rPr>
        <w:t>（盖章）：</w:t>
      </w:r>
    </w:p>
    <w:p>
      <w:pPr>
        <w:ind w:right="960"/>
        <w:jc w:val="center"/>
        <w:outlineLvl w:val="0"/>
        <w:rPr>
          <w:rFonts w:ascii="宋体" w:hAnsi="宋体"/>
          <w:bCs/>
          <w:color w:val="auto"/>
          <w:sz w:val="24"/>
          <w:highlight w:val="none"/>
        </w:rPr>
      </w:pPr>
      <w:r>
        <w:rPr>
          <w:rFonts w:hint="eastAsia" w:ascii="宋体" w:hAnsi="宋体"/>
          <w:color w:val="auto"/>
          <w:sz w:val="24"/>
          <w:highlight w:val="none"/>
        </w:rPr>
        <w:t>法定代表人或</w:t>
      </w:r>
      <w:r>
        <w:rPr>
          <w:rFonts w:hint="eastAsia" w:ascii="宋体" w:hAnsi="宋体"/>
          <w:bCs/>
          <w:color w:val="auto"/>
          <w:sz w:val="24"/>
          <w:szCs w:val="24"/>
          <w:highlight w:val="none"/>
        </w:rPr>
        <w:t>法定代表人授权代表（签字或盖章）：</w:t>
      </w:r>
    </w:p>
    <w:p>
      <w:pPr>
        <w:spacing w:line="520" w:lineRule="exact"/>
        <w:ind w:right="720" w:firstLine="3960" w:firstLineChars="1650"/>
        <w:jc w:val="right"/>
        <w:rPr>
          <w:rFonts w:ascii="宋体" w:hAnsi="宋体"/>
          <w:color w:val="auto"/>
          <w:sz w:val="24"/>
          <w:highlight w:val="none"/>
        </w:rPr>
      </w:pPr>
      <w:r>
        <w:rPr>
          <w:rFonts w:hint="eastAsia" w:ascii="宋体" w:hAnsi="宋体"/>
          <w:color w:val="auto"/>
          <w:sz w:val="24"/>
          <w:highlight w:val="none"/>
        </w:rPr>
        <w:t xml:space="preserve">                年    月     日</w:t>
      </w:r>
    </w:p>
    <w:p>
      <w:pPr>
        <w:ind w:firstLine="360" w:firstLineChars="150"/>
        <w:jc w:val="center"/>
        <w:rPr>
          <w:rFonts w:ascii="宋体" w:hAnsi="宋体" w:cs="宋体"/>
          <w:bCs/>
          <w:color w:val="auto"/>
          <w:sz w:val="24"/>
          <w:highlight w:val="none"/>
        </w:rPr>
      </w:pPr>
    </w:p>
    <w:p>
      <w:pPr>
        <w:ind w:firstLine="360" w:firstLineChars="150"/>
        <w:jc w:val="center"/>
        <w:rPr>
          <w:rFonts w:ascii="宋体" w:hAnsi="宋体" w:cs="宋体"/>
          <w:bCs/>
          <w:color w:val="auto"/>
          <w:sz w:val="24"/>
          <w:highlight w:val="none"/>
        </w:rPr>
      </w:pPr>
    </w:p>
    <w:p>
      <w:pPr>
        <w:ind w:firstLine="360" w:firstLineChars="150"/>
        <w:jc w:val="center"/>
        <w:rPr>
          <w:rFonts w:ascii="宋体" w:hAnsi="宋体" w:cs="宋体"/>
          <w:bCs/>
          <w:color w:val="auto"/>
          <w:sz w:val="24"/>
          <w:highlight w:val="none"/>
        </w:rPr>
      </w:pPr>
    </w:p>
    <w:p>
      <w:pPr>
        <w:ind w:firstLine="360" w:firstLineChars="150"/>
        <w:jc w:val="center"/>
        <w:rPr>
          <w:rFonts w:ascii="宋体" w:hAnsi="宋体" w:cs="宋体"/>
          <w:bCs/>
          <w:color w:val="auto"/>
          <w:sz w:val="24"/>
          <w:highlight w:val="none"/>
        </w:rPr>
      </w:pPr>
    </w:p>
    <w:p>
      <w:pPr>
        <w:ind w:firstLine="360" w:firstLineChars="150"/>
        <w:jc w:val="center"/>
        <w:rPr>
          <w:rFonts w:ascii="宋体" w:hAnsi="宋体" w:cs="宋体"/>
          <w:bCs/>
          <w:color w:val="auto"/>
          <w:sz w:val="24"/>
          <w:highlight w:val="none"/>
        </w:rPr>
      </w:pPr>
    </w:p>
    <w:p>
      <w:pPr>
        <w:ind w:firstLine="360" w:firstLineChars="150"/>
        <w:jc w:val="center"/>
        <w:rPr>
          <w:rFonts w:ascii="宋体" w:hAnsi="宋体" w:cs="宋体"/>
          <w:bCs/>
          <w:color w:val="auto"/>
          <w:sz w:val="24"/>
          <w:highlight w:val="none"/>
        </w:rPr>
      </w:pPr>
    </w:p>
    <w:p>
      <w:pPr>
        <w:ind w:firstLine="420" w:firstLineChars="150"/>
        <w:jc w:val="center"/>
        <w:rPr>
          <w:rFonts w:ascii="宋体" w:hAnsi="宋体" w:cs="宋体"/>
          <w:bCs/>
          <w:color w:val="auto"/>
          <w:sz w:val="28"/>
          <w:szCs w:val="28"/>
          <w:highlight w:val="none"/>
        </w:rPr>
      </w:pPr>
    </w:p>
    <w:p>
      <w:pPr>
        <w:ind w:firstLine="420" w:firstLineChars="150"/>
        <w:jc w:val="center"/>
        <w:rPr>
          <w:rFonts w:ascii="宋体" w:hAnsi="宋体" w:cs="宋体"/>
          <w:bCs/>
          <w:color w:val="auto"/>
          <w:sz w:val="28"/>
          <w:szCs w:val="28"/>
          <w:highlight w:val="none"/>
        </w:rPr>
      </w:pPr>
    </w:p>
    <w:p>
      <w:pPr>
        <w:ind w:firstLine="420" w:firstLineChars="150"/>
        <w:jc w:val="center"/>
        <w:rPr>
          <w:rFonts w:ascii="宋体" w:hAnsi="宋体" w:cs="宋体"/>
          <w:bCs/>
          <w:color w:val="auto"/>
          <w:sz w:val="28"/>
          <w:szCs w:val="28"/>
          <w:highlight w:val="none"/>
        </w:rPr>
      </w:pPr>
    </w:p>
    <w:p>
      <w:pPr>
        <w:ind w:firstLine="480" w:firstLineChars="150"/>
        <w:jc w:val="center"/>
        <w:rPr>
          <w:rFonts w:ascii="宋体" w:hAnsi="宋体" w:cs="宋体"/>
          <w:bCs/>
          <w:color w:val="auto"/>
          <w:sz w:val="32"/>
          <w:szCs w:val="32"/>
          <w:highlight w:val="none"/>
        </w:rPr>
      </w:pPr>
    </w:p>
    <w:p>
      <w:pPr>
        <w:ind w:firstLine="482" w:firstLineChars="150"/>
        <w:jc w:val="cente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承诺书二  廉洁承诺书</w:t>
      </w:r>
    </w:p>
    <w:p>
      <w:pPr>
        <w:ind w:left="420"/>
        <w:jc w:val="center"/>
        <w:outlineLvl w:val="0"/>
        <w:rPr>
          <w:rFonts w:ascii="宋体" w:hAnsi="宋体" w:cs="宋体"/>
          <w:bCs/>
          <w:color w:val="auto"/>
          <w:sz w:val="32"/>
          <w:szCs w:val="32"/>
          <w:highlight w:val="none"/>
        </w:rPr>
      </w:pP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积极配合贵单位为平台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1、自觉遵守国家法律法规及有关廉政建设制度。</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2、主动了解贵单位招投标纪律，积极配合贵单位执行招投标廉政建设的有关规定。</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3、不使用不正当手段妨碍、排挤其他投标人或串通投标。</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4、按照采购文件规定的方式进行投标，不隐瞒本单位投标资质的真实情况，投标资质符合规定。</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6、不向设计招标的单位及个人购置或提供通讯工具、交通工具和高档办公用品等。</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7、不向涉及招标的单位及个人的配偶、子女、亲属分包此次招标项目。</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8、不向涉及招标的单位及个人支付好处费、介绍费。</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9、一旦发现相关人员在招标过程中有索要财物等不廉洁行为，坚决予以抵制，并及时向贵单位纪检监察室举报。</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我们若违反上述承诺，愿接收取消投标资格及其他任何形式的处理。</w:t>
      </w:r>
    </w:p>
    <w:p>
      <w:pPr>
        <w:spacing w:line="520" w:lineRule="exact"/>
        <w:rPr>
          <w:rFonts w:ascii="宋体" w:hAnsi="宋体" w:cs="宋体"/>
          <w:color w:val="auto"/>
          <w:sz w:val="24"/>
          <w:highlight w:val="none"/>
        </w:rPr>
      </w:pPr>
    </w:p>
    <w:p>
      <w:pPr>
        <w:spacing w:line="520" w:lineRule="exact"/>
        <w:ind w:firstLine="6000" w:firstLineChars="2500"/>
        <w:rPr>
          <w:rFonts w:ascii="宋体" w:hAnsi="宋体" w:cs="宋体"/>
          <w:color w:val="auto"/>
          <w:sz w:val="24"/>
          <w:highlight w:val="none"/>
        </w:rPr>
      </w:pPr>
    </w:p>
    <w:p>
      <w:pPr>
        <w:wordWrap w:val="0"/>
        <w:spacing w:before="240" w:line="360" w:lineRule="auto"/>
        <w:ind w:firstLine="5520" w:firstLineChars="23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bCs/>
          <w:color w:val="auto"/>
          <w:sz w:val="24"/>
          <w:highlight w:val="none"/>
        </w:rPr>
        <w:t>盖章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pPr>
        <w:spacing w:before="240" w:line="360" w:lineRule="auto"/>
        <w:ind w:firstLine="480"/>
        <w:jc w:val="center"/>
        <w:rPr>
          <w:rFonts w:hint="eastAsia" w:ascii="宋体" w:hAnsi="宋体" w:eastAsia="宋体" w:cs="宋体"/>
          <w:color w:val="auto"/>
          <w:sz w:val="24"/>
          <w:highlight w:val="none"/>
          <w:lang w:eastAsia="zh-CN"/>
        </w:rPr>
      </w:pPr>
      <w:r>
        <w:rPr>
          <w:rFonts w:hint="eastAsia" w:ascii="宋体" w:hAnsi="宋体"/>
          <w:color w:val="auto"/>
          <w:sz w:val="24"/>
          <w:highlight w:val="none"/>
        </w:rPr>
        <w:t>法定代表人或</w:t>
      </w:r>
      <w:r>
        <w:rPr>
          <w:rFonts w:hint="eastAsia" w:ascii="宋体" w:hAnsi="宋体"/>
          <w:bCs/>
          <w:color w:val="auto"/>
          <w:sz w:val="24"/>
          <w:szCs w:val="24"/>
          <w:highlight w:val="none"/>
        </w:rPr>
        <w:t>法定代表人授权代表（签字或盖章）：</w:t>
      </w:r>
    </w:p>
    <w:p>
      <w:pPr>
        <w:spacing w:line="460" w:lineRule="exact"/>
        <w:ind w:firstLine="420" w:firstLineChars="175"/>
        <w:jc w:val="right"/>
        <w:outlineLvl w:val="0"/>
        <w:rPr>
          <w:rFonts w:ascii="宋体" w:hAnsi="宋体" w:cs="宋体"/>
          <w:color w:val="auto"/>
          <w:sz w:val="24"/>
          <w:highlight w:val="none"/>
        </w:rPr>
      </w:pPr>
      <w:r>
        <w:rPr>
          <w:rFonts w:hint="eastAsia" w:ascii="宋体" w:hAnsi="宋体" w:cs="宋体"/>
          <w:color w:val="auto"/>
          <w:sz w:val="24"/>
          <w:highlight w:val="none"/>
        </w:rPr>
        <w:t xml:space="preserve">                            年    月    日</w:t>
      </w:r>
    </w:p>
    <w:p>
      <w:pPr>
        <w:jc w:val="left"/>
        <w:rPr>
          <w:rFonts w:ascii="宋体" w:hAnsi="宋体" w:cs="宋体"/>
          <w:color w:val="auto"/>
          <w:sz w:val="24"/>
          <w:highlight w:val="none"/>
        </w:rPr>
      </w:pPr>
      <w:r>
        <w:rPr>
          <w:rFonts w:hint="eastAsia" w:ascii="宋体" w:hAnsi="宋体" w:cs="宋体"/>
          <w:color w:val="auto"/>
          <w:sz w:val="24"/>
          <w:highlight w:val="none"/>
        </w:rPr>
        <w:br w:type="page"/>
      </w:r>
    </w:p>
    <w:p>
      <w:pPr>
        <w:jc w:val="both"/>
        <w:outlineLvl w:val="0"/>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）投标人基本情况声明</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格式）：</w:t>
      </w:r>
    </w:p>
    <w:p>
      <w:pPr>
        <w:pStyle w:val="2"/>
        <w:jc w:val="center"/>
        <w:rPr>
          <w:rFonts w:hint="eastAsia" w:ascii="宋体" w:hAnsi="宋体" w:eastAsia="宋体" w:cs="宋体"/>
          <w:b/>
          <w:bCs w:val="0"/>
          <w:color w:val="auto"/>
          <w:kern w:val="2"/>
          <w:sz w:val="32"/>
          <w:szCs w:val="32"/>
          <w:highlight w:val="none"/>
          <w:lang w:val="en-US" w:eastAsia="zh-CN" w:bidi="ar-SA"/>
        </w:rPr>
      </w:pPr>
    </w:p>
    <w:p>
      <w:pPr>
        <w:pStyle w:val="2"/>
        <w:jc w:val="center"/>
        <w:rPr>
          <w:rFonts w:hint="default"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投标人基本情况声明</w:t>
      </w:r>
    </w:p>
    <w:tbl>
      <w:tblPr>
        <w:tblStyle w:val="67"/>
        <w:tblW w:w="9498" w:type="dxa"/>
        <w:tblInd w:w="108" w:type="dxa"/>
        <w:shd w:val="clear" w:color="auto" w:fill="FFFFFF"/>
        <w:tblLayout w:type="fixed"/>
        <w:tblCellMar>
          <w:top w:w="0" w:type="dxa"/>
          <w:left w:w="0" w:type="dxa"/>
          <w:bottom w:w="0" w:type="dxa"/>
          <w:right w:w="0" w:type="dxa"/>
        </w:tblCellMar>
      </w:tblPr>
      <w:tblGrid>
        <w:gridCol w:w="3067"/>
        <w:gridCol w:w="1115"/>
        <w:gridCol w:w="1727"/>
        <w:gridCol w:w="3589"/>
      </w:tblGrid>
      <w:tr>
        <w:tblPrEx>
          <w:shd w:val="clear" w:color="auto" w:fill="FFFFFF"/>
          <w:tblCellMar>
            <w:top w:w="0" w:type="dxa"/>
            <w:left w:w="0" w:type="dxa"/>
            <w:bottom w:w="0" w:type="dxa"/>
            <w:right w:w="0" w:type="dxa"/>
          </w:tblCellMar>
        </w:tblPrEx>
        <w:trPr>
          <w:trHeight w:val="611"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rPr>
                <w:rFonts w:ascii="宋体" w:hAnsi="宋体" w:cs="宋体"/>
                <w:color w:val="auto"/>
                <w:kern w:val="0"/>
                <w:szCs w:val="21"/>
                <w:highlight w:val="none"/>
              </w:rPr>
            </w:pPr>
            <w:r>
              <w:rPr>
                <w:rFonts w:hint="eastAsia" w:ascii="宋体" w:hAnsi="宋体" w:cs="宋体"/>
                <w:b/>
                <w:color w:val="auto"/>
                <w:sz w:val="28"/>
                <w:szCs w:val="28"/>
                <w:highlight w:val="none"/>
              </w:rPr>
              <w:t xml:space="preserve"> </w:t>
            </w:r>
            <w:r>
              <w:rPr>
                <w:rFonts w:hint="eastAsia" w:ascii="宋体" w:hAnsi="宋体" w:cs="宋体"/>
                <w:color w:val="auto"/>
                <w:kern w:val="0"/>
                <w:szCs w:val="21"/>
                <w:highlight w:val="none"/>
              </w:rPr>
              <w:t>法定代表人（负责人）</w:t>
            </w:r>
          </w:p>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 w:val="18"/>
                <w:szCs w:val="18"/>
                <w:highlight w:val="none"/>
              </w:rPr>
              <w:t>（</w:t>
            </w:r>
            <w:r>
              <w:rPr>
                <w:rFonts w:hint="eastAsia" w:ascii="宋体" w:hAnsi="宋体" w:cs="宋体"/>
                <w:bCs/>
                <w:color w:val="auto"/>
                <w:sz w:val="18"/>
                <w:szCs w:val="18"/>
                <w:highlight w:val="none"/>
              </w:rPr>
              <w:t>盖章</w:t>
            </w:r>
            <w:r>
              <w:rPr>
                <w:rFonts w:hint="eastAsia" w:ascii="宋体" w:hAnsi="宋体" w:cs="宋体"/>
                <w:color w:val="auto"/>
                <w:kern w:val="0"/>
                <w:sz w:val="18"/>
                <w:szCs w:val="18"/>
                <w:highlight w:val="none"/>
              </w:rPr>
              <w:t>）</w:t>
            </w:r>
          </w:p>
        </w:tc>
        <w:tc>
          <w:tcPr>
            <w:tcW w:w="11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成立日期</w:t>
            </w:r>
          </w:p>
        </w:tc>
        <w:tc>
          <w:tcPr>
            <w:tcW w:w="3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ind w:firstLine="66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r>
        <w:tblPrEx>
          <w:shd w:val="clear" w:color="auto" w:fill="FFFFFF"/>
          <w:tblCellMar>
            <w:top w:w="0" w:type="dxa"/>
            <w:left w:w="0" w:type="dxa"/>
            <w:bottom w:w="0" w:type="dxa"/>
            <w:right w:w="0" w:type="dxa"/>
          </w:tblCellMar>
        </w:tblPrEx>
        <w:trPr>
          <w:trHeight w:val="611"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企业地址</w:t>
            </w:r>
          </w:p>
        </w:tc>
        <w:tc>
          <w:tcPr>
            <w:tcW w:w="11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3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ind w:firstLine="1995"/>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万元</w:t>
            </w:r>
          </w:p>
        </w:tc>
      </w:tr>
      <w:tr>
        <w:tblPrEx>
          <w:shd w:val="clear" w:color="auto" w:fill="FFFFFF"/>
          <w:tblCellMar>
            <w:top w:w="0" w:type="dxa"/>
            <w:left w:w="0" w:type="dxa"/>
            <w:bottom w:w="0" w:type="dxa"/>
            <w:right w:w="0" w:type="dxa"/>
          </w:tblCellMar>
        </w:tblPrEx>
        <w:trPr>
          <w:trHeight w:val="611"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shd w:val="clear" w:color="auto" w:fill="FFFFFF"/>
          <w:tblCellMar>
            <w:top w:w="0" w:type="dxa"/>
            <w:left w:w="0" w:type="dxa"/>
            <w:bottom w:w="0" w:type="dxa"/>
            <w:right w:w="0" w:type="dxa"/>
          </w:tblCellMar>
        </w:tblPrEx>
        <w:trPr>
          <w:trHeight w:val="1175"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职工人数</w:t>
            </w:r>
          </w:p>
        </w:tc>
        <w:tc>
          <w:tcPr>
            <w:tcW w:w="11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31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其中：</w:t>
            </w:r>
          </w:p>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中级职称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人，高级职称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人</w:t>
            </w:r>
          </w:p>
        </w:tc>
      </w:tr>
      <w:tr>
        <w:tblPrEx>
          <w:shd w:val="clear" w:color="auto" w:fill="FFFFFF"/>
          <w:tblCellMar>
            <w:top w:w="0" w:type="dxa"/>
            <w:left w:w="0" w:type="dxa"/>
            <w:bottom w:w="0" w:type="dxa"/>
            <w:right w:w="0" w:type="dxa"/>
          </w:tblCellMar>
        </w:tblPrEx>
        <w:trPr>
          <w:trHeight w:val="938" w:hRule="atLeast"/>
        </w:trPr>
        <w:tc>
          <w:tcPr>
            <w:tcW w:w="3067"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单位简历及</w:t>
            </w:r>
          </w:p>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内设机构情况</w:t>
            </w:r>
          </w:p>
        </w:tc>
        <w:tc>
          <w:tcPr>
            <w:tcW w:w="6431" w:type="dxa"/>
            <w:gridSpan w:val="3"/>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p>
        </w:tc>
      </w:tr>
      <w:tr>
        <w:tblPrEx>
          <w:shd w:val="clear" w:color="auto" w:fill="FFFFFF"/>
          <w:tblCellMar>
            <w:top w:w="0" w:type="dxa"/>
            <w:left w:w="0" w:type="dxa"/>
            <w:bottom w:w="0" w:type="dxa"/>
            <w:right w:w="0" w:type="dxa"/>
          </w:tblCellMar>
        </w:tblPrEx>
        <w:trPr>
          <w:trHeight w:val="862" w:hRule="atLeast"/>
        </w:trPr>
        <w:tc>
          <w:tcPr>
            <w:tcW w:w="3067"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单位优势及特长</w:t>
            </w:r>
          </w:p>
        </w:tc>
        <w:tc>
          <w:tcPr>
            <w:tcW w:w="6431" w:type="dxa"/>
            <w:gridSpan w:val="3"/>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textAlignment w:val="baseline"/>
              <w:rPr>
                <w:rFonts w:ascii="宋体" w:hAnsi="宋体" w:cs="宋体"/>
                <w:color w:val="auto"/>
                <w:kern w:val="0"/>
                <w:szCs w:val="21"/>
                <w:highlight w:val="none"/>
              </w:rPr>
            </w:pPr>
          </w:p>
        </w:tc>
      </w:tr>
      <w:tr>
        <w:tblPrEx>
          <w:shd w:val="clear" w:color="auto" w:fill="FFFFFF"/>
          <w:tblCellMar>
            <w:top w:w="0" w:type="dxa"/>
            <w:left w:w="0" w:type="dxa"/>
            <w:bottom w:w="0" w:type="dxa"/>
            <w:right w:w="0" w:type="dxa"/>
          </w:tblCellMar>
        </w:tblPrEx>
        <w:trPr>
          <w:trHeight w:val="902"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最近3年来完成或正在履行的重大合同情况</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p>
        </w:tc>
      </w:tr>
      <w:tr>
        <w:tblPrEx>
          <w:shd w:val="clear" w:color="auto" w:fill="FFFFFF"/>
          <w:tblCellMar>
            <w:top w:w="0" w:type="dxa"/>
            <w:left w:w="0" w:type="dxa"/>
            <w:bottom w:w="0" w:type="dxa"/>
            <w:right w:w="0" w:type="dxa"/>
          </w:tblCellMar>
        </w:tblPrEx>
        <w:trPr>
          <w:trHeight w:val="1175"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最近2年内在经营过程中受到何种奖励或处分</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（包括但不限于交通、旅游、财政、工商、税务、物价等部门稽查情况和结果）</w:t>
            </w:r>
          </w:p>
        </w:tc>
      </w:tr>
      <w:tr>
        <w:tblPrEx>
          <w:shd w:val="clear" w:color="auto" w:fill="FFFFFF"/>
          <w:tblCellMar>
            <w:top w:w="0" w:type="dxa"/>
            <w:left w:w="0" w:type="dxa"/>
            <w:bottom w:w="0" w:type="dxa"/>
            <w:right w:w="0" w:type="dxa"/>
          </w:tblCellMar>
        </w:tblPrEx>
        <w:trPr>
          <w:trHeight w:val="1737"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最近3年内有无因违纪或是其他原因被消费者投诉或起诉的情况及说明</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（包括解决方式和结果）</w:t>
            </w:r>
          </w:p>
        </w:tc>
      </w:tr>
      <w:tr>
        <w:tblPrEx>
          <w:shd w:val="clear" w:color="auto" w:fill="FFFFFF"/>
          <w:tblCellMar>
            <w:top w:w="0" w:type="dxa"/>
            <w:left w:w="0" w:type="dxa"/>
            <w:bottom w:w="0" w:type="dxa"/>
            <w:right w:w="0" w:type="dxa"/>
          </w:tblCellMar>
        </w:tblPrEx>
        <w:trPr>
          <w:trHeight w:val="1737" w:hRule="atLeast"/>
        </w:trPr>
        <w:tc>
          <w:tcPr>
            <w:tcW w:w="30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最近3年内主要负责人有无因经济犯罪被司法机关追究的情况及说明</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1052" w:hRule="atLeast"/>
        </w:trPr>
        <w:tc>
          <w:tcPr>
            <w:tcW w:w="9498" w:type="dxa"/>
            <w:gridSpan w:val="4"/>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其他需要说明的情况：</w:t>
            </w:r>
          </w:p>
        </w:tc>
      </w:tr>
    </w:tbl>
    <w:p>
      <w:pPr>
        <w:rPr>
          <w:rFonts w:ascii="宋体" w:hAnsi="宋体" w:cs="宋体"/>
          <w:bCs/>
          <w:color w:val="auto"/>
          <w:szCs w:val="21"/>
          <w:highlight w:val="none"/>
        </w:rPr>
      </w:pPr>
      <w:r>
        <w:rPr>
          <w:rFonts w:hint="eastAsia" w:ascii="宋体" w:hAnsi="宋体" w:cs="宋体"/>
          <w:b/>
          <w:bCs/>
          <w:color w:val="auto"/>
          <w:sz w:val="24"/>
          <w:highlight w:val="none"/>
        </w:rPr>
        <w:t>法定代表人或法定代表人授权代表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签字或盖章</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p>
    <w:p>
      <w:pPr>
        <w:pStyle w:val="2"/>
        <w:rPr>
          <w:rFonts w:hint="eastAsia" w:ascii="宋体" w:hAnsi="宋体" w:cs="宋体"/>
          <w:color w:val="auto"/>
          <w:sz w:val="24"/>
          <w:highlight w:val="none"/>
        </w:rPr>
      </w:pPr>
    </w:p>
    <w:p>
      <w:pPr>
        <w:pStyle w:val="2"/>
        <w:rPr>
          <w:color w:val="auto"/>
          <w:highlight w:val="none"/>
        </w:rPr>
      </w:pPr>
      <w:r>
        <w:rPr>
          <w:rFonts w:hint="eastAsia" w:ascii="宋体" w:hAnsi="宋体" w:cs="宋体"/>
          <w:color w:val="auto"/>
          <w:sz w:val="24"/>
          <w:highlight w:val="none"/>
        </w:rPr>
        <w:t>注：</w:t>
      </w:r>
      <w:r>
        <w:rPr>
          <w:rFonts w:hint="eastAsia" w:ascii="宋体" w:hAnsi="宋体" w:cs="宋体"/>
          <w:bCs/>
          <w:color w:val="auto"/>
          <w:sz w:val="24"/>
          <w:highlight w:val="none"/>
        </w:rPr>
        <w:t>上表不够可自行延长。</w:t>
      </w:r>
    </w:p>
    <w:p>
      <w:pPr>
        <w:jc w:val="left"/>
        <w:rPr>
          <w:rFonts w:hint="eastAsia" w:ascii="宋体" w:hAnsi="宋体" w:eastAsia="宋体"/>
          <w:b/>
          <w:color w:val="auto"/>
          <w:sz w:val="28"/>
          <w:szCs w:val="28"/>
          <w:highlight w:val="none"/>
          <w:lang w:eastAsia="zh-CN"/>
        </w:rPr>
      </w:pPr>
      <w:r>
        <w:rPr>
          <w:rFonts w:hint="eastAsia" w:ascii="宋体" w:hAnsi="宋体" w:cs="宋体"/>
          <w:color w:val="auto"/>
          <w:sz w:val="24"/>
          <w:highlight w:val="none"/>
        </w:rPr>
        <w:br w:type="page"/>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w:t>
      </w:r>
      <w:r>
        <w:rPr>
          <w:rFonts w:ascii="宋体" w:hAnsi="宋体"/>
          <w:b/>
          <w:color w:val="auto"/>
          <w:sz w:val="30"/>
          <w:szCs w:val="30"/>
          <w:highlight w:val="none"/>
        </w:rPr>
        <w:t>中小企业声明函</w:t>
      </w:r>
      <w:r>
        <w:rPr>
          <w:rFonts w:hint="eastAsia" w:ascii="宋体" w:hAnsi="宋体" w:eastAsia="宋体" w:cs="Times New Roman"/>
          <w:b/>
          <w:color w:val="auto"/>
          <w:sz w:val="30"/>
          <w:szCs w:val="30"/>
          <w:highlight w:val="none"/>
          <w:lang w:eastAsia="zh-CN"/>
        </w:rPr>
        <w:t>、</w:t>
      </w:r>
      <w:r>
        <w:rPr>
          <w:rFonts w:hint="eastAsia" w:ascii="宋体" w:hAnsi="宋体" w:eastAsia="宋体" w:cs="Times New Roman"/>
          <w:b/>
          <w:color w:val="auto"/>
          <w:sz w:val="30"/>
          <w:szCs w:val="30"/>
          <w:highlight w:val="none"/>
        </w:rPr>
        <w:t>残疾人福利性单位声明函</w:t>
      </w:r>
      <w:r>
        <w:rPr>
          <w:rFonts w:ascii="宋体" w:hAnsi="宋体"/>
          <w:b/>
          <w:color w:val="auto"/>
          <w:sz w:val="30"/>
          <w:szCs w:val="30"/>
          <w:highlight w:val="none"/>
        </w:rPr>
        <w:t>（</w:t>
      </w:r>
      <w:r>
        <w:rPr>
          <w:rFonts w:hint="eastAsia" w:ascii="宋体" w:hAnsi="宋体"/>
          <w:b/>
          <w:color w:val="auto"/>
          <w:sz w:val="30"/>
          <w:szCs w:val="30"/>
          <w:highlight w:val="none"/>
          <w:lang w:val="en-US" w:eastAsia="zh-CN"/>
        </w:rPr>
        <w:t>格式</w:t>
      </w:r>
      <w:r>
        <w:rPr>
          <w:rFonts w:ascii="宋体" w:hAnsi="宋体"/>
          <w:b/>
          <w:color w:val="auto"/>
          <w:sz w:val="30"/>
          <w:szCs w:val="30"/>
          <w:highlight w:val="none"/>
        </w:rPr>
        <w:t>）</w:t>
      </w:r>
      <w:r>
        <w:rPr>
          <w:rFonts w:hint="eastAsia" w:ascii="宋体" w:hAnsi="宋体"/>
          <w:b/>
          <w:color w:val="auto"/>
          <w:sz w:val="30"/>
          <w:szCs w:val="30"/>
          <w:highlight w:val="none"/>
          <w:lang w:eastAsia="zh-CN"/>
        </w:rPr>
        <w:t>：</w:t>
      </w:r>
    </w:p>
    <w:p>
      <w:pPr>
        <w:rPr>
          <w:rFonts w:ascii="宋体" w:hAnsi="宋体" w:cs="宋体"/>
          <w:bCs/>
          <w:color w:val="auto"/>
          <w:sz w:val="24"/>
          <w:highlight w:val="none"/>
        </w:rPr>
      </w:pPr>
    </w:p>
    <w:p>
      <w:pPr>
        <w:jc w:val="center"/>
        <w:rPr>
          <w:rFonts w:ascii="宋体" w:hAnsi="宋体"/>
          <w:b/>
          <w:color w:val="auto"/>
          <w:sz w:val="32"/>
          <w:szCs w:val="32"/>
          <w:highlight w:val="none"/>
        </w:rPr>
      </w:pPr>
      <w:r>
        <w:rPr>
          <w:rFonts w:ascii="宋体" w:hAnsi="宋体"/>
          <w:b/>
          <w:color w:val="auto"/>
          <w:sz w:val="32"/>
          <w:szCs w:val="32"/>
          <w:highlight w:val="none"/>
        </w:rPr>
        <w:t>中小企业声明函（服务）</w:t>
      </w:r>
    </w:p>
    <w:p>
      <w:pPr>
        <w:spacing w:line="580" w:lineRule="exact"/>
        <w:ind w:firstLine="480" w:firstLineChars="200"/>
        <w:rPr>
          <w:rFonts w:ascii="宋体" w:hAnsi="宋体"/>
          <w:bCs/>
          <w:color w:val="auto"/>
          <w:sz w:val="24"/>
          <w:highlight w:val="none"/>
        </w:rPr>
      </w:pPr>
      <w:r>
        <w:rPr>
          <w:rFonts w:ascii="宋体" w:hAnsi="宋体"/>
          <w:bCs/>
          <w:color w:val="auto"/>
          <w:sz w:val="24"/>
          <w:highlight w:val="none"/>
        </w:rPr>
        <w:t xml:space="preserve">本公司（联合体）郑重声明，根据《政府采购促进中小企业发展管理办法》（财库﹝2020﹞46 号）的规定，本公司 </w:t>
      </w:r>
      <w:r>
        <w:rPr>
          <w:rFonts w:ascii="宋体" w:hAnsi="宋体"/>
          <w:bCs/>
          <w:color w:val="auto"/>
          <w:sz w:val="24"/>
          <w:highlight w:val="none"/>
          <w:u w:val="single"/>
        </w:rPr>
        <w:t>（联合体）</w:t>
      </w:r>
      <w:r>
        <w:rPr>
          <w:rFonts w:ascii="宋体" w:hAnsi="宋体"/>
          <w:bCs/>
          <w:color w:val="auto"/>
          <w:sz w:val="24"/>
          <w:highlight w:val="none"/>
        </w:rPr>
        <w:t>参加</w:t>
      </w:r>
      <w:r>
        <w:rPr>
          <w:rFonts w:ascii="宋体" w:hAnsi="宋体"/>
          <w:bCs/>
          <w:color w:val="auto"/>
          <w:sz w:val="24"/>
          <w:highlight w:val="none"/>
          <w:u w:val="single"/>
        </w:rPr>
        <w:t>（单位名称）</w:t>
      </w:r>
      <w:r>
        <w:rPr>
          <w:rFonts w:ascii="宋体" w:hAnsi="宋体"/>
          <w:bCs/>
          <w:color w:val="auto"/>
          <w:sz w:val="24"/>
          <w:highlight w:val="none"/>
        </w:rPr>
        <w:t>的</w:t>
      </w:r>
      <w:r>
        <w:rPr>
          <w:rFonts w:ascii="宋体" w:hAnsi="宋体"/>
          <w:bCs/>
          <w:color w:val="auto"/>
          <w:sz w:val="24"/>
          <w:highlight w:val="none"/>
          <w:u w:val="single"/>
        </w:rPr>
        <w:t>（项目名称）</w:t>
      </w:r>
      <w:r>
        <w:rPr>
          <w:rFonts w:ascii="宋体" w:hAnsi="宋体"/>
          <w:bCs/>
          <w:color w:val="auto"/>
          <w:sz w:val="24"/>
          <w:highlight w:val="none"/>
        </w:rPr>
        <w:t>采购活动，服务全部由符合政策要求的中小企业承接。相关企业（含联合体中的中小企业、签订分包意向协议的中小企业）的具体情况如下</w:t>
      </w:r>
      <w:r>
        <w:rPr>
          <w:rFonts w:hint="eastAsia" w:ascii="宋体" w:hAnsi="宋体"/>
          <w:bCs/>
          <w:color w:val="auto"/>
          <w:sz w:val="24"/>
          <w:highlight w:val="none"/>
        </w:rPr>
        <w:t>：</w:t>
      </w:r>
    </w:p>
    <w:p>
      <w:pPr>
        <w:spacing w:line="580" w:lineRule="exact"/>
        <w:ind w:firstLine="480" w:firstLineChars="200"/>
        <w:rPr>
          <w:rFonts w:ascii="宋体" w:hAnsi="宋体"/>
          <w:bCs/>
          <w:color w:val="auto"/>
          <w:sz w:val="24"/>
          <w:highlight w:val="none"/>
        </w:rPr>
      </w:pPr>
      <w:r>
        <w:rPr>
          <w:rFonts w:ascii="宋体" w:hAnsi="宋体"/>
          <w:bCs/>
          <w:color w:val="auto"/>
          <w:sz w:val="24"/>
          <w:highlight w:val="none"/>
        </w:rPr>
        <w:t>1.</w:t>
      </w:r>
      <w:r>
        <w:rPr>
          <w:rFonts w:ascii="宋体" w:hAnsi="宋体"/>
          <w:bCs/>
          <w:color w:val="auto"/>
          <w:sz w:val="24"/>
          <w:highlight w:val="none"/>
          <w:u w:val="single"/>
        </w:rPr>
        <w:t xml:space="preserve"> （标的名称） </w:t>
      </w:r>
      <w:r>
        <w:rPr>
          <w:rFonts w:ascii="宋体" w:hAnsi="宋体"/>
          <w:bCs/>
          <w:color w:val="auto"/>
          <w:sz w:val="24"/>
          <w:highlight w:val="none"/>
        </w:rPr>
        <w:t>，属于</w:t>
      </w:r>
      <w:r>
        <w:rPr>
          <w:rFonts w:ascii="宋体" w:hAnsi="宋体"/>
          <w:bCs/>
          <w:color w:val="auto"/>
          <w:sz w:val="24"/>
          <w:highlight w:val="none"/>
          <w:u w:val="single"/>
        </w:rPr>
        <w:t>（采购文件中明确的所属行业）</w:t>
      </w:r>
      <w:r>
        <w:rPr>
          <w:rFonts w:ascii="宋体" w:hAnsi="宋体"/>
          <w:bCs/>
          <w:color w:val="auto"/>
          <w:sz w:val="24"/>
          <w:highlight w:val="none"/>
        </w:rPr>
        <w:t>； 承建（承接）企业为</w:t>
      </w:r>
      <w:r>
        <w:rPr>
          <w:rFonts w:ascii="宋体" w:hAnsi="宋体"/>
          <w:bCs/>
          <w:color w:val="auto"/>
          <w:sz w:val="24"/>
          <w:highlight w:val="none"/>
          <w:u w:val="single"/>
        </w:rPr>
        <w:t>（企业名称）</w:t>
      </w:r>
      <w:r>
        <w:rPr>
          <w:rFonts w:ascii="宋体" w:hAnsi="宋体"/>
          <w:bCs/>
          <w:color w:val="auto"/>
          <w:sz w:val="24"/>
          <w:highlight w:val="none"/>
        </w:rPr>
        <w:t>，从业人员人，营业收入为万元，资产总额为万元，属于</w:t>
      </w:r>
      <w:r>
        <w:rPr>
          <w:rFonts w:ascii="宋体" w:hAnsi="宋体"/>
          <w:bCs/>
          <w:color w:val="auto"/>
          <w:sz w:val="24"/>
          <w:highlight w:val="none"/>
          <w:u w:val="single"/>
        </w:rPr>
        <w:t>（中型企业、 小型企业、微型企业）</w:t>
      </w:r>
      <w:r>
        <w:rPr>
          <w:rFonts w:ascii="宋体" w:hAnsi="宋体"/>
          <w:bCs/>
          <w:color w:val="auto"/>
          <w:sz w:val="24"/>
          <w:highlight w:val="none"/>
        </w:rPr>
        <w:t>；</w:t>
      </w:r>
    </w:p>
    <w:p>
      <w:pPr>
        <w:spacing w:line="58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u w:val="single"/>
        </w:rPr>
        <w:t xml:space="preserve"> （标的名称） </w:t>
      </w:r>
      <w:r>
        <w:rPr>
          <w:rFonts w:ascii="宋体" w:hAnsi="宋体"/>
          <w:bCs/>
          <w:color w:val="auto"/>
          <w:sz w:val="24"/>
          <w:highlight w:val="none"/>
        </w:rPr>
        <w:t>，属于</w:t>
      </w:r>
      <w:r>
        <w:rPr>
          <w:rFonts w:ascii="宋体" w:hAnsi="宋体"/>
          <w:bCs/>
          <w:color w:val="auto"/>
          <w:sz w:val="24"/>
          <w:highlight w:val="none"/>
          <w:u w:val="single"/>
        </w:rPr>
        <w:t>（采购文件中明确的所属行业）</w:t>
      </w:r>
      <w:r>
        <w:rPr>
          <w:rFonts w:ascii="宋体" w:hAnsi="宋体"/>
          <w:bCs/>
          <w:color w:val="auto"/>
          <w:sz w:val="24"/>
          <w:highlight w:val="none"/>
        </w:rPr>
        <w:t>； 承建（承接）企业为</w:t>
      </w:r>
      <w:r>
        <w:rPr>
          <w:rFonts w:ascii="宋体" w:hAnsi="宋体"/>
          <w:bCs/>
          <w:color w:val="auto"/>
          <w:sz w:val="24"/>
          <w:highlight w:val="none"/>
          <w:u w:val="single"/>
        </w:rPr>
        <w:t>（企业名称）</w:t>
      </w:r>
      <w:r>
        <w:rPr>
          <w:rFonts w:ascii="宋体" w:hAnsi="宋体"/>
          <w:bCs/>
          <w:color w:val="auto"/>
          <w:sz w:val="24"/>
          <w:highlight w:val="none"/>
        </w:rPr>
        <w:t>，从业人员人，营业收入为万元，资产总额为万元，属于</w:t>
      </w:r>
      <w:r>
        <w:rPr>
          <w:rFonts w:ascii="宋体" w:hAnsi="宋体"/>
          <w:bCs/>
          <w:color w:val="auto"/>
          <w:sz w:val="24"/>
          <w:highlight w:val="none"/>
          <w:u w:val="single"/>
        </w:rPr>
        <w:t>（中型企业、 小型企业、微型企业）</w:t>
      </w:r>
      <w:r>
        <w:rPr>
          <w:rFonts w:ascii="宋体" w:hAnsi="宋体"/>
          <w:bCs/>
          <w:color w:val="auto"/>
          <w:sz w:val="24"/>
          <w:highlight w:val="none"/>
        </w:rPr>
        <w:t>；</w:t>
      </w:r>
    </w:p>
    <w:p>
      <w:pPr>
        <w:spacing w:line="580" w:lineRule="exact"/>
        <w:ind w:firstLine="480" w:firstLineChars="200"/>
        <w:rPr>
          <w:rFonts w:ascii="宋体" w:hAnsi="宋体"/>
          <w:bCs/>
          <w:color w:val="auto"/>
          <w:sz w:val="24"/>
          <w:highlight w:val="none"/>
        </w:rPr>
      </w:pPr>
      <w:r>
        <w:rPr>
          <w:rFonts w:ascii="宋体" w:hAnsi="宋体"/>
          <w:bCs/>
          <w:color w:val="auto"/>
          <w:sz w:val="24"/>
          <w:highlight w:val="none"/>
        </w:rPr>
        <w:t>……</w:t>
      </w:r>
    </w:p>
    <w:p>
      <w:pPr>
        <w:spacing w:line="580" w:lineRule="exact"/>
        <w:ind w:firstLine="480" w:firstLineChars="200"/>
        <w:rPr>
          <w:rFonts w:ascii="宋体" w:hAnsi="宋体"/>
          <w:bCs/>
          <w:color w:val="auto"/>
          <w:sz w:val="24"/>
          <w:highlight w:val="none"/>
        </w:rPr>
      </w:pPr>
      <w:r>
        <w:rPr>
          <w:rFonts w:ascii="宋体" w:hAnsi="宋体"/>
          <w:bCs/>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r>
        <w:rPr>
          <w:rFonts w:hint="eastAsia" w:ascii="宋体" w:hAnsi="宋体"/>
          <w:bCs/>
          <w:color w:val="auto"/>
          <w:sz w:val="24"/>
          <w:highlight w:val="none"/>
        </w:rPr>
        <w:t>。</w:t>
      </w:r>
    </w:p>
    <w:p>
      <w:pPr>
        <w:spacing w:line="360" w:lineRule="auto"/>
        <w:ind w:firstLine="4800" w:firstLineChars="2000"/>
        <w:rPr>
          <w:rFonts w:ascii="宋体" w:hAnsi="宋体"/>
          <w:bCs/>
          <w:color w:val="auto"/>
          <w:sz w:val="24"/>
          <w:highlight w:val="none"/>
        </w:rPr>
      </w:pPr>
      <w:r>
        <w:rPr>
          <w:rFonts w:hint="eastAsia" w:ascii="宋体" w:hAnsi="宋体"/>
          <w:bCs/>
          <w:color w:val="auto"/>
          <w:sz w:val="24"/>
          <w:highlight w:val="none"/>
        </w:rPr>
        <w:t>企业名称（盖章）：</w:t>
      </w:r>
    </w:p>
    <w:p>
      <w:pPr>
        <w:spacing w:line="360" w:lineRule="auto"/>
        <w:ind w:firstLine="4800" w:firstLineChars="2000"/>
        <w:rPr>
          <w:rFonts w:ascii="宋体" w:hAnsi="宋体"/>
          <w:bCs/>
          <w:color w:val="auto"/>
          <w:sz w:val="24"/>
          <w:highlight w:val="none"/>
        </w:rPr>
      </w:pPr>
      <w:r>
        <w:rPr>
          <w:rFonts w:hint="eastAsia" w:ascii="宋体" w:hAnsi="宋体"/>
          <w:bCs/>
          <w:color w:val="auto"/>
          <w:sz w:val="24"/>
          <w:highlight w:val="none"/>
        </w:rPr>
        <w:t>日　　　　　　期：</w:t>
      </w:r>
    </w:p>
    <w:p>
      <w:pPr>
        <w:rPr>
          <w:color w:val="auto"/>
          <w:szCs w:val="20"/>
          <w:highlight w:val="none"/>
        </w:rPr>
      </w:pPr>
    </w:p>
    <w:p>
      <w:pPr>
        <w:outlineLvl w:val="0"/>
        <w:rPr>
          <w:rFonts w:hint="eastAsia" w:ascii="宋体" w:hAnsi="宋体"/>
          <w:bCs/>
          <w:color w:val="auto"/>
          <w:sz w:val="24"/>
          <w:highlight w:val="none"/>
        </w:rPr>
      </w:pPr>
    </w:p>
    <w:p>
      <w:pPr>
        <w:outlineLvl w:val="0"/>
        <w:rPr>
          <w:rFonts w:hint="eastAsia" w:ascii="宋体" w:hAnsi="宋体" w:eastAsia="宋体" w:cs="Times New Roman"/>
          <w:bCs/>
          <w:color w:val="auto"/>
          <w:sz w:val="24"/>
          <w:highlight w:val="none"/>
        </w:rPr>
      </w:pPr>
      <w:r>
        <w:rPr>
          <w:rFonts w:hint="eastAsia" w:ascii="宋体" w:hAnsi="宋体"/>
          <w:bCs/>
          <w:color w:val="auto"/>
          <w:sz w:val="24"/>
          <w:highlight w:val="none"/>
        </w:rPr>
        <w:t>注：1.从业人员、营业收入、资产总额填报上一年度数据，无上一年度数据的新成立企业可</w:t>
      </w:r>
      <w:r>
        <w:rPr>
          <w:rFonts w:hint="eastAsia" w:ascii="宋体" w:hAnsi="宋体" w:eastAsia="宋体" w:cs="Times New Roman"/>
          <w:bCs/>
          <w:color w:val="auto"/>
          <w:sz w:val="24"/>
          <w:highlight w:val="none"/>
        </w:rPr>
        <w:t>不填报。</w:t>
      </w:r>
    </w:p>
    <w:p>
      <w:pPr>
        <w:ind w:firstLine="480" w:firstLineChars="200"/>
        <w:outlineLvl w:val="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中标投标人的《中小企业声明函》将随中标公告进行公示。投标人按照本办法规定提供声明函内容不实的，属于提供虚假材料谋取中标、成交，依照《中华人民共和国政府采购法》等国家有关规定追究相应责任。</w:t>
      </w:r>
    </w:p>
    <w:p>
      <w:pPr>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br w:type="page"/>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pPr>
        <w:jc w:val="center"/>
        <w:rPr>
          <w:rFonts w:ascii="宋体" w:hAnsi="宋体" w:cs="宋体"/>
          <w:bCs/>
          <w:color w:val="auto"/>
          <w:sz w:val="28"/>
          <w:szCs w:val="28"/>
          <w:highlight w:val="none"/>
        </w:rPr>
      </w:pPr>
    </w:p>
    <w:p>
      <w:pPr>
        <w:spacing w:line="5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本单位对上述声明的真实性负责。如有虚假，将依法承担相应责任。</w:t>
      </w:r>
    </w:p>
    <w:p>
      <w:pPr>
        <w:spacing w:line="580" w:lineRule="exact"/>
        <w:ind w:firstLine="480" w:firstLineChars="200"/>
        <w:rPr>
          <w:rFonts w:ascii="宋体" w:hAnsi="宋体" w:cs="宋体"/>
          <w:bCs/>
          <w:color w:val="auto"/>
          <w:sz w:val="24"/>
          <w:highlight w:val="none"/>
        </w:rPr>
      </w:pPr>
    </w:p>
    <w:p>
      <w:pPr>
        <w:spacing w:line="580" w:lineRule="exact"/>
        <w:ind w:firstLine="480" w:firstLineChars="200"/>
        <w:rPr>
          <w:rFonts w:ascii="宋体" w:hAnsi="宋体" w:cs="宋体"/>
          <w:bCs/>
          <w:color w:val="auto"/>
          <w:sz w:val="24"/>
          <w:highlight w:val="none"/>
        </w:rPr>
      </w:pPr>
    </w:p>
    <w:p>
      <w:pPr>
        <w:spacing w:line="580" w:lineRule="exact"/>
        <w:ind w:firstLine="480" w:firstLineChars="200"/>
        <w:rPr>
          <w:rFonts w:ascii="宋体" w:hAnsi="宋体" w:cs="宋体"/>
          <w:bCs/>
          <w:color w:val="auto"/>
          <w:sz w:val="24"/>
          <w:highlight w:val="none"/>
        </w:rPr>
      </w:pPr>
    </w:p>
    <w:p>
      <w:pPr>
        <w:pStyle w:val="2"/>
        <w:spacing w:before="166"/>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单位名称（盖章）： </w:t>
      </w:r>
    </w:p>
    <w:p>
      <w:pPr>
        <w:spacing w:line="360" w:lineRule="auto"/>
        <w:ind w:left="3830" w:leftChars="1824" w:firstLine="960" w:firstLineChars="40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3840" w:firstLineChars="1600"/>
        <w:rPr>
          <w:rFonts w:ascii="宋体" w:hAnsi="宋体" w:cs="宋体"/>
          <w:bCs/>
          <w:color w:val="auto"/>
          <w:sz w:val="24"/>
          <w:highlight w:val="none"/>
        </w:rPr>
      </w:pPr>
      <w:r>
        <w:rPr>
          <w:rFonts w:hint="eastAsia" w:ascii="宋体" w:hAnsi="宋体" w:cs="宋体"/>
          <w:color w:val="auto"/>
          <w:sz w:val="24"/>
          <w:highlight w:val="none"/>
        </w:rPr>
        <w:t>日   期：</w:t>
      </w:r>
    </w:p>
    <w:p>
      <w:pPr>
        <w:pStyle w:val="2"/>
        <w:rPr>
          <w:rFonts w:hint="eastAsia"/>
          <w:highlight w:val="none"/>
        </w:rPr>
      </w:pPr>
    </w:p>
    <w:p>
      <w:pPr>
        <w:pStyle w:val="2"/>
        <w:rPr>
          <w:highlight w:val="none"/>
        </w:rPr>
      </w:pPr>
    </w:p>
    <w:p>
      <w:pPr>
        <w:outlineLvl w:val="0"/>
        <w:rPr>
          <w:rFonts w:ascii="宋体" w:hAnsi="宋体" w:cs="宋体"/>
          <w:bCs/>
          <w:color w:val="auto"/>
          <w:sz w:val="24"/>
          <w:highlight w:val="none"/>
        </w:rPr>
      </w:pPr>
    </w:p>
    <w:p>
      <w:pPr>
        <w:outlineLvl w:val="0"/>
        <w:rPr>
          <w:rFonts w:ascii="宋体" w:hAnsi="宋体" w:cs="宋体"/>
          <w:bCs/>
          <w:color w:val="auto"/>
          <w:sz w:val="24"/>
          <w:highlight w:val="none"/>
        </w:rPr>
      </w:pPr>
    </w:p>
    <w:p>
      <w:pPr>
        <w:ind w:firstLine="4800" w:firstLineChars="2000"/>
        <w:rPr>
          <w:rFonts w:ascii="宋体" w:hAnsi="宋体" w:cs="宋体"/>
          <w:bCs/>
          <w:color w:val="auto"/>
          <w:sz w:val="24"/>
          <w:highlight w:val="none"/>
        </w:rPr>
      </w:pPr>
    </w:p>
    <w:p>
      <w:pPr>
        <w:spacing w:line="360" w:lineRule="auto"/>
        <w:rPr>
          <w:rFonts w:ascii="宋体" w:hAnsi="宋体" w:cs="宋体"/>
          <w:bCs/>
          <w:color w:val="auto"/>
          <w:highlight w:val="none"/>
        </w:rPr>
      </w:pP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360" w:lineRule="auto"/>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六</w:t>
      </w:r>
      <w:r>
        <w:rPr>
          <w:rFonts w:hint="eastAsia" w:ascii="宋体" w:hAnsi="宋体" w:eastAsia="宋体" w:cs="宋体"/>
          <w:b/>
          <w:color w:val="auto"/>
          <w:sz w:val="30"/>
          <w:szCs w:val="30"/>
          <w:highlight w:val="none"/>
        </w:rPr>
        <w:t>）项目管理机构配备情况表（格式）：</w:t>
      </w:r>
    </w:p>
    <w:p>
      <w:pPr>
        <w:widowControl/>
        <w:topLinePunct/>
        <w:spacing w:before="4"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项目管理机构配备情况表</w:t>
      </w:r>
    </w:p>
    <w:tbl>
      <w:tblPr>
        <w:tblStyle w:val="67"/>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64"/>
        <w:gridCol w:w="965"/>
        <w:gridCol w:w="1700"/>
        <w:gridCol w:w="1137"/>
        <w:gridCol w:w="1038"/>
        <w:gridCol w:w="108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971"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964"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65"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7159" w:type="dxa"/>
            <w:gridSpan w:val="5"/>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trPr>
        <w:tc>
          <w:tcPr>
            <w:tcW w:w="971" w:type="dxa"/>
            <w:vMerge w:val="continue"/>
          </w:tcPr>
          <w:p>
            <w:pPr>
              <w:spacing w:line="360" w:lineRule="auto"/>
              <w:rPr>
                <w:rFonts w:ascii="宋体" w:hAnsi="宋体" w:cs="宋体"/>
                <w:color w:val="auto"/>
                <w:szCs w:val="21"/>
                <w:highlight w:val="none"/>
              </w:rPr>
            </w:pPr>
          </w:p>
        </w:tc>
        <w:tc>
          <w:tcPr>
            <w:tcW w:w="964" w:type="dxa"/>
            <w:vMerge w:val="continue"/>
          </w:tcPr>
          <w:p>
            <w:pPr>
              <w:spacing w:line="360" w:lineRule="auto"/>
              <w:rPr>
                <w:rFonts w:ascii="宋体" w:hAnsi="宋体" w:cs="宋体"/>
                <w:color w:val="auto"/>
                <w:szCs w:val="21"/>
                <w:highlight w:val="none"/>
              </w:rPr>
            </w:pPr>
          </w:p>
        </w:tc>
        <w:tc>
          <w:tcPr>
            <w:tcW w:w="965" w:type="dxa"/>
            <w:vMerge w:val="continue"/>
          </w:tcPr>
          <w:p>
            <w:pPr>
              <w:spacing w:line="360" w:lineRule="auto"/>
              <w:rPr>
                <w:rFonts w:ascii="宋体" w:hAnsi="宋体" w:cs="宋体"/>
                <w:color w:val="auto"/>
                <w:szCs w:val="21"/>
                <w:highlight w:val="none"/>
              </w:rPr>
            </w:pPr>
          </w:p>
        </w:tc>
        <w:tc>
          <w:tcPr>
            <w:tcW w:w="170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113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3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0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1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tcPr>
          <w:p>
            <w:pPr>
              <w:spacing w:line="360" w:lineRule="auto"/>
              <w:rPr>
                <w:rFonts w:ascii="宋体" w:hAnsi="宋体" w:cs="宋体"/>
                <w:color w:val="auto"/>
                <w:szCs w:val="21"/>
                <w:highlight w:val="none"/>
              </w:rPr>
            </w:pPr>
          </w:p>
        </w:tc>
        <w:tc>
          <w:tcPr>
            <w:tcW w:w="964" w:type="dxa"/>
          </w:tcPr>
          <w:p>
            <w:pPr>
              <w:spacing w:line="360" w:lineRule="auto"/>
              <w:rPr>
                <w:rFonts w:ascii="宋体" w:hAnsi="宋体" w:cs="宋体"/>
                <w:color w:val="auto"/>
                <w:szCs w:val="21"/>
                <w:highlight w:val="none"/>
              </w:rPr>
            </w:pPr>
          </w:p>
        </w:tc>
        <w:tc>
          <w:tcPr>
            <w:tcW w:w="965" w:type="dxa"/>
          </w:tcPr>
          <w:p>
            <w:pPr>
              <w:spacing w:line="360" w:lineRule="auto"/>
              <w:rPr>
                <w:rFonts w:ascii="宋体" w:hAnsi="宋体" w:cs="宋体"/>
                <w:color w:val="auto"/>
                <w:szCs w:val="21"/>
                <w:highlight w:val="none"/>
              </w:rPr>
            </w:pPr>
          </w:p>
        </w:tc>
        <w:tc>
          <w:tcPr>
            <w:tcW w:w="1700" w:type="dxa"/>
          </w:tcPr>
          <w:p>
            <w:pPr>
              <w:spacing w:line="360" w:lineRule="auto"/>
              <w:rPr>
                <w:rFonts w:ascii="宋体" w:hAnsi="宋体" w:cs="宋体"/>
                <w:color w:val="auto"/>
                <w:szCs w:val="21"/>
                <w:highlight w:val="none"/>
              </w:rPr>
            </w:pPr>
          </w:p>
        </w:tc>
        <w:tc>
          <w:tcPr>
            <w:tcW w:w="1137" w:type="dxa"/>
          </w:tcPr>
          <w:p>
            <w:pPr>
              <w:spacing w:line="360" w:lineRule="auto"/>
              <w:rPr>
                <w:rFonts w:ascii="宋体" w:hAnsi="宋体" w:cs="宋体"/>
                <w:color w:val="auto"/>
                <w:szCs w:val="21"/>
                <w:highlight w:val="none"/>
              </w:rPr>
            </w:pPr>
          </w:p>
        </w:tc>
        <w:tc>
          <w:tcPr>
            <w:tcW w:w="1038" w:type="dxa"/>
          </w:tcPr>
          <w:p>
            <w:pPr>
              <w:spacing w:line="360" w:lineRule="auto"/>
              <w:rPr>
                <w:rFonts w:ascii="宋体" w:hAnsi="宋体" w:cs="宋体"/>
                <w:color w:val="auto"/>
                <w:szCs w:val="21"/>
                <w:highlight w:val="none"/>
              </w:rPr>
            </w:pPr>
          </w:p>
        </w:tc>
        <w:tc>
          <w:tcPr>
            <w:tcW w:w="1087" w:type="dxa"/>
          </w:tcPr>
          <w:p>
            <w:pPr>
              <w:spacing w:line="360" w:lineRule="auto"/>
              <w:rPr>
                <w:rFonts w:ascii="宋体" w:hAnsi="宋体" w:cs="宋体"/>
                <w:color w:val="auto"/>
                <w:szCs w:val="21"/>
                <w:highlight w:val="none"/>
              </w:rPr>
            </w:pPr>
          </w:p>
        </w:tc>
        <w:tc>
          <w:tcPr>
            <w:tcW w:w="2197" w:type="dxa"/>
          </w:tcPr>
          <w:p>
            <w:pPr>
              <w:spacing w:line="360" w:lineRule="auto"/>
              <w:rPr>
                <w:rFonts w:ascii="宋体" w:hAnsi="宋体" w:cs="宋体"/>
                <w:color w:val="auto"/>
                <w:szCs w:val="21"/>
                <w:highlight w:val="none"/>
              </w:rPr>
            </w:pPr>
          </w:p>
        </w:tc>
      </w:tr>
    </w:tbl>
    <w:p>
      <w:pPr>
        <w:pStyle w:val="2"/>
        <w:rPr>
          <w:rFonts w:ascii="宋体" w:hAnsi="宋体" w:eastAsia="宋体" w:cs="宋体"/>
          <w:b/>
          <w:color w:val="auto"/>
          <w:szCs w:val="32"/>
          <w:highlight w:val="none"/>
        </w:rPr>
      </w:pPr>
    </w:p>
    <w:p>
      <w:pPr>
        <w:pStyle w:val="191"/>
        <w:jc w:val="both"/>
        <w:rPr>
          <w:rFonts w:cs="宋体"/>
          <w:bCs w:val="0"/>
          <w:color w:val="auto"/>
          <w:highlight w:val="none"/>
        </w:rPr>
      </w:pPr>
      <w:r>
        <w:rPr>
          <w:rFonts w:hint="eastAsia" w:cs="宋体"/>
          <w:bCs w:val="0"/>
          <w:color w:val="auto"/>
          <w:highlight w:val="none"/>
        </w:rPr>
        <w:t>（表格可自行延长）</w:t>
      </w:r>
    </w:p>
    <w:p>
      <w:pPr>
        <w:pStyle w:val="34"/>
        <w:spacing w:before="120"/>
        <w:ind w:right="34"/>
        <w:rPr>
          <w:rFonts w:cs="宋体"/>
          <w:color w:val="auto"/>
          <w:highlight w:val="none"/>
        </w:rPr>
      </w:pPr>
      <w:r>
        <w:rPr>
          <w:rFonts w:hint="eastAsia" w:hAnsi="宋体" w:cs="宋体"/>
          <w:color w:val="auto"/>
          <w:sz w:val="24"/>
          <w:szCs w:val="24"/>
          <w:highlight w:val="none"/>
        </w:rPr>
        <w:t>注：提供辅助说明资料，主要包括管理机构的机构设置、职责分工、有关复印证明资料以及投标人认为有必要提供的资料。辅助说明资料格式不做统一规定，由投标人自行设计。</w:t>
      </w:r>
    </w:p>
    <w:p>
      <w:pPr>
        <w:pStyle w:val="191"/>
        <w:rPr>
          <w:rFonts w:cs="宋体"/>
          <w:bCs w:val="0"/>
          <w:color w:val="auto"/>
          <w:highlight w:val="none"/>
        </w:rPr>
      </w:pPr>
    </w:p>
    <w:p>
      <w:pPr>
        <w:pStyle w:val="191"/>
        <w:rPr>
          <w:rFonts w:cs="宋体"/>
          <w:bCs w:val="0"/>
          <w:color w:val="auto"/>
          <w:highlight w:val="none"/>
        </w:rPr>
      </w:pPr>
    </w:p>
    <w:p>
      <w:pPr>
        <w:pStyle w:val="191"/>
        <w:jc w:val="both"/>
        <w:rPr>
          <w:rFonts w:hint="eastAsia" w:cs="宋体"/>
          <w:b/>
          <w:color w:val="auto"/>
          <w:sz w:val="30"/>
          <w:szCs w:val="30"/>
          <w:highlight w:val="none"/>
        </w:rPr>
      </w:pPr>
      <w:r>
        <w:rPr>
          <w:rFonts w:hint="eastAsia" w:cs="宋体"/>
          <w:b/>
          <w:color w:val="auto"/>
          <w:sz w:val="30"/>
          <w:szCs w:val="30"/>
          <w:highlight w:val="none"/>
        </w:rPr>
        <w:t>（</w:t>
      </w:r>
      <w:r>
        <w:rPr>
          <w:rFonts w:hint="eastAsia" w:cs="宋体"/>
          <w:b/>
          <w:color w:val="auto"/>
          <w:sz w:val="30"/>
          <w:szCs w:val="30"/>
          <w:highlight w:val="none"/>
          <w:lang w:val="en-US" w:eastAsia="zh-CN"/>
        </w:rPr>
        <w:t>七</w:t>
      </w:r>
      <w:r>
        <w:rPr>
          <w:rFonts w:hint="eastAsia" w:cs="宋体"/>
          <w:b/>
          <w:color w:val="auto"/>
          <w:sz w:val="30"/>
          <w:szCs w:val="30"/>
          <w:highlight w:val="none"/>
        </w:rPr>
        <w:t>）项目负责人简历</w:t>
      </w:r>
      <w:r>
        <w:rPr>
          <w:rFonts w:hint="eastAsia" w:ascii="宋体" w:hAnsi="宋体" w:eastAsia="宋体" w:cs="宋体"/>
          <w:b/>
          <w:color w:val="auto"/>
          <w:sz w:val="30"/>
          <w:szCs w:val="30"/>
          <w:highlight w:val="none"/>
        </w:rPr>
        <w:t>（格式）：</w:t>
      </w:r>
    </w:p>
    <w:p>
      <w:pPr>
        <w:pStyle w:val="191"/>
        <w:jc w:val="center"/>
        <w:rPr>
          <w:rFonts w:hint="eastAsia" w:cs="宋体"/>
          <w:b/>
          <w:color w:val="auto"/>
          <w:sz w:val="32"/>
          <w:szCs w:val="32"/>
          <w:highlight w:val="none"/>
        </w:rPr>
      </w:pPr>
      <w:r>
        <w:rPr>
          <w:rFonts w:hint="eastAsia" w:cs="宋体"/>
          <w:b/>
          <w:color w:val="auto"/>
          <w:sz w:val="32"/>
          <w:szCs w:val="32"/>
          <w:highlight w:val="none"/>
        </w:rPr>
        <w:t>拟派项目负责人简历</w:t>
      </w:r>
    </w:p>
    <w:p>
      <w:pPr>
        <w:pStyle w:val="191"/>
        <w:jc w:val="both"/>
        <w:rPr>
          <w:rFonts w:cs="宋体"/>
          <w:bCs w:val="0"/>
          <w:color w:val="auto"/>
          <w:highlight w:val="none"/>
        </w:rPr>
      </w:pPr>
      <w:r>
        <w:rPr>
          <w:rFonts w:hint="eastAsia" w:cs="宋体"/>
          <w:color w:val="auto"/>
          <w:highlight w:val="none"/>
        </w:rPr>
        <w:t>投标人名称</w:t>
      </w:r>
      <w:r>
        <w:rPr>
          <w:rFonts w:hint="eastAsia" w:cs="宋体"/>
          <w:bCs w:val="0"/>
          <w:color w:val="auto"/>
          <w:highlight w:val="none"/>
        </w:rPr>
        <w:t>（</w:t>
      </w:r>
      <w:r>
        <w:rPr>
          <w:rFonts w:hint="eastAsia" w:cs="宋体"/>
          <w:color w:val="auto"/>
          <w:highlight w:val="none"/>
        </w:rPr>
        <w:t>盖章</w:t>
      </w:r>
      <w:r>
        <w:rPr>
          <w:rFonts w:hint="eastAsia" w:cs="宋体"/>
          <w:bCs w:val="0"/>
          <w:color w:val="auto"/>
          <w:highlight w:val="none"/>
        </w:rPr>
        <w:t>）                        项目编号：</w:t>
      </w:r>
    </w:p>
    <w:tbl>
      <w:tblPr>
        <w:tblStyle w:val="67"/>
        <w:tblW w:w="97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863"/>
        <w:gridCol w:w="2410"/>
        <w:gridCol w:w="1090"/>
        <w:gridCol w:w="1261"/>
        <w:gridCol w:w="2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9" w:hRule="atLeast"/>
          <w:jc w:val="center"/>
        </w:trPr>
        <w:tc>
          <w:tcPr>
            <w:tcW w:w="779"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1</w:t>
            </w:r>
          </w:p>
        </w:tc>
        <w:tc>
          <w:tcPr>
            <w:tcW w:w="1863"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姓名</w:t>
            </w:r>
          </w:p>
        </w:tc>
        <w:tc>
          <w:tcPr>
            <w:tcW w:w="2410" w:type="dxa"/>
            <w:vAlign w:val="center"/>
          </w:tcPr>
          <w:p>
            <w:pPr>
              <w:pStyle w:val="7"/>
              <w:overflowPunct w:val="0"/>
              <w:ind w:firstLine="0"/>
              <w:jc w:val="center"/>
              <w:rPr>
                <w:rFonts w:ascii="宋体" w:hAnsi="宋体" w:cs="宋体"/>
                <w:color w:val="auto"/>
                <w:sz w:val="24"/>
                <w:highlight w:val="none"/>
              </w:rPr>
            </w:pPr>
          </w:p>
        </w:tc>
        <w:tc>
          <w:tcPr>
            <w:tcW w:w="1090"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性别</w:t>
            </w:r>
          </w:p>
        </w:tc>
        <w:tc>
          <w:tcPr>
            <w:tcW w:w="3636" w:type="dxa"/>
            <w:gridSpan w:val="2"/>
            <w:vAlign w:val="center"/>
          </w:tcPr>
          <w:p>
            <w:pPr>
              <w:pStyle w:val="7"/>
              <w:overflowPunct w:val="0"/>
              <w:ind w:firstLine="0"/>
              <w:jc w:val="center"/>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5" w:hRule="atLeast"/>
          <w:jc w:val="center"/>
        </w:trPr>
        <w:tc>
          <w:tcPr>
            <w:tcW w:w="779"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2</w:t>
            </w:r>
          </w:p>
        </w:tc>
        <w:tc>
          <w:tcPr>
            <w:tcW w:w="1863"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3500" w:type="dxa"/>
            <w:gridSpan w:val="2"/>
            <w:vAlign w:val="center"/>
          </w:tcPr>
          <w:p>
            <w:pPr>
              <w:pStyle w:val="7"/>
              <w:overflowPunct w:val="0"/>
              <w:ind w:firstLine="0"/>
              <w:jc w:val="center"/>
              <w:rPr>
                <w:rFonts w:ascii="宋体" w:hAnsi="宋体" w:cs="宋体"/>
                <w:color w:val="auto"/>
                <w:sz w:val="24"/>
                <w:highlight w:val="none"/>
              </w:rPr>
            </w:pPr>
          </w:p>
        </w:tc>
        <w:tc>
          <w:tcPr>
            <w:tcW w:w="1261"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出生年月</w:t>
            </w:r>
          </w:p>
        </w:tc>
        <w:tc>
          <w:tcPr>
            <w:tcW w:w="2375"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95" w:hRule="atLeast"/>
          <w:jc w:val="center"/>
        </w:trPr>
        <w:tc>
          <w:tcPr>
            <w:tcW w:w="779"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3</w:t>
            </w:r>
          </w:p>
        </w:tc>
        <w:tc>
          <w:tcPr>
            <w:tcW w:w="8999" w:type="dxa"/>
            <w:gridSpan w:val="5"/>
            <w:vAlign w:val="center"/>
          </w:tcPr>
          <w:p>
            <w:pPr>
              <w:pStyle w:val="7"/>
              <w:overflowPunct w:val="0"/>
              <w:ind w:firstLine="0"/>
              <w:rPr>
                <w:rFonts w:ascii="宋体" w:hAnsi="宋体" w:cs="宋体"/>
                <w:color w:val="auto"/>
                <w:sz w:val="24"/>
                <w:highlight w:val="none"/>
              </w:rPr>
            </w:pPr>
            <w:r>
              <w:rPr>
                <w:rFonts w:hint="eastAsia" w:ascii="宋体" w:hAnsi="宋体" w:cs="宋体"/>
                <w:color w:val="auto"/>
                <w:sz w:val="24"/>
                <w:highlight w:val="none"/>
              </w:rPr>
              <w:t xml:space="preserve">联系电话/传真：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51" w:hRule="atLeast"/>
          <w:jc w:val="center"/>
        </w:trPr>
        <w:tc>
          <w:tcPr>
            <w:tcW w:w="779"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4</w:t>
            </w:r>
          </w:p>
        </w:tc>
        <w:tc>
          <w:tcPr>
            <w:tcW w:w="8999" w:type="dxa"/>
            <w:gridSpan w:val="5"/>
          </w:tcPr>
          <w:p>
            <w:pPr>
              <w:pStyle w:val="7"/>
              <w:overflowPunct w:val="0"/>
              <w:ind w:firstLine="0"/>
              <w:rPr>
                <w:rFonts w:ascii="宋体" w:hAnsi="宋体" w:cs="宋体"/>
                <w:color w:val="auto"/>
                <w:sz w:val="24"/>
                <w:highlight w:val="none"/>
              </w:rPr>
            </w:pPr>
            <w:r>
              <w:rPr>
                <w:rFonts w:hint="eastAsia" w:ascii="宋体" w:hAnsi="宋体" w:cs="宋体"/>
                <w:color w:val="auto"/>
                <w:sz w:val="24"/>
                <w:highlight w:val="none"/>
              </w:rPr>
              <w:t>从事本项工作时间及工作经历：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65" w:hRule="atLeast"/>
          <w:jc w:val="center"/>
        </w:trPr>
        <w:tc>
          <w:tcPr>
            <w:tcW w:w="779" w:type="dxa"/>
            <w:vAlign w:val="center"/>
          </w:tcPr>
          <w:p>
            <w:pPr>
              <w:pStyle w:val="7"/>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5</w:t>
            </w:r>
          </w:p>
        </w:tc>
        <w:tc>
          <w:tcPr>
            <w:tcW w:w="8999" w:type="dxa"/>
            <w:gridSpan w:val="5"/>
            <w:vAlign w:val="center"/>
          </w:tcPr>
          <w:p>
            <w:pPr>
              <w:pStyle w:val="7"/>
              <w:overflowPunct w:val="0"/>
              <w:ind w:firstLine="0"/>
              <w:rPr>
                <w:rFonts w:ascii="宋体" w:hAnsi="宋体" w:cs="宋体"/>
                <w:color w:val="auto"/>
                <w:sz w:val="24"/>
                <w:highlight w:val="none"/>
              </w:rPr>
            </w:pPr>
            <w:r>
              <w:rPr>
                <w:rFonts w:hint="eastAsia" w:ascii="宋体" w:hAnsi="宋体" w:cs="宋体"/>
                <w:color w:val="auto"/>
                <w:sz w:val="24"/>
                <w:highlight w:val="none"/>
              </w:rPr>
              <w:t>拥有关于本项服务方面的职称：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88" w:hRule="atLeast"/>
          <w:jc w:val="center"/>
        </w:trPr>
        <w:tc>
          <w:tcPr>
            <w:tcW w:w="779" w:type="dxa"/>
            <w:vAlign w:val="center"/>
          </w:tcPr>
          <w:p>
            <w:pPr>
              <w:spacing w:line="360" w:lineRule="auto"/>
              <w:ind w:left="-2"/>
              <w:jc w:val="center"/>
              <w:rPr>
                <w:rFonts w:ascii="宋体" w:hAnsi="宋体" w:cs="宋体"/>
                <w:color w:val="auto"/>
                <w:sz w:val="24"/>
                <w:highlight w:val="none"/>
              </w:rPr>
            </w:pPr>
            <w:r>
              <w:rPr>
                <w:rFonts w:hint="eastAsia" w:ascii="宋体" w:hAnsi="宋体" w:cs="宋体"/>
                <w:color w:val="auto"/>
                <w:sz w:val="24"/>
                <w:highlight w:val="none"/>
              </w:rPr>
              <w:t>6</w:t>
            </w:r>
          </w:p>
        </w:tc>
        <w:tc>
          <w:tcPr>
            <w:tcW w:w="8999" w:type="dxa"/>
            <w:gridSpan w:val="5"/>
            <w:vAlign w:val="center"/>
          </w:tcPr>
          <w:p>
            <w:pPr>
              <w:pStyle w:val="7"/>
              <w:overflowPunct w:val="0"/>
              <w:ind w:firstLine="0"/>
              <w:rPr>
                <w:rFonts w:ascii="宋体" w:hAnsi="宋体" w:cs="宋体"/>
                <w:color w:val="auto"/>
                <w:sz w:val="24"/>
                <w:highlight w:val="none"/>
              </w:rPr>
            </w:pPr>
            <w:r>
              <w:rPr>
                <w:rFonts w:hint="eastAsia" w:ascii="宋体" w:hAnsi="宋体" w:cs="宋体"/>
                <w:color w:val="auto"/>
                <w:sz w:val="24"/>
                <w:highlight w:val="none"/>
              </w:rPr>
              <w:t>曾获得的关于本项服务方面的奖励情况：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72" w:hRule="atLeast"/>
          <w:jc w:val="center"/>
        </w:trPr>
        <w:tc>
          <w:tcPr>
            <w:tcW w:w="779" w:type="dxa"/>
            <w:vAlign w:val="center"/>
          </w:tcPr>
          <w:p>
            <w:pPr>
              <w:spacing w:line="360" w:lineRule="auto"/>
              <w:ind w:left="-2"/>
              <w:jc w:val="center"/>
              <w:rPr>
                <w:rFonts w:ascii="宋体" w:hAnsi="宋体" w:cs="宋体"/>
                <w:color w:val="auto"/>
                <w:sz w:val="24"/>
                <w:highlight w:val="none"/>
              </w:rPr>
            </w:pPr>
            <w:r>
              <w:rPr>
                <w:rFonts w:hint="eastAsia" w:ascii="宋体" w:hAnsi="宋体" w:cs="宋体"/>
                <w:color w:val="auto"/>
                <w:sz w:val="24"/>
                <w:highlight w:val="none"/>
              </w:rPr>
              <w:t>7</w:t>
            </w:r>
          </w:p>
        </w:tc>
        <w:tc>
          <w:tcPr>
            <w:tcW w:w="8999" w:type="dxa"/>
            <w:gridSpan w:val="5"/>
          </w:tcPr>
          <w:p>
            <w:pPr>
              <w:pStyle w:val="7"/>
              <w:overflowPunct w:val="0"/>
              <w:ind w:firstLine="0"/>
              <w:rPr>
                <w:rFonts w:ascii="宋体" w:hAnsi="宋体" w:cs="宋体"/>
                <w:color w:val="auto"/>
                <w:sz w:val="24"/>
                <w:highlight w:val="none"/>
              </w:rPr>
            </w:pPr>
            <w:r>
              <w:rPr>
                <w:rFonts w:hint="eastAsia" w:ascii="宋体" w:hAnsi="宋体" w:cs="宋体"/>
                <w:color w:val="auto"/>
                <w:sz w:val="24"/>
                <w:highlight w:val="none"/>
              </w:rPr>
              <w:t>近5年内负责的服务项目：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7" w:hRule="atLeast"/>
          <w:jc w:val="center"/>
        </w:trPr>
        <w:tc>
          <w:tcPr>
            <w:tcW w:w="779" w:type="dxa"/>
            <w:tcBorders>
              <w:bottom w:val="single" w:color="auto" w:sz="6" w:space="0"/>
            </w:tcBorders>
            <w:vAlign w:val="center"/>
          </w:tcPr>
          <w:p>
            <w:pPr>
              <w:spacing w:line="360" w:lineRule="auto"/>
              <w:ind w:left="-2"/>
              <w:jc w:val="center"/>
              <w:rPr>
                <w:rFonts w:ascii="宋体" w:hAnsi="宋体" w:cs="宋体"/>
                <w:color w:val="auto"/>
                <w:sz w:val="24"/>
                <w:highlight w:val="none"/>
              </w:rPr>
            </w:pPr>
            <w:r>
              <w:rPr>
                <w:rFonts w:hint="eastAsia" w:ascii="宋体" w:hAnsi="宋体" w:cs="宋体"/>
                <w:color w:val="auto"/>
                <w:sz w:val="24"/>
                <w:highlight w:val="none"/>
              </w:rPr>
              <w:t>8</w:t>
            </w:r>
          </w:p>
        </w:tc>
        <w:tc>
          <w:tcPr>
            <w:tcW w:w="8999" w:type="dxa"/>
            <w:gridSpan w:val="5"/>
            <w:tcBorders>
              <w:bottom w:val="single" w:color="auto" w:sz="6" w:space="0"/>
            </w:tcBorders>
            <w:vAlign w:val="center"/>
          </w:tcPr>
          <w:p>
            <w:pPr>
              <w:pStyle w:val="7"/>
              <w:overflowPunct w:val="0"/>
              <w:ind w:firstLine="0"/>
              <w:rPr>
                <w:rFonts w:ascii="宋体" w:hAnsi="宋体" w:cs="宋体"/>
                <w:color w:val="auto"/>
                <w:sz w:val="24"/>
                <w:highlight w:val="none"/>
              </w:rPr>
            </w:pPr>
            <w:r>
              <w:rPr>
                <w:rFonts w:hint="eastAsia" w:ascii="宋体" w:hAnsi="宋体" w:cs="宋体"/>
                <w:color w:val="auto"/>
                <w:sz w:val="24"/>
                <w:highlight w:val="none"/>
              </w:rPr>
              <w:t>其他需要说明的情况</w:t>
            </w:r>
          </w:p>
        </w:tc>
      </w:tr>
    </w:tbl>
    <w:p>
      <w:pPr>
        <w:spacing w:line="360" w:lineRule="auto"/>
        <w:outlineLvl w:val="0"/>
        <w:rPr>
          <w:rFonts w:ascii="宋体" w:hAnsi="宋体" w:cs="宋体"/>
          <w:bCs/>
          <w:color w:val="auto"/>
          <w:szCs w:val="21"/>
          <w:highlight w:val="none"/>
        </w:rPr>
      </w:pPr>
      <w:r>
        <w:rPr>
          <w:rFonts w:hint="eastAsia" w:ascii="宋体" w:hAnsi="宋体" w:cs="宋体"/>
          <w:b/>
          <w:bCs/>
          <w:color w:val="auto"/>
          <w:sz w:val="24"/>
          <w:highlight w:val="none"/>
        </w:rPr>
        <w:t>法定代表人或法定代表人授权代表签字或盖章：</w:t>
      </w:r>
    </w:p>
    <w:p>
      <w:pPr>
        <w:jc w:val="left"/>
        <w:rPr>
          <w:rFonts w:ascii="宋体" w:hAnsi="宋体" w:cs="宋体"/>
          <w:bCs/>
          <w:color w:val="auto"/>
          <w:sz w:val="24"/>
          <w:highlight w:val="none"/>
        </w:rPr>
      </w:pPr>
      <w:r>
        <w:rPr>
          <w:rFonts w:hint="eastAsia" w:ascii="宋体" w:hAnsi="宋体" w:cs="宋体"/>
          <w:bCs/>
          <w:color w:val="auto"/>
          <w:sz w:val="24"/>
          <w:highlight w:val="none"/>
        </w:rPr>
        <w:t>注：请附身份证、相关资格证明复印件。</w:t>
      </w:r>
    </w:p>
    <w:p>
      <w:pPr>
        <w:rPr>
          <w:rFonts w:ascii="宋体" w:hAnsi="宋体" w:cs="宋体"/>
          <w:bCs/>
          <w:color w:val="auto"/>
          <w:sz w:val="24"/>
          <w:highlight w:val="none"/>
        </w:rPr>
      </w:pPr>
      <w:r>
        <w:rPr>
          <w:rFonts w:ascii="宋体" w:hAnsi="宋体" w:cs="宋体"/>
          <w:bCs/>
          <w:color w:val="auto"/>
          <w:sz w:val="24"/>
          <w:highlight w:val="none"/>
        </w:rPr>
        <w:br w:type="page"/>
      </w:r>
    </w:p>
    <w:p>
      <w:pPr>
        <w:jc w:val="both"/>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服务</w:t>
      </w:r>
      <w:r>
        <w:rPr>
          <w:rFonts w:hint="eastAsia" w:ascii="宋体" w:hAnsi="宋体" w:cs="宋体"/>
          <w:b/>
          <w:color w:val="auto"/>
          <w:sz w:val="32"/>
          <w:szCs w:val="32"/>
          <w:highlight w:val="none"/>
        </w:rPr>
        <w:t>偏离表（格式）</w:t>
      </w:r>
      <w:r>
        <w:rPr>
          <w:rFonts w:hint="eastAsia" w:ascii="宋体" w:hAnsi="宋体" w:cs="宋体"/>
          <w:b/>
          <w:color w:val="auto"/>
          <w:sz w:val="32"/>
          <w:szCs w:val="32"/>
          <w:highlight w:val="none"/>
          <w:lang w:eastAsia="zh-CN"/>
        </w:rPr>
        <w:t>：</w:t>
      </w:r>
    </w:p>
    <w:p>
      <w:pPr>
        <w:pStyle w:val="2"/>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服务偏离表</w:t>
      </w:r>
    </w:p>
    <w:p>
      <w:pPr>
        <w:spacing w:line="400" w:lineRule="exact"/>
        <w:ind w:firstLine="241" w:firstLineChars="100"/>
        <w:rPr>
          <w:rFonts w:ascii="宋体" w:hAnsi="宋体" w:cs="宋体"/>
          <w:b/>
          <w:bCs/>
          <w:color w:val="auto"/>
          <w:sz w:val="24"/>
          <w:highlight w:val="none"/>
        </w:rPr>
      </w:pPr>
    </w:p>
    <w:p>
      <w:pPr>
        <w:spacing w:line="400" w:lineRule="exact"/>
        <w:ind w:firstLine="240" w:firstLineChars="100"/>
        <w:rPr>
          <w:rFonts w:ascii="宋体" w:hAnsi="宋体" w:cs="宋体"/>
          <w:bCs/>
          <w:color w:val="auto"/>
          <w:sz w:val="24"/>
          <w:highlight w:val="none"/>
        </w:rPr>
      </w:pPr>
      <w:r>
        <w:rPr>
          <w:rFonts w:hint="eastAsia" w:ascii="宋体" w:hAnsi="宋体" w:cs="宋体"/>
          <w:bCs/>
          <w:color w:val="auto"/>
          <w:sz w:val="24"/>
          <w:highlight w:val="none"/>
        </w:rPr>
        <w:t>报价投标人名称（盖章）　　　　　　　　采购编号：</w:t>
      </w:r>
    </w:p>
    <w:tbl>
      <w:tblPr>
        <w:tblStyle w:val="67"/>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bl>
    <w:p>
      <w:pPr>
        <w:outlineLvl w:val="0"/>
        <w:rPr>
          <w:rFonts w:ascii="宋体" w:hAnsi="宋体" w:cs="宋体"/>
          <w:bCs/>
          <w:color w:val="auto"/>
          <w:sz w:val="24"/>
          <w:highlight w:val="none"/>
        </w:rPr>
      </w:pPr>
    </w:p>
    <w:p>
      <w:pPr>
        <w:outlineLvl w:val="0"/>
        <w:rPr>
          <w:rFonts w:ascii="宋体" w:hAnsi="宋体" w:cs="宋体"/>
          <w:bCs/>
          <w:color w:val="auto"/>
          <w:sz w:val="24"/>
          <w:highlight w:val="none"/>
        </w:rPr>
      </w:pPr>
      <w:r>
        <w:rPr>
          <w:rFonts w:hint="eastAsia" w:ascii="宋体" w:hAnsi="宋体" w:cs="宋体"/>
          <w:bCs/>
          <w:color w:val="auto"/>
          <w:sz w:val="24"/>
          <w:highlight w:val="none"/>
        </w:rPr>
        <w:t>注：（1）本表不得删除；</w:t>
      </w:r>
    </w:p>
    <w:p>
      <w:pPr>
        <w:ind w:firstLine="360" w:firstLineChars="150"/>
        <w:outlineLvl w:val="0"/>
        <w:rPr>
          <w:rFonts w:ascii="宋体" w:hAnsi="宋体" w:cs="宋体"/>
          <w:bCs/>
          <w:color w:val="auto"/>
          <w:sz w:val="24"/>
          <w:highlight w:val="none"/>
        </w:rPr>
      </w:pPr>
      <w:r>
        <w:rPr>
          <w:rFonts w:hint="eastAsia" w:ascii="宋体" w:hAnsi="宋体" w:cs="宋体"/>
          <w:bCs/>
          <w:color w:val="auto"/>
          <w:sz w:val="24"/>
          <w:highlight w:val="none"/>
        </w:rPr>
        <w:t>（2）如无任何技术偏离，请于本表“偏离说明”中注明“无偏离”；</w:t>
      </w:r>
    </w:p>
    <w:p>
      <w:pPr>
        <w:spacing w:line="360" w:lineRule="auto"/>
        <w:ind w:firstLine="360" w:firstLineChars="150"/>
        <w:outlineLvl w:val="0"/>
        <w:rPr>
          <w:rFonts w:ascii="宋体" w:hAnsi="宋体" w:cs="宋体"/>
          <w:bCs/>
          <w:color w:val="auto"/>
          <w:szCs w:val="21"/>
          <w:highlight w:val="none"/>
        </w:rPr>
      </w:pPr>
      <w:r>
        <w:rPr>
          <w:rFonts w:hint="eastAsia" w:ascii="宋体" w:hAnsi="宋体" w:cs="宋体"/>
          <w:bCs/>
          <w:color w:val="auto"/>
          <w:sz w:val="24"/>
          <w:highlight w:val="none"/>
        </w:rPr>
        <w:t>（3）如有偏离项，请于本表中列明偏离内容，如需要可自行延长，其余无偏离内容不须赘述。</w:t>
      </w:r>
    </w:p>
    <w:p>
      <w:pPr>
        <w:spacing w:line="400" w:lineRule="exact"/>
        <w:ind w:firstLine="241" w:firstLineChars="100"/>
        <w:rPr>
          <w:rFonts w:ascii="宋体" w:hAnsi="宋体" w:cs="宋体"/>
          <w:b/>
          <w:bCs/>
          <w:color w:val="auto"/>
          <w:sz w:val="24"/>
          <w:highlight w:val="none"/>
        </w:rPr>
      </w:pPr>
    </w:p>
    <w:p>
      <w:pPr>
        <w:spacing w:line="40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法定代表人或法定代表人授权代表签字或盖章：</w:t>
      </w:r>
    </w:p>
    <w:p>
      <w:pPr>
        <w:pStyle w:val="2"/>
        <w:rPr>
          <w:rFonts w:hint="eastAsia" w:ascii="宋体" w:hAnsi="宋体" w:eastAsia="宋体" w:cs="宋体"/>
          <w:b/>
          <w:bCs/>
          <w:color w:val="auto"/>
          <w:kern w:val="2"/>
          <w:sz w:val="24"/>
          <w:szCs w:val="24"/>
          <w:highlight w:val="none"/>
          <w:lang w:val="en-US" w:eastAsia="zh-CN" w:bidi="ar-SA"/>
        </w:rPr>
      </w:pPr>
    </w:p>
    <w:p>
      <w:pPr>
        <w:pStyle w:val="2"/>
        <w:ind w:firstLine="2650" w:firstLineChars="11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日期：   年   月   日</w:t>
      </w: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Style w:val="7"/>
        <w:ind w:firstLine="0"/>
        <w:jc w:val="left"/>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九</w:t>
      </w:r>
      <w:r>
        <w:rPr>
          <w:rFonts w:hint="eastAsia" w:ascii="宋体" w:hAnsi="宋体" w:cs="宋体"/>
          <w:b/>
          <w:bCs/>
          <w:color w:val="auto"/>
          <w:sz w:val="30"/>
          <w:szCs w:val="30"/>
          <w:highlight w:val="none"/>
        </w:rPr>
        <w:t>）企业类似业绩一览表</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格式</w:t>
      </w:r>
      <w:r>
        <w:rPr>
          <w:rFonts w:hint="eastAsia" w:ascii="宋体" w:hAnsi="宋体" w:cs="宋体"/>
          <w:b/>
          <w:bCs/>
          <w:color w:val="auto"/>
          <w:sz w:val="30"/>
          <w:szCs w:val="30"/>
          <w:highlight w:val="none"/>
          <w:lang w:eastAsia="zh-CN"/>
        </w:rPr>
        <w:t>）：</w:t>
      </w:r>
    </w:p>
    <w:p>
      <w:pPr>
        <w:pStyle w:val="7"/>
        <w:ind w:firstLine="0"/>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企业类似业绩一览表</w:t>
      </w:r>
    </w:p>
    <w:p>
      <w:pPr>
        <w:pStyle w:val="7"/>
        <w:ind w:firstLine="0"/>
        <w:rPr>
          <w:rFonts w:ascii="宋体" w:hAnsi="宋体" w:cs="宋体"/>
          <w:b/>
          <w:color w:val="auto"/>
          <w:sz w:val="24"/>
          <w:highlight w:val="none"/>
        </w:rPr>
      </w:pPr>
    </w:p>
    <w:p>
      <w:pPr>
        <w:pStyle w:val="7"/>
        <w:ind w:firstLine="0"/>
        <w:rPr>
          <w:rFonts w:ascii="宋体" w:hAnsi="宋体" w:cs="宋体"/>
          <w:bCs/>
          <w:color w:val="auto"/>
          <w:highlight w:val="none"/>
        </w:rPr>
      </w:pPr>
      <w:r>
        <w:rPr>
          <w:rFonts w:hint="eastAsia" w:ascii="宋体" w:hAnsi="宋体" w:cs="宋体"/>
          <w:bCs/>
          <w:color w:val="auto"/>
          <w:sz w:val="24"/>
          <w:highlight w:val="none"/>
        </w:rPr>
        <w:t>报价投标人名称（盖章）　　　　　　　　采购编号：</w:t>
      </w:r>
    </w:p>
    <w:p>
      <w:pPr>
        <w:pStyle w:val="7"/>
        <w:ind w:firstLine="0"/>
        <w:rPr>
          <w:rFonts w:ascii="宋体" w:hAnsi="宋体" w:cs="宋体"/>
          <w:color w:val="auto"/>
          <w:highlight w:val="none"/>
        </w:rPr>
      </w:pPr>
    </w:p>
    <w:tbl>
      <w:tblPr>
        <w:tblStyle w:val="6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07"/>
        <w:gridCol w:w="1707"/>
        <w:gridCol w:w="1518"/>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0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5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规模</w:t>
            </w:r>
          </w:p>
        </w:tc>
        <w:tc>
          <w:tcPr>
            <w:tcW w:w="189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项目总负责人</w:t>
            </w:r>
          </w:p>
        </w:tc>
        <w:tc>
          <w:tcPr>
            <w:tcW w:w="1897" w:type="dxa"/>
            <w:vAlign w:val="center"/>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707" w:type="dxa"/>
            <w:vAlign w:val="center"/>
          </w:tcPr>
          <w:p>
            <w:pPr>
              <w:jc w:val="center"/>
              <w:rPr>
                <w:rFonts w:ascii="宋体" w:hAnsi="宋体" w:cs="宋体"/>
                <w:color w:val="auto"/>
                <w:szCs w:val="21"/>
                <w:highlight w:val="none"/>
              </w:rPr>
            </w:pPr>
          </w:p>
        </w:tc>
        <w:tc>
          <w:tcPr>
            <w:tcW w:w="1707" w:type="dxa"/>
            <w:vAlign w:val="center"/>
          </w:tcPr>
          <w:p>
            <w:pPr>
              <w:jc w:val="center"/>
              <w:rPr>
                <w:rFonts w:ascii="宋体" w:hAnsi="宋体" w:cs="宋体"/>
                <w:color w:val="auto"/>
                <w:szCs w:val="21"/>
                <w:highlight w:val="none"/>
              </w:rPr>
            </w:pPr>
          </w:p>
        </w:tc>
        <w:tc>
          <w:tcPr>
            <w:tcW w:w="1518"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c>
          <w:tcPr>
            <w:tcW w:w="1897" w:type="dxa"/>
            <w:vAlign w:val="center"/>
          </w:tcPr>
          <w:p>
            <w:pPr>
              <w:jc w:val="center"/>
              <w:rPr>
                <w:rFonts w:ascii="宋体" w:hAnsi="宋体" w:cs="宋体"/>
                <w:color w:val="auto"/>
                <w:szCs w:val="21"/>
                <w:highlight w:val="none"/>
              </w:rPr>
            </w:pPr>
          </w:p>
        </w:tc>
      </w:tr>
    </w:tbl>
    <w:p>
      <w:pPr>
        <w:pStyle w:val="34"/>
        <w:spacing w:line="360" w:lineRule="auto"/>
        <w:jc w:val="center"/>
        <w:rPr>
          <w:rFonts w:hAnsi="宋体" w:cs="宋体"/>
          <w:color w:val="auto"/>
          <w:sz w:val="24"/>
          <w:szCs w:val="24"/>
          <w:highlight w:val="none"/>
        </w:rPr>
      </w:pPr>
      <w:r>
        <w:rPr>
          <w:rFonts w:hint="eastAsia" w:hAnsi="宋体" w:cs="宋体"/>
          <w:color w:val="auto"/>
          <w:sz w:val="24"/>
          <w:szCs w:val="24"/>
          <w:highlight w:val="none"/>
        </w:rPr>
        <w:t xml:space="preserve">                     </w:t>
      </w:r>
    </w:p>
    <w:p>
      <w:pPr>
        <w:pStyle w:val="34"/>
        <w:spacing w:line="360" w:lineRule="auto"/>
        <w:jc w:val="center"/>
        <w:rPr>
          <w:rFonts w:hAnsi="宋体" w:cs="宋体"/>
          <w:color w:val="auto"/>
          <w:sz w:val="24"/>
          <w:szCs w:val="24"/>
          <w:highlight w:val="none"/>
          <w:u w:val="single"/>
        </w:rPr>
      </w:pPr>
      <w:r>
        <w:rPr>
          <w:rFonts w:hint="eastAsia" w:hAnsi="宋体" w:cs="宋体"/>
          <w:color w:val="auto"/>
          <w:sz w:val="24"/>
          <w:szCs w:val="24"/>
          <w:highlight w:val="none"/>
        </w:rPr>
        <w:t xml:space="preserve">                     法定代表人或法定代表人授权代表:</w:t>
      </w:r>
      <w:r>
        <w:rPr>
          <w:rFonts w:hint="eastAsia" w:hAnsi="宋体" w:cs="宋体"/>
          <w:color w:val="auto"/>
          <w:sz w:val="24"/>
          <w:szCs w:val="24"/>
          <w:highlight w:val="none"/>
          <w:u w:val="single"/>
        </w:rPr>
        <w:t xml:space="preserve">              </w:t>
      </w:r>
    </w:p>
    <w:p>
      <w:pPr>
        <w:pStyle w:val="34"/>
        <w:spacing w:line="360" w:lineRule="auto"/>
        <w:ind w:right="480"/>
        <w:jc w:val="center"/>
        <w:rPr>
          <w:rFonts w:hAnsi="宋体" w:cs="宋体"/>
          <w:color w:val="auto"/>
          <w:sz w:val="24"/>
          <w:szCs w:val="24"/>
          <w:highlight w:val="none"/>
        </w:rPr>
      </w:pPr>
      <w:r>
        <w:rPr>
          <w:rFonts w:hint="eastAsia" w:hAnsi="宋体" w:cs="宋体"/>
          <w:color w:val="auto"/>
          <w:sz w:val="24"/>
          <w:szCs w:val="24"/>
          <w:highlight w:val="none"/>
        </w:rPr>
        <w:t>　　　　　　　                   投标人盖公章:</w:t>
      </w:r>
      <w:r>
        <w:rPr>
          <w:rFonts w:hint="eastAsia" w:hAnsi="宋体" w:cs="宋体"/>
          <w:color w:val="auto"/>
          <w:sz w:val="24"/>
          <w:szCs w:val="24"/>
          <w:highlight w:val="none"/>
          <w:u w:val="single"/>
        </w:rPr>
        <w:t xml:space="preserve">                </w:t>
      </w:r>
    </w:p>
    <w:p>
      <w:pPr>
        <w:pStyle w:val="2"/>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rPr>
        <w:t xml:space="preserve">        </w:t>
      </w:r>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日期：</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460" w:lineRule="exact"/>
        <w:jc w:val="both"/>
        <w:outlineLvl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十</w:t>
      </w:r>
      <w:r>
        <w:rPr>
          <w:rFonts w:hint="eastAsia" w:ascii="宋体" w:hAnsi="宋体" w:cs="宋体"/>
          <w:b/>
          <w:color w:val="auto"/>
          <w:sz w:val="28"/>
          <w:szCs w:val="28"/>
          <w:highlight w:val="none"/>
        </w:rPr>
        <w:t>）投标函（格式）：</w:t>
      </w:r>
    </w:p>
    <w:p>
      <w:pPr>
        <w:spacing w:line="46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w:t>
      </w:r>
    </w:p>
    <w:p>
      <w:pPr>
        <w:pStyle w:val="2"/>
        <w:rPr>
          <w:rFonts w:ascii="宋体" w:hAnsi="宋体" w:eastAsia="宋体" w:cs="宋体"/>
          <w:color w:val="auto"/>
          <w:highlight w:val="none"/>
        </w:rPr>
      </w:pPr>
      <w:r>
        <w:rPr>
          <w:rFonts w:hint="eastAsia" w:ascii="宋体" w:hAnsi="宋体" w:eastAsia="宋体" w:cs="宋体"/>
          <w:b/>
          <w:color w:val="auto"/>
          <w:szCs w:val="28"/>
          <w:highlight w:val="none"/>
        </w:rPr>
        <w:t xml:space="preserve">                                </w:t>
      </w:r>
    </w:p>
    <w:p>
      <w:pPr>
        <w:widowControl/>
        <w:topLinePunct/>
        <w:spacing w:before="4" w:line="360" w:lineRule="auto"/>
        <w:rPr>
          <w:rFonts w:ascii="宋体" w:hAnsi="宋体" w:cs="宋体"/>
          <w:color w:val="auto"/>
          <w:sz w:val="24"/>
          <w:highlight w:val="none"/>
        </w:rPr>
      </w:pPr>
      <w:r>
        <w:rPr>
          <w:rFonts w:hint="eastAsia" w:ascii="宋体" w:hAnsi="宋体" w:cs="宋体"/>
          <w:color w:val="auto"/>
          <w:sz w:val="24"/>
          <w:highlight w:val="none"/>
        </w:rPr>
        <w:t>致：江苏通汇工程管理咨询有限公司</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一、根据已收到的项目编号为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b/>
          <w:color w:val="auto"/>
          <w:sz w:val="24"/>
          <w:highlight w:val="none"/>
          <w:u w:val="single"/>
        </w:rPr>
        <w:t xml:space="preserve">    （采购项目名称 ）   </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文件，遵照国家法律、法规和规章的有关规定，我方经过踏勘现场和对</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文件等所有文件的研究后，我方愿以</w:t>
      </w:r>
      <w:r>
        <w:rPr>
          <w:rFonts w:hint="eastAsia" w:ascii="宋体" w:hAnsi="宋体" w:cs="宋体"/>
          <w:color w:val="auto"/>
          <w:sz w:val="24"/>
          <w:highlight w:val="none"/>
          <w:u w:val="single"/>
        </w:rPr>
        <w:t xml:space="preserve">大写金额：        ，小写金额：￥       </w:t>
      </w:r>
      <w:r>
        <w:rPr>
          <w:rFonts w:hint="eastAsia" w:ascii="宋体" w:hAnsi="宋体" w:cs="宋体"/>
          <w:color w:val="auto"/>
          <w:sz w:val="24"/>
          <w:highlight w:val="none"/>
        </w:rPr>
        <w:t>的价格，按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文件中的要求承包本项目。</w:t>
      </w:r>
    </w:p>
    <w:p>
      <w:pPr>
        <w:topLinePunct/>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我公司拟投入的项目负责人为：</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tabs>
          <w:tab w:val="left" w:pos="525"/>
          <w:tab w:val="left" w:pos="552"/>
          <w:tab w:val="left" w:pos="630"/>
          <w:tab w:val="left" w:pos="945"/>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二、我们愿意提供江苏通汇工程管理咨询有限公司在</w:t>
      </w:r>
      <w:r>
        <w:rPr>
          <w:rFonts w:hint="eastAsia" w:ascii="宋体" w:hAnsi="宋体" w:cs="宋体"/>
          <w:color w:val="auto"/>
          <w:sz w:val="24"/>
          <w:highlight w:val="none"/>
          <w:lang w:val="en-US" w:eastAsia="zh-CN"/>
        </w:rPr>
        <w:t>采购</w:t>
      </w:r>
      <w:r>
        <w:rPr>
          <w:rFonts w:hint="eastAsia" w:ascii="宋体" w:hAnsi="宋体" w:cs="宋体"/>
          <w:color w:val="auto"/>
          <w:kern w:val="0"/>
          <w:sz w:val="24"/>
          <w:highlight w:val="none"/>
        </w:rPr>
        <w:t xml:space="preserve">文件中要求的文件、资料。                                                </w:t>
      </w:r>
    </w:p>
    <w:p>
      <w:pPr>
        <w:tabs>
          <w:tab w:val="left" w:pos="525"/>
          <w:tab w:val="left" w:pos="552"/>
          <w:tab w:val="left" w:pos="630"/>
          <w:tab w:val="left" w:pos="945"/>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三、我们同意按</w:t>
      </w:r>
      <w:r>
        <w:rPr>
          <w:rFonts w:hint="eastAsia" w:ascii="宋体" w:hAnsi="宋体" w:cs="宋体"/>
          <w:color w:val="auto"/>
          <w:sz w:val="24"/>
          <w:highlight w:val="none"/>
          <w:lang w:val="en-US" w:eastAsia="zh-CN"/>
        </w:rPr>
        <w:t>采购</w:t>
      </w:r>
      <w:r>
        <w:rPr>
          <w:rFonts w:hint="eastAsia" w:ascii="宋体" w:hAnsi="宋体" w:cs="宋体"/>
          <w:color w:val="auto"/>
          <w:kern w:val="0"/>
          <w:sz w:val="24"/>
          <w:highlight w:val="none"/>
        </w:rPr>
        <w:t>文件中的规定，本投标文件投标的有效期限为投标截止之日起90天。</w:t>
      </w:r>
    </w:p>
    <w:p>
      <w:pPr>
        <w:tabs>
          <w:tab w:val="left" w:pos="525"/>
          <w:tab w:val="left" w:pos="552"/>
          <w:tab w:val="left" w:pos="630"/>
          <w:tab w:val="left" w:pos="945"/>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四、我方同意按</w:t>
      </w:r>
      <w:r>
        <w:rPr>
          <w:rFonts w:hint="eastAsia" w:ascii="宋体" w:hAnsi="宋体" w:cs="宋体"/>
          <w:color w:val="auto"/>
          <w:sz w:val="24"/>
          <w:highlight w:val="none"/>
          <w:lang w:val="en-US" w:eastAsia="zh-CN"/>
        </w:rPr>
        <w:t>采购</w:t>
      </w:r>
      <w:r>
        <w:rPr>
          <w:rFonts w:hint="eastAsia" w:ascii="宋体" w:hAnsi="宋体" w:cs="宋体"/>
          <w:color w:val="auto"/>
          <w:kern w:val="0"/>
          <w:sz w:val="24"/>
          <w:highlight w:val="none"/>
        </w:rPr>
        <w:t>文件中的规定期限内完成全部工作。</w:t>
      </w:r>
    </w:p>
    <w:p>
      <w:pPr>
        <w:tabs>
          <w:tab w:val="left" w:pos="525"/>
          <w:tab w:val="left" w:pos="552"/>
          <w:tab w:val="left" w:pos="630"/>
          <w:tab w:val="left" w:pos="945"/>
        </w:tabs>
        <w:spacing w:line="360" w:lineRule="auto"/>
        <w:ind w:firstLine="480" w:firstLineChars="200"/>
        <w:rPr>
          <w:rFonts w:ascii="宋体" w:hAnsi="宋体" w:cs="宋体"/>
          <w:bCs/>
          <w:color w:val="auto"/>
          <w:sz w:val="24"/>
          <w:highlight w:val="none"/>
        </w:rPr>
      </w:pPr>
      <w:r>
        <w:rPr>
          <w:rFonts w:hint="eastAsia" w:ascii="宋体" w:hAnsi="宋体" w:cs="宋体"/>
          <w:color w:val="auto"/>
          <w:kern w:val="0"/>
          <w:sz w:val="24"/>
          <w:highlight w:val="none"/>
        </w:rPr>
        <w:t>五</w:t>
      </w:r>
      <w:r>
        <w:rPr>
          <w:rFonts w:hint="eastAsia" w:ascii="宋体" w:hAnsi="宋体" w:cs="宋体"/>
          <w:bCs/>
          <w:color w:val="auto"/>
          <w:sz w:val="24"/>
          <w:highlight w:val="none"/>
        </w:rPr>
        <w:t>、如果我们的投标文件被接受，我们将履行</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文件中规定的每一项要求，按期、按质、按量，完成交货任务。</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六、我们认为你们有权决定中标投标人。</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七、我方愿意遵守《中华人民共和国政府采购法》，并按《中华人民共和国民法典》和合同条款履行自己的全部责任。在合同履行过程中，双方如有争议，同意双方协调解决，并按相关法规和有关文件规定处理。</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八、我们认可并保证遵守</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文件的所有规定，放弃对</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文件提出质疑的权利。</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投标人（盖章）：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法定代表人或法定代表人授权代表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签字或盖章</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电话：                              传真：</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地址：                              邮编：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开户名称：                          开户银行：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开户账号：                          </w:t>
      </w:r>
      <w:r>
        <w:rPr>
          <w:rFonts w:hint="eastAsia" w:ascii="宋体" w:hAnsi="宋体" w:cs="宋体"/>
          <w:color w:val="auto"/>
          <w:sz w:val="24"/>
          <w:highlight w:val="none"/>
        </w:rPr>
        <w:t>开户账号：</w:t>
      </w:r>
    </w:p>
    <w:p>
      <w:pPr>
        <w:ind w:firstLine="490" w:firstLineChars="175"/>
        <w:jc w:val="center"/>
        <w:outlineLvl w:val="0"/>
        <w:rPr>
          <w:rFonts w:ascii="宋体" w:hAnsi="宋体" w:cs="宋体"/>
          <w:bCs/>
          <w:color w:val="auto"/>
          <w:sz w:val="28"/>
          <w:szCs w:val="28"/>
          <w:highlight w:val="none"/>
        </w:rPr>
      </w:pPr>
    </w:p>
    <w:p>
      <w:pPr>
        <w:ind w:firstLine="490" w:firstLineChars="175"/>
        <w:jc w:val="center"/>
        <w:outlineLvl w:val="0"/>
        <w:rPr>
          <w:rFonts w:ascii="宋体" w:hAnsi="宋体" w:cs="宋体"/>
          <w:bCs/>
          <w:color w:val="auto"/>
          <w:sz w:val="28"/>
          <w:szCs w:val="28"/>
          <w:highlight w:val="none"/>
        </w:rPr>
      </w:pPr>
    </w:p>
    <w:p>
      <w:pPr>
        <w:ind w:firstLine="490" w:firstLineChars="175"/>
        <w:jc w:val="center"/>
        <w:outlineLvl w:val="0"/>
        <w:rPr>
          <w:rFonts w:ascii="宋体" w:hAnsi="宋体" w:cs="宋体"/>
          <w:bCs/>
          <w:color w:val="auto"/>
          <w:sz w:val="28"/>
          <w:szCs w:val="28"/>
          <w:highlight w:val="none"/>
        </w:rPr>
      </w:pPr>
    </w:p>
    <w:p>
      <w:pPr>
        <w:ind w:firstLine="490" w:firstLineChars="175"/>
        <w:jc w:val="center"/>
        <w:outlineLvl w:val="0"/>
        <w:rPr>
          <w:rFonts w:ascii="宋体" w:hAnsi="宋体" w:cs="宋体"/>
          <w:bCs/>
          <w:color w:val="auto"/>
          <w:sz w:val="28"/>
          <w:szCs w:val="28"/>
          <w:highlight w:val="none"/>
        </w:rPr>
      </w:pPr>
    </w:p>
    <w:p>
      <w:pPr>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jc w:val="both"/>
        <w:outlineLvl w:val="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十一</w:t>
      </w:r>
      <w:r>
        <w:rPr>
          <w:rFonts w:hint="eastAsia" w:ascii="宋体" w:hAnsi="宋体" w:cs="宋体"/>
          <w:b/>
          <w:color w:val="auto"/>
          <w:sz w:val="28"/>
          <w:szCs w:val="28"/>
          <w:highlight w:val="none"/>
        </w:rPr>
        <w:t>）开标一览表（格式）</w:t>
      </w:r>
      <w:r>
        <w:rPr>
          <w:rFonts w:hint="eastAsia" w:ascii="宋体" w:hAnsi="宋体" w:cs="宋体"/>
          <w:b/>
          <w:color w:val="auto"/>
          <w:sz w:val="28"/>
          <w:szCs w:val="28"/>
          <w:highlight w:val="none"/>
          <w:lang w:eastAsia="zh-CN"/>
        </w:rPr>
        <w:t>：</w:t>
      </w:r>
    </w:p>
    <w:p>
      <w:pPr>
        <w:pStyle w:val="2"/>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开标一览表</w:t>
      </w:r>
    </w:p>
    <w:p>
      <w:pPr>
        <w:ind w:firstLine="490" w:firstLineChars="175"/>
        <w:jc w:val="center"/>
        <w:outlineLvl w:val="0"/>
        <w:rPr>
          <w:rFonts w:ascii="宋体" w:hAnsi="宋体" w:cs="宋体"/>
          <w:bCs/>
          <w:color w:val="auto"/>
          <w:sz w:val="28"/>
          <w:szCs w:val="28"/>
          <w:highlight w:val="none"/>
        </w:rPr>
      </w:pPr>
    </w:p>
    <w:p>
      <w:pPr>
        <w:adjustRightInd w:val="0"/>
        <w:snapToGrid w:val="0"/>
        <w:spacing w:line="300" w:lineRule="auto"/>
        <w:rPr>
          <w:rFonts w:ascii="宋体" w:hAnsi="宋体" w:cs="宋体"/>
          <w:color w:val="auto"/>
          <w:highlight w:val="none"/>
        </w:rPr>
      </w:pPr>
      <w:r>
        <w:rPr>
          <w:rFonts w:hint="eastAsia" w:ascii="宋体" w:hAnsi="宋体" w:cs="宋体"/>
          <w:color w:val="auto"/>
          <w:sz w:val="24"/>
          <w:highlight w:val="none"/>
        </w:rPr>
        <w:t>投标人全称（</w:t>
      </w:r>
      <w:r>
        <w:rPr>
          <w:rFonts w:hint="eastAsia" w:ascii="宋体" w:hAnsi="宋体" w:cs="宋体"/>
          <w:bCs/>
          <w:color w:val="auto"/>
          <w:sz w:val="24"/>
          <w:highlight w:val="none"/>
        </w:rPr>
        <w:t>盖章</w:t>
      </w:r>
      <w:r>
        <w:rPr>
          <w:rFonts w:hint="eastAsia" w:ascii="宋体" w:hAnsi="宋体" w:cs="宋体"/>
          <w:color w:val="auto"/>
          <w:sz w:val="24"/>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highlight w:val="none"/>
        </w:rPr>
        <w:t>项目编号：</w:t>
      </w:r>
      <w:r>
        <w:rPr>
          <w:rFonts w:hint="eastAsia" w:ascii="宋体" w:hAnsi="宋体" w:cs="宋体"/>
          <w:color w:val="auto"/>
          <w:highlight w:val="none"/>
        </w:rPr>
        <w:t xml:space="preserve"> </w:t>
      </w:r>
    </w:p>
    <w:tbl>
      <w:tblPr>
        <w:tblStyle w:val="67"/>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trPr>
        <w:tc>
          <w:tcPr>
            <w:tcW w:w="1959" w:type="dxa"/>
            <w:vAlign w:val="center"/>
          </w:tcPr>
          <w:p>
            <w:pPr>
              <w:pStyle w:val="2"/>
              <w:snapToGrid w:val="0"/>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项目报价</w:t>
            </w:r>
          </w:p>
          <w:p>
            <w:pPr>
              <w:pStyle w:val="2"/>
              <w:snapToGrid w:val="0"/>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7820" w:type="dxa"/>
            <w:vAlign w:val="center"/>
          </w:tcPr>
          <w:p>
            <w:pPr>
              <w:pStyle w:val="2"/>
              <w:snapToGrid w:val="0"/>
              <w:spacing w:line="30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pPr>
              <w:pStyle w:val="2"/>
              <w:snapToGrid w:val="0"/>
              <w:spacing w:line="30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trPr>
        <w:tc>
          <w:tcPr>
            <w:tcW w:w="1959" w:type="dxa"/>
            <w:vAlign w:val="center"/>
          </w:tcPr>
          <w:p>
            <w:pPr>
              <w:adjustRightInd w:val="0"/>
              <w:snapToGrid w:val="0"/>
              <w:spacing w:line="300" w:lineRule="auto"/>
              <w:jc w:val="center"/>
              <w:rPr>
                <w:rFonts w:ascii="宋体" w:hAnsi="宋体" w:cs="宋体"/>
                <w:color w:val="auto"/>
                <w:sz w:val="24"/>
                <w:highlight w:val="none"/>
              </w:rPr>
            </w:pPr>
            <w:r>
              <w:rPr>
                <w:rFonts w:hint="eastAsia" w:ascii="宋体" w:hAnsi="宋体" w:cs="宋体"/>
                <w:bCs/>
                <w:color w:val="auto"/>
                <w:sz w:val="24"/>
                <w:highlight w:val="none"/>
              </w:rPr>
              <w:t>服务期限</w:t>
            </w:r>
          </w:p>
        </w:tc>
        <w:tc>
          <w:tcPr>
            <w:tcW w:w="7820" w:type="dxa"/>
            <w:vAlign w:val="center"/>
          </w:tcPr>
          <w:p>
            <w:pPr>
              <w:adjustRightInd w:val="0"/>
              <w:snapToGrid w:val="0"/>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trPr>
        <w:tc>
          <w:tcPr>
            <w:tcW w:w="1959" w:type="dxa"/>
            <w:vAlign w:val="center"/>
          </w:tcPr>
          <w:p>
            <w:pPr>
              <w:adjustRightInd w:val="0"/>
              <w:snapToGrid w:val="0"/>
              <w:spacing w:line="300" w:lineRule="auto"/>
              <w:jc w:val="center"/>
              <w:rPr>
                <w:rFonts w:ascii="宋体" w:hAnsi="宋体" w:cs="宋体"/>
                <w:color w:val="auto"/>
                <w:sz w:val="24"/>
                <w:highlight w:val="none"/>
              </w:rPr>
            </w:pPr>
            <w:r>
              <w:rPr>
                <w:rFonts w:hint="eastAsia" w:ascii="宋体" w:hAnsi="宋体" w:cs="宋体"/>
                <w:bCs/>
                <w:color w:val="auto"/>
                <w:sz w:val="24"/>
                <w:highlight w:val="none"/>
              </w:rPr>
              <w:t>服务标准</w:t>
            </w:r>
          </w:p>
        </w:tc>
        <w:tc>
          <w:tcPr>
            <w:tcW w:w="7820" w:type="dxa"/>
            <w:vAlign w:val="center"/>
          </w:tcPr>
          <w:p>
            <w:pPr>
              <w:adjustRightInd w:val="0"/>
              <w:snapToGrid w:val="0"/>
              <w:spacing w:line="44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1959" w:type="dxa"/>
            <w:vAlign w:val="center"/>
          </w:tcPr>
          <w:p>
            <w:pPr>
              <w:adjustRightInd w:val="0"/>
              <w:snapToGrid w:val="0"/>
              <w:spacing w:line="300" w:lineRule="auto"/>
              <w:jc w:val="center"/>
              <w:rPr>
                <w:rFonts w:ascii="宋体" w:hAnsi="宋体" w:cs="宋体"/>
                <w:color w:val="auto"/>
                <w:highlight w:val="none"/>
              </w:rPr>
            </w:pPr>
            <w:r>
              <w:rPr>
                <w:rFonts w:hint="eastAsia" w:ascii="宋体" w:hAnsi="宋体" w:cs="宋体"/>
                <w:color w:val="auto"/>
                <w:sz w:val="24"/>
                <w:highlight w:val="none"/>
              </w:rPr>
              <w:t>项目负责人</w:t>
            </w:r>
          </w:p>
        </w:tc>
        <w:tc>
          <w:tcPr>
            <w:tcW w:w="7820" w:type="dxa"/>
            <w:vAlign w:val="center"/>
          </w:tcPr>
          <w:p>
            <w:pPr>
              <w:widowControl/>
              <w:topLinePunct/>
              <w:spacing w:line="440" w:lineRule="exact"/>
              <w:rPr>
                <w:rFonts w:ascii="宋体" w:hAnsi="宋体" w:cs="宋体"/>
                <w:color w:val="auto"/>
                <w:sz w:val="24"/>
                <w:highlight w:val="none"/>
              </w:rPr>
            </w:pPr>
          </w:p>
        </w:tc>
      </w:tr>
    </w:tbl>
    <w:p>
      <w:pPr>
        <w:adjustRightInd w:val="0"/>
        <w:snapToGrid w:val="0"/>
        <w:spacing w:line="300" w:lineRule="auto"/>
        <w:ind w:firstLine="480" w:firstLineChars="200"/>
        <w:rPr>
          <w:rFonts w:ascii="宋体" w:hAnsi="宋体" w:cs="宋体"/>
          <w:color w:val="auto"/>
          <w:sz w:val="24"/>
          <w:szCs w:val="28"/>
          <w:highlight w:val="none"/>
        </w:rPr>
      </w:pPr>
    </w:p>
    <w:p>
      <w:pPr>
        <w:overflowPunct w:val="0"/>
        <w:spacing w:line="360" w:lineRule="auto"/>
        <w:rPr>
          <w:rFonts w:ascii="宋体" w:hAnsi="宋体" w:cs="宋体"/>
          <w:color w:val="auto"/>
          <w:sz w:val="24"/>
          <w:highlight w:val="none"/>
        </w:rPr>
      </w:pPr>
      <w:r>
        <w:rPr>
          <w:rFonts w:hint="eastAsia" w:ascii="宋体" w:hAnsi="宋体" w:cs="宋体"/>
          <w:bCs/>
          <w:color w:val="auto"/>
          <w:sz w:val="24"/>
          <w:highlight w:val="none"/>
        </w:rPr>
        <w:t>法定代表人或法定代表人授权代表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签字或盖章</w:t>
      </w:r>
      <w:r>
        <w:rPr>
          <w:rFonts w:hint="eastAsia" w:ascii="宋体" w:hAnsi="宋体" w:cs="宋体"/>
          <w:bCs/>
          <w:color w:val="auto"/>
          <w:sz w:val="24"/>
          <w:highlight w:val="none"/>
          <w:lang w:eastAsia="zh-CN"/>
        </w:rPr>
        <w:t>）</w:t>
      </w:r>
      <w:r>
        <w:rPr>
          <w:rFonts w:hint="eastAsia" w:ascii="宋体" w:hAnsi="宋体" w:cs="宋体"/>
          <w:color w:val="auto"/>
          <w:sz w:val="24"/>
          <w:highlight w:val="none"/>
        </w:rPr>
        <w:t xml:space="preserve">                日期：   年   月   日</w:t>
      </w:r>
    </w:p>
    <w:p>
      <w:pPr>
        <w:overflowPunct w:val="0"/>
        <w:spacing w:line="360" w:lineRule="auto"/>
        <w:rPr>
          <w:rFonts w:hint="eastAsia" w:ascii="宋体" w:hAnsi="宋体" w:cs="宋体"/>
          <w:color w:val="auto"/>
          <w:sz w:val="24"/>
          <w:highlight w:val="none"/>
        </w:rPr>
      </w:pPr>
    </w:p>
    <w:p>
      <w:pPr>
        <w:overflowPunct w:val="0"/>
        <w:spacing w:line="360" w:lineRule="auto"/>
        <w:rPr>
          <w:rFonts w:ascii="宋体" w:hAnsi="宋体" w:cs="宋体"/>
          <w:b/>
          <w:color w:val="auto"/>
          <w:sz w:val="24"/>
          <w:highlight w:val="none"/>
        </w:rPr>
      </w:pPr>
      <w:r>
        <w:rPr>
          <w:rFonts w:hint="eastAsia" w:ascii="宋体" w:hAnsi="宋体" w:eastAsia="宋体" w:cs="宋体"/>
          <w:b/>
          <w:color w:val="auto"/>
          <w:sz w:val="24"/>
          <w:highlight w:val="none"/>
        </w:rPr>
        <w:t>填写说明：开</w:t>
      </w:r>
      <w:r>
        <w:rPr>
          <w:rFonts w:hint="eastAsia" w:ascii="宋体" w:hAnsi="宋体" w:cs="宋体"/>
          <w:b/>
          <w:color w:val="auto"/>
          <w:sz w:val="24"/>
          <w:highlight w:val="none"/>
        </w:rPr>
        <w:t>标一览表中的内容应与投标函内容一致，否则评标时一律按开标一览表中内容为准，开标一览表中必须盖章或签字。</w:t>
      </w:r>
    </w:p>
    <w:p>
      <w:pPr>
        <w:overflowPunct w:val="0"/>
        <w:spacing w:line="360" w:lineRule="auto"/>
        <w:rPr>
          <w:rFonts w:ascii="宋体" w:hAnsi="宋体" w:cs="宋体"/>
          <w:color w:val="auto"/>
          <w:sz w:val="24"/>
          <w:highlight w:val="none"/>
        </w:rPr>
      </w:pPr>
    </w:p>
    <w:p>
      <w:pPr>
        <w:spacing w:line="400" w:lineRule="exact"/>
        <w:jc w:val="center"/>
        <w:rPr>
          <w:rFonts w:ascii="宋体" w:hAnsi="宋体" w:cs="宋体"/>
          <w:bCs/>
          <w:color w:val="auto"/>
          <w:sz w:val="24"/>
          <w:highlight w:val="none"/>
        </w:rPr>
      </w:pPr>
    </w:p>
    <w:p>
      <w:pPr>
        <w:spacing w:line="400" w:lineRule="exact"/>
        <w:jc w:val="center"/>
        <w:rPr>
          <w:rFonts w:ascii="宋体" w:hAnsi="宋体" w:cs="宋体"/>
          <w:bCs/>
          <w:color w:val="auto"/>
          <w:sz w:val="24"/>
          <w:highlight w:val="none"/>
        </w:rPr>
      </w:pPr>
    </w:p>
    <w:p>
      <w:pPr>
        <w:spacing w:line="400" w:lineRule="exact"/>
        <w:jc w:val="center"/>
        <w:rPr>
          <w:rFonts w:ascii="宋体" w:hAnsi="宋体" w:cs="宋体"/>
          <w:bCs/>
          <w:color w:val="auto"/>
          <w:sz w:val="24"/>
          <w:highlight w:val="none"/>
        </w:rPr>
      </w:pPr>
    </w:p>
    <w:p>
      <w:pPr>
        <w:spacing w:line="400" w:lineRule="exact"/>
        <w:jc w:val="center"/>
        <w:rPr>
          <w:rFonts w:ascii="宋体" w:hAnsi="宋体" w:cs="宋体"/>
          <w:bCs/>
          <w:color w:val="auto"/>
          <w:sz w:val="24"/>
          <w:highlight w:val="none"/>
        </w:rPr>
      </w:pPr>
    </w:p>
    <w:p>
      <w:pPr>
        <w:pStyle w:val="41"/>
        <w:rPr>
          <w:color w:val="auto"/>
          <w:highlight w:val="none"/>
        </w:rPr>
      </w:pP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360" w:lineRule="auto"/>
        <w:jc w:val="both"/>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十二</w:t>
      </w:r>
      <w:r>
        <w:rPr>
          <w:rFonts w:hint="eastAsia" w:ascii="宋体" w:hAnsi="宋体" w:cs="宋体"/>
          <w:b/>
          <w:color w:val="auto"/>
          <w:sz w:val="28"/>
          <w:szCs w:val="28"/>
          <w:highlight w:val="none"/>
        </w:rPr>
        <w:t>）报价明细表（格式</w:t>
      </w:r>
      <w:r>
        <w:rPr>
          <w:rFonts w:hint="eastAsia" w:ascii="宋体" w:hAnsi="宋体" w:eastAsia="宋体" w:cs="宋体"/>
          <w:b/>
          <w:color w:val="auto"/>
          <w:kern w:val="2"/>
          <w:sz w:val="28"/>
          <w:szCs w:val="28"/>
          <w:highlight w:val="none"/>
          <w:lang w:val="en-US" w:eastAsia="zh-CN" w:bidi="ar-SA"/>
        </w:rPr>
        <w:t>）</w:t>
      </w:r>
    </w:p>
    <w:p>
      <w:pPr>
        <w:pStyle w:val="2"/>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报价明细表</w:t>
      </w:r>
    </w:p>
    <w:p>
      <w:pPr>
        <w:spacing w:line="360" w:lineRule="auto"/>
        <w:rPr>
          <w:rFonts w:hint="eastAsia" w:ascii="宋体" w:hAnsi="宋体" w:cs="宋体"/>
          <w:bCs/>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投标人名称（盖章）                    项目编号：   </w:t>
      </w:r>
    </w:p>
    <w:tbl>
      <w:tblPr>
        <w:tblStyle w:val="67"/>
        <w:tblW w:w="5353" w:type="pct"/>
        <w:jc w:val="center"/>
        <w:tblLayout w:type="fixed"/>
        <w:tblCellMar>
          <w:top w:w="0" w:type="dxa"/>
          <w:left w:w="108" w:type="dxa"/>
          <w:bottom w:w="0" w:type="dxa"/>
          <w:right w:w="108" w:type="dxa"/>
        </w:tblCellMar>
      </w:tblPr>
      <w:tblGrid>
        <w:gridCol w:w="433"/>
        <w:gridCol w:w="1058"/>
        <w:gridCol w:w="693"/>
        <w:gridCol w:w="693"/>
        <w:gridCol w:w="693"/>
        <w:gridCol w:w="697"/>
        <w:gridCol w:w="816"/>
        <w:gridCol w:w="623"/>
        <w:gridCol w:w="694"/>
        <w:gridCol w:w="706"/>
        <w:gridCol w:w="608"/>
        <w:gridCol w:w="692"/>
        <w:gridCol w:w="692"/>
        <w:gridCol w:w="692"/>
        <w:gridCol w:w="692"/>
      </w:tblGrid>
      <w:tr>
        <w:tblPrEx>
          <w:tblCellMar>
            <w:top w:w="0" w:type="dxa"/>
            <w:left w:w="108" w:type="dxa"/>
            <w:bottom w:w="0" w:type="dxa"/>
            <w:right w:w="108" w:type="dxa"/>
          </w:tblCellMar>
        </w:tblPrEx>
        <w:trPr>
          <w:cantSplit/>
          <w:trHeight w:val="1305"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tLeast"/>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序号</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社区名称</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收集房（只）</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分类指导员（人）</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分类指导员费用（月）</w:t>
            </w:r>
          </w:p>
        </w:tc>
        <w:tc>
          <w:tcPr>
            <w:tcW w:w="33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误时投放点（处）</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误时投放费用（元/月）</w:t>
            </w:r>
          </w:p>
        </w:tc>
        <w:tc>
          <w:tcPr>
            <w:tcW w:w="2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中转站（只）</w:t>
            </w: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转运人员（人）</w:t>
            </w:r>
          </w:p>
        </w:tc>
        <w:tc>
          <w:tcPr>
            <w:tcW w:w="33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清洗人员（人）</w:t>
            </w:r>
          </w:p>
        </w:tc>
        <w:tc>
          <w:tcPr>
            <w:tcW w:w="29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转运费用（月）</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清洗费用（月）</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每月合计费用（元）</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rPr>
              <w:t>其他费用</w:t>
            </w:r>
            <w:r>
              <w:rPr>
                <w:rFonts w:hint="eastAsia" w:ascii="宋体" w:hAnsi="宋体" w:cs="宋体"/>
                <w:b/>
                <w:bCs/>
                <w:color w:val="auto"/>
                <w:kern w:val="0"/>
                <w:sz w:val="18"/>
                <w:szCs w:val="18"/>
                <w:highlight w:val="none"/>
                <w:lang w:eastAsia="zh-CN"/>
              </w:rPr>
              <w:t>（</w:t>
            </w:r>
            <w:r>
              <w:rPr>
                <w:rFonts w:hint="eastAsia" w:ascii="宋体" w:hAnsi="宋体" w:cs="宋体"/>
                <w:b/>
                <w:bCs/>
                <w:color w:val="auto"/>
                <w:kern w:val="0"/>
                <w:sz w:val="18"/>
                <w:szCs w:val="18"/>
                <w:highlight w:val="none"/>
                <w:lang w:val="en-US" w:eastAsia="zh-CN"/>
              </w:rPr>
              <w:t>元）</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总计费用（元）</w:t>
            </w: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禾塘社区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2</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旺安社区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3</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太湖社区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4</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水乡社区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5</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清舒社区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6</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农联社区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7</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华庄社区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8</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华新社区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9</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周潭社区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10</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泓澄社区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11</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南张社区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12</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落霞社区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13</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里桥社区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54" w:hRule="atLeast"/>
          <w:tblHeade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14</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凯发社区</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cantSplit/>
          <w:trHeight w:val="415" w:hRule="atLeast"/>
          <w:tblHeader/>
          <w:jc w:val="center"/>
        </w:trPr>
        <w:tc>
          <w:tcPr>
            <w:tcW w:w="70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合  计</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172</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172</w:t>
            </w: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29</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18</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36</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18</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highlight w:val="none"/>
              </w:rPr>
            </w:pPr>
          </w:p>
        </w:tc>
      </w:tr>
    </w:tbl>
    <w:p>
      <w:pPr>
        <w:autoSpaceDE w:val="0"/>
        <w:autoSpaceDN w:val="0"/>
        <w:adjustRightInd w:val="0"/>
        <w:spacing w:after="20" w:line="360" w:lineRule="auto"/>
        <w:ind w:firstLine="0" w:firstLineChars="0"/>
        <w:textAlignment w:val="baseline"/>
        <w:rPr>
          <w:rFonts w:hint="eastAsia" w:ascii="宋体" w:hAnsi="宋体" w:cs="宋体"/>
          <w:color w:val="auto"/>
          <w:kern w:val="0"/>
          <w:sz w:val="24"/>
          <w:szCs w:val="20"/>
          <w:highlight w:val="none"/>
          <w:lang w:val="en-GB"/>
        </w:rPr>
      </w:pPr>
    </w:p>
    <w:p>
      <w:pPr>
        <w:autoSpaceDE w:val="0"/>
        <w:autoSpaceDN w:val="0"/>
        <w:adjustRightInd w:val="0"/>
        <w:spacing w:after="20" w:line="360" w:lineRule="auto"/>
        <w:ind w:firstLine="0" w:firstLineChars="0"/>
        <w:textAlignment w:val="baseline"/>
        <w:rPr>
          <w:rFonts w:ascii="宋体" w:hAnsi="宋体" w:cs="宋体"/>
          <w:b/>
          <w:bCs/>
          <w:color w:val="auto"/>
          <w:kern w:val="0"/>
          <w:sz w:val="24"/>
          <w:szCs w:val="20"/>
          <w:highlight w:val="none"/>
        </w:rPr>
      </w:pPr>
      <w:r>
        <w:rPr>
          <w:rFonts w:hint="eastAsia" w:ascii="宋体" w:hAnsi="宋体" w:cs="宋体"/>
          <w:b/>
          <w:bCs/>
          <w:color w:val="auto"/>
          <w:kern w:val="0"/>
          <w:sz w:val="24"/>
          <w:szCs w:val="20"/>
          <w:highlight w:val="none"/>
          <w:lang w:val="en-GB"/>
        </w:rPr>
        <w:t>注：</w:t>
      </w:r>
      <w:r>
        <w:rPr>
          <w:rFonts w:hint="eastAsia" w:ascii="宋体" w:hAnsi="宋体" w:cs="宋体"/>
          <w:b/>
          <w:bCs/>
          <w:color w:val="auto"/>
          <w:sz w:val="24"/>
          <w:highlight w:val="none"/>
        </w:rPr>
        <w:t>投标报价中应包含安全、人工、机械、车辆、保险、管理费、利润、税金等一切费用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同类报价应一致，不得有偏差。</w:t>
      </w:r>
      <w:r>
        <w:rPr>
          <w:rFonts w:hint="eastAsia" w:ascii="宋体" w:hAnsi="宋体" w:cs="宋体"/>
          <w:b/>
          <w:bCs/>
          <w:color w:val="auto"/>
          <w:sz w:val="24"/>
          <w:highlight w:val="none"/>
        </w:rPr>
        <w:t>一旦中标，采购人不承担其它任何费用。</w:t>
      </w:r>
    </w:p>
    <w:p>
      <w:pPr>
        <w:spacing w:line="460" w:lineRule="exact"/>
        <w:jc w:val="center"/>
        <w:rPr>
          <w:rFonts w:ascii="宋体" w:hAnsi="宋体" w:cs="宋体"/>
          <w:b/>
          <w:bCs/>
          <w:color w:val="auto"/>
          <w:sz w:val="44"/>
          <w:szCs w:val="44"/>
          <w:highlight w:val="none"/>
        </w:rPr>
      </w:pPr>
    </w:p>
    <w:p>
      <w:pPr>
        <w:jc w:val="left"/>
        <w:rPr>
          <w:rFonts w:ascii="宋体" w:hAnsi="宋体" w:cs="宋体"/>
          <w:b/>
          <w:bCs/>
          <w:color w:val="auto"/>
          <w:sz w:val="44"/>
          <w:szCs w:val="44"/>
          <w:highlight w:val="none"/>
        </w:rPr>
      </w:pPr>
      <w:r>
        <w:rPr>
          <w:rFonts w:hint="eastAsia" w:ascii="宋体" w:hAnsi="宋体" w:cs="宋体"/>
          <w:b/>
          <w:bCs/>
          <w:color w:val="auto"/>
          <w:sz w:val="44"/>
          <w:szCs w:val="44"/>
          <w:highlight w:val="none"/>
        </w:rPr>
        <w:br w:type="page"/>
      </w:r>
    </w:p>
    <w:p>
      <w:pPr>
        <w:spacing w:line="360" w:lineRule="auto"/>
        <w:rPr>
          <w:rFonts w:ascii="宋体" w:hAnsi="宋体" w:cs="宋体"/>
          <w:b/>
          <w:bCs w:val="0"/>
          <w:color w:val="auto"/>
          <w:sz w:val="30"/>
          <w:szCs w:val="30"/>
          <w:highlight w:val="none"/>
        </w:rPr>
      </w:pPr>
      <w:r>
        <w:rPr>
          <w:rFonts w:hint="eastAsia" w:ascii="宋体" w:hAnsi="宋体" w:cs="宋体"/>
          <w:b/>
          <w:bCs w:val="0"/>
          <w:color w:val="auto"/>
          <w:sz w:val="30"/>
          <w:szCs w:val="30"/>
          <w:highlight w:val="none"/>
        </w:rPr>
        <w:t>暗标部分：</w:t>
      </w:r>
    </w:p>
    <w:p>
      <w:pPr>
        <w:spacing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暗标（服务方案）格式：</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bCs/>
          <w:color w:val="auto"/>
          <w:kern w:val="0"/>
          <w:sz w:val="24"/>
          <w:highlight w:val="none"/>
        </w:rPr>
        <w:t>暗标的封面和封底及装订夹采用采购代理机构统一提供（暗标封面、封底、装订夹，不得有修改、编辑，不得复印，纸张不得模糊，否则作废标处理）</w:t>
      </w:r>
      <w:r>
        <w:rPr>
          <w:rFonts w:hint="eastAsia" w:ascii="宋体" w:hAnsi="宋体" w:cs="宋体"/>
          <w:bCs/>
          <w:color w:val="auto"/>
          <w:kern w:val="0"/>
          <w:sz w:val="24"/>
          <w:highlight w:val="none"/>
          <w:lang w:eastAsia="zh-CN"/>
        </w:rPr>
        <w:t>；</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2、投标人应根据采购文件中的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文件及“暗标编制、装订要求”的编制要求编写。</w:t>
      </w:r>
    </w:p>
    <w:p>
      <w:pPr>
        <w:widowControl/>
        <w:shd w:val="clear" w:color="auto" w:fill="FFFFFF"/>
        <w:spacing w:before="100" w:beforeAutospacing="1" w:after="100" w:afterAutospacing="1"/>
        <w:jc w:val="center"/>
        <w:rPr>
          <w:rFonts w:ascii="宋体" w:hAnsi="宋体" w:cs="宋体"/>
          <w:b/>
          <w:bCs/>
          <w:color w:val="auto"/>
          <w:spacing w:val="-10"/>
          <w:kern w:val="0"/>
          <w:sz w:val="48"/>
          <w:szCs w:val="48"/>
          <w:highlight w:val="none"/>
        </w:rPr>
      </w:pPr>
    </w:p>
    <w:p>
      <w:pPr>
        <w:spacing w:line="400" w:lineRule="exact"/>
        <w:ind w:left="1566" w:hanging="1566" w:hangingChars="300"/>
        <w:jc w:val="center"/>
        <w:rPr>
          <w:rFonts w:ascii="宋体" w:hAnsi="宋体" w:cs="宋体"/>
          <w:b/>
          <w:color w:val="auto"/>
          <w:sz w:val="52"/>
          <w:szCs w:val="52"/>
          <w:highlight w:val="none"/>
        </w:rPr>
      </w:pPr>
    </w:p>
    <w:sectPr>
      <w:headerReference r:id="rId8" w:type="default"/>
      <w:footerReference r:id="rId9" w:type="default"/>
      <w:footerReference r:id="rId10" w:type="even"/>
      <w:pgSz w:w="11906" w:h="16838"/>
      <w:pgMar w:top="1213" w:right="1157" w:bottom="1213" w:left="1174" w:header="85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文鼎CS中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34</w:t>
    </w:r>
    <w:r>
      <w:fldChar w:fldCharType="end"/>
    </w: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Style w:val="71"/>
        <w:kern w:val="0"/>
        <w:szCs w:val="21"/>
      </w:rPr>
      <w:t xml:space="preserve">- </w:t>
    </w:r>
    <w:r>
      <w:rPr>
        <w:kern w:val="0"/>
        <w:szCs w:val="21"/>
      </w:rPr>
      <w:fldChar w:fldCharType="begin"/>
    </w:r>
    <w:r>
      <w:rPr>
        <w:rStyle w:val="71"/>
        <w:kern w:val="0"/>
        <w:szCs w:val="21"/>
      </w:rPr>
      <w:instrText xml:space="preserve"> PAGE </w:instrText>
    </w:r>
    <w:r>
      <w:rPr>
        <w:kern w:val="0"/>
        <w:szCs w:val="21"/>
      </w:rPr>
      <w:fldChar w:fldCharType="separate"/>
    </w:r>
    <w:r>
      <w:rPr>
        <w:rStyle w:val="71"/>
        <w:kern w:val="0"/>
        <w:szCs w:val="21"/>
      </w:rPr>
      <w:t>35</w:t>
    </w:r>
    <w:r>
      <w:rPr>
        <w:kern w:val="0"/>
        <w:szCs w:val="21"/>
      </w:rPr>
      <w:fldChar w:fldCharType="end"/>
    </w:r>
    <w:r>
      <w:rPr>
        <w:rStyle w:val="71"/>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1"/>
      </w:rPr>
    </w:pPr>
    <w:r>
      <w:fldChar w:fldCharType="begin"/>
    </w:r>
    <w:r>
      <w:rPr>
        <w:rStyle w:val="71"/>
      </w:rPr>
      <w:instrText xml:space="preserve">PAGE  </w:instrText>
    </w:r>
    <w:r>
      <w:fldChar w:fldCharType="end"/>
    </w: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Style w:val="71"/>
        <w:kern w:val="0"/>
        <w:szCs w:val="21"/>
      </w:rPr>
      <w:t xml:space="preserve">- </w:t>
    </w:r>
    <w:r>
      <w:rPr>
        <w:kern w:val="0"/>
        <w:szCs w:val="21"/>
      </w:rPr>
      <w:fldChar w:fldCharType="begin"/>
    </w:r>
    <w:r>
      <w:rPr>
        <w:rStyle w:val="71"/>
        <w:kern w:val="0"/>
        <w:szCs w:val="21"/>
      </w:rPr>
      <w:instrText xml:space="preserve"> PAGE </w:instrText>
    </w:r>
    <w:r>
      <w:rPr>
        <w:kern w:val="0"/>
        <w:szCs w:val="21"/>
      </w:rPr>
      <w:fldChar w:fldCharType="separate"/>
    </w:r>
    <w:r>
      <w:rPr>
        <w:rStyle w:val="71"/>
        <w:kern w:val="0"/>
        <w:szCs w:val="21"/>
      </w:rPr>
      <w:t>70</w:t>
    </w:r>
    <w:r>
      <w:rPr>
        <w:kern w:val="0"/>
        <w:szCs w:val="21"/>
      </w:rPr>
      <w:fldChar w:fldCharType="end"/>
    </w:r>
    <w:r>
      <w:rPr>
        <w:rStyle w:val="71"/>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1"/>
      </w:rPr>
    </w:pPr>
    <w:r>
      <w:fldChar w:fldCharType="begin"/>
    </w:r>
    <w:r>
      <w:rPr>
        <w:rStyle w:val="71"/>
      </w:rPr>
      <w:instrText xml:space="preserve">PAGE  </w:instrText>
    </w:r>
    <w: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between w:val="none" w:color="auto" w:sz="0" w:space="0"/>
      </w:pBdr>
      <w:jc w:val="right"/>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6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0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3"/>
    <w:multiLevelType w:val="multilevel"/>
    <w:tmpl w:val="00000003"/>
    <w:lvl w:ilvl="0" w:tentative="0">
      <w:start w:val="1"/>
      <w:numFmt w:val="bullet"/>
      <w:pStyle w:val="4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2">
    <w:nsid w:val="00000004"/>
    <w:multiLevelType w:val="multilevel"/>
    <w:tmpl w:val="00000004"/>
    <w:lvl w:ilvl="0" w:tentative="0">
      <w:start w:val="1"/>
      <w:numFmt w:val="decimal"/>
      <w:pStyle w:val="246"/>
      <w:lvlText w:val="%1)"/>
      <w:lvlJc w:val="left"/>
      <w:pPr>
        <w:tabs>
          <w:tab w:val="left" w:pos="425"/>
        </w:tabs>
        <w:ind w:left="425" w:hanging="425"/>
      </w:pPr>
    </w:lvl>
    <w:lvl w:ilvl="1" w:tentative="0">
      <w:start w:val="1"/>
      <w:numFmt w:val="decimal"/>
      <w:lvlText w:val="%2．"/>
      <w:lvlJc w:val="left"/>
      <w:pPr>
        <w:tabs>
          <w:tab w:val="left" w:pos="1146"/>
        </w:tabs>
        <w:ind w:left="1146" w:hanging="720"/>
      </w:pPr>
      <w:rPr>
        <w:rFonts w:hint="default" w:ascii="Times New Roman" w:cs="Times New Roman"/>
      </w:rPr>
    </w:lvl>
    <w:lvl w:ilvl="2" w:tentative="0">
      <w:start w:val="3"/>
      <w:numFmt w:val="decimal"/>
      <w:lvlText w:val="（%3）"/>
      <w:lvlJc w:val="left"/>
      <w:pPr>
        <w:tabs>
          <w:tab w:val="left" w:pos="1140"/>
        </w:tabs>
        <w:ind w:left="1140" w:hanging="720"/>
      </w:pPr>
      <w:rPr>
        <w:rFonts w:hint="default" w:ascii="Times New Roman" w:cs="Times New Roman"/>
      </w:rPr>
    </w:lvl>
    <w:lvl w:ilvl="3" w:tentative="0">
      <w:start w:val="1"/>
      <w:numFmt w:val="decimal"/>
      <w:lvlText w:val="（%4）"/>
      <w:lvlJc w:val="left"/>
      <w:pPr>
        <w:tabs>
          <w:tab w:val="left" w:pos="1830"/>
        </w:tabs>
        <w:ind w:left="1830" w:hanging="420"/>
      </w:pPr>
      <w:rPr>
        <w:rFonts w:hint="default" w:ascii="宋体" w:hAnsi="宋体" w:eastAsia="宋体" w:cs="Times New Roman"/>
      </w:rPr>
    </w:lvl>
    <w:lvl w:ilvl="4" w:tentative="0">
      <w:start w:val="1"/>
      <w:numFmt w:val="decimal"/>
      <w:lvlText w:val="（%5）"/>
      <w:lvlJc w:val="left"/>
      <w:pPr>
        <w:tabs>
          <w:tab w:val="left" w:pos="960"/>
        </w:tabs>
        <w:ind w:left="960" w:hanging="420"/>
      </w:pPr>
      <w:rPr>
        <w:rFonts w:hint="default" w:ascii="Times New Roman" w:cs="Times New Roman"/>
      </w:rPr>
    </w:lvl>
    <w:lvl w:ilvl="5" w:tentative="0">
      <w:start w:val="1"/>
      <w:numFmt w:val="decimal"/>
      <w:lvlText w:val="%6."/>
      <w:lvlJc w:val="left"/>
      <w:pPr>
        <w:tabs>
          <w:tab w:val="left" w:pos="2670"/>
        </w:tabs>
        <w:ind w:left="2670" w:hanging="420"/>
      </w:pPr>
      <w:rPr>
        <w:rFonts w:hint="default" w:ascii="Times New Roman" w:cs="Times New Roman"/>
      </w:rPr>
    </w:lvl>
    <w:lvl w:ilvl="6" w:tentative="0">
      <w:start w:val="1"/>
      <w:numFmt w:val="decimal"/>
      <w:lvlText w:val="%7."/>
      <w:lvlJc w:val="left"/>
      <w:pPr>
        <w:tabs>
          <w:tab w:val="left" w:pos="3090"/>
        </w:tabs>
        <w:ind w:left="3090" w:hanging="420"/>
      </w:pPr>
      <w:rPr>
        <w:rFonts w:hint="default" w:ascii="Times New Roman" w:cs="Times New Roman"/>
      </w:rPr>
    </w:lvl>
    <w:lvl w:ilvl="7" w:tentative="0">
      <w:start w:val="1"/>
      <w:numFmt w:val="lowerLetter"/>
      <w:lvlText w:val="%8)"/>
      <w:lvlJc w:val="left"/>
      <w:pPr>
        <w:tabs>
          <w:tab w:val="left" w:pos="3510"/>
        </w:tabs>
        <w:ind w:left="3510" w:hanging="420"/>
      </w:pPr>
      <w:rPr>
        <w:rFonts w:hint="default" w:ascii="Times New Roman" w:cs="Times New Roman"/>
      </w:rPr>
    </w:lvl>
    <w:lvl w:ilvl="8" w:tentative="0">
      <w:start w:val="1"/>
      <w:numFmt w:val="lowerRoman"/>
      <w:lvlText w:val="%9."/>
      <w:lvlJc w:val="right"/>
      <w:pPr>
        <w:tabs>
          <w:tab w:val="left" w:pos="3930"/>
        </w:tabs>
        <w:ind w:left="3930" w:hanging="420"/>
      </w:pPr>
      <w:rPr>
        <w:rFonts w:hint="default" w:ascii="Times New Roman" w:cs="Times New Roman"/>
      </w:rPr>
    </w:lvl>
  </w:abstractNum>
  <w:abstractNum w:abstractNumId="3">
    <w:nsid w:val="00000007"/>
    <w:multiLevelType w:val="multilevel"/>
    <w:tmpl w:val="00000007"/>
    <w:lvl w:ilvl="0" w:tentative="0">
      <w:start w:val="1"/>
      <w:numFmt w:val="chineseCountingThousand"/>
      <w:pStyle w:val="4"/>
      <w:lvlText w:val="第%1部分"/>
      <w:lvlJc w:val="left"/>
      <w:pPr>
        <w:tabs>
          <w:tab w:val="left" w:pos="5769"/>
        </w:tabs>
        <w:ind w:left="4394" w:hanging="425"/>
      </w:pPr>
      <w:rPr>
        <w:rFonts w:hint="eastAsia"/>
      </w:rPr>
    </w:lvl>
    <w:lvl w:ilvl="1" w:tentative="0">
      <w:start w:val="1"/>
      <w:numFmt w:val="decimal"/>
      <w:pStyle w:val="5"/>
      <w:isLgl/>
      <w:lvlText w:val="%1.%2"/>
      <w:lvlJc w:val="left"/>
      <w:pPr>
        <w:tabs>
          <w:tab w:val="left" w:pos="4536"/>
        </w:tabs>
        <w:ind w:left="4536" w:hanging="567"/>
      </w:pPr>
      <w:rPr>
        <w:rFonts w:hint="eastAsia"/>
      </w:rPr>
    </w:lvl>
    <w:lvl w:ilvl="2" w:tentative="0">
      <w:start w:val="1"/>
      <w:numFmt w:val="decimal"/>
      <w:pStyle w:val="172"/>
      <w:isLgl/>
      <w:lvlText w:val="%1.%2.%3"/>
      <w:lvlJc w:val="left"/>
      <w:pPr>
        <w:tabs>
          <w:tab w:val="left" w:pos="5049"/>
        </w:tabs>
        <w:ind w:left="4309" w:hanging="340"/>
      </w:pPr>
      <w:rPr>
        <w:rFonts w:hint="eastAsia"/>
      </w:rPr>
    </w:lvl>
    <w:lvl w:ilvl="3" w:tentative="0">
      <w:start w:val="1"/>
      <w:numFmt w:val="decimal"/>
      <w:isLgl/>
      <w:lvlText w:val="%1.%2.%3.%4"/>
      <w:lvlJc w:val="left"/>
      <w:pPr>
        <w:tabs>
          <w:tab w:val="left" w:pos="4820"/>
        </w:tabs>
        <w:ind w:left="4820" w:hanging="851"/>
      </w:pPr>
      <w:rPr>
        <w:rFonts w:hint="eastAsia"/>
      </w:rPr>
    </w:lvl>
    <w:lvl w:ilvl="4" w:tentative="0">
      <w:start w:val="1"/>
      <w:numFmt w:val="decimal"/>
      <w:pStyle w:val="8"/>
      <w:isLgl/>
      <w:lvlText w:val="%1.%2.%3.%4.%5"/>
      <w:lvlJc w:val="left"/>
      <w:pPr>
        <w:tabs>
          <w:tab w:val="left" w:pos="5049"/>
        </w:tabs>
        <w:ind w:left="4961" w:hanging="992"/>
      </w:pPr>
      <w:rPr>
        <w:rFonts w:hint="eastAsia"/>
      </w:rPr>
    </w:lvl>
    <w:lvl w:ilvl="5" w:tentative="0">
      <w:start w:val="1"/>
      <w:numFmt w:val="decimal"/>
      <w:pStyle w:val="9"/>
      <w:isLgl/>
      <w:lvlText w:val="%1.%2.%3.%4.%5.%6"/>
      <w:lvlJc w:val="left"/>
      <w:pPr>
        <w:tabs>
          <w:tab w:val="left" w:pos="5409"/>
        </w:tabs>
        <w:ind w:left="5103" w:hanging="1134"/>
      </w:pPr>
      <w:rPr>
        <w:rFonts w:hint="eastAsia"/>
      </w:rPr>
    </w:lvl>
    <w:lvl w:ilvl="6" w:tentative="0">
      <w:start w:val="1"/>
      <w:numFmt w:val="decimal"/>
      <w:lvlText w:val="%1.%2.%3.%4.%5.%6.%7."/>
      <w:lvlJc w:val="left"/>
      <w:pPr>
        <w:tabs>
          <w:tab w:val="left" w:pos="5245"/>
        </w:tabs>
        <w:ind w:left="5245" w:hanging="1276"/>
      </w:pPr>
      <w:rPr>
        <w:rFonts w:hint="eastAsia"/>
      </w:rPr>
    </w:lvl>
    <w:lvl w:ilvl="7" w:tentative="0">
      <w:start w:val="1"/>
      <w:numFmt w:val="decimal"/>
      <w:lvlText w:val="%1.%2.%3.%4.%5.%6.%7.%8."/>
      <w:lvlJc w:val="left"/>
      <w:pPr>
        <w:tabs>
          <w:tab w:val="left" w:pos="5387"/>
        </w:tabs>
        <w:ind w:left="5387" w:hanging="1418"/>
      </w:pPr>
      <w:rPr>
        <w:rFonts w:hint="eastAsia"/>
      </w:rPr>
    </w:lvl>
    <w:lvl w:ilvl="8" w:tentative="0">
      <w:start w:val="1"/>
      <w:numFmt w:val="decimal"/>
      <w:lvlText w:val="%1.%2.%3.%4.%5.%6.%7.%8.%9."/>
      <w:lvlJc w:val="left"/>
      <w:pPr>
        <w:tabs>
          <w:tab w:val="left" w:pos="5528"/>
        </w:tabs>
        <w:ind w:left="5528" w:hanging="1559"/>
      </w:pPr>
      <w:rPr>
        <w:rFonts w:hint="eastAsia"/>
      </w:rPr>
    </w:lvl>
  </w:abstractNum>
  <w:abstractNum w:abstractNumId="4">
    <w:nsid w:val="0000000D"/>
    <w:multiLevelType w:val="singleLevel"/>
    <w:tmpl w:val="0000000D"/>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5">
    <w:nsid w:val="0000000E"/>
    <w:multiLevelType w:val="singleLevel"/>
    <w:tmpl w:val="0000000E"/>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6">
    <w:nsid w:val="00000012"/>
    <w:multiLevelType w:val="singleLevel"/>
    <w:tmpl w:val="00000012"/>
    <w:lvl w:ilvl="0" w:tentative="0">
      <w:start w:val="1"/>
      <w:numFmt w:val="bullet"/>
      <w:pStyle w:val="35"/>
      <w:lvlText w:val=""/>
      <w:lvlJc w:val="left"/>
      <w:pPr>
        <w:tabs>
          <w:tab w:val="left" w:pos="2040"/>
        </w:tabs>
        <w:ind w:left="2040" w:hanging="360"/>
      </w:pPr>
      <w:rPr>
        <w:rFonts w:hint="default" w:ascii="Wingdings" w:hAnsi="Wingdings"/>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MDVjYTRlZDM3Y2MzY2Y4MDkyNDEzYTY5Y2Y2NzQifQ=="/>
  </w:docVars>
  <w:rsids>
    <w:rsidRoot w:val="00172A27"/>
    <w:rsid w:val="00006744"/>
    <w:rsid w:val="000168AD"/>
    <w:rsid w:val="000217B8"/>
    <w:rsid w:val="00035972"/>
    <w:rsid w:val="0005046A"/>
    <w:rsid w:val="00067DD1"/>
    <w:rsid w:val="000903C8"/>
    <w:rsid w:val="00091248"/>
    <w:rsid w:val="00091661"/>
    <w:rsid w:val="00096081"/>
    <w:rsid w:val="000A4FD7"/>
    <w:rsid w:val="000A7E5A"/>
    <w:rsid w:val="000B2A56"/>
    <w:rsid w:val="000E13E4"/>
    <w:rsid w:val="001038D1"/>
    <w:rsid w:val="00104845"/>
    <w:rsid w:val="00122473"/>
    <w:rsid w:val="001235D5"/>
    <w:rsid w:val="00127856"/>
    <w:rsid w:val="00134A7F"/>
    <w:rsid w:val="0016696A"/>
    <w:rsid w:val="00172A27"/>
    <w:rsid w:val="001C1540"/>
    <w:rsid w:val="00202C11"/>
    <w:rsid w:val="00204C60"/>
    <w:rsid w:val="00234210"/>
    <w:rsid w:val="002355A7"/>
    <w:rsid w:val="00251559"/>
    <w:rsid w:val="0025349E"/>
    <w:rsid w:val="0026529A"/>
    <w:rsid w:val="002816ED"/>
    <w:rsid w:val="00292B4D"/>
    <w:rsid w:val="00295652"/>
    <w:rsid w:val="00297B22"/>
    <w:rsid w:val="002A1323"/>
    <w:rsid w:val="002A6E16"/>
    <w:rsid w:val="002B6884"/>
    <w:rsid w:val="002C5D2E"/>
    <w:rsid w:val="002F19D4"/>
    <w:rsid w:val="002F29D1"/>
    <w:rsid w:val="002F32ED"/>
    <w:rsid w:val="00304B97"/>
    <w:rsid w:val="0031387B"/>
    <w:rsid w:val="00326191"/>
    <w:rsid w:val="0039205B"/>
    <w:rsid w:val="00392E9E"/>
    <w:rsid w:val="003A32A4"/>
    <w:rsid w:val="003B5BFC"/>
    <w:rsid w:val="003C28F7"/>
    <w:rsid w:val="003E1E73"/>
    <w:rsid w:val="003E3839"/>
    <w:rsid w:val="0040415B"/>
    <w:rsid w:val="004410FC"/>
    <w:rsid w:val="00442480"/>
    <w:rsid w:val="00475DAB"/>
    <w:rsid w:val="005407BB"/>
    <w:rsid w:val="00556E21"/>
    <w:rsid w:val="00571347"/>
    <w:rsid w:val="005A23C9"/>
    <w:rsid w:val="005A39A2"/>
    <w:rsid w:val="005B5CC2"/>
    <w:rsid w:val="005E33CF"/>
    <w:rsid w:val="0061743D"/>
    <w:rsid w:val="006641DA"/>
    <w:rsid w:val="00692946"/>
    <w:rsid w:val="006F0B90"/>
    <w:rsid w:val="0073342B"/>
    <w:rsid w:val="007468EA"/>
    <w:rsid w:val="007470D0"/>
    <w:rsid w:val="0076133E"/>
    <w:rsid w:val="007646D2"/>
    <w:rsid w:val="00770726"/>
    <w:rsid w:val="007B1907"/>
    <w:rsid w:val="007E3633"/>
    <w:rsid w:val="0081000B"/>
    <w:rsid w:val="0081344F"/>
    <w:rsid w:val="008206B7"/>
    <w:rsid w:val="0084318D"/>
    <w:rsid w:val="0084607A"/>
    <w:rsid w:val="008643F0"/>
    <w:rsid w:val="00872139"/>
    <w:rsid w:val="00874C8B"/>
    <w:rsid w:val="00884C60"/>
    <w:rsid w:val="008C4773"/>
    <w:rsid w:val="00903F45"/>
    <w:rsid w:val="00912E98"/>
    <w:rsid w:val="0094534F"/>
    <w:rsid w:val="00977363"/>
    <w:rsid w:val="00994B35"/>
    <w:rsid w:val="009A5689"/>
    <w:rsid w:val="009A6C41"/>
    <w:rsid w:val="009B03EE"/>
    <w:rsid w:val="009D5424"/>
    <w:rsid w:val="00A217C2"/>
    <w:rsid w:val="00A246B4"/>
    <w:rsid w:val="00A56F41"/>
    <w:rsid w:val="00A67096"/>
    <w:rsid w:val="00A71FAA"/>
    <w:rsid w:val="00A72031"/>
    <w:rsid w:val="00A7314D"/>
    <w:rsid w:val="00A85C57"/>
    <w:rsid w:val="00AB18FC"/>
    <w:rsid w:val="00AD26BD"/>
    <w:rsid w:val="00AD6686"/>
    <w:rsid w:val="00AF4334"/>
    <w:rsid w:val="00B13445"/>
    <w:rsid w:val="00B21073"/>
    <w:rsid w:val="00B26813"/>
    <w:rsid w:val="00B47C7B"/>
    <w:rsid w:val="00B565E2"/>
    <w:rsid w:val="00B6199E"/>
    <w:rsid w:val="00B81629"/>
    <w:rsid w:val="00B84251"/>
    <w:rsid w:val="00BB1723"/>
    <w:rsid w:val="00BC6503"/>
    <w:rsid w:val="00BE7F83"/>
    <w:rsid w:val="00C1384D"/>
    <w:rsid w:val="00C32AF7"/>
    <w:rsid w:val="00C61073"/>
    <w:rsid w:val="00CA4FA7"/>
    <w:rsid w:val="00CA6293"/>
    <w:rsid w:val="00CD3683"/>
    <w:rsid w:val="00CD6425"/>
    <w:rsid w:val="00D124F9"/>
    <w:rsid w:val="00D139B3"/>
    <w:rsid w:val="00D45CD5"/>
    <w:rsid w:val="00D677AD"/>
    <w:rsid w:val="00D74A8B"/>
    <w:rsid w:val="00DA67DE"/>
    <w:rsid w:val="00DD5F67"/>
    <w:rsid w:val="00E159DE"/>
    <w:rsid w:val="00E215CA"/>
    <w:rsid w:val="00E219A1"/>
    <w:rsid w:val="00E3760E"/>
    <w:rsid w:val="00E5248C"/>
    <w:rsid w:val="00E57172"/>
    <w:rsid w:val="00E90AA1"/>
    <w:rsid w:val="00E91838"/>
    <w:rsid w:val="00E9426F"/>
    <w:rsid w:val="00EA14CA"/>
    <w:rsid w:val="00EC6096"/>
    <w:rsid w:val="00ED07C9"/>
    <w:rsid w:val="00ED30D1"/>
    <w:rsid w:val="00F0330C"/>
    <w:rsid w:val="00F135FB"/>
    <w:rsid w:val="00F41140"/>
    <w:rsid w:val="00F65413"/>
    <w:rsid w:val="00F7174E"/>
    <w:rsid w:val="00F77CBE"/>
    <w:rsid w:val="00F92104"/>
    <w:rsid w:val="00FA6AB9"/>
    <w:rsid w:val="00FB4DEF"/>
    <w:rsid w:val="00FC4D11"/>
    <w:rsid w:val="00FC6415"/>
    <w:rsid w:val="00FE7C02"/>
    <w:rsid w:val="00FF5601"/>
    <w:rsid w:val="00FF63E6"/>
    <w:rsid w:val="011078C7"/>
    <w:rsid w:val="01163658"/>
    <w:rsid w:val="01CE57B8"/>
    <w:rsid w:val="01FD7E4B"/>
    <w:rsid w:val="023619AA"/>
    <w:rsid w:val="027E05A6"/>
    <w:rsid w:val="02E711D0"/>
    <w:rsid w:val="02E96480"/>
    <w:rsid w:val="031E00CA"/>
    <w:rsid w:val="034777CF"/>
    <w:rsid w:val="03581A1C"/>
    <w:rsid w:val="035C5A53"/>
    <w:rsid w:val="03A5290E"/>
    <w:rsid w:val="03BB77B2"/>
    <w:rsid w:val="0418425B"/>
    <w:rsid w:val="044630F3"/>
    <w:rsid w:val="045F531E"/>
    <w:rsid w:val="04C477C9"/>
    <w:rsid w:val="05696E27"/>
    <w:rsid w:val="05852627"/>
    <w:rsid w:val="05B65610"/>
    <w:rsid w:val="05D610DF"/>
    <w:rsid w:val="06A439F1"/>
    <w:rsid w:val="06F36A38"/>
    <w:rsid w:val="072916E2"/>
    <w:rsid w:val="077B0190"/>
    <w:rsid w:val="07945B32"/>
    <w:rsid w:val="081666DF"/>
    <w:rsid w:val="0825512E"/>
    <w:rsid w:val="08422A5C"/>
    <w:rsid w:val="08577A9F"/>
    <w:rsid w:val="08911150"/>
    <w:rsid w:val="08916088"/>
    <w:rsid w:val="090A5095"/>
    <w:rsid w:val="09877B89"/>
    <w:rsid w:val="09FC71F6"/>
    <w:rsid w:val="0A072F1E"/>
    <w:rsid w:val="0A396F3F"/>
    <w:rsid w:val="0A494716"/>
    <w:rsid w:val="0A665DF6"/>
    <w:rsid w:val="0A7B5355"/>
    <w:rsid w:val="0AA21422"/>
    <w:rsid w:val="0AB76A2B"/>
    <w:rsid w:val="0ABA73B8"/>
    <w:rsid w:val="0AC84368"/>
    <w:rsid w:val="0ACB7FEC"/>
    <w:rsid w:val="0AD02EE4"/>
    <w:rsid w:val="0AD37065"/>
    <w:rsid w:val="0AE36CE7"/>
    <w:rsid w:val="0AFD0505"/>
    <w:rsid w:val="0B034338"/>
    <w:rsid w:val="0B2B0A66"/>
    <w:rsid w:val="0B335CCA"/>
    <w:rsid w:val="0B5C156F"/>
    <w:rsid w:val="0B7D653C"/>
    <w:rsid w:val="0BAD28E2"/>
    <w:rsid w:val="0BBB3AF5"/>
    <w:rsid w:val="0BDC31C7"/>
    <w:rsid w:val="0C652306"/>
    <w:rsid w:val="0C8F3726"/>
    <w:rsid w:val="0CAE2407"/>
    <w:rsid w:val="0CB437FC"/>
    <w:rsid w:val="0CB8720A"/>
    <w:rsid w:val="0CBF7564"/>
    <w:rsid w:val="0D1E214B"/>
    <w:rsid w:val="0D3502E2"/>
    <w:rsid w:val="0D466373"/>
    <w:rsid w:val="0D8D57D9"/>
    <w:rsid w:val="0DEF71E2"/>
    <w:rsid w:val="0DF06AB6"/>
    <w:rsid w:val="0E113704"/>
    <w:rsid w:val="0E334AB4"/>
    <w:rsid w:val="0E5B00E4"/>
    <w:rsid w:val="0E6A5F3C"/>
    <w:rsid w:val="0ED30FB2"/>
    <w:rsid w:val="0EE25613"/>
    <w:rsid w:val="0EE27CFF"/>
    <w:rsid w:val="0F056591"/>
    <w:rsid w:val="0F1B7AE8"/>
    <w:rsid w:val="0F5C4E6E"/>
    <w:rsid w:val="0F8971C2"/>
    <w:rsid w:val="0FFE5C4D"/>
    <w:rsid w:val="104020B9"/>
    <w:rsid w:val="104305C1"/>
    <w:rsid w:val="10443F56"/>
    <w:rsid w:val="106F460A"/>
    <w:rsid w:val="10E90D1A"/>
    <w:rsid w:val="10FB4D24"/>
    <w:rsid w:val="11243C9A"/>
    <w:rsid w:val="115824DD"/>
    <w:rsid w:val="116E0EF5"/>
    <w:rsid w:val="11FD79F3"/>
    <w:rsid w:val="12137153"/>
    <w:rsid w:val="12A462C0"/>
    <w:rsid w:val="130D010A"/>
    <w:rsid w:val="132C0590"/>
    <w:rsid w:val="133E2072"/>
    <w:rsid w:val="136251E8"/>
    <w:rsid w:val="140432BB"/>
    <w:rsid w:val="14684753"/>
    <w:rsid w:val="151334DE"/>
    <w:rsid w:val="15410ED8"/>
    <w:rsid w:val="154C5431"/>
    <w:rsid w:val="155B6F0B"/>
    <w:rsid w:val="157C4949"/>
    <w:rsid w:val="157F51C3"/>
    <w:rsid w:val="15C328A7"/>
    <w:rsid w:val="16315E60"/>
    <w:rsid w:val="16441696"/>
    <w:rsid w:val="166077FD"/>
    <w:rsid w:val="168A4C5F"/>
    <w:rsid w:val="16970417"/>
    <w:rsid w:val="172027F4"/>
    <w:rsid w:val="17990770"/>
    <w:rsid w:val="17C86396"/>
    <w:rsid w:val="17CF12A6"/>
    <w:rsid w:val="17EA54CE"/>
    <w:rsid w:val="184D6268"/>
    <w:rsid w:val="184F1435"/>
    <w:rsid w:val="186B41B9"/>
    <w:rsid w:val="187D363C"/>
    <w:rsid w:val="191737CC"/>
    <w:rsid w:val="19380FC7"/>
    <w:rsid w:val="19442E65"/>
    <w:rsid w:val="19464ADE"/>
    <w:rsid w:val="19B2038D"/>
    <w:rsid w:val="19E67D29"/>
    <w:rsid w:val="19F4443C"/>
    <w:rsid w:val="1A4059F5"/>
    <w:rsid w:val="1A420B96"/>
    <w:rsid w:val="1AD72CD0"/>
    <w:rsid w:val="1BB455C7"/>
    <w:rsid w:val="1BBF5952"/>
    <w:rsid w:val="1BCF0653"/>
    <w:rsid w:val="1C1030A2"/>
    <w:rsid w:val="1C557320"/>
    <w:rsid w:val="1CF85466"/>
    <w:rsid w:val="1D1C59E5"/>
    <w:rsid w:val="1D425884"/>
    <w:rsid w:val="1D44297A"/>
    <w:rsid w:val="1DD84E43"/>
    <w:rsid w:val="1DE175C3"/>
    <w:rsid w:val="1E2B150A"/>
    <w:rsid w:val="1E51534F"/>
    <w:rsid w:val="1F841754"/>
    <w:rsid w:val="1F8E3099"/>
    <w:rsid w:val="1FC558BA"/>
    <w:rsid w:val="1FE565EC"/>
    <w:rsid w:val="20376CD9"/>
    <w:rsid w:val="207A6E1F"/>
    <w:rsid w:val="20D6360E"/>
    <w:rsid w:val="20E713E2"/>
    <w:rsid w:val="20ED2305"/>
    <w:rsid w:val="20F0671E"/>
    <w:rsid w:val="21050673"/>
    <w:rsid w:val="21152155"/>
    <w:rsid w:val="215C585F"/>
    <w:rsid w:val="216E2384"/>
    <w:rsid w:val="216F07F8"/>
    <w:rsid w:val="21723C0D"/>
    <w:rsid w:val="2190769C"/>
    <w:rsid w:val="21963787"/>
    <w:rsid w:val="21EE3485"/>
    <w:rsid w:val="225D5B2D"/>
    <w:rsid w:val="22614AA7"/>
    <w:rsid w:val="227635D6"/>
    <w:rsid w:val="22804336"/>
    <w:rsid w:val="229471BC"/>
    <w:rsid w:val="22DF561F"/>
    <w:rsid w:val="23A809D1"/>
    <w:rsid w:val="23BE19B4"/>
    <w:rsid w:val="23DA7B95"/>
    <w:rsid w:val="23E41040"/>
    <w:rsid w:val="24D76FE6"/>
    <w:rsid w:val="254D45A6"/>
    <w:rsid w:val="25994E32"/>
    <w:rsid w:val="25B06591"/>
    <w:rsid w:val="25F60649"/>
    <w:rsid w:val="2608590D"/>
    <w:rsid w:val="266320C3"/>
    <w:rsid w:val="26902760"/>
    <w:rsid w:val="26A47126"/>
    <w:rsid w:val="26A73140"/>
    <w:rsid w:val="272D37C8"/>
    <w:rsid w:val="27614B15"/>
    <w:rsid w:val="284010EA"/>
    <w:rsid w:val="286564A8"/>
    <w:rsid w:val="28AD168E"/>
    <w:rsid w:val="28C6584D"/>
    <w:rsid w:val="28D7500A"/>
    <w:rsid w:val="291E15F4"/>
    <w:rsid w:val="299936FC"/>
    <w:rsid w:val="29CE1F49"/>
    <w:rsid w:val="2A0B46AF"/>
    <w:rsid w:val="2A910A7B"/>
    <w:rsid w:val="2AB47391"/>
    <w:rsid w:val="2AE5579D"/>
    <w:rsid w:val="2B5A336F"/>
    <w:rsid w:val="2B8205B1"/>
    <w:rsid w:val="2BC403CC"/>
    <w:rsid w:val="2BDD0222"/>
    <w:rsid w:val="2BE95AEB"/>
    <w:rsid w:val="2C0E5EEB"/>
    <w:rsid w:val="2C7851F8"/>
    <w:rsid w:val="2CA47EA9"/>
    <w:rsid w:val="2CC4624D"/>
    <w:rsid w:val="2CD744DF"/>
    <w:rsid w:val="2D0A532F"/>
    <w:rsid w:val="2D157E8F"/>
    <w:rsid w:val="2D432D42"/>
    <w:rsid w:val="2D5A16F9"/>
    <w:rsid w:val="2E1A50D1"/>
    <w:rsid w:val="2E4F2F2D"/>
    <w:rsid w:val="2F902E20"/>
    <w:rsid w:val="2FD14FAE"/>
    <w:rsid w:val="301D0FDC"/>
    <w:rsid w:val="30363458"/>
    <w:rsid w:val="303D5CDF"/>
    <w:rsid w:val="303D7831"/>
    <w:rsid w:val="3069477A"/>
    <w:rsid w:val="30874405"/>
    <w:rsid w:val="309615B8"/>
    <w:rsid w:val="30C81FB1"/>
    <w:rsid w:val="311D5264"/>
    <w:rsid w:val="31334D4A"/>
    <w:rsid w:val="318403E1"/>
    <w:rsid w:val="31865212"/>
    <w:rsid w:val="31894FBE"/>
    <w:rsid w:val="319F7E2F"/>
    <w:rsid w:val="31E5033E"/>
    <w:rsid w:val="31F35DDE"/>
    <w:rsid w:val="32222740"/>
    <w:rsid w:val="32366842"/>
    <w:rsid w:val="32424B9B"/>
    <w:rsid w:val="3246310B"/>
    <w:rsid w:val="324944C0"/>
    <w:rsid w:val="327F7463"/>
    <w:rsid w:val="32D84ACF"/>
    <w:rsid w:val="33296443"/>
    <w:rsid w:val="338C5880"/>
    <w:rsid w:val="33D53ED4"/>
    <w:rsid w:val="341D20D3"/>
    <w:rsid w:val="346C65E7"/>
    <w:rsid w:val="34773964"/>
    <w:rsid w:val="35243FD8"/>
    <w:rsid w:val="354B132D"/>
    <w:rsid w:val="3561147F"/>
    <w:rsid w:val="35725E7F"/>
    <w:rsid w:val="35795BD0"/>
    <w:rsid w:val="35DE52C2"/>
    <w:rsid w:val="35F74F93"/>
    <w:rsid w:val="361931BE"/>
    <w:rsid w:val="36853990"/>
    <w:rsid w:val="36CA779E"/>
    <w:rsid w:val="372767C6"/>
    <w:rsid w:val="373041A2"/>
    <w:rsid w:val="37485CBF"/>
    <w:rsid w:val="375C15A6"/>
    <w:rsid w:val="37603C9B"/>
    <w:rsid w:val="37746608"/>
    <w:rsid w:val="37814AE6"/>
    <w:rsid w:val="37822A13"/>
    <w:rsid w:val="379F1859"/>
    <w:rsid w:val="37D50947"/>
    <w:rsid w:val="38341BD9"/>
    <w:rsid w:val="388F0DE6"/>
    <w:rsid w:val="38BD6938"/>
    <w:rsid w:val="39047736"/>
    <w:rsid w:val="39B94982"/>
    <w:rsid w:val="3A013C75"/>
    <w:rsid w:val="3A9D00BB"/>
    <w:rsid w:val="3B3A7F4B"/>
    <w:rsid w:val="3BEA7E82"/>
    <w:rsid w:val="3C256430"/>
    <w:rsid w:val="3C2564D1"/>
    <w:rsid w:val="3CA040CC"/>
    <w:rsid w:val="3CB514D4"/>
    <w:rsid w:val="3CCB4059"/>
    <w:rsid w:val="3DCC00F6"/>
    <w:rsid w:val="3DD35929"/>
    <w:rsid w:val="3DDA0A65"/>
    <w:rsid w:val="3DEA78B5"/>
    <w:rsid w:val="3E09134A"/>
    <w:rsid w:val="3E092535"/>
    <w:rsid w:val="3E1D07F4"/>
    <w:rsid w:val="3E515912"/>
    <w:rsid w:val="3E662E70"/>
    <w:rsid w:val="3E9A0677"/>
    <w:rsid w:val="3EA56976"/>
    <w:rsid w:val="3EE333B3"/>
    <w:rsid w:val="3F4319A5"/>
    <w:rsid w:val="3F5E0A41"/>
    <w:rsid w:val="40150195"/>
    <w:rsid w:val="404E1296"/>
    <w:rsid w:val="416D1982"/>
    <w:rsid w:val="418A2101"/>
    <w:rsid w:val="41981FFD"/>
    <w:rsid w:val="41A40BA2"/>
    <w:rsid w:val="41E53E7C"/>
    <w:rsid w:val="42013257"/>
    <w:rsid w:val="423A3048"/>
    <w:rsid w:val="42426837"/>
    <w:rsid w:val="427533CB"/>
    <w:rsid w:val="42D1447C"/>
    <w:rsid w:val="43252782"/>
    <w:rsid w:val="43535006"/>
    <w:rsid w:val="43A93B67"/>
    <w:rsid w:val="43AD04BD"/>
    <w:rsid w:val="441C7000"/>
    <w:rsid w:val="441F2FF7"/>
    <w:rsid w:val="445117D8"/>
    <w:rsid w:val="44A41DCD"/>
    <w:rsid w:val="44C15AB2"/>
    <w:rsid w:val="455650F4"/>
    <w:rsid w:val="458204EC"/>
    <w:rsid w:val="459543F1"/>
    <w:rsid w:val="46307B3F"/>
    <w:rsid w:val="46353325"/>
    <w:rsid w:val="469D0882"/>
    <w:rsid w:val="46B16591"/>
    <w:rsid w:val="46B67127"/>
    <w:rsid w:val="471B6D4B"/>
    <w:rsid w:val="471F7B8B"/>
    <w:rsid w:val="479304E5"/>
    <w:rsid w:val="47C46D57"/>
    <w:rsid w:val="47CA2979"/>
    <w:rsid w:val="47E656F5"/>
    <w:rsid w:val="482678EB"/>
    <w:rsid w:val="484F460D"/>
    <w:rsid w:val="48611BC8"/>
    <w:rsid w:val="48653E9A"/>
    <w:rsid w:val="48E35945"/>
    <w:rsid w:val="48E5658E"/>
    <w:rsid w:val="48EF1776"/>
    <w:rsid w:val="492921A2"/>
    <w:rsid w:val="49C425C9"/>
    <w:rsid w:val="49C92EF4"/>
    <w:rsid w:val="49C932B9"/>
    <w:rsid w:val="49E76C62"/>
    <w:rsid w:val="4A791606"/>
    <w:rsid w:val="4A851DB3"/>
    <w:rsid w:val="4AB74585"/>
    <w:rsid w:val="4B751DCD"/>
    <w:rsid w:val="4C0C2B32"/>
    <w:rsid w:val="4CBB553B"/>
    <w:rsid w:val="4CD55219"/>
    <w:rsid w:val="4CDA19A5"/>
    <w:rsid w:val="4CDD54C2"/>
    <w:rsid w:val="4D0053B9"/>
    <w:rsid w:val="4D5B075E"/>
    <w:rsid w:val="4DF74BC8"/>
    <w:rsid w:val="4DF8420C"/>
    <w:rsid w:val="4EA47BBA"/>
    <w:rsid w:val="4EBA35DE"/>
    <w:rsid w:val="4EDA6C17"/>
    <w:rsid w:val="4EF179BD"/>
    <w:rsid w:val="4F1541E0"/>
    <w:rsid w:val="4F7D1E16"/>
    <w:rsid w:val="4F94434B"/>
    <w:rsid w:val="4FA42BAB"/>
    <w:rsid w:val="4FBF7ABB"/>
    <w:rsid w:val="50170C1B"/>
    <w:rsid w:val="50614B31"/>
    <w:rsid w:val="50807E5B"/>
    <w:rsid w:val="50DE5525"/>
    <w:rsid w:val="511540DA"/>
    <w:rsid w:val="5182045E"/>
    <w:rsid w:val="522D3402"/>
    <w:rsid w:val="524E021F"/>
    <w:rsid w:val="527B1B21"/>
    <w:rsid w:val="527E5282"/>
    <w:rsid w:val="52803166"/>
    <w:rsid w:val="52CE1164"/>
    <w:rsid w:val="533F630E"/>
    <w:rsid w:val="53A551AD"/>
    <w:rsid w:val="53AF3888"/>
    <w:rsid w:val="5416221E"/>
    <w:rsid w:val="54324B49"/>
    <w:rsid w:val="548F2152"/>
    <w:rsid w:val="54B767A1"/>
    <w:rsid w:val="54BC74AE"/>
    <w:rsid w:val="55242388"/>
    <w:rsid w:val="557C3A9F"/>
    <w:rsid w:val="55A22003"/>
    <w:rsid w:val="55CA1C89"/>
    <w:rsid w:val="55E76669"/>
    <w:rsid w:val="56250A5B"/>
    <w:rsid w:val="563D1AE2"/>
    <w:rsid w:val="564B70F7"/>
    <w:rsid w:val="566236EA"/>
    <w:rsid w:val="56947E06"/>
    <w:rsid w:val="57181B8F"/>
    <w:rsid w:val="582322A3"/>
    <w:rsid w:val="58363EDF"/>
    <w:rsid w:val="583B56D5"/>
    <w:rsid w:val="585A0130"/>
    <w:rsid w:val="588B70D4"/>
    <w:rsid w:val="594B3293"/>
    <w:rsid w:val="595A49F0"/>
    <w:rsid w:val="59E44AC1"/>
    <w:rsid w:val="5AA37BEF"/>
    <w:rsid w:val="5B016CB2"/>
    <w:rsid w:val="5B155FC5"/>
    <w:rsid w:val="5B8F4DD5"/>
    <w:rsid w:val="5BB16E51"/>
    <w:rsid w:val="5BC11B39"/>
    <w:rsid w:val="5BC16969"/>
    <w:rsid w:val="5BFD0FBC"/>
    <w:rsid w:val="5C0C0428"/>
    <w:rsid w:val="5C432F01"/>
    <w:rsid w:val="5C5A0323"/>
    <w:rsid w:val="5C6A2AD7"/>
    <w:rsid w:val="5CD268CD"/>
    <w:rsid w:val="5CE71EEB"/>
    <w:rsid w:val="5D113A16"/>
    <w:rsid w:val="5D1B31EC"/>
    <w:rsid w:val="5DD41073"/>
    <w:rsid w:val="5E4D2DDD"/>
    <w:rsid w:val="5ECC7AFE"/>
    <w:rsid w:val="5F0B661C"/>
    <w:rsid w:val="5F3348A6"/>
    <w:rsid w:val="5FE143DE"/>
    <w:rsid w:val="60BF7CD9"/>
    <w:rsid w:val="61672DB2"/>
    <w:rsid w:val="62532A44"/>
    <w:rsid w:val="629840F8"/>
    <w:rsid w:val="638E22B0"/>
    <w:rsid w:val="63B83DDB"/>
    <w:rsid w:val="64A16977"/>
    <w:rsid w:val="64EA33D4"/>
    <w:rsid w:val="64F805AA"/>
    <w:rsid w:val="65077AE2"/>
    <w:rsid w:val="65454C93"/>
    <w:rsid w:val="65491B46"/>
    <w:rsid w:val="65517920"/>
    <w:rsid w:val="659A2704"/>
    <w:rsid w:val="659E2D5C"/>
    <w:rsid w:val="65A25A5D"/>
    <w:rsid w:val="65C57E34"/>
    <w:rsid w:val="65D025CA"/>
    <w:rsid w:val="65E120E1"/>
    <w:rsid w:val="65FF4288"/>
    <w:rsid w:val="662C04C5"/>
    <w:rsid w:val="66356F53"/>
    <w:rsid w:val="663D12E2"/>
    <w:rsid w:val="668F7B96"/>
    <w:rsid w:val="669D2145"/>
    <w:rsid w:val="66AA2E1B"/>
    <w:rsid w:val="66B551C3"/>
    <w:rsid w:val="66CB3E7B"/>
    <w:rsid w:val="66EC43C3"/>
    <w:rsid w:val="67803B7C"/>
    <w:rsid w:val="679124B9"/>
    <w:rsid w:val="67F93E13"/>
    <w:rsid w:val="68564B93"/>
    <w:rsid w:val="6861575B"/>
    <w:rsid w:val="687E332A"/>
    <w:rsid w:val="689A7D56"/>
    <w:rsid w:val="68B26488"/>
    <w:rsid w:val="693C40E9"/>
    <w:rsid w:val="6A027B83"/>
    <w:rsid w:val="6A1862EE"/>
    <w:rsid w:val="6A8E1FB9"/>
    <w:rsid w:val="6B047505"/>
    <w:rsid w:val="6B7439F8"/>
    <w:rsid w:val="6B92247A"/>
    <w:rsid w:val="6B9F622D"/>
    <w:rsid w:val="6BA02A3F"/>
    <w:rsid w:val="6BE57068"/>
    <w:rsid w:val="6C376D45"/>
    <w:rsid w:val="6C4A211F"/>
    <w:rsid w:val="6C5B22B0"/>
    <w:rsid w:val="6C98182C"/>
    <w:rsid w:val="6CA75EA8"/>
    <w:rsid w:val="6CEF565E"/>
    <w:rsid w:val="6D0D51C1"/>
    <w:rsid w:val="6D194A59"/>
    <w:rsid w:val="6D296446"/>
    <w:rsid w:val="6D834A90"/>
    <w:rsid w:val="6D9B170F"/>
    <w:rsid w:val="6DA423EA"/>
    <w:rsid w:val="6DDC1083"/>
    <w:rsid w:val="6E0829C7"/>
    <w:rsid w:val="6E25327A"/>
    <w:rsid w:val="6F654DD0"/>
    <w:rsid w:val="6F6D49E6"/>
    <w:rsid w:val="6FD72B50"/>
    <w:rsid w:val="6FDB12EB"/>
    <w:rsid w:val="706117E1"/>
    <w:rsid w:val="70C67D42"/>
    <w:rsid w:val="70D75DF2"/>
    <w:rsid w:val="70ED380F"/>
    <w:rsid w:val="70F22CF8"/>
    <w:rsid w:val="712D252A"/>
    <w:rsid w:val="714B69A3"/>
    <w:rsid w:val="714C0872"/>
    <w:rsid w:val="71632544"/>
    <w:rsid w:val="719948CB"/>
    <w:rsid w:val="71C57669"/>
    <w:rsid w:val="71D376CA"/>
    <w:rsid w:val="72CE5543"/>
    <w:rsid w:val="735A7977"/>
    <w:rsid w:val="735E2A3C"/>
    <w:rsid w:val="74E50934"/>
    <w:rsid w:val="75284153"/>
    <w:rsid w:val="75610D09"/>
    <w:rsid w:val="75890703"/>
    <w:rsid w:val="76201FB0"/>
    <w:rsid w:val="76FA6746"/>
    <w:rsid w:val="77303F8A"/>
    <w:rsid w:val="777D3370"/>
    <w:rsid w:val="779F5E92"/>
    <w:rsid w:val="78BE1EB6"/>
    <w:rsid w:val="7906464D"/>
    <w:rsid w:val="790C3AEB"/>
    <w:rsid w:val="792430A4"/>
    <w:rsid w:val="7924397A"/>
    <w:rsid w:val="79266232"/>
    <w:rsid w:val="794464FE"/>
    <w:rsid w:val="794F511D"/>
    <w:rsid w:val="79712F77"/>
    <w:rsid w:val="798D765B"/>
    <w:rsid w:val="799B5A37"/>
    <w:rsid w:val="79F13EDD"/>
    <w:rsid w:val="7A226B24"/>
    <w:rsid w:val="7A232871"/>
    <w:rsid w:val="7A8853CD"/>
    <w:rsid w:val="7A9F5397"/>
    <w:rsid w:val="7AD36F0C"/>
    <w:rsid w:val="7AF83CFD"/>
    <w:rsid w:val="7AFA7C6E"/>
    <w:rsid w:val="7B5D70DE"/>
    <w:rsid w:val="7B84018C"/>
    <w:rsid w:val="7BAE764C"/>
    <w:rsid w:val="7C321491"/>
    <w:rsid w:val="7C7C270C"/>
    <w:rsid w:val="7C7C6134"/>
    <w:rsid w:val="7D4341E4"/>
    <w:rsid w:val="7DD25324"/>
    <w:rsid w:val="7DD738AB"/>
    <w:rsid w:val="7DEC1A07"/>
    <w:rsid w:val="7E66624B"/>
    <w:rsid w:val="7E723DC7"/>
    <w:rsid w:val="7F0C64B9"/>
    <w:rsid w:val="7F0D1AE4"/>
    <w:rsid w:val="7F3818E1"/>
    <w:rsid w:val="7F461120"/>
    <w:rsid w:val="7F8C369A"/>
    <w:rsid w:val="7FBD0CDA"/>
    <w:rsid w:val="7FDB3BED"/>
    <w:rsid w:val="7FEF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nhideWhenUsed="0"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qFormat="1" w:unhideWhenUsed="0" w:uiPriority="0" w:semiHidden="0" w:name="List"/>
    <w:lsdException w:qFormat="1" w:unhideWhenUsed="0" w:uiPriority="0" w:semiHidden="0" w:name="List Bullet"/>
    <w:lsdException w:uiPriority="1"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1" w:name="List Bullet 3"/>
    <w:lsdException w:uiPriority="1" w:name="List Bullet 4"/>
    <w:lsdException w:qFormat="1" w:unhideWhenUsed="0" w:uiPriority="0" w:semiHidden="0"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qFormat="1" w:unhideWhenUsed="0" w:uiPriority="0" w:semiHidden="0"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1" w:name="List Continue 4"/>
    <w:lsdException w:uiPriority="1" w:name="List Continue 5"/>
    <w:lsdException w:qFormat="1" w:unhideWhenUsed="0" w:uiPriority="0" w:semiHidden="0"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qFormat="1" w:uiPriority="1" w:semiHidden="0" w:name="HTML Code"/>
    <w:lsdException w:uiPriority="1" w:name="HTML Definition"/>
    <w:lsdException w:uiPriority="1" w:name="HTML Keyboard"/>
    <w:lsdException w:qFormat="1" w:unhideWhenUsed="0" w:uiPriority="0" w:semiHidden="0" w:name="HTML Preformatted"/>
    <w:lsdException w:uiPriority="1" w:name="HTML Sample"/>
    <w:lsdException w:qFormat="1" w:unhideWhenUsed="0" w:uiPriority="0" w:semiHidden="0" w:name="HTML Typewriter"/>
    <w:lsdException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
    <w:qFormat/>
    <w:uiPriority w:val="0"/>
    <w:pPr>
      <w:keepNext/>
      <w:keepLines/>
      <w:numPr>
        <w:ilvl w:val="0"/>
        <w:numId w:val="1"/>
      </w:numPr>
      <w:tabs>
        <w:tab w:val="left" w:pos="1800"/>
      </w:tabs>
      <w:spacing w:before="340" w:after="330" w:line="578" w:lineRule="auto"/>
      <w:jc w:val="center"/>
      <w:outlineLvl w:val="0"/>
    </w:pPr>
    <w:rPr>
      <w:rFonts w:ascii="黑体" w:eastAsia="黑体"/>
      <w:b/>
      <w:bCs/>
      <w:kern w:val="44"/>
      <w:sz w:val="44"/>
      <w:szCs w:val="44"/>
    </w:rPr>
  </w:style>
  <w:style w:type="paragraph" w:styleId="5">
    <w:name w:val="heading 2"/>
    <w:basedOn w:val="1"/>
    <w:next w:val="1"/>
    <w:link w:val="81"/>
    <w:qFormat/>
    <w:uiPriority w:val="0"/>
    <w:pPr>
      <w:keepNext/>
      <w:keepLines/>
      <w:numPr>
        <w:ilvl w:val="1"/>
        <w:numId w:val="1"/>
      </w:numPr>
      <w:tabs>
        <w:tab w:val="left" w:pos="567"/>
      </w:tabs>
      <w:spacing w:before="260" w:after="260" w:line="416" w:lineRule="auto"/>
      <w:outlineLvl w:val="1"/>
    </w:pPr>
    <w:rPr>
      <w:rFonts w:ascii="Arial" w:hAnsi="Arial" w:eastAsia="黑体"/>
      <w:b/>
      <w:bCs/>
      <w:sz w:val="32"/>
      <w:szCs w:val="32"/>
    </w:rPr>
  </w:style>
  <w:style w:type="paragraph" w:styleId="6">
    <w:name w:val="heading 3"/>
    <w:basedOn w:val="1"/>
    <w:next w:val="7"/>
    <w:link w:val="82"/>
    <w:qFormat/>
    <w:uiPriority w:val="0"/>
    <w:pPr>
      <w:keepNext/>
      <w:keepLines/>
      <w:spacing w:before="260" w:after="260" w:line="416" w:lineRule="auto"/>
      <w:outlineLvl w:val="2"/>
    </w:pPr>
    <w:rPr>
      <w:rFonts w:ascii="黑体" w:eastAsia="黑体"/>
      <w:b/>
      <w:bCs/>
      <w:sz w:val="32"/>
      <w:szCs w:val="32"/>
    </w:rPr>
  </w:style>
  <w:style w:type="paragraph" w:styleId="8">
    <w:name w:val="heading 4"/>
    <w:basedOn w:val="1"/>
    <w:next w:val="1"/>
    <w:link w:val="84"/>
    <w:qFormat/>
    <w:uiPriority w:val="0"/>
    <w:pPr>
      <w:keepNext/>
      <w:keepLines/>
      <w:numPr>
        <w:ilvl w:val="4"/>
        <w:numId w:val="1"/>
      </w:numPr>
      <w:tabs>
        <w:tab w:val="left" w:pos="1080"/>
      </w:tabs>
      <w:spacing w:before="280" w:after="290" w:line="376" w:lineRule="auto"/>
      <w:outlineLvl w:val="3"/>
    </w:pPr>
    <w:rPr>
      <w:rFonts w:ascii="Arial" w:hAnsi="Arial" w:eastAsia="黑体"/>
      <w:b/>
      <w:bCs/>
      <w:sz w:val="28"/>
      <w:szCs w:val="28"/>
    </w:rPr>
  </w:style>
  <w:style w:type="paragraph" w:styleId="9">
    <w:name w:val="heading 5"/>
    <w:basedOn w:val="1"/>
    <w:next w:val="1"/>
    <w:link w:val="85"/>
    <w:qFormat/>
    <w:uiPriority w:val="0"/>
    <w:pPr>
      <w:keepNext/>
      <w:keepLines/>
      <w:numPr>
        <w:ilvl w:val="5"/>
        <w:numId w:val="1"/>
      </w:numPr>
      <w:tabs>
        <w:tab w:val="left" w:pos="1440"/>
      </w:tabs>
      <w:spacing w:before="280" w:after="290" w:line="376" w:lineRule="auto"/>
      <w:outlineLvl w:val="4"/>
    </w:pPr>
    <w:rPr>
      <w:rFonts w:ascii="黑体" w:eastAsia="黑体"/>
      <w:b/>
      <w:bCs/>
      <w:sz w:val="28"/>
      <w:szCs w:val="28"/>
    </w:rPr>
  </w:style>
  <w:style w:type="paragraph" w:styleId="10">
    <w:name w:val="heading 6"/>
    <w:basedOn w:val="1"/>
    <w:next w:val="1"/>
    <w:link w:val="86"/>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rPr>
  </w:style>
  <w:style w:type="paragraph" w:styleId="11">
    <w:name w:val="heading 7"/>
    <w:basedOn w:val="1"/>
    <w:next w:val="1"/>
    <w:link w:val="87"/>
    <w:qFormat/>
    <w:uiPriority w:val="0"/>
    <w:pPr>
      <w:keepNext/>
      <w:keepLines/>
      <w:tabs>
        <w:tab w:val="left" w:pos="1296"/>
      </w:tabs>
      <w:adjustRightInd w:val="0"/>
      <w:spacing w:before="240" w:after="64" w:line="320" w:lineRule="atLeast"/>
      <w:ind w:left="1296" w:hanging="1296"/>
      <w:textAlignment w:val="baseline"/>
      <w:outlineLvl w:val="6"/>
    </w:pPr>
    <w:rPr>
      <w:b/>
      <w:sz w:val="24"/>
    </w:rPr>
  </w:style>
  <w:style w:type="paragraph" w:styleId="12">
    <w:name w:val="heading 8"/>
    <w:basedOn w:val="1"/>
    <w:next w:val="1"/>
    <w:link w:val="88"/>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rPr>
  </w:style>
  <w:style w:type="paragraph" w:styleId="13">
    <w:name w:val="heading 9"/>
    <w:basedOn w:val="1"/>
    <w:next w:val="1"/>
    <w:link w:val="89"/>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5"/>
    <w:qFormat/>
    <w:uiPriority w:val="0"/>
    <w:pPr>
      <w:autoSpaceDE w:val="0"/>
      <w:autoSpaceDN w:val="0"/>
      <w:adjustRightInd w:val="0"/>
    </w:pPr>
    <w:rPr>
      <w:rFonts w:ascii="仿宋_GB2312" w:eastAsia="仿宋_GB2312"/>
      <w:kern w:val="0"/>
      <w:sz w:val="28"/>
      <w:szCs w:val="20"/>
    </w:rPr>
  </w:style>
  <w:style w:type="paragraph" w:styleId="3">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7">
    <w:name w:val="Normal Indent"/>
    <w:basedOn w:val="1"/>
    <w:link w:val="83"/>
    <w:qFormat/>
    <w:uiPriority w:val="0"/>
    <w:pPr>
      <w:widowControl/>
      <w:ind w:firstLine="420"/>
      <w:jc w:val="left"/>
    </w:pPr>
  </w:style>
  <w:style w:type="paragraph" w:styleId="14">
    <w:name w:val="List 3"/>
    <w:basedOn w:val="1"/>
    <w:qFormat/>
    <w:uiPriority w:val="0"/>
    <w:pPr>
      <w:ind w:left="1260" w:hanging="420" w:firstLineChars="200"/>
    </w:pPr>
    <w:rPr>
      <w:rFonts w:hAnsi="宋体"/>
      <w:color w:val="000000"/>
      <w:spacing w:val="-8"/>
      <w:szCs w:val="20"/>
    </w:rPr>
  </w:style>
  <w:style w:type="paragraph" w:styleId="15">
    <w:name w:val="toc 7"/>
    <w:basedOn w:val="1"/>
    <w:next w:val="1"/>
    <w:qFormat/>
    <w:uiPriority w:val="0"/>
    <w:pPr>
      <w:adjustRightInd w:val="0"/>
      <w:spacing w:line="288" w:lineRule="auto"/>
      <w:ind w:left="1260" w:firstLine="420"/>
      <w:jc w:val="left"/>
      <w:textAlignment w:val="baseline"/>
    </w:pPr>
    <w:rPr>
      <w:sz w:val="18"/>
      <w:szCs w:val="18"/>
    </w:rPr>
  </w:style>
  <w:style w:type="paragraph" w:styleId="16">
    <w:name w:val="index 8"/>
    <w:basedOn w:val="1"/>
    <w:next w:val="1"/>
    <w:qFormat/>
    <w:uiPriority w:val="0"/>
    <w:pPr>
      <w:ind w:left="1400" w:leftChars="140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index 5"/>
    <w:basedOn w:val="1"/>
    <w:next w:val="1"/>
    <w:qFormat/>
    <w:uiPriority w:val="0"/>
    <w:pPr>
      <w:ind w:left="800" w:leftChars="800"/>
    </w:pPr>
    <w:rPr>
      <w:szCs w:val="20"/>
    </w:rPr>
  </w:style>
  <w:style w:type="paragraph" w:styleId="19">
    <w:name w:val="List Bullet"/>
    <w:basedOn w:val="1"/>
    <w:qFormat/>
    <w:uiPriority w:val="0"/>
    <w:pPr>
      <w:numPr>
        <w:ilvl w:val="0"/>
        <w:numId w:val="2"/>
      </w:numPr>
      <w:ind w:firstLine="200" w:firstLineChars="200"/>
    </w:pPr>
    <w:rPr>
      <w:rFonts w:hAnsi="宋体"/>
      <w:color w:val="000000"/>
      <w:spacing w:val="-8"/>
      <w:szCs w:val="20"/>
    </w:rPr>
  </w:style>
  <w:style w:type="paragraph" w:styleId="20">
    <w:name w:val="Document Map"/>
    <w:basedOn w:val="1"/>
    <w:link w:val="90"/>
    <w:qFormat/>
    <w:uiPriority w:val="0"/>
    <w:pPr>
      <w:shd w:val="clear" w:color="auto" w:fill="000080"/>
    </w:pPr>
    <w:rPr>
      <w:shd w:val="clear" w:color="auto" w:fill="000080"/>
    </w:rPr>
  </w:style>
  <w:style w:type="paragraph" w:styleId="21">
    <w:name w:val="annotation text"/>
    <w:basedOn w:val="1"/>
    <w:link w:val="91"/>
    <w:qFormat/>
    <w:uiPriority w:val="0"/>
    <w:pPr>
      <w:jc w:val="left"/>
    </w:pPr>
  </w:style>
  <w:style w:type="paragraph" w:styleId="22">
    <w:name w:val="index 6"/>
    <w:basedOn w:val="1"/>
    <w:next w:val="1"/>
    <w:qFormat/>
    <w:uiPriority w:val="0"/>
    <w:pPr>
      <w:ind w:left="1000" w:leftChars="1000"/>
    </w:pPr>
    <w:rPr>
      <w:szCs w:val="20"/>
    </w:rPr>
  </w:style>
  <w:style w:type="paragraph" w:styleId="23">
    <w:name w:val="Salutation"/>
    <w:basedOn w:val="1"/>
    <w:next w:val="1"/>
    <w:link w:val="92"/>
    <w:qFormat/>
    <w:uiPriority w:val="0"/>
    <w:pPr>
      <w:adjustRightInd w:val="0"/>
      <w:spacing w:after="20" w:line="288" w:lineRule="auto"/>
      <w:ind w:firstLine="420"/>
      <w:textAlignment w:val="baseline"/>
    </w:pPr>
    <w:rPr>
      <w:sz w:val="28"/>
    </w:rPr>
  </w:style>
  <w:style w:type="paragraph" w:styleId="24">
    <w:name w:val="Body Text 3"/>
    <w:basedOn w:val="1"/>
    <w:link w:val="93"/>
    <w:qFormat/>
    <w:uiPriority w:val="0"/>
    <w:pPr>
      <w:adjustRightInd w:val="0"/>
      <w:spacing w:after="20" w:line="288" w:lineRule="auto"/>
      <w:jc w:val="center"/>
      <w:textAlignment w:val="baseline"/>
    </w:pPr>
    <w:rPr>
      <w:b/>
      <w:bCs/>
      <w:sz w:val="24"/>
    </w:rPr>
  </w:style>
  <w:style w:type="paragraph" w:styleId="25">
    <w:name w:val="Closing"/>
    <w:basedOn w:val="1"/>
    <w:link w:val="94"/>
    <w:qFormat/>
    <w:uiPriority w:val="0"/>
    <w:pPr>
      <w:adjustRightInd w:val="0"/>
      <w:spacing w:after="20" w:line="288" w:lineRule="auto"/>
      <w:ind w:left="100" w:leftChars="2100" w:firstLine="420"/>
      <w:textAlignment w:val="baseline"/>
    </w:pPr>
    <w:rPr>
      <w:sz w:val="28"/>
    </w:rPr>
  </w:style>
  <w:style w:type="paragraph" w:styleId="26">
    <w:name w:val="Body Text Indent"/>
    <w:basedOn w:val="1"/>
    <w:next w:val="1"/>
    <w:link w:val="97"/>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27">
    <w:name w:val="List 2"/>
    <w:basedOn w:val="1"/>
    <w:qFormat/>
    <w:uiPriority w:val="0"/>
    <w:pPr>
      <w:ind w:left="840" w:hanging="420" w:firstLineChars="200"/>
    </w:pPr>
    <w:rPr>
      <w:rFonts w:hAnsi="宋体"/>
      <w:color w:val="000000"/>
      <w:spacing w:val="-8"/>
      <w:szCs w:val="20"/>
    </w:rPr>
  </w:style>
  <w:style w:type="paragraph" w:styleId="28">
    <w:name w:val="List Continue"/>
    <w:basedOn w:val="1"/>
    <w:qFormat/>
    <w:uiPriority w:val="0"/>
    <w:pPr>
      <w:spacing w:after="120"/>
      <w:ind w:left="420" w:firstLine="448" w:firstLineChars="200"/>
    </w:pPr>
    <w:rPr>
      <w:rFonts w:hAnsi="宋体"/>
      <w:color w:val="000000"/>
      <w:spacing w:val="-8"/>
      <w:szCs w:val="20"/>
    </w:rPr>
  </w:style>
  <w:style w:type="paragraph" w:styleId="29">
    <w:name w:val="Block Text"/>
    <w:basedOn w:val="1"/>
    <w:qFormat/>
    <w:uiPriority w:val="0"/>
    <w:pPr>
      <w:adjustRightInd w:val="0"/>
      <w:ind w:left="420" w:right="33"/>
      <w:jc w:val="left"/>
      <w:textAlignment w:val="baseline"/>
    </w:pPr>
    <w:rPr>
      <w:kern w:val="0"/>
      <w:sz w:val="24"/>
      <w:szCs w:val="20"/>
    </w:rPr>
  </w:style>
  <w:style w:type="paragraph" w:styleId="30">
    <w:name w:val="List Bullet 2"/>
    <w:basedOn w:val="1"/>
    <w:qFormat/>
    <w:uiPriority w:val="0"/>
    <w:pPr>
      <w:numPr>
        <w:ilvl w:val="0"/>
        <w:numId w:val="3"/>
      </w:numPr>
      <w:ind w:firstLine="200" w:firstLineChars="200"/>
    </w:pPr>
    <w:rPr>
      <w:rFonts w:hAnsi="宋体"/>
      <w:color w:val="000000"/>
      <w:spacing w:val="-8"/>
      <w:szCs w:val="20"/>
    </w:rPr>
  </w:style>
  <w:style w:type="paragraph" w:styleId="31">
    <w:name w:val="index 4"/>
    <w:basedOn w:val="1"/>
    <w:next w:val="1"/>
    <w:qFormat/>
    <w:uiPriority w:val="0"/>
    <w:pPr>
      <w:ind w:left="600" w:leftChars="600"/>
    </w:pPr>
    <w:rPr>
      <w:szCs w:val="20"/>
    </w:rPr>
  </w:style>
  <w:style w:type="paragraph" w:styleId="32">
    <w:name w:val="toc 5"/>
    <w:basedOn w:val="1"/>
    <w:next w:val="1"/>
    <w:qFormat/>
    <w:uiPriority w:val="0"/>
    <w:pPr>
      <w:adjustRightInd w:val="0"/>
      <w:spacing w:line="288" w:lineRule="auto"/>
      <w:ind w:left="840" w:firstLine="420"/>
      <w:jc w:val="left"/>
      <w:textAlignment w:val="baseline"/>
    </w:pPr>
    <w:rPr>
      <w:sz w:val="18"/>
      <w:szCs w:val="18"/>
    </w:rPr>
  </w:style>
  <w:style w:type="paragraph" w:styleId="33">
    <w:name w:val="toc 3"/>
    <w:basedOn w:val="1"/>
    <w:next w:val="1"/>
    <w:qFormat/>
    <w:uiPriority w:val="0"/>
    <w:pPr>
      <w:adjustRightInd w:val="0"/>
      <w:spacing w:line="288" w:lineRule="auto"/>
      <w:ind w:left="420" w:firstLine="420"/>
      <w:jc w:val="left"/>
      <w:textAlignment w:val="baseline"/>
    </w:pPr>
    <w:rPr>
      <w:iCs/>
      <w:sz w:val="20"/>
      <w:szCs w:val="20"/>
    </w:rPr>
  </w:style>
  <w:style w:type="paragraph" w:styleId="34">
    <w:name w:val="Plain Text"/>
    <w:basedOn w:val="1"/>
    <w:link w:val="98"/>
    <w:qFormat/>
    <w:uiPriority w:val="0"/>
    <w:rPr>
      <w:rFonts w:ascii="宋体" w:hAnsi="Courier New"/>
      <w:szCs w:val="21"/>
    </w:rPr>
  </w:style>
  <w:style w:type="paragraph" w:styleId="35">
    <w:name w:val="List Bullet 5"/>
    <w:basedOn w:val="1"/>
    <w:qFormat/>
    <w:uiPriority w:val="0"/>
    <w:pPr>
      <w:widowControl/>
      <w:numPr>
        <w:ilvl w:val="0"/>
        <w:numId w:val="4"/>
      </w:numPr>
      <w:spacing w:line="360" w:lineRule="exact"/>
    </w:pPr>
    <w:rPr>
      <w:rFonts w:eastAsia="楷体_GB2312"/>
      <w:sz w:val="24"/>
      <w:szCs w:val="20"/>
    </w:rPr>
  </w:style>
  <w:style w:type="paragraph" w:styleId="36">
    <w:name w:val="toc 8"/>
    <w:basedOn w:val="1"/>
    <w:next w:val="1"/>
    <w:qFormat/>
    <w:uiPriority w:val="0"/>
    <w:pPr>
      <w:adjustRightInd w:val="0"/>
      <w:spacing w:line="288" w:lineRule="auto"/>
      <w:ind w:left="1470" w:firstLine="420"/>
      <w:jc w:val="left"/>
      <w:textAlignment w:val="baseline"/>
    </w:pPr>
    <w:rPr>
      <w:sz w:val="18"/>
      <w:szCs w:val="18"/>
    </w:rPr>
  </w:style>
  <w:style w:type="paragraph" w:styleId="37">
    <w:name w:val="index 3"/>
    <w:basedOn w:val="1"/>
    <w:next w:val="1"/>
    <w:qFormat/>
    <w:uiPriority w:val="0"/>
    <w:pPr>
      <w:ind w:left="400" w:leftChars="400"/>
    </w:pPr>
    <w:rPr>
      <w:szCs w:val="20"/>
    </w:rPr>
  </w:style>
  <w:style w:type="paragraph" w:styleId="38">
    <w:name w:val="Date"/>
    <w:basedOn w:val="1"/>
    <w:next w:val="1"/>
    <w:link w:val="99"/>
    <w:qFormat/>
    <w:uiPriority w:val="0"/>
    <w:pPr>
      <w:ind w:left="100" w:leftChars="2500"/>
    </w:pPr>
    <w:rPr>
      <w:rFonts w:ascii="楷体_GB2312" w:eastAsia="楷体_GB2312"/>
      <w:b/>
      <w:sz w:val="28"/>
    </w:rPr>
  </w:style>
  <w:style w:type="paragraph" w:styleId="39">
    <w:name w:val="Body Text Indent 2"/>
    <w:basedOn w:val="1"/>
    <w:link w:val="100"/>
    <w:qFormat/>
    <w:uiPriority w:val="0"/>
    <w:pPr>
      <w:tabs>
        <w:tab w:val="left" w:pos="0"/>
        <w:tab w:val="left" w:pos="1134"/>
      </w:tabs>
      <w:snapToGrid w:val="0"/>
      <w:spacing w:line="400" w:lineRule="exact"/>
      <w:ind w:firstLine="559" w:firstLineChars="233"/>
    </w:pPr>
    <w:rPr>
      <w:rFonts w:ascii="楷体_GB2312" w:eastAsia="楷体_GB2312"/>
      <w:sz w:val="24"/>
    </w:rPr>
  </w:style>
  <w:style w:type="paragraph" w:styleId="40">
    <w:name w:val="Balloon Text"/>
    <w:basedOn w:val="1"/>
    <w:link w:val="101"/>
    <w:qFormat/>
    <w:uiPriority w:val="0"/>
    <w:rPr>
      <w:sz w:val="18"/>
      <w:szCs w:val="18"/>
    </w:rPr>
  </w:style>
  <w:style w:type="paragraph" w:styleId="41">
    <w:name w:val="footer"/>
    <w:basedOn w:val="1"/>
    <w:next w:val="42"/>
    <w:link w:val="79"/>
    <w:qFormat/>
    <w:uiPriority w:val="99"/>
    <w:pPr>
      <w:tabs>
        <w:tab w:val="center" w:pos="4153"/>
        <w:tab w:val="right" w:pos="8306"/>
      </w:tabs>
      <w:snapToGrid w:val="0"/>
      <w:jc w:val="left"/>
    </w:pPr>
    <w:rPr>
      <w:sz w:val="18"/>
      <w:szCs w:val="18"/>
    </w:rPr>
  </w:style>
  <w:style w:type="paragraph" w:customStyle="1" w:styleId="42">
    <w:name w:val="TOC Heading1"/>
    <w:next w:val="1"/>
    <w:qFormat/>
    <w:uiPriority w:val="0"/>
    <w:pPr>
      <w:wordWrap w:val="0"/>
    </w:pPr>
    <w:rPr>
      <w:rFonts w:ascii="Times New Roman" w:hAnsi="Times New Roman" w:eastAsia="宋体" w:cs="Times New Roman"/>
      <w:sz w:val="32"/>
      <w:lang w:val="en-US" w:eastAsia="zh-CN" w:bidi="ar-SA"/>
    </w:rPr>
  </w:style>
  <w:style w:type="paragraph" w:styleId="43">
    <w:name w:val="toc 1"/>
    <w:basedOn w:val="1"/>
    <w:next w:val="1"/>
    <w:qFormat/>
    <w:uiPriority w:val="0"/>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styleId="44">
    <w:name w:val="toc 4"/>
    <w:basedOn w:val="1"/>
    <w:next w:val="1"/>
    <w:qFormat/>
    <w:uiPriority w:val="0"/>
    <w:pPr>
      <w:adjustRightInd w:val="0"/>
      <w:spacing w:line="288" w:lineRule="auto"/>
      <w:ind w:left="630" w:firstLine="420"/>
      <w:jc w:val="left"/>
      <w:textAlignment w:val="baseline"/>
    </w:pPr>
    <w:rPr>
      <w:sz w:val="18"/>
      <w:szCs w:val="18"/>
    </w:rPr>
  </w:style>
  <w:style w:type="paragraph" w:styleId="45">
    <w:name w:val="List"/>
    <w:basedOn w:val="1"/>
    <w:qFormat/>
    <w:uiPriority w:val="0"/>
    <w:pPr>
      <w:numPr>
        <w:ilvl w:val="0"/>
        <w:numId w:val="5"/>
      </w:numPr>
      <w:autoSpaceDE w:val="0"/>
      <w:autoSpaceDN w:val="0"/>
      <w:adjustRightInd w:val="0"/>
      <w:spacing w:after="20" w:line="288" w:lineRule="auto"/>
      <w:textAlignment w:val="baseline"/>
    </w:pPr>
    <w:rPr>
      <w:kern w:val="0"/>
      <w:szCs w:val="20"/>
      <w:lang w:val="en-GB"/>
    </w:rPr>
  </w:style>
  <w:style w:type="paragraph" w:styleId="46">
    <w:name w:val="footnote text"/>
    <w:basedOn w:val="1"/>
    <w:link w:val="102"/>
    <w:qFormat/>
    <w:uiPriority w:val="0"/>
    <w:pPr>
      <w:adjustRightInd w:val="0"/>
      <w:spacing w:after="60" w:line="360" w:lineRule="exact"/>
      <w:ind w:firstLine="425"/>
      <w:jc w:val="left"/>
      <w:textAlignment w:val="baseline"/>
    </w:pPr>
    <w:rPr>
      <w:kern w:val="0"/>
      <w:sz w:val="18"/>
      <w:szCs w:val="18"/>
    </w:rPr>
  </w:style>
  <w:style w:type="paragraph" w:styleId="47">
    <w:name w:val="toc 6"/>
    <w:basedOn w:val="1"/>
    <w:next w:val="1"/>
    <w:qFormat/>
    <w:uiPriority w:val="0"/>
    <w:pPr>
      <w:adjustRightInd w:val="0"/>
      <w:spacing w:line="288" w:lineRule="auto"/>
      <w:ind w:left="1050" w:firstLine="420"/>
      <w:jc w:val="left"/>
      <w:textAlignment w:val="baseline"/>
    </w:pPr>
    <w:rPr>
      <w:sz w:val="18"/>
      <w:szCs w:val="18"/>
    </w:rPr>
  </w:style>
  <w:style w:type="paragraph" w:styleId="48">
    <w:name w:val="List 5"/>
    <w:basedOn w:val="1"/>
    <w:qFormat/>
    <w:uiPriority w:val="0"/>
    <w:pPr>
      <w:ind w:left="2100" w:hanging="420" w:firstLineChars="200"/>
    </w:pPr>
    <w:rPr>
      <w:rFonts w:hAnsi="宋体"/>
      <w:color w:val="000000"/>
      <w:spacing w:val="-8"/>
      <w:szCs w:val="20"/>
    </w:rPr>
  </w:style>
  <w:style w:type="paragraph" w:styleId="49">
    <w:name w:val="Body Text Indent 3"/>
    <w:basedOn w:val="1"/>
    <w:link w:val="103"/>
    <w:qFormat/>
    <w:uiPriority w:val="0"/>
    <w:pPr>
      <w:autoSpaceDE w:val="0"/>
      <w:autoSpaceDN w:val="0"/>
      <w:adjustRightInd w:val="0"/>
      <w:spacing w:line="360" w:lineRule="auto"/>
      <w:ind w:firstLine="698" w:firstLineChars="218"/>
      <w:jc w:val="left"/>
    </w:pPr>
    <w:rPr>
      <w:rFonts w:ascii="仿宋_GB2312" w:eastAsia="仿宋_GB2312"/>
      <w:kern w:val="0"/>
      <w:sz w:val="32"/>
      <w:szCs w:val="20"/>
    </w:rPr>
  </w:style>
  <w:style w:type="paragraph" w:styleId="50">
    <w:name w:val="index 7"/>
    <w:basedOn w:val="1"/>
    <w:next w:val="1"/>
    <w:qFormat/>
    <w:uiPriority w:val="0"/>
    <w:pPr>
      <w:ind w:left="1200" w:leftChars="1200"/>
    </w:pPr>
    <w:rPr>
      <w:szCs w:val="20"/>
    </w:rPr>
  </w:style>
  <w:style w:type="paragraph" w:styleId="51">
    <w:name w:val="index 9"/>
    <w:basedOn w:val="1"/>
    <w:next w:val="1"/>
    <w:qFormat/>
    <w:uiPriority w:val="0"/>
    <w:pPr>
      <w:ind w:left="1600" w:leftChars="1600"/>
    </w:pPr>
    <w:rPr>
      <w:szCs w:val="20"/>
    </w:rPr>
  </w:style>
  <w:style w:type="paragraph" w:styleId="52">
    <w:name w:val="toc 2"/>
    <w:basedOn w:val="1"/>
    <w:next w:val="1"/>
    <w:qFormat/>
    <w:uiPriority w:val="0"/>
    <w:pPr>
      <w:adjustRightInd w:val="0"/>
      <w:spacing w:line="288" w:lineRule="auto"/>
      <w:ind w:left="210" w:firstLine="420"/>
      <w:jc w:val="left"/>
      <w:textAlignment w:val="baseline"/>
    </w:pPr>
    <w:rPr>
      <w:smallCaps/>
      <w:sz w:val="20"/>
      <w:szCs w:val="20"/>
    </w:rPr>
  </w:style>
  <w:style w:type="paragraph" w:styleId="53">
    <w:name w:val="toc 9"/>
    <w:basedOn w:val="1"/>
    <w:next w:val="1"/>
    <w:qFormat/>
    <w:uiPriority w:val="0"/>
    <w:pPr>
      <w:adjustRightInd w:val="0"/>
      <w:spacing w:line="288" w:lineRule="auto"/>
      <w:ind w:left="1680" w:firstLine="420"/>
      <w:jc w:val="left"/>
      <w:textAlignment w:val="baseline"/>
    </w:pPr>
    <w:rPr>
      <w:sz w:val="18"/>
      <w:szCs w:val="18"/>
    </w:rPr>
  </w:style>
  <w:style w:type="paragraph" w:styleId="54">
    <w:name w:val="Body Text 2"/>
    <w:basedOn w:val="1"/>
    <w:link w:val="104"/>
    <w:qFormat/>
    <w:uiPriority w:val="0"/>
    <w:pPr>
      <w:adjustRightInd w:val="0"/>
      <w:spacing w:after="20" w:line="720" w:lineRule="auto"/>
      <w:ind w:firstLine="420"/>
      <w:textAlignment w:val="baseline"/>
    </w:pPr>
    <w:rPr>
      <w:sz w:val="30"/>
    </w:rPr>
  </w:style>
  <w:style w:type="paragraph" w:styleId="55">
    <w:name w:val="List 4"/>
    <w:basedOn w:val="1"/>
    <w:qFormat/>
    <w:uiPriority w:val="0"/>
    <w:pPr>
      <w:ind w:left="1680" w:hanging="420" w:firstLineChars="200"/>
    </w:pPr>
    <w:rPr>
      <w:rFonts w:hAnsi="宋体"/>
      <w:color w:val="000000"/>
      <w:spacing w:val="-8"/>
      <w:szCs w:val="20"/>
    </w:rPr>
  </w:style>
  <w:style w:type="paragraph" w:styleId="56">
    <w:name w:val="List Continue 2"/>
    <w:basedOn w:val="1"/>
    <w:qFormat/>
    <w:uiPriority w:val="0"/>
    <w:pPr>
      <w:spacing w:after="120"/>
      <w:ind w:left="840" w:firstLine="448" w:firstLineChars="200"/>
    </w:pPr>
    <w:rPr>
      <w:rFonts w:hAnsi="宋体"/>
      <w:color w:val="000000"/>
      <w:spacing w:val="-8"/>
      <w:szCs w:val="20"/>
    </w:rPr>
  </w:style>
  <w:style w:type="paragraph" w:styleId="57">
    <w:name w:val="Message Header"/>
    <w:basedOn w:val="2"/>
    <w:link w:val="105"/>
    <w:qFormat/>
    <w:uiPriority w:val="0"/>
    <w:pPr>
      <w:keepLines/>
      <w:widowControl/>
      <w:autoSpaceDE/>
      <w:autoSpaceDN/>
      <w:adjustRightInd/>
      <w:spacing w:after="40" w:line="140" w:lineRule="atLeast"/>
      <w:ind w:left="360" w:firstLine="448" w:firstLineChars="200"/>
      <w:jc w:val="left"/>
    </w:pPr>
    <w:rPr>
      <w:rFonts w:ascii="Garamond" w:hAnsi="Garamond" w:eastAsia="宋体"/>
      <w:color w:val="000000"/>
      <w:spacing w:val="-8"/>
      <w:sz w:val="18"/>
      <w:lang w:bidi="he-IL"/>
    </w:rPr>
  </w:style>
  <w:style w:type="paragraph" w:styleId="58">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szCs w:val="20"/>
    </w:rPr>
  </w:style>
  <w:style w:type="paragraph" w:styleId="59">
    <w:name w:val="Normal (Web)"/>
    <w:basedOn w:val="1"/>
    <w:link w:val="107"/>
    <w:qFormat/>
    <w:uiPriority w:val="99"/>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60">
    <w:name w:val="List Continue 3"/>
    <w:basedOn w:val="1"/>
    <w:qFormat/>
    <w:uiPriority w:val="0"/>
    <w:pPr>
      <w:spacing w:after="120"/>
      <w:ind w:left="1260" w:firstLine="448" w:firstLineChars="200"/>
    </w:pPr>
    <w:rPr>
      <w:rFonts w:hAnsi="宋体"/>
      <w:color w:val="000000"/>
      <w:spacing w:val="-8"/>
      <w:szCs w:val="20"/>
    </w:rPr>
  </w:style>
  <w:style w:type="paragraph" w:styleId="61">
    <w:name w:val="index 1"/>
    <w:basedOn w:val="1"/>
    <w:next w:val="1"/>
    <w:qFormat/>
    <w:uiPriority w:val="0"/>
    <w:rPr>
      <w:szCs w:val="20"/>
    </w:rPr>
  </w:style>
  <w:style w:type="paragraph" w:styleId="62">
    <w:name w:val="index 2"/>
    <w:basedOn w:val="1"/>
    <w:next w:val="1"/>
    <w:qFormat/>
    <w:uiPriority w:val="0"/>
    <w:pPr>
      <w:ind w:left="200" w:leftChars="200"/>
    </w:pPr>
    <w:rPr>
      <w:szCs w:val="20"/>
    </w:rPr>
  </w:style>
  <w:style w:type="paragraph" w:styleId="63">
    <w:name w:val="Title"/>
    <w:basedOn w:val="1"/>
    <w:link w:val="108"/>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64">
    <w:name w:val="annotation subject"/>
    <w:basedOn w:val="21"/>
    <w:next w:val="21"/>
    <w:link w:val="109"/>
    <w:qFormat/>
    <w:uiPriority w:val="0"/>
    <w:rPr>
      <w:b/>
      <w:bCs/>
    </w:rPr>
  </w:style>
  <w:style w:type="paragraph" w:styleId="65">
    <w:name w:val="Body Text First Indent"/>
    <w:basedOn w:val="2"/>
    <w:link w:val="110"/>
    <w:qFormat/>
    <w:uiPriority w:val="0"/>
    <w:pPr>
      <w:autoSpaceDE/>
      <w:autoSpaceDN/>
      <w:adjustRightInd/>
      <w:spacing w:after="120"/>
      <w:ind w:firstLine="420" w:firstLineChars="200"/>
    </w:pPr>
    <w:rPr>
      <w:color w:val="000000"/>
      <w:spacing w:val="-8"/>
      <w:kern w:val="2"/>
      <w:sz w:val="21"/>
    </w:rPr>
  </w:style>
  <w:style w:type="paragraph" w:styleId="66">
    <w:name w:val="Body Text First Indent 2"/>
    <w:basedOn w:val="26"/>
    <w:link w:val="111"/>
    <w:qFormat/>
    <w:uiPriority w:val="0"/>
    <w:pPr>
      <w:widowControl w:val="0"/>
      <w:autoSpaceDE/>
      <w:autoSpaceDN/>
      <w:adjustRightInd/>
      <w:spacing w:after="120" w:line="240" w:lineRule="auto"/>
      <w:ind w:left="0" w:firstLine="210" w:firstLineChars="200"/>
    </w:pPr>
    <w:rPr>
      <w:rFonts w:hAnsi="宋体"/>
      <w:color w:val="000000"/>
      <w:spacing w:val="-8"/>
      <w:kern w:val="2"/>
      <w:sz w:val="21"/>
    </w:rPr>
  </w:style>
  <w:style w:type="table" w:styleId="68">
    <w:name w:val="Table Grid"/>
    <w:basedOn w:val="6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0">
    <w:name w:val="Strong"/>
    <w:qFormat/>
    <w:uiPriority w:val="0"/>
    <w:rPr>
      <w:b/>
      <w:bCs/>
    </w:rPr>
  </w:style>
  <w:style w:type="character" w:styleId="71">
    <w:name w:val="page number"/>
    <w:qFormat/>
    <w:uiPriority w:val="0"/>
  </w:style>
  <w:style w:type="character" w:styleId="72">
    <w:name w:val="FollowedHyperlink"/>
    <w:qFormat/>
    <w:uiPriority w:val="99"/>
    <w:rPr>
      <w:color w:val="000000"/>
      <w:u w:val="none"/>
    </w:rPr>
  </w:style>
  <w:style w:type="character" w:styleId="73">
    <w:name w:val="Emphasis"/>
    <w:qFormat/>
    <w:uiPriority w:val="0"/>
    <w:rPr>
      <w:i/>
    </w:rPr>
  </w:style>
  <w:style w:type="character" w:styleId="74">
    <w:name w:val="HTML Typewriter"/>
    <w:qFormat/>
    <w:uiPriority w:val="0"/>
    <w:rPr>
      <w:rFonts w:ascii="宋体" w:hAnsi="宋体" w:eastAsia="宋体" w:cs="宋体"/>
      <w:sz w:val="24"/>
      <w:szCs w:val="24"/>
    </w:rPr>
  </w:style>
  <w:style w:type="character" w:styleId="75">
    <w:name w:val="Hyperlink"/>
    <w:qFormat/>
    <w:uiPriority w:val="99"/>
    <w:rPr>
      <w:color w:val="000000"/>
      <w:u w:val="none"/>
    </w:rPr>
  </w:style>
  <w:style w:type="character" w:styleId="76">
    <w:name w:val="HTML Code"/>
    <w:unhideWhenUsed/>
    <w:qFormat/>
    <w:uiPriority w:val="1"/>
    <w:rPr>
      <w:rFonts w:ascii="Courier New" w:hAnsi="Courier New"/>
      <w:sz w:val="20"/>
    </w:rPr>
  </w:style>
  <w:style w:type="character" w:styleId="77">
    <w:name w:val="annotation reference"/>
    <w:qFormat/>
    <w:uiPriority w:val="0"/>
    <w:rPr>
      <w:sz w:val="21"/>
      <w:szCs w:val="21"/>
    </w:rPr>
  </w:style>
  <w:style w:type="character" w:styleId="78">
    <w:name w:val="footnote reference"/>
    <w:qFormat/>
    <w:uiPriority w:val="0"/>
    <w:rPr>
      <w:rFonts w:ascii="宋体" w:hAnsi="宋体" w:eastAsia="宋体"/>
      <w:vertAlign w:val="superscript"/>
    </w:rPr>
  </w:style>
  <w:style w:type="character" w:customStyle="1" w:styleId="79">
    <w:name w:val="页脚 Char"/>
    <w:link w:val="41"/>
    <w:qFormat/>
    <w:uiPriority w:val="99"/>
    <w:rPr>
      <w:kern w:val="2"/>
      <w:sz w:val="18"/>
      <w:szCs w:val="18"/>
    </w:rPr>
  </w:style>
  <w:style w:type="character" w:customStyle="1" w:styleId="80">
    <w:name w:val="标题 1 Char"/>
    <w:link w:val="4"/>
    <w:qFormat/>
    <w:uiPriority w:val="0"/>
    <w:rPr>
      <w:rFonts w:ascii="黑体" w:eastAsia="黑体"/>
      <w:b/>
      <w:bCs/>
      <w:kern w:val="44"/>
      <w:sz w:val="44"/>
      <w:szCs w:val="44"/>
    </w:rPr>
  </w:style>
  <w:style w:type="character" w:customStyle="1" w:styleId="81">
    <w:name w:val="标题 2 Char"/>
    <w:link w:val="5"/>
    <w:qFormat/>
    <w:uiPriority w:val="0"/>
    <w:rPr>
      <w:rFonts w:ascii="Arial" w:hAnsi="Arial" w:eastAsia="黑体"/>
      <w:b/>
      <w:bCs/>
      <w:kern w:val="2"/>
      <w:sz w:val="32"/>
      <w:szCs w:val="32"/>
    </w:rPr>
  </w:style>
  <w:style w:type="character" w:customStyle="1" w:styleId="82">
    <w:name w:val="标题 3 Char"/>
    <w:link w:val="6"/>
    <w:qFormat/>
    <w:uiPriority w:val="0"/>
    <w:rPr>
      <w:rFonts w:ascii="黑体" w:eastAsia="黑体"/>
      <w:b/>
      <w:bCs/>
      <w:kern w:val="2"/>
      <w:sz w:val="32"/>
      <w:szCs w:val="32"/>
    </w:rPr>
  </w:style>
  <w:style w:type="character" w:customStyle="1" w:styleId="83">
    <w:name w:val="正文缩进 Char"/>
    <w:link w:val="7"/>
    <w:qFormat/>
    <w:uiPriority w:val="0"/>
  </w:style>
  <w:style w:type="character" w:customStyle="1" w:styleId="84">
    <w:name w:val="标题 4 Char"/>
    <w:link w:val="8"/>
    <w:qFormat/>
    <w:uiPriority w:val="0"/>
    <w:rPr>
      <w:rFonts w:ascii="Arial" w:hAnsi="Arial" w:eastAsia="黑体"/>
      <w:b/>
      <w:bCs/>
      <w:kern w:val="2"/>
      <w:sz w:val="28"/>
      <w:szCs w:val="28"/>
    </w:rPr>
  </w:style>
  <w:style w:type="character" w:customStyle="1" w:styleId="85">
    <w:name w:val="标题 5 Char"/>
    <w:link w:val="9"/>
    <w:qFormat/>
    <w:uiPriority w:val="0"/>
    <w:rPr>
      <w:rFonts w:ascii="黑体" w:eastAsia="黑体"/>
      <w:b/>
      <w:bCs/>
      <w:kern w:val="2"/>
      <w:sz w:val="28"/>
      <w:szCs w:val="28"/>
    </w:rPr>
  </w:style>
  <w:style w:type="character" w:customStyle="1" w:styleId="86">
    <w:name w:val="标题 6 Char"/>
    <w:link w:val="10"/>
    <w:qFormat/>
    <w:uiPriority w:val="0"/>
    <w:rPr>
      <w:rFonts w:ascii="Arial" w:hAnsi="Arial" w:eastAsia="黑体"/>
      <w:b/>
      <w:kern w:val="2"/>
      <w:sz w:val="24"/>
      <w:szCs w:val="24"/>
    </w:rPr>
  </w:style>
  <w:style w:type="character" w:customStyle="1" w:styleId="87">
    <w:name w:val="标题 7 Char"/>
    <w:link w:val="11"/>
    <w:qFormat/>
    <w:uiPriority w:val="0"/>
    <w:rPr>
      <w:b/>
      <w:kern w:val="2"/>
      <w:sz w:val="24"/>
      <w:szCs w:val="24"/>
    </w:rPr>
  </w:style>
  <w:style w:type="character" w:customStyle="1" w:styleId="88">
    <w:name w:val="标题 8 Char"/>
    <w:link w:val="12"/>
    <w:qFormat/>
    <w:uiPriority w:val="0"/>
    <w:rPr>
      <w:rFonts w:ascii="Arial" w:hAnsi="Arial" w:eastAsia="黑体"/>
      <w:kern w:val="2"/>
      <w:sz w:val="24"/>
      <w:szCs w:val="24"/>
    </w:rPr>
  </w:style>
  <w:style w:type="character" w:customStyle="1" w:styleId="89">
    <w:name w:val="标题 9 Char"/>
    <w:link w:val="13"/>
    <w:qFormat/>
    <w:uiPriority w:val="0"/>
    <w:rPr>
      <w:rFonts w:ascii="Arial" w:hAnsi="Arial" w:eastAsia="黑体"/>
      <w:kern w:val="2"/>
      <w:sz w:val="21"/>
      <w:szCs w:val="24"/>
    </w:rPr>
  </w:style>
  <w:style w:type="character" w:customStyle="1" w:styleId="90">
    <w:name w:val="文档结构图 Char"/>
    <w:link w:val="20"/>
    <w:qFormat/>
    <w:uiPriority w:val="0"/>
    <w:rPr>
      <w:kern w:val="2"/>
      <w:sz w:val="21"/>
      <w:szCs w:val="24"/>
      <w:shd w:val="clear" w:color="auto" w:fill="000080"/>
    </w:rPr>
  </w:style>
  <w:style w:type="character" w:customStyle="1" w:styleId="91">
    <w:name w:val="批注文字 Char"/>
    <w:link w:val="21"/>
    <w:qFormat/>
    <w:uiPriority w:val="0"/>
    <w:rPr>
      <w:kern w:val="2"/>
      <w:sz w:val="21"/>
      <w:szCs w:val="24"/>
    </w:rPr>
  </w:style>
  <w:style w:type="character" w:customStyle="1" w:styleId="92">
    <w:name w:val="称呼 Char"/>
    <w:link w:val="23"/>
    <w:qFormat/>
    <w:uiPriority w:val="0"/>
    <w:rPr>
      <w:kern w:val="2"/>
      <w:sz w:val="28"/>
      <w:szCs w:val="24"/>
    </w:rPr>
  </w:style>
  <w:style w:type="character" w:customStyle="1" w:styleId="93">
    <w:name w:val="正文文本 3 Char"/>
    <w:link w:val="24"/>
    <w:qFormat/>
    <w:uiPriority w:val="0"/>
    <w:rPr>
      <w:b/>
      <w:bCs/>
      <w:kern w:val="2"/>
      <w:sz w:val="24"/>
      <w:szCs w:val="24"/>
    </w:rPr>
  </w:style>
  <w:style w:type="character" w:customStyle="1" w:styleId="94">
    <w:name w:val="结束语 Char"/>
    <w:link w:val="25"/>
    <w:qFormat/>
    <w:uiPriority w:val="0"/>
    <w:rPr>
      <w:kern w:val="2"/>
      <w:sz w:val="28"/>
      <w:szCs w:val="24"/>
    </w:rPr>
  </w:style>
  <w:style w:type="character" w:customStyle="1" w:styleId="95">
    <w:name w:val="正文文本 Char"/>
    <w:link w:val="2"/>
    <w:qFormat/>
    <w:uiPriority w:val="0"/>
    <w:rPr>
      <w:rFonts w:ascii="仿宋_GB2312" w:eastAsia="仿宋_GB2312"/>
      <w:sz w:val="28"/>
    </w:rPr>
  </w:style>
  <w:style w:type="character" w:customStyle="1" w:styleId="96">
    <w:name w:val="页眉 Char"/>
    <w:link w:val="3"/>
    <w:qFormat/>
    <w:uiPriority w:val="0"/>
    <w:rPr>
      <w:rFonts w:eastAsia="宋体"/>
      <w:kern w:val="2"/>
      <w:sz w:val="18"/>
      <w:szCs w:val="18"/>
      <w:lang w:val="en-US" w:eastAsia="zh-CN" w:bidi="ar-SA"/>
    </w:rPr>
  </w:style>
  <w:style w:type="character" w:customStyle="1" w:styleId="97">
    <w:name w:val="正文文本缩进 Char"/>
    <w:link w:val="26"/>
    <w:qFormat/>
    <w:uiPriority w:val="0"/>
    <w:rPr>
      <w:rFonts w:ascii="仿宋_GB2312" w:eastAsia="仿宋_GB2312"/>
      <w:sz w:val="28"/>
    </w:rPr>
  </w:style>
  <w:style w:type="character" w:customStyle="1" w:styleId="98">
    <w:name w:val="纯文本 Char"/>
    <w:link w:val="34"/>
    <w:qFormat/>
    <w:uiPriority w:val="0"/>
    <w:rPr>
      <w:rFonts w:ascii="宋体" w:hAnsi="Courier New"/>
      <w:kern w:val="2"/>
      <w:sz w:val="21"/>
      <w:szCs w:val="21"/>
    </w:rPr>
  </w:style>
  <w:style w:type="character" w:customStyle="1" w:styleId="99">
    <w:name w:val="日期 Char"/>
    <w:link w:val="38"/>
    <w:qFormat/>
    <w:uiPriority w:val="0"/>
    <w:rPr>
      <w:rFonts w:ascii="楷体_GB2312" w:eastAsia="楷体_GB2312"/>
      <w:b/>
      <w:kern w:val="2"/>
      <w:sz w:val="28"/>
      <w:szCs w:val="24"/>
    </w:rPr>
  </w:style>
  <w:style w:type="character" w:customStyle="1" w:styleId="100">
    <w:name w:val="正文文本缩进 2 Char"/>
    <w:link w:val="39"/>
    <w:qFormat/>
    <w:uiPriority w:val="0"/>
    <w:rPr>
      <w:rFonts w:ascii="楷体_GB2312" w:eastAsia="楷体_GB2312"/>
      <w:kern w:val="2"/>
      <w:sz w:val="24"/>
      <w:szCs w:val="24"/>
    </w:rPr>
  </w:style>
  <w:style w:type="character" w:customStyle="1" w:styleId="101">
    <w:name w:val="批注框文本 Char"/>
    <w:link w:val="40"/>
    <w:qFormat/>
    <w:uiPriority w:val="0"/>
    <w:rPr>
      <w:kern w:val="2"/>
      <w:sz w:val="18"/>
      <w:szCs w:val="18"/>
    </w:rPr>
  </w:style>
  <w:style w:type="character" w:customStyle="1" w:styleId="102">
    <w:name w:val="脚注文本 Char"/>
    <w:link w:val="46"/>
    <w:qFormat/>
    <w:uiPriority w:val="0"/>
    <w:rPr>
      <w:sz w:val="18"/>
      <w:szCs w:val="18"/>
    </w:rPr>
  </w:style>
  <w:style w:type="character" w:customStyle="1" w:styleId="103">
    <w:name w:val="正文文本缩进 3 Char"/>
    <w:link w:val="49"/>
    <w:qFormat/>
    <w:uiPriority w:val="0"/>
    <w:rPr>
      <w:rFonts w:ascii="仿宋_GB2312" w:eastAsia="仿宋_GB2312"/>
      <w:sz w:val="32"/>
    </w:rPr>
  </w:style>
  <w:style w:type="character" w:customStyle="1" w:styleId="104">
    <w:name w:val="正文文本 2 Char"/>
    <w:link w:val="54"/>
    <w:qFormat/>
    <w:uiPriority w:val="0"/>
    <w:rPr>
      <w:kern w:val="2"/>
      <w:sz w:val="30"/>
      <w:szCs w:val="24"/>
    </w:rPr>
  </w:style>
  <w:style w:type="character" w:customStyle="1" w:styleId="105">
    <w:name w:val="信息标题 Char"/>
    <w:link w:val="57"/>
    <w:qFormat/>
    <w:uiPriority w:val="0"/>
    <w:rPr>
      <w:rFonts w:ascii="Garamond" w:hAnsi="Garamond"/>
      <w:color w:val="000000"/>
      <w:spacing w:val="-8"/>
      <w:sz w:val="18"/>
      <w:lang w:bidi="he-IL"/>
    </w:rPr>
  </w:style>
  <w:style w:type="character" w:customStyle="1" w:styleId="106">
    <w:name w:val="HTML 预设格式 Char"/>
    <w:link w:val="58"/>
    <w:qFormat/>
    <w:uiPriority w:val="0"/>
    <w:rPr>
      <w:rFonts w:ascii="黑体" w:hAnsi="Courier New" w:eastAsia="黑体"/>
    </w:rPr>
  </w:style>
  <w:style w:type="character" w:customStyle="1" w:styleId="107">
    <w:name w:val="普通(网站) Char"/>
    <w:link w:val="59"/>
    <w:qFormat/>
    <w:uiPriority w:val="0"/>
    <w:rPr>
      <w:rFonts w:ascii="宋体" w:hAnsi="宋体"/>
      <w:sz w:val="24"/>
      <w:szCs w:val="24"/>
    </w:rPr>
  </w:style>
  <w:style w:type="character" w:customStyle="1" w:styleId="108">
    <w:name w:val="标题 Char"/>
    <w:link w:val="63"/>
    <w:qFormat/>
    <w:uiPriority w:val="0"/>
    <w:rPr>
      <w:rFonts w:ascii="Arial" w:hAnsi="Arial" w:cs="Arial"/>
      <w:b/>
      <w:bCs/>
      <w:kern w:val="2"/>
      <w:sz w:val="32"/>
      <w:szCs w:val="32"/>
    </w:rPr>
  </w:style>
  <w:style w:type="character" w:customStyle="1" w:styleId="109">
    <w:name w:val="批注主题 Char"/>
    <w:link w:val="64"/>
    <w:qFormat/>
    <w:uiPriority w:val="0"/>
    <w:rPr>
      <w:b/>
      <w:bCs/>
      <w:kern w:val="2"/>
      <w:sz w:val="21"/>
      <w:szCs w:val="24"/>
    </w:rPr>
  </w:style>
  <w:style w:type="character" w:customStyle="1" w:styleId="110">
    <w:name w:val="正文首行缩进 Char"/>
    <w:link w:val="65"/>
    <w:qFormat/>
    <w:uiPriority w:val="0"/>
    <w:rPr>
      <w:rFonts w:ascii="仿宋_GB2312" w:eastAsia="仿宋_GB2312"/>
      <w:color w:val="000000"/>
      <w:spacing w:val="-8"/>
      <w:kern w:val="2"/>
      <w:sz w:val="21"/>
    </w:rPr>
  </w:style>
  <w:style w:type="character" w:customStyle="1" w:styleId="111">
    <w:name w:val="正文首行缩进 2 Char"/>
    <w:link w:val="66"/>
    <w:qFormat/>
    <w:uiPriority w:val="0"/>
    <w:rPr>
      <w:rFonts w:ascii="仿宋_GB2312" w:hAnsi="宋体" w:eastAsia="仿宋_GB2312"/>
      <w:color w:val="000000"/>
      <w:spacing w:val="-8"/>
      <w:kern w:val="2"/>
      <w:sz w:val="21"/>
    </w:rPr>
  </w:style>
  <w:style w:type="paragraph" w:customStyle="1" w:styleId="112">
    <w:name w:val="列出段落1"/>
    <w:basedOn w:val="1"/>
    <w:qFormat/>
    <w:uiPriority w:val="0"/>
    <w:pPr>
      <w:ind w:firstLine="420" w:firstLineChars="200"/>
    </w:pPr>
    <w:rPr>
      <w:rFonts w:ascii="Calibri" w:hAnsi="Calibri"/>
      <w:color w:val="000000"/>
      <w:spacing w:val="-8"/>
      <w:szCs w:val="22"/>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4">
    <w:name w:val="正文文本 3 Char1"/>
    <w:semiHidden/>
    <w:qFormat/>
    <w:uiPriority w:val="99"/>
    <w:rPr>
      <w:sz w:val="16"/>
      <w:szCs w:val="16"/>
    </w:rPr>
  </w:style>
  <w:style w:type="character" w:customStyle="1" w:styleId="115">
    <w:name w:val="正文文本缩进 3 Char1"/>
    <w:semiHidden/>
    <w:qFormat/>
    <w:uiPriority w:val="99"/>
    <w:rPr>
      <w:sz w:val="16"/>
      <w:szCs w:val="16"/>
    </w:rPr>
  </w:style>
  <w:style w:type="character" w:customStyle="1" w:styleId="116">
    <w:name w:val="Char Char13"/>
    <w:qFormat/>
    <w:uiPriority w:val="0"/>
    <w:rPr>
      <w:rFonts w:ascii="仿宋_GB2312" w:hAnsi="Times New Roman" w:eastAsia="宋体" w:cs="Times New Roman"/>
      <w:sz w:val="18"/>
      <w:szCs w:val="18"/>
    </w:rPr>
  </w:style>
  <w:style w:type="character" w:customStyle="1" w:styleId="117">
    <w:name w:val="正文文本 2 Char1"/>
    <w:semiHidden/>
    <w:qFormat/>
    <w:uiPriority w:val="99"/>
  </w:style>
  <w:style w:type="character" w:customStyle="1" w:styleId="118">
    <w:name w:val="itm1"/>
    <w:qFormat/>
    <w:uiPriority w:val="0"/>
    <w:rPr>
      <w:rFonts w:hint="eastAsia" w:ascii="宋体" w:hAnsi="宋体" w:eastAsia="宋体"/>
      <w:sz w:val="21"/>
      <w:szCs w:val="21"/>
    </w:rPr>
  </w:style>
  <w:style w:type="character" w:customStyle="1" w:styleId="119">
    <w:name w:val="页眉 Char1"/>
    <w:semiHidden/>
    <w:qFormat/>
    <w:uiPriority w:val="99"/>
    <w:rPr>
      <w:kern w:val="2"/>
      <w:sz w:val="18"/>
      <w:szCs w:val="18"/>
    </w:rPr>
  </w:style>
  <w:style w:type="character" w:customStyle="1" w:styleId="120">
    <w:name w:val="Char Char Char Char Char Char Char Char Char Char Char Char Char"/>
    <w:qFormat/>
    <w:uiPriority w:val="0"/>
    <w:rPr>
      <w:rFonts w:eastAsia="宋体"/>
      <w:b/>
      <w:bCs/>
      <w:sz w:val="32"/>
      <w:szCs w:val="44"/>
      <w:lang w:val="en-US" w:eastAsia="zh-CN" w:bidi="ar-SA"/>
    </w:rPr>
  </w:style>
  <w:style w:type="character" w:customStyle="1" w:styleId="121">
    <w:name w:val="font21"/>
    <w:basedOn w:val="69"/>
    <w:qFormat/>
    <w:uiPriority w:val="0"/>
    <w:rPr>
      <w:rFonts w:ascii="Tahoma" w:hAnsi="Tahoma" w:eastAsia="Tahoma" w:cs="Tahoma"/>
      <w:color w:val="000000"/>
      <w:sz w:val="22"/>
      <w:szCs w:val="22"/>
      <w:u w:val="none"/>
    </w:rPr>
  </w:style>
  <w:style w:type="character" w:customStyle="1" w:styleId="122">
    <w:name w:val="批注框文本 Char1"/>
    <w:semiHidden/>
    <w:qFormat/>
    <w:uiPriority w:val="99"/>
    <w:rPr>
      <w:sz w:val="18"/>
      <w:szCs w:val="18"/>
    </w:rPr>
  </w:style>
  <w:style w:type="character" w:customStyle="1" w:styleId="123">
    <w:name w:val="标题 31"/>
    <w:qFormat/>
    <w:uiPriority w:val="0"/>
    <w:rPr>
      <w:rFonts w:hint="eastAsia" w:ascii="黑体" w:hAnsi="ˎ̥" w:eastAsia="黑体"/>
      <w:sz w:val="28"/>
    </w:rPr>
  </w:style>
  <w:style w:type="character" w:customStyle="1" w:styleId="124">
    <w:name w:val="HTML 预设格式 Char1"/>
    <w:semiHidden/>
    <w:qFormat/>
    <w:uiPriority w:val="99"/>
    <w:rPr>
      <w:rFonts w:ascii="Courier New" w:hAnsi="Courier New" w:cs="Courier New"/>
      <w:sz w:val="20"/>
      <w:szCs w:val="20"/>
    </w:rPr>
  </w:style>
  <w:style w:type="character" w:customStyle="1" w:styleId="125">
    <w:name w:val="日期 Char1"/>
    <w:semiHidden/>
    <w:qFormat/>
    <w:uiPriority w:val="99"/>
  </w:style>
  <w:style w:type="character" w:customStyle="1" w:styleId="126">
    <w:name w:val="bookmark-item"/>
    <w:qFormat/>
    <w:uiPriority w:val="0"/>
  </w:style>
  <w:style w:type="character" w:customStyle="1" w:styleId="127">
    <w:name w:val="普通正文 Char Char"/>
    <w:link w:val="128"/>
    <w:qFormat/>
    <w:uiPriority w:val="0"/>
    <w:rPr>
      <w:rFonts w:ascii="Arial" w:hAnsi="Arial"/>
      <w:sz w:val="24"/>
      <w:szCs w:val="24"/>
    </w:rPr>
  </w:style>
  <w:style w:type="paragraph" w:customStyle="1" w:styleId="128">
    <w:name w:val="普通正文"/>
    <w:basedOn w:val="1"/>
    <w:link w:val="127"/>
    <w:qFormat/>
    <w:uiPriority w:val="0"/>
    <w:pPr>
      <w:adjustRightInd w:val="0"/>
      <w:spacing w:before="120" w:after="120" w:line="500" w:lineRule="exact"/>
      <w:ind w:firstLine="480" w:firstLineChars="200"/>
      <w:textAlignment w:val="baseline"/>
    </w:pPr>
    <w:rPr>
      <w:rFonts w:ascii="Arial" w:hAnsi="Arial"/>
      <w:kern w:val="0"/>
      <w:sz w:val="24"/>
    </w:rPr>
  </w:style>
  <w:style w:type="character" w:customStyle="1" w:styleId="129">
    <w:name w:val="font51"/>
    <w:qFormat/>
    <w:uiPriority w:val="0"/>
    <w:rPr>
      <w:rFonts w:hint="default" w:ascii="Times New Roman" w:hAnsi="Times New Roman" w:cs="Times New Roman"/>
      <w:color w:val="000000"/>
      <w:sz w:val="20"/>
      <w:szCs w:val="20"/>
      <w:u w:val="none"/>
    </w:rPr>
  </w:style>
  <w:style w:type="character" w:customStyle="1" w:styleId="130">
    <w:name w:val="font61"/>
    <w:qFormat/>
    <w:uiPriority w:val="0"/>
    <w:rPr>
      <w:rFonts w:hint="eastAsia" w:ascii="宋体" w:hAnsi="宋体" w:eastAsia="宋体" w:cs="宋体"/>
      <w:color w:val="000000"/>
      <w:sz w:val="22"/>
      <w:szCs w:val="22"/>
      <w:u w:val="none"/>
    </w:rPr>
  </w:style>
  <w:style w:type="character" w:customStyle="1" w:styleId="131">
    <w:name w:val="Char Char7"/>
    <w:qFormat/>
    <w:uiPriority w:val="0"/>
    <w:rPr>
      <w:rFonts w:ascii="Times New Roman" w:hAnsi="Times New Roman" w:eastAsia="宋体" w:cs="Times New Roman"/>
      <w:b/>
      <w:bCs/>
      <w:szCs w:val="21"/>
    </w:rPr>
  </w:style>
  <w:style w:type="character" w:customStyle="1" w:styleId="132">
    <w:name w:val="文档结构图 Char1"/>
    <w:semiHidden/>
    <w:qFormat/>
    <w:uiPriority w:val="99"/>
    <w:rPr>
      <w:rFonts w:ascii="宋体" w:eastAsia="宋体"/>
      <w:sz w:val="18"/>
      <w:szCs w:val="18"/>
    </w:rPr>
  </w:style>
  <w:style w:type="character" w:customStyle="1" w:styleId="133">
    <w:name w:val="Char Char9"/>
    <w:qFormat/>
    <w:uiPriority w:val="0"/>
    <w:rPr>
      <w:rFonts w:ascii="Cambria" w:hAnsi="Cambria" w:eastAsia="宋体" w:cs="Times New Roman"/>
      <w:b/>
      <w:bCs/>
      <w:sz w:val="32"/>
      <w:szCs w:val="32"/>
    </w:rPr>
  </w:style>
  <w:style w:type="character" w:customStyle="1" w:styleId="134">
    <w:name w:val="Char Char4"/>
    <w:qFormat/>
    <w:uiPriority w:val="0"/>
    <w:rPr>
      <w:kern w:val="2"/>
      <w:sz w:val="18"/>
      <w:szCs w:val="18"/>
    </w:rPr>
  </w:style>
  <w:style w:type="character" w:customStyle="1" w:styleId="135">
    <w:name w:val="tw4winTerm"/>
    <w:qFormat/>
    <w:uiPriority w:val="0"/>
    <w:rPr>
      <w:color w:val="0000FF"/>
    </w:rPr>
  </w:style>
  <w:style w:type="character" w:customStyle="1" w:styleId="136">
    <w:name w:val="批注主题 Char1"/>
    <w:semiHidden/>
    <w:qFormat/>
    <w:uiPriority w:val="99"/>
    <w:rPr>
      <w:rFonts w:ascii="Times New Roman" w:hAnsi="Times New Roman" w:eastAsia="宋体" w:cs="Times New Roman"/>
      <w:b/>
      <w:bCs/>
      <w:kern w:val="2"/>
      <w:sz w:val="21"/>
      <w:szCs w:val="24"/>
    </w:rPr>
  </w:style>
  <w:style w:type="character" w:customStyle="1" w:styleId="137">
    <w:name w:val="样式 三号 下划线"/>
    <w:qFormat/>
    <w:uiPriority w:val="0"/>
    <w:rPr>
      <w:sz w:val="28"/>
      <w:u w:val="single"/>
    </w:rPr>
  </w:style>
  <w:style w:type="character" w:customStyle="1" w:styleId="138">
    <w:name w:val="unnamed21"/>
    <w:qFormat/>
    <w:uiPriority w:val="0"/>
    <w:rPr>
      <w:b/>
      <w:bCs/>
      <w:color w:val="FF6600"/>
      <w:sz w:val="21"/>
      <w:szCs w:val="21"/>
      <w:u w:val="none"/>
    </w:rPr>
  </w:style>
  <w:style w:type="character" w:customStyle="1" w:styleId="139">
    <w:name w:val="b"/>
    <w:qFormat/>
    <w:uiPriority w:val="0"/>
  </w:style>
  <w:style w:type="character" w:customStyle="1" w:styleId="140">
    <w:name w:val="font"/>
    <w:qFormat/>
    <w:uiPriority w:val="0"/>
  </w:style>
  <w:style w:type="character" w:customStyle="1" w:styleId="141">
    <w:name w:val="font01"/>
    <w:qFormat/>
    <w:uiPriority w:val="0"/>
    <w:rPr>
      <w:rFonts w:hint="eastAsia" w:ascii="宋体" w:hAnsi="宋体" w:eastAsia="宋体" w:cs="宋体"/>
      <w:color w:val="000000"/>
      <w:sz w:val="24"/>
      <w:szCs w:val="24"/>
      <w:u w:val="none"/>
    </w:rPr>
  </w:style>
  <w:style w:type="character" w:customStyle="1" w:styleId="142">
    <w:name w:val="纯文本 Char1"/>
    <w:semiHidden/>
    <w:qFormat/>
    <w:uiPriority w:val="99"/>
    <w:rPr>
      <w:rFonts w:ascii="宋体" w:hAnsi="Courier New" w:eastAsia="宋体" w:cs="Courier New"/>
      <w:szCs w:val="21"/>
    </w:rPr>
  </w:style>
  <w:style w:type="character" w:customStyle="1" w:styleId="143">
    <w:name w:val="正文 + 宋体 Char"/>
    <w:link w:val="144"/>
    <w:qFormat/>
    <w:uiPriority w:val="0"/>
    <w:rPr>
      <w:rFonts w:ascii="新宋体" w:hAnsi="宋体" w:eastAsia="黑体"/>
      <w:b/>
      <w:bCs/>
      <w:kern w:val="44"/>
      <w:sz w:val="28"/>
      <w:szCs w:val="28"/>
    </w:rPr>
  </w:style>
  <w:style w:type="paragraph" w:customStyle="1" w:styleId="144">
    <w:name w:val="正文 + 宋体"/>
    <w:basedOn w:val="4"/>
    <w:link w:val="143"/>
    <w:qFormat/>
    <w:uiPriority w:val="0"/>
    <w:pPr>
      <w:widowControl/>
      <w:numPr>
        <w:numId w:val="0"/>
      </w:numPr>
      <w:tabs>
        <w:tab w:val="clear" w:pos="5769"/>
      </w:tabs>
      <w:spacing w:before="120" w:after="120" w:line="240" w:lineRule="auto"/>
      <w:ind w:left="-51"/>
    </w:pPr>
    <w:rPr>
      <w:rFonts w:ascii="新宋体" w:hAnsi="宋体"/>
      <w:sz w:val="28"/>
      <w:szCs w:val="28"/>
    </w:rPr>
  </w:style>
  <w:style w:type="character" w:customStyle="1" w:styleId="145">
    <w:name w:val="font71"/>
    <w:qFormat/>
    <w:uiPriority w:val="0"/>
    <w:rPr>
      <w:rFonts w:hint="default" w:ascii="Tahoma" w:hAnsi="Tahoma" w:eastAsia="Tahoma" w:cs="Tahoma"/>
      <w:color w:val="000000"/>
      <w:sz w:val="22"/>
      <w:szCs w:val="22"/>
      <w:u w:val="none"/>
    </w:rPr>
  </w:style>
  <w:style w:type="character" w:customStyle="1" w:styleId="146">
    <w:name w:val="apple-style-span"/>
    <w:qFormat/>
    <w:uiPriority w:val="0"/>
  </w:style>
  <w:style w:type="character" w:customStyle="1" w:styleId="147">
    <w:name w:val="Char Char8"/>
    <w:qFormat/>
    <w:uiPriority w:val="0"/>
    <w:rPr>
      <w:rFonts w:ascii="Times New Roman" w:hAnsi="Times New Roman"/>
      <w:b/>
      <w:bCs/>
      <w:kern w:val="44"/>
      <w:sz w:val="44"/>
      <w:szCs w:val="44"/>
    </w:rPr>
  </w:style>
  <w:style w:type="character" w:customStyle="1" w:styleId="148">
    <w:name w:val="脚注文本 Char1"/>
    <w:semiHidden/>
    <w:qFormat/>
    <w:uiPriority w:val="99"/>
    <w:rPr>
      <w:sz w:val="18"/>
      <w:szCs w:val="18"/>
    </w:rPr>
  </w:style>
  <w:style w:type="character" w:customStyle="1" w:styleId="149">
    <w:name w:val="apple-converted-space"/>
    <w:qFormat/>
    <w:uiPriority w:val="0"/>
  </w:style>
  <w:style w:type="character" w:customStyle="1" w:styleId="150">
    <w:name w:val="Char Char15"/>
    <w:qFormat/>
    <w:uiPriority w:val="0"/>
    <w:rPr>
      <w:rFonts w:ascii="仿宋_GB2312" w:hAnsi="Times New Roman" w:eastAsia="宋体" w:cs="Times New Roman"/>
      <w:sz w:val="24"/>
      <w:szCs w:val="24"/>
      <w:shd w:val="clear" w:color="auto" w:fill="000080"/>
    </w:rPr>
  </w:style>
  <w:style w:type="character" w:customStyle="1" w:styleId="151">
    <w:name w:val="表格正文 Char Char"/>
    <w:link w:val="152"/>
    <w:qFormat/>
    <w:uiPriority w:val="0"/>
    <w:rPr>
      <w:kern w:val="2"/>
      <w:sz w:val="21"/>
      <w:szCs w:val="24"/>
    </w:rPr>
  </w:style>
  <w:style w:type="paragraph" w:customStyle="1" w:styleId="152">
    <w:name w:val="表格正文"/>
    <w:basedOn w:val="1"/>
    <w:link w:val="151"/>
    <w:qFormat/>
    <w:uiPriority w:val="0"/>
  </w:style>
  <w:style w:type="character" w:customStyle="1" w:styleId="153">
    <w:name w:val="信息标题 Char1"/>
    <w:semiHidden/>
    <w:qFormat/>
    <w:uiPriority w:val="99"/>
    <w:rPr>
      <w:rFonts w:ascii="Cambria" w:hAnsi="Cambria" w:eastAsia="宋体" w:cs="Times New Roman"/>
      <w:sz w:val="24"/>
      <w:szCs w:val="24"/>
      <w:shd w:val="pct20" w:color="auto" w:fill="auto"/>
    </w:rPr>
  </w:style>
  <w:style w:type="character" w:customStyle="1" w:styleId="154">
    <w:name w:val="font41"/>
    <w:qFormat/>
    <w:uiPriority w:val="0"/>
    <w:rPr>
      <w:rFonts w:hint="eastAsia" w:ascii="宋体" w:hAnsi="宋体" w:eastAsia="宋体" w:cs="宋体"/>
      <w:color w:val="000000"/>
      <w:sz w:val="20"/>
      <w:szCs w:val="20"/>
      <w:u w:val="none"/>
    </w:rPr>
  </w:style>
  <w:style w:type="character" w:customStyle="1" w:styleId="155">
    <w:name w:val="一般文字 字元 Char"/>
    <w:qFormat/>
    <w:uiPriority w:val="0"/>
    <w:rPr>
      <w:rFonts w:ascii="宋体" w:hAnsi="Courier New" w:eastAsia="宋体"/>
      <w:kern w:val="2"/>
      <w:sz w:val="21"/>
      <w:lang w:val="en-US" w:eastAsia="zh-CN" w:bidi="ar-SA"/>
    </w:rPr>
  </w:style>
  <w:style w:type="character" w:customStyle="1" w:styleId="156">
    <w:name w:val="结束语 Char1"/>
    <w:semiHidden/>
    <w:qFormat/>
    <w:uiPriority w:val="99"/>
  </w:style>
  <w:style w:type="character" w:customStyle="1" w:styleId="157">
    <w:name w:val="正文文本缩进 2 Char1"/>
    <w:semiHidden/>
    <w:qFormat/>
    <w:uiPriority w:val="99"/>
  </w:style>
  <w:style w:type="character" w:customStyle="1" w:styleId="158">
    <w:name w:val="font31"/>
    <w:qFormat/>
    <w:uiPriority w:val="0"/>
    <w:rPr>
      <w:rFonts w:hint="eastAsia" w:ascii="宋体" w:hAnsi="宋体" w:eastAsia="宋体" w:cs="宋体"/>
      <w:color w:val="000000"/>
      <w:sz w:val="22"/>
      <w:szCs w:val="22"/>
      <w:u w:val="none"/>
    </w:rPr>
  </w:style>
  <w:style w:type="character" w:customStyle="1" w:styleId="159">
    <w:name w:val="正文文本 Char Char"/>
    <w:qFormat/>
    <w:uiPriority w:val="0"/>
    <w:rPr>
      <w:rFonts w:ascii="楷体_GB2312" w:hAnsi="Arial" w:eastAsia="楷体_GB2312" w:cs="Times New Roman"/>
      <w:sz w:val="28"/>
      <w:szCs w:val="28"/>
    </w:rPr>
  </w:style>
  <w:style w:type="character" w:customStyle="1" w:styleId="160">
    <w:name w:val="text_list1"/>
    <w:qFormat/>
    <w:uiPriority w:val="0"/>
    <w:rPr>
      <w:rFonts w:hint="default" w:ascii="Arial" w:hAnsi="Arial" w:cs="Arial"/>
      <w:color w:val="000000"/>
      <w:spacing w:val="272"/>
      <w:sz w:val="16"/>
      <w:szCs w:val="16"/>
    </w:rPr>
  </w:style>
  <w:style w:type="character" w:customStyle="1" w:styleId="161">
    <w:name w:val="正文首行缩进 Char1"/>
    <w:semiHidden/>
    <w:qFormat/>
    <w:uiPriority w:val="99"/>
    <w:rPr>
      <w:rFonts w:ascii="仿宋_GB2312" w:hAnsi="Times New Roman" w:eastAsia="仿宋_GB2312" w:cs="Times New Roman"/>
      <w:kern w:val="0"/>
      <w:sz w:val="28"/>
      <w:szCs w:val="20"/>
    </w:rPr>
  </w:style>
  <w:style w:type="character" w:customStyle="1" w:styleId="162">
    <w:name w:val="普通(网站) 字符"/>
    <w:qFormat/>
    <w:uiPriority w:val="0"/>
    <w:rPr>
      <w:rFonts w:ascii="宋体" w:hAnsi="宋体" w:cs="宋体"/>
      <w:sz w:val="24"/>
      <w:szCs w:val="24"/>
    </w:rPr>
  </w:style>
  <w:style w:type="character" w:customStyle="1" w:styleId="163">
    <w:name w:val="页脚 Char1"/>
    <w:semiHidden/>
    <w:qFormat/>
    <w:uiPriority w:val="99"/>
    <w:rPr>
      <w:kern w:val="2"/>
      <w:sz w:val="18"/>
      <w:szCs w:val="18"/>
    </w:rPr>
  </w:style>
  <w:style w:type="character" w:customStyle="1" w:styleId="164">
    <w:name w:val="标题 Char1"/>
    <w:qFormat/>
    <w:uiPriority w:val="10"/>
    <w:rPr>
      <w:rFonts w:ascii="Cambria" w:hAnsi="Cambria" w:eastAsia="宋体" w:cs="Times New Roman"/>
      <w:b/>
      <w:bCs/>
      <w:sz w:val="32"/>
      <w:szCs w:val="32"/>
    </w:rPr>
  </w:style>
  <w:style w:type="character" w:customStyle="1" w:styleId="165">
    <w:name w:val="Char Char14"/>
    <w:qFormat/>
    <w:uiPriority w:val="0"/>
    <w:rPr>
      <w:rFonts w:ascii="楷体_GB2312" w:hAnsi="Arial" w:eastAsia="楷体_GB2312" w:cs="Times New Roman"/>
      <w:sz w:val="28"/>
      <w:szCs w:val="24"/>
    </w:rPr>
  </w:style>
  <w:style w:type="character" w:customStyle="1" w:styleId="166">
    <w:name w:val="称呼 Char1"/>
    <w:semiHidden/>
    <w:qFormat/>
    <w:uiPriority w:val="99"/>
  </w:style>
  <w:style w:type="character" w:customStyle="1" w:styleId="167">
    <w:name w:val="正文首行缩进 2 Char1"/>
    <w:semiHidden/>
    <w:qFormat/>
    <w:uiPriority w:val="99"/>
  </w:style>
  <w:style w:type="character" w:customStyle="1" w:styleId="168">
    <w:name w:val="正文文本缩进 Char1"/>
    <w:semiHidden/>
    <w:qFormat/>
    <w:uiPriority w:val="99"/>
  </w:style>
  <w:style w:type="character" w:customStyle="1" w:styleId="169">
    <w:name w:val="+正文 Char3"/>
    <w:link w:val="170"/>
    <w:qFormat/>
    <w:uiPriority w:val="0"/>
    <w:rPr>
      <w:sz w:val="24"/>
      <w:szCs w:val="28"/>
    </w:rPr>
  </w:style>
  <w:style w:type="paragraph" w:customStyle="1" w:styleId="170">
    <w:name w:val="+正文"/>
    <w:basedOn w:val="1"/>
    <w:link w:val="169"/>
    <w:qFormat/>
    <w:uiPriority w:val="0"/>
    <w:pPr>
      <w:spacing w:line="360" w:lineRule="auto"/>
      <w:ind w:firstLine="200" w:firstLineChars="200"/>
    </w:pPr>
    <w:rPr>
      <w:kern w:val="0"/>
      <w:sz w:val="24"/>
      <w:szCs w:val="28"/>
    </w:rPr>
  </w:style>
  <w:style w:type="character" w:customStyle="1" w:styleId="171">
    <w:name w:val="style331"/>
    <w:qFormat/>
    <w:uiPriority w:val="0"/>
    <w:rPr>
      <w:color w:val="9900FF"/>
      <w:sz w:val="18"/>
      <w:szCs w:val="18"/>
    </w:rPr>
  </w:style>
  <w:style w:type="paragraph" w:customStyle="1" w:styleId="172">
    <w:name w:val="样式一"/>
    <w:basedOn w:val="1"/>
    <w:qFormat/>
    <w:uiPriority w:val="0"/>
    <w:pPr>
      <w:numPr>
        <w:ilvl w:val="2"/>
        <w:numId w:val="1"/>
      </w:numPr>
      <w:tabs>
        <w:tab w:val="left" w:pos="1080"/>
      </w:tabs>
      <w:autoSpaceDE w:val="0"/>
      <w:autoSpaceDN w:val="0"/>
      <w:adjustRightInd w:val="0"/>
      <w:spacing w:before="100" w:after="100" w:line="360" w:lineRule="exact"/>
      <w:textAlignment w:val="baseline"/>
    </w:pPr>
    <w:rPr>
      <w:rFonts w:ascii="宋体" w:hAnsi="宋体" w:eastAsia="黑体"/>
      <w:kern w:val="0"/>
      <w:sz w:val="24"/>
      <w:szCs w:val="20"/>
      <w:lang w:val="en-GB"/>
    </w:rPr>
  </w:style>
  <w:style w:type="paragraph" w:customStyle="1" w:styleId="173">
    <w:name w:val="样式3"/>
    <w:basedOn w:val="34"/>
    <w:qFormat/>
    <w:uiPriority w:val="0"/>
    <w:pPr>
      <w:ind w:firstLine="448" w:firstLineChars="200"/>
    </w:pPr>
    <w:rPr>
      <w:rFonts w:cs="Courier New"/>
      <w:color w:val="000000"/>
      <w:spacing w:val="-8"/>
    </w:rPr>
  </w:style>
  <w:style w:type="paragraph" w:customStyle="1" w:styleId="174">
    <w:name w:val="xl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75">
    <w:name w:val="p0"/>
    <w:basedOn w:val="1"/>
    <w:qFormat/>
    <w:uiPriority w:val="0"/>
    <w:pPr>
      <w:widowControl/>
      <w:jc w:val="left"/>
    </w:pPr>
    <w:rPr>
      <w:rFonts w:ascii="Calibri" w:hAnsi="Calibri" w:cs="宋体"/>
      <w:kern w:val="0"/>
      <w:szCs w:val="21"/>
    </w:rPr>
  </w:style>
  <w:style w:type="paragraph" w:customStyle="1" w:styleId="17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77">
    <w:name w:val="表中"/>
    <w:basedOn w:val="1"/>
    <w:qFormat/>
    <w:uiPriority w:val="0"/>
    <w:pPr>
      <w:adjustRightInd w:val="0"/>
      <w:spacing w:line="360" w:lineRule="atLeast"/>
      <w:jc w:val="center"/>
      <w:textAlignment w:val="baseline"/>
    </w:pPr>
    <w:rPr>
      <w:kern w:val="0"/>
      <w:szCs w:val="20"/>
    </w:rPr>
  </w:style>
  <w:style w:type="paragraph" w:customStyle="1" w:styleId="178">
    <w:name w:val="复选框1"/>
    <w:basedOn w:val="1"/>
    <w:qFormat/>
    <w:uiPriority w:val="0"/>
    <w:pPr>
      <w:widowControl/>
      <w:spacing w:before="360" w:after="360"/>
      <w:ind w:firstLine="448" w:firstLineChars="200"/>
    </w:pPr>
    <w:rPr>
      <w:rFonts w:hAnsi="宋体"/>
      <w:color w:val="000000"/>
      <w:spacing w:val="-8"/>
      <w:kern w:val="0"/>
      <w:sz w:val="20"/>
      <w:szCs w:val="20"/>
    </w:rPr>
  </w:style>
  <w:style w:type="paragraph" w:customStyle="1" w:styleId="179">
    <w:name w:val="xl49"/>
    <w:basedOn w:val="1"/>
    <w:qFormat/>
    <w:uiPriority w:val="0"/>
    <w:pPr>
      <w:widowControl/>
      <w:spacing w:before="100" w:beforeAutospacing="1" w:after="100" w:afterAutospacing="1"/>
      <w:jc w:val="center"/>
      <w:textAlignment w:val="center"/>
    </w:pPr>
    <w:rPr>
      <w:rFonts w:ascii="宋体" w:hAnsi="宋体"/>
      <w:b/>
      <w:bCs/>
      <w:color w:val="000000"/>
      <w:kern w:val="0"/>
      <w:sz w:val="40"/>
      <w:szCs w:val="40"/>
    </w:rPr>
  </w:style>
  <w:style w:type="paragraph" w:customStyle="1" w:styleId="180">
    <w:name w:val="whs5"/>
    <w:basedOn w:val="1"/>
    <w:qFormat/>
    <w:uiPriority w:val="0"/>
    <w:pPr>
      <w:widowControl/>
      <w:ind w:left="115" w:right="130" w:firstLine="448" w:firstLineChars="200"/>
    </w:pPr>
    <w:rPr>
      <w:rFonts w:hAnsi="宋体"/>
      <w:color w:val="000000"/>
      <w:spacing w:val="-8"/>
      <w:kern w:val="0"/>
      <w:sz w:val="18"/>
      <w:szCs w:val="18"/>
      <w:lang w:eastAsia="en-US"/>
    </w:rPr>
  </w:style>
  <w:style w:type="paragraph" w:customStyle="1" w:styleId="181">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82">
    <w:name w:val="图形"/>
    <w:basedOn w:val="1"/>
    <w:qFormat/>
    <w:uiPriority w:val="0"/>
    <w:pPr>
      <w:adjustRightInd w:val="0"/>
      <w:spacing w:after="20" w:line="288" w:lineRule="auto"/>
      <w:ind w:firstLine="420"/>
      <w:jc w:val="center"/>
      <w:textAlignment w:val="baseline"/>
    </w:pPr>
  </w:style>
  <w:style w:type="paragraph" w:customStyle="1" w:styleId="183">
    <w:name w:val="表格标题"/>
    <w:basedOn w:val="1"/>
    <w:qFormat/>
    <w:uiPriority w:val="0"/>
    <w:pPr>
      <w:adjustRightInd w:val="0"/>
      <w:spacing w:before="120" w:line="400" w:lineRule="exact"/>
      <w:jc w:val="center"/>
      <w:textAlignment w:val="baseline"/>
    </w:pPr>
    <w:rPr>
      <w:rFonts w:eastAsia="文鼎CS中宋"/>
      <w:spacing w:val="8"/>
      <w:kern w:val="0"/>
      <w:sz w:val="24"/>
      <w:szCs w:val="20"/>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6">
    <w:name w:val="font7"/>
    <w:basedOn w:val="1"/>
    <w:qFormat/>
    <w:uiPriority w:val="0"/>
    <w:pPr>
      <w:widowControl/>
      <w:adjustRightInd w:val="0"/>
      <w:spacing w:before="100" w:beforeAutospacing="1" w:after="100" w:afterAutospacing="1" w:line="288" w:lineRule="auto"/>
      <w:ind w:firstLine="420"/>
      <w:jc w:val="left"/>
      <w:textAlignment w:val="baseline"/>
    </w:pPr>
    <w:rPr>
      <w:b/>
      <w:bCs/>
      <w:kern w:val="0"/>
      <w:sz w:val="24"/>
    </w:rPr>
  </w:style>
  <w:style w:type="paragraph" w:customStyle="1" w:styleId="187">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88">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9">
    <w:name w:val="样式 标题 2标题 2 Char Char + (西文) 仿宋_GB2312"/>
    <w:basedOn w:val="5"/>
    <w:qFormat/>
    <w:uiPriority w:val="0"/>
    <w:pPr>
      <w:numPr>
        <w:numId w:val="0"/>
      </w:numPr>
      <w:tabs>
        <w:tab w:val="clear" w:pos="4536"/>
      </w:tabs>
      <w:spacing w:before="120" w:after="120" w:line="500" w:lineRule="exact"/>
      <w:ind w:right="-226" w:rightChars="-94" w:firstLine="448" w:firstLineChars="200"/>
    </w:pPr>
    <w:rPr>
      <w:rFonts w:ascii="仿宋_GB2312" w:hAnsi="仿宋_GB2312"/>
      <w:color w:val="000000"/>
      <w:spacing w:val="-8"/>
      <w:sz w:val="28"/>
      <w:szCs w:val="28"/>
    </w:rPr>
  </w:style>
  <w:style w:type="paragraph" w:customStyle="1" w:styleId="190">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191">
    <w:name w:val="样式 小四 段前: 5 磅 段后: 5 磅 首行缩进:  2 字符"/>
    <w:basedOn w:val="1"/>
    <w:qFormat/>
    <w:uiPriority w:val="0"/>
    <w:pPr>
      <w:spacing w:line="360" w:lineRule="auto"/>
      <w:jc w:val="center"/>
    </w:pPr>
    <w:rPr>
      <w:rFonts w:ascii="宋体" w:hAnsi="宋体"/>
      <w:bCs/>
      <w:color w:val="FF0000"/>
      <w:sz w:val="24"/>
    </w:rPr>
  </w:style>
  <w:style w:type="paragraph" w:customStyle="1" w:styleId="192">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olor w:val="0000FF"/>
      <w:kern w:val="0"/>
      <w:sz w:val="24"/>
    </w:rPr>
  </w:style>
  <w:style w:type="paragraph" w:customStyle="1" w:styleId="193">
    <w:name w:val="样式1"/>
    <w:basedOn w:val="8"/>
    <w:qFormat/>
    <w:uiPriority w:val="0"/>
    <w:pPr>
      <w:numPr>
        <w:numId w:val="0"/>
      </w:numPr>
      <w:tabs>
        <w:tab w:val="clear" w:pos="5049"/>
      </w:tabs>
      <w:ind w:firstLine="448" w:firstLineChars="200"/>
    </w:pPr>
    <w:rPr>
      <w:color w:val="000000"/>
      <w:spacing w:val="-8"/>
    </w:rPr>
  </w:style>
  <w:style w:type="paragraph" w:customStyle="1" w:styleId="194">
    <w:name w:val="列表_名词"/>
    <w:basedOn w:val="195"/>
    <w:qFormat/>
    <w:uiPriority w:val="0"/>
    <w:pPr>
      <w:tabs>
        <w:tab w:val="left" w:pos="2745"/>
      </w:tabs>
      <w:ind w:left="2745" w:hanging="420"/>
    </w:pPr>
  </w:style>
  <w:style w:type="paragraph" w:customStyle="1" w:styleId="195">
    <w:name w:val="名词解释11"/>
    <w:basedOn w:val="196"/>
    <w:qFormat/>
    <w:uiPriority w:val="0"/>
    <w:pPr>
      <w:spacing w:after="0"/>
      <w:ind w:firstLine="0"/>
    </w:pPr>
  </w:style>
  <w:style w:type="paragraph" w:customStyle="1" w:styleId="196">
    <w:name w:val="名词解释"/>
    <w:basedOn w:val="1"/>
    <w:qFormat/>
    <w:uiPriority w:val="0"/>
    <w:pPr>
      <w:adjustRightInd w:val="0"/>
      <w:spacing w:after="20" w:line="288" w:lineRule="auto"/>
      <w:ind w:left="2325" w:hanging="2325"/>
      <w:textAlignment w:val="baseline"/>
    </w:pPr>
    <w:rPr>
      <w:kern w:val="0"/>
      <w:szCs w:val="20"/>
    </w:rPr>
  </w:style>
  <w:style w:type="paragraph" w:customStyle="1" w:styleId="197">
    <w:name w:val="表格"/>
    <w:basedOn w:val="1"/>
    <w:qFormat/>
    <w:uiPriority w:val="0"/>
    <w:pPr>
      <w:jc w:val="center"/>
    </w:pPr>
    <w:rPr>
      <w:szCs w:val="21"/>
    </w:rPr>
  </w:style>
  <w:style w:type="paragraph" w:customStyle="1" w:styleId="198">
    <w:name w:val="标准文字"/>
    <w:basedOn w:val="1"/>
    <w:qFormat/>
    <w:uiPriority w:val="0"/>
    <w:pPr>
      <w:adjustRightInd w:val="0"/>
      <w:spacing w:after="20" w:line="360" w:lineRule="auto"/>
      <w:ind w:firstLine="420"/>
      <w:textAlignment w:val="baseline"/>
    </w:pPr>
  </w:style>
  <w:style w:type="paragraph" w:customStyle="1" w:styleId="199">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200">
    <w:name w:val="xl51"/>
    <w:basedOn w:val="1"/>
    <w:qFormat/>
    <w:uiPriority w:val="0"/>
    <w:pPr>
      <w:widowControl/>
      <w:pBdr>
        <w:bottom w:val="single" w:color="000000" w:sz="4" w:space="0"/>
      </w:pBdr>
      <w:spacing w:before="100" w:beforeAutospacing="1" w:after="100" w:afterAutospacing="1"/>
      <w:jc w:val="left"/>
    </w:pPr>
    <w:rPr>
      <w:rFonts w:hint="eastAsia" w:ascii="楷体_GB2312" w:hAnsi="宋体" w:eastAsia="楷体_GB2312"/>
      <w:b/>
      <w:bCs/>
      <w:color w:val="000000"/>
      <w:kern w:val="0"/>
      <w:sz w:val="24"/>
    </w:rPr>
  </w:style>
  <w:style w:type="paragraph" w:customStyle="1" w:styleId="201">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szCs w:val="20"/>
    </w:rPr>
  </w:style>
  <w:style w:type="paragraph" w:customStyle="1" w:styleId="202">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szCs w:val="20"/>
    </w:rPr>
  </w:style>
  <w:style w:type="paragraph" w:customStyle="1" w:styleId="203">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04">
    <w:name w:val="text"/>
    <w:basedOn w:val="1"/>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kern w:val="0"/>
      <w:sz w:val="24"/>
    </w:rPr>
  </w:style>
  <w:style w:type="paragraph" w:customStyle="1" w:styleId="205">
    <w:name w:val="样式 纯文本 + 楷体_GB2312 小四 行距: 固定值 20 磅1"/>
    <w:basedOn w:val="34"/>
    <w:qFormat/>
    <w:uiPriority w:val="0"/>
    <w:pPr>
      <w:spacing w:line="400" w:lineRule="exact"/>
      <w:ind w:firstLine="200" w:firstLineChars="200"/>
    </w:pPr>
    <w:rPr>
      <w:rFonts w:ascii="楷体_GB2312" w:eastAsia="楷体_GB2312"/>
      <w:sz w:val="24"/>
      <w:szCs w:val="20"/>
    </w:rPr>
  </w:style>
  <w:style w:type="paragraph" w:customStyle="1" w:styleId="206">
    <w:name w:val="表格文字"/>
    <w:basedOn w:val="1"/>
    <w:qFormat/>
    <w:uiPriority w:val="0"/>
    <w:pPr>
      <w:adjustRightInd w:val="0"/>
      <w:spacing w:line="288" w:lineRule="auto"/>
      <w:jc w:val="left"/>
      <w:textAlignment w:val="baseline"/>
    </w:pPr>
    <w:rPr>
      <w:kern w:val="0"/>
      <w:szCs w:val="20"/>
    </w:rPr>
  </w:style>
  <w:style w:type="paragraph" w:customStyle="1" w:styleId="207">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08">
    <w:name w:val="正文(缩进)"/>
    <w:basedOn w:val="1"/>
    <w:qFormat/>
    <w:uiPriority w:val="0"/>
    <w:pPr>
      <w:widowControl/>
      <w:spacing w:line="360" w:lineRule="auto"/>
      <w:ind w:firstLine="200" w:firstLineChars="200"/>
    </w:pPr>
    <w:rPr>
      <w:rFonts w:eastAsia="仿宋_GB2312"/>
      <w:sz w:val="24"/>
      <w:szCs w:val="20"/>
    </w:rPr>
  </w:style>
  <w:style w:type="paragraph" w:customStyle="1" w:styleId="209">
    <w:name w:val="样式 标题 1 + 加粗"/>
    <w:basedOn w:val="4"/>
    <w:qFormat/>
    <w:uiPriority w:val="0"/>
    <w:pPr>
      <w:widowControl/>
      <w:numPr>
        <w:numId w:val="0"/>
      </w:numPr>
      <w:tabs>
        <w:tab w:val="clear" w:pos="5769"/>
      </w:tabs>
      <w:spacing w:before="120" w:after="120" w:line="240" w:lineRule="auto"/>
    </w:pPr>
    <w:rPr>
      <w:rFonts w:ascii="新宋体" w:hAnsi="宋体"/>
      <w:sz w:val="28"/>
      <w:szCs w:val="28"/>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1">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2">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213">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办公自动化专用正文"/>
    <w:basedOn w:val="1"/>
    <w:qFormat/>
    <w:uiPriority w:val="0"/>
    <w:pPr>
      <w:spacing w:line="500" w:lineRule="atLeast"/>
      <w:ind w:firstLine="624" w:firstLineChars="200"/>
    </w:pPr>
    <w:rPr>
      <w:rFonts w:hAnsi="宋体" w:eastAsia="楷体_GB2312"/>
      <w:color w:val="000000"/>
      <w:spacing w:val="-8"/>
      <w:sz w:val="32"/>
      <w:szCs w:val="20"/>
    </w:rPr>
  </w:style>
  <w:style w:type="paragraph" w:customStyle="1" w:styleId="216">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217">
    <w:name w:val="xl50"/>
    <w:basedOn w:val="1"/>
    <w:qFormat/>
    <w:uiPriority w:val="0"/>
    <w:pPr>
      <w:widowControl/>
      <w:spacing w:before="100" w:beforeAutospacing="1" w:after="100" w:afterAutospacing="1"/>
      <w:jc w:val="center"/>
      <w:textAlignment w:val="center"/>
    </w:pPr>
    <w:rPr>
      <w:rFonts w:ascii="宋体" w:hAnsi="宋体"/>
      <w:b/>
      <w:bCs/>
      <w:kern w:val="0"/>
      <w:sz w:val="40"/>
      <w:szCs w:val="40"/>
    </w:rPr>
  </w:style>
  <w:style w:type="paragraph" w:customStyle="1" w:styleId="218">
    <w:name w:val="xl2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19">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szCs w:val="20"/>
    </w:rPr>
  </w:style>
  <w:style w:type="paragraph" w:customStyle="1" w:styleId="220">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1">
    <w:name w:val="标题0"/>
    <w:basedOn w:val="63"/>
    <w:next w:val="63"/>
    <w:qFormat/>
    <w:uiPriority w:val="0"/>
    <w:rPr>
      <w:sz w:val="52"/>
    </w:rPr>
  </w:style>
  <w:style w:type="paragraph" w:customStyle="1" w:styleId="222">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3">
    <w:name w:val="目录"/>
    <w:basedOn w:val="1"/>
    <w:next w:val="1"/>
    <w:qFormat/>
    <w:uiPriority w:val="0"/>
    <w:pPr>
      <w:adjustRightInd w:val="0"/>
      <w:spacing w:before="360" w:after="360" w:line="360" w:lineRule="auto"/>
      <w:ind w:firstLine="420"/>
      <w:jc w:val="center"/>
      <w:textAlignment w:val="baseline"/>
    </w:pPr>
    <w:rPr>
      <w:b/>
      <w:spacing w:val="200"/>
      <w:sz w:val="36"/>
      <w:szCs w:val="20"/>
    </w:rPr>
  </w:style>
  <w:style w:type="paragraph" w:customStyle="1" w:styleId="224">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2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26">
    <w:name w:val="font6"/>
    <w:basedOn w:val="1"/>
    <w:qFormat/>
    <w:uiPriority w:val="0"/>
    <w:pPr>
      <w:widowControl/>
      <w:adjustRightInd w:val="0"/>
      <w:spacing w:before="100" w:beforeAutospacing="1" w:after="100" w:afterAutospacing="1" w:line="288" w:lineRule="auto"/>
      <w:ind w:firstLine="420"/>
      <w:jc w:val="left"/>
      <w:textAlignment w:val="baseline"/>
    </w:pPr>
    <w:rPr>
      <w:kern w:val="0"/>
      <w:sz w:val="24"/>
    </w:rPr>
  </w:style>
  <w:style w:type="paragraph" w:customStyle="1" w:styleId="227">
    <w:name w:val="Char Char Char1 Char Char Char"/>
    <w:basedOn w:val="1"/>
    <w:qFormat/>
    <w:uiPriority w:val="0"/>
    <w:pPr>
      <w:ind w:firstLine="200" w:firstLineChars="200"/>
    </w:pPr>
    <w:rPr>
      <w:rFonts w:ascii="Tahoma" w:hAnsi="Tahoma"/>
      <w:sz w:val="24"/>
      <w:szCs w:val="20"/>
    </w:rPr>
  </w:style>
  <w:style w:type="paragraph" w:customStyle="1" w:styleId="22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9">
    <w:name w:val="标准式样"/>
    <w:basedOn w:val="52"/>
    <w:qFormat/>
    <w:uiPriority w:val="0"/>
  </w:style>
  <w:style w:type="paragraph" w:customStyle="1" w:styleId="230">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2">
    <w:name w:val="xl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33">
    <w:name w:val="xl52"/>
    <w:basedOn w:val="1"/>
    <w:qFormat/>
    <w:uiPriority w:val="0"/>
    <w:pPr>
      <w:widowControl/>
      <w:pBdr>
        <w:bottom w:val="single" w:color="000000" w:sz="4" w:space="0"/>
      </w:pBdr>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234">
    <w:name w:val="函数注释1"/>
    <w:basedOn w:val="1"/>
    <w:qFormat/>
    <w:uiPriority w:val="0"/>
    <w:pPr>
      <w:adjustRightInd w:val="0"/>
      <w:spacing w:after="20" w:line="320" w:lineRule="exact"/>
      <w:ind w:left="1678" w:right="210" w:hanging="1049"/>
      <w:jc w:val="left"/>
      <w:textAlignment w:val="baseline"/>
    </w:pPr>
    <w:rPr>
      <w:kern w:val="0"/>
      <w:szCs w:val="20"/>
    </w:rPr>
  </w:style>
  <w:style w:type="paragraph" w:customStyle="1" w:styleId="23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6">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szCs w:val="20"/>
    </w:rPr>
  </w:style>
  <w:style w:type="paragraph" w:customStyle="1" w:styleId="237">
    <w:name w:val="样式2"/>
    <w:basedOn w:val="6"/>
    <w:qFormat/>
    <w:uiPriority w:val="0"/>
    <w:pPr>
      <w:spacing w:before="0" w:after="0"/>
      <w:ind w:firstLine="448" w:firstLineChars="200"/>
    </w:pPr>
    <w:rPr>
      <w:rFonts w:ascii="Times New Roman" w:hAnsi="宋体" w:eastAsia="宋体"/>
      <w:color w:val="000000"/>
      <w:spacing w:val="-8"/>
      <w:sz w:val="24"/>
    </w:rPr>
  </w:style>
  <w:style w:type="paragraph" w:customStyle="1" w:styleId="238">
    <w:name w:val="列表2"/>
    <w:basedOn w:val="1"/>
    <w:qFormat/>
    <w:uiPriority w:val="0"/>
    <w:pPr>
      <w:tabs>
        <w:tab w:val="left" w:pos="1470"/>
      </w:tabs>
      <w:adjustRightInd w:val="0"/>
      <w:spacing w:after="20" w:line="288" w:lineRule="auto"/>
      <w:ind w:left="1469" w:hanging="420"/>
      <w:textAlignment w:val="baseline"/>
    </w:pPr>
  </w:style>
  <w:style w:type="paragraph" w:customStyle="1" w:styleId="239">
    <w:name w:val="xl38"/>
    <w:basedOn w:val="1"/>
    <w:qFormat/>
    <w:uiPriority w:val="0"/>
    <w:pPr>
      <w:widowControl/>
      <w:spacing w:before="100" w:beforeAutospacing="1" w:after="100" w:afterAutospacing="1"/>
      <w:jc w:val="center"/>
    </w:pPr>
    <w:rPr>
      <w:rFonts w:hint="eastAsia" w:ascii="隶书" w:hAnsi="宋体" w:eastAsia="隶书"/>
      <w:b/>
      <w:bCs/>
      <w:kern w:val="0"/>
      <w:sz w:val="48"/>
      <w:szCs w:val="48"/>
    </w:rPr>
  </w:style>
  <w:style w:type="paragraph" w:customStyle="1" w:styleId="240">
    <w:name w:val="附录1层"/>
    <w:basedOn w:val="1"/>
    <w:next w:val="1"/>
    <w:qFormat/>
    <w:uiPriority w:val="0"/>
    <w:pPr>
      <w:spacing w:line="440" w:lineRule="exact"/>
      <w:ind w:firstLine="448" w:firstLineChars="200"/>
      <w:jc w:val="center"/>
    </w:pPr>
    <w:rPr>
      <w:rFonts w:ascii="黑体" w:hAnsi="宋体" w:eastAsia="黑体"/>
      <w:color w:val="000000"/>
      <w:spacing w:val="-8"/>
      <w:sz w:val="24"/>
      <w:szCs w:val="20"/>
    </w:rPr>
  </w:style>
  <w:style w:type="paragraph" w:customStyle="1" w:styleId="241">
    <w:name w:val="Char1"/>
    <w:basedOn w:val="1"/>
    <w:qFormat/>
    <w:uiPriority w:val="0"/>
    <w:pPr>
      <w:ind w:firstLine="448" w:firstLineChars="200"/>
    </w:pPr>
    <w:rPr>
      <w:rFonts w:ascii="宋体" w:hAnsi="宋体" w:eastAsia="仿宋_GB2312"/>
      <w:b/>
      <w:color w:val="000000"/>
      <w:spacing w:val="-8"/>
      <w:sz w:val="32"/>
      <w:szCs w:val="32"/>
    </w:rPr>
  </w:style>
  <w:style w:type="paragraph" w:customStyle="1" w:styleId="242">
    <w:name w:val="Javis"/>
    <w:basedOn w:val="1"/>
    <w:qFormat/>
    <w:uiPriority w:val="0"/>
    <w:pPr>
      <w:ind w:right="210" w:rightChars="100"/>
    </w:pPr>
    <w:rPr>
      <w:rFonts w:cs="宋体"/>
      <w:sz w:val="24"/>
      <w:szCs w:val="20"/>
    </w:rPr>
  </w:style>
  <w:style w:type="paragraph" w:customStyle="1" w:styleId="243">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24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45">
    <w:name w:val="程序代码"/>
    <w:basedOn w:val="1"/>
    <w:qFormat/>
    <w:uiPriority w:val="0"/>
    <w:pPr>
      <w:adjustRightInd w:val="0"/>
      <w:spacing w:after="20" w:line="288" w:lineRule="auto"/>
      <w:ind w:left="839" w:firstLine="420"/>
      <w:textAlignment w:val="baseline"/>
    </w:pPr>
    <w:rPr>
      <w:rFonts w:eastAsia="仿宋_GB2312"/>
    </w:rPr>
  </w:style>
  <w:style w:type="paragraph" w:customStyle="1" w:styleId="246">
    <w:name w:val="简介正文"/>
    <w:basedOn w:val="1"/>
    <w:qFormat/>
    <w:uiPriority w:val="0"/>
    <w:pPr>
      <w:numPr>
        <w:ilvl w:val="0"/>
        <w:numId w:val="6"/>
      </w:numPr>
      <w:adjustRightInd w:val="0"/>
      <w:spacing w:after="20" w:line="520" w:lineRule="exact"/>
      <w:ind w:left="1701" w:hanging="1701"/>
      <w:textAlignment w:val="baseline"/>
    </w:pPr>
    <w:rPr>
      <w:sz w:val="24"/>
      <w:szCs w:val="20"/>
    </w:rPr>
  </w:style>
  <w:style w:type="paragraph" w:customStyle="1" w:styleId="247">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styleId="24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50">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51">
    <w:name w:val="Char"/>
    <w:basedOn w:val="1"/>
    <w:qFormat/>
    <w:uiPriority w:val="0"/>
    <w:rPr>
      <w:rFonts w:ascii="仿宋_GB2312" w:eastAsia="仿宋_GB2312"/>
      <w:b/>
      <w:sz w:val="32"/>
      <w:szCs w:val="32"/>
    </w:rPr>
  </w:style>
  <w:style w:type="paragraph" w:customStyle="1" w:styleId="252">
    <w:name w:val="样式 标题 3 + (西文) 宋体 黑色"/>
    <w:basedOn w:val="6"/>
    <w:qFormat/>
    <w:uiPriority w:val="0"/>
    <w:pPr>
      <w:spacing w:beforeLines="50" w:afterLines="50" w:line="415" w:lineRule="auto"/>
      <w:ind w:right="-94" w:rightChars="-94" w:firstLine="448" w:firstLineChars="200"/>
    </w:pPr>
    <w:rPr>
      <w:rFonts w:ascii="宋体" w:hAnsi="宋体"/>
      <w:b w:val="0"/>
      <w:bCs w:val="0"/>
      <w:color w:val="000000"/>
      <w:spacing w:val="-8"/>
      <w:kern w:val="0"/>
      <w:sz w:val="28"/>
      <w:szCs w:val="21"/>
    </w:rPr>
  </w:style>
  <w:style w:type="paragraph" w:customStyle="1" w:styleId="253">
    <w:name w:val="font0"/>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55">
    <w:name w:val="重点"/>
    <w:basedOn w:val="1"/>
    <w:qFormat/>
    <w:uiPriority w:val="0"/>
    <w:pPr>
      <w:shd w:val="pct10" w:color="auto" w:fill="auto"/>
      <w:adjustRightInd w:val="0"/>
      <w:spacing w:after="20" w:line="288" w:lineRule="auto"/>
      <w:ind w:firstLine="420"/>
      <w:textAlignment w:val="baseline"/>
    </w:pPr>
    <w:rPr>
      <w:rFonts w:eastAsia="黑体"/>
      <w:b/>
    </w:rPr>
  </w:style>
  <w:style w:type="paragraph" w:customStyle="1" w:styleId="256">
    <w:name w:val="回信地址"/>
    <w:basedOn w:val="1"/>
    <w:qFormat/>
    <w:uiPriority w:val="0"/>
    <w:pPr>
      <w:keepLines/>
      <w:widowControl/>
      <w:adjustRightInd w:val="0"/>
      <w:spacing w:after="20" w:line="200" w:lineRule="atLeast"/>
      <w:ind w:right="-120" w:firstLine="420"/>
      <w:jc w:val="left"/>
      <w:textAlignment w:val="baseline"/>
    </w:pPr>
    <w:rPr>
      <w:kern w:val="0"/>
      <w:sz w:val="16"/>
      <w:szCs w:val="20"/>
    </w:rPr>
  </w:style>
  <w:style w:type="paragraph" w:customStyle="1" w:styleId="257">
    <w:name w:val="List Paragraph[858D7CFB-ED40-4347-BF05-701D383B685F][858D7CFB-ED40-4347-BF05-701D383B685F]"/>
    <w:basedOn w:val="1"/>
    <w:qFormat/>
    <w:uiPriority w:val="0"/>
    <w:pPr>
      <w:ind w:firstLine="420" w:firstLineChars="200"/>
    </w:pPr>
    <w:rPr>
      <w:rFonts w:ascii="Calibri" w:hAnsi="Calibri"/>
      <w:color w:val="000000"/>
      <w:spacing w:val="-8"/>
      <w:szCs w:val="22"/>
    </w:rPr>
  </w:style>
  <w:style w:type="paragraph" w:customStyle="1" w:styleId="258">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259">
    <w:name w:val="List Paragraph"/>
    <w:basedOn w:val="1"/>
    <w:qFormat/>
    <w:uiPriority w:val="34"/>
    <w:pPr>
      <w:ind w:firstLine="420" w:firstLineChars="200"/>
    </w:pPr>
    <w:rPr>
      <w:szCs w:val="22"/>
    </w:rPr>
  </w:style>
  <w:style w:type="paragraph" w:customStyle="1" w:styleId="260">
    <w:name w:val="Char Char Char Char Char Char Char Char Char Char Char"/>
    <w:basedOn w:val="20"/>
    <w:qFormat/>
    <w:uiPriority w:val="0"/>
    <w:pPr>
      <w:ind w:firstLine="420" w:firstLineChars="200"/>
    </w:pPr>
    <w:rPr>
      <w:rFonts w:hAnsi="宋体"/>
      <w:color w:val="000000"/>
      <w:spacing w:val="-8"/>
      <w:szCs w:val="20"/>
    </w:rPr>
  </w:style>
  <w:style w:type="paragraph" w:customStyle="1" w:styleId="2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2">
    <w:name w:val="章标题"/>
    <w:next w:val="1"/>
    <w:qFormat/>
    <w:uiPriority w:val="0"/>
    <w:pPr>
      <w:numPr>
        <w:ilvl w:val="1"/>
        <w:numId w:val="7"/>
      </w:numPr>
      <w:spacing w:beforeLines="50" w:afterLines="50"/>
      <w:jc w:val="both"/>
      <w:outlineLvl w:val="1"/>
    </w:pPr>
    <w:rPr>
      <w:rFonts w:ascii="黑体" w:hAnsi="Times New Roman" w:eastAsia="黑体" w:cs="Times New Roman"/>
      <w:sz w:val="21"/>
      <w:lang w:val="en-US" w:eastAsia="zh-CN" w:bidi="ar-SA"/>
    </w:rPr>
  </w:style>
  <w:style w:type="paragraph" w:customStyle="1" w:styleId="263">
    <w:name w:val="函数注释2"/>
    <w:basedOn w:val="1"/>
    <w:qFormat/>
    <w:uiPriority w:val="0"/>
    <w:pPr>
      <w:adjustRightInd w:val="0"/>
      <w:spacing w:after="20" w:line="288" w:lineRule="auto"/>
      <w:ind w:left="1680" w:firstLine="420"/>
      <w:textAlignment w:val="baseline"/>
    </w:pPr>
  </w:style>
  <w:style w:type="paragraph" w:customStyle="1" w:styleId="264">
    <w:name w:val="列表段落1"/>
    <w:basedOn w:val="1"/>
    <w:qFormat/>
    <w:uiPriority w:val="0"/>
    <w:pPr>
      <w:ind w:firstLine="420" w:firstLineChars="200"/>
    </w:pPr>
    <w:rPr>
      <w:rFonts w:ascii="Calibri" w:hAnsi="Calibri"/>
      <w:szCs w:val="22"/>
    </w:rPr>
  </w:style>
  <w:style w:type="paragraph" w:customStyle="1" w:styleId="265">
    <w:name w:val="table_lines"/>
    <w:basedOn w:val="1"/>
    <w:qFormat/>
    <w:uiPriority w:val="0"/>
    <w:pPr>
      <w:widowControl/>
      <w:jc w:val="left"/>
    </w:pPr>
    <w:rPr>
      <w:kern w:val="0"/>
      <w:sz w:val="20"/>
      <w:szCs w:val="20"/>
      <w:lang w:val="de-DE" w:eastAsia="de-DE"/>
    </w:rPr>
  </w:style>
  <w:style w:type="paragraph" w:customStyle="1" w:styleId="266">
    <w:name w:val="标题2"/>
    <w:basedOn w:val="5"/>
    <w:next w:val="1"/>
    <w:qFormat/>
    <w:uiPriority w:val="0"/>
    <w:pPr>
      <w:numPr>
        <w:numId w:val="0"/>
      </w:numPr>
      <w:tabs>
        <w:tab w:val="clear" w:pos="4536"/>
      </w:tabs>
      <w:spacing w:before="120" w:after="120" w:line="360" w:lineRule="auto"/>
      <w:ind w:firstLine="448" w:firstLineChars="200"/>
      <w:jc w:val="left"/>
    </w:pPr>
    <w:rPr>
      <w:b w:val="0"/>
      <w:bCs w:val="0"/>
      <w:color w:val="000000"/>
      <w:spacing w:val="-8"/>
      <w:sz w:val="24"/>
      <w:szCs w:val="20"/>
    </w:rPr>
  </w:style>
  <w:style w:type="character" w:customStyle="1" w:styleId="267">
    <w:name w:val="NormalCharacter"/>
    <w:semiHidden/>
    <w:qFormat/>
    <w:uiPriority w:val="0"/>
  </w:style>
  <w:style w:type="paragraph" w:customStyle="1" w:styleId="268">
    <w:name w:val="_Style 88"/>
    <w:basedOn w:val="1"/>
    <w:qFormat/>
    <w:uiPriority w:val="0"/>
    <w:rPr>
      <w:rFonts w:eastAsia="Times New Roman"/>
    </w:rPr>
  </w:style>
  <w:style w:type="paragraph" w:customStyle="1" w:styleId="269">
    <w:name w:val="HtmlNormal"/>
    <w:basedOn w:val="1"/>
    <w:qFormat/>
    <w:uiPriority w:val="0"/>
    <w:pPr>
      <w:widowControl/>
      <w:spacing w:before="100" w:beforeAutospacing="1" w:after="100" w:afterAutospacing="1" w:line="288" w:lineRule="auto"/>
      <w:ind w:firstLine="420"/>
      <w:jc w:val="left"/>
    </w:pPr>
    <w:rPr>
      <w:rFonts w:ascii="宋体" w:hAnsi="宋体"/>
      <w:kern w:val="0"/>
      <w:sz w:val="24"/>
    </w:rPr>
  </w:style>
  <w:style w:type="character" w:customStyle="1" w:styleId="270">
    <w:name w:val="标题 1 Char Char"/>
    <w:qFormat/>
    <w:uiPriority w:val="0"/>
    <w:rPr>
      <w:rFonts w:eastAsia="宋体"/>
      <w:spacing w:val="-2"/>
      <w:sz w:val="24"/>
      <w:lang w:val="en-US" w:eastAsia="zh-CN" w:bidi="ar-SA"/>
    </w:rPr>
  </w:style>
  <w:style w:type="paragraph" w:customStyle="1" w:styleId="271">
    <w:name w:val="招标-标题1"/>
    <w:basedOn w:val="1"/>
    <w:qFormat/>
    <w:uiPriority w:val="0"/>
    <w:pPr>
      <w:spacing w:line="300" w:lineRule="auto"/>
      <w:ind w:left="560"/>
    </w:pPr>
    <w:rPr>
      <w:rFonts w:ascii="宋体"/>
      <w:b/>
      <w:kern w:val="0"/>
    </w:rPr>
  </w:style>
  <w:style w:type="character" w:customStyle="1" w:styleId="272">
    <w:name w:val="more"/>
    <w:qFormat/>
    <w:uiPriority w:val="0"/>
  </w:style>
  <w:style w:type="character" w:customStyle="1" w:styleId="273">
    <w:name w:val="tit12"/>
    <w:qFormat/>
    <w:uiPriority w:val="0"/>
    <w:rPr>
      <w:color w:val="DB2200"/>
    </w:rPr>
  </w:style>
  <w:style w:type="character" w:customStyle="1" w:styleId="274">
    <w:name w:val="more6"/>
    <w:qFormat/>
    <w:uiPriority w:val="0"/>
  </w:style>
  <w:style w:type="character" w:customStyle="1" w:styleId="275">
    <w:name w:val="tit9"/>
    <w:qFormat/>
    <w:uiPriority w:val="0"/>
    <w:rPr>
      <w:color w:val="DB2200"/>
    </w:rPr>
  </w:style>
  <w:style w:type="character" w:customStyle="1" w:styleId="276">
    <w:name w:val="font11"/>
    <w:qFormat/>
    <w:uiPriority w:val="0"/>
    <w:rPr>
      <w:rFonts w:hint="eastAsia" w:ascii="宋体" w:hAnsi="宋体" w:eastAsia="宋体" w:cs="宋体"/>
      <w:color w:val="000000"/>
      <w:sz w:val="24"/>
      <w:szCs w:val="24"/>
      <w:u w:val="none"/>
    </w:rPr>
  </w:style>
  <w:style w:type="paragraph" w:customStyle="1" w:styleId="277">
    <w:name w:val="Body text|1"/>
    <w:basedOn w:val="1"/>
    <w:qFormat/>
    <w:uiPriority w:val="0"/>
    <w:pPr>
      <w:spacing w:line="360" w:lineRule="auto"/>
      <w:ind w:firstLine="400"/>
    </w:pPr>
    <w:rPr>
      <w:rFonts w:ascii="宋体" w:hAnsi="宋体" w:cs="宋体"/>
      <w:sz w:val="30"/>
      <w:szCs w:val="30"/>
      <w:lang w:val="zh-TW" w:eastAsia="zh-TW" w:bidi="zh-TW"/>
    </w:rPr>
  </w:style>
  <w:style w:type="paragraph" w:customStyle="1" w:styleId="278">
    <w:name w:val="Body text|2"/>
    <w:basedOn w:val="1"/>
    <w:qFormat/>
    <w:uiPriority w:val="0"/>
    <w:pPr>
      <w:ind w:hanging="1580"/>
    </w:pPr>
    <w:rPr>
      <w:rFonts w:ascii="宋体" w:hAnsi="宋体" w:cs="宋体"/>
      <w:sz w:val="17"/>
      <w:szCs w:val="17"/>
      <w:lang w:val="zh-TW" w:eastAsia="zh-TW" w:bidi="zh-TW"/>
    </w:rPr>
  </w:style>
  <w:style w:type="paragraph" w:customStyle="1" w:styleId="279">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31391</Words>
  <Characters>32682</Characters>
  <Lines>289</Lines>
  <Paragraphs>81</Paragraphs>
  <TotalTime>1</TotalTime>
  <ScaleCrop>false</ScaleCrop>
  <LinksUpToDate>false</LinksUpToDate>
  <CharactersWithSpaces>34381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2020-12-08T07:53:00Z</dcterms:created>
  <dc:creator>ly</dc:creator>
  <cp:lastModifiedBy>薛定谔的猪</cp:lastModifiedBy>
  <cp:lastPrinted>2021-09-08T03:15:00Z</cp:lastPrinted>
  <dcterms:modified xsi:type="dcterms:W3CDTF">2023-03-20T01:57:06Z</dcterms:modified>
  <dc:title>竞争性谈判采购文件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1DB8014813574F7DB89F1D47845C3AE6</vt:lpwstr>
  </property>
</Properties>
</file>