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opLinePunct/>
        <w:spacing w:line="360" w:lineRule="auto"/>
        <w:jc w:val="center"/>
        <w:rPr>
          <w:rFonts w:hint="eastAsia" w:eastAsia="黑体"/>
          <w:b/>
          <w:color w:val="000000"/>
          <w:sz w:val="52"/>
          <w:szCs w:val="52"/>
          <w:lang w:val="en-US" w:eastAsia="zh-CN"/>
        </w:rPr>
      </w:pPr>
      <w:r>
        <w:rPr>
          <w:rFonts w:hint="eastAsia" w:eastAsia="黑体"/>
          <w:b/>
          <w:color w:val="000000"/>
          <w:sz w:val="52"/>
          <w:szCs w:val="52"/>
          <w:lang w:val="en-US" w:eastAsia="zh-CN"/>
        </w:rPr>
        <w:t xml:space="preserve"> </w:t>
      </w:r>
    </w:p>
    <w:p>
      <w:pPr>
        <w:jc w:val="center"/>
        <w:rPr>
          <w:rFonts w:ascii="黑体" w:hAnsi="华文中宋" w:eastAsia="黑体"/>
          <w:bCs/>
          <w:color w:val="000000"/>
          <w:spacing w:val="20"/>
          <w:sz w:val="72"/>
          <w:szCs w:val="72"/>
        </w:rPr>
      </w:pPr>
      <w:r>
        <w:rPr>
          <w:rFonts w:hint="eastAsia" w:ascii="黑体" w:hAnsi="华文中宋" w:eastAsia="黑体"/>
          <w:bCs/>
          <w:spacing w:val="20"/>
          <w:sz w:val="72"/>
          <w:szCs w:val="72"/>
        </w:rPr>
        <w:t xml:space="preserve">无 锡 </w:t>
      </w:r>
      <w:r>
        <w:rPr>
          <w:rFonts w:hint="eastAsia" w:ascii="黑体" w:hAnsi="华文中宋" w:eastAsia="黑体"/>
          <w:bCs/>
          <w:color w:val="000000"/>
          <w:spacing w:val="20"/>
          <w:sz w:val="72"/>
          <w:szCs w:val="72"/>
        </w:rPr>
        <w:t>市 政 府 采 购</w:t>
      </w:r>
    </w:p>
    <w:p>
      <w:pPr>
        <w:topLinePunct/>
        <w:spacing w:line="360" w:lineRule="auto"/>
        <w:jc w:val="center"/>
        <w:rPr>
          <w:rFonts w:ascii="宋体" w:hAnsi="宋体" w:cs="宋体"/>
          <w:b/>
          <w:sz w:val="44"/>
          <w:szCs w:val="44"/>
        </w:rPr>
      </w:pPr>
    </w:p>
    <w:p>
      <w:pPr>
        <w:topLinePunct/>
        <w:spacing w:line="360" w:lineRule="auto"/>
        <w:jc w:val="center"/>
        <w:rPr>
          <w:rFonts w:ascii="宋体" w:hAnsi="宋体" w:cs="宋体"/>
          <w:b/>
          <w:sz w:val="44"/>
          <w:szCs w:val="44"/>
        </w:rPr>
      </w:pPr>
    </w:p>
    <w:p>
      <w:pPr>
        <w:topLinePunct/>
        <w:spacing w:line="360" w:lineRule="auto"/>
        <w:jc w:val="center"/>
        <w:rPr>
          <w:rFonts w:ascii="宋体" w:hAnsi="宋体" w:cs="宋体"/>
          <w:b/>
          <w:sz w:val="52"/>
          <w:szCs w:val="52"/>
        </w:rPr>
      </w:pPr>
      <w:r>
        <w:rPr>
          <w:rFonts w:hint="eastAsia" w:ascii="宋体" w:hAnsi="宋体" w:cs="宋体"/>
          <w:b/>
          <w:sz w:val="52"/>
          <w:szCs w:val="52"/>
        </w:rPr>
        <w:t>公开招标文件</w:t>
      </w:r>
    </w:p>
    <w:p>
      <w:pPr>
        <w:topLinePunct/>
        <w:spacing w:line="360" w:lineRule="auto"/>
        <w:jc w:val="center"/>
        <w:rPr>
          <w:rFonts w:ascii="宋体" w:hAnsi="宋体" w:cs="宋体"/>
          <w:b/>
          <w:sz w:val="24"/>
        </w:rPr>
      </w:pPr>
    </w:p>
    <w:p>
      <w:pPr>
        <w:topLinePunct/>
        <w:spacing w:line="360" w:lineRule="auto"/>
        <w:jc w:val="center"/>
        <w:rPr>
          <w:rFonts w:ascii="宋体" w:hAnsi="宋体" w:cs="宋体"/>
          <w:b/>
          <w:sz w:val="24"/>
        </w:rPr>
      </w:pPr>
    </w:p>
    <w:p>
      <w:pPr>
        <w:topLinePunct/>
        <w:spacing w:line="360" w:lineRule="auto"/>
        <w:jc w:val="center"/>
        <w:rPr>
          <w:rFonts w:ascii="宋体" w:hAnsi="宋体" w:cs="宋体"/>
          <w:b/>
          <w:sz w:val="24"/>
        </w:rPr>
      </w:pPr>
    </w:p>
    <w:p>
      <w:pPr>
        <w:topLinePunct/>
        <w:spacing w:line="360" w:lineRule="auto"/>
        <w:jc w:val="center"/>
        <w:rPr>
          <w:rFonts w:ascii="宋体" w:hAnsi="宋体" w:cs="宋体"/>
          <w:b/>
          <w:sz w:val="24"/>
        </w:rPr>
      </w:pPr>
    </w:p>
    <w:p>
      <w:pPr>
        <w:ind w:left="3036" w:hanging="3036" w:hangingChars="945"/>
        <w:rPr>
          <w:rFonts w:ascii="宋体" w:hAnsi="宋体" w:cs="宋体"/>
          <w:b/>
          <w:sz w:val="32"/>
          <w:szCs w:val="32"/>
        </w:rPr>
      </w:pPr>
    </w:p>
    <w:p>
      <w:pPr>
        <w:topLinePunct/>
        <w:spacing w:line="360" w:lineRule="auto"/>
        <w:ind w:firstLine="321" w:firstLineChars="100"/>
        <w:rPr>
          <w:rFonts w:hint="eastAsia" w:ascii="宋体" w:hAnsi="宋体" w:eastAsia="宋体" w:cs="宋体"/>
          <w:b/>
          <w:sz w:val="30"/>
          <w:szCs w:val="30"/>
          <w:lang w:eastAsia="zh-CN"/>
        </w:rPr>
      </w:pPr>
      <w:r>
        <w:rPr>
          <w:rFonts w:hint="eastAsia" w:ascii="宋体" w:hAnsi="宋体" w:cs="宋体"/>
          <w:b/>
          <w:sz w:val="32"/>
          <w:szCs w:val="32"/>
        </w:rPr>
        <w:t xml:space="preserve">采 购 </w:t>
      </w:r>
      <w:r>
        <w:rPr>
          <w:rFonts w:hint="eastAsia" w:ascii="宋体" w:hAnsi="宋体" w:cs="宋体"/>
          <w:b/>
          <w:sz w:val="30"/>
          <w:szCs w:val="30"/>
        </w:rPr>
        <w:t>编 号：</w:t>
      </w:r>
      <w:r>
        <w:rPr>
          <w:rFonts w:hint="eastAsia" w:ascii="宋体" w:hAnsi="宋体" w:cs="宋体"/>
          <w:b/>
          <w:color w:val="auto"/>
          <w:sz w:val="30"/>
          <w:szCs w:val="30"/>
          <w:lang w:eastAsia="zh-CN"/>
        </w:rPr>
        <w:t>ZBCG2021032</w:t>
      </w:r>
    </w:p>
    <w:p>
      <w:pPr>
        <w:topLinePunct/>
        <w:spacing w:line="360" w:lineRule="auto"/>
        <w:ind w:firstLine="321" w:firstLineChars="100"/>
        <w:rPr>
          <w:rFonts w:ascii="宋体" w:hAnsi="宋体" w:cs="宋体"/>
          <w:b/>
          <w:sz w:val="32"/>
          <w:szCs w:val="32"/>
        </w:rPr>
      </w:pPr>
    </w:p>
    <w:p>
      <w:pPr>
        <w:topLinePunct/>
        <w:spacing w:line="360" w:lineRule="auto"/>
        <w:ind w:left="2568" w:leftChars="152" w:hanging="2249" w:hangingChars="700"/>
        <w:rPr>
          <w:rFonts w:hint="eastAsia" w:ascii="宋体" w:hAnsi="宋体" w:eastAsia="宋体" w:cs="宋体"/>
          <w:b/>
          <w:sz w:val="30"/>
          <w:szCs w:val="30"/>
          <w:lang w:eastAsia="zh-CN"/>
        </w:rPr>
      </w:pPr>
      <w:r>
        <w:rPr>
          <w:rFonts w:hint="eastAsia" w:ascii="宋体" w:hAnsi="宋体" w:cs="宋体"/>
          <w:b/>
          <w:sz w:val="32"/>
          <w:szCs w:val="32"/>
        </w:rPr>
        <w:t>采购项目名称：</w:t>
      </w:r>
      <w:r>
        <w:rPr>
          <w:rFonts w:hint="eastAsia" w:ascii="宋体" w:hAnsi="宋体" w:cs="宋体"/>
          <w:b/>
          <w:sz w:val="30"/>
          <w:szCs w:val="30"/>
          <w:lang w:eastAsia="zh-CN"/>
        </w:rPr>
        <w:t>云林街道农村公路（隐患路段）交通安全设施采购项目</w:t>
      </w:r>
    </w:p>
    <w:p>
      <w:pPr>
        <w:topLinePunct/>
        <w:spacing w:line="360" w:lineRule="auto"/>
        <w:ind w:firstLine="321" w:firstLineChars="100"/>
        <w:rPr>
          <w:rFonts w:ascii="宋体" w:hAnsi="宋体" w:cs="宋体"/>
          <w:b/>
          <w:sz w:val="32"/>
          <w:szCs w:val="32"/>
        </w:rPr>
      </w:pPr>
    </w:p>
    <w:p>
      <w:pPr>
        <w:topLinePunct/>
        <w:spacing w:line="360" w:lineRule="auto"/>
        <w:ind w:firstLine="321" w:firstLineChars="100"/>
        <w:rPr>
          <w:rFonts w:ascii="宋体" w:hAnsi="宋体" w:cs="宋体"/>
          <w:b/>
          <w:sz w:val="32"/>
          <w:szCs w:val="32"/>
        </w:rPr>
      </w:pPr>
      <w:r>
        <w:rPr>
          <w:rFonts w:hint="eastAsia" w:ascii="宋体" w:hAnsi="宋体" w:cs="宋体"/>
          <w:b/>
          <w:sz w:val="32"/>
          <w:szCs w:val="32"/>
        </w:rPr>
        <w:t xml:space="preserve">采   购   人：无锡市锡山区人民政府云林街道办事处 </w:t>
      </w:r>
    </w:p>
    <w:p>
      <w:pPr>
        <w:topLinePunct/>
        <w:spacing w:line="360" w:lineRule="auto"/>
        <w:ind w:firstLine="321" w:firstLineChars="100"/>
        <w:rPr>
          <w:rFonts w:ascii="宋体" w:hAnsi="宋体" w:cs="宋体"/>
          <w:b/>
          <w:sz w:val="32"/>
          <w:szCs w:val="32"/>
        </w:rPr>
      </w:pPr>
    </w:p>
    <w:p>
      <w:pPr>
        <w:topLinePunct/>
        <w:spacing w:line="360" w:lineRule="auto"/>
        <w:ind w:firstLine="321" w:firstLineChars="100"/>
        <w:rPr>
          <w:rFonts w:ascii="宋体" w:hAnsi="宋体" w:cs="宋体"/>
          <w:b/>
          <w:sz w:val="32"/>
          <w:szCs w:val="32"/>
        </w:rPr>
      </w:pPr>
      <w:r>
        <w:rPr>
          <w:rFonts w:hint="eastAsia" w:ascii="宋体" w:hAnsi="宋体" w:cs="宋体"/>
          <w:b/>
          <w:sz w:val="32"/>
          <w:szCs w:val="32"/>
        </w:rPr>
        <w:t>采购代理机构：无锡众邦技术咨询有限公司</w:t>
      </w:r>
    </w:p>
    <w:p>
      <w:pPr>
        <w:topLinePunct/>
        <w:spacing w:line="360" w:lineRule="auto"/>
        <w:rPr>
          <w:rFonts w:ascii="宋体" w:hAnsi="宋体" w:cs="宋体"/>
          <w:b/>
          <w:sz w:val="24"/>
        </w:rPr>
      </w:pPr>
    </w:p>
    <w:p>
      <w:pPr>
        <w:topLinePunct/>
        <w:spacing w:line="360" w:lineRule="auto"/>
        <w:jc w:val="center"/>
        <w:rPr>
          <w:rFonts w:ascii="宋体" w:hAnsi="宋体" w:cs="宋体"/>
          <w:b/>
          <w:sz w:val="32"/>
          <w:szCs w:val="32"/>
        </w:rPr>
      </w:pPr>
    </w:p>
    <w:p>
      <w:pPr>
        <w:topLinePunct/>
        <w:spacing w:line="360" w:lineRule="auto"/>
        <w:jc w:val="center"/>
        <w:rPr>
          <w:rFonts w:ascii="宋体" w:hAnsi="宋体" w:cs="宋体"/>
          <w:b/>
          <w:sz w:val="32"/>
          <w:szCs w:val="32"/>
        </w:rPr>
      </w:pPr>
      <w:r>
        <w:rPr>
          <w:rFonts w:hint="eastAsia" w:ascii="宋体" w:hAnsi="宋体" w:cs="宋体"/>
          <w:b/>
          <w:sz w:val="32"/>
          <w:szCs w:val="32"/>
        </w:rPr>
        <w:t>二○二一年十一月</w:t>
      </w:r>
    </w:p>
    <w:p>
      <w:pPr>
        <w:topLinePunct/>
        <w:spacing w:line="360" w:lineRule="auto"/>
        <w:jc w:val="center"/>
        <w:rPr>
          <w:rFonts w:ascii="宋体" w:hAnsi="宋体" w:cs="宋体"/>
          <w:b/>
          <w:sz w:val="32"/>
          <w:szCs w:val="32"/>
        </w:rPr>
        <w:sectPr>
          <w:headerReference r:id="rId4" w:type="first"/>
          <w:footerReference r:id="rId6" w:type="first"/>
          <w:headerReference r:id="rId3" w:type="default"/>
          <w:footerReference r:id="rId5" w:type="default"/>
          <w:pgSz w:w="11906" w:h="16838"/>
          <w:pgMar w:top="1418" w:right="1335" w:bottom="1418" w:left="1531" w:header="851" w:footer="992" w:gutter="0"/>
          <w:pgNumType w:start="1"/>
          <w:cols w:space="720" w:num="1"/>
          <w:titlePg/>
          <w:docGrid w:type="lines" w:linePitch="312" w:charSpace="0"/>
        </w:sectPr>
      </w:pPr>
    </w:p>
    <w:p>
      <w:pPr>
        <w:topLinePunct/>
        <w:snapToGrid w:val="0"/>
        <w:spacing w:line="360" w:lineRule="auto"/>
        <w:rPr>
          <w:rFonts w:eastAsia="仿宋_GB2312"/>
          <w:b/>
          <w:color w:val="000000"/>
          <w:sz w:val="24"/>
        </w:rPr>
      </w:pPr>
    </w:p>
    <w:p>
      <w:pPr>
        <w:topLinePunct/>
        <w:snapToGrid w:val="0"/>
        <w:spacing w:line="360" w:lineRule="auto"/>
        <w:jc w:val="center"/>
        <w:rPr>
          <w:b/>
          <w:color w:val="000000"/>
          <w:sz w:val="44"/>
          <w:szCs w:val="44"/>
        </w:rPr>
      </w:pPr>
      <w:r>
        <w:rPr>
          <w:rFonts w:hint="eastAsia"/>
          <w:b/>
          <w:color w:val="000000"/>
          <w:sz w:val="44"/>
          <w:szCs w:val="44"/>
        </w:rPr>
        <w:t>目  录</w:t>
      </w:r>
    </w:p>
    <w:p>
      <w:pPr>
        <w:topLinePunct/>
        <w:snapToGrid w:val="0"/>
        <w:spacing w:line="360" w:lineRule="auto"/>
        <w:jc w:val="center"/>
        <w:rPr>
          <w:b/>
          <w:color w:val="000000"/>
          <w:sz w:val="30"/>
          <w:szCs w:val="30"/>
        </w:rPr>
      </w:pPr>
    </w:p>
    <w:p>
      <w:pPr>
        <w:tabs>
          <w:tab w:val="left" w:pos="8000"/>
        </w:tabs>
        <w:topLinePunct/>
        <w:snapToGrid w:val="0"/>
        <w:spacing w:line="1000" w:lineRule="exact"/>
        <w:rPr>
          <w:b/>
          <w:color w:val="000000"/>
          <w:sz w:val="30"/>
          <w:szCs w:val="30"/>
        </w:rPr>
      </w:pPr>
      <w:r>
        <w:rPr>
          <w:rFonts w:hint="eastAsia"/>
          <w:b/>
          <w:color w:val="000000"/>
          <w:sz w:val="30"/>
          <w:szCs w:val="30"/>
        </w:rPr>
        <w:t xml:space="preserve">第一部分   投标邀请 </w:t>
      </w:r>
    </w:p>
    <w:p>
      <w:pPr>
        <w:topLinePunct/>
        <w:snapToGrid w:val="0"/>
        <w:spacing w:line="1000" w:lineRule="exact"/>
        <w:rPr>
          <w:b/>
          <w:color w:val="000000"/>
          <w:sz w:val="30"/>
          <w:szCs w:val="30"/>
        </w:rPr>
      </w:pPr>
      <w:r>
        <w:rPr>
          <w:rFonts w:hint="eastAsia"/>
          <w:b/>
          <w:color w:val="000000"/>
          <w:sz w:val="30"/>
          <w:szCs w:val="30"/>
        </w:rPr>
        <w:t xml:space="preserve">第二部分   投标人须知 </w:t>
      </w:r>
    </w:p>
    <w:p>
      <w:pPr>
        <w:topLinePunct/>
        <w:snapToGrid w:val="0"/>
        <w:spacing w:line="1000" w:lineRule="exact"/>
        <w:rPr>
          <w:b/>
          <w:color w:val="000000"/>
          <w:sz w:val="30"/>
          <w:szCs w:val="30"/>
        </w:rPr>
      </w:pPr>
      <w:r>
        <w:rPr>
          <w:rFonts w:hint="eastAsia"/>
          <w:b/>
          <w:color w:val="000000"/>
          <w:sz w:val="30"/>
          <w:szCs w:val="30"/>
        </w:rPr>
        <w:t xml:space="preserve">第三部分   采购需求 </w:t>
      </w:r>
    </w:p>
    <w:p>
      <w:pPr>
        <w:topLinePunct/>
        <w:snapToGrid w:val="0"/>
        <w:spacing w:line="1000" w:lineRule="exact"/>
        <w:rPr>
          <w:b/>
          <w:color w:val="000000"/>
          <w:sz w:val="30"/>
          <w:szCs w:val="30"/>
        </w:rPr>
      </w:pPr>
      <w:r>
        <w:rPr>
          <w:rFonts w:hint="eastAsia"/>
          <w:b/>
          <w:color w:val="000000"/>
          <w:sz w:val="30"/>
          <w:szCs w:val="30"/>
        </w:rPr>
        <w:t xml:space="preserve">第四部分   合同书 </w:t>
      </w:r>
    </w:p>
    <w:p>
      <w:pPr>
        <w:topLinePunct/>
        <w:snapToGrid w:val="0"/>
        <w:spacing w:line="1000" w:lineRule="exact"/>
        <w:rPr>
          <w:b/>
          <w:color w:val="000000"/>
          <w:sz w:val="30"/>
          <w:szCs w:val="30"/>
        </w:rPr>
      </w:pPr>
      <w:r>
        <w:rPr>
          <w:rFonts w:hint="eastAsia"/>
          <w:b/>
          <w:color w:val="000000"/>
          <w:sz w:val="30"/>
          <w:szCs w:val="30"/>
        </w:rPr>
        <w:t xml:space="preserve">第五部分   附件 </w:t>
      </w:r>
    </w:p>
    <w:p>
      <w:pPr>
        <w:widowControl/>
        <w:topLinePunct/>
        <w:snapToGrid w:val="0"/>
        <w:spacing w:line="360" w:lineRule="auto"/>
        <w:rPr>
          <w:rFonts w:eastAsia="仿宋_GB2312"/>
          <w:b/>
          <w:color w:val="000000"/>
          <w:sz w:val="24"/>
        </w:rPr>
      </w:pPr>
    </w:p>
    <w:p>
      <w:pPr>
        <w:widowControl/>
        <w:topLinePunct/>
        <w:snapToGrid w:val="0"/>
        <w:spacing w:line="360" w:lineRule="auto"/>
        <w:rPr>
          <w:rFonts w:eastAsia="仿宋_GB2312"/>
          <w:b/>
          <w:color w:val="000000"/>
          <w:sz w:val="24"/>
        </w:rPr>
      </w:pPr>
    </w:p>
    <w:p>
      <w:pPr>
        <w:widowControl/>
        <w:topLinePunct/>
        <w:snapToGrid w:val="0"/>
        <w:spacing w:line="360" w:lineRule="auto"/>
        <w:rPr>
          <w:rFonts w:eastAsia="仿宋_GB2312"/>
          <w:b/>
          <w:color w:val="000000"/>
          <w:sz w:val="24"/>
        </w:rPr>
      </w:pPr>
    </w:p>
    <w:p>
      <w:pPr>
        <w:widowControl/>
        <w:topLinePunct/>
        <w:snapToGrid w:val="0"/>
        <w:spacing w:line="360" w:lineRule="auto"/>
        <w:rPr>
          <w:rFonts w:eastAsia="仿宋_GB2312"/>
          <w:b/>
          <w:color w:val="000000"/>
          <w:sz w:val="24"/>
        </w:rPr>
      </w:pPr>
    </w:p>
    <w:p>
      <w:pPr>
        <w:widowControl/>
        <w:topLinePunct/>
        <w:snapToGrid w:val="0"/>
        <w:spacing w:line="360" w:lineRule="auto"/>
        <w:rPr>
          <w:rFonts w:eastAsia="仿宋_GB2312"/>
          <w:b/>
          <w:color w:val="000000"/>
          <w:sz w:val="24"/>
        </w:rPr>
      </w:pPr>
    </w:p>
    <w:p>
      <w:pPr>
        <w:widowControl/>
        <w:topLinePunct/>
        <w:spacing w:before="470"/>
        <w:rPr>
          <w:rFonts w:eastAsia="仿宋_GB2312"/>
          <w:b/>
          <w:color w:val="000000"/>
          <w:sz w:val="24"/>
        </w:rPr>
      </w:pPr>
    </w:p>
    <w:p>
      <w:pPr>
        <w:widowControl/>
        <w:topLinePunct/>
        <w:spacing w:before="470"/>
        <w:rPr>
          <w:rFonts w:eastAsia="仿宋_GB2312"/>
          <w:b/>
          <w:color w:val="000000"/>
          <w:sz w:val="24"/>
        </w:rPr>
      </w:pPr>
    </w:p>
    <w:p>
      <w:pPr>
        <w:widowControl/>
        <w:topLinePunct/>
        <w:jc w:val="center"/>
        <w:rPr>
          <w:rFonts w:ascii="黑体" w:eastAsia="黑体"/>
          <w:b/>
          <w:color w:val="000000"/>
          <w:sz w:val="44"/>
          <w:szCs w:val="44"/>
        </w:rPr>
      </w:pPr>
      <w:r>
        <w:rPr>
          <w:b/>
          <w:color w:val="000000"/>
          <w:sz w:val="24"/>
        </w:rPr>
        <w:br w:type="page"/>
      </w:r>
      <w:r>
        <w:rPr>
          <w:rFonts w:hint="eastAsia" w:ascii="黑体" w:eastAsia="黑体"/>
          <w:b/>
          <w:color w:val="000000"/>
          <w:sz w:val="44"/>
          <w:szCs w:val="44"/>
        </w:rPr>
        <w:t>第一部分. 投标邀请</w:t>
      </w:r>
    </w:p>
    <w:tbl>
      <w:tblPr>
        <w:tblStyle w:val="13"/>
        <w:tblW w:w="95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8"/>
        <w:gridCol w:w="81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1392" w:type="dxa"/>
            <w:gridSpan w:val="2"/>
            <w:vAlign w:val="center"/>
          </w:tcPr>
          <w:p>
            <w:pPr>
              <w:widowControl/>
              <w:topLinePunct/>
              <w:jc w:val="center"/>
              <w:rPr>
                <w:color w:val="000000"/>
                <w:sz w:val="24"/>
              </w:rPr>
            </w:pPr>
            <w:r>
              <w:rPr>
                <w:rFonts w:hint="eastAsia"/>
                <w:color w:val="000000"/>
                <w:sz w:val="24"/>
              </w:rPr>
              <w:t>序号</w:t>
            </w:r>
          </w:p>
        </w:tc>
        <w:tc>
          <w:tcPr>
            <w:tcW w:w="8166" w:type="dxa"/>
            <w:vAlign w:val="center"/>
          </w:tcPr>
          <w:p>
            <w:pPr>
              <w:widowControl/>
              <w:topLinePunct/>
              <w:jc w:val="center"/>
              <w:rPr>
                <w:rFonts w:ascii="宋体" w:hAnsi="宋体"/>
                <w:color w:val="000000"/>
                <w:sz w:val="24"/>
              </w:rPr>
            </w:pPr>
            <w:r>
              <w:rPr>
                <w:rFonts w:hint="eastAsia" w:ascii="宋体" w:hAnsi="宋体"/>
                <w:color w:val="000000"/>
                <w:sz w:val="24"/>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2" w:type="dxa"/>
            <w:gridSpan w:val="2"/>
            <w:vAlign w:val="center"/>
          </w:tcPr>
          <w:p>
            <w:pPr>
              <w:widowControl/>
              <w:topLinePunct/>
              <w:spacing w:line="360" w:lineRule="auto"/>
              <w:jc w:val="center"/>
              <w:rPr>
                <w:rFonts w:asciiTheme="minorEastAsia" w:hAnsiTheme="minorEastAsia" w:eastAsiaTheme="minorEastAsia"/>
                <w:color w:val="000000"/>
                <w:sz w:val="24"/>
              </w:rPr>
            </w:pPr>
            <w:r>
              <w:rPr>
                <w:rFonts w:hint="eastAsia" w:asciiTheme="minorEastAsia" w:hAnsiTheme="minorEastAsia" w:eastAsiaTheme="minorEastAsia"/>
                <w:color w:val="000000"/>
                <w:sz w:val="24"/>
              </w:rPr>
              <w:t>1</w:t>
            </w:r>
          </w:p>
        </w:tc>
        <w:tc>
          <w:tcPr>
            <w:tcW w:w="8166" w:type="dxa"/>
            <w:vAlign w:val="center"/>
          </w:tcPr>
          <w:p>
            <w:pPr>
              <w:spacing w:line="440" w:lineRule="exact"/>
              <w:jc w:val="left"/>
              <w:rPr>
                <w:rFonts w:hint="eastAsia" w:ascii="宋体" w:hAnsi="宋体" w:eastAsia="宋体" w:cs="宋体"/>
                <w:kern w:val="0"/>
                <w:sz w:val="24"/>
                <w:lang w:eastAsia="zh-CN"/>
              </w:rPr>
            </w:pPr>
            <w:r>
              <w:rPr>
                <w:rFonts w:hint="eastAsia" w:ascii="宋体" w:hAnsi="宋体" w:cs="宋体"/>
                <w:kern w:val="0"/>
                <w:sz w:val="24"/>
              </w:rPr>
              <w:t>项目名称：</w:t>
            </w:r>
            <w:r>
              <w:rPr>
                <w:rFonts w:hint="eastAsia" w:ascii="宋体" w:hAnsi="宋体" w:cs="宋体"/>
                <w:kern w:val="0"/>
                <w:sz w:val="24"/>
                <w:lang w:eastAsia="zh-CN"/>
              </w:rPr>
              <w:t>云林街道农村公路（隐患路段）交通安全设施采购项目</w:t>
            </w:r>
          </w:p>
          <w:p>
            <w:pPr>
              <w:spacing w:line="440" w:lineRule="exact"/>
              <w:jc w:val="left"/>
              <w:rPr>
                <w:rFonts w:hint="eastAsia" w:ascii="宋体" w:hAnsi="宋体" w:eastAsia="宋体" w:cs="宋体"/>
                <w:kern w:val="0"/>
                <w:sz w:val="24"/>
                <w:lang w:eastAsia="zh-CN"/>
              </w:rPr>
            </w:pPr>
            <w:r>
              <w:rPr>
                <w:rFonts w:hint="eastAsia" w:ascii="宋体" w:hAnsi="宋体" w:cs="宋体"/>
                <w:kern w:val="0"/>
                <w:sz w:val="24"/>
              </w:rPr>
              <w:t>项目编号：</w:t>
            </w:r>
            <w:r>
              <w:rPr>
                <w:rFonts w:hint="eastAsia" w:ascii="宋体" w:hAnsi="宋体" w:cs="宋体"/>
                <w:color w:val="auto"/>
                <w:kern w:val="0"/>
                <w:sz w:val="24"/>
                <w:lang w:eastAsia="zh-CN"/>
              </w:rPr>
              <w:t>ZBCG2021032</w:t>
            </w:r>
          </w:p>
          <w:p>
            <w:pPr>
              <w:spacing w:line="440" w:lineRule="exact"/>
              <w:jc w:val="left"/>
              <w:rPr>
                <w:rFonts w:ascii="宋体" w:hAnsi="宋体"/>
                <w:color w:val="000000"/>
                <w:sz w:val="24"/>
              </w:rPr>
            </w:pPr>
            <w:r>
              <w:rPr>
                <w:rFonts w:hint="eastAsia" w:ascii="宋体" w:hAnsi="宋体" w:cs="宋体"/>
                <w:kern w:val="0"/>
                <w:sz w:val="24"/>
              </w:rPr>
              <w:t>采购方式：公开招标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2" w:type="dxa"/>
            <w:gridSpan w:val="2"/>
            <w:vAlign w:val="center"/>
          </w:tcPr>
          <w:p>
            <w:pPr>
              <w:widowControl/>
              <w:topLinePunct/>
              <w:spacing w:line="360" w:lineRule="auto"/>
              <w:jc w:val="center"/>
              <w:rPr>
                <w:rFonts w:ascii="宋体" w:hAnsi="宋体"/>
                <w:color w:val="000000"/>
                <w:sz w:val="24"/>
              </w:rPr>
            </w:pPr>
            <w:r>
              <w:rPr>
                <w:rFonts w:hint="eastAsia" w:ascii="宋体" w:hAnsi="宋体"/>
                <w:color w:val="000000"/>
                <w:sz w:val="24"/>
              </w:rPr>
              <w:t>2</w:t>
            </w:r>
          </w:p>
        </w:tc>
        <w:tc>
          <w:tcPr>
            <w:tcW w:w="8166" w:type="dxa"/>
            <w:vAlign w:val="center"/>
          </w:tcPr>
          <w:p>
            <w:pPr>
              <w:widowControl/>
              <w:topLinePunct/>
              <w:spacing w:line="360" w:lineRule="auto"/>
              <w:rPr>
                <w:rFonts w:ascii="宋体" w:hAnsi="宋体"/>
                <w:sz w:val="24"/>
              </w:rPr>
            </w:pPr>
            <w:r>
              <w:rPr>
                <w:rFonts w:hint="eastAsia" w:ascii="宋体" w:hAnsi="宋体"/>
                <w:sz w:val="24"/>
              </w:rPr>
              <w:t xml:space="preserve">采购人： 无锡市锡山区人民政府云林街道办事处 </w:t>
            </w:r>
          </w:p>
          <w:p>
            <w:pPr>
              <w:widowControl/>
              <w:topLinePunct/>
              <w:spacing w:line="360" w:lineRule="auto"/>
              <w:rPr>
                <w:rFonts w:ascii="宋体" w:hAnsi="宋体"/>
                <w:sz w:val="24"/>
              </w:rPr>
            </w:pPr>
            <w:r>
              <w:rPr>
                <w:rFonts w:hint="eastAsia" w:ascii="宋体" w:hAnsi="宋体"/>
                <w:sz w:val="24"/>
              </w:rPr>
              <w:t>采购人地址：无锡市锡山区云林街道春雷路10号</w:t>
            </w:r>
          </w:p>
          <w:p>
            <w:pPr>
              <w:widowControl/>
              <w:topLinePunct/>
              <w:spacing w:line="360" w:lineRule="auto"/>
              <w:rPr>
                <w:rFonts w:ascii="宋体" w:hAnsi="宋体"/>
                <w:sz w:val="24"/>
              </w:rPr>
            </w:pPr>
            <w:r>
              <w:rPr>
                <w:rFonts w:hint="eastAsia" w:ascii="宋体" w:hAnsi="宋体"/>
                <w:sz w:val="24"/>
              </w:rPr>
              <w:t>采购代理机构：无锡众邦技术咨询有限公司</w:t>
            </w:r>
          </w:p>
          <w:p>
            <w:pPr>
              <w:widowControl/>
              <w:topLinePunct/>
              <w:spacing w:line="360" w:lineRule="auto"/>
              <w:rPr>
                <w:rFonts w:ascii="宋体" w:hAnsi="宋体"/>
                <w:color w:val="000000"/>
                <w:sz w:val="24"/>
              </w:rPr>
            </w:pPr>
            <w:r>
              <w:rPr>
                <w:rFonts w:hint="eastAsia" w:ascii="宋体" w:hAnsi="宋体"/>
                <w:sz w:val="24"/>
              </w:rPr>
              <w:t>采购机构地址：无锡市滨湖区隐秀路866号三楼北侧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Align w:val="center"/>
          </w:tcPr>
          <w:p>
            <w:pPr>
              <w:widowControl/>
              <w:topLinePunct/>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3</w:t>
            </w:r>
          </w:p>
        </w:tc>
        <w:tc>
          <w:tcPr>
            <w:tcW w:w="8174" w:type="dxa"/>
            <w:gridSpan w:val="2"/>
            <w:vAlign w:val="center"/>
          </w:tcPr>
          <w:p>
            <w:pPr>
              <w:widowControl/>
              <w:topLinePunct/>
              <w:spacing w:line="380" w:lineRule="exact"/>
              <w:rPr>
                <w:rFonts w:ascii="宋体" w:hAnsi="宋体" w:cs="宋体"/>
                <w:kern w:val="0"/>
                <w:sz w:val="24"/>
              </w:rPr>
            </w:pPr>
            <w:r>
              <w:rPr>
                <w:rFonts w:hint="eastAsia" w:ascii="宋体" w:hAnsi="宋体" w:cs="宋体"/>
                <w:kern w:val="0"/>
                <w:sz w:val="24"/>
              </w:rPr>
              <w:t>采购需求：</w:t>
            </w:r>
          </w:p>
          <w:p>
            <w:pPr>
              <w:widowControl/>
              <w:topLinePunct/>
              <w:spacing w:line="380" w:lineRule="exact"/>
            </w:pPr>
            <w:r>
              <w:rPr>
                <w:rFonts w:hint="eastAsia" w:ascii="宋体" w:hAnsi="宋体" w:cs="宋体"/>
                <w:kern w:val="0"/>
                <w:sz w:val="24"/>
              </w:rPr>
              <w:t>项目概况：</w:t>
            </w:r>
            <w:r>
              <w:rPr>
                <w:rFonts w:hint="eastAsia" w:ascii="宋体" w:hAnsi="宋体" w:cs="宋体"/>
                <w:kern w:val="0"/>
                <w:sz w:val="24"/>
                <w:lang w:eastAsia="zh-CN"/>
              </w:rPr>
              <w:t>云林街道农村公路（隐患路段）交通安全设施采购项目</w:t>
            </w:r>
            <w:r>
              <w:rPr>
                <w:rFonts w:hint="eastAsia" w:ascii="宋体" w:hAnsi="宋体"/>
                <w:sz w:val="24"/>
              </w:rPr>
              <w:t>。</w:t>
            </w:r>
          </w:p>
          <w:p>
            <w:pPr>
              <w:widowControl/>
              <w:topLinePunct/>
              <w:spacing w:line="380" w:lineRule="exact"/>
              <w:rPr>
                <w:rFonts w:ascii="宋体" w:hAnsi="宋体" w:cs="宋体"/>
                <w:kern w:val="0"/>
                <w:sz w:val="24"/>
              </w:rPr>
            </w:pPr>
            <w:r>
              <w:rPr>
                <w:rFonts w:hint="eastAsia" w:ascii="宋体" w:hAnsi="宋体" w:cs="宋体"/>
                <w:kern w:val="0"/>
                <w:sz w:val="24"/>
              </w:rPr>
              <w:t>交</w:t>
            </w:r>
            <w:r>
              <w:rPr>
                <w:rFonts w:hint="eastAsia" w:ascii="宋体" w:hAnsi="宋体" w:cs="宋体"/>
                <w:color w:val="auto"/>
                <w:kern w:val="0"/>
                <w:sz w:val="24"/>
              </w:rPr>
              <w:t>货期：合同签订后</w:t>
            </w:r>
            <w:r>
              <w:rPr>
                <w:rFonts w:hint="eastAsia" w:ascii="宋体" w:hAnsi="宋体" w:cs="宋体"/>
                <w:color w:val="auto"/>
                <w:kern w:val="0"/>
                <w:sz w:val="24"/>
                <w:lang w:val="en-US" w:eastAsia="zh-CN"/>
              </w:rPr>
              <w:t>30</w:t>
            </w:r>
            <w:r>
              <w:rPr>
                <w:rFonts w:hint="eastAsia" w:ascii="宋体" w:hAnsi="宋体" w:cs="宋体"/>
                <w:color w:val="auto"/>
                <w:kern w:val="0"/>
                <w:sz w:val="24"/>
              </w:rPr>
              <w:t>日历天内交货并安装完成。</w:t>
            </w:r>
          </w:p>
          <w:p>
            <w:pPr>
              <w:widowControl/>
              <w:topLinePunct/>
              <w:spacing w:line="380" w:lineRule="exact"/>
              <w:rPr>
                <w:rFonts w:ascii="宋体" w:hAnsi="宋体" w:cs="宋体"/>
                <w:kern w:val="0"/>
                <w:sz w:val="24"/>
              </w:rPr>
            </w:pPr>
            <w:r>
              <w:rPr>
                <w:rFonts w:hint="eastAsia" w:ascii="宋体" w:hAnsi="宋体" w:cs="宋体"/>
                <w:kern w:val="0"/>
                <w:sz w:val="24"/>
              </w:rPr>
              <w:t>误期违约金：2000元/天</w:t>
            </w:r>
          </w:p>
          <w:p>
            <w:pPr>
              <w:widowControl/>
              <w:topLinePunct/>
              <w:spacing w:line="380" w:lineRule="exact"/>
              <w:rPr>
                <w:rFonts w:ascii="宋体" w:hAnsi="宋体" w:cs="宋体"/>
                <w:color w:val="auto"/>
                <w:kern w:val="0"/>
                <w:sz w:val="24"/>
              </w:rPr>
            </w:pPr>
            <w:r>
              <w:rPr>
                <w:rFonts w:hint="eastAsia" w:ascii="宋体" w:hAnsi="宋体" w:cs="宋体"/>
                <w:kern w:val="0"/>
                <w:sz w:val="24"/>
              </w:rPr>
              <w:t>质量标准：</w:t>
            </w:r>
            <w:r>
              <w:rPr>
                <w:rFonts w:hint="eastAsia" w:ascii="宋体" w:hAnsi="宋体" w:cs="宋体"/>
                <w:color w:val="auto"/>
                <w:kern w:val="0"/>
                <w:sz w:val="24"/>
              </w:rPr>
              <w:t>合格标准</w:t>
            </w:r>
          </w:p>
          <w:p>
            <w:pPr>
              <w:widowControl/>
              <w:topLinePunct/>
              <w:spacing w:line="380" w:lineRule="exact"/>
              <w:rPr>
                <w:rFonts w:ascii="宋体" w:hAnsi="宋体" w:cs="宋体"/>
                <w:color w:val="auto"/>
                <w:kern w:val="0"/>
                <w:sz w:val="24"/>
              </w:rPr>
            </w:pPr>
            <w:r>
              <w:rPr>
                <w:rFonts w:hint="eastAsia" w:ascii="宋体" w:hAnsi="宋体" w:cs="宋体"/>
                <w:color w:val="auto"/>
                <w:kern w:val="0"/>
                <w:sz w:val="24"/>
              </w:rPr>
              <w:t>质量违约金：合同价的5%</w:t>
            </w:r>
          </w:p>
          <w:p>
            <w:pPr>
              <w:widowControl/>
              <w:topLinePunct/>
              <w:spacing w:line="380" w:lineRule="exact"/>
              <w:rPr>
                <w:rFonts w:ascii="宋体" w:hAnsi="宋体" w:cs="宋体"/>
                <w:kern w:val="0"/>
                <w:sz w:val="24"/>
              </w:rPr>
            </w:pPr>
            <w:r>
              <w:rPr>
                <w:rFonts w:hint="eastAsia" w:ascii="宋体" w:hAnsi="宋体" w:cs="宋体"/>
                <w:kern w:val="0"/>
                <w:sz w:val="24"/>
              </w:rPr>
              <w:t>质保期：二年。（自交货验收合格之日起计）</w:t>
            </w:r>
          </w:p>
          <w:p>
            <w:pPr>
              <w:spacing w:line="380" w:lineRule="exact"/>
              <w:rPr>
                <w:rFonts w:hint="eastAsia" w:ascii="宋体" w:hAnsi="宋体" w:eastAsia="宋体" w:cs="宋体"/>
                <w:kern w:val="0"/>
                <w:sz w:val="24"/>
                <w:lang w:eastAsia="zh-CN"/>
              </w:rPr>
            </w:pPr>
            <w:r>
              <w:rPr>
                <w:rFonts w:hint="eastAsia" w:ascii="宋体" w:hAnsi="宋体" w:cs="宋体"/>
                <w:kern w:val="0"/>
                <w:sz w:val="24"/>
              </w:rPr>
              <w:t>维修响应</w:t>
            </w:r>
            <w:r>
              <w:rPr>
                <w:rFonts w:hint="eastAsia" w:ascii="宋体" w:hAnsi="宋体" w:cs="宋体"/>
                <w:color w:val="auto"/>
                <w:kern w:val="0"/>
                <w:sz w:val="24"/>
              </w:rPr>
              <w:t>时间：接到报修电话后2小时内响应，8小时内赶到报修现场修理完毕</w:t>
            </w:r>
            <w:r>
              <w:rPr>
                <w:rFonts w:hint="eastAsia" w:ascii="宋体" w:hAnsi="宋体" w:cs="宋体"/>
                <w:color w:val="auto"/>
                <w:kern w:val="0"/>
                <w:sz w:val="24"/>
                <w:lang w:eastAsia="zh-CN"/>
              </w:rPr>
              <w:t>。</w:t>
            </w:r>
          </w:p>
          <w:p>
            <w:pPr>
              <w:spacing w:line="360" w:lineRule="auto"/>
              <w:rPr>
                <w:rFonts w:ascii="宋体" w:hAnsi="宋体" w:cs="宋体"/>
                <w:kern w:val="0"/>
                <w:sz w:val="24"/>
              </w:rPr>
            </w:pPr>
            <w:r>
              <w:rPr>
                <w:rFonts w:hint="eastAsia" w:ascii="宋体" w:hAnsi="宋体" w:cs="宋体"/>
                <w:kern w:val="0"/>
                <w:sz w:val="24"/>
              </w:rPr>
              <w:t>合同履行期限：30日历天</w:t>
            </w:r>
          </w:p>
          <w:p>
            <w:pPr>
              <w:spacing w:line="360" w:lineRule="auto"/>
              <w:rPr>
                <w:rFonts w:ascii="宋体" w:hAnsi="宋体" w:cs="宋体"/>
                <w:sz w:val="24"/>
              </w:rPr>
            </w:pPr>
            <w:r>
              <w:rPr>
                <w:rFonts w:ascii="宋体" w:hAnsi="宋体"/>
                <w:bCs/>
                <w:sz w:val="24"/>
              </w:rPr>
              <w:t>本项目是否专门面向中小企业：是</w:t>
            </w:r>
            <w:r>
              <w:rPr>
                <w:rFonts w:hint="eastAsia" w:ascii="宋体" w:hAnsi="宋体" w:cs="宋体"/>
                <w:sz w:val="24"/>
              </w:rPr>
              <w:t>；</w:t>
            </w:r>
          </w:p>
          <w:p>
            <w:pPr>
              <w:spacing w:line="360" w:lineRule="auto"/>
              <w:rPr>
                <w:rFonts w:ascii="宋体" w:hAnsi="宋体" w:cs="宋体"/>
                <w:kern w:val="0"/>
                <w:sz w:val="24"/>
              </w:rPr>
            </w:pPr>
            <w:r>
              <w:rPr>
                <w:rFonts w:hint="eastAsia" w:ascii="宋体" w:hAnsi="宋体" w:cs="宋体"/>
                <w:sz w:val="24"/>
              </w:rPr>
              <w:t>本项目标的所属行业：制造业；</w:t>
            </w:r>
          </w:p>
          <w:p>
            <w:pPr>
              <w:spacing w:line="380" w:lineRule="exact"/>
            </w:pPr>
            <w:r>
              <w:rPr>
                <w:rFonts w:hint="eastAsia" w:ascii="宋体" w:hAnsi="宋体" w:cs="宋体"/>
                <w:kern w:val="0"/>
                <w:sz w:val="24"/>
              </w:rPr>
              <w:t>本项目不接受联合体投标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1392" w:type="dxa"/>
            <w:gridSpan w:val="2"/>
            <w:vAlign w:val="center"/>
          </w:tcPr>
          <w:p>
            <w:pPr>
              <w:widowControl/>
              <w:topLinePunct/>
              <w:spacing w:line="360" w:lineRule="auto"/>
              <w:jc w:val="center"/>
              <w:rPr>
                <w:rFonts w:asciiTheme="minorEastAsia" w:hAnsiTheme="minorEastAsia" w:eastAsiaTheme="minorEastAsia"/>
                <w:b/>
                <w:bCs/>
                <w:color w:val="000000"/>
                <w:sz w:val="24"/>
              </w:rPr>
            </w:pPr>
            <w:r>
              <w:rPr>
                <w:rFonts w:hint="eastAsia" w:asciiTheme="minorEastAsia" w:hAnsiTheme="minorEastAsia" w:eastAsiaTheme="minorEastAsia"/>
                <w:sz w:val="24"/>
              </w:rPr>
              <w:t>4</w:t>
            </w:r>
          </w:p>
        </w:tc>
        <w:tc>
          <w:tcPr>
            <w:tcW w:w="8166" w:type="dxa"/>
            <w:vAlign w:val="center"/>
          </w:tcPr>
          <w:p>
            <w:pPr>
              <w:spacing w:line="400" w:lineRule="exact"/>
              <w:ind w:left="120" w:hanging="120" w:hangingChars="50"/>
              <w:rPr>
                <w:rFonts w:ascii="宋体" w:hAnsi="宋体"/>
                <w:bCs/>
                <w:sz w:val="24"/>
              </w:rPr>
            </w:pPr>
            <w:r>
              <w:rPr>
                <w:rFonts w:hint="eastAsia" w:ascii="宋体" w:hAnsi="宋体"/>
                <w:bCs/>
                <w:sz w:val="24"/>
              </w:rPr>
              <w:t>投标人资质要求条件：</w:t>
            </w:r>
          </w:p>
          <w:p>
            <w:pPr>
              <w:spacing w:line="400" w:lineRule="exact"/>
              <w:ind w:left="120" w:hanging="120" w:hangingChars="50"/>
              <w:rPr>
                <w:rFonts w:ascii="宋体" w:hAnsi="宋体"/>
                <w:bCs/>
                <w:sz w:val="24"/>
              </w:rPr>
            </w:pPr>
            <w:r>
              <w:rPr>
                <w:rFonts w:hint="eastAsia" w:ascii="宋体" w:hAnsi="宋体"/>
                <w:bCs/>
                <w:sz w:val="24"/>
              </w:rPr>
              <w:t>（一）</w:t>
            </w:r>
            <w:r>
              <w:rPr>
                <w:rFonts w:ascii="宋体" w:hAnsi="宋体"/>
                <w:bCs/>
                <w:sz w:val="24"/>
              </w:rPr>
              <w:t>符合政府采购法第二十二条</w:t>
            </w:r>
            <w:r>
              <w:rPr>
                <w:rFonts w:hint="eastAsia" w:ascii="宋体" w:hAnsi="宋体"/>
                <w:bCs/>
                <w:sz w:val="24"/>
              </w:rPr>
              <w:t>第一款</w:t>
            </w:r>
            <w:r>
              <w:rPr>
                <w:rFonts w:ascii="宋体" w:hAnsi="宋体"/>
                <w:bCs/>
                <w:sz w:val="24"/>
              </w:rPr>
              <w:t>规定</w:t>
            </w:r>
            <w:r>
              <w:rPr>
                <w:rFonts w:hint="eastAsia" w:ascii="宋体" w:hAnsi="宋体"/>
                <w:bCs/>
                <w:sz w:val="24"/>
              </w:rPr>
              <w:t>的条件，并提供下列材料</w:t>
            </w:r>
            <w:r>
              <w:rPr>
                <w:rFonts w:ascii="宋体" w:hAnsi="宋体"/>
                <w:bCs/>
                <w:sz w:val="24"/>
              </w:rPr>
              <w:t>；</w:t>
            </w:r>
          </w:p>
          <w:p>
            <w:pPr>
              <w:spacing w:line="400" w:lineRule="exact"/>
              <w:ind w:left="120" w:hanging="120" w:hangingChars="50"/>
              <w:rPr>
                <w:rFonts w:ascii="宋体" w:hAnsi="宋体"/>
                <w:bCs/>
                <w:sz w:val="24"/>
              </w:rPr>
            </w:pPr>
            <w:r>
              <w:rPr>
                <w:rFonts w:hint="eastAsia" w:ascii="宋体" w:hAnsi="宋体"/>
                <w:bCs/>
                <w:sz w:val="24"/>
              </w:rPr>
              <w:t>1.</w:t>
            </w:r>
            <w:r>
              <w:rPr>
                <w:rFonts w:ascii="宋体" w:hAnsi="宋体"/>
                <w:bCs/>
                <w:sz w:val="24"/>
              </w:rPr>
              <w:t>法人或者其他组织的营业执照等证明文件，自然人的身份证明；</w:t>
            </w:r>
          </w:p>
          <w:p>
            <w:pPr>
              <w:spacing w:line="400" w:lineRule="exact"/>
              <w:ind w:left="120" w:hanging="120" w:hangingChars="50"/>
              <w:rPr>
                <w:rFonts w:ascii="宋体" w:hAnsi="宋体"/>
                <w:bCs/>
                <w:sz w:val="24"/>
              </w:rPr>
            </w:pPr>
            <w:r>
              <w:rPr>
                <w:rFonts w:hint="eastAsia" w:ascii="宋体" w:hAnsi="宋体"/>
                <w:bCs/>
                <w:sz w:val="24"/>
              </w:rPr>
              <w:t>2.上一年度的</w:t>
            </w:r>
            <w:r>
              <w:rPr>
                <w:rFonts w:ascii="宋体" w:hAnsi="宋体"/>
                <w:bCs/>
                <w:sz w:val="24"/>
              </w:rPr>
              <w:t>财务状况报告</w:t>
            </w:r>
            <w:r>
              <w:rPr>
                <w:rFonts w:hint="eastAsia" w:ascii="宋体" w:hAnsi="宋体"/>
                <w:bCs/>
                <w:sz w:val="24"/>
              </w:rPr>
              <w:t>（成立不满一年不需提供）；</w:t>
            </w:r>
          </w:p>
          <w:p>
            <w:pPr>
              <w:spacing w:line="400" w:lineRule="exact"/>
              <w:ind w:left="120" w:hanging="120" w:hangingChars="50"/>
              <w:rPr>
                <w:rFonts w:ascii="宋体" w:hAnsi="宋体"/>
                <w:bCs/>
                <w:sz w:val="24"/>
              </w:rPr>
            </w:pPr>
            <w:r>
              <w:rPr>
                <w:rFonts w:hint="eastAsia" w:ascii="宋体" w:hAnsi="宋体"/>
                <w:bCs/>
                <w:sz w:val="24"/>
              </w:rPr>
              <w:t>3.</w:t>
            </w:r>
            <w:r>
              <w:rPr>
                <w:rFonts w:ascii="宋体" w:hAnsi="宋体"/>
                <w:bCs/>
                <w:sz w:val="24"/>
              </w:rPr>
              <w:t>依法缴纳税收和社会保障资金的相关材料；</w:t>
            </w:r>
          </w:p>
          <w:p>
            <w:pPr>
              <w:spacing w:line="400" w:lineRule="exact"/>
              <w:ind w:left="120" w:hanging="120" w:hangingChars="50"/>
              <w:rPr>
                <w:rFonts w:ascii="宋体" w:hAnsi="宋体"/>
                <w:bCs/>
                <w:sz w:val="24"/>
              </w:rPr>
            </w:pPr>
            <w:r>
              <w:rPr>
                <w:rFonts w:hint="eastAsia" w:ascii="宋体" w:hAnsi="宋体"/>
                <w:bCs/>
                <w:sz w:val="24"/>
              </w:rPr>
              <w:t>4.</w:t>
            </w:r>
            <w:r>
              <w:rPr>
                <w:rFonts w:ascii="宋体" w:hAnsi="宋体"/>
                <w:bCs/>
                <w:sz w:val="24"/>
              </w:rPr>
              <w:t>具备履行合同所必需的设备和专业技术能力的证明材料；</w:t>
            </w:r>
          </w:p>
          <w:p>
            <w:pPr>
              <w:spacing w:line="400" w:lineRule="exact"/>
              <w:ind w:left="120" w:hanging="120" w:hangingChars="50"/>
              <w:rPr>
                <w:rFonts w:ascii="宋体" w:hAnsi="宋体"/>
                <w:bCs/>
                <w:sz w:val="24"/>
              </w:rPr>
            </w:pPr>
            <w:r>
              <w:rPr>
                <w:rFonts w:hint="eastAsia" w:ascii="宋体" w:hAnsi="宋体"/>
                <w:bCs/>
                <w:sz w:val="24"/>
              </w:rPr>
              <w:t>5.</w:t>
            </w:r>
            <w:r>
              <w:rPr>
                <w:rFonts w:ascii="宋体" w:hAnsi="宋体"/>
                <w:bCs/>
                <w:sz w:val="24"/>
              </w:rPr>
              <w:t>参加政府采购活动前3年内在经营活动中没有重大违法记录的书面声明；</w:t>
            </w:r>
          </w:p>
          <w:p>
            <w:pPr>
              <w:spacing w:line="400" w:lineRule="exact"/>
              <w:ind w:left="120" w:hanging="120" w:hangingChars="50"/>
              <w:rPr>
                <w:rFonts w:ascii="宋体" w:hAnsi="宋体"/>
                <w:bCs/>
                <w:sz w:val="24"/>
              </w:rPr>
            </w:pPr>
            <w:r>
              <w:rPr>
                <w:rFonts w:hint="eastAsia" w:ascii="宋体" w:hAnsi="宋体"/>
                <w:bCs/>
                <w:sz w:val="24"/>
              </w:rPr>
              <w:t>（二）其他资格要求：</w:t>
            </w:r>
          </w:p>
          <w:p>
            <w:pPr>
              <w:widowControl/>
              <w:shd w:val="clear" w:color="auto" w:fill="FFFFFF"/>
              <w:spacing w:line="360" w:lineRule="auto"/>
              <w:ind w:left="120" w:hanging="120" w:hangingChars="50"/>
              <w:jc w:val="left"/>
              <w:rPr>
                <w:rFonts w:ascii="宋体" w:hAnsi="宋体"/>
                <w:bCs/>
                <w:sz w:val="24"/>
              </w:rPr>
            </w:pPr>
            <w:r>
              <w:rPr>
                <w:rFonts w:hint="eastAsia" w:ascii="宋体" w:hAnsi="宋体"/>
                <w:bCs/>
                <w:sz w:val="24"/>
              </w:rPr>
              <w:t>（1）投标人须具备公路交通工程专业承包公路安全设施分项二级（含）以上资质并具有有效的《安全生产许可证》；</w:t>
            </w:r>
          </w:p>
          <w:p>
            <w:pPr>
              <w:widowControl/>
              <w:shd w:val="clear" w:color="auto" w:fill="FFFFFF"/>
              <w:spacing w:line="360" w:lineRule="auto"/>
              <w:ind w:left="120" w:hanging="120" w:hangingChars="50"/>
              <w:jc w:val="left"/>
              <w:rPr>
                <w:rFonts w:ascii="宋体" w:hAnsi="宋体"/>
                <w:bCs/>
                <w:sz w:val="24"/>
              </w:rPr>
            </w:pPr>
            <w:r>
              <w:rPr>
                <w:rFonts w:hint="eastAsia" w:ascii="宋体" w:hAnsi="宋体"/>
                <w:bCs/>
                <w:sz w:val="24"/>
              </w:rPr>
              <w:t>（2）</w:t>
            </w:r>
            <w:r>
              <w:rPr>
                <w:rFonts w:ascii="宋体" w:hAnsi="宋体"/>
                <w:bCs/>
                <w:sz w:val="24"/>
              </w:rPr>
              <w:t>投标人拟派项目</w:t>
            </w:r>
            <w:r>
              <w:rPr>
                <w:rFonts w:hint="eastAsia" w:ascii="宋体" w:hAnsi="宋体"/>
                <w:bCs/>
                <w:sz w:val="24"/>
              </w:rPr>
              <w:t>经理须</w:t>
            </w:r>
            <w:r>
              <w:rPr>
                <w:rFonts w:ascii="宋体" w:hAnsi="宋体"/>
                <w:bCs/>
                <w:sz w:val="24"/>
              </w:rPr>
              <w:t>具有</w:t>
            </w:r>
            <w:r>
              <w:rPr>
                <w:rFonts w:hint="eastAsia" w:ascii="宋体" w:hAnsi="宋体"/>
                <w:bCs/>
                <w:sz w:val="24"/>
              </w:rPr>
              <w:t>公路工程或市政公用工程二级及以上注册建造师资格及安全员B证；</w:t>
            </w:r>
          </w:p>
          <w:p>
            <w:pPr>
              <w:widowControl/>
              <w:shd w:val="clear" w:color="auto" w:fill="FFFFFF"/>
              <w:spacing w:line="360" w:lineRule="auto"/>
              <w:ind w:left="120" w:hanging="120" w:hangingChars="50"/>
              <w:jc w:val="left"/>
              <w:rPr>
                <w:rFonts w:ascii="宋体" w:hAnsi="宋体"/>
                <w:bCs/>
                <w:sz w:val="24"/>
              </w:rPr>
            </w:pPr>
            <w:r>
              <w:rPr>
                <w:rFonts w:hint="eastAsia" w:ascii="宋体" w:hAnsi="宋体"/>
                <w:bCs/>
                <w:sz w:val="24"/>
              </w:rPr>
              <w:t>（3）投标人须具备信用管理手册。</w:t>
            </w:r>
          </w:p>
          <w:p>
            <w:pPr>
              <w:spacing w:line="400" w:lineRule="exact"/>
              <w:ind w:left="120" w:hanging="120" w:hangingChars="50"/>
              <w:rPr>
                <w:rFonts w:ascii="宋体" w:hAnsi="宋体"/>
                <w:bCs/>
                <w:sz w:val="24"/>
              </w:rPr>
            </w:pPr>
            <w:r>
              <w:rPr>
                <w:rFonts w:hint="eastAsia" w:ascii="宋体" w:hAnsi="宋体"/>
                <w:bCs/>
                <w:sz w:val="24"/>
              </w:rPr>
              <w:t>（三）本项目不接受联合体投标。</w:t>
            </w:r>
          </w:p>
          <w:p>
            <w:pPr>
              <w:spacing w:line="360" w:lineRule="exact"/>
              <w:rPr>
                <w:rFonts w:ascii="宋体" w:hAnsi="宋体" w:cs="宋体"/>
                <w:kern w:val="0"/>
                <w:sz w:val="24"/>
              </w:rPr>
            </w:pPr>
            <w:r>
              <w:rPr>
                <w:rFonts w:hint="eastAsia" w:ascii="宋体" w:hAnsi="宋体"/>
                <w:bCs/>
                <w:sz w:val="24"/>
              </w:rPr>
              <w:t>注：（1）采购人有权对以上资格条件进行核查，如投标供应商有弄虚作假行为或不具备以上条件的将取消其投标资格。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2" w:type="dxa"/>
            <w:gridSpan w:val="2"/>
            <w:vAlign w:val="center"/>
          </w:tcPr>
          <w:p>
            <w:pPr>
              <w:widowControl/>
              <w:topLinePunct/>
              <w:spacing w:line="360" w:lineRule="auto"/>
              <w:jc w:val="center"/>
              <w:rPr>
                <w:rFonts w:asciiTheme="minorEastAsia" w:hAnsiTheme="minorEastAsia" w:eastAsiaTheme="minorEastAsia"/>
                <w:bCs/>
                <w:sz w:val="24"/>
              </w:rPr>
            </w:pPr>
            <w:r>
              <w:rPr>
                <w:rFonts w:hint="eastAsia" w:asciiTheme="minorEastAsia" w:hAnsiTheme="minorEastAsia" w:eastAsiaTheme="minorEastAsia"/>
                <w:bCs/>
                <w:sz w:val="24"/>
              </w:rPr>
              <w:t>5</w:t>
            </w:r>
          </w:p>
        </w:tc>
        <w:tc>
          <w:tcPr>
            <w:tcW w:w="8166" w:type="dxa"/>
            <w:vAlign w:val="center"/>
          </w:tcPr>
          <w:p>
            <w:pPr>
              <w:spacing w:line="360" w:lineRule="auto"/>
              <w:ind w:left="-59" w:leftChars="-28"/>
              <w:rPr>
                <w:rFonts w:ascii="宋体" w:hAnsi="宋体"/>
                <w:sz w:val="24"/>
              </w:rPr>
            </w:pPr>
            <w:r>
              <w:rPr>
                <w:rFonts w:hint="eastAsia" w:ascii="宋体" w:hAnsi="宋体"/>
                <w:sz w:val="24"/>
              </w:rPr>
              <w:t>发售采购文件时间：公告发布之日起五个工作日内（法定假日休息），每天上午9:00-11:00，下午14:00-16：00时。</w:t>
            </w:r>
          </w:p>
          <w:p>
            <w:pPr>
              <w:spacing w:line="360" w:lineRule="auto"/>
              <w:ind w:left="-59" w:leftChars="-28"/>
              <w:rPr>
                <w:rFonts w:ascii="宋体" w:hAnsi="宋体"/>
                <w:sz w:val="24"/>
              </w:rPr>
            </w:pPr>
            <w:r>
              <w:rPr>
                <w:rFonts w:hint="eastAsia" w:ascii="宋体" w:hAnsi="宋体"/>
                <w:sz w:val="24"/>
              </w:rPr>
              <w:t>售价：捌佰圆/份，现金支付，电子档，采购文件售后不退。</w:t>
            </w:r>
          </w:p>
          <w:p>
            <w:pPr>
              <w:spacing w:line="360" w:lineRule="auto"/>
              <w:ind w:left="-59" w:leftChars="-28"/>
              <w:rPr>
                <w:rFonts w:ascii="宋体" w:hAnsi="宋体"/>
                <w:sz w:val="24"/>
              </w:rPr>
            </w:pPr>
            <w:r>
              <w:rPr>
                <w:rFonts w:hint="eastAsia" w:ascii="宋体" w:hAnsi="宋体"/>
                <w:sz w:val="24"/>
              </w:rPr>
              <w:t>采购文件出售方式：电子文档介质。</w:t>
            </w:r>
          </w:p>
          <w:p>
            <w:pPr>
              <w:widowControl/>
              <w:topLinePunct/>
              <w:spacing w:line="440" w:lineRule="exact"/>
              <w:rPr>
                <w:rFonts w:ascii="宋体" w:hAnsi="宋体"/>
                <w:sz w:val="24"/>
              </w:rPr>
            </w:pPr>
            <w:r>
              <w:rPr>
                <w:rFonts w:hint="eastAsia" w:ascii="宋体" w:hAnsi="宋体"/>
                <w:sz w:val="24"/>
              </w:rPr>
              <w:t>发售采购文件地点：无锡众邦技术咨询有限公司（无锡市滨湖区隐秀路866号三楼北侧）</w:t>
            </w:r>
          </w:p>
          <w:p>
            <w:pPr>
              <w:widowControl/>
              <w:topLinePunct/>
              <w:spacing w:line="360" w:lineRule="auto"/>
              <w:rPr>
                <w:rFonts w:ascii="宋体" w:hAnsi="宋体"/>
                <w:sz w:val="24"/>
              </w:rPr>
            </w:pPr>
            <w:r>
              <w:rPr>
                <w:rFonts w:hint="eastAsia" w:ascii="宋体" w:hAnsi="宋体"/>
                <w:sz w:val="24"/>
              </w:rPr>
              <w:t>投标供应商应承担其编制投标文件以及递交投标文件所涉及的一切费用。无论报价结果如何，采购人对上述费用不负任何责任。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2" w:type="dxa"/>
            <w:gridSpan w:val="2"/>
            <w:vAlign w:val="center"/>
          </w:tcPr>
          <w:p>
            <w:pPr>
              <w:widowControl/>
              <w:topLinePunct/>
              <w:spacing w:line="360" w:lineRule="auto"/>
              <w:jc w:val="center"/>
              <w:rPr>
                <w:rFonts w:asciiTheme="minorEastAsia" w:hAnsiTheme="minorEastAsia" w:eastAsiaTheme="minorEastAsia"/>
                <w:bCs/>
                <w:sz w:val="24"/>
              </w:rPr>
            </w:pPr>
            <w:r>
              <w:rPr>
                <w:rFonts w:hint="eastAsia" w:asciiTheme="minorEastAsia" w:hAnsiTheme="minorEastAsia" w:eastAsiaTheme="minorEastAsia"/>
                <w:bCs/>
                <w:sz w:val="24"/>
              </w:rPr>
              <w:t>6</w:t>
            </w:r>
          </w:p>
        </w:tc>
        <w:tc>
          <w:tcPr>
            <w:tcW w:w="8166" w:type="dxa"/>
            <w:vAlign w:val="center"/>
          </w:tcPr>
          <w:p>
            <w:pPr>
              <w:widowControl/>
              <w:topLinePunct/>
              <w:spacing w:line="360" w:lineRule="auto"/>
              <w:rPr>
                <w:rFonts w:ascii="宋体" w:hAnsi="宋体"/>
                <w:bCs/>
                <w:sz w:val="24"/>
              </w:rPr>
            </w:pPr>
            <w:r>
              <w:rPr>
                <w:rFonts w:hint="eastAsia" w:ascii="宋体" w:hAnsi="宋体"/>
                <w:bCs/>
                <w:color w:val="FF0000"/>
                <w:sz w:val="24"/>
              </w:rPr>
              <w:t>提疑截止时间：2021年</w:t>
            </w:r>
            <w:r>
              <w:rPr>
                <w:rFonts w:hint="eastAsia" w:ascii="宋体" w:hAnsi="宋体"/>
                <w:bCs/>
                <w:color w:val="FF0000"/>
                <w:sz w:val="24"/>
                <w:lang w:val="en-US" w:eastAsia="zh-CN"/>
              </w:rPr>
              <w:t>12</w:t>
            </w:r>
            <w:r>
              <w:rPr>
                <w:rFonts w:hint="eastAsia" w:ascii="宋体" w:hAnsi="宋体"/>
                <w:bCs/>
                <w:color w:val="FF0000"/>
                <w:sz w:val="24"/>
              </w:rPr>
              <w:t xml:space="preserve">月 </w:t>
            </w:r>
            <w:r>
              <w:rPr>
                <w:rFonts w:hint="eastAsia" w:ascii="宋体" w:hAnsi="宋体"/>
                <w:bCs/>
                <w:color w:val="FF0000"/>
                <w:sz w:val="24"/>
                <w:lang w:val="en-US" w:eastAsia="zh-CN"/>
              </w:rPr>
              <w:t>14</w:t>
            </w:r>
            <w:r>
              <w:rPr>
                <w:rFonts w:hint="eastAsia" w:ascii="宋体" w:hAnsi="宋体"/>
                <w:bCs/>
                <w:color w:val="FF0000"/>
                <w:sz w:val="24"/>
              </w:rPr>
              <w:t xml:space="preserve"> 日上午12时，以</w:t>
            </w:r>
            <w:r>
              <w:rPr>
                <w:rFonts w:hint="eastAsia" w:ascii="宋体" w:hAnsi="宋体"/>
                <w:bCs/>
                <w:sz w:val="24"/>
              </w:rPr>
              <w:t>书面传真形式和电子邮件形式发送给采购代理机构。（邮箱地址：</w:t>
            </w:r>
            <w:r>
              <w:rPr>
                <w:rFonts w:hint="eastAsia" w:ascii="宋体" w:hAnsi="宋体"/>
                <w:bCs/>
                <w:sz w:val="24"/>
                <w:u w:val="single"/>
              </w:rPr>
              <w:t>1121384784</w:t>
            </w:r>
            <w:r>
              <w:rPr>
                <w:rFonts w:ascii="宋体" w:hAnsi="宋体"/>
                <w:bCs/>
                <w:sz w:val="24"/>
                <w:u w:val="single"/>
              </w:rPr>
              <w:t>@QQ.com</w:t>
            </w:r>
            <w:r>
              <w:rPr>
                <w:rFonts w:hint="eastAsia" w:ascii="宋体" w:hAnsi="宋体"/>
                <w:bCs/>
                <w:sz w:val="24"/>
              </w:rPr>
              <w:t>）</w:t>
            </w:r>
          </w:p>
          <w:p>
            <w:pPr>
              <w:widowControl/>
              <w:topLinePunct/>
              <w:spacing w:line="360" w:lineRule="auto"/>
              <w:rPr>
                <w:rFonts w:ascii="宋体" w:hAnsi="宋体"/>
                <w:bCs/>
                <w:sz w:val="24"/>
              </w:rPr>
            </w:pPr>
            <w:r>
              <w:rPr>
                <w:rFonts w:hint="eastAsia" w:ascii="宋体" w:hAnsi="宋体"/>
                <w:bCs/>
                <w:color w:val="FF0000"/>
                <w:sz w:val="24"/>
              </w:rPr>
              <w:t xml:space="preserve">答疑时间：2021年 </w:t>
            </w:r>
            <w:r>
              <w:rPr>
                <w:rFonts w:hint="eastAsia" w:ascii="宋体" w:hAnsi="宋体"/>
                <w:bCs/>
                <w:color w:val="FF0000"/>
                <w:sz w:val="24"/>
                <w:lang w:val="en-US" w:eastAsia="zh-CN"/>
              </w:rPr>
              <w:t>12</w:t>
            </w:r>
            <w:r>
              <w:rPr>
                <w:rFonts w:hint="eastAsia" w:ascii="宋体" w:hAnsi="宋体"/>
                <w:bCs/>
                <w:color w:val="FF0000"/>
                <w:sz w:val="24"/>
              </w:rPr>
              <w:t>月1</w:t>
            </w:r>
            <w:r>
              <w:rPr>
                <w:rFonts w:hint="eastAsia" w:ascii="宋体" w:hAnsi="宋体"/>
                <w:bCs/>
                <w:color w:val="FF0000"/>
                <w:sz w:val="24"/>
                <w:lang w:val="en-US" w:eastAsia="zh-CN"/>
              </w:rPr>
              <w:t>4</w:t>
            </w:r>
            <w:r>
              <w:rPr>
                <w:rFonts w:hint="eastAsia" w:ascii="宋体" w:hAnsi="宋体"/>
                <w:bCs/>
                <w:color w:val="FF0000"/>
                <w:sz w:val="24"/>
              </w:rPr>
              <w:t>日下午17时前，</w:t>
            </w:r>
            <w:r>
              <w:rPr>
                <w:rFonts w:hint="eastAsia" w:ascii="宋体" w:hAnsi="宋体"/>
                <w:bCs/>
                <w:sz w:val="24"/>
              </w:rPr>
              <w:t>以书面形式或电子邮件形式发送给各报名投标供应商。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2" w:type="dxa"/>
            <w:gridSpan w:val="2"/>
            <w:vAlign w:val="center"/>
          </w:tcPr>
          <w:p>
            <w:pPr>
              <w:widowControl/>
              <w:topLinePunct/>
              <w:spacing w:line="360" w:lineRule="auto"/>
              <w:jc w:val="center"/>
              <w:rPr>
                <w:color w:val="000000"/>
                <w:sz w:val="24"/>
              </w:rPr>
            </w:pPr>
            <w:r>
              <w:rPr>
                <w:rFonts w:hint="eastAsia" w:ascii="宋体" w:hAnsi="宋体" w:cs="宋体"/>
                <w:color w:val="000000"/>
                <w:sz w:val="24"/>
              </w:rPr>
              <w:t>7</w:t>
            </w:r>
          </w:p>
        </w:tc>
        <w:tc>
          <w:tcPr>
            <w:tcW w:w="8166" w:type="dxa"/>
            <w:vAlign w:val="center"/>
          </w:tcPr>
          <w:p>
            <w:pPr>
              <w:widowControl/>
              <w:topLinePunct/>
              <w:spacing w:line="360" w:lineRule="auto"/>
              <w:rPr>
                <w:rFonts w:ascii="宋体" w:hAnsi="宋体"/>
                <w:color w:val="000000"/>
                <w:sz w:val="24"/>
              </w:rPr>
            </w:pPr>
            <w:r>
              <w:rPr>
                <w:rFonts w:hint="eastAsia" w:ascii="宋体" w:hAnsi="宋体" w:cs="宋体"/>
                <w:kern w:val="0"/>
                <w:sz w:val="24"/>
              </w:rPr>
              <w:t>投标有效期：投标截止之日起90天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2" w:type="dxa"/>
            <w:gridSpan w:val="2"/>
            <w:vAlign w:val="center"/>
          </w:tcPr>
          <w:p>
            <w:pPr>
              <w:widowControl/>
              <w:topLinePunct/>
              <w:spacing w:line="360" w:lineRule="auto"/>
              <w:jc w:val="center"/>
              <w:rPr>
                <w:color w:val="000000"/>
                <w:sz w:val="24"/>
              </w:rPr>
            </w:pPr>
            <w:r>
              <w:rPr>
                <w:rFonts w:hint="eastAsia" w:ascii="宋体" w:hAnsi="宋体" w:cs="宋体"/>
                <w:color w:val="000000"/>
                <w:sz w:val="24"/>
              </w:rPr>
              <w:t>8</w:t>
            </w:r>
          </w:p>
        </w:tc>
        <w:tc>
          <w:tcPr>
            <w:tcW w:w="8166" w:type="dxa"/>
            <w:vAlign w:val="center"/>
          </w:tcPr>
          <w:p>
            <w:pPr>
              <w:widowControl/>
              <w:topLinePunct/>
              <w:spacing w:line="360" w:lineRule="auto"/>
              <w:rPr>
                <w:rFonts w:ascii="宋体" w:hAnsi="宋体"/>
                <w:color w:val="FF0000"/>
                <w:sz w:val="24"/>
              </w:rPr>
            </w:pPr>
            <w:r>
              <w:rPr>
                <w:rFonts w:hint="eastAsia" w:ascii="宋体" w:hAnsi="宋体"/>
                <w:color w:val="FF0000"/>
                <w:sz w:val="24"/>
              </w:rPr>
              <w:t xml:space="preserve">投标文件开始接收时间：2021年 </w:t>
            </w:r>
            <w:r>
              <w:rPr>
                <w:rFonts w:hint="eastAsia" w:ascii="宋体" w:hAnsi="宋体"/>
                <w:color w:val="FF0000"/>
                <w:sz w:val="24"/>
                <w:lang w:val="en-US" w:eastAsia="zh-CN"/>
              </w:rPr>
              <w:t>12</w:t>
            </w:r>
            <w:r>
              <w:rPr>
                <w:rFonts w:hint="eastAsia" w:ascii="宋体" w:hAnsi="宋体"/>
                <w:color w:val="FF0000"/>
                <w:sz w:val="24"/>
              </w:rPr>
              <w:t>月29 日9:00始</w:t>
            </w:r>
          </w:p>
          <w:p>
            <w:pPr>
              <w:widowControl/>
              <w:topLinePunct/>
              <w:spacing w:line="360" w:lineRule="auto"/>
              <w:rPr>
                <w:rFonts w:ascii="宋体" w:hAnsi="宋体"/>
                <w:color w:val="FF0000"/>
                <w:sz w:val="24"/>
              </w:rPr>
            </w:pPr>
            <w:r>
              <w:rPr>
                <w:rFonts w:hint="eastAsia" w:ascii="宋体" w:hAnsi="宋体"/>
                <w:color w:val="FF0000"/>
                <w:sz w:val="24"/>
              </w:rPr>
              <w:t xml:space="preserve">投标文件接受截止时间：2021年 </w:t>
            </w:r>
            <w:r>
              <w:rPr>
                <w:rFonts w:hint="eastAsia" w:ascii="宋体" w:hAnsi="宋体"/>
                <w:color w:val="FF0000"/>
                <w:sz w:val="24"/>
                <w:lang w:val="en-US" w:eastAsia="zh-CN"/>
              </w:rPr>
              <w:t>12</w:t>
            </w:r>
            <w:r>
              <w:rPr>
                <w:rFonts w:hint="eastAsia" w:ascii="宋体" w:hAnsi="宋体"/>
                <w:color w:val="FF0000"/>
                <w:sz w:val="24"/>
              </w:rPr>
              <w:t>月 29 日9:30止</w:t>
            </w:r>
          </w:p>
          <w:p>
            <w:pPr>
              <w:widowControl/>
              <w:topLinePunct/>
              <w:spacing w:line="360" w:lineRule="auto"/>
              <w:rPr>
                <w:rFonts w:ascii="宋体" w:hAnsi="宋体" w:cs="宋体"/>
                <w:kern w:val="0"/>
                <w:sz w:val="24"/>
              </w:rPr>
            </w:pPr>
            <w:r>
              <w:rPr>
                <w:rFonts w:hint="eastAsia" w:ascii="宋体" w:hAnsi="宋体"/>
                <w:color w:val="000000"/>
                <w:sz w:val="24"/>
              </w:rPr>
              <w:t>投标文件接收地点：</w:t>
            </w:r>
            <w:r>
              <w:rPr>
                <w:rFonts w:hint="eastAsia" w:ascii="宋体" w:hAnsi="宋体" w:cs="宋体"/>
                <w:kern w:val="0"/>
                <w:sz w:val="24"/>
              </w:rPr>
              <w:t>无锡市滨湖区隐秀路866号三楼北侧</w:t>
            </w:r>
          </w:p>
          <w:p>
            <w:pPr>
              <w:widowControl/>
              <w:topLinePunct/>
              <w:spacing w:line="360" w:lineRule="auto"/>
              <w:rPr>
                <w:rFonts w:ascii="宋体" w:hAnsi="宋体"/>
                <w:color w:val="000000"/>
                <w:sz w:val="24"/>
              </w:rPr>
            </w:pPr>
            <w:r>
              <w:rPr>
                <w:rFonts w:hint="eastAsia" w:ascii="宋体" w:hAnsi="宋体"/>
                <w:color w:val="000000"/>
                <w:sz w:val="24"/>
              </w:rPr>
              <w:t>投标文件接收人：刘工、毕工</w:t>
            </w:r>
          </w:p>
          <w:p>
            <w:pPr>
              <w:widowControl/>
              <w:topLinePunct/>
              <w:spacing w:line="360" w:lineRule="auto"/>
              <w:rPr>
                <w:rFonts w:ascii="宋体" w:hAnsi="宋体"/>
                <w:color w:val="000000"/>
                <w:sz w:val="24"/>
              </w:rPr>
            </w:pPr>
            <w:r>
              <w:rPr>
                <w:rFonts w:hint="eastAsia" w:ascii="宋体" w:hAnsi="宋体"/>
                <w:color w:val="000000"/>
                <w:sz w:val="24"/>
              </w:rPr>
              <w:t>截止期后的投标文件，恕不接受。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2" w:type="dxa"/>
            <w:gridSpan w:val="2"/>
            <w:vAlign w:val="center"/>
          </w:tcPr>
          <w:p>
            <w:pPr>
              <w:widowControl/>
              <w:topLinePunct/>
              <w:spacing w:line="360" w:lineRule="auto"/>
              <w:jc w:val="center"/>
              <w:rPr>
                <w:rFonts w:ascii="宋体" w:hAnsi="宋体" w:cs="宋体"/>
                <w:color w:val="000000"/>
                <w:sz w:val="24"/>
              </w:rPr>
            </w:pPr>
            <w:r>
              <w:rPr>
                <w:rFonts w:hint="eastAsia" w:ascii="宋体" w:hAnsi="宋体" w:cs="宋体"/>
                <w:color w:val="000000"/>
                <w:sz w:val="24"/>
              </w:rPr>
              <w:t>9</w:t>
            </w:r>
          </w:p>
        </w:tc>
        <w:tc>
          <w:tcPr>
            <w:tcW w:w="8166" w:type="dxa"/>
            <w:vAlign w:val="center"/>
          </w:tcPr>
          <w:p>
            <w:pPr>
              <w:widowControl/>
              <w:topLinePunct/>
              <w:spacing w:line="360" w:lineRule="auto"/>
              <w:rPr>
                <w:rFonts w:ascii="宋体" w:hAnsi="宋体" w:cs="宋体"/>
                <w:color w:val="FF0000"/>
                <w:sz w:val="24"/>
              </w:rPr>
            </w:pPr>
            <w:r>
              <w:rPr>
                <w:rFonts w:hint="eastAsia" w:ascii="宋体" w:hAnsi="宋体" w:cs="宋体"/>
                <w:color w:val="FF0000"/>
                <w:sz w:val="24"/>
              </w:rPr>
              <w:t>开标时间：2021年 1</w:t>
            </w:r>
            <w:r>
              <w:rPr>
                <w:rFonts w:hint="eastAsia" w:ascii="宋体" w:hAnsi="宋体" w:cs="宋体"/>
                <w:color w:val="FF0000"/>
                <w:sz w:val="24"/>
                <w:lang w:val="en-US" w:eastAsia="zh-CN"/>
              </w:rPr>
              <w:t>2</w:t>
            </w:r>
            <w:r>
              <w:rPr>
                <w:rFonts w:hint="eastAsia" w:ascii="宋体" w:hAnsi="宋体" w:cs="宋体"/>
                <w:color w:val="FF0000"/>
                <w:sz w:val="24"/>
              </w:rPr>
              <w:t>月 29 日9：30</w:t>
            </w:r>
          </w:p>
          <w:p>
            <w:pPr>
              <w:widowControl/>
              <w:topLinePunct/>
              <w:spacing w:line="360" w:lineRule="auto"/>
              <w:rPr>
                <w:rFonts w:ascii="宋体" w:hAnsi="宋体" w:cs="宋体"/>
                <w:color w:val="000000"/>
                <w:sz w:val="24"/>
              </w:rPr>
            </w:pPr>
            <w:r>
              <w:rPr>
                <w:rFonts w:hint="eastAsia" w:ascii="宋体" w:hAnsi="宋体" w:cs="宋体"/>
                <w:color w:val="000000"/>
                <w:sz w:val="24"/>
              </w:rPr>
              <w:t>开标地点：</w:t>
            </w:r>
            <w:r>
              <w:rPr>
                <w:rFonts w:hint="eastAsia" w:ascii="宋体" w:hAnsi="宋体" w:cs="宋体"/>
                <w:kern w:val="0"/>
                <w:sz w:val="24"/>
              </w:rPr>
              <w:t>无锡市滨湖区隐秀路866号三楼北侧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2" w:type="dxa"/>
            <w:gridSpan w:val="2"/>
            <w:vAlign w:val="center"/>
          </w:tcPr>
          <w:p>
            <w:pPr>
              <w:widowControl/>
              <w:topLinePunct/>
              <w:spacing w:line="360" w:lineRule="auto"/>
              <w:jc w:val="center"/>
              <w:rPr>
                <w:rFonts w:ascii="宋体" w:hAnsi="宋体" w:cs="宋体"/>
                <w:color w:val="000000"/>
                <w:sz w:val="24"/>
              </w:rPr>
            </w:pPr>
            <w:r>
              <w:rPr>
                <w:rFonts w:hint="eastAsia" w:ascii="宋体" w:hAnsi="宋体" w:cs="宋体"/>
                <w:color w:val="000000"/>
                <w:sz w:val="24"/>
              </w:rPr>
              <w:t>10</w:t>
            </w:r>
          </w:p>
        </w:tc>
        <w:tc>
          <w:tcPr>
            <w:tcW w:w="8166" w:type="dxa"/>
            <w:vAlign w:val="center"/>
          </w:tcPr>
          <w:p>
            <w:pPr>
              <w:widowControl/>
              <w:topLinePunct/>
              <w:spacing w:line="360" w:lineRule="auto"/>
              <w:rPr>
                <w:rFonts w:ascii="宋体" w:hAnsi="宋体" w:cs="宋体"/>
                <w:color w:val="FF0000"/>
                <w:sz w:val="24"/>
              </w:rPr>
            </w:pPr>
            <w:r>
              <w:rPr>
                <w:rFonts w:hint="eastAsia" w:ascii="宋体" w:hAnsi="宋体" w:cs="宋体"/>
                <w:color w:val="FF0000"/>
                <w:sz w:val="24"/>
              </w:rPr>
              <w:t>确定中标单位时间：2021年 1</w:t>
            </w:r>
            <w:r>
              <w:rPr>
                <w:rFonts w:hint="eastAsia" w:ascii="宋体" w:hAnsi="宋体" w:cs="宋体"/>
                <w:color w:val="FF0000"/>
                <w:sz w:val="24"/>
                <w:lang w:val="en-US" w:eastAsia="zh-CN"/>
              </w:rPr>
              <w:t>2</w:t>
            </w:r>
            <w:r>
              <w:rPr>
                <w:rFonts w:hint="eastAsia" w:ascii="宋体" w:hAnsi="宋体" w:cs="宋体"/>
                <w:color w:val="FF0000"/>
                <w:sz w:val="24"/>
              </w:rPr>
              <w:t>月 29 日评审结束</w:t>
            </w:r>
          </w:p>
          <w:p>
            <w:pPr>
              <w:widowControl/>
              <w:topLinePunct/>
              <w:spacing w:line="360" w:lineRule="auto"/>
              <w:rPr>
                <w:rFonts w:ascii="宋体" w:hAnsi="宋体" w:cs="宋体"/>
                <w:color w:val="000000"/>
                <w:sz w:val="24"/>
              </w:rPr>
            </w:pPr>
            <w:r>
              <w:rPr>
                <w:rFonts w:hint="eastAsia" w:ascii="宋体" w:hAnsi="宋体" w:cs="宋体"/>
                <w:color w:val="000000"/>
                <w:sz w:val="24"/>
              </w:rPr>
              <w:t>确定中标单位地点：</w:t>
            </w:r>
            <w:r>
              <w:rPr>
                <w:rFonts w:hint="eastAsia" w:ascii="宋体" w:hAnsi="宋体"/>
                <w:sz w:val="24"/>
              </w:rPr>
              <w:t>无锡市滨湖区隐秀路866号三楼北侧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2" w:type="dxa"/>
            <w:gridSpan w:val="2"/>
            <w:vAlign w:val="center"/>
          </w:tcPr>
          <w:p>
            <w:pPr>
              <w:widowControl/>
              <w:topLinePunct/>
              <w:spacing w:line="360" w:lineRule="auto"/>
              <w:jc w:val="center"/>
              <w:rPr>
                <w:rFonts w:ascii="宋体" w:hAnsi="宋体" w:cs="宋体"/>
                <w:color w:val="000000"/>
                <w:sz w:val="24"/>
              </w:rPr>
            </w:pPr>
            <w:r>
              <w:rPr>
                <w:rFonts w:hint="eastAsia" w:ascii="宋体" w:hAnsi="宋体" w:cs="宋体"/>
                <w:color w:val="000000"/>
                <w:sz w:val="24"/>
              </w:rPr>
              <w:t>11</w:t>
            </w:r>
          </w:p>
        </w:tc>
        <w:tc>
          <w:tcPr>
            <w:tcW w:w="8166" w:type="dxa"/>
            <w:vAlign w:val="center"/>
          </w:tcPr>
          <w:p>
            <w:pPr>
              <w:widowControl/>
              <w:topLinePunct/>
              <w:spacing w:line="360" w:lineRule="auto"/>
              <w:rPr>
                <w:rFonts w:ascii="宋体" w:hAnsi="宋体" w:cs="宋体"/>
                <w:color w:val="000000"/>
                <w:sz w:val="24"/>
              </w:rPr>
            </w:pPr>
            <w:r>
              <w:rPr>
                <w:rFonts w:hint="eastAsia" w:ascii="宋体" w:hAnsi="宋体" w:cs="宋体"/>
                <w:color w:val="000000"/>
                <w:sz w:val="24"/>
              </w:rPr>
              <w:t>投标文件份数：一正四副。</w:t>
            </w:r>
            <w:r>
              <w:rPr>
                <w:rFonts w:hint="eastAsia" w:ascii="宋体" w:hAnsi="宋体" w:cs="宋体"/>
                <w:sz w:val="24"/>
                <w:lang w:bidi="ar"/>
              </w:rPr>
              <w:t>投标文件电子U盘一张（在U盘上清楚的标明投标供应商名称、项目名称）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392" w:type="dxa"/>
            <w:gridSpan w:val="2"/>
            <w:vAlign w:val="center"/>
          </w:tcPr>
          <w:p>
            <w:pPr>
              <w:widowControl/>
              <w:topLinePunct/>
              <w:spacing w:line="360" w:lineRule="auto"/>
              <w:jc w:val="center"/>
              <w:rPr>
                <w:rFonts w:ascii="宋体" w:hAnsi="宋体" w:cs="宋体"/>
                <w:color w:val="000000"/>
                <w:sz w:val="24"/>
              </w:rPr>
            </w:pPr>
            <w:r>
              <w:rPr>
                <w:rFonts w:hint="eastAsia" w:ascii="宋体" w:hAnsi="宋体" w:cs="宋体"/>
                <w:color w:val="000000"/>
                <w:sz w:val="24"/>
              </w:rPr>
              <w:t>12</w:t>
            </w:r>
          </w:p>
        </w:tc>
        <w:tc>
          <w:tcPr>
            <w:tcW w:w="8166" w:type="dxa"/>
            <w:vAlign w:val="center"/>
          </w:tcPr>
          <w:p>
            <w:pPr>
              <w:widowControl/>
              <w:topLinePunct/>
              <w:spacing w:line="360" w:lineRule="auto"/>
              <w:rPr>
                <w:rFonts w:ascii="宋体" w:hAnsi="宋体" w:cs="宋体"/>
                <w:sz w:val="24"/>
              </w:rPr>
            </w:pPr>
            <w:r>
              <w:rPr>
                <w:rFonts w:hint="eastAsia" w:ascii="宋体" w:hAnsi="宋体" w:cs="宋体"/>
                <w:sz w:val="24"/>
              </w:rPr>
              <w:t>本项目设最高限价：177.6540万元，投标</w:t>
            </w:r>
            <w:r>
              <w:rPr>
                <w:rFonts w:hint="eastAsia" w:ascii="宋体" w:hAnsi="宋体" w:cs="宋体"/>
                <w:kern w:val="0"/>
                <w:sz w:val="24"/>
              </w:rPr>
              <w:t>报价超过最高限价的为无效报价，按照无效标处理。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2" w:type="dxa"/>
            <w:gridSpan w:val="2"/>
            <w:vAlign w:val="center"/>
          </w:tcPr>
          <w:p>
            <w:pPr>
              <w:widowControl/>
              <w:topLinePunct/>
              <w:spacing w:line="360" w:lineRule="auto"/>
              <w:jc w:val="center"/>
              <w:rPr>
                <w:rFonts w:ascii="宋体" w:hAnsi="宋体" w:cs="宋体"/>
                <w:color w:val="000000"/>
                <w:sz w:val="24"/>
              </w:rPr>
            </w:pPr>
            <w:r>
              <w:rPr>
                <w:rFonts w:hint="eastAsia" w:ascii="宋体" w:hAnsi="宋体" w:cs="宋体"/>
                <w:color w:val="000000"/>
                <w:sz w:val="24"/>
              </w:rPr>
              <w:t>13</w:t>
            </w:r>
          </w:p>
        </w:tc>
        <w:tc>
          <w:tcPr>
            <w:tcW w:w="8166" w:type="dxa"/>
            <w:vAlign w:val="center"/>
          </w:tcPr>
          <w:p>
            <w:pPr>
              <w:widowControl/>
              <w:topLinePunct/>
              <w:spacing w:line="360" w:lineRule="auto"/>
              <w:rPr>
                <w:rFonts w:ascii="宋体" w:hAnsi="宋体" w:cs="宋体"/>
                <w:color w:val="000000"/>
                <w:sz w:val="24"/>
              </w:rPr>
            </w:pPr>
            <w:r>
              <w:rPr>
                <w:rFonts w:hint="eastAsia" w:ascii="宋体" w:hAnsi="宋体" w:cs="宋体"/>
                <w:sz w:val="24"/>
                <w:lang w:bidi="ar"/>
              </w:rPr>
              <w:t>1）凡进入开评标现场的人员，参与采购活动的相关人员，应当预留进场核验时间，自觉服从采购人、采购代理机构现场安排，如实提供相关信息，自觉遵守会场纪律。进场人员应当自觉做好个人防护，自行戴好口罩、做好手部卫生消毒等。供应商参加现场开评标活动的，必须按照无锡市财政局《关于疫情防控期间开展政府采购活动有关事项的公告》锡财购告〔2020〕2号（http://cz.wuxi.gov.cn/doc/2020/02/25/2837679.shtml）、无锡市新型冠状病毒感染的肺炎疫情防控应急指挥部《关于启用“锡康码”的通告》（第12号）和《关于全面使用“锡康码”落实疫情精准防控措施的通告》（第13号）等规定，每家供应商委派人数不得超过2人。注：投标供应商应考虑完成上述程序所需时间，提前进入开标地点，不能在响应文件递交截止时间前参加报价所造成的风险及损失，由投标供应商自行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2" w:type="dxa"/>
            <w:gridSpan w:val="2"/>
            <w:vAlign w:val="center"/>
          </w:tcPr>
          <w:p>
            <w:pPr>
              <w:snapToGrid w:val="0"/>
              <w:spacing w:line="300" w:lineRule="auto"/>
              <w:jc w:val="center"/>
              <w:rPr>
                <w:rFonts w:ascii="宋体" w:hAnsi="宋体" w:cs="宋体"/>
                <w:bCs/>
                <w:sz w:val="24"/>
              </w:rPr>
            </w:pPr>
            <w:r>
              <w:rPr>
                <w:rFonts w:hint="eastAsia" w:ascii="宋体" w:hAnsi="宋体" w:cs="宋体"/>
                <w:bCs/>
                <w:sz w:val="24"/>
                <w:lang w:bidi="ar"/>
              </w:rPr>
              <w:t>14</w:t>
            </w:r>
          </w:p>
        </w:tc>
        <w:tc>
          <w:tcPr>
            <w:tcW w:w="8166" w:type="dxa"/>
            <w:vAlign w:val="center"/>
          </w:tcPr>
          <w:p>
            <w:pPr>
              <w:snapToGrid w:val="0"/>
              <w:spacing w:line="300" w:lineRule="auto"/>
              <w:rPr>
                <w:rFonts w:ascii="宋体" w:hAnsi="宋体" w:cs="宋体"/>
                <w:bCs/>
                <w:sz w:val="24"/>
                <w:lang w:bidi="ar"/>
              </w:rPr>
            </w:pPr>
            <w:r>
              <w:rPr>
                <w:rFonts w:hint="eastAsia" w:ascii="宋体" w:hAnsi="宋体" w:cs="宋体"/>
                <w:bCs/>
                <w:sz w:val="24"/>
                <w:lang w:bidi="ar"/>
              </w:rPr>
              <w:t>采购人：无锡市锡山区人民政府云林街道办事处</w:t>
            </w:r>
          </w:p>
          <w:p>
            <w:pPr>
              <w:snapToGrid w:val="0"/>
              <w:spacing w:line="300" w:lineRule="auto"/>
              <w:rPr>
                <w:rFonts w:ascii="宋体" w:hAnsi="宋体" w:cs="宋体"/>
                <w:bCs/>
                <w:sz w:val="24"/>
                <w:lang w:bidi="ar"/>
              </w:rPr>
            </w:pPr>
            <w:r>
              <w:rPr>
                <w:rFonts w:hint="eastAsia" w:ascii="宋体" w:hAnsi="宋体" w:cs="宋体"/>
                <w:bCs/>
                <w:sz w:val="24"/>
                <w:lang w:bidi="ar"/>
              </w:rPr>
              <w:t>联系人： 蒋苏苑</w:t>
            </w:r>
          </w:p>
          <w:p>
            <w:pPr>
              <w:snapToGrid w:val="0"/>
              <w:spacing w:line="300" w:lineRule="auto"/>
              <w:rPr>
                <w:rFonts w:ascii="宋体" w:hAnsi="宋体" w:cs="宋体"/>
                <w:bCs/>
                <w:sz w:val="24"/>
              </w:rPr>
            </w:pPr>
            <w:r>
              <w:rPr>
                <w:rFonts w:hint="eastAsia" w:ascii="宋体" w:hAnsi="宋体" w:cs="宋体"/>
                <w:bCs/>
                <w:sz w:val="24"/>
                <w:lang w:bidi="ar"/>
              </w:rPr>
              <w:t>联系电话：</w:t>
            </w:r>
            <w:r>
              <w:rPr>
                <w:rFonts w:ascii="宋体" w:hAnsi="宋体" w:cs="宋体"/>
                <w:bCs/>
                <w:sz w:val="24"/>
              </w:rPr>
              <w:t>0510-88219080</w:t>
            </w:r>
          </w:p>
          <w:p>
            <w:pPr>
              <w:snapToGrid w:val="0"/>
              <w:spacing w:line="300" w:lineRule="auto"/>
              <w:rPr>
                <w:rFonts w:ascii="宋体" w:hAnsi="宋体" w:cs="宋体"/>
                <w:bCs/>
                <w:sz w:val="24"/>
                <w:lang w:bidi="ar"/>
              </w:rPr>
            </w:pPr>
            <w:r>
              <w:rPr>
                <w:rFonts w:hint="eastAsia" w:ascii="宋体" w:hAnsi="宋体" w:cs="宋体"/>
                <w:bCs/>
                <w:sz w:val="24"/>
                <w:lang w:bidi="ar"/>
              </w:rPr>
              <w:t>联系地址：无锡市锡山区云林街道春雷路10号</w:t>
            </w:r>
          </w:p>
          <w:p>
            <w:pPr>
              <w:snapToGrid w:val="0"/>
              <w:spacing w:line="300" w:lineRule="auto"/>
              <w:rPr>
                <w:rFonts w:ascii="宋体" w:hAnsi="宋体" w:cs="宋体"/>
                <w:bCs/>
                <w:sz w:val="24"/>
                <w:lang w:bidi="ar"/>
              </w:rPr>
            </w:pPr>
            <w:r>
              <w:rPr>
                <w:rFonts w:hint="eastAsia" w:ascii="宋体" w:hAnsi="宋体" w:cs="宋体"/>
                <w:bCs/>
                <w:sz w:val="24"/>
                <w:lang w:bidi="ar"/>
              </w:rPr>
              <w:t>采购代理机构：无锡众邦技术咨询有限公司</w:t>
            </w:r>
          </w:p>
          <w:p>
            <w:pPr>
              <w:snapToGrid w:val="0"/>
              <w:spacing w:line="300" w:lineRule="auto"/>
              <w:rPr>
                <w:rFonts w:ascii="宋体" w:hAnsi="宋体" w:cs="宋体"/>
                <w:bCs/>
                <w:sz w:val="24"/>
                <w:lang w:bidi="ar"/>
              </w:rPr>
            </w:pPr>
            <w:r>
              <w:rPr>
                <w:rFonts w:hint="eastAsia" w:ascii="宋体" w:hAnsi="宋体" w:cs="宋体"/>
                <w:bCs/>
                <w:sz w:val="24"/>
                <w:lang w:bidi="ar"/>
              </w:rPr>
              <w:t>联系人：刘曾辰、毕长清</w:t>
            </w:r>
          </w:p>
          <w:p>
            <w:pPr>
              <w:snapToGrid w:val="0"/>
              <w:spacing w:line="300" w:lineRule="auto"/>
              <w:rPr>
                <w:rFonts w:ascii="宋体" w:hAnsi="宋体" w:cs="宋体"/>
                <w:bCs/>
                <w:sz w:val="24"/>
                <w:lang w:bidi="ar"/>
              </w:rPr>
            </w:pPr>
            <w:r>
              <w:rPr>
                <w:rFonts w:hint="eastAsia" w:ascii="宋体" w:hAnsi="宋体" w:cs="宋体"/>
                <w:bCs/>
                <w:sz w:val="24"/>
                <w:lang w:bidi="ar"/>
              </w:rPr>
              <w:t xml:space="preserve">联系电话：0510-82810100 、18552077325    </w:t>
            </w:r>
          </w:p>
          <w:p>
            <w:pPr>
              <w:snapToGrid w:val="0"/>
              <w:spacing w:line="300" w:lineRule="auto"/>
              <w:rPr>
                <w:rFonts w:ascii="宋体" w:hAnsi="宋体" w:cs="宋体"/>
                <w:bCs/>
                <w:sz w:val="24"/>
                <w:lang w:bidi="ar"/>
              </w:rPr>
            </w:pPr>
            <w:r>
              <w:rPr>
                <w:rFonts w:hint="eastAsia" w:ascii="宋体" w:hAnsi="宋体" w:cs="宋体"/>
                <w:bCs/>
                <w:sz w:val="24"/>
                <w:lang w:bidi="ar"/>
              </w:rPr>
              <w:t>电子邮箱：1121384784@qq.com</w:t>
            </w:r>
          </w:p>
          <w:p>
            <w:pPr>
              <w:snapToGrid w:val="0"/>
              <w:spacing w:line="300" w:lineRule="auto"/>
              <w:rPr>
                <w:rFonts w:ascii="宋体" w:hAnsi="宋体" w:cs="宋体"/>
                <w:bCs/>
                <w:sz w:val="24"/>
                <w:lang w:bidi="ar"/>
              </w:rPr>
            </w:pPr>
            <w:r>
              <w:rPr>
                <w:rFonts w:hint="eastAsia" w:ascii="宋体" w:hAnsi="宋体" w:cs="宋体"/>
                <w:bCs/>
                <w:sz w:val="24"/>
                <w:lang w:bidi="ar"/>
              </w:rPr>
              <w:t>联系地址：</w:t>
            </w:r>
            <w:r>
              <w:rPr>
                <w:rFonts w:hint="eastAsia" w:ascii="宋体" w:hAnsi="宋体" w:cs="宋体"/>
                <w:sz w:val="24"/>
                <w:lang w:bidi="ar"/>
              </w:rPr>
              <w:t>无锡市滨湖区隐秀路866号三楼北侧</w:t>
            </w:r>
          </w:p>
          <w:p>
            <w:pPr>
              <w:snapToGrid w:val="0"/>
              <w:spacing w:line="300" w:lineRule="auto"/>
              <w:rPr>
                <w:rFonts w:ascii="宋体" w:hAnsi="宋体" w:cs="宋体"/>
                <w:sz w:val="24"/>
              </w:rPr>
            </w:pPr>
            <w:r>
              <w:rPr>
                <w:rFonts w:hint="eastAsia" w:ascii="宋体" w:hAnsi="宋体" w:cs="宋体"/>
                <w:bCs/>
                <w:sz w:val="24"/>
                <w:lang w:bidi="ar"/>
              </w:rPr>
              <w:t>有关本次采购活动程序方面的问题,可来人、来函（传真）或电话联系。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2" w:type="dxa"/>
            <w:gridSpan w:val="2"/>
            <w:vAlign w:val="center"/>
          </w:tcPr>
          <w:p>
            <w:pPr>
              <w:snapToGrid w:val="0"/>
              <w:spacing w:line="300" w:lineRule="auto"/>
              <w:jc w:val="center"/>
              <w:rPr>
                <w:rFonts w:ascii="宋体" w:hAnsi="宋体" w:cs="宋体"/>
                <w:sz w:val="24"/>
                <w:lang w:bidi="ar"/>
              </w:rPr>
            </w:pPr>
            <w:r>
              <w:rPr>
                <w:rFonts w:hint="eastAsia" w:ascii="宋体" w:hAnsi="宋体" w:cs="宋体"/>
                <w:sz w:val="24"/>
                <w:lang w:bidi="ar"/>
              </w:rPr>
              <w:t>15</w:t>
            </w:r>
          </w:p>
        </w:tc>
        <w:tc>
          <w:tcPr>
            <w:tcW w:w="8166" w:type="dxa"/>
            <w:vAlign w:val="center"/>
          </w:tcPr>
          <w:p>
            <w:pPr>
              <w:snapToGrid w:val="0"/>
              <w:spacing w:line="300" w:lineRule="auto"/>
              <w:jc w:val="left"/>
              <w:rPr>
                <w:rFonts w:ascii="宋体" w:hAnsi="宋体" w:cs="宋体"/>
                <w:sz w:val="24"/>
                <w:lang w:bidi="ar"/>
              </w:rPr>
            </w:pPr>
            <w:r>
              <w:rPr>
                <w:rFonts w:hint="eastAsia" w:ascii="宋体" w:hAnsi="宋体" w:cs="宋体"/>
                <w:sz w:val="24"/>
                <w:lang w:bidi="ar"/>
              </w:rPr>
              <w:t>供应商的履约保证金：合同金额的10％。</w:t>
            </w:r>
          </w:p>
        </w:tc>
      </w:tr>
    </w:tbl>
    <w:p>
      <w:pPr>
        <w:widowControl/>
        <w:topLinePunct/>
        <w:jc w:val="center"/>
        <w:rPr>
          <w:rFonts w:ascii="黑体" w:eastAsia="黑体"/>
          <w:b/>
          <w:color w:val="000000"/>
          <w:sz w:val="44"/>
          <w:szCs w:val="44"/>
        </w:rPr>
      </w:pPr>
    </w:p>
    <w:p>
      <w:pPr>
        <w:pStyle w:val="15"/>
        <w:ind w:firstLine="0" w:firstLineChars="0"/>
        <w:rPr>
          <w:rFonts w:ascii="黑体" w:eastAsia="黑体"/>
          <w:b/>
          <w:color w:val="000000"/>
          <w:sz w:val="44"/>
          <w:szCs w:val="44"/>
        </w:rPr>
      </w:pPr>
    </w:p>
    <w:p>
      <w:pPr>
        <w:pStyle w:val="15"/>
        <w:ind w:firstLine="0" w:firstLineChars="0"/>
        <w:rPr>
          <w:rFonts w:ascii="黑体" w:eastAsia="黑体"/>
          <w:b/>
          <w:color w:val="000000"/>
          <w:sz w:val="44"/>
          <w:szCs w:val="44"/>
        </w:rPr>
      </w:pPr>
    </w:p>
    <w:p>
      <w:pPr>
        <w:pStyle w:val="15"/>
        <w:ind w:firstLine="0" w:firstLineChars="0"/>
        <w:rPr>
          <w:rFonts w:ascii="黑体" w:eastAsia="黑体"/>
          <w:b/>
          <w:color w:val="000000"/>
          <w:sz w:val="44"/>
          <w:szCs w:val="44"/>
        </w:rPr>
      </w:pPr>
    </w:p>
    <w:p>
      <w:pPr>
        <w:spacing w:line="360" w:lineRule="auto"/>
        <w:rPr>
          <w:rFonts w:ascii="黑体" w:hAnsi="黑体" w:eastAsia="黑体"/>
          <w:b/>
          <w:color w:val="000000"/>
          <w:sz w:val="44"/>
          <w:szCs w:val="44"/>
        </w:rPr>
      </w:pPr>
    </w:p>
    <w:p>
      <w:pPr>
        <w:spacing w:line="360" w:lineRule="auto"/>
        <w:jc w:val="center"/>
        <w:rPr>
          <w:rFonts w:ascii="黑体" w:hAnsi="黑体" w:eastAsia="黑体"/>
          <w:b/>
          <w:color w:val="000000"/>
          <w:sz w:val="44"/>
          <w:szCs w:val="44"/>
        </w:rPr>
      </w:pPr>
      <w:r>
        <w:rPr>
          <w:rFonts w:hint="eastAsia" w:ascii="黑体" w:hAnsi="黑体" w:eastAsia="黑体"/>
          <w:b/>
          <w:color w:val="000000"/>
          <w:sz w:val="44"/>
          <w:szCs w:val="44"/>
        </w:rPr>
        <w:t>第二部分. 投标人须知</w:t>
      </w:r>
    </w:p>
    <w:p>
      <w:pPr>
        <w:spacing w:line="360" w:lineRule="auto"/>
        <w:ind w:firstLine="240" w:firstLineChars="100"/>
        <w:outlineLvl w:val="0"/>
        <w:rPr>
          <w:rFonts w:ascii="宋体" w:hAnsi="宋体"/>
          <w:color w:val="000000"/>
          <w:sz w:val="24"/>
        </w:rPr>
      </w:pPr>
      <w:r>
        <w:rPr>
          <w:rFonts w:hint="eastAsia" w:ascii="宋体" w:hAnsi="宋体"/>
          <w:color w:val="000000"/>
          <w:sz w:val="24"/>
        </w:rPr>
        <w:t>（一）遵循原则：</w:t>
      </w:r>
    </w:p>
    <w:p>
      <w:pPr>
        <w:spacing w:line="360" w:lineRule="auto"/>
        <w:ind w:firstLine="240" w:firstLineChars="100"/>
        <w:rPr>
          <w:rFonts w:ascii="宋体" w:hAnsi="宋体"/>
          <w:color w:val="000000"/>
          <w:sz w:val="24"/>
        </w:rPr>
      </w:pPr>
      <w:r>
        <w:rPr>
          <w:rFonts w:hint="eastAsia" w:ascii="宋体" w:hAnsi="宋体"/>
          <w:color w:val="000000"/>
          <w:sz w:val="24"/>
        </w:rPr>
        <w:t>公开透明原则、公平竞争原则、公正原则和诚实信用原则。</w:t>
      </w:r>
    </w:p>
    <w:p>
      <w:pPr>
        <w:spacing w:line="360" w:lineRule="auto"/>
        <w:ind w:firstLine="240" w:firstLineChars="100"/>
        <w:outlineLvl w:val="0"/>
        <w:rPr>
          <w:rFonts w:ascii="宋体" w:hAnsi="宋体"/>
          <w:color w:val="000000"/>
          <w:sz w:val="24"/>
        </w:rPr>
      </w:pPr>
      <w:r>
        <w:rPr>
          <w:rFonts w:hint="eastAsia" w:ascii="宋体" w:hAnsi="宋体"/>
          <w:color w:val="000000"/>
          <w:sz w:val="24"/>
        </w:rPr>
        <w:t>（二）招标文件：</w:t>
      </w:r>
    </w:p>
    <w:p>
      <w:pPr>
        <w:spacing w:line="360" w:lineRule="auto"/>
        <w:ind w:firstLine="360" w:firstLineChars="150"/>
        <w:rPr>
          <w:rFonts w:ascii="宋体" w:hAnsi="宋体"/>
          <w:color w:val="000000"/>
          <w:sz w:val="24"/>
        </w:rPr>
      </w:pPr>
      <w:r>
        <w:rPr>
          <w:rFonts w:hint="eastAsia" w:ascii="宋体" w:hAnsi="宋体"/>
          <w:color w:val="000000"/>
          <w:sz w:val="24"/>
        </w:rPr>
        <w:t>1．招标文件包括文件目录所列全部内容，投标人应仔细阅读，并在投标文件中充分反映招标文件的所有要求。</w:t>
      </w:r>
    </w:p>
    <w:p>
      <w:pPr>
        <w:spacing w:line="360" w:lineRule="auto"/>
        <w:ind w:firstLine="360" w:firstLineChars="150"/>
        <w:rPr>
          <w:rFonts w:ascii="宋体" w:hAnsi="宋体"/>
          <w:color w:val="000000"/>
          <w:sz w:val="24"/>
        </w:rPr>
      </w:pPr>
      <w:r>
        <w:rPr>
          <w:rFonts w:hint="eastAsia" w:ascii="宋体" w:hAnsi="宋体"/>
          <w:color w:val="000000"/>
          <w:sz w:val="24"/>
        </w:rPr>
        <w:t>2．投标人应向无锡众邦技术咨询有限公司购买文件及有关资料，按采购文件要求提交全部资料并对采购文件各项内容做出实质性响应，否则该投标供应商的投标无效。</w:t>
      </w:r>
    </w:p>
    <w:p>
      <w:pPr>
        <w:spacing w:line="360" w:lineRule="auto"/>
        <w:ind w:firstLine="360" w:firstLineChars="150"/>
        <w:rPr>
          <w:rFonts w:ascii="宋体" w:hAnsi="宋体"/>
          <w:color w:val="000000"/>
          <w:sz w:val="24"/>
        </w:rPr>
      </w:pPr>
      <w:r>
        <w:rPr>
          <w:rFonts w:hint="eastAsia" w:ascii="宋体" w:hAnsi="宋体"/>
          <w:color w:val="000000"/>
          <w:sz w:val="24"/>
        </w:rPr>
        <w:t>3．投标人一旦参加本项目投标，即表明承诺接受了本招标文件中所有条件和规定。</w:t>
      </w:r>
    </w:p>
    <w:p>
      <w:pPr>
        <w:spacing w:line="360" w:lineRule="auto"/>
        <w:ind w:firstLine="360" w:firstLineChars="150"/>
        <w:rPr>
          <w:rFonts w:ascii="宋体" w:hAnsi="宋体"/>
          <w:color w:val="000000"/>
          <w:sz w:val="24"/>
        </w:rPr>
      </w:pPr>
      <w:r>
        <w:rPr>
          <w:rFonts w:hint="eastAsia" w:ascii="宋体" w:hAnsi="宋体"/>
          <w:color w:val="000000"/>
          <w:sz w:val="24"/>
        </w:rPr>
        <w:t>4．招标文件一经售出、一律不退，且仅作为本次采购招标使用。</w:t>
      </w:r>
    </w:p>
    <w:p>
      <w:pPr>
        <w:spacing w:line="360" w:lineRule="auto"/>
        <w:ind w:firstLine="240" w:firstLineChars="100"/>
        <w:outlineLvl w:val="0"/>
        <w:rPr>
          <w:rFonts w:ascii="宋体" w:hAnsi="宋体"/>
          <w:color w:val="000000"/>
          <w:sz w:val="24"/>
        </w:rPr>
      </w:pPr>
      <w:r>
        <w:rPr>
          <w:rFonts w:hint="eastAsia" w:ascii="宋体" w:hAnsi="宋体"/>
          <w:color w:val="000000"/>
          <w:sz w:val="24"/>
        </w:rPr>
        <w:t>（三）招标文件的解释：</w:t>
      </w:r>
    </w:p>
    <w:p>
      <w:pPr>
        <w:spacing w:line="360" w:lineRule="auto"/>
        <w:ind w:firstLine="480" w:firstLineChars="200"/>
        <w:rPr>
          <w:rFonts w:ascii="宋体" w:hAnsi="宋体"/>
          <w:color w:val="000000"/>
          <w:sz w:val="24"/>
        </w:rPr>
      </w:pPr>
      <w:r>
        <w:rPr>
          <w:rFonts w:hint="eastAsia" w:ascii="宋体" w:hAnsi="宋体"/>
          <w:color w:val="000000"/>
          <w:sz w:val="24"/>
        </w:rPr>
        <w:t>1．投标人如有需要对招标文件要求澄清的问题，请以书面方式提出，并按“投标邀请”第6项规定的时间将电子邮件及书面传真（两种形式均须发送）至无锡众邦技术咨询有限公司，联系方式详见投标邀请第14项。</w:t>
      </w:r>
    </w:p>
    <w:p>
      <w:pPr>
        <w:spacing w:line="360" w:lineRule="auto"/>
        <w:ind w:firstLine="480" w:firstLineChars="200"/>
        <w:rPr>
          <w:rFonts w:ascii="宋体" w:hAnsi="宋体"/>
          <w:color w:val="000000"/>
          <w:sz w:val="24"/>
        </w:rPr>
      </w:pPr>
      <w:r>
        <w:rPr>
          <w:rFonts w:hint="eastAsia" w:ascii="宋体" w:hAnsi="宋体"/>
          <w:color w:val="000000"/>
          <w:sz w:val="24"/>
        </w:rPr>
        <w:t>2．采购人、无锡众邦技术咨询有限公司将按“投标邀请”第6项规定的时间对投标人针对招标文件书面提出的要求澄清的问题进行书面答疑。</w:t>
      </w:r>
    </w:p>
    <w:p>
      <w:pPr>
        <w:spacing w:line="360" w:lineRule="auto"/>
        <w:ind w:firstLine="480" w:firstLineChars="200"/>
        <w:rPr>
          <w:rFonts w:ascii="宋体" w:hAnsi="宋体"/>
          <w:color w:val="000000"/>
          <w:sz w:val="24"/>
        </w:rPr>
      </w:pPr>
      <w:r>
        <w:rPr>
          <w:rFonts w:hint="eastAsia" w:ascii="宋体" w:hAnsi="宋体"/>
          <w:color w:val="000000"/>
          <w:sz w:val="24"/>
        </w:rPr>
        <w:t>3．本文件的最终解释权归采购人。</w:t>
      </w:r>
    </w:p>
    <w:p>
      <w:pPr>
        <w:spacing w:line="360" w:lineRule="auto"/>
        <w:ind w:firstLine="240" w:firstLineChars="100"/>
        <w:outlineLvl w:val="0"/>
        <w:rPr>
          <w:rFonts w:ascii="宋体" w:hAnsi="宋体"/>
          <w:color w:val="000000"/>
          <w:sz w:val="24"/>
        </w:rPr>
      </w:pPr>
      <w:r>
        <w:rPr>
          <w:rFonts w:hint="eastAsia" w:ascii="宋体" w:hAnsi="宋体"/>
          <w:color w:val="000000"/>
          <w:sz w:val="24"/>
        </w:rPr>
        <w:t>（四）招标文件的补充或修正：</w:t>
      </w:r>
    </w:p>
    <w:p>
      <w:pPr>
        <w:spacing w:line="360" w:lineRule="auto"/>
        <w:ind w:firstLine="480" w:firstLineChars="200"/>
        <w:rPr>
          <w:rFonts w:ascii="宋体" w:hAnsi="宋体"/>
          <w:color w:val="000000"/>
          <w:sz w:val="24"/>
        </w:rPr>
      </w:pPr>
      <w:r>
        <w:rPr>
          <w:rFonts w:hint="eastAsia" w:ascii="宋体" w:hAnsi="宋体"/>
          <w:color w:val="000000"/>
          <w:sz w:val="24"/>
        </w:rPr>
        <w:t>1．采购人或者采购代理机构可以对已发出的招标文件进行必要的澄清或者修改，澄清或者修改将在江苏政府采购网、无锡政府采购网上发布澄清公告。澄清或者修改的内容为招标文件组成部分，与招标文件具有同等约束力。</w:t>
      </w:r>
    </w:p>
    <w:p>
      <w:pPr>
        <w:spacing w:line="360" w:lineRule="auto"/>
        <w:ind w:firstLine="480" w:firstLineChars="200"/>
        <w:rPr>
          <w:rFonts w:ascii="宋体" w:hAnsi="宋体"/>
          <w:color w:val="000000"/>
          <w:sz w:val="24"/>
        </w:rPr>
      </w:pPr>
      <w:r>
        <w:rPr>
          <w:rFonts w:hint="eastAsia" w:ascii="宋体" w:hAnsi="宋体"/>
          <w:color w:val="000000"/>
          <w:sz w:val="24"/>
        </w:rPr>
        <w:t>2. 澄清或者修改的内容可能影响投标文件编制的，采购人或者采购代理机构将在投标截止时间至少15日前，发布澄清公告；不足15日的，采购人或者采购代理机构将顺延提交投标文件的截止时间。</w:t>
      </w:r>
    </w:p>
    <w:p>
      <w:pPr>
        <w:spacing w:line="360" w:lineRule="auto"/>
        <w:ind w:firstLine="480" w:firstLineChars="200"/>
        <w:rPr>
          <w:rFonts w:ascii="宋体" w:hAnsi="宋体"/>
          <w:color w:val="000000"/>
          <w:sz w:val="24"/>
        </w:rPr>
      </w:pPr>
      <w:r>
        <w:rPr>
          <w:rFonts w:hint="eastAsia" w:ascii="宋体" w:hAnsi="宋体"/>
          <w:color w:val="000000"/>
          <w:sz w:val="24"/>
        </w:rPr>
        <w:t>3．投标人应在投标截止时间前关注原采购公告媒体上发布的相关更正公告。因投标人未尽注意义务，未及时全面地关注更正公告导致其提交的投标材料不符合招标要求，而造成的损失及风险由投标人自行承担。</w:t>
      </w:r>
    </w:p>
    <w:p>
      <w:pPr>
        <w:spacing w:line="360" w:lineRule="auto"/>
        <w:ind w:firstLine="240" w:firstLineChars="100"/>
        <w:outlineLvl w:val="0"/>
        <w:rPr>
          <w:rFonts w:ascii="宋体" w:hAnsi="宋体"/>
          <w:color w:val="000000"/>
          <w:sz w:val="24"/>
        </w:rPr>
      </w:pPr>
      <w:r>
        <w:rPr>
          <w:rFonts w:hint="eastAsia" w:ascii="宋体" w:hAnsi="宋体"/>
          <w:color w:val="000000"/>
          <w:sz w:val="24"/>
        </w:rPr>
        <w:t>（五）投标文件的组成：</w:t>
      </w:r>
    </w:p>
    <w:p>
      <w:pPr>
        <w:numPr>
          <w:ilvl w:val="0"/>
          <w:numId w:val="1"/>
        </w:numPr>
        <w:tabs>
          <w:tab w:val="left" w:pos="525"/>
          <w:tab w:val="left" w:pos="945"/>
          <w:tab w:val="clear" w:pos="630"/>
        </w:tabs>
        <w:spacing w:line="360" w:lineRule="auto"/>
        <w:ind w:left="1" w:firstLine="523" w:firstLineChars="218"/>
        <w:rPr>
          <w:rFonts w:ascii="宋体" w:hAnsi="宋体"/>
          <w:bCs/>
          <w:color w:val="000000"/>
          <w:sz w:val="24"/>
        </w:rPr>
      </w:pPr>
      <w:r>
        <w:rPr>
          <w:rFonts w:hint="eastAsia" w:ascii="宋体" w:hAnsi="宋体"/>
          <w:bCs/>
          <w:color w:val="000000"/>
          <w:sz w:val="24"/>
        </w:rPr>
        <w:t>响应函（</w:t>
      </w:r>
      <w:r>
        <w:rPr>
          <w:rFonts w:hint="eastAsia" w:ascii="宋体" w:hAnsi="宋体"/>
          <w:b/>
          <w:bCs/>
          <w:color w:val="000000"/>
          <w:sz w:val="24"/>
        </w:rPr>
        <w:t>格式见附件）</w:t>
      </w:r>
    </w:p>
    <w:p>
      <w:pPr>
        <w:numPr>
          <w:ilvl w:val="0"/>
          <w:numId w:val="1"/>
        </w:numPr>
        <w:tabs>
          <w:tab w:val="left" w:pos="525"/>
          <w:tab w:val="left" w:pos="945"/>
          <w:tab w:val="clear" w:pos="630"/>
        </w:tabs>
        <w:spacing w:line="360" w:lineRule="auto"/>
        <w:ind w:left="0" w:firstLine="523" w:firstLineChars="218"/>
        <w:rPr>
          <w:rFonts w:ascii="宋体" w:hAnsi="宋体"/>
          <w:bCs/>
          <w:color w:val="000000"/>
          <w:sz w:val="24"/>
        </w:rPr>
      </w:pPr>
      <w:r>
        <w:rPr>
          <w:rFonts w:hint="eastAsia" w:ascii="宋体" w:hAnsi="宋体"/>
          <w:bCs/>
          <w:color w:val="000000"/>
          <w:sz w:val="24"/>
        </w:rPr>
        <w:t>资格、资信证明文件：</w:t>
      </w:r>
    </w:p>
    <w:p>
      <w:pPr>
        <w:spacing w:line="360" w:lineRule="auto"/>
        <w:ind w:firstLine="480" w:firstLineChars="200"/>
        <w:rPr>
          <w:rFonts w:ascii="宋体" w:hAnsi="宋体"/>
          <w:color w:val="000000"/>
          <w:sz w:val="24"/>
        </w:rPr>
      </w:pPr>
      <w:r>
        <w:rPr>
          <w:rFonts w:hint="eastAsia" w:ascii="宋体" w:hAnsi="宋体"/>
          <w:color w:val="000000"/>
          <w:sz w:val="24"/>
        </w:rPr>
        <w:t>（1）关于资格的声明函（格式见附件）；</w:t>
      </w:r>
    </w:p>
    <w:p>
      <w:pPr>
        <w:spacing w:line="360" w:lineRule="auto"/>
        <w:ind w:firstLine="480" w:firstLineChars="200"/>
        <w:rPr>
          <w:rFonts w:ascii="宋体" w:hAnsi="宋体"/>
          <w:color w:val="000000"/>
          <w:sz w:val="24"/>
        </w:rPr>
      </w:pPr>
      <w:r>
        <w:rPr>
          <w:rFonts w:hint="eastAsia" w:ascii="宋体" w:hAnsi="宋体"/>
          <w:color w:val="000000"/>
          <w:sz w:val="24"/>
        </w:rPr>
        <w:t>（2）投标人法定代表人授权委托书；</w:t>
      </w:r>
      <w:r>
        <w:rPr>
          <w:rFonts w:hint="eastAsia" w:ascii="宋体" w:hAnsi="宋体"/>
          <w:b/>
          <w:color w:val="000000"/>
          <w:sz w:val="24"/>
        </w:rPr>
        <w:t>（法定代表人亲自参与投标的除外，格式见附件）</w:t>
      </w:r>
    </w:p>
    <w:p>
      <w:pPr>
        <w:spacing w:line="360" w:lineRule="auto"/>
        <w:ind w:firstLine="480" w:firstLineChars="200"/>
        <w:rPr>
          <w:rFonts w:ascii="宋体" w:hAnsi="宋体"/>
          <w:color w:val="000000"/>
          <w:sz w:val="24"/>
        </w:rPr>
      </w:pPr>
      <w:r>
        <w:rPr>
          <w:rFonts w:hint="eastAsia" w:ascii="宋体" w:hAnsi="宋体"/>
          <w:color w:val="000000"/>
          <w:sz w:val="24"/>
        </w:rPr>
        <w:t>（3）投标人法定代表人身份证复印件及法定代表人授权代表身份证复印件并加盖公章；</w:t>
      </w:r>
      <w:r>
        <w:rPr>
          <w:rFonts w:hint="eastAsia" w:ascii="宋体" w:hAnsi="宋体"/>
          <w:b/>
          <w:color w:val="000000"/>
          <w:sz w:val="24"/>
        </w:rPr>
        <w:t>（投标时必须提交参加开标会议的法定代表人或法定代表人授权代表有效身份证明原件）</w:t>
      </w:r>
    </w:p>
    <w:p>
      <w:pPr>
        <w:spacing w:line="360" w:lineRule="auto"/>
        <w:ind w:firstLine="480" w:firstLineChars="200"/>
        <w:rPr>
          <w:rFonts w:ascii="宋体" w:hAnsi="宋体"/>
          <w:b/>
          <w:color w:val="FF0000"/>
          <w:sz w:val="24"/>
        </w:rPr>
      </w:pPr>
      <w:r>
        <w:rPr>
          <w:rFonts w:hint="eastAsia" w:ascii="宋体" w:hAnsi="宋体"/>
          <w:color w:val="000000"/>
          <w:sz w:val="24"/>
        </w:rPr>
        <w:t>（4）投标人有效期内企业法人营业执照、组织机构代码证、税务登记证复印件加盖公章；</w:t>
      </w:r>
      <w:r>
        <w:rPr>
          <w:rFonts w:hint="eastAsia" w:ascii="宋体" w:hAnsi="宋体"/>
          <w:b/>
          <w:color w:val="000000"/>
          <w:sz w:val="24"/>
        </w:rPr>
        <w:t>（投标时必须提交原件或公证件，三证合一的投标人只需提供营业执照）；</w:t>
      </w:r>
      <w:r>
        <w:rPr>
          <w:rFonts w:hint="eastAsia" w:ascii="宋体" w:hAnsi="宋体"/>
          <w:b/>
          <w:color w:val="FF0000"/>
          <w:sz w:val="24"/>
        </w:rPr>
        <w:t xml:space="preserve"> </w:t>
      </w:r>
    </w:p>
    <w:p>
      <w:pPr>
        <w:spacing w:line="360" w:lineRule="auto"/>
        <w:ind w:firstLine="480" w:firstLineChars="200"/>
        <w:rPr>
          <w:rFonts w:ascii="宋体" w:hAnsi="宋体"/>
          <w:b/>
          <w:color w:val="000000"/>
          <w:sz w:val="24"/>
        </w:rPr>
      </w:pPr>
      <w:r>
        <w:rPr>
          <w:rFonts w:hint="eastAsia" w:ascii="宋体" w:hAnsi="宋体"/>
          <w:color w:val="000000"/>
          <w:sz w:val="24"/>
        </w:rPr>
        <w:t>（5）</w:t>
      </w:r>
      <w:r>
        <w:rPr>
          <w:rFonts w:hint="eastAsia" w:ascii="宋体" w:hAnsi="宋体"/>
          <w:bCs/>
          <w:color w:val="000000"/>
          <w:sz w:val="24"/>
        </w:rPr>
        <w:t>投标人近三个月中任意一个月份(不含投标当月)的财务状况报告（资产负债表和利润表）或由会计师事务所出具的近两年中任意一年度的审计报告和所附已审财务报告复印件并加盖公章；</w:t>
      </w:r>
    </w:p>
    <w:p>
      <w:pPr>
        <w:tabs>
          <w:tab w:val="left" w:pos="0"/>
        </w:tabs>
        <w:spacing w:line="360" w:lineRule="auto"/>
        <w:ind w:firstLine="480" w:firstLineChars="200"/>
        <w:rPr>
          <w:rFonts w:ascii="宋体" w:hAnsi="宋体"/>
          <w:bCs/>
          <w:color w:val="000000"/>
          <w:sz w:val="24"/>
        </w:rPr>
      </w:pPr>
      <w:r>
        <w:rPr>
          <w:rFonts w:hint="eastAsia" w:ascii="宋体" w:hAnsi="宋体"/>
          <w:color w:val="000000"/>
          <w:sz w:val="24"/>
        </w:rPr>
        <w:t>（6）</w:t>
      </w:r>
      <w:r>
        <w:rPr>
          <w:rFonts w:hint="eastAsia" w:ascii="宋体" w:hAnsi="宋体"/>
          <w:bCs/>
          <w:color w:val="000000"/>
          <w:sz w:val="24"/>
        </w:rPr>
        <w:t>投标人近三个月中任意一个月份(不含投标当月)的依法缴纳税收的相关材料（提供相关主管部门证明或银行代扣证明）复印件并加盖公章；</w:t>
      </w:r>
    </w:p>
    <w:p>
      <w:pPr>
        <w:tabs>
          <w:tab w:val="left" w:pos="0"/>
        </w:tabs>
        <w:spacing w:line="360" w:lineRule="auto"/>
        <w:ind w:firstLine="480" w:firstLineChars="200"/>
        <w:rPr>
          <w:rFonts w:ascii="宋体" w:hAnsi="宋体"/>
          <w:bCs/>
          <w:color w:val="000000"/>
          <w:sz w:val="24"/>
        </w:rPr>
      </w:pPr>
      <w:r>
        <w:rPr>
          <w:rFonts w:hint="eastAsia" w:ascii="宋体" w:hAnsi="宋体"/>
          <w:bCs/>
          <w:color w:val="000000"/>
          <w:sz w:val="24"/>
        </w:rPr>
        <w:t>（7）投标人近三个月中任意一个月份(不含投标当月)的依法缴纳社会保障资金的相关材料（提供相关主管部门证明或银行代扣证明）复印件并加盖公章；</w:t>
      </w:r>
    </w:p>
    <w:p>
      <w:pPr>
        <w:spacing w:line="360" w:lineRule="auto"/>
        <w:ind w:firstLine="480" w:firstLineChars="200"/>
        <w:rPr>
          <w:rFonts w:ascii="宋体" w:hAnsi="宋体"/>
          <w:b/>
          <w:bCs/>
          <w:color w:val="000000"/>
          <w:sz w:val="24"/>
        </w:rPr>
      </w:pPr>
      <w:r>
        <w:rPr>
          <w:rFonts w:hint="eastAsia" w:ascii="宋体" w:cs="宋体"/>
          <w:color w:val="000000"/>
          <w:sz w:val="24"/>
          <w:lang w:val="zh-CN"/>
        </w:rPr>
        <w:t>（</w:t>
      </w:r>
      <w:r>
        <w:rPr>
          <w:rFonts w:hint="eastAsia" w:ascii="宋体" w:cs="宋体"/>
          <w:color w:val="000000"/>
          <w:sz w:val="24"/>
        </w:rPr>
        <w:t>8</w:t>
      </w:r>
      <w:r>
        <w:rPr>
          <w:rFonts w:hint="eastAsia" w:ascii="宋体" w:cs="宋体"/>
          <w:color w:val="000000"/>
          <w:sz w:val="24"/>
          <w:lang w:val="zh-CN"/>
        </w:rPr>
        <w:t>）授权委托人应具备与企业签订的劳动合同和【《职工养老保险手册》（内附2021年</w:t>
      </w:r>
      <w:r>
        <w:rPr>
          <w:rFonts w:hint="eastAsia" w:ascii="宋体" w:cs="宋体"/>
          <w:color w:val="000000"/>
          <w:sz w:val="24"/>
          <w:lang w:val="en-US" w:eastAsia="zh-CN"/>
        </w:rPr>
        <w:t>9</w:t>
      </w:r>
      <w:r>
        <w:rPr>
          <w:rFonts w:hint="eastAsia" w:ascii="宋体" w:cs="宋体"/>
          <w:color w:val="000000"/>
          <w:sz w:val="24"/>
          <w:lang w:val="zh-CN"/>
        </w:rPr>
        <w:t>月～202</w:t>
      </w:r>
      <w:r>
        <w:rPr>
          <w:rFonts w:hint="eastAsia" w:ascii="宋体" w:cs="宋体"/>
          <w:color w:val="000000"/>
          <w:sz w:val="24"/>
        </w:rPr>
        <w:t>1</w:t>
      </w:r>
      <w:r>
        <w:rPr>
          <w:rFonts w:hint="eastAsia" w:ascii="宋体" w:cs="宋体"/>
          <w:color w:val="000000"/>
          <w:sz w:val="24"/>
          <w:lang w:val="zh-CN"/>
        </w:rPr>
        <w:t>年</w:t>
      </w:r>
      <w:r>
        <w:rPr>
          <w:rFonts w:hint="eastAsia" w:ascii="宋体" w:cs="宋体"/>
          <w:color w:val="000000"/>
          <w:sz w:val="24"/>
          <w:lang w:val="en-US" w:eastAsia="zh-CN"/>
        </w:rPr>
        <w:t>11</w:t>
      </w:r>
      <w:r>
        <w:rPr>
          <w:rFonts w:hint="eastAsia" w:ascii="宋体" w:cs="宋体"/>
          <w:color w:val="000000"/>
          <w:sz w:val="24"/>
          <w:lang w:val="zh-CN"/>
        </w:rPr>
        <w:t>月的缴费清单）或由社保机构出具的本企业2021年</w:t>
      </w:r>
      <w:r>
        <w:rPr>
          <w:rFonts w:hint="eastAsia" w:ascii="宋体" w:cs="宋体"/>
          <w:color w:val="000000"/>
          <w:sz w:val="24"/>
          <w:lang w:val="en-US" w:eastAsia="zh-CN"/>
        </w:rPr>
        <w:t>9</w:t>
      </w:r>
      <w:r>
        <w:rPr>
          <w:rFonts w:hint="eastAsia" w:ascii="宋体" w:cs="宋体"/>
          <w:color w:val="000000"/>
          <w:sz w:val="24"/>
          <w:lang w:val="zh-CN"/>
        </w:rPr>
        <w:t>月～202</w:t>
      </w:r>
      <w:r>
        <w:rPr>
          <w:rFonts w:hint="eastAsia" w:ascii="宋体" w:cs="宋体"/>
          <w:color w:val="000000"/>
          <w:sz w:val="24"/>
        </w:rPr>
        <w:t>1</w:t>
      </w:r>
      <w:r>
        <w:rPr>
          <w:rFonts w:hint="eastAsia" w:ascii="宋体" w:cs="宋体"/>
          <w:color w:val="000000"/>
          <w:sz w:val="24"/>
          <w:lang w:val="zh-CN"/>
        </w:rPr>
        <w:t>年</w:t>
      </w:r>
      <w:r>
        <w:rPr>
          <w:rFonts w:hint="eastAsia" w:ascii="宋体" w:cs="宋体"/>
          <w:color w:val="000000"/>
          <w:sz w:val="24"/>
        </w:rPr>
        <w:t>1</w:t>
      </w:r>
      <w:r>
        <w:rPr>
          <w:rFonts w:hint="eastAsia" w:ascii="宋体" w:cs="宋体"/>
          <w:color w:val="000000"/>
          <w:sz w:val="24"/>
          <w:lang w:val="en-US" w:eastAsia="zh-CN"/>
        </w:rPr>
        <w:t>1</w:t>
      </w:r>
      <w:r>
        <w:rPr>
          <w:rFonts w:hint="eastAsia" w:ascii="宋体" w:cs="宋体"/>
          <w:color w:val="000000"/>
          <w:sz w:val="24"/>
          <w:lang w:val="zh-CN"/>
        </w:rPr>
        <w:t>月的缴费证明】</w:t>
      </w:r>
      <w:r>
        <w:rPr>
          <w:rFonts w:hint="eastAsia" w:ascii="宋体" w:hAnsi="宋体"/>
          <w:color w:val="000000"/>
          <w:sz w:val="24"/>
        </w:rPr>
        <w:t>复印件加盖公章；</w:t>
      </w:r>
      <w:r>
        <w:rPr>
          <w:rFonts w:hint="eastAsia" w:ascii="宋体" w:hAnsi="宋体"/>
          <w:b/>
          <w:bCs/>
          <w:color w:val="000000"/>
          <w:sz w:val="24"/>
        </w:rPr>
        <w:t>（投标时必须提交原件或网上查询带有二维码的打印件）</w:t>
      </w:r>
    </w:p>
    <w:p>
      <w:pPr>
        <w:widowControl/>
        <w:adjustRightInd w:val="0"/>
        <w:spacing w:line="440" w:lineRule="exact"/>
        <w:ind w:firstLine="480" w:firstLineChars="200"/>
        <w:jc w:val="left"/>
        <w:rPr>
          <w:rFonts w:ascii="宋体" w:hAnsi="宋体" w:cs="宋体"/>
          <w:color w:val="000000"/>
          <w:sz w:val="24"/>
        </w:rPr>
      </w:pPr>
      <w:r>
        <w:rPr>
          <w:rFonts w:hint="eastAsia" w:ascii="宋体" w:hAnsi="宋体" w:cs="宋体"/>
          <w:color w:val="000000"/>
          <w:sz w:val="24"/>
        </w:rPr>
        <w:t>（9）承诺书；（格式见附件）</w:t>
      </w:r>
    </w:p>
    <w:p>
      <w:pPr>
        <w:widowControl/>
        <w:adjustRightInd w:val="0"/>
        <w:spacing w:line="440" w:lineRule="exact"/>
        <w:ind w:firstLine="480" w:firstLineChars="200"/>
        <w:jc w:val="left"/>
        <w:rPr>
          <w:rFonts w:ascii="宋体" w:hAnsi="宋体" w:cs="宋体"/>
          <w:color w:val="000000"/>
          <w:sz w:val="24"/>
        </w:rPr>
      </w:pPr>
      <w:r>
        <w:rPr>
          <w:rFonts w:hint="eastAsia" w:ascii="宋体" w:hAnsi="宋体" w:cs="宋体"/>
          <w:sz w:val="24"/>
          <w:szCs w:val="22"/>
        </w:rPr>
        <w:t>（10）</w:t>
      </w:r>
      <w:r>
        <w:rPr>
          <w:rFonts w:hint="eastAsia" w:ascii="宋体" w:hAnsi="宋体" w:cs="宋体"/>
          <w:kern w:val="0"/>
          <w:sz w:val="24"/>
        </w:rPr>
        <w:t>中小企业声明函</w:t>
      </w:r>
      <w:r>
        <w:rPr>
          <w:rFonts w:hint="eastAsia" w:ascii="宋体" w:hAnsi="宋体" w:cs="宋体"/>
          <w:b/>
          <w:bCs/>
          <w:kern w:val="0"/>
          <w:sz w:val="24"/>
        </w:rPr>
        <w:t>（格式见附件）</w:t>
      </w:r>
      <w:r>
        <w:rPr>
          <w:rFonts w:hint="eastAsia" w:ascii="宋体" w:hAnsi="宋体" w:cs="宋体"/>
          <w:kern w:val="0"/>
          <w:sz w:val="24"/>
        </w:rPr>
        <w:t>或残疾人福利性单位声明函</w:t>
      </w:r>
      <w:r>
        <w:rPr>
          <w:rFonts w:hint="eastAsia" w:ascii="宋体" w:hAnsi="宋体" w:cs="宋体"/>
          <w:b/>
          <w:bCs/>
          <w:kern w:val="0"/>
          <w:sz w:val="24"/>
        </w:rPr>
        <w:t>（格式见附件）</w:t>
      </w:r>
      <w:r>
        <w:rPr>
          <w:rFonts w:hint="eastAsia" w:ascii="宋体" w:hAnsi="宋体" w:cs="宋体"/>
          <w:kern w:val="0"/>
          <w:sz w:val="24"/>
        </w:rPr>
        <w:t>或由省级以上监狱管理局、戒毒管理局出具的属于监狱、戒毒企业的证明文件</w:t>
      </w:r>
      <w:r>
        <w:rPr>
          <w:rFonts w:hint="eastAsia" w:ascii="宋体" w:hAnsi="宋体" w:cs="宋体"/>
          <w:b/>
          <w:bCs/>
          <w:kern w:val="0"/>
          <w:sz w:val="24"/>
        </w:rPr>
        <w:t>（如是）。</w:t>
      </w:r>
    </w:p>
    <w:p>
      <w:pPr>
        <w:numPr>
          <w:ilvl w:val="0"/>
          <w:numId w:val="1"/>
        </w:numPr>
        <w:tabs>
          <w:tab w:val="left" w:pos="525"/>
          <w:tab w:val="left" w:pos="945"/>
          <w:tab w:val="clear" w:pos="630"/>
        </w:tabs>
        <w:spacing w:line="360" w:lineRule="auto"/>
        <w:ind w:left="0" w:firstLine="523" w:firstLineChars="218"/>
        <w:rPr>
          <w:rFonts w:ascii="宋体" w:hAnsi="宋体" w:cs="宋体"/>
          <w:bCs/>
          <w:color w:val="000000"/>
          <w:sz w:val="24"/>
        </w:rPr>
      </w:pPr>
      <w:r>
        <w:rPr>
          <w:rFonts w:hint="eastAsia" w:ascii="宋体" w:hAnsi="宋体" w:cs="宋体"/>
          <w:color w:val="000000"/>
          <w:sz w:val="24"/>
        </w:rPr>
        <w:t>开标一览表</w:t>
      </w:r>
      <w:r>
        <w:rPr>
          <w:rFonts w:hint="eastAsia" w:ascii="宋体" w:hAnsi="宋体" w:cs="宋体"/>
          <w:bCs/>
          <w:color w:val="000000"/>
          <w:sz w:val="24"/>
        </w:rPr>
        <w:t>（</w:t>
      </w:r>
      <w:r>
        <w:rPr>
          <w:rFonts w:hint="eastAsia" w:ascii="宋体" w:hAnsi="宋体" w:cs="宋体"/>
          <w:b/>
          <w:bCs/>
          <w:color w:val="000000"/>
          <w:sz w:val="24"/>
        </w:rPr>
        <w:t>格式见附件</w:t>
      </w:r>
      <w:r>
        <w:rPr>
          <w:rFonts w:hint="eastAsia" w:ascii="宋体" w:hAnsi="宋体" w:cs="宋体"/>
          <w:bCs/>
          <w:color w:val="000000"/>
          <w:sz w:val="24"/>
        </w:rPr>
        <w:t>）</w:t>
      </w:r>
    </w:p>
    <w:p>
      <w:pPr>
        <w:numPr>
          <w:ilvl w:val="0"/>
          <w:numId w:val="1"/>
        </w:numPr>
        <w:tabs>
          <w:tab w:val="left" w:pos="525"/>
          <w:tab w:val="left" w:pos="945"/>
          <w:tab w:val="clear" w:pos="630"/>
        </w:tabs>
        <w:spacing w:line="360" w:lineRule="auto"/>
        <w:ind w:left="0" w:firstLine="523" w:firstLineChars="218"/>
        <w:rPr>
          <w:rFonts w:ascii="宋体" w:hAnsi="宋体" w:cs="宋体"/>
          <w:bCs/>
          <w:color w:val="000000"/>
          <w:sz w:val="24"/>
        </w:rPr>
      </w:pPr>
      <w:r>
        <w:rPr>
          <w:rFonts w:hint="eastAsia" w:ascii="宋体" w:hAnsi="宋体" w:cs="宋体"/>
          <w:bCs/>
          <w:color w:val="000000"/>
          <w:sz w:val="24"/>
        </w:rPr>
        <w:t>采购需求响应表（</w:t>
      </w:r>
      <w:r>
        <w:rPr>
          <w:rFonts w:hint="eastAsia" w:ascii="宋体" w:hAnsi="宋体" w:cs="宋体"/>
          <w:b/>
          <w:bCs/>
          <w:color w:val="000000"/>
          <w:sz w:val="24"/>
        </w:rPr>
        <w:t>格式见附件</w:t>
      </w:r>
      <w:r>
        <w:rPr>
          <w:rFonts w:hint="eastAsia" w:ascii="宋体" w:hAnsi="宋体" w:cs="宋体"/>
          <w:bCs/>
          <w:color w:val="000000"/>
          <w:sz w:val="24"/>
        </w:rPr>
        <w:t>）</w:t>
      </w:r>
    </w:p>
    <w:p>
      <w:pPr>
        <w:numPr>
          <w:ilvl w:val="0"/>
          <w:numId w:val="1"/>
        </w:numPr>
        <w:tabs>
          <w:tab w:val="left" w:pos="525"/>
          <w:tab w:val="left" w:pos="945"/>
          <w:tab w:val="clear" w:pos="630"/>
        </w:tabs>
        <w:spacing w:line="360" w:lineRule="auto"/>
        <w:ind w:left="0" w:firstLine="523" w:firstLineChars="218"/>
        <w:rPr>
          <w:rFonts w:ascii="宋体" w:hAnsi="宋体" w:cs="宋体"/>
          <w:bCs/>
          <w:color w:val="000000"/>
          <w:sz w:val="24"/>
        </w:rPr>
      </w:pPr>
      <w:r>
        <w:rPr>
          <w:rFonts w:hint="eastAsia" w:ascii="宋体" w:hAnsi="宋体" w:cs="宋体"/>
          <w:bCs/>
          <w:color w:val="000000"/>
          <w:sz w:val="24"/>
        </w:rPr>
        <w:t>技术文件（格式自拟）</w:t>
      </w:r>
    </w:p>
    <w:p>
      <w:pPr>
        <w:numPr>
          <w:ilvl w:val="0"/>
          <w:numId w:val="1"/>
        </w:numPr>
        <w:tabs>
          <w:tab w:val="left" w:pos="525"/>
          <w:tab w:val="left" w:pos="945"/>
          <w:tab w:val="clear" w:pos="630"/>
        </w:tabs>
        <w:spacing w:line="360" w:lineRule="auto"/>
        <w:ind w:left="0" w:firstLine="523" w:firstLineChars="218"/>
        <w:rPr>
          <w:rFonts w:ascii="宋体" w:hAnsi="宋体"/>
          <w:bCs/>
          <w:color w:val="000000"/>
          <w:sz w:val="24"/>
        </w:rPr>
      </w:pPr>
      <w:r>
        <w:rPr>
          <w:rFonts w:hint="eastAsia" w:ascii="宋体" w:hAnsi="宋体"/>
          <w:bCs/>
          <w:color w:val="000000"/>
          <w:sz w:val="24"/>
        </w:rPr>
        <w:t>评分标准中对应的其它所需证明材料（</w:t>
      </w:r>
      <w:r>
        <w:rPr>
          <w:rFonts w:hint="eastAsia" w:ascii="宋体" w:hAnsi="宋体"/>
          <w:b/>
          <w:bCs/>
          <w:color w:val="000000"/>
          <w:sz w:val="24"/>
        </w:rPr>
        <w:t>如有自行添加</w:t>
      </w:r>
      <w:r>
        <w:rPr>
          <w:rFonts w:hint="eastAsia" w:ascii="宋体" w:hAnsi="宋体"/>
          <w:bCs/>
          <w:color w:val="000000"/>
          <w:sz w:val="24"/>
        </w:rPr>
        <w:t>）</w:t>
      </w:r>
    </w:p>
    <w:p>
      <w:pPr>
        <w:numPr>
          <w:ilvl w:val="0"/>
          <w:numId w:val="1"/>
        </w:numPr>
        <w:tabs>
          <w:tab w:val="left" w:pos="525"/>
          <w:tab w:val="left" w:pos="945"/>
          <w:tab w:val="clear" w:pos="630"/>
        </w:tabs>
        <w:spacing w:line="360" w:lineRule="auto"/>
        <w:ind w:left="0" w:firstLine="523" w:firstLineChars="218"/>
        <w:rPr>
          <w:rFonts w:ascii="宋体" w:hAnsi="宋体"/>
          <w:bCs/>
          <w:color w:val="000000"/>
          <w:sz w:val="24"/>
        </w:rPr>
      </w:pPr>
      <w:r>
        <w:rPr>
          <w:rFonts w:hint="eastAsia" w:ascii="宋体" w:hAnsi="宋体"/>
          <w:bCs/>
          <w:color w:val="000000"/>
          <w:sz w:val="24"/>
        </w:rPr>
        <w:t>要求采购人提供的配合（</w:t>
      </w:r>
      <w:r>
        <w:rPr>
          <w:rFonts w:hint="eastAsia" w:ascii="宋体" w:hAnsi="宋体"/>
          <w:b/>
          <w:bCs/>
          <w:color w:val="000000"/>
          <w:sz w:val="24"/>
        </w:rPr>
        <w:t>如有自拟并自行添加</w:t>
      </w:r>
      <w:r>
        <w:rPr>
          <w:rFonts w:hint="eastAsia" w:ascii="宋体" w:hAnsi="宋体"/>
          <w:bCs/>
          <w:color w:val="000000"/>
          <w:sz w:val="24"/>
        </w:rPr>
        <w:t>）</w:t>
      </w:r>
    </w:p>
    <w:p>
      <w:pPr>
        <w:numPr>
          <w:ilvl w:val="0"/>
          <w:numId w:val="1"/>
        </w:numPr>
        <w:tabs>
          <w:tab w:val="left" w:pos="525"/>
          <w:tab w:val="left" w:pos="945"/>
          <w:tab w:val="clear" w:pos="630"/>
        </w:tabs>
        <w:spacing w:line="360" w:lineRule="auto"/>
        <w:ind w:left="0" w:firstLine="523" w:firstLineChars="218"/>
        <w:rPr>
          <w:rFonts w:ascii="宋体" w:hAnsi="宋体"/>
          <w:bCs/>
          <w:color w:val="000000"/>
          <w:sz w:val="24"/>
        </w:rPr>
      </w:pPr>
      <w:r>
        <w:rPr>
          <w:rFonts w:hint="eastAsia" w:ascii="宋体" w:hAnsi="宋体"/>
          <w:bCs/>
          <w:color w:val="000000"/>
          <w:sz w:val="24"/>
        </w:rPr>
        <w:t>其它（</w:t>
      </w:r>
      <w:r>
        <w:rPr>
          <w:rFonts w:hint="eastAsia" w:ascii="宋体" w:hAnsi="宋体"/>
          <w:b/>
          <w:bCs/>
          <w:color w:val="000000"/>
          <w:sz w:val="24"/>
        </w:rPr>
        <w:t>投标人认为有必要提供的声明和文件，如有自拟并自行添加，参考评分标准</w:t>
      </w:r>
      <w:r>
        <w:rPr>
          <w:rFonts w:hint="eastAsia" w:ascii="宋体" w:hAnsi="宋体"/>
          <w:bCs/>
          <w:color w:val="000000"/>
          <w:sz w:val="24"/>
        </w:rPr>
        <w:t>）</w:t>
      </w:r>
      <w:r>
        <w:rPr>
          <w:rFonts w:hint="eastAsia"/>
          <w:color w:val="000000"/>
          <w:sz w:val="24"/>
        </w:rPr>
        <w:t xml:space="preserve">             </w:t>
      </w:r>
    </w:p>
    <w:p>
      <w:pPr>
        <w:tabs>
          <w:tab w:val="left" w:pos="1050"/>
        </w:tabs>
        <w:spacing w:line="360" w:lineRule="auto"/>
        <w:ind w:firstLine="523" w:firstLineChars="218"/>
        <w:rPr>
          <w:rFonts w:ascii="宋体" w:hAnsi="宋体"/>
          <w:bCs/>
          <w:color w:val="000000"/>
          <w:sz w:val="24"/>
        </w:rPr>
      </w:pPr>
      <w:r>
        <w:rPr>
          <w:rFonts w:hint="eastAsia" w:ascii="宋体" w:hAnsi="宋体"/>
          <w:bCs/>
          <w:color w:val="000000"/>
          <w:sz w:val="24"/>
        </w:rPr>
        <w:t>上述</w:t>
      </w:r>
      <w:r>
        <w:rPr>
          <w:rFonts w:ascii="宋体" w:hAnsi="宋体"/>
          <w:bCs/>
          <w:color w:val="000000"/>
          <w:sz w:val="24"/>
        </w:rPr>
        <w:t>1-</w:t>
      </w:r>
      <w:r>
        <w:rPr>
          <w:rFonts w:hint="eastAsia" w:ascii="宋体" w:hAnsi="宋体"/>
          <w:bCs/>
          <w:color w:val="000000"/>
          <w:sz w:val="24"/>
        </w:rPr>
        <w:t>5项投标人必须按要求全部提供，否则投标文件无效。</w:t>
      </w:r>
      <w:r>
        <w:rPr>
          <w:rFonts w:hint="eastAsia" w:ascii="Tahoma" w:hAnsi="Tahoma" w:cs="Tahoma"/>
          <w:color w:val="000000"/>
          <w:sz w:val="24"/>
        </w:rPr>
        <w:t xml:space="preserve">其中要求提交的原件必须与投标文件同时提交，如果原件正在年检（或换证），则必须提供法定年检（或换证）单位出具的有效证明原件。否则必须提供原件或公证件来予以证明。投标人所提交的资格、资信证明文件的完整与否，将直接影响其投标文件的审核结果。 </w:t>
      </w:r>
      <w:r>
        <w:rPr>
          <w:rFonts w:hint="eastAsia" w:ascii="宋体" w:hAnsi="宋体"/>
          <w:bCs/>
          <w:color w:val="000000"/>
          <w:sz w:val="24"/>
        </w:rPr>
        <w:t>如投标人已按《无锡市政府采购供应商注册登记管理办法》（锡财购〔2012〕3号）文件要求入供应商库的，可注册入库（详见</w:t>
      </w:r>
      <w:r>
        <w:rPr>
          <w:rFonts w:hint="eastAsia" w:ascii="宋体" w:hAnsi="宋体" w:cs="宋体"/>
          <w:b/>
          <w:sz w:val="24"/>
        </w:rPr>
        <w:t>http://cz.wuxi.gov.cn/fzlm/zfcgjyxt/index.shtml</w:t>
      </w:r>
      <w:r>
        <w:rPr>
          <w:rFonts w:hint="eastAsia" w:ascii="宋体" w:hAnsi="宋体"/>
          <w:bCs/>
          <w:color w:val="000000"/>
          <w:sz w:val="24"/>
        </w:rPr>
        <w:t>）成功后，从网上下载打印《无锡市政府采购注册供应商资格信息登记表》（以下简称信息登记表），并经法定代表人签字和加盖公章后,可作为供应商投标文件的有效组成部分提交采购代理机构。信息登记表所记录的信息如能相应满足招标文件规定的资格、资信条件（4）项，在本项目评标评审时，可凭信息登记表免于提供相应的资格、资信证明材料的原件或公证件，否则必须按要求提供相应的资格、资信证明材料原件或公证件来予以证明。投标人法定代表人或法定代表人授权代表为外籍、港、澳、台地区人士的，其身份证明须提供有效的护照或港澳同胞来往内地通行证、台湾同胞来往大陆通行证，或其它可在中国大陆有效居留的许可证明。</w:t>
      </w:r>
    </w:p>
    <w:p>
      <w:pPr>
        <w:spacing w:line="360" w:lineRule="auto"/>
        <w:outlineLvl w:val="0"/>
        <w:rPr>
          <w:rFonts w:ascii="宋体" w:hAnsi="宋体"/>
          <w:color w:val="000000"/>
          <w:sz w:val="24"/>
        </w:rPr>
      </w:pPr>
      <w:r>
        <w:rPr>
          <w:rFonts w:hint="eastAsia" w:ascii="宋体" w:hAnsi="宋体"/>
          <w:color w:val="000000"/>
          <w:sz w:val="24"/>
        </w:rPr>
        <w:t xml:space="preserve"> （六）投标报价说明：  </w:t>
      </w:r>
    </w:p>
    <w:p>
      <w:pPr>
        <w:spacing w:line="440" w:lineRule="exact"/>
        <w:ind w:firstLine="480" w:firstLineChars="200"/>
        <w:rPr>
          <w:rFonts w:ascii="宋体" w:hAnsi="宋体"/>
          <w:bCs/>
          <w:sz w:val="24"/>
        </w:rPr>
      </w:pPr>
      <w:r>
        <w:rPr>
          <w:rFonts w:hint="eastAsia" w:ascii="宋体" w:hAnsi="宋体"/>
          <w:bCs/>
          <w:sz w:val="24"/>
        </w:rPr>
        <w:t>1.投标供应商应充分考虑项目实施期间劳务、相应的人身安全保险、赔偿及所需的全部费用的市场风险系数，并计入总报价。</w:t>
      </w:r>
    </w:p>
    <w:p>
      <w:pPr>
        <w:tabs>
          <w:tab w:val="left" w:pos="0"/>
        </w:tabs>
        <w:spacing w:line="440" w:lineRule="exact"/>
        <w:ind w:firstLine="480" w:firstLineChars="200"/>
        <w:rPr>
          <w:rFonts w:ascii="宋体" w:hAnsi="宋体"/>
          <w:bCs/>
          <w:sz w:val="24"/>
        </w:rPr>
      </w:pPr>
      <w:r>
        <w:rPr>
          <w:rFonts w:hint="eastAsia" w:ascii="宋体" w:hAnsi="宋体"/>
          <w:bCs/>
          <w:sz w:val="24"/>
        </w:rPr>
        <w:t>2.</w:t>
      </w:r>
      <w:r>
        <w:rPr>
          <w:rFonts w:hint="eastAsia"/>
        </w:rPr>
        <w:t xml:space="preserve"> </w:t>
      </w:r>
      <w:r>
        <w:rPr>
          <w:rFonts w:hint="eastAsia" w:ascii="宋体" w:hAnsi="宋体"/>
          <w:bCs/>
          <w:sz w:val="24"/>
        </w:rPr>
        <w:t>投标供应商的投标报价应为完成本次规划设计的全部费用，包括但不限于设计人员的报酬、差旅费、利润、税金、专家论证会论证费及后期服务等。除了以上费用以外，除非另外达成其他协议，采购人不再为本项目向设计人支付其他任何费用。</w:t>
      </w:r>
    </w:p>
    <w:p>
      <w:pPr>
        <w:tabs>
          <w:tab w:val="left" w:pos="0"/>
        </w:tabs>
        <w:spacing w:line="440" w:lineRule="exact"/>
        <w:ind w:firstLine="480" w:firstLineChars="200"/>
        <w:rPr>
          <w:rFonts w:ascii="宋体" w:hAnsi="宋体"/>
          <w:bCs/>
          <w:sz w:val="24"/>
        </w:rPr>
      </w:pPr>
      <w:r>
        <w:rPr>
          <w:rFonts w:hint="eastAsia" w:ascii="宋体" w:hAnsi="宋体"/>
          <w:bCs/>
          <w:sz w:val="24"/>
        </w:rPr>
        <w:t>3.投标供应商应充分考虑企业管理情况、市场风险等因素，认真勘查现场，测算投标成本。同时自行承担投标费用，无论中标与否，采购人不作解释。</w:t>
      </w:r>
    </w:p>
    <w:p>
      <w:pPr>
        <w:spacing w:line="440" w:lineRule="exact"/>
        <w:ind w:firstLine="480" w:firstLineChars="200"/>
        <w:rPr>
          <w:rFonts w:ascii="宋体" w:hAnsi="宋体"/>
          <w:bCs/>
          <w:sz w:val="24"/>
        </w:rPr>
      </w:pPr>
      <w:r>
        <w:rPr>
          <w:rFonts w:hint="eastAsia" w:ascii="宋体" w:hAnsi="宋体"/>
          <w:bCs/>
          <w:sz w:val="24"/>
        </w:rPr>
        <w:t>4.一项投标内容只允许一个报价，采购人不接受任何有选择性的投标报价。</w:t>
      </w:r>
    </w:p>
    <w:p>
      <w:pPr>
        <w:tabs>
          <w:tab w:val="left" w:pos="3600"/>
        </w:tabs>
        <w:spacing w:line="440" w:lineRule="exact"/>
        <w:ind w:firstLine="480" w:firstLineChars="200"/>
        <w:rPr>
          <w:rFonts w:ascii="宋体" w:hAnsi="宋体"/>
          <w:bCs/>
          <w:sz w:val="24"/>
        </w:rPr>
      </w:pPr>
      <w:r>
        <w:rPr>
          <w:rFonts w:hint="eastAsia" w:ascii="宋体" w:hAnsi="宋体"/>
          <w:bCs/>
          <w:sz w:val="24"/>
        </w:rPr>
        <w:t>5.</w:t>
      </w:r>
      <w:r>
        <w:rPr>
          <w:rFonts w:ascii="宋体" w:hAnsi="宋体"/>
          <w:bCs/>
          <w:sz w:val="24"/>
        </w:rPr>
        <w:t>投标</w:t>
      </w:r>
      <w:r>
        <w:rPr>
          <w:rFonts w:hint="eastAsia" w:ascii="宋体" w:hAnsi="宋体" w:cs="宋体"/>
          <w:kern w:val="0"/>
          <w:sz w:val="24"/>
        </w:rPr>
        <w:t>供应商</w:t>
      </w:r>
      <w:r>
        <w:rPr>
          <w:rFonts w:ascii="宋体" w:hAnsi="宋体"/>
          <w:bCs/>
          <w:sz w:val="24"/>
        </w:rPr>
        <w:t>报价一律以人民币为投标结算货币，结算单位为“元”</w:t>
      </w:r>
      <w:r>
        <w:rPr>
          <w:rFonts w:hint="eastAsia" w:ascii="宋体" w:hAnsi="宋体"/>
          <w:bCs/>
          <w:sz w:val="24"/>
        </w:rPr>
        <w:t>。</w:t>
      </w:r>
    </w:p>
    <w:p>
      <w:pPr>
        <w:tabs>
          <w:tab w:val="left" w:pos="3600"/>
        </w:tabs>
        <w:spacing w:line="440" w:lineRule="exact"/>
        <w:ind w:firstLine="482" w:firstLineChars="200"/>
        <w:rPr>
          <w:rFonts w:ascii="宋体" w:hAnsi="宋体"/>
          <w:b/>
          <w:sz w:val="24"/>
          <w:szCs w:val="20"/>
        </w:rPr>
      </w:pPr>
      <w:r>
        <w:rPr>
          <w:rFonts w:hint="eastAsia" w:hAnsi="宋体"/>
          <w:b/>
          <w:sz w:val="24"/>
          <w:szCs w:val="20"/>
        </w:rPr>
        <w:t>6.</w:t>
      </w:r>
      <w:r>
        <w:rPr>
          <w:rFonts w:hint="eastAsia" w:ascii="宋体" w:hAnsi="宋体"/>
          <w:b/>
          <w:sz w:val="24"/>
          <w:szCs w:val="20"/>
        </w:rPr>
        <w:t>经评标委员会认定投标供应商的投标报价明显低于其他通过符合性审查投标供应商的报价，有可能影响产品质量或者不能诚信履约，投标供应商必须在一小时内提供书面说明，必要时提交相关证明材料以证明其报价合理性。投标供应商不能证明其报价合理性的，评标委员会应当将其作为无效投标处理。</w:t>
      </w:r>
    </w:p>
    <w:p>
      <w:pPr>
        <w:spacing w:line="360" w:lineRule="auto"/>
        <w:outlineLvl w:val="0"/>
        <w:rPr>
          <w:rFonts w:ascii="宋体" w:hAnsi="宋体"/>
          <w:color w:val="000000"/>
          <w:sz w:val="24"/>
        </w:rPr>
      </w:pPr>
      <w:r>
        <w:rPr>
          <w:rFonts w:hint="eastAsia" w:ascii="宋体" w:hAnsi="宋体"/>
          <w:color w:val="000000"/>
          <w:sz w:val="24"/>
        </w:rPr>
        <w:t>（七）投标文件的要求：</w:t>
      </w:r>
    </w:p>
    <w:p>
      <w:pPr>
        <w:spacing w:line="360" w:lineRule="auto"/>
        <w:ind w:firstLine="480" w:firstLineChars="200"/>
        <w:rPr>
          <w:rFonts w:ascii="宋体" w:hAnsi="宋体"/>
          <w:color w:val="000000"/>
          <w:sz w:val="24"/>
        </w:rPr>
      </w:pPr>
      <w:r>
        <w:rPr>
          <w:rFonts w:ascii="宋体" w:hAnsi="宋体"/>
          <w:color w:val="000000"/>
          <w:sz w:val="24"/>
        </w:rPr>
        <w:t>1.</w:t>
      </w:r>
      <w:r>
        <w:rPr>
          <w:rFonts w:hint="eastAsia" w:ascii="宋体" w:hAnsi="宋体"/>
          <w:color w:val="000000"/>
          <w:sz w:val="24"/>
        </w:rPr>
        <w:t>所有文件、往来函件均应使用简体中文（规格、型号辅助符号除外）。</w:t>
      </w:r>
    </w:p>
    <w:p>
      <w:pPr>
        <w:spacing w:line="360" w:lineRule="auto"/>
        <w:ind w:firstLine="480" w:firstLineChars="200"/>
        <w:rPr>
          <w:rFonts w:ascii="宋体" w:hAnsi="宋体"/>
          <w:color w:val="000000"/>
          <w:sz w:val="24"/>
        </w:rPr>
      </w:pPr>
      <w:r>
        <w:rPr>
          <w:rFonts w:ascii="宋体" w:hAnsi="宋体"/>
          <w:color w:val="000000"/>
          <w:sz w:val="24"/>
        </w:rPr>
        <w:t>2.</w:t>
      </w:r>
      <w:r>
        <w:rPr>
          <w:rFonts w:hint="eastAsia" w:ascii="宋体" w:hAnsi="宋体"/>
          <w:color w:val="000000"/>
          <w:sz w:val="24"/>
        </w:rPr>
        <w:t>投标文件由投标供应商按给定格式如实填写（编写），须有法人（盖章）、法定代表人或法定代表人授权代表签字或盖章，方为有效，未尽事宜可自行补充。</w:t>
      </w:r>
    </w:p>
    <w:p>
      <w:pPr>
        <w:spacing w:line="360" w:lineRule="auto"/>
        <w:ind w:firstLine="480" w:firstLineChars="200"/>
        <w:rPr>
          <w:rFonts w:ascii="宋体" w:hAnsi="宋体"/>
          <w:color w:val="000000"/>
          <w:sz w:val="24"/>
        </w:rPr>
      </w:pPr>
      <w:r>
        <w:rPr>
          <w:rFonts w:ascii="宋体" w:hAnsi="宋体"/>
          <w:color w:val="000000"/>
          <w:sz w:val="24"/>
        </w:rPr>
        <w:t>3.</w:t>
      </w:r>
      <w:r>
        <w:rPr>
          <w:rFonts w:hint="eastAsia" w:ascii="宋体" w:hAnsi="宋体"/>
          <w:color w:val="000000"/>
          <w:sz w:val="24"/>
        </w:rPr>
        <w:t>投标供应商报价一律以人民币为报价结算货币，结算单位为“元”。</w:t>
      </w:r>
    </w:p>
    <w:p>
      <w:pPr>
        <w:spacing w:line="360" w:lineRule="auto"/>
        <w:ind w:firstLine="480" w:firstLineChars="200"/>
        <w:rPr>
          <w:rFonts w:ascii="宋体" w:hAnsi="宋体"/>
          <w:color w:val="000000"/>
          <w:sz w:val="24"/>
        </w:rPr>
      </w:pPr>
      <w:r>
        <w:rPr>
          <w:rFonts w:ascii="宋体" w:hAnsi="宋体"/>
          <w:color w:val="000000"/>
          <w:sz w:val="24"/>
        </w:rPr>
        <w:t>4.</w:t>
      </w:r>
      <w:r>
        <w:rPr>
          <w:rFonts w:hint="eastAsia" w:ascii="宋体" w:hAnsi="宋体"/>
          <w:color w:val="000000"/>
          <w:sz w:val="24"/>
        </w:rPr>
        <w:t>投标文件格式部分，应由投标供应商按给定格式提供，不得更改。</w:t>
      </w:r>
    </w:p>
    <w:p>
      <w:pPr>
        <w:spacing w:line="360" w:lineRule="auto"/>
        <w:ind w:firstLine="480" w:firstLineChars="200"/>
        <w:rPr>
          <w:rFonts w:ascii="宋体" w:hAnsi="宋体"/>
          <w:color w:val="000000"/>
          <w:sz w:val="24"/>
        </w:rPr>
      </w:pPr>
      <w:r>
        <w:rPr>
          <w:rFonts w:ascii="宋体" w:hAnsi="宋体"/>
          <w:color w:val="000000"/>
          <w:sz w:val="24"/>
        </w:rPr>
        <w:t>5.</w:t>
      </w:r>
      <w:r>
        <w:rPr>
          <w:rFonts w:hint="eastAsia" w:ascii="宋体" w:hAnsi="宋体"/>
          <w:color w:val="000000"/>
          <w:sz w:val="24"/>
        </w:rPr>
        <w:t>投标文件应用不褪色的黑色墨水书写或打印。</w:t>
      </w:r>
    </w:p>
    <w:p>
      <w:pPr>
        <w:tabs>
          <w:tab w:val="left" w:pos="0"/>
          <w:tab w:val="left" w:pos="704"/>
        </w:tabs>
        <w:spacing w:line="360" w:lineRule="auto"/>
        <w:ind w:firstLine="480" w:firstLineChars="200"/>
        <w:rPr>
          <w:rFonts w:ascii="宋体" w:hAnsi="宋体"/>
          <w:color w:val="000000"/>
          <w:sz w:val="24"/>
        </w:rPr>
      </w:pPr>
      <w:r>
        <w:rPr>
          <w:rFonts w:ascii="宋体" w:hAnsi="宋体"/>
          <w:color w:val="000000"/>
          <w:sz w:val="24"/>
        </w:rPr>
        <w:t>6.</w:t>
      </w:r>
      <w:r>
        <w:rPr>
          <w:rFonts w:hint="eastAsia" w:ascii="宋体" w:hAnsi="宋体"/>
          <w:color w:val="000000"/>
          <w:sz w:val="24"/>
        </w:rPr>
        <w:t>投标文件统一采用A4纸，按照响应函格式中的顺序制作，并编制目录和页码。</w:t>
      </w:r>
    </w:p>
    <w:p>
      <w:pPr>
        <w:tabs>
          <w:tab w:val="left" w:pos="0"/>
          <w:tab w:val="left" w:pos="588"/>
        </w:tabs>
        <w:spacing w:line="360" w:lineRule="auto"/>
        <w:ind w:firstLine="482" w:firstLineChars="200"/>
        <w:rPr>
          <w:rFonts w:ascii="宋体" w:hAnsi="宋体"/>
          <w:b/>
          <w:color w:val="000000"/>
          <w:sz w:val="24"/>
        </w:rPr>
      </w:pPr>
      <w:r>
        <w:rPr>
          <w:rFonts w:ascii="宋体" w:hAnsi="宋体"/>
          <w:b/>
          <w:color w:val="000000"/>
          <w:sz w:val="24"/>
        </w:rPr>
        <w:t>7.</w:t>
      </w:r>
      <w:r>
        <w:rPr>
          <w:rFonts w:hint="eastAsia" w:ascii="宋体" w:hAnsi="宋体"/>
          <w:b/>
          <w:color w:val="000000"/>
          <w:sz w:val="24"/>
        </w:rPr>
        <w:t xml:space="preserve"> 投标文件份数为一正四副，投标人应将投标文件正本密封在一个封袋中并在封袋上清楚地表明“正本”、将所有副本密封在另一个封袋中并在密封袋上清楚地标明</w:t>
      </w:r>
      <w:r>
        <w:rPr>
          <w:rFonts w:ascii="宋体" w:hAnsi="宋体"/>
          <w:b/>
          <w:color w:val="000000"/>
          <w:sz w:val="24"/>
        </w:rPr>
        <w:t xml:space="preserve"> “</w:t>
      </w:r>
      <w:r>
        <w:rPr>
          <w:rFonts w:hint="eastAsia" w:ascii="宋体" w:hAnsi="宋体"/>
          <w:b/>
          <w:color w:val="000000"/>
          <w:sz w:val="24"/>
        </w:rPr>
        <w:t>副本</w:t>
      </w:r>
      <w:r>
        <w:rPr>
          <w:rFonts w:ascii="宋体" w:hAnsi="宋体"/>
          <w:b/>
          <w:color w:val="000000"/>
          <w:sz w:val="24"/>
        </w:rPr>
        <w:t>”</w:t>
      </w:r>
      <w:r>
        <w:rPr>
          <w:rFonts w:hint="eastAsia" w:ascii="宋体" w:hAnsi="宋体"/>
          <w:b/>
          <w:color w:val="000000"/>
          <w:sz w:val="24"/>
        </w:rPr>
        <w:t>；招标文件中证明文件部分及评标办法中所需提供的原件资料需单独装在一个封袋中，并在封袋上清楚地表明“原件资料”（身份证可随身携带）；所有投标文件封袋的封口处应加盖投标人印章。密封袋上还均应注明采购编号、项目名称、投标人名称。</w:t>
      </w:r>
    </w:p>
    <w:p>
      <w:pPr>
        <w:spacing w:line="360" w:lineRule="auto"/>
        <w:ind w:firstLine="480" w:firstLineChars="200"/>
        <w:rPr>
          <w:rFonts w:ascii="宋体" w:hAnsi="宋体"/>
          <w:color w:val="000000"/>
          <w:sz w:val="24"/>
        </w:rPr>
      </w:pPr>
      <w:r>
        <w:rPr>
          <w:rFonts w:ascii="宋体" w:hAnsi="宋体"/>
          <w:color w:val="000000"/>
          <w:sz w:val="24"/>
        </w:rPr>
        <w:t>8.</w:t>
      </w:r>
      <w:r>
        <w:rPr>
          <w:rFonts w:hint="eastAsia" w:ascii="宋体" w:hAnsi="宋体"/>
          <w:color w:val="000000"/>
          <w:sz w:val="24"/>
        </w:rPr>
        <w:t>投标文件不应有涂改、增删和潦草之处，如有必须修改时，修改处必须有法人、法定代表人或法定代表人授权代表的签章。</w:t>
      </w:r>
    </w:p>
    <w:p>
      <w:pPr>
        <w:spacing w:line="360" w:lineRule="auto"/>
        <w:ind w:firstLine="480" w:firstLineChars="200"/>
        <w:rPr>
          <w:rFonts w:ascii="宋体" w:hAnsi="宋体"/>
          <w:color w:val="000000"/>
          <w:sz w:val="24"/>
        </w:rPr>
      </w:pPr>
      <w:r>
        <w:rPr>
          <w:rFonts w:ascii="宋体" w:hAnsi="宋体"/>
          <w:color w:val="000000"/>
          <w:sz w:val="24"/>
        </w:rPr>
        <w:t>10.</w:t>
      </w:r>
      <w:r>
        <w:rPr>
          <w:rFonts w:hint="eastAsia" w:ascii="宋体" w:hAnsi="宋体"/>
          <w:color w:val="000000"/>
          <w:sz w:val="24"/>
        </w:rPr>
        <w:t>投标费用自理。</w:t>
      </w:r>
    </w:p>
    <w:p>
      <w:pPr>
        <w:spacing w:line="360" w:lineRule="auto"/>
        <w:outlineLvl w:val="0"/>
        <w:rPr>
          <w:rFonts w:ascii="宋体" w:hAnsi="宋体"/>
          <w:color w:val="000000"/>
          <w:sz w:val="24"/>
        </w:rPr>
      </w:pPr>
      <w:r>
        <w:rPr>
          <w:rFonts w:hint="eastAsia" w:ascii="宋体" w:hAnsi="宋体"/>
          <w:color w:val="000000"/>
          <w:sz w:val="24"/>
        </w:rPr>
        <w:t>（八）无效投标文件的确认：</w:t>
      </w:r>
    </w:p>
    <w:p>
      <w:pPr>
        <w:tabs>
          <w:tab w:val="left" w:pos="525"/>
          <w:tab w:val="left" w:pos="1050"/>
        </w:tabs>
        <w:spacing w:line="360" w:lineRule="auto"/>
        <w:ind w:left="550" w:leftChars="262"/>
        <w:rPr>
          <w:rFonts w:ascii="宋体" w:hAnsi="宋体"/>
          <w:bCs/>
          <w:color w:val="000000"/>
          <w:sz w:val="24"/>
        </w:rPr>
      </w:pPr>
      <w:r>
        <w:rPr>
          <w:rFonts w:hint="eastAsia" w:ascii="宋体" w:hAnsi="宋体"/>
          <w:bCs/>
          <w:color w:val="000000"/>
          <w:sz w:val="24"/>
        </w:rPr>
        <w:t>投标人有下列情况之一者，其投标文件无效：</w:t>
      </w:r>
    </w:p>
    <w:p>
      <w:pPr>
        <w:numPr>
          <w:ilvl w:val="0"/>
          <w:numId w:val="2"/>
        </w:numPr>
        <w:tabs>
          <w:tab w:val="left" w:pos="525"/>
          <w:tab w:val="left" w:pos="945"/>
          <w:tab w:val="clear" w:pos="762"/>
        </w:tabs>
        <w:spacing w:line="360" w:lineRule="auto"/>
        <w:ind w:left="1" w:firstLine="523" w:firstLineChars="218"/>
        <w:rPr>
          <w:rFonts w:ascii="宋体" w:hAnsi="宋体"/>
          <w:bCs/>
          <w:sz w:val="24"/>
        </w:rPr>
      </w:pPr>
      <w:r>
        <w:rPr>
          <w:rFonts w:hint="eastAsia" w:ascii="宋体" w:hAnsi="宋体"/>
          <w:bCs/>
          <w:sz w:val="24"/>
        </w:rPr>
        <w:t>投标文件未按规定的期限、地点送达的；</w:t>
      </w:r>
    </w:p>
    <w:p>
      <w:pPr>
        <w:numPr>
          <w:ilvl w:val="0"/>
          <w:numId w:val="2"/>
        </w:numPr>
        <w:tabs>
          <w:tab w:val="left" w:pos="525"/>
          <w:tab w:val="left" w:pos="945"/>
          <w:tab w:val="clear" w:pos="762"/>
        </w:tabs>
        <w:spacing w:line="360" w:lineRule="auto"/>
        <w:ind w:left="1" w:firstLine="523" w:firstLineChars="218"/>
        <w:rPr>
          <w:rFonts w:ascii="宋体" w:hAnsi="宋体"/>
          <w:bCs/>
          <w:sz w:val="24"/>
        </w:rPr>
      </w:pPr>
      <w:r>
        <w:rPr>
          <w:rFonts w:hint="eastAsia" w:ascii="宋体" w:hAnsi="宋体"/>
          <w:bCs/>
          <w:sz w:val="24"/>
        </w:rPr>
        <w:t>投标文件未按要求密封、签署、盖章的；</w:t>
      </w:r>
    </w:p>
    <w:p>
      <w:pPr>
        <w:numPr>
          <w:ilvl w:val="0"/>
          <w:numId w:val="2"/>
        </w:numPr>
        <w:tabs>
          <w:tab w:val="left" w:pos="525"/>
          <w:tab w:val="left" w:pos="945"/>
          <w:tab w:val="clear" w:pos="762"/>
        </w:tabs>
        <w:spacing w:line="360" w:lineRule="auto"/>
        <w:ind w:left="1" w:firstLine="523" w:firstLineChars="218"/>
        <w:rPr>
          <w:rFonts w:ascii="宋体" w:hAnsi="宋体"/>
          <w:bCs/>
          <w:sz w:val="24"/>
        </w:rPr>
      </w:pPr>
      <w:r>
        <w:rPr>
          <w:rFonts w:hint="eastAsia" w:ascii="宋体" w:hAnsi="宋体"/>
          <w:bCs/>
          <w:sz w:val="24"/>
        </w:rPr>
        <w:t>投标</w:t>
      </w:r>
      <w:r>
        <w:rPr>
          <w:rFonts w:hint="eastAsia" w:ascii="宋体" w:hAnsi="宋体" w:cs="宋体"/>
          <w:kern w:val="0"/>
          <w:sz w:val="24"/>
        </w:rPr>
        <w:t>供应商</w:t>
      </w:r>
      <w:r>
        <w:rPr>
          <w:rFonts w:hint="eastAsia" w:ascii="宋体" w:hAnsi="宋体"/>
          <w:bCs/>
          <w:sz w:val="24"/>
        </w:rPr>
        <w:t>的法定代表人或法定代表人授权代表，未准时参加开标的；</w:t>
      </w:r>
    </w:p>
    <w:p>
      <w:pPr>
        <w:numPr>
          <w:ilvl w:val="0"/>
          <w:numId w:val="2"/>
        </w:numPr>
        <w:tabs>
          <w:tab w:val="left" w:pos="525"/>
          <w:tab w:val="left" w:pos="945"/>
          <w:tab w:val="clear" w:pos="762"/>
        </w:tabs>
        <w:spacing w:line="360" w:lineRule="auto"/>
        <w:ind w:left="1" w:firstLine="523" w:firstLineChars="218"/>
        <w:rPr>
          <w:rFonts w:ascii="宋体" w:hAnsi="宋体"/>
          <w:bCs/>
          <w:sz w:val="24"/>
        </w:rPr>
      </w:pPr>
      <w:r>
        <w:rPr>
          <w:rFonts w:hint="eastAsia" w:ascii="宋体" w:hAnsi="宋体"/>
          <w:bCs/>
          <w:sz w:val="24"/>
        </w:rPr>
        <w:t>投标</w:t>
      </w:r>
      <w:r>
        <w:rPr>
          <w:rFonts w:hint="eastAsia" w:ascii="宋体" w:hAnsi="宋体" w:cs="宋体"/>
          <w:kern w:val="0"/>
          <w:sz w:val="24"/>
        </w:rPr>
        <w:t>供应商</w:t>
      </w:r>
      <w:r>
        <w:rPr>
          <w:rFonts w:hint="eastAsia" w:ascii="宋体" w:hAnsi="宋体"/>
          <w:bCs/>
          <w:sz w:val="24"/>
        </w:rPr>
        <w:t>的法定代表人授权代表，无法定代表人授权委托书的；</w:t>
      </w:r>
    </w:p>
    <w:p>
      <w:pPr>
        <w:numPr>
          <w:ilvl w:val="0"/>
          <w:numId w:val="2"/>
        </w:numPr>
        <w:tabs>
          <w:tab w:val="left" w:pos="525"/>
          <w:tab w:val="left" w:pos="945"/>
          <w:tab w:val="clear" w:pos="762"/>
        </w:tabs>
        <w:spacing w:line="360" w:lineRule="auto"/>
        <w:ind w:left="1" w:firstLine="523" w:firstLineChars="218"/>
        <w:rPr>
          <w:rFonts w:ascii="宋体" w:hAnsi="宋体"/>
          <w:bCs/>
          <w:sz w:val="24"/>
        </w:rPr>
      </w:pPr>
      <w:r>
        <w:rPr>
          <w:rFonts w:hint="eastAsia" w:ascii="宋体" w:hAnsi="宋体"/>
          <w:bCs/>
          <w:sz w:val="24"/>
        </w:rPr>
        <w:t>不具备招标文件中规定的资格要求或未按招标文件规定的要求提供资格、资信证明文件的；</w:t>
      </w:r>
    </w:p>
    <w:p>
      <w:pPr>
        <w:numPr>
          <w:ilvl w:val="0"/>
          <w:numId w:val="2"/>
        </w:numPr>
        <w:tabs>
          <w:tab w:val="left" w:pos="525"/>
          <w:tab w:val="left" w:pos="945"/>
          <w:tab w:val="clear" w:pos="762"/>
        </w:tabs>
        <w:spacing w:line="460" w:lineRule="exact"/>
        <w:ind w:left="1" w:firstLine="523" w:firstLineChars="218"/>
        <w:rPr>
          <w:rFonts w:ascii="宋体" w:hAnsi="宋体"/>
          <w:bCs/>
          <w:sz w:val="24"/>
        </w:rPr>
      </w:pPr>
      <w:r>
        <w:rPr>
          <w:rFonts w:hint="eastAsia" w:ascii="宋体" w:hAnsi="宋体"/>
          <w:bCs/>
          <w:sz w:val="24"/>
        </w:rPr>
        <w:t>投标</w:t>
      </w:r>
      <w:r>
        <w:rPr>
          <w:rFonts w:hint="eastAsia" w:ascii="宋体" w:hAnsi="宋体" w:cs="宋体"/>
          <w:kern w:val="0"/>
          <w:sz w:val="24"/>
        </w:rPr>
        <w:t>供应商</w:t>
      </w:r>
      <w:r>
        <w:rPr>
          <w:rFonts w:hint="eastAsia" w:ascii="宋体" w:hAnsi="宋体" w:cs="宋体"/>
          <w:bCs/>
          <w:sz w:val="24"/>
        </w:rPr>
        <w:t>被列入失信被执行人、重大税收违法案件当事人名单、政府采购严重违法失信行为记录名单及其他不符合《中华人民共和国政府采购法》第二十二条规定条件的；</w:t>
      </w:r>
    </w:p>
    <w:p>
      <w:pPr>
        <w:numPr>
          <w:ilvl w:val="0"/>
          <w:numId w:val="2"/>
        </w:numPr>
        <w:tabs>
          <w:tab w:val="left" w:pos="525"/>
          <w:tab w:val="left" w:pos="945"/>
          <w:tab w:val="clear" w:pos="762"/>
        </w:tabs>
        <w:spacing w:line="360" w:lineRule="auto"/>
        <w:ind w:left="1" w:firstLine="523" w:firstLineChars="218"/>
        <w:rPr>
          <w:rFonts w:ascii="宋体" w:hAnsi="宋体"/>
          <w:bCs/>
          <w:sz w:val="24"/>
        </w:rPr>
      </w:pPr>
      <w:r>
        <w:rPr>
          <w:rFonts w:hint="eastAsia" w:ascii="宋体" w:hAnsi="宋体"/>
          <w:bCs/>
          <w:sz w:val="24"/>
        </w:rPr>
        <w:t>投标文件未按招标文件规定的内容和要求填写的；</w:t>
      </w:r>
    </w:p>
    <w:p>
      <w:pPr>
        <w:numPr>
          <w:ilvl w:val="0"/>
          <w:numId w:val="2"/>
        </w:numPr>
        <w:tabs>
          <w:tab w:val="left" w:pos="525"/>
          <w:tab w:val="left" w:pos="945"/>
          <w:tab w:val="clear" w:pos="762"/>
        </w:tabs>
        <w:spacing w:line="360" w:lineRule="auto"/>
        <w:ind w:left="1" w:firstLine="523" w:firstLineChars="218"/>
        <w:rPr>
          <w:rFonts w:ascii="宋体" w:hAnsi="宋体"/>
          <w:bCs/>
          <w:sz w:val="24"/>
        </w:rPr>
      </w:pPr>
      <w:r>
        <w:rPr>
          <w:rFonts w:hint="eastAsia" w:ascii="宋体" w:hAnsi="宋体"/>
          <w:bCs/>
          <w:sz w:val="24"/>
        </w:rPr>
        <w:t>投标文件书写潦草、字迹模糊不清、无法辨认的；</w:t>
      </w:r>
    </w:p>
    <w:p>
      <w:pPr>
        <w:numPr>
          <w:ilvl w:val="0"/>
          <w:numId w:val="2"/>
        </w:numPr>
        <w:tabs>
          <w:tab w:val="left" w:pos="525"/>
          <w:tab w:val="left" w:pos="945"/>
          <w:tab w:val="clear" w:pos="762"/>
        </w:tabs>
        <w:spacing w:line="360" w:lineRule="auto"/>
        <w:ind w:left="1" w:firstLine="523" w:firstLineChars="218"/>
        <w:rPr>
          <w:rFonts w:ascii="宋体" w:hAnsi="宋体"/>
          <w:bCs/>
          <w:sz w:val="24"/>
        </w:rPr>
      </w:pPr>
      <w:r>
        <w:rPr>
          <w:rFonts w:hint="eastAsia" w:ascii="宋体" w:hAnsi="宋体"/>
          <w:bCs/>
          <w:sz w:val="24"/>
        </w:rPr>
        <w:t>投标文件中有招标文件未允许提供的选择性内容的；</w:t>
      </w:r>
    </w:p>
    <w:p>
      <w:pPr>
        <w:numPr>
          <w:ilvl w:val="0"/>
          <w:numId w:val="2"/>
        </w:numPr>
        <w:tabs>
          <w:tab w:val="left" w:pos="525"/>
          <w:tab w:val="left" w:pos="945"/>
          <w:tab w:val="clear" w:pos="762"/>
        </w:tabs>
        <w:spacing w:line="360" w:lineRule="auto"/>
        <w:ind w:left="1" w:firstLine="523" w:firstLineChars="218"/>
        <w:rPr>
          <w:rFonts w:ascii="宋体" w:hAnsi="宋体"/>
          <w:bCs/>
          <w:sz w:val="24"/>
        </w:rPr>
      </w:pPr>
      <w:r>
        <w:rPr>
          <w:rFonts w:ascii="宋体" w:hAnsi="宋体"/>
          <w:bCs/>
          <w:sz w:val="24"/>
        </w:rPr>
        <w:t>不同</w:t>
      </w:r>
      <w:r>
        <w:rPr>
          <w:rFonts w:hint="eastAsia" w:ascii="宋体" w:hAnsi="宋体"/>
          <w:bCs/>
          <w:sz w:val="24"/>
        </w:rPr>
        <w:t>投标</w:t>
      </w:r>
      <w:r>
        <w:rPr>
          <w:rFonts w:hint="eastAsia" w:ascii="宋体" w:hAnsi="宋体" w:cs="宋体"/>
          <w:kern w:val="0"/>
          <w:sz w:val="24"/>
        </w:rPr>
        <w:t>供应商</w:t>
      </w:r>
      <w:r>
        <w:rPr>
          <w:rFonts w:ascii="宋体" w:hAnsi="宋体"/>
          <w:bCs/>
          <w:sz w:val="24"/>
        </w:rPr>
        <w:t>的</w:t>
      </w:r>
      <w:r>
        <w:rPr>
          <w:rFonts w:hint="eastAsia" w:ascii="宋体" w:hAnsi="宋体"/>
          <w:bCs/>
          <w:sz w:val="24"/>
        </w:rPr>
        <w:t>投标</w:t>
      </w:r>
      <w:r>
        <w:rPr>
          <w:rFonts w:ascii="宋体" w:hAnsi="宋体"/>
          <w:bCs/>
          <w:sz w:val="24"/>
        </w:rPr>
        <w:t>文件由同一单位或者个人编制</w:t>
      </w:r>
      <w:r>
        <w:rPr>
          <w:rFonts w:hint="eastAsia" w:ascii="宋体" w:hAnsi="宋体"/>
          <w:bCs/>
          <w:sz w:val="24"/>
        </w:rPr>
        <w:t>的</w:t>
      </w:r>
      <w:r>
        <w:rPr>
          <w:rFonts w:ascii="宋体" w:hAnsi="宋体"/>
          <w:bCs/>
          <w:sz w:val="24"/>
        </w:rPr>
        <w:t>；</w:t>
      </w:r>
    </w:p>
    <w:p>
      <w:pPr>
        <w:numPr>
          <w:ilvl w:val="0"/>
          <w:numId w:val="2"/>
        </w:numPr>
        <w:tabs>
          <w:tab w:val="left" w:pos="525"/>
          <w:tab w:val="left" w:pos="945"/>
          <w:tab w:val="clear" w:pos="762"/>
        </w:tabs>
        <w:spacing w:line="360" w:lineRule="auto"/>
        <w:ind w:left="1" w:firstLine="523" w:firstLineChars="218"/>
        <w:rPr>
          <w:rFonts w:ascii="宋体" w:hAnsi="宋体"/>
          <w:bCs/>
          <w:sz w:val="24"/>
        </w:rPr>
      </w:pPr>
      <w:r>
        <w:rPr>
          <w:rFonts w:ascii="宋体" w:hAnsi="宋体"/>
          <w:bCs/>
          <w:sz w:val="24"/>
        </w:rPr>
        <w:t>不同</w:t>
      </w:r>
      <w:r>
        <w:rPr>
          <w:rFonts w:hint="eastAsia" w:ascii="宋体" w:hAnsi="宋体"/>
          <w:bCs/>
          <w:sz w:val="24"/>
        </w:rPr>
        <w:t>投标</w:t>
      </w:r>
      <w:r>
        <w:rPr>
          <w:rFonts w:hint="eastAsia" w:ascii="宋体" w:hAnsi="宋体" w:cs="宋体"/>
          <w:kern w:val="0"/>
          <w:sz w:val="24"/>
        </w:rPr>
        <w:t>供应商</w:t>
      </w:r>
      <w:r>
        <w:rPr>
          <w:rFonts w:ascii="宋体" w:hAnsi="宋体"/>
          <w:bCs/>
          <w:sz w:val="24"/>
        </w:rPr>
        <w:t>委托同一单位或者个人办理</w:t>
      </w:r>
      <w:r>
        <w:rPr>
          <w:rFonts w:hint="eastAsia" w:ascii="宋体" w:hAnsi="宋体"/>
          <w:bCs/>
          <w:sz w:val="24"/>
        </w:rPr>
        <w:t>投标</w:t>
      </w:r>
      <w:r>
        <w:rPr>
          <w:rFonts w:ascii="宋体" w:hAnsi="宋体"/>
          <w:bCs/>
          <w:sz w:val="24"/>
        </w:rPr>
        <w:t>事宜</w:t>
      </w:r>
      <w:r>
        <w:rPr>
          <w:rFonts w:hint="eastAsia" w:ascii="宋体" w:hAnsi="宋体"/>
          <w:bCs/>
          <w:sz w:val="24"/>
        </w:rPr>
        <w:t>的</w:t>
      </w:r>
      <w:r>
        <w:rPr>
          <w:rFonts w:ascii="宋体" w:hAnsi="宋体"/>
          <w:bCs/>
          <w:sz w:val="24"/>
        </w:rPr>
        <w:t>；</w:t>
      </w:r>
    </w:p>
    <w:p>
      <w:pPr>
        <w:numPr>
          <w:ilvl w:val="0"/>
          <w:numId w:val="2"/>
        </w:numPr>
        <w:tabs>
          <w:tab w:val="left" w:pos="525"/>
          <w:tab w:val="left" w:pos="945"/>
          <w:tab w:val="clear" w:pos="762"/>
        </w:tabs>
        <w:spacing w:line="360" w:lineRule="auto"/>
        <w:ind w:left="1" w:firstLine="523" w:firstLineChars="218"/>
        <w:rPr>
          <w:rFonts w:ascii="宋体" w:hAnsi="宋体"/>
          <w:bCs/>
          <w:sz w:val="24"/>
        </w:rPr>
      </w:pPr>
      <w:r>
        <w:rPr>
          <w:rFonts w:ascii="宋体" w:hAnsi="宋体"/>
          <w:bCs/>
          <w:sz w:val="24"/>
        </w:rPr>
        <w:t>不同</w:t>
      </w:r>
      <w:r>
        <w:rPr>
          <w:rFonts w:hint="eastAsia" w:ascii="宋体" w:hAnsi="宋体"/>
          <w:bCs/>
          <w:sz w:val="24"/>
        </w:rPr>
        <w:t>投标</w:t>
      </w:r>
      <w:r>
        <w:rPr>
          <w:rFonts w:hint="eastAsia" w:ascii="宋体" w:hAnsi="宋体" w:cs="宋体"/>
          <w:kern w:val="0"/>
          <w:sz w:val="24"/>
        </w:rPr>
        <w:t>供应商</w:t>
      </w:r>
      <w:r>
        <w:rPr>
          <w:rFonts w:ascii="宋体" w:hAnsi="宋体"/>
          <w:bCs/>
          <w:sz w:val="24"/>
        </w:rPr>
        <w:t>的</w:t>
      </w:r>
      <w:r>
        <w:rPr>
          <w:rFonts w:hint="eastAsia" w:ascii="宋体" w:hAnsi="宋体"/>
          <w:bCs/>
          <w:sz w:val="24"/>
        </w:rPr>
        <w:t>投标</w:t>
      </w:r>
      <w:r>
        <w:rPr>
          <w:rFonts w:ascii="宋体" w:hAnsi="宋体"/>
          <w:bCs/>
          <w:sz w:val="24"/>
        </w:rPr>
        <w:t>文件载明的项目管理成员为同一人</w:t>
      </w:r>
      <w:r>
        <w:rPr>
          <w:rFonts w:hint="eastAsia" w:ascii="宋体" w:hAnsi="宋体"/>
          <w:bCs/>
          <w:sz w:val="24"/>
        </w:rPr>
        <w:t>的</w:t>
      </w:r>
      <w:r>
        <w:rPr>
          <w:rFonts w:ascii="宋体" w:hAnsi="宋体"/>
          <w:bCs/>
          <w:sz w:val="24"/>
        </w:rPr>
        <w:t>；</w:t>
      </w:r>
    </w:p>
    <w:p>
      <w:pPr>
        <w:numPr>
          <w:ilvl w:val="0"/>
          <w:numId w:val="2"/>
        </w:numPr>
        <w:tabs>
          <w:tab w:val="left" w:pos="525"/>
          <w:tab w:val="left" w:pos="945"/>
          <w:tab w:val="clear" w:pos="762"/>
        </w:tabs>
        <w:spacing w:line="360" w:lineRule="auto"/>
        <w:ind w:left="1" w:firstLine="523" w:firstLineChars="218"/>
        <w:rPr>
          <w:rFonts w:ascii="宋体" w:hAnsi="宋体"/>
          <w:bCs/>
          <w:sz w:val="24"/>
        </w:rPr>
      </w:pPr>
      <w:r>
        <w:rPr>
          <w:rFonts w:ascii="宋体" w:hAnsi="宋体"/>
          <w:bCs/>
          <w:sz w:val="24"/>
        </w:rPr>
        <w:t>不同</w:t>
      </w:r>
      <w:r>
        <w:rPr>
          <w:rFonts w:hint="eastAsia" w:ascii="宋体" w:hAnsi="宋体"/>
          <w:bCs/>
          <w:sz w:val="24"/>
        </w:rPr>
        <w:t>投标</w:t>
      </w:r>
      <w:r>
        <w:rPr>
          <w:rFonts w:hint="eastAsia" w:ascii="宋体" w:hAnsi="宋体" w:cs="宋体"/>
          <w:kern w:val="0"/>
          <w:sz w:val="24"/>
        </w:rPr>
        <w:t>供应商</w:t>
      </w:r>
      <w:r>
        <w:rPr>
          <w:rFonts w:ascii="宋体" w:hAnsi="宋体"/>
          <w:bCs/>
          <w:sz w:val="24"/>
        </w:rPr>
        <w:t>的</w:t>
      </w:r>
      <w:r>
        <w:rPr>
          <w:rFonts w:hint="eastAsia" w:ascii="宋体" w:hAnsi="宋体"/>
          <w:bCs/>
          <w:sz w:val="24"/>
        </w:rPr>
        <w:t>投标</w:t>
      </w:r>
      <w:r>
        <w:rPr>
          <w:rFonts w:ascii="宋体" w:hAnsi="宋体"/>
          <w:bCs/>
          <w:sz w:val="24"/>
        </w:rPr>
        <w:t>文件异常一致或者报价呈规律性差异</w:t>
      </w:r>
      <w:r>
        <w:rPr>
          <w:rFonts w:hint="eastAsia" w:ascii="宋体" w:hAnsi="宋体"/>
          <w:bCs/>
          <w:sz w:val="24"/>
        </w:rPr>
        <w:t>的</w:t>
      </w:r>
      <w:r>
        <w:rPr>
          <w:rFonts w:ascii="宋体" w:hAnsi="宋体"/>
          <w:bCs/>
          <w:sz w:val="24"/>
        </w:rPr>
        <w:t>；</w:t>
      </w:r>
    </w:p>
    <w:p>
      <w:pPr>
        <w:numPr>
          <w:ilvl w:val="0"/>
          <w:numId w:val="2"/>
        </w:numPr>
        <w:tabs>
          <w:tab w:val="left" w:pos="525"/>
          <w:tab w:val="left" w:pos="945"/>
          <w:tab w:val="clear" w:pos="762"/>
        </w:tabs>
        <w:spacing w:line="360" w:lineRule="auto"/>
        <w:ind w:left="1" w:firstLine="523" w:firstLineChars="218"/>
        <w:rPr>
          <w:rFonts w:ascii="宋体" w:hAnsi="宋体"/>
          <w:bCs/>
          <w:sz w:val="24"/>
        </w:rPr>
      </w:pPr>
      <w:r>
        <w:rPr>
          <w:rFonts w:ascii="宋体" w:hAnsi="宋体"/>
          <w:bCs/>
          <w:sz w:val="24"/>
        </w:rPr>
        <w:t>不同</w:t>
      </w:r>
      <w:r>
        <w:rPr>
          <w:rFonts w:hint="eastAsia" w:ascii="宋体" w:hAnsi="宋体"/>
          <w:bCs/>
          <w:sz w:val="24"/>
        </w:rPr>
        <w:t>投标</w:t>
      </w:r>
      <w:r>
        <w:rPr>
          <w:rFonts w:hint="eastAsia" w:ascii="宋体" w:hAnsi="宋体" w:cs="宋体"/>
          <w:kern w:val="0"/>
          <w:sz w:val="24"/>
        </w:rPr>
        <w:t>供应商</w:t>
      </w:r>
      <w:r>
        <w:rPr>
          <w:rFonts w:hint="eastAsia" w:ascii="宋体" w:hAnsi="宋体"/>
          <w:bCs/>
          <w:sz w:val="24"/>
        </w:rPr>
        <w:t>的投标文件相互混装的；</w:t>
      </w:r>
    </w:p>
    <w:p>
      <w:pPr>
        <w:numPr>
          <w:ilvl w:val="0"/>
          <w:numId w:val="2"/>
        </w:numPr>
        <w:tabs>
          <w:tab w:val="left" w:pos="525"/>
          <w:tab w:val="left" w:pos="945"/>
          <w:tab w:val="clear" w:pos="762"/>
        </w:tabs>
        <w:spacing w:line="360" w:lineRule="auto"/>
        <w:ind w:left="1" w:firstLine="523" w:firstLineChars="218"/>
        <w:rPr>
          <w:rFonts w:ascii="宋体" w:hAnsi="宋体"/>
          <w:bCs/>
          <w:sz w:val="24"/>
        </w:rPr>
      </w:pPr>
      <w:r>
        <w:rPr>
          <w:rFonts w:ascii="宋体" w:hAnsi="宋体"/>
          <w:bCs/>
          <w:sz w:val="24"/>
        </w:rPr>
        <w:t>不同</w:t>
      </w:r>
      <w:r>
        <w:rPr>
          <w:rFonts w:hint="eastAsia" w:ascii="宋体" w:hAnsi="宋体"/>
          <w:bCs/>
          <w:sz w:val="24"/>
        </w:rPr>
        <w:t>投标</w:t>
      </w:r>
      <w:r>
        <w:rPr>
          <w:rFonts w:hint="eastAsia" w:ascii="宋体" w:hAnsi="宋体" w:cs="宋体"/>
          <w:kern w:val="0"/>
          <w:sz w:val="24"/>
        </w:rPr>
        <w:t>供应商</w:t>
      </w:r>
      <w:r>
        <w:rPr>
          <w:rFonts w:hint="eastAsia" w:ascii="宋体" w:hAnsi="宋体"/>
          <w:bCs/>
          <w:sz w:val="24"/>
        </w:rPr>
        <w:t>的单位负责人为同一人或者存在直接控股、管理关系的；</w:t>
      </w:r>
    </w:p>
    <w:p>
      <w:pPr>
        <w:numPr>
          <w:ilvl w:val="0"/>
          <w:numId w:val="2"/>
        </w:numPr>
        <w:tabs>
          <w:tab w:val="left" w:pos="525"/>
          <w:tab w:val="left" w:pos="945"/>
          <w:tab w:val="clear" w:pos="762"/>
        </w:tabs>
        <w:spacing w:line="360" w:lineRule="auto"/>
        <w:ind w:left="1" w:firstLine="523" w:firstLineChars="218"/>
        <w:rPr>
          <w:rFonts w:ascii="宋体" w:hAnsi="宋体"/>
          <w:bCs/>
          <w:sz w:val="24"/>
        </w:rPr>
      </w:pPr>
      <w:r>
        <w:rPr>
          <w:rFonts w:hint="eastAsia" w:ascii="宋体" w:hAnsi="宋体"/>
          <w:bCs/>
          <w:sz w:val="24"/>
        </w:rPr>
        <w:t>项目（标段）总报价超过本项目（标段）预算或最高限价的；</w:t>
      </w:r>
    </w:p>
    <w:p>
      <w:pPr>
        <w:numPr>
          <w:ilvl w:val="0"/>
          <w:numId w:val="2"/>
        </w:numPr>
        <w:tabs>
          <w:tab w:val="left" w:pos="525"/>
          <w:tab w:val="left" w:pos="945"/>
          <w:tab w:val="clear" w:pos="762"/>
        </w:tabs>
        <w:spacing w:line="360" w:lineRule="auto"/>
        <w:ind w:left="1" w:firstLine="523" w:firstLineChars="218"/>
        <w:rPr>
          <w:rFonts w:ascii="宋体" w:hAnsi="宋体"/>
          <w:bCs/>
          <w:sz w:val="24"/>
        </w:rPr>
      </w:pPr>
      <w:r>
        <w:rPr>
          <w:rFonts w:hint="eastAsia" w:ascii="宋体" w:hAnsi="宋体"/>
          <w:bCs/>
          <w:sz w:val="24"/>
        </w:rPr>
        <w:t>提供虚假材料的（包括工商营业执照、财务报表、资格证明文件等）；</w:t>
      </w:r>
    </w:p>
    <w:p>
      <w:pPr>
        <w:numPr>
          <w:ilvl w:val="0"/>
          <w:numId w:val="2"/>
        </w:numPr>
        <w:tabs>
          <w:tab w:val="left" w:pos="525"/>
          <w:tab w:val="left" w:pos="945"/>
          <w:tab w:val="clear" w:pos="762"/>
        </w:tabs>
        <w:spacing w:line="360" w:lineRule="auto"/>
        <w:ind w:left="1" w:firstLine="523" w:firstLineChars="218"/>
        <w:rPr>
          <w:rFonts w:ascii="宋体" w:hAnsi="宋体"/>
          <w:bCs/>
          <w:sz w:val="24"/>
        </w:rPr>
      </w:pPr>
      <w:r>
        <w:rPr>
          <w:rFonts w:hint="eastAsia" w:ascii="宋体" w:hAnsi="宋体"/>
          <w:bCs/>
          <w:sz w:val="24"/>
        </w:rPr>
        <w:t>评标委员会</w:t>
      </w:r>
      <w:r>
        <w:rPr>
          <w:rFonts w:ascii="宋体" w:hAnsi="宋体"/>
          <w:bCs/>
          <w:sz w:val="24"/>
        </w:rPr>
        <w:t>认定</w:t>
      </w:r>
      <w:r>
        <w:rPr>
          <w:rFonts w:hint="eastAsia" w:ascii="宋体" w:hAnsi="宋体"/>
          <w:bCs/>
          <w:sz w:val="24"/>
        </w:rPr>
        <w:t>投标</w:t>
      </w:r>
      <w:r>
        <w:rPr>
          <w:rFonts w:hint="eastAsia" w:ascii="宋体" w:hAnsi="宋体" w:cs="宋体"/>
          <w:kern w:val="0"/>
          <w:sz w:val="24"/>
        </w:rPr>
        <w:t>供应商</w:t>
      </w:r>
      <w:r>
        <w:rPr>
          <w:rFonts w:ascii="宋体" w:hAnsi="宋体"/>
          <w:bCs/>
          <w:sz w:val="24"/>
        </w:rPr>
        <w:t>报价明显不合理，有可能影响商品质量和不能诚信履约的</w:t>
      </w:r>
      <w:r>
        <w:rPr>
          <w:rFonts w:hint="eastAsia" w:ascii="宋体" w:hAnsi="宋体"/>
          <w:bCs/>
          <w:sz w:val="24"/>
        </w:rPr>
        <w:t>；</w:t>
      </w:r>
    </w:p>
    <w:p>
      <w:pPr>
        <w:numPr>
          <w:ilvl w:val="0"/>
          <w:numId w:val="2"/>
        </w:numPr>
        <w:tabs>
          <w:tab w:val="left" w:pos="525"/>
          <w:tab w:val="left" w:pos="945"/>
          <w:tab w:val="clear" w:pos="762"/>
        </w:tabs>
        <w:spacing w:line="360" w:lineRule="auto"/>
        <w:ind w:left="1" w:firstLine="523" w:firstLineChars="218"/>
        <w:rPr>
          <w:rFonts w:ascii="宋体" w:hAnsi="宋体"/>
          <w:bCs/>
          <w:sz w:val="24"/>
        </w:rPr>
      </w:pPr>
      <w:r>
        <w:rPr>
          <w:rFonts w:hint="eastAsia" w:ascii="宋体" w:hAnsi="宋体"/>
          <w:bCs/>
          <w:sz w:val="24"/>
        </w:rPr>
        <w:t>除单一来源采购项目外，为采购项目提供整体设计、规范编制或者项目管理、监理、检测等服务的；</w:t>
      </w:r>
    </w:p>
    <w:p>
      <w:pPr>
        <w:numPr>
          <w:ilvl w:val="0"/>
          <w:numId w:val="2"/>
        </w:numPr>
        <w:tabs>
          <w:tab w:val="left" w:pos="525"/>
          <w:tab w:val="left" w:pos="945"/>
          <w:tab w:val="clear" w:pos="762"/>
        </w:tabs>
        <w:spacing w:line="460" w:lineRule="exact"/>
        <w:ind w:left="1" w:firstLine="523" w:firstLineChars="218"/>
        <w:rPr>
          <w:rFonts w:ascii="宋体" w:hAnsi="宋体"/>
          <w:bCs/>
          <w:sz w:val="24"/>
        </w:rPr>
      </w:pPr>
      <w:r>
        <w:rPr>
          <w:rFonts w:hint="eastAsia" w:ascii="宋体" w:hAnsi="宋体" w:cs="宋体"/>
          <w:bCs/>
          <w:sz w:val="24"/>
        </w:rPr>
        <w:t>投标报价畸高或畸低，但投标总报价与各分项报价不能相互对应，在询标时没有合理的解释或者不能提供计算依据和报价依据的；</w:t>
      </w:r>
    </w:p>
    <w:p>
      <w:pPr>
        <w:numPr>
          <w:ilvl w:val="0"/>
          <w:numId w:val="2"/>
        </w:numPr>
        <w:tabs>
          <w:tab w:val="left" w:pos="525"/>
          <w:tab w:val="left" w:pos="945"/>
          <w:tab w:val="clear" w:pos="762"/>
        </w:tabs>
        <w:spacing w:line="460" w:lineRule="exact"/>
        <w:ind w:left="1" w:firstLine="523" w:firstLineChars="218"/>
        <w:rPr>
          <w:rFonts w:ascii="宋体" w:hAnsi="宋体"/>
          <w:bCs/>
          <w:sz w:val="24"/>
        </w:rPr>
      </w:pPr>
      <w:r>
        <w:rPr>
          <w:rFonts w:hint="eastAsia" w:ascii="宋体" w:hAnsi="宋体" w:cs="宋体"/>
          <w:bCs/>
          <w:sz w:val="24"/>
        </w:rPr>
        <w:t>投标报价明显低于其他通过符合性审查投标</w:t>
      </w:r>
      <w:r>
        <w:rPr>
          <w:rFonts w:hint="eastAsia" w:ascii="宋体" w:hAnsi="宋体" w:cs="宋体"/>
          <w:kern w:val="0"/>
          <w:sz w:val="24"/>
        </w:rPr>
        <w:t>供应商</w:t>
      </w:r>
      <w:r>
        <w:rPr>
          <w:rFonts w:hint="eastAsia" w:ascii="宋体" w:hAnsi="宋体" w:cs="宋体"/>
          <w:bCs/>
          <w:sz w:val="24"/>
        </w:rPr>
        <w:t>的报价，有可能影响产品质量或者不能诚信履约，且投标人不能证明其报价合理性，不能在半小时内提供书面说明及提交相关证明材料的；</w:t>
      </w:r>
    </w:p>
    <w:p>
      <w:pPr>
        <w:numPr>
          <w:ilvl w:val="0"/>
          <w:numId w:val="2"/>
        </w:numPr>
        <w:tabs>
          <w:tab w:val="left" w:pos="525"/>
          <w:tab w:val="left" w:pos="945"/>
          <w:tab w:val="clear" w:pos="762"/>
        </w:tabs>
        <w:spacing w:line="460" w:lineRule="exact"/>
        <w:ind w:left="1" w:firstLine="523" w:firstLineChars="218"/>
        <w:rPr>
          <w:rFonts w:ascii="宋体" w:hAnsi="宋体"/>
          <w:bCs/>
          <w:sz w:val="24"/>
        </w:rPr>
      </w:pPr>
      <w:r>
        <w:rPr>
          <w:rFonts w:hint="eastAsia" w:ascii="宋体" w:hAnsi="宋体" w:cs="宋体"/>
          <w:bCs/>
          <w:sz w:val="24"/>
        </w:rPr>
        <w:t>未通过初步资格性审查、投标文件资格性检查、投标文件符合性检查的；</w:t>
      </w:r>
    </w:p>
    <w:p>
      <w:pPr>
        <w:numPr>
          <w:ilvl w:val="0"/>
          <w:numId w:val="2"/>
        </w:numPr>
        <w:tabs>
          <w:tab w:val="left" w:pos="525"/>
          <w:tab w:val="left" w:pos="945"/>
          <w:tab w:val="clear" w:pos="762"/>
        </w:tabs>
        <w:spacing w:line="460" w:lineRule="exact"/>
        <w:ind w:left="1" w:firstLine="523" w:firstLineChars="218"/>
        <w:rPr>
          <w:rFonts w:ascii="宋体" w:hAnsi="宋体"/>
          <w:bCs/>
          <w:sz w:val="24"/>
        </w:rPr>
      </w:pPr>
      <w:r>
        <w:rPr>
          <w:rFonts w:hint="eastAsia" w:ascii="宋体" w:hAnsi="宋体" w:cs="宋体"/>
          <w:bCs/>
          <w:sz w:val="24"/>
        </w:rPr>
        <w:t>投标文件中同一方案有选择性报价且未声明以哪一个为准的；</w:t>
      </w:r>
    </w:p>
    <w:p>
      <w:pPr>
        <w:numPr>
          <w:ilvl w:val="0"/>
          <w:numId w:val="2"/>
        </w:numPr>
        <w:tabs>
          <w:tab w:val="left" w:pos="525"/>
          <w:tab w:val="left" w:pos="945"/>
          <w:tab w:val="clear" w:pos="762"/>
        </w:tabs>
        <w:spacing w:line="460" w:lineRule="exact"/>
        <w:ind w:left="1" w:firstLine="523" w:firstLineChars="218"/>
        <w:rPr>
          <w:rFonts w:ascii="宋体" w:hAnsi="宋体"/>
          <w:bCs/>
          <w:sz w:val="24"/>
        </w:rPr>
      </w:pPr>
      <w:r>
        <w:rPr>
          <w:rFonts w:hint="eastAsia" w:ascii="宋体" w:hAnsi="宋体" w:cs="宋体"/>
          <w:bCs/>
          <w:sz w:val="24"/>
        </w:rPr>
        <w:t>同一投标文件中单位名称落款与公章不是同一单位的；</w:t>
      </w:r>
    </w:p>
    <w:p>
      <w:pPr>
        <w:numPr>
          <w:ilvl w:val="0"/>
          <w:numId w:val="2"/>
        </w:numPr>
        <w:tabs>
          <w:tab w:val="left" w:pos="525"/>
          <w:tab w:val="left" w:pos="945"/>
          <w:tab w:val="clear" w:pos="762"/>
        </w:tabs>
        <w:spacing w:line="460" w:lineRule="exact"/>
        <w:ind w:left="1" w:firstLine="523" w:firstLineChars="218"/>
        <w:rPr>
          <w:rFonts w:ascii="宋体" w:hAnsi="宋体"/>
          <w:bCs/>
          <w:sz w:val="24"/>
        </w:rPr>
      </w:pPr>
      <w:r>
        <w:rPr>
          <w:rFonts w:hint="eastAsia" w:ascii="宋体" w:hAnsi="宋体" w:cs="宋体"/>
          <w:bCs/>
          <w:sz w:val="24"/>
        </w:rPr>
        <w:t>不同投标</w:t>
      </w:r>
      <w:r>
        <w:rPr>
          <w:rFonts w:hint="eastAsia" w:ascii="宋体" w:hAnsi="宋体" w:cs="宋体"/>
          <w:kern w:val="0"/>
          <w:sz w:val="24"/>
        </w:rPr>
        <w:t>供应商</w:t>
      </w:r>
      <w:r>
        <w:rPr>
          <w:rFonts w:hint="eastAsia" w:ascii="宋体" w:hAnsi="宋体" w:cs="宋体"/>
          <w:bCs/>
          <w:sz w:val="24"/>
        </w:rPr>
        <w:t>的委托代理人、项目经理以及其他相关人员有在同一个单位缴纳社会保险的；</w:t>
      </w:r>
    </w:p>
    <w:p>
      <w:pPr>
        <w:numPr>
          <w:ilvl w:val="0"/>
          <w:numId w:val="2"/>
        </w:numPr>
        <w:tabs>
          <w:tab w:val="left" w:pos="525"/>
          <w:tab w:val="left" w:pos="945"/>
          <w:tab w:val="clear" w:pos="762"/>
        </w:tabs>
        <w:spacing w:line="360" w:lineRule="auto"/>
        <w:ind w:left="1" w:firstLine="523" w:firstLineChars="218"/>
        <w:rPr>
          <w:rFonts w:ascii="宋体" w:hAnsi="宋体"/>
          <w:bCs/>
          <w:sz w:val="24"/>
        </w:rPr>
      </w:pPr>
      <w:r>
        <w:rPr>
          <w:rFonts w:hint="eastAsia" w:ascii="宋体" w:hAnsi="宋体"/>
          <w:bCs/>
          <w:sz w:val="24"/>
        </w:rPr>
        <w:t>投标文件内容不全或不符合招标文件中规定的其它实质性要求的；</w:t>
      </w:r>
    </w:p>
    <w:p>
      <w:pPr>
        <w:numPr>
          <w:ilvl w:val="0"/>
          <w:numId w:val="2"/>
        </w:numPr>
        <w:tabs>
          <w:tab w:val="left" w:pos="525"/>
          <w:tab w:val="left" w:pos="945"/>
          <w:tab w:val="clear" w:pos="762"/>
        </w:tabs>
        <w:spacing w:line="360" w:lineRule="auto"/>
        <w:ind w:left="1" w:firstLine="523" w:firstLineChars="218"/>
        <w:rPr>
          <w:rFonts w:ascii="宋体" w:hAnsi="宋体"/>
          <w:bCs/>
          <w:sz w:val="24"/>
        </w:rPr>
      </w:pPr>
      <w:r>
        <w:rPr>
          <w:rFonts w:hint="eastAsia" w:ascii="宋体" w:hAnsi="宋体"/>
          <w:bCs/>
          <w:sz w:val="24"/>
        </w:rPr>
        <w:t>法律法规和采购文件规定的其它无效情形。</w:t>
      </w:r>
    </w:p>
    <w:p>
      <w:pPr>
        <w:numPr>
          <w:ilvl w:val="0"/>
          <w:numId w:val="3"/>
        </w:numPr>
        <w:spacing w:line="360" w:lineRule="auto"/>
        <w:ind w:left="-2" w:leftChars="-1" w:firstLine="420" w:firstLineChars="175"/>
        <w:outlineLvl w:val="0"/>
        <w:rPr>
          <w:rFonts w:ascii="宋体" w:hAnsi="宋体"/>
          <w:bCs/>
          <w:color w:val="000000"/>
          <w:sz w:val="24"/>
        </w:rPr>
      </w:pPr>
      <w:r>
        <w:rPr>
          <w:rFonts w:hint="eastAsia" w:ascii="宋体" w:hAnsi="宋体"/>
          <w:bCs/>
          <w:color w:val="000000"/>
          <w:sz w:val="24"/>
        </w:rPr>
        <w:t>开标、评标：</w:t>
      </w:r>
    </w:p>
    <w:p>
      <w:pPr>
        <w:numPr>
          <w:ilvl w:val="1"/>
          <w:numId w:val="4"/>
        </w:numPr>
        <w:tabs>
          <w:tab w:val="left" w:pos="525"/>
          <w:tab w:val="left" w:pos="1050"/>
          <w:tab w:val="left" w:pos="1770"/>
        </w:tabs>
        <w:spacing w:line="360" w:lineRule="auto"/>
        <w:ind w:left="0" w:firstLine="628" w:firstLineChars="262"/>
        <w:rPr>
          <w:color w:val="000000"/>
          <w:sz w:val="24"/>
        </w:rPr>
      </w:pPr>
      <w:r>
        <w:rPr>
          <w:rFonts w:hint="eastAsia" w:ascii="宋体" w:hAnsi="宋体"/>
          <w:color w:val="000000"/>
          <w:sz w:val="24"/>
        </w:rPr>
        <w:t>由专家及采购人代表组成评标委员会，并实行回避制度。</w:t>
      </w:r>
    </w:p>
    <w:p>
      <w:pPr>
        <w:numPr>
          <w:ilvl w:val="1"/>
          <w:numId w:val="4"/>
        </w:numPr>
        <w:tabs>
          <w:tab w:val="left" w:pos="525"/>
          <w:tab w:val="left" w:pos="1050"/>
          <w:tab w:val="left" w:pos="1770"/>
        </w:tabs>
        <w:spacing w:line="360" w:lineRule="auto"/>
        <w:ind w:left="0" w:firstLine="628" w:firstLineChars="262"/>
        <w:rPr>
          <w:rFonts w:ascii="宋体" w:hAnsi="宋体"/>
          <w:color w:val="000000"/>
          <w:sz w:val="24"/>
        </w:rPr>
      </w:pPr>
      <w:r>
        <w:rPr>
          <w:rFonts w:hint="eastAsia" w:ascii="宋体" w:hAnsi="宋体"/>
          <w:color w:val="000000"/>
          <w:sz w:val="24"/>
        </w:rPr>
        <w:t>投标文件的评审依据：</w:t>
      </w:r>
    </w:p>
    <w:p>
      <w:pPr>
        <w:tabs>
          <w:tab w:val="left" w:pos="0"/>
          <w:tab w:val="left" w:pos="525"/>
        </w:tabs>
        <w:spacing w:line="360" w:lineRule="auto"/>
        <w:ind w:firstLine="630"/>
        <w:rPr>
          <w:color w:val="000000"/>
          <w:sz w:val="24"/>
        </w:rPr>
      </w:pPr>
      <w:r>
        <w:rPr>
          <w:rFonts w:hint="eastAsia" w:ascii="宋体" w:hAnsi="宋体"/>
          <w:color w:val="000000"/>
          <w:sz w:val="24"/>
        </w:rPr>
        <w:t>2.1正本与副本不符，以正本为准。</w:t>
      </w:r>
    </w:p>
    <w:p>
      <w:pPr>
        <w:tabs>
          <w:tab w:val="left" w:pos="1050"/>
          <w:tab w:val="left" w:pos="1146"/>
          <w:tab w:val="left" w:pos="1770"/>
        </w:tabs>
        <w:spacing w:line="360" w:lineRule="auto"/>
        <w:ind w:left="629"/>
        <w:rPr>
          <w:rFonts w:ascii="宋体" w:hAnsi="宋体"/>
          <w:color w:val="000000"/>
          <w:sz w:val="24"/>
        </w:rPr>
      </w:pPr>
      <w:r>
        <w:rPr>
          <w:rFonts w:hint="eastAsia" w:ascii="宋体" w:hAnsi="宋体"/>
          <w:color w:val="000000"/>
          <w:sz w:val="24"/>
        </w:rPr>
        <w:t>2.2投标文件报价出现前后不一致的，按照下列规定修正：</w:t>
      </w:r>
    </w:p>
    <w:p>
      <w:pPr>
        <w:tabs>
          <w:tab w:val="left" w:pos="1050"/>
          <w:tab w:val="left" w:pos="1146"/>
          <w:tab w:val="left" w:pos="1770"/>
        </w:tabs>
        <w:spacing w:line="360" w:lineRule="auto"/>
        <w:ind w:left="629"/>
        <w:rPr>
          <w:rFonts w:ascii="宋体" w:hAnsi="宋体"/>
          <w:color w:val="000000"/>
          <w:sz w:val="24"/>
        </w:rPr>
      </w:pPr>
      <w:r>
        <w:rPr>
          <w:rFonts w:hint="eastAsia" w:ascii="宋体" w:hAnsi="宋体"/>
          <w:color w:val="000000"/>
          <w:sz w:val="24"/>
        </w:rPr>
        <w:t>2.2.1投标文件中开标一览表（报价表）内容与投标文件中相应内容不一致的，以开标一览表（报价表）为准；</w:t>
      </w:r>
    </w:p>
    <w:p>
      <w:pPr>
        <w:tabs>
          <w:tab w:val="left" w:pos="1050"/>
          <w:tab w:val="left" w:pos="1146"/>
          <w:tab w:val="left" w:pos="1770"/>
        </w:tabs>
        <w:spacing w:line="360" w:lineRule="auto"/>
        <w:ind w:left="629"/>
        <w:rPr>
          <w:rFonts w:ascii="宋体" w:hAnsi="宋体"/>
          <w:color w:val="000000"/>
          <w:sz w:val="24"/>
        </w:rPr>
      </w:pPr>
      <w:r>
        <w:rPr>
          <w:rFonts w:hint="eastAsia" w:ascii="宋体" w:hAnsi="宋体"/>
          <w:color w:val="000000"/>
          <w:sz w:val="24"/>
        </w:rPr>
        <w:t>2.2.2大写金额和小写金额不一致的，以大写金额为准；</w:t>
      </w:r>
    </w:p>
    <w:p>
      <w:pPr>
        <w:tabs>
          <w:tab w:val="left" w:pos="1050"/>
          <w:tab w:val="left" w:pos="1146"/>
          <w:tab w:val="left" w:pos="1770"/>
        </w:tabs>
        <w:spacing w:line="360" w:lineRule="auto"/>
        <w:ind w:firstLine="480" w:firstLineChars="200"/>
        <w:rPr>
          <w:rFonts w:ascii="宋体" w:hAnsi="宋体"/>
          <w:color w:val="000000"/>
          <w:sz w:val="24"/>
        </w:rPr>
      </w:pPr>
      <w:r>
        <w:rPr>
          <w:rFonts w:hint="eastAsia" w:ascii="宋体" w:hAnsi="宋体"/>
          <w:color w:val="000000"/>
          <w:sz w:val="24"/>
        </w:rPr>
        <w:t xml:space="preserve"> 2.2.3单价金额小数点或者百分比有明显错位的，以开标一览表的总价为准，并修改单价；</w:t>
      </w:r>
    </w:p>
    <w:p>
      <w:pPr>
        <w:tabs>
          <w:tab w:val="left" w:pos="1050"/>
          <w:tab w:val="left" w:pos="1146"/>
          <w:tab w:val="left" w:pos="1770"/>
        </w:tabs>
        <w:spacing w:line="360" w:lineRule="auto"/>
        <w:ind w:firstLine="480" w:firstLineChars="200"/>
        <w:rPr>
          <w:rFonts w:ascii="宋体" w:hAnsi="宋体"/>
          <w:color w:val="000000"/>
          <w:sz w:val="24"/>
        </w:rPr>
      </w:pPr>
      <w:r>
        <w:rPr>
          <w:rFonts w:hint="eastAsia" w:ascii="宋体" w:hAnsi="宋体"/>
          <w:color w:val="000000"/>
          <w:sz w:val="24"/>
        </w:rPr>
        <w:t xml:space="preserve"> 2.2.4总价金额与按单价汇总金额不一致的，以单价金额计算结果为准。</w:t>
      </w:r>
    </w:p>
    <w:p>
      <w:pPr>
        <w:tabs>
          <w:tab w:val="left" w:pos="1050"/>
          <w:tab w:val="left" w:pos="1146"/>
          <w:tab w:val="left" w:pos="1770"/>
        </w:tabs>
        <w:spacing w:line="360" w:lineRule="auto"/>
        <w:ind w:left="629"/>
        <w:rPr>
          <w:rFonts w:ascii="宋体" w:hAnsi="宋体"/>
          <w:color w:val="000000"/>
          <w:sz w:val="24"/>
        </w:rPr>
      </w:pPr>
      <w:r>
        <w:rPr>
          <w:rFonts w:hint="eastAsia" w:ascii="宋体" w:hAnsi="宋体"/>
          <w:color w:val="000000"/>
          <w:sz w:val="24"/>
        </w:rPr>
        <w:t>　 同时出现两种以上不一致的，按照前款规定的顺序修正。修正后的报价经投标人确认后产生约束力，投标人不确认的，其投标无效。</w:t>
      </w:r>
    </w:p>
    <w:p>
      <w:pPr>
        <w:tabs>
          <w:tab w:val="left" w:pos="1050"/>
          <w:tab w:val="left" w:pos="1146"/>
          <w:tab w:val="left" w:pos="1770"/>
        </w:tabs>
        <w:spacing w:line="360" w:lineRule="auto"/>
        <w:ind w:firstLine="480" w:firstLineChars="200"/>
        <w:rPr>
          <w:rFonts w:ascii="宋体" w:hAnsi="宋体"/>
          <w:color w:val="000000"/>
          <w:sz w:val="24"/>
        </w:rPr>
      </w:pPr>
      <w:r>
        <w:rPr>
          <w:rFonts w:hint="eastAsia" w:ascii="宋体" w:hAnsi="宋体"/>
          <w:color w:val="000000"/>
          <w:sz w:val="24"/>
        </w:rPr>
        <w:t>3.开标工作程序：</w:t>
      </w:r>
    </w:p>
    <w:p>
      <w:pPr>
        <w:tabs>
          <w:tab w:val="left" w:pos="840"/>
          <w:tab w:val="left" w:pos="1050"/>
        </w:tabs>
        <w:spacing w:line="360" w:lineRule="auto"/>
        <w:ind w:firstLine="480" w:firstLineChars="200"/>
        <w:rPr>
          <w:rFonts w:ascii="宋体" w:hAnsi="宋体"/>
          <w:bCs/>
          <w:color w:val="000000"/>
          <w:sz w:val="24"/>
          <w:szCs w:val="20"/>
        </w:rPr>
      </w:pPr>
      <w:r>
        <w:rPr>
          <w:rFonts w:hint="eastAsia" w:ascii="宋体" w:hAnsi="宋体"/>
          <w:bCs/>
          <w:color w:val="000000"/>
          <w:sz w:val="24"/>
          <w:szCs w:val="20"/>
        </w:rPr>
        <w:t>3.1 密封性审查：</w:t>
      </w:r>
    </w:p>
    <w:p>
      <w:pPr>
        <w:tabs>
          <w:tab w:val="left" w:pos="840"/>
          <w:tab w:val="left" w:pos="1050"/>
        </w:tabs>
        <w:spacing w:line="360" w:lineRule="auto"/>
        <w:ind w:firstLine="480" w:firstLineChars="200"/>
        <w:rPr>
          <w:rFonts w:ascii="宋体" w:hAnsi="宋体"/>
          <w:bCs/>
          <w:color w:val="000000"/>
          <w:sz w:val="24"/>
          <w:szCs w:val="20"/>
        </w:rPr>
      </w:pPr>
      <w:r>
        <w:rPr>
          <w:rFonts w:hint="eastAsia" w:ascii="宋体" w:hAnsi="宋体"/>
          <w:bCs/>
          <w:color w:val="000000"/>
          <w:sz w:val="24"/>
          <w:szCs w:val="20"/>
        </w:rPr>
        <w:t>由投标供应商或其推选的代表检查投标文件的密封、签署、盖章情况；</w:t>
      </w:r>
    </w:p>
    <w:p>
      <w:pPr>
        <w:tabs>
          <w:tab w:val="left" w:pos="840"/>
          <w:tab w:val="left" w:pos="1050"/>
        </w:tabs>
        <w:spacing w:line="360" w:lineRule="auto"/>
        <w:ind w:left="629" w:leftChars="229" w:hanging="148" w:hangingChars="62"/>
        <w:rPr>
          <w:rFonts w:ascii="宋体" w:hAnsi="宋体"/>
          <w:bCs/>
          <w:color w:val="000000"/>
          <w:sz w:val="24"/>
        </w:rPr>
      </w:pPr>
      <w:r>
        <w:rPr>
          <w:rFonts w:hint="eastAsia" w:ascii="宋体" w:hAnsi="宋体"/>
          <w:bCs/>
          <w:color w:val="000000"/>
          <w:sz w:val="24"/>
        </w:rPr>
        <w:t>3.2初步资格性审查：</w:t>
      </w:r>
    </w:p>
    <w:p>
      <w:pPr>
        <w:tabs>
          <w:tab w:val="left" w:pos="840"/>
          <w:tab w:val="left" w:pos="1050"/>
        </w:tabs>
        <w:spacing w:line="360" w:lineRule="auto"/>
        <w:ind w:firstLine="628" w:firstLineChars="262"/>
        <w:rPr>
          <w:color w:val="000000"/>
          <w:sz w:val="24"/>
        </w:rPr>
      </w:pPr>
      <w:r>
        <w:rPr>
          <w:rFonts w:hint="eastAsia" w:ascii="宋体" w:hAnsi="宋体"/>
          <w:color w:val="000000"/>
          <w:sz w:val="24"/>
        </w:rPr>
        <w:t>由工作人员在公证或监督下，按照投标供应商签到时间顺序进行。审查内容有：</w:t>
      </w:r>
    </w:p>
    <w:p>
      <w:pPr>
        <w:tabs>
          <w:tab w:val="left" w:pos="840"/>
          <w:tab w:val="left" w:pos="1050"/>
        </w:tabs>
        <w:spacing w:line="360" w:lineRule="auto"/>
        <w:ind w:firstLine="628" w:firstLineChars="262"/>
        <w:rPr>
          <w:color w:val="000000"/>
          <w:sz w:val="24"/>
        </w:rPr>
      </w:pPr>
      <w:r>
        <w:rPr>
          <w:rFonts w:hint="eastAsia" w:ascii="宋体" w:hAnsi="宋体"/>
          <w:color w:val="000000"/>
          <w:sz w:val="24"/>
        </w:rPr>
        <w:t>3.2.1 投标供应商的投标文件是否规定的期限、地点送达；</w:t>
      </w:r>
    </w:p>
    <w:p>
      <w:pPr>
        <w:tabs>
          <w:tab w:val="left" w:pos="840"/>
          <w:tab w:val="left" w:pos="1050"/>
        </w:tabs>
        <w:spacing w:line="360" w:lineRule="auto"/>
        <w:ind w:firstLine="628" w:firstLineChars="262"/>
        <w:rPr>
          <w:color w:val="000000"/>
          <w:sz w:val="24"/>
        </w:rPr>
      </w:pPr>
      <w:r>
        <w:rPr>
          <w:rFonts w:hint="eastAsia" w:ascii="宋体" w:hAnsi="宋体"/>
          <w:color w:val="000000"/>
          <w:sz w:val="24"/>
        </w:rPr>
        <w:t>3.2.2投标供应商的法定代表人或授权代表是否准时参加开标会议；</w:t>
      </w:r>
    </w:p>
    <w:p>
      <w:pPr>
        <w:tabs>
          <w:tab w:val="left" w:pos="840"/>
          <w:tab w:val="left" w:pos="1050"/>
        </w:tabs>
        <w:spacing w:line="360" w:lineRule="auto"/>
        <w:ind w:firstLine="628" w:firstLineChars="262"/>
        <w:rPr>
          <w:color w:val="000000"/>
          <w:sz w:val="24"/>
        </w:rPr>
      </w:pPr>
      <w:r>
        <w:rPr>
          <w:rFonts w:hint="eastAsia" w:ascii="宋体" w:hAnsi="宋体"/>
          <w:color w:val="000000"/>
          <w:sz w:val="24"/>
        </w:rPr>
        <w:t>3.2.3 投标供应商的法定代表人或授权代表是否提供有效的身份证明和法定代表人授权委托书（必须单独出具授权委托书，不另行拆封投标文件）。</w:t>
      </w:r>
    </w:p>
    <w:p>
      <w:pPr>
        <w:tabs>
          <w:tab w:val="left" w:pos="840"/>
          <w:tab w:val="left" w:pos="1050"/>
        </w:tabs>
        <w:spacing w:line="360" w:lineRule="auto"/>
        <w:ind w:left="629" w:leftChars="229" w:hanging="148" w:hangingChars="62"/>
        <w:rPr>
          <w:rFonts w:ascii="宋体" w:hAnsi="宋体"/>
          <w:bCs/>
          <w:color w:val="000000"/>
          <w:sz w:val="24"/>
          <w:szCs w:val="20"/>
        </w:rPr>
      </w:pPr>
      <w:r>
        <w:rPr>
          <w:rFonts w:hint="eastAsia" w:ascii="宋体" w:hAnsi="宋体"/>
          <w:bCs/>
          <w:color w:val="000000"/>
          <w:sz w:val="24"/>
          <w:szCs w:val="20"/>
        </w:rPr>
        <w:t>3.3  唱标</w:t>
      </w:r>
    </w:p>
    <w:p>
      <w:pPr>
        <w:tabs>
          <w:tab w:val="left" w:pos="840"/>
          <w:tab w:val="left" w:pos="1050"/>
        </w:tabs>
        <w:spacing w:line="360" w:lineRule="auto"/>
        <w:ind w:firstLine="480" w:firstLineChars="200"/>
        <w:rPr>
          <w:rFonts w:ascii="宋体" w:hAnsi="宋体"/>
          <w:color w:val="000000"/>
          <w:sz w:val="24"/>
        </w:rPr>
      </w:pPr>
      <w:r>
        <w:rPr>
          <w:rFonts w:hint="eastAsia" w:ascii="宋体" w:hAnsi="宋体"/>
          <w:color w:val="000000"/>
          <w:sz w:val="24"/>
        </w:rPr>
        <w:t>3.3.1经初步资格性审查确认无误后的投标文件，由采购代理机构工作人员当众拆封，宣布投标人名称、投标价格和招标文件规定的需要宣布的其他内容。</w:t>
      </w:r>
    </w:p>
    <w:p>
      <w:pPr>
        <w:tabs>
          <w:tab w:val="left" w:pos="840"/>
          <w:tab w:val="left" w:pos="1050"/>
        </w:tabs>
        <w:spacing w:line="360" w:lineRule="auto"/>
        <w:ind w:firstLine="600" w:firstLineChars="250"/>
        <w:rPr>
          <w:rFonts w:ascii="宋体" w:hAnsi="宋体"/>
          <w:color w:val="000000"/>
          <w:sz w:val="24"/>
          <w:szCs w:val="20"/>
        </w:rPr>
      </w:pPr>
      <w:r>
        <w:rPr>
          <w:rFonts w:hint="eastAsia" w:ascii="宋体" w:hAnsi="宋体"/>
          <w:color w:val="000000"/>
          <w:sz w:val="24"/>
          <w:szCs w:val="20"/>
        </w:rPr>
        <w:t>4.信用信息查询</w:t>
      </w:r>
    </w:p>
    <w:p>
      <w:pPr>
        <w:tabs>
          <w:tab w:val="left" w:pos="840"/>
          <w:tab w:val="left" w:pos="1050"/>
        </w:tabs>
        <w:spacing w:line="360" w:lineRule="auto"/>
        <w:ind w:firstLine="600" w:firstLineChars="250"/>
        <w:rPr>
          <w:rFonts w:ascii="宋体" w:hAnsi="宋体"/>
          <w:color w:val="000000"/>
          <w:sz w:val="24"/>
          <w:szCs w:val="20"/>
        </w:rPr>
      </w:pPr>
      <w:r>
        <w:rPr>
          <w:rFonts w:hint="eastAsia" w:ascii="宋体" w:hAnsi="宋体"/>
          <w:color w:val="000000"/>
          <w:sz w:val="24"/>
          <w:szCs w:val="20"/>
        </w:rPr>
        <w:t>采购人或采购代理机构在开标前通过“信用中国”网站(www.creditchina.gov.cn)、中国政府采购网(www.ccgp.gov.cn)等渠道查询相关供应商主体信用记录，对列入失信被执行人、重大税收违法案件当事人名单、政府采购严重违法失信行为记录名单及其他不符合《中华人民共和国政府采购法》第二十二条规定条件的供应商，拒绝其参与政府采购活动。</w:t>
      </w:r>
    </w:p>
    <w:p>
      <w:pPr>
        <w:tabs>
          <w:tab w:val="left" w:pos="840"/>
          <w:tab w:val="left" w:pos="1050"/>
        </w:tabs>
        <w:spacing w:line="360" w:lineRule="auto"/>
        <w:ind w:firstLine="600" w:firstLineChars="250"/>
        <w:rPr>
          <w:rFonts w:ascii="宋体" w:hAnsi="宋体"/>
          <w:color w:val="000000"/>
          <w:sz w:val="24"/>
        </w:rPr>
      </w:pPr>
      <w:r>
        <w:rPr>
          <w:rFonts w:hint="eastAsia" w:ascii="宋体" w:hAnsi="宋体"/>
          <w:color w:val="000000"/>
          <w:sz w:val="24"/>
          <w:szCs w:val="20"/>
        </w:rPr>
        <w:t>采购人或采购代理机构通过相关渠道查询的供应商主体信用记录，与项目其他</w:t>
      </w:r>
      <w:r>
        <w:rPr>
          <w:rFonts w:hint="eastAsia" w:ascii="宋体" w:hAnsi="宋体"/>
          <w:color w:val="000000"/>
          <w:sz w:val="24"/>
        </w:rPr>
        <w:t>采购资料一并保存。</w:t>
      </w:r>
    </w:p>
    <w:p>
      <w:pPr>
        <w:tabs>
          <w:tab w:val="left" w:pos="1365"/>
        </w:tabs>
        <w:spacing w:line="360" w:lineRule="auto"/>
        <w:ind w:firstLine="480" w:firstLineChars="200"/>
        <w:rPr>
          <w:rFonts w:ascii="宋体" w:hAnsi="宋体"/>
          <w:bCs/>
          <w:color w:val="000000"/>
          <w:sz w:val="24"/>
        </w:rPr>
      </w:pPr>
      <w:r>
        <w:rPr>
          <w:rFonts w:hint="eastAsia" w:ascii="宋体" w:hAnsi="宋体"/>
          <w:bCs/>
          <w:color w:val="000000"/>
          <w:sz w:val="24"/>
        </w:rPr>
        <w:t xml:space="preserve">5. </w:t>
      </w:r>
      <w:r>
        <w:rPr>
          <w:rFonts w:ascii="宋体" w:hAnsi="宋体"/>
          <w:bCs/>
          <w:color w:val="000000"/>
          <w:sz w:val="24"/>
        </w:rPr>
        <w:t>投标文件资格性检查。</w:t>
      </w:r>
    </w:p>
    <w:p>
      <w:pPr>
        <w:tabs>
          <w:tab w:val="left" w:pos="525"/>
        </w:tabs>
        <w:spacing w:line="360" w:lineRule="auto"/>
        <w:ind w:firstLine="480" w:firstLineChars="200"/>
        <w:rPr>
          <w:rFonts w:ascii="宋体" w:hAnsi="宋体"/>
          <w:bCs/>
          <w:color w:val="000000"/>
          <w:sz w:val="24"/>
        </w:rPr>
      </w:pPr>
      <w:r>
        <w:rPr>
          <w:rFonts w:hint="eastAsia" w:ascii="宋体" w:hAnsi="宋体"/>
          <w:bCs/>
          <w:color w:val="000000"/>
          <w:sz w:val="24"/>
        </w:rPr>
        <w:t>5.1</w:t>
      </w:r>
      <w:r>
        <w:rPr>
          <w:rFonts w:ascii="宋体" w:hAnsi="宋体"/>
          <w:bCs/>
          <w:color w:val="000000"/>
          <w:sz w:val="24"/>
        </w:rPr>
        <w:t>投标文件资格性检查</w:t>
      </w:r>
      <w:r>
        <w:rPr>
          <w:rFonts w:hint="eastAsia" w:ascii="宋体" w:hAnsi="宋体"/>
          <w:bCs/>
          <w:color w:val="000000"/>
          <w:sz w:val="24"/>
        </w:rPr>
        <w:t>由采购代理机构负责。</w:t>
      </w:r>
    </w:p>
    <w:p>
      <w:pPr>
        <w:tabs>
          <w:tab w:val="left" w:pos="525"/>
        </w:tabs>
        <w:spacing w:line="360" w:lineRule="auto"/>
        <w:ind w:firstLine="480" w:firstLineChars="200"/>
        <w:rPr>
          <w:rFonts w:ascii="宋体" w:hAnsi="宋体"/>
          <w:bCs/>
          <w:color w:val="000000"/>
          <w:sz w:val="24"/>
        </w:rPr>
      </w:pPr>
      <w:r>
        <w:rPr>
          <w:rFonts w:hint="eastAsia" w:ascii="宋体" w:hAnsi="宋体"/>
          <w:bCs/>
          <w:color w:val="000000"/>
          <w:sz w:val="24"/>
        </w:rPr>
        <w:t>5.2</w:t>
      </w:r>
      <w:r>
        <w:rPr>
          <w:rFonts w:ascii="宋体" w:hAnsi="宋体"/>
          <w:bCs/>
          <w:color w:val="000000"/>
          <w:sz w:val="24"/>
        </w:rPr>
        <w:t>依据法律法规和招标文件的规定，对投标文件中的资格</w:t>
      </w:r>
      <w:r>
        <w:rPr>
          <w:rFonts w:hint="eastAsia" w:ascii="宋体" w:hAnsi="宋体"/>
          <w:bCs/>
          <w:color w:val="000000"/>
          <w:sz w:val="24"/>
        </w:rPr>
        <w:t>、资信</w:t>
      </w:r>
      <w:r>
        <w:rPr>
          <w:rFonts w:ascii="宋体" w:hAnsi="宋体"/>
          <w:bCs/>
          <w:color w:val="000000"/>
          <w:sz w:val="24"/>
        </w:rPr>
        <w:t>证明等进行审查，以确定</w:t>
      </w:r>
      <w:r>
        <w:rPr>
          <w:rFonts w:hint="eastAsia" w:ascii="宋体" w:hAnsi="宋体"/>
          <w:bCs/>
          <w:color w:val="000000"/>
          <w:sz w:val="24"/>
        </w:rPr>
        <w:t>投标人提供</w:t>
      </w:r>
      <w:r>
        <w:rPr>
          <w:rFonts w:ascii="宋体" w:hAnsi="宋体"/>
          <w:bCs/>
          <w:color w:val="000000"/>
          <w:sz w:val="24"/>
        </w:rPr>
        <w:t>资格</w:t>
      </w:r>
      <w:r>
        <w:rPr>
          <w:rFonts w:hint="eastAsia" w:ascii="宋体" w:hAnsi="宋体"/>
          <w:bCs/>
          <w:color w:val="000000"/>
          <w:sz w:val="24"/>
        </w:rPr>
        <w:t>、资信</w:t>
      </w:r>
      <w:r>
        <w:rPr>
          <w:rFonts w:ascii="宋体" w:hAnsi="宋体"/>
          <w:bCs/>
          <w:color w:val="000000"/>
          <w:sz w:val="24"/>
        </w:rPr>
        <w:t>证明</w:t>
      </w:r>
      <w:r>
        <w:rPr>
          <w:rFonts w:hint="eastAsia" w:ascii="宋体" w:hAnsi="宋体"/>
          <w:bCs/>
          <w:color w:val="000000"/>
          <w:sz w:val="24"/>
        </w:rPr>
        <w:t>的合法性、真实性，</w:t>
      </w:r>
      <w:r>
        <w:rPr>
          <w:rFonts w:ascii="宋体" w:hAnsi="宋体"/>
          <w:bCs/>
          <w:color w:val="000000"/>
          <w:sz w:val="24"/>
        </w:rPr>
        <w:t>是否具备投标资格</w:t>
      </w:r>
      <w:r>
        <w:rPr>
          <w:rFonts w:hint="eastAsia" w:ascii="宋体" w:hAnsi="宋体"/>
          <w:bCs/>
          <w:color w:val="000000"/>
          <w:sz w:val="24"/>
        </w:rPr>
        <w:t>。</w:t>
      </w:r>
    </w:p>
    <w:p>
      <w:pPr>
        <w:tabs>
          <w:tab w:val="left" w:pos="840"/>
          <w:tab w:val="left" w:pos="1050"/>
        </w:tabs>
        <w:spacing w:line="360" w:lineRule="auto"/>
        <w:ind w:firstLine="480" w:firstLineChars="200"/>
        <w:rPr>
          <w:rFonts w:ascii="宋体" w:hAnsi="宋体"/>
          <w:color w:val="000000"/>
          <w:sz w:val="24"/>
        </w:rPr>
      </w:pPr>
      <w:r>
        <w:rPr>
          <w:rFonts w:hint="eastAsia" w:ascii="宋体" w:hAnsi="宋体"/>
          <w:color w:val="000000"/>
          <w:sz w:val="24"/>
        </w:rPr>
        <w:t>6.评标工作程序：</w:t>
      </w:r>
    </w:p>
    <w:p>
      <w:pPr>
        <w:tabs>
          <w:tab w:val="left" w:pos="1365"/>
        </w:tabs>
        <w:spacing w:line="360" w:lineRule="auto"/>
        <w:ind w:firstLine="600" w:firstLineChars="250"/>
        <w:rPr>
          <w:rFonts w:ascii="宋体" w:hAnsi="宋体"/>
          <w:color w:val="000000"/>
          <w:sz w:val="24"/>
        </w:rPr>
      </w:pPr>
      <w:r>
        <w:rPr>
          <w:rFonts w:hint="eastAsia" w:ascii="宋体" w:hAnsi="宋体"/>
          <w:color w:val="000000"/>
          <w:sz w:val="24"/>
        </w:rPr>
        <w:t>6.1 评标委员会应当对符合资格的投标人的投标文件进行符合性审查，以确定其是否满足招标文件的实质性要求。</w:t>
      </w:r>
    </w:p>
    <w:p>
      <w:pPr>
        <w:tabs>
          <w:tab w:val="left" w:pos="1365"/>
        </w:tabs>
        <w:spacing w:line="360" w:lineRule="auto"/>
        <w:ind w:firstLine="600" w:firstLineChars="250"/>
        <w:rPr>
          <w:rFonts w:ascii="宋体" w:hAnsi="宋体"/>
          <w:color w:val="000000"/>
          <w:sz w:val="24"/>
        </w:rPr>
      </w:pPr>
      <w:r>
        <w:rPr>
          <w:rFonts w:hint="eastAsia" w:ascii="宋体" w:hAnsi="宋体"/>
          <w:color w:val="000000"/>
          <w:sz w:val="24"/>
        </w:rPr>
        <w:t>6.2对于投标文件中含义不明确、同类问题表述不一致或者有明显文字和计算错误的内容，评标委员会应当以书面形式要求投标人作出必要的澄清、说明或者补正。</w:t>
      </w:r>
    </w:p>
    <w:p>
      <w:pPr>
        <w:tabs>
          <w:tab w:val="left" w:pos="525"/>
        </w:tabs>
        <w:spacing w:line="360" w:lineRule="auto"/>
        <w:ind w:firstLine="600" w:firstLineChars="250"/>
        <w:rPr>
          <w:rFonts w:ascii="宋体" w:hAnsi="宋体"/>
          <w:b/>
          <w:bCs/>
          <w:color w:val="000000"/>
          <w:sz w:val="24"/>
        </w:rPr>
      </w:pPr>
      <w:r>
        <w:rPr>
          <w:rFonts w:hint="eastAsia" w:ascii="宋体" w:hAnsi="宋体"/>
          <w:color w:val="000000"/>
          <w:sz w:val="24"/>
        </w:rPr>
        <w:t>6.2.1投标人的澄清、说明或者补正应当采用书面形式，并加盖公章，或者由法定代表人或其授权的代表签字确认。</w:t>
      </w:r>
    </w:p>
    <w:p>
      <w:pPr>
        <w:tabs>
          <w:tab w:val="left" w:pos="1365"/>
        </w:tabs>
        <w:spacing w:line="360" w:lineRule="auto"/>
        <w:ind w:firstLine="600" w:firstLineChars="250"/>
        <w:rPr>
          <w:rFonts w:ascii="宋体" w:hAnsi="宋体"/>
          <w:color w:val="000000"/>
          <w:sz w:val="24"/>
        </w:rPr>
      </w:pPr>
      <w:r>
        <w:rPr>
          <w:rFonts w:hint="eastAsia" w:ascii="宋体" w:hAnsi="宋体"/>
          <w:color w:val="000000"/>
          <w:sz w:val="24"/>
        </w:rPr>
        <w:t>6.2.2投标人的澄清、说明或者补正不得超出投标文件的范围或者改变投标文件的实质性内容。</w:t>
      </w:r>
    </w:p>
    <w:p>
      <w:pPr>
        <w:tabs>
          <w:tab w:val="left" w:pos="1365"/>
        </w:tabs>
        <w:spacing w:line="360" w:lineRule="auto"/>
        <w:ind w:firstLine="480" w:firstLineChars="200"/>
        <w:rPr>
          <w:rFonts w:ascii="宋体" w:hAnsi="宋体"/>
          <w:bCs/>
          <w:color w:val="000000"/>
          <w:sz w:val="24"/>
          <w:szCs w:val="20"/>
        </w:rPr>
      </w:pPr>
      <w:r>
        <w:rPr>
          <w:rFonts w:hint="eastAsia" w:ascii="宋体" w:hAnsi="宋体"/>
          <w:bCs/>
          <w:color w:val="000000"/>
          <w:sz w:val="24"/>
          <w:szCs w:val="20"/>
        </w:rPr>
        <w:t xml:space="preserve">6.3 </w:t>
      </w:r>
      <w:r>
        <w:rPr>
          <w:rFonts w:ascii="宋体" w:hAnsi="宋体"/>
          <w:bCs/>
          <w:color w:val="000000"/>
          <w:sz w:val="24"/>
          <w:szCs w:val="20"/>
        </w:rPr>
        <w:t>比较与评价</w:t>
      </w:r>
    </w:p>
    <w:p>
      <w:pPr>
        <w:tabs>
          <w:tab w:val="left" w:pos="1365"/>
        </w:tabs>
        <w:spacing w:line="476" w:lineRule="exact"/>
        <w:ind w:firstLine="480" w:firstLineChars="200"/>
        <w:rPr>
          <w:rFonts w:ascii="宋体" w:hAnsi="宋体"/>
          <w:bCs/>
          <w:color w:val="000000"/>
          <w:sz w:val="24"/>
        </w:rPr>
      </w:pPr>
      <w:r>
        <w:rPr>
          <w:rFonts w:hint="eastAsia" w:ascii="宋体" w:hAnsi="宋体"/>
          <w:bCs/>
          <w:color w:val="000000"/>
          <w:sz w:val="24"/>
          <w:szCs w:val="20"/>
        </w:rPr>
        <w:t>6.3</w:t>
      </w:r>
      <w:r>
        <w:rPr>
          <w:rFonts w:hint="eastAsia" w:ascii="宋体" w:hAnsi="宋体"/>
          <w:bCs/>
          <w:color w:val="000000"/>
          <w:sz w:val="24"/>
        </w:rPr>
        <w:t>.1投标文件资格性检查和符合性检查结束后，凡属于“（八）无效投标文件的确认”的投标文件不进入比较与评价程序。</w:t>
      </w:r>
    </w:p>
    <w:p>
      <w:pPr>
        <w:tabs>
          <w:tab w:val="left" w:pos="1365"/>
        </w:tabs>
        <w:spacing w:line="476" w:lineRule="exact"/>
        <w:ind w:firstLine="480" w:firstLineChars="200"/>
        <w:rPr>
          <w:bCs/>
          <w:color w:val="000000"/>
          <w:sz w:val="24"/>
        </w:rPr>
      </w:pPr>
      <w:r>
        <w:rPr>
          <w:rFonts w:hint="eastAsia" w:ascii="宋体" w:hAnsi="宋体"/>
          <w:bCs/>
          <w:color w:val="000000"/>
          <w:sz w:val="24"/>
          <w:szCs w:val="20"/>
        </w:rPr>
        <w:t>6.3</w:t>
      </w:r>
      <w:r>
        <w:rPr>
          <w:rFonts w:hint="eastAsia" w:ascii="宋体" w:hAnsi="宋体"/>
          <w:bCs/>
          <w:color w:val="000000"/>
          <w:sz w:val="24"/>
        </w:rPr>
        <w:t>.2经评审有效的投标文件按招标文件中规定的评标方法和标准，由评标委员会进行比较与评价。</w:t>
      </w:r>
    </w:p>
    <w:p>
      <w:pPr>
        <w:tabs>
          <w:tab w:val="left" w:pos="1365"/>
        </w:tabs>
        <w:spacing w:line="476" w:lineRule="exact"/>
        <w:ind w:firstLine="480" w:firstLineChars="200"/>
        <w:rPr>
          <w:color w:val="000000"/>
          <w:sz w:val="24"/>
        </w:rPr>
      </w:pPr>
      <w:r>
        <w:rPr>
          <w:rFonts w:hint="eastAsia" w:ascii="宋体" w:hAnsi="宋体"/>
          <w:bCs/>
          <w:color w:val="000000"/>
          <w:sz w:val="24"/>
          <w:szCs w:val="20"/>
        </w:rPr>
        <w:t>6.3</w:t>
      </w:r>
      <w:r>
        <w:rPr>
          <w:rFonts w:hint="eastAsia" w:ascii="宋体" w:hAnsi="宋体"/>
          <w:color w:val="000000"/>
          <w:sz w:val="24"/>
        </w:rPr>
        <w:t>.3评审全部结束后，由工作人员在公证或监督下，在评标室当场核对、汇总各投标供应商得分，确定各投标供应商总分和最终排序。</w:t>
      </w:r>
    </w:p>
    <w:p>
      <w:pPr>
        <w:tabs>
          <w:tab w:val="left" w:pos="525"/>
          <w:tab w:val="left" w:pos="1050"/>
        </w:tabs>
        <w:spacing w:line="360" w:lineRule="auto"/>
        <w:ind w:firstLine="628" w:firstLineChars="262"/>
        <w:rPr>
          <w:rFonts w:ascii="宋体" w:hAnsi="宋体" w:cs="宋体"/>
          <w:color w:val="000000"/>
          <w:sz w:val="24"/>
        </w:rPr>
      </w:pPr>
      <w:r>
        <w:rPr>
          <w:rFonts w:hint="eastAsia" w:ascii="宋体" w:hAnsi="宋体" w:cs="宋体"/>
          <w:color w:val="000000"/>
          <w:sz w:val="24"/>
        </w:rPr>
        <w:t>7. 评标方法</w:t>
      </w:r>
    </w:p>
    <w:p>
      <w:pPr>
        <w:spacing w:line="360" w:lineRule="auto"/>
        <w:ind w:firstLine="523" w:firstLineChars="218"/>
        <w:rPr>
          <w:rFonts w:ascii="宋体" w:hAnsi="宋体" w:cs="宋体"/>
          <w:bCs/>
          <w:color w:val="000000"/>
          <w:sz w:val="24"/>
        </w:rPr>
      </w:pPr>
      <w:r>
        <w:rPr>
          <w:rFonts w:hint="eastAsia" w:ascii="宋体" w:hAnsi="宋体" w:cs="宋体"/>
          <w:bCs/>
          <w:color w:val="000000"/>
          <w:sz w:val="24"/>
        </w:rPr>
        <w:t>投标人通过初审的，方可进入比较与评价程序。</w:t>
      </w:r>
    </w:p>
    <w:p>
      <w:pPr>
        <w:spacing w:line="360" w:lineRule="auto"/>
        <w:ind w:firstLine="523" w:firstLineChars="218"/>
        <w:rPr>
          <w:rFonts w:ascii="宋体" w:hAnsi="宋体"/>
          <w:color w:val="000000"/>
          <w:sz w:val="24"/>
        </w:rPr>
      </w:pPr>
      <w:r>
        <w:rPr>
          <w:rFonts w:hint="eastAsia" w:ascii="宋体" w:hAnsi="宋体"/>
          <w:color w:val="000000"/>
          <w:sz w:val="24"/>
        </w:rPr>
        <w:t>比较与评价采用综合评分法（计分均保留2位小数）。</w:t>
      </w:r>
    </w:p>
    <w:p>
      <w:pPr>
        <w:widowControl/>
        <w:spacing w:line="360" w:lineRule="auto"/>
        <w:ind w:firstLine="480" w:firstLineChars="200"/>
        <w:jc w:val="left"/>
        <w:rPr>
          <w:rFonts w:ascii="宋体" w:hAnsi="宋体"/>
          <w:color w:val="000000"/>
          <w:sz w:val="24"/>
        </w:rPr>
      </w:pPr>
      <w:r>
        <w:rPr>
          <w:rFonts w:hint="eastAsia" w:ascii="宋体" w:hAnsi="宋体"/>
          <w:color w:val="000000"/>
          <w:sz w:val="24"/>
        </w:rPr>
        <w:t>评审委员会遵循公平、公正、择优原则，独立按照评分标准分别评定投标供应商的分值；各投标供应商的最终得分为各评委所评定分值的平均值，评标结果按评审后得分由高到低顺序排列。得分相同的，按投标报价由低到高顺序排列。得分且投标报价相同的并列, 中标候选人并列的按技术文件优劣顺序排列。投标文件满足招标文件全部实质性要求，且按照评审因素的量化指标评审得分最高的投标人为排名第一的中标候选人。未列入本评分细则的其他条件不作为评分内容。</w:t>
      </w:r>
      <w:r>
        <w:rPr>
          <w:rFonts w:ascii="宋体" w:hAnsi="宋体"/>
          <w:color w:val="000000"/>
          <w:sz w:val="24"/>
        </w:rPr>
        <w:t xml:space="preserve"> </w:t>
      </w:r>
    </w:p>
    <w:p>
      <w:pPr>
        <w:spacing w:line="360" w:lineRule="auto"/>
        <w:rPr>
          <w:rFonts w:ascii="宋体" w:hAnsi="宋体"/>
          <w:sz w:val="24"/>
        </w:rPr>
      </w:pPr>
      <w:r>
        <w:rPr>
          <w:rFonts w:hint="eastAsia" w:ascii="宋体" w:hAnsi="宋体"/>
          <w:sz w:val="24"/>
        </w:rPr>
        <w:t>8.评分标准：</w:t>
      </w:r>
    </w:p>
    <w:p>
      <w:pPr>
        <w:spacing w:line="360" w:lineRule="auto"/>
        <w:ind w:firstLine="480" w:firstLineChars="200"/>
        <w:outlineLvl w:val="0"/>
        <w:rPr>
          <w:rFonts w:ascii="Times New Roman" w:hAnsi="Times New Roman"/>
          <w:sz w:val="24"/>
        </w:rPr>
      </w:pPr>
      <w:r>
        <w:rPr>
          <w:rFonts w:ascii="Times New Roman" w:hAnsi="Times New Roman"/>
          <w:sz w:val="24"/>
        </w:rPr>
        <w:t>采用综合评分法，评标总分100分，其中价格分</w:t>
      </w:r>
      <w:r>
        <w:rPr>
          <w:rFonts w:hint="eastAsia" w:ascii="Times New Roman" w:hAnsi="Times New Roman"/>
          <w:sz w:val="24"/>
        </w:rPr>
        <w:t>30</w:t>
      </w:r>
      <w:r>
        <w:rPr>
          <w:rFonts w:ascii="Times New Roman" w:hAnsi="Times New Roman"/>
          <w:sz w:val="24"/>
        </w:rPr>
        <w:t>分，方案组织设计分</w:t>
      </w:r>
      <w:r>
        <w:rPr>
          <w:rFonts w:hint="eastAsia" w:ascii="Times New Roman" w:hAnsi="Times New Roman"/>
          <w:sz w:val="24"/>
        </w:rPr>
        <w:t>30</w:t>
      </w:r>
      <w:r>
        <w:rPr>
          <w:rFonts w:ascii="Times New Roman" w:hAnsi="Times New Roman"/>
          <w:sz w:val="24"/>
        </w:rPr>
        <w:t>分，</w:t>
      </w:r>
      <w:r>
        <w:rPr>
          <w:rFonts w:hint="eastAsia" w:ascii="Times New Roman" w:hAnsi="Times New Roman"/>
          <w:sz w:val="24"/>
        </w:rPr>
        <w:t>投标人评价分40</w:t>
      </w:r>
      <w:r>
        <w:rPr>
          <w:rFonts w:ascii="Times New Roman" w:hAnsi="Times New Roman"/>
          <w:sz w:val="24"/>
        </w:rPr>
        <w:t>分，以</w:t>
      </w:r>
      <w:r>
        <w:rPr>
          <w:rFonts w:ascii="宋体" w:hAnsi="宋体" w:cs="Arial"/>
          <w:sz w:val="24"/>
        </w:rPr>
        <w:t>各评委打分的平均值</w:t>
      </w:r>
      <w:r>
        <w:rPr>
          <w:rFonts w:hint="eastAsia" w:ascii="宋体" w:hAnsi="宋体" w:cs="Arial"/>
          <w:sz w:val="24"/>
        </w:rPr>
        <w:t>作为该投标人的最终得分，以各投标人最终得分</w:t>
      </w:r>
      <w:r>
        <w:rPr>
          <w:rFonts w:ascii="Times New Roman" w:hAnsi="Times New Roman"/>
          <w:sz w:val="24"/>
        </w:rPr>
        <w:t>由高到低推荐中标候选人。</w:t>
      </w:r>
    </w:p>
    <w:p>
      <w:pPr>
        <w:spacing w:line="360" w:lineRule="auto"/>
        <w:ind w:firstLine="482" w:firstLineChars="200"/>
        <w:outlineLvl w:val="0"/>
        <w:rPr>
          <w:rFonts w:ascii="Times New Roman" w:hAnsi="Times New Roman"/>
          <w:b/>
          <w:sz w:val="24"/>
        </w:rPr>
      </w:pPr>
      <w:r>
        <w:rPr>
          <w:rFonts w:ascii="Times New Roman" w:hAnsi="Times New Roman"/>
          <w:b/>
          <w:sz w:val="24"/>
        </w:rPr>
        <w:t>(1)价格分(</w:t>
      </w:r>
      <w:r>
        <w:rPr>
          <w:rFonts w:hint="eastAsia" w:ascii="Times New Roman" w:hAnsi="Times New Roman"/>
          <w:b/>
          <w:sz w:val="24"/>
        </w:rPr>
        <w:t>3</w:t>
      </w:r>
      <w:r>
        <w:rPr>
          <w:rFonts w:ascii="Times New Roman" w:hAnsi="Times New Roman"/>
          <w:b/>
          <w:sz w:val="24"/>
        </w:rPr>
        <w:t>0分)</w:t>
      </w:r>
    </w:p>
    <w:p>
      <w:pPr>
        <w:spacing w:line="360" w:lineRule="auto"/>
        <w:ind w:firstLine="480" w:firstLineChars="200"/>
        <w:outlineLvl w:val="0"/>
        <w:rPr>
          <w:rFonts w:ascii="Times New Roman" w:hAnsi="Times New Roman"/>
          <w:sz w:val="24"/>
        </w:rPr>
      </w:pPr>
      <w:r>
        <w:rPr>
          <w:rFonts w:hint="eastAsia" w:ascii="宋体" w:hAnsi="宋体" w:cs="宋体"/>
          <w:sz w:val="24"/>
        </w:rPr>
        <w:t>①</w:t>
      </w:r>
      <w:r>
        <w:rPr>
          <w:rFonts w:ascii="Times New Roman" w:hAnsi="Times New Roman"/>
          <w:sz w:val="24"/>
        </w:rPr>
        <w:t>本次招标设最高限价，投标报价在最高限价以内的为有效报价。</w:t>
      </w:r>
    </w:p>
    <w:p>
      <w:pPr>
        <w:spacing w:line="360" w:lineRule="auto"/>
        <w:ind w:left="1" w:firstLine="480" w:firstLineChars="200"/>
        <w:rPr>
          <w:rFonts w:ascii="Times New Roman" w:hAnsi="Times New Roman"/>
          <w:sz w:val="24"/>
        </w:rPr>
      </w:pPr>
      <w:r>
        <w:rPr>
          <w:rFonts w:hint="eastAsia" w:ascii="宋体" w:hAnsi="宋体" w:cs="宋体"/>
          <w:sz w:val="24"/>
        </w:rPr>
        <w:t>②</w:t>
      </w:r>
      <w:r>
        <w:rPr>
          <w:rFonts w:ascii="Times New Roman" w:hAnsi="Times New Roman"/>
          <w:sz w:val="24"/>
        </w:rPr>
        <w:t>各投标人的有效投标报价，满足招标文件要求</w:t>
      </w:r>
      <w:r>
        <w:rPr>
          <w:rFonts w:hint="eastAsia" w:ascii="宋体" w:hAnsi="宋体"/>
          <w:sz w:val="24"/>
        </w:rPr>
        <w:t>的最低有效投标报价</w:t>
      </w:r>
      <w:r>
        <w:rPr>
          <w:rFonts w:ascii="Times New Roman" w:hAnsi="Times New Roman"/>
          <w:sz w:val="24"/>
        </w:rPr>
        <w:t>为评标基准价，其价格</w:t>
      </w:r>
      <w:r>
        <w:rPr>
          <w:rFonts w:hint="eastAsia" w:ascii="Times New Roman" w:hAnsi="Times New Roman"/>
          <w:sz w:val="24"/>
        </w:rPr>
        <w:t>分</w:t>
      </w:r>
      <w:r>
        <w:rPr>
          <w:rFonts w:ascii="Times New Roman" w:hAnsi="Times New Roman"/>
          <w:sz w:val="24"/>
        </w:rPr>
        <w:t>为</w:t>
      </w:r>
      <w:r>
        <w:rPr>
          <w:rFonts w:hint="eastAsia" w:ascii="Times New Roman" w:hAnsi="Times New Roman"/>
          <w:sz w:val="24"/>
        </w:rPr>
        <w:t>30</w:t>
      </w:r>
      <w:r>
        <w:rPr>
          <w:rFonts w:ascii="Times New Roman" w:hAnsi="Times New Roman"/>
          <w:sz w:val="24"/>
        </w:rPr>
        <w:t>分。其他投标人的价格分统一按照下列公式计算，最高得分为</w:t>
      </w:r>
      <w:r>
        <w:rPr>
          <w:rFonts w:hint="eastAsia" w:ascii="Times New Roman" w:hAnsi="Times New Roman"/>
          <w:sz w:val="24"/>
        </w:rPr>
        <w:t>3</w:t>
      </w:r>
      <w:r>
        <w:rPr>
          <w:rFonts w:ascii="Times New Roman" w:hAnsi="Times New Roman"/>
          <w:sz w:val="24"/>
        </w:rPr>
        <w:t>0分：</w:t>
      </w:r>
    </w:p>
    <w:p>
      <w:pPr>
        <w:spacing w:line="360" w:lineRule="auto"/>
        <w:ind w:firstLine="480" w:firstLineChars="200"/>
        <w:outlineLvl w:val="0"/>
        <w:rPr>
          <w:rFonts w:ascii="Times New Roman" w:hAnsi="Times New Roman"/>
          <w:sz w:val="24"/>
        </w:rPr>
      </w:pPr>
      <w:r>
        <w:rPr>
          <w:rFonts w:hint="eastAsia" w:ascii="宋体" w:hAnsi="宋体"/>
          <w:sz w:val="24"/>
        </w:rPr>
        <w:t>投标报价得分=(评标基准价／投标报价)×3</w:t>
      </w:r>
      <w:r>
        <w:rPr>
          <w:rFonts w:ascii="Times New Roman" w:hAnsi="Times New Roman"/>
          <w:sz w:val="24"/>
        </w:rPr>
        <w:t>0。</w:t>
      </w:r>
    </w:p>
    <w:p>
      <w:pPr>
        <w:tabs>
          <w:tab w:val="left" w:pos="840"/>
          <w:tab w:val="left" w:pos="1050"/>
        </w:tabs>
        <w:spacing w:line="360" w:lineRule="auto"/>
        <w:ind w:left="1" w:firstLine="480" w:firstLineChars="200"/>
        <w:rPr>
          <w:rFonts w:ascii="宋体" w:hAnsi="宋体"/>
          <w:bCs/>
          <w:sz w:val="24"/>
        </w:rPr>
      </w:pPr>
      <w:r>
        <w:rPr>
          <w:rFonts w:hint="eastAsia" w:ascii="宋体" w:hAnsi="宋体"/>
          <w:bCs/>
          <w:sz w:val="24"/>
        </w:rPr>
        <w:t>价格扣除：</w:t>
      </w:r>
      <w:r>
        <w:rPr>
          <w:rFonts w:ascii="宋体" w:hAnsi="宋体"/>
          <w:bCs/>
          <w:sz w:val="24"/>
        </w:rPr>
        <w:t>专门面向中小/小微企业的项目</w:t>
      </w:r>
      <w:r>
        <w:rPr>
          <w:rFonts w:hint="eastAsia" w:ascii="宋体" w:hAnsi="宋体"/>
          <w:bCs/>
          <w:sz w:val="24"/>
        </w:rPr>
        <w:t>除外</w:t>
      </w:r>
      <w:r>
        <w:rPr>
          <w:rFonts w:ascii="宋体" w:hAnsi="宋体"/>
          <w:bCs/>
          <w:sz w:val="24"/>
        </w:rPr>
        <w:t>。</w:t>
      </w:r>
    </w:p>
    <w:p>
      <w:pPr>
        <w:tabs>
          <w:tab w:val="left" w:pos="840"/>
          <w:tab w:val="left" w:pos="1050"/>
        </w:tabs>
        <w:spacing w:line="360" w:lineRule="auto"/>
        <w:ind w:left="1" w:firstLine="480"/>
        <w:rPr>
          <w:rFonts w:ascii="宋体" w:hAnsi="宋体"/>
          <w:bCs/>
          <w:sz w:val="24"/>
        </w:rPr>
      </w:pPr>
      <w:r>
        <w:rPr>
          <w:rFonts w:hint="eastAsia" w:ascii="宋体" w:hAnsi="宋体"/>
          <w:bCs/>
          <w:sz w:val="24"/>
        </w:rPr>
        <w:t>①对小型和微型企业产品的价格给予10</w:t>
      </w:r>
      <w:r>
        <w:rPr>
          <w:rFonts w:ascii="宋体" w:hAnsi="宋体"/>
          <w:bCs/>
          <w:sz w:val="24"/>
        </w:rPr>
        <w:t>%</w:t>
      </w:r>
      <w:r>
        <w:rPr>
          <w:rFonts w:hint="eastAsia" w:ascii="宋体" w:hAnsi="宋体"/>
          <w:bCs/>
          <w:sz w:val="24"/>
        </w:rPr>
        <w:t>的扣除，用扣除后的价格参与评审。参加投标的中小企业，应当按照《政府采购促进中小企业发展管理办法》</w:t>
      </w:r>
      <w:r>
        <w:rPr>
          <w:rFonts w:ascii="宋体" w:hAnsi="宋体"/>
          <w:bCs/>
          <w:sz w:val="24"/>
        </w:rPr>
        <w:t>（财库﹝2020﹞46 号）</w:t>
      </w:r>
      <w:r>
        <w:rPr>
          <w:rFonts w:hint="eastAsia" w:ascii="宋体" w:hAnsi="宋体"/>
          <w:bCs/>
          <w:sz w:val="24"/>
        </w:rPr>
        <w:t>的规定提供《中小企业声明函》（货物/</w:t>
      </w:r>
      <w:r>
        <w:rPr>
          <w:rFonts w:ascii="宋体" w:hAnsi="宋体"/>
          <w:bCs/>
          <w:sz w:val="24"/>
        </w:rPr>
        <w:t>服务</w:t>
      </w:r>
      <w:r>
        <w:rPr>
          <w:rFonts w:hint="eastAsia" w:ascii="宋体" w:hAnsi="宋体"/>
          <w:bCs/>
          <w:sz w:val="24"/>
        </w:rPr>
        <w:t>）（中小企业划型标准详见《关于印发中小企业划型标准规定的通知》工信部联企业〔</w:t>
      </w:r>
      <w:r>
        <w:rPr>
          <w:rFonts w:ascii="宋体" w:hAnsi="宋体"/>
          <w:bCs/>
          <w:sz w:val="24"/>
        </w:rPr>
        <w:t>2011</w:t>
      </w:r>
      <w:r>
        <w:rPr>
          <w:rFonts w:hint="eastAsia" w:ascii="宋体" w:hAnsi="宋体"/>
          <w:bCs/>
          <w:sz w:val="24"/>
        </w:rPr>
        <w:t>〕</w:t>
      </w:r>
      <w:r>
        <w:rPr>
          <w:rFonts w:ascii="宋体" w:hAnsi="宋体"/>
          <w:bCs/>
          <w:sz w:val="24"/>
        </w:rPr>
        <w:t>300</w:t>
      </w:r>
      <w:r>
        <w:rPr>
          <w:rFonts w:hint="eastAsia" w:ascii="宋体" w:hAnsi="宋体"/>
          <w:bCs/>
          <w:sz w:val="24"/>
        </w:rPr>
        <w:t>号）。</w:t>
      </w:r>
    </w:p>
    <w:p>
      <w:pPr>
        <w:tabs>
          <w:tab w:val="left" w:pos="840"/>
          <w:tab w:val="left" w:pos="1050"/>
        </w:tabs>
        <w:spacing w:line="360" w:lineRule="auto"/>
        <w:ind w:left="1" w:firstLine="480" w:firstLineChars="200"/>
        <w:rPr>
          <w:rFonts w:ascii="宋体" w:hAnsi="宋体"/>
          <w:bCs/>
          <w:sz w:val="24"/>
        </w:rPr>
      </w:pPr>
      <w:r>
        <w:rPr>
          <w:rFonts w:hint="eastAsia" w:ascii="宋体" w:hAnsi="宋体"/>
          <w:bCs/>
          <w:sz w:val="24"/>
        </w:rPr>
        <w:t>②监狱企业视同小型、微型企业，对其产品价格给予10%的扣除，用扣除后的价格参与评审。参加投标的监狱企业，应当按照《关于政府采购支持监狱企业发展有关问题的通知》（财库[2014]68号）的规定提供由省级以上监狱管理局、戒毒管理局(含新疆生产建设兵团)出具的属于监狱企业的证明文件复印件。</w:t>
      </w:r>
    </w:p>
    <w:p>
      <w:pPr>
        <w:tabs>
          <w:tab w:val="left" w:pos="840"/>
          <w:tab w:val="left" w:pos="1050"/>
        </w:tabs>
        <w:spacing w:line="360" w:lineRule="auto"/>
        <w:ind w:left="1" w:firstLine="480" w:firstLineChars="200"/>
        <w:rPr>
          <w:rFonts w:ascii="宋体" w:hAnsi="宋体"/>
          <w:bCs/>
          <w:sz w:val="24"/>
        </w:rPr>
      </w:pPr>
      <w:r>
        <w:rPr>
          <w:rFonts w:hint="eastAsia" w:ascii="宋体" w:hAnsi="宋体"/>
          <w:bCs/>
          <w:sz w:val="24"/>
        </w:rPr>
        <w:t>③残疾人福利性单位视同小型、微型企业，对其产品价格给予10%的扣除，用扣除后的价格参与评审。参加投标的残疾人福利性单位，应当按照《财政部、民政部、中国残疾人联合会关于促进残疾人就业政府采购政策的通知》（财库〔2017〕141号）的规定提供《残疾人福利性单位声明函》。</w:t>
      </w:r>
    </w:p>
    <w:p>
      <w:pPr>
        <w:tabs>
          <w:tab w:val="left" w:pos="840"/>
          <w:tab w:val="left" w:pos="1050"/>
        </w:tabs>
        <w:spacing w:line="360" w:lineRule="auto"/>
        <w:ind w:left="1" w:firstLine="480" w:firstLineChars="200"/>
        <w:rPr>
          <w:rFonts w:ascii="Times New Roman" w:hAnsi="Times New Roman"/>
          <w:bCs/>
          <w:sz w:val="24"/>
        </w:rPr>
      </w:pPr>
      <w:r>
        <w:rPr>
          <w:rFonts w:hint="eastAsia" w:ascii="宋体" w:hAnsi="宋体"/>
          <w:bCs/>
          <w:sz w:val="24"/>
        </w:rPr>
        <w:t>同一投标人，上述三项价格扣除优惠不得重复享受。</w:t>
      </w:r>
    </w:p>
    <w:p>
      <w:pPr>
        <w:tabs>
          <w:tab w:val="left" w:pos="840"/>
          <w:tab w:val="left" w:pos="1050"/>
        </w:tabs>
        <w:spacing w:line="360" w:lineRule="auto"/>
        <w:ind w:left="1" w:firstLine="482" w:firstLineChars="200"/>
        <w:rPr>
          <w:rFonts w:ascii="Times New Roman" w:hAnsi="Times New Roman"/>
          <w:b/>
          <w:sz w:val="24"/>
        </w:rPr>
      </w:pPr>
      <w:r>
        <w:rPr>
          <w:rFonts w:hint="eastAsia" w:ascii="Times New Roman" w:hAnsi="Times New Roman"/>
          <w:b/>
          <w:sz w:val="24"/>
        </w:rPr>
        <w:t>评标委员会认为投标人的报价明显低于其他通过符合性审查投标人的报价，有可能影响产品质量或者不能诚信履约的，将要求其在评标现场合理的时间内提供书面说明，必要时提交相关证明材料；投标人不能证明其报价合理性的，评标委员会将其作为无效投标处理。</w:t>
      </w:r>
    </w:p>
    <w:p>
      <w:pPr>
        <w:spacing w:line="360" w:lineRule="auto"/>
        <w:ind w:firstLine="482" w:firstLineChars="200"/>
        <w:outlineLvl w:val="0"/>
        <w:rPr>
          <w:rFonts w:ascii="Times New Roman" w:hAnsi="Times New Roman"/>
          <w:b/>
          <w:sz w:val="24"/>
        </w:rPr>
      </w:pPr>
      <w:r>
        <w:rPr>
          <w:rFonts w:ascii="Times New Roman" w:hAnsi="Times New Roman"/>
          <w:b/>
          <w:sz w:val="24"/>
        </w:rPr>
        <w:t>(2)</w:t>
      </w:r>
      <w:r>
        <w:rPr>
          <w:rFonts w:hint="eastAsia" w:ascii="Times New Roman" w:hAnsi="Times New Roman"/>
          <w:b/>
          <w:sz w:val="24"/>
        </w:rPr>
        <w:t>投标人评价分</w:t>
      </w:r>
      <w:r>
        <w:rPr>
          <w:rFonts w:ascii="Times New Roman" w:hAnsi="Times New Roman"/>
          <w:b/>
          <w:sz w:val="24"/>
        </w:rPr>
        <w:t>(</w:t>
      </w:r>
      <w:r>
        <w:rPr>
          <w:rFonts w:hint="eastAsia" w:ascii="Times New Roman" w:hAnsi="Times New Roman"/>
          <w:b/>
          <w:sz w:val="24"/>
        </w:rPr>
        <w:t>40</w:t>
      </w:r>
      <w:r>
        <w:rPr>
          <w:rFonts w:ascii="Times New Roman" w:hAnsi="Times New Roman"/>
          <w:b/>
          <w:sz w:val="24"/>
        </w:rPr>
        <w:t>分)</w:t>
      </w:r>
    </w:p>
    <w:p>
      <w:pPr>
        <w:tabs>
          <w:tab w:val="left" w:pos="525"/>
          <w:tab w:val="left" w:pos="1050"/>
        </w:tabs>
        <w:spacing w:line="360" w:lineRule="auto"/>
        <w:ind w:firstLine="480" w:firstLineChars="200"/>
        <w:rPr>
          <w:rFonts w:ascii="宋体" w:hAnsi="宋体"/>
          <w:bCs/>
          <w:sz w:val="24"/>
        </w:rPr>
      </w:pPr>
      <w:r>
        <w:rPr>
          <w:rFonts w:hint="eastAsia" w:ascii="Times New Roman" w:hAnsi="Times New Roman"/>
          <w:sz w:val="24"/>
        </w:rPr>
        <w:t>A</w:t>
      </w:r>
      <w:r>
        <w:rPr>
          <w:rFonts w:ascii="Times New Roman" w:hAnsi="Times New Roman"/>
          <w:sz w:val="24"/>
        </w:rPr>
        <w:t>．</w:t>
      </w:r>
      <w:r>
        <w:rPr>
          <w:rFonts w:hint="eastAsia" w:ascii="宋体" w:hAnsi="宋体"/>
          <w:bCs/>
          <w:sz w:val="24"/>
        </w:rPr>
        <w:t>投标企业自2018年1月1日以来（合同签订时间为准）承担过道路交通安全设施项目的，提供1个得1分，最多得</w:t>
      </w:r>
      <w:r>
        <w:rPr>
          <w:rFonts w:hint="eastAsia" w:ascii="宋体" w:hAnsi="宋体"/>
          <w:b/>
          <w:bCs/>
          <w:sz w:val="24"/>
        </w:rPr>
        <w:t>4</w:t>
      </w:r>
      <w:r>
        <w:rPr>
          <w:rFonts w:hint="eastAsia" w:ascii="宋体" w:hAnsi="宋体"/>
          <w:bCs/>
          <w:sz w:val="24"/>
        </w:rPr>
        <w:t>分；（投标文件内提供有效合同及往来发票复印件，原件与投标文件同时提交）；</w:t>
      </w:r>
    </w:p>
    <w:p>
      <w:pPr>
        <w:spacing w:line="360" w:lineRule="auto"/>
        <w:ind w:firstLine="480" w:firstLineChars="200"/>
        <w:outlineLvl w:val="0"/>
        <w:rPr>
          <w:rFonts w:ascii="宋体" w:hAnsi="宋体"/>
          <w:bCs/>
          <w:sz w:val="24"/>
        </w:rPr>
      </w:pPr>
      <w:r>
        <w:rPr>
          <w:rFonts w:hint="eastAsia" w:ascii="Times New Roman" w:hAnsi="Times New Roman"/>
          <w:sz w:val="24"/>
        </w:rPr>
        <w:t>B</w:t>
      </w:r>
      <w:r>
        <w:rPr>
          <w:rFonts w:ascii="Times New Roman" w:hAnsi="Times New Roman"/>
          <w:sz w:val="24"/>
        </w:rPr>
        <w:t>．</w:t>
      </w:r>
      <w:r>
        <w:rPr>
          <w:rFonts w:hint="eastAsia" w:ascii="Times New Roman" w:hAnsi="Times New Roman"/>
          <w:sz w:val="24"/>
        </w:rPr>
        <w:t>投标</w:t>
      </w:r>
      <w:r>
        <w:rPr>
          <w:rFonts w:hint="eastAsia" w:ascii="Times New Roman" w:hAnsi="Times New Roman"/>
          <w:sz w:val="24"/>
          <w:szCs w:val="22"/>
        </w:rPr>
        <w:t>人具有：质量管理体系认证证书、环境管理体系认证证书、职业健康安全管理体系认证证书、信息安全管理体系认证证书，有一个得3分，满分得</w:t>
      </w:r>
      <w:r>
        <w:rPr>
          <w:rFonts w:hint="eastAsia" w:ascii="Times New Roman" w:hAnsi="Times New Roman"/>
          <w:b/>
          <w:sz w:val="24"/>
          <w:szCs w:val="22"/>
        </w:rPr>
        <w:t>12</w:t>
      </w:r>
      <w:r>
        <w:rPr>
          <w:rFonts w:hint="eastAsia" w:ascii="Times New Roman" w:hAnsi="Times New Roman"/>
          <w:sz w:val="24"/>
          <w:szCs w:val="22"/>
        </w:rPr>
        <w:t>分，</w:t>
      </w:r>
      <w:r>
        <w:rPr>
          <w:rFonts w:hint="eastAsia" w:ascii="宋体" w:hAnsi="宋体"/>
          <w:bCs/>
          <w:sz w:val="24"/>
        </w:rPr>
        <w:t>（投标文件内提供证书复印件，原件与投标文件同时提交）；</w:t>
      </w:r>
    </w:p>
    <w:p>
      <w:pPr>
        <w:widowControl/>
        <w:spacing w:line="360" w:lineRule="auto"/>
        <w:ind w:firstLine="480" w:firstLineChars="200"/>
        <w:rPr>
          <w:rFonts w:ascii="Times New Roman" w:hAnsi="Times New Roman"/>
          <w:sz w:val="24"/>
        </w:rPr>
      </w:pPr>
      <w:r>
        <w:rPr>
          <w:rFonts w:hint="eastAsia" w:ascii="Times New Roman" w:hAnsi="Times New Roman"/>
          <w:sz w:val="24"/>
        </w:rPr>
        <w:t>C．投标人具有公安部交通安全产品质量监督检测中心出具的道路交通标志、道路交通标线、道路交通隔离护的栏检测报告，</w:t>
      </w:r>
      <w:r>
        <w:rPr>
          <w:rFonts w:hint="eastAsia" w:ascii="Times New Roman" w:hAnsi="Times New Roman"/>
          <w:sz w:val="24"/>
          <w:szCs w:val="22"/>
        </w:rPr>
        <w:t>有一个得4分，满分得</w:t>
      </w:r>
      <w:r>
        <w:rPr>
          <w:rFonts w:hint="eastAsia" w:ascii="Times New Roman" w:hAnsi="Times New Roman"/>
          <w:b/>
          <w:sz w:val="24"/>
          <w:szCs w:val="22"/>
        </w:rPr>
        <w:t>12</w:t>
      </w:r>
      <w:r>
        <w:rPr>
          <w:rFonts w:hint="eastAsia" w:ascii="Times New Roman" w:hAnsi="Times New Roman"/>
          <w:sz w:val="24"/>
          <w:szCs w:val="22"/>
        </w:rPr>
        <w:t>分</w:t>
      </w:r>
      <w:r>
        <w:rPr>
          <w:rFonts w:hint="eastAsia" w:ascii="Times New Roman" w:hAnsi="Times New Roman"/>
          <w:sz w:val="24"/>
        </w:rPr>
        <w:t>（报告送检单位名称必须与投标人名称一致，否则此项不得分；</w:t>
      </w:r>
      <w:r>
        <w:rPr>
          <w:rFonts w:hint="eastAsia" w:ascii="宋体" w:hAnsi="宋体"/>
          <w:bCs/>
          <w:sz w:val="24"/>
        </w:rPr>
        <w:t>投标文件内提供证书复印件，原件与投标文件同时提交</w:t>
      </w:r>
      <w:r>
        <w:rPr>
          <w:rFonts w:hint="eastAsia" w:ascii="Times New Roman" w:hAnsi="Times New Roman"/>
          <w:sz w:val="24"/>
        </w:rPr>
        <w:t>）；</w:t>
      </w:r>
    </w:p>
    <w:p>
      <w:pPr>
        <w:tabs>
          <w:tab w:val="left" w:pos="1260"/>
        </w:tabs>
        <w:spacing w:line="360" w:lineRule="auto"/>
        <w:ind w:firstLine="480" w:firstLineChars="200"/>
        <w:rPr>
          <w:rFonts w:ascii="宋体" w:hAnsi="宋体"/>
          <w:sz w:val="24"/>
        </w:rPr>
      </w:pPr>
      <w:r>
        <w:rPr>
          <w:rFonts w:ascii="Times New Roman" w:hAnsi="Times New Roman"/>
          <w:sz w:val="24"/>
        </w:rPr>
        <w:t>D</w:t>
      </w:r>
      <w:r>
        <w:rPr>
          <w:rFonts w:hint="eastAsia" w:ascii="Times New Roman" w:hAnsi="Times New Roman"/>
          <w:sz w:val="24"/>
        </w:rPr>
        <w:t>．</w:t>
      </w:r>
      <w:r>
        <w:rPr>
          <w:rFonts w:hint="eastAsia" w:ascii="宋体" w:hAnsi="宋体"/>
          <w:sz w:val="24"/>
        </w:rPr>
        <w:t xml:space="preserve"> </w:t>
      </w:r>
      <w:r>
        <w:rPr>
          <w:rFonts w:hint="eastAsia" w:ascii="宋体" w:hAnsi="宋体" w:cs="宋体"/>
          <w:sz w:val="24"/>
        </w:rPr>
        <w:t>机械设备的配备情况（</w:t>
      </w:r>
      <w:r>
        <w:rPr>
          <w:rFonts w:hint="eastAsia" w:ascii="宋体" w:hAnsi="宋体" w:cs="宋体"/>
          <w:b/>
          <w:sz w:val="24"/>
        </w:rPr>
        <w:t>6</w:t>
      </w:r>
      <w:r>
        <w:rPr>
          <w:rFonts w:hint="eastAsia" w:ascii="宋体" w:hAnsi="宋体" w:cs="宋体"/>
          <w:sz w:val="24"/>
        </w:rPr>
        <w:t>分）</w:t>
      </w:r>
    </w:p>
    <w:p>
      <w:pPr>
        <w:tabs>
          <w:tab w:val="left" w:pos="525"/>
          <w:tab w:val="left" w:pos="1050"/>
        </w:tabs>
        <w:spacing w:line="360" w:lineRule="auto"/>
        <w:ind w:firstLine="480" w:firstLineChars="200"/>
        <w:rPr>
          <w:rFonts w:ascii="宋体" w:hAnsi="宋体" w:cs="宋体"/>
          <w:sz w:val="24"/>
        </w:rPr>
      </w:pPr>
      <w:r>
        <w:rPr>
          <w:rFonts w:hint="eastAsia" w:ascii="宋体" w:hAnsi="宋体" w:cs="宋体"/>
          <w:sz w:val="24"/>
        </w:rPr>
        <w:t>（1）非载货专项作业车（吊车）一辆，车辆须为自有，得2分；</w:t>
      </w:r>
    </w:p>
    <w:p>
      <w:pPr>
        <w:tabs>
          <w:tab w:val="left" w:pos="525"/>
          <w:tab w:val="left" w:pos="1050"/>
        </w:tabs>
        <w:spacing w:line="360" w:lineRule="auto"/>
        <w:ind w:firstLine="480" w:firstLineChars="200"/>
        <w:rPr>
          <w:rFonts w:ascii="宋体" w:hAnsi="宋体" w:cs="宋体"/>
          <w:sz w:val="24"/>
        </w:rPr>
      </w:pPr>
      <w:r>
        <w:rPr>
          <w:rFonts w:hint="eastAsia" w:ascii="宋体" w:hAnsi="宋体" w:cs="宋体"/>
          <w:sz w:val="24"/>
        </w:rPr>
        <w:t>（2）配备货运车辆两辆，车辆须为自有，1分/</w:t>
      </w:r>
      <w:r>
        <w:rPr>
          <w:rFonts w:ascii="宋体" w:hAnsi="宋体" w:cs="宋体"/>
          <w:sz w:val="24"/>
        </w:rPr>
        <w:t>辆</w:t>
      </w:r>
      <w:r>
        <w:rPr>
          <w:rFonts w:hint="eastAsia" w:ascii="宋体" w:hAnsi="宋体" w:cs="宋体"/>
          <w:sz w:val="24"/>
        </w:rPr>
        <w:t>，最高得2分；</w:t>
      </w:r>
    </w:p>
    <w:p>
      <w:pPr>
        <w:tabs>
          <w:tab w:val="left" w:pos="525"/>
          <w:tab w:val="left" w:pos="1050"/>
        </w:tabs>
        <w:spacing w:line="360" w:lineRule="auto"/>
        <w:ind w:firstLine="480" w:firstLineChars="200"/>
        <w:rPr>
          <w:rFonts w:ascii="宋体" w:hAnsi="宋体" w:cs="宋体"/>
          <w:sz w:val="24"/>
        </w:rPr>
      </w:pPr>
      <w:r>
        <w:rPr>
          <w:rFonts w:hint="eastAsia" w:ascii="宋体" w:hAnsi="宋体" w:cs="宋体"/>
          <w:sz w:val="24"/>
        </w:rPr>
        <w:t>（3）配备热熔标线漆划设备一套（热熔釜、手推划线机），设备须</w:t>
      </w:r>
      <w:r>
        <w:rPr>
          <w:rFonts w:ascii="宋体" w:hAnsi="宋体" w:cs="宋体"/>
          <w:sz w:val="24"/>
        </w:rPr>
        <w:t>为企业自有</w:t>
      </w:r>
      <w:r>
        <w:rPr>
          <w:rFonts w:hint="eastAsia" w:ascii="宋体" w:hAnsi="宋体" w:cs="宋体"/>
          <w:sz w:val="24"/>
        </w:rPr>
        <w:t>，得</w:t>
      </w:r>
      <w:r>
        <w:rPr>
          <w:rFonts w:ascii="宋体" w:hAnsi="宋体" w:cs="宋体"/>
          <w:sz w:val="24"/>
        </w:rPr>
        <w:t>1</w:t>
      </w:r>
      <w:r>
        <w:rPr>
          <w:rFonts w:hint="eastAsia" w:ascii="宋体" w:hAnsi="宋体" w:cs="宋体"/>
          <w:sz w:val="24"/>
        </w:rPr>
        <w:t>分；</w:t>
      </w:r>
    </w:p>
    <w:p>
      <w:pPr>
        <w:tabs>
          <w:tab w:val="left" w:pos="525"/>
          <w:tab w:val="left" w:pos="1050"/>
        </w:tabs>
        <w:spacing w:line="360" w:lineRule="auto"/>
        <w:ind w:firstLine="480" w:firstLineChars="200"/>
        <w:rPr>
          <w:rFonts w:ascii="宋体" w:hAnsi="宋体" w:cs="宋体"/>
          <w:sz w:val="24"/>
        </w:rPr>
      </w:pPr>
      <w:r>
        <w:rPr>
          <w:rFonts w:hint="eastAsia" w:ascii="宋体" w:hAnsi="宋体" w:cs="宋体"/>
          <w:sz w:val="24"/>
        </w:rPr>
        <w:t>（4）配备</w:t>
      </w:r>
      <w:r>
        <w:rPr>
          <w:rFonts w:hint="eastAsia" w:ascii="宋体" w:hAnsi="宋体"/>
          <w:sz w:val="24"/>
        </w:rPr>
        <w:t>水除标线高压清洗设备一台，</w:t>
      </w:r>
      <w:r>
        <w:rPr>
          <w:rFonts w:hint="eastAsia" w:ascii="宋体" w:hAnsi="宋体" w:cs="宋体"/>
          <w:sz w:val="24"/>
        </w:rPr>
        <w:t>设备须</w:t>
      </w:r>
      <w:r>
        <w:rPr>
          <w:rFonts w:ascii="宋体" w:hAnsi="宋体" w:cs="宋体"/>
          <w:sz w:val="24"/>
        </w:rPr>
        <w:t>为企业自有</w:t>
      </w:r>
      <w:r>
        <w:rPr>
          <w:rFonts w:hint="eastAsia" w:ascii="宋体" w:hAnsi="宋体" w:cs="宋体"/>
          <w:sz w:val="24"/>
        </w:rPr>
        <w:t>，得</w:t>
      </w:r>
      <w:r>
        <w:rPr>
          <w:rFonts w:ascii="宋体" w:hAnsi="宋体" w:cs="宋体"/>
          <w:sz w:val="24"/>
        </w:rPr>
        <w:t>1</w:t>
      </w:r>
      <w:r>
        <w:rPr>
          <w:rFonts w:hint="eastAsia" w:ascii="宋体" w:hAnsi="宋体" w:cs="宋体"/>
          <w:sz w:val="24"/>
        </w:rPr>
        <w:t>分；</w:t>
      </w:r>
    </w:p>
    <w:p>
      <w:pPr>
        <w:spacing w:line="360" w:lineRule="auto"/>
        <w:ind w:firstLine="480" w:firstLineChars="200"/>
        <w:rPr>
          <w:rFonts w:cs="Calibri"/>
          <w:sz w:val="24"/>
          <w:szCs w:val="22"/>
        </w:rPr>
      </w:pPr>
      <w:r>
        <w:rPr>
          <w:rFonts w:hint="eastAsia" w:ascii="宋体" w:hAnsi="宋体" w:cs="宋体"/>
          <w:sz w:val="24"/>
        </w:rPr>
        <w:t>注：</w:t>
      </w:r>
      <w:r>
        <w:rPr>
          <w:rFonts w:hint="eastAsia"/>
          <w:spacing w:val="-2"/>
          <w:sz w:val="24"/>
          <w:szCs w:val="22"/>
        </w:rPr>
        <w:t>设备明细表中机械设备必须提供照片、自有设备提供购买发票及车辆行驶证原件及复印件。不提供上述资料或资料不齐全、清晰度不可辨认的不得分。</w:t>
      </w:r>
    </w:p>
    <w:p>
      <w:pPr>
        <w:spacing w:line="360" w:lineRule="auto"/>
        <w:ind w:left="480"/>
        <w:jc w:val="left"/>
        <w:rPr>
          <w:rFonts w:ascii="宋体" w:hAnsi="宋体"/>
          <w:sz w:val="24"/>
          <w:szCs w:val="22"/>
        </w:rPr>
      </w:pPr>
      <w:r>
        <w:rPr>
          <w:rFonts w:hint="eastAsia" w:ascii="Times New Roman" w:hAnsi="Times New Roman"/>
          <w:sz w:val="24"/>
        </w:rPr>
        <w:t>E．</w:t>
      </w:r>
      <w:r>
        <w:rPr>
          <w:rFonts w:ascii="宋体" w:hAnsi="宋体"/>
          <w:sz w:val="24"/>
          <w:szCs w:val="22"/>
        </w:rPr>
        <w:t>项目实施人员</w:t>
      </w:r>
      <w:r>
        <w:rPr>
          <w:rFonts w:hint="eastAsia" w:ascii="宋体" w:hAnsi="宋体"/>
          <w:sz w:val="24"/>
          <w:szCs w:val="22"/>
        </w:rPr>
        <w:t>（</w:t>
      </w:r>
      <w:r>
        <w:rPr>
          <w:rFonts w:hint="eastAsia" w:ascii="宋体" w:hAnsi="宋体"/>
          <w:b/>
          <w:sz w:val="24"/>
          <w:szCs w:val="22"/>
        </w:rPr>
        <w:t>6</w:t>
      </w:r>
      <w:r>
        <w:rPr>
          <w:rFonts w:hint="eastAsia" w:ascii="宋体" w:hAnsi="宋体"/>
          <w:sz w:val="24"/>
          <w:szCs w:val="22"/>
        </w:rPr>
        <w:t>分）</w:t>
      </w:r>
    </w:p>
    <w:p>
      <w:pPr>
        <w:spacing w:line="360" w:lineRule="auto"/>
        <w:ind w:left="420"/>
        <w:jc w:val="left"/>
        <w:rPr>
          <w:rFonts w:ascii="宋体" w:hAnsi="宋体"/>
          <w:sz w:val="24"/>
          <w:szCs w:val="22"/>
        </w:rPr>
      </w:pPr>
      <w:r>
        <w:rPr>
          <w:rFonts w:hint="eastAsia" w:ascii="宋体" w:hAnsi="宋体"/>
          <w:sz w:val="24"/>
          <w:szCs w:val="22"/>
        </w:rPr>
        <w:t>（1）配备的项目负责人具有公路工程或市政工程二级或以上注册建造师证</w:t>
      </w:r>
    </w:p>
    <w:p>
      <w:pPr>
        <w:spacing w:line="360" w:lineRule="auto"/>
        <w:jc w:val="left"/>
        <w:rPr>
          <w:rFonts w:ascii="宋体" w:hAnsi="宋体"/>
          <w:sz w:val="24"/>
          <w:szCs w:val="22"/>
        </w:rPr>
      </w:pPr>
      <w:r>
        <w:rPr>
          <w:rFonts w:hint="eastAsia" w:ascii="宋体" w:hAnsi="宋体"/>
          <w:sz w:val="24"/>
          <w:szCs w:val="22"/>
        </w:rPr>
        <w:t>书和省级住房建设主管部门核发的安全生产知识考核合格证书，并具有交通公路专业中级（或以上）职称的得2分。</w:t>
      </w:r>
    </w:p>
    <w:p>
      <w:pPr>
        <w:spacing w:line="360" w:lineRule="auto"/>
        <w:ind w:left="420"/>
        <w:jc w:val="left"/>
        <w:rPr>
          <w:rFonts w:ascii="宋体" w:hAnsi="宋体"/>
          <w:sz w:val="24"/>
          <w:szCs w:val="22"/>
        </w:rPr>
      </w:pPr>
      <w:r>
        <w:rPr>
          <w:rFonts w:hint="eastAsia" w:ascii="宋体" w:hAnsi="宋体"/>
          <w:sz w:val="24"/>
          <w:szCs w:val="22"/>
        </w:rPr>
        <w:t>（2）</w:t>
      </w:r>
      <w:r>
        <w:rPr>
          <w:rFonts w:ascii="宋体" w:hAnsi="宋体"/>
          <w:sz w:val="24"/>
          <w:szCs w:val="22"/>
        </w:rPr>
        <w:t>针对本项目配备的施工人员</w:t>
      </w:r>
      <w:r>
        <w:rPr>
          <w:rFonts w:hint="eastAsia" w:ascii="宋体" w:hAnsi="宋体"/>
          <w:sz w:val="24"/>
          <w:szCs w:val="22"/>
        </w:rPr>
        <w:t>（不包括</w:t>
      </w:r>
      <w:r>
        <w:rPr>
          <w:rFonts w:ascii="宋体" w:hAnsi="宋体"/>
          <w:sz w:val="24"/>
          <w:szCs w:val="22"/>
        </w:rPr>
        <w:t>项目负责人</w:t>
      </w:r>
      <w:r>
        <w:rPr>
          <w:rFonts w:hint="eastAsia" w:ascii="宋体" w:hAnsi="宋体"/>
          <w:sz w:val="24"/>
          <w:szCs w:val="22"/>
        </w:rPr>
        <w:t>）</w:t>
      </w:r>
      <w:r>
        <w:rPr>
          <w:rFonts w:ascii="宋体" w:hAnsi="宋体"/>
          <w:sz w:val="24"/>
          <w:szCs w:val="22"/>
        </w:rPr>
        <w:t>进行评定</w:t>
      </w:r>
      <w:r>
        <w:rPr>
          <w:rFonts w:hint="eastAsia" w:ascii="宋体" w:hAnsi="宋体"/>
          <w:sz w:val="24"/>
          <w:szCs w:val="22"/>
        </w:rPr>
        <w:t>：至少配</w:t>
      </w:r>
    </w:p>
    <w:p>
      <w:pPr>
        <w:spacing w:line="360" w:lineRule="auto"/>
        <w:jc w:val="left"/>
        <w:rPr>
          <w:rFonts w:ascii="宋体" w:hAnsi="宋体"/>
          <w:sz w:val="24"/>
          <w:szCs w:val="22"/>
        </w:rPr>
      </w:pPr>
      <w:r>
        <w:rPr>
          <w:rFonts w:hint="eastAsia" w:ascii="宋体" w:hAnsi="宋体"/>
          <w:sz w:val="24"/>
          <w:szCs w:val="22"/>
        </w:rPr>
        <w:t>备具有交通公路专业中级（或以上）职称和省级住房建设主管部门核发的安全生产知识考核合格证书的技术负责人1名，具有省级住房建设主管部门核发的施工员1名、质量员1名、安全员1名、机械员1名、材料员1名、资料员1名、劳务员1名。每提供一个得0.5分，最高4分。</w:t>
      </w:r>
    </w:p>
    <w:p>
      <w:pPr>
        <w:spacing w:line="360" w:lineRule="auto"/>
        <w:ind w:firstLine="480" w:firstLineChars="200"/>
        <w:jc w:val="left"/>
        <w:rPr>
          <w:rFonts w:ascii="宋体" w:hAnsi="宋体"/>
          <w:sz w:val="24"/>
          <w:szCs w:val="22"/>
        </w:rPr>
      </w:pPr>
      <w:r>
        <w:rPr>
          <w:rFonts w:hint="eastAsia" w:ascii="宋体" w:hAnsi="宋体"/>
          <w:sz w:val="24"/>
          <w:szCs w:val="22"/>
        </w:rPr>
        <w:t>注：投标文件中需提供证书复印件和最近3个月的社保缴纳明细，原件与投标文件同时提交，未提供或提供不全的不得分。</w:t>
      </w:r>
    </w:p>
    <w:p>
      <w:pPr>
        <w:spacing w:line="360" w:lineRule="auto"/>
        <w:ind w:firstLine="480" w:firstLineChars="200"/>
        <w:rPr>
          <w:rFonts w:ascii="Times New Roman" w:hAnsi="Times New Roman"/>
          <w:sz w:val="24"/>
        </w:rPr>
      </w:pPr>
      <w:r>
        <w:rPr>
          <w:rFonts w:ascii="Times New Roman" w:hAnsi="Times New Roman"/>
          <w:sz w:val="24"/>
        </w:rPr>
        <w:t>招标采用百分制评分法进行评分，各投标人得分保留小数点后两位，小数点后三位四舍五入，以最高得分者为中标人。若出现并列第一名，以报价低者为中标人。</w:t>
      </w:r>
    </w:p>
    <w:p>
      <w:pPr>
        <w:tabs>
          <w:tab w:val="left" w:pos="525"/>
          <w:tab w:val="left" w:pos="1050"/>
        </w:tabs>
        <w:spacing w:line="360" w:lineRule="auto"/>
        <w:ind w:firstLine="480" w:firstLineChars="200"/>
        <w:rPr>
          <w:rFonts w:ascii="宋体" w:hAnsi="宋体"/>
          <w:bCs/>
          <w:sz w:val="24"/>
        </w:rPr>
      </w:pPr>
      <w:r>
        <w:rPr>
          <w:rFonts w:hint="eastAsia" w:ascii="宋体" w:hAnsi="宋体"/>
          <w:bCs/>
          <w:sz w:val="24"/>
        </w:rPr>
        <w:t>注：1、针对评分标准中评分的每一条，投标人均应提供相关资料并作出相应说明供评委评判，不提供相关资料的视为不具备该项得分的条件，资料须编好目录及页码。</w:t>
      </w:r>
    </w:p>
    <w:p>
      <w:pPr>
        <w:tabs>
          <w:tab w:val="left" w:pos="525"/>
          <w:tab w:val="left" w:pos="1050"/>
        </w:tabs>
        <w:spacing w:line="360" w:lineRule="auto"/>
        <w:ind w:firstLine="480" w:firstLineChars="200"/>
        <w:rPr>
          <w:rFonts w:ascii="宋体" w:hAnsi="宋体"/>
          <w:bCs/>
          <w:sz w:val="24"/>
        </w:rPr>
      </w:pPr>
      <w:r>
        <w:rPr>
          <w:rFonts w:hint="eastAsia" w:ascii="宋体" w:hAnsi="宋体"/>
          <w:bCs/>
          <w:sz w:val="24"/>
        </w:rPr>
        <w:t>2、评分标准中有提供原件资料（无原件可用公证件代替）要求的，须与投标文件同时递交，同时递交加盖投标单位公章的原件资料清单目录。</w:t>
      </w:r>
    </w:p>
    <w:p>
      <w:pPr>
        <w:spacing w:line="360" w:lineRule="auto"/>
        <w:ind w:firstLine="482" w:firstLineChars="200"/>
        <w:outlineLvl w:val="0"/>
        <w:rPr>
          <w:rFonts w:ascii="Times New Roman" w:hAnsi="Times New Roman"/>
          <w:b/>
          <w:sz w:val="24"/>
        </w:rPr>
      </w:pPr>
      <w:r>
        <w:rPr>
          <w:rFonts w:ascii="Times New Roman" w:hAnsi="Times New Roman"/>
          <w:b/>
          <w:sz w:val="24"/>
        </w:rPr>
        <w:t xml:space="preserve"> (3)方案组织设计分(</w:t>
      </w:r>
      <w:r>
        <w:rPr>
          <w:rFonts w:hint="eastAsia" w:ascii="Times New Roman" w:hAnsi="Times New Roman"/>
          <w:b/>
          <w:sz w:val="24"/>
        </w:rPr>
        <w:t>30</w:t>
      </w:r>
      <w:r>
        <w:rPr>
          <w:rFonts w:ascii="Times New Roman" w:hAnsi="Times New Roman"/>
          <w:b/>
          <w:sz w:val="24"/>
        </w:rPr>
        <w:t>分)</w:t>
      </w:r>
    </w:p>
    <w:p>
      <w:pPr>
        <w:spacing w:line="360" w:lineRule="auto"/>
        <w:ind w:firstLine="472" w:firstLineChars="200"/>
        <w:outlineLvl w:val="0"/>
        <w:rPr>
          <w:rFonts w:ascii="宋体" w:hAnsi="宋体" w:cs="宋体"/>
          <w:sz w:val="24"/>
        </w:rPr>
      </w:pPr>
      <w:r>
        <w:rPr>
          <w:rFonts w:hint="eastAsia" w:ascii="Times New Roman" w:hAnsi="Times New Roman"/>
          <w:spacing w:val="-2"/>
          <w:sz w:val="24"/>
        </w:rPr>
        <w:t>A</w:t>
      </w:r>
      <w:r>
        <w:rPr>
          <w:rFonts w:ascii="Times New Roman" w:hAnsi="Times New Roman"/>
          <w:spacing w:val="-2"/>
          <w:sz w:val="24"/>
        </w:rPr>
        <w:t>．</w:t>
      </w:r>
      <w:r>
        <w:rPr>
          <w:rFonts w:hint="eastAsia" w:ascii="宋体" w:hAnsi="宋体" w:cs="宋体"/>
          <w:color w:val="000000"/>
          <w:sz w:val="24"/>
        </w:rPr>
        <w:t>各分部分项工程的主要施工方案与技术措施</w:t>
      </w:r>
      <w:r>
        <w:rPr>
          <w:rFonts w:hint="eastAsia" w:ascii="宋体" w:hAnsi="宋体" w:cs="宋体"/>
          <w:sz w:val="24"/>
        </w:rPr>
        <w:t>。（5分）</w:t>
      </w:r>
    </w:p>
    <w:p>
      <w:pPr>
        <w:tabs>
          <w:tab w:val="left" w:pos="525"/>
          <w:tab w:val="left" w:pos="1050"/>
        </w:tabs>
        <w:spacing w:line="360" w:lineRule="auto"/>
        <w:ind w:firstLine="472" w:firstLineChars="200"/>
        <w:rPr>
          <w:rFonts w:ascii="Times New Roman" w:hAnsi="Times New Roman"/>
          <w:spacing w:val="-2"/>
          <w:sz w:val="24"/>
        </w:rPr>
      </w:pPr>
      <w:r>
        <w:rPr>
          <w:rFonts w:hint="eastAsia" w:ascii="Times New Roman" w:hAnsi="Times New Roman"/>
          <w:spacing w:val="-2"/>
          <w:sz w:val="24"/>
        </w:rPr>
        <w:t>B</w:t>
      </w:r>
      <w:r>
        <w:rPr>
          <w:rFonts w:ascii="Times New Roman" w:hAnsi="Times New Roman"/>
          <w:spacing w:val="-2"/>
          <w:sz w:val="24"/>
        </w:rPr>
        <w:t>．</w:t>
      </w:r>
      <w:r>
        <w:rPr>
          <w:rFonts w:hint="eastAsia" w:ascii="Times New Roman" w:hAnsi="Times New Roman"/>
          <w:spacing w:val="-2"/>
          <w:sz w:val="24"/>
        </w:rPr>
        <w:t>确保工程质量的技术措施。</w:t>
      </w:r>
      <w:r>
        <w:rPr>
          <w:rFonts w:hint="eastAsia" w:ascii="宋体" w:hAnsi="宋体" w:cs="宋体"/>
          <w:sz w:val="24"/>
        </w:rPr>
        <w:t>（5分）</w:t>
      </w:r>
    </w:p>
    <w:p>
      <w:pPr>
        <w:spacing w:line="360" w:lineRule="auto"/>
        <w:ind w:firstLine="472" w:firstLineChars="200"/>
        <w:outlineLvl w:val="0"/>
        <w:rPr>
          <w:rFonts w:ascii="Times New Roman" w:hAnsi="Times New Roman"/>
          <w:spacing w:val="-2"/>
          <w:sz w:val="24"/>
        </w:rPr>
      </w:pPr>
      <w:r>
        <w:rPr>
          <w:rFonts w:hint="eastAsia" w:ascii="Times New Roman" w:hAnsi="Times New Roman"/>
          <w:spacing w:val="-2"/>
          <w:sz w:val="24"/>
        </w:rPr>
        <w:t>C</w:t>
      </w:r>
      <w:r>
        <w:rPr>
          <w:rFonts w:ascii="Times New Roman" w:hAnsi="Times New Roman"/>
          <w:spacing w:val="-2"/>
          <w:sz w:val="24"/>
        </w:rPr>
        <w:t>．</w:t>
      </w:r>
      <w:r>
        <w:rPr>
          <w:rFonts w:hint="eastAsia" w:ascii="Times New Roman" w:hAnsi="Times New Roman"/>
          <w:spacing w:val="-2"/>
          <w:sz w:val="24"/>
        </w:rPr>
        <w:t>确保安全生产的管理体系与措施。</w:t>
      </w:r>
      <w:r>
        <w:rPr>
          <w:rFonts w:hint="eastAsia" w:ascii="宋体" w:hAnsi="宋体" w:cs="宋体"/>
          <w:sz w:val="24"/>
        </w:rPr>
        <w:t>（5分）</w:t>
      </w:r>
    </w:p>
    <w:p>
      <w:pPr>
        <w:spacing w:line="360" w:lineRule="auto"/>
        <w:ind w:firstLine="472" w:firstLineChars="200"/>
        <w:outlineLvl w:val="0"/>
        <w:rPr>
          <w:rFonts w:ascii="Times New Roman" w:hAnsi="Times New Roman"/>
          <w:spacing w:val="-2"/>
          <w:sz w:val="24"/>
        </w:rPr>
      </w:pPr>
      <w:r>
        <w:rPr>
          <w:rFonts w:hint="eastAsia" w:ascii="Times New Roman" w:hAnsi="Times New Roman"/>
          <w:spacing w:val="-2"/>
          <w:sz w:val="24"/>
        </w:rPr>
        <w:t>D．文明施工和环境保护的技术措施。</w:t>
      </w:r>
      <w:r>
        <w:rPr>
          <w:rFonts w:hint="eastAsia" w:ascii="宋体" w:hAnsi="宋体" w:cs="宋体"/>
          <w:sz w:val="24"/>
        </w:rPr>
        <w:t>（5分）</w:t>
      </w:r>
    </w:p>
    <w:p>
      <w:pPr>
        <w:spacing w:line="360" w:lineRule="auto"/>
        <w:ind w:firstLine="472" w:firstLineChars="200"/>
        <w:outlineLvl w:val="0"/>
        <w:rPr>
          <w:rFonts w:ascii="Times New Roman" w:hAnsi="Times New Roman"/>
          <w:spacing w:val="-2"/>
          <w:sz w:val="24"/>
        </w:rPr>
      </w:pPr>
      <w:r>
        <w:rPr>
          <w:rFonts w:hint="eastAsia" w:ascii="Times New Roman" w:hAnsi="Times New Roman"/>
          <w:spacing w:val="-2"/>
          <w:sz w:val="24"/>
        </w:rPr>
        <w:t>E．施工总进度计划及保证工期措施。</w:t>
      </w:r>
      <w:r>
        <w:rPr>
          <w:rFonts w:hint="eastAsia" w:ascii="宋体" w:hAnsi="宋体" w:cs="宋体"/>
          <w:sz w:val="24"/>
        </w:rPr>
        <w:t>（5分）</w:t>
      </w:r>
    </w:p>
    <w:p>
      <w:pPr>
        <w:spacing w:line="360" w:lineRule="auto"/>
        <w:ind w:firstLine="472" w:firstLineChars="200"/>
        <w:outlineLvl w:val="0"/>
        <w:rPr>
          <w:rFonts w:ascii="Times New Roman" w:hAnsi="Times New Roman"/>
          <w:spacing w:val="-2"/>
          <w:sz w:val="24"/>
        </w:rPr>
      </w:pPr>
      <w:r>
        <w:rPr>
          <w:rFonts w:hint="eastAsia" w:ascii="Times New Roman" w:hAnsi="Times New Roman"/>
          <w:spacing w:val="-2"/>
          <w:sz w:val="24"/>
        </w:rPr>
        <w:t>F．售后服务保证措施。</w:t>
      </w:r>
      <w:r>
        <w:rPr>
          <w:rFonts w:hint="eastAsia" w:ascii="宋体" w:hAnsi="宋体" w:cs="宋体"/>
          <w:sz w:val="24"/>
        </w:rPr>
        <w:t>（5分）</w:t>
      </w:r>
    </w:p>
    <w:p>
      <w:pPr>
        <w:spacing w:line="360" w:lineRule="auto"/>
        <w:ind w:firstLine="472" w:firstLineChars="200"/>
        <w:outlineLvl w:val="0"/>
        <w:rPr>
          <w:rFonts w:ascii="宋体" w:hAnsi="宋体"/>
          <w:bCs/>
          <w:sz w:val="24"/>
        </w:rPr>
      </w:pPr>
      <w:r>
        <w:rPr>
          <w:rFonts w:hint="eastAsia" w:ascii="Times New Roman" w:hAnsi="Times New Roman"/>
          <w:spacing w:val="-2"/>
          <w:sz w:val="24"/>
        </w:rPr>
        <w:t>投标文件中技术文件（实施方案）或技术文件（实施方案）编制粗糙，缺漏项较多，实施方案页数偏少（少于</w:t>
      </w:r>
      <w:r>
        <w:rPr>
          <w:rFonts w:ascii="Times New Roman" w:hAnsi="Times New Roman"/>
          <w:spacing w:val="-2"/>
          <w:sz w:val="24"/>
        </w:rPr>
        <w:t>2</w:t>
      </w:r>
      <w:r>
        <w:rPr>
          <w:rFonts w:hint="eastAsia" w:ascii="Times New Roman" w:hAnsi="Times New Roman"/>
          <w:spacing w:val="-2"/>
          <w:sz w:val="24"/>
        </w:rPr>
        <w:t>0页的），经评标委员会评审得分达不到实施方案分值60%的，则视为该投标文件没有完全响应公开招标文件的要求，作无效标处理。其余的按照下列评分幅度进行评分：</w:t>
      </w:r>
      <w:r>
        <w:rPr>
          <w:rFonts w:ascii="Times New Roman" w:hAnsi="Times New Roman"/>
          <w:spacing w:val="-2"/>
          <w:sz w:val="24"/>
        </w:rPr>
        <w:t>90%</w:t>
      </w:r>
      <w:r>
        <w:rPr>
          <w:rFonts w:hint="eastAsia" w:ascii="Times New Roman" w:hAnsi="Times New Roman"/>
          <w:spacing w:val="-2"/>
          <w:sz w:val="24"/>
        </w:rPr>
        <w:t>≤优≤</w:t>
      </w:r>
      <w:r>
        <w:rPr>
          <w:rFonts w:ascii="Times New Roman" w:hAnsi="Times New Roman"/>
          <w:spacing w:val="-2"/>
          <w:sz w:val="24"/>
        </w:rPr>
        <w:t>100%</w:t>
      </w:r>
      <w:r>
        <w:rPr>
          <w:rFonts w:hint="eastAsia" w:ascii="Times New Roman" w:hAnsi="Times New Roman"/>
          <w:spacing w:val="-2"/>
          <w:sz w:val="24"/>
        </w:rPr>
        <w:t>；</w:t>
      </w:r>
      <w:r>
        <w:rPr>
          <w:rFonts w:ascii="Times New Roman" w:hAnsi="Times New Roman"/>
          <w:spacing w:val="-2"/>
          <w:sz w:val="24"/>
        </w:rPr>
        <w:t>80%</w:t>
      </w:r>
      <w:r>
        <w:rPr>
          <w:rFonts w:hint="eastAsia" w:ascii="Times New Roman" w:hAnsi="Times New Roman"/>
          <w:spacing w:val="-2"/>
          <w:sz w:val="24"/>
        </w:rPr>
        <w:t>≤良＜</w:t>
      </w:r>
      <w:r>
        <w:rPr>
          <w:rFonts w:ascii="Times New Roman" w:hAnsi="Times New Roman"/>
          <w:spacing w:val="-2"/>
          <w:sz w:val="24"/>
        </w:rPr>
        <w:t>90%</w:t>
      </w:r>
      <w:r>
        <w:rPr>
          <w:rFonts w:hint="eastAsia" w:ascii="Times New Roman" w:hAnsi="Times New Roman"/>
          <w:spacing w:val="-2"/>
          <w:sz w:val="24"/>
        </w:rPr>
        <w:t>；</w:t>
      </w:r>
      <w:r>
        <w:rPr>
          <w:rFonts w:ascii="Times New Roman" w:hAnsi="Times New Roman"/>
          <w:spacing w:val="-2"/>
          <w:sz w:val="24"/>
        </w:rPr>
        <w:t>60%</w:t>
      </w:r>
      <w:r>
        <w:rPr>
          <w:rFonts w:hint="eastAsia" w:ascii="Times New Roman" w:hAnsi="Times New Roman"/>
          <w:spacing w:val="-2"/>
          <w:sz w:val="24"/>
        </w:rPr>
        <w:t>≤中＜</w:t>
      </w:r>
      <w:r>
        <w:rPr>
          <w:rFonts w:ascii="Times New Roman" w:hAnsi="Times New Roman"/>
          <w:spacing w:val="-2"/>
          <w:sz w:val="24"/>
        </w:rPr>
        <w:t>80%</w:t>
      </w:r>
      <w:r>
        <w:rPr>
          <w:rFonts w:hint="eastAsia" w:ascii="Times New Roman" w:hAnsi="Times New Roman"/>
          <w:spacing w:val="-2"/>
          <w:sz w:val="24"/>
        </w:rPr>
        <w:t>。</w:t>
      </w:r>
      <w:bookmarkStart w:id="25" w:name="_GoBack"/>
      <w:bookmarkEnd w:id="25"/>
    </w:p>
    <w:p>
      <w:pPr>
        <w:spacing w:line="360" w:lineRule="auto"/>
        <w:rPr>
          <w:rFonts w:ascii="宋体" w:hAnsi="宋体"/>
          <w:bCs/>
          <w:sz w:val="24"/>
        </w:rPr>
      </w:pPr>
      <w:r>
        <w:rPr>
          <w:rFonts w:hint="eastAsia" w:ascii="宋体" w:hAnsi="宋体"/>
          <w:sz w:val="24"/>
        </w:rPr>
        <w:t>（十）</w:t>
      </w:r>
      <w:r>
        <w:rPr>
          <w:rFonts w:hint="eastAsia" w:ascii="宋体" w:hAnsi="宋体"/>
          <w:bCs/>
          <w:sz w:val="24"/>
        </w:rPr>
        <w:t>定标：</w:t>
      </w:r>
    </w:p>
    <w:p>
      <w:pPr>
        <w:numPr>
          <w:ilvl w:val="0"/>
          <w:numId w:val="5"/>
        </w:numPr>
        <w:tabs>
          <w:tab w:val="left" w:pos="525"/>
          <w:tab w:val="left" w:pos="1155"/>
          <w:tab w:val="clear" w:pos="552"/>
        </w:tabs>
        <w:spacing w:line="360" w:lineRule="auto"/>
        <w:ind w:left="0" w:firstLine="630"/>
        <w:rPr>
          <w:rFonts w:ascii="宋体" w:hAnsi="宋体"/>
          <w:bCs/>
          <w:color w:val="000000"/>
          <w:sz w:val="24"/>
        </w:rPr>
      </w:pPr>
      <w:r>
        <w:rPr>
          <w:rFonts w:hint="eastAsia" w:ascii="宋体" w:hAnsi="宋体"/>
          <w:bCs/>
          <w:sz w:val="24"/>
        </w:rPr>
        <w:t>评标委员会根据招标文件规定的评标方法和评标标准进行评审，按本次招标的定标规则确定中标候选人，评审结束后将评审报告送交采购人。采购人自收到评审报告之日起5个工作日内按招标文件的要求，在评审报告推荐的中标候选单位中，依法确定中标供应商。无锡众邦技术咨询有限公司自中</w:t>
      </w:r>
      <w:r>
        <w:rPr>
          <w:rFonts w:hint="eastAsia" w:ascii="宋体" w:hAnsi="宋体"/>
          <w:bCs/>
          <w:color w:val="000000"/>
          <w:sz w:val="24"/>
        </w:rPr>
        <w:t>标供应商确定之后发出中标通知书，并在财政部门指定的政府采购信息发布媒体（江苏政府采购网、无锡政府采购网）上发布中标结果公告。如有质疑，按《中华人民共和国政府采购法》、财政部《政府采购货物和服务招标投标管理办法》等有关法规处理。</w:t>
      </w:r>
    </w:p>
    <w:p>
      <w:pPr>
        <w:numPr>
          <w:ilvl w:val="0"/>
          <w:numId w:val="5"/>
        </w:numPr>
        <w:tabs>
          <w:tab w:val="left" w:pos="525"/>
          <w:tab w:val="left" w:pos="1155"/>
          <w:tab w:val="clear" w:pos="552"/>
        </w:tabs>
        <w:spacing w:line="360" w:lineRule="auto"/>
        <w:ind w:left="0" w:firstLine="630"/>
        <w:rPr>
          <w:rFonts w:ascii="宋体" w:hAnsi="宋体"/>
          <w:bCs/>
          <w:color w:val="000000"/>
          <w:sz w:val="24"/>
        </w:rPr>
      </w:pPr>
      <w:r>
        <w:rPr>
          <w:rFonts w:ascii="宋体" w:hAnsi="宋体"/>
          <w:bCs/>
          <w:color w:val="000000"/>
          <w:sz w:val="24"/>
        </w:rPr>
        <w:t>如有质疑，</w:t>
      </w:r>
      <w:r>
        <w:rPr>
          <w:rFonts w:hint="eastAsia" w:ascii="宋体" w:hAnsi="宋体"/>
          <w:bCs/>
          <w:color w:val="000000"/>
          <w:sz w:val="24"/>
        </w:rPr>
        <w:t>按中华人民共和国财政部令第94号--政府采购质疑和投诉办法执行，供应商在法定质疑期限外送达的质疑函或法定质疑期限内送达的质疑函不符合下述要求的均为无效质疑，无锡众邦技术咨询有限公司对无效质疑不予受理。如质疑查无实据或供应商捏造事实，提供虚假材料进行恶意举报，不配合或采用不正当手段干扰政府采购质疑的，将记入供应商在江苏省和无锡市的政府采购“供应商诚信记录”，并按相关规定处理。</w:t>
      </w:r>
    </w:p>
    <w:p>
      <w:pPr>
        <w:tabs>
          <w:tab w:val="right" w:pos="180"/>
          <w:tab w:val="left" w:pos="525"/>
          <w:tab w:val="left" w:pos="945"/>
        </w:tabs>
        <w:spacing w:line="360" w:lineRule="auto"/>
        <w:ind w:left="523"/>
        <w:rPr>
          <w:rFonts w:ascii="宋体" w:hAnsi="宋体"/>
          <w:bCs/>
          <w:sz w:val="24"/>
        </w:rPr>
      </w:pPr>
      <w:r>
        <w:rPr>
          <w:rFonts w:hint="eastAsia" w:ascii="宋体" w:hAnsi="宋体"/>
          <w:bCs/>
          <w:sz w:val="24"/>
        </w:rPr>
        <w:t>1）提出质疑的供应商应当是参与所质疑项目采购活动的供应商。</w:t>
      </w:r>
    </w:p>
    <w:p>
      <w:pPr>
        <w:tabs>
          <w:tab w:val="right" w:pos="180"/>
          <w:tab w:val="left" w:pos="525"/>
          <w:tab w:val="left" w:pos="570"/>
          <w:tab w:val="left" w:pos="945"/>
        </w:tabs>
        <w:spacing w:line="360" w:lineRule="auto"/>
        <w:ind w:firstLine="480" w:firstLineChars="200"/>
        <w:rPr>
          <w:rFonts w:ascii="宋体" w:hAnsi="宋体"/>
          <w:bCs/>
          <w:sz w:val="24"/>
        </w:rPr>
      </w:pPr>
      <w:r>
        <w:rPr>
          <w:rFonts w:hint="eastAsia" w:ascii="宋体" w:hAnsi="宋体"/>
          <w:bCs/>
          <w:sz w:val="24"/>
        </w:rPr>
        <w:t>潜在供应商已依法获取其可质疑的采购文件的，可以对该文件提出质疑。对采购文件提出质疑的，应当在获取采购文件或者采购文件公告期限届满之日起7个工作日内提出。</w:t>
      </w:r>
    </w:p>
    <w:p>
      <w:pPr>
        <w:tabs>
          <w:tab w:val="right" w:pos="180"/>
          <w:tab w:val="left" w:pos="525"/>
          <w:tab w:val="left" w:pos="570"/>
          <w:tab w:val="left" w:pos="945"/>
        </w:tabs>
        <w:spacing w:line="360" w:lineRule="auto"/>
        <w:ind w:firstLine="480" w:firstLineChars="200"/>
        <w:rPr>
          <w:rFonts w:ascii="宋体" w:hAnsi="宋体"/>
          <w:bCs/>
          <w:sz w:val="24"/>
        </w:rPr>
      </w:pPr>
      <w:r>
        <w:rPr>
          <w:rFonts w:hint="eastAsia" w:ascii="宋体" w:hAnsi="宋体"/>
          <w:bCs/>
          <w:sz w:val="24"/>
        </w:rPr>
        <w:t>2）供应商提出质疑应当提交质疑函和必要的证明材料。质疑函应当包括下列内容：</w:t>
      </w:r>
    </w:p>
    <w:p>
      <w:pPr>
        <w:pStyle w:val="6"/>
        <w:spacing w:line="360" w:lineRule="auto"/>
        <w:rPr>
          <w:rFonts w:ascii="宋体" w:hAnsi="宋体" w:eastAsia="宋体"/>
          <w:bCs/>
          <w:kern w:val="2"/>
          <w:sz w:val="24"/>
          <w:szCs w:val="24"/>
        </w:rPr>
      </w:pPr>
      <w:r>
        <w:rPr>
          <w:rFonts w:hint="eastAsia" w:ascii="宋体" w:hAnsi="宋体" w:eastAsia="宋体"/>
          <w:bCs/>
          <w:kern w:val="2"/>
          <w:sz w:val="24"/>
          <w:szCs w:val="24"/>
        </w:rPr>
        <w:t>　　</w:t>
      </w:r>
      <w:r>
        <w:rPr>
          <w:rFonts w:ascii="宋体" w:hAnsi="宋体" w:eastAsia="宋体"/>
          <w:bCs/>
          <w:kern w:val="2"/>
          <w:sz w:val="24"/>
          <w:szCs w:val="24"/>
        </w:rPr>
        <w:t>A</w:t>
      </w:r>
      <w:r>
        <w:rPr>
          <w:rFonts w:hint="eastAsia" w:ascii="宋体" w:hAnsi="宋体" w:eastAsia="宋体"/>
          <w:bCs/>
          <w:kern w:val="2"/>
          <w:sz w:val="24"/>
          <w:szCs w:val="24"/>
        </w:rPr>
        <w:t>．供应商的姓名或者名称、地址、邮编、联系人及联系电话；</w:t>
      </w:r>
    </w:p>
    <w:p>
      <w:pPr>
        <w:pStyle w:val="6"/>
        <w:spacing w:line="360" w:lineRule="auto"/>
        <w:rPr>
          <w:rFonts w:ascii="宋体" w:hAnsi="宋体" w:eastAsia="宋体"/>
          <w:bCs/>
          <w:kern w:val="2"/>
          <w:sz w:val="24"/>
          <w:szCs w:val="24"/>
        </w:rPr>
      </w:pPr>
      <w:r>
        <w:rPr>
          <w:rFonts w:hint="eastAsia" w:ascii="宋体" w:hAnsi="宋体" w:eastAsia="宋体"/>
          <w:bCs/>
          <w:kern w:val="2"/>
          <w:sz w:val="24"/>
          <w:szCs w:val="24"/>
        </w:rPr>
        <w:t>　　</w:t>
      </w:r>
      <w:r>
        <w:rPr>
          <w:rFonts w:ascii="宋体" w:hAnsi="宋体" w:eastAsia="宋体"/>
          <w:bCs/>
          <w:kern w:val="2"/>
          <w:sz w:val="24"/>
          <w:szCs w:val="24"/>
        </w:rPr>
        <w:t>B</w:t>
      </w:r>
      <w:r>
        <w:rPr>
          <w:rFonts w:hint="eastAsia" w:ascii="宋体" w:hAnsi="宋体" w:eastAsia="宋体"/>
          <w:bCs/>
          <w:kern w:val="2"/>
          <w:sz w:val="24"/>
          <w:szCs w:val="24"/>
        </w:rPr>
        <w:t>．质疑项目的名称、编号；</w:t>
      </w:r>
    </w:p>
    <w:p>
      <w:pPr>
        <w:pStyle w:val="6"/>
        <w:spacing w:line="360" w:lineRule="auto"/>
        <w:rPr>
          <w:rFonts w:ascii="宋体" w:hAnsi="宋体" w:eastAsia="宋体"/>
          <w:bCs/>
          <w:kern w:val="2"/>
          <w:sz w:val="24"/>
          <w:szCs w:val="24"/>
        </w:rPr>
      </w:pPr>
      <w:r>
        <w:rPr>
          <w:rFonts w:hint="eastAsia" w:ascii="宋体" w:hAnsi="宋体" w:eastAsia="宋体"/>
          <w:bCs/>
          <w:kern w:val="2"/>
          <w:sz w:val="24"/>
          <w:szCs w:val="24"/>
        </w:rPr>
        <w:t>　　</w:t>
      </w:r>
      <w:r>
        <w:rPr>
          <w:rFonts w:ascii="宋体" w:hAnsi="宋体" w:eastAsia="宋体"/>
          <w:bCs/>
          <w:kern w:val="2"/>
          <w:sz w:val="24"/>
          <w:szCs w:val="24"/>
        </w:rPr>
        <w:t>C</w:t>
      </w:r>
      <w:r>
        <w:rPr>
          <w:rFonts w:hint="eastAsia" w:ascii="宋体" w:hAnsi="宋体" w:eastAsia="宋体"/>
          <w:bCs/>
          <w:kern w:val="2"/>
          <w:sz w:val="24"/>
          <w:szCs w:val="24"/>
        </w:rPr>
        <w:t>．具体、明确的质疑事项和与质疑事项相关的请求；</w:t>
      </w:r>
    </w:p>
    <w:p>
      <w:pPr>
        <w:pStyle w:val="6"/>
        <w:spacing w:line="360" w:lineRule="auto"/>
        <w:rPr>
          <w:rFonts w:ascii="宋体" w:hAnsi="宋体" w:eastAsia="宋体"/>
          <w:bCs/>
          <w:kern w:val="2"/>
          <w:sz w:val="24"/>
          <w:szCs w:val="24"/>
        </w:rPr>
      </w:pPr>
      <w:r>
        <w:rPr>
          <w:rFonts w:hint="eastAsia" w:ascii="宋体" w:hAnsi="宋体" w:eastAsia="宋体"/>
          <w:bCs/>
          <w:kern w:val="2"/>
          <w:sz w:val="24"/>
          <w:szCs w:val="24"/>
        </w:rPr>
        <w:t>　　</w:t>
      </w:r>
      <w:r>
        <w:rPr>
          <w:rFonts w:ascii="宋体" w:hAnsi="宋体" w:eastAsia="宋体"/>
          <w:bCs/>
          <w:kern w:val="2"/>
          <w:sz w:val="24"/>
          <w:szCs w:val="24"/>
        </w:rPr>
        <w:t>D</w:t>
      </w:r>
      <w:r>
        <w:rPr>
          <w:rFonts w:hint="eastAsia" w:ascii="宋体" w:hAnsi="宋体" w:eastAsia="宋体"/>
          <w:bCs/>
          <w:kern w:val="2"/>
          <w:sz w:val="24"/>
          <w:szCs w:val="24"/>
        </w:rPr>
        <w:t>．事实依据；</w:t>
      </w:r>
    </w:p>
    <w:p>
      <w:pPr>
        <w:pStyle w:val="6"/>
        <w:spacing w:line="360" w:lineRule="auto"/>
        <w:rPr>
          <w:rFonts w:ascii="宋体" w:hAnsi="宋体" w:eastAsia="宋体"/>
          <w:bCs/>
          <w:kern w:val="2"/>
          <w:sz w:val="24"/>
          <w:szCs w:val="24"/>
        </w:rPr>
      </w:pPr>
      <w:r>
        <w:rPr>
          <w:rFonts w:hint="eastAsia" w:ascii="宋体" w:hAnsi="宋体" w:eastAsia="宋体"/>
          <w:bCs/>
          <w:kern w:val="2"/>
          <w:sz w:val="24"/>
          <w:szCs w:val="24"/>
        </w:rPr>
        <w:t>　　</w:t>
      </w:r>
      <w:r>
        <w:rPr>
          <w:rFonts w:ascii="宋体" w:hAnsi="宋体" w:eastAsia="宋体"/>
          <w:bCs/>
          <w:kern w:val="2"/>
          <w:sz w:val="24"/>
          <w:szCs w:val="24"/>
        </w:rPr>
        <w:t>E</w:t>
      </w:r>
      <w:r>
        <w:rPr>
          <w:rFonts w:hint="eastAsia" w:ascii="宋体" w:hAnsi="宋体" w:eastAsia="宋体"/>
          <w:bCs/>
          <w:kern w:val="2"/>
          <w:sz w:val="24"/>
          <w:szCs w:val="24"/>
        </w:rPr>
        <w:t>．必要的法律依据；</w:t>
      </w:r>
    </w:p>
    <w:p>
      <w:pPr>
        <w:pStyle w:val="6"/>
        <w:spacing w:line="360" w:lineRule="auto"/>
        <w:rPr>
          <w:rFonts w:ascii="宋体" w:hAnsi="宋体" w:eastAsia="宋体"/>
          <w:bCs/>
          <w:kern w:val="2"/>
          <w:sz w:val="24"/>
          <w:szCs w:val="24"/>
        </w:rPr>
      </w:pPr>
      <w:r>
        <w:rPr>
          <w:rFonts w:hint="eastAsia" w:ascii="宋体" w:hAnsi="宋体" w:eastAsia="宋体"/>
          <w:bCs/>
          <w:kern w:val="2"/>
          <w:sz w:val="24"/>
          <w:szCs w:val="24"/>
        </w:rPr>
        <w:t>　　</w:t>
      </w:r>
      <w:r>
        <w:rPr>
          <w:rFonts w:ascii="宋体" w:hAnsi="宋体" w:eastAsia="宋体"/>
          <w:bCs/>
          <w:kern w:val="2"/>
          <w:sz w:val="24"/>
          <w:szCs w:val="24"/>
        </w:rPr>
        <w:t>F</w:t>
      </w:r>
      <w:r>
        <w:rPr>
          <w:rFonts w:hint="eastAsia" w:ascii="宋体" w:hAnsi="宋体" w:eastAsia="宋体"/>
          <w:bCs/>
          <w:kern w:val="2"/>
          <w:sz w:val="24"/>
          <w:szCs w:val="24"/>
        </w:rPr>
        <w:t>．提出质疑的日期。</w:t>
      </w:r>
    </w:p>
    <w:p>
      <w:pPr>
        <w:pStyle w:val="6"/>
        <w:spacing w:line="360" w:lineRule="auto"/>
        <w:rPr>
          <w:rFonts w:ascii="宋体" w:hAnsi="宋体" w:eastAsia="宋体"/>
          <w:bCs/>
          <w:kern w:val="2"/>
          <w:sz w:val="24"/>
          <w:szCs w:val="24"/>
        </w:rPr>
      </w:pPr>
      <w:r>
        <w:rPr>
          <w:rFonts w:hint="eastAsia" w:ascii="宋体" w:hAnsi="宋体" w:eastAsia="宋体"/>
          <w:bCs/>
          <w:kern w:val="2"/>
          <w:sz w:val="24"/>
          <w:szCs w:val="24"/>
        </w:rPr>
        <w:t>　　供应商为自然人的，应当由本人签字；供应商为法人或者其他组织的，应当由法定代表人、主要负责人，或者其授权代表签字或者盖章，并加盖公章。</w:t>
      </w:r>
    </w:p>
    <w:p>
      <w:pPr>
        <w:pStyle w:val="6"/>
        <w:spacing w:line="360" w:lineRule="auto"/>
        <w:ind w:firstLine="480" w:firstLineChars="200"/>
        <w:rPr>
          <w:rFonts w:ascii="宋体" w:hAnsi="宋体" w:eastAsia="宋体"/>
          <w:bCs/>
          <w:kern w:val="2"/>
          <w:sz w:val="24"/>
          <w:szCs w:val="24"/>
        </w:rPr>
      </w:pPr>
      <w:r>
        <w:rPr>
          <w:rFonts w:hint="eastAsia" w:ascii="宋体" w:hAnsi="宋体" w:eastAsia="宋体"/>
          <w:bCs/>
          <w:kern w:val="2"/>
          <w:sz w:val="24"/>
          <w:szCs w:val="24"/>
        </w:rPr>
        <w:t>3）采购人、采购代理机构不得拒收质疑供应商在法定质疑期内发出的质疑函，应当在收到质疑函后7个工作日内作出答复，并以书面形式通知质疑供应商和其他有关供应商。</w:t>
      </w:r>
    </w:p>
    <w:p>
      <w:pPr>
        <w:numPr>
          <w:ilvl w:val="0"/>
          <w:numId w:val="5"/>
        </w:numPr>
        <w:tabs>
          <w:tab w:val="left" w:pos="525"/>
          <w:tab w:val="left" w:pos="1155"/>
          <w:tab w:val="clear" w:pos="552"/>
        </w:tabs>
        <w:spacing w:line="360" w:lineRule="auto"/>
        <w:ind w:left="0" w:firstLine="630"/>
        <w:rPr>
          <w:rFonts w:ascii="宋体" w:hAnsi="宋体"/>
          <w:bCs/>
          <w:color w:val="000000"/>
          <w:sz w:val="24"/>
        </w:rPr>
      </w:pPr>
      <w:r>
        <w:rPr>
          <w:rFonts w:hint="eastAsia" w:ascii="宋体" w:hAnsi="宋体"/>
          <w:bCs/>
          <w:color w:val="000000"/>
          <w:sz w:val="24"/>
        </w:rPr>
        <w:t>投标、开标及定标的整个过程均由梁溪区政府采购监管部门的监督。</w:t>
      </w:r>
    </w:p>
    <w:p>
      <w:pPr>
        <w:numPr>
          <w:ilvl w:val="0"/>
          <w:numId w:val="5"/>
        </w:numPr>
        <w:tabs>
          <w:tab w:val="left" w:pos="525"/>
          <w:tab w:val="left" w:pos="1155"/>
          <w:tab w:val="clear" w:pos="552"/>
        </w:tabs>
        <w:spacing w:line="360" w:lineRule="auto"/>
        <w:ind w:left="0" w:firstLine="630"/>
        <w:rPr>
          <w:rFonts w:ascii="宋体" w:hAnsi="宋体"/>
          <w:bCs/>
          <w:color w:val="000000"/>
          <w:sz w:val="24"/>
        </w:rPr>
      </w:pPr>
      <w:r>
        <w:rPr>
          <w:rFonts w:hint="eastAsia" w:ascii="宋体" w:hAnsi="宋体"/>
          <w:bCs/>
          <w:color w:val="000000"/>
          <w:sz w:val="24"/>
        </w:rPr>
        <w:t>在发布中标公告的同时，无锡众邦技术咨询有限公司将向中标供应商发出中标通知书。</w:t>
      </w:r>
    </w:p>
    <w:p>
      <w:pPr>
        <w:spacing w:line="360" w:lineRule="auto"/>
        <w:ind w:firstLine="600" w:firstLineChars="250"/>
        <w:outlineLvl w:val="0"/>
        <w:rPr>
          <w:rFonts w:ascii="宋体" w:hAnsi="宋体"/>
          <w:color w:val="000000"/>
          <w:sz w:val="24"/>
        </w:rPr>
      </w:pPr>
      <w:r>
        <w:rPr>
          <w:rFonts w:hint="eastAsia" w:ascii="宋体" w:hAnsi="宋体"/>
          <w:bCs/>
          <w:color w:val="000000"/>
          <w:sz w:val="24"/>
        </w:rPr>
        <w:t>5.  未中标供应商的投标文件正本、中标供应商的投标文件正本及副本（两份）留存，原件退还各投标人。</w:t>
      </w:r>
    </w:p>
    <w:p>
      <w:pPr>
        <w:spacing w:line="360" w:lineRule="auto"/>
        <w:ind w:left="-2" w:leftChars="-1" w:firstLine="420" w:firstLineChars="175"/>
        <w:outlineLvl w:val="0"/>
        <w:rPr>
          <w:rFonts w:ascii="宋体" w:hAnsi="宋体"/>
          <w:bCs/>
          <w:color w:val="000000"/>
          <w:sz w:val="24"/>
        </w:rPr>
      </w:pPr>
      <w:r>
        <w:rPr>
          <w:rFonts w:hint="eastAsia" w:ascii="宋体" w:hAnsi="宋体"/>
          <w:bCs/>
          <w:color w:val="000000"/>
          <w:sz w:val="24"/>
        </w:rPr>
        <w:t>（十一） 废标的确认：</w:t>
      </w:r>
    </w:p>
    <w:p>
      <w:pPr>
        <w:spacing w:line="360" w:lineRule="auto"/>
        <w:ind w:firstLine="480" w:firstLineChars="200"/>
        <w:rPr>
          <w:rFonts w:ascii="宋体" w:hAnsi="宋体"/>
          <w:bCs/>
          <w:color w:val="000000"/>
          <w:sz w:val="24"/>
        </w:rPr>
      </w:pPr>
      <w:r>
        <w:rPr>
          <w:rFonts w:hint="eastAsia" w:ascii="宋体" w:hAnsi="宋体"/>
          <w:bCs/>
          <w:color w:val="000000"/>
          <w:sz w:val="24"/>
        </w:rPr>
        <w:t>在招标采购中，出现下列情况之一的，应予废标：</w:t>
      </w:r>
    </w:p>
    <w:p>
      <w:pPr>
        <w:numPr>
          <w:ilvl w:val="0"/>
          <w:numId w:val="6"/>
        </w:numPr>
        <w:tabs>
          <w:tab w:val="left" w:pos="525"/>
          <w:tab w:val="left" w:pos="1155"/>
          <w:tab w:val="left" w:pos="1260"/>
          <w:tab w:val="clear" w:pos="570"/>
        </w:tabs>
        <w:spacing w:line="360" w:lineRule="auto"/>
        <w:ind w:left="0" w:firstLine="630"/>
        <w:rPr>
          <w:rFonts w:ascii="宋体" w:hAnsi="宋体"/>
          <w:bCs/>
          <w:color w:val="000000"/>
          <w:sz w:val="24"/>
        </w:rPr>
      </w:pPr>
      <w:r>
        <w:rPr>
          <w:rFonts w:hint="eastAsia" w:ascii="宋体" w:hAnsi="宋体"/>
          <w:bCs/>
          <w:color w:val="000000"/>
          <w:sz w:val="24"/>
        </w:rPr>
        <w:t>符合专业条件的投标人或者对招标文件作出实质性响应的投标人不足三家；</w:t>
      </w:r>
    </w:p>
    <w:p>
      <w:pPr>
        <w:numPr>
          <w:ilvl w:val="0"/>
          <w:numId w:val="6"/>
        </w:numPr>
        <w:tabs>
          <w:tab w:val="left" w:pos="525"/>
          <w:tab w:val="left" w:pos="1155"/>
          <w:tab w:val="left" w:pos="1260"/>
          <w:tab w:val="clear" w:pos="570"/>
        </w:tabs>
        <w:spacing w:line="360" w:lineRule="auto"/>
        <w:ind w:left="0" w:firstLine="630"/>
        <w:rPr>
          <w:rFonts w:ascii="宋体" w:hAnsi="宋体"/>
          <w:bCs/>
          <w:color w:val="000000"/>
          <w:sz w:val="24"/>
        </w:rPr>
      </w:pPr>
      <w:r>
        <w:rPr>
          <w:rFonts w:hint="eastAsia" w:ascii="宋体" w:hAnsi="宋体"/>
          <w:bCs/>
          <w:color w:val="000000"/>
          <w:sz w:val="24"/>
        </w:rPr>
        <w:t>出现影响采购公正的违法、违规行为；</w:t>
      </w:r>
    </w:p>
    <w:p>
      <w:pPr>
        <w:numPr>
          <w:ilvl w:val="0"/>
          <w:numId w:val="6"/>
        </w:numPr>
        <w:tabs>
          <w:tab w:val="left" w:pos="525"/>
          <w:tab w:val="left" w:pos="1155"/>
          <w:tab w:val="left" w:pos="1260"/>
          <w:tab w:val="clear" w:pos="570"/>
        </w:tabs>
        <w:spacing w:line="360" w:lineRule="auto"/>
        <w:ind w:left="0" w:firstLine="630"/>
        <w:rPr>
          <w:rFonts w:ascii="宋体" w:hAnsi="宋体"/>
          <w:bCs/>
          <w:color w:val="000000"/>
          <w:sz w:val="24"/>
        </w:rPr>
      </w:pPr>
      <w:r>
        <w:rPr>
          <w:rFonts w:hint="eastAsia" w:ascii="宋体" w:hAnsi="宋体"/>
          <w:bCs/>
          <w:color w:val="000000"/>
          <w:sz w:val="24"/>
        </w:rPr>
        <w:t>投标人的报价均超过采购预算，采购人不能支付的；</w:t>
      </w:r>
    </w:p>
    <w:p>
      <w:pPr>
        <w:numPr>
          <w:ilvl w:val="0"/>
          <w:numId w:val="6"/>
        </w:numPr>
        <w:tabs>
          <w:tab w:val="right" w:pos="180"/>
          <w:tab w:val="left" w:pos="525"/>
          <w:tab w:val="left" w:pos="1155"/>
          <w:tab w:val="left" w:pos="1260"/>
          <w:tab w:val="clear" w:pos="570"/>
        </w:tabs>
        <w:spacing w:line="360" w:lineRule="auto"/>
        <w:ind w:left="0" w:firstLine="630"/>
        <w:rPr>
          <w:rFonts w:ascii="宋体" w:hAnsi="宋体"/>
          <w:bCs/>
          <w:color w:val="000000"/>
          <w:sz w:val="24"/>
        </w:rPr>
      </w:pPr>
      <w:r>
        <w:rPr>
          <w:rFonts w:hint="eastAsia" w:ascii="宋体" w:hAnsi="宋体"/>
          <w:bCs/>
          <w:color w:val="000000"/>
          <w:sz w:val="24"/>
        </w:rPr>
        <w:t>因重大变故，采购任务取消。</w:t>
      </w:r>
    </w:p>
    <w:p>
      <w:pPr>
        <w:spacing w:line="440" w:lineRule="exact"/>
        <w:ind w:firstLine="360" w:firstLineChars="150"/>
        <w:rPr>
          <w:rFonts w:hint="eastAsia" w:ascii="宋体" w:hAnsi="宋体" w:eastAsia="宋体"/>
          <w:bCs/>
          <w:sz w:val="24"/>
          <w:lang w:eastAsia="zh-CN"/>
        </w:rPr>
      </w:pPr>
      <w:r>
        <w:rPr>
          <w:rFonts w:hint="eastAsia" w:ascii="宋体" w:hAnsi="宋体"/>
          <w:bCs/>
          <w:sz w:val="24"/>
        </w:rPr>
        <w:t>（十二）围标与串标的确认：</w:t>
      </w:r>
    </w:p>
    <w:p>
      <w:pPr>
        <w:spacing w:line="440" w:lineRule="exact"/>
        <w:ind w:firstLine="360" w:firstLineChars="150"/>
        <w:rPr>
          <w:rFonts w:ascii="宋体" w:hAnsi="宋体"/>
          <w:bCs/>
          <w:sz w:val="24"/>
        </w:rPr>
      </w:pPr>
      <w:r>
        <w:rPr>
          <w:rFonts w:hint="eastAsia" w:ascii="宋体" w:hAnsi="宋体"/>
          <w:bCs/>
          <w:sz w:val="24"/>
        </w:rPr>
        <w:t>1.</w:t>
      </w:r>
      <w:r>
        <w:rPr>
          <w:rFonts w:hint="eastAsia" w:ascii="宋体" w:hAnsi="宋体"/>
          <w:sz w:val="24"/>
        </w:rPr>
        <w:t>投标供应商</w:t>
      </w:r>
      <w:r>
        <w:rPr>
          <w:rFonts w:hint="eastAsia" w:ascii="宋体" w:hAnsi="宋体"/>
          <w:bCs/>
          <w:sz w:val="24"/>
        </w:rPr>
        <w:t>在政府采购活动中有下列情形之一的，认定其有围标、串标行为：（1）由同一人或分别由几个有利害关系人携带两个以上（含两个）</w:t>
      </w:r>
      <w:r>
        <w:rPr>
          <w:rFonts w:hint="eastAsia" w:ascii="宋体" w:hAnsi="宋体"/>
          <w:sz w:val="24"/>
        </w:rPr>
        <w:t>投标供应商</w:t>
      </w:r>
      <w:r>
        <w:rPr>
          <w:rFonts w:hint="eastAsia" w:ascii="宋体" w:hAnsi="宋体"/>
          <w:bCs/>
          <w:sz w:val="24"/>
        </w:rPr>
        <w:t>的企业资料报名、领取招标资料，或代表两个以上（含两个）投标</w:t>
      </w:r>
      <w:r>
        <w:rPr>
          <w:rFonts w:hint="eastAsia" w:ascii="宋体" w:hAnsi="宋体" w:cs="宋体"/>
          <w:kern w:val="0"/>
          <w:sz w:val="24"/>
        </w:rPr>
        <w:t>供应商</w:t>
      </w:r>
      <w:r>
        <w:rPr>
          <w:rFonts w:hint="eastAsia" w:ascii="宋体" w:hAnsi="宋体"/>
          <w:bCs/>
          <w:sz w:val="24"/>
        </w:rPr>
        <w:t>开标的；（2）不同</w:t>
      </w:r>
      <w:r>
        <w:rPr>
          <w:rFonts w:hint="eastAsia" w:ascii="宋体" w:hAnsi="宋体"/>
          <w:sz w:val="24"/>
        </w:rPr>
        <w:t>投标供应商</w:t>
      </w:r>
      <w:r>
        <w:rPr>
          <w:rFonts w:hint="eastAsia" w:ascii="宋体" w:hAnsi="宋体"/>
          <w:bCs/>
          <w:sz w:val="24"/>
        </w:rPr>
        <w:t>的法定代表人、委托代理人、项目负责人、项目经理（建造师）等人员有在同一个单位缴纳社会保险的；</w:t>
      </w:r>
    </w:p>
    <w:p>
      <w:pPr>
        <w:spacing w:line="440" w:lineRule="exact"/>
        <w:rPr>
          <w:rFonts w:ascii="宋体" w:hAnsi="宋体"/>
          <w:bCs/>
          <w:sz w:val="24"/>
        </w:rPr>
      </w:pPr>
      <w:r>
        <w:rPr>
          <w:rFonts w:hint="eastAsia" w:ascii="宋体" w:hAnsi="宋体"/>
          <w:bCs/>
          <w:sz w:val="24"/>
        </w:rPr>
        <w:t>（3）递交投标文件截止时间开始至评标结束，投标</w:t>
      </w:r>
      <w:r>
        <w:rPr>
          <w:rFonts w:hint="eastAsia" w:ascii="宋体" w:hAnsi="宋体" w:cs="宋体"/>
          <w:kern w:val="0"/>
          <w:sz w:val="24"/>
        </w:rPr>
        <w:t>供应商</w:t>
      </w:r>
      <w:r>
        <w:rPr>
          <w:rFonts w:hint="eastAsia" w:ascii="宋体" w:hAnsi="宋体"/>
          <w:bCs/>
          <w:sz w:val="24"/>
        </w:rPr>
        <w:t>撤回投标文件的；</w:t>
      </w:r>
    </w:p>
    <w:p>
      <w:pPr>
        <w:spacing w:line="440" w:lineRule="exact"/>
        <w:rPr>
          <w:rFonts w:ascii="宋体" w:hAnsi="宋体"/>
          <w:bCs/>
          <w:sz w:val="24"/>
        </w:rPr>
      </w:pPr>
      <w:r>
        <w:rPr>
          <w:rFonts w:hint="eastAsia" w:ascii="宋体" w:hAnsi="宋体"/>
          <w:bCs/>
          <w:sz w:val="24"/>
        </w:rPr>
        <w:t>（4）不同</w:t>
      </w:r>
      <w:r>
        <w:rPr>
          <w:rFonts w:hint="eastAsia" w:ascii="宋体" w:hAnsi="宋体"/>
          <w:sz w:val="24"/>
        </w:rPr>
        <w:t>投标供应商</w:t>
      </w:r>
      <w:r>
        <w:rPr>
          <w:rFonts w:hint="eastAsia" w:ascii="宋体" w:hAnsi="宋体"/>
          <w:bCs/>
          <w:sz w:val="24"/>
        </w:rPr>
        <w:t>的投标文件中项目组成员出现同一人的；</w:t>
      </w:r>
    </w:p>
    <w:p>
      <w:pPr>
        <w:spacing w:line="440" w:lineRule="exact"/>
        <w:rPr>
          <w:rFonts w:ascii="宋体" w:hAnsi="宋体"/>
          <w:bCs/>
          <w:sz w:val="24"/>
        </w:rPr>
      </w:pPr>
      <w:r>
        <w:rPr>
          <w:rFonts w:hint="eastAsia" w:ascii="宋体" w:hAnsi="宋体"/>
          <w:bCs/>
          <w:sz w:val="24"/>
        </w:rPr>
        <w:t>（5）不同</w:t>
      </w:r>
      <w:r>
        <w:rPr>
          <w:rFonts w:hint="eastAsia" w:ascii="宋体" w:hAnsi="宋体"/>
          <w:sz w:val="24"/>
        </w:rPr>
        <w:t>投标供应商</w:t>
      </w:r>
      <w:r>
        <w:rPr>
          <w:rFonts w:hint="eastAsia" w:ascii="宋体" w:hAnsi="宋体"/>
          <w:bCs/>
          <w:sz w:val="24"/>
        </w:rPr>
        <w:t>的投标文件内容存在非正常一致的；</w:t>
      </w:r>
    </w:p>
    <w:p>
      <w:pPr>
        <w:spacing w:line="440" w:lineRule="exact"/>
        <w:rPr>
          <w:rFonts w:ascii="宋体" w:hAnsi="宋体"/>
          <w:bCs/>
          <w:sz w:val="24"/>
        </w:rPr>
      </w:pPr>
      <w:r>
        <w:rPr>
          <w:rFonts w:hint="eastAsia" w:ascii="宋体" w:hAnsi="宋体"/>
          <w:bCs/>
          <w:sz w:val="24"/>
        </w:rPr>
        <w:t>（6）在资格审查或开标时不同</w:t>
      </w:r>
      <w:r>
        <w:rPr>
          <w:rFonts w:hint="eastAsia" w:ascii="宋体" w:hAnsi="宋体"/>
          <w:sz w:val="24"/>
        </w:rPr>
        <w:t>投标供应商</w:t>
      </w:r>
      <w:r>
        <w:rPr>
          <w:rFonts w:hint="eastAsia" w:ascii="宋体" w:hAnsi="宋体"/>
          <w:bCs/>
          <w:sz w:val="24"/>
        </w:rPr>
        <w:t>的投标资料相互混装的；</w:t>
      </w:r>
    </w:p>
    <w:p>
      <w:pPr>
        <w:spacing w:line="440" w:lineRule="exact"/>
        <w:rPr>
          <w:rFonts w:ascii="宋体" w:hAnsi="宋体"/>
          <w:bCs/>
          <w:sz w:val="24"/>
        </w:rPr>
      </w:pPr>
      <w:r>
        <w:rPr>
          <w:rFonts w:hint="eastAsia" w:ascii="宋体" w:hAnsi="宋体"/>
          <w:bCs/>
          <w:sz w:val="24"/>
        </w:rPr>
        <w:t>（7）中标公示的中标候选人无正当理由放弃中标或不按规定与采购人签订合同的；</w:t>
      </w:r>
    </w:p>
    <w:p>
      <w:pPr>
        <w:spacing w:line="440" w:lineRule="exact"/>
        <w:rPr>
          <w:rFonts w:ascii="宋体" w:hAnsi="宋体"/>
          <w:bCs/>
          <w:sz w:val="24"/>
        </w:rPr>
      </w:pPr>
      <w:r>
        <w:rPr>
          <w:rFonts w:hint="eastAsia" w:ascii="宋体" w:hAnsi="宋体"/>
          <w:bCs/>
          <w:sz w:val="24"/>
        </w:rPr>
        <w:t>（8）参加投标活动的人员不能提供其属于投标企业正式在职人员的有效证明</w:t>
      </w:r>
    </w:p>
    <w:p>
      <w:pPr>
        <w:spacing w:line="440" w:lineRule="exact"/>
        <w:rPr>
          <w:rFonts w:ascii="宋体" w:hAnsi="宋体"/>
          <w:bCs/>
          <w:sz w:val="24"/>
        </w:rPr>
      </w:pPr>
      <w:r>
        <w:rPr>
          <w:rFonts w:hint="eastAsia" w:ascii="宋体" w:hAnsi="宋体"/>
          <w:bCs/>
          <w:sz w:val="24"/>
        </w:rPr>
        <w:t>（如：社保缴纳情况证明等资料）；</w:t>
      </w:r>
    </w:p>
    <w:p>
      <w:pPr>
        <w:spacing w:line="440" w:lineRule="exact"/>
        <w:rPr>
          <w:rFonts w:ascii="宋体" w:hAnsi="宋体"/>
          <w:bCs/>
          <w:sz w:val="24"/>
        </w:rPr>
      </w:pPr>
      <w:r>
        <w:rPr>
          <w:rFonts w:hint="eastAsia" w:ascii="宋体" w:hAnsi="宋体"/>
          <w:bCs/>
          <w:sz w:val="24"/>
        </w:rPr>
        <w:t>（9）法律法规规定的其他围标、串标行为。</w:t>
      </w:r>
    </w:p>
    <w:p>
      <w:pPr>
        <w:spacing w:line="440" w:lineRule="exact"/>
        <w:rPr>
          <w:rFonts w:ascii="宋体" w:hAnsi="宋体"/>
          <w:bCs/>
          <w:sz w:val="24"/>
        </w:rPr>
      </w:pPr>
      <w:r>
        <w:rPr>
          <w:rFonts w:hint="eastAsia" w:ascii="宋体" w:hAnsi="宋体"/>
          <w:bCs/>
          <w:sz w:val="24"/>
        </w:rPr>
        <w:t>2.在评标过程中评标委员会发现投标</w:t>
      </w:r>
      <w:r>
        <w:rPr>
          <w:rFonts w:hint="eastAsia" w:ascii="宋体" w:hAnsi="宋体" w:cs="宋体"/>
          <w:kern w:val="0"/>
          <w:sz w:val="24"/>
        </w:rPr>
        <w:t>供应商</w:t>
      </w:r>
      <w:r>
        <w:rPr>
          <w:rFonts w:hint="eastAsia" w:ascii="宋体" w:hAnsi="宋体"/>
          <w:bCs/>
          <w:sz w:val="24"/>
        </w:rPr>
        <w:t>除（八）无效投标文件的确认规定的围标、串标行为外，另有下列情形之一的，认定其有围标、串标行为，否决其投标：</w:t>
      </w:r>
    </w:p>
    <w:p>
      <w:pPr>
        <w:spacing w:line="440" w:lineRule="exact"/>
        <w:rPr>
          <w:rFonts w:ascii="宋体" w:hAnsi="宋体"/>
          <w:bCs/>
          <w:sz w:val="24"/>
        </w:rPr>
      </w:pPr>
      <w:r>
        <w:rPr>
          <w:rFonts w:hint="eastAsia" w:ascii="宋体" w:hAnsi="宋体"/>
          <w:bCs/>
          <w:sz w:val="24"/>
        </w:rPr>
        <w:t>（1）不同</w:t>
      </w:r>
      <w:r>
        <w:rPr>
          <w:rFonts w:hint="eastAsia" w:ascii="宋体" w:hAnsi="宋体"/>
          <w:sz w:val="24"/>
        </w:rPr>
        <w:t>投标供应商</w:t>
      </w:r>
      <w:r>
        <w:rPr>
          <w:rFonts w:hint="eastAsia" w:ascii="宋体" w:hAnsi="宋体"/>
          <w:bCs/>
          <w:sz w:val="24"/>
        </w:rPr>
        <w:t>的投标总报价相近且各分项报价、综合单价分析表内容混乱不能相互对应、乱调乱压或乱抬的，而在询标时没有合理的解释或者不能提供计算依据和报价依据的；</w:t>
      </w:r>
    </w:p>
    <w:p>
      <w:pPr>
        <w:spacing w:line="440" w:lineRule="exact"/>
        <w:rPr>
          <w:rFonts w:hint="eastAsia" w:ascii="宋体" w:hAnsi="宋体" w:eastAsia="宋体"/>
          <w:bCs/>
          <w:sz w:val="24"/>
          <w:lang w:eastAsia="zh-CN"/>
        </w:rPr>
      </w:pPr>
      <w:r>
        <w:rPr>
          <w:rFonts w:hint="eastAsia" w:ascii="宋体" w:hAnsi="宋体"/>
          <w:bCs/>
          <w:sz w:val="24"/>
        </w:rPr>
        <w:t>（2）评标委员会依法认定的有其他明显违规行为情形的。</w:t>
      </w:r>
    </w:p>
    <w:p>
      <w:pPr>
        <w:spacing w:line="440" w:lineRule="exact"/>
        <w:rPr>
          <w:rFonts w:ascii="宋体" w:hAnsi="宋体"/>
          <w:bCs/>
          <w:sz w:val="24"/>
        </w:rPr>
      </w:pPr>
      <w:r>
        <w:rPr>
          <w:rFonts w:hint="eastAsia" w:ascii="宋体" w:hAnsi="宋体"/>
          <w:bCs/>
          <w:sz w:val="24"/>
        </w:rPr>
        <w:t>如出现上述围标、串标的行为，将及时拟报财政部门，进行相应的处罚。</w:t>
      </w:r>
    </w:p>
    <w:p>
      <w:pPr>
        <w:spacing w:line="360" w:lineRule="auto"/>
        <w:outlineLvl w:val="0"/>
        <w:rPr>
          <w:rFonts w:ascii="宋体" w:hAnsi="宋体"/>
          <w:bCs/>
          <w:color w:val="000000"/>
          <w:sz w:val="24"/>
        </w:rPr>
      </w:pPr>
      <w:r>
        <w:rPr>
          <w:rFonts w:hint="eastAsia" w:ascii="宋体" w:hAnsi="宋体"/>
          <w:bCs/>
          <w:color w:val="000000"/>
          <w:sz w:val="24"/>
        </w:rPr>
        <w:t>（十三）投标保证金：</w:t>
      </w:r>
    </w:p>
    <w:p>
      <w:pPr>
        <w:spacing w:line="360" w:lineRule="auto"/>
        <w:outlineLvl w:val="0"/>
        <w:rPr>
          <w:rFonts w:ascii="宋体" w:hAnsi="宋体" w:cs="宋体"/>
          <w:kern w:val="0"/>
          <w:sz w:val="24"/>
        </w:rPr>
      </w:pPr>
      <w:r>
        <w:rPr>
          <w:rFonts w:hint="eastAsia" w:ascii="宋体" w:hAnsi="宋体" w:cs="宋体"/>
          <w:kern w:val="0"/>
          <w:sz w:val="24"/>
        </w:rPr>
        <w:t>本项目无需缴纳投标保证金。</w:t>
      </w:r>
    </w:p>
    <w:p>
      <w:pPr>
        <w:spacing w:line="360" w:lineRule="auto"/>
        <w:outlineLvl w:val="0"/>
        <w:rPr>
          <w:rFonts w:ascii="宋体" w:hAnsi="宋体"/>
          <w:bCs/>
          <w:color w:val="000000"/>
          <w:sz w:val="24"/>
        </w:rPr>
      </w:pPr>
      <w:r>
        <w:rPr>
          <w:rFonts w:hint="eastAsia" w:ascii="宋体" w:hAnsi="宋体"/>
          <w:bCs/>
          <w:color w:val="000000"/>
          <w:sz w:val="24"/>
        </w:rPr>
        <w:t>（十四）中标无效的确认：</w:t>
      </w:r>
    </w:p>
    <w:p>
      <w:pPr>
        <w:tabs>
          <w:tab w:val="left" w:pos="420"/>
        </w:tabs>
        <w:spacing w:line="360" w:lineRule="auto"/>
        <w:rPr>
          <w:rFonts w:ascii="宋体" w:hAnsi="宋体"/>
          <w:bCs/>
          <w:color w:val="000000"/>
          <w:sz w:val="24"/>
        </w:rPr>
      </w:pPr>
      <w:r>
        <w:rPr>
          <w:rFonts w:hint="eastAsia" w:ascii="宋体" w:hAnsi="宋体"/>
          <w:bCs/>
          <w:color w:val="000000"/>
          <w:sz w:val="24"/>
        </w:rPr>
        <w:t>提供虚假材料谋取中标的；</w:t>
      </w:r>
    </w:p>
    <w:p>
      <w:pPr>
        <w:tabs>
          <w:tab w:val="left" w:pos="420"/>
        </w:tabs>
        <w:spacing w:line="360" w:lineRule="auto"/>
        <w:rPr>
          <w:rFonts w:ascii="宋体" w:hAnsi="宋体"/>
          <w:bCs/>
          <w:color w:val="000000"/>
          <w:sz w:val="24"/>
        </w:rPr>
      </w:pPr>
      <w:r>
        <w:rPr>
          <w:rFonts w:hint="eastAsia" w:ascii="宋体" w:hAnsi="宋体"/>
          <w:bCs/>
          <w:color w:val="000000"/>
          <w:sz w:val="24"/>
        </w:rPr>
        <w:t>采取不正当手段诋毁、排挤其他投标人的；</w:t>
      </w:r>
    </w:p>
    <w:p>
      <w:pPr>
        <w:tabs>
          <w:tab w:val="left" w:pos="420"/>
        </w:tabs>
        <w:spacing w:line="360" w:lineRule="auto"/>
        <w:rPr>
          <w:rFonts w:ascii="宋体" w:hAnsi="宋体"/>
          <w:bCs/>
          <w:color w:val="000000"/>
          <w:sz w:val="24"/>
        </w:rPr>
      </w:pPr>
      <w:r>
        <w:rPr>
          <w:rFonts w:hint="eastAsia" w:ascii="宋体" w:hAnsi="宋体"/>
          <w:bCs/>
          <w:color w:val="000000"/>
          <w:sz w:val="24"/>
        </w:rPr>
        <w:t>与招标采购单位、其他投标人恶意串通的；</w:t>
      </w:r>
    </w:p>
    <w:p>
      <w:pPr>
        <w:tabs>
          <w:tab w:val="left" w:pos="1455"/>
        </w:tabs>
        <w:spacing w:line="360" w:lineRule="auto"/>
        <w:rPr>
          <w:rFonts w:ascii="宋体" w:hAnsi="宋体"/>
          <w:bCs/>
          <w:color w:val="000000"/>
          <w:sz w:val="24"/>
        </w:rPr>
      </w:pPr>
      <w:r>
        <w:rPr>
          <w:rFonts w:hint="eastAsia" w:ascii="宋体" w:hAnsi="宋体"/>
          <w:bCs/>
          <w:color w:val="000000"/>
          <w:sz w:val="24"/>
        </w:rPr>
        <w:t>（4）向采购人行贿或者提供其他不正当利益的；</w:t>
      </w:r>
    </w:p>
    <w:p>
      <w:pPr>
        <w:tabs>
          <w:tab w:val="left" w:pos="1455"/>
        </w:tabs>
        <w:spacing w:line="360" w:lineRule="auto"/>
        <w:rPr>
          <w:rFonts w:ascii="宋体" w:hAnsi="宋体"/>
          <w:bCs/>
          <w:color w:val="000000"/>
          <w:sz w:val="24"/>
        </w:rPr>
      </w:pPr>
      <w:r>
        <w:rPr>
          <w:rFonts w:hint="eastAsia" w:ascii="宋体" w:hAnsi="宋体"/>
          <w:bCs/>
          <w:color w:val="000000"/>
          <w:sz w:val="24"/>
        </w:rPr>
        <w:t>（5）在招标过程中与采购人进行协商谈判、不按照招标文件和中标供应商的投标文件订立合同，或者与采购人另行订立背离合同实质性内容的协议的；</w:t>
      </w:r>
    </w:p>
    <w:p>
      <w:pPr>
        <w:tabs>
          <w:tab w:val="left" w:pos="1455"/>
        </w:tabs>
        <w:spacing w:line="360" w:lineRule="auto"/>
        <w:rPr>
          <w:rFonts w:ascii="宋体" w:hAnsi="宋体"/>
          <w:bCs/>
          <w:color w:val="000000"/>
          <w:sz w:val="24"/>
        </w:rPr>
      </w:pPr>
      <w:r>
        <w:rPr>
          <w:rFonts w:hint="eastAsia" w:ascii="宋体" w:hAnsi="宋体"/>
          <w:bCs/>
          <w:color w:val="000000"/>
          <w:sz w:val="24"/>
        </w:rPr>
        <w:t>（6）拒绝有关部门监督检查或者提供虚假情况的。</w:t>
      </w:r>
    </w:p>
    <w:p>
      <w:pPr>
        <w:spacing w:line="360" w:lineRule="auto"/>
        <w:rPr>
          <w:rFonts w:ascii="宋体" w:hAnsi="宋体"/>
          <w:bCs/>
          <w:color w:val="000000"/>
          <w:sz w:val="24"/>
        </w:rPr>
      </w:pPr>
      <w:r>
        <w:rPr>
          <w:rFonts w:hint="eastAsia" w:ascii="宋体" w:hAnsi="宋体"/>
          <w:bCs/>
          <w:color w:val="000000"/>
          <w:sz w:val="24"/>
        </w:rPr>
        <w:t xml:space="preserve">    投标人有上述（1）至（5）项情形之一的，中标无效。有上述（1）至（6）项情形之一的，处以政府采购项目中标金额千分之五以上千分之十以下的罚款，列入不良行为记录名单，在一至三年内禁止参加政府采购活动，并予以公告，有违法所得的，并处没收违法所得，情节严重的，由工商行政管理机构吊销营业执照；构成犯罪的，依法追究刑事责任。</w:t>
      </w:r>
    </w:p>
    <w:p>
      <w:pPr>
        <w:spacing w:line="360" w:lineRule="auto"/>
        <w:outlineLvl w:val="0"/>
        <w:rPr>
          <w:rFonts w:ascii="宋体" w:hAnsi="宋体"/>
          <w:bCs/>
          <w:color w:val="000000"/>
          <w:sz w:val="24"/>
        </w:rPr>
      </w:pPr>
      <w:r>
        <w:rPr>
          <w:rFonts w:hint="eastAsia" w:ascii="宋体" w:hAnsi="宋体"/>
          <w:bCs/>
          <w:color w:val="000000"/>
          <w:sz w:val="24"/>
        </w:rPr>
        <w:t>（十五）签订</w:t>
      </w:r>
      <w:r>
        <w:rPr>
          <w:rFonts w:hint="eastAsia" w:ascii="宋体" w:hAnsi="宋体"/>
          <w:color w:val="000000"/>
          <w:sz w:val="24"/>
        </w:rPr>
        <w:t>、履行</w:t>
      </w:r>
      <w:r>
        <w:rPr>
          <w:rFonts w:hint="eastAsia" w:ascii="宋体" w:hAnsi="宋体"/>
          <w:bCs/>
          <w:color w:val="000000"/>
          <w:sz w:val="24"/>
        </w:rPr>
        <w:t>合同：</w:t>
      </w:r>
    </w:p>
    <w:p>
      <w:pPr>
        <w:tabs>
          <w:tab w:val="left" w:pos="1050"/>
        </w:tabs>
        <w:spacing w:line="360" w:lineRule="auto"/>
        <w:rPr>
          <w:rFonts w:ascii="宋体" w:hAnsi="宋体"/>
          <w:bCs/>
          <w:sz w:val="24"/>
        </w:rPr>
      </w:pPr>
      <w:r>
        <w:rPr>
          <w:rFonts w:hint="eastAsia" w:ascii="宋体" w:hAnsi="宋体"/>
          <w:bCs/>
          <w:sz w:val="24"/>
        </w:rPr>
        <w:t>1．采购人全权负责本项目的施工合同签订、实施全过程，自中标通知书发出之日起三十日内，按照采购文件和中标供应商投标文件的约定，与中标供应商签订书面合同。合同经无锡众邦技术咨询有限公司见证后生效。</w:t>
      </w:r>
    </w:p>
    <w:p>
      <w:pPr>
        <w:tabs>
          <w:tab w:val="left" w:pos="1050"/>
        </w:tabs>
        <w:spacing w:line="360" w:lineRule="auto"/>
        <w:rPr>
          <w:rFonts w:ascii="宋体" w:hAnsi="宋体"/>
          <w:bCs/>
          <w:sz w:val="24"/>
        </w:rPr>
      </w:pPr>
      <w:r>
        <w:rPr>
          <w:rFonts w:hint="eastAsia" w:ascii="宋体" w:hAnsi="宋体"/>
          <w:bCs/>
          <w:sz w:val="24"/>
        </w:rPr>
        <w:t>2</w:t>
      </w:r>
      <w:r>
        <w:rPr>
          <w:rFonts w:ascii="宋体" w:hAnsi="宋体"/>
          <w:bCs/>
          <w:sz w:val="24"/>
        </w:rPr>
        <w:t>.</w:t>
      </w:r>
      <w:r>
        <w:rPr>
          <w:rFonts w:hint="eastAsia" w:ascii="宋体" w:hAnsi="宋体"/>
          <w:bCs/>
          <w:sz w:val="24"/>
        </w:rPr>
        <w:t xml:space="preserve"> 签订合同时，中标人须向采购人交纳中标合同总金额10%的履约保证金。履约保证金在本项目验收合格后退还，不计利息。履约保证金的形式：转账形式提交。</w:t>
      </w:r>
    </w:p>
    <w:p>
      <w:pPr>
        <w:tabs>
          <w:tab w:val="left" w:pos="1050"/>
        </w:tabs>
        <w:spacing w:line="360" w:lineRule="auto"/>
        <w:rPr>
          <w:rFonts w:ascii="宋体" w:hAnsi="宋体"/>
          <w:bCs/>
          <w:sz w:val="24"/>
        </w:rPr>
      </w:pPr>
      <w:r>
        <w:rPr>
          <w:rFonts w:hint="eastAsia" w:ascii="宋体" w:hAnsi="宋体"/>
          <w:bCs/>
          <w:sz w:val="24"/>
        </w:rPr>
        <w:t>3. 若由于相</w:t>
      </w:r>
      <w:r>
        <w:rPr>
          <w:rFonts w:hint="eastAsia" w:ascii="宋体" w:hAnsi="宋体"/>
          <w:sz w:val="24"/>
        </w:rPr>
        <w:t>应国家法律法规、地方法规、行业规章、政策文件等变动造成项目中止，项目参与各方均不承担违约责任。</w:t>
      </w:r>
    </w:p>
    <w:p>
      <w:pPr>
        <w:spacing w:line="360" w:lineRule="auto"/>
        <w:rPr>
          <w:rFonts w:ascii="宋体" w:hAnsi="宋体"/>
          <w:color w:val="000000"/>
          <w:sz w:val="24"/>
        </w:rPr>
      </w:pPr>
      <w:r>
        <w:rPr>
          <w:rFonts w:hint="eastAsia" w:ascii="宋体" w:hAnsi="宋体"/>
          <w:color w:val="000000"/>
          <w:sz w:val="24"/>
        </w:rPr>
        <w:t>（十五）政府采购信用担保</w:t>
      </w:r>
    </w:p>
    <w:p>
      <w:pPr>
        <w:spacing w:line="360" w:lineRule="auto"/>
        <w:rPr>
          <w:rFonts w:ascii="宋体" w:hAnsi="宋体"/>
          <w:color w:val="000000"/>
          <w:sz w:val="24"/>
        </w:rPr>
      </w:pPr>
      <w:r>
        <w:rPr>
          <w:rFonts w:hint="eastAsia" w:ascii="宋体" w:hAnsi="宋体"/>
          <w:color w:val="000000"/>
          <w:sz w:val="24"/>
        </w:rPr>
        <w:t>政府采购信用担保，是由专业担保机构为供应商向采购人、代理机构、金融机构提供的保证，主要包括投标担保、履约担保、融资担保三种形式。供应商可以根据自身情况，自行决定是否选择采用该三种信用担保形式。</w:t>
      </w:r>
    </w:p>
    <w:p>
      <w:pPr>
        <w:spacing w:line="360" w:lineRule="auto"/>
        <w:rPr>
          <w:rFonts w:ascii="宋体" w:hAnsi="宋体"/>
          <w:color w:val="000000"/>
          <w:sz w:val="24"/>
        </w:rPr>
      </w:pPr>
      <w:r>
        <w:rPr>
          <w:rFonts w:hint="eastAsia" w:ascii="宋体" w:hAnsi="宋体"/>
          <w:color w:val="000000"/>
          <w:sz w:val="24"/>
        </w:rPr>
        <w:t xml:space="preserve"> 1.投标担保。</w:t>
      </w:r>
    </w:p>
    <w:p>
      <w:pPr>
        <w:spacing w:line="360" w:lineRule="auto"/>
        <w:rPr>
          <w:rFonts w:ascii="宋体" w:hAnsi="宋体"/>
          <w:color w:val="000000"/>
          <w:sz w:val="24"/>
        </w:rPr>
      </w:pPr>
      <w:r>
        <w:rPr>
          <w:rFonts w:hint="eastAsia" w:ascii="宋体" w:hAnsi="宋体"/>
          <w:color w:val="000000"/>
          <w:sz w:val="24"/>
        </w:rPr>
        <w:t xml:space="preserve"> 投标担保，是指由专业担保机构为供应商履行支付投标保证金的义务向采购人或者采购代理机构提供的保证担保。专业担保机构对供应商进行资信审查后出具投标担保函，供应商在投标有效期内发生撤回投标文件，或中标后因自身原因不签署政府采购合同等行为而应实际支付保证金的，由专业担保机构按照担保函的约定履行担保责任。供应商可以自愿选择是否采取投标担保函的形式缴纳投标保证金。政府采购投标担保函格式见附1。</w:t>
      </w:r>
    </w:p>
    <w:p>
      <w:pPr>
        <w:spacing w:line="360" w:lineRule="auto"/>
        <w:rPr>
          <w:rFonts w:ascii="宋体" w:hAnsi="宋体"/>
          <w:color w:val="000000"/>
          <w:sz w:val="24"/>
        </w:rPr>
      </w:pPr>
      <w:r>
        <w:rPr>
          <w:rFonts w:hint="eastAsia" w:ascii="宋体" w:hAnsi="宋体"/>
          <w:color w:val="000000"/>
          <w:sz w:val="24"/>
        </w:rPr>
        <w:t>2.履约担保。</w:t>
      </w:r>
    </w:p>
    <w:p>
      <w:pPr>
        <w:spacing w:line="360" w:lineRule="auto"/>
        <w:rPr>
          <w:rFonts w:ascii="宋体" w:hAnsi="宋体"/>
          <w:color w:val="000000"/>
          <w:sz w:val="24"/>
        </w:rPr>
      </w:pPr>
      <w:r>
        <w:rPr>
          <w:rFonts w:hint="eastAsia" w:ascii="宋体" w:hAnsi="宋体"/>
          <w:color w:val="000000"/>
          <w:sz w:val="24"/>
        </w:rPr>
        <w:t>履约担保，是指由专业担保机构为中标供应商支付履约保证金的义务向采购人提供的保函担保。专业担保机构根据中标供应商的中标通知书为凭据，进行资信审查后出具保函, 中标供应商以保函形式缴纳履约保证金；供应商未按政府采购合同履行约定义务而应实际支付保证金的，由专业担保机构按照担保函约定履行担保责任。供应商可以自愿选择是否采取履约担保函的形式交纳履约保证金。中标供应商可以根据自身情况，自行决定是否选择采用履约担保形式，自主选择合作银行。除江苏省财政厅确定的江苏省再担保有限公司和无锡市财政局确定的科发投资担保有限公司为无锡市政府采购信用担保合作担保机构外，民生银行南京分行、江苏银行和中信银行南京分行、浙商银行无锡分行可以在无锡市范围内开展政府采购履约担保业务。政府采购履约担保函格式见附件（十一）。</w:t>
      </w:r>
    </w:p>
    <w:p>
      <w:pPr>
        <w:spacing w:line="360" w:lineRule="auto"/>
        <w:rPr>
          <w:rFonts w:ascii="宋体" w:hAnsi="宋体"/>
          <w:color w:val="000000"/>
          <w:sz w:val="24"/>
        </w:rPr>
      </w:pPr>
      <w:r>
        <w:rPr>
          <w:rFonts w:hint="eastAsia" w:ascii="宋体" w:hAnsi="宋体"/>
          <w:color w:val="000000"/>
          <w:sz w:val="24"/>
        </w:rPr>
        <w:t>3.合同融资。</w:t>
      </w:r>
    </w:p>
    <w:p>
      <w:pPr>
        <w:spacing w:line="360" w:lineRule="auto"/>
        <w:rPr>
          <w:rFonts w:ascii="宋体" w:hAnsi="宋体"/>
          <w:color w:val="000000"/>
          <w:sz w:val="24"/>
        </w:rPr>
      </w:pPr>
      <w:r>
        <w:rPr>
          <w:rFonts w:hint="eastAsia" w:ascii="宋体" w:hAnsi="宋体"/>
          <w:color w:val="000000"/>
          <w:sz w:val="24"/>
        </w:rPr>
        <w:t>合同融资，是指参与政府采购的供应商，凭借中标、成交通知书或政府采购合同向金融机构申请融资，金融机构以供应商信用审查和政府采购信誉为基础，按便捷贷款程序和优惠利率，为其发放无财产抵押贷款的一种融资模式。供应商与金融机构按照“银企自愿，风险共担”的原则开展融资活动，有融资需求的中标、成交供应商可根据自身情况，在无锡市政府采购交易管理一体化系统凭政府采购中标、成交通知书或政府采购合同在线提出融资申请，自主选择金融机构及其融资产品，金融机构进行融资信息审查决定是否为其提供融资，做好预授信。双方达成融资意向后签订融资协议，确定融资成交信息并约定融资回款账户。中标、成交供应商可根据自身情况，自行决定是否选择采用合同融资形式，在无锡政府采购网——政采贷专栏提供的银行名录内自主选择合作银行。</w:t>
      </w:r>
    </w:p>
    <w:p>
      <w:pPr>
        <w:spacing w:line="360" w:lineRule="auto"/>
        <w:rPr>
          <w:rFonts w:ascii="宋体" w:hAnsi="宋体"/>
          <w:color w:val="000000"/>
          <w:sz w:val="24"/>
        </w:rPr>
      </w:pPr>
      <w:r>
        <w:rPr>
          <w:rFonts w:hint="eastAsia" w:ascii="宋体" w:hAnsi="宋体"/>
          <w:color w:val="000000"/>
          <w:sz w:val="24"/>
        </w:rPr>
        <w:t>采购人、采购代理机构应做好政府采购合同融资宣传引导工作，在“中标通知书”中增加“政采贷”合同融资政策宣传条款，并将《无锡市政府采购合同融资政策告知函》作为“中标（成交）通知书”附件一同发给中标供应商。</w:t>
      </w:r>
    </w:p>
    <w:p>
      <w:pPr>
        <w:spacing w:line="360" w:lineRule="auto"/>
        <w:rPr>
          <w:rFonts w:ascii="宋体" w:hAnsi="宋体"/>
          <w:color w:val="000000"/>
          <w:sz w:val="24"/>
        </w:rPr>
      </w:pPr>
      <w:r>
        <w:rPr>
          <w:rFonts w:hint="eastAsia" w:ascii="宋体" w:hAnsi="宋体"/>
          <w:color w:val="000000"/>
          <w:sz w:val="24"/>
        </w:rPr>
        <w:t>4.政府采购信用担保合作担保机构和信用融资合作银行</w:t>
      </w:r>
    </w:p>
    <w:p>
      <w:pPr>
        <w:spacing w:line="360" w:lineRule="auto"/>
        <w:rPr>
          <w:rFonts w:ascii="宋体" w:hAnsi="宋体"/>
          <w:color w:val="000000"/>
          <w:sz w:val="24"/>
        </w:rPr>
      </w:pPr>
      <w:r>
        <w:rPr>
          <w:rFonts w:hint="eastAsia" w:ascii="宋体" w:hAnsi="宋体"/>
          <w:color w:val="000000"/>
          <w:sz w:val="24"/>
        </w:rPr>
        <w:t>中标供应商可以根据自身情况，自行决定是否选择采用投标、履约和融资三种信用担保形式，自主选择融资银行。除江苏省财政厅确定的江苏省再担保有限公司和无锡市财政局确定的科发投资担保有限公司为无锡市政府采购信用担保合作担保机构外，民生银行南京分行、江苏银行和中信银行南京分行（为江苏省政府采购信用融资合作银行）、浙商银行无锡分行（为无锡市政府采购信用融资合作银行）可以在无锡市范围内依法开展政府采购信用担保融资业务。</w:t>
      </w:r>
    </w:p>
    <w:p>
      <w:pPr>
        <w:spacing w:line="360" w:lineRule="auto"/>
        <w:rPr>
          <w:rFonts w:ascii="宋体" w:hAnsi="宋体"/>
          <w:color w:val="000000"/>
          <w:sz w:val="24"/>
        </w:rPr>
      </w:pPr>
      <w:r>
        <w:rPr>
          <w:rFonts w:hint="eastAsia" w:ascii="宋体" w:hAnsi="宋体"/>
          <w:color w:val="000000"/>
          <w:sz w:val="24"/>
        </w:rPr>
        <w:t>5.合作担保机构及银行出具的投标担保函、履约担保函及银行保函等，均具有《财政部关于开展政府采购信用担保试点工作的通知》中列明的担保效力。除不可抗力外，无论基于何种原因，供应商一旦出现违约情形，承担保证责任的专业担保机构应当先行按照政府采购担保函及时进行偿付，偿付完成后，再按与供应商签订的协议约定内容进行追偿。</w:t>
      </w:r>
    </w:p>
    <w:p>
      <w:pPr>
        <w:spacing w:line="360" w:lineRule="auto"/>
        <w:outlineLvl w:val="0"/>
        <w:rPr>
          <w:rFonts w:ascii="宋体" w:hAnsi="宋体"/>
          <w:color w:val="FF0000"/>
          <w:sz w:val="24"/>
        </w:rPr>
      </w:pPr>
      <w:r>
        <w:rPr>
          <w:rFonts w:hint="eastAsia" w:ascii="宋体" w:hAnsi="宋体"/>
          <w:color w:val="FF0000"/>
          <w:sz w:val="24"/>
        </w:rPr>
        <w:t>（十六）代理服务费：</w:t>
      </w:r>
    </w:p>
    <w:p>
      <w:pPr>
        <w:tabs>
          <w:tab w:val="left" w:pos="735"/>
          <w:tab w:val="left" w:pos="1365"/>
        </w:tabs>
        <w:spacing w:line="440" w:lineRule="exact"/>
        <w:rPr>
          <w:rFonts w:ascii="宋体" w:hAnsi="宋体"/>
          <w:bCs/>
          <w:color w:val="FF0000"/>
          <w:sz w:val="24"/>
        </w:rPr>
      </w:pPr>
      <w:r>
        <w:rPr>
          <w:rFonts w:hint="eastAsia" w:ascii="宋体" w:hAnsi="宋体"/>
          <w:color w:val="FF0000"/>
          <w:sz w:val="24"/>
        </w:rPr>
        <w:t>1.</w:t>
      </w:r>
      <w:r>
        <w:rPr>
          <w:rFonts w:hint="eastAsia" w:ascii="宋体" w:hAnsi="宋体"/>
          <w:bCs/>
          <w:color w:val="FF0000"/>
          <w:sz w:val="24"/>
        </w:rPr>
        <w:t xml:space="preserve"> 参照国家计委计价格[2002]1980号《招标代理服务收费管理暂行办法》所规定的收费标准（服务招标）规定的收取。</w:t>
      </w:r>
      <w:r>
        <w:rPr>
          <w:rFonts w:hint="eastAsia" w:ascii="宋体" w:hAnsi="宋体"/>
          <w:color w:val="FF0000"/>
          <w:sz w:val="24"/>
        </w:rPr>
        <w:t>本项目代理服务费由中标人支付。</w:t>
      </w:r>
    </w:p>
    <w:p>
      <w:pPr>
        <w:spacing w:line="440" w:lineRule="exact"/>
        <w:rPr>
          <w:rFonts w:ascii="宋体" w:hAnsi="宋体"/>
          <w:color w:val="000000"/>
          <w:sz w:val="24"/>
        </w:rPr>
      </w:pPr>
      <w:r>
        <w:rPr>
          <w:rFonts w:hint="eastAsia" w:ascii="宋体" w:hAnsi="宋体"/>
          <w:color w:val="000000"/>
          <w:sz w:val="24"/>
        </w:rPr>
        <w:t>（十七）其他：</w:t>
      </w:r>
    </w:p>
    <w:p>
      <w:pPr>
        <w:spacing w:line="360" w:lineRule="auto"/>
        <w:rPr>
          <w:rFonts w:ascii="宋体" w:hAnsi="宋体"/>
          <w:bCs/>
          <w:color w:val="000000"/>
          <w:sz w:val="24"/>
        </w:rPr>
      </w:pPr>
      <w:r>
        <w:rPr>
          <w:rFonts w:hint="eastAsia" w:ascii="宋体" w:hAnsi="宋体"/>
          <w:bCs/>
          <w:color w:val="000000"/>
          <w:sz w:val="24"/>
        </w:rPr>
        <w:t>招标文件的条款必须认真审阅，投标人应自行检查招标文件页数是否齐全。若有遗漏、重复或不清楚，需立刻通知采购人予以更正；凡属对条款的误解所造成的投标价格失误，由投标人负责。</w:t>
      </w:r>
    </w:p>
    <w:p>
      <w:pPr>
        <w:spacing w:line="540" w:lineRule="exact"/>
        <w:rPr>
          <w:rFonts w:ascii="黑体" w:eastAsia="黑体"/>
          <w:b/>
          <w:color w:val="000000"/>
          <w:sz w:val="44"/>
          <w:szCs w:val="44"/>
        </w:rPr>
      </w:pPr>
    </w:p>
    <w:p>
      <w:pPr>
        <w:spacing w:line="540" w:lineRule="exact"/>
        <w:jc w:val="center"/>
        <w:rPr>
          <w:rFonts w:ascii="黑体" w:eastAsia="黑体"/>
          <w:b/>
          <w:color w:val="000000"/>
          <w:sz w:val="44"/>
          <w:szCs w:val="44"/>
        </w:rPr>
      </w:pPr>
      <w:r>
        <w:rPr>
          <w:rFonts w:hint="eastAsia" w:ascii="黑体" w:eastAsia="黑体"/>
          <w:b/>
          <w:color w:val="000000"/>
          <w:sz w:val="44"/>
          <w:szCs w:val="44"/>
        </w:rPr>
        <w:t>第三部分．采购需求</w:t>
      </w:r>
    </w:p>
    <w:p>
      <w:pPr>
        <w:jc w:val="center"/>
        <w:rPr>
          <w:rFonts w:ascii="黑体" w:hAnsi="Times New Roman" w:eastAsia="黑体"/>
          <w:sz w:val="32"/>
          <w:szCs w:val="32"/>
        </w:rPr>
      </w:pPr>
      <w:r>
        <w:rPr>
          <w:rFonts w:hint="eastAsia" w:ascii="黑体" w:hAnsi="Times New Roman" w:eastAsia="黑体"/>
          <w:sz w:val="32"/>
          <w:szCs w:val="32"/>
        </w:rPr>
        <w:t>项目技术要求和有关说明</w:t>
      </w:r>
    </w:p>
    <w:p>
      <w:pPr>
        <w:spacing w:line="360" w:lineRule="auto"/>
        <w:rPr>
          <w:rFonts w:ascii="宋体" w:hAnsi="Courier New"/>
          <w:b/>
          <w:sz w:val="24"/>
        </w:rPr>
      </w:pPr>
      <w:r>
        <w:rPr>
          <w:rFonts w:hint="eastAsia" w:ascii="宋体" w:hAnsi="Courier New"/>
          <w:b/>
          <w:sz w:val="24"/>
        </w:rPr>
        <w:t>（一）项目内容</w:t>
      </w:r>
    </w:p>
    <w:p>
      <w:pPr>
        <w:spacing w:line="360" w:lineRule="auto"/>
        <w:rPr>
          <w:rFonts w:ascii="宋体" w:hAnsi="宋体"/>
          <w:bCs/>
          <w:sz w:val="24"/>
        </w:rPr>
      </w:pPr>
      <w:r>
        <w:rPr>
          <w:rFonts w:hint="eastAsia" w:ascii="宋体" w:hAnsi="Courier New"/>
          <w:sz w:val="24"/>
        </w:rPr>
        <w:t>1、项目名称：</w:t>
      </w:r>
      <w:r>
        <w:rPr>
          <w:rFonts w:hint="eastAsia" w:ascii="宋体" w:hAnsi="宋体"/>
          <w:bCs/>
          <w:sz w:val="24"/>
          <w:lang w:eastAsia="zh-CN"/>
        </w:rPr>
        <w:t>云林街道农村公路（隐患路段）交通安全设施采购项目</w:t>
      </w:r>
      <w:r>
        <w:rPr>
          <w:rFonts w:hint="eastAsia" w:ascii="宋体" w:hAnsi="宋体"/>
          <w:bCs/>
          <w:sz w:val="24"/>
        </w:rPr>
        <w:t>；</w:t>
      </w:r>
    </w:p>
    <w:p>
      <w:pPr>
        <w:spacing w:line="360" w:lineRule="auto"/>
        <w:rPr>
          <w:rFonts w:ascii="宋体" w:hAnsi="宋体"/>
          <w:bCs/>
          <w:sz w:val="24"/>
        </w:rPr>
      </w:pPr>
      <w:r>
        <w:rPr>
          <w:rFonts w:hint="eastAsia" w:ascii="宋体" w:hAnsi="宋体"/>
          <w:bCs/>
          <w:sz w:val="24"/>
        </w:rPr>
        <w:t>2、项目组成及结构见清单“项目特征”；</w:t>
      </w:r>
    </w:p>
    <w:p>
      <w:pPr>
        <w:spacing w:line="360" w:lineRule="auto"/>
        <w:rPr>
          <w:rFonts w:ascii="宋体" w:hAnsi="宋体"/>
          <w:bCs/>
          <w:sz w:val="24"/>
        </w:rPr>
      </w:pPr>
      <w:r>
        <w:rPr>
          <w:rFonts w:hint="eastAsia" w:ascii="宋体" w:hAnsi="宋体"/>
          <w:bCs/>
          <w:sz w:val="24"/>
        </w:rPr>
        <w:t>3、项目建设点位见清单“项目特征”；</w:t>
      </w:r>
    </w:p>
    <w:p>
      <w:pPr>
        <w:spacing w:line="360" w:lineRule="auto"/>
        <w:rPr>
          <w:rFonts w:ascii="宋体" w:hAnsi="宋体"/>
          <w:bCs/>
          <w:sz w:val="24"/>
        </w:rPr>
      </w:pPr>
      <w:r>
        <w:rPr>
          <w:rFonts w:hint="eastAsia" w:ascii="宋体" w:hAnsi="宋体"/>
          <w:bCs/>
          <w:sz w:val="24"/>
        </w:rPr>
        <w:t>4、技术标准要求：</w:t>
      </w:r>
    </w:p>
    <w:p>
      <w:pPr>
        <w:spacing w:line="440" w:lineRule="exact"/>
        <w:rPr>
          <w:rFonts w:ascii="Times New Roman" w:hAnsi="Times New Roman"/>
          <w:bCs/>
          <w:sz w:val="24"/>
          <w:szCs w:val="28"/>
        </w:rPr>
      </w:pPr>
      <w:r>
        <w:rPr>
          <w:rFonts w:hint="eastAsia" w:ascii="Times New Roman" w:hAnsi="Times New Roman"/>
          <w:bCs/>
          <w:sz w:val="24"/>
          <w:szCs w:val="28"/>
        </w:rPr>
        <w:t>性能应满足相关产品国家、江苏省现行标准和设计的要求。包括但不限于以下规范、规程要求：</w:t>
      </w:r>
    </w:p>
    <w:p>
      <w:pPr>
        <w:spacing w:line="520" w:lineRule="exact"/>
        <w:rPr>
          <w:rFonts w:ascii="Times New Roman" w:hAnsi="Times New Roman"/>
          <w:sz w:val="24"/>
        </w:rPr>
      </w:pPr>
      <w:r>
        <w:rPr>
          <w:rFonts w:hint="eastAsia" w:ascii="Times New Roman" w:hAnsi="Times New Roman"/>
          <w:sz w:val="24"/>
        </w:rPr>
        <w:t>《公路工程技术标准》</w:t>
      </w:r>
      <w:r>
        <w:rPr>
          <w:rFonts w:ascii="Times New Roman" w:hAnsi="Times New Roman"/>
          <w:sz w:val="24"/>
        </w:rPr>
        <w:t>JTGB01—2014</w:t>
      </w:r>
    </w:p>
    <w:p>
      <w:pPr>
        <w:spacing w:line="520" w:lineRule="exact"/>
        <w:rPr>
          <w:rFonts w:ascii="Times New Roman" w:hAnsi="Times New Roman"/>
          <w:sz w:val="24"/>
        </w:rPr>
      </w:pPr>
      <w:r>
        <w:rPr>
          <w:rFonts w:hint="eastAsia" w:ascii="Times New Roman" w:hAnsi="Times New Roman"/>
          <w:sz w:val="24"/>
        </w:rPr>
        <w:t>《路面标线涂料》</w:t>
      </w:r>
      <w:r>
        <w:rPr>
          <w:rFonts w:ascii="Times New Roman" w:hAnsi="Times New Roman"/>
          <w:sz w:val="24"/>
        </w:rPr>
        <w:t xml:space="preserve">(JT/T280-2004) </w:t>
      </w:r>
    </w:p>
    <w:p>
      <w:pPr>
        <w:spacing w:line="520" w:lineRule="exact"/>
        <w:rPr>
          <w:rFonts w:ascii="Times New Roman" w:hAnsi="Times New Roman"/>
          <w:sz w:val="24"/>
        </w:rPr>
      </w:pPr>
      <w:r>
        <w:rPr>
          <w:rFonts w:hint="eastAsia" w:ascii="Times New Roman" w:hAnsi="Times New Roman"/>
          <w:sz w:val="24"/>
        </w:rPr>
        <w:t>《道路交通反光膜》（</w:t>
      </w:r>
      <w:r>
        <w:rPr>
          <w:rFonts w:ascii="Times New Roman" w:hAnsi="Times New Roman"/>
          <w:sz w:val="24"/>
        </w:rPr>
        <w:t>GB/T 18833-2012</w:t>
      </w:r>
      <w:r>
        <w:rPr>
          <w:rFonts w:hint="eastAsia" w:ascii="Times New Roman" w:hAnsi="Times New Roman"/>
          <w:sz w:val="24"/>
        </w:rPr>
        <w:t>）</w:t>
      </w:r>
    </w:p>
    <w:p>
      <w:pPr>
        <w:spacing w:line="520" w:lineRule="exact"/>
        <w:rPr>
          <w:rFonts w:ascii="Times New Roman" w:hAnsi="Times New Roman"/>
          <w:sz w:val="24"/>
        </w:rPr>
      </w:pPr>
      <w:r>
        <w:rPr>
          <w:rFonts w:hint="eastAsia" w:ascii="Times New Roman" w:hAnsi="Times New Roman"/>
          <w:sz w:val="24"/>
        </w:rPr>
        <w:t>《道路交通标志板及支撑件》（</w:t>
      </w:r>
      <w:r>
        <w:rPr>
          <w:rFonts w:ascii="Times New Roman" w:hAnsi="Times New Roman"/>
          <w:sz w:val="24"/>
        </w:rPr>
        <w:t>GB T23827-2009</w:t>
      </w:r>
      <w:r>
        <w:rPr>
          <w:rFonts w:hint="eastAsia" w:ascii="Times New Roman" w:hAnsi="Times New Roman"/>
          <w:sz w:val="24"/>
        </w:rPr>
        <w:t>）</w:t>
      </w:r>
    </w:p>
    <w:p>
      <w:pPr>
        <w:spacing w:line="520" w:lineRule="exact"/>
        <w:rPr>
          <w:rFonts w:ascii="Times New Roman" w:hAnsi="Times New Roman"/>
          <w:sz w:val="24"/>
        </w:rPr>
      </w:pPr>
      <w:r>
        <w:rPr>
          <w:rFonts w:hint="eastAsia" w:ascii="Times New Roman" w:hAnsi="Times New Roman"/>
          <w:sz w:val="24"/>
        </w:rPr>
        <w:t>《道路交通标志和标线》</w:t>
      </w:r>
      <w:r>
        <w:rPr>
          <w:rFonts w:ascii="Times New Roman" w:hAnsi="Times New Roman"/>
          <w:sz w:val="24"/>
        </w:rPr>
        <w:t>(GB 5768-2009)</w:t>
      </w:r>
    </w:p>
    <w:p>
      <w:pPr>
        <w:spacing w:line="440" w:lineRule="exact"/>
        <w:rPr>
          <w:rFonts w:ascii="Times New Roman" w:hAnsi="Times New Roman"/>
          <w:sz w:val="24"/>
        </w:rPr>
      </w:pPr>
      <w:r>
        <w:rPr>
          <w:rFonts w:hint="eastAsia" w:ascii="Times New Roman" w:hAnsi="Times New Roman"/>
          <w:sz w:val="24"/>
        </w:rPr>
        <w:t>《城市道路交通标志和标线设置规范》（</w:t>
      </w:r>
      <w:r>
        <w:rPr>
          <w:rFonts w:ascii="Times New Roman" w:hAnsi="Times New Roman"/>
          <w:sz w:val="24"/>
        </w:rPr>
        <w:t>GB51038-2015</w:t>
      </w:r>
      <w:r>
        <w:rPr>
          <w:rFonts w:hint="eastAsia" w:ascii="Times New Roman" w:hAnsi="Times New Roman"/>
          <w:sz w:val="24"/>
        </w:rPr>
        <w:t>）</w:t>
      </w:r>
    </w:p>
    <w:p>
      <w:pPr>
        <w:spacing w:line="440" w:lineRule="exact"/>
        <w:rPr>
          <w:rFonts w:ascii="Times New Roman" w:hAnsi="Times New Roman"/>
          <w:sz w:val="24"/>
        </w:rPr>
      </w:pPr>
      <w:r>
        <w:rPr>
          <w:rFonts w:hint="eastAsia" w:ascii="Times New Roman" w:hAnsi="Times New Roman"/>
          <w:sz w:val="24"/>
        </w:rPr>
        <w:t>《道路交通标线质量要求和检测方法》（</w:t>
      </w:r>
      <w:r>
        <w:rPr>
          <w:rFonts w:ascii="Times New Roman" w:hAnsi="Times New Roman"/>
          <w:sz w:val="24"/>
        </w:rPr>
        <w:t>GB/T16311-2009</w:t>
      </w:r>
      <w:r>
        <w:rPr>
          <w:rFonts w:hint="eastAsia" w:ascii="Times New Roman" w:hAnsi="Times New Roman"/>
          <w:sz w:val="24"/>
        </w:rPr>
        <w:t>）</w:t>
      </w:r>
    </w:p>
    <w:p>
      <w:pPr>
        <w:spacing w:line="440" w:lineRule="exact"/>
        <w:rPr>
          <w:rFonts w:ascii="Times New Roman" w:hAnsi="Times New Roman"/>
          <w:bCs/>
          <w:sz w:val="24"/>
          <w:szCs w:val="28"/>
        </w:rPr>
      </w:pPr>
      <w:r>
        <w:rPr>
          <w:rFonts w:ascii="Times New Roman" w:hAnsi="Times New Roman"/>
          <w:bCs/>
          <w:sz w:val="24"/>
          <w:szCs w:val="28"/>
        </w:rPr>
        <w:t xml:space="preserve">    </w:t>
      </w:r>
      <w:r>
        <w:rPr>
          <w:rFonts w:hint="eastAsia" w:ascii="Times New Roman" w:hAnsi="Times New Roman"/>
          <w:bCs/>
          <w:sz w:val="24"/>
          <w:szCs w:val="28"/>
        </w:rPr>
        <w:t>注：上述技术标准如作废或有替代标准，则以现行的最新标准为准。</w:t>
      </w:r>
    </w:p>
    <w:p>
      <w:pPr>
        <w:spacing w:line="440" w:lineRule="exact"/>
        <w:rPr>
          <w:rFonts w:ascii="Times New Roman" w:hAnsi="Times New Roman"/>
          <w:bCs/>
          <w:sz w:val="24"/>
          <w:szCs w:val="28"/>
        </w:rPr>
      </w:pPr>
      <w:r>
        <w:rPr>
          <w:rFonts w:ascii="Times New Roman" w:hAnsi="Times New Roman"/>
          <w:bCs/>
          <w:sz w:val="24"/>
          <w:szCs w:val="28"/>
        </w:rPr>
        <w:t>5</w:t>
      </w:r>
      <w:r>
        <w:rPr>
          <w:rFonts w:hint="eastAsia" w:ascii="Times New Roman" w:hAnsi="Times New Roman"/>
          <w:bCs/>
          <w:sz w:val="24"/>
          <w:szCs w:val="28"/>
        </w:rPr>
        <w:t>、系统验收要求：投标人完成所有工程项目后，并由采购人验收合格后，由投标人提出验收申请，经采购人进行组织验收确认后，才可由采购人送审计部门审计，且新建的设施进入质保期。</w:t>
      </w:r>
    </w:p>
    <w:p>
      <w:pPr>
        <w:spacing w:line="360" w:lineRule="auto"/>
        <w:rPr>
          <w:rFonts w:ascii="宋体" w:hAnsi="Courier New"/>
          <w:b/>
          <w:sz w:val="24"/>
        </w:rPr>
      </w:pPr>
      <w:r>
        <w:rPr>
          <w:rFonts w:hint="eastAsia" w:ascii="宋体" w:hAnsi="Courier New"/>
          <w:b/>
          <w:sz w:val="24"/>
        </w:rPr>
        <w:t>（二）技术性能参数要求：</w:t>
      </w:r>
      <w:r>
        <w:rPr>
          <w:rFonts w:ascii="宋体" w:hAnsi="Courier New"/>
          <w:b/>
          <w:sz w:val="24"/>
        </w:rPr>
        <w:t xml:space="preserve"> </w:t>
      </w:r>
    </w:p>
    <w:p>
      <w:pPr>
        <w:spacing w:line="440" w:lineRule="exact"/>
        <w:ind w:right="178" w:rightChars="85"/>
        <w:rPr>
          <w:rFonts w:ascii="Times New Roman" w:hAnsi="Times New Roman"/>
          <w:b/>
          <w:szCs w:val="21"/>
          <w:lang w:val="zh-CN"/>
        </w:rPr>
      </w:pPr>
      <w:bookmarkStart w:id="0" w:name="_Toc524165171"/>
      <w:bookmarkStart w:id="1" w:name="_Toc524168054"/>
      <w:bookmarkStart w:id="2" w:name="_Toc524104350"/>
      <w:r>
        <w:rPr>
          <w:rFonts w:hint="eastAsia" w:ascii="Times New Roman" w:hAnsi="Times New Roman"/>
          <w:sz w:val="24"/>
        </w:rPr>
        <w:t>一、</w:t>
      </w:r>
      <w:bookmarkEnd w:id="0"/>
      <w:bookmarkEnd w:id="1"/>
      <w:bookmarkEnd w:id="2"/>
      <w:r>
        <w:rPr>
          <w:rFonts w:hint="eastAsia" w:ascii="Times New Roman" w:hAnsi="Times New Roman"/>
          <w:b/>
          <w:sz w:val="24"/>
          <w:lang w:val="zh-CN"/>
        </w:rPr>
        <w:t>技术要求</w:t>
      </w:r>
    </w:p>
    <w:p>
      <w:pPr>
        <w:spacing w:line="440" w:lineRule="exact"/>
        <w:rPr>
          <w:rFonts w:ascii="Times New Roman" w:hAnsi="Times New Roman"/>
          <w:sz w:val="24"/>
        </w:rPr>
      </w:pPr>
      <w:r>
        <w:rPr>
          <w:rFonts w:ascii="Times New Roman" w:hAnsi="Times New Roman"/>
          <w:sz w:val="24"/>
        </w:rPr>
        <w:t>1</w:t>
      </w:r>
      <w:r>
        <w:rPr>
          <w:rFonts w:hint="eastAsia" w:ascii="Times New Roman" w:hAnsi="Times New Roman"/>
          <w:sz w:val="24"/>
        </w:rPr>
        <w:t>、标志</w:t>
      </w:r>
    </w:p>
    <w:p>
      <w:pPr>
        <w:spacing w:line="440" w:lineRule="exact"/>
        <w:rPr>
          <w:rFonts w:ascii="Times New Roman" w:hAnsi="Times New Roman"/>
          <w:sz w:val="24"/>
        </w:rPr>
      </w:pPr>
      <w:r>
        <w:rPr>
          <w:rFonts w:ascii="Times New Roman" w:hAnsi="Times New Roman"/>
          <w:sz w:val="24"/>
        </w:rPr>
        <w:t>1</w:t>
      </w:r>
      <w:r>
        <w:rPr>
          <w:rFonts w:hint="eastAsia" w:ascii="Times New Roman" w:hAnsi="Times New Roman"/>
          <w:sz w:val="24"/>
        </w:rPr>
        <w:t>、</w:t>
      </w:r>
      <w:r>
        <w:rPr>
          <w:rFonts w:ascii="Times New Roman" w:hAnsi="Times New Roman"/>
          <w:sz w:val="24"/>
        </w:rPr>
        <w:t>1</w:t>
      </w:r>
      <w:r>
        <w:rPr>
          <w:rFonts w:hint="eastAsia" w:ascii="Times New Roman" w:hAnsi="Times New Roman"/>
          <w:sz w:val="24"/>
        </w:rPr>
        <w:t>标志的颜色、形状、图案、尺寸及反光要求，必须按标准规定执行。</w:t>
      </w:r>
    </w:p>
    <w:p>
      <w:pPr>
        <w:tabs>
          <w:tab w:val="left" w:pos="-2520"/>
        </w:tabs>
        <w:spacing w:line="440" w:lineRule="exact"/>
        <w:rPr>
          <w:rFonts w:ascii="Times New Roman" w:hAnsi="Times New Roman"/>
          <w:sz w:val="24"/>
        </w:rPr>
      </w:pPr>
      <w:r>
        <w:rPr>
          <w:rFonts w:ascii="Times New Roman" w:hAnsi="Times New Roman"/>
          <w:sz w:val="24"/>
        </w:rPr>
        <w:t>1</w:t>
      </w:r>
      <w:r>
        <w:rPr>
          <w:rFonts w:hint="eastAsia" w:ascii="Times New Roman" w:hAnsi="Times New Roman"/>
          <w:sz w:val="24"/>
        </w:rPr>
        <w:t>、</w:t>
      </w:r>
      <w:r>
        <w:rPr>
          <w:rFonts w:ascii="Times New Roman" w:hAnsi="Times New Roman"/>
          <w:sz w:val="24"/>
        </w:rPr>
        <w:t>2</w:t>
      </w:r>
      <w:r>
        <w:rPr>
          <w:rFonts w:hint="eastAsia" w:ascii="Times New Roman" w:hAnsi="Times New Roman"/>
          <w:sz w:val="24"/>
        </w:rPr>
        <w:t>标志版面设计主要以《道路交通标志和标线》</w:t>
      </w:r>
      <w:r>
        <w:rPr>
          <w:rFonts w:ascii="Times New Roman" w:hAnsi="Times New Roman"/>
          <w:sz w:val="24"/>
        </w:rPr>
        <w:t>(GB 5768.1~3-2009)</w:t>
      </w:r>
      <w:r>
        <w:rPr>
          <w:rFonts w:hint="eastAsia" w:ascii="Times New Roman" w:hAnsi="Times New Roman"/>
          <w:sz w:val="24"/>
        </w:rPr>
        <w:t>为依据，标志上的文字采用汉字。指路标志的汉字或其他文字的间隔、行距根据文字高度确定，与汉字高度的关系应符合</w:t>
      </w:r>
      <w:r>
        <w:rPr>
          <w:rFonts w:ascii="Times New Roman" w:hAnsi="Times New Roman"/>
          <w:sz w:val="24"/>
        </w:rPr>
        <w:t>GB5768.2</w:t>
      </w:r>
      <w:r>
        <w:rPr>
          <w:rFonts w:hint="eastAsia" w:ascii="Times New Roman" w:hAnsi="Times New Roman"/>
          <w:sz w:val="24"/>
        </w:rPr>
        <w:t>第</w:t>
      </w:r>
      <w:r>
        <w:rPr>
          <w:rFonts w:ascii="Times New Roman" w:hAnsi="Times New Roman"/>
          <w:sz w:val="24"/>
        </w:rPr>
        <w:t>3.7.5</w:t>
      </w:r>
      <w:r>
        <w:rPr>
          <w:rFonts w:hint="eastAsia" w:ascii="Times New Roman" w:hAnsi="Times New Roman"/>
          <w:sz w:val="24"/>
        </w:rPr>
        <w:t>条的规定。</w:t>
      </w:r>
    </w:p>
    <w:p>
      <w:pPr>
        <w:tabs>
          <w:tab w:val="left" w:pos="-2520"/>
        </w:tabs>
        <w:spacing w:line="440" w:lineRule="exact"/>
        <w:rPr>
          <w:rFonts w:ascii="Times New Roman" w:hAnsi="Times New Roman"/>
          <w:sz w:val="24"/>
        </w:rPr>
      </w:pPr>
      <w:r>
        <w:rPr>
          <w:rFonts w:ascii="Times New Roman" w:hAnsi="Times New Roman"/>
          <w:sz w:val="24"/>
        </w:rPr>
        <w:t>1</w:t>
      </w:r>
      <w:r>
        <w:rPr>
          <w:rFonts w:hint="eastAsia" w:ascii="Times New Roman" w:hAnsi="Times New Roman"/>
          <w:sz w:val="24"/>
        </w:rPr>
        <w:t>、</w:t>
      </w:r>
      <w:r>
        <w:rPr>
          <w:rFonts w:ascii="Times New Roman" w:hAnsi="Times New Roman"/>
          <w:sz w:val="24"/>
        </w:rPr>
        <w:t>3</w:t>
      </w:r>
      <w:r>
        <w:rPr>
          <w:rFonts w:hint="eastAsia" w:ascii="Times New Roman" w:hAnsi="Times New Roman"/>
          <w:sz w:val="24"/>
        </w:rPr>
        <w:t>本项目标准参照原道路设计标准，</w:t>
      </w:r>
      <w:r>
        <w:rPr>
          <w:rFonts w:hint="eastAsia" w:ascii="Times New Roman" w:hAnsi="Times New Roman" w:cs="宋体"/>
          <w:sz w:val="24"/>
        </w:rPr>
        <w:t>根据《道路交通标志和标线》</w:t>
      </w:r>
      <w:r>
        <w:rPr>
          <w:rFonts w:ascii="Times New Roman" w:hAnsi="Times New Roman" w:cs="宋体"/>
          <w:sz w:val="24"/>
        </w:rPr>
        <w:t>(</w:t>
      </w:r>
      <w:r>
        <w:rPr>
          <w:rFonts w:ascii="Times New Roman" w:hAnsi="Times New Roman"/>
          <w:sz w:val="24"/>
        </w:rPr>
        <w:t>GB 5768.2-2009</w:t>
      </w:r>
      <w:r>
        <w:rPr>
          <w:rFonts w:ascii="Times New Roman" w:hAnsi="Times New Roman" w:cs="宋体"/>
          <w:sz w:val="24"/>
        </w:rPr>
        <w:t>)</w:t>
      </w:r>
      <w:r>
        <w:rPr>
          <w:rFonts w:hint="eastAsia" w:ascii="Times New Roman" w:hAnsi="Times New Roman" w:cs="宋体"/>
          <w:sz w:val="24"/>
        </w:rPr>
        <w:t>，</w:t>
      </w:r>
      <w:r>
        <w:rPr>
          <w:rFonts w:hint="eastAsia" w:ascii="Times New Roman" w:hAnsi="Times New Roman"/>
          <w:sz w:val="24"/>
        </w:rPr>
        <w:t>汉字高度参照下表内容，汉字高宽比为</w:t>
      </w:r>
      <w:r>
        <w:rPr>
          <w:rFonts w:ascii="Times New Roman" w:hAnsi="Times New Roman"/>
          <w:sz w:val="24"/>
        </w:rPr>
        <w:t>1</w:t>
      </w:r>
      <w:r>
        <w:rPr>
          <w:rFonts w:hint="eastAsia" w:ascii="Times New Roman" w:hAnsi="Times New Roman"/>
          <w:sz w:val="24"/>
        </w:rPr>
        <w:t>：</w:t>
      </w:r>
      <w:r>
        <w:rPr>
          <w:rFonts w:ascii="Times New Roman" w:hAnsi="Times New Roman"/>
          <w:sz w:val="24"/>
        </w:rPr>
        <w:t>1</w:t>
      </w:r>
      <w:r>
        <w:rPr>
          <w:rFonts w:hint="eastAsia" w:ascii="Times New Roman" w:hAnsi="Times New Roman"/>
          <w:sz w:val="24"/>
        </w:rPr>
        <w:t>，字体为</w:t>
      </w:r>
      <w:r>
        <w:rPr>
          <w:rFonts w:hint="eastAsia" w:ascii="Times New Roman" w:hAnsi="Times New Roman" w:cs="宋体"/>
          <w:sz w:val="24"/>
        </w:rPr>
        <w:t>道路交通标志专用字体（简体）</w:t>
      </w:r>
      <w:r>
        <w:rPr>
          <w:rFonts w:hint="eastAsia" w:ascii="Times New Roman" w:hAnsi="Times New Roman"/>
          <w:sz w:val="24"/>
        </w:rPr>
        <w:t>，英文字高为汉字高度的</w:t>
      </w:r>
      <w:r>
        <w:rPr>
          <w:rFonts w:ascii="Times New Roman" w:hAnsi="Times New Roman"/>
          <w:sz w:val="24"/>
        </w:rPr>
        <w:t>1/2</w:t>
      </w:r>
      <w:r>
        <w:rPr>
          <w:rFonts w:hint="eastAsia" w:ascii="Times New Roman" w:hAnsi="Times New Roman"/>
          <w:sz w:val="24"/>
        </w:rPr>
        <w:t>。标志版面尺寸、版面内容、汉字间距、笔划粗度、最小间距、边距、颜色等均以《道路交通标志和标线》</w:t>
      </w:r>
      <w:r>
        <w:rPr>
          <w:rFonts w:ascii="Times New Roman" w:hAnsi="Times New Roman"/>
          <w:sz w:val="24"/>
        </w:rPr>
        <w:t>(GB 5768-2009)</w:t>
      </w:r>
      <w:r>
        <w:rPr>
          <w:rFonts w:hint="eastAsia" w:ascii="Times New Roman" w:hAnsi="Times New Roman"/>
          <w:sz w:val="24"/>
        </w:rPr>
        <w:t>为依据进行设计。</w:t>
      </w:r>
    </w:p>
    <w:p>
      <w:pPr>
        <w:tabs>
          <w:tab w:val="left" w:pos="-2520"/>
        </w:tabs>
        <w:spacing w:line="440" w:lineRule="exact"/>
        <w:rPr>
          <w:rFonts w:ascii="Times New Roman" w:hAnsi="Times New Roman"/>
          <w:sz w:val="24"/>
        </w:rPr>
      </w:pPr>
      <w:r>
        <w:rPr>
          <w:rFonts w:ascii="Times New Roman" w:hAnsi="Times New Roman"/>
          <w:sz w:val="24"/>
        </w:rPr>
        <w:t>1</w:t>
      </w:r>
      <w:r>
        <w:rPr>
          <w:rFonts w:hint="eastAsia" w:ascii="Times New Roman" w:hAnsi="Times New Roman"/>
          <w:sz w:val="24"/>
        </w:rPr>
        <w:t>、</w:t>
      </w:r>
      <w:r>
        <w:rPr>
          <w:rFonts w:ascii="Times New Roman" w:hAnsi="Times New Roman"/>
          <w:sz w:val="24"/>
        </w:rPr>
        <w:t>4</w:t>
      </w:r>
      <w:r>
        <w:rPr>
          <w:rFonts w:hint="eastAsia" w:ascii="Times New Roman" w:hAnsi="Times New Roman"/>
          <w:sz w:val="24"/>
        </w:rPr>
        <w:t>交通标志原则上应单独立杆，如多个标志牌在一根支柱上并设时，应按警告、禁令、指示的顺序，先上后下，先左后右的排列。标志牌在与其他结构物位置重复或相近时可将标志牌与之并杆或附设其上。</w:t>
      </w:r>
    </w:p>
    <w:p>
      <w:pPr>
        <w:tabs>
          <w:tab w:val="left" w:pos="-2520"/>
        </w:tabs>
        <w:spacing w:line="440" w:lineRule="exact"/>
        <w:rPr>
          <w:rFonts w:ascii="Times New Roman" w:hAnsi="Times New Roman"/>
          <w:sz w:val="24"/>
        </w:rPr>
      </w:pPr>
      <w:r>
        <w:rPr>
          <w:rFonts w:ascii="Times New Roman" w:hAnsi="Times New Roman"/>
          <w:sz w:val="24"/>
        </w:rPr>
        <w:t>1</w:t>
      </w:r>
      <w:r>
        <w:rPr>
          <w:rFonts w:hint="eastAsia" w:ascii="Times New Roman" w:hAnsi="Times New Roman"/>
          <w:sz w:val="24"/>
        </w:rPr>
        <w:t>、</w:t>
      </w:r>
      <w:r>
        <w:rPr>
          <w:rFonts w:ascii="Times New Roman" w:hAnsi="Times New Roman"/>
          <w:sz w:val="24"/>
        </w:rPr>
        <w:t>5</w:t>
      </w:r>
      <w:r>
        <w:rPr>
          <w:rFonts w:hint="eastAsia" w:ascii="Times New Roman" w:hAnsi="Times New Roman"/>
          <w:sz w:val="24"/>
        </w:rPr>
        <w:t>标志反光薄膜采用</w:t>
      </w:r>
      <w:r>
        <w:rPr>
          <w:rFonts w:ascii="Times New Roman" w:hAnsi="Times New Roman"/>
          <w:sz w:val="24"/>
          <w:shd w:val="clear" w:color="auto" w:fill="FFFFFF"/>
        </w:rPr>
        <w:t>III</w:t>
      </w:r>
      <w:r>
        <w:rPr>
          <w:rFonts w:hint="eastAsia" w:ascii="Times New Roman" w:hAnsi="Times New Roman"/>
          <w:sz w:val="24"/>
          <w:shd w:val="clear" w:color="auto" w:fill="FFFFFF"/>
        </w:rPr>
        <w:t>类超强级反光膜</w:t>
      </w:r>
      <w:r>
        <w:rPr>
          <w:rFonts w:hint="eastAsia" w:ascii="Times New Roman" w:hAnsi="Times New Roman"/>
          <w:sz w:val="24"/>
        </w:rPr>
        <w:t>。</w:t>
      </w:r>
    </w:p>
    <w:p>
      <w:pPr>
        <w:spacing w:line="440" w:lineRule="exact"/>
        <w:rPr>
          <w:rFonts w:ascii="Times New Roman" w:hAnsi="Times New Roman"/>
          <w:sz w:val="24"/>
        </w:rPr>
      </w:pPr>
      <w:r>
        <w:rPr>
          <w:rFonts w:ascii="Times New Roman" w:hAnsi="Times New Roman"/>
          <w:sz w:val="24"/>
        </w:rPr>
        <w:t xml:space="preserve">    </w:t>
      </w:r>
      <w:r>
        <w:rPr>
          <w:rFonts w:hint="eastAsia" w:ascii="Times New Roman" w:hAnsi="Times New Roman"/>
          <w:sz w:val="24"/>
        </w:rPr>
        <w:t>（</w:t>
      </w:r>
      <w:r>
        <w:rPr>
          <w:rFonts w:ascii="Times New Roman" w:hAnsi="Times New Roman"/>
          <w:sz w:val="24"/>
        </w:rPr>
        <w:t>1</w:t>
      </w:r>
      <w:r>
        <w:rPr>
          <w:rFonts w:hint="eastAsia" w:ascii="Times New Roman" w:hAnsi="Times New Roman"/>
          <w:sz w:val="24"/>
        </w:rPr>
        <w:t>）标志板采用</w:t>
      </w:r>
      <w:r>
        <w:rPr>
          <w:rFonts w:ascii="Times New Roman" w:hAnsi="Times New Roman"/>
          <w:sz w:val="24"/>
        </w:rPr>
        <w:t>3003</w:t>
      </w:r>
      <w:r>
        <w:rPr>
          <w:rFonts w:hint="eastAsia" w:ascii="Times New Roman" w:hAnsi="Times New Roman"/>
          <w:sz w:val="24"/>
        </w:rPr>
        <w:t>型铝合金板，为了保证版面的平整度及强度，版面面积不大于</w:t>
      </w:r>
      <w:r>
        <w:rPr>
          <w:rFonts w:ascii="Times New Roman" w:hAnsi="Times New Roman"/>
          <w:sz w:val="24"/>
        </w:rPr>
        <w:t>10m</w:t>
      </w:r>
      <w:r>
        <w:rPr>
          <w:rFonts w:ascii="Times New Roman" w:hAnsi="Times New Roman"/>
          <w:sz w:val="24"/>
          <w:vertAlign w:val="superscript"/>
        </w:rPr>
        <w:t>2</w:t>
      </w:r>
      <w:r>
        <w:rPr>
          <w:rFonts w:hint="eastAsia" w:ascii="Times New Roman" w:hAnsi="Times New Roman"/>
          <w:sz w:val="24"/>
        </w:rPr>
        <w:t>的底板采用</w:t>
      </w:r>
      <w:r>
        <w:rPr>
          <w:rFonts w:ascii="Times New Roman" w:hAnsi="Times New Roman"/>
          <w:sz w:val="24"/>
        </w:rPr>
        <w:t>2mm</w:t>
      </w:r>
      <w:r>
        <w:rPr>
          <w:rFonts w:hint="eastAsia" w:ascii="Times New Roman" w:hAnsi="Times New Roman"/>
          <w:sz w:val="24"/>
        </w:rPr>
        <w:t>厚的铝合金板，版面面积大于</w:t>
      </w:r>
      <w:r>
        <w:rPr>
          <w:rFonts w:ascii="Times New Roman" w:hAnsi="Times New Roman"/>
          <w:sz w:val="24"/>
        </w:rPr>
        <w:t>10m</w:t>
      </w:r>
      <w:r>
        <w:rPr>
          <w:rFonts w:ascii="Times New Roman" w:hAnsi="Times New Roman"/>
          <w:sz w:val="24"/>
          <w:vertAlign w:val="superscript"/>
        </w:rPr>
        <w:t>2</w:t>
      </w:r>
      <w:r>
        <w:rPr>
          <w:rFonts w:hint="eastAsia" w:ascii="Times New Roman" w:hAnsi="Times New Roman"/>
          <w:sz w:val="24"/>
        </w:rPr>
        <w:t>的底板采用</w:t>
      </w:r>
      <w:r>
        <w:rPr>
          <w:rFonts w:ascii="Times New Roman" w:hAnsi="Times New Roman"/>
          <w:sz w:val="24"/>
        </w:rPr>
        <w:t>3mm</w:t>
      </w:r>
      <w:r>
        <w:rPr>
          <w:rFonts w:hint="eastAsia" w:ascii="Times New Roman" w:hAnsi="Times New Roman"/>
          <w:sz w:val="24"/>
        </w:rPr>
        <w:t>厚的铝合金板。</w:t>
      </w:r>
    </w:p>
    <w:p>
      <w:pPr>
        <w:spacing w:line="440" w:lineRule="exact"/>
        <w:rPr>
          <w:rFonts w:ascii="Times New Roman" w:hAnsi="Times New Roman"/>
          <w:sz w:val="24"/>
        </w:rPr>
      </w:pPr>
      <w:r>
        <w:rPr>
          <w:rFonts w:ascii="Times New Roman" w:hAnsi="Times New Roman"/>
          <w:sz w:val="24"/>
        </w:rPr>
        <w:t xml:space="preserve">    </w:t>
      </w:r>
      <w:r>
        <w:rPr>
          <w:rFonts w:hint="eastAsia" w:ascii="Times New Roman" w:hAnsi="Times New Roman"/>
          <w:sz w:val="24"/>
        </w:rPr>
        <w:t>（</w:t>
      </w:r>
      <w:r>
        <w:rPr>
          <w:rFonts w:ascii="Times New Roman" w:hAnsi="Times New Roman"/>
          <w:sz w:val="24"/>
        </w:rPr>
        <w:t>2</w:t>
      </w:r>
      <w:r>
        <w:rPr>
          <w:rFonts w:hint="eastAsia" w:ascii="Times New Roman" w:hAnsi="Times New Roman"/>
          <w:sz w:val="24"/>
        </w:rPr>
        <w:t>）为了增加标志板强度，标志板边缘均采用折边处理，铝合金板和龙骨之间采用铝合金铆钉连接。铝合金龙骨和钢管之间采用方头螺栓及抱箍连接，钢管和基础之间采用直角地脚螺栓连接。</w:t>
      </w:r>
    </w:p>
    <w:p>
      <w:pPr>
        <w:spacing w:line="440" w:lineRule="exact"/>
        <w:rPr>
          <w:rFonts w:ascii="Times New Roman" w:hAnsi="Times New Roman"/>
          <w:sz w:val="24"/>
        </w:rPr>
      </w:pPr>
      <w:r>
        <w:rPr>
          <w:rFonts w:ascii="Times New Roman" w:hAnsi="Times New Roman"/>
          <w:sz w:val="24"/>
        </w:rPr>
        <w:t xml:space="preserve">    </w:t>
      </w:r>
      <w:r>
        <w:rPr>
          <w:rFonts w:hint="eastAsia" w:ascii="Times New Roman" w:hAnsi="Times New Roman"/>
          <w:sz w:val="24"/>
        </w:rPr>
        <w:t>（</w:t>
      </w:r>
      <w:r>
        <w:rPr>
          <w:rFonts w:ascii="Times New Roman" w:hAnsi="Times New Roman"/>
          <w:sz w:val="24"/>
        </w:rPr>
        <w:t>3</w:t>
      </w:r>
      <w:r>
        <w:rPr>
          <w:rFonts w:hint="eastAsia" w:ascii="Times New Roman" w:hAnsi="Times New Roman"/>
          <w:sz w:val="24"/>
        </w:rPr>
        <w:t>）交通标志结构形式的选择，主要考虑标志所提供信息的重要性、标志版面的尺寸及视认性等，本项</w:t>
      </w:r>
      <w:r>
        <w:rPr>
          <w:rFonts w:hint="eastAsia" w:ascii="Times New Roman" w:hAnsi="Times New Roman"/>
          <w:kern w:val="0"/>
          <w:sz w:val="24"/>
        </w:rPr>
        <w:t>标志</w:t>
      </w:r>
      <w:r>
        <w:rPr>
          <w:rFonts w:hint="eastAsia" w:ascii="Times New Roman" w:hAnsi="Times New Roman"/>
          <w:sz w:val="24"/>
        </w:rPr>
        <w:t>板的支撑方式为单柱式等。根据版面尺寸按承载能力极限状态和正常使用极限状态进行结构设计，风速取值为重现期为</w:t>
      </w:r>
      <w:r>
        <w:rPr>
          <w:rFonts w:ascii="Times New Roman" w:hAnsi="Times New Roman"/>
          <w:sz w:val="24"/>
        </w:rPr>
        <w:t>50</w:t>
      </w:r>
      <w:r>
        <w:rPr>
          <w:rFonts w:hint="eastAsia" w:ascii="Times New Roman" w:hAnsi="Times New Roman"/>
          <w:sz w:val="24"/>
        </w:rPr>
        <w:t>年</w:t>
      </w:r>
      <w:r>
        <w:rPr>
          <w:rFonts w:ascii="Times New Roman" w:hAnsi="Times New Roman"/>
          <w:sz w:val="24"/>
        </w:rPr>
        <w:t>10min</w:t>
      </w:r>
      <w:r>
        <w:rPr>
          <w:rFonts w:hint="eastAsia" w:ascii="Times New Roman" w:hAnsi="Times New Roman"/>
          <w:sz w:val="24"/>
        </w:rPr>
        <w:t>平均最大风速</w:t>
      </w:r>
      <w:r>
        <w:rPr>
          <w:rFonts w:ascii="Times New Roman" w:hAnsi="Times New Roman"/>
          <w:sz w:val="24"/>
        </w:rPr>
        <w:t>24m/s</w:t>
      </w:r>
      <w:r>
        <w:rPr>
          <w:rFonts w:hint="eastAsia" w:ascii="Times New Roman" w:hAnsi="Times New Roman"/>
          <w:sz w:val="24"/>
        </w:rPr>
        <w:t>。标志基础采用钢筋混凝土基础。</w:t>
      </w:r>
    </w:p>
    <w:p>
      <w:pPr>
        <w:spacing w:line="440" w:lineRule="exact"/>
        <w:rPr>
          <w:rFonts w:ascii="Times New Roman" w:hAnsi="Times New Roman"/>
          <w:sz w:val="24"/>
        </w:rPr>
      </w:pPr>
      <w:r>
        <w:rPr>
          <w:rFonts w:hint="eastAsia" w:ascii="Times New Roman" w:hAnsi="Times New Roman"/>
          <w:sz w:val="24"/>
        </w:rPr>
        <w:t>标志结构中所有的钢构件均应进行热浸处理，螺栓、螺母等连接构件的镀锌量为</w:t>
      </w:r>
      <w:r>
        <w:rPr>
          <w:rFonts w:ascii="Times New Roman" w:hAnsi="Times New Roman"/>
          <w:sz w:val="24"/>
        </w:rPr>
        <w:t>350g/m</w:t>
      </w:r>
      <w:r>
        <w:rPr>
          <w:rFonts w:ascii="Times New Roman" w:hAnsi="Times New Roman"/>
          <w:sz w:val="24"/>
          <w:vertAlign w:val="superscript"/>
        </w:rPr>
        <w:t>2</w:t>
      </w:r>
      <w:r>
        <w:rPr>
          <w:rFonts w:hint="eastAsia" w:ascii="Times New Roman" w:hAnsi="Times New Roman"/>
          <w:sz w:val="24"/>
        </w:rPr>
        <w:t>，其余均为</w:t>
      </w:r>
      <w:r>
        <w:rPr>
          <w:rFonts w:ascii="Times New Roman" w:hAnsi="Times New Roman"/>
          <w:sz w:val="24"/>
        </w:rPr>
        <w:t>600g/m</w:t>
      </w:r>
      <w:r>
        <w:rPr>
          <w:rFonts w:ascii="Times New Roman" w:hAnsi="Times New Roman"/>
          <w:sz w:val="24"/>
          <w:vertAlign w:val="superscript"/>
        </w:rPr>
        <w:t>2</w:t>
      </w:r>
      <w:r>
        <w:rPr>
          <w:rFonts w:hint="eastAsia" w:ascii="Times New Roman" w:hAnsi="Times New Roman"/>
          <w:sz w:val="24"/>
        </w:rPr>
        <w:t>。</w:t>
      </w:r>
      <w:bookmarkStart w:id="3" w:name="_Toc524168056"/>
      <w:bookmarkStart w:id="4" w:name="_Toc524104352"/>
      <w:bookmarkStart w:id="5" w:name="_Toc524165173"/>
      <w:r>
        <w:rPr>
          <w:rFonts w:ascii="Times New Roman" w:hAnsi="Times New Roman"/>
          <w:sz w:val="24"/>
        </w:rPr>
        <w:t xml:space="preserve"> </w:t>
      </w:r>
      <w:bookmarkEnd w:id="3"/>
      <w:bookmarkEnd w:id="4"/>
      <w:bookmarkEnd w:id="5"/>
      <w:bookmarkStart w:id="6" w:name="_Toc524686068"/>
      <w:bookmarkStart w:id="7" w:name="_Toc524168057"/>
      <w:bookmarkStart w:id="8" w:name="_Toc524165174"/>
    </w:p>
    <w:p>
      <w:pPr>
        <w:spacing w:line="440" w:lineRule="exact"/>
        <w:rPr>
          <w:rFonts w:ascii="Times New Roman" w:hAnsi="Times New Roman"/>
          <w:sz w:val="24"/>
        </w:rPr>
      </w:pPr>
      <w:r>
        <w:rPr>
          <w:rFonts w:ascii="Times New Roman" w:hAnsi="Times New Roman"/>
          <w:sz w:val="24"/>
        </w:rPr>
        <w:t>2</w:t>
      </w:r>
      <w:r>
        <w:rPr>
          <w:rFonts w:hint="eastAsia" w:ascii="Times New Roman" w:hAnsi="Times New Roman" w:cs="宋体"/>
          <w:kern w:val="0"/>
          <w:sz w:val="24"/>
          <w:lang w:val="zh-CN"/>
        </w:rPr>
        <w:t>、标线</w:t>
      </w:r>
      <w:bookmarkEnd w:id="6"/>
      <w:bookmarkStart w:id="9" w:name="_Toc524686069"/>
    </w:p>
    <w:p>
      <w:pPr>
        <w:spacing w:line="440" w:lineRule="exact"/>
        <w:rPr>
          <w:rFonts w:ascii="Times New Roman" w:hAnsi="Times New Roman"/>
          <w:sz w:val="24"/>
        </w:rPr>
      </w:pPr>
      <w:r>
        <w:rPr>
          <w:rFonts w:ascii="Times New Roman" w:hAnsi="Times New Roman" w:cs="宋体"/>
          <w:kern w:val="0"/>
          <w:sz w:val="24"/>
        </w:rPr>
        <w:t>2</w:t>
      </w:r>
      <w:r>
        <w:rPr>
          <w:rFonts w:hint="eastAsia" w:ascii="Times New Roman" w:hAnsi="Times New Roman" w:cs="宋体"/>
          <w:kern w:val="0"/>
          <w:sz w:val="24"/>
          <w:lang w:val="zh-CN"/>
        </w:rPr>
        <w:t>、</w:t>
      </w:r>
      <w:r>
        <w:rPr>
          <w:rFonts w:ascii="Times New Roman" w:hAnsi="Times New Roman" w:cs="宋体"/>
          <w:kern w:val="0"/>
          <w:sz w:val="24"/>
          <w:lang w:val="zh-CN"/>
        </w:rPr>
        <w:t xml:space="preserve">1 </w:t>
      </w:r>
      <w:r>
        <w:rPr>
          <w:rFonts w:hint="eastAsia" w:ascii="Times New Roman" w:hAnsi="Times New Roman" w:cs="宋体"/>
          <w:kern w:val="0"/>
          <w:sz w:val="24"/>
          <w:lang w:val="zh-CN"/>
        </w:rPr>
        <w:t>交通标线设计</w:t>
      </w:r>
      <w:bookmarkEnd w:id="9"/>
    </w:p>
    <w:p>
      <w:pPr>
        <w:spacing w:line="440" w:lineRule="exact"/>
        <w:rPr>
          <w:rFonts w:ascii="Times New Roman" w:hAnsi="Times New Roman" w:cs="宋体"/>
          <w:kern w:val="0"/>
          <w:sz w:val="24"/>
          <w:lang w:val="zh-CN"/>
        </w:rPr>
      </w:pPr>
      <w:r>
        <w:rPr>
          <w:rFonts w:hint="eastAsia" w:ascii="Times New Roman" w:hAnsi="Times New Roman" w:cs="宋体"/>
          <w:kern w:val="0"/>
          <w:sz w:val="24"/>
          <w:lang w:val="zh-CN"/>
        </w:rPr>
        <w:t>本项目标线类型主要有车行道边缘线、车行道分界线、导向箭头、减速让行标线等。</w:t>
      </w:r>
    </w:p>
    <w:p>
      <w:pPr>
        <w:spacing w:line="440" w:lineRule="exact"/>
        <w:rPr>
          <w:rFonts w:ascii="Times New Roman" w:hAnsi="Times New Roman" w:cs="宋体"/>
          <w:kern w:val="0"/>
          <w:sz w:val="24"/>
          <w:lang w:val="zh-CN"/>
        </w:rPr>
      </w:pPr>
      <w:r>
        <w:rPr>
          <w:rFonts w:hint="eastAsia" w:ascii="Times New Roman" w:hAnsi="Times New Roman" w:cs="宋体"/>
          <w:kern w:val="0"/>
          <w:sz w:val="24"/>
          <w:lang w:val="zh-CN"/>
        </w:rPr>
        <w:t>标线、导向箭头的布设应确保车流分道行驶，起导流作用，保证昼夜的视线诱导，车道分界要清晰、线向清楚、轮廓分明。</w:t>
      </w:r>
    </w:p>
    <w:p>
      <w:pPr>
        <w:spacing w:line="440" w:lineRule="exact"/>
        <w:rPr>
          <w:rFonts w:ascii="Times New Roman" w:hAnsi="Times New Roman" w:cs="宋体"/>
          <w:kern w:val="0"/>
          <w:sz w:val="24"/>
          <w:lang w:val="zh-CN"/>
        </w:rPr>
      </w:pPr>
      <w:r>
        <w:rPr>
          <w:rFonts w:hint="eastAsia" w:ascii="Times New Roman" w:hAnsi="Times New Roman" w:cs="宋体"/>
          <w:kern w:val="0"/>
          <w:sz w:val="24"/>
          <w:lang w:val="zh-CN"/>
        </w:rPr>
        <w:t>（</w:t>
      </w:r>
      <w:r>
        <w:rPr>
          <w:rFonts w:ascii="Times New Roman" w:hAnsi="Times New Roman" w:cs="宋体"/>
          <w:kern w:val="0"/>
          <w:sz w:val="24"/>
          <w:lang w:val="zh-CN"/>
        </w:rPr>
        <w:t>1</w:t>
      </w:r>
      <w:r>
        <w:rPr>
          <w:rFonts w:hint="eastAsia" w:ascii="Times New Roman" w:hAnsi="Times New Roman" w:cs="宋体"/>
          <w:kern w:val="0"/>
          <w:sz w:val="24"/>
          <w:lang w:val="zh-CN"/>
        </w:rPr>
        <w:t>）车行道边缘线：</w:t>
      </w:r>
    </w:p>
    <w:p>
      <w:pPr>
        <w:spacing w:line="440" w:lineRule="exact"/>
        <w:rPr>
          <w:rFonts w:ascii="Times New Roman" w:hAnsi="Times New Roman" w:cs="宋体"/>
          <w:kern w:val="0"/>
          <w:sz w:val="24"/>
          <w:lang w:val="zh-CN"/>
        </w:rPr>
      </w:pPr>
      <w:r>
        <w:rPr>
          <w:rFonts w:hint="eastAsia" w:ascii="Times New Roman" w:hAnsi="Times New Roman" w:cs="宋体"/>
          <w:kern w:val="0"/>
          <w:sz w:val="24"/>
          <w:lang w:val="zh-CN"/>
        </w:rPr>
        <w:t>车行道边缘线设在行车道两侧路缘带的内侧，为宽</w:t>
      </w:r>
      <w:r>
        <w:rPr>
          <w:rFonts w:ascii="Times New Roman" w:hAnsi="Times New Roman" w:cs="宋体"/>
          <w:kern w:val="0"/>
          <w:sz w:val="24"/>
          <w:lang w:val="zh-CN"/>
        </w:rPr>
        <w:t>15cm</w:t>
      </w:r>
      <w:r>
        <w:rPr>
          <w:rFonts w:hint="eastAsia" w:ascii="Times New Roman" w:hAnsi="Times New Roman" w:cs="宋体"/>
          <w:kern w:val="0"/>
          <w:sz w:val="24"/>
          <w:lang w:val="zh-CN"/>
        </w:rPr>
        <w:t>的白色实线。</w:t>
      </w:r>
    </w:p>
    <w:p>
      <w:pPr>
        <w:spacing w:line="440" w:lineRule="exact"/>
        <w:jc w:val="left"/>
        <w:rPr>
          <w:rFonts w:ascii="Times New Roman" w:hAnsi="Times New Roman" w:cs="宋体"/>
          <w:kern w:val="0"/>
          <w:sz w:val="24"/>
          <w:lang w:val="zh-CN"/>
        </w:rPr>
      </w:pPr>
      <w:r>
        <w:rPr>
          <w:rFonts w:hint="eastAsia" w:ascii="Times New Roman" w:hAnsi="Times New Roman" w:cs="宋体"/>
          <w:kern w:val="0"/>
          <w:sz w:val="24"/>
          <w:lang w:val="zh-CN"/>
        </w:rPr>
        <w:t>在机动车辆需要跨越边缘线的地方划白色虚线，画虚线时线长</w:t>
      </w:r>
      <w:r>
        <w:rPr>
          <w:rFonts w:ascii="Times New Roman" w:hAnsi="Times New Roman" w:cs="宋体"/>
          <w:kern w:val="0"/>
          <w:sz w:val="24"/>
          <w:lang w:val="zh-CN"/>
        </w:rPr>
        <w:t>2m</w:t>
      </w:r>
      <w:r>
        <w:rPr>
          <w:rFonts w:hint="eastAsia" w:ascii="Times New Roman" w:hAnsi="Times New Roman" w:cs="宋体"/>
          <w:kern w:val="0"/>
          <w:sz w:val="24"/>
          <w:lang w:val="zh-CN"/>
        </w:rPr>
        <w:t>，白线纵向净距</w:t>
      </w:r>
      <w:r>
        <w:rPr>
          <w:rFonts w:ascii="Times New Roman" w:hAnsi="Times New Roman" w:cs="宋体"/>
          <w:kern w:val="0"/>
          <w:sz w:val="24"/>
          <w:lang w:val="zh-CN"/>
        </w:rPr>
        <w:t>4m</w:t>
      </w:r>
      <w:r>
        <w:rPr>
          <w:rFonts w:hint="eastAsia" w:ascii="Times New Roman" w:hAnsi="Times New Roman" w:cs="宋体"/>
          <w:kern w:val="0"/>
          <w:sz w:val="24"/>
          <w:lang w:val="zh-CN"/>
        </w:rPr>
        <w:t>。</w:t>
      </w:r>
    </w:p>
    <w:p>
      <w:pPr>
        <w:spacing w:line="440" w:lineRule="exact"/>
        <w:rPr>
          <w:rFonts w:ascii="Times New Roman" w:hAnsi="Times New Roman" w:cs="宋体"/>
          <w:kern w:val="0"/>
          <w:sz w:val="24"/>
          <w:lang w:val="zh-CN"/>
        </w:rPr>
      </w:pPr>
      <w:r>
        <w:rPr>
          <w:rFonts w:hint="eastAsia" w:ascii="Times New Roman" w:hAnsi="Times New Roman" w:cs="宋体"/>
          <w:kern w:val="0"/>
          <w:sz w:val="24"/>
          <w:lang w:val="zh-CN"/>
        </w:rPr>
        <w:t>（</w:t>
      </w:r>
      <w:r>
        <w:rPr>
          <w:rFonts w:ascii="Times New Roman" w:hAnsi="Times New Roman" w:cs="宋体"/>
          <w:kern w:val="0"/>
          <w:sz w:val="24"/>
          <w:lang w:val="zh-CN"/>
        </w:rPr>
        <w:t>2</w:t>
      </w:r>
      <w:r>
        <w:rPr>
          <w:rFonts w:hint="eastAsia" w:ascii="Times New Roman" w:hAnsi="Times New Roman" w:cs="宋体"/>
          <w:kern w:val="0"/>
          <w:sz w:val="24"/>
          <w:lang w:val="zh-CN"/>
        </w:rPr>
        <w:t>）车行道分界线：</w:t>
      </w:r>
    </w:p>
    <w:p>
      <w:pPr>
        <w:tabs>
          <w:tab w:val="left" w:pos="-2520"/>
        </w:tabs>
        <w:spacing w:line="440" w:lineRule="exact"/>
        <w:rPr>
          <w:rFonts w:ascii="Times New Roman" w:hAnsi="Times New Roman" w:cs="宋体"/>
          <w:kern w:val="0"/>
          <w:sz w:val="24"/>
          <w:lang w:val="zh-CN"/>
        </w:rPr>
      </w:pPr>
      <w:r>
        <w:rPr>
          <w:rFonts w:hint="eastAsia" w:ascii="Times New Roman" w:hAnsi="Times New Roman" w:cs="宋体"/>
          <w:kern w:val="0"/>
          <w:sz w:val="24"/>
          <w:lang w:val="zh-CN"/>
        </w:rPr>
        <w:t>车行道分界线设在行车道之间，为白色虚线，线宽</w:t>
      </w:r>
      <w:r>
        <w:rPr>
          <w:rFonts w:ascii="Times New Roman" w:hAnsi="Times New Roman" w:cs="宋体"/>
          <w:kern w:val="0"/>
          <w:sz w:val="24"/>
          <w:lang w:val="zh-CN"/>
        </w:rPr>
        <w:t>15cm</w:t>
      </w:r>
      <w:r>
        <w:rPr>
          <w:rFonts w:hint="eastAsia" w:ascii="Times New Roman" w:hAnsi="Times New Roman" w:cs="宋体"/>
          <w:kern w:val="0"/>
          <w:sz w:val="24"/>
          <w:lang w:val="zh-CN"/>
        </w:rPr>
        <w:t>，实线长</w:t>
      </w:r>
      <w:r>
        <w:rPr>
          <w:rFonts w:ascii="Times New Roman" w:hAnsi="Times New Roman" w:cs="宋体"/>
          <w:kern w:val="0"/>
          <w:sz w:val="24"/>
          <w:lang w:val="zh-CN"/>
        </w:rPr>
        <w:t>4m</w:t>
      </w:r>
      <w:r>
        <w:rPr>
          <w:rFonts w:hint="eastAsia" w:ascii="Times New Roman" w:hAnsi="Times New Roman" w:cs="宋体"/>
          <w:kern w:val="0"/>
          <w:sz w:val="24"/>
          <w:lang w:val="zh-CN"/>
        </w:rPr>
        <w:t>，间隔</w:t>
      </w:r>
      <w:r>
        <w:rPr>
          <w:rFonts w:ascii="Times New Roman" w:hAnsi="Times New Roman" w:cs="宋体"/>
          <w:kern w:val="0"/>
          <w:sz w:val="24"/>
          <w:lang w:val="zh-CN"/>
        </w:rPr>
        <w:t>6m</w:t>
      </w:r>
      <w:r>
        <w:rPr>
          <w:rFonts w:hint="eastAsia" w:ascii="Times New Roman" w:hAnsi="Times New Roman" w:cs="宋体"/>
          <w:kern w:val="0"/>
          <w:sz w:val="24"/>
          <w:lang w:val="zh-CN"/>
        </w:rPr>
        <w:t>。</w:t>
      </w:r>
    </w:p>
    <w:p>
      <w:pPr>
        <w:spacing w:line="440" w:lineRule="exact"/>
        <w:rPr>
          <w:rFonts w:ascii="Times New Roman" w:hAnsi="Times New Roman" w:cs="宋体"/>
          <w:kern w:val="0"/>
          <w:sz w:val="24"/>
          <w:lang w:val="zh-CN"/>
        </w:rPr>
      </w:pPr>
      <w:r>
        <w:rPr>
          <w:rFonts w:hint="eastAsia" w:ascii="Times New Roman" w:hAnsi="Times New Roman" w:cs="宋体"/>
          <w:kern w:val="0"/>
          <w:sz w:val="24"/>
          <w:lang w:val="zh-CN"/>
        </w:rPr>
        <w:t>（</w:t>
      </w:r>
      <w:r>
        <w:rPr>
          <w:rFonts w:ascii="Times New Roman" w:hAnsi="Times New Roman" w:cs="宋体"/>
          <w:kern w:val="0"/>
          <w:sz w:val="24"/>
          <w:lang w:val="zh-CN"/>
        </w:rPr>
        <w:t>3</w:t>
      </w:r>
      <w:r>
        <w:rPr>
          <w:rFonts w:hint="eastAsia" w:ascii="Times New Roman" w:hAnsi="Times New Roman" w:cs="宋体"/>
          <w:kern w:val="0"/>
          <w:sz w:val="24"/>
          <w:lang w:val="zh-CN"/>
        </w:rPr>
        <w:t>）导向箭头</w:t>
      </w:r>
      <w:r>
        <w:rPr>
          <w:rFonts w:ascii="Times New Roman" w:hAnsi="Times New Roman" w:cs="宋体"/>
          <w:kern w:val="0"/>
          <w:sz w:val="24"/>
          <w:lang w:val="zh-CN"/>
        </w:rPr>
        <w:t xml:space="preserve"> </w:t>
      </w:r>
    </w:p>
    <w:p>
      <w:pPr>
        <w:tabs>
          <w:tab w:val="left" w:pos="-2520"/>
        </w:tabs>
        <w:spacing w:line="440" w:lineRule="exact"/>
        <w:rPr>
          <w:rFonts w:ascii="Times New Roman" w:hAnsi="Times New Roman" w:cs="宋体"/>
          <w:kern w:val="0"/>
          <w:sz w:val="24"/>
          <w:lang w:val="zh-CN"/>
        </w:rPr>
      </w:pPr>
      <w:r>
        <w:rPr>
          <w:rFonts w:hint="eastAsia" w:ascii="Times New Roman" w:hAnsi="Times New Roman" w:cs="宋体"/>
          <w:kern w:val="0"/>
          <w:sz w:val="24"/>
          <w:lang w:val="zh-CN"/>
        </w:rPr>
        <w:t>设计导向箭头采用</w:t>
      </w:r>
      <w:r>
        <w:rPr>
          <w:rFonts w:ascii="Times New Roman" w:hAnsi="Times New Roman" w:cs="宋体"/>
          <w:kern w:val="0"/>
          <w:sz w:val="24"/>
          <w:lang w:val="zh-CN"/>
        </w:rPr>
        <w:t>6m</w:t>
      </w:r>
      <w:r>
        <w:rPr>
          <w:rFonts w:hint="eastAsia" w:ascii="Times New Roman" w:hAnsi="Times New Roman" w:cs="宋体"/>
          <w:kern w:val="0"/>
          <w:sz w:val="24"/>
          <w:lang w:val="zh-CN"/>
        </w:rPr>
        <w:t>型号</w:t>
      </w:r>
      <w:r>
        <w:rPr>
          <w:rFonts w:ascii="Times New Roman" w:hAnsi="Times New Roman" w:cs="宋体"/>
          <w:kern w:val="0"/>
          <w:sz w:val="24"/>
          <w:lang w:val="zh-CN"/>
        </w:rPr>
        <w:t>.</w:t>
      </w:r>
      <w:r>
        <w:rPr>
          <w:rFonts w:hint="eastAsia" w:ascii="Times New Roman" w:hAnsi="Times New Roman" w:cs="宋体"/>
          <w:kern w:val="0"/>
          <w:sz w:val="24"/>
          <w:lang w:val="zh-CN"/>
        </w:rPr>
        <w:t>第一组</w:t>
      </w:r>
      <w:r>
        <w:rPr>
          <w:rFonts w:ascii="Times New Roman" w:hAnsi="Times New Roman" w:cs="宋体"/>
          <w:kern w:val="0"/>
          <w:sz w:val="24"/>
          <w:lang w:val="zh-CN"/>
        </w:rPr>
        <w:t xml:space="preserve"> </w:t>
      </w:r>
      <w:r>
        <w:rPr>
          <w:rFonts w:hint="eastAsia" w:ascii="Times New Roman" w:hAnsi="Times New Roman" w:cs="宋体"/>
          <w:kern w:val="0"/>
          <w:sz w:val="24"/>
          <w:lang w:val="zh-CN"/>
        </w:rPr>
        <w:t>箭头在距停止线</w:t>
      </w:r>
      <w:r>
        <w:rPr>
          <w:rFonts w:ascii="Times New Roman" w:hAnsi="Times New Roman" w:cs="宋体"/>
          <w:kern w:val="0"/>
          <w:sz w:val="24"/>
          <w:lang w:val="zh-CN"/>
        </w:rPr>
        <w:t>3m</w:t>
      </w:r>
      <w:r>
        <w:rPr>
          <w:rFonts w:hint="eastAsia" w:ascii="Times New Roman" w:hAnsi="Times New Roman" w:cs="宋体"/>
          <w:kern w:val="0"/>
          <w:sz w:val="24"/>
          <w:lang w:val="zh-CN"/>
        </w:rPr>
        <w:t>处设置；第二组在导向车道的起始位置，箭头起始端部与导向车道线起始端部平齐；第三组作为预告箭头，在距第二组箭头前</w:t>
      </w:r>
      <w:r>
        <w:rPr>
          <w:rFonts w:ascii="Times New Roman" w:hAnsi="Times New Roman" w:cs="宋体"/>
          <w:kern w:val="0"/>
          <w:sz w:val="24"/>
          <w:lang w:val="zh-CN"/>
        </w:rPr>
        <w:t>30</w:t>
      </w:r>
      <w:r>
        <w:rPr>
          <w:rFonts w:hint="eastAsia" w:ascii="Times New Roman" w:hAnsi="Times New Roman" w:cs="宋体"/>
          <w:kern w:val="0"/>
          <w:sz w:val="24"/>
          <w:lang w:val="zh-CN"/>
        </w:rPr>
        <w:t>～</w:t>
      </w:r>
      <w:r>
        <w:rPr>
          <w:rFonts w:ascii="Times New Roman" w:hAnsi="Times New Roman" w:cs="宋体"/>
          <w:kern w:val="0"/>
          <w:sz w:val="24"/>
          <w:lang w:val="zh-CN"/>
        </w:rPr>
        <w:t>50m</w:t>
      </w:r>
      <w:r>
        <w:rPr>
          <w:rFonts w:hint="eastAsia" w:ascii="Times New Roman" w:hAnsi="Times New Roman" w:cs="宋体"/>
          <w:kern w:val="0"/>
          <w:sz w:val="24"/>
          <w:lang w:val="zh-CN"/>
        </w:rPr>
        <w:t>间隔设置。</w:t>
      </w:r>
    </w:p>
    <w:p>
      <w:pPr>
        <w:spacing w:line="440" w:lineRule="exact"/>
        <w:rPr>
          <w:rFonts w:ascii="Times New Roman" w:hAnsi="Times New Roman" w:cs="宋体"/>
          <w:kern w:val="0"/>
          <w:sz w:val="24"/>
          <w:lang w:val="zh-CN"/>
        </w:rPr>
      </w:pPr>
      <w:r>
        <w:rPr>
          <w:rFonts w:hint="eastAsia" w:ascii="Times New Roman" w:hAnsi="Times New Roman" w:cs="宋体"/>
          <w:kern w:val="0"/>
          <w:sz w:val="24"/>
          <w:lang w:val="zh-CN"/>
        </w:rPr>
        <w:t>（</w:t>
      </w:r>
      <w:r>
        <w:rPr>
          <w:rFonts w:ascii="Times New Roman" w:hAnsi="Times New Roman" w:cs="宋体"/>
          <w:kern w:val="0"/>
          <w:sz w:val="24"/>
          <w:lang w:val="zh-CN"/>
        </w:rPr>
        <w:t>4</w:t>
      </w:r>
      <w:r>
        <w:rPr>
          <w:rFonts w:hint="eastAsia" w:ascii="Times New Roman" w:hAnsi="Times New Roman" w:cs="宋体"/>
          <w:kern w:val="0"/>
          <w:sz w:val="24"/>
          <w:lang w:val="zh-CN"/>
        </w:rPr>
        <w:t>）停止线：</w:t>
      </w:r>
    </w:p>
    <w:p>
      <w:pPr>
        <w:spacing w:line="440" w:lineRule="exact"/>
        <w:rPr>
          <w:rFonts w:ascii="Times New Roman" w:hAnsi="Times New Roman" w:cs="宋体"/>
          <w:kern w:val="0"/>
          <w:sz w:val="24"/>
          <w:lang w:val="zh-CN"/>
        </w:rPr>
      </w:pPr>
      <w:r>
        <w:rPr>
          <w:rFonts w:hint="eastAsia" w:ascii="Times New Roman" w:hAnsi="Times New Roman" w:cs="宋体"/>
          <w:kern w:val="0"/>
          <w:sz w:val="24"/>
          <w:lang w:val="zh-CN"/>
        </w:rPr>
        <w:t>停止线为白色实线，线宽</w:t>
      </w:r>
      <w:r>
        <w:rPr>
          <w:rFonts w:ascii="Times New Roman" w:hAnsi="Times New Roman" w:cs="宋体"/>
          <w:kern w:val="0"/>
          <w:sz w:val="24"/>
          <w:lang w:val="zh-CN"/>
        </w:rPr>
        <w:t>40cm</w:t>
      </w:r>
      <w:r>
        <w:rPr>
          <w:rFonts w:hint="eastAsia" w:ascii="Times New Roman" w:hAnsi="Times New Roman" w:cs="宋体"/>
          <w:kern w:val="0"/>
          <w:sz w:val="24"/>
          <w:lang w:val="zh-CN"/>
        </w:rPr>
        <w:t>，距相交道路边线</w:t>
      </w:r>
      <w:r>
        <w:rPr>
          <w:rFonts w:ascii="Times New Roman" w:hAnsi="Times New Roman" w:cs="宋体"/>
          <w:kern w:val="0"/>
          <w:sz w:val="24"/>
          <w:lang w:val="zh-CN"/>
        </w:rPr>
        <w:t>2m</w:t>
      </w:r>
      <w:r>
        <w:rPr>
          <w:rFonts w:hint="eastAsia" w:ascii="Times New Roman" w:hAnsi="Times New Roman" w:cs="宋体"/>
          <w:kern w:val="0"/>
          <w:sz w:val="24"/>
          <w:lang w:val="zh-CN"/>
        </w:rPr>
        <w:t>。</w:t>
      </w:r>
    </w:p>
    <w:p>
      <w:pPr>
        <w:spacing w:line="440" w:lineRule="exact"/>
        <w:rPr>
          <w:rFonts w:ascii="Times New Roman" w:hAnsi="Times New Roman" w:cs="宋体"/>
          <w:kern w:val="0"/>
          <w:sz w:val="24"/>
          <w:lang w:val="zh-CN"/>
        </w:rPr>
      </w:pPr>
      <w:r>
        <w:rPr>
          <w:rFonts w:hint="eastAsia" w:ascii="Times New Roman" w:hAnsi="Times New Roman" w:cs="宋体"/>
          <w:kern w:val="0"/>
          <w:sz w:val="24"/>
          <w:lang w:val="zh-CN"/>
        </w:rPr>
        <w:t>（</w:t>
      </w:r>
      <w:r>
        <w:rPr>
          <w:rFonts w:ascii="Times New Roman" w:hAnsi="Times New Roman" w:cs="宋体"/>
          <w:kern w:val="0"/>
          <w:sz w:val="24"/>
          <w:lang w:val="zh-CN"/>
        </w:rPr>
        <w:t>5</w:t>
      </w:r>
      <w:r>
        <w:rPr>
          <w:rFonts w:hint="eastAsia" w:ascii="Times New Roman" w:hAnsi="Times New Roman" w:cs="宋体"/>
          <w:kern w:val="0"/>
          <w:sz w:val="24"/>
          <w:lang w:val="zh-CN"/>
        </w:rPr>
        <w:t>）减速让行标线：</w:t>
      </w:r>
    </w:p>
    <w:p>
      <w:pPr>
        <w:spacing w:line="440" w:lineRule="exact"/>
        <w:rPr>
          <w:rFonts w:ascii="Times New Roman" w:hAnsi="Times New Roman" w:cs="宋体"/>
          <w:kern w:val="0"/>
          <w:sz w:val="24"/>
          <w:lang w:val="zh-CN"/>
        </w:rPr>
      </w:pPr>
      <w:r>
        <w:rPr>
          <w:rFonts w:hint="eastAsia" w:ascii="Times New Roman" w:hAnsi="Times New Roman" w:cs="宋体"/>
          <w:kern w:val="0"/>
          <w:sz w:val="24"/>
          <w:lang w:val="zh-CN"/>
        </w:rPr>
        <w:t>减速让行线应由两条平行的白色虚线和一个白色倒三角形组成，虚线线段及间隔长应分别为</w:t>
      </w:r>
      <w:r>
        <w:rPr>
          <w:rFonts w:ascii="Times New Roman" w:hAnsi="Times New Roman" w:cs="宋体"/>
          <w:kern w:val="0"/>
          <w:sz w:val="24"/>
          <w:lang w:val="zh-CN"/>
        </w:rPr>
        <w:t>60cm</w:t>
      </w:r>
      <w:r>
        <w:rPr>
          <w:rFonts w:hint="eastAsia" w:ascii="Times New Roman" w:hAnsi="Times New Roman" w:cs="宋体"/>
          <w:kern w:val="0"/>
          <w:sz w:val="24"/>
          <w:lang w:val="zh-CN"/>
        </w:rPr>
        <w:t>和</w:t>
      </w:r>
      <w:r>
        <w:rPr>
          <w:rFonts w:ascii="Times New Roman" w:hAnsi="Times New Roman" w:cs="宋体"/>
          <w:kern w:val="0"/>
          <w:sz w:val="24"/>
          <w:lang w:val="zh-CN"/>
        </w:rPr>
        <w:t>20cm</w:t>
      </w:r>
      <w:r>
        <w:rPr>
          <w:rFonts w:hint="eastAsia" w:ascii="Times New Roman" w:hAnsi="Times New Roman" w:cs="宋体"/>
          <w:kern w:val="0"/>
          <w:sz w:val="24"/>
          <w:lang w:val="zh-CN"/>
        </w:rPr>
        <w:t>，线宽应为</w:t>
      </w:r>
      <w:r>
        <w:rPr>
          <w:rFonts w:ascii="Times New Roman" w:hAnsi="Times New Roman" w:cs="宋体"/>
          <w:kern w:val="0"/>
          <w:sz w:val="24"/>
          <w:lang w:val="zh-CN"/>
        </w:rPr>
        <w:t>20cm</w:t>
      </w:r>
      <w:r>
        <w:rPr>
          <w:rFonts w:hint="eastAsia" w:ascii="Times New Roman" w:hAnsi="Times New Roman" w:cs="宋体"/>
          <w:kern w:val="0"/>
          <w:sz w:val="24"/>
          <w:lang w:val="zh-CN"/>
        </w:rPr>
        <w:t>，线间距应为</w:t>
      </w:r>
      <w:r>
        <w:rPr>
          <w:rFonts w:ascii="Times New Roman" w:hAnsi="Times New Roman" w:cs="宋体"/>
          <w:kern w:val="0"/>
          <w:sz w:val="24"/>
          <w:lang w:val="zh-CN"/>
        </w:rPr>
        <w:t>20cm</w:t>
      </w:r>
      <w:r>
        <w:rPr>
          <w:rFonts w:hint="eastAsia" w:ascii="Times New Roman" w:hAnsi="Times New Roman" w:cs="宋体"/>
          <w:kern w:val="0"/>
          <w:sz w:val="24"/>
          <w:lang w:val="zh-CN"/>
        </w:rPr>
        <w:t>；倒三角形底宽应为</w:t>
      </w:r>
      <w:r>
        <w:rPr>
          <w:rFonts w:ascii="Times New Roman" w:hAnsi="Times New Roman" w:cs="宋体"/>
          <w:kern w:val="0"/>
          <w:sz w:val="24"/>
          <w:lang w:val="zh-CN"/>
        </w:rPr>
        <w:t>120cm</w:t>
      </w:r>
      <w:r>
        <w:rPr>
          <w:rFonts w:hint="eastAsia" w:ascii="Times New Roman" w:hAnsi="Times New Roman" w:cs="宋体"/>
          <w:kern w:val="0"/>
          <w:sz w:val="24"/>
          <w:lang w:val="zh-CN"/>
        </w:rPr>
        <w:t>，高应为</w:t>
      </w:r>
      <w:r>
        <w:rPr>
          <w:rFonts w:ascii="Times New Roman" w:hAnsi="Times New Roman" w:cs="宋体"/>
          <w:kern w:val="0"/>
          <w:sz w:val="24"/>
          <w:lang w:val="zh-CN"/>
        </w:rPr>
        <w:t>300cm</w:t>
      </w:r>
      <w:r>
        <w:rPr>
          <w:rFonts w:hint="eastAsia" w:ascii="Times New Roman" w:hAnsi="Times New Roman" w:cs="宋体"/>
          <w:kern w:val="0"/>
          <w:sz w:val="24"/>
          <w:lang w:val="zh-CN"/>
        </w:rPr>
        <w:t>，距离白色虚线应为</w:t>
      </w:r>
      <w:r>
        <w:rPr>
          <w:rFonts w:ascii="Times New Roman" w:hAnsi="Times New Roman" w:cs="宋体"/>
          <w:kern w:val="0"/>
          <w:sz w:val="24"/>
          <w:lang w:val="zh-CN"/>
        </w:rPr>
        <w:t>2m</w:t>
      </w:r>
      <w:r>
        <w:rPr>
          <w:rFonts w:hint="eastAsia" w:ascii="Times New Roman" w:hAnsi="Times New Roman" w:cs="宋体"/>
          <w:kern w:val="0"/>
          <w:sz w:val="24"/>
          <w:lang w:val="zh-CN"/>
        </w:rPr>
        <w:t>～</w:t>
      </w:r>
      <w:r>
        <w:rPr>
          <w:rFonts w:ascii="Times New Roman" w:hAnsi="Times New Roman" w:cs="宋体"/>
          <w:kern w:val="0"/>
          <w:sz w:val="24"/>
          <w:lang w:val="zh-CN"/>
        </w:rPr>
        <w:t>2.5m</w:t>
      </w:r>
      <w:r>
        <w:rPr>
          <w:rFonts w:hint="eastAsia" w:ascii="Times New Roman" w:hAnsi="Times New Roman" w:cs="宋体"/>
          <w:kern w:val="0"/>
          <w:sz w:val="24"/>
          <w:lang w:val="zh-CN"/>
        </w:rPr>
        <w:t>。底线宽应为</w:t>
      </w:r>
      <w:r>
        <w:rPr>
          <w:rFonts w:ascii="Times New Roman" w:hAnsi="Times New Roman" w:cs="宋体"/>
          <w:kern w:val="0"/>
          <w:sz w:val="24"/>
          <w:lang w:val="zh-CN"/>
        </w:rPr>
        <w:t>40cm</w:t>
      </w:r>
      <w:r>
        <w:rPr>
          <w:rFonts w:hint="eastAsia" w:ascii="Times New Roman" w:hAnsi="Times New Roman" w:cs="宋体"/>
          <w:kern w:val="0"/>
          <w:sz w:val="24"/>
          <w:lang w:val="zh-CN"/>
        </w:rPr>
        <w:t>或</w:t>
      </w:r>
      <w:r>
        <w:rPr>
          <w:rFonts w:ascii="Times New Roman" w:hAnsi="Times New Roman" w:cs="宋体"/>
          <w:kern w:val="0"/>
          <w:sz w:val="24"/>
          <w:lang w:val="zh-CN"/>
        </w:rPr>
        <w:t>45cm</w:t>
      </w:r>
      <w:r>
        <w:rPr>
          <w:rFonts w:hint="eastAsia" w:ascii="Times New Roman" w:hAnsi="Times New Roman" w:cs="宋体"/>
          <w:kern w:val="0"/>
          <w:sz w:val="24"/>
          <w:lang w:val="zh-CN"/>
        </w:rPr>
        <w:t>，腰线宽应为</w:t>
      </w:r>
      <w:r>
        <w:rPr>
          <w:rFonts w:ascii="Times New Roman" w:hAnsi="Times New Roman" w:cs="宋体"/>
          <w:kern w:val="0"/>
          <w:sz w:val="24"/>
          <w:lang w:val="zh-CN"/>
        </w:rPr>
        <w:t>15cm</w:t>
      </w:r>
      <w:r>
        <w:rPr>
          <w:rFonts w:hint="eastAsia" w:ascii="Times New Roman" w:hAnsi="Times New Roman" w:cs="宋体"/>
          <w:kern w:val="0"/>
          <w:sz w:val="24"/>
          <w:lang w:val="zh-CN"/>
        </w:rPr>
        <w:t>。</w:t>
      </w:r>
      <w:bookmarkStart w:id="10" w:name="_Toc524686070"/>
    </w:p>
    <w:p>
      <w:pPr>
        <w:spacing w:line="440" w:lineRule="exact"/>
        <w:rPr>
          <w:rFonts w:ascii="Times New Roman" w:hAnsi="Times New Roman" w:cs="宋体"/>
          <w:kern w:val="0"/>
          <w:sz w:val="24"/>
          <w:lang w:val="zh-CN"/>
        </w:rPr>
      </w:pPr>
      <w:r>
        <w:rPr>
          <w:rFonts w:ascii="Times New Roman" w:hAnsi="Times New Roman" w:cs="宋体"/>
          <w:kern w:val="0"/>
          <w:sz w:val="24"/>
        </w:rPr>
        <w:t>2</w:t>
      </w:r>
      <w:r>
        <w:rPr>
          <w:rFonts w:hint="eastAsia" w:ascii="Times New Roman" w:hAnsi="Times New Roman" w:cs="宋体"/>
          <w:kern w:val="0"/>
          <w:sz w:val="24"/>
          <w:lang w:val="zh-CN"/>
        </w:rPr>
        <w:t>、</w:t>
      </w:r>
      <w:r>
        <w:rPr>
          <w:rFonts w:ascii="Times New Roman" w:hAnsi="Times New Roman" w:cs="宋体"/>
          <w:kern w:val="0"/>
          <w:sz w:val="24"/>
          <w:lang w:val="zh-CN"/>
        </w:rPr>
        <w:t xml:space="preserve">2 </w:t>
      </w:r>
      <w:r>
        <w:rPr>
          <w:rFonts w:hint="eastAsia" w:ascii="Times New Roman" w:hAnsi="Times New Roman" w:cs="宋体"/>
          <w:kern w:val="0"/>
          <w:sz w:val="24"/>
          <w:lang w:val="zh-CN"/>
        </w:rPr>
        <w:t>标线材料要求</w:t>
      </w:r>
      <w:bookmarkEnd w:id="10"/>
    </w:p>
    <w:p>
      <w:pPr>
        <w:spacing w:line="440" w:lineRule="exact"/>
        <w:rPr>
          <w:rFonts w:ascii="Times New Roman" w:hAnsi="Times New Roman" w:cs="宋体"/>
          <w:kern w:val="0"/>
          <w:sz w:val="24"/>
          <w:lang w:val="zh-CN"/>
        </w:rPr>
      </w:pPr>
      <w:r>
        <w:rPr>
          <w:rFonts w:hint="eastAsia" w:ascii="Times New Roman" w:hAnsi="Times New Roman" w:cs="宋体"/>
          <w:kern w:val="0"/>
          <w:sz w:val="24"/>
          <w:lang w:val="zh-CN"/>
        </w:rPr>
        <w:t>标线采用热熔反光型标线涂料，表面撒布玻璃微珠。这种标线涂料的特点是与路面粘结力强，干燥迅速，具有良好的耐磨性、持久力、抗滑性、反光效果好并具有良好的视认性。</w:t>
      </w:r>
    </w:p>
    <w:p>
      <w:pPr>
        <w:spacing w:line="440" w:lineRule="exact"/>
        <w:rPr>
          <w:rFonts w:ascii="Times New Roman" w:hAnsi="Times New Roman" w:cs="宋体"/>
          <w:kern w:val="0"/>
          <w:sz w:val="24"/>
          <w:lang w:val="zh-CN"/>
        </w:rPr>
      </w:pPr>
      <w:r>
        <w:rPr>
          <w:rFonts w:hint="eastAsia" w:ascii="Times New Roman" w:hAnsi="Times New Roman" w:cs="宋体"/>
          <w:kern w:val="0"/>
          <w:sz w:val="24"/>
          <w:lang w:val="zh-CN"/>
        </w:rPr>
        <w:t>涂料必须具有与路面附着力强、干燥迅速及良好的耐磨性、耐候性、不粘污性、抗滑等特性；其中标线表面的抗滑性能必须不低于所在路段路面的抗滑性能。</w:t>
      </w:r>
    </w:p>
    <w:p>
      <w:pPr>
        <w:spacing w:line="440" w:lineRule="exact"/>
        <w:rPr>
          <w:rFonts w:ascii="Times New Roman" w:hAnsi="Times New Roman" w:cs="宋体"/>
          <w:kern w:val="0"/>
          <w:sz w:val="24"/>
          <w:lang w:val="zh-CN"/>
        </w:rPr>
      </w:pPr>
      <w:r>
        <w:rPr>
          <w:rFonts w:hint="eastAsia" w:ascii="Times New Roman" w:hAnsi="Times New Roman" w:cs="宋体"/>
          <w:kern w:val="0"/>
          <w:sz w:val="24"/>
          <w:lang w:val="zh-CN"/>
        </w:rPr>
        <w:t>交通标线颜色的色度性能等必须符合《道路交通标线质量要求和检测方法》（</w:t>
      </w:r>
      <w:r>
        <w:rPr>
          <w:rFonts w:ascii="Times New Roman" w:hAnsi="Times New Roman" w:cs="宋体"/>
          <w:kern w:val="0"/>
          <w:sz w:val="24"/>
          <w:lang w:val="zh-CN"/>
        </w:rPr>
        <w:t>GB/T 16311-2009</w:t>
      </w:r>
      <w:r>
        <w:rPr>
          <w:rFonts w:hint="eastAsia" w:ascii="Times New Roman" w:hAnsi="Times New Roman" w:cs="宋体"/>
          <w:kern w:val="0"/>
          <w:sz w:val="24"/>
          <w:lang w:val="zh-CN"/>
        </w:rPr>
        <w:t>）的规定。</w:t>
      </w:r>
    </w:p>
    <w:p>
      <w:pPr>
        <w:spacing w:line="440" w:lineRule="exact"/>
        <w:rPr>
          <w:rFonts w:ascii="Times New Roman" w:hAnsi="Times New Roman" w:cs="宋体"/>
          <w:kern w:val="0"/>
          <w:sz w:val="24"/>
          <w:lang w:val="zh-CN"/>
        </w:rPr>
      </w:pPr>
      <w:r>
        <w:rPr>
          <w:rFonts w:hint="eastAsia" w:ascii="Times New Roman" w:hAnsi="Times New Roman" w:cs="宋体"/>
          <w:kern w:val="0"/>
          <w:sz w:val="24"/>
          <w:lang w:val="zh-CN"/>
        </w:rPr>
        <w:t>热熔反光型涂料表面撒布玻璃珠，标线厚度</w:t>
      </w:r>
      <w:r>
        <w:rPr>
          <w:rFonts w:ascii="Times New Roman" w:hAnsi="Times New Roman" w:cs="宋体"/>
          <w:kern w:val="0"/>
          <w:sz w:val="24"/>
          <w:lang w:val="zh-CN"/>
        </w:rPr>
        <w:t>1.8</w:t>
      </w:r>
      <w:r>
        <w:rPr>
          <w:rFonts w:hint="eastAsia" w:ascii="Times New Roman" w:hAnsi="Times New Roman" w:cs="宋体"/>
          <w:kern w:val="0"/>
          <w:sz w:val="24"/>
          <w:lang w:val="zh-CN"/>
        </w:rPr>
        <w:t>±</w:t>
      </w:r>
      <w:r>
        <w:rPr>
          <w:rFonts w:ascii="Times New Roman" w:hAnsi="Times New Roman" w:cs="宋体"/>
          <w:kern w:val="0"/>
          <w:sz w:val="24"/>
          <w:lang w:val="zh-CN"/>
        </w:rPr>
        <w:t>0.2mm</w:t>
      </w:r>
      <w:r>
        <w:rPr>
          <w:rFonts w:hint="eastAsia" w:ascii="Times New Roman" w:hAnsi="Times New Roman" w:cs="宋体"/>
          <w:kern w:val="0"/>
          <w:sz w:val="24"/>
          <w:lang w:val="zh-CN"/>
        </w:rPr>
        <w:t>干膜，玻璃珠含量为</w:t>
      </w:r>
      <w:r>
        <w:rPr>
          <w:rFonts w:ascii="Times New Roman" w:hAnsi="Times New Roman" w:cs="宋体"/>
          <w:kern w:val="0"/>
          <w:sz w:val="24"/>
          <w:lang w:val="zh-CN"/>
        </w:rPr>
        <w:t>0.32kg/m2</w:t>
      </w:r>
      <w:r>
        <w:rPr>
          <w:rFonts w:hint="eastAsia" w:ascii="Times New Roman" w:hAnsi="Times New Roman" w:cs="宋体"/>
          <w:kern w:val="0"/>
          <w:sz w:val="24"/>
          <w:lang w:val="zh-CN"/>
        </w:rPr>
        <w:t>，玻璃珠折射率（</w:t>
      </w:r>
      <w:r>
        <w:rPr>
          <w:rFonts w:ascii="Times New Roman" w:hAnsi="Times New Roman" w:cs="宋体"/>
          <w:kern w:val="0"/>
          <w:sz w:val="24"/>
          <w:lang w:val="zh-CN"/>
        </w:rPr>
        <w:t>20</w:t>
      </w:r>
      <w:r>
        <w:rPr>
          <w:rFonts w:hint="eastAsia" w:ascii="Times New Roman" w:hAnsi="Times New Roman" w:cs="宋体"/>
          <w:kern w:val="0"/>
          <w:sz w:val="24"/>
          <w:lang w:val="zh-CN"/>
        </w:rPr>
        <w:t>℃浸渍法）＞</w:t>
      </w:r>
      <w:r>
        <w:rPr>
          <w:rFonts w:ascii="Times New Roman" w:hAnsi="Times New Roman" w:cs="宋体"/>
          <w:kern w:val="0"/>
          <w:sz w:val="24"/>
          <w:lang w:val="zh-CN"/>
        </w:rPr>
        <w:t>1.5</w:t>
      </w:r>
      <w:r>
        <w:rPr>
          <w:rFonts w:hint="eastAsia" w:ascii="Times New Roman" w:hAnsi="Times New Roman" w:cs="宋体"/>
          <w:kern w:val="0"/>
          <w:sz w:val="24"/>
          <w:lang w:val="zh-CN"/>
        </w:rPr>
        <w:t>。新划标线的初始逆反射亮度系数应符合</w:t>
      </w:r>
      <w:r>
        <w:rPr>
          <w:rFonts w:ascii="Times New Roman" w:hAnsi="Times New Roman" w:cs="宋体"/>
          <w:kern w:val="0"/>
          <w:sz w:val="24"/>
          <w:lang w:val="zh-CN"/>
        </w:rPr>
        <w:t>GB/T 21383</w:t>
      </w:r>
      <w:r>
        <w:rPr>
          <w:rFonts w:hint="eastAsia" w:ascii="Times New Roman" w:hAnsi="Times New Roman" w:cs="宋体"/>
          <w:kern w:val="0"/>
          <w:sz w:val="24"/>
          <w:lang w:val="zh-CN"/>
        </w:rPr>
        <w:t>的规定，白色反光标线的逆反射亮度系数不应低于</w:t>
      </w:r>
      <w:r>
        <w:rPr>
          <w:rFonts w:ascii="Times New Roman" w:hAnsi="Times New Roman" w:cs="宋体"/>
          <w:kern w:val="0"/>
          <w:sz w:val="24"/>
          <w:lang w:val="zh-CN"/>
        </w:rPr>
        <w:t>150mcd.m-2.lx-1</w:t>
      </w:r>
      <w:r>
        <w:rPr>
          <w:rFonts w:hint="eastAsia" w:ascii="Times New Roman" w:hAnsi="Times New Roman" w:cs="宋体"/>
          <w:kern w:val="0"/>
          <w:sz w:val="24"/>
          <w:lang w:val="zh-CN"/>
        </w:rPr>
        <w:t>，黄色反光标线的逆反射亮度系数不应低于</w:t>
      </w:r>
      <w:r>
        <w:rPr>
          <w:rFonts w:ascii="Times New Roman" w:hAnsi="Times New Roman" w:cs="宋体"/>
          <w:kern w:val="0"/>
          <w:sz w:val="24"/>
          <w:lang w:val="zh-CN"/>
        </w:rPr>
        <w:t>100mcd.m-2.lx-1</w:t>
      </w:r>
      <w:r>
        <w:rPr>
          <w:rFonts w:hint="eastAsia" w:ascii="Times New Roman" w:hAnsi="Times New Roman" w:cs="宋体"/>
          <w:kern w:val="0"/>
          <w:sz w:val="24"/>
          <w:lang w:val="zh-CN"/>
        </w:rPr>
        <w:t>。</w:t>
      </w:r>
      <w:bookmarkEnd w:id="7"/>
      <w:bookmarkEnd w:id="8"/>
    </w:p>
    <w:p>
      <w:pPr>
        <w:spacing w:line="360" w:lineRule="auto"/>
        <w:rPr>
          <w:rFonts w:ascii="仿宋_GB2312" w:hAnsi="宋体" w:eastAsia="仿宋_GB2312" w:cs="宋体"/>
          <w:sz w:val="32"/>
          <w:szCs w:val="32"/>
        </w:rPr>
      </w:pPr>
      <w:r>
        <w:rPr>
          <w:rFonts w:hint="eastAsia" w:ascii="Times New Roman" w:hAnsi="Times New Roman" w:cs="宋体"/>
          <w:kern w:val="0"/>
          <w:sz w:val="24"/>
          <w:lang w:val="zh-CN"/>
        </w:rPr>
        <w:t>3、外形尺寸：900*220mm，材质：高强度玻璃钢，表面喷涂绿色减少驾驶员视觉疲劳，底部制作钢支架与砼护栏或桥梁连接，平均使用寿命不少于3年。</w:t>
      </w:r>
    </w:p>
    <w:p>
      <w:pPr>
        <w:spacing w:line="440" w:lineRule="exact"/>
        <w:ind w:right="178" w:rightChars="85"/>
        <w:rPr>
          <w:rFonts w:ascii="Times New Roman" w:hAnsi="Times New Roman"/>
          <w:b/>
          <w:sz w:val="24"/>
          <w:lang w:val="zh-CN"/>
        </w:rPr>
      </w:pPr>
      <w:r>
        <w:rPr>
          <w:rFonts w:hint="eastAsia" w:ascii="Times New Roman" w:hAnsi="Times New Roman"/>
          <w:b/>
          <w:sz w:val="24"/>
          <w:lang w:val="zh-CN"/>
        </w:rPr>
        <w:t>二、质量要求：</w:t>
      </w:r>
      <w:bookmarkStart w:id="11" w:name="_Toc524165175"/>
      <w:bookmarkStart w:id="12" w:name="_Toc524168058"/>
      <w:bookmarkStart w:id="13" w:name="_Toc524104353"/>
    </w:p>
    <w:p>
      <w:pPr>
        <w:spacing w:line="440" w:lineRule="exact"/>
        <w:ind w:right="178" w:rightChars="85"/>
        <w:rPr>
          <w:rFonts w:ascii="Times New Roman" w:hAnsi="Times New Roman"/>
          <w:b/>
          <w:sz w:val="24"/>
          <w:lang w:val="zh-CN"/>
        </w:rPr>
      </w:pPr>
      <w:r>
        <w:rPr>
          <w:rFonts w:ascii="Times New Roman" w:hAnsi="Times New Roman"/>
          <w:sz w:val="24"/>
        </w:rPr>
        <w:t>1</w:t>
      </w:r>
      <w:r>
        <w:rPr>
          <w:rFonts w:hint="eastAsia" w:ascii="Times New Roman" w:hAnsi="Times New Roman"/>
          <w:sz w:val="24"/>
        </w:rPr>
        <w:t>、交通标志</w:t>
      </w:r>
      <w:bookmarkEnd w:id="11"/>
      <w:bookmarkEnd w:id="12"/>
      <w:bookmarkEnd w:id="13"/>
    </w:p>
    <w:p>
      <w:pPr>
        <w:spacing w:line="440" w:lineRule="exact"/>
        <w:ind w:right="178" w:rightChars="85"/>
        <w:rPr>
          <w:rFonts w:ascii="Times New Roman" w:hAnsi="Times New Roman"/>
          <w:b/>
          <w:sz w:val="24"/>
          <w:lang w:val="zh-CN"/>
        </w:rPr>
      </w:pPr>
      <w:r>
        <w:rPr>
          <w:rFonts w:ascii="Times New Roman" w:hAnsi="Times New Roman"/>
          <w:sz w:val="24"/>
        </w:rPr>
        <w:t>1</w:t>
      </w:r>
      <w:r>
        <w:rPr>
          <w:rFonts w:hint="eastAsia" w:ascii="Times New Roman" w:hAnsi="Times New Roman"/>
          <w:sz w:val="24"/>
        </w:rPr>
        <w:t>、</w:t>
      </w:r>
      <w:r>
        <w:rPr>
          <w:rFonts w:ascii="Times New Roman" w:hAnsi="Times New Roman"/>
          <w:sz w:val="24"/>
        </w:rPr>
        <w:t>1</w:t>
      </w:r>
      <w:r>
        <w:rPr>
          <w:rFonts w:hint="eastAsia" w:ascii="Times New Roman" w:hAnsi="Times New Roman"/>
          <w:sz w:val="24"/>
        </w:rPr>
        <w:t>标志底板采用铝合金板，铝合金板材的抗拉强度应不小于</w:t>
      </w:r>
      <w:r>
        <w:rPr>
          <w:rFonts w:ascii="Times New Roman" w:hAnsi="Times New Roman"/>
          <w:sz w:val="24"/>
        </w:rPr>
        <w:t>289.3Mpa</w:t>
      </w:r>
      <w:r>
        <w:rPr>
          <w:rFonts w:hint="eastAsia" w:ascii="Times New Roman" w:hAnsi="Times New Roman"/>
          <w:sz w:val="24"/>
        </w:rPr>
        <w:t>，屈服点不小于</w:t>
      </w:r>
      <w:r>
        <w:rPr>
          <w:rFonts w:ascii="Times New Roman" w:hAnsi="Times New Roman"/>
          <w:sz w:val="24"/>
        </w:rPr>
        <w:t>241.2Mpa</w:t>
      </w:r>
      <w:r>
        <w:rPr>
          <w:rFonts w:hint="eastAsia" w:ascii="Times New Roman" w:hAnsi="Times New Roman"/>
          <w:sz w:val="24"/>
        </w:rPr>
        <w:t>，延伸率不小于</w:t>
      </w:r>
      <w:r>
        <w:rPr>
          <w:rFonts w:ascii="Times New Roman" w:hAnsi="Times New Roman"/>
          <w:sz w:val="24"/>
        </w:rPr>
        <w:t>4% </w:t>
      </w:r>
      <w:r>
        <w:rPr>
          <w:rFonts w:hint="eastAsia" w:ascii="Times New Roman" w:hAnsi="Times New Roman"/>
          <w:sz w:val="24"/>
        </w:rPr>
        <w:t>～</w:t>
      </w:r>
      <w:r>
        <w:rPr>
          <w:rFonts w:ascii="Times New Roman" w:hAnsi="Times New Roman"/>
          <w:sz w:val="24"/>
        </w:rPr>
        <w:t>10%</w:t>
      </w:r>
      <w:r>
        <w:rPr>
          <w:rFonts w:hint="eastAsia" w:ascii="Times New Roman" w:hAnsi="Times New Roman"/>
          <w:sz w:val="24"/>
        </w:rPr>
        <w:t>。大型标志的板面结构，宜采用挤压成型的铝合金板拼装而成。</w:t>
      </w:r>
    </w:p>
    <w:p>
      <w:pPr>
        <w:tabs>
          <w:tab w:val="left" w:pos="-2520"/>
        </w:tabs>
        <w:spacing w:line="440" w:lineRule="exact"/>
        <w:rPr>
          <w:rFonts w:ascii="Times New Roman" w:hAnsi="Times New Roman"/>
          <w:sz w:val="24"/>
        </w:rPr>
      </w:pPr>
      <w:r>
        <w:rPr>
          <w:rFonts w:ascii="Times New Roman" w:hAnsi="Times New Roman"/>
          <w:sz w:val="24"/>
        </w:rPr>
        <w:t xml:space="preserve">   </w:t>
      </w:r>
      <w:r>
        <w:rPr>
          <w:rFonts w:hint="eastAsia" w:ascii="Times New Roman" w:hAnsi="Times New Roman"/>
          <w:sz w:val="24"/>
        </w:rPr>
        <w:t>（</w:t>
      </w:r>
      <w:r>
        <w:rPr>
          <w:rFonts w:ascii="Times New Roman" w:hAnsi="Times New Roman"/>
          <w:sz w:val="24"/>
        </w:rPr>
        <w:t>1</w:t>
      </w:r>
      <w:r>
        <w:rPr>
          <w:rFonts w:hint="eastAsia" w:ascii="Times New Roman" w:hAnsi="Times New Roman"/>
          <w:sz w:val="24"/>
        </w:rPr>
        <w:t>）标志板背面可选用美观大方颜色，铝合金板可采用原色。</w:t>
      </w:r>
    </w:p>
    <w:p>
      <w:pPr>
        <w:tabs>
          <w:tab w:val="left" w:pos="-2520"/>
        </w:tabs>
        <w:spacing w:line="440" w:lineRule="exact"/>
        <w:rPr>
          <w:rFonts w:ascii="Times New Roman" w:hAnsi="Times New Roman"/>
          <w:sz w:val="24"/>
        </w:rPr>
      </w:pPr>
      <w:r>
        <w:rPr>
          <w:rFonts w:ascii="Times New Roman" w:hAnsi="Times New Roman"/>
          <w:sz w:val="24"/>
        </w:rPr>
        <w:t xml:space="preserve">   </w:t>
      </w:r>
      <w:r>
        <w:rPr>
          <w:rFonts w:hint="eastAsia" w:ascii="Times New Roman" w:hAnsi="Times New Roman"/>
          <w:sz w:val="24"/>
        </w:rPr>
        <w:t>（</w:t>
      </w:r>
      <w:r>
        <w:rPr>
          <w:rFonts w:ascii="Times New Roman" w:hAnsi="Times New Roman"/>
          <w:sz w:val="24"/>
        </w:rPr>
        <w:t>2</w:t>
      </w:r>
      <w:r>
        <w:rPr>
          <w:rFonts w:hint="eastAsia" w:ascii="Times New Roman" w:hAnsi="Times New Roman"/>
          <w:sz w:val="24"/>
        </w:rPr>
        <w:t>）一般结构的标志板，应采用滑动槽钢加固，以方便与立柱连接。</w:t>
      </w:r>
    </w:p>
    <w:p>
      <w:pPr>
        <w:tabs>
          <w:tab w:val="left" w:pos="-2520"/>
        </w:tabs>
        <w:spacing w:line="440" w:lineRule="exact"/>
        <w:rPr>
          <w:rFonts w:ascii="Times New Roman" w:hAnsi="Times New Roman"/>
          <w:sz w:val="24"/>
        </w:rPr>
      </w:pPr>
      <w:r>
        <w:rPr>
          <w:rFonts w:ascii="Times New Roman" w:hAnsi="Times New Roman"/>
          <w:sz w:val="24"/>
        </w:rPr>
        <w:t>1</w:t>
      </w:r>
      <w:r>
        <w:rPr>
          <w:rFonts w:hint="eastAsia" w:ascii="Times New Roman" w:hAnsi="Times New Roman"/>
          <w:sz w:val="24"/>
        </w:rPr>
        <w:t>、</w:t>
      </w:r>
      <w:r>
        <w:rPr>
          <w:rFonts w:ascii="Times New Roman" w:hAnsi="Times New Roman"/>
          <w:sz w:val="24"/>
        </w:rPr>
        <w:t>2</w:t>
      </w:r>
      <w:r>
        <w:rPr>
          <w:rFonts w:hint="eastAsia" w:ascii="Times New Roman" w:hAnsi="Times New Roman"/>
          <w:sz w:val="24"/>
        </w:rPr>
        <w:t>交通标志立柱可选用</w:t>
      </w:r>
      <w:r>
        <w:rPr>
          <w:rFonts w:ascii="Times New Roman" w:hAnsi="Times New Roman"/>
          <w:sz w:val="24"/>
        </w:rPr>
        <w:t>H</w:t>
      </w:r>
      <w:r>
        <w:rPr>
          <w:rFonts w:hint="eastAsia" w:ascii="Times New Roman" w:hAnsi="Times New Roman"/>
          <w:sz w:val="24"/>
        </w:rPr>
        <w:t>型钢、槽钢、钢管及钢筋混凝土管等材料制做。钢柱应进行防腐处理，钢管顶端应加柱帽。标志柱应考虑与基础的连接方式。</w:t>
      </w:r>
    </w:p>
    <w:p>
      <w:pPr>
        <w:tabs>
          <w:tab w:val="left" w:pos="-2520"/>
        </w:tabs>
        <w:spacing w:line="440" w:lineRule="exact"/>
        <w:rPr>
          <w:rFonts w:ascii="Times New Roman" w:hAnsi="Times New Roman"/>
          <w:sz w:val="24"/>
        </w:rPr>
      </w:pPr>
      <w:r>
        <w:rPr>
          <w:rFonts w:ascii="Times New Roman" w:hAnsi="Times New Roman"/>
          <w:sz w:val="24"/>
        </w:rPr>
        <w:t>1</w:t>
      </w:r>
      <w:r>
        <w:rPr>
          <w:rFonts w:hint="eastAsia" w:ascii="Times New Roman" w:hAnsi="Times New Roman"/>
          <w:sz w:val="24"/>
        </w:rPr>
        <w:t>、</w:t>
      </w:r>
      <w:r>
        <w:rPr>
          <w:rFonts w:ascii="Times New Roman" w:hAnsi="Times New Roman"/>
          <w:sz w:val="24"/>
        </w:rPr>
        <w:t>3</w:t>
      </w:r>
      <w:r>
        <w:rPr>
          <w:rFonts w:hint="eastAsia" w:ascii="Times New Roman" w:hAnsi="Times New Roman"/>
          <w:sz w:val="24"/>
        </w:rPr>
        <w:t>钢制立柱、横梁、法兰盘及各种连接件，可采用热浸镀锌。立柱、横梁、法兰盘的镀锌量、厚度等符合国标要求。</w:t>
      </w:r>
    </w:p>
    <w:p>
      <w:pPr>
        <w:tabs>
          <w:tab w:val="left" w:pos="-2520"/>
        </w:tabs>
        <w:spacing w:line="440" w:lineRule="exact"/>
        <w:rPr>
          <w:rFonts w:ascii="Times New Roman" w:hAnsi="Times New Roman"/>
          <w:sz w:val="24"/>
        </w:rPr>
      </w:pPr>
      <w:r>
        <w:rPr>
          <w:rFonts w:ascii="Times New Roman" w:hAnsi="Times New Roman"/>
          <w:sz w:val="24"/>
        </w:rPr>
        <w:t>1</w:t>
      </w:r>
      <w:r>
        <w:rPr>
          <w:rFonts w:hint="eastAsia" w:ascii="Times New Roman" w:hAnsi="Times New Roman"/>
          <w:sz w:val="24"/>
        </w:rPr>
        <w:t>、</w:t>
      </w:r>
      <w:r>
        <w:rPr>
          <w:rFonts w:ascii="Times New Roman" w:hAnsi="Times New Roman"/>
          <w:sz w:val="24"/>
        </w:rPr>
        <w:t>4</w:t>
      </w:r>
      <w:r>
        <w:rPr>
          <w:rFonts w:hint="eastAsia" w:ascii="Times New Roman" w:hAnsi="Times New Roman"/>
          <w:sz w:val="24"/>
        </w:rPr>
        <w:t>各种标志立柱的断面尺寸，连接方式、基础大小等，应根据设置地点的风力、板面大小及支撑方式由计算确定。</w:t>
      </w:r>
    </w:p>
    <w:p>
      <w:pPr>
        <w:tabs>
          <w:tab w:val="left" w:pos="-2520"/>
        </w:tabs>
        <w:spacing w:line="440" w:lineRule="exact"/>
        <w:rPr>
          <w:rFonts w:ascii="Times New Roman" w:hAnsi="Times New Roman"/>
          <w:sz w:val="24"/>
        </w:rPr>
      </w:pPr>
      <w:r>
        <w:rPr>
          <w:rFonts w:ascii="Times New Roman" w:hAnsi="Times New Roman"/>
          <w:sz w:val="24"/>
        </w:rPr>
        <w:t xml:space="preserve">    </w:t>
      </w:r>
      <w:r>
        <w:rPr>
          <w:rFonts w:hint="eastAsia" w:ascii="Times New Roman" w:hAnsi="Times New Roman"/>
          <w:sz w:val="24"/>
        </w:rPr>
        <w:t>（</w:t>
      </w:r>
      <w:r>
        <w:rPr>
          <w:rFonts w:ascii="Times New Roman" w:hAnsi="Times New Roman"/>
          <w:sz w:val="24"/>
        </w:rPr>
        <w:t>1</w:t>
      </w:r>
      <w:r>
        <w:rPr>
          <w:rFonts w:hint="eastAsia" w:ascii="Times New Roman" w:hAnsi="Times New Roman"/>
          <w:sz w:val="24"/>
        </w:rPr>
        <w:t>）标志板和立柱的连接应根据板面大小、连接方式选用多种方法。在设计连接部件时，应考虑安装方便、连接牢固、板面平整。</w:t>
      </w:r>
    </w:p>
    <w:p>
      <w:pPr>
        <w:tabs>
          <w:tab w:val="left" w:pos="-2520"/>
        </w:tabs>
        <w:spacing w:line="440" w:lineRule="exact"/>
        <w:rPr>
          <w:rFonts w:ascii="Times New Roman" w:hAnsi="Times New Roman"/>
          <w:sz w:val="24"/>
        </w:rPr>
      </w:pPr>
      <w:r>
        <w:rPr>
          <w:rFonts w:ascii="Times New Roman" w:hAnsi="Times New Roman"/>
          <w:sz w:val="24"/>
        </w:rPr>
        <w:t xml:space="preserve">    </w:t>
      </w:r>
      <w:r>
        <w:rPr>
          <w:rFonts w:hint="eastAsia" w:ascii="Times New Roman" w:hAnsi="Times New Roman"/>
          <w:sz w:val="24"/>
        </w:rPr>
        <w:t>（</w:t>
      </w:r>
      <w:r>
        <w:rPr>
          <w:rFonts w:ascii="Times New Roman" w:hAnsi="Times New Roman"/>
          <w:sz w:val="24"/>
        </w:rPr>
        <w:t>2</w:t>
      </w:r>
      <w:r>
        <w:rPr>
          <w:rFonts w:hint="eastAsia" w:ascii="Times New Roman" w:hAnsi="Times New Roman"/>
          <w:sz w:val="24"/>
        </w:rPr>
        <w:t>）各种标志立柱的埋设深度，决定于板面承受外力的大小及地基的承载力。一般应浇注混凝土基础。立柱的金属预埋件应进行防腐处理。</w:t>
      </w:r>
      <w:bookmarkStart w:id="14" w:name="_Toc524686071"/>
      <w:bookmarkStart w:id="15" w:name="_Toc524165176"/>
      <w:bookmarkStart w:id="16" w:name="_Toc524533258"/>
      <w:bookmarkStart w:id="17" w:name="_Toc524104354"/>
      <w:bookmarkStart w:id="18" w:name="_Toc524104355"/>
      <w:bookmarkStart w:id="19" w:name="_Toc524168060"/>
      <w:bookmarkStart w:id="20" w:name="_Toc524165177"/>
    </w:p>
    <w:p>
      <w:pPr>
        <w:tabs>
          <w:tab w:val="left" w:pos="-2520"/>
        </w:tabs>
        <w:spacing w:line="440" w:lineRule="exact"/>
        <w:rPr>
          <w:rFonts w:ascii="Times New Roman" w:hAnsi="Times New Roman" w:cs="宋体"/>
          <w:sz w:val="24"/>
        </w:rPr>
      </w:pPr>
      <w:r>
        <w:rPr>
          <w:rFonts w:ascii="Times New Roman" w:hAnsi="Times New Roman"/>
          <w:sz w:val="24"/>
        </w:rPr>
        <w:t>2</w:t>
      </w:r>
      <w:r>
        <w:rPr>
          <w:rFonts w:hint="eastAsia" w:ascii="Times New Roman" w:hAnsi="Times New Roman" w:cs="宋体"/>
          <w:kern w:val="0"/>
          <w:sz w:val="24"/>
          <w:lang w:val="zh-CN"/>
        </w:rPr>
        <w:t>、标线</w:t>
      </w:r>
      <w:bookmarkEnd w:id="14"/>
    </w:p>
    <w:p>
      <w:pPr>
        <w:tabs>
          <w:tab w:val="left" w:pos="-2520"/>
        </w:tabs>
        <w:spacing w:line="440" w:lineRule="exact"/>
        <w:rPr>
          <w:rFonts w:ascii="Times New Roman" w:hAnsi="Times New Roman" w:cs="宋体"/>
          <w:kern w:val="0"/>
          <w:sz w:val="24"/>
          <w:lang w:val="zh-CN"/>
        </w:rPr>
      </w:pPr>
      <w:r>
        <w:rPr>
          <w:rFonts w:ascii="Times New Roman" w:hAnsi="Times New Roman" w:cs="宋体"/>
          <w:kern w:val="0"/>
          <w:sz w:val="24"/>
          <w:lang w:val="zh-CN"/>
        </w:rPr>
        <w:t>2</w:t>
      </w:r>
      <w:r>
        <w:rPr>
          <w:rFonts w:hint="eastAsia" w:ascii="Times New Roman" w:hAnsi="Times New Roman" w:cs="宋体"/>
          <w:kern w:val="0"/>
          <w:sz w:val="24"/>
          <w:lang w:val="zh-CN"/>
        </w:rPr>
        <w:t>、</w:t>
      </w:r>
      <w:r>
        <w:rPr>
          <w:rFonts w:ascii="Times New Roman" w:hAnsi="Times New Roman" w:cs="宋体"/>
          <w:kern w:val="0"/>
          <w:sz w:val="24"/>
          <w:lang w:val="zh-CN"/>
        </w:rPr>
        <w:t>1</w:t>
      </w:r>
      <w:r>
        <w:rPr>
          <w:rFonts w:hint="eastAsia" w:ascii="Times New Roman" w:hAnsi="Times New Roman" w:cs="宋体"/>
          <w:kern w:val="0"/>
          <w:sz w:val="24"/>
          <w:lang w:val="zh-CN"/>
        </w:rPr>
        <w:t>为了使标线在夜间具备较好的清晰度，需要使用寿命长、反光效果好的材料做标线，使用的标线涂料，应具备与路面粘结力强、干燥快及良好的耐磨性、持久性、抗滑性等特点。做出的标线应具有良好的视认性、宽度一致、间隔相等、边缘等齐、线形规则、线条流畅。本项目标线建议采用热融型加玻璃微珠、标号为</w:t>
      </w:r>
      <w:r>
        <w:rPr>
          <w:rFonts w:ascii="Times New Roman" w:hAnsi="Times New Roman" w:cs="宋体"/>
          <w:kern w:val="0"/>
          <w:sz w:val="24"/>
          <w:lang w:val="zh-CN"/>
        </w:rPr>
        <w:t>2</w:t>
      </w:r>
      <w:r>
        <w:rPr>
          <w:rFonts w:hint="eastAsia" w:ascii="Times New Roman" w:hAnsi="Times New Roman" w:cs="宋体"/>
          <w:kern w:val="0"/>
          <w:sz w:val="24"/>
          <w:lang w:val="zh-CN"/>
        </w:rPr>
        <w:t>号。</w:t>
      </w:r>
    </w:p>
    <w:p>
      <w:pPr>
        <w:tabs>
          <w:tab w:val="left" w:pos="-2520"/>
        </w:tabs>
        <w:spacing w:line="440" w:lineRule="exact"/>
        <w:rPr>
          <w:rFonts w:ascii="Times New Roman" w:hAnsi="Times New Roman" w:cs="宋体"/>
          <w:kern w:val="0"/>
          <w:sz w:val="24"/>
          <w:lang w:val="zh-CN"/>
        </w:rPr>
      </w:pPr>
      <w:r>
        <w:rPr>
          <w:rFonts w:ascii="Times New Roman" w:hAnsi="Times New Roman" w:cs="宋体"/>
          <w:kern w:val="0"/>
          <w:sz w:val="24"/>
          <w:lang w:val="zh-CN"/>
        </w:rPr>
        <w:t>2</w:t>
      </w:r>
      <w:r>
        <w:rPr>
          <w:rFonts w:hint="eastAsia" w:ascii="Times New Roman" w:hAnsi="Times New Roman" w:cs="宋体"/>
          <w:kern w:val="0"/>
          <w:sz w:val="24"/>
          <w:lang w:val="zh-CN"/>
        </w:rPr>
        <w:t>、</w:t>
      </w:r>
      <w:r>
        <w:rPr>
          <w:rFonts w:ascii="Times New Roman" w:hAnsi="Times New Roman" w:cs="宋体"/>
          <w:kern w:val="0"/>
          <w:sz w:val="24"/>
          <w:lang w:val="zh-CN"/>
        </w:rPr>
        <w:t>2</w:t>
      </w:r>
      <w:r>
        <w:rPr>
          <w:rFonts w:hint="eastAsia" w:ascii="Times New Roman" w:hAnsi="Times New Roman" w:cs="宋体"/>
          <w:kern w:val="0"/>
          <w:sz w:val="24"/>
          <w:lang w:val="zh-CN"/>
        </w:rPr>
        <w:t>道路交通标线的色度性能应符合</w:t>
      </w:r>
      <w:r>
        <w:rPr>
          <w:rFonts w:ascii="Times New Roman" w:hAnsi="Times New Roman" w:cs="宋体"/>
          <w:kern w:val="0"/>
          <w:sz w:val="24"/>
          <w:lang w:val="zh-CN"/>
        </w:rPr>
        <w:t>GB/T 16311</w:t>
      </w:r>
      <w:r>
        <w:rPr>
          <w:rFonts w:hint="eastAsia" w:ascii="Times New Roman" w:hAnsi="Times New Roman" w:cs="宋体"/>
          <w:kern w:val="0"/>
          <w:sz w:val="24"/>
          <w:lang w:val="zh-CN"/>
        </w:rPr>
        <w:t>的规定。</w:t>
      </w:r>
    </w:p>
    <w:p>
      <w:pPr>
        <w:tabs>
          <w:tab w:val="left" w:pos="-2520"/>
        </w:tabs>
        <w:spacing w:line="440" w:lineRule="exact"/>
        <w:rPr>
          <w:rFonts w:ascii="Times New Roman" w:hAnsi="Times New Roman" w:cs="宋体"/>
          <w:kern w:val="0"/>
          <w:sz w:val="24"/>
          <w:lang w:val="zh-CN"/>
        </w:rPr>
      </w:pPr>
      <w:r>
        <w:rPr>
          <w:rFonts w:ascii="Times New Roman" w:hAnsi="Times New Roman" w:cs="宋体"/>
          <w:kern w:val="0"/>
          <w:sz w:val="24"/>
          <w:lang w:val="zh-CN"/>
        </w:rPr>
        <w:t>2</w:t>
      </w:r>
      <w:r>
        <w:rPr>
          <w:rFonts w:hint="eastAsia" w:ascii="Times New Roman" w:hAnsi="Times New Roman" w:cs="宋体"/>
          <w:kern w:val="0"/>
          <w:sz w:val="24"/>
          <w:lang w:val="zh-CN"/>
        </w:rPr>
        <w:t>、</w:t>
      </w:r>
      <w:r>
        <w:rPr>
          <w:rFonts w:ascii="Times New Roman" w:hAnsi="Times New Roman" w:cs="宋体"/>
          <w:kern w:val="0"/>
          <w:sz w:val="24"/>
          <w:lang w:val="zh-CN"/>
        </w:rPr>
        <w:t>3</w:t>
      </w:r>
      <w:r>
        <w:rPr>
          <w:rFonts w:hint="eastAsia" w:ascii="Times New Roman" w:hAnsi="Times New Roman" w:cs="宋体"/>
          <w:kern w:val="0"/>
          <w:sz w:val="24"/>
          <w:lang w:val="zh-CN"/>
        </w:rPr>
        <w:t>路面标线涂料的技术要求应符合</w:t>
      </w:r>
      <w:r>
        <w:rPr>
          <w:rFonts w:ascii="Times New Roman" w:hAnsi="Times New Roman" w:cs="宋体"/>
          <w:kern w:val="0"/>
          <w:sz w:val="24"/>
          <w:lang w:val="zh-CN"/>
        </w:rPr>
        <w:t>JT/T 280</w:t>
      </w:r>
      <w:r>
        <w:rPr>
          <w:rFonts w:hint="eastAsia" w:ascii="Times New Roman" w:hAnsi="Times New Roman" w:cs="宋体"/>
          <w:kern w:val="0"/>
          <w:sz w:val="24"/>
          <w:lang w:val="zh-CN"/>
        </w:rPr>
        <w:t>、</w:t>
      </w:r>
      <w:r>
        <w:rPr>
          <w:rFonts w:ascii="Times New Roman" w:hAnsi="Times New Roman" w:cs="宋体"/>
          <w:kern w:val="0"/>
          <w:sz w:val="24"/>
          <w:lang w:val="zh-CN"/>
        </w:rPr>
        <w:t>GN47</w:t>
      </w:r>
      <w:r>
        <w:rPr>
          <w:rFonts w:hint="eastAsia" w:ascii="Times New Roman" w:hAnsi="Times New Roman" w:cs="宋体"/>
          <w:kern w:val="0"/>
          <w:sz w:val="24"/>
          <w:lang w:val="zh-CN"/>
        </w:rPr>
        <w:t>、</w:t>
      </w:r>
      <w:r>
        <w:rPr>
          <w:rFonts w:ascii="Times New Roman" w:hAnsi="Times New Roman" w:cs="宋体"/>
          <w:kern w:val="0"/>
          <w:sz w:val="24"/>
          <w:lang w:val="zh-CN"/>
        </w:rPr>
        <w:t>GN48</w:t>
      </w:r>
      <w:r>
        <w:rPr>
          <w:rFonts w:hint="eastAsia" w:ascii="Times New Roman" w:hAnsi="Times New Roman" w:cs="宋体"/>
          <w:kern w:val="0"/>
          <w:sz w:val="24"/>
          <w:lang w:val="zh-CN"/>
        </w:rPr>
        <w:t>的规定；</w:t>
      </w:r>
    </w:p>
    <w:p>
      <w:pPr>
        <w:tabs>
          <w:tab w:val="left" w:pos="-2520"/>
        </w:tabs>
        <w:spacing w:line="440" w:lineRule="exact"/>
        <w:rPr>
          <w:rFonts w:ascii="Times New Roman" w:hAnsi="Times New Roman" w:cs="宋体"/>
          <w:kern w:val="0"/>
          <w:sz w:val="24"/>
          <w:lang w:val="zh-CN"/>
        </w:rPr>
      </w:pPr>
      <w:r>
        <w:rPr>
          <w:rFonts w:ascii="Times New Roman" w:hAnsi="Times New Roman" w:cs="宋体"/>
          <w:kern w:val="0"/>
          <w:sz w:val="24"/>
          <w:lang w:val="zh-CN"/>
        </w:rPr>
        <w:t>2</w:t>
      </w:r>
      <w:r>
        <w:rPr>
          <w:rFonts w:hint="eastAsia" w:ascii="Times New Roman" w:hAnsi="Times New Roman" w:cs="宋体"/>
          <w:kern w:val="0"/>
          <w:sz w:val="24"/>
          <w:lang w:val="zh-CN"/>
        </w:rPr>
        <w:t>、</w:t>
      </w:r>
      <w:r>
        <w:rPr>
          <w:rFonts w:ascii="Times New Roman" w:hAnsi="Times New Roman" w:cs="宋体"/>
          <w:kern w:val="0"/>
          <w:sz w:val="24"/>
          <w:lang w:val="zh-CN"/>
        </w:rPr>
        <w:t>4</w:t>
      </w:r>
      <w:r>
        <w:rPr>
          <w:rFonts w:hint="eastAsia" w:ascii="Times New Roman" w:hAnsi="Times New Roman" w:cs="宋体"/>
          <w:kern w:val="0"/>
          <w:sz w:val="24"/>
          <w:lang w:val="zh-CN"/>
        </w:rPr>
        <w:t>设置于路面的道路交通标线应使用抗滑材料，标线表面的抗滑性能一般不应低于所在路面的抗滑性能。</w:t>
      </w:r>
    </w:p>
    <w:p>
      <w:pPr>
        <w:spacing w:line="440" w:lineRule="exact"/>
        <w:rPr>
          <w:rFonts w:ascii="Times New Roman" w:hAnsi="Times New Roman" w:cs="宋体"/>
          <w:kern w:val="0"/>
          <w:sz w:val="24"/>
          <w:lang w:val="zh-CN"/>
        </w:rPr>
      </w:pPr>
      <w:r>
        <w:rPr>
          <w:rFonts w:ascii="Times New Roman" w:hAnsi="Times New Roman" w:cs="宋体"/>
          <w:kern w:val="0"/>
          <w:sz w:val="24"/>
          <w:lang w:val="zh-CN"/>
        </w:rPr>
        <w:t>2</w:t>
      </w:r>
      <w:r>
        <w:rPr>
          <w:rFonts w:hint="eastAsia" w:ascii="Times New Roman" w:hAnsi="Times New Roman" w:cs="宋体"/>
          <w:kern w:val="0"/>
          <w:sz w:val="24"/>
          <w:lang w:val="zh-CN"/>
        </w:rPr>
        <w:t>、</w:t>
      </w:r>
      <w:r>
        <w:rPr>
          <w:rFonts w:ascii="Times New Roman" w:hAnsi="Times New Roman" w:cs="宋体"/>
          <w:kern w:val="0"/>
          <w:sz w:val="24"/>
          <w:lang w:val="zh-CN"/>
        </w:rPr>
        <w:t>5</w:t>
      </w:r>
      <w:r>
        <w:rPr>
          <w:rFonts w:hint="eastAsia" w:ascii="Times New Roman" w:hAnsi="Times New Roman" w:cs="宋体"/>
          <w:kern w:val="0"/>
          <w:sz w:val="24"/>
          <w:lang w:val="zh-CN"/>
        </w:rPr>
        <w:t>热熔反光材料施工要求如下：标线涂层厚度均匀、无起泡、开裂、发粘、脱落等现象；表面撒布玻璃珠，标线厚度</w:t>
      </w:r>
      <w:r>
        <w:rPr>
          <w:rFonts w:ascii="Times New Roman" w:hAnsi="Times New Roman" w:cs="宋体"/>
          <w:kern w:val="0"/>
          <w:sz w:val="24"/>
          <w:lang w:val="zh-CN"/>
        </w:rPr>
        <w:t>1.8</w:t>
      </w:r>
      <w:r>
        <w:rPr>
          <w:rFonts w:hint="eastAsia" w:ascii="Times New Roman" w:hAnsi="Times New Roman" w:cs="宋体"/>
          <w:kern w:val="0"/>
          <w:sz w:val="24"/>
          <w:lang w:val="zh-CN"/>
        </w:rPr>
        <w:t>±</w:t>
      </w:r>
      <w:r>
        <w:rPr>
          <w:rFonts w:ascii="Times New Roman" w:hAnsi="Times New Roman" w:cs="宋体"/>
          <w:kern w:val="0"/>
          <w:sz w:val="24"/>
          <w:lang w:val="zh-CN"/>
        </w:rPr>
        <w:t>0.2mm</w:t>
      </w:r>
      <w:r>
        <w:rPr>
          <w:rFonts w:hint="eastAsia" w:ascii="Times New Roman" w:hAnsi="Times New Roman" w:cs="宋体"/>
          <w:kern w:val="0"/>
          <w:sz w:val="24"/>
          <w:lang w:val="zh-CN"/>
        </w:rPr>
        <w:t>干膜，玻璃珠含量为</w:t>
      </w:r>
      <w:r>
        <w:rPr>
          <w:rFonts w:ascii="Times New Roman" w:hAnsi="Times New Roman" w:cs="宋体"/>
          <w:kern w:val="0"/>
          <w:sz w:val="24"/>
          <w:lang w:val="zh-CN"/>
        </w:rPr>
        <w:t>0.3</w:t>
      </w:r>
      <w:r>
        <w:rPr>
          <w:rFonts w:ascii="Times New Roman" w:hAnsi="Times New Roman" w:cs="宋体"/>
          <w:kern w:val="0"/>
          <w:sz w:val="24"/>
        </w:rPr>
        <w:t>2</w:t>
      </w:r>
      <w:r>
        <w:rPr>
          <w:rFonts w:ascii="Times New Roman" w:hAnsi="Times New Roman" w:cs="宋体"/>
          <w:kern w:val="0"/>
          <w:sz w:val="24"/>
          <w:lang w:val="zh-CN"/>
        </w:rPr>
        <w:t>kg/m2</w:t>
      </w:r>
      <w:r>
        <w:rPr>
          <w:rFonts w:hint="eastAsia" w:ascii="Times New Roman" w:hAnsi="Times New Roman" w:cs="宋体"/>
          <w:kern w:val="0"/>
          <w:sz w:val="24"/>
          <w:lang w:val="zh-CN"/>
        </w:rPr>
        <w:t>，玻璃珠折射率（</w:t>
      </w:r>
      <w:r>
        <w:rPr>
          <w:rFonts w:ascii="Times New Roman" w:hAnsi="Times New Roman" w:cs="宋体"/>
          <w:kern w:val="0"/>
          <w:sz w:val="24"/>
          <w:lang w:val="zh-CN"/>
        </w:rPr>
        <w:t>20</w:t>
      </w:r>
      <w:r>
        <w:rPr>
          <w:rFonts w:hint="eastAsia" w:ascii="Times New Roman" w:hAnsi="Times New Roman" w:cs="宋体"/>
          <w:kern w:val="0"/>
          <w:sz w:val="24"/>
          <w:lang w:val="zh-CN"/>
        </w:rPr>
        <w:t>℃浸渍法）＞</w:t>
      </w:r>
      <w:r>
        <w:rPr>
          <w:rFonts w:ascii="Times New Roman" w:hAnsi="Times New Roman" w:cs="宋体"/>
          <w:kern w:val="0"/>
          <w:sz w:val="24"/>
          <w:lang w:val="zh-CN"/>
        </w:rPr>
        <w:t>1.5</w:t>
      </w:r>
      <w:r>
        <w:rPr>
          <w:rFonts w:hint="eastAsia" w:ascii="Times New Roman" w:hAnsi="Times New Roman" w:cs="宋体"/>
          <w:kern w:val="0"/>
          <w:sz w:val="24"/>
          <w:lang w:val="zh-CN"/>
        </w:rPr>
        <w:t>。新划标线的初始逆反射亮度系数应符合</w:t>
      </w:r>
      <w:r>
        <w:rPr>
          <w:rFonts w:ascii="Times New Roman" w:hAnsi="Times New Roman" w:cs="宋体"/>
          <w:kern w:val="0"/>
          <w:sz w:val="24"/>
          <w:lang w:val="zh-CN"/>
        </w:rPr>
        <w:t>GB/T 21383</w:t>
      </w:r>
      <w:r>
        <w:rPr>
          <w:rFonts w:hint="eastAsia" w:ascii="Times New Roman" w:hAnsi="Times New Roman" w:cs="宋体"/>
          <w:kern w:val="0"/>
          <w:sz w:val="24"/>
          <w:lang w:val="zh-CN"/>
        </w:rPr>
        <w:t>的规定，白色反光标线的逆反射亮度系数不应低于</w:t>
      </w:r>
      <w:r>
        <w:rPr>
          <w:rFonts w:ascii="Times New Roman" w:hAnsi="Times New Roman" w:cs="宋体"/>
          <w:kern w:val="0"/>
          <w:sz w:val="24"/>
          <w:lang w:val="zh-CN"/>
        </w:rPr>
        <w:t>150mcd.m-2.lx-1</w:t>
      </w:r>
      <w:r>
        <w:rPr>
          <w:rFonts w:hint="eastAsia" w:ascii="Times New Roman" w:hAnsi="Times New Roman" w:cs="宋体"/>
          <w:kern w:val="0"/>
          <w:sz w:val="24"/>
          <w:lang w:val="zh-CN"/>
        </w:rPr>
        <w:t>，黄色反光标线的逆反射亮度系数不应低于</w:t>
      </w:r>
      <w:r>
        <w:rPr>
          <w:rFonts w:ascii="Times New Roman" w:hAnsi="Times New Roman" w:cs="宋体"/>
          <w:kern w:val="0"/>
          <w:sz w:val="24"/>
          <w:lang w:val="zh-CN"/>
        </w:rPr>
        <w:t>100mcd.m-2.lx-1</w:t>
      </w:r>
      <w:r>
        <w:rPr>
          <w:rFonts w:hint="eastAsia" w:ascii="Times New Roman" w:hAnsi="Times New Roman" w:cs="宋体"/>
          <w:kern w:val="0"/>
          <w:sz w:val="24"/>
          <w:lang w:val="zh-CN"/>
        </w:rPr>
        <w:t>。</w:t>
      </w:r>
    </w:p>
    <w:bookmarkEnd w:id="15"/>
    <w:bookmarkEnd w:id="16"/>
    <w:bookmarkEnd w:id="17"/>
    <w:p>
      <w:pPr>
        <w:spacing w:line="440" w:lineRule="exact"/>
        <w:rPr>
          <w:rFonts w:ascii="Times New Roman" w:hAnsi="Times New Roman"/>
          <w:sz w:val="24"/>
        </w:rPr>
      </w:pPr>
      <w:r>
        <w:rPr>
          <w:rFonts w:ascii="Times New Roman" w:hAnsi="Times New Roman"/>
          <w:sz w:val="24"/>
        </w:rPr>
        <w:t>3</w:t>
      </w:r>
      <w:r>
        <w:rPr>
          <w:rFonts w:hint="eastAsia" w:ascii="Times New Roman" w:hAnsi="Times New Roman"/>
          <w:sz w:val="24"/>
        </w:rPr>
        <w:t>、其他</w:t>
      </w:r>
      <w:bookmarkEnd w:id="18"/>
      <w:bookmarkEnd w:id="19"/>
      <w:bookmarkEnd w:id="20"/>
    </w:p>
    <w:p>
      <w:pPr>
        <w:spacing w:line="440" w:lineRule="exact"/>
        <w:rPr>
          <w:rFonts w:ascii="Times New Roman" w:hAnsi="Times New Roman" w:cs="宋体"/>
          <w:kern w:val="0"/>
          <w:sz w:val="24"/>
        </w:rPr>
      </w:pPr>
      <w:r>
        <w:rPr>
          <w:rFonts w:ascii="Times New Roman" w:hAnsi="Times New Roman" w:cs="宋体"/>
          <w:kern w:val="0"/>
          <w:sz w:val="24"/>
        </w:rPr>
        <w:t>3</w:t>
      </w:r>
      <w:r>
        <w:rPr>
          <w:rFonts w:hint="eastAsia" w:ascii="Times New Roman" w:hAnsi="Times New Roman" w:cs="宋体"/>
          <w:kern w:val="0"/>
          <w:sz w:val="24"/>
        </w:rPr>
        <w:t>、</w:t>
      </w:r>
      <w:r>
        <w:rPr>
          <w:rFonts w:ascii="Times New Roman" w:hAnsi="Times New Roman" w:cs="宋体"/>
          <w:kern w:val="0"/>
          <w:sz w:val="24"/>
        </w:rPr>
        <w:t>1</w:t>
      </w:r>
      <w:r>
        <w:rPr>
          <w:rFonts w:hint="eastAsia" w:ascii="Times New Roman" w:hAnsi="Times New Roman" w:cs="宋体"/>
          <w:kern w:val="0"/>
          <w:sz w:val="24"/>
        </w:rPr>
        <w:t>其他各质量要求详见《公路交通安全设施规范》和《公路工程质量评定标准》。</w:t>
      </w:r>
    </w:p>
    <w:p>
      <w:pPr>
        <w:spacing w:line="440" w:lineRule="exact"/>
        <w:ind w:right="178" w:rightChars="85"/>
        <w:rPr>
          <w:rFonts w:ascii="Times New Roman" w:hAnsi="Times New Roman" w:cs="宋体"/>
          <w:b/>
          <w:bCs/>
          <w:kern w:val="0"/>
          <w:sz w:val="24"/>
          <w:lang w:val="zh-CN"/>
        </w:rPr>
      </w:pPr>
      <w:r>
        <w:rPr>
          <w:rFonts w:hint="eastAsia" w:ascii="Times New Roman" w:hAnsi="Times New Roman" w:cs="宋体"/>
          <w:b/>
          <w:bCs/>
          <w:kern w:val="0"/>
          <w:sz w:val="24"/>
          <w:lang w:val="zh-CN"/>
        </w:rPr>
        <w:t>三、施工要求：</w:t>
      </w:r>
      <w:bookmarkStart w:id="21" w:name="_Toc524165178"/>
      <w:bookmarkStart w:id="22" w:name="_Toc524104356"/>
      <w:bookmarkStart w:id="23" w:name="_Toc524168061"/>
    </w:p>
    <w:p>
      <w:pPr>
        <w:spacing w:line="440" w:lineRule="exact"/>
        <w:ind w:right="178" w:rightChars="85"/>
        <w:rPr>
          <w:rFonts w:ascii="Times New Roman" w:hAnsi="Times New Roman" w:cs="宋体"/>
          <w:b/>
          <w:bCs/>
          <w:kern w:val="0"/>
          <w:sz w:val="24"/>
          <w:lang w:val="zh-CN"/>
        </w:rPr>
      </w:pPr>
      <w:r>
        <w:rPr>
          <w:rFonts w:ascii="Times New Roman" w:hAnsi="Times New Roman"/>
          <w:sz w:val="24"/>
        </w:rPr>
        <w:t>1</w:t>
      </w:r>
      <w:r>
        <w:rPr>
          <w:rFonts w:hint="eastAsia" w:ascii="Times New Roman" w:hAnsi="Times New Roman"/>
          <w:sz w:val="24"/>
        </w:rPr>
        <w:t>、交通标志</w:t>
      </w:r>
      <w:bookmarkEnd w:id="21"/>
      <w:bookmarkEnd w:id="22"/>
      <w:bookmarkEnd w:id="23"/>
    </w:p>
    <w:p>
      <w:pPr>
        <w:spacing w:line="440" w:lineRule="exact"/>
        <w:ind w:right="178" w:rightChars="85"/>
        <w:rPr>
          <w:rFonts w:ascii="Times New Roman" w:hAnsi="Times New Roman" w:cs="宋体"/>
          <w:b/>
          <w:bCs/>
          <w:kern w:val="0"/>
          <w:sz w:val="24"/>
          <w:lang w:val="zh-CN"/>
        </w:rPr>
      </w:pPr>
      <w:r>
        <w:rPr>
          <w:rFonts w:ascii="Times New Roman" w:hAnsi="Times New Roman"/>
          <w:sz w:val="24"/>
        </w:rPr>
        <w:t>1</w:t>
      </w:r>
      <w:r>
        <w:rPr>
          <w:rFonts w:hint="eastAsia" w:ascii="Times New Roman" w:hAnsi="Times New Roman"/>
          <w:sz w:val="24"/>
        </w:rPr>
        <w:t>、</w:t>
      </w:r>
      <w:r>
        <w:rPr>
          <w:rFonts w:ascii="Times New Roman" w:hAnsi="Times New Roman"/>
          <w:sz w:val="24"/>
        </w:rPr>
        <w:t>1</w:t>
      </w:r>
      <w:r>
        <w:rPr>
          <w:rFonts w:hint="eastAsia" w:ascii="Times New Roman" w:hAnsi="Times New Roman"/>
          <w:sz w:val="24"/>
        </w:rPr>
        <w:t>交通标志的加工制作及安装应符合《公路交通安全设施施工技术规范》（</w:t>
      </w:r>
      <w:r>
        <w:rPr>
          <w:rFonts w:ascii="Times New Roman" w:hAnsi="Times New Roman"/>
          <w:sz w:val="24"/>
        </w:rPr>
        <w:t>JTG F71-2006</w:t>
      </w:r>
      <w:r>
        <w:rPr>
          <w:rFonts w:hint="eastAsia" w:ascii="Times New Roman" w:hAnsi="Times New Roman"/>
          <w:sz w:val="24"/>
        </w:rPr>
        <w:t>）的相关规定。</w:t>
      </w:r>
    </w:p>
    <w:p>
      <w:pPr>
        <w:spacing w:line="440" w:lineRule="exact"/>
        <w:ind w:right="178" w:rightChars="85"/>
        <w:rPr>
          <w:rFonts w:ascii="Times New Roman" w:hAnsi="Times New Roman" w:cs="宋体"/>
          <w:b/>
          <w:bCs/>
          <w:kern w:val="0"/>
          <w:sz w:val="24"/>
          <w:lang w:val="zh-CN"/>
        </w:rPr>
      </w:pPr>
      <w:r>
        <w:rPr>
          <w:rFonts w:ascii="Times New Roman" w:hAnsi="Times New Roman"/>
          <w:sz w:val="24"/>
        </w:rPr>
        <w:t>1</w:t>
      </w:r>
      <w:r>
        <w:rPr>
          <w:rFonts w:hint="eastAsia" w:ascii="Times New Roman" w:hAnsi="Times New Roman"/>
          <w:sz w:val="24"/>
        </w:rPr>
        <w:t>、</w:t>
      </w:r>
      <w:r>
        <w:rPr>
          <w:rFonts w:ascii="Times New Roman" w:hAnsi="Times New Roman"/>
          <w:sz w:val="24"/>
        </w:rPr>
        <w:t>2</w:t>
      </w:r>
      <w:r>
        <w:rPr>
          <w:rFonts w:hint="eastAsia" w:ascii="Times New Roman" w:hAnsi="Times New Roman"/>
          <w:sz w:val="24"/>
        </w:rPr>
        <w:t>对悬臂式交通标志，结构重要性系数取</w:t>
      </w:r>
      <w:r>
        <w:rPr>
          <w:rFonts w:ascii="Times New Roman" w:hAnsi="Times New Roman"/>
          <w:sz w:val="24"/>
        </w:rPr>
        <w:t>γ0=1.0</w:t>
      </w:r>
      <w:r>
        <w:rPr>
          <w:rFonts w:hint="eastAsia" w:ascii="Times New Roman" w:hAnsi="Times New Roman"/>
          <w:sz w:val="24"/>
        </w:rPr>
        <w:t>，其他类型的交通标志结构重要性系数取</w:t>
      </w:r>
      <w:r>
        <w:rPr>
          <w:rFonts w:ascii="Times New Roman" w:hAnsi="Times New Roman"/>
          <w:sz w:val="24"/>
        </w:rPr>
        <w:t>γ0=0.9</w:t>
      </w:r>
      <w:r>
        <w:rPr>
          <w:rFonts w:hint="eastAsia" w:ascii="Times New Roman" w:hAnsi="Times New Roman"/>
          <w:sz w:val="24"/>
        </w:rPr>
        <w:t>。</w:t>
      </w:r>
    </w:p>
    <w:p>
      <w:pPr>
        <w:spacing w:line="440" w:lineRule="exact"/>
        <w:ind w:right="178" w:rightChars="85"/>
        <w:rPr>
          <w:rFonts w:ascii="Times New Roman" w:hAnsi="Times New Roman" w:cs="宋体"/>
          <w:b/>
          <w:bCs/>
          <w:kern w:val="0"/>
          <w:sz w:val="24"/>
          <w:lang w:val="zh-CN"/>
        </w:rPr>
      </w:pPr>
      <w:r>
        <w:rPr>
          <w:rFonts w:ascii="Times New Roman" w:hAnsi="Times New Roman"/>
          <w:sz w:val="24"/>
        </w:rPr>
        <w:t>1</w:t>
      </w:r>
      <w:r>
        <w:rPr>
          <w:rFonts w:hint="eastAsia" w:ascii="Times New Roman" w:hAnsi="Times New Roman"/>
          <w:sz w:val="24"/>
        </w:rPr>
        <w:t>、</w:t>
      </w:r>
      <w:r>
        <w:rPr>
          <w:rFonts w:ascii="Times New Roman" w:hAnsi="Times New Roman"/>
          <w:sz w:val="24"/>
        </w:rPr>
        <w:t>3</w:t>
      </w:r>
      <w:r>
        <w:rPr>
          <w:rFonts w:hint="eastAsia" w:ascii="Times New Roman" w:hAnsi="Times New Roman"/>
          <w:sz w:val="24"/>
        </w:rPr>
        <w:t>标志板用龙骨加固，板边用单卷边加固，标志板加固仅考虑了安装后的强度，搬运时应避免发生破损。对于大版面的标志采用分块制作，现场拼装，版面接缝应平整。标志的支撑结构采用热浸镀锌防腐处理，立柱、横梁、法兰盘的镀锌量、厚度等符合国标要求。</w:t>
      </w:r>
    </w:p>
    <w:p>
      <w:pPr>
        <w:spacing w:line="440" w:lineRule="exact"/>
        <w:ind w:right="178" w:rightChars="85"/>
        <w:rPr>
          <w:rFonts w:ascii="Times New Roman" w:hAnsi="Times New Roman" w:cs="宋体"/>
          <w:b/>
          <w:bCs/>
          <w:kern w:val="0"/>
          <w:sz w:val="24"/>
          <w:lang w:val="zh-CN"/>
        </w:rPr>
      </w:pPr>
      <w:r>
        <w:rPr>
          <w:rFonts w:ascii="Times New Roman" w:hAnsi="Times New Roman"/>
          <w:sz w:val="24"/>
        </w:rPr>
        <w:t>1</w:t>
      </w:r>
      <w:r>
        <w:rPr>
          <w:rFonts w:hint="eastAsia" w:ascii="Times New Roman" w:hAnsi="Times New Roman"/>
          <w:sz w:val="24"/>
        </w:rPr>
        <w:t>、</w:t>
      </w:r>
      <w:r>
        <w:rPr>
          <w:rFonts w:ascii="Times New Roman" w:hAnsi="Times New Roman"/>
          <w:sz w:val="24"/>
        </w:rPr>
        <w:t>4</w:t>
      </w:r>
      <w:r>
        <w:rPr>
          <w:rFonts w:hint="eastAsia" w:ascii="Times New Roman" w:hAnsi="Times New Roman"/>
          <w:sz w:val="24"/>
        </w:rPr>
        <w:t>标志版设置位置应现场核实定位是否妥当，若视线不良或设置困难、或与已完成的工程发生干扰（除定位要求较强的标志外），可适当前后挪动标志位置，但须经设计单位确认。</w:t>
      </w:r>
    </w:p>
    <w:p>
      <w:pPr>
        <w:spacing w:line="440" w:lineRule="exact"/>
        <w:ind w:right="178" w:rightChars="85"/>
        <w:rPr>
          <w:rFonts w:ascii="Times New Roman" w:hAnsi="Times New Roman" w:cs="宋体"/>
          <w:b/>
          <w:bCs/>
          <w:kern w:val="0"/>
          <w:sz w:val="24"/>
          <w:lang w:val="zh-CN"/>
        </w:rPr>
      </w:pPr>
      <w:r>
        <w:rPr>
          <w:rFonts w:ascii="Times New Roman" w:hAnsi="Times New Roman"/>
          <w:sz w:val="24"/>
        </w:rPr>
        <w:t>1</w:t>
      </w:r>
      <w:r>
        <w:rPr>
          <w:rFonts w:hint="eastAsia" w:ascii="Times New Roman" w:hAnsi="Times New Roman"/>
          <w:sz w:val="24"/>
        </w:rPr>
        <w:t>、</w:t>
      </w:r>
      <w:r>
        <w:rPr>
          <w:rFonts w:ascii="Times New Roman" w:hAnsi="Times New Roman"/>
          <w:sz w:val="24"/>
        </w:rPr>
        <w:t>5</w:t>
      </w:r>
      <w:r>
        <w:rPr>
          <w:rFonts w:hint="eastAsia" w:ascii="Times New Roman" w:hAnsi="Times New Roman"/>
          <w:sz w:val="24"/>
        </w:rPr>
        <w:t>在安装时，标志板应尽可能与道路中线垂直或成一定的角度；禁令和指示标志位</w:t>
      </w:r>
      <w:r>
        <w:rPr>
          <w:rFonts w:ascii="Times New Roman" w:hAnsi="Times New Roman"/>
          <w:sz w:val="24"/>
        </w:rPr>
        <w:t>0°</w:t>
      </w:r>
      <w:r>
        <w:rPr>
          <w:rFonts w:hint="eastAsia" w:ascii="Times New Roman" w:hAnsi="Times New Roman"/>
          <w:kern w:val="0"/>
          <w:sz w:val="24"/>
        </w:rPr>
        <w:t>～</w:t>
      </w:r>
      <w:r>
        <w:rPr>
          <w:rFonts w:ascii="Times New Roman" w:hAnsi="Times New Roman"/>
          <w:sz w:val="24"/>
        </w:rPr>
        <w:t>45°</w:t>
      </w:r>
      <w:r>
        <w:rPr>
          <w:rFonts w:hint="eastAsia" w:ascii="Times New Roman" w:hAnsi="Times New Roman"/>
          <w:sz w:val="24"/>
        </w:rPr>
        <w:t>，指路和预告标志</w:t>
      </w:r>
      <w:r>
        <w:rPr>
          <w:rFonts w:ascii="Times New Roman" w:hAnsi="Times New Roman"/>
          <w:sz w:val="24"/>
        </w:rPr>
        <w:t>0°</w:t>
      </w:r>
      <w:r>
        <w:rPr>
          <w:rFonts w:hint="eastAsia" w:ascii="Times New Roman" w:hAnsi="Times New Roman"/>
          <w:kern w:val="0"/>
          <w:sz w:val="24"/>
        </w:rPr>
        <w:t>～</w:t>
      </w:r>
      <w:r>
        <w:rPr>
          <w:rFonts w:ascii="Times New Roman" w:hAnsi="Times New Roman"/>
          <w:sz w:val="24"/>
        </w:rPr>
        <w:t>10°</w:t>
      </w:r>
      <w:r>
        <w:rPr>
          <w:rFonts w:hint="eastAsia" w:ascii="Times New Roman" w:hAnsi="Times New Roman"/>
          <w:sz w:val="24"/>
        </w:rPr>
        <w:t>；悬臂式或附着式悬空标志安装时，标志的安装角度应与道路中心线或前倾</w:t>
      </w:r>
      <w:r>
        <w:rPr>
          <w:rFonts w:ascii="Times New Roman" w:hAnsi="Times New Roman"/>
          <w:sz w:val="24"/>
        </w:rPr>
        <w:t>0°</w:t>
      </w:r>
      <w:r>
        <w:rPr>
          <w:rFonts w:hint="eastAsia" w:ascii="Times New Roman" w:hAnsi="Times New Roman"/>
          <w:kern w:val="0"/>
          <w:sz w:val="24"/>
        </w:rPr>
        <w:t>～</w:t>
      </w:r>
      <w:r>
        <w:rPr>
          <w:rFonts w:ascii="Times New Roman" w:hAnsi="Times New Roman"/>
          <w:sz w:val="24"/>
        </w:rPr>
        <w:t>10°</w:t>
      </w:r>
      <w:r>
        <w:rPr>
          <w:rFonts w:hint="eastAsia" w:ascii="Times New Roman" w:hAnsi="Times New Roman"/>
          <w:sz w:val="24"/>
        </w:rPr>
        <w:t>。</w:t>
      </w:r>
    </w:p>
    <w:p>
      <w:pPr>
        <w:spacing w:line="440" w:lineRule="exact"/>
        <w:ind w:right="178" w:rightChars="85"/>
        <w:rPr>
          <w:rFonts w:ascii="Times New Roman" w:hAnsi="Times New Roman" w:cs="宋体"/>
          <w:b/>
          <w:bCs/>
          <w:kern w:val="0"/>
          <w:sz w:val="24"/>
          <w:lang w:val="zh-CN"/>
        </w:rPr>
      </w:pPr>
      <w:r>
        <w:rPr>
          <w:rFonts w:ascii="Times New Roman" w:hAnsi="Times New Roman"/>
          <w:sz w:val="24"/>
        </w:rPr>
        <w:t>1</w:t>
      </w:r>
      <w:r>
        <w:rPr>
          <w:rFonts w:hint="eastAsia" w:ascii="Times New Roman" w:hAnsi="Times New Roman"/>
          <w:sz w:val="24"/>
        </w:rPr>
        <w:t>、</w:t>
      </w:r>
      <w:r>
        <w:rPr>
          <w:rFonts w:ascii="Times New Roman" w:hAnsi="Times New Roman"/>
          <w:sz w:val="24"/>
        </w:rPr>
        <w:t>6</w:t>
      </w:r>
      <w:r>
        <w:rPr>
          <w:rFonts w:hint="eastAsia" w:ascii="Times New Roman" w:hAnsi="Times New Roman"/>
          <w:sz w:val="24"/>
        </w:rPr>
        <w:t>标志安装应满足设计中要求与路面的垂直距离（</w:t>
      </w:r>
      <w:r>
        <w:rPr>
          <w:rFonts w:ascii="Times New Roman" w:hAnsi="Times New Roman"/>
          <w:sz w:val="24"/>
        </w:rPr>
        <w:t>≥5.5m</w:t>
      </w:r>
      <w:r>
        <w:rPr>
          <w:rFonts w:hint="eastAsia" w:ascii="Times New Roman" w:hAnsi="Times New Roman"/>
          <w:sz w:val="24"/>
        </w:rPr>
        <w:t>）的水平距离。特殊情况时刻调整立柱长度。</w:t>
      </w:r>
    </w:p>
    <w:p>
      <w:pPr>
        <w:spacing w:line="440" w:lineRule="exact"/>
        <w:ind w:right="178" w:rightChars="85"/>
        <w:rPr>
          <w:rFonts w:ascii="Times New Roman" w:hAnsi="Times New Roman" w:cs="宋体"/>
          <w:b/>
          <w:bCs/>
          <w:kern w:val="0"/>
          <w:sz w:val="24"/>
          <w:lang w:val="zh-CN"/>
        </w:rPr>
      </w:pPr>
      <w:r>
        <w:rPr>
          <w:rFonts w:ascii="Times New Roman" w:hAnsi="Times New Roman"/>
          <w:sz w:val="24"/>
        </w:rPr>
        <w:t>1</w:t>
      </w:r>
      <w:r>
        <w:rPr>
          <w:rFonts w:hint="eastAsia" w:ascii="Times New Roman" w:hAnsi="Times New Roman"/>
          <w:sz w:val="24"/>
        </w:rPr>
        <w:t>、</w:t>
      </w:r>
      <w:r>
        <w:rPr>
          <w:rFonts w:ascii="Times New Roman" w:hAnsi="Times New Roman"/>
          <w:sz w:val="24"/>
        </w:rPr>
        <w:t>7</w:t>
      </w:r>
      <w:r>
        <w:rPr>
          <w:rFonts w:hint="eastAsia" w:ascii="Times New Roman" w:hAnsi="Times New Roman"/>
          <w:sz w:val="24"/>
        </w:rPr>
        <w:t>所有标志牌视认方向前</w:t>
      </w:r>
      <w:r>
        <w:rPr>
          <w:rFonts w:ascii="Times New Roman" w:hAnsi="Times New Roman"/>
          <w:sz w:val="24"/>
        </w:rPr>
        <w:t>50</w:t>
      </w:r>
      <w:r>
        <w:rPr>
          <w:rFonts w:hint="eastAsia" w:ascii="Times New Roman" w:hAnsi="Times New Roman"/>
          <w:sz w:val="24"/>
        </w:rPr>
        <w:t>米范围内不得种植高大乔木。</w:t>
      </w:r>
    </w:p>
    <w:p>
      <w:pPr>
        <w:spacing w:line="440" w:lineRule="exact"/>
        <w:ind w:right="178" w:rightChars="85"/>
        <w:rPr>
          <w:rFonts w:ascii="Times New Roman" w:hAnsi="Times New Roman" w:cs="宋体"/>
          <w:b/>
          <w:bCs/>
          <w:kern w:val="0"/>
          <w:sz w:val="24"/>
          <w:lang w:val="zh-CN"/>
        </w:rPr>
      </w:pPr>
      <w:r>
        <w:rPr>
          <w:rFonts w:ascii="Times New Roman" w:hAnsi="Times New Roman" w:cs="宋体"/>
          <w:kern w:val="0"/>
          <w:sz w:val="24"/>
          <w:lang w:val="zh-CN"/>
        </w:rPr>
        <w:t>2</w:t>
      </w:r>
      <w:r>
        <w:rPr>
          <w:rFonts w:hint="eastAsia" w:ascii="Times New Roman" w:hAnsi="Times New Roman" w:cs="宋体"/>
          <w:kern w:val="0"/>
          <w:sz w:val="24"/>
          <w:lang w:val="zh-CN"/>
        </w:rPr>
        <w:t>、</w:t>
      </w:r>
      <w:r>
        <w:rPr>
          <w:rFonts w:ascii="Times New Roman" w:hAnsi="Times New Roman" w:cs="宋体"/>
          <w:kern w:val="0"/>
          <w:sz w:val="24"/>
          <w:lang w:val="zh-CN"/>
        </w:rPr>
        <w:t xml:space="preserve"> </w:t>
      </w:r>
      <w:r>
        <w:rPr>
          <w:rFonts w:hint="eastAsia" w:ascii="Times New Roman" w:hAnsi="Times New Roman" w:cs="宋体"/>
          <w:kern w:val="0"/>
          <w:sz w:val="24"/>
          <w:lang w:val="zh-CN"/>
        </w:rPr>
        <w:t>交通标线</w:t>
      </w:r>
    </w:p>
    <w:p>
      <w:pPr>
        <w:spacing w:line="440" w:lineRule="exact"/>
        <w:ind w:right="178" w:rightChars="85"/>
        <w:rPr>
          <w:rFonts w:ascii="Times New Roman" w:hAnsi="Times New Roman" w:cs="宋体"/>
          <w:kern w:val="0"/>
          <w:sz w:val="24"/>
          <w:lang w:val="zh-CN"/>
        </w:rPr>
      </w:pPr>
      <w:r>
        <w:rPr>
          <w:rFonts w:ascii="Times New Roman" w:hAnsi="Times New Roman" w:cs="宋体"/>
          <w:kern w:val="0"/>
          <w:sz w:val="24"/>
          <w:lang w:val="zh-CN"/>
        </w:rPr>
        <w:t xml:space="preserve"> 2</w:t>
      </w:r>
      <w:r>
        <w:rPr>
          <w:rFonts w:hint="eastAsia" w:ascii="Times New Roman" w:hAnsi="Times New Roman" w:cs="宋体"/>
          <w:kern w:val="0"/>
          <w:sz w:val="24"/>
          <w:lang w:val="zh-CN"/>
        </w:rPr>
        <w:t>、</w:t>
      </w:r>
      <w:r>
        <w:rPr>
          <w:rFonts w:ascii="Times New Roman" w:hAnsi="Times New Roman" w:cs="宋体"/>
          <w:kern w:val="0"/>
          <w:sz w:val="24"/>
          <w:lang w:val="zh-CN"/>
        </w:rPr>
        <w:t>1</w:t>
      </w:r>
      <w:r>
        <w:rPr>
          <w:rFonts w:hint="eastAsia" w:ascii="Times New Roman" w:hAnsi="Times New Roman" w:cs="宋体"/>
          <w:kern w:val="0"/>
          <w:sz w:val="24"/>
          <w:lang w:val="zh-CN"/>
        </w:rPr>
        <w:t>标线宽度一致、间隔相等、线形规则、边缘整齐、线条流畅。</w:t>
      </w:r>
    </w:p>
    <w:p>
      <w:pPr>
        <w:spacing w:line="440" w:lineRule="exact"/>
        <w:ind w:right="178" w:rightChars="85"/>
        <w:rPr>
          <w:rFonts w:ascii="Times New Roman" w:hAnsi="Times New Roman" w:cs="宋体"/>
          <w:kern w:val="0"/>
          <w:sz w:val="24"/>
          <w:lang w:val="zh-CN"/>
        </w:rPr>
      </w:pPr>
      <w:r>
        <w:rPr>
          <w:rFonts w:ascii="Times New Roman" w:hAnsi="Times New Roman" w:cs="宋体"/>
          <w:kern w:val="0"/>
          <w:sz w:val="24"/>
          <w:lang w:val="zh-CN"/>
        </w:rPr>
        <w:t xml:space="preserve"> 2</w:t>
      </w:r>
      <w:r>
        <w:rPr>
          <w:rFonts w:hint="eastAsia" w:ascii="Times New Roman" w:hAnsi="Times New Roman" w:cs="宋体"/>
          <w:kern w:val="0"/>
          <w:sz w:val="24"/>
          <w:lang w:val="zh-CN"/>
        </w:rPr>
        <w:t>、</w:t>
      </w:r>
      <w:r>
        <w:rPr>
          <w:rFonts w:ascii="Times New Roman" w:hAnsi="Times New Roman" w:cs="宋体"/>
          <w:kern w:val="0"/>
          <w:sz w:val="24"/>
          <w:lang w:val="zh-CN"/>
        </w:rPr>
        <w:t>2</w:t>
      </w:r>
      <w:r>
        <w:rPr>
          <w:rFonts w:hint="eastAsia" w:ascii="Times New Roman" w:hAnsi="Times New Roman" w:cs="宋体"/>
          <w:kern w:val="0"/>
          <w:sz w:val="24"/>
          <w:lang w:val="zh-CN"/>
        </w:rPr>
        <w:t>连续设置的实线类标线，应每隔</w:t>
      </w:r>
      <w:r>
        <w:rPr>
          <w:rFonts w:ascii="Times New Roman" w:hAnsi="Times New Roman" w:cs="宋体"/>
          <w:kern w:val="0"/>
          <w:sz w:val="24"/>
          <w:lang w:val="zh-CN"/>
        </w:rPr>
        <w:t>15m</w:t>
      </w:r>
      <w:r>
        <w:rPr>
          <w:rFonts w:hint="eastAsia" w:ascii="Times New Roman" w:hAnsi="Times New Roman" w:cs="宋体"/>
          <w:kern w:val="0"/>
          <w:sz w:val="24"/>
          <w:lang w:val="zh-CN"/>
        </w:rPr>
        <w:t>左右设置排水缝，其他标线有可能阻水时，应沿排水方向设置排水缝，排水缝宽度一般为</w:t>
      </w:r>
      <w:r>
        <w:rPr>
          <w:rFonts w:ascii="Times New Roman" w:hAnsi="Times New Roman" w:cs="宋体"/>
          <w:kern w:val="0"/>
          <w:sz w:val="24"/>
          <w:lang w:val="zh-CN"/>
        </w:rPr>
        <w:t>3cm</w:t>
      </w:r>
      <w:r>
        <w:rPr>
          <w:rFonts w:hint="eastAsia" w:ascii="Times New Roman" w:hAnsi="Times New Roman" w:cs="宋体"/>
          <w:kern w:val="0"/>
          <w:sz w:val="24"/>
          <w:lang w:val="zh-CN"/>
        </w:rPr>
        <w:t>～</w:t>
      </w:r>
      <w:r>
        <w:rPr>
          <w:rFonts w:ascii="Times New Roman" w:hAnsi="Times New Roman" w:cs="宋体"/>
          <w:kern w:val="0"/>
          <w:sz w:val="24"/>
          <w:lang w:val="zh-CN"/>
        </w:rPr>
        <w:t>5cm</w:t>
      </w:r>
      <w:r>
        <w:rPr>
          <w:rFonts w:hint="eastAsia" w:ascii="Times New Roman" w:hAnsi="Times New Roman" w:cs="宋体"/>
          <w:kern w:val="0"/>
          <w:sz w:val="24"/>
          <w:lang w:val="zh-CN"/>
        </w:rPr>
        <w:t>。</w:t>
      </w:r>
    </w:p>
    <w:p>
      <w:pPr>
        <w:spacing w:line="440" w:lineRule="exact"/>
        <w:ind w:right="178" w:rightChars="85"/>
        <w:rPr>
          <w:rFonts w:ascii="Times New Roman" w:hAnsi="Times New Roman" w:cs="宋体"/>
          <w:kern w:val="0"/>
          <w:sz w:val="24"/>
          <w:lang w:val="zh-CN"/>
        </w:rPr>
      </w:pPr>
      <w:r>
        <w:rPr>
          <w:rFonts w:ascii="Times New Roman" w:hAnsi="Times New Roman" w:cs="宋体"/>
          <w:kern w:val="0"/>
          <w:sz w:val="24"/>
          <w:lang w:val="zh-CN"/>
        </w:rPr>
        <w:t xml:space="preserve"> 2</w:t>
      </w:r>
      <w:r>
        <w:rPr>
          <w:rFonts w:hint="eastAsia" w:ascii="Times New Roman" w:hAnsi="Times New Roman" w:cs="宋体"/>
          <w:kern w:val="0"/>
          <w:sz w:val="24"/>
          <w:lang w:val="zh-CN"/>
        </w:rPr>
        <w:t>、</w:t>
      </w:r>
      <w:r>
        <w:rPr>
          <w:rFonts w:ascii="Times New Roman" w:hAnsi="Times New Roman" w:cs="宋体"/>
          <w:kern w:val="0"/>
          <w:sz w:val="24"/>
          <w:lang w:val="zh-CN"/>
        </w:rPr>
        <w:t>3</w:t>
      </w:r>
      <w:r>
        <w:rPr>
          <w:rFonts w:hint="eastAsia" w:ascii="Times New Roman" w:hAnsi="Times New Roman" w:cs="宋体"/>
          <w:kern w:val="0"/>
          <w:sz w:val="24"/>
          <w:lang w:val="zh-CN"/>
        </w:rPr>
        <w:t>标线施工前须使标线处路面表面清洁干燥，无松散颗粒、灰尘、沥青、油污或其他有害物质。</w:t>
      </w:r>
    </w:p>
    <w:p/>
    <w:p>
      <w:pPr>
        <w:spacing w:line="360" w:lineRule="auto"/>
        <w:rPr>
          <w:rFonts w:ascii="宋体" w:hAnsi="宋体"/>
          <w:bCs/>
          <w:sz w:val="24"/>
        </w:rPr>
        <w:sectPr>
          <w:headerReference r:id="rId7" w:type="default"/>
          <w:footerReference r:id="rId8" w:type="default"/>
          <w:pgSz w:w="11906" w:h="16838"/>
          <w:pgMar w:top="1440" w:right="1800" w:bottom="1440" w:left="1800" w:header="851" w:footer="992" w:gutter="0"/>
          <w:cols w:space="720" w:num="1"/>
          <w:docGrid w:type="lines" w:linePitch="312" w:charSpace="0"/>
        </w:sectPr>
      </w:pPr>
    </w:p>
    <w:tbl>
      <w:tblPr>
        <w:tblStyle w:val="13"/>
        <w:tblW w:w="5000" w:type="pct"/>
        <w:tblInd w:w="0" w:type="dxa"/>
        <w:tblLayout w:type="autofit"/>
        <w:tblCellMar>
          <w:top w:w="0" w:type="dxa"/>
          <w:left w:w="108" w:type="dxa"/>
          <w:bottom w:w="0" w:type="dxa"/>
          <w:right w:w="108" w:type="dxa"/>
        </w:tblCellMar>
      </w:tblPr>
      <w:tblGrid>
        <w:gridCol w:w="521"/>
        <w:gridCol w:w="828"/>
        <w:gridCol w:w="1440"/>
        <w:gridCol w:w="1440"/>
        <w:gridCol w:w="1287"/>
        <w:gridCol w:w="522"/>
        <w:gridCol w:w="522"/>
        <w:gridCol w:w="981"/>
        <w:gridCol w:w="981"/>
      </w:tblGrid>
      <w:tr>
        <w:tblPrEx>
          <w:tblCellMar>
            <w:top w:w="0" w:type="dxa"/>
            <w:left w:w="108" w:type="dxa"/>
            <w:bottom w:w="0" w:type="dxa"/>
            <w:right w:w="108" w:type="dxa"/>
          </w:tblCellMar>
        </w:tblPrEx>
        <w:trPr>
          <w:trHeight w:val="942" w:hRule="atLeast"/>
        </w:trPr>
        <w:tc>
          <w:tcPr>
            <w:tcW w:w="5000" w:type="pct"/>
            <w:gridSpan w:val="9"/>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44"/>
                <w:szCs w:val="44"/>
                <w:lang w:eastAsia="zh-CN"/>
              </w:rPr>
            </w:pPr>
            <w:r>
              <w:rPr>
                <w:rFonts w:hint="eastAsia" w:ascii="宋体" w:hAnsi="宋体" w:cs="宋体"/>
                <w:color w:val="000000"/>
                <w:kern w:val="0"/>
                <w:sz w:val="44"/>
                <w:szCs w:val="44"/>
                <w:lang w:eastAsia="zh-CN" w:bidi="ar"/>
              </w:rPr>
              <w:t>云林街道农村公路（隐患路段）交通安全设施采购项目</w:t>
            </w:r>
          </w:p>
        </w:tc>
      </w:tr>
      <w:tr>
        <w:tblPrEx>
          <w:tblCellMar>
            <w:top w:w="0" w:type="dxa"/>
            <w:left w:w="108" w:type="dxa"/>
            <w:bottom w:w="0" w:type="dxa"/>
            <w:right w:w="108" w:type="dxa"/>
          </w:tblCellMar>
        </w:tblPrEx>
        <w:trPr>
          <w:trHeight w:val="522" w:hRule="atLeast"/>
        </w:trPr>
        <w:tc>
          <w:tcPr>
            <w:tcW w:w="2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序号</w:t>
            </w:r>
          </w:p>
        </w:tc>
        <w:tc>
          <w:tcPr>
            <w:tcW w:w="44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公路名称</w:t>
            </w:r>
          </w:p>
        </w:tc>
        <w:tc>
          <w:tcPr>
            <w:tcW w:w="80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设置地点起止桩号</w:t>
            </w:r>
          </w:p>
        </w:tc>
        <w:tc>
          <w:tcPr>
            <w:tcW w:w="80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子目名称</w:t>
            </w:r>
          </w:p>
        </w:tc>
        <w:tc>
          <w:tcPr>
            <w:tcW w:w="105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项目特征</w:t>
            </w:r>
          </w:p>
        </w:tc>
        <w:tc>
          <w:tcPr>
            <w:tcW w:w="2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单位</w:t>
            </w:r>
          </w:p>
        </w:tc>
        <w:tc>
          <w:tcPr>
            <w:tcW w:w="2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数量</w:t>
            </w:r>
          </w:p>
        </w:tc>
        <w:tc>
          <w:tcPr>
            <w:tcW w:w="53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单价（元）</w:t>
            </w:r>
          </w:p>
        </w:tc>
        <w:tc>
          <w:tcPr>
            <w:tcW w:w="53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金额（元）</w:t>
            </w:r>
          </w:p>
        </w:tc>
      </w:tr>
      <w:tr>
        <w:tblPrEx>
          <w:tblCellMar>
            <w:top w:w="0" w:type="dxa"/>
            <w:left w:w="108" w:type="dxa"/>
            <w:bottom w:w="0" w:type="dxa"/>
            <w:right w:w="108" w:type="dxa"/>
          </w:tblCellMar>
        </w:tblPrEx>
        <w:trPr>
          <w:trHeight w:val="960" w:hRule="atLeast"/>
        </w:trPr>
        <w:tc>
          <w:tcPr>
            <w:tcW w:w="2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w:t>
            </w:r>
          </w:p>
        </w:tc>
        <w:tc>
          <w:tcPr>
            <w:tcW w:w="44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春晖路</w:t>
            </w:r>
          </w:p>
        </w:tc>
        <w:tc>
          <w:tcPr>
            <w:tcW w:w="80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11~16.651</w:t>
            </w:r>
          </w:p>
        </w:tc>
        <w:tc>
          <w:tcPr>
            <w:tcW w:w="80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单柱警告标志</w:t>
            </w:r>
          </w:p>
        </w:tc>
        <w:tc>
          <w:tcPr>
            <w:tcW w:w="105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2"/>
                <w:szCs w:val="22"/>
              </w:rPr>
            </w:pPr>
            <w:r>
              <w:rPr>
                <w:rFonts w:ascii="宋体" w:hAnsi="宋体" w:cs="宋体"/>
                <w:color w:val="000000"/>
                <w:sz w:val="22"/>
                <w:szCs w:val="22"/>
                <w:lang w:bidi="ar"/>
              </w:rPr>
              <w:t>1、规格尺寸：Δ900*2                  2、单立柱：Φ76*3*3000                   3、基础：500*500*600</w:t>
            </w:r>
          </w:p>
        </w:tc>
        <w:tc>
          <w:tcPr>
            <w:tcW w:w="2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套</w:t>
            </w:r>
          </w:p>
        </w:tc>
        <w:tc>
          <w:tcPr>
            <w:tcW w:w="2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w:t>
            </w:r>
          </w:p>
        </w:tc>
        <w:tc>
          <w:tcPr>
            <w:tcW w:w="538" w:type="pct"/>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2"/>
                <w:szCs w:val="22"/>
              </w:rPr>
            </w:pPr>
          </w:p>
        </w:tc>
        <w:tc>
          <w:tcPr>
            <w:tcW w:w="538" w:type="pct"/>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960" w:hRule="atLeast"/>
        </w:trPr>
        <w:tc>
          <w:tcPr>
            <w:tcW w:w="2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w:t>
            </w:r>
          </w:p>
        </w:tc>
        <w:tc>
          <w:tcPr>
            <w:tcW w:w="44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春晖路</w:t>
            </w:r>
          </w:p>
        </w:tc>
        <w:tc>
          <w:tcPr>
            <w:tcW w:w="80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11~16.651</w:t>
            </w:r>
          </w:p>
        </w:tc>
        <w:tc>
          <w:tcPr>
            <w:tcW w:w="80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单柱禁令标志</w:t>
            </w:r>
          </w:p>
        </w:tc>
        <w:tc>
          <w:tcPr>
            <w:tcW w:w="105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2"/>
                <w:szCs w:val="22"/>
              </w:rPr>
            </w:pPr>
            <w:r>
              <w:rPr>
                <w:rFonts w:ascii="宋体" w:hAnsi="宋体" w:cs="宋体"/>
                <w:color w:val="000000"/>
                <w:sz w:val="22"/>
                <w:szCs w:val="22"/>
                <w:lang w:bidi="ar"/>
              </w:rPr>
              <w:t>1、规格尺寸：Φ800*2                     2、单立柱：Φ76*3*3000                 3、基础：500*500*600</w:t>
            </w:r>
          </w:p>
        </w:tc>
        <w:tc>
          <w:tcPr>
            <w:tcW w:w="2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套</w:t>
            </w:r>
          </w:p>
        </w:tc>
        <w:tc>
          <w:tcPr>
            <w:tcW w:w="2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w:t>
            </w:r>
          </w:p>
        </w:tc>
        <w:tc>
          <w:tcPr>
            <w:tcW w:w="538" w:type="pct"/>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2"/>
                <w:szCs w:val="22"/>
              </w:rPr>
            </w:pPr>
          </w:p>
        </w:tc>
        <w:tc>
          <w:tcPr>
            <w:tcW w:w="538" w:type="pct"/>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960" w:hRule="atLeast"/>
        </w:trPr>
        <w:tc>
          <w:tcPr>
            <w:tcW w:w="2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3</w:t>
            </w:r>
          </w:p>
        </w:tc>
        <w:tc>
          <w:tcPr>
            <w:tcW w:w="44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春晖路</w:t>
            </w:r>
          </w:p>
        </w:tc>
        <w:tc>
          <w:tcPr>
            <w:tcW w:w="80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16.654—20.202</w:t>
            </w:r>
          </w:p>
        </w:tc>
        <w:tc>
          <w:tcPr>
            <w:tcW w:w="80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单柱警告标志</w:t>
            </w:r>
          </w:p>
        </w:tc>
        <w:tc>
          <w:tcPr>
            <w:tcW w:w="105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2"/>
                <w:szCs w:val="22"/>
              </w:rPr>
            </w:pPr>
            <w:r>
              <w:rPr>
                <w:rFonts w:ascii="宋体" w:hAnsi="宋体" w:cs="宋体"/>
                <w:color w:val="000000"/>
                <w:sz w:val="22"/>
                <w:szCs w:val="22"/>
                <w:lang w:bidi="ar"/>
              </w:rPr>
              <w:t>1、规格尺寸：Δ900*2                   2、单立柱：Φ76*3*3000                3、基础：500*500*600</w:t>
            </w:r>
          </w:p>
        </w:tc>
        <w:tc>
          <w:tcPr>
            <w:tcW w:w="2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套</w:t>
            </w:r>
          </w:p>
        </w:tc>
        <w:tc>
          <w:tcPr>
            <w:tcW w:w="2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w:t>
            </w:r>
          </w:p>
        </w:tc>
        <w:tc>
          <w:tcPr>
            <w:tcW w:w="538" w:type="pct"/>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2"/>
                <w:szCs w:val="22"/>
              </w:rPr>
            </w:pPr>
          </w:p>
        </w:tc>
        <w:tc>
          <w:tcPr>
            <w:tcW w:w="538" w:type="pct"/>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960" w:hRule="atLeast"/>
        </w:trPr>
        <w:tc>
          <w:tcPr>
            <w:tcW w:w="2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4</w:t>
            </w:r>
          </w:p>
        </w:tc>
        <w:tc>
          <w:tcPr>
            <w:tcW w:w="44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春晖路</w:t>
            </w:r>
          </w:p>
        </w:tc>
        <w:tc>
          <w:tcPr>
            <w:tcW w:w="80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16.654—20.202</w:t>
            </w:r>
          </w:p>
        </w:tc>
        <w:tc>
          <w:tcPr>
            <w:tcW w:w="80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单柱禁令标志</w:t>
            </w:r>
          </w:p>
        </w:tc>
        <w:tc>
          <w:tcPr>
            <w:tcW w:w="105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2"/>
                <w:szCs w:val="22"/>
              </w:rPr>
            </w:pPr>
            <w:r>
              <w:rPr>
                <w:rFonts w:ascii="宋体" w:hAnsi="宋体" w:cs="宋体"/>
                <w:color w:val="000000"/>
                <w:sz w:val="22"/>
                <w:szCs w:val="22"/>
                <w:lang w:bidi="ar"/>
              </w:rPr>
              <w:t>1、规格尺寸：Φ800*2                    2、单立柱：Φ76*3*3000                   3、基础：500*500*600</w:t>
            </w:r>
          </w:p>
        </w:tc>
        <w:tc>
          <w:tcPr>
            <w:tcW w:w="2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套</w:t>
            </w:r>
          </w:p>
        </w:tc>
        <w:tc>
          <w:tcPr>
            <w:tcW w:w="2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w:t>
            </w:r>
          </w:p>
        </w:tc>
        <w:tc>
          <w:tcPr>
            <w:tcW w:w="538" w:type="pct"/>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2"/>
                <w:szCs w:val="22"/>
              </w:rPr>
            </w:pPr>
          </w:p>
        </w:tc>
        <w:tc>
          <w:tcPr>
            <w:tcW w:w="538" w:type="pct"/>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960" w:hRule="atLeast"/>
        </w:trPr>
        <w:tc>
          <w:tcPr>
            <w:tcW w:w="2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5</w:t>
            </w:r>
          </w:p>
        </w:tc>
        <w:tc>
          <w:tcPr>
            <w:tcW w:w="44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春晖路</w:t>
            </w:r>
          </w:p>
        </w:tc>
        <w:tc>
          <w:tcPr>
            <w:tcW w:w="80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16.654—20.202</w:t>
            </w:r>
          </w:p>
        </w:tc>
        <w:tc>
          <w:tcPr>
            <w:tcW w:w="80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防眩板</w:t>
            </w:r>
          </w:p>
        </w:tc>
        <w:tc>
          <w:tcPr>
            <w:tcW w:w="105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1、规格尺寸：850*200                     2、支架尺寸：300*1000</w:t>
            </w:r>
          </w:p>
        </w:tc>
        <w:tc>
          <w:tcPr>
            <w:tcW w:w="2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套</w:t>
            </w:r>
          </w:p>
        </w:tc>
        <w:tc>
          <w:tcPr>
            <w:tcW w:w="2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887</w:t>
            </w:r>
          </w:p>
        </w:tc>
        <w:tc>
          <w:tcPr>
            <w:tcW w:w="538" w:type="pct"/>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2"/>
                <w:szCs w:val="22"/>
              </w:rPr>
            </w:pPr>
          </w:p>
        </w:tc>
        <w:tc>
          <w:tcPr>
            <w:tcW w:w="538" w:type="pct"/>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960" w:hRule="atLeast"/>
        </w:trPr>
        <w:tc>
          <w:tcPr>
            <w:tcW w:w="2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6</w:t>
            </w:r>
          </w:p>
        </w:tc>
        <w:tc>
          <w:tcPr>
            <w:tcW w:w="44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春晖路</w:t>
            </w:r>
          </w:p>
        </w:tc>
        <w:tc>
          <w:tcPr>
            <w:tcW w:w="80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11~14</w:t>
            </w:r>
          </w:p>
        </w:tc>
        <w:tc>
          <w:tcPr>
            <w:tcW w:w="80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防眩板</w:t>
            </w:r>
          </w:p>
        </w:tc>
        <w:tc>
          <w:tcPr>
            <w:tcW w:w="105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1、规格尺寸：850*200                     2、支架尺寸：300*1000</w:t>
            </w:r>
          </w:p>
        </w:tc>
        <w:tc>
          <w:tcPr>
            <w:tcW w:w="2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套</w:t>
            </w:r>
          </w:p>
        </w:tc>
        <w:tc>
          <w:tcPr>
            <w:tcW w:w="2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780</w:t>
            </w:r>
          </w:p>
        </w:tc>
        <w:tc>
          <w:tcPr>
            <w:tcW w:w="538" w:type="pct"/>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2"/>
                <w:szCs w:val="22"/>
              </w:rPr>
            </w:pPr>
          </w:p>
        </w:tc>
        <w:tc>
          <w:tcPr>
            <w:tcW w:w="538" w:type="pct"/>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699" w:hRule="atLeast"/>
        </w:trPr>
        <w:tc>
          <w:tcPr>
            <w:tcW w:w="2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7</w:t>
            </w:r>
          </w:p>
        </w:tc>
        <w:tc>
          <w:tcPr>
            <w:tcW w:w="44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春晖路</w:t>
            </w:r>
          </w:p>
        </w:tc>
        <w:tc>
          <w:tcPr>
            <w:tcW w:w="80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14:532</w:t>
            </w:r>
          </w:p>
        </w:tc>
        <w:tc>
          <w:tcPr>
            <w:tcW w:w="80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悬臂警告禁令标志</w:t>
            </w:r>
          </w:p>
        </w:tc>
        <w:tc>
          <w:tcPr>
            <w:tcW w:w="105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2"/>
                <w:szCs w:val="22"/>
              </w:rPr>
            </w:pPr>
            <w:r>
              <w:rPr>
                <w:rFonts w:ascii="宋体" w:hAnsi="宋体" w:cs="宋体"/>
                <w:color w:val="000000"/>
                <w:sz w:val="22"/>
                <w:szCs w:val="22"/>
                <w:lang w:bidi="ar"/>
              </w:rPr>
              <w:t>1、规格尺寸：Δ900*2  Φ800*2         2、悬臂杆：Φ219*6500  Φ89*3500      3、基础：800*800*1200</w:t>
            </w:r>
          </w:p>
        </w:tc>
        <w:tc>
          <w:tcPr>
            <w:tcW w:w="2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套</w:t>
            </w:r>
          </w:p>
        </w:tc>
        <w:tc>
          <w:tcPr>
            <w:tcW w:w="2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3</w:t>
            </w:r>
          </w:p>
        </w:tc>
        <w:tc>
          <w:tcPr>
            <w:tcW w:w="538" w:type="pct"/>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2"/>
                <w:szCs w:val="22"/>
              </w:rPr>
            </w:pPr>
          </w:p>
        </w:tc>
        <w:tc>
          <w:tcPr>
            <w:tcW w:w="538" w:type="pct"/>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960" w:hRule="atLeast"/>
        </w:trPr>
        <w:tc>
          <w:tcPr>
            <w:tcW w:w="2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8</w:t>
            </w:r>
          </w:p>
        </w:tc>
        <w:tc>
          <w:tcPr>
            <w:tcW w:w="44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春晖路</w:t>
            </w:r>
          </w:p>
        </w:tc>
        <w:tc>
          <w:tcPr>
            <w:tcW w:w="80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16:028</w:t>
            </w:r>
          </w:p>
        </w:tc>
        <w:tc>
          <w:tcPr>
            <w:tcW w:w="80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道口标柱</w:t>
            </w:r>
          </w:p>
        </w:tc>
        <w:tc>
          <w:tcPr>
            <w:tcW w:w="105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2"/>
                <w:szCs w:val="22"/>
              </w:rPr>
            </w:pPr>
            <w:r>
              <w:rPr>
                <w:rFonts w:ascii="宋体" w:hAnsi="宋体" w:cs="宋体"/>
                <w:color w:val="000000"/>
                <w:sz w:val="22"/>
                <w:szCs w:val="22"/>
                <w:lang w:bidi="ar"/>
              </w:rPr>
              <w:t>1、规格尺寸：Φ114*1200            2、荧光棱镜反光膜                    3、基础：400*400*400</w:t>
            </w:r>
          </w:p>
        </w:tc>
        <w:tc>
          <w:tcPr>
            <w:tcW w:w="2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根</w:t>
            </w:r>
          </w:p>
        </w:tc>
        <w:tc>
          <w:tcPr>
            <w:tcW w:w="2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4</w:t>
            </w:r>
          </w:p>
        </w:tc>
        <w:tc>
          <w:tcPr>
            <w:tcW w:w="538" w:type="pct"/>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2"/>
                <w:szCs w:val="22"/>
              </w:rPr>
            </w:pPr>
          </w:p>
        </w:tc>
        <w:tc>
          <w:tcPr>
            <w:tcW w:w="538" w:type="pct"/>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960" w:hRule="atLeast"/>
        </w:trPr>
        <w:tc>
          <w:tcPr>
            <w:tcW w:w="2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9</w:t>
            </w:r>
          </w:p>
        </w:tc>
        <w:tc>
          <w:tcPr>
            <w:tcW w:w="44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春晖路</w:t>
            </w:r>
          </w:p>
        </w:tc>
        <w:tc>
          <w:tcPr>
            <w:tcW w:w="80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18:424</w:t>
            </w:r>
          </w:p>
        </w:tc>
        <w:tc>
          <w:tcPr>
            <w:tcW w:w="80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道口标柱</w:t>
            </w:r>
          </w:p>
        </w:tc>
        <w:tc>
          <w:tcPr>
            <w:tcW w:w="105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2"/>
                <w:szCs w:val="22"/>
              </w:rPr>
            </w:pPr>
            <w:r>
              <w:rPr>
                <w:rFonts w:ascii="宋体" w:hAnsi="宋体" w:cs="宋体"/>
                <w:color w:val="000000"/>
                <w:sz w:val="22"/>
                <w:szCs w:val="22"/>
                <w:lang w:bidi="ar"/>
              </w:rPr>
              <w:t>1、规格尺寸：Φ114*1200            2、荧光棱镜反光膜                    3、基础：400*400*400</w:t>
            </w:r>
          </w:p>
        </w:tc>
        <w:tc>
          <w:tcPr>
            <w:tcW w:w="2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根</w:t>
            </w:r>
          </w:p>
        </w:tc>
        <w:tc>
          <w:tcPr>
            <w:tcW w:w="2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4</w:t>
            </w:r>
          </w:p>
        </w:tc>
        <w:tc>
          <w:tcPr>
            <w:tcW w:w="538" w:type="pct"/>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2"/>
                <w:szCs w:val="22"/>
              </w:rPr>
            </w:pPr>
          </w:p>
        </w:tc>
        <w:tc>
          <w:tcPr>
            <w:tcW w:w="538" w:type="pct"/>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960" w:hRule="atLeast"/>
        </w:trPr>
        <w:tc>
          <w:tcPr>
            <w:tcW w:w="2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10</w:t>
            </w:r>
          </w:p>
        </w:tc>
        <w:tc>
          <w:tcPr>
            <w:tcW w:w="44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凤威路</w:t>
            </w:r>
          </w:p>
        </w:tc>
        <w:tc>
          <w:tcPr>
            <w:tcW w:w="80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0~2.986</w:t>
            </w:r>
          </w:p>
        </w:tc>
        <w:tc>
          <w:tcPr>
            <w:tcW w:w="80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单柱警告标志</w:t>
            </w:r>
          </w:p>
        </w:tc>
        <w:tc>
          <w:tcPr>
            <w:tcW w:w="105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2"/>
                <w:szCs w:val="22"/>
              </w:rPr>
            </w:pPr>
            <w:r>
              <w:rPr>
                <w:rFonts w:ascii="宋体" w:hAnsi="宋体" w:cs="宋体"/>
                <w:color w:val="000000"/>
                <w:sz w:val="22"/>
                <w:szCs w:val="22"/>
                <w:lang w:bidi="ar"/>
              </w:rPr>
              <w:t>1、规格尺寸：Δ900                 2、单立柱：Φ76*3*3000                   3、基础：500*500*600</w:t>
            </w:r>
          </w:p>
        </w:tc>
        <w:tc>
          <w:tcPr>
            <w:tcW w:w="2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套</w:t>
            </w:r>
          </w:p>
        </w:tc>
        <w:tc>
          <w:tcPr>
            <w:tcW w:w="2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w:t>
            </w:r>
          </w:p>
        </w:tc>
        <w:tc>
          <w:tcPr>
            <w:tcW w:w="538" w:type="pct"/>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2"/>
                <w:szCs w:val="22"/>
              </w:rPr>
            </w:pPr>
          </w:p>
        </w:tc>
        <w:tc>
          <w:tcPr>
            <w:tcW w:w="538" w:type="pct"/>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960" w:hRule="atLeast"/>
        </w:trPr>
        <w:tc>
          <w:tcPr>
            <w:tcW w:w="2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11</w:t>
            </w:r>
          </w:p>
        </w:tc>
        <w:tc>
          <w:tcPr>
            <w:tcW w:w="44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凤威路</w:t>
            </w:r>
          </w:p>
        </w:tc>
        <w:tc>
          <w:tcPr>
            <w:tcW w:w="80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2.986~5.598</w:t>
            </w:r>
          </w:p>
        </w:tc>
        <w:tc>
          <w:tcPr>
            <w:tcW w:w="80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单柱警告标志</w:t>
            </w:r>
          </w:p>
        </w:tc>
        <w:tc>
          <w:tcPr>
            <w:tcW w:w="105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2"/>
                <w:szCs w:val="22"/>
              </w:rPr>
            </w:pPr>
            <w:r>
              <w:rPr>
                <w:rFonts w:ascii="宋体" w:hAnsi="宋体" w:cs="宋体"/>
                <w:color w:val="000000"/>
                <w:sz w:val="22"/>
                <w:szCs w:val="22"/>
                <w:lang w:bidi="ar"/>
              </w:rPr>
              <w:t>1、规格尺寸：Δ900                 2、单立柱：Φ76*3*3000                   3、基础：500*500*600</w:t>
            </w:r>
          </w:p>
        </w:tc>
        <w:tc>
          <w:tcPr>
            <w:tcW w:w="2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套</w:t>
            </w:r>
          </w:p>
        </w:tc>
        <w:tc>
          <w:tcPr>
            <w:tcW w:w="2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w:t>
            </w:r>
          </w:p>
        </w:tc>
        <w:tc>
          <w:tcPr>
            <w:tcW w:w="538" w:type="pct"/>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2"/>
                <w:szCs w:val="22"/>
              </w:rPr>
            </w:pPr>
          </w:p>
        </w:tc>
        <w:tc>
          <w:tcPr>
            <w:tcW w:w="538" w:type="pct"/>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960" w:hRule="atLeast"/>
        </w:trPr>
        <w:tc>
          <w:tcPr>
            <w:tcW w:w="2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12</w:t>
            </w:r>
          </w:p>
        </w:tc>
        <w:tc>
          <w:tcPr>
            <w:tcW w:w="44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凤威路</w:t>
            </w:r>
          </w:p>
        </w:tc>
        <w:tc>
          <w:tcPr>
            <w:tcW w:w="80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6.552—3.753</w:t>
            </w:r>
          </w:p>
        </w:tc>
        <w:tc>
          <w:tcPr>
            <w:tcW w:w="80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单柱警告标志</w:t>
            </w:r>
          </w:p>
        </w:tc>
        <w:tc>
          <w:tcPr>
            <w:tcW w:w="105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2"/>
                <w:szCs w:val="22"/>
              </w:rPr>
            </w:pPr>
            <w:r>
              <w:rPr>
                <w:rFonts w:ascii="宋体" w:hAnsi="宋体" w:cs="宋体"/>
                <w:color w:val="000000"/>
                <w:sz w:val="22"/>
                <w:szCs w:val="22"/>
                <w:lang w:bidi="ar"/>
              </w:rPr>
              <w:t>1、规格尺寸：Δ900                 2、单立柱：Φ76*3*3000                   3、基础：500*500*600</w:t>
            </w:r>
          </w:p>
        </w:tc>
        <w:tc>
          <w:tcPr>
            <w:tcW w:w="2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套</w:t>
            </w:r>
          </w:p>
        </w:tc>
        <w:tc>
          <w:tcPr>
            <w:tcW w:w="2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w:t>
            </w:r>
          </w:p>
        </w:tc>
        <w:tc>
          <w:tcPr>
            <w:tcW w:w="538" w:type="pct"/>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2"/>
                <w:szCs w:val="22"/>
              </w:rPr>
            </w:pPr>
          </w:p>
        </w:tc>
        <w:tc>
          <w:tcPr>
            <w:tcW w:w="538" w:type="pct"/>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960" w:hRule="atLeast"/>
        </w:trPr>
        <w:tc>
          <w:tcPr>
            <w:tcW w:w="2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13</w:t>
            </w:r>
          </w:p>
        </w:tc>
        <w:tc>
          <w:tcPr>
            <w:tcW w:w="44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凤威路</w:t>
            </w:r>
          </w:p>
        </w:tc>
        <w:tc>
          <w:tcPr>
            <w:tcW w:w="80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6.552—3.753</w:t>
            </w:r>
          </w:p>
        </w:tc>
        <w:tc>
          <w:tcPr>
            <w:tcW w:w="80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单柱禁令标志</w:t>
            </w:r>
          </w:p>
        </w:tc>
        <w:tc>
          <w:tcPr>
            <w:tcW w:w="105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2"/>
                <w:szCs w:val="22"/>
              </w:rPr>
            </w:pPr>
            <w:r>
              <w:rPr>
                <w:rFonts w:ascii="宋体" w:hAnsi="宋体" w:cs="宋体"/>
                <w:color w:val="000000"/>
                <w:sz w:val="22"/>
                <w:szCs w:val="22"/>
                <w:lang w:bidi="ar"/>
              </w:rPr>
              <w:t>1、规格尺寸：Φ800*2                     2、单立柱：Φ76*3*3000                 3、基础：500*500*600</w:t>
            </w:r>
          </w:p>
        </w:tc>
        <w:tc>
          <w:tcPr>
            <w:tcW w:w="2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套</w:t>
            </w:r>
          </w:p>
        </w:tc>
        <w:tc>
          <w:tcPr>
            <w:tcW w:w="2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w:t>
            </w:r>
          </w:p>
        </w:tc>
        <w:tc>
          <w:tcPr>
            <w:tcW w:w="538" w:type="pct"/>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2"/>
                <w:szCs w:val="22"/>
              </w:rPr>
            </w:pPr>
          </w:p>
        </w:tc>
        <w:tc>
          <w:tcPr>
            <w:tcW w:w="538" w:type="pct"/>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960" w:hRule="atLeast"/>
        </w:trPr>
        <w:tc>
          <w:tcPr>
            <w:tcW w:w="2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14</w:t>
            </w:r>
          </w:p>
        </w:tc>
        <w:tc>
          <w:tcPr>
            <w:tcW w:w="44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凤威路</w:t>
            </w:r>
          </w:p>
        </w:tc>
        <w:tc>
          <w:tcPr>
            <w:tcW w:w="80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1.809—0</w:t>
            </w:r>
          </w:p>
        </w:tc>
        <w:tc>
          <w:tcPr>
            <w:tcW w:w="80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单柱警告标志</w:t>
            </w:r>
          </w:p>
        </w:tc>
        <w:tc>
          <w:tcPr>
            <w:tcW w:w="105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2"/>
                <w:szCs w:val="22"/>
              </w:rPr>
            </w:pPr>
            <w:r>
              <w:rPr>
                <w:rFonts w:ascii="宋体" w:hAnsi="宋体" w:cs="宋体"/>
                <w:color w:val="000000"/>
                <w:sz w:val="22"/>
                <w:szCs w:val="22"/>
                <w:lang w:bidi="ar"/>
              </w:rPr>
              <w:t>1、规格尺寸：Δ900                 2、单立柱：Φ76*3*3000                   3、基础：500*500*600</w:t>
            </w:r>
          </w:p>
        </w:tc>
        <w:tc>
          <w:tcPr>
            <w:tcW w:w="2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套</w:t>
            </w:r>
          </w:p>
        </w:tc>
        <w:tc>
          <w:tcPr>
            <w:tcW w:w="2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w:t>
            </w:r>
          </w:p>
        </w:tc>
        <w:tc>
          <w:tcPr>
            <w:tcW w:w="538" w:type="pct"/>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2"/>
                <w:szCs w:val="22"/>
              </w:rPr>
            </w:pPr>
          </w:p>
        </w:tc>
        <w:tc>
          <w:tcPr>
            <w:tcW w:w="538" w:type="pct"/>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960" w:hRule="atLeast"/>
        </w:trPr>
        <w:tc>
          <w:tcPr>
            <w:tcW w:w="2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15</w:t>
            </w:r>
          </w:p>
        </w:tc>
        <w:tc>
          <w:tcPr>
            <w:tcW w:w="44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凤威路</w:t>
            </w:r>
          </w:p>
        </w:tc>
        <w:tc>
          <w:tcPr>
            <w:tcW w:w="80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1.809—0</w:t>
            </w:r>
          </w:p>
        </w:tc>
        <w:tc>
          <w:tcPr>
            <w:tcW w:w="80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单柱禁令标志</w:t>
            </w:r>
          </w:p>
        </w:tc>
        <w:tc>
          <w:tcPr>
            <w:tcW w:w="105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2"/>
                <w:szCs w:val="22"/>
              </w:rPr>
            </w:pPr>
            <w:r>
              <w:rPr>
                <w:rFonts w:ascii="宋体" w:hAnsi="宋体" w:cs="宋体"/>
                <w:color w:val="000000"/>
                <w:sz w:val="22"/>
                <w:szCs w:val="22"/>
                <w:lang w:bidi="ar"/>
              </w:rPr>
              <w:t>1、规格尺寸：Φ800*2                     2、单立柱：Φ76*3*3000                 3、基础：500*500*600</w:t>
            </w:r>
          </w:p>
        </w:tc>
        <w:tc>
          <w:tcPr>
            <w:tcW w:w="2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套</w:t>
            </w:r>
          </w:p>
        </w:tc>
        <w:tc>
          <w:tcPr>
            <w:tcW w:w="2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w:t>
            </w:r>
          </w:p>
        </w:tc>
        <w:tc>
          <w:tcPr>
            <w:tcW w:w="538" w:type="pct"/>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2"/>
                <w:szCs w:val="22"/>
              </w:rPr>
            </w:pPr>
          </w:p>
        </w:tc>
        <w:tc>
          <w:tcPr>
            <w:tcW w:w="538" w:type="pct"/>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960" w:hRule="atLeast"/>
        </w:trPr>
        <w:tc>
          <w:tcPr>
            <w:tcW w:w="2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16</w:t>
            </w:r>
          </w:p>
        </w:tc>
        <w:tc>
          <w:tcPr>
            <w:tcW w:w="44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团结路</w:t>
            </w:r>
          </w:p>
        </w:tc>
        <w:tc>
          <w:tcPr>
            <w:tcW w:w="80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2.67—5.454</w:t>
            </w:r>
          </w:p>
        </w:tc>
        <w:tc>
          <w:tcPr>
            <w:tcW w:w="80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防眩板</w:t>
            </w:r>
          </w:p>
        </w:tc>
        <w:tc>
          <w:tcPr>
            <w:tcW w:w="105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1、规格尺寸：850*200                    2、支架尺寸：300*1000</w:t>
            </w:r>
          </w:p>
        </w:tc>
        <w:tc>
          <w:tcPr>
            <w:tcW w:w="2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套</w:t>
            </w:r>
          </w:p>
        </w:tc>
        <w:tc>
          <w:tcPr>
            <w:tcW w:w="2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696</w:t>
            </w:r>
          </w:p>
        </w:tc>
        <w:tc>
          <w:tcPr>
            <w:tcW w:w="538" w:type="pct"/>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2"/>
                <w:szCs w:val="22"/>
              </w:rPr>
            </w:pPr>
          </w:p>
        </w:tc>
        <w:tc>
          <w:tcPr>
            <w:tcW w:w="538" w:type="pct"/>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960" w:hRule="atLeast"/>
        </w:trPr>
        <w:tc>
          <w:tcPr>
            <w:tcW w:w="2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17</w:t>
            </w:r>
          </w:p>
        </w:tc>
        <w:tc>
          <w:tcPr>
            <w:tcW w:w="44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团结路</w:t>
            </w:r>
          </w:p>
        </w:tc>
        <w:tc>
          <w:tcPr>
            <w:tcW w:w="80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8.281—10.922</w:t>
            </w:r>
          </w:p>
        </w:tc>
        <w:tc>
          <w:tcPr>
            <w:tcW w:w="80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防眩板</w:t>
            </w:r>
          </w:p>
        </w:tc>
        <w:tc>
          <w:tcPr>
            <w:tcW w:w="105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1、规格尺寸：850*200                    2、支架尺寸：300*1000</w:t>
            </w:r>
          </w:p>
        </w:tc>
        <w:tc>
          <w:tcPr>
            <w:tcW w:w="2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套</w:t>
            </w:r>
          </w:p>
        </w:tc>
        <w:tc>
          <w:tcPr>
            <w:tcW w:w="2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661</w:t>
            </w:r>
          </w:p>
        </w:tc>
        <w:tc>
          <w:tcPr>
            <w:tcW w:w="538" w:type="pct"/>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2"/>
                <w:szCs w:val="22"/>
              </w:rPr>
            </w:pPr>
          </w:p>
        </w:tc>
        <w:tc>
          <w:tcPr>
            <w:tcW w:w="538" w:type="pct"/>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960" w:hRule="atLeast"/>
        </w:trPr>
        <w:tc>
          <w:tcPr>
            <w:tcW w:w="2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18</w:t>
            </w:r>
          </w:p>
        </w:tc>
        <w:tc>
          <w:tcPr>
            <w:tcW w:w="44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团结路</w:t>
            </w:r>
          </w:p>
        </w:tc>
        <w:tc>
          <w:tcPr>
            <w:tcW w:w="80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10.922—8.527</w:t>
            </w:r>
          </w:p>
        </w:tc>
        <w:tc>
          <w:tcPr>
            <w:tcW w:w="80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防眩板</w:t>
            </w:r>
          </w:p>
        </w:tc>
        <w:tc>
          <w:tcPr>
            <w:tcW w:w="105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1、规格尺寸：850*200                     2、支架尺寸：300*1000</w:t>
            </w:r>
          </w:p>
        </w:tc>
        <w:tc>
          <w:tcPr>
            <w:tcW w:w="2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套</w:t>
            </w:r>
          </w:p>
        </w:tc>
        <w:tc>
          <w:tcPr>
            <w:tcW w:w="2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599</w:t>
            </w:r>
          </w:p>
        </w:tc>
        <w:tc>
          <w:tcPr>
            <w:tcW w:w="538" w:type="pct"/>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2"/>
                <w:szCs w:val="22"/>
              </w:rPr>
            </w:pPr>
          </w:p>
        </w:tc>
        <w:tc>
          <w:tcPr>
            <w:tcW w:w="538" w:type="pct"/>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960" w:hRule="atLeast"/>
        </w:trPr>
        <w:tc>
          <w:tcPr>
            <w:tcW w:w="2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19</w:t>
            </w:r>
          </w:p>
        </w:tc>
        <w:tc>
          <w:tcPr>
            <w:tcW w:w="44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团结路</w:t>
            </w:r>
          </w:p>
        </w:tc>
        <w:tc>
          <w:tcPr>
            <w:tcW w:w="80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8.527—6.201</w:t>
            </w:r>
          </w:p>
        </w:tc>
        <w:tc>
          <w:tcPr>
            <w:tcW w:w="80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防眩板</w:t>
            </w:r>
          </w:p>
        </w:tc>
        <w:tc>
          <w:tcPr>
            <w:tcW w:w="105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1、规格尺寸：850*200                     2、支架尺寸：300*1000</w:t>
            </w:r>
          </w:p>
        </w:tc>
        <w:tc>
          <w:tcPr>
            <w:tcW w:w="2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套</w:t>
            </w:r>
          </w:p>
        </w:tc>
        <w:tc>
          <w:tcPr>
            <w:tcW w:w="2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582</w:t>
            </w:r>
          </w:p>
        </w:tc>
        <w:tc>
          <w:tcPr>
            <w:tcW w:w="538" w:type="pct"/>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2"/>
                <w:szCs w:val="22"/>
              </w:rPr>
            </w:pPr>
          </w:p>
        </w:tc>
        <w:tc>
          <w:tcPr>
            <w:tcW w:w="538" w:type="pct"/>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960" w:hRule="atLeast"/>
        </w:trPr>
        <w:tc>
          <w:tcPr>
            <w:tcW w:w="2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20</w:t>
            </w:r>
          </w:p>
        </w:tc>
        <w:tc>
          <w:tcPr>
            <w:tcW w:w="44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团结路</w:t>
            </w:r>
          </w:p>
        </w:tc>
        <w:tc>
          <w:tcPr>
            <w:tcW w:w="80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6.201—4.198</w:t>
            </w:r>
          </w:p>
        </w:tc>
        <w:tc>
          <w:tcPr>
            <w:tcW w:w="80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防眩板</w:t>
            </w:r>
          </w:p>
        </w:tc>
        <w:tc>
          <w:tcPr>
            <w:tcW w:w="105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1、规格尺寸：850*200                      2、支架尺寸：300*1000</w:t>
            </w:r>
          </w:p>
        </w:tc>
        <w:tc>
          <w:tcPr>
            <w:tcW w:w="2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套</w:t>
            </w:r>
          </w:p>
        </w:tc>
        <w:tc>
          <w:tcPr>
            <w:tcW w:w="2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501</w:t>
            </w:r>
          </w:p>
        </w:tc>
        <w:tc>
          <w:tcPr>
            <w:tcW w:w="538" w:type="pct"/>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2"/>
                <w:szCs w:val="22"/>
              </w:rPr>
            </w:pPr>
          </w:p>
        </w:tc>
        <w:tc>
          <w:tcPr>
            <w:tcW w:w="538" w:type="pct"/>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960" w:hRule="atLeast"/>
        </w:trPr>
        <w:tc>
          <w:tcPr>
            <w:tcW w:w="2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21</w:t>
            </w:r>
          </w:p>
        </w:tc>
        <w:tc>
          <w:tcPr>
            <w:tcW w:w="44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团结路</w:t>
            </w:r>
          </w:p>
        </w:tc>
        <w:tc>
          <w:tcPr>
            <w:tcW w:w="80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4.198—1.86</w:t>
            </w:r>
          </w:p>
        </w:tc>
        <w:tc>
          <w:tcPr>
            <w:tcW w:w="80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防眩板</w:t>
            </w:r>
          </w:p>
        </w:tc>
        <w:tc>
          <w:tcPr>
            <w:tcW w:w="105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1、规格尺寸：850*200                       2、支架尺寸：300*1000</w:t>
            </w:r>
          </w:p>
        </w:tc>
        <w:tc>
          <w:tcPr>
            <w:tcW w:w="2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套</w:t>
            </w:r>
          </w:p>
        </w:tc>
        <w:tc>
          <w:tcPr>
            <w:tcW w:w="2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585</w:t>
            </w:r>
          </w:p>
        </w:tc>
        <w:tc>
          <w:tcPr>
            <w:tcW w:w="538" w:type="pct"/>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2"/>
                <w:szCs w:val="22"/>
              </w:rPr>
            </w:pPr>
          </w:p>
        </w:tc>
        <w:tc>
          <w:tcPr>
            <w:tcW w:w="538" w:type="pct"/>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960" w:hRule="atLeast"/>
        </w:trPr>
        <w:tc>
          <w:tcPr>
            <w:tcW w:w="2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22</w:t>
            </w:r>
          </w:p>
        </w:tc>
        <w:tc>
          <w:tcPr>
            <w:tcW w:w="44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通云路</w:t>
            </w:r>
          </w:p>
        </w:tc>
        <w:tc>
          <w:tcPr>
            <w:tcW w:w="80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0—3</w:t>
            </w:r>
          </w:p>
        </w:tc>
        <w:tc>
          <w:tcPr>
            <w:tcW w:w="80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单柱警告标志</w:t>
            </w:r>
          </w:p>
        </w:tc>
        <w:tc>
          <w:tcPr>
            <w:tcW w:w="105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2"/>
                <w:szCs w:val="22"/>
              </w:rPr>
            </w:pPr>
            <w:r>
              <w:rPr>
                <w:rFonts w:ascii="宋体" w:hAnsi="宋体" w:cs="宋体"/>
                <w:color w:val="000000"/>
                <w:sz w:val="22"/>
                <w:szCs w:val="22"/>
                <w:lang w:bidi="ar"/>
              </w:rPr>
              <w:t>1、规格尺寸：Δ900                 2、单立柱：Φ76*3000                   3、基础：500*500*600</w:t>
            </w:r>
          </w:p>
        </w:tc>
        <w:tc>
          <w:tcPr>
            <w:tcW w:w="2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套</w:t>
            </w:r>
          </w:p>
        </w:tc>
        <w:tc>
          <w:tcPr>
            <w:tcW w:w="2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w:t>
            </w:r>
          </w:p>
        </w:tc>
        <w:tc>
          <w:tcPr>
            <w:tcW w:w="538" w:type="pct"/>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2"/>
                <w:szCs w:val="22"/>
              </w:rPr>
            </w:pPr>
          </w:p>
        </w:tc>
        <w:tc>
          <w:tcPr>
            <w:tcW w:w="538" w:type="pct"/>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960" w:hRule="atLeast"/>
        </w:trPr>
        <w:tc>
          <w:tcPr>
            <w:tcW w:w="2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23</w:t>
            </w:r>
          </w:p>
        </w:tc>
        <w:tc>
          <w:tcPr>
            <w:tcW w:w="44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通云路</w:t>
            </w:r>
          </w:p>
        </w:tc>
        <w:tc>
          <w:tcPr>
            <w:tcW w:w="80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3—5.346</w:t>
            </w:r>
          </w:p>
        </w:tc>
        <w:tc>
          <w:tcPr>
            <w:tcW w:w="80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单柱警告标志</w:t>
            </w:r>
          </w:p>
        </w:tc>
        <w:tc>
          <w:tcPr>
            <w:tcW w:w="105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2"/>
                <w:szCs w:val="22"/>
              </w:rPr>
            </w:pPr>
            <w:r>
              <w:rPr>
                <w:rFonts w:ascii="宋体" w:hAnsi="宋体" w:cs="宋体"/>
                <w:color w:val="000000"/>
                <w:sz w:val="22"/>
                <w:szCs w:val="22"/>
                <w:lang w:bidi="ar"/>
              </w:rPr>
              <w:t>1、规格尺寸：Δ900                 2、单立柱：Φ76*3*3000                   3、基础：500*500*600</w:t>
            </w:r>
          </w:p>
        </w:tc>
        <w:tc>
          <w:tcPr>
            <w:tcW w:w="2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套</w:t>
            </w:r>
          </w:p>
        </w:tc>
        <w:tc>
          <w:tcPr>
            <w:tcW w:w="2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w:t>
            </w:r>
          </w:p>
        </w:tc>
        <w:tc>
          <w:tcPr>
            <w:tcW w:w="538" w:type="pct"/>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2"/>
                <w:szCs w:val="22"/>
              </w:rPr>
            </w:pPr>
          </w:p>
        </w:tc>
        <w:tc>
          <w:tcPr>
            <w:tcW w:w="538" w:type="pct"/>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960" w:hRule="atLeast"/>
        </w:trPr>
        <w:tc>
          <w:tcPr>
            <w:tcW w:w="2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24</w:t>
            </w:r>
          </w:p>
        </w:tc>
        <w:tc>
          <w:tcPr>
            <w:tcW w:w="44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通云路</w:t>
            </w:r>
          </w:p>
        </w:tc>
        <w:tc>
          <w:tcPr>
            <w:tcW w:w="80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3—5.346</w:t>
            </w:r>
          </w:p>
        </w:tc>
        <w:tc>
          <w:tcPr>
            <w:tcW w:w="80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单柱禁令标志</w:t>
            </w:r>
          </w:p>
        </w:tc>
        <w:tc>
          <w:tcPr>
            <w:tcW w:w="105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2"/>
                <w:szCs w:val="22"/>
              </w:rPr>
            </w:pPr>
            <w:r>
              <w:rPr>
                <w:rFonts w:ascii="宋体" w:hAnsi="宋体" w:cs="宋体"/>
                <w:color w:val="000000"/>
                <w:sz w:val="22"/>
                <w:szCs w:val="22"/>
                <w:lang w:bidi="ar"/>
              </w:rPr>
              <w:t>1、规格尺寸：Φ800                    2、单立柱：Φ76*3*3000                 3、基础：500*500*600</w:t>
            </w:r>
          </w:p>
        </w:tc>
        <w:tc>
          <w:tcPr>
            <w:tcW w:w="2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套</w:t>
            </w:r>
          </w:p>
        </w:tc>
        <w:tc>
          <w:tcPr>
            <w:tcW w:w="2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w:t>
            </w:r>
          </w:p>
        </w:tc>
        <w:tc>
          <w:tcPr>
            <w:tcW w:w="538" w:type="pct"/>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2"/>
                <w:szCs w:val="22"/>
              </w:rPr>
            </w:pPr>
          </w:p>
        </w:tc>
        <w:tc>
          <w:tcPr>
            <w:tcW w:w="538" w:type="pct"/>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960" w:hRule="atLeast"/>
        </w:trPr>
        <w:tc>
          <w:tcPr>
            <w:tcW w:w="2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25</w:t>
            </w:r>
          </w:p>
        </w:tc>
        <w:tc>
          <w:tcPr>
            <w:tcW w:w="44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芙蓉一路</w:t>
            </w:r>
          </w:p>
        </w:tc>
        <w:tc>
          <w:tcPr>
            <w:tcW w:w="80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0—3.079</w:t>
            </w:r>
          </w:p>
        </w:tc>
        <w:tc>
          <w:tcPr>
            <w:tcW w:w="80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单柱警告标志</w:t>
            </w:r>
          </w:p>
        </w:tc>
        <w:tc>
          <w:tcPr>
            <w:tcW w:w="105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2"/>
                <w:szCs w:val="22"/>
              </w:rPr>
            </w:pPr>
            <w:r>
              <w:rPr>
                <w:rFonts w:ascii="宋体" w:hAnsi="宋体" w:cs="宋体"/>
                <w:color w:val="000000"/>
                <w:sz w:val="22"/>
                <w:szCs w:val="22"/>
                <w:lang w:bidi="ar"/>
              </w:rPr>
              <w:t>1、规格尺寸：Δ900                 2、单立柱：Φ76*3*3000                   3、基础：500*500*600</w:t>
            </w:r>
          </w:p>
        </w:tc>
        <w:tc>
          <w:tcPr>
            <w:tcW w:w="2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套</w:t>
            </w:r>
          </w:p>
        </w:tc>
        <w:tc>
          <w:tcPr>
            <w:tcW w:w="2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w:t>
            </w:r>
          </w:p>
        </w:tc>
        <w:tc>
          <w:tcPr>
            <w:tcW w:w="538" w:type="pct"/>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2"/>
                <w:szCs w:val="22"/>
              </w:rPr>
            </w:pPr>
          </w:p>
        </w:tc>
        <w:tc>
          <w:tcPr>
            <w:tcW w:w="538" w:type="pct"/>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960" w:hRule="atLeast"/>
        </w:trPr>
        <w:tc>
          <w:tcPr>
            <w:tcW w:w="2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26</w:t>
            </w:r>
          </w:p>
        </w:tc>
        <w:tc>
          <w:tcPr>
            <w:tcW w:w="44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芙蓉一路</w:t>
            </w:r>
          </w:p>
        </w:tc>
        <w:tc>
          <w:tcPr>
            <w:tcW w:w="80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0—3.079</w:t>
            </w:r>
          </w:p>
        </w:tc>
        <w:tc>
          <w:tcPr>
            <w:tcW w:w="80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单柱禁令标志</w:t>
            </w:r>
          </w:p>
        </w:tc>
        <w:tc>
          <w:tcPr>
            <w:tcW w:w="105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2"/>
                <w:szCs w:val="22"/>
              </w:rPr>
            </w:pPr>
            <w:r>
              <w:rPr>
                <w:rFonts w:ascii="宋体" w:hAnsi="宋体" w:cs="宋体"/>
                <w:color w:val="000000"/>
                <w:sz w:val="22"/>
                <w:szCs w:val="22"/>
                <w:lang w:bidi="ar"/>
              </w:rPr>
              <w:t>1、规格尺寸：Φ800                    2、单立柱：Φ76*3*3000                 3、基础：500*500*600</w:t>
            </w:r>
          </w:p>
        </w:tc>
        <w:tc>
          <w:tcPr>
            <w:tcW w:w="2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套</w:t>
            </w:r>
          </w:p>
        </w:tc>
        <w:tc>
          <w:tcPr>
            <w:tcW w:w="2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w:t>
            </w:r>
          </w:p>
        </w:tc>
        <w:tc>
          <w:tcPr>
            <w:tcW w:w="538" w:type="pct"/>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2"/>
                <w:szCs w:val="22"/>
              </w:rPr>
            </w:pPr>
          </w:p>
        </w:tc>
        <w:tc>
          <w:tcPr>
            <w:tcW w:w="538" w:type="pct"/>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960" w:hRule="atLeast"/>
        </w:trPr>
        <w:tc>
          <w:tcPr>
            <w:tcW w:w="2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27</w:t>
            </w:r>
          </w:p>
        </w:tc>
        <w:tc>
          <w:tcPr>
            <w:tcW w:w="44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芙蓉二路</w:t>
            </w:r>
          </w:p>
        </w:tc>
        <w:tc>
          <w:tcPr>
            <w:tcW w:w="80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0—3.137</w:t>
            </w:r>
          </w:p>
        </w:tc>
        <w:tc>
          <w:tcPr>
            <w:tcW w:w="80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单柱警告标志</w:t>
            </w:r>
          </w:p>
        </w:tc>
        <w:tc>
          <w:tcPr>
            <w:tcW w:w="105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2"/>
                <w:szCs w:val="22"/>
              </w:rPr>
            </w:pPr>
            <w:r>
              <w:rPr>
                <w:rFonts w:ascii="宋体" w:hAnsi="宋体" w:cs="宋体"/>
                <w:color w:val="000000"/>
                <w:sz w:val="22"/>
                <w:szCs w:val="22"/>
                <w:lang w:bidi="ar"/>
              </w:rPr>
              <w:t>1、规格尺寸：Δ900                 2、单立柱：Φ76*3*3000                   3、基础：500*500*600</w:t>
            </w:r>
          </w:p>
        </w:tc>
        <w:tc>
          <w:tcPr>
            <w:tcW w:w="2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套</w:t>
            </w:r>
          </w:p>
        </w:tc>
        <w:tc>
          <w:tcPr>
            <w:tcW w:w="2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w:t>
            </w:r>
          </w:p>
        </w:tc>
        <w:tc>
          <w:tcPr>
            <w:tcW w:w="538" w:type="pct"/>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2"/>
                <w:szCs w:val="22"/>
              </w:rPr>
            </w:pPr>
          </w:p>
        </w:tc>
        <w:tc>
          <w:tcPr>
            <w:tcW w:w="538" w:type="pct"/>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960" w:hRule="atLeast"/>
        </w:trPr>
        <w:tc>
          <w:tcPr>
            <w:tcW w:w="2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28</w:t>
            </w:r>
          </w:p>
        </w:tc>
        <w:tc>
          <w:tcPr>
            <w:tcW w:w="44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芙蓉三路</w:t>
            </w:r>
          </w:p>
        </w:tc>
        <w:tc>
          <w:tcPr>
            <w:tcW w:w="80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0—3.137</w:t>
            </w:r>
          </w:p>
        </w:tc>
        <w:tc>
          <w:tcPr>
            <w:tcW w:w="80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单柱禁令标志</w:t>
            </w:r>
          </w:p>
        </w:tc>
        <w:tc>
          <w:tcPr>
            <w:tcW w:w="105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2"/>
                <w:szCs w:val="22"/>
              </w:rPr>
            </w:pPr>
            <w:r>
              <w:rPr>
                <w:rFonts w:ascii="宋体" w:hAnsi="宋体" w:cs="宋体"/>
                <w:color w:val="000000"/>
                <w:sz w:val="22"/>
                <w:szCs w:val="22"/>
                <w:lang w:bidi="ar"/>
              </w:rPr>
              <w:t>1、规格尺寸：Φ800                    2、单立柱：Φ76*3*3000                 3、基础：500*500*600</w:t>
            </w:r>
          </w:p>
        </w:tc>
        <w:tc>
          <w:tcPr>
            <w:tcW w:w="2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套</w:t>
            </w:r>
          </w:p>
        </w:tc>
        <w:tc>
          <w:tcPr>
            <w:tcW w:w="2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w:t>
            </w:r>
          </w:p>
        </w:tc>
        <w:tc>
          <w:tcPr>
            <w:tcW w:w="538" w:type="pct"/>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2"/>
                <w:szCs w:val="22"/>
              </w:rPr>
            </w:pPr>
          </w:p>
        </w:tc>
        <w:tc>
          <w:tcPr>
            <w:tcW w:w="538" w:type="pct"/>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960" w:hRule="atLeast"/>
        </w:trPr>
        <w:tc>
          <w:tcPr>
            <w:tcW w:w="2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29</w:t>
            </w:r>
          </w:p>
        </w:tc>
        <w:tc>
          <w:tcPr>
            <w:tcW w:w="44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芙蓉三路</w:t>
            </w:r>
          </w:p>
        </w:tc>
        <w:tc>
          <w:tcPr>
            <w:tcW w:w="80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0—2.938</w:t>
            </w:r>
          </w:p>
        </w:tc>
        <w:tc>
          <w:tcPr>
            <w:tcW w:w="80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单柱警告标志</w:t>
            </w:r>
          </w:p>
        </w:tc>
        <w:tc>
          <w:tcPr>
            <w:tcW w:w="105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2"/>
                <w:szCs w:val="22"/>
              </w:rPr>
            </w:pPr>
            <w:r>
              <w:rPr>
                <w:rFonts w:ascii="宋体" w:hAnsi="宋体" w:cs="宋体"/>
                <w:color w:val="000000"/>
                <w:sz w:val="22"/>
                <w:szCs w:val="22"/>
                <w:lang w:bidi="ar"/>
              </w:rPr>
              <w:t>1、规格尺寸：Δ900                 2、单立柱：Φ76*3000                   3、基础：500*500*600</w:t>
            </w:r>
          </w:p>
        </w:tc>
        <w:tc>
          <w:tcPr>
            <w:tcW w:w="2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套</w:t>
            </w:r>
          </w:p>
        </w:tc>
        <w:tc>
          <w:tcPr>
            <w:tcW w:w="2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w:t>
            </w:r>
          </w:p>
        </w:tc>
        <w:tc>
          <w:tcPr>
            <w:tcW w:w="538" w:type="pct"/>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2"/>
                <w:szCs w:val="22"/>
              </w:rPr>
            </w:pPr>
          </w:p>
        </w:tc>
        <w:tc>
          <w:tcPr>
            <w:tcW w:w="538" w:type="pct"/>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960" w:hRule="atLeast"/>
        </w:trPr>
        <w:tc>
          <w:tcPr>
            <w:tcW w:w="2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30</w:t>
            </w:r>
          </w:p>
        </w:tc>
        <w:tc>
          <w:tcPr>
            <w:tcW w:w="44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芙蓉三路</w:t>
            </w:r>
          </w:p>
        </w:tc>
        <w:tc>
          <w:tcPr>
            <w:tcW w:w="80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0—2.938</w:t>
            </w:r>
          </w:p>
        </w:tc>
        <w:tc>
          <w:tcPr>
            <w:tcW w:w="80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单柱禁令标志</w:t>
            </w:r>
          </w:p>
        </w:tc>
        <w:tc>
          <w:tcPr>
            <w:tcW w:w="105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2"/>
                <w:szCs w:val="22"/>
              </w:rPr>
            </w:pPr>
            <w:r>
              <w:rPr>
                <w:rFonts w:ascii="宋体" w:hAnsi="宋体" w:cs="宋体"/>
                <w:color w:val="000000"/>
                <w:sz w:val="22"/>
                <w:szCs w:val="22"/>
                <w:lang w:bidi="ar"/>
              </w:rPr>
              <w:t>1、规格尺寸：Φ800                    2、单立柱：Φ76*3*3000                 3、基础：500*500*600</w:t>
            </w:r>
          </w:p>
        </w:tc>
        <w:tc>
          <w:tcPr>
            <w:tcW w:w="2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套</w:t>
            </w:r>
          </w:p>
        </w:tc>
        <w:tc>
          <w:tcPr>
            <w:tcW w:w="2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w:t>
            </w:r>
          </w:p>
        </w:tc>
        <w:tc>
          <w:tcPr>
            <w:tcW w:w="538" w:type="pct"/>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2"/>
                <w:szCs w:val="22"/>
              </w:rPr>
            </w:pPr>
          </w:p>
        </w:tc>
        <w:tc>
          <w:tcPr>
            <w:tcW w:w="538" w:type="pct"/>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960" w:hRule="atLeast"/>
        </w:trPr>
        <w:tc>
          <w:tcPr>
            <w:tcW w:w="2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31</w:t>
            </w:r>
          </w:p>
        </w:tc>
        <w:tc>
          <w:tcPr>
            <w:tcW w:w="44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芙蓉三路</w:t>
            </w:r>
          </w:p>
        </w:tc>
        <w:tc>
          <w:tcPr>
            <w:tcW w:w="80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2.938—4.93</w:t>
            </w:r>
          </w:p>
        </w:tc>
        <w:tc>
          <w:tcPr>
            <w:tcW w:w="80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单柱警告标志</w:t>
            </w:r>
          </w:p>
        </w:tc>
        <w:tc>
          <w:tcPr>
            <w:tcW w:w="105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2"/>
                <w:szCs w:val="22"/>
              </w:rPr>
            </w:pPr>
            <w:r>
              <w:rPr>
                <w:rFonts w:ascii="宋体" w:hAnsi="宋体" w:cs="宋体"/>
                <w:color w:val="000000"/>
                <w:sz w:val="22"/>
                <w:szCs w:val="22"/>
                <w:lang w:bidi="ar"/>
              </w:rPr>
              <w:t>1、规格尺寸：Δ900                 2、单立柱：Φ76*3000                   3、基础：500*500*600</w:t>
            </w:r>
          </w:p>
        </w:tc>
        <w:tc>
          <w:tcPr>
            <w:tcW w:w="2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套</w:t>
            </w:r>
          </w:p>
        </w:tc>
        <w:tc>
          <w:tcPr>
            <w:tcW w:w="2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w:t>
            </w:r>
          </w:p>
        </w:tc>
        <w:tc>
          <w:tcPr>
            <w:tcW w:w="538" w:type="pct"/>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2"/>
                <w:szCs w:val="22"/>
              </w:rPr>
            </w:pPr>
          </w:p>
        </w:tc>
        <w:tc>
          <w:tcPr>
            <w:tcW w:w="538" w:type="pct"/>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960" w:hRule="atLeast"/>
        </w:trPr>
        <w:tc>
          <w:tcPr>
            <w:tcW w:w="2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32</w:t>
            </w:r>
          </w:p>
        </w:tc>
        <w:tc>
          <w:tcPr>
            <w:tcW w:w="44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芙蓉三路</w:t>
            </w:r>
          </w:p>
        </w:tc>
        <w:tc>
          <w:tcPr>
            <w:tcW w:w="80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2.938—4.93</w:t>
            </w:r>
          </w:p>
        </w:tc>
        <w:tc>
          <w:tcPr>
            <w:tcW w:w="80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单柱禁令标志</w:t>
            </w:r>
          </w:p>
        </w:tc>
        <w:tc>
          <w:tcPr>
            <w:tcW w:w="105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2"/>
                <w:szCs w:val="22"/>
              </w:rPr>
            </w:pPr>
            <w:r>
              <w:rPr>
                <w:rFonts w:ascii="宋体" w:hAnsi="宋体" w:cs="宋体"/>
                <w:color w:val="000000"/>
                <w:sz w:val="22"/>
                <w:szCs w:val="22"/>
                <w:lang w:bidi="ar"/>
              </w:rPr>
              <w:t>1、规格尺寸：Φ800                    2、单立柱：Φ76*3*3000                 3、基础：500*500*600</w:t>
            </w:r>
          </w:p>
        </w:tc>
        <w:tc>
          <w:tcPr>
            <w:tcW w:w="2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套</w:t>
            </w:r>
          </w:p>
        </w:tc>
        <w:tc>
          <w:tcPr>
            <w:tcW w:w="2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w:t>
            </w:r>
          </w:p>
        </w:tc>
        <w:tc>
          <w:tcPr>
            <w:tcW w:w="538" w:type="pct"/>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2"/>
                <w:szCs w:val="22"/>
              </w:rPr>
            </w:pPr>
          </w:p>
        </w:tc>
        <w:tc>
          <w:tcPr>
            <w:tcW w:w="538" w:type="pct"/>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960" w:hRule="atLeast"/>
        </w:trPr>
        <w:tc>
          <w:tcPr>
            <w:tcW w:w="2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33</w:t>
            </w:r>
          </w:p>
        </w:tc>
        <w:tc>
          <w:tcPr>
            <w:tcW w:w="44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芙蓉四路</w:t>
            </w:r>
          </w:p>
        </w:tc>
        <w:tc>
          <w:tcPr>
            <w:tcW w:w="80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0—2.86</w:t>
            </w:r>
          </w:p>
        </w:tc>
        <w:tc>
          <w:tcPr>
            <w:tcW w:w="80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单柱警告标志</w:t>
            </w:r>
          </w:p>
        </w:tc>
        <w:tc>
          <w:tcPr>
            <w:tcW w:w="105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2"/>
                <w:szCs w:val="22"/>
              </w:rPr>
            </w:pPr>
            <w:r>
              <w:rPr>
                <w:rFonts w:ascii="宋体" w:hAnsi="宋体" w:cs="宋体"/>
                <w:color w:val="000000"/>
                <w:sz w:val="22"/>
                <w:szCs w:val="22"/>
                <w:lang w:bidi="ar"/>
              </w:rPr>
              <w:t>1、规格尺寸：Δ900                 2、单立柱：Φ76*3000                   3、基础：500*500*600</w:t>
            </w:r>
          </w:p>
        </w:tc>
        <w:tc>
          <w:tcPr>
            <w:tcW w:w="2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套</w:t>
            </w:r>
          </w:p>
        </w:tc>
        <w:tc>
          <w:tcPr>
            <w:tcW w:w="2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w:t>
            </w:r>
          </w:p>
        </w:tc>
        <w:tc>
          <w:tcPr>
            <w:tcW w:w="538" w:type="pct"/>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2"/>
                <w:szCs w:val="22"/>
              </w:rPr>
            </w:pPr>
          </w:p>
        </w:tc>
        <w:tc>
          <w:tcPr>
            <w:tcW w:w="538" w:type="pct"/>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960" w:hRule="atLeast"/>
        </w:trPr>
        <w:tc>
          <w:tcPr>
            <w:tcW w:w="2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34</w:t>
            </w:r>
          </w:p>
        </w:tc>
        <w:tc>
          <w:tcPr>
            <w:tcW w:w="44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芙蓉四路</w:t>
            </w:r>
          </w:p>
        </w:tc>
        <w:tc>
          <w:tcPr>
            <w:tcW w:w="80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0—2.86</w:t>
            </w:r>
          </w:p>
        </w:tc>
        <w:tc>
          <w:tcPr>
            <w:tcW w:w="80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单柱禁令标志</w:t>
            </w:r>
          </w:p>
        </w:tc>
        <w:tc>
          <w:tcPr>
            <w:tcW w:w="105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2"/>
                <w:szCs w:val="22"/>
              </w:rPr>
            </w:pPr>
            <w:r>
              <w:rPr>
                <w:rFonts w:ascii="宋体" w:hAnsi="宋体" w:cs="宋体"/>
                <w:color w:val="000000"/>
                <w:sz w:val="22"/>
                <w:szCs w:val="22"/>
                <w:lang w:bidi="ar"/>
              </w:rPr>
              <w:t>1、规格尺寸：Φ800                    2、单立柱：Φ76*3*3000                 3、基础：500*500*600</w:t>
            </w:r>
          </w:p>
        </w:tc>
        <w:tc>
          <w:tcPr>
            <w:tcW w:w="2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套</w:t>
            </w:r>
          </w:p>
        </w:tc>
        <w:tc>
          <w:tcPr>
            <w:tcW w:w="2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w:t>
            </w:r>
          </w:p>
        </w:tc>
        <w:tc>
          <w:tcPr>
            <w:tcW w:w="538" w:type="pct"/>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2"/>
                <w:szCs w:val="22"/>
              </w:rPr>
            </w:pPr>
          </w:p>
        </w:tc>
        <w:tc>
          <w:tcPr>
            <w:tcW w:w="538" w:type="pct"/>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960" w:hRule="atLeast"/>
        </w:trPr>
        <w:tc>
          <w:tcPr>
            <w:tcW w:w="2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35</w:t>
            </w:r>
          </w:p>
        </w:tc>
        <w:tc>
          <w:tcPr>
            <w:tcW w:w="44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芙蓉四路</w:t>
            </w:r>
          </w:p>
        </w:tc>
        <w:tc>
          <w:tcPr>
            <w:tcW w:w="80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2.86—3.816</w:t>
            </w:r>
          </w:p>
        </w:tc>
        <w:tc>
          <w:tcPr>
            <w:tcW w:w="80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单柱警告标志</w:t>
            </w:r>
          </w:p>
        </w:tc>
        <w:tc>
          <w:tcPr>
            <w:tcW w:w="105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2"/>
                <w:szCs w:val="22"/>
              </w:rPr>
            </w:pPr>
            <w:r>
              <w:rPr>
                <w:rFonts w:ascii="宋体" w:hAnsi="宋体" w:cs="宋体"/>
                <w:color w:val="000000"/>
                <w:sz w:val="22"/>
                <w:szCs w:val="22"/>
                <w:lang w:bidi="ar"/>
              </w:rPr>
              <w:t>1、规格尺寸：Δ900                 2、单立柱：Φ76*3*3000                   3、基础：500*500*600</w:t>
            </w:r>
          </w:p>
        </w:tc>
        <w:tc>
          <w:tcPr>
            <w:tcW w:w="2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套</w:t>
            </w:r>
          </w:p>
        </w:tc>
        <w:tc>
          <w:tcPr>
            <w:tcW w:w="2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w:t>
            </w:r>
          </w:p>
        </w:tc>
        <w:tc>
          <w:tcPr>
            <w:tcW w:w="538" w:type="pct"/>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2"/>
                <w:szCs w:val="22"/>
              </w:rPr>
            </w:pPr>
          </w:p>
        </w:tc>
        <w:tc>
          <w:tcPr>
            <w:tcW w:w="538" w:type="pct"/>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960" w:hRule="atLeast"/>
        </w:trPr>
        <w:tc>
          <w:tcPr>
            <w:tcW w:w="2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36</w:t>
            </w:r>
          </w:p>
        </w:tc>
        <w:tc>
          <w:tcPr>
            <w:tcW w:w="44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芙蓉四路</w:t>
            </w:r>
          </w:p>
        </w:tc>
        <w:tc>
          <w:tcPr>
            <w:tcW w:w="80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2.86—3.816</w:t>
            </w:r>
          </w:p>
        </w:tc>
        <w:tc>
          <w:tcPr>
            <w:tcW w:w="80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单柱禁令标志</w:t>
            </w:r>
          </w:p>
        </w:tc>
        <w:tc>
          <w:tcPr>
            <w:tcW w:w="105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2"/>
                <w:szCs w:val="22"/>
              </w:rPr>
            </w:pPr>
            <w:r>
              <w:rPr>
                <w:rFonts w:ascii="宋体" w:hAnsi="宋体" w:cs="宋体"/>
                <w:color w:val="000000"/>
                <w:sz w:val="22"/>
                <w:szCs w:val="22"/>
                <w:lang w:bidi="ar"/>
              </w:rPr>
              <w:t>1、规格尺寸：Φ800                    2、单立柱：Φ76*3*3000                 3、基础：500*500*600</w:t>
            </w:r>
          </w:p>
        </w:tc>
        <w:tc>
          <w:tcPr>
            <w:tcW w:w="2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套</w:t>
            </w:r>
          </w:p>
        </w:tc>
        <w:tc>
          <w:tcPr>
            <w:tcW w:w="2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w:t>
            </w:r>
          </w:p>
        </w:tc>
        <w:tc>
          <w:tcPr>
            <w:tcW w:w="538" w:type="pct"/>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2"/>
                <w:szCs w:val="22"/>
              </w:rPr>
            </w:pPr>
          </w:p>
        </w:tc>
        <w:tc>
          <w:tcPr>
            <w:tcW w:w="538" w:type="pct"/>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960" w:hRule="atLeast"/>
        </w:trPr>
        <w:tc>
          <w:tcPr>
            <w:tcW w:w="2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37</w:t>
            </w:r>
          </w:p>
        </w:tc>
        <w:tc>
          <w:tcPr>
            <w:tcW w:w="44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万全路</w:t>
            </w:r>
          </w:p>
        </w:tc>
        <w:tc>
          <w:tcPr>
            <w:tcW w:w="80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0—1.159</w:t>
            </w:r>
          </w:p>
        </w:tc>
        <w:tc>
          <w:tcPr>
            <w:tcW w:w="80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单柱警告标志</w:t>
            </w:r>
          </w:p>
        </w:tc>
        <w:tc>
          <w:tcPr>
            <w:tcW w:w="105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2"/>
                <w:szCs w:val="22"/>
              </w:rPr>
            </w:pPr>
            <w:r>
              <w:rPr>
                <w:rFonts w:ascii="宋体" w:hAnsi="宋体" w:cs="宋体"/>
                <w:color w:val="000000"/>
                <w:sz w:val="22"/>
                <w:szCs w:val="22"/>
                <w:lang w:bidi="ar"/>
              </w:rPr>
              <w:t>1、规格尺寸：Δ900                 2、单立柱：Φ76*3*3000                   3、基础：500*500*600</w:t>
            </w:r>
          </w:p>
        </w:tc>
        <w:tc>
          <w:tcPr>
            <w:tcW w:w="2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套</w:t>
            </w:r>
          </w:p>
        </w:tc>
        <w:tc>
          <w:tcPr>
            <w:tcW w:w="2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w:t>
            </w:r>
          </w:p>
        </w:tc>
        <w:tc>
          <w:tcPr>
            <w:tcW w:w="538" w:type="pct"/>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2"/>
                <w:szCs w:val="22"/>
              </w:rPr>
            </w:pPr>
          </w:p>
        </w:tc>
        <w:tc>
          <w:tcPr>
            <w:tcW w:w="538" w:type="pct"/>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960" w:hRule="atLeast"/>
        </w:trPr>
        <w:tc>
          <w:tcPr>
            <w:tcW w:w="2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38</w:t>
            </w:r>
          </w:p>
        </w:tc>
        <w:tc>
          <w:tcPr>
            <w:tcW w:w="44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万全路</w:t>
            </w:r>
          </w:p>
        </w:tc>
        <w:tc>
          <w:tcPr>
            <w:tcW w:w="80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0—1.159</w:t>
            </w:r>
          </w:p>
        </w:tc>
        <w:tc>
          <w:tcPr>
            <w:tcW w:w="80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单柱禁令标志</w:t>
            </w:r>
          </w:p>
        </w:tc>
        <w:tc>
          <w:tcPr>
            <w:tcW w:w="105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2"/>
                <w:szCs w:val="22"/>
              </w:rPr>
            </w:pPr>
            <w:r>
              <w:rPr>
                <w:rFonts w:ascii="宋体" w:hAnsi="宋体" w:cs="宋体"/>
                <w:color w:val="000000"/>
                <w:sz w:val="22"/>
                <w:szCs w:val="22"/>
                <w:lang w:bidi="ar"/>
              </w:rPr>
              <w:t>1、规格尺寸：Φ800                    2、单立柱：Φ76*3*3000                 3、基础：500*500*600</w:t>
            </w:r>
          </w:p>
        </w:tc>
        <w:tc>
          <w:tcPr>
            <w:tcW w:w="2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套</w:t>
            </w:r>
          </w:p>
        </w:tc>
        <w:tc>
          <w:tcPr>
            <w:tcW w:w="2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w:t>
            </w:r>
          </w:p>
        </w:tc>
        <w:tc>
          <w:tcPr>
            <w:tcW w:w="538" w:type="pct"/>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2"/>
                <w:szCs w:val="22"/>
              </w:rPr>
            </w:pPr>
          </w:p>
        </w:tc>
        <w:tc>
          <w:tcPr>
            <w:tcW w:w="538" w:type="pct"/>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960" w:hRule="atLeast"/>
        </w:trPr>
        <w:tc>
          <w:tcPr>
            <w:tcW w:w="2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39</w:t>
            </w:r>
          </w:p>
        </w:tc>
        <w:tc>
          <w:tcPr>
            <w:tcW w:w="44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万安路</w:t>
            </w:r>
          </w:p>
        </w:tc>
        <w:tc>
          <w:tcPr>
            <w:tcW w:w="80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0—1.116</w:t>
            </w:r>
          </w:p>
        </w:tc>
        <w:tc>
          <w:tcPr>
            <w:tcW w:w="80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单柱警告标志</w:t>
            </w:r>
          </w:p>
        </w:tc>
        <w:tc>
          <w:tcPr>
            <w:tcW w:w="105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2"/>
                <w:szCs w:val="22"/>
              </w:rPr>
            </w:pPr>
            <w:r>
              <w:rPr>
                <w:rFonts w:ascii="宋体" w:hAnsi="宋体" w:cs="宋体"/>
                <w:color w:val="000000"/>
                <w:sz w:val="22"/>
                <w:szCs w:val="22"/>
                <w:lang w:bidi="ar"/>
              </w:rPr>
              <w:t>1、规格尺寸：Δ900                 2、单立柱：Φ76*3*3000                   3、基础：500*500*600</w:t>
            </w:r>
          </w:p>
        </w:tc>
        <w:tc>
          <w:tcPr>
            <w:tcW w:w="2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套</w:t>
            </w:r>
          </w:p>
        </w:tc>
        <w:tc>
          <w:tcPr>
            <w:tcW w:w="2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w:t>
            </w:r>
          </w:p>
        </w:tc>
        <w:tc>
          <w:tcPr>
            <w:tcW w:w="538" w:type="pct"/>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2"/>
                <w:szCs w:val="22"/>
              </w:rPr>
            </w:pPr>
          </w:p>
        </w:tc>
        <w:tc>
          <w:tcPr>
            <w:tcW w:w="538" w:type="pct"/>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960" w:hRule="atLeast"/>
        </w:trPr>
        <w:tc>
          <w:tcPr>
            <w:tcW w:w="2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40</w:t>
            </w:r>
          </w:p>
        </w:tc>
        <w:tc>
          <w:tcPr>
            <w:tcW w:w="44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万安路</w:t>
            </w:r>
          </w:p>
        </w:tc>
        <w:tc>
          <w:tcPr>
            <w:tcW w:w="80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0—1.116</w:t>
            </w:r>
          </w:p>
        </w:tc>
        <w:tc>
          <w:tcPr>
            <w:tcW w:w="80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单柱禁令标志</w:t>
            </w:r>
          </w:p>
        </w:tc>
        <w:tc>
          <w:tcPr>
            <w:tcW w:w="105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2"/>
                <w:szCs w:val="22"/>
              </w:rPr>
            </w:pPr>
            <w:r>
              <w:rPr>
                <w:rFonts w:ascii="宋体" w:hAnsi="宋体" w:cs="宋体"/>
                <w:color w:val="000000"/>
                <w:sz w:val="22"/>
                <w:szCs w:val="22"/>
                <w:lang w:bidi="ar"/>
              </w:rPr>
              <w:t>1、规格尺寸：Φ800                    2、单立柱：Φ76*3*3000                 3、基础：500*500*600</w:t>
            </w:r>
          </w:p>
        </w:tc>
        <w:tc>
          <w:tcPr>
            <w:tcW w:w="2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套</w:t>
            </w:r>
          </w:p>
        </w:tc>
        <w:tc>
          <w:tcPr>
            <w:tcW w:w="2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w:t>
            </w:r>
          </w:p>
        </w:tc>
        <w:tc>
          <w:tcPr>
            <w:tcW w:w="538" w:type="pct"/>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2"/>
                <w:szCs w:val="22"/>
              </w:rPr>
            </w:pPr>
          </w:p>
        </w:tc>
        <w:tc>
          <w:tcPr>
            <w:tcW w:w="538" w:type="pct"/>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960" w:hRule="atLeast"/>
        </w:trPr>
        <w:tc>
          <w:tcPr>
            <w:tcW w:w="2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41</w:t>
            </w:r>
          </w:p>
        </w:tc>
        <w:tc>
          <w:tcPr>
            <w:tcW w:w="44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尤沈一路</w:t>
            </w:r>
          </w:p>
        </w:tc>
        <w:tc>
          <w:tcPr>
            <w:tcW w:w="80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0—1.122</w:t>
            </w:r>
          </w:p>
        </w:tc>
        <w:tc>
          <w:tcPr>
            <w:tcW w:w="80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单柱警告标志</w:t>
            </w:r>
          </w:p>
        </w:tc>
        <w:tc>
          <w:tcPr>
            <w:tcW w:w="105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2"/>
                <w:szCs w:val="22"/>
              </w:rPr>
            </w:pPr>
            <w:r>
              <w:rPr>
                <w:rFonts w:ascii="宋体" w:hAnsi="宋体" w:cs="宋体"/>
                <w:color w:val="000000"/>
                <w:sz w:val="22"/>
                <w:szCs w:val="22"/>
                <w:lang w:bidi="ar"/>
              </w:rPr>
              <w:t>1、规格尺寸：Δ900                 2、单立柱：Φ76*3*3000                   3、基础：500*500*600</w:t>
            </w:r>
          </w:p>
        </w:tc>
        <w:tc>
          <w:tcPr>
            <w:tcW w:w="2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套</w:t>
            </w:r>
          </w:p>
        </w:tc>
        <w:tc>
          <w:tcPr>
            <w:tcW w:w="2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w:t>
            </w:r>
          </w:p>
        </w:tc>
        <w:tc>
          <w:tcPr>
            <w:tcW w:w="538" w:type="pct"/>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2"/>
                <w:szCs w:val="22"/>
              </w:rPr>
            </w:pPr>
          </w:p>
        </w:tc>
        <w:tc>
          <w:tcPr>
            <w:tcW w:w="538" w:type="pct"/>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960" w:hRule="atLeast"/>
        </w:trPr>
        <w:tc>
          <w:tcPr>
            <w:tcW w:w="2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42</w:t>
            </w:r>
          </w:p>
        </w:tc>
        <w:tc>
          <w:tcPr>
            <w:tcW w:w="44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尤沈路</w:t>
            </w:r>
          </w:p>
        </w:tc>
        <w:tc>
          <w:tcPr>
            <w:tcW w:w="80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0—2.327</w:t>
            </w:r>
          </w:p>
        </w:tc>
        <w:tc>
          <w:tcPr>
            <w:tcW w:w="80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单柱警告标志</w:t>
            </w:r>
          </w:p>
        </w:tc>
        <w:tc>
          <w:tcPr>
            <w:tcW w:w="105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2"/>
                <w:szCs w:val="22"/>
              </w:rPr>
            </w:pPr>
            <w:r>
              <w:rPr>
                <w:rFonts w:ascii="宋体" w:hAnsi="宋体" w:cs="宋体"/>
                <w:color w:val="000000"/>
                <w:sz w:val="22"/>
                <w:szCs w:val="22"/>
                <w:lang w:bidi="ar"/>
              </w:rPr>
              <w:t>1、规格尺寸：Δ900                 2、单立柱：Φ76*3*3000                   3、基础：500*500*600</w:t>
            </w:r>
          </w:p>
        </w:tc>
        <w:tc>
          <w:tcPr>
            <w:tcW w:w="2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套</w:t>
            </w:r>
          </w:p>
        </w:tc>
        <w:tc>
          <w:tcPr>
            <w:tcW w:w="2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w:t>
            </w:r>
          </w:p>
        </w:tc>
        <w:tc>
          <w:tcPr>
            <w:tcW w:w="538" w:type="pct"/>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2"/>
                <w:szCs w:val="22"/>
              </w:rPr>
            </w:pPr>
          </w:p>
        </w:tc>
        <w:tc>
          <w:tcPr>
            <w:tcW w:w="538" w:type="pct"/>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960" w:hRule="atLeast"/>
        </w:trPr>
        <w:tc>
          <w:tcPr>
            <w:tcW w:w="2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43</w:t>
            </w:r>
          </w:p>
        </w:tc>
        <w:tc>
          <w:tcPr>
            <w:tcW w:w="44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尤沈路</w:t>
            </w:r>
          </w:p>
        </w:tc>
        <w:tc>
          <w:tcPr>
            <w:tcW w:w="80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0—2.327</w:t>
            </w:r>
          </w:p>
        </w:tc>
        <w:tc>
          <w:tcPr>
            <w:tcW w:w="80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单柱禁令标志</w:t>
            </w:r>
          </w:p>
        </w:tc>
        <w:tc>
          <w:tcPr>
            <w:tcW w:w="105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2"/>
                <w:szCs w:val="22"/>
              </w:rPr>
            </w:pPr>
            <w:r>
              <w:rPr>
                <w:rFonts w:ascii="宋体" w:hAnsi="宋体" w:cs="宋体"/>
                <w:color w:val="000000"/>
                <w:sz w:val="22"/>
                <w:szCs w:val="22"/>
                <w:lang w:bidi="ar"/>
              </w:rPr>
              <w:t>1、规格尺寸：Φ800                    2、单立柱：Φ76*3*3000                 3、基础：500*500*600</w:t>
            </w:r>
          </w:p>
        </w:tc>
        <w:tc>
          <w:tcPr>
            <w:tcW w:w="2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套</w:t>
            </w:r>
          </w:p>
        </w:tc>
        <w:tc>
          <w:tcPr>
            <w:tcW w:w="2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w:t>
            </w:r>
          </w:p>
        </w:tc>
        <w:tc>
          <w:tcPr>
            <w:tcW w:w="538" w:type="pct"/>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2"/>
                <w:szCs w:val="22"/>
              </w:rPr>
            </w:pPr>
          </w:p>
        </w:tc>
        <w:tc>
          <w:tcPr>
            <w:tcW w:w="538" w:type="pct"/>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960" w:hRule="atLeast"/>
        </w:trPr>
        <w:tc>
          <w:tcPr>
            <w:tcW w:w="2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44</w:t>
            </w:r>
          </w:p>
        </w:tc>
        <w:tc>
          <w:tcPr>
            <w:tcW w:w="44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春雨路</w:t>
            </w:r>
          </w:p>
        </w:tc>
        <w:tc>
          <w:tcPr>
            <w:tcW w:w="80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0—1.18</w:t>
            </w:r>
          </w:p>
        </w:tc>
        <w:tc>
          <w:tcPr>
            <w:tcW w:w="80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单柱警告标志</w:t>
            </w:r>
          </w:p>
        </w:tc>
        <w:tc>
          <w:tcPr>
            <w:tcW w:w="105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2"/>
                <w:szCs w:val="22"/>
              </w:rPr>
            </w:pPr>
            <w:r>
              <w:rPr>
                <w:rFonts w:ascii="宋体" w:hAnsi="宋体" w:cs="宋体"/>
                <w:color w:val="000000"/>
                <w:sz w:val="22"/>
                <w:szCs w:val="22"/>
                <w:lang w:bidi="ar"/>
              </w:rPr>
              <w:t>1、规格尺寸：Δ900                 2、单立柱：Φ76*3*3000                   3、基础：500*500*600</w:t>
            </w:r>
          </w:p>
        </w:tc>
        <w:tc>
          <w:tcPr>
            <w:tcW w:w="2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套</w:t>
            </w:r>
          </w:p>
        </w:tc>
        <w:tc>
          <w:tcPr>
            <w:tcW w:w="2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w:t>
            </w:r>
          </w:p>
        </w:tc>
        <w:tc>
          <w:tcPr>
            <w:tcW w:w="538" w:type="pct"/>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2"/>
                <w:szCs w:val="22"/>
              </w:rPr>
            </w:pPr>
          </w:p>
        </w:tc>
        <w:tc>
          <w:tcPr>
            <w:tcW w:w="538" w:type="pct"/>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960" w:hRule="atLeast"/>
        </w:trPr>
        <w:tc>
          <w:tcPr>
            <w:tcW w:w="2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45</w:t>
            </w:r>
          </w:p>
        </w:tc>
        <w:tc>
          <w:tcPr>
            <w:tcW w:w="44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春雨路</w:t>
            </w:r>
          </w:p>
        </w:tc>
        <w:tc>
          <w:tcPr>
            <w:tcW w:w="80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0—1.18</w:t>
            </w:r>
          </w:p>
        </w:tc>
        <w:tc>
          <w:tcPr>
            <w:tcW w:w="80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单柱禁令标志</w:t>
            </w:r>
          </w:p>
        </w:tc>
        <w:tc>
          <w:tcPr>
            <w:tcW w:w="105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2"/>
                <w:szCs w:val="22"/>
              </w:rPr>
            </w:pPr>
            <w:r>
              <w:rPr>
                <w:rFonts w:ascii="宋体" w:hAnsi="宋体" w:cs="宋体"/>
                <w:color w:val="000000"/>
                <w:sz w:val="22"/>
                <w:szCs w:val="22"/>
                <w:lang w:bidi="ar"/>
              </w:rPr>
              <w:t>1、规格尺寸：Φ800*2                    2、单立柱：Φ76*3*3000                   3、基础：500*500*600</w:t>
            </w:r>
          </w:p>
        </w:tc>
        <w:tc>
          <w:tcPr>
            <w:tcW w:w="2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套</w:t>
            </w:r>
          </w:p>
        </w:tc>
        <w:tc>
          <w:tcPr>
            <w:tcW w:w="2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w:t>
            </w:r>
          </w:p>
        </w:tc>
        <w:tc>
          <w:tcPr>
            <w:tcW w:w="538" w:type="pct"/>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2"/>
                <w:szCs w:val="22"/>
              </w:rPr>
            </w:pPr>
          </w:p>
        </w:tc>
        <w:tc>
          <w:tcPr>
            <w:tcW w:w="538" w:type="pct"/>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960" w:hRule="atLeast"/>
        </w:trPr>
        <w:tc>
          <w:tcPr>
            <w:tcW w:w="2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46</w:t>
            </w:r>
          </w:p>
        </w:tc>
        <w:tc>
          <w:tcPr>
            <w:tcW w:w="44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高邓路</w:t>
            </w:r>
          </w:p>
        </w:tc>
        <w:tc>
          <w:tcPr>
            <w:tcW w:w="80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0—1.838</w:t>
            </w:r>
          </w:p>
        </w:tc>
        <w:tc>
          <w:tcPr>
            <w:tcW w:w="80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单柱警告标志</w:t>
            </w:r>
          </w:p>
        </w:tc>
        <w:tc>
          <w:tcPr>
            <w:tcW w:w="105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2"/>
                <w:szCs w:val="22"/>
              </w:rPr>
            </w:pPr>
            <w:r>
              <w:rPr>
                <w:rFonts w:ascii="宋体" w:hAnsi="宋体" w:cs="宋体"/>
                <w:color w:val="000000"/>
                <w:sz w:val="22"/>
                <w:szCs w:val="22"/>
                <w:lang w:bidi="ar"/>
              </w:rPr>
              <w:t>1、规格尺寸：Δ900                 2、单立柱：Φ76*3*3000                   3、基础：500*500*600</w:t>
            </w:r>
          </w:p>
        </w:tc>
        <w:tc>
          <w:tcPr>
            <w:tcW w:w="2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套</w:t>
            </w:r>
          </w:p>
        </w:tc>
        <w:tc>
          <w:tcPr>
            <w:tcW w:w="2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w:t>
            </w:r>
          </w:p>
        </w:tc>
        <w:tc>
          <w:tcPr>
            <w:tcW w:w="538" w:type="pct"/>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2"/>
                <w:szCs w:val="22"/>
              </w:rPr>
            </w:pPr>
          </w:p>
        </w:tc>
        <w:tc>
          <w:tcPr>
            <w:tcW w:w="538" w:type="pct"/>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960" w:hRule="atLeast"/>
        </w:trPr>
        <w:tc>
          <w:tcPr>
            <w:tcW w:w="2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47</w:t>
            </w:r>
          </w:p>
        </w:tc>
        <w:tc>
          <w:tcPr>
            <w:tcW w:w="44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高邓路</w:t>
            </w:r>
          </w:p>
        </w:tc>
        <w:tc>
          <w:tcPr>
            <w:tcW w:w="80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0—1.838</w:t>
            </w:r>
          </w:p>
        </w:tc>
        <w:tc>
          <w:tcPr>
            <w:tcW w:w="80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单柱禁令标志</w:t>
            </w:r>
          </w:p>
        </w:tc>
        <w:tc>
          <w:tcPr>
            <w:tcW w:w="105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2"/>
                <w:szCs w:val="22"/>
              </w:rPr>
            </w:pPr>
            <w:r>
              <w:rPr>
                <w:rFonts w:ascii="宋体" w:hAnsi="宋体" w:cs="宋体"/>
                <w:color w:val="000000"/>
                <w:sz w:val="22"/>
                <w:szCs w:val="22"/>
                <w:lang w:bidi="ar"/>
              </w:rPr>
              <w:t>1、规格尺寸：Φ800*2                    2、单立柱：Φ76*3*3000                   3、基础：500*500*600</w:t>
            </w:r>
          </w:p>
        </w:tc>
        <w:tc>
          <w:tcPr>
            <w:tcW w:w="2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套</w:t>
            </w:r>
          </w:p>
        </w:tc>
        <w:tc>
          <w:tcPr>
            <w:tcW w:w="2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w:t>
            </w:r>
          </w:p>
        </w:tc>
        <w:tc>
          <w:tcPr>
            <w:tcW w:w="538" w:type="pct"/>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2"/>
                <w:szCs w:val="22"/>
              </w:rPr>
            </w:pPr>
          </w:p>
        </w:tc>
        <w:tc>
          <w:tcPr>
            <w:tcW w:w="538" w:type="pct"/>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960" w:hRule="atLeast"/>
        </w:trPr>
        <w:tc>
          <w:tcPr>
            <w:tcW w:w="2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48</w:t>
            </w:r>
          </w:p>
        </w:tc>
        <w:tc>
          <w:tcPr>
            <w:tcW w:w="44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合心路</w:t>
            </w:r>
          </w:p>
        </w:tc>
        <w:tc>
          <w:tcPr>
            <w:tcW w:w="80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0—2.029</w:t>
            </w:r>
          </w:p>
        </w:tc>
        <w:tc>
          <w:tcPr>
            <w:tcW w:w="80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单柱警告标志</w:t>
            </w:r>
          </w:p>
        </w:tc>
        <w:tc>
          <w:tcPr>
            <w:tcW w:w="105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2"/>
                <w:szCs w:val="22"/>
              </w:rPr>
            </w:pPr>
            <w:r>
              <w:rPr>
                <w:rFonts w:ascii="宋体" w:hAnsi="宋体" w:cs="宋体"/>
                <w:color w:val="000000"/>
                <w:sz w:val="22"/>
                <w:szCs w:val="22"/>
                <w:lang w:bidi="ar"/>
              </w:rPr>
              <w:t>1、规格尺寸：Δ900                 2、单立柱：Φ76*3*3000                   3、基础：500*500*600</w:t>
            </w:r>
          </w:p>
        </w:tc>
        <w:tc>
          <w:tcPr>
            <w:tcW w:w="2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套</w:t>
            </w:r>
          </w:p>
        </w:tc>
        <w:tc>
          <w:tcPr>
            <w:tcW w:w="2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w:t>
            </w:r>
          </w:p>
        </w:tc>
        <w:tc>
          <w:tcPr>
            <w:tcW w:w="538" w:type="pct"/>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2"/>
                <w:szCs w:val="22"/>
              </w:rPr>
            </w:pPr>
          </w:p>
        </w:tc>
        <w:tc>
          <w:tcPr>
            <w:tcW w:w="538" w:type="pct"/>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960" w:hRule="atLeast"/>
        </w:trPr>
        <w:tc>
          <w:tcPr>
            <w:tcW w:w="2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49</w:t>
            </w:r>
          </w:p>
        </w:tc>
        <w:tc>
          <w:tcPr>
            <w:tcW w:w="44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合心路</w:t>
            </w:r>
          </w:p>
        </w:tc>
        <w:tc>
          <w:tcPr>
            <w:tcW w:w="80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0—2.029</w:t>
            </w:r>
          </w:p>
        </w:tc>
        <w:tc>
          <w:tcPr>
            <w:tcW w:w="80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单柱禁令标志</w:t>
            </w:r>
          </w:p>
        </w:tc>
        <w:tc>
          <w:tcPr>
            <w:tcW w:w="105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2"/>
                <w:szCs w:val="22"/>
              </w:rPr>
            </w:pPr>
            <w:r>
              <w:rPr>
                <w:rFonts w:ascii="宋体" w:hAnsi="宋体" w:cs="宋体"/>
                <w:color w:val="000000"/>
                <w:sz w:val="22"/>
                <w:szCs w:val="22"/>
                <w:lang w:bidi="ar"/>
              </w:rPr>
              <w:t>1、规格尺寸：Φ800*2                    2、单立柱：Φ76*3*3000                   3、基础：500*500*600</w:t>
            </w:r>
          </w:p>
        </w:tc>
        <w:tc>
          <w:tcPr>
            <w:tcW w:w="2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套</w:t>
            </w:r>
          </w:p>
        </w:tc>
        <w:tc>
          <w:tcPr>
            <w:tcW w:w="2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w:t>
            </w:r>
          </w:p>
        </w:tc>
        <w:tc>
          <w:tcPr>
            <w:tcW w:w="538" w:type="pct"/>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2"/>
                <w:szCs w:val="22"/>
              </w:rPr>
            </w:pPr>
          </w:p>
        </w:tc>
        <w:tc>
          <w:tcPr>
            <w:tcW w:w="538" w:type="pct"/>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960" w:hRule="atLeast"/>
        </w:trPr>
        <w:tc>
          <w:tcPr>
            <w:tcW w:w="2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50</w:t>
            </w:r>
          </w:p>
        </w:tc>
        <w:tc>
          <w:tcPr>
            <w:tcW w:w="44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合心路</w:t>
            </w:r>
          </w:p>
        </w:tc>
        <w:tc>
          <w:tcPr>
            <w:tcW w:w="80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2.029—0</w:t>
            </w:r>
          </w:p>
        </w:tc>
        <w:tc>
          <w:tcPr>
            <w:tcW w:w="80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单柱警告标志</w:t>
            </w:r>
          </w:p>
        </w:tc>
        <w:tc>
          <w:tcPr>
            <w:tcW w:w="105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2"/>
                <w:szCs w:val="22"/>
              </w:rPr>
            </w:pPr>
            <w:r>
              <w:rPr>
                <w:rFonts w:ascii="宋体" w:hAnsi="宋体" w:cs="宋体"/>
                <w:color w:val="000000"/>
                <w:sz w:val="22"/>
                <w:szCs w:val="22"/>
                <w:lang w:bidi="ar"/>
              </w:rPr>
              <w:t>1、规格尺寸：Δ900                 2、单立柱：Φ76*3*3000                   3、基础：500*500*600</w:t>
            </w:r>
          </w:p>
        </w:tc>
        <w:tc>
          <w:tcPr>
            <w:tcW w:w="2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套</w:t>
            </w:r>
          </w:p>
        </w:tc>
        <w:tc>
          <w:tcPr>
            <w:tcW w:w="2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w:t>
            </w:r>
          </w:p>
        </w:tc>
        <w:tc>
          <w:tcPr>
            <w:tcW w:w="538" w:type="pct"/>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2"/>
                <w:szCs w:val="22"/>
              </w:rPr>
            </w:pPr>
          </w:p>
        </w:tc>
        <w:tc>
          <w:tcPr>
            <w:tcW w:w="538" w:type="pct"/>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960" w:hRule="atLeast"/>
        </w:trPr>
        <w:tc>
          <w:tcPr>
            <w:tcW w:w="2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51</w:t>
            </w:r>
          </w:p>
        </w:tc>
        <w:tc>
          <w:tcPr>
            <w:tcW w:w="44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合心路</w:t>
            </w:r>
          </w:p>
        </w:tc>
        <w:tc>
          <w:tcPr>
            <w:tcW w:w="80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2.029—0</w:t>
            </w:r>
          </w:p>
        </w:tc>
        <w:tc>
          <w:tcPr>
            <w:tcW w:w="80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单柱禁令标志</w:t>
            </w:r>
          </w:p>
        </w:tc>
        <w:tc>
          <w:tcPr>
            <w:tcW w:w="105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2"/>
                <w:szCs w:val="22"/>
              </w:rPr>
            </w:pPr>
            <w:r>
              <w:rPr>
                <w:rFonts w:ascii="宋体" w:hAnsi="宋体" w:cs="宋体"/>
                <w:color w:val="000000"/>
                <w:sz w:val="22"/>
                <w:szCs w:val="22"/>
                <w:lang w:bidi="ar"/>
              </w:rPr>
              <w:t>1、规格尺寸：Φ800*2                    2、单立柱：Φ76*3*3000                   3、基础：500*500*600</w:t>
            </w:r>
          </w:p>
        </w:tc>
        <w:tc>
          <w:tcPr>
            <w:tcW w:w="2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套</w:t>
            </w:r>
          </w:p>
        </w:tc>
        <w:tc>
          <w:tcPr>
            <w:tcW w:w="2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w:t>
            </w:r>
          </w:p>
        </w:tc>
        <w:tc>
          <w:tcPr>
            <w:tcW w:w="538" w:type="pct"/>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2"/>
                <w:szCs w:val="22"/>
              </w:rPr>
            </w:pPr>
          </w:p>
        </w:tc>
        <w:tc>
          <w:tcPr>
            <w:tcW w:w="538" w:type="pct"/>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960" w:hRule="atLeast"/>
        </w:trPr>
        <w:tc>
          <w:tcPr>
            <w:tcW w:w="2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52</w:t>
            </w:r>
          </w:p>
        </w:tc>
        <w:tc>
          <w:tcPr>
            <w:tcW w:w="44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春江路</w:t>
            </w:r>
          </w:p>
        </w:tc>
        <w:tc>
          <w:tcPr>
            <w:tcW w:w="80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0—3.12</w:t>
            </w:r>
          </w:p>
        </w:tc>
        <w:tc>
          <w:tcPr>
            <w:tcW w:w="80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单柱警告标志</w:t>
            </w:r>
          </w:p>
        </w:tc>
        <w:tc>
          <w:tcPr>
            <w:tcW w:w="105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2"/>
                <w:szCs w:val="22"/>
              </w:rPr>
            </w:pPr>
            <w:r>
              <w:rPr>
                <w:rFonts w:ascii="宋体" w:hAnsi="宋体" w:cs="宋体"/>
                <w:color w:val="000000"/>
                <w:sz w:val="22"/>
                <w:szCs w:val="22"/>
                <w:lang w:bidi="ar"/>
              </w:rPr>
              <w:t>1、规格尺寸：Δ900                 2、单立柱：Φ76*3*3000                   3、基础：500*500*600</w:t>
            </w:r>
          </w:p>
        </w:tc>
        <w:tc>
          <w:tcPr>
            <w:tcW w:w="2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套</w:t>
            </w:r>
          </w:p>
        </w:tc>
        <w:tc>
          <w:tcPr>
            <w:tcW w:w="2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w:t>
            </w:r>
          </w:p>
        </w:tc>
        <w:tc>
          <w:tcPr>
            <w:tcW w:w="538" w:type="pct"/>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2"/>
                <w:szCs w:val="22"/>
              </w:rPr>
            </w:pPr>
          </w:p>
        </w:tc>
        <w:tc>
          <w:tcPr>
            <w:tcW w:w="538" w:type="pct"/>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960" w:hRule="atLeast"/>
        </w:trPr>
        <w:tc>
          <w:tcPr>
            <w:tcW w:w="2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53</w:t>
            </w:r>
          </w:p>
        </w:tc>
        <w:tc>
          <w:tcPr>
            <w:tcW w:w="44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春笋路</w:t>
            </w:r>
          </w:p>
        </w:tc>
        <w:tc>
          <w:tcPr>
            <w:tcW w:w="80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2.982—5.129</w:t>
            </w:r>
          </w:p>
        </w:tc>
        <w:tc>
          <w:tcPr>
            <w:tcW w:w="80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单柱警告标志</w:t>
            </w:r>
          </w:p>
        </w:tc>
        <w:tc>
          <w:tcPr>
            <w:tcW w:w="105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2"/>
                <w:szCs w:val="22"/>
              </w:rPr>
            </w:pPr>
            <w:r>
              <w:rPr>
                <w:rFonts w:ascii="宋体" w:hAnsi="宋体" w:cs="宋体"/>
                <w:color w:val="000000"/>
                <w:sz w:val="22"/>
                <w:szCs w:val="22"/>
                <w:lang w:bidi="ar"/>
              </w:rPr>
              <w:t>1、规格尺寸：Δ900                 2、单立柱：Φ76*3*3000                   3、基础：500*500*600</w:t>
            </w:r>
          </w:p>
        </w:tc>
        <w:tc>
          <w:tcPr>
            <w:tcW w:w="2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套</w:t>
            </w:r>
          </w:p>
        </w:tc>
        <w:tc>
          <w:tcPr>
            <w:tcW w:w="2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w:t>
            </w:r>
          </w:p>
        </w:tc>
        <w:tc>
          <w:tcPr>
            <w:tcW w:w="538" w:type="pct"/>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2"/>
                <w:szCs w:val="22"/>
              </w:rPr>
            </w:pPr>
          </w:p>
        </w:tc>
        <w:tc>
          <w:tcPr>
            <w:tcW w:w="538" w:type="pct"/>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960" w:hRule="atLeast"/>
        </w:trPr>
        <w:tc>
          <w:tcPr>
            <w:tcW w:w="2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54</w:t>
            </w:r>
          </w:p>
        </w:tc>
        <w:tc>
          <w:tcPr>
            <w:tcW w:w="44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春笋路</w:t>
            </w:r>
          </w:p>
        </w:tc>
        <w:tc>
          <w:tcPr>
            <w:tcW w:w="80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2.982—5.129</w:t>
            </w:r>
          </w:p>
        </w:tc>
        <w:tc>
          <w:tcPr>
            <w:tcW w:w="80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单柱禁令标志</w:t>
            </w:r>
          </w:p>
        </w:tc>
        <w:tc>
          <w:tcPr>
            <w:tcW w:w="105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2"/>
                <w:szCs w:val="22"/>
              </w:rPr>
            </w:pPr>
            <w:r>
              <w:rPr>
                <w:rFonts w:ascii="宋体" w:hAnsi="宋体" w:cs="宋体"/>
                <w:color w:val="000000"/>
                <w:sz w:val="22"/>
                <w:szCs w:val="22"/>
                <w:lang w:bidi="ar"/>
              </w:rPr>
              <w:t>1、规格尺寸：Φ800*2                    2、单立柱：Φ76*3*3000                   3、基础：500*500*600</w:t>
            </w:r>
          </w:p>
        </w:tc>
        <w:tc>
          <w:tcPr>
            <w:tcW w:w="2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套</w:t>
            </w:r>
          </w:p>
        </w:tc>
        <w:tc>
          <w:tcPr>
            <w:tcW w:w="2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w:t>
            </w:r>
          </w:p>
        </w:tc>
        <w:tc>
          <w:tcPr>
            <w:tcW w:w="538" w:type="pct"/>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2"/>
                <w:szCs w:val="22"/>
              </w:rPr>
            </w:pPr>
          </w:p>
        </w:tc>
        <w:tc>
          <w:tcPr>
            <w:tcW w:w="538" w:type="pct"/>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960" w:hRule="atLeast"/>
        </w:trPr>
        <w:tc>
          <w:tcPr>
            <w:tcW w:w="2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55</w:t>
            </w:r>
          </w:p>
        </w:tc>
        <w:tc>
          <w:tcPr>
            <w:tcW w:w="44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春笋路</w:t>
            </w:r>
          </w:p>
        </w:tc>
        <w:tc>
          <w:tcPr>
            <w:tcW w:w="80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5.129—2.697</w:t>
            </w:r>
          </w:p>
        </w:tc>
        <w:tc>
          <w:tcPr>
            <w:tcW w:w="80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单柱警告标志</w:t>
            </w:r>
          </w:p>
        </w:tc>
        <w:tc>
          <w:tcPr>
            <w:tcW w:w="105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2"/>
                <w:szCs w:val="22"/>
              </w:rPr>
            </w:pPr>
            <w:r>
              <w:rPr>
                <w:rFonts w:ascii="宋体" w:hAnsi="宋体" w:cs="宋体"/>
                <w:color w:val="000000"/>
                <w:sz w:val="22"/>
                <w:szCs w:val="22"/>
                <w:lang w:bidi="ar"/>
              </w:rPr>
              <w:t>1、规格尺寸：Δ900                 2、单立柱：Φ76*3*3000                   3、基础：500*500*600</w:t>
            </w:r>
          </w:p>
        </w:tc>
        <w:tc>
          <w:tcPr>
            <w:tcW w:w="2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套</w:t>
            </w:r>
          </w:p>
        </w:tc>
        <w:tc>
          <w:tcPr>
            <w:tcW w:w="2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w:t>
            </w:r>
          </w:p>
        </w:tc>
        <w:tc>
          <w:tcPr>
            <w:tcW w:w="538" w:type="pct"/>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2"/>
                <w:szCs w:val="22"/>
              </w:rPr>
            </w:pPr>
          </w:p>
        </w:tc>
        <w:tc>
          <w:tcPr>
            <w:tcW w:w="538" w:type="pct"/>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960" w:hRule="atLeast"/>
        </w:trPr>
        <w:tc>
          <w:tcPr>
            <w:tcW w:w="2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56</w:t>
            </w:r>
          </w:p>
        </w:tc>
        <w:tc>
          <w:tcPr>
            <w:tcW w:w="44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春笋路</w:t>
            </w:r>
          </w:p>
        </w:tc>
        <w:tc>
          <w:tcPr>
            <w:tcW w:w="80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5.129—2.697</w:t>
            </w:r>
          </w:p>
        </w:tc>
        <w:tc>
          <w:tcPr>
            <w:tcW w:w="80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单柱禁令标志</w:t>
            </w:r>
          </w:p>
        </w:tc>
        <w:tc>
          <w:tcPr>
            <w:tcW w:w="105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2"/>
                <w:szCs w:val="22"/>
              </w:rPr>
            </w:pPr>
            <w:r>
              <w:rPr>
                <w:rFonts w:ascii="宋体" w:hAnsi="宋体" w:cs="宋体"/>
                <w:color w:val="000000"/>
                <w:sz w:val="22"/>
                <w:szCs w:val="22"/>
                <w:lang w:bidi="ar"/>
              </w:rPr>
              <w:t>1、规格尺寸：Φ800                    2、单立柱：Φ76*3*3000                 3、基础：500*500*600</w:t>
            </w:r>
          </w:p>
        </w:tc>
        <w:tc>
          <w:tcPr>
            <w:tcW w:w="2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套</w:t>
            </w:r>
          </w:p>
        </w:tc>
        <w:tc>
          <w:tcPr>
            <w:tcW w:w="2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w:t>
            </w:r>
          </w:p>
        </w:tc>
        <w:tc>
          <w:tcPr>
            <w:tcW w:w="538" w:type="pct"/>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2"/>
                <w:szCs w:val="22"/>
              </w:rPr>
            </w:pPr>
          </w:p>
        </w:tc>
        <w:tc>
          <w:tcPr>
            <w:tcW w:w="538" w:type="pct"/>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960" w:hRule="atLeast"/>
        </w:trPr>
        <w:tc>
          <w:tcPr>
            <w:tcW w:w="2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57</w:t>
            </w:r>
          </w:p>
        </w:tc>
        <w:tc>
          <w:tcPr>
            <w:tcW w:w="44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春笋路</w:t>
            </w:r>
          </w:p>
        </w:tc>
        <w:tc>
          <w:tcPr>
            <w:tcW w:w="80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2.697—0</w:t>
            </w:r>
          </w:p>
        </w:tc>
        <w:tc>
          <w:tcPr>
            <w:tcW w:w="80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单柱警告标志</w:t>
            </w:r>
          </w:p>
        </w:tc>
        <w:tc>
          <w:tcPr>
            <w:tcW w:w="105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2"/>
                <w:szCs w:val="22"/>
              </w:rPr>
            </w:pPr>
            <w:r>
              <w:rPr>
                <w:rFonts w:ascii="宋体" w:hAnsi="宋体" w:cs="宋体"/>
                <w:color w:val="000000"/>
                <w:sz w:val="22"/>
                <w:szCs w:val="22"/>
                <w:lang w:bidi="ar"/>
              </w:rPr>
              <w:t>1、规格尺寸：Δ900                 2、单立柱：Φ76*3*3000                   3、基础：500*500*600</w:t>
            </w:r>
          </w:p>
        </w:tc>
        <w:tc>
          <w:tcPr>
            <w:tcW w:w="2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套</w:t>
            </w:r>
          </w:p>
        </w:tc>
        <w:tc>
          <w:tcPr>
            <w:tcW w:w="2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w:t>
            </w:r>
          </w:p>
        </w:tc>
        <w:tc>
          <w:tcPr>
            <w:tcW w:w="538" w:type="pct"/>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2"/>
                <w:szCs w:val="22"/>
              </w:rPr>
            </w:pPr>
          </w:p>
        </w:tc>
        <w:tc>
          <w:tcPr>
            <w:tcW w:w="538" w:type="pct"/>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960" w:hRule="atLeast"/>
        </w:trPr>
        <w:tc>
          <w:tcPr>
            <w:tcW w:w="2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58</w:t>
            </w:r>
          </w:p>
        </w:tc>
        <w:tc>
          <w:tcPr>
            <w:tcW w:w="44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先锋路</w:t>
            </w:r>
          </w:p>
        </w:tc>
        <w:tc>
          <w:tcPr>
            <w:tcW w:w="80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0—2.09</w:t>
            </w:r>
          </w:p>
        </w:tc>
        <w:tc>
          <w:tcPr>
            <w:tcW w:w="80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单柱警告标志</w:t>
            </w:r>
          </w:p>
        </w:tc>
        <w:tc>
          <w:tcPr>
            <w:tcW w:w="105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2"/>
                <w:szCs w:val="22"/>
              </w:rPr>
            </w:pPr>
            <w:r>
              <w:rPr>
                <w:rFonts w:ascii="宋体" w:hAnsi="宋体" w:cs="宋体"/>
                <w:color w:val="000000"/>
                <w:sz w:val="22"/>
                <w:szCs w:val="22"/>
                <w:lang w:bidi="ar"/>
              </w:rPr>
              <w:t>1、规格尺寸：Δ900                 2、单立柱：Φ76*3*3000                   3、基础：500*500*600</w:t>
            </w:r>
          </w:p>
        </w:tc>
        <w:tc>
          <w:tcPr>
            <w:tcW w:w="2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套</w:t>
            </w:r>
          </w:p>
        </w:tc>
        <w:tc>
          <w:tcPr>
            <w:tcW w:w="2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w:t>
            </w:r>
          </w:p>
        </w:tc>
        <w:tc>
          <w:tcPr>
            <w:tcW w:w="538" w:type="pct"/>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2"/>
                <w:szCs w:val="22"/>
              </w:rPr>
            </w:pPr>
          </w:p>
        </w:tc>
        <w:tc>
          <w:tcPr>
            <w:tcW w:w="538" w:type="pct"/>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960" w:hRule="atLeast"/>
        </w:trPr>
        <w:tc>
          <w:tcPr>
            <w:tcW w:w="2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59</w:t>
            </w:r>
          </w:p>
        </w:tc>
        <w:tc>
          <w:tcPr>
            <w:tcW w:w="44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先锋路</w:t>
            </w:r>
          </w:p>
        </w:tc>
        <w:tc>
          <w:tcPr>
            <w:tcW w:w="80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0—2.09</w:t>
            </w:r>
          </w:p>
        </w:tc>
        <w:tc>
          <w:tcPr>
            <w:tcW w:w="80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单柱禁令标志</w:t>
            </w:r>
          </w:p>
        </w:tc>
        <w:tc>
          <w:tcPr>
            <w:tcW w:w="105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2"/>
                <w:szCs w:val="22"/>
              </w:rPr>
            </w:pPr>
            <w:r>
              <w:rPr>
                <w:rFonts w:ascii="宋体" w:hAnsi="宋体" w:cs="宋体"/>
                <w:color w:val="000000"/>
                <w:sz w:val="22"/>
                <w:szCs w:val="22"/>
                <w:lang w:bidi="ar"/>
              </w:rPr>
              <w:t>1、规格尺寸：Φ800                    2、单立柱：Φ76*3*3000                 3、基础：500*500*600</w:t>
            </w:r>
          </w:p>
        </w:tc>
        <w:tc>
          <w:tcPr>
            <w:tcW w:w="2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套</w:t>
            </w:r>
          </w:p>
        </w:tc>
        <w:tc>
          <w:tcPr>
            <w:tcW w:w="2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w:t>
            </w:r>
          </w:p>
        </w:tc>
        <w:tc>
          <w:tcPr>
            <w:tcW w:w="538" w:type="pct"/>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2"/>
                <w:szCs w:val="22"/>
              </w:rPr>
            </w:pPr>
          </w:p>
        </w:tc>
        <w:tc>
          <w:tcPr>
            <w:tcW w:w="538" w:type="pct"/>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960" w:hRule="atLeast"/>
        </w:trPr>
        <w:tc>
          <w:tcPr>
            <w:tcW w:w="2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60</w:t>
            </w:r>
          </w:p>
        </w:tc>
        <w:tc>
          <w:tcPr>
            <w:tcW w:w="44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先锋路</w:t>
            </w:r>
          </w:p>
        </w:tc>
        <w:tc>
          <w:tcPr>
            <w:tcW w:w="80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2.09—0</w:t>
            </w:r>
          </w:p>
        </w:tc>
        <w:tc>
          <w:tcPr>
            <w:tcW w:w="80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单柱警告标志</w:t>
            </w:r>
          </w:p>
        </w:tc>
        <w:tc>
          <w:tcPr>
            <w:tcW w:w="105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2"/>
                <w:szCs w:val="22"/>
              </w:rPr>
            </w:pPr>
            <w:r>
              <w:rPr>
                <w:rFonts w:ascii="宋体" w:hAnsi="宋体" w:cs="宋体"/>
                <w:color w:val="000000"/>
                <w:sz w:val="22"/>
                <w:szCs w:val="22"/>
                <w:lang w:bidi="ar"/>
              </w:rPr>
              <w:t>1、规格尺寸：Δ900                 2、单立柱：Φ76*3*3000                   3、基础：500*500*600</w:t>
            </w:r>
          </w:p>
        </w:tc>
        <w:tc>
          <w:tcPr>
            <w:tcW w:w="2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套</w:t>
            </w:r>
          </w:p>
        </w:tc>
        <w:tc>
          <w:tcPr>
            <w:tcW w:w="2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w:t>
            </w:r>
          </w:p>
        </w:tc>
        <w:tc>
          <w:tcPr>
            <w:tcW w:w="538" w:type="pct"/>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2"/>
                <w:szCs w:val="22"/>
              </w:rPr>
            </w:pPr>
          </w:p>
        </w:tc>
        <w:tc>
          <w:tcPr>
            <w:tcW w:w="538" w:type="pct"/>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960" w:hRule="atLeast"/>
        </w:trPr>
        <w:tc>
          <w:tcPr>
            <w:tcW w:w="2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61</w:t>
            </w:r>
          </w:p>
        </w:tc>
        <w:tc>
          <w:tcPr>
            <w:tcW w:w="44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先锋路</w:t>
            </w:r>
          </w:p>
        </w:tc>
        <w:tc>
          <w:tcPr>
            <w:tcW w:w="80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2.09—0</w:t>
            </w:r>
          </w:p>
        </w:tc>
        <w:tc>
          <w:tcPr>
            <w:tcW w:w="80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单柱禁令标志</w:t>
            </w:r>
          </w:p>
        </w:tc>
        <w:tc>
          <w:tcPr>
            <w:tcW w:w="105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2"/>
                <w:szCs w:val="22"/>
              </w:rPr>
            </w:pPr>
            <w:r>
              <w:rPr>
                <w:rFonts w:ascii="宋体" w:hAnsi="宋体" w:cs="宋体"/>
                <w:color w:val="000000"/>
                <w:sz w:val="22"/>
                <w:szCs w:val="22"/>
                <w:lang w:bidi="ar"/>
              </w:rPr>
              <w:t>1、规格尺寸：Φ800                    2、单立柱：Φ76*3*3000                 3、基础：500*500*600</w:t>
            </w:r>
          </w:p>
        </w:tc>
        <w:tc>
          <w:tcPr>
            <w:tcW w:w="2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套</w:t>
            </w:r>
          </w:p>
        </w:tc>
        <w:tc>
          <w:tcPr>
            <w:tcW w:w="2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w:t>
            </w:r>
          </w:p>
        </w:tc>
        <w:tc>
          <w:tcPr>
            <w:tcW w:w="538" w:type="pct"/>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2"/>
                <w:szCs w:val="22"/>
              </w:rPr>
            </w:pPr>
          </w:p>
        </w:tc>
        <w:tc>
          <w:tcPr>
            <w:tcW w:w="538" w:type="pct"/>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960" w:hRule="atLeast"/>
        </w:trPr>
        <w:tc>
          <w:tcPr>
            <w:tcW w:w="2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62</w:t>
            </w:r>
          </w:p>
        </w:tc>
        <w:tc>
          <w:tcPr>
            <w:tcW w:w="44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春雷路</w:t>
            </w:r>
          </w:p>
        </w:tc>
        <w:tc>
          <w:tcPr>
            <w:tcW w:w="80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0—2.436</w:t>
            </w:r>
          </w:p>
        </w:tc>
        <w:tc>
          <w:tcPr>
            <w:tcW w:w="80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单柱警告标志</w:t>
            </w:r>
          </w:p>
        </w:tc>
        <w:tc>
          <w:tcPr>
            <w:tcW w:w="105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2"/>
                <w:szCs w:val="22"/>
              </w:rPr>
            </w:pPr>
            <w:r>
              <w:rPr>
                <w:rFonts w:ascii="宋体" w:hAnsi="宋体" w:cs="宋体"/>
                <w:color w:val="000000"/>
                <w:sz w:val="22"/>
                <w:szCs w:val="22"/>
                <w:lang w:bidi="ar"/>
              </w:rPr>
              <w:t>1、规格尺寸：Δ900                 2、单立柱：Φ76*3*3000                   3、基础：500*500*600</w:t>
            </w:r>
          </w:p>
        </w:tc>
        <w:tc>
          <w:tcPr>
            <w:tcW w:w="2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套</w:t>
            </w:r>
          </w:p>
        </w:tc>
        <w:tc>
          <w:tcPr>
            <w:tcW w:w="2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w:t>
            </w:r>
          </w:p>
        </w:tc>
        <w:tc>
          <w:tcPr>
            <w:tcW w:w="538" w:type="pct"/>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2"/>
                <w:szCs w:val="22"/>
              </w:rPr>
            </w:pPr>
          </w:p>
        </w:tc>
        <w:tc>
          <w:tcPr>
            <w:tcW w:w="538" w:type="pct"/>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960" w:hRule="atLeast"/>
        </w:trPr>
        <w:tc>
          <w:tcPr>
            <w:tcW w:w="2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63</w:t>
            </w:r>
          </w:p>
        </w:tc>
        <w:tc>
          <w:tcPr>
            <w:tcW w:w="44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春雷路</w:t>
            </w:r>
          </w:p>
        </w:tc>
        <w:tc>
          <w:tcPr>
            <w:tcW w:w="80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0—2.436</w:t>
            </w:r>
          </w:p>
        </w:tc>
        <w:tc>
          <w:tcPr>
            <w:tcW w:w="80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单柱禁令标志</w:t>
            </w:r>
          </w:p>
        </w:tc>
        <w:tc>
          <w:tcPr>
            <w:tcW w:w="105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2"/>
                <w:szCs w:val="22"/>
              </w:rPr>
            </w:pPr>
            <w:r>
              <w:rPr>
                <w:rFonts w:ascii="宋体" w:hAnsi="宋体" w:cs="宋体"/>
                <w:color w:val="000000"/>
                <w:sz w:val="22"/>
                <w:szCs w:val="22"/>
                <w:lang w:bidi="ar"/>
              </w:rPr>
              <w:t>1、规格尺寸：Φ800                    2、单立柱：Φ76*3*3000                 3、基础：500*500*600</w:t>
            </w:r>
          </w:p>
        </w:tc>
        <w:tc>
          <w:tcPr>
            <w:tcW w:w="2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套</w:t>
            </w:r>
          </w:p>
        </w:tc>
        <w:tc>
          <w:tcPr>
            <w:tcW w:w="2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w:t>
            </w:r>
          </w:p>
        </w:tc>
        <w:tc>
          <w:tcPr>
            <w:tcW w:w="538" w:type="pct"/>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2"/>
                <w:szCs w:val="22"/>
              </w:rPr>
            </w:pPr>
          </w:p>
        </w:tc>
        <w:tc>
          <w:tcPr>
            <w:tcW w:w="538" w:type="pct"/>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960" w:hRule="atLeast"/>
        </w:trPr>
        <w:tc>
          <w:tcPr>
            <w:tcW w:w="2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64</w:t>
            </w:r>
          </w:p>
        </w:tc>
        <w:tc>
          <w:tcPr>
            <w:tcW w:w="44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春鑫路</w:t>
            </w:r>
          </w:p>
        </w:tc>
        <w:tc>
          <w:tcPr>
            <w:tcW w:w="80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0—0.946</w:t>
            </w:r>
          </w:p>
        </w:tc>
        <w:tc>
          <w:tcPr>
            <w:tcW w:w="80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单柱警告标志</w:t>
            </w:r>
          </w:p>
        </w:tc>
        <w:tc>
          <w:tcPr>
            <w:tcW w:w="105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2"/>
                <w:szCs w:val="22"/>
              </w:rPr>
            </w:pPr>
            <w:r>
              <w:rPr>
                <w:rFonts w:ascii="宋体" w:hAnsi="宋体" w:cs="宋体"/>
                <w:color w:val="000000"/>
                <w:sz w:val="22"/>
                <w:szCs w:val="22"/>
                <w:lang w:bidi="ar"/>
              </w:rPr>
              <w:t>1、规格尺寸：Δ900                 2、单立柱：Φ76*3*3000                   3、基础：500*500*600</w:t>
            </w:r>
          </w:p>
        </w:tc>
        <w:tc>
          <w:tcPr>
            <w:tcW w:w="2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套</w:t>
            </w:r>
          </w:p>
        </w:tc>
        <w:tc>
          <w:tcPr>
            <w:tcW w:w="2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w:t>
            </w:r>
          </w:p>
        </w:tc>
        <w:tc>
          <w:tcPr>
            <w:tcW w:w="538" w:type="pct"/>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2"/>
                <w:szCs w:val="22"/>
              </w:rPr>
            </w:pPr>
          </w:p>
        </w:tc>
        <w:tc>
          <w:tcPr>
            <w:tcW w:w="538" w:type="pct"/>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960" w:hRule="atLeast"/>
        </w:trPr>
        <w:tc>
          <w:tcPr>
            <w:tcW w:w="2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65</w:t>
            </w:r>
          </w:p>
        </w:tc>
        <w:tc>
          <w:tcPr>
            <w:tcW w:w="44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春鑫路</w:t>
            </w:r>
          </w:p>
        </w:tc>
        <w:tc>
          <w:tcPr>
            <w:tcW w:w="80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0—0.946</w:t>
            </w:r>
          </w:p>
        </w:tc>
        <w:tc>
          <w:tcPr>
            <w:tcW w:w="80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单柱禁令标志</w:t>
            </w:r>
          </w:p>
        </w:tc>
        <w:tc>
          <w:tcPr>
            <w:tcW w:w="105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2"/>
                <w:szCs w:val="22"/>
              </w:rPr>
            </w:pPr>
            <w:r>
              <w:rPr>
                <w:rFonts w:ascii="宋体" w:hAnsi="宋体" w:cs="宋体"/>
                <w:color w:val="000000"/>
                <w:sz w:val="22"/>
                <w:szCs w:val="22"/>
                <w:lang w:bidi="ar"/>
              </w:rPr>
              <w:t>1、规格尺寸：Φ800                    2、单立柱：Φ76*3*3000                 3、基础：500*500*600</w:t>
            </w:r>
          </w:p>
        </w:tc>
        <w:tc>
          <w:tcPr>
            <w:tcW w:w="2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套</w:t>
            </w:r>
          </w:p>
        </w:tc>
        <w:tc>
          <w:tcPr>
            <w:tcW w:w="2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w:t>
            </w:r>
          </w:p>
        </w:tc>
        <w:tc>
          <w:tcPr>
            <w:tcW w:w="538" w:type="pct"/>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2"/>
                <w:szCs w:val="22"/>
              </w:rPr>
            </w:pPr>
          </w:p>
        </w:tc>
        <w:tc>
          <w:tcPr>
            <w:tcW w:w="538" w:type="pct"/>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960" w:hRule="atLeast"/>
        </w:trPr>
        <w:tc>
          <w:tcPr>
            <w:tcW w:w="2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66</w:t>
            </w:r>
          </w:p>
        </w:tc>
        <w:tc>
          <w:tcPr>
            <w:tcW w:w="44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芙蓉六路</w:t>
            </w:r>
          </w:p>
        </w:tc>
        <w:tc>
          <w:tcPr>
            <w:tcW w:w="80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0—1.262</w:t>
            </w:r>
          </w:p>
        </w:tc>
        <w:tc>
          <w:tcPr>
            <w:tcW w:w="80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单柱警告标志</w:t>
            </w:r>
          </w:p>
        </w:tc>
        <w:tc>
          <w:tcPr>
            <w:tcW w:w="105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2"/>
                <w:szCs w:val="22"/>
              </w:rPr>
            </w:pPr>
            <w:r>
              <w:rPr>
                <w:rFonts w:ascii="宋体" w:hAnsi="宋体" w:cs="宋体"/>
                <w:color w:val="000000"/>
                <w:sz w:val="22"/>
                <w:szCs w:val="22"/>
                <w:lang w:bidi="ar"/>
              </w:rPr>
              <w:t>1、规格尺寸：Δ900                 2、单立柱：Φ76*3*3000                   3、基础：500*500*600</w:t>
            </w:r>
          </w:p>
        </w:tc>
        <w:tc>
          <w:tcPr>
            <w:tcW w:w="2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套</w:t>
            </w:r>
          </w:p>
        </w:tc>
        <w:tc>
          <w:tcPr>
            <w:tcW w:w="2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w:t>
            </w:r>
          </w:p>
        </w:tc>
        <w:tc>
          <w:tcPr>
            <w:tcW w:w="538" w:type="pct"/>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2"/>
                <w:szCs w:val="22"/>
              </w:rPr>
            </w:pPr>
          </w:p>
        </w:tc>
        <w:tc>
          <w:tcPr>
            <w:tcW w:w="538" w:type="pct"/>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960" w:hRule="atLeast"/>
        </w:trPr>
        <w:tc>
          <w:tcPr>
            <w:tcW w:w="2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67</w:t>
            </w:r>
          </w:p>
        </w:tc>
        <w:tc>
          <w:tcPr>
            <w:tcW w:w="44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芙蓉六路</w:t>
            </w:r>
          </w:p>
        </w:tc>
        <w:tc>
          <w:tcPr>
            <w:tcW w:w="80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0—1.262</w:t>
            </w:r>
          </w:p>
        </w:tc>
        <w:tc>
          <w:tcPr>
            <w:tcW w:w="80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单柱禁令标志</w:t>
            </w:r>
          </w:p>
        </w:tc>
        <w:tc>
          <w:tcPr>
            <w:tcW w:w="105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2"/>
                <w:szCs w:val="22"/>
              </w:rPr>
            </w:pPr>
            <w:r>
              <w:rPr>
                <w:rFonts w:ascii="宋体" w:hAnsi="宋体" w:cs="宋体"/>
                <w:color w:val="000000"/>
                <w:sz w:val="22"/>
                <w:szCs w:val="22"/>
                <w:lang w:bidi="ar"/>
              </w:rPr>
              <w:t>1、规格尺寸：Φ800*2                    2、单立柱：Φ76*3*3000                   3、基础：500*500*600</w:t>
            </w:r>
          </w:p>
        </w:tc>
        <w:tc>
          <w:tcPr>
            <w:tcW w:w="2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套</w:t>
            </w:r>
          </w:p>
        </w:tc>
        <w:tc>
          <w:tcPr>
            <w:tcW w:w="2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w:t>
            </w:r>
          </w:p>
        </w:tc>
        <w:tc>
          <w:tcPr>
            <w:tcW w:w="538" w:type="pct"/>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2"/>
                <w:szCs w:val="22"/>
              </w:rPr>
            </w:pPr>
          </w:p>
        </w:tc>
        <w:tc>
          <w:tcPr>
            <w:tcW w:w="538" w:type="pct"/>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960" w:hRule="atLeast"/>
        </w:trPr>
        <w:tc>
          <w:tcPr>
            <w:tcW w:w="2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68</w:t>
            </w:r>
          </w:p>
        </w:tc>
        <w:tc>
          <w:tcPr>
            <w:tcW w:w="44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芙蓉五路</w:t>
            </w:r>
          </w:p>
        </w:tc>
        <w:tc>
          <w:tcPr>
            <w:tcW w:w="80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0—2.683</w:t>
            </w:r>
          </w:p>
        </w:tc>
        <w:tc>
          <w:tcPr>
            <w:tcW w:w="80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单柱警告标志</w:t>
            </w:r>
          </w:p>
        </w:tc>
        <w:tc>
          <w:tcPr>
            <w:tcW w:w="105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2"/>
                <w:szCs w:val="22"/>
              </w:rPr>
            </w:pPr>
            <w:r>
              <w:rPr>
                <w:rFonts w:ascii="宋体" w:hAnsi="宋体" w:cs="宋体"/>
                <w:color w:val="000000"/>
                <w:sz w:val="22"/>
                <w:szCs w:val="22"/>
                <w:lang w:bidi="ar"/>
              </w:rPr>
              <w:t>1、规格尺寸：Δ900*2                  2、单立柱：Φ76*3*3000                   3、基础：500*500*600</w:t>
            </w:r>
          </w:p>
        </w:tc>
        <w:tc>
          <w:tcPr>
            <w:tcW w:w="2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套</w:t>
            </w:r>
          </w:p>
        </w:tc>
        <w:tc>
          <w:tcPr>
            <w:tcW w:w="2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w:t>
            </w:r>
          </w:p>
        </w:tc>
        <w:tc>
          <w:tcPr>
            <w:tcW w:w="538" w:type="pct"/>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2"/>
                <w:szCs w:val="22"/>
              </w:rPr>
            </w:pPr>
          </w:p>
        </w:tc>
        <w:tc>
          <w:tcPr>
            <w:tcW w:w="538" w:type="pct"/>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960" w:hRule="atLeast"/>
        </w:trPr>
        <w:tc>
          <w:tcPr>
            <w:tcW w:w="2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69</w:t>
            </w:r>
          </w:p>
        </w:tc>
        <w:tc>
          <w:tcPr>
            <w:tcW w:w="44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芙蓉五路</w:t>
            </w:r>
          </w:p>
        </w:tc>
        <w:tc>
          <w:tcPr>
            <w:tcW w:w="80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0—2.683</w:t>
            </w:r>
          </w:p>
        </w:tc>
        <w:tc>
          <w:tcPr>
            <w:tcW w:w="80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单柱禁令标志</w:t>
            </w:r>
          </w:p>
        </w:tc>
        <w:tc>
          <w:tcPr>
            <w:tcW w:w="105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2"/>
                <w:szCs w:val="22"/>
              </w:rPr>
            </w:pPr>
            <w:r>
              <w:rPr>
                <w:rFonts w:ascii="宋体" w:hAnsi="宋体" w:cs="宋体"/>
                <w:color w:val="000000"/>
                <w:sz w:val="22"/>
                <w:szCs w:val="22"/>
                <w:lang w:bidi="ar"/>
              </w:rPr>
              <w:t>1、规格尺寸：Φ800*2                    2、单立柱：Φ76*3*3000                   3、基础：500*500*600</w:t>
            </w:r>
          </w:p>
        </w:tc>
        <w:tc>
          <w:tcPr>
            <w:tcW w:w="2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套</w:t>
            </w:r>
          </w:p>
        </w:tc>
        <w:tc>
          <w:tcPr>
            <w:tcW w:w="2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w:t>
            </w:r>
          </w:p>
        </w:tc>
        <w:tc>
          <w:tcPr>
            <w:tcW w:w="538" w:type="pct"/>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2"/>
                <w:szCs w:val="22"/>
              </w:rPr>
            </w:pPr>
          </w:p>
        </w:tc>
        <w:tc>
          <w:tcPr>
            <w:tcW w:w="538" w:type="pct"/>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960" w:hRule="atLeast"/>
        </w:trPr>
        <w:tc>
          <w:tcPr>
            <w:tcW w:w="2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70</w:t>
            </w:r>
          </w:p>
        </w:tc>
        <w:tc>
          <w:tcPr>
            <w:tcW w:w="44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凤威路</w:t>
            </w:r>
          </w:p>
        </w:tc>
        <w:tc>
          <w:tcPr>
            <w:tcW w:w="80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0.322</w:t>
            </w:r>
          </w:p>
        </w:tc>
        <w:tc>
          <w:tcPr>
            <w:tcW w:w="80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悬臂指路标志</w:t>
            </w:r>
          </w:p>
        </w:tc>
        <w:tc>
          <w:tcPr>
            <w:tcW w:w="105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2"/>
                <w:szCs w:val="22"/>
              </w:rPr>
            </w:pPr>
            <w:r>
              <w:rPr>
                <w:rFonts w:ascii="宋体" w:hAnsi="宋体" w:cs="宋体"/>
                <w:color w:val="000000"/>
                <w:sz w:val="22"/>
                <w:szCs w:val="22"/>
                <w:lang w:bidi="ar"/>
              </w:rPr>
              <w:t>1、规格尺寸：4000*2600                       2、悬臂杆：Φ299*8*8400                    3、基础：1200*1200*1500</w:t>
            </w:r>
          </w:p>
        </w:tc>
        <w:tc>
          <w:tcPr>
            <w:tcW w:w="2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套</w:t>
            </w:r>
          </w:p>
        </w:tc>
        <w:tc>
          <w:tcPr>
            <w:tcW w:w="2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w:t>
            </w:r>
          </w:p>
        </w:tc>
        <w:tc>
          <w:tcPr>
            <w:tcW w:w="538" w:type="pct"/>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2"/>
                <w:szCs w:val="22"/>
              </w:rPr>
            </w:pPr>
          </w:p>
        </w:tc>
        <w:tc>
          <w:tcPr>
            <w:tcW w:w="538" w:type="pct"/>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960" w:hRule="atLeast"/>
        </w:trPr>
        <w:tc>
          <w:tcPr>
            <w:tcW w:w="2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71</w:t>
            </w:r>
          </w:p>
        </w:tc>
        <w:tc>
          <w:tcPr>
            <w:tcW w:w="44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凤威路</w:t>
            </w:r>
          </w:p>
        </w:tc>
        <w:tc>
          <w:tcPr>
            <w:tcW w:w="80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1.78</w:t>
            </w:r>
          </w:p>
        </w:tc>
        <w:tc>
          <w:tcPr>
            <w:tcW w:w="80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道口标柱</w:t>
            </w:r>
          </w:p>
        </w:tc>
        <w:tc>
          <w:tcPr>
            <w:tcW w:w="105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1、规格尺寸：Φ114*1200            2、荧光棱镜反光膜                    3、基础：400*400*400</w:t>
            </w:r>
          </w:p>
        </w:tc>
        <w:tc>
          <w:tcPr>
            <w:tcW w:w="2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根</w:t>
            </w:r>
          </w:p>
        </w:tc>
        <w:tc>
          <w:tcPr>
            <w:tcW w:w="2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4</w:t>
            </w:r>
          </w:p>
        </w:tc>
        <w:tc>
          <w:tcPr>
            <w:tcW w:w="538" w:type="pct"/>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2"/>
                <w:szCs w:val="22"/>
              </w:rPr>
            </w:pPr>
          </w:p>
        </w:tc>
        <w:tc>
          <w:tcPr>
            <w:tcW w:w="538" w:type="pct"/>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960" w:hRule="atLeast"/>
        </w:trPr>
        <w:tc>
          <w:tcPr>
            <w:tcW w:w="2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72</w:t>
            </w:r>
          </w:p>
        </w:tc>
        <w:tc>
          <w:tcPr>
            <w:tcW w:w="44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凤威路</w:t>
            </w:r>
          </w:p>
        </w:tc>
        <w:tc>
          <w:tcPr>
            <w:tcW w:w="80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1.95</w:t>
            </w:r>
          </w:p>
        </w:tc>
        <w:tc>
          <w:tcPr>
            <w:tcW w:w="80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单柱诱导标志</w:t>
            </w:r>
          </w:p>
        </w:tc>
        <w:tc>
          <w:tcPr>
            <w:tcW w:w="105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2"/>
                <w:szCs w:val="22"/>
              </w:rPr>
            </w:pPr>
            <w:r>
              <w:rPr>
                <w:rFonts w:ascii="宋体" w:hAnsi="宋体" w:cs="宋体"/>
                <w:color w:val="000000"/>
                <w:sz w:val="22"/>
                <w:szCs w:val="22"/>
                <w:lang w:bidi="ar"/>
              </w:rPr>
              <w:t>1、规格尺寸：800*600*2                     2、单立柱：Φ76*3*3000                       3、基础：500*500*600</w:t>
            </w:r>
          </w:p>
        </w:tc>
        <w:tc>
          <w:tcPr>
            <w:tcW w:w="2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套</w:t>
            </w:r>
          </w:p>
        </w:tc>
        <w:tc>
          <w:tcPr>
            <w:tcW w:w="2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w:t>
            </w:r>
          </w:p>
        </w:tc>
        <w:tc>
          <w:tcPr>
            <w:tcW w:w="538" w:type="pct"/>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2"/>
                <w:szCs w:val="22"/>
              </w:rPr>
            </w:pPr>
          </w:p>
        </w:tc>
        <w:tc>
          <w:tcPr>
            <w:tcW w:w="538" w:type="pct"/>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960" w:hRule="atLeast"/>
        </w:trPr>
        <w:tc>
          <w:tcPr>
            <w:tcW w:w="2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73</w:t>
            </w:r>
          </w:p>
        </w:tc>
        <w:tc>
          <w:tcPr>
            <w:tcW w:w="44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凤威路</w:t>
            </w:r>
          </w:p>
        </w:tc>
        <w:tc>
          <w:tcPr>
            <w:tcW w:w="80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1.95</w:t>
            </w:r>
          </w:p>
        </w:tc>
        <w:tc>
          <w:tcPr>
            <w:tcW w:w="80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人行横道线</w:t>
            </w:r>
          </w:p>
        </w:tc>
        <w:tc>
          <w:tcPr>
            <w:tcW w:w="105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1、热熔防滑标线                         2、厚度1.8mm符合国标要求                           3、反光亮度符合国标要求</w:t>
            </w:r>
          </w:p>
        </w:tc>
        <w:tc>
          <w:tcPr>
            <w:tcW w:w="2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w:t>
            </w:r>
          </w:p>
        </w:tc>
        <w:tc>
          <w:tcPr>
            <w:tcW w:w="2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50</w:t>
            </w:r>
          </w:p>
        </w:tc>
        <w:tc>
          <w:tcPr>
            <w:tcW w:w="538" w:type="pct"/>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2"/>
                <w:szCs w:val="22"/>
              </w:rPr>
            </w:pPr>
          </w:p>
        </w:tc>
        <w:tc>
          <w:tcPr>
            <w:tcW w:w="538" w:type="pct"/>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960" w:hRule="atLeast"/>
        </w:trPr>
        <w:tc>
          <w:tcPr>
            <w:tcW w:w="2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74</w:t>
            </w:r>
          </w:p>
        </w:tc>
        <w:tc>
          <w:tcPr>
            <w:tcW w:w="44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凤威路</w:t>
            </w:r>
          </w:p>
        </w:tc>
        <w:tc>
          <w:tcPr>
            <w:tcW w:w="80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2.208</w:t>
            </w:r>
          </w:p>
        </w:tc>
        <w:tc>
          <w:tcPr>
            <w:tcW w:w="80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悬臂指路标志</w:t>
            </w:r>
          </w:p>
        </w:tc>
        <w:tc>
          <w:tcPr>
            <w:tcW w:w="105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2"/>
                <w:szCs w:val="22"/>
              </w:rPr>
            </w:pPr>
            <w:r>
              <w:rPr>
                <w:rFonts w:ascii="宋体" w:hAnsi="宋体" w:cs="宋体"/>
                <w:color w:val="000000"/>
                <w:sz w:val="22"/>
                <w:szCs w:val="22"/>
                <w:lang w:bidi="ar"/>
              </w:rPr>
              <w:t>1、规格尺寸：4000*2600                       2、悬臂杆：Φ299*8*8400                    3、基础：1200*1200*1500</w:t>
            </w:r>
          </w:p>
        </w:tc>
        <w:tc>
          <w:tcPr>
            <w:tcW w:w="2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套</w:t>
            </w:r>
          </w:p>
        </w:tc>
        <w:tc>
          <w:tcPr>
            <w:tcW w:w="2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w:t>
            </w:r>
          </w:p>
        </w:tc>
        <w:tc>
          <w:tcPr>
            <w:tcW w:w="538" w:type="pct"/>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2"/>
                <w:szCs w:val="22"/>
              </w:rPr>
            </w:pPr>
          </w:p>
        </w:tc>
        <w:tc>
          <w:tcPr>
            <w:tcW w:w="538" w:type="pct"/>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960" w:hRule="atLeast"/>
        </w:trPr>
        <w:tc>
          <w:tcPr>
            <w:tcW w:w="2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75</w:t>
            </w:r>
          </w:p>
        </w:tc>
        <w:tc>
          <w:tcPr>
            <w:tcW w:w="44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凤威路</w:t>
            </w:r>
          </w:p>
        </w:tc>
        <w:tc>
          <w:tcPr>
            <w:tcW w:w="80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3.932</w:t>
            </w:r>
          </w:p>
        </w:tc>
        <w:tc>
          <w:tcPr>
            <w:tcW w:w="80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悬臂指路标志</w:t>
            </w:r>
          </w:p>
        </w:tc>
        <w:tc>
          <w:tcPr>
            <w:tcW w:w="105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2"/>
                <w:szCs w:val="22"/>
              </w:rPr>
            </w:pPr>
            <w:r>
              <w:rPr>
                <w:rFonts w:ascii="宋体" w:hAnsi="宋体" w:cs="宋体"/>
                <w:color w:val="000000"/>
                <w:sz w:val="22"/>
                <w:szCs w:val="22"/>
                <w:lang w:bidi="ar"/>
              </w:rPr>
              <w:t>1、规格尺寸：4000*2600                       2、悬臂杆：Φ299*8*8400                    3、基础：1200*1200*1500</w:t>
            </w:r>
          </w:p>
        </w:tc>
        <w:tc>
          <w:tcPr>
            <w:tcW w:w="2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套</w:t>
            </w:r>
          </w:p>
        </w:tc>
        <w:tc>
          <w:tcPr>
            <w:tcW w:w="2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w:t>
            </w:r>
          </w:p>
        </w:tc>
        <w:tc>
          <w:tcPr>
            <w:tcW w:w="538" w:type="pct"/>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2"/>
                <w:szCs w:val="22"/>
              </w:rPr>
            </w:pPr>
          </w:p>
        </w:tc>
        <w:tc>
          <w:tcPr>
            <w:tcW w:w="538" w:type="pct"/>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960" w:hRule="atLeast"/>
        </w:trPr>
        <w:tc>
          <w:tcPr>
            <w:tcW w:w="2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76</w:t>
            </w:r>
          </w:p>
        </w:tc>
        <w:tc>
          <w:tcPr>
            <w:tcW w:w="44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凤威路</w:t>
            </w:r>
          </w:p>
        </w:tc>
        <w:tc>
          <w:tcPr>
            <w:tcW w:w="80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6.004</w:t>
            </w:r>
          </w:p>
        </w:tc>
        <w:tc>
          <w:tcPr>
            <w:tcW w:w="80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单柱线型诱导</w:t>
            </w:r>
          </w:p>
        </w:tc>
        <w:tc>
          <w:tcPr>
            <w:tcW w:w="105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2"/>
                <w:szCs w:val="22"/>
              </w:rPr>
            </w:pPr>
            <w:r>
              <w:rPr>
                <w:rFonts w:ascii="宋体" w:hAnsi="宋体" w:cs="宋体"/>
                <w:color w:val="000000"/>
                <w:sz w:val="22"/>
                <w:szCs w:val="22"/>
                <w:lang w:bidi="ar"/>
              </w:rPr>
              <w:t>1、规格尺寸：800*600*2                     2、单立柱：Φ76*3*3000                       3、基础：500*500*600</w:t>
            </w:r>
          </w:p>
        </w:tc>
        <w:tc>
          <w:tcPr>
            <w:tcW w:w="2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套</w:t>
            </w:r>
          </w:p>
        </w:tc>
        <w:tc>
          <w:tcPr>
            <w:tcW w:w="2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w:t>
            </w:r>
          </w:p>
        </w:tc>
        <w:tc>
          <w:tcPr>
            <w:tcW w:w="538" w:type="pct"/>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2"/>
                <w:szCs w:val="22"/>
              </w:rPr>
            </w:pPr>
          </w:p>
        </w:tc>
        <w:tc>
          <w:tcPr>
            <w:tcW w:w="538" w:type="pct"/>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960" w:hRule="atLeast"/>
        </w:trPr>
        <w:tc>
          <w:tcPr>
            <w:tcW w:w="2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77</w:t>
            </w:r>
          </w:p>
        </w:tc>
        <w:tc>
          <w:tcPr>
            <w:tcW w:w="44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凤威路</w:t>
            </w:r>
          </w:p>
        </w:tc>
        <w:tc>
          <w:tcPr>
            <w:tcW w:w="80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6.004</w:t>
            </w:r>
          </w:p>
        </w:tc>
        <w:tc>
          <w:tcPr>
            <w:tcW w:w="80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人行横道线</w:t>
            </w:r>
          </w:p>
        </w:tc>
        <w:tc>
          <w:tcPr>
            <w:tcW w:w="105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1、热熔防滑标线                         2、厚度1.8mm符合国标要求                           3、反光亮度符合国标要求</w:t>
            </w:r>
          </w:p>
        </w:tc>
        <w:tc>
          <w:tcPr>
            <w:tcW w:w="2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w:t>
            </w:r>
          </w:p>
        </w:tc>
        <w:tc>
          <w:tcPr>
            <w:tcW w:w="2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50</w:t>
            </w:r>
          </w:p>
        </w:tc>
        <w:tc>
          <w:tcPr>
            <w:tcW w:w="538" w:type="pct"/>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2"/>
                <w:szCs w:val="22"/>
              </w:rPr>
            </w:pPr>
          </w:p>
        </w:tc>
        <w:tc>
          <w:tcPr>
            <w:tcW w:w="538" w:type="pct"/>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960" w:hRule="atLeast"/>
        </w:trPr>
        <w:tc>
          <w:tcPr>
            <w:tcW w:w="2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78</w:t>
            </w:r>
          </w:p>
        </w:tc>
        <w:tc>
          <w:tcPr>
            <w:tcW w:w="44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凤威路</w:t>
            </w:r>
          </w:p>
        </w:tc>
        <w:tc>
          <w:tcPr>
            <w:tcW w:w="80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6.918</w:t>
            </w:r>
          </w:p>
        </w:tc>
        <w:tc>
          <w:tcPr>
            <w:tcW w:w="80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单柱警告标志</w:t>
            </w:r>
          </w:p>
        </w:tc>
        <w:tc>
          <w:tcPr>
            <w:tcW w:w="105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2"/>
                <w:szCs w:val="22"/>
              </w:rPr>
            </w:pPr>
            <w:r>
              <w:rPr>
                <w:rFonts w:ascii="宋体" w:hAnsi="宋体" w:cs="宋体"/>
                <w:color w:val="000000"/>
                <w:sz w:val="22"/>
                <w:szCs w:val="22"/>
                <w:lang w:bidi="ar"/>
              </w:rPr>
              <w:t>1、规格尺寸：Δ900                 2、单立柱：Φ76*3*3000                   3、基础：500*500*600</w:t>
            </w:r>
          </w:p>
        </w:tc>
        <w:tc>
          <w:tcPr>
            <w:tcW w:w="2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套</w:t>
            </w:r>
          </w:p>
        </w:tc>
        <w:tc>
          <w:tcPr>
            <w:tcW w:w="2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w:t>
            </w:r>
          </w:p>
        </w:tc>
        <w:tc>
          <w:tcPr>
            <w:tcW w:w="538" w:type="pct"/>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2"/>
                <w:szCs w:val="22"/>
              </w:rPr>
            </w:pPr>
          </w:p>
        </w:tc>
        <w:tc>
          <w:tcPr>
            <w:tcW w:w="538" w:type="pct"/>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960" w:hRule="atLeast"/>
        </w:trPr>
        <w:tc>
          <w:tcPr>
            <w:tcW w:w="2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79</w:t>
            </w:r>
          </w:p>
        </w:tc>
        <w:tc>
          <w:tcPr>
            <w:tcW w:w="44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凤威路</w:t>
            </w:r>
          </w:p>
        </w:tc>
        <w:tc>
          <w:tcPr>
            <w:tcW w:w="80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6.918</w:t>
            </w:r>
          </w:p>
        </w:tc>
        <w:tc>
          <w:tcPr>
            <w:tcW w:w="80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单柱禁令标志</w:t>
            </w:r>
          </w:p>
        </w:tc>
        <w:tc>
          <w:tcPr>
            <w:tcW w:w="105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2"/>
                <w:szCs w:val="22"/>
              </w:rPr>
            </w:pPr>
            <w:r>
              <w:rPr>
                <w:rFonts w:ascii="宋体" w:hAnsi="宋体" w:cs="宋体"/>
                <w:color w:val="000000"/>
                <w:sz w:val="22"/>
                <w:szCs w:val="22"/>
                <w:lang w:bidi="ar"/>
              </w:rPr>
              <w:t>1、规格尺寸：Φ800                    2、单立柱：Φ76*3*3000                 3、基础：500*500*600</w:t>
            </w:r>
          </w:p>
        </w:tc>
        <w:tc>
          <w:tcPr>
            <w:tcW w:w="2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套</w:t>
            </w:r>
          </w:p>
        </w:tc>
        <w:tc>
          <w:tcPr>
            <w:tcW w:w="2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w:t>
            </w:r>
          </w:p>
        </w:tc>
        <w:tc>
          <w:tcPr>
            <w:tcW w:w="538" w:type="pct"/>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2"/>
                <w:szCs w:val="22"/>
              </w:rPr>
            </w:pPr>
          </w:p>
        </w:tc>
        <w:tc>
          <w:tcPr>
            <w:tcW w:w="538" w:type="pct"/>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960" w:hRule="atLeast"/>
        </w:trPr>
        <w:tc>
          <w:tcPr>
            <w:tcW w:w="2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80</w:t>
            </w:r>
          </w:p>
        </w:tc>
        <w:tc>
          <w:tcPr>
            <w:tcW w:w="44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凤威路</w:t>
            </w:r>
          </w:p>
        </w:tc>
        <w:tc>
          <w:tcPr>
            <w:tcW w:w="80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4.612</w:t>
            </w:r>
          </w:p>
        </w:tc>
        <w:tc>
          <w:tcPr>
            <w:tcW w:w="80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悬臂禁令警告</w:t>
            </w:r>
          </w:p>
        </w:tc>
        <w:tc>
          <w:tcPr>
            <w:tcW w:w="105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2"/>
                <w:szCs w:val="22"/>
              </w:rPr>
            </w:pPr>
            <w:r>
              <w:rPr>
                <w:rFonts w:ascii="宋体" w:hAnsi="宋体" w:cs="宋体"/>
                <w:color w:val="000000"/>
                <w:sz w:val="22"/>
                <w:szCs w:val="22"/>
                <w:lang w:bidi="ar"/>
              </w:rPr>
              <w:t>1、规格尺寸：Δ900   Φ800         2、悬臂杆：Φ219*6500  Φ89*3500      3、基础：800*800*1200</w:t>
            </w:r>
          </w:p>
        </w:tc>
        <w:tc>
          <w:tcPr>
            <w:tcW w:w="2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套</w:t>
            </w:r>
          </w:p>
        </w:tc>
        <w:tc>
          <w:tcPr>
            <w:tcW w:w="2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w:t>
            </w:r>
          </w:p>
        </w:tc>
        <w:tc>
          <w:tcPr>
            <w:tcW w:w="538" w:type="pct"/>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2"/>
                <w:szCs w:val="22"/>
              </w:rPr>
            </w:pPr>
          </w:p>
        </w:tc>
        <w:tc>
          <w:tcPr>
            <w:tcW w:w="538" w:type="pct"/>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960" w:hRule="atLeast"/>
        </w:trPr>
        <w:tc>
          <w:tcPr>
            <w:tcW w:w="2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81</w:t>
            </w:r>
          </w:p>
        </w:tc>
        <w:tc>
          <w:tcPr>
            <w:tcW w:w="44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凤威路</w:t>
            </w:r>
          </w:p>
        </w:tc>
        <w:tc>
          <w:tcPr>
            <w:tcW w:w="80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3.468</w:t>
            </w:r>
          </w:p>
        </w:tc>
        <w:tc>
          <w:tcPr>
            <w:tcW w:w="80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道口标柱</w:t>
            </w:r>
          </w:p>
        </w:tc>
        <w:tc>
          <w:tcPr>
            <w:tcW w:w="105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2"/>
                <w:szCs w:val="22"/>
              </w:rPr>
            </w:pPr>
            <w:r>
              <w:rPr>
                <w:rFonts w:ascii="宋体" w:hAnsi="宋体" w:cs="宋体"/>
                <w:color w:val="000000"/>
                <w:sz w:val="22"/>
                <w:szCs w:val="22"/>
                <w:lang w:bidi="ar"/>
              </w:rPr>
              <w:t>1、规格尺寸：Φ114*1200            2、荧光棱镜反光膜                    3、基础：400*400*400</w:t>
            </w:r>
          </w:p>
        </w:tc>
        <w:tc>
          <w:tcPr>
            <w:tcW w:w="2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根</w:t>
            </w:r>
          </w:p>
        </w:tc>
        <w:tc>
          <w:tcPr>
            <w:tcW w:w="2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4</w:t>
            </w:r>
          </w:p>
        </w:tc>
        <w:tc>
          <w:tcPr>
            <w:tcW w:w="538" w:type="pct"/>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2"/>
                <w:szCs w:val="22"/>
              </w:rPr>
            </w:pPr>
          </w:p>
        </w:tc>
        <w:tc>
          <w:tcPr>
            <w:tcW w:w="538" w:type="pct"/>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960" w:hRule="atLeast"/>
        </w:trPr>
        <w:tc>
          <w:tcPr>
            <w:tcW w:w="2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82</w:t>
            </w:r>
          </w:p>
        </w:tc>
        <w:tc>
          <w:tcPr>
            <w:tcW w:w="44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凤威路</w:t>
            </w:r>
          </w:p>
        </w:tc>
        <w:tc>
          <w:tcPr>
            <w:tcW w:w="80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0.188</w:t>
            </w:r>
          </w:p>
        </w:tc>
        <w:tc>
          <w:tcPr>
            <w:tcW w:w="80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道口标柱</w:t>
            </w:r>
          </w:p>
        </w:tc>
        <w:tc>
          <w:tcPr>
            <w:tcW w:w="105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2"/>
                <w:szCs w:val="22"/>
              </w:rPr>
            </w:pPr>
            <w:r>
              <w:rPr>
                <w:rFonts w:ascii="宋体" w:hAnsi="宋体" w:cs="宋体"/>
                <w:color w:val="000000"/>
                <w:sz w:val="22"/>
                <w:szCs w:val="22"/>
                <w:lang w:bidi="ar"/>
              </w:rPr>
              <w:t>1、规格尺寸：Φ114*1200            2、荧光棱镜反光膜                    3、基础：400*400*400</w:t>
            </w:r>
          </w:p>
        </w:tc>
        <w:tc>
          <w:tcPr>
            <w:tcW w:w="2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根</w:t>
            </w:r>
          </w:p>
        </w:tc>
        <w:tc>
          <w:tcPr>
            <w:tcW w:w="2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4</w:t>
            </w:r>
          </w:p>
        </w:tc>
        <w:tc>
          <w:tcPr>
            <w:tcW w:w="538" w:type="pct"/>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2"/>
                <w:szCs w:val="22"/>
              </w:rPr>
            </w:pPr>
          </w:p>
        </w:tc>
        <w:tc>
          <w:tcPr>
            <w:tcW w:w="538" w:type="pct"/>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960" w:hRule="atLeast"/>
        </w:trPr>
        <w:tc>
          <w:tcPr>
            <w:tcW w:w="2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83</w:t>
            </w:r>
          </w:p>
        </w:tc>
        <w:tc>
          <w:tcPr>
            <w:tcW w:w="44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团结路</w:t>
            </w:r>
          </w:p>
        </w:tc>
        <w:tc>
          <w:tcPr>
            <w:tcW w:w="80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4.751</w:t>
            </w:r>
          </w:p>
        </w:tc>
        <w:tc>
          <w:tcPr>
            <w:tcW w:w="80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道口标柱</w:t>
            </w:r>
          </w:p>
        </w:tc>
        <w:tc>
          <w:tcPr>
            <w:tcW w:w="105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2"/>
                <w:szCs w:val="22"/>
              </w:rPr>
            </w:pPr>
            <w:r>
              <w:rPr>
                <w:rFonts w:ascii="宋体" w:hAnsi="宋体" w:cs="宋体"/>
                <w:color w:val="000000"/>
                <w:sz w:val="22"/>
                <w:szCs w:val="22"/>
                <w:lang w:bidi="ar"/>
              </w:rPr>
              <w:t>1、规格尺寸：Φ114*1200            2、荧光棱镜反光膜                    3、基础：400*400*400</w:t>
            </w:r>
          </w:p>
        </w:tc>
        <w:tc>
          <w:tcPr>
            <w:tcW w:w="2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根</w:t>
            </w:r>
          </w:p>
        </w:tc>
        <w:tc>
          <w:tcPr>
            <w:tcW w:w="2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4</w:t>
            </w:r>
          </w:p>
        </w:tc>
        <w:tc>
          <w:tcPr>
            <w:tcW w:w="538" w:type="pct"/>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2"/>
                <w:szCs w:val="22"/>
              </w:rPr>
            </w:pPr>
          </w:p>
        </w:tc>
        <w:tc>
          <w:tcPr>
            <w:tcW w:w="538" w:type="pct"/>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960" w:hRule="atLeast"/>
        </w:trPr>
        <w:tc>
          <w:tcPr>
            <w:tcW w:w="2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84</w:t>
            </w:r>
          </w:p>
        </w:tc>
        <w:tc>
          <w:tcPr>
            <w:tcW w:w="44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团结路</w:t>
            </w:r>
          </w:p>
        </w:tc>
        <w:tc>
          <w:tcPr>
            <w:tcW w:w="80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6.245</w:t>
            </w:r>
          </w:p>
        </w:tc>
        <w:tc>
          <w:tcPr>
            <w:tcW w:w="80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悬臂指路牌</w:t>
            </w:r>
          </w:p>
        </w:tc>
        <w:tc>
          <w:tcPr>
            <w:tcW w:w="105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2"/>
                <w:szCs w:val="22"/>
              </w:rPr>
            </w:pPr>
            <w:r>
              <w:rPr>
                <w:rFonts w:ascii="宋体" w:hAnsi="宋体" w:cs="宋体"/>
                <w:color w:val="000000"/>
                <w:sz w:val="22"/>
                <w:szCs w:val="22"/>
                <w:lang w:bidi="ar"/>
              </w:rPr>
              <w:t>1、尺寸规格：4000*2600                      2、悬臂支架：Φ299*8*8400                     3、基础：1200*1200*1500</w:t>
            </w:r>
          </w:p>
        </w:tc>
        <w:tc>
          <w:tcPr>
            <w:tcW w:w="2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付</w:t>
            </w:r>
          </w:p>
        </w:tc>
        <w:tc>
          <w:tcPr>
            <w:tcW w:w="2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3</w:t>
            </w:r>
          </w:p>
        </w:tc>
        <w:tc>
          <w:tcPr>
            <w:tcW w:w="538" w:type="pct"/>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2"/>
                <w:szCs w:val="22"/>
              </w:rPr>
            </w:pPr>
          </w:p>
        </w:tc>
        <w:tc>
          <w:tcPr>
            <w:tcW w:w="538" w:type="pct"/>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960" w:hRule="atLeast"/>
        </w:trPr>
        <w:tc>
          <w:tcPr>
            <w:tcW w:w="2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85</w:t>
            </w:r>
          </w:p>
        </w:tc>
        <w:tc>
          <w:tcPr>
            <w:tcW w:w="44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团结路</w:t>
            </w:r>
          </w:p>
        </w:tc>
        <w:tc>
          <w:tcPr>
            <w:tcW w:w="80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6.729</w:t>
            </w:r>
          </w:p>
        </w:tc>
        <w:tc>
          <w:tcPr>
            <w:tcW w:w="80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道口标柱</w:t>
            </w:r>
          </w:p>
        </w:tc>
        <w:tc>
          <w:tcPr>
            <w:tcW w:w="105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2"/>
                <w:szCs w:val="22"/>
              </w:rPr>
            </w:pPr>
            <w:r>
              <w:rPr>
                <w:rFonts w:ascii="宋体" w:hAnsi="宋体" w:cs="宋体"/>
                <w:color w:val="000000"/>
                <w:sz w:val="22"/>
                <w:szCs w:val="22"/>
                <w:lang w:bidi="ar"/>
              </w:rPr>
              <w:t>1、规格尺寸：Φ114*1200            2、荧光棱镜反光膜                    3、基础：400*400*400</w:t>
            </w:r>
          </w:p>
        </w:tc>
        <w:tc>
          <w:tcPr>
            <w:tcW w:w="2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根</w:t>
            </w:r>
          </w:p>
        </w:tc>
        <w:tc>
          <w:tcPr>
            <w:tcW w:w="2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4</w:t>
            </w:r>
          </w:p>
        </w:tc>
        <w:tc>
          <w:tcPr>
            <w:tcW w:w="538" w:type="pct"/>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2"/>
                <w:szCs w:val="22"/>
              </w:rPr>
            </w:pPr>
          </w:p>
        </w:tc>
        <w:tc>
          <w:tcPr>
            <w:tcW w:w="538" w:type="pct"/>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960" w:hRule="atLeast"/>
        </w:trPr>
        <w:tc>
          <w:tcPr>
            <w:tcW w:w="2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86</w:t>
            </w:r>
          </w:p>
        </w:tc>
        <w:tc>
          <w:tcPr>
            <w:tcW w:w="44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团结路</w:t>
            </w:r>
          </w:p>
        </w:tc>
        <w:tc>
          <w:tcPr>
            <w:tcW w:w="80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8.314</w:t>
            </w:r>
          </w:p>
        </w:tc>
        <w:tc>
          <w:tcPr>
            <w:tcW w:w="80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道口标柱</w:t>
            </w:r>
          </w:p>
        </w:tc>
        <w:tc>
          <w:tcPr>
            <w:tcW w:w="105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2"/>
                <w:szCs w:val="22"/>
              </w:rPr>
            </w:pPr>
            <w:r>
              <w:rPr>
                <w:rFonts w:ascii="宋体" w:hAnsi="宋体" w:cs="宋体"/>
                <w:color w:val="000000"/>
                <w:sz w:val="22"/>
                <w:szCs w:val="22"/>
                <w:lang w:bidi="ar"/>
              </w:rPr>
              <w:t>1、规格尺寸：Φ114*1200            2、荧光棱镜反光膜                    3、基础：400*400*400</w:t>
            </w:r>
          </w:p>
        </w:tc>
        <w:tc>
          <w:tcPr>
            <w:tcW w:w="2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根</w:t>
            </w:r>
          </w:p>
        </w:tc>
        <w:tc>
          <w:tcPr>
            <w:tcW w:w="2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4</w:t>
            </w:r>
          </w:p>
        </w:tc>
        <w:tc>
          <w:tcPr>
            <w:tcW w:w="538" w:type="pct"/>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2"/>
                <w:szCs w:val="22"/>
              </w:rPr>
            </w:pPr>
          </w:p>
        </w:tc>
        <w:tc>
          <w:tcPr>
            <w:tcW w:w="538" w:type="pct"/>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960" w:hRule="atLeast"/>
        </w:trPr>
        <w:tc>
          <w:tcPr>
            <w:tcW w:w="2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87</w:t>
            </w:r>
          </w:p>
        </w:tc>
        <w:tc>
          <w:tcPr>
            <w:tcW w:w="44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团结路</w:t>
            </w:r>
          </w:p>
        </w:tc>
        <w:tc>
          <w:tcPr>
            <w:tcW w:w="80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8.749</w:t>
            </w:r>
          </w:p>
        </w:tc>
        <w:tc>
          <w:tcPr>
            <w:tcW w:w="80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道口标柱</w:t>
            </w:r>
          </w:p>
        </w:tc>
        <w:tc>
          <w:tcPr>
            <w:tcW w:w="105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2"/>
                <w:szCs w:val="22"/>
              </w:rPr>
            </w:pPr>
            <w:r>
              <w:rPr>
                <w:rFonts w:ascii="宋体" w:hAnsi="宋体" w:cs="宋体"/>
                <w:color w:val="000000"/>
                <w:sz w:val="22"/>
                <w:szCs w:val="22"/>
                <w:lang w:bidi="ar"/>
              </w:rPr>
              <w:t>1、规格尺寸：Φ114*1200            2、荧光棱镜反光膜                    3、基础：400*400*400</w:t>
            </w:r>
          </w:p>
        </w:tc>
        <w:tc>
          <w:tcPr>
            <w:tcW w:w="2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根</w:t>
            </w:r>
          </w:p>
        </w:tc>
        <w:tc>
          <w:tcPr>
            <w:tcW w:w="2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4</w:t>
            </w:r>
          </w:p>
        </w:tc>
        <w:tc>
          <w:tcPr>
            <w:tcW w:w="538" w:type="pct"/>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2"/>
                <w:szCs w:val="22"/>
              </w:rPr>
            </w:pPr>
          </w:p>
        </w:tc>
        <w:tc>
          <w:tcPr>
            <w:tcW w:w="538" w:type="pct"/>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960" w:hRule="atLeast"/>
        </w:trPr>
        <w:tc>
          <w:tcPr>
            <w:tcW w:w="2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88</w:t>
            </w:r>
          </w:p>
        </w:tc>
        <w:tc>
          <w:tcPr>
            <w:tcW w:w="44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团结路</w:t>
            </w:r>
          </w:p>
        </w:tc>
        <w:tc>
          <w:tcPr>
            <w:tcW w:w="80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9.017</w:t>
            </w:r>
          </w:p>
        </w:tc>
        <w:tc>
          <w:tcPr>
            <w:tcW w:w="80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道口标柱</w:t>
            </w:r>
          </w:p>
        </w:tc>
        <w:tc>
          <w:tcPr>
            <w:tcW w:w="105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2"/>
                <w:szCs w:val="22"/>
              </w:rPr>
            </w:pPr>
            <w:r>
              <w:rPr>
                <w:rFonts w:ascii="宋体" w:hAnsi="宋体" w:cs="宋体"/>
                <w:color w:val="000000"/>
                <w:sz w:val="22"/>
                <w:szCs w:val="22"/>
                <w:lang w:bidi="ar"/>
              </w:rPr>
              <w:t>1、规格尺寸：Φ114*1200            2、荧光棱镜反光膜                    3、基础：400*400*400</w:t>
            </w:r>
          </w:p>
        </w:tc>
        <w:tc>
          <w:tcPr>
            <w:tcW w:w="2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根</w:t>
            </w:r>
          </w:p>
        </w:tc>
        <w:tc>
          <w:tcPr>
            <w:tcW w:w="2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4</w:t>
            </w:r>
          </w:p>
        </w:tc>
        <w:tc>
          <w:tcPr>
            <w:tcW w:w="538" w:type="pct"/>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2"/>
                <w:szCs w:val="22"/>
              </w:rPr>
            </w:pPr>
          </w:p>
        </w:tc>
        <w:tc>
          <w:tcPr>
            <w:tcW w:w="538" w:type="pct"/>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960" w:hRule="atLeast"/>
        </w:trPr>
        <w:tc>
          <w:tcPr>
            <w:tcW w:w="2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89</w:t>
            </w:r>
          </w:p>
        </w:tc>
        <w:tc>
          <w:tcPr>
            <w:tcW w:w="44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团结路</w:t>
            </w:r>
          </w:p>
        </w:tc>
        <w:tc>
          <w:tcPr>
            <w:tcW w:w="80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8.114</w:t>
            </w:r>
          </w:p>
        </w:tc>
        <w:tc>
          <w:tcPr>
            <w:tcW w:w="80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道口标柱</w:t>
            </w:r>
          </w:p>
        </w:tc>
        <w:tc>
          <w:tcPr>
            <w:tcW w:w="105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2"/>
                <w:szCs w:val="22"/>
              </w:rPr>
            </w:pPr>
            <w:r>
              <w:rPr>
                <w:rFonts w:ascii="宋体" w:hAnsi="宋体" w:cs="宋体"/>
                <w:color w:val="000000"/>
                <w:sz w:val="22"/>
                <w:szCs w:val="22"/>
                <w:lang w:bidi="ar"/>
              </w:rPr>
              <w:t>1、规格尺寸：Φ114*1200            2、荧光棱镜反光膜                    3、基础：400*400*400</w:t>
            </w:r>
          </w:p>
        </w:tc>
        <w:tc>
          <w:tcPr>
            <w:tcW w:w="2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根</w:t>
            </w:r>
          </w:p>
        </w:tc>
        <w:tc>
          <w:tcPr>
            <w:tcW w:w="2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4</w:t>
            </w:r>
          </w:p>
        </w:tc>
        <w:tc>
          <w:tcPr>
            <w:tcW w:w="538" w:type="pct"/>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2"/>
                <w:szCs w:val="22"/>
              </w:rPr>
            </w:pPr>
          </w:p>
        </w:tc>
        <w:tc>
          <w:tcPr>
            <w:tcW w:w="538" w:type="pct"/>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960" w:hRule="atLeast"/>
        </w:trPr>
        <w:tc>
          <w:tcPr>
            <w:tcW w:w="2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90</w:t>
            </w:r>
          </w:p>
        </w:tc>
        <w:tc>
          <w:tcPr>
            <w:tcW w:w="44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团结路</w:t>
            </w:r>
          </w:p>
        </w:tc>
        <w:tc>
          <w:tcPr>
            <w:tcW w:w="80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7.335</w:t>
            </w:r>
          </w:p>
        </w:tc>
        <w:tc>
          <w:tcPr>
            <w:tcW w:w="80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道口标柱</w:t>
            </w:r>
          </w:p>
        </w:tc>
        <w:tc>
          <w:tcPr>
            <w:tcW w:w="105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2"/>
                <w:szCs w:val="22"/>
              </w:rPr>
            </w:pPr>
            <w:r>
              <w:rPr>
                <w:rFonts w:ascii="宋体" w:hAnsi="宋体" w:cs="宋体"/>
                <w:color w:val="000000"/>
                <w:sz w:val="22"/>
                <w:szCs w:val="22"/>
                <w:lang w:bidi="ar"/>
              </w:rPr>
              <w:t>1、规格尺寸：Φ114*1200            2、荧光棱镜反光膜                    3、基础：400*400*400</w:t>
            </w:r>
          </w:p>
        </w:tc>
        <w:tc>
          <w:tcPr>
            <w:tcW w:w="2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根</w:t>
            </w:r>
          </w:p>
        </w:tc>
        <w:tc>
          <w:tcPr>
            <w:tcW w:w="2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4</w:t>
            </w:r>
          </w:p>
        </w:tc>
        <w:tc>
          <w:tcPr>
            <w:tcW w:w="538" w:type="pct"/>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2"/>
                <w:szCs w:val="22"/>
              </w:rPr>
            </w:pPr>
          </w:p>
        </w:tc>
        <w:tc>
          <w:tcPr>
            <w:tcW w:w="538" w:type="pct"/>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960" w:hRule="atLeast"/>
        </w:trPr>
        <w:tc>
          <w:tcPr>
            <w:tcW w:w="2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91</w:t>
            </w:r>
          </w:p>
        </w:tc>
        <w:tc>
          <w:tcPr>
            <w:tcW w:w="44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团结路</w:t>
            </w:r>
          </w:p>
        </w:tc>
        <w:tc>
          <w:tcPr>
            <w:tcW w:w="80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6.202</w:t>
            </w:r>
          </w:p>
        </w:tc>
        <w:tc>
          <w:tcPr>
            <w:tcW w:w="80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道口标柱</w:t>
            </w:r>
          </w:p>
        </w:tc>
        <w:tc>
          <w:tcPr>
            <w:tcW w:w="105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2"/>
                <w:szCs w:val="22"/>
              </w:rPr>
            </w:pPr>
            <w:r>
              <w:rPr>
                <w:rFonts w:ascii="宋体" w:hAnsi="宋体" w:cs="宋体"/>
                <w:color w:val="000000"/>
                <w:sz w:val="22"/>
                <w:szCs w:val="22"/>
                <w:lang w:bidi="ar"/>
              </w:rPr>
              <w:t>1、规格尺寸：Φ114*1200            2、荧光棱镜反光膜                    3、基础：400*400*400</w:t>
            </w:r>
          </w:p>
        </w:tc>
        <w:tc>
          <w:tcPr>
            <w:tcW w:w="2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根</w:t>
            </w:r>
          </w:p>
        </w:tc>
        <w:tc>
          <w:tcPr>
            <w:tcW w:w="2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4</w:t>
            </w:r>
          </w:p>
        </w:tc>
        <w:tc>
          <w:tcPr>
            <w:tcW w:w="538" w:type="pct"/>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2"/>
                <w:szCs w:val="22"/>
              </w:rPr>
            </w:pPr>
          </w:p>
        </w:tc>
        <w:tc>
          <w:tcPr>
            <w:tcW w:w="538" w:type="pct"/>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960" w:hRule="atLeast"/>
        </w:trPr>
        <w:tc>
          <w:tcPr>
            <w:tcW w:w="2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92</w:t>
            </w:r>
          </w:p>
        </w:tc>
        <w:tc>
          <w:tcPr>
            <w:tcW w:w="44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团结路</w:t>
            </w:r>
          </w:p>
        </w:tc>
        <w:tc>
          <w:tcPr>
            <w:tcW w:w="80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5.161</w:t>
            </w:r>
          </w:p>
        </w:tc>
        <w:tc>
          <w:tcPr>
            <w:tcW w:w="80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道口标柱</w:t>
            </w:r>
          </w:p>
        </w:tc>
        <w:tc>
          <w:tcPr>
            <w:tcW w:w="105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2"/>
                <w:szCs w:val="22"/>
              </w:rPr>
            </w:pPr>
            <w:r>
              <w:rPr>
                <w:rFonts w:ascii="宋体" w:hAnsi="宋体" w:cs="宋体"/>
                <w:color w:val="000000"/>
                <w:sz w:val="22"/>
                <w:szCs w:val="22"/>
                <w:lang w:bidi="ar"/>
              </w:rPr>
              <w:t>1、规格尺寸：Φ114*1200            2、荧光棱镜反光膜                    3、基础：400*400*400</w:t>
            </w:r>
          </w:p>
        </w:tc>
        <w:tc>
          <w:tcPr>
            <w:tcW w:w="2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根</w:t>
            </w:r>
          </w:p>
        </w:tc>
        <w:tc>
          <w:tcPr>
            <w:tcW w:w="2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4</w:t>
            </w:r>
          </w:p>
        </w:tc>
        <w:tc>
          <w:tcPr>
            <w:tcW w:w="538" w:type="pct"/>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2"/>
                <w:szCs w:val="22"/>
              </w:rPr>
            </w:pPr>
          </w:p>
        </w:tc>
        <w:tc>
          <w:tcPr>
            <w:tcW w:w="538" w:type="pct"/>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960" w:hRule="atLeast"/>
        </w:trPr>
        <w:tc>
          <w:tcPr>
            <w:tcW w:w="2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93</w:t>
            </w:r>
          </w:p>
        </w:tc>
        <w:tc>
          <w:tcPr>
            <w:tcW w:w="44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团结路</w:t>
            </w:r>
          </w:p>
        </w:tc>
        <w:tc>
          <w:tcPr>
            <w:tcW w:w="80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4.838</w:t>
            </w:r>
          </w:p>
        </w:tc>
        <w:tc>
          <w:tcPr>
            <w:tcW w:w="80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道口标柱</w:t>
            </w:r>
          </w:p>
        </w:tc>
        <w:tc>
          <w:tcPr>
            <w:tcW w:w="105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2"/>
                <w:szCs w:val="22"/>
              </w:rPr>
            </w:pPr>
            <w:r>
              <w:rPr>
                <w:rFonts w:ascii="宋体" w:hAnsi="宋体" w:cs="宋体"/>
                <w:color w:val="000000"/>
                <w:sz w:val="22"/>
                <w:szCs w:val="22"/>
                <w:lang w:bidi="ar"/>
              </w:rPr>
              <w:t>1、规格尺寸：Φ114*1200            2、荧光棱镜反光膜                    3、基础：400*400*400</w:t>
            </w:r>
          </w:p>
        </w:tc>
        <w:tc>
          <w:tcPr>
            <w:tcW w:w="2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根</w:t>
            </w:r>
          </w:p>
        </w:tc>
        <w:tc>
          <w:tcPr>
            <w:tcW w:w="2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4</w:t>
            </w:r>
          </w:p>
        </w:tc>
        <w:tc>
          <w:tcPr>
            <w:tcW w:w="538" w:type="pct"/>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2"/>
                <w:szCs w:val="22"/>
              </w:rPr>
            </w:pPr>
          </w:p>
        </w:tc>
        <w:tc>
          <w:tcPr>
            <w:tcW w:w="538" w:type="pct"/>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960" w:hRule="atLeast"/>
        </w:trPr>
        <w:tc>
          <w:tcPr>
            <w:tcW w:w="2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94</w:t>
            </w:r>
          </w:p>
        </w:tc>
        <w:tc>
          <w:tcPr>
            <w:tcW w:w="44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团结路</w:t>
            </w:r>
          </w:p>
        </w:tc>
        <w:tc>
          <w:tcPr>
            <w:tcW w:w="80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2.922</w:t>
            </w:r>
          </w:p>
        </w:tc>
        <w:tc>
          <w:tcPr>
            <w:tcW w:w="80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道口标柱</w:t>
            </w:r>
          </w:p>
        </w:tc>
        <w:tc>
          <w:tcPr>
            <w:tcW w:w="105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2"/>
                <w:szCs w:val="22"/>
              </w:rPr>
            </w:pPr>
            <w:r>
              <w:rPr>
                <w:rFonts w:ascii="宋体" w:hAnsi="宋体" w:cs="宋体"/>
                <w:color w:val="000000"/>
                <w:sz w:val="22"/>
                <w:szCs w:val="22"/>
                <w:lang w:bidi="ar"/>
              </w:rPr>
              <w:t>1、规格尺寸：Φ114*1200            2、荧光棱镜反光膜                    3、基础：400*400*400</w:t>
            </w:r>
          </w:p>
        </w:tc>
        <w:tc>
          <w:tcPr>
            <w:tcW w:w="2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根</w:t>
            </w:r>
          </w:p>
        </w:tc>
        <w:tc>
          <w:tcPr>
            <w:tcW w:w="2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4</w:t>
            </w:r>
          </w:p>
        </w:tc>
        <w:tc>
          <w:tcPr>
            <w:tcW w:w="538" w:type="pct"/>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2"/>
                <w:szCs w:val="22"/>
              </w:rPr>
            </w:pPr>
          </w:p>
        </w:tc>
        <w:tc>
          <w:tcPr>
            <w:tcW w:w="538" w:type="pct"/>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960" w:hRule="atLeast"/>
        </w:trPr>
        <w:tc>
          <w:tcPr>
            <w:tcW w:w="2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95</w:t>
            </w:r>
          </w:p>
        </w:tc>
        <w:tc>
          <w:tcPr>
            <w:tcW w:w="44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通云路</w:t>
            </w:r>
          </w:p>
        </w:tc>
        <w:tc>
          <w:tcPr>
            <w:tcW w:w="80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2.5</w:t>
            </w:r>
          </w:p>
        </w:tc>
        <w:tc>
          <w:tcPr>
            <w:tcW w:w="80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单柱诱导标志</w:t>
            </w:r>
          </w:p>
        </w:tc>
        <w:tc>
          <w:tcPr>
            <w:tcW w:w="105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2"/>
                <w:szCs w:val="22"/>
              </w:rPr>
            </w:pPr>
            <w:r>
              <w:rPr>
                <w:rFonts w:ascii="宋体" w:hAnsi="宋体" w:cs="宋体"/>
                <w:color w:val="000000"/>
                <w:sz w:val="22"/>
                <w:szCs w:val="22"/>
                <w:lang w:bidi="ar"/>
              </w:rPr>
              <w:t>1、规格尺寸：800*600                  2、单立柱：Φ76*3*3000                       3、基础：500*500*600</w:t>
            </w:r>
          </w:p>
        </w:tc>
        <w:tc>
          <w:tcPr>
            <w:tcW w:w="2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付</w:t>
            </w:r>
          </w:p>
        </w:tc>
        <w:tc>
          <w:tcPr>
            <w:tcW w:w="2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w:t>
            </w:r>
          </w:p>
        </w:tc>
        <w:tc>
          <w:tcPr>
            <w:tcW w:w="538" w:type="pct"/>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2"/>
                <w:szCs w:val="22"/>
              </w:rPr>
            </w:pPr>
          </w:p>
        </w:tc>
        <w:tc>
          <w:tcPr>
            <w:tcW w:w="538" w:type="pct"/>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960" w:hRule="atLeast"/>
        </w:trPr>
        <w:tc>
          <w:tcPr>
            <w:tcW w:w="2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96</w:t>
            </w:r>
          </w:p>
        </w:tc>
        <w:tc>
          <w:tcPr>
            <w:tcW w:w="44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通云路</w:t>
            </w:r>
          </w:p>
        </w:tc>
        <w:tc>
          <w:tcPr>
            <w:tcW w:w="80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2.74</w:t>
            </w:r>
          </w:p>
        </w:tc>
        <w:tc>
          <w:tcPr>
            <w:tcW w:w="80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单柱诱导标志</w:t>
            </w:r>
          </w:p>
        </w:tc>
        <w:tc>
          <w:tcPr>
            <w:tcW w:w="105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2"/>
                <w:szCs w:val="22"/>
              </w:rPr>
            </w:pPr>
            <w:r>
              <w:rPr>
                <w:rFonts w:ascii="宋体" w:hAnsi="宋体" w:cs="宋体"/>
                <w:color w:val="000000"/>
                <w:sz w:val="22"/>
                <w:szCs w:val="22"/>
                <w:lang w:bidi="ar"/>
              </w:rPr>
              <w:t>1、规格尺寸：800*600                  2、单立柱：Φ76*3*3000                       3、基础：500*500*600</w:t>
            </w:r>
          </w:p>
        </w:tc>
        <w:tc>
          <w:tcPr>
            <w:tcW w:w="2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付</w:t>
            </w:r>
          </w:p>
        </w:tc>
        <w:tc>
          <w:tcPr>
            <w:tcW w:w="2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w:t>
            </w:r>
          </w:p>
        </w:tc>
        <w:tc>
          <w:tcPr>
            <w:tcW w:w="538" w:type="pct"/>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2"/>
                <w:szCs w:val="22"/>
              </w:rPr>
            </w:pPr>
          </w:p>
        </w:tc>
        <w:tc>
          <w:tcPr>
            <w:tcW w:w="538" w:type="pct"/>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960" w:hRule="atLeast"/>
        </w:trPr>
        <w:tc>
          <w:tcPr>
            <w:tcW w:w="2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97</w:t>
            </w:r>
          </w:p>
        </w:tc>
        <w:tc>
          <w:tcPr>
            <w:tcW w:w="44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芙蓉一路</w:t>
            </w:r>
          </w:p>
        </w:tc>
        <w:tc>
          <w:tcPr>
            <w:tcW w:w="80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0.664</w:t>
            </w:r>
          </w:p>
        </w:tc>
        <w:tc>
          <w:tcPr>
            <w:tcW w:w="80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悬臂禁令警告标志</w:t>
            </w:r>
          </w:p>
        </w:tc>
        <w:tc>
          <w:tcPr>
            <w:tcW w:w="105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2"/>
                <w:szCs w:val="22"/>
              </w:rPr>
            </w:pPr>
            <w:r>
              <w:rPr>
                <w:rFonts w:ascii="宋体" w:hAnsi="宋体" w:cs="宋体"/>
                <w:color w:val="000000"/>
                <w:sz w:val="22"/>
                <w:szCs w:val="22"/>
                <w:lang w:bidi="ar"/>
              </w:rPr>
              <w:t>1、规格尺寸：Δ900   Φ800         2、悬臂杆：Φ219*6*6500  Φ89*3500      3、基础：800*800*1200</w:t>
            </w:r>
          </w:p>
        </w:tc>
        <w:tc>
          <w:tcPr>
            <w:tcW w:w="2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付</w:t>
            </w:r>
          </w:p>
        </w:tc>
        <w:tc>
          <w:tcPr>
            <w:tcW w:w="2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4</w:t>
            </w:r>
          </w:p>
        </w:tc>
        <w:tc>
          <w:tcPr>
            <w:tcW w:w="538" w:type="pct"/>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2"/>
                <w:szCs w:val="22"/>
              </w:rPr>
            </w:pPr>
          </w:p>
        </w:tc>
        <w:tc>
          <w:tcPr>
            <w:tcW w:w="538" w:type="pct"/>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960" w:hRule="atLeast"/>
        </w:trPr>
        <w:tc>
          <w:tcPr>
            <w:tcW w:w="2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98</w:t>
            </w:r>
          </w:p>
        </w:tc>
        <w:tc>
          <w:tcPr>
            <w:tcW w:w="44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芙蓉一路</w:t>
            </w:r>
          </w:p>
        </w:tc>
        <w:tc>
          <w:tcPr>
            <w:tcW w:w="80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0.89</w:t>
            </w:r>
          </w:p>
        </w:tc>
        <w:tc>
          <w:tcPr>
            <w:tcW w:w="80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道口标柱</w:t>
            </w:r>
          </w:p>
        </w:tc>
        <w:tc>
          <w:tcPr>
            <w:tcW w:w="105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2"/>
                <w:szCs w:val="22"/>
              </w:rPr>
            </w:pPr>
            <w:r>
              <w:rPr>
                <w:rFonts w:ascii="宋体" w:hAnsi="宋体" w:cs="宋体"/>
                <w:color w:val="000000"/>
                <w:sz w:val="22"/>
                <w:szCs w:val="22"/>
                <w:lang w:bidi="ar"/>
              </w:rPr>
              <w:t>1、规格尺寸：Φ114*1200            2、荧光棱镜反光膜                    3、基础：400*400*400</w:t>
            </w:r>
          </w:p>
        </w:tc>
        <w:tc>
          <w:tcPr>
            <w:tcW w:w="2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根</w:t>
            </w:r>
          </w:p>
        </w:tc>
        <w:tc>
          <w:tcPr>
            <w:tcW w:w="2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4</w:t>
            </w:r>
          </w:p>
        </w:tc>
        <w:tc>
          <w:tcPr>
            <w:tcW w:w="538" w:type="pct"/>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2"/>
                <w:szCs w:val="22"/>
              </w:rPr>
            </w:pPr>
          </w:p>
        </w:tc>
        <w:tc>
          <w:tcPr>
            <w:tcW w:w="538" w:type="pct"/>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960" w:hRule="atLeast"/>
        </w:trPr>
        <w:tc>
          <w:tcPr>
            <w:tcW w:w="2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99</w:t>
            </w:r>
          </w:p>
        </w:tc>
        <w:tc>
          <w:tcPr>
            <w:tcW w:w="44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芙蓉一路</w:t>
            </w:r>
          </w:p>
        </w:tc>
        <w:tc>
          <w:tcPr>
            <w:tcW w:w="80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2.591</w:t>
            </w:r>
          </w:p>
        </w:tc>
        <w:tc>
          <w:tcPr>
            <w:tcW w:w="80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单柱式标志</w:t>
            </w:r>
          </w:p>
        </w:tc>
        <w:tc>
          <w:tcPr>
            <w:tcW w:w="105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2"/>
                <w:szCs w:val="22"/>
              </w:rPr>
            </w:pPr>
            <w:r>
              <w:rPr>
                <w:rFonts w:ascii="宋体" w:hAnsi="宋体" w:cs="宋体"/>
                <w:color w:val="000000"/>
                <w:sz w:val="22"/>
                <w:szCs w:val="22"/>
                <w:lang w:bidi="ar"/>
              </w:rPr>
              <w:t>1、规格尺寸：Δ900                 2、单立柱：Φ76*3*3000                   3、基础：500*500*600</w:t>
            </w:r>
          </w:p>
        </w:tc>
        <w:tc>
          <w:tcPr>
            <w:tcW w:w="2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付</w:t>
            </w:r>
          </w:p>
        </w:tc>
        <w:tc>
          <w:tcPr>
            <w:tcW w:w="2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3</w:t>
            </w:r>
          </w:p>
        </w:tc>
        <w:tc>
          <w:tcPr>
            <w:tcW w:w="538" w:type="pct"/>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2"/>
                <w:szCs w:val="22"/>
              </w:rPr>
            </w:pPr>
          </w:p>
        </w:tc>
        <w:tc>
          <w:tcPr>
            <w:tcW w:w="538" w:type="pct"/>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960" w:hRule="atLeast"/>
        </w:trPr>
        <w:tc>
          <w:tcPr>
            <w:tcW w:w="2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100</w:t>
            </w:r>
          </w:p>
        </w:tc>
        <w:tc>
          <w:tcPr>
            <w:tcW w:w="44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芙蓉二路</w:t>
            </w:r>
          </w:p>
        </w:tc>
        <w:tc>
          <w:tcPr>
            <w:tcW w:w="80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2.37</w:t>
            </w:r>
          </w:p>
        </w:tc>
        <w:tc>
          <w:tcPr>
            <w:tcW w:w="80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悬臂警告禁令</w:t>
            </w:r>
          </w:p>
        </w:tc>
        <w:tc>
          <w:tcPr>
            <w:tcW w:w="105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2"/>
                <w:szCs w:val="22"/>
              </w:rPr>
            </w:pPr>
            <w:r>
              <w:rPr>
                <w:rFonts w:ascii="宋体" w:hAnsi="宋体" w:cs="宋体"/>
                <w:color w:val="000000"/>
                <w:sz w:val="22"/>
                <w:szCs w:val="22"/>
                <w:lang w:bidi="ar"/>
              </w:rPr>
              <w:t>1、规格尺寸：Δ900   Φ800         2、悬臂杆：Φ219*6*6500                   3、基础：800*800*1200</w:t>
            </w:r>
          </w:p>
        </w:tc>
        <w:tc>
          <w:tcPr>
            <w:tcW w:w="2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付</w:t>
            </w:r>
          </w:p>
        </w:tc>
        <w:tc>
          <w:tcPr>
            <w:tcW w:w="2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4</w:t>
            </w:r>
          </w:p>
        </w:tc>
        <w:tc>
          <w:tcPr>
            <w:tcW w:w="538" w:type="pct"/>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2"/>
                <w:szCs w:val="22"/>
              </w:rPr>
            </w:pPr>
          </w:p>
        </w:tc>
        <w:tc>
          <w:tcPr>
            <w:tcW w:w="538" w:type="pct"/>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960" w:hRule="atLeast"/>
        </w:trPr>
        <w:tc>
          <w:tcPr>
            <w:tcW w:w="2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101</w:t>
            </w:r>
          </w:p>
        </w:tc>
        <w:tc>
          <w:tcPr>
            <w:tcW w:w="44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芙蓉二路</w:t>
            </w:r>
          </w:p>
        </w:tc>
        <w:tc>
          <w:tcPr>
            <w:tcW w:w="80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2.341</w:t>
            </w:r>
          </w:p>
        </w:tc>
        <w:tc>
          <w:tcPr>
            <w:tcW w:w="80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单柱标志</w:t>
            </w:r>
          </w:p>
        </w:tc>
        <w:tc>
          <w:tcPr>
            <w:tcW w:w="105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2"/>
                <w:szCs w:val="22"/>
              </w:rPr>
            </w:pPr>
            <w:r>
              <w:rPr>
                <w:rFonts w:ascii="宋体" w:hAnsi="宋体" w:cs="宋体"/>
                <w:color w:val="000000"/>
                <w:sz w:val="22"/>
                <w:szCs w:val="22"/>
                <w:lang w:bidi="ar"/>
              </w:rPr>
              <w:t>1、规格尺寸：Δ900                 2、单立柱：Φ76*3*3000                   3、基础：500*500*600</w:t>
            </w:r>
          </w:p>
        </w:tc>
        <w:tc>
          <w:tcPr>
            <w:tcW w:w="2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付</w:t>
            </w:r>
          </w:p>
        </w:tc>
        <w:tc>
          <w:tcPr>
            <w:tcW w:w="2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4</w:t>
            </w:r>
          </w:p>
        </w:tc>
        <w:tc>
          <w:tcPr>
            <w:tcW w:w="538" w:type="pct"/>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2"/>
                <w:szCs w:val="22"/>
              </w:rPr>
            </w:pPr>
          </w:p>
        </w:tc>
        <w:tc>
          <w:tcPr>
            <w:tcW w:w="538" w:type="pct"/>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960" w:hRule="atLeast"/>
        </w:trPr>
        <w:tc>
          <w:tcPr>
            <w:tcW w:w="2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102</w:t>
            </w:r>
          </w:p>
        </w:tc>
        <w:tc>
          <w:tcPr>
            <w:tcW w:w="44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芙蓉二路</w:t>
            </w:r>
          </w:p>
        </w:tc>
        <w:tc>
          <w:tcPr>
            <w:tcW w:w="80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2.636</w:t>
            </w:r>
          </w:p>
        </w:tc>
        <w:tc>
          <w:tcPr>
            <w:tcW w:w="80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道口标柱</w:t>
            </w:r>
          </w:p>
        </w:tc>
        <w:tc>
          <w:tcPr>
            <w:tcW w:w="105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2"/>
                <w:szCs w:val="22"/>
              </w:rPr>
            </w:pPr>
            <w:r>
              <w:rPr>
                <w:rFonts w:ascii="宋体" w:hAnsi="宋体" w:cs="宋体"/>
                <w:color w:val="000000"/>
                <w:sz w:val="22"/>
                <w:szCs w:val="22"/>
                <w:lang w:bidi="ar"/>
              </w:rPr>
              <w:t>1、规格尺寸：Φ114*3*1200            2、荧光棱镜反光膜                    3、基础：400*400*400</w:t>
            </w:r>
          </w:p>
        </w:tc>
        <w:tc>
          <w:tcPr>
            <w:tcW w:w="2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根</w:t>
            </w:r>
          </w:p>
        </w:tc>
        <w:tc>
          <w:tcPr>
            <w:tcW w:w="2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4</w:t>
            </w:r>
          </w:p>
        </w:tc>
        <w:tc>
          <w:tcPr>
            <w:tcW w:w="538" w:type="pct"/>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2"/>
                <w:szCs w:val="22"/>
              </w:rPr>
            </w:pPr>
          </w:p>
        </w:tc>
        <w:tc>
          <w:tcPr>
            <w:tcW w:w="538" w:type="pct"/>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960" w:hRule="atLeast"/>
        </w:trPr>
        <w:tc>
          <w:tcPr>
            <w:tcW w:w="2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103</w:t>
            </w:r>
          </w:p>
        </w:tc>
        <w:tc>
          <w:tcPr>
            <w:tcW w:w="44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尤沈路</w:t>
            </w:r>
          </w:p>
        </w:tc>
        <w:tc>
          <w:tcPr>
            <w:tcW w:w="80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1.688</w:t>
            </w:r>
          </w:p>
        </w:tc>
        <w:tc>
          <w:tcPr>
            <w:tcW w:w="80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道口标柱</w:t>
            </w:r>
          </w:p>
        </w:tc>
        <w:tc>
          <w:tcPr>
            <w:tcW w:w="105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2"/>
                <w:szCs w:val="22"/>
              </w:rPr>
            </w:pPr>
            <w:r>
              <w:rPr>
                <w:rFonts w:ascii="宋体" w:hAnsi="宋体" w:cs="宋体"/>
                <w:color w:val="000000"/>
                <w:sz w:val="22"/>
                <w:szCs w:val="22"/>
                <w:lang w:bidi="ar"/>
              </w:rPr>
              <w:t>1、规格尺寸：Φ114*3*1200            2、荧光棱镜反光膜                    3、基础：400*400*400</w:t>
            </w:r>
          </w:p>
        </w:tc>
        <w:tc>
          <w:tcPr>
            <w:tcW w:w="2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根</w:t>
            </w:r>
          </w:p>
        </w:tc>
        <w:tc>
          <w:tcPr>
            <w:tcW w:w="2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4</w:t>
            </w:r>
          </w:p>
        </w:tc>
        <w:tc>
          <w:tcPr>
            <w:tcW w:w="538" w:type="pct"/>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2"/>
                <w:szCs w:val="22"/>
              </w:rPr>
            </w:pPr>
          </w:p>
        </w:tc>
        <w:tc>
          <w:tcPr>
            <w:tcW w:w="538" w:type="pct"/>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960" w:hRule="atLeast"/>
        </w:trPr>
        <w:tc>
          <w:tcPr>
            <w:tcW w:w="2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104</w:t>
            </w:r>
          </w:p>
        </w:tc>
        <w:tc>
          <w:tcPr>
            <w:tcW w:w="44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纺达路</w:t>
            </w:r>
          </w:p>
        </w:tc>
        <w:tc>
          <w:tcPr>
            <w:tcW w:w="80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0.348</w:t>
            </w:r>
          </w:p>
        </w:tc>
        <w:tc>
          <w:tcPr>
            <w:tcW w:w="80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道口标柱</w:t>
            </w:r>
          </w:p>
        </w:tc>
        <w:tc>
          <w:tcPr>
            <w:tcW w:w="105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2"/>
                <w:szCs w:val="22"/>
              </w:rPr>
            </w:pPr>
            <w:r>
              <w:rPr>
                <w:rFonts w:ascii="宋体" w:hAnsi="宋体" w:cs="宋体"/>
                <w:color w:val="000000"/>
                <w:sz w:val="22"/>
                <w:szCs w:val="22"/>
                <w:lang w:bidi="ar"/>
              </w:rPr>
              <w:t>1、规格尺寸：Φ114*3*1200            2、荧光棱镜反光膜                    3、基础：400*400*400</w:t>
            </w:r>
          </w:p>
        </w:tc>
        <w:tc>
          <w:tcPr>
            <w:tcW w:w="2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根</w:t>
            </w:r>
          </w:p>
        </w:tc>
        <w:tc>
          <w:tcPr>
            <w:tcW w:w="2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4</w:t>
            </w:r>
          </w:p>
        </w:tc>
        <w:tc>
          <w:tcPr>
            <w:tcW w:w="538" w:type="pct"/>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2"/>
                <w:szCs w:val="22"/>
              </w:rPr>
            </w:pPr>
          </w:p>
        </w:tc>
        <w:tc>
          <w:tcPr>
            <w:tcW w:w="538" w:type="pct"/>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960" w:hRule="atLeast"/>
        </w:trPr>
        <w:tc>
          <w:tcPr>
            <w:tcW w:w="2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105</w:t>
            </w:r>
          </w:p>
        </w:tc>
        <w:tc>
          <w:tcPr>
            <w:tcW w:w="44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高邓路</w:t>
            </w:r>
          </w:p>
        </w:tc>
        <w:tc>
          <w:tcPr>
            <w:tcW w:w="80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0.699</w:t>
            </w:r>
          </w:p>
        </w:tc>
        <w:tc>
          <w:tcPr>
            <w:tcW w:w="80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道口标柱</w:t>
            </w:r>
          </w:p>
        </w:tc>
        <w:tc>
          <w:tcPr>
            <w:tcW w:w="105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2"/>
                <w:szCs w:val="22"/>
              </w:rPr>
            </w:pPr>
            <w:r>
              <w:rPr>
                <w:rFonts w:ascii="宋体" w:hAnsi="宋体" w:cs="宋体"/>
                <w:color w:val="000000"/>
                <w:sz w:val="22"/>
                <w:szCs w:val="22"/>
                <w:lang w:bidi="ar"/>
              </w:rPr>
              <w:t>1、规格尺寸：Φ114*3*1200            2、荧光棱镜反光膜                    3、基础：400*400*400</w:t>
            </w:r>
          </w:p>
        </w:tc>
        <w:tc>
          <w:tcPr>
            <w:tcW w:w="2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根</w:t>
            </w:r>
          </w:p>
        </w:tc>
        <w:tc>
          <w:tcPr>
            <w:tcW w:w="2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4</w:t>
            </w:r>
          </w:p>
        </w:tc>
        <w:tc>
          <w:tcPr>
            <w:tcW w:w="538" w:type="pct"/>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2"/>
                <w:szCs w:val="22"/>
              </w:rPr>
            </w:pPr>
          </w:p>
        </w:tc>
        <w:tc>
          <w:tcPr>
            <w:tcW w:w="538" w:type="pct"/>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960" w:hRule="atLeast"/>
        </w:trPr>
        <w:tc>
          <w:tcPr>
            <w:tcW w:w="2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106</w:t>
            </w:r>
          </w:p>
        </w:tc>
        <w:tc>
          <w:tcPr>
            <w:tcW w:w="44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芙蓉二路</w:t>
            </w:r>
          </w:p>
        </w:tc>
        <w:tc>
          <w:tcPr>
            <w:tcW w:w="80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3.341</w:t>
            </w:r>
          </w:p>
        </w:tc>
        <w:tc>
          <w:tcPr>
            <w:tcW w:w="80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人行横道线</w:t>
            </w:r>
          </w:p>
        </w:tc>
        <w:tc>
          <w:tcPr>
            <w:tcW w:w="105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1、热熔防滑标线                         2、厚度1.8mm符合国标要求                           3、反光亮度符合国标要求</w:t>
            </w:r>
          </w:p>
        </w:tc>
        <w:tc>
          <w:tcPr>
            <w:tcW w:w="2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w:t>
            </w:r>
          </w:p>
        </w:tc>
        <w:tc>
          <w:tcPr>
            <w:tcW w:w="2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200</w:t>
            </w:r>
          </w:p>
        </w:tc>
        <w:tc>
          <w:tcPr>
            <w:tcW w:w="538" w:type="pct"/>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2"/>
                <w:szCs w:val="22"/>
              </w:rPr>
            </w:pPr>
          </w:p>
        </w:tc>
        <w:tc>
          <w:tcPr>
            <w:tcW w:w="538" w:type="pct"/>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960" w:hRule="atLeast"/>
        </w:trPr>
        <w:tc>
          <w:tcPr>
            <w:tcW w:w="2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107</w:t>
            </w:r>
          </w:p>
        </w:tc>
        <w:tc>
          <w:tcPr>
            <w:tcW w:w="44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合心路</w:t>
            </w:r>
          </w:p>
        </w:tc>
        <w:tc>
          <w:tcPr>
            <w:tcW w:w="80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0.385</w:t>
            </w:r>
          </w:p>
        </w:tc>
        <w:tc>
          <w:tcPr>
            <w:tcW w:w="80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人行横道线</w:t>
            </w:r>
          </w:p>
        </w:tc>
        <w:tc>
          <w:tcPr>
            <w:tcW w:w="105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1、热熔防滑标线                         2、厚度1.8mm符合国标要求                           3、反光亮度符合国标要求</w:t>
            </w:r>
          </w:p>
        </w:tc>
        <w:tc>
          <w:tcPr>
            <w:tcW w:w="2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w:t>
            </w:r>
          </w:p>
        </w:tc>
        <w:tc>
          <w:tcPr>
            <w:tcW w:w="2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50</w:t>
            </w:r>
          </w:p>
        </w:tc>
        <w:tc>
          <w:tcPr>
            <w:tcW w:w="538" w:type="pct"/>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2"/>
                <w:szCs w:val="22"/>
              </w:rPr>
            </w:pPr>
          </w:p>
        </w:tc>
        <w:tc>
          <w:tcPr>
            <w:tcW w:w="538" w:type="pct"/>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960" w:hRule="atLeast"/>
        </w:trPr>
        <w:tc>
          <w:tcPr>
            <w:tcW w:w="2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108</w:t>
            </w:r>
          </w:p>
        </w:tc>
        <w:tc>
          <w:tcPr>
            <w:tcW w:w="44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合心路</w:t>
            </w:r>
          </w:p>
        </w:tc>
        <w:tc>
          <w:tcPr>
            <w:tcW w:w="80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0.385</w:t>
            </w:r>
          </w:p>
        </w:tc>
        <w:tc>
          <w:tcPr>
            <w:tcW w:w="80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单柱诱导牌</w:t>
            </w:r>
          </w:p>
        </w:tc>
        <w:tc>
          <w:tcPr>
            <w:tcW w:w="105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2"/>
                <w:szCs w:val="22"/>
              </w:rPr>
            </w:pPr>
            <w:r>
              <w:rPr>
                <w:rFonts w:ascii="宋体" w:hAnsi="宋体" w:cs="宋体"/>
                <w:color w:val="000000"/>
                <w:sz w:val="22"/>
                <w:szCs w:val="22"/>
                <w:lang w:bidi="ar"/>
              </w:rPr>
              <w:t>1、规格尺寸：800*600                    2、单立柱：Φ76*3*3000                       3、基础：500*500*600</w:t>
            </w:r>
          </w:p>
        </w:tc>
        <w:tc>
          <w:tcPr>
            <w:tcW w:w="2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付</w:t>
            </w:r>
          </w:p>
        </w:tc>
        <w:tc>
          <w:tcPr>
            <w:tcW w:w="2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w:t>
            </w:r>
          </w:p>
        </w:tc>
        <w:tc>
          <w:tcPr>
            <w:tcW w:w="538" w:type="pct"/>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2"/>
                <w:szCs w:val="22"/>
              </w:rPr>
            </w:pPr>
          </w:p>
        </w:tc>
        <w:tc>
          <w:tcPr>
            <w:tcW w:w="538" w:type="pct"/>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960" w:hRule="atLeast"/>
        </w:trPr>
        <w:tc>
          <w:tcPr>
            <w:tcW w:w="2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109</w:t>
            </w:r>
          </w:p>
        </w:tc>
        <w:tc>
          <w:tcPr>
            <w:tcW w:w="44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合心路</w:t>
            </w:r>
          </w:p>
        </w:tc>
        <w:tc>
          <w:tcPr>
            <w:tcW w:w="80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0.495</w:t>
            </w:r>
          </w:p>
        </w:tc>
        <w:tc>
          <w:tcPr>
            <w:tcW w:w="80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单柱限载牌</w:t>
            </w:r>
          </w:p>
        </w:tc>
        <w:tc>
          <w:tcPr>
            <w:tcW w:w="105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2"/>
                <w:szCs w:val="22"/>
              </w:rPr>
            </w:pPr>
            <w:r>
              <w:rPr>
                <w:rFonts w:ascii="宋体" w:hAnsi="宋体" w:cs="宋体"/>
                <w:color w:val="000000"/>
                <w:sz w:val="22"/>
                <w:szCs w:val="22"/>
                <w:lang w:bidi="ar"/>
              </w:rPr>
              <w:t>1、规格尺寸：Φ800                    2、单立柱：Φ76*3*3000                 3、基础：500*500*600</w:t>
            </w:r>
          </w:p>
        </w:tc>
        <w:tc>
          <w:tcPr>
            <w:tcW w:w="2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付</w:t>
            </w:r>
          </w:p>
        </w:tc>
        <w:tc>
          <w:tcPr>
            <w:tcW w:w="2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w:t>
            </w:r>
          </w:p>
        </w:tc>
        <w:tc>
          <w:tcPr>
            <w:tcW w:w="538" w:type="pct"/>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2"/>
                <w:szCs w:val="22"/>
              </w:rPr>
            </w:pPr>
          </w:p>
        </w:tc>
        <w:tc>
          <w:tcPr>
            <w:tcW w:w="538" w:type="pct"/>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960" w:hRule="atLeast"/>
        </w:trPr>
        <w:tc>
          <w:tcPr>
            <w:tcW w:w="2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110</w:t>
            </w:r>
          </w:p>
        </w:tc>
        <w:tc>
          <w:tcPr>
            <w:tcW w:w="44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合心路</w:t>
            </w:r>
          </w:p>
        </w:tc>
        <w:tc>
          <w:tcPr>
            <w:tcW w:w="80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0.551</w:t>
            </w:r>
          </w:p>
        </w:tc>
        <w:tc>
          <w:tcPr>
            <w:tcW w:w="80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道口标柱</w:t>
            </w:r>
          </w:p>
        </w:tc>
        <w:tc>
          <w:tcPr>
            <w:tcW w:w="105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2"/>
                <w:szCs w:val="22"/>
              </w:rPr>
            </w:pPr>
            <w:r>
              <w:rPr>
                <w:rFonts w:ascii="宋体" w:hAnsi="宋体" w:cs="宋体"/>
                <w:color w:val="000000"/>
                <w:sz w:val="22"/>
                <w:szCs w:val="22"/>
                <w:lang w:bidi="ar"/>
              </w:rPr>
              <w:t>1、规格尺寸：Φ114*3*1200            2、荧光棱镜反光膜                    3、基础：400*400*400</w:t>
            </w:r>
          </w:p>
        </w:tc>
        <w:tc>
          <w:tcPr>
            <w:tcW w:w="2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根</w:t>
            </w:r>
          </w:p>
        </w:tc>
        <w:tc>
          <w:tcPr>
            <w:tcW w:w="2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4</w:t>
            </w:r>
          </w:p>
        </w:tc>
        <w:tc>
          <w:tcPr>
            <w:tcW w:w="538" w:type="pct"/>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2"/>
                <w:szCs w:val="22"/>
              </w:rPr>
            </w:pPr>
          </w:p>
        </w:tc>
        <w:tc>
          <w:tcPr>
            <w:tcW w:w="538" w:type="pct"/>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960" w:hRule="atLeast"/>
        </w:trPr>
        <w:tc>
          <w:tcPr>
            <w:tcW w:w="2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111</w:t>
            </w:r>
          </w:p>
        </w:tc>
        <w:tc>
          <w:tcPr>
            <w:tcW w:w="44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合心路</w:t>
            </w:r>
          </w:p>
        </w:tc>
        <w:tc>
          <w:tcPr>
            <w:tcW w:w="80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1.444</w:t>
            </w:r>
          </w:p>
        </w:tc>
        <w:tc>
          <w:tcPr>
            <w:tcW w:w="80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单柱标志</w:t>
            </w:r>
          </w:p>
        </w:tc>
        <w:tc>
          <w:tcPr>
            <w:tcW w:w="105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2"/>
                <w:szCs w:val="22"/>
              </w:rPr>
            </w:pPr>
            <w:r>
              <w:rPr>
                <w:rFonts w:ascii="宋体" w:hAnsi="宋体" w:cs="宋体"/>
                <w:color w:val="000000"/>
                <w:sz w:val="22"/>
                <w:szCs w:val="22"/>
                <w:lang w:bidi="ar"/>
              </w:rPr>
              <w:t>1、规格尺寸：800*600                    2、单立柱：Φ76*3*3000                       3、基础：500*500*600</w:t>
            </w:r>
          </w:p>
        </w:tc>
        <w:tc>
          <w:tcPr>
            <w:tcW w:w="2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付</w:t>
            </w:r>
          </w:p>
        </w:tc>
        <w:tc>
          <w:tcPr>
            <w:tcW w:w="2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4</w:t>
            </w:r>
          </w:p>
        </w:tc>
        <w:tc>
          <w:tcPr>
            <w:tcW w:w="538" w:type="pct"/>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2"/>
                <w:szCs w:val="22"/>
              </w:rPr>
            </w:pPr>
          </w:p>
        </w:tc>
        <w:tc>
          <w:tcPr>
            <w:tcW w:w="538" w:type="pct"/>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960" w:hRule="atLeast"/>
        </w:trPr>
        <w:tc>
          <w:tcPr>
            <w:tcW w:w="2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112</w:t>
            </w:r>
          </w:p>
        </w:tc>
        <w:tc>
          <w:tcPr>
            <w:tcW w:w="44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合心路</w:t>
            </w:r>
          </w:p>
        </w:tc>
        <w:tc>
          <w:tcPr>
            <w:tcW w:w="80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1.444</w:t>
            </w:r>
          </w:p>
        </w:tc>
        <w:tc>
          <w:tcPr>
            <w:tcW w:w="80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人行横道线</w:t>
            </w:r>
          </w:p>
        </w:tc>
        <w:tc>
          <w:tcPr>
            <w:tcW w:w="105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1、热熔防滑标线                         2、厚度1.8mm符合国标要求                           3、反光亮度符合国标要求</w:t>
            </w:r>
          </w:p>
        </w:tc>
        <w:tc>
          <w:tcPr>
            <w:tcW w:w="2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w:t>
            </w:r>
          </w:p>
        </w:tc>
        <w:tc>
          <w:tcPr>
            <w:tcW w:w="2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200</w:t>
            </w:r>
          </w:p>
        </w:tc>
        <w:tc>
          <w:tcPr>
            <w:tcW w:w="538" w:type="pct"/>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2"/>
                <w:szCs w:val="22"/>
              </w:rPr>
            </w:pPr>
          </w:p>
        </w:tc>
        <w:tc>
          <w:tcPr>
            <w:tcW w:w="538" w:type="pct"/>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960" w:hRule="atLeast"/>
        </w:trPr>
        <w:tc>
          <w:tcPr>
            <w:tcW w:w="2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113</w:t>
            </w:r>
          </w:p>
        </w:tc>
        <w:tc>
          <w:tcPr>
            <w:tcW w:w="44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合心路</w:t>
            </w:r>
          </w:p>
        </w:tc>
        <w:tc>
          <w:tcPr>
            <w:tcW w:w="80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0.98</w:t>
            </w:r>
          </w:p>
        </w:tc>
        <w:tc>
          <w:tcPr>
            <w:tcW w:w="80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悬臂指路牌</w:t>
            </w:r>
          </w:p>
        </w:tc>
        <w:tc>
          <w:tcPr>
            <w:tcW w:w="105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2"/>
                <w:szCs w:val="22"/>
              </w:rPr>
            </w:pPr>
            <w:r>
              <w:rPr>
                <w:rFonts w:ascii="宋体" w:hAnsi="宋体" w:cs="宋体"/>
                <w:color w:val="000000"/>
                <w:sz w:val="22"/>
                <w:szCs w:val="22"/>
                <w:lang w:bidi="ar"/>
              </w:rPr>
              <w:t>1、尺寸规格：4000*2600                      2、F支架：Φ299*8*8500                    3、基础：1200*1200*1800</w:t>
            </w:r>
          </w:p>
        </w:tc>
        <w:tc>
          <w:tcPr>
            <w:tcW w:w="2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付</w:t>
            </w:r>
          </w:p>
        </w:tc>
        <w:tc>
          <w:tcPr>
            <w:tcW w:w="2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4</w:t>
            </w:r>
          </w:p>
        </w:tc>
        <w:tc>
          <w:tcPr>
            <w:tcW w:w="538" w:type="pct"/>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2"/>
                <w:szCs w:val="22"/>
              </w:rPr>
            </w:pPr>
          </w:p>
        </w:tc>
        <w:tc>
          <w:tcPr>
            <w:tcW w:w="538" w:type="pct"/>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960" w:hRule="atLeast"/>
        </w:trPr>
        <w:tc>
          <w:tcPr>
            <w:tcW w:w="2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114</w:t>
            </w:r>
          </w:p>
        </w:tc>
        <w:tc>
          <w:tcPr>
            <w:tcW w:w="44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春笋路</w:t>
            </w:r>
          </w:p>
        </w:tc>
        <w:tc>
          <w:tcPr>
            <w:tcW w:w="80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1.005</w:t>
            </w:r>
          </w:p>
        </w:tc>
        <w:tc>
          <w:tcPr>
            <w:tcW w:w="80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单柱诱导牌</w:t>
            </w:r>
          </w:p>
        </w:tc>
        <w:tc>
          <w:tcPr>
            <w:tcW w:w="105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2"/>
                <w:szCs w:val="22"/>
              </w:rPr>
            </w:pPr>
            <w:r>
              <w:rPr>
                <w:rFonts w:ascii="宋体" w:hAnsi="宋体" w:cs="宋体"/>
                <w:color w:val="000000"/>
                <w:sz w:val="22"/>
                <w:szCs w:val="22"/>
                <w:lang w:bidi="ar"/>
              </w:rPr>
              <w:t>1、规格尺寸：800*600                    2、单立柱：Φ76*3*3000                       3、基础：500*500*600</w:t>
            </w:r>
          </w:p>
        </w:tc>
        <w:tc>
          <w:tcPr>
            <w:tcW w:w="2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付</w:t>
            </w:r>
          </w:p>
        </w:tc>
        <w:tc>
          <w:tcPr>
            <w:tcW w:w="2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w:t>
            </w:r>
          </w:p>
        </w:tc>
        <w:tc>
          <w:tcPr>
            <w:tcW w:w="538" w:type="pct"/>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2"/>
                <w:szCs w:val="22"/>
              </w:rPr>
            </w:pPr>
          </w:p>
        </w:tc>
        <w:tc>
          <w:tcPr>
            <w:tcW w:w="538" w:type="pct"/>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960" w:hRule="atLeast"/>
        </w:trPr>
        <w:tc>
          <w:tcPr>
            <w:tcW w:w="2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115</w:t>
            </w:r>
          </w:p>
        </w:tc>
        <w:tc>
          <w:tcPr>
            <w:tcW w:w="44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春笋路</w:t>
            </w:r>
          </w:p>
        </w:tc>
        <w:tc>
          <w:tcPr>
            <w:tcW w:w="80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1.005</w:t>
            </w:r>
          </w:p>
        </w:tc>
        <w:tc>
          <w:tcPr>
            <w:tcW w:w="80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人行横道线</w:t>
            </w:r>
          </w:p>
        </w:tc>
        <w:tc>
          <w:tcPr>
            <w:tcW w:w="105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1、热熔防滑标线                         2、厚度1.8mm符合国标要求                           3、反光亮度符合国标要求</w:t>
            </w:r>
          </w:p>
        </w:tc>
        <w:tc>
          <w:tcPr>
            <w:tcW w:w="2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w:t>
            </w:r>
          </w:p>
        </w:tc>
        <w:tc>
          <w:tcPr>
            <w:tcW w:w="2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50</w:t>
            </w:r>
          </w:p>
        </w:tc>
        <w:tc>
          <w:tcPr>
            <w:tcW w:w="538" w:type="pct"/>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2"/>
                <w:szCs w:val="22"/>
              </w:rPr>
            </w:pPr>
          </w:p>
        </w:tc>
        <w:tc>
          <w:tcPr>
            <w:tcW w:w="538" w:type="pct"/>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960" w:hRule="atLeast"/>
        </w:trPr>
        <w:tc>
          <w:tcPr>
            <w:tcW w:w="2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116</w:t>
            </w:r>
          </w:p>
        </w:tc>
        <w:tc>
          <w:tcPr>
            <w:tcW w:w="44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春笋路</w:t>
            </w:r>
          </w:p>
        </w:tc>
        <w:tc>
          <w:tcPr>
            <w:tcW w:w="80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2.718</w:t>
            </w:r>
          </w:p>
        </w:tc>
        <w:tc>
          <w:tcPr>
            <w:tcW w:w="80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悬臂禁令警告</w:t>
            </w:r>
          </w:p>
        </w:tc>
        <w:tc>
          <w:tcPr>
            <w:tcW w:w="105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2"/>
                <w:szCs w:val="22"/>
              </w:rPr>
            </w:pPr>
            <w:r>
              <w:rPr>
                <w:rFonts w:ascii="宋体" w:hAnsi="宋体" w:cs="宋体"/>
                <w:color w:val="000000"/>
                <w:sz w:val="22"/>
                <w:szCs w:val="22"/>
                <w:lang w:bidi="ar"/>
              </w:rPr>
              <w:t>1、规格尺寸：Δ900   Φ800         2、悬臂杆：Φ219*6*6500  Φ89*3500      3、基础：800*800*1200</w:t>
            </w:r>
          </w:p>
        </w:tc>
        <w:tc>
          <w:tcPr>
            <w:tcW w:w="2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付</w:t>
            </w:r>
          </w:p>
        </w:tc>
        <w:tc>
          <w:tcPr>
            <w:tcW w:w="2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4</w:t>
            </w:r>
          </w:p>
        </w:tc>
        <w:tc>
          <w:tcPr>
            <w:tcW w:w="538" w:type="pct"/>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2"/>
                <w:szCs w:val="22"/>
              </w:rPr>
            </w:pPr>
          </w:p>
        </w:tc>
        <w:tc>
          <w:tcPr>
            <w:tcW w:w="538" w:type="pct"/>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960" w:hRule="atLeast"/>
        </w:trPr>
        <w:tc>
          <w:tcPr>
            <w:tcW w:w="2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117</w:t>
            </w:r>
          </w:p>
        </w:tc>
        <w:tc>
          <w:tcPr>
            <w:tcW w:w="44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春笋路</w:t>
            </w:r>
          </w:p>
        </w:tc>
        <w:tc>
          <w:tcPr>
            <w:tcW w:w="80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3.359</w:t>
            </w:r>
          </w:p>
        </w:tc>
        <w:tc>
          <w:tcPr>
            <w:tcW w:w="80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悬臂指路牌</w:t>
            </w:r>
          </w:p>
        </w:tc>
        <w:tc>
          <w:tcPr>
            <w:tcW w:w="105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2"/>
                <w:szCs w:val="22"/>
              </w:rPr>
            </w:pPr>
            <w:r>
              <w:rPr>
                <w:rFonts w:ascii="宋体" w:hAnsi="宋体" w:cs="宋体"/>
                <w:color w:val="000000"/>
                <w:sz w:val="22"/>
                <w:szCs w:val="22"/>
                <w:lang w:bidi="ar"/>
              </w:rPr>
              <w:t>1、尺寸规格：4000*2600                      2、F支架：Φ299*8*8500                    3、基础：1200*1200*1800</w:t>
            </w:r>
          </w:p>
        </w:tc>
        <w:tc>
          <w:tcPr>
            <w:tcW w:w="2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付</w:t>
            </w:r>
          </w:p>
        </w:tc>
        <w:tc>
          <w:tcPr>
            <w:tcW w:w="2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4</w:t>
            </w:r>
          </w:p>
        </w:tc>
        <w:tc>
          <w:tcPr>
            <w:tcW w:w="538" w:type="pct"/>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2"/>
                <w:szCs w:val="22"/>
              </w:rPr>
            </w:pPr>
          </w:p>
        </w:tc>
        <w:tc>
          <w:tcPr>
            <w:tcW w:w="538" w:type="pct"/>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960" w:hRule="atLeast"/>
        </w:trPr>
        <w:tc>
          <w:tcPr>
            <w:tcW w:w="2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118</w:t>
            </w:r>
          </w:p>
        </w:tc>
        <w:tc>
          <w:tcPr>
            <w:tcW w:w="44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春笋路</w:t>
            </w:r>
          </w:p>
        </w:tc>
        <w:tc>
          <w:tcPr>
            <w:tcW w:w="80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4.18</w:t>
            </w:r>
          </w:p>
        </w:tc>
        <w:tc>
          <w:tcPr>
            <w:tcW w:w="80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悬臂指路牌</w:t>
            </w:r>
          </w:p>
        </w:tc>
        <w:tc>
          <w:tcPr>
            <w:tcW w:w="105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2"/>
                <w:szCs w:val="22"/>
              </w:rPr>
            </w:pPr>
            <w:r>
              <w:rPr>
                <w:rFonts w:ascii="宋体" w:hAnsi="宋体" w:cs="宋体"/>
                <w:color w:val="000000"/>
                <w:sz w:val="22"/>
                <w:szCs w:val="22"/>
                <w:lang w:bidi="ar"/>
              </w:rPr>
              <w:t>1、尺寸规格：4000*2600                      2、F支架：Φ299*8*8500                    3、基础：1200*1200*1800</w:t>
            </w:r>
          </w:p>
        </w:tc>
        <w:tc>
          <w:tcPr>
            <w:tcW w:w="2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付</w:t>
            </w:r>
          </w:p>
        </w:tc>
        <w:tc>
          <w:tcPr>
            <w:tcW w:w="2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3</w:t>
            </w:r>
          </w:p>
        </w:tc>
        <w:tc>
          <w:tcPr>
            <w:tcW w:w="538" w:type="pct"/>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2"/>
                <w:szCs w:val="22"/>
              </w:rPr>
            </w:pPr>
          </w:p>
        </w:tc>
        <w:tc>
          <w:tcPr>
            <w:tcW w:w="538" w:type="pct"/>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960" w:hRule="atLeast"/>
        </w:trPr>
        <w:tc>
          <w:tcPr>
            <w:tcW w:w="2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119</w:t>
            </w:r>
          </w:p>
        </w:tc>
        <w:tc>
          <w:tcPr>
            <w:tcW w:w="44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春笋路</w:t>
            </w:r>
          </w:p>
        </w:tc>
        <w:tc>
          <w:tcPr>
            <w:tcW w:w="80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3.982</w:t>
            </w:r>
          </w:p>
        </w:tc>
        <w:tc>
          <w:tcPr>
            <w:tcW w:w="80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悬臂指路牌</w:t>
            </w:r>
          </w:p>
        </w:tc>
        <w:tc>
          <w:tcPr>
            <w:tcW w:w="105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2"/>
                <w:szCs w:val="22"/>
              </w:rPr>
            </w:pPr>
            <w:r>
              <w:rPr>
                <w:rFonts w:ascii="宋体" w:hAnsi="宋体" w:cs="宋体"/>
                <w:color w:val="000000"/>
                <w:sz w:val="22"/>
                <w:szCs w:val="22"/>
                <w:lang w:bidi="ar"/>
              </w:rPr>
              <w:t>1、尺寸规格：4000*2600                      2、F支架：Φ299*8*8500                    3、基础：1200*1200*1800</w:t>
            </w:r>
          </w:p>
        </w:tc>
        <w:tc>
          <w:tcPr>
            <w:tcW w:w="2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付</w:t>
            </w:r>
          </w:p>
        </w:tc>
        <w:tc>
          <w:tcPr>
            <w:tcW w:w="2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3</w:t>
            </w:r>
          </w:p>
        </w:tc>
        <w:tc>
          <w:tcPr>
            <w:tcW w:w="538" w:type="pct"/>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2"/>
                <w:szCs w:val="22"/>
              </w:rPr>
            </w:pPr>
          </w:p>
        </w:tc>
        <w:tc>
          <w:tcPr>
            <w:tcW w:w="538" w:type="pct"/>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960" w:hRule="atLeast"/>
        </w:trPr>
        <w:tc>
          <w:tcPr>
            <w:tcW w:w="2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120</w:t>
            </w:r>
          </w:p>
        </w:tc>
        <w:tc>
          <w:tcPr>
            <w:tcW w:w="44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春笋路</w:t>
            </w:r>
          </w:p>
        </w:tc>
        <w:tc>
          <w:tcPr>
            <w:tcW w:w="80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1.275</w:t>
            </w:r>
          </w:p>
        </w:tc>
        <w:tc>
          <w:tcPr>
            <w:tcW w:w="80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单柱诱导牌</w:t>
            </w:r>
          </w:p>
        </w:tc>
        <w:tc>
          <w:tcPr>
            <w:tcW w:w="105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2"/>
                <w:szCs w:val="22"/>
              </w:rPr>
            </w:pPr>
            <w:r>
              <w:rPr>
                <w:rFonts w:ascii="宋体" w:hAnsi="宋体" w:cs="宋体"/>
                <w:color w:val="000000"/>
                <w:sz w:val="22"/>
                <w:szCs w:val="22"/>
                <w:lang w:bidi="ar"/>
              </w:rPr>
              <w:t>1、规格尺寸：800*600                    2、单立柱：Φ76*3*3000                       3、基础：500*500*600</w:t>
            </w:r>
          </w:p>
        </w:tc>
        <w:tc>
          <w:tcPr>
            <w:tcW w:w="2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付</w:t>
            </w:r>
          </w:p>
        </w:tc>
        <w:tc>
          <w:tcPr>
            <w:tcW w:w="2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w:t>
            </w:r>
          </w:p>
        </w:tc>
        <w:tc>
          <w:tcPr>
            <w:tcW w:w="538" w:type="pct"/>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2"/>
                <w:szCs w:val="22"/>
              </w:rPr>
            </w:pPr>
          </w:p>
        </w:tc>
        <w:tc>
          <w:tcPr>
            <w:tcW w:w="538" w:type="pct"/>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960" w:hRule="atLeast"/>
        </w:trPr>
        <w:tc>
          <w:tcPr>
            <w:tcW w:w="2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121</w:t>
            </w:r>
          </w:p>
        </w:tc>
        <w:tc>
          <w:tcPr>
            <w:tcW w:w="44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春笋路</w:t>
            </w:r>
          </w:p>
        </w:tc>
        <w:tc>
          <w:tcPr>
            <w:tcW w:w="80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1.275</w:t>
            </w:r>
          </w:p>
        </w:tc>
        <w:tc>
          <w:tcPr>
            <w:tcW w:w="80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人行横道线</w:t>
            </w:r>
          </w:p>
        </w:tc>
        <w:tc>
          <w:tcPr>
            <w:tcW w:w="105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1、热熔防滑标线                         2、厚度1.8mm符合国标要求                           3、反光亮度符合国标要求</w:t>
            </w:r>
          </w:p>
        </w:tc>
        <w:tc>
          <w:tcPr>
            <w:tcW w:w="2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w:t>
            </w:r>
          </w:p>
        </w:tc>
        <w:tc>
          <w:tcPr>
            <w:tcW w:w="2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50</w:t>
            </w:r>
          </w:p>
        </w:tc>
        <w:tc>
          <w:tcPr>
            <w:tcW w:w="538" w:type="pct"/>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2"/>
                <w:szCs w:val="22"/>
              </w:rPr>
            </w:pPr>
          </w:p>
        </w:tc>
        <w:tc>
          <w:tcPr>
            <w:tcW w:w="538" w:type="pct"/>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960" w:hRule="atLeast"/>
        </w:trPr>
        <w:tc>
          <w:tcPr>
            <w:tcW w:w="2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122</w:t>
            </w:r>
          </w:p>
        </w:tc>
        <w:tc>
          <w:tcPr>
            <w:tcW w:w="44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先锋路</w:t>
            </w:r>
          </w:p>
        </w:tc>
        <w:tc>
          <w:tcPr>
            <w:tcW w:w="80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0.862</w:t>
            </w:r>
          </w:p>
        </w:tc>
        <w:tc>
          <w:tcPr>
            <w:tcW w:w="80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单柱诱导牌</w:t>
            </w:r>
          </w:p>
        </w:tc>
        <w:tc>
          <w:tcPr>
            <w:tcW w:w="105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2"/>
                <w:szCs w:val="22"/>
              </w:rPr>
            </w:pPr>
            <w:r>
              <w:rPr>
                <w:rFonts w:ascii="宋体" w:hAnsi="宋体" w:cs="宋体"/>
                <w:color w:val="000000"/>
                <w:sz w:val="22"/>
                <w:szCs w:val="22"/>
                <w:lang w:bidi="ar"/>
              </w:rPr>
              <w:t>1、规格尺寸：800*600                    2、单立柱：Φ76*3*3000                       3、基础：500*500*600</w:t>
            </w:r>
          </w:p>
        </w:tc>
        <w:tc>
          <w:tcPr>
            <w:tcW w:w="2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付</w:t>
            </w:r>
          </w:p>
        </w:tc>
        <w:tc>
          <w:tcPr>
            <w:tcW w:w="2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w:t>
            </w:r>
          </w:p>
        </w:tc>
        <w:tc>
          <w:tcPr>
            <w:tcW w:w="538" w:type="pct"/>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2"/>
                <w:szCs w:val="22"/>
              </w:rPr>
            </w:pPr>
          </w:p>
        </w:tc>
        <w:tc>
          <w:tcPr>
            <w:tcW w:w="538" w:type="pct"/>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960" w:hRule="atLeast"/>
        </w:trPr>
        <w:tc>
          <w:tcPr>
            <w:tcW w:w="2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123</w:t>
            </w:r>
          </w:p>
        </w:tc>
        <w:tc>
          <w:tcPr>
            <w:tcW w:w="44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先锋路</w:t>
            </w:r>
          </w:p>
        </w:tc>
        <w:tc>
          <w:tcPr>
            <w:tcW w:w="80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0.862</w:t>
            </w:r>
          </w:p>
        </w:tc>
        <w:tc>
          <w:tcPr>
            <w:tcW w:w="80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人行横道线</w:t>
            </w:r>
          </w:p>
        </w:tc>
        <w:tc>
          <w:tcPr>
            <w:tcW w:w="105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1、热熔防滑标线                         2、厚度1.8mm符合国标要求                           3、反光亮度符合国标要求</w:t>
            </w:r>
          </w:p>
        </w:tc>
        <w:tc>
          <w:tcPr>
            <w:tcW w:w="2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w:t>
            </w:r>
          </w:p>
        </w:tc>
        <w:tc>
          <w:tcPr>
            <w:tcW w:w="2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50</w:t>
            </w:r>
          </w:p>
        </w:tc>
        <w:tc>
          <w:tcPr>
            <w:tcW w:w="538" w:type="pct"/>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2"/>
                <w:szCs w:val="22"/>
              </w:rPr>
            </w:pPr>
          </w:p>
        </w:tc>
        <w:tc>
          <w:tcPr>
            <w:tcW w:w="538" w:type="pct"/>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960" w:hRule="atLeast"/>
        </w:trPr>
        <w:tc>
          <w:tcPr>
            <w:tcW w:w="2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124</w:t>
            </w:r>
          </w:p>
        </w:tc>
        <w:tc>
          <w:tcPr>
            <w:tcW w:w="44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先锋路</w:t>
            </w:r>
          </w:p>
        </w:tc>
        <w:tc>
          <w:tcPr>
            <w:tcW w:w="80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1.253</w:t>
            </w:r>
          </w:p>
        </w:tc>
        <w:tc>
          <w:tcPr>
            <w:tcW w:w="80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悬臂指路牌</w:t>
            </w:r>
          </w:p>
        </w:tc>
        <w:tc>
          <w:tcPr>
            <w:tcW w:w="105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2"/>
                <w:szCs w:val="22"/>
              </w:rPr>
            </w:pPr>
            <w:r>
              <w:rPr>
                <w:rFonts w:ascii="宋体" w:hAnsi="宋体" w:cs="宋体"/>
                <w:color w:val="000000"/>
                <w:sz w:val="22"/>
                <w:szCs w:val="22"/>
                <w:lang w:bidi="ar"/>
              </w:rPr>
              <w:t>1、尺寸规格：4000*2600                      2、F支架：Φ299*8*8500                    3、基础：1200*1200*1800</w:t>
            </w:r>
          </w:p>
        </w:tc>
        <w:tc>
          <w:tcPr>
            <w:tcW w:w="2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付</w:t>
            </w:r>
          </w:p>
        </w:tc>
        <w:tc>
          <w:tcPr>
            <w:tcW w:w="2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4</w:t>
            </w:r>
          </w:p>
        </w:tc>
        <w:tc>
          <w:tcPr>
            <w:tcW w:w="538" w:type="pct"/>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2"/>
                <w:szCs w:val="22"/>
              </w:rPr>
            </w:pPr>
          </w:p>
        </w:tc>
        <w:tc>
          <w:tcPr>
            <w:tcW w:w="538" w:type="pct"/>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960" w:hRule="atLeast"/>
        </w:trPr>
        <w:tc>
          <w:tcPr>
            <w:tcW w:w="2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125</w:t>
            </w:r>
          </w:p>
        </w:tc>
        <w:tc>
          <w:tcPr>
            <w:tcW w:w="44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先锋路</w:t>
            </w:r>
          </w:p>
        </w:tc>
        <w:tc>
          <w:tcPr>
            <w:tcW w:w="80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0.772</w:t>
            </w:r>
          </w:p>
        </w:tc>
        <w:tc>
          <w:tcPr>
            <w:tcW w:w="80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悬臂指路牌</w:t>
            </w:r>
          </w:p>
        </w:tc>
        <w:tc>
          <w:tcPr>
            <w:tcW w:w="105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2"/>
                <w:szCs w:val="22"/>
              </w:rPr>
            </w:pPr>
            <w:r>
              <w:rPr>
                <w:rFonts w:ascii="宋体" w:hAnsi="宋体" w:cs="宋体"/>
                <w:color w:val="000000"/>
                <w:sz w:val="22"/>
                <w:szCs w:val="22"/>
                <w:lang w:bidi="ar"/>
              </w:rPr>
              <w:t>1、尺寸规格：4000*2600                      2、F支架：Φ299*8*8500                    3、基础：1200*1200*1800</w:t>
            </w:r>
          </w:p>
        </w:tc>
        <w:tc>
          <w:tcPr>
            <w:tcW w:w="2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付</w:t>
            </w:r>
          </w:p>
        </w:tc>
        <w:tc>
          <w:tcPr>
            <w:tcW w:w="2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w:t>
            </w:r>
          </w:p>
        </w:tc>
        <w:tc>
          <w:tcPr>
            <w:tcW w:w="538" w:type="pct"/>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2"/>
                <w:szCs w:val="22"/>
              </w:rPr>
            </w:pPr>
          </w:p>
        </w:tc>
        <w:tc>
          <w:tcPr>
            <w:tcW w:w="538" w:type="pct"/>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960" w:hRule="atLeast"/>
        </w:trPr>
        <w:tc>
          <w:tcPr>
            <w:tcW w:w="2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126</w:t>
            </w:r>
          </w:p>
        </w:tc>
        <w:tc>
          <w:tcPr>
            <w:tcW w:w="44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春雷路</w:t>
            </w:r>
          </w:p>
        </w:tc>
        <w:tc>
          <w:tcPr>
            <w:tcW w:w="80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1.688</w:t>
            </w:r>
          </w:p>
        </w:tc>
        <w:tc>
          <w:tcPr>
            <w:tcW w:w="80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悬臂禁令警告</w:t>
            </w:r>
          </w:p>
        </w:tc>
        <w:tc>
          <w:tcPr>
            <w:tcW w:w="105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2"/>
                <w:szCs w:val="22"/>
              </w:rPr>
            </w:pPr>
            <w:r>
              <w:rPr>
                <w:rFonts w:ascii="宋体" w:hAnsi="宋体" w:cs="宋体"/>
                <w:color w:val="000000"/>
                <w:sz w:val="22"/>
                <w:szCs w:val="22"/>
                <w:lang w:bidi="ar"/>
              </w:rPr>
              <w:t>1、规格尺寸：Δ900   Φ800         2、悬臂杆：Φ219*6*6500  Φ89*3500      3、基础：800*800*1200</w:t>
            </w:r>
          </w:p>
        </w:tc>
        <w:tc>
          <w:tcPr>
            <w:tcW w:w="2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付</w:t>
            </w:r>
          </w:p>
        </w:tc>
        <w:tc>
          <w:tcPr>
            <w:tcW w:w="2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3</w:t>
            </w:r>
          </w:p>
        </w:tc>
        <w:tc>
          <w:tcPr>
            <w:tcW w:w="538" w:type="pct"/>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2"/>
                <w:szCs w:val="22"/>
              </w:rPr>
            </w:pPr>
          </w:p>
        </w:tc>
        <w:tc>
          <w:tcPr>
            <w:tcW w:w="538" w:type="pct"/>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960" w:hRule="atLeast"/>
        </w:trPr>
        <w:tc>
          <w:tcPr>
            <w:tcW w:w="2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127</w:t>
            </w:r>
          </w:p>
        </w:tc>
        <w:tc>
          <w:tcPr>
            <w:tcW w:w="44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春雷路</w:t>
            </w:r>
          </w:p>
        </w:tc>
        <w:tc>
          <w:tcPr>
            <w:tcW w:w="80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1.688</w:t>
            </w:r>
          </w:p>
        </w:tc>
        <w:tc>
          <w:tcPr>
            <w:tcW w:w="80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人行横道线</w:t>
            </w:r>
          </w:p>
        </w:tc>
        <w:tc>
          <w:tcPr>
            <w:tcW w:w="105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1、热熔防滑标线                         2、厚度1.8mm符合国标要求                           3、反光亮度符合国标要求</w:t>
            </w:r>
          </w:p>
        </w:tc>
        <w:tc>
          <w:tcPr>
            <w:tcW w:w="2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w:t>
            </w:r>
          </w:p>
        </w:tc>
        <w:tc>
          <w:tcPr>
            <w:tcW w:w="2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150</w:t>
            </w:r>
          </w:p>
        </w:tc>
        <w:tc>
          <w:tcPr>
            <w:tcW w:w="538" w:type="pct"/>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2"/>
                <w:szCs w:val="22"/>
              </w:rPr>
            </w:pPr>
          </w:p>
        </w:tc>
        <w:tc>
          <w:tcPr>
            <w:tcW w:w="538" w:type="pct"/>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960" w:hRule="atLeast"/>
        </w:trPr>
        <w:tc>
          <w:tcPr>
            <w:tcW w:w="2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128</w:t>
            </w:r>
          </w:p>
        </w:tc>
        <w:tc>
          <w:tcPr>
            <w:tcW w:w="44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芙蓉五路</w:t>
            </w:r>
          </w:p>
        </w:tc>
        <w:tc>
          <w:tcPr>
            <w:tcW w:w="80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1.633</w:t>
            </w:r>
          </w:p>
        </w:tc>
        <w:tc>
          <w:tcPr>
            <w:tcW w:w="80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单柱标志</w:t>
            </w:r>
          </w:p>
        </w:tc>
        <w:tc>
          <w:tcPr>
            <w:tcW w:w="105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2"/>
                <w:szCs w:val="22"/>
              </w:rPr>
            </w:pPr>
            <w:r>
              <w:rPr>
                <w:rFonts w:ascii="宋体" w:hAnsi="宋体" w:cs="宋体"/>
                <w:color w:val="000000"/>
                <w:sz w:val="22"/>
                <w:szCs w:val="22"/>
                <w:lang w:bidi="ar"/>
              </w:rPr>
              <w:t>1、规格尺寸：800*600                    2、单立柱：Φ76*3*3000                       3、基础：500*500*600</w:t>
            </w:r>
          </w:p>
        </w:tc>
        <w:tc>
          <w:tcPr>
            <w:tcW w:w="2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付</w:t>
            </w:r>
          </w:p>
        </w:tc>
        <w:tc>
          <w:tcPr>
            <w:tcW w:w="2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3</w:t>
            </w:r>
          </w:p>
        </w:tc>
        <w:tc>
          <w:tcPr>
            <w:tcW w:w="538" w:type="pct"/>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2"/>
                <w:szCs w:val="22"/>
              </w:rPr>
            </w:pPr>
          </w:p>
        </w:tc>
        <w:tc>
          <w:tcPr>
            <w:tcW w:w="538" w:type="pct"/>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270" w:hRule="atLeast"/>
        </w:trPr>
        <w:tc>
          <w:tcPr>
            <w:tcW w:w="5000" w:type="pct"/>
            <w:gridSpan w:val="9"/>
            <w:tcBorders>
              <w:top w:val="nil"/>
              <w:left w:val="nil"/>
              <w:bottom w:val="nil"/>
              <w:right w:val="nil"/>
            </w:tcBorders>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270" w:hRule="atLeast"/>
        </w:trPr>
        <w:tc>
          <w:tcPr>
            <w:tcW w:w="5000" w:type="pct"/>
            <w:gridSpan w:val="9"/>
            <w:tcBorders>
              <w:top w:val="nil"/>
              <w:left w:val="nil"/>
              <w:bottom w:val="nil"/>
              <w:right w:val="nil"/>
            </w:tcBorders>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注：以上单价为全费用单价，包含含土方开挖回填、安装、规费、税金等所有费用。</w:t>
            </w:r>
          </w:p>
        </w:tc>
      </w:tr>
    </w:tbl>
    <w:p/>
    <w:p>
      <w:pPr>
        <w:rPr>
          <w:rFonts w:ascii="Times New Roman" w:hAnsi="Times New Roman"/>
        </w:rPr>
      </w:pPr>
    </w:p>
    <w:p>
      <w:pPr>
        <w:tabs>
          <w:tab w:val="left" w:pos="525"/>
          <w:tab w:val="left" w:pos="945"/>
        </w:tabs>
        <w:spacing w:line="360" w:lineRule="auto"/>
        <w:ind w:firstLine="480" w:firstLineChars="200"/>
        <w:rPr>
          <w:rFonts w:ascii="宋体" w:hAnsi="宋体"/>
          <w:bCs/>
          <w:color w:val="000000"/>
          <w:sz w:val="24"/>
        </w:rPr>
      </w:pPr>
    </w:p>
    <w:p>
      <w:pPr>
        <w:tabs>
          <w:tab w:val="left" w:pos="525"/>
          <w:tab w:val="left" w:pos="945"/>
        </w:tabs>
        <w:spacing w:line="360" w:lineRule="auto"/>
        <w:ind w:firstLine="480" w:firstLineChars="200"/>
        <w:rPr>
          <w:rFonts w:ascii="宋体" w:hAnsi="宋体"/>
          <w:bCs/>
          <w:color w:val="000000"/>
          <w:sz w:val="24"/>
        </w:rPr>
      </w:pPr>
    </w:p>
    <w:p>
      <w:pPr>
        <w:tabs>
          <w:tab w:val="left" w:pos="525"/>
          <w:tab w:val="left" w:pos="945"/>
        </w:tabs>
        <w:spacing w:line="360" w:lineRule="auto"/>
        <w:ind w:firstLine="480" w:firstLineChars="200"/>
        <w:rPr>
          <w:rFonts w:ascii="宋体" w:hAnsi="宋体"/>
          <w:bCs/>
          <w:color w:val="000000"/>
          <w:sz w:val="24"/>
        </w:rPr>
      </w:pPr>
    </w:p>
    <w:p>
      <w:pPr>
        <w:tabs>
          <w:tab w:val="left" w:pos="525"/>
          <w:tab w:val="left" w:pos="945"/>
        </w:tabs>
        <w:spacing w:line="360" w:lineRule="auto"/>
        <w:ind w:firstLine="480" w:firstLineChars="200"/>
        <w:rPr>
          <w:rFonts w:ascii="宋体" w:hAnsi="宋体"/>
          <w:bCs/>
          <w:color w:val="000000"/>
          <w:sz w:val="24"/>
        </w:rPr>
      </w:pPr>
    </w:p>
    <w:p>
      <w:pPr>
        <w:tabs>
          <w:tab w:val="left" w:pos="525"/>
          <w:tab w:val="left" w:pos="945"/>
        </w:tabs>
        <w:spacing w:line="360" w:lineRule="auto"/>
        <w:ind w:firstLine="480" w:firstLineChars="200"/>
        <w:rPr>
          <w:rFonts w:ascii="宋体" w:hAnsi="宋体"/>
          <w:bCs/>
          <w:color w:val="000000"/>
          <w:sz w:val="24"/>
        </w:rPr>
      </w:pPr>
    </w:p>
    <w:p>
      <w:pPr>
        <w:tabs>
          <w:tab w:val="left" w:pos="525"/>
          <w:tab w:val="left" w:pos="945"/>
        </w:tabs>
        <w:spacing w:line="360" w:lineRule="auto"/>
        <w:ind w:firstLine="480" w:firstLineChars="200"/>
        <w:rPr>
          <w:rFonts w:ascii="宋体" w:hAnsi="宋体"/>
          <w:bCs/>
          <w:color w:val="000000"/>
          <w:sz w:val="24"/>
        </w:rPr>
      </w:pPr>
    </w:p>
    <w:p>
      <w:pPr>
        <w:spacing w:line="540" w:lineRule="exact"/>
        <w:ind w:right="960"/>
        <w:rPr>
          <w:rFonts w:ascii="宋体" w:hAnsi="宋体"/>
          <w:color w:val="000000"/>
          <w:sz w:val="24"/>
        </w:rPr>
      </w:pPr>
      <w:r>
        <w:rPr>
          <w:rFonts w:ascii="宋体" w:hAnsi="宋体"/>
          <w:color w:val="000000"/>
          <w:sz w:val="24"/>
        </w:rPr>
        <w:br w:type="page"/>
      </w:r>
    </w:p>
    <w:p>
      <w:pPr>
        <w:spacing w:line="540" w:lineRule="exact"/>
        <w:ind w:firstLine="883" w:firstLineChars="200"/>
        <w:jc w:val="center"/>
        <w:rPr>
          <w:rFonts w:ascii="黑体" w:eastAsia="黑体"/>
          <w:b/>
          <w:color w:val="000000"/>
          <w:sz w:val="44"/>
          <w:szCs w:val="44"/>
        </w:rPr>
      </w:pPr>
      <w:r>
        <w:rPr>
          <w:rFonts w:hint="eastAsia" w:ascii="黑体" w:eastAsia="黑体"/>
          <w:b/>
          <w:color w:val="000000"/>
          <w:sz w:val="44"/>
          <w:szCs w:val="44"/>
        </w:rPr>
        <w:t>第四部分．合同书</w:t>
      </w:r>
    </w:p>
    <w:p>
      <w:pPr>
        <w:rPr>
          <w:rFonts w:ascii="宋体" w:hAnsi="宋体"/>
          <w:bCs/>
          <w:sz w:val="24"/>
          <w:u w:val="single"/>
        </w:rPr>
      </w:pPr>
      <w:r>
        <w:rPr>
          <w:rFonts w:hint="eastAsia" w:ascii="宋体" w:hAnsi="宋体"/>
          <w:bCs/>
          <w:sz w:val="24"/>
        </w:rPr>
        <w:t>需方（采购人）：</w:t>
      </w:r>
      <w:r>
        <w:rPr>
          <w:rFonts w:hint="eastAsia" w:ascii="宋体" w:hAnsi="宋体"/>
          <w:bCs/>
          <w:sz w:val="24"/>
          <w:u w:val="single"/>
        </w:rPr>
        <w:t xml:space="preserve">                         ；</w:t>
      </w:r>
    </w:p>
    <w:p>
      <w:pPr>
        <w:rPr>
          <w:rFonts w:ascii="宋体" w:hAnsi="宋体"/>
          <w:bCs/>
          <w:sz w:val="24"/>
          <w:u w:val="single"/>
        </w:rPr>
      </w:pPr>
      <w:r>
        <w:rPr>
          <w:rFonts w:hint="eastAsia" w:ascii="宋体" w:hAnsi="宋体"/>
          <w:bCs/>
          <w:sz w:val="24"/>
        </w:rPr>
        <w:t>供方（中标方）：</w:t>
      </w:r>
      <w:r>
        <w:rPr>
          <w:rFonts w:hint="eastAsia" w:ascii="宋体" w:hAnsi="宋体"/>
          <w:bCs/>
          <w:sz w:val="24"/>
          <w:u w:val="single"/>
        </w:rPr>
        <w:t xml:space="preserve">                         ；</w:t>
      </w:r>
    </w:p>
    <w:p>
      <w:pPr>
        <w:numPr>
          <w:ilvl w:val="0"/>
          <w:numId w:val="7"/>
        </w:numPr>
        <w:tabs>
          <w:tab w:val="left" w:pos="210"/>
          <w:tab w:val="left" w:pos="840"/>
          <w:tab w:val="left" w:pos="1260"/>
        </w:tabs>
        <w:ind w:left="0" w:firstLine="523" w:firstLineChars="218"/>
        <w:rPr>
          <w:rFonts w:ascii="宋体" w:hAnsi="宋体"/>
          <w:bCs/>
          <w:sz w:val="24"/>
        </w:rPr>
      </w:pPr>
      <w:r>
        <w:rPr>
          <w:rFonts w:hint="eastAsia" w:ascii="宋体" w:hAnsi="宋体"/>
          <w:bCs/>
          <w:sz w:val="24"/>
        </w:rPr>
        <w:t>政府采购编号：</w:t>
      </w:r>
      <w:r>
        <w:rPr>
          <w:rFonts w:hint="eastAsia" w:ascii="宋体" w:hAnsi="宋体"/>
          <w:bCs/>
          <w:sz w:val="24"/>
          <w:u w:val="single"/>
        </w:rPr>
        <w:t xml:space="preserve">                ；</w:t>
      </w:r>
      <w:r>
        <w:rPr>
          <w:rFonts w:ascii="宋体" w:hAnsi="宋体"/>
          <w:bCs/>
          <w:sz w:val="24"/>
        </w:rPr>
        <w:t xml:space="preserve"> </w:t>
      </w:r>
    </w:p>
    <w:p>
      <w:pPr>
        <w:numPr>
          <w:ilvl w:val="0"/>
          <w:numId w:val="7"/>
        </w:numPr>
        <w:tabs>
          <w:tab w:val="left" w:pos="210"/>
          <w:tab w:val="left" w:pos="840"/>
          <w:tab w:val="left" w:pos="1260"/>
        </w:tabs>
        <w:ind w:left="0" w:firstLine="523" w:firstLineChars="218"/>
        <w:rPr>
          <w:rFonts w:ascii="宋体" w:hAnsi="宋体"/>
          <w:bCs/>
          <w:sz w:val="24"/>
        </w:rPr>
      </w:pPr>
      <w:r>
        <w:rPr>
          <w:rFonts w:hint="eastAsia" w:ascii="宋体" w:hAnsi="宋体"/>
          <w:bCs/>
          <w:sz w:val="24"/>
        </w:rPr>
        <w:t>采购内容：</w:t>
      </w:r>
      <w:r>
        <w:rPr>
          <w:rFonts w:hint="eastAsia" w:ascii="宋体" w:hAnsi="宋体"/>
          <w:bCs/>
          <w:sz w:val="24"/>
          <w:u w:val="single"/>
        </w:rPr>
        <w:t xml:space="preserve">                                          ；</w:t>
      </w:r>
    </w:p>
    <w:p>
      <w:pPr>
        <w:numPr>
          <w:ilvl w:val="0"/>
          <w:numId w:val="7"/>
        </w:numPr>
        <w:tabs>
          <w:tab w:val="left" w:pos="210"/>
          <w:tab w:val="left" w:pos="840"/>
          <w:tab w:val="left" w:pos="1260"/>
        </w:tabs>
        <w:ind w:left="0" w:firstLine="523" w:firstLineChars="218"/>
        <w:rPr>
          <w:rFonts w:ascii="宋体" w:hAnsi="宋体"/>
          <w:bCs/>
          <w:sz w:val="24"/>
        </w:rPr>
      </w:pPr>
      <w:r>
        <w:rPr>
          <w:rFonts w:hint="eastAsia" w:ascii="宋体" w:hAnsi="宋体"/>
          <w:bCs/>
          <w:sz w:val="24"/>
        </w:rPr>
        <w:t>中标总金额：（大写）</w:t>
      </w:r>
      <w:r>
        <w:rPr>
          <w:rFonts w:hint="eastAsia" w:ascii="宋体" w:hAnsi="宋体"/>
          <w:bCs/>
          <w:sz w:val="24"/>
          <w:u w:val="single"/>
        </w:rPr>
        <w:t xml:space="preserve">                 ；</w:t>
      </w:r>
      <w:r>
        <w:rPr>
          <w:rFonts w:hint="eastAsia" w:ascii="宋体" w:hAnsi="宋体"/>
          <w:bCs/>
          <w:sz w:val="24"/>
        </w:rPr>
        <w:t>（小写）</w:t>
      </w:r>
      <w:r>
        <w:rPr>
          <w:rFonts w:hint="eastAsia" w:ascii="宋体" w:hAnsi="宋体"/>
          <w:bCs/>
          <w:sz w:val="24"/>
          <w:u w:val="single"/>
        </w:rPr>
        <w:t xml:space="preserve">              </w:t>
      </w:r>
    </w:p>
    <w:p>
      <w:pPr>
        <w:numPr>
          <w:ilvl w:val="0"/>
          <w:numId w:val="7"/>
        </w:numPr>
        <w:tabs>
          <w:tab w:val="left" w:pos="210"/>
          <w:tab w:val="left" w:pos="840"/>
          <w:tab w:val="left" w:pos="1260"/>
        </w:tabs>
        <w:ind w:left="0" w:firstLine="523" w:firstLineChars="218"/>
        <w:rPr>
          <w:rFonts w:ascii="宋体" w:hAnsi="宋体"/>
          <w:bCs/>
          <w:sz w:val="24"/>
        </w:rPr>
      </w:pPr>
      <w:r>
        <w:rPr>
          <w:rFonts w:hint="eastAsia" w:ascii="宋体" w:hAnsi="宋体"/>
          <w:bCs/>
          <w:sz w:val="24"/>
        </w:rPr>
        <w:t>质量和包装要求及验收标准：</w:t>
      </w:r>
      <w:r>
        <w:rPr>
          <w:rFonts w:hint="eastAsia" w:ascii="宋体" w:hAnsi="宋体"/>
          <w:bCs/>
          <w:sz w:val="24"/>
          <w:u w:val="single"/>
        </w:rPr>
        <w:t xml:space="preserve">                      </w:t>
      </w:r>
    </w:p>
    <w:p>
      <w:pPr>
        <w:numPr>
          <w:ilvl w:val="0"/>
          <w:numId w:val="7"/>
        </w:numPr>
        <w:tabs>
          <w:tab w:val="left" w:pos="210"/>
          <w:tab w:val="left" w:pos="840"/>
          <w:tab w:val="left" w:pos="1260"/>
        </w:tabs>
        <w:ind w:left="0" w:firstLine="523" w:firstLineChars="218"/>
        <w:rPr>
          <w:rFonts w:ascii="宋体" w:hAnsi="宋体"/>
          <w:bCs/>
          <w:sz w:val="24"/>
          <w:u w:val="single"/>
        </w:rPr>
      </w:pPr>
      <w:r>
        <w:rPr>
          <w:rFonts w:hint="eastAsia" w:ascii="宋体" w:hAnsi="宋体"/>
          <w:bCs/>
          <w:sz w:val="24"/>
        </w:rPr>
        <w:t>交货期或完工期：</w:t>
      </w:r>
      <w:r>
        <w:rPr>
          <w:rFonts w:hint="eastAsia" w:ascii="宋体" w:hAnsi="宋体"/>
          <w:bCs/>
          <w:sz w:val="24"/>
          <w:u w:val="single"/>
        </w:rPr>
        <w:t xml:space="preserve">                                </w:t>
      </w:r>
    </w:p>
    <w:p>
      <w:pPr>
        <w:numPr>
          <w:ilvl w:val="0"/>
          <w:numId w:val="7"/>
        </w:numPr>
        <w:tabs>
          <w:tab w:val="left" w:pos="210"/>
          <w:tab w:val="left" w:pos="840"/>
          <w:tab w:val="left" w:pos="1260"/>
        </w:tabs>
        <w:ind w:left="0" w:firstLine="523" w:firstLineChars="218"/>
        <w:rPr>
          <w:rFonts w:ascii="宋体" w:hAnsi="宋体"/>
          <w:bCs/>
          <w:sz w:val="24"/>
          <w:u w:val="single"/>
        </w:rPr>
      </w:pPr>
      <w:r>
        <w:rPr>
          <w:rFonts w:hint="eastAsia" w:ascii="宋体" w:hAnsi="宋体"/>
          <w:bCs/>
          <w:sz w:val="24"/>
        </w:rPr>
        <w:t>维修响应时间：</w:t>
      </w:r>
      <w:r>
        <w:rPr>
          <w:rFonts w:hint="eastAsia" w:ascii="宋体" w:hAnsi="宋体"/>
          <w:bCs/>
          <w:sz w:val="24"/>
          <w:u w:val="single"/>
        </w:rPr>
        <w:t xml:space="preserve">                          </w:t>
      </w:r>
    </w:p>
    <w:p>
      <w:pPr>
        <w:numPr>
          <w:ilvl w:val="0"/>
          <w:numId w:val="7"/>
        </w:numPr>
        <w:tabs>
          <w:tab w:val="left" w:pos="210"/>
          <w:tab w:val="left" w:pos="840"/>
          <w:tab w:val="left" w:pos="1260"/>
        </w:tabs>
        <w:ind w:left="0" w:firstLine="523" w:firstLineChars="218"/>
        <w:rPr>
          <w:rFonts w:ascii="宋体" w:hAnsi="宋体"/>
          <w:bCs/>
          <w:sz w:val="24"/>
        </w:rPr>
      </w:pPr>
      <w:r>
        <w:rPr>
          <w:rFonts w:hint="eastAsia" w:ascii="宋体" w:hAnsi="宋体"/>
          <w:bCs/>
          <w:sz w:val="24"/>
        </w:rPr>
        <w:t>交货地点和方式：</w:t>
      </w:r>
      <w:r>
        <w:rPr>
          <w:rFonts w:hint="eastAsia" w:ascii="宋体" w:hAnsi="宋体"/>
          <w:bCs/>
          <w:sz w:val="24"/>
          <w:u w:val="single"/>
        </w:rPr>
        <w:t xml:space="preserve">                                 </w:t>
      </w:r>
    </w:p>
    <w:p>
      <w:pPr>
        <w:numPr>
          <w:ilvl w:val="0"/>
          <w:numId w:val="7"/>
        </w:numPr>
        <w:tabs>
          <w:tab w:val="left" w:pos="210"/>
          <w:tab w:val="left" w:pos="840"/>
          <w:tab w:val="left" w:pos="1260"/>
        </w:tabs>
        <w:ind w:left="0" w:firstLine="523" w:firstLineChars="218"/>
        <w:rPr>
          <w:rFonts w:ascii="宋体" w:hAnsi="宋体"/>
          <w:bCs/>
          <w:sz w:val="24"/>
        </w:rPr>
      </w:pPr>
      <w:r>
        <w:rPr>
          <w:rFonts w:hint="eastAsia" w:ascii="宋体" w:hAnsi="宋体"/>
          <w:bCs/>
          <w:sz w:val="24"/>
        </w:rPr>
        <w:t>货款支付步骤和办法：</w:t>
      </w:r>
      <w:r>
        <w:rPr>
          <w:rFonts w:hint="eastAsia" w:ascii="宋体" w:hAnsi="宋体"/>
          <w:bCs/>
          <w:sz w:val="24"/>
          <w:u w:val="single"/>
        </w:rPr>
        <w:t xml:space="preserve">                              </w:t>
      </w:r>
    </w:p>
    <w:p>
      <w:pPr>
        <w:numPr>
          <w:ilvl w:val="0"/>
          <w:numId w:val="7"/>
        </w:numPr>
        <w:tabs>
          <w:tab w:val="left" w:pos="210"/>
          <w:tab w:val="left" w:pos="840"/>
          <w:tab w:val="left" w:pos="1260"/>
        </w:tabs>
        <w:ind w:left="0" w:firstLine="523" w:firstLineChars="218"/>
        <w:rPr>
          <w:rFonts w:ascii="宋体" w:hAnsi="宋体"/>
          <w:bCs/>
          <w:sz w:val="24"/>
        </w:rPr>
      </w:pPr>
      <w:r>
        <w:rPr>
          <w:rFonts w:hint="eastAsia" w:ascii="宋体" w:hAnsi="宋体"/>
          <w:bCs/>
          <w:sz w:val="24"/>
        </w:rPr>
        <w:t>售后服务：</w:t>
      </w:r>
      <w:r>
        <w:rPr>
          <w:rFonts w:hint="eastAsia" w:ascii="宋体" w:hAnsi="宋体"/>
          <w:bCs/>
          <w:sz w:val="24"/>
          <w:u w:val="single"/>
        </w:rPr>
        <w:t xml:space="preserve">                                         </w:t>
      </w:r>
    </w:p>
    <w:p>
      <w:pPr>
        <w:numPr>
          <w:ilvl w:val="0"/>
          <w:numId w:val="7"/>
        </w:numPr>
        <w:tabs>
          <w:tab w:val="left" w:pos="210"/>
          <w:tab w:val="left" w:pos="840"/>
          <w:tab w:val="left" w:pos="1260"/>
        </w:tabs>
        <w:ind w:left="0" w:firstLine="523" w:firstLineChars="218"/>
        <w:rPr>
          <w:rFonts w:ascii="宋体" w:hAnsi="宋体"/>
          <w:bCs/>
          <w:sz w:val="24"/>
        </w:rPr>
      </w:pPr>
      <w:r>
        <w:rPr>
          <w:rFonts w:hint="eastAsia" w:ascii="宋体" w:hAnsi="宋体"/>
          <w:bCs/>
          <w:sz w:val="24"/>
        </w:rPr>
        <w:t>违约责任：</w:t>
      </w:r>
      <w:r>
        <w:rPr>
          <w:rFonts w:hint="eastAsia" w:ascii="宋体" w:hAnsi="宋体"/>
          <w:bCs/>
          <w:sz w:val="24"/>
          <w:u w:val="single"/>
        </w:rPr>
        <w:t xml:space="preserve">                                          </w:t>
      </w:r>
    </w:p>
    <w:p>
      <w:pPr>
        <w:numPr>
          <w:ilvl w:val="0"/>
          <w:numId w:val="7"/>
        </w:numPr>
        <w:tabs>
          <w:tab w:val="left" w:pos="210"/>
          <w:tab w:val="left" w:pos="840"/>
          <w:tab w:val="left" w:pos="1260"/>
        </w:tabs>
        <w:ind w:left="0" w:firstLine="523" w:firstLineChars="218"/>
        <w:rPr>
          <w:rFonts w:ascii="宋体" w:hAnsi="宋体"/>
          <w:bCs/>
          <w:sz w:val="24"/>
        </w:rPr>
      </w:pPr>
      <w:r>
        <w:rPr>
          <w:rFonts w:ascii="宋体" w:hAnsi="宋体"/>
          <w:sz w:val="24"/>
        </w:rPr>
        <w:t>解决争议的方</w:t>
      </w:r>
      <w:r>
        <w:rPr>
          <w:rFonts w:hint="eastAsia" w:ascii="宋体" w:hAnsi="宋体"/>
          <w:sz w:val="24"/>
        </w:rPr>
        <w:t>式：</w:t>
      </w:r>
      <w:r>
        <w:rPr>
          <w:rFonts w:hint="eastAsia" w:ascii="宋体" w:hAnsi="宋体"/>
          <w:sz w:val="24"/>
          <w:u w:val="single"/>
        </w:rPr>
        <w:t xml:space="preserve">                                     </w:t>
      </w:r>
    </w:p>
    <w:p>
      <w:pPr>
        <w:numPr>
          <w:ilvl w:val="0"/>
          <w:numId w:val="7"/>
        </w:numPr>
        <w:tabs>
          <w:tab w:val="left" w:pos="210"/>
          <w:tab w:val="left" w:pos="840"/>
          <w:tab w:val="left" w:pos="1260"/>
        </w:tabs>
        <w:ind w:left="0" w:firstLine="523" w:firstLineChars="218"/>
        <w:rPr>
          <w:rFonts w:ascii="宋体" w:hAnsi="宋体"/>
          <w:bCs/>
          <w:sz w:val="24"/>
        </w:rPr>
      </w:pPr>
      <w:r>
        <w:rPr>
          <w:rFonts w:hint="eastAsia" w:ascii="宋体" w:hAnsi="宋体"/>
          <w:bCs/>
          <w:sz w:val="24"/>
        </w:rPr>
        <w:t>其它事项：</w:t>
      </w:r>
      <w:r>
        <w:rPr>
          <w:rFonts w:hint="eastAsia" w:ascii="宋体" w:hAnsi="宋体"/>
          <w:bCs/>
          <w:sz w:val="24"/>
          <w:u w:val="single"/>
        </w:rPr>
        <w:t xml:space="preserve">                                           </w:t>
      </w:r>
    </w:p>
    <w:p>
      <w:pPr>
        <w:numPr>
          <w:ilvl w:val="0"/>
          <w:numId w:val="7"/>
        </w:numPr>
        <w:tabs>
          <w:tab w:val="left" w:pos="210"/>
          <w:tab w:val="left" w:pos="840"/>
          <w:tab w:val="left" w:pos="1260"/>
        </w:tabs>
        <w:ind w:left="0" w:firstLine="523" w:firstLineChars="218"/>
        <w:rPr>
          <w:rFonts w:ascii="宋体" w:hAnsi="宋体"/>
          <w:bCs/>
          <w:sz w:val="24"/>
        </w:rPr>
      </w:pPr>
      <w:r>
        <w:rPr>
          <w:rFonts w:hint="eastAsia" w:ascii="宋体" w:hAnsi="宋体"/>
          <w:bCs/>
          <w:sz w:val="24"/>
        </w:rPr>
        <w:t>合同不可分割部分：</w:t>
      </w:r>
    </w:p>
    <w:p>
      <w:pPr>
        <w:tabs>
          <w:tab w:val="left" w:pos="210"/>
          <w:tab w:val="left" w:pos="420"/>
          <w:tab w:val="left" w:pos="1155"/>
        </w:tabs>
        <w:ind w:firstLine="480" w:firstLineChars="200"/>
        <w:rPr>
          <w:rFonts w:ascii="宋体" w:hAnsi="宋体"/>
          <w:bCs/>
          <w:sz w:val="24"/>
        </w:rPr>
      </w:pPr>
      <w:r>
        <w:rPr>
          <w:rFonts w:hint="eastAsia" w:ascii="宋体" w:hAnsi="宋体"/>
          <w:bCs/>
          <w:sz w:val="24"/>
        </w:rPr>
        <w:t>招标文件、投标文件、合同条款及中标通知书，供方在投标、评标过程中所作其它有关承诺、声明、书面澄清等均为合同不可分割的部分，与主合同具有同等法律效力。</w:t>
      </w:r>
    </w:p>
    <w:p>
      <w:pPr>
        <w:numPr>
          <w:ilvl w:val="0"/>
          <w:numId w:val="7"/>
        </w:numPr>
        <w:tabs>
          <w:tab w:val="left" w:pos="210"/>
          <w:tab w:val="left" w:pos="840"/>
          <w:tab w:val="left" w:pos="1155"/>
        </w:tabs>
        <w:ind w:left="0" w:firstLine="523" w:firstLineChars="218"/>
        <w:rPr>
          <w:rFonts w:ascii="宋体" w:hAnsi="宋体"/>
          <w:bCs/>
          <w:sz w:val="24"/>
        </w:rPr>
      </w:pPr>
      <w:r>
        <w:rPr>
          <w:rFonts w:hint="eastAsia" w:ascii="宋体" w:hAnsi="宋体"/>
          <w:bCs/>
          <w:sz w:val="24"/>
        </w:rPr>
        <w:t>合同备案：</w:t>
      </w:r>
    </w:p>
    <w:p>
      <w:pPr>
        <w:tabs>
          <w:tab w:val="left" w:pos="210"/>
          <w:tab w:val="left" w:pos="735"/>
          <w:tab w:val="left" w:pos="1155"/>
        </w:tabs>
        <w:ind w:firstLine="480" w:firstLineChars="200"/>
        <w:rPr>
          <w:rFonts w:ascii="宋体" w:hAnsi="宋体"/>
          <w:bCs/>
          <w:sz w:val="24"/>
        </w:rPr>
      </w:pPr>
      <w:r>
        <w:rPr>
          <w:rFonts w:hint="eastAsia" w:ascii="宋体" w:hAnsi="宋体"/>
          <w:bCs/>
          <w:sz w:val="24"/>
        </w:rPr>
        <w:t>合同一式三份，供需双方、招标</w:t>
      </w:r>
      <w:r>
        <w:rPr>
          <w:rFonts w:hint="eastAsia" w:ascii="宋体" w:hAnsi="宋体"/>
          <w:bCs/>
          <w:kern w:val="0"/>
          <w:sz w:val="24"/>
        </w:rPr>
        <w:t>代理</w:t>
      </w:r>
      <w:r>
        <w:rPr>
          <w:rFonts w:hint="eastAsia" w:ascii="宋体" w:hAnsi="宋体"/>
          <w:bCs/>
          <w:sz w:val="24"/>
        </w:rPr>
        <w:t>各执一</w:t>
      </w:r>
      <w:r>
        <w:rPr>
          <w:rFonts w:hint="eastAsia" w:ascii="宋体" w:hAnsi="宋体"/>
          <w:bCs/>
          <w:kern w:val="0"/>
          <w:sz w:val="24"/>
        </w:rPr>
        <w:t>份</w:t>
      </w:r>
      <w:r>
        <w:rPr>
          <w:rFonts w:hint="eastAsia" w:ascii="宋体" w:hAnsi="宋体"/>
          <w:bCs/>
          <w:sz w:val="24"/>
        </w:rPr>
        <w:t>。</w:t>
      </w:r>
    </w:p>
    <w:p>
      <w:pPr>
        <w:numPr>
          <w:ilvl w:val="0"/>
          <w:numId w:val="7"/>
        </w:numPr>
        <w:tabs>
          <w:tab w:val="left" w:pos="210"/>
          <w:tab w:val="left" w:pos="840"/>
          <w:tab w:val="left" w:pos="1155"/>
        </w:tabs>
        <w:ind w:left="0" w:firstLine="523" w:firstLineChars="218"/>
        <w:rPr>
          <w:rFonts w:ascii="宋体" w:hAnsi="宋体"/>
          <w:bCs/>
          <w:sz w:val="24"/>
        </w:rPr>
      </w:pPr>
      <w:r>
        <w:rPr>
          <w:rFonts w:hint="eastAsia" w:ascii="宋体" w:hAnsi="宋体"/>
          <w:bCs/>
          <w:sz w:val="24"/>
        </w:rPr>
        <w:t>合同生效：</w:t>
      </w:r>
    </w:p>
    <w:p>
      <w:pPr>
        <w:tabs>
          <w:tab w:val="left" w:pos="210"/>
          <w:tab w:val="left" w:pos="840"/>
          <w:tab w:val="left" w:pos="1155"/>
        </w:tabs>
        <w:ind w:firstLine="480" w:firstLineChars="200"/>
        <w:rPr>
          <w:rFonts w:ascii="宋体" w:hAnsi="宋体"/>
          <w:bCs/>
          <w:sz w:val="24"/>
        </w:rPr>
      </w:pPr>
      <w:r>
        <w:rPr>
          <w:rFonts w:hint="eastAsia" w:ascii="宋体" w:hAnsi="宋体"/>
          <w:bCs/>
          <w:sz w:val="24"/>
        </w:rPr>
        <w:t>本合同由供需双方签字、盖章，</w:t>
      </w:r>
      <w:r>
        <w:rPr>
          <w:rFonts w:hint="eastAsia" w:ascii="宋体" w:hAnsi="宋体"/>
          <w:bCs/>
          <w:kern w:val="0"/>
          <w:sz w:val="24"/>
        </w:rPr>
        <w:t>并经招标代理见证后生效</w:t>
      </w:r>
      <w:r>
        <w:rPr>
          <w:rFonts w:hint="eastAsia" w:ascii="宋体" w:hAnsi="宋体"/>
          <w:bCs/>
          <w:sz w:val="24"/>
        </w:rPr>
        <w:t>。</w:t>
      </w:r>
    </w:p>
    <w:p>
      <w:pPr>
        <w:spacing w:line="440" w:lineRule="exact"/>
        <w:rPr>
          <w:rFonts w:ascii="宋体" w:hAnsi="宋体"/>
          <w:bCs/>
          <w:sz w:val="24"/>
          <w:u w:val="single"/>
        </w:rPr>
      </w:pPr>
      <w:r>
        <w:rPr>
          <w:rFonts w:hint="eastAsia" w:ascii="宋体" w:hAnsi="宋体"/>
          <w:bCs/>
          <w:sz w:val="24"/>
        </w:rPr>
        <w:t>需方（采购人）：</w:t>
      </w:r>
      <w:r>
        <w:rPr>
          <w:rFonts w:hint="eastAsia" w:ascii="宋体" w:hAnsi="宋体"/>
          <w:bCs/>
          <w:sz w:val="24"/>
          <w:u w:val="single"/>
        </w:rPr>
        <w:t xml:space="preserve">                </w:t>
      </w:r>
      <w:r>
        <w:rPr>
          <w:rFonts w:hint="eastAsia" w:ascii="宋体" w:hAnsi="宋体"/>
          <w:bCs/>
          <w:sz w:val="24"/>
        </w:rPr>
        <w:t>（盖章）   供方（中标方）：</w:t>
      </w:r>
      <w:r>
        <w:rPr>
          <w:rFonts w:hint="eastAsia" w:ascii="宋体" w:hAnsi="宋体"/>
          <w:bCs/>
          <w:sz w:val="24"/>
          <w:u w:val="single"/>
        </w:rPr>
        <w:t xml:space="preserve">                </w:t>
      </w:r>
      <w:r>
        <w:rPr>
          <w:rFonts w:hint="eastAsia" w:ascii="宋体" w:hAnsi="宋体"/>
          <w:bCs/>
          <w:sz w:val="24"/>
        </w:rPr>
        <w:t>（盖章）</w:t>
      </w:r>
    </w:p>
    <w:p>
      <w:pPr>
        <w:spacing w:line="440" w:lineRule="exact"/>
        <w:rPr>
          <w:rFonts w:ascii="宋体" w:hAnsi="宋体"/>
          <w:bCs/>
          <w:sz w:val="24"/>
          <w:u w:val="single"/>
        </w:rPr>
      </w:pPr>
      <w:r>
        <w:rPr>
          <w:rFonts w:hint="eastAsia" w:ascii="宋体" w:hAnsi="宋体"/>
          <w:bCs/>
          <w:sz w:val="24"/>
        </w:rPr>
        <w:t>法定（授权）代表人：</w:t>
      </w:r>
      <w:r>
        <w:rPr>
          <w:rFonts w:hint="eastAsia" w:ascii="宋体" w:hAnsi="宋体"/>
          <w:bCs/>
          <w:sz w:val="24"/>
          <w:u w:val="single"/>
        </w:rPr>
        <w:t xml:space="preserve">                  </w:t>
      </w:r>
      <w:r>
        <w:rPr>
          <w:rFonts w:hint="eastAsia" w:ascii="宋体" w:hAnsi="宋体"/>
          <w:bCs/>
          <w:sz w:val="24"/>
        </w:rPr>
        <w:t xml:space="preserve">    法定（授权）代表人：</w:t>
      </w:r>
      <w:r>
        <w:rPr>
          <w:rFonts w:hint="eastAsia" w:ascii="宋体" w:hAnsi="宋体"/>
          <w:bCs/>
          <w:sz w:val="24"/>
          <w:u w:val="single"/>
        </w:rPr>
        <w:t xml:space="preserve">                   </w:t>
      </w:r>
    </w:p>
    <w:p>
      <w:pPr>
        <w:spacing w:line="440" w:lineRule="exact"/>
        <w:rPr>
          <w:rFonts w:ascii="宋体" w:hAnsi="宋体"/>
          <w:bCs/>
          <w:sz w:val="24"/>
          <w:u w:val="single"/>
        </w:rPr>
      </w:pPr>
      <w:r>
        <w:rPr>
          <w:rFonts w:hint="eastAsia" w:ascii="宋体" w:hAnsi="宋体"/>
          <w:bCs/>
          <w:sz w:val="24"/>
          <w:u w:val="single"/>
        </w:rPr>
        <w:t xml:space="preserve">        </w:t>
      </w:r>
      <w:r>
        <w:rPr>
          <w:rFonts w:hint="eastAsia" w:ascii="宋体" w:hAnsi="宋体"/>
          <w:bCs/>
          <w:sz w:val="24"/>
        </w:rPr>
        <w:t>年</w:t>
      </w:r>
      <w:r>
        <w:rPr>
          <w:rFonts w:hint="eastAsia" w:ascii="宋体" w:hAnsi="宋体"/>
          <w:bCs/>
          <w:sz w:val="24"/>
          <w:u w:val="single"/>
        </w:rPr>
        <w:t xml:space="preserve">      </w:t>
      </w:r>
      <w:r>
        <w:rPr>
          <w:rFonts w:hint="eastAsia" w:ascii="宋体" w:hAnsi="宋体"/>
          <w:bCs/>
          <w:sz w:val="24"/>
        </w:rPr>
        <w:t>月</w:t>
      </w:r>
      <w:r>
        <w:rPr>
          <w:rFonts w:hint="eastAsia" w:ascii="宋体" w:hAnsi="宋体"/>
          <w:bCs/>
          <w:sz w:val="24"/>
          <w:u w:val="single"/>
        </w:rPr>
        <w:t xml:space="preserve">       </w:t>
      </w:r>
      <w:r>
        <w:rPr>
          <w:rFonts w:hint="eastAsia" w:ascii="宋体" w:hAnsi="宋体"/>
          <w:bCs/>
          <w:sz w:val="24"/>
        </w:rPr>
        <w:t xml:space="preserve">日               </w:t>
      </w:r>
      <w:r>
        <w:rPr>
          <w:rFonts w:hint="eastAsia" w:ascii="宋体" w:hAnsi="宋体"/>
          <w:bCs/>
          <w:sz w:val="24"/>
          <w:u w:val="single"/>
        </w:rPr>
        <w:t xml:space="preserve">        </w:t>
      </w:r>
      <w:r>
        <w:rPr>
          <w:rFonts w:hint="eastAsia" w:ascii="宋体" w:hAnsi="宋体"/>
          <w:bCs/>
          <w:sz w:val="24"/>
        </w:rPr>
        <w:t>年</w:t>
      </w:r>
      <w:r>
        <w:rPr>
          <w:rFonts w:hint="eastAsia" w:ascii="宋体" w:hAnsi="宋体"/>
          <w:bCs/>
          <w:sz w:val="24"/>
          <w:u w:val="single"/>
        </w:rPr>
        <w:t xml:space="preserve">      </w:t>
      </w:r>
      <w:r>
        <w:rPr>
          <w:rFonts w:hint="eastAsia" w:ascii="宋体" w:hAnsi="宋体"/>
          <w:bCs/>
          <w:sz w:val="24"/>
        </w:rPr>
        <w:t>月</w:t>
      </w:r>
      <w:r>
        <w:rPr>
          <w:rFonts w:hint="eastAsia" w:ascii="宋体" w:hAnsi="宋体"/>
          <w:bCs/>
          <w:sz w:val="24"/>
          <w:u w:val="single"/>
        </w:rPr>
        <w:t xml:space="preserve">       </w:t>
      </w:r>
      <w:r>
        <w:rPr>
          <w:rFonts w:hint="eastAsia" w:ascii="宋体" w:hAnsi="宋体"/>
          <w:bCs/>
          <w:sz w:val="24"/>
        </w:rPr>
        <w:t>日</w:t>
      </w:r>
    </w:p>
    <w:p>
      <w:pPr>
        <w:spacing w:line="440" w:lineRule="exact"/>
        <w:ind w:firstLine="480" w:firstLineChars="200"/>
        <w:rPr>
          <w:rFonts w:ascii="宋体" w:hAnsi="宋体"/>
          <w:bCs/>
          <w:sz w:val="24"/>
          <w:u w:val="single"/>
        </w:rPr>
      </w:pPr>
      <w:r>
        <w:rPr>
          <w:rFonts w:hint="eastAsia" w:ascii="宋体" w:hAnsi="宋体"/>
          <w:bCs/>
          <w:sz w:val="24"/>
        </w:rPr>
        <w:t xml:space="preserve">                               </w:t>
      </w:r>
    </w:p>
    <w:p>
      <w:pPr>
        <w:spacing w:line="440" w:lineRule="exact"/>
        <w:rPr>
          <w:rFonts w:ascii="宋体" w:hAnsi="宋体"/>
          <w:bCs/>
          <w:sz w:val="24"/>
          <w:u w:val="single"/>
        </w:rPr>
      </w:pPr>
      <w:r>
        <w:rPr>
          <w:rFonts w:hint="eastAsia" w:ascii="宋体" w:hAnsi="宋体"/>
          <w:bCs/>
          <w:sz w:val="24"/>
        </w:rPr>
        <w:t>见证方：                            （盖章）供方户名：</w:t>
      </w:r>
      <w:r>
        <w:rPr>
          <w:rFonts w:hint="eastAsia" w:ascii="宋体" w:hAnsi="宋体"/>
          <w:bCs/>
          <w:sz w:val="24"/>
          <w:u w:val="single"/>
        </w:rPr>
        <w:t xml:space="preserve">                           </w:t>
      </w:r>
    </w:p>
    <w:p>
      <w:pPr>
        <w:spacing w:line="440" w:lineRule="exact"/>
        <w:rPr>
          <w:rFonts w:ascii="宋体" w:hAnsi="宋体"/>
          <w:bCs/>
          <w:sz w:val="24"/>
          <w:u w:val="single"/>
        </w:rPr>
      </w:pPr>
      <w:r>
        <w:rPr>
          <w:rFonts w:hint="eastAsia" w:ascii="宋体" w:hAnsi="宋体"/>
          <w:bCs/>
          <w:sz w:val="24"/>
        </w:rPr>
        <w:t>见证人：</w:t>
      </w:r>
      <w:r>
        <w:rPr>
          <w:rFonts w:hint="eastAsia" w:ascii="宋体" w:hAnsi="宋体"/>
          <w:bCs/>
          <w:sz w:val="24"/>
          <w:u w:val="single"/>
        </w:rPr>
        <w:t xml:space="preserve">            </w:t>
      </w:r>
      <w:r>
        <w:rPr>
          <w:rFonts w:hint="eastAsia" w:ascii="宋体" w:hAnsi="宋体"/>
          <w:bCs/>
          <w:sz w:val="24"/>
        </w:rPr>
        <w:t xml:space="preserve">                        供方开户银行：</w:t>
      </w:r>
      <w:r>
        <w:rPr>
          <w:rFonts w:hint="eastAsia" w:ascii="宋体" w:hAnsi="宋体"/>
          <w:bCs/>
          <w:sz w:val="24"/>
          <w:u w:val="single"/>
        </w:rPr>
        <w:t xml:space="preserve">                       </w:t>
      </w:r>
    </w:p>
    <w:p>
      <w:pPr>
        <w:spacing w:line="440" w:lineRule="exact"/>
        <w:rPr>
          <w:rFonts w:ascii="宋体" w:hAnsi="宋体"/>
          <w:bCs/>
          <w:sz w:val="24"/>
          <w:u w:val="single"/>
        </w:rPr>
      </w:pPr>
      <w:r>
        <w:rPr>
          <w:rFonts w:hint="eastAsia" w:ascii="宋体" w:hAnsi="宋体"/>
          <w:bCs/>
          <w:sz w:val="24"/>
        </w:rPr>
        <w:t xml:space="preserve">            </w:t>
      </w:r>
      <w:r>
        <w:rPr>
          <w:rFonts w:hint="eastAsia" w:ascii="宋体" w:hAnsi="宋体"/>
          <w:bCs/>
          <w:sz w:val="24"/>
          <w:u w:val="single"/>
        </w:rPr>
        <w:t xml:space="preserve">        </w:t>
      </w:r>
      <w:r>
        <w:rPr>
          <w:rFonts w:hint="eastAsia" w:ascii="宋体" w:hAnsi="宋体"/>
          <w:bCs/>
          <w:sz w:val="24"/>
        </w:rPr>
        <w:t>年</w:t>
      </w:r>
      <w:r>
        <w:rPr>
          <w:rFonts w:hint="eastAsia" w:ascii="宋体" w:hAnsi="宋体"/>
          <w:bCs/>
          <w:sz w:val="24"/>
          <w:u w:val="single"/>
        </w:rPr>
        <w:t xml:space="preserve">      </w:t>
      </w:r>
      <w:r>
        <w:rPr>
          <w:rFonts w:hint="eastAsia" w:ascii="宋体" w:hAnsi="宋体"/>
          <w:bCs/>
          <w:sz w:val="24"/>
        </w:rPr>
        <w:t>月</w:t>
      </w:r>
      <w:r>
        <w:rPr>
          <w:rFonts w:hint="eastAsia" w:ascii="宋体" w:hAnsi="宋体"/>
          <w:bCs/>
          <w:sz w:val="24"/>
          <w:u w:val="single"/>
        </w:rPr>
        <w:t xml:space="preserve">       </w:t>
      </w:r>
      <w:r>
        <w:rPr>
          <w:rFonts w:hint="eastAsia" w:ascii="宋体" w:hAnsi="宋体"/>
          <w:bCs/>
          <w:sz w:val="24"/>
        </w:rPr>
        <w:t>日     供方帐号：</w:t>
      </w:r>
      <w:r>
        <w:rPr>
          <w:rFonts w:hint="eastAsia" w:ascii="宋体" w:hAnsi="宋体"/>
          <w:bCs/>
          <w:sz w:val="24"/>
          <w:u w:val="single"/>
        </w:rPr>
        <w:t xml:space="preserve">                           </w:t>
      </w:r>
    </w:p>
    <w:p>
      <w:pPr>
        <w:jc w:val="left"/>
        <w:rPr>
          <w:rFonts w:ascii="宋体" w:hAnsi="宋体"/>
          <w:bCs/>
          <w:sz w:val="24"/>
        </w:rPr>
      </w:pPr>
      <w:r>
        <w:rPr>
          <w:rFonts w:hint="eastAsia" w:ascii="宋体" w:hAnsi="宋体"/>
          <w:bCs/>
          <w:sz w:val="24"/>
        </w:rPr>
        <w:t>★.</w:t>
      </w:r>
      <w:r>
        <w:rPr>
          <w:rFonts w:hint="eastAsia" w:ascii="宋体" w:hAnsi="宋体"/>
          <w:b/>
          <w:bCs/>
          <w:sz w:val="24"/>
        </w:rPr>
        <w:t>备注：</w:t>
      </w:r>
      <w:r>
        <w:rPr>
          <w:rFonts w:hint="eastAsia" w:ascii="宋体" w:hAnsi="宋体"/>
          <w:bCs/>
          <w:sz w:val="24"/>
        </w:rPr>
        <w:t>供需双方必须以本格式文本，按照合同条款拟订合同。</w:t>
      </w:r>
    </w:p>
    <w:p>
      <w:pPr>
        <w:spacing w:line="360" w:lineRule="auto"/>
        <w:jc w:val="center"/>
        <w:rPr>
          <w:rFonts w:ascii="黑体" w:eastAsia="黑体"/>
          <w:bCs/>
          <w:sz w:val="28"/>
          <w:szCs w:val="28"/>
        </w:rPr>
      </w:pPr>
      <w:bookmarkStart w:id="24" w:name="五．合同条款"/>
      <w:bookmarkEnd w:id="24"/>
    </w:p>
    <w:p>
      <w:pPr>
        <w:spacing w:line="360" w:lineRule="auto"/>
        <w:jc w:val="center"/>
        <w:rPr>
          <w:rFonts w:ascii="黑体" w:eastAsia="黑体"/>
          <w:bCs/>
          <w:sz w:val="28"/>
          <w:szCs w:val="28"/>
        </w:rPr>
      </w:pPr>
    </w:p>
    <w:p>
      <w:pPr>
        <w:spacing w:line="360" w:lineRule="auto"/>
        <w:jc w:val="center"/>
        <w:rPr>
          <w:rFonts w:ascii="黑体" w:eastAsia="黑体"/>
          <w:bCs/>
          <w:sz w:val="28"/>
          <w:szCs w:val="28"/>
        </w:rPr>
      </w:pPr>
    </w:p>
    <w:p>
      <w:pPr>
        <w:spacing w:line="360" w:lineRule="auto"/>
        <w:rPr>
          <w:rFonts w:ascii="黑体" w:eastAsia="黑体"/>
          <w:bCs/>
          <w:sz w:val="28"/>
          <w:szCs w:val="28"/>
        </w:rPr>
      </w:pPr>
    </w:p>
    <w:p>
      <w:pPr>
        <w:spacing w:line="360" w:lineRule="auto"/>
        <w:jc w:val="center"/>
        <w:rPr>
          <w:rFonts w:eastAsia="黑体"/>
          <w:bCs/>
          <w:sz w:val="28"/>
          <w:szCs w:val="28"/>
          <w:lang w:val="de-DE"/>
        </w:rPr>
      </w:pPr>
      <w:r>
        <w:rPr>
          <w:rFonts w:hint="eastAsia" w:ascii="黑体" w:eastAsia="黑体"/>
          <w:bCs/>
          <w:sz w:val="28"/>
          <w:szCs w:val="28"/>
        </w:rPr>
        <w:t>五．合同条款（格式）</w:t>
      </w:r>
    </w:p>
    <w:p>
      <w:pPr>
        <w:spacing w:line="360" w:lineRule="auto"/>
        <w:ind w:firstLine="480" w:firstLineChars="200"/>
        <w:rPr>
          <w:rFonts w:ascii="宋体" w:hAnsi="宋体"/>
          <w:bCs/>
          <w:sz w:val="24"/>
        </w:rPr>
      </w:pPr>
      <w:r>
        <w:rPr>
          <w:rFonts w:hint="eastAsia" w:ascii="宋体" w:hAnsi="宋体"/>
          <w:bCs/>
          <w:sz w:val="24"/>
        </w:rPr>
        <w:t>根据编号</w:t>
      </w:r>
      <w:r>
        <w:rPr>
          <w:rFonts w:hint="eastAsia" w:ascii="华文新魏" w:hAnsi="华文中宋" w:eastAsia="华文新魏"/>
          <w:szCs w:val="20"/>
        </w:rPr>
        <w:t>*********</w:t>
      </w:r>
      <w:r>
        <w:rPr>
          <w:rFonts w:hint="eastAsia" w:ascii="宋体" w:hAnsi="宋体"/>
          <w:bCs/>
          <w:sz w:val="24"/>
        </w:rPr>
        <w:t>招标文件和该文件的中标通知书及供方投标文件，供需双方就此次**********及相关问题，同意按下列条款规定执行。</w:t>
      </w:r>
    </w:p>
    <w:p>
      <w:pPr>
        <w:spacing w:line="360" w:lineRule="auto"/>
        <w:ind w:firstLine="525"/>
        <w:rPr>
          <w:rFonts w:ascii="宋体" w:hAnsi="宋体"/>
          <w:bCs/>
          <w:sz w:val="24"/>
        </w:rPr>
      </w:pPr>
      <w:r>
        <w:rPr>
          <w:rFonts w:hint="eastAsia" w:ascii="宋体" w:hAnsi="宋体"/>
          <w:bCs/>
          <w:sz w:val="24"/>
        </w:rPr>
        <w:t>（一） 合同内容： 需方向供方购买</w:t>
      </w:r>
      <w:r>
        <w:rPr>
          <w:rFonts w:hint="eastAsia" w:ascii="宋体" w:hAnsi="宋体"/>
          <w:bCs/>
          <w:sz w:val="24"/>
          <w:u w:val="single"/>
        </w:rPr>
        <w:t xml:space="preserve">                       </w:t>
      </w:r>
      <w:r>
        <w:rPr>
          <w:rFonts w:hint="eastAsia" w:ascii="宋体" w:hAnsi="宋体"/>
          <w:bCs/>
          <w:sz w:val="24"/>
        </w:rPr>
        <w:t>。</w:t>
      </w:r>
    </w:p>
    <w:p>
      <w:pPr>
        <w:spacing w:line="360" w:lineRule="auto"/>
        <w:ind w:firstLine="525"/>
        <w:rPr>
          <w:rFonts w:ascii="宋体" w:hAnsi="宋体"/>
          <w:bCs/>
          <w:sz w:val="24"/>
        </w:rPr>
      </w:pPr>
      <w:r>
        <w:rPr>
          <w:rFonts w:hint="eastAsia" w:ascii="宋体" w:hAnsi="宋体"/>
          <w:bCs/>
          <w:sz w:val="24"/>
        </w:rPr>
        <w:t>（二） 价格及支付：</w:t>
      </w:r>
    </w:p>
    <w:p>
      <w:pPr>
        <w:tabs>
          <w:tab w:val="left" w:pos="525"/>
          <w:tab w:val="left" w:pos="1050"/>
          <w:tab w:val="left" w:pos="1155"/>
        </w:tabs>
        <w:spacing w:line="360" w:lineRule="auto"/>
        <w:ind w:firstLine="523" w:firstLineChars="218"/>
        <w:rPr>
          <w:rFonts w:ascii="宋体" w:hAnsi="宋体"/>
          <w:bCs/>
          <w:sz w:val="24"/>
        </w:rPr>
      </w:pPr>
      <w:r>
        <w:rPr>
          <w:rFonts w:hint="eastAsia" w:ascii="宋体" w:hAnsi="宋体"/>
          <w:bCs/>
          <w:sz w:val="24"/>
        </w:rPr>
        <w:t>1. 按此次中标价格执行，合同总标的额为</w:t>
      </w:r>
      <w:r>
        <w:rPr>
          <w:rFonts w:hint="eastAsia" w:ascii="宋体" w:hAnsi="宋体"/>
          <w:bCs/>
          <w:sz w:val="24"/>
          <w:u w:val="single"/>
        </w:rPr>
        <w:t xml:space="preserve">             </w:t>
      </w:r>
      <w:r>
        <w:rPr>
          <w:rFonts w:hint="eastAsia" w:ascii="宋体" w:hAnsi="宋体"/>
          <w:bCs/>
          <w:sz w:val="24"/>
        </w:rPr>
        <w:t>元。</w:t>
      </w:r>
    </w:p>
    <w:p>
      <w:pPr>
        <w:tabs>
          <w:tab w:val="left" w:pos="945"/>
          <w:tab w:val="left" w:pos="2100"/>
        </w:tabs>
        <w:spacing w:line="360" w:lineRule="auto"/>
        <w:ind w:left="525"/>
        <w:rPr>
          <w:rFonts w:ascii="宋体" w:hAnsi="宋体"/>
          <w:bCs/>
          <w:sz w:val="24"/>
        </w:rPr>
      </w:pPr>
      <w:r>
        <w:rPr>
          <w:rFonts w:hint="eastAsia" w:ascii="宋体" w:hAnsi="宋体"/>
          <w:bCs/>
          <w:sz w:val="24"/>
        </w:rPr>
        <w:t>2. 付款方</w:t>
      </w:r>
      <w:r>
        <w:rPr>
          <w:rFonts w:hint="eastAsia" w:ascii="宋体" w:hAnsi="宋体"/>
          <w:bCs/>
          <w:color w:val="auto"/>
          <w:sz w:val="24"/>
        </w:rPr>
        <w:t>式：</w:t>
      </w:r>
      <w:r>
        <w:rPr>
          <w:rFonts w:hint="eastAsia" w:ascii="宋体" w:hAnsi="宋体" w:cs="宋体"/>
          <w:bCs/>
          <w:color w:val="auto"/>
          <w:kern w:val="0"/>
          <w:sz w:val="24"/>
        </w:rPr>
        <w:t>供货到位</w:t>
      </w:r>
      <w:r>
        <w:rPr>
          <w:rFonts w:hint="eastAsia" w:ascii="宋体" w:hAnsi="宋体" w:cs="宋体"/>
          <w:bCs/>
          <w:color w:val="auto"/>
          <w:kern w:val="0"/>
          <w:sz w:val="24"/>
          <w:lang w:val="en-US" w:eastAsia="zh-CN"/>
        </w:rPr>
        <w:t>并安装完成</w:t>
      </w:r>
      <w:r>
        <w:rPr>
          <w:rFonts w:hint="eastAsia" w:ascii="宋体" w:hAnsi="宋体" w:cs="宋体"/>
          <w:bCs/>
          <w:color w:val="auto"/>
          <w:kern w:val="0"/>
          <w:sz w:val="24"/>
        </w:rPr>
        <w:t>，提交全部报告材料，通过正式验收，送审资料提交后，审计结束付至审定价的</w:t>
      </w:r>
      <w:r>
        <w:rPr>
          <w:rFonts w:hint="eastAsia" w:ascii="宋体" w:hAnsi="宋体" w:cs="宋体"/>
          <w:bCs/>
          <w:color w:val="auto"/>
          <w:kern w:val="0"/>
          <w:sz w:val="24"/>
          <w:lang w:val="en-US" w:eastAsia="zh-CN"/>
        </w:rPr>
        <w:t>80</w:t>
      </w:r>
      <w:r>
        <w:rPr>
          <w:rFonts w:hint="eastAsia" w:ascii="宋体" w:hAnsi="宋体" w:cs="宋体"/>
          <w:bCs/>
          <w:color w:val="auto"/>
          <w:kern w:val="0"/>
          <w:sz w:val="24"/>
        </w:rPr>
        <w:t>%，质保期满后一个月内付清</w:t>
      </w:r>
      <w:r>
        <w:rPr>
          <w:rFonts w:hint="eastAsia" w:ascii="宋体" w:hAnsi="宋体" w:cs="宋体"/>
          <w:bCs/>
          <w:color w:val="auto"/>
          <w:kern w:val="0"/>
          <w:sz w:val="24"/>
          <w:lang w:val="en-US" w:eastAsia="zh-CN"/>
        </w:rPr>
        <w:t>余</w:t>
      </w:r>
      <w:r>
        <w:rPr>
          <w:rFonts w:hint="eastAsia" w:ascii="宋体" w:hAnsi="宋体"/>
          <w:bCs/>
          <w:color w:val="auto"/>
          <w:sz w:val="24"/>
        </w:rPr>
        <w:t>。</w:t>
      </w:r>
    </w:p>
    <w:p>
      <w:pPr>
        <w:numPr>
          <w:ilvl w:val="0"/>
          <w:numId w:val="8"/>
        </w:numPr>
        <w:tabs>
          <w:tab w:val="left" w:pos="0"/>
          <w:tab w:val="left" w:pos="1365"/>
        </w:tabs>
        <w:spacing w:line="360" w:lineRule="auto"/>
        <w:ind w:left="0" w:firstLine="525"/>
        <w:rPr>
          <w:rFonts w:ascii="宋体" w:hAnsi="宋体"/>
          <w:bCs/>
          <w:sz w:val="24"/>
        </w:rPr>
      </w:pPr>
      <w:r>
        <w:rPr>
          <w:rFonts w:hint="eastAsia" w:ascii="宋体" w:hAnsi="宋体"/>
          <w:bCs/>
          <w:sz w:val="24"/>
        </w:rPr>
        <w:t>知识产权</w:t>
      </w:r>
    </w:p>
    <w:p>
      <w:pPr>
        <w:tabs>
          <w:tab w:val="left" w:pos="945"/>
        </w:tabs>
        <w:spacing w:line="360" w:lineRule="auto"/>
        <w:ind w:firstLine="480" w:firstLineChars="200"/>
        <w:rPr>
          <w:rFonts w:ascii="宋体" w:hAnsi="宋体"/>
          <w:bCs/>
          <w:sz w:val="24"/>
        </w:rPr>
      </w:pPr>
      <w:r>
        <w:rPr>
          <w:rFonts w:hint="eastAsia" w:ascii="宋体" w:hAnsi="宋体"/>
          <w:bCs/>
          <w:sz w:val="24"/>
        </w:rPr>
        <w:t>供方应保证需方在使用其交付物、服务及其任何部分时不受到第三方关于侵犯专利权、商标权或软件著作权等知识产权的指控。任何第三方如果提出侵权指控，供方应承担可能发生的一切法律责任和费用。</w:t>
      </w:r>
    </w:p>
    <w:p>
      <w:pPr>
        <w:numPr>
          <w:ilvl w:val="0"/>
          <w:numId w:val="8"/>
        </w:numPr>
        <w:tabs>
          <w:tab w:val="left" w:pos="735"/>
        </w:tabs>
        <w:spacing w:line="360" w:lineRule="auto"/>
        <w:ind w:left="0" w:firstLine="520" w:firstLineChars="217"/>
        <w:rPr>
          <w:rFonts w:ascii="宋体" w:hAnsi="宋体"/>
          <w:bCs/>
          <w:sz w:val="24"/>
        </w:rPr>
      </w:pPr>
      <w:r>
        <w:rPr>
          <w:rFonts w:hint="eastAsia" w:ascii="宋体" w:hAnsi="宋体"/>
          <w:bCs/>
          <w:sz w:val="24"/>
        </w:rPr>
        <w:t>质量与检验：</w:t>
      </w:r>
    </w:p>
    <w:p>
      <w:pPr>
        <w:tabs>
          <w:tab w:val="left" w:pos="525"/>
          <w:tab w:val="left" w:pos="1050"/>
          <w:tab w:val="left" w:pos="1155"/>
        </w:tabs>
        <w:spacing w:line="360" w:lineRule="auto"/>
        <w:ind w:firstLine="520" w:firstLineChars="217"/>
        <w:rPr>
          <w:rFonts w:ascii="宋体" w:hAnsi="宋体"/>
          <w:bCs/>
          <w:sz w:val="24"/>
        </w:rPr>
      </w:pPr>
      <w:r>
        <w:rPr>
          <w:rFonts w:hint="eastAsia" w:ascii="宋体" w:hAnsi="宋体"/>
          <w:bCs/>
          <w:sz w:val="24"/>
        </w:rPr>
        <w:t xml:space="preserve">1．供方应严格按照招标文件的有关规定和供方投标文件提供合格的货物及服务。                                   </w:t>
      </w:r>
    </w:p>
    <w:p>
      <w:pPr>
        <w:tabs>
          <w:tab w:val="left" w:pos="1050"/>
          <w:tab w:val="left" w:pos="1155"/>
        </w:tabs>
        <w:spacing w:line="360" w:lineRule="auto"/>
        <w:ind w:firstLine="520" w:firstLineChars="217"/>
        <w:rPr>
          <w:rFonts w:ascii="宋体" w:hAnsi="宋体"/>
          <w:bCs/>
          <w:sz w:val="24"/>
        </w:rPr>
      </w:pPr>
      <w:r>
        <w:rPr>
          <w:rFonts w:hint="eastAsia" w:ascii="宋体" w:hAnsi="宋体"/>
          <w:bCs/>
          <w:sz w:val="24"/>
        </w:rPr>
        <w:t>2．如果任何被检验的货物或服务不符合质量要求，需方均可以拒绝接受，供方应及时更换被拒绝的货物或重新提供服务，且不得影响需方正常工作，费用由供方承担，如因更换或重作导致供方逾期交付货物的，供方还应承担逾期交付的违约责任。本规定并不免除供方在本合同项下的货物质量保证义务或其他义务。</w:t>
      </w:r>
    </w:p>
    <w:p>
      <w:pPr>
        <w:tabs>
          <w:tab w:val="left" w:pos="420"/>
          <w:tab w:val="left" w:pos="1050"/>
          <w:tab w:val="left" w:pos="1155"/>
        </w:tabs>
        <w:spacing w:line="360" w:lineRule="auto"/>
        <w:ind w:firstLine="520" w:firstLineChars="217"/>
        <w:rPr>
          <w:rFonts w:ascii="宋体" w:hAnsi="宋体"/>
          <w:bCs/>
          <w:sz w:val="24"/>
        </w:rPr>
      </w:pPr>
      <w:r>
        <w:rPr>
          <w:rFonts w:hint="eastAsia" w:ascii="宋体" w:hAnsi="宋体"/>
          <w:bCs/>
          <w:sz w:val="24"/>
        </w:rPr>
        <w:t>3．货物的到货验收包括：数量、外观、质量、性能、随机备件、装箱单、质量证书等随机资料及包装完整无破损。</w:t>
      </w:r>
    </w:p>
    <w:p>
      <w:pPr>
        <w:tabs>
          <w:tab w:val="left" w:pos="1050"/>
          <w:tab w:val="left" w:pos="1155"/>
        </w:tabs>
        <w:spacing w:line="360" w:lineRule="auto"/>
        <w:ind w:firstLine="520" w:firstLineChars="217"/>
        <w:rPr>
          <w:rFonts w:ascii="宋体" w:hAnsi="宋体"/>
          <w:bCs/>
          <w:sz w:val="24"/>
        </w:rPr>
      </w:pPr>
      <w:r>
        <w:rPr>
          <w:rFonts w:hint="eastAsia" w:ascii="宋体" w:hAnsi="宋体"/>
          <w:bCs/>
          <w:sz w:val="24"/>
        </w:rPr>
        <w:t>4．货物和系统调试验收标准：按行业通行标准、厂方出厂标准、招标文件要求和供方投标文件的承诺，并不低于国家相关标准。</w:t>
      </w:r>
    </w:p>
    <w:p>
      <w:pPr>
        <w:tabs>
          <w:tab w:val="left" w:pos="1050"/>
          <w:tab w:val="left" w:pos="1155"/>
        </w:tabs>
        <w:spacing w:line="360" w:lineRule="auto"/>
        <w:ind w:firstLine="520" w:firstLineChars="217"/>
        <w:rPr>
          <w:rFonts w:ascii="宋体" w:hAnsi="宋体"/>
          <w:bCs/>
          <w:sz w:val="24"/>
        </w:rPr>
      </w:pPr>
      <w:r>
        <w:rPr>
          <w:rFonts w:hint="eastAsia" w:ascii="宋体" w:hAnsi="宋体"/>
          <w:bCs/>
          <w:sz w:val="24"/>
        </w:rPr>
        <w:t>5．货物运到需方指定地点并经需方验证签收后，由于需方保管不善造成的质量问题，供方应负责修理，但有关费用由需方承担。</w:t>
      </w:r>
    </w:p>
    <w:p>
      <w:pPr>
        <w:tabs>
          <w:tab w:val="left" w:pos="1050"/>
          <w:tab w:val="left" w:pos="1155"/>
        </w:tabs>
        <w:spacing w:line="360" w:lineRule="auto"/>
        <w:ind w:firstLine="520" w:firstLineChars="217"/>
        <w:rPr>
          <w:rFonts w:ascii="宋体" w:hAnsi="宋体"/>
          <w:bCs/>
          <w:sz w:val="24"/>
        </w:rPr>
      </w:pPr>
      <w:r>
        <w:rPr>
          <w:rFonts w:hint="eastAsia" w:ascii="宋体" w:hAnsi="宋体"/>
          <w:bCs/>
          <w:sz w:val="24"/>
        </w:rPr>
        <w:t>6. 需方应在货物运到并接到供方通知后及时按照招投标文件的约定组织验收。在验收过程中产生的质量及其他问题，需方须及时以书面形式提出异议并向招标代理反馈并提出相应处理意见</w:t>
      </w:r>
      <w:r>
        <w:rPr>
          <w:rFonts w:ascii="宋体" w:hAnsi="宋体"/>
          <w:sz w:val="24"/>
        </w:rPr>
        <w:t>。</w:t>
      </w:r>
      <w:r>
        <w:rPr>
          <w:rFonts w:hint="eastAsia" w:ascii="宋体" w:hAnsi="宋体"/>
          <w:sz w:val="24"/>
        </w:rPr>
        <w:t>供</w:t>
      </w:r>
      <w:r>
        <w:rPr>
          <w:rFonts w:ascii="宋体" w:hAnsi="宋体"/>
          <w:sz w:val="24"/>
        </w:rPr>
        <w:t>方在接到</w:t>
      </w:r>
      <w:r>
        <w:rPr>
          <w:rFonts w:hint="eastAsia" w:ascii="宋体" w:hAnsi="宋体"/>
          <w:sz w:val="24"/>
        </w:rPr>
        <w:t>需方</w:t>
      </w:r>
      <w:r>
        <w:rPr>
          <w:rFonts w:ascii="宋体" w:hAnsi="宋体"/>
          <w:sz w:val="24"/>
        </w:rPr>
        <w:t>书面异议后应</w:t>
      </w:r>
      <w:r>
        <w:rPr>
          <w:rFonts w:hint="eastAsia" w:ascii="宋体" w:hAnsi="宋体"/>
          <w:sz w:val="24"/>
        </w:rPr>
        <w:t>立即整改，否则承担违约责任</w:t>
      </w:r>
      <w:r>
        <w:rPr>
          <w:rFonts w:ascii="宋体" w:hAnsi="宋体"/>
          <w:sz w:val="24"/>
        </w:rPr>
        <w:t>。</w:t>
      </w:r>
    </w:p>
    <w:p>
      <w:pPr>
        <w:tabs>
          <w:tab w:val="left" w:pos="1050"/>
          <w:tab w:val="left" w:pos="1155"/>
        </w:tabs>
        <w:spacing w:line="360" w:lineRule="auto"/>
        <w:ind w:firstLine="520" w:firstLineChars="217"/>
        <w:rPr>
          <w:rFonts w:ascii="宋体" w:hAnsi="宋体"/>
          <w:bCs/>
          <w:sz w:val="24"/>
        </w:rPr>
      </w:pPr>
      <w:r>
        <w:rPr>
          <w:rFonts w:hint="eastAsia" w:ascii="宋体" w:hAnsi="宋体"/>
          <w:bCs/>
          <w:sz w:val="24"/>
        </w:rPr>
        <w:t>7. 需方不得擅自变更招投标文件约定的性能、指标等相关内容，如有变更应按《中华人民共和国政府采购法》、财政部《政府采购货物和服务招标投标管理办法》的相关程序执行。</w:t>
      </w:r>
    </w:p>
    <w:p>
      <w:pPr>
        <w:spacing w:line="360" w:lineRule="auto"/>
        <w:ind w:left="-2" w:leftChars="-1" w:firstLine="520" w:firstLineChars="217"/>
        <w:rPr>
          <w:rFonts w:ascii="宋体" w:hAnsi="宋体"/>
          <w:bCs/>
          <w:sz w:val="24"/>
        </w:rPr>
      </w:pPr>
      <w:r>
        <w:rPr>
          <w:rFonts w:hint="eastAsia" w:ascii="宋体" w:hAnsi="宋体"/>
          <w:bCs/>
          <w:sz w:val="24"/>
        </w:rPr>
        <w:t>（五） 交货条件：</w:t>
      </w:r>
    </w:p>
    <w:p>
      <w:pPr>
        <w:tabs>
          <w:tab w:val="left" w:pos="420"/>
          <w:tab w:val="left" w:pos="1155"/>
        </w:tabs>
        <w:spacing w:line="360" w:lineRule="auto"/>
        <w:ind w:firstLine="520" w:firstLineChars="217"/>
        <w:rPr>
          <w:rFonts w:ascii="宋体" w:hAnsi="宋体"/>
          <w:bCs/>
          <w:sz w:val="24"/>
        </w:rPr>
      </w:pPr>
      <w:r>
        <w:rPr>
          <w:rFonts w:hint="eastAsia" w:ascii="宋体" w:hAnsi="宋体"/>
          <w:bCs/>
          <w:sz w:val="24"/>
        </w:rPr>
        <w:t xml:space="preserve">1．交货日期（或完工期）： </w:t>
      </w:r>
    </w:p>
    <w:p>
      <w:pPr>
        <w:tabs>
          <w:tab w:val="left" w:pos="1155"/>
        </w:tabs>
        <w:spacing w:line="360" w:lineRule="auto"/>
        <w:ind w:firstLine="520" w:firstLineChars="217"/>
        <w:rPr>
          <w:rFonts w:ascii="宋体" w:hAnsi="宋体"/>
          <w:bCs/>
          <w:sz w:val="24"/>
        </w:rPr>
      </w:pPr>
      <w:r>
        <w:rPr>
          <w:rFonts w:hint="eastAsia" w:ascii="宋体" w:hAnsi="宋体"/>
          <w:bCs/>
          <w:sz w:val="24"/>
        </w:rPr>
        <w:t>2．供方在验收时应先用信函、传真、电子邮件等书面方式通知需方。</w:t>
      </w:r>
    </w:p>
    <w:p>
      <w:pPr>
        <w:tabs>
          <w:tab w:val="left" w:pos="1155"/>
        </w:tabs>
        <w:spacing w:line="360" w:lineRule="auto"/>
        <w:ind w:firstLine="520" w:firstLineChars="217"/>
        <w:rPr>
          <w:rFonts w:ascii="宋体" w:hAnsi="宋体"/>
          <w:bCs/>
          <w:sz w:val="24"/>
        </w:rPr>
      </w:pPr>
      <w:r>
        <w:rPr>
          <w:rFonts w:hint="eastAsia" w:ascii="宋体" w:hAnsi="宋体"/>
          <w:bCs/>
          <w:sz w:val="24"/>
        </w:rPr>
        <w:t>3. 货物的外观、包装、运输应按国家有关规定或相关部颁标准执行。如因供方包装或运输不当等原因造成损坏或丢失，应由供方负责调换或补缺，如因此导致供方逾期交付货物的，供方还应承担逾期交付的违约责任。</w:t>
      </w:r>
    </w:p>
    <w:p>
      <w:pPr>
        <w:tabs>
          <w:tab w:val="left" w:pos="1155"/>
        </w:tabs>
        <w:spacing w:line="360" w:lineRule="auto"/>
        <w:ind w:firstLine="520" w:firstLineChars="217"/>
        <w:rPr>
          <w:rFonts w:ascii="宋体" w:hAnsi="宋体"/>
          <w:bCs/>
          <w:sz w:val="24"/>
        </w:rPr>
      </w:pPr>
      <w:r>
        <w:rPr>
          <w:rFonts w:hint="eastAsia" w:ascii="宋体" w:hAnsi="宋体"/>
          <w:bCs/>
          <w:sz w:val="24"/>
        </w:rPr>
        <w:t>4.</w:t>
      </w:r>
      <w:r>
        <w:rPr>
          <w:rFonts w:hint="eastAsia" w:ascii="楷体_GB2312" w:eastAsia="楷体_GB2312"/>
          <w:bCs/>
          <w:sz w:val="28"/>
          <w:szCs w:val="20"/>
        </w:rPr>
        <w:t xml:space="preserve"> </w:t>
      </w:r>
      <w:r>
        <w:rPr>
          <w:rFonts w:hint="eastAsia" w:ascii="宋体" w:hAnsi="宋体"/>
          <w:bCs/>
          <w:sz w:val="24"/>
        </w:rPr>
        <w:t>货物交货时，所有货物必须带有货物质量检验合格证书、中文质保单、装箱单、中文货物安装使用说明书。其它附件所有部件必须原包装。</w:t>
      </w:r>
    </w:p>
    <w:p>
      <w:pPr>
        <w:tabs>
          <w:tab w:val="left" w:pos="945"/>
          <w:tab w:val="left" w:pos="1155"/>
        </w:tabs>
        <w:spacing w:line="360" w:lineRule="auto"/>
        <w:ind w:left="2" w:firstLine="520" w:firstLineChars="217"/>
        <w:rPr>
          <w:rFonts w:ascii="宋体" w:hAnsi="宋体"/>
          <w:bCs/>
          <w:sz w:val="24"/>
        </w:rPr>
      </w:pPr>
      <w:r>
        <w:rPr>
          <w:rFonts w:hint="eastAsia" w:ascii="宋体" w:hAnsi="宋体"/>
          <w:bCs/>
          <w:sz w:val="24"/>
        </w:rPr>
        <w:t xml:space="preserve">5. 运输及到货地点：由供方负责办理运输并承担所有费用，直接送到需方指定地点，即：以合同书上的地点为准。                    </w:t>
      </w:r>
    </w:p>
    <w:p>
      <w:pPr>
        <w:spacing w:line="360" w:lineRule="auto"/>
        <w:ind w:firstLine="480" w:firstLineChars="200"/>
        <w:rPr>
          <w:rFonts w:ascii="宋体" w:hAnsi="宋体"/>
          <w:bCs/>
          <w:sz w:val="24"/>
        </w:rPr>
      </w:pPr>
      <w:r>
        <w:rPr>
          <w:rFonts w:hint="eastAsia" w:ascii="宋体" w:hAnsi="宋体"/>
          <w:bCs/>
          <w:sz w:val="24"/>
        </w:rPr>
        <w:t>（六） 安装调试及售后服务：</w:t>
      </w:r>
    </w:p>
    <w:p>
      <w:pPr>
        <w:numPr>
          <w:ilvl w:val="0"/>
          <w:numId w:val="9"/>
        </w:numPr>
        <w:tabs>
          <w:tab w:val="left" w:pos="525"/>
          <w:tab w:val="left" w:pos="840"/>
          <w:tab w:val="left" w:pos="945"/>
        </w:tabs>
        <w:spacing w:line="360" w:lineRule="auto"/>
        <w:ind w:left="0" w:firstLine="520" w:firstLineChars="217"/>
        <w:rPr>
          <w:rFonts w:ascii="宋体" w:hAnsi="宋体"/>
          <w:bCs/>
          <w:sz w:val="24"/>
        </w:rPr>
      </w:pPr>
      <w:r>
        <w:rPr>
          <w:rFonts w:hint="eastAsia" w:ascii="宋体" w:hAnsi="宋体"/>
          <w:bCs/>
          <w:sz w:val="24"/>
        </w:rPr>
        <w:t xml:space="preserve"> 供方负责本项目的安装和调试，并保证其提供的货物符合国家、行业、地方、招投标文件及合同规定的质量、性能和标准，并正确且安全地安装。</w:t>
      </w:r>
    </w:p>
    <w:p>
      <w:pPr>
        <w:numPr>
          <w:ilvl w:val="0"/>
          <w:numId w:val="9"/>
        </w:numPr>
        <w:tabs>
          <w:tab w:val="left" w:pos="525"/>
          <w:tab w:val="left" w:pos="840"/>
          <w:tab w:val="left" w:pos="945"/>
          <w:tab w:val="left" w:pos="1050"/>
        </w:tabs>
        <w:spacing w:line="360" w:lineRule="auto"/>
        <w:ind w:left="0" w:firstLine="520" w:firstLineChars="217"/>
        <w:rPr>
          <w:rFonts w:ascii="宋体" w:hAnsi="宋体"/>
          <w:bCs/>
          <w:sz w:val="24"/>
        </w:rPr>
      </w:pPr>
      <w:r>
        <w:rPr>
          <w:rFonts w:hint="eastAsia" w:ascii="宋体" w:hAnsi="宋体"/>
          <w:bCs/>
          <w:sz w:val="24"/>
        </w:rPr>
        <w:t xml:space="preserve"> 供方提供的服务全部按照国家有关法律法规规章和“三包”规定以及按招标文件要求和供方投标文件中的承诺执行。</w:t>
      </w:r>
    </w:p>
    <w:p>
      <w:pPr>
        <w:numPr>
          <w:ilvl w:val="0"/>
          <w:numId w:val="9"/>
        </w:numPr>
        <w:tabs>
          <w:tab w:val="left" w:pos="525"/>
          <w:tab w:val="left" w:pos="840"/>
          <w:tab w:val="left" w:pos="945"/>
          <w:tab w:val="left" w:pos="1050"/>
        </w:tabs>
        <w:spacing w:line="360" w:lineRule="auto"/>
        <w:ind w:left="0" w:firstLine="520" w:firstLineChars="217"/>
        <w:rPr>
          <w:rFonts w:ascii="宋体" w:hAnsi="宋体"/>
          <w:bCs/>
          <w:sz w:val="24"/>
        </w:rPr>
      </w:pPr>
      <w:r>
        <w:rPr>
          <w:rFonts w:hint="eastAsia" w:ascii="宋体" w:hAnsi="宋体"/>
          <w:bCs/>
          <w:sz w:val="24"/>
        </w:rPr>
        <w:t xml:space="preserve"> 质保期后的货物维护由双方协商再定。</w:t>
      </w:r>
    </w:p>
    <w:p>
      <w:pPr>
        <w:numPr>
          <w:ilvl w:val="0"/>
          <w:numId w:val="9"/>
        </w:numPr>
        <w:tabs>
          <w:tab w:val="left" w:pos="525"/>
          <w:tab w:val="left" w:pos="840"/>
          <w:tab w:val="left" w:pos="945"/>
          <w:tab w:val="left" w:pos="1050"/>
        </w:tabs>
        <w:spacing w:line="360" w:lineRule="auto"/>
        <w:ind w:left="0" w:firstLine="520" w:firstLineChars="217"/>
        <w:rPr>
          <w:rFonts w:ascii="宋体" w:hAnsi="宋体"/>
          <w:bCs/>
          <w:sz w:val="24"/>
        </w:rPr>
      </w:pPr>
      <w:r>
        <w:rPr>
          <w:rFonts w:hint="eastAsia" w:ascii="宋体" w:hAnsi="宋体"/>
          <w:bCs/>
          <w:sz w:val="24"/>
        </w:rPr>
        <w:t xml:space="preserve"> 需方应向供方现场调试的技术人员及维修人员提供方便条件，有关费用由供方负责。</w:t>
      </w:r>
    </w:p>
    <w:p>
      <w:pPr>
        <w:numPr>
          <w:ilvl w:val="0"/>
          <w:numId w:val="9"/>
        </w:numPr>
        <w:tabs>
          <w:tab w:val="left" w:pos="525"/>
          <w:tab w:val="left" w:pos="840"/>
          <w:tab w:val="left" w:pos="945"/>
          <w:tab w:val="left" w:pos="1050"/>
        </w:tabs>
        <w:spacing w:line="360" w:lineRule="auto"/>
        <w:ind w:left="0" w:firstLine="520" w:firstLineChars="217"/>
        <w:rPr>
          <w:rFonts w:ascii="宋体" w:hAnsi="宋体"/>
          <w:bCs/>
          <w:sz w:val="24"/>
        </w:rPr>
      </w:pPr>
      <w:r>
        <w:rPr>
          <w:rFonts w:hint="eastAsia" w:ascii="宋体" w:hAnsi="宋体"/>
          <w:bCs/>
          <w:sz w:val="24"/>
        </w:rPr>
        <w:t xml:space="preserve"> 需方如要求供方提供招标文件及供方投标文件以外的其它服务，其费用另定。</w:t>
      </w:r>
    </w:p>
    <w:p>
      <w:pPr>
        <w:spacing w:line="360" w:lineRule="auto"/>
        <w:ind w:firstLine="480" w:firstLineChars="200"/>
        <w:rPr>
          <w:rFonts w:ascii="宋体" w:hAnsi="宋体"/>
          <w:bCs/>
          <w:sz w:val="24"/>
        </w:rPr>
      </w:pPr>
      <w:r>
        <w:rPr>
          <w:rFonts w:hint="eastAsia" w:ascii="宋体" w:hAnsi="宋体"/>
          <w:bCs/>
          <w:sz w:val="24"/>
        </w:rPr>
        <w:t>（七） 违约责任：</w:t>
      </w:r>
    </w:p>
    <w:p>
      <w:pPr>
        <w:numPr>
          <w:ilvl w:val="0"/>
          <w:numId w:val="10"/>
        </w:numPr>
        <w:tabs>
          <w:tab w:val="left" w:pos="0"/>
          <w:tab w:val="left" w:pos="525"/>
          <w:tab w:val="left" w:pos="945"/>
        </w:tabs>
        <w:spacing w:line="360" w:lineRule="auto"/>
        <w:ind w:left="0" w:firstLine="520" w:firstLineChars="217"/>
        <w:rPr>
          <w:rFonts w:ascii="宋体" w:hAnsi="宋体"/>
          <w:bCs/>
          <w:sz w:val="24"/>
        </w:rPr>
      </w:pPr>
      <w:r>
        <w:rPr>
          <w:rFonts w:hint="eastAsia" w:ascii="宋体" w:hAnsi="宋体"/>
          <w:bCs/>
          <w:sz w:val="24"/>
        </w:rPr>
        <w:t>在履行合同的过程中，如果供方遇到妨碍按时交货和提供服务的情况时，应及时以书面形式将拖延的事实、可能拖延的时间和原因通知需方。需方在收到供方通知后，应尽快对情况进行核实，并有权根据情况确定是否酌情延长交货时间以及是否收取逾期交货的违约金及损害赔偿金（如有），或向供方发出书面通知书，提出解除部分或全部合同。延期应通过签订补充合同的方式由双方认可并履行。</w:t>
      </w:r>
    </w:p>
    <w:p>
      <w:pPr>
        <w:numPr>
          <w:ilvl w:val="0"/>
          <w:numId w:val="10"/>
        </w:numPr>
        <w:tabs>
          <w:tab w:val="left" w:pos="0"/>
          <w:tab w:val="left" w:pos="525"/>
          <w:tab w:val="left" w:pos="945"/>
        </w:tabs>
        <w:spacing w:line="360" w:lineRule="auto"/>
        <w:ind w:left="0" w:firstLine="520" w:firstLineChars="217"/>
        <w:rPr>
          <w:rFonts w:ascii="宋体" w:hAnsi="宋体"/>
          <w:bCs/>
          <w:sz w:val="24"/>
        </w:rPr>
      </w:pPr>
      <w:r>
        <w:rPr>
          <w:rFonts w:hint="eastAsia" w:ascii="宋体" w:hAnsi="宋体"/>
          <w:bCs/>
          <w:sz w:val="24"/>
        </w:rPr>
        <w:t>如供方逾期交货且未经需方同意延长交货时间，除不可抗力外，每逾期一日，供方应按照2000元的标准累计计算向需方支付违约金。逾期超过20个工作日的，需方有权解除合同，需方如已支付费用的，供方全部返还；且供方应按照合同总价的30%向需方支付违约金，如给需方造成损失的，还应赔偿损失。</w:t>
      </w:r>
    </w:p>
    <w:p>
      <w:pPr>
        <w:numPr>
          <w:ilvl w:val="0"/>
          <w:numId w:val="10"/>
        </w:numPr>
        <w:tabs>
          <w:tab w:val="left" w:pos="105"/>
          <w:tab w:val="left" w:pos="525"/>
          <w:tab w:val="left" w:pos="945"/>
        </w:tabs>
        <w:spacing w:line="360" w:lineRule="auto"/>
        <w:ind w:left="0" w:firstLine="520" w:firstLineChars="217"/>
        <w:rPr>
          <w:rFonts w:ascii="宋体" w:hAnsi="宋体"/>
          <w:bCs/>
          <w:sz w:val="24"/>
        </w:rPr>
      </w:pPr>
      <w:r>
        <w:rPr>
          <w:rFonts w:hint="eastAsia" w:ascii="宋体" w:hAnsi="宋体"/>
          <w:bCs/>
          <w:sz w:val="24"/>
        </w:rPr>
        <w:t>供方如无不可抗力，又未履行招标文件、投标文件和合同条款的，一经查实，由供方赔偿由此给需方造成的损失，并按照合同总价的30%向需方支付违约金，因招、投标产生的其他责任及后果按招标文件的相关要求及处理方式执行。</w:t>
      </w:r>
    </w:p>
    <w:p>
      <w:pPr>
        <w:numPr>
          <w:ilvl w:val="0"/>
          <w:numId w:val="10"/>
        </w:numPr>
        <w:tabs>
          <w:tab w:val="left" w:pos="105"/>
          <w:tab w:val="left" w:pos="525"/>
          <w:tab w:val="left" w:pos="945"/>
        </w:tabs>
        <w:spacing w:line="360" w:lineRule="auto"/>
        <w:ind w:left="0" w:firstLine="520" w:firstLineChars="217"/>
        <w:rPr>
          <w:rFonts w:ascii="宋体" w:hAnsi="宋体"/>
          <w:bCs/>
          <w:sz w:val="24"/>
        </w:rPr>
      </w:pPr>
      <w:r>
        <w:rPr>
          <w:rFonts w:hint="eastAsia" w:ascii="宋体" w:hAnsi="宋体"/>
          <w:bCs/>
          <w:sz w:val="24"/>
        </w:rPr>
        <w:t>由于供方提供货物质量和安装存在问题和缺陷导致任何人身、财产损害的，供方应负责承担由此产生的责任，与需方无关。如不可避免地造成需方损失的，需方有权向供方追偿（该等损失包括但不限于损害赔偿金、需方为解决纠纷支付的律师费、诉讼费、差旅费等合理费用）。供方并应按照合同总价的20%向需方支付违约金，如给需方造成其他损失的，供方还应负责赔偿。</w:t>
      </w:r>
    </w:p>
    <w:p>
      <w:pPr>
        <w:numPr>
          <w:ilvl w:val="0"/>
          <w:numId w:val="10"/>
        </w:numPr>
        <w:tabs>
          <w:tab w:val="left" w:pos="105"/>
          <w:tab w:val="left" w:pos="525"/>
          <w:tab w:val="left" w:pos="945"/>
        </w:tabs>
        <w:spacing w:line="360" w:lineRule="auto"/>
        <w:ind w:left="0" w:firstLine="520" w:firstLineChars="217"/>
        <w:rPr>
          <w:rFonts w:ascii="宋体" w:hAnsi="宋体"/>
          <w:bCs/>
          <w:sz w:val="24"/>
        </w:rPr>
      </w:pPr>
      <w:r>
        <w:rPr>
          <w:rFonts w:hint="eastAsia" w:ascii="宋体" w:hAnsi="宋体"/>
          <w:bCs/>
          <w:sz w:val="24"/>
        </w:rPr>
        <w:t>如遭遇不可抗力事件，遭遇不可抗力的一方应尽快以书面形式将不可抗力的情况和原因通知另一方，并积极采取措施防止损失扩大。因不可抗力造成的损失，供、需双方按照法律规定处理。</w:t>
      </w:r>
    </w:p>
    <w:p>
      <w:pPr>
        <w:numPr>
          <w:ilvl w:val="0"/>
          <w:numId w:val="10"/>
        </w:numPr>
        <w:tabs>
          <w:tab w:val="left" w:pos="105"/>
          <w:tab w:val="left" w:pos="525"/>
          <w:tab w:val="left" w:pos="945"/>
        </w:tabs>
        <w:spacing w:line="360" w:lineRule="auto"/>
        <w:ind w:left="0" w:firstLine="520" w:firstLineChars="217"/>
        <w:rPr>
          <w:rFonts w:ascii="宋体" w:hAnsi="宋体"/>
          <w:bCs/>
          <w:sz w:val="24"/>
        </w:rPr>
      </w:pPr>
      <w:r>
        <w:rPr>
          <w:rFonts w:hint="eastAsia" w:ascii="宋体" w:hAnsi="宋体"/>
          <w:bCs/>
          <w:sz w:val="24"/>
        </w:rPr>
        <w:t>招标文件及合同中所述之“不可抗力”系指不可预见、不可避免、不可克服的事件，包括但不限于：战争、洪水、台风、地震及其他法律、法规规定的事件。</w:t>
      </w:r>
    </w:p>
    <w:p>
      <w:pPr>
        <w:numPr>
          <w:ilvl w:val="0"/>
          <w:numId w:val="10"/>
        </w:numPr>
        <w:tabs>
          <w:tab w:val="left" w:pos="105"/>
          <w:tab w:val="left" w:pos="525"/>
          <w:tab w:val="left" w:pos="945"/>
        </w:tabs>
        <w:spacing w:line="360" w:lineRule="auto"/>
        <w:ind w:left="0" w:firstLine="520" w:firstLineChars="217"/>
        <w:rPr>
          <w:rFonts w:ascii="宋体" w:hAnsi="宋体"/>
          <w:bCs/>
          <w:sz w:val="24"/>
        </w:rPr>
      </w:pPr>
      <w:r>
        <w:rPr>
          <w:rFonts w:hint="eastAsia" w:ascii="宋体" w:hAnsi="宋体"/>
          <w:bCs/>
          <w:sz w:val="24"/>
        </w:rPr>
        <w:t>如果供方在本合同履行完毕之前破产或无清偿能力，需方可在任何时候以书面形式通知供方，提出解除合同。该终止合同将不损害或影响需方已经采取或将要采取的任何行动或补救措施的权力。</w:t>
      </w:r>
    </w:p>
    <w:p>
      <w:pPr>
        <w:spacing w:line="360" w:lineRule="auto"/>
        <w:ind w:left="-2" w:leftChars="-1" w:firstLine="520" w:firstLineChars="217"/>
        <w:rPr>
          <w:rFonts w:ascii="宋体" w:hAnsi="宋体"/>
          <w:bCs/>
          <w:sz w:val="24"/>
        </w:rPr>
      </w:pPr>
      <w:r>
        <w:rPr>
          <w:rFonts w:hint="eastAsia" w:ascii="宋体" w:hAnsi="宋体"/>
          <w:bCs/>
          <w:sz w:val="24"/>
        </w:rPr>
        <w:t>（八） 合同生效及其它：</w:t>
      </w:r>
    </w:p>
    <w:p>
      <w:pPr>
        <w:numPr>
          <w:ilvl w:val="0"/>
          <w:numId w:val="11"/>
        </w:numPr>
        <w:tabs>
          <w:tab w:val="left" w:pos="0"/>
          <w:tab w:val="left" w:pos="525"/>
          <w:tab w:val="left" w:pos="945"/>
        </w:tabs>
        <w:spacing w:line="360" w:lineRule="auto"/>
        <w:ind w:left="0" w:firstLine="520" w:firstLineChars="217"/>
        <w:rPr>
          <w:rFonts w:ascii="宋体" w:hAnsi="宋体"/>
          <w:bCs/>
          <w:sz w:val="24"/>
        </w:rPr>
      </w:pPr>
      <w:r>
        <w:rPr>
          <w:rFonts w:hint="eastAsia" w:ascii="宋体" w:hAnsi="宋体"/>
          <w:bCs/>
          <w:sz w:val="24"/>
        </w:rPr>
        <w:t>合同经供需双方代表签字并盖章，且见证后即生效。</w:t>
      </w:r>
      <w:r>
        <w:rPr>
          <w:rFonts w:hint="eastAsia" w:ascii="宋体" w:hAnsi="宋体"/>
          <w:sz w:val="24"/>
        </w:rPr>
        <w:t>履约保证金在本项目验收合格后，在供方提供收到返还履约保证金的收据后无息退还。</w:t>
      </w:r>
    </w:p>
    <w:p>
      <w:pPr>
        <w:numPr>
          <w:ilvl w:val="0"/>
          <w:numId w:val="11"/>
        </w:numPr>
        <w:tabs>
          <w:tab w:val="left" w:pos="0"/>
          <w:tab w:val="left" w:pos="525"/>
          <w:tab w:val="left" w:pos="945"/>
        </w:tabs>
        <w:spacing w:line="360" w:lineRule="auto"/>
        <w:ind w:left="0" w:firstLine="520" w:firstLineChars="217"/>
        <w:rPr>
          <w:rFonts w:ascii="宋体" w:hAnsi="宋体"/>
          <w:bCs/>
          <w:sz w:val="24"/>
        </w:rPr>
      </w:pPr>
      <w:r>
        <w:rPr>
          <w:rFonts w:hint="eastAsia" w:ascii="宋体" w:hAnsi="宋体"/>
          <w:bCs/>
          <w:sz w:val="24"/>
        </w:rPr>
        <w:t>合同签订后供需双方即直接产生权利与义务的关系，合同执行过程中出现的问题应按照合同约定、法律法规的规定办理，在合同履行过程中，双方如有争议，双方可</w:t>
      </w:r>
      <w:r>
        <w:rPr>
          <w:rFonts w:hint="eastAsia" w:ascii="宋体" w:hAnsi="宋体"/>
          <w:sz w:val="24"/>
        </w:rPr>
        <w:t>向无锡仲裁委员会申请仲裁</w:t>
      </w:r>
      <w:r>
        <w:rPr>
          <w:rFonts w:hint="eastAsia" w:ascii="宋体" w:hAnsi="宋体"/>
          <w:bCs/>
          <w:sz w:val="24"/>
        </w:rPr>
        <w:t>，仲裁期间，除仲裁委员会要求停止履行合同或出现一方确实无法继续履行合同的情形外，本合同应继续履行。</w:t>
      </w:r>
    </w:p>
    <w:p>
      <w:pPr>
        <w:numPr>
          <w:ilvl w:val="0"/>
          <w:numId w:val="11"/>
        </w:numPr>
        <w:tabs>
          <w:tab w:val="left" w:pos="0"/>
          <w:tab w:val="left" w:pos="525"/>
          <w:tab w:val="left" w:pos="945"/>
        </w:tabs>
        <w:spacing w:line="360" w:lineRule="auto"/>
        <w:ind w:left="0" w:firstLine="520" w:firstLineChars="217"/>
        <w:rPr>
          <w:rFonts w:ascii="宋体" w:hAnsi="宋体"/>
          <w:bCs/>
          <w:sz w:val="24"/>
        </w:rPr>
      </w:pPr>
      <w:r>
        <w:rPr>
          <w:rFonts w:hint="eastAsia" w:ascii="宋体" w:hAnsi="宋体"/>
          <w:bCs/>
          <w:sz w:val="24"/>
        </w:rPr>
        <w:t>合同在执行过程中出现的未尽事宜，双方在不违背本合同和招标文件的原则下协商解决，协商结果以书面形式签订补充协议，且补充协议与本合同具有同等效力。</w:t>
      </w:r>
    </w:p>
    <w:p>
      <w:pPr>
        <w:numPr>
          <w:ilvl w:val="0"/>
          <w:numId w:val="11"/>
        </w:numPr>
        <w:tabs>
          <w:tab w:val="left" w:pos="0"/>
          <w:tab w:val="left" w:pos="525"/>
          <w:tab w:val="left" w:pos="945"/>
        </w:tabs>
        <w:spacing w:line="360" w:lineRule="auto"/>
        <w:ind w:left="0" w:firstLine="520" w:firstLineChars="217"/>
      </w:pPr>
      <w:r>
        <w:rPr>
          <w:rFonts w:hint="eastAsia" w:ascii="宋体" w:hAnsi="宋体"/>
          <w:bCs/>
          <w:sz w:val="24"/>
        </w:rPr>
        <w:t>供需双方确认：对本合同条款及后果均已知悉，一致确认不存在欺诈、胁迫、乘人之危、重大误解、显失公平等任何可能导致合同无效或被撤销的情形。</w:t>
      </w:r>
    </w:p>
    <w:p/>
    <w:p>
      <w:pPr>
        <w:spacing w:line="360" w:lineRule="auto"/>
        <w:jc w:val="center"/>
        <w:outlineLvl w:val="0"/>
        <w:rPr>
          <w:rFonts w:ascii="黑体" w:eastAsia="黑体"/>
          <w:b/>
          <w:color w:val="000000"/>
          <w:sz w:val="44"/>
          <w:szCs w:val="44"/>
        </w:rPr>
      </w:pPr>
    </w:p>
    <w:p>
      <w:pPr>
        <w:spacing w:line="360" w:lineRule="auto"/>
        <w:jc w:val="center"/>
        <w:outlineLvl w:val="0"/>
        <w:rPr>
          <w:rFonts w:ascii="黑体" w:eastAsia="黑体"/>
          <w:b/>
          <w:color w:val="000000"/>
          <w:sz w:val="44"/>
          <w:szCs w:val="44"/>
        </w:rPr>
      </w:pPr>
    </w:p>
    <w:p>
      <w:pPr>
        <w:spacing w:line="360" w:lineRule="auto"/>
        <w:jc w:val="center"/>
        <w:outlineLvl w:val="0"/>
        <w:rPr>
          <w:rFonts w:ascii="黑体" w:eastAsia="黑体"/>
          <w:b/>
          <w:color w:val="000000"/>
          <w:sz w:val="44"/>
          <w:szCs w:val="44"/>
        </w:rPr>
      </w:pPr>
    </w:p>
    <w:p>
      <w:pPr>
        <w:spacing w:line="360" w:lineRule="auto"/>
        <w:jc w:val="center"/>
        <w:outlineLvl w:val="0"/>
        <w:rPr>
          <w:rFonts w:ascii="黑体" w:eastAsia="黑体"/>
          <w:b/>
          <w:color w:val="000000"/>
          <w:sz w:val="44"/>
          <w:szCs w:val="44"/>
        </w:rPr>
      </w:pPr>
    </w:p>
    <w:p>
      <w:pPr>
        <w:spacing w:line="360" w:lineRule="auto"/>
        <w:jc w:val="center"/>
        <w:outlineLvl w:val="0"/>
        <w:rPr>
          <w:rFonts w:ascii="黑体" w:eastAsia="黑体"/>
          <w:b/>
          <w:color w:val="000000"/>
          <w:sz w:val="44"/>
          <w:szCs w:val="44"/>
        </w:rPr>
      </w:pPr>
    </w:p>
    <w:p>
      <w:pPr>
        <w:spacing w:line="360" w:lineRule="auto"/>
        <w:jc w:val="center"/>
        <w:outlineLvl w:val="0"/>
        <w:rPr>
          <w:rFonts w:ascii="黑体" w:eastAsia="黑体"/>
          <w:b/>
          <w:color w:val="000000"/>
          <w:sz w:val="44"/>
          <w:szCs w:val="44"/>
        </w:rPr>
      </w:pPr>
    </w:p>
    <w:p>
      <w:pPr>
        <w:spacing w:line="360" w:lineRule="auto"/>
        <w:jc w:val="center"/>
        <w:outlineLvl w:val="0"/>
        <w:rPr>
          <w:rFonts w:ascii="黑体" w:eastAsia="黑体"/>
          <w:b/>
          <w:color w:val="000000"/>
          <w:sz w:val="44"/>
          <w:szCs w:val="44"/>
        </w:rPr>
      </w:pPr>
    </w:p>
    <w:p>
      <w:pPr>
        <w:spacing w:line="360" w:lineRule="auto"/>
        <w:jc w:val="center"/>
        <w:outlineLvl w:val="0"/>
        <w:rPr>
          <w:rFonts w:ascii="黑体" w:eastAsia="黑体"/>
          <w:b/>
          <w:color w:val="000000"/>
          <w:sz w:val="44"/>
          <w:szCs w:val="44"/>
        </w:rPr>
      </w:pPr>
    </w:p>
    <w:p>
      <w:pPr>
        <w:spacing w:line="360" w:lineRule="auto"/>
        <w:jc w:val="center"/>
        <w:outlineLvl w:val="0"/>
        <w:rPr>
          <w:rFonts w:ascii="黑体" w:eastAsia="黑体"/>
          <w:b/>
          <w:color w:val="000000"/>
          <w:sz w:val="44"/>
          <w:szCs w:val="44"/>
        </w:rPr>
      </w:pPr>
    </w:p>
    <w:p>
      <w:pPr>
        <w:spacing w:line="360" w:lineRule="auto"/>
        <w:jc w:val="center"/>
        <w:outlineLvl w:val="0"/>
        <w:rPr>
          <w:rFonts w:ascii="黑体" w:eastAsia="黑体"/>
          <w:b/>
          <w:color w:val="000000"/>
          <w:sz w:val="44"/>
          <w:szCs w:val="44"/>
        </w:rPr>
      </w:pPr>
    </w:p>
    <w:p>
      <w:pPr>
        <w:spacing w:line="360" w:lineRule="auto"/>
        <w:jc w:val="center"/>
        <w:outlineLvl w:val="0"/>
        <w:rPr>
          <w:rFonts w:ascii="黑体" w:eastAsia="黑体"/>
          <w:b/>
          <w:color w:val="000000"/>
          <w:sz w:val="44"/>
          <w:szCs w:val="44"/>
        </w:rPr>
      </w:pPr>
    </w:p>
    <w:p>
      <w:pPr>
        <w:spacing w:line="360" w:lineRule="auto"/>
        <w:jc w:val="center"/>
        <w:outlineLvl w:val="0"/>
        <w:rPr>
          <w:rFonts w:ascii="黑体" w:eastAsia="黑体"/>
          <w:b/>
          <w:color w:val="000000"/>
          <w:sz w:val="44"/>
          <w:szCs w:val="44"/>
        </w:rPr>
      </w:pPr>
    </w:p>
    <w:p>
      <w:pPr>
        <w:spacing w:line="360" w:lineRule="auto"/>
        <w:jc w:val="center"/>
        <w:outlineLvl w:val="0"/>
        <w:rPr>
          <w:rFonts w:ascii="黑体" w:eastAsia="黑体"/>
          <w:b/>
          <w:color w:val="000000"/>
          <w:sz w:val="44"/>
          <w:szCs w:val="44"/>
        </w:rPr>
      </w:pPr>
    </w:p>
    <w:p>
      <w:pPr>
        <w:spacing w:line="360" w:lineRule="auto"/>
        <w:jc w:val="center"/>
        <w:outlineLvl w:val="0"/>
        <w:rPr>
          <w:rFonts w:ascii="黑体" w:eastAsia="黑体"/>
          <w:b/>
          <w:color w:val="000000"/>
          <w:sz w:val="44"/>
          <w:szCs w:val="44"/>
        </w:rPr>
      </w:pPr>
    </w:p>
    <w:p>
      <w:pPr>
        <w:spacing w:line="360" w:lineRule="auto"/>
        <w:jc w:val="center"/>
        <w:outlineLvl w:val="0"/>
        <w:rPr>
          <w:rFonts w:ascii="黑体" w:eastAsia="黑体"/>
          <w:b/>
          <w:color w:val="000000"/>
          <w:sz w:val="44"/>
          <w:szCs w:val="44"/>
        </w:rPr>
      </w:pPr>
    </w:p>
    <w:p>
      <w:pPr>
        <w:spacing w:line="360" w:lineRule="auto"/>
        <w:jc w:val="center"/>
        <w:outlineLvl w:val="0"/>
        <w:rPr>
          <w:rFonts w:ascii="黑体" w:eastAsia="黑体"/>
          <w:b/>
          <w:color w:val="000000"/>
          <w:sz w:val="44"/>
          <w:szCs w:val="44"/>
        </w:rPr>
      </w:pPr>
    </w:p>
    <w:p>
      <w:pPr>
        <w:spacing w:line="360" w:lineRule="auto"/>
        <w:jc w:val="center"/>
        <w:outlineLvl w:val="0"/>
        <w:rPr>
          <w:rFonts w:ascii="黑体" w:eastAsia="黑体"/>
          <w:b/>
          <w:color w:val="000000"/>
          <w:sz w:val="44"/>
          <w:szCs w:val="44"/>
        </w:rPr>
      </w:pPr>
    </w:p>
    <w:p>
      <w:pPr>
        <w:spacing w:line="360" w:lineRule="auto"/>
        <w:jc w:val="center"/>
        <w:outlineLvl w:val="0"/>
        <w:rPr>
          <w:rFonts w:ascii="宋体" w:hAnsi="宋体"/>
          <w:b/>
          <w:color w:val="000000"/>
          <w:sz w:val="44"/>
          <w:szCs w:val="44"/>
        </w:rPr>
      </w:pPr>
      <w:r>
        <w:rPr>
          <w:rFonts w:hint="eastAsia" w:ascii="黑体" w:eastAsia="黑体"/>
          <w:b/>
          <w:color w:val="000000"/>
          <w:sz w:val="44"/>
          <w:szCs w:val="44"/>
        </w:rPr>
        <w:t>第五部分．附件</w:t>
      </w:r>
      <w:r>
        <w:rPr>
          <w:rFonts w:hint="eastAsia" w:ascii="宋体" w:hAnsi="宋体"/>
          <w:b/>
          <w:color w:val="000000"/>
          <w:sz w:val="44"/>
          <w:szCs w:val="44"/>
        </w:rPr>
        <w:t>（投标文件格式）</w:t>
      </w:r>
    </w:p>
    <w:p>
      <w:pPr>
        <w:rPr>
          <w:rFonts w:ascii="黑体" w:eastAsia="黑体"/>
          <w:bCs/>
          <w:color w:val="000000"/>
          <w:sz w:val="32"/>
        </w:rPr>
      </w:pPr>
    </w:p>
    <w:p>
      <w:pPr>
        <w:rPr>
          <w:rFonts w:ascii="黑体" w:eastAsia="黑体"/>
          <w:bCs/>
          <w:color w:val="000000"/>
          <w:sz w:val="32"/>
        </w:rPr>
      </w:pPr>
    </w:p>
    <w:p>
      <w:pPr>
        <w:rPr>
          <w:rFonts w:ascii="黑体" w:eastAsia="黑体"/>
          <w:bCs/>
          <w:color w:val="000000"/>
          <w:sz w:val="32"/>
        </w:rPr>
      </w:pPr>
    </w:p>
    <w:p>
      <w:pPr>
        <w:rPr>
          <w:rFonts w:ascii="黑体" w:eastAsia="黑体"/>
          <w:bCs/>
          <w:color w:val="000000"/>
          <w:sz w:val="32"/>
        </w:rPr>
      </w:pPr>
    </w:p>
    <w:p>
      <w:pPr>
        <w:jc w:val="center"/>
        <w:rPr>
          <w:rFonts w:ascii="黑体" w:eastAsia="黑体"/>
          <w:bCs/>
          <w:color w:val="000000"/>
          <w:sz w:val="52"/>
          <w:szCs w:val="52"/>
        </w:rPr>
      </w:pPr>
      <w:r>
        <w:rPr>
          <w:rFonts w:hint="eastAsia" w:ascii="黑体" w:eastAsia="黑体"/>
          <w:bCs/>
          <w:color w:val="000000"/>
          <w:sz w:val="52"/>
          <w:szCs w:val="52"/>
        </w:rPr>
        <w:t xml:space="preserve"> 投</w:t>
      </w:r>
    </w:p>
    <w:p>
      <w:pPr>
        <w:jc w:val="center"/>
        <w:rPr>
          <w:rFonts w:ascii="黑体" w:eastAsia="黑体"/>
          <w:bCs/>
          <w:color w:val="000000"/>
          <w:sz w:val="72"/>
        </w:rPr>
      </w:pPr>
    </w:p>
    <w:p>
      <w:pPr>
        <w:jc w:val="center"/>
        <w:rPr>
          <w:rFonts w:ascii="黑体" w:eastAsia="黑体"/>
          <w:bCs/>
          <w:color w:val="000000"/>
          <w:sz w:val="52"/>
          <w:szCs w:val="52"/>
        </w:rPr>
      </w:pPr>
      <w:r>
        <w:rPr>
          <w:rFonts w:hint="eastAsia" w:ascii="黑体" w:eastAsia="黑体"/>
          <w:bCs/>
          <w:color w:val="000000"/>
          <w:sz w:val="52"/>
          <w:szCs w:val="52"/>
        </w:rPr>
        <w:t xml:space="preserve"> 标</w:t>
      </w:r>
    </w:p>
    <w:p>
      <w:pPr>
        <w:jc w:val="center"/>
        <w:rPr>
          <w:rFonts w:ascii="黑体" w:eastAsia="黑体"/>
          <w:bCs/>
          <w:color w:val="000000"/>
          <w:sz w:val="72"/>
        </w:rPr>
      </w:pPr>
    </w:p>
    <w:p>
      <w:pPr>
        <w:jc w:val="center"/>
        <w:rPr>
          <w:rFonts w:ascii="黑体" w:eastAsia="黑体"/>
          <w:bCs/>
          <w:color w:val="000000"/>
          <w:sz w:val="52"/>
          <w:szCs w:val="52"/>
        </w:rPr>
      </w:pPr>
      <w:r>
        <w:rPr>
          <w:rFonts w:hint="eastAsia" w:ascii="黑体" w:eastAsia="黑体"/>
          <w:bCs/>
          <w:color w:val="000000"/>
          <w:sz w:val="52"/>
          <w:szCs w:val="52"/>
        </w:rPr>
        <w:t xml:space="preserve"> 文</w:t>
      </w:r>
    </w:p>
    <w:p>
      <w:pPr>
        <w:jc w:val="center"/>
        <w:rPr>
          <w:rFonts w:ascii="黑体" w:eastAsia="黑体"/>
          <w:bCs/>
          <w:color w:val="000000"/>
          <w:sz w:val="52"/>
          <w:szCs w:val="52"/>
        </w:rPr>
      </w:pPr>
    </w:p>
    <w:p>
      <w:pPr>
        <w:ind w:firstLine="4160" w:firstLineChars="800"/>
        <w:rPr>
          <w:rFonts w:ascii="黑体" w:eastAsia="黑体"/>
          <w:bCs/>
          <w:color w:val="000000"/>
          <w:sz w:val="52"/>
          <w:szCs w:val="52"/>
        </w:rPr>
      </w:pPr>
      <w:r>
        <w:rPr>
          <w:rFonts w:hint="eastAsia" w:ascii="黑体" w:eastAsia="黑体"/>
          <w:bCs/>
          <w:color w:val="000000"/>
          <w:sz w:val="52"/>
          <w:szCs w:val="52"/>
        </w:rPr>
        <w:t>件</w:t>
      </w:r>
    </w:p>
    <w:p>
      <w:pPr>
        <w:ind w:firstLine="4248" w:firstLineChars="817"/>
        <w:rPr>
          <w:rFonts w:ascii="黑体" w:eastAsia="黑体"/>
          <w:bCs/>
          <w:color w:val="000000"/>
          <w:sz w:val="52"/>
          <w:szCs w:val="52"/>
        </w:rPr>
      </w:pPr>
    </w:p>
    <w:p>
      <w:pPr>
        <w:ind w:firstLine="2703"/>
        <w:rPr>
          <w:rFonts w:ascii="黑体" w:eastAsia="黑体"/>
          <w:bCs/>
          <w:color w:val="000000"/>
          <w:sz w:val="28"/>
          <w:szCs w:val="28"/>
        </w:rPr>
      </w:pPr>
      <w:r>
        <w:rPr>
          <w:rFonts w:hint="eastAsia" w:ascii="黑体" w:eastAsia="黑体"/>
          <w:bCs/>
          <w:color w:val="000000"/>
          <w:sz w:val="28"/>
          <w:szCs w:val="28"/>
        </w:rPr>
        <w:t>采购项目名称：</w:t>
      </w:r>
    </w:p>
    <w:p>
      <w:pPr>
        <w:ind w:firstLine="2703"/>
        <w:rPr>
          <w:rFonts w:ascii="黑体" w:eastAsia="黑体"/>
          <w:bCs/>
          <w:color w:val="000000"/>
          <w:sz w:val="28"/>
          <w:szCs w:val="28"/>
        </w:rPr>
      </w:pPr>
      <w:r>
        <w:rPr>
          <w:rFonts w:hint="eastAsia" w:ascii="黑体" w:eastAsia="黑体"/>
          <w:bCs/>
          <w:color w:val="000000"/>
          <w:sz w:val="28"/>
          <w:szCs w:val="28"/>
        </w:rPr>
        <w:t>投标人：</w:t>
      </w:r>
    </w:p>
    <w:p>
      <w:pPr>
        <w:rPr>
          <w:rFonts w:ascii="黑体" w:eastAsia="黑体"/>
          <w:bCs/>
          <w:color w:val="000000"/>
          <w:sz w:val="32"/>
        </w:rPr>
      </w:pPr>
    </w:p>
    <w:p>
      <w:pPr>
        <w:rPr>
          <w:rFonts w:ascii="黑体" w:eastAsia="黑体"/>
          <w:bCs/>
          <w:color w:val="000000"/>
          <w:sz w:val="32"/>
        </w:rPr>
      </w:pPr>
    </w:p>
    <w:p>
      <w:pPr>
        <w:jc w:val="center"/>
        <w:rPr>
          <w:rFonts w:ascii="黑体" w:eastAsia="黑体"/>
          <w:b/>
          <w:color w:val="000000"/>
          <w:sz w:val="30"/>
          <w:szCs w:val="30"/>
        </w:rPr>
      </w:pPr>
      <w:r>
        <w:rPr>
          <w:rFonts w:hint="eastAsia" w:ascii="黑体" w:eastAsia="黑体"/>
          <w:bCs/>
          <w:color w:val="000000"/>
          <w:sz w:val="36"/>
          <w:szCs w:val="36"/>
        </w:rPr>
        <w:t>二○二一年  月  日</w:t>
      </w:r>
    </w:p>
    <w:p>
      <w:pPr>
        <w:spacing w:line="360" w:lineRule="auto"/>
        <w:jc w:val="center"/>
        <w:outlineLvl w:val="0"/>
        <w:rPr>
          <w:rFonts w:ascii="黑体" w:eastAsia="黑体"/>
          <w:b/>
          <w:color w:val="000000"/>
          <w:sz w:val="30"/>
          <w:szCs w:val="30"/>
        </w:rPr>
      </w:pPr>
      <w:r>
        <w:rPr>
          <w:rFonts w:hint="eastAsia" w:ascii="黑体" w:eastAsia="黑体"/>
          <w:b/>
          <w:color w:val="000000"/>
          <w:sz w:val="30"/>
          <w:szCs w:val="30"/>
        </w:rPr>
        <w:t>（一）响应函（格式）</w:t>
      </w:r>
    </w:p>
    <w:p>
      <w:pPr>
        <w:widowControl/>
        <w:topLinePunct/>
        <w:spacing w:before="4" w:line="360" w:lineRule="auto"/>
        <w:rPr>
          <w:rFonts w:ascii="宋体" w:hAnsi="宋体"/>
          <w:color w:val="000000"/>
          <w:sz w:val="24"/>
        </w:rPr>
      </w:pPr>
      <w:r>
        <w:rPr>
          <w:rFonts w:hint="eastAsia" w:ascii="宋体" w:hAnsi="宋体"/>
          <w:color w:val="000000"/>
          <w:sz w:val="24"/>
        </w:rPr>
        <w:t>致：无锡众邦技术咨询有限公司</w:t>
      </w:r>
    </w:p>
    <w:p>
      <w:pPr>
        <w:spacing w:line="360" w:lineRule="auto"/>
        <w:ind w:firstLine="480" w:firstLineChars="200"/>
        <w:rPr>
          <w:rFonts w:ascii="宋体" w:hAnsi="宋体"/>
          <w:b/>
          <w:color w:val="000000"/>
          <w:sz w:val="24"/>
        </w:rPr>
      </w:pPr>
      <w:r>
        <w:rPr>
          <w:rFonts w:hint="eastAsia" w:ascii="宋体" w:hAnsi="宋体"/>
          <w:color w:val="000000"/>
          <w:sz w:val="24"/>
        </w:rPr>
        <w:t>一、根据已收到的采购编号为</w:t>
      </w:r>
      <w:r>
        <w:rPr>
          <w:rFonts w:hint="eastAsia" w:ascii="宋体" w:hAnsi="宋体"/>
          <w:color w:val="000000"/>
          <w:sz w:val="24"/>
          <w:u w:val="single"/>
        </w:rPr>
        <w:t xml:space="preserve">             </w:t>
      </w:r>
      <w:r>
        <w:rPr>
          <w:rFonts w:hint="eastAsia" w:ascii="宋体" w:hAnsi="宋体"/>
          <w:color w:val="000000"/>
          <w:sz w:val="24"/>
        </w:rPr>
        <w:t>的</w:t>
      </w:r>
      <w:r>
        <w:rPr>
          <w:rFonts w:hint="eastAsia" w:ascii="宋体" w:hAnsi="宋体"/>
          <w:b/>
          <w:color w:val="000000"/>
          <w:sz w:val="24"/>
          <w:u w:val="single"/>
        </w:rPr>
        <w:t xml:space="preserve">    （采购项目名称 ）   </w:t>
      </w:r>
      <w:r>
        <w:rPr>
          <w:rFonts w:hint="eastAsia" w:ascii="宋体" w:hAnsi="宋体"/>
          <w:color w:val="000000"/>
          <w:sz w:val="24"/>
        </w:rPr>
        <w:t>的公开招标招标文件，遵照国家法律、法规和规章的有关规定，我方经过踏勘现场和对招标文件等所有文件的研究后，我方愿以</w:t>
      </w:r>
      <w:r>
        <w:rPr>
          <w:rFonts w:hint="eastAsia" w:ascii="宋体" w:hAnsi="宋体"/>
          <w:color w:val="000000"/>
          <w:sz w:val="24"/>
          <w:u w:val="single"/>
        </w:rPr>
        <w:t xml:space="preserve">大写金额：        ，小写金额：￥       </w:t>
      </w:r>
      <w:r>
        <w:rPr>
          <w:rFonts w:hint="eastAsia" w:ascii="宋体" w:hAnsi="宋体"/>
          <w:color w:val="000000"/>
          <w:sz w:val="24"/>
        </w:rPr>
        <w:t>的价格，按招标文件中的要求、技术规范的条件完成本采购项目的编制工作。</w:t>
      </w:r>
    </w:p>
    <w:p>
      <w:pPr>
        <w:widowControl/>
        <w:topLinePunct/>
        <w:spacing w:before="4" w:line="360" w:lineRule="auto"/>
        <w:ind w:firstLine="480" w:firstLineChars="200"/>
        <w:rPr>
          <w:rFonts w:ascii="宋体" w:hAnsi="宋体"/>
          <w:color w:val="000000"/>
          <w:sz w:val="24"/>
        </w:rPr>
      </w:pPr>
      <w:r>
        <w:rPr>
          <w:rFonts w:hint="eastAsia" w:ascii="宋体" w:hAnsi="宋体"/>
          <w:color w:val="000000"/>
          <w:sz w:val="24"/>
        </w:rPr>
        <w:t>二、我方愿意提供无锡众邦技术咨询有限公司在招标文件中要求的文件、资料。</w:t>
      </w:r>
      <w:r>
        <w:rPr>
          <w:rFonts w:hint="eastAsia"/>
          <w:color w:val="000000"/>
          <w:sz w:val="24"/>
        </w:rPr>
        <w:t xml:space="preserve">  </w:t>
      </w:r>
    </w:p>
    <w:p>
      <w:pPr>
        <w:tabs>
          <w:tab w:val="left" w:pos="525"/>
          <w:tab w:val="left" w:pos="945"/>
        </w:tabs>
        <w:spacing w:line="360" w:lineRule="auto"/>
        <w:ind w:firstLine="480" w:firstLineChars="200"/>
        <w:rPr>
          <w:rFonts w:ascii="宋体" w:hAnsi="宋体"/>
          <w:bCs/>
          <w:color w:val="000000"/>
          <w:sz w:val="24"/>
        </w:rPr>
      </w:pPr>
      <w:r>
        <w:rPr>
          <w:rFonts w:hint="eastAsia" w:ascii="宋体" w:hAnsi="宋体"/>
          <w:color w:val="000000"/>
          <w:sz w:val="24"/>
        </w:rPr>
        <w:t>三、我方同意按招标文件中的规定，本投标文件报价的有效期限为中标通知书发出之日起90天。</w:t>
      </w:r>
    </w:p>
    <w:p>
      <w:pPr>
        <w:spacing w:line="360" w:lineRule="auto"/>
        <w:ind w:firstLine="480" w:firstLineChars="200"/>
        <w:rPr>
          <w:rFonts w:ascii="宋体" w:hAnsi="宋体"/>
          <w:color w:val="000000"/>
          <w:sz w:val="24"/>
        </w:rPr>
      </w:pPr>
      <w:r>
        <w:rPr>
          <w:rFonts w:hint="eastAsia" w:ascii="宋体" w:hAnsi="宋体"/>
          <w:color w:val="000000"/>
          <w:sz w:val="24"/>
        </w:rPr>
        <w:t>四、如果我方的投标文件被接受，我方将履行招标文件中规定的每一项要求，按期、按质、按量，完成交货任务。</w:t>
      </w:r>
    </w:p>
    <w:p>
      <w:pPr>
        <w:spacing w:line="360" w:lineRule="auto"/>
        <w:ind w:firstLine="480" w:firstLineChars="200"/>
        <w:rPr>
          <w:rFonts w:ascii="宋体" w:hAnsi="宋体"/>
          <w:color w:val="000000"/>
          <w:sz w:val="24"/>
        </w:rPr>
      </w:pPr>
      <w:r>
        <w:rPr>
          <w:rFonts w:hint="eastAsia" w:ascii="宋体" w:hAnsi="宋体"/>
          <w:color w:val="000000"/>
          <w:sz w:val="24"/>
        </w:rPr>
        <w:t>五、我方认为你们有权决定中标供应商。</w:t>
      </w:r>
    </w:p>
    <w:p>
      <w:pPr>
        <w:spacing w:line="360" w:lineRule="auto"/>
        <w:ind w:firstLine="480" w:firstLineChars="200"/>
        <w:rPr>
          <w:rFonts w:ascii="宋体" w:hAnsi="宋体"/>
          <w:color w:val="000000"/>
          <w:sz w:val="24"/>
        </w:rPr>
      </w:pPr>
      <w:r>
        <w:rPr>
          <w:rFonts w:hint="eastAsia" w:ascii="宋体" w:hAnsi="宋体"/>
          <w:color w:val="000000"/>
          <w:sz w:val="24"/>
        </w:rPr>
        <w:t>六、我方愿意遵守《中华人民共和国政府采购法》，并按《中华人民共和国合同法》和合同条款履行自己的全部责任。在合同履行过程中，双方如有争议，由双方协调解决。如协商不能解决，双方可向无锡仲裁委员会按其仲裁规则申请仲裁或向项目所在地人民法院起诉。</w:t>
      </w:r>
    </w:p>
    <w:p>
      <w:pPr>
        <w:spacing w:line="360" w:lineRule="auto"/>
        <w:ind w:firstLine="480" w:firstLineChars="200"/>
        <w:rPr>
          <w:rFonts w:ascii="宋体" w:hAnsi="宋体"/>
          <w:color w:val="000000"/>
          <w:sz w:val="24"/>
        </w:rPr>
      </w:pPr>
      <w:r>
        <w:rPr>
          <w:rFonts w:hint="eastAsia" w:ascii="宋体" w:hAnsi="宋体"/>
          <w:color w:val="000000"/>
          <w:sz w:val="24"/>
        </w:rPr>
        <w:t>七、我方认可并保证遵守招标文件的所有规定，放弃对招标文件提出质疑的权利。</w:t>
      </w:r>
    </w:p>
    <w:p>
      <w:pPr>
        <w:spacing w:line="360" w:lineRule="auto"/>
        <w:ind w:firstLine="480" w:firstLineChars="200"/>
        <w:rPr>
          <w:rFonts w:ascii="宋体" w:hAnsi="宋体"/>
          <w:color w:val="000000"/>
          <w:sz w:val="24"/>
        </w:rPr>
      </w:pPr>
      <w:r>
        <w:rPr>
          <w:rFonts w:hint="eastAsia" w:ascii="宋体" w:hAnsi="宋体"/>
          <w:color w:val="000000"/>
          <w:sz w:val="24"/>
        </w:rPr>
        <w:t>八、如果我方被确定为中标供应商并签订合同后，如无不可抗力，又未履行招标文件、投标文件合同条款的，一经查实，我方愿意赔偿由此而造成的一切损失，并同意接受按招标文件的相关要求对我方进行的处理。</w:t>
      </w:r>
    </w:p>
    <w:p>
      <w:pPr>
        <w:widowControl/>
        <w:topLinePunct/>
        <w:spacing w:before="4" w:line="360" w:lineRule="auto"/>
        <w:rPr>
          <w:rFonts w:ascii="宋体" w:hAnsi="宋体"/>
          <w:color w:val="000000"/>
          <w:sz w:val="24"/>
        </w:rPr>
      </w:pPr>
      <w:r>
        <w:rPr>
          <w:rFonts w:hint="eastAsia" w:ascii="宋体" w:hAnsi="宋体"/>
          <w:color w:val="000000"/>
          <w:sz w:val="24"/>
        </w:rPr>
        <w:t>投标人：（盖章）</w:t>
      </w:r>
    </w:p>
    <w:p>
      <w:pPr>
        <w:widowControl/>
        <w:topLinePunct/>
        <w:spacing w:before="4" w:line="360" w:lineRule="auto"/>
        <w:rPr>
          <w:rFonts w:ascii="宋体" w:hAnsi="宋体"/>
          <w:color w:val="000000"/>
          <w:sz w:val="24"/>
        </w:rPr>
      </w:pPr>
      <w:r>
        <w:rPr>
          <w:rFonts w:hint="eastAsia" w:ascii="宋体" w:hAnsi="宋体"/>
          <w:color w:val="000000"/>
          <w:sz w:val="24"/>
        </w:rPr>
        <w:t>法定代表人或委托代理人：（签字或盖章）</w:t>
      </w:r>
    </w:p>
    <w:p>
      <w:pPr>
        <w:widowControl/>
        <w:topLinePunct/>
        <w:spacing w:before="4" w:line="360" w:lineRule="auto"/>
        <w:rPr>
          <w:rFonts w:ascii="宋体" w:hAnsi="宋体"/>
          <w:color w:val="000000"/>
          <w:sz w:val="24"/>
        </w:rPr>
      </w:pPr>
      <w:r>
        <w:rPr>
          <w:rFonts w:hint="eastAsia" w:ascii="宋体" w:hAnsi="宋体"/>
          <w:color w:val="000000"/>
          <w:sz w:val="24"/>
        </w:rPr>
        <w:t>电话：                   传真：               地址：                   邮编：</w:t>
      </w:r>
    </w:p>
    <w:p>
      <w:pPr>
        <w:widowControl/>
        <w:topLinePunct/>
        <w:spacing w:before="4" w:line="360" w:lineRule="auto"/>
        <w:rPr>
          <w:rFonts w:ascii="黑体" w:eastAsia="黑体"/>
          <w:b/>
          <w:color w:val="000000"/>
          <w:sz w:val="30"/>
          <w:szCs w:val="30"/>
        </w:rPr>
      </w:pPr>
      <w:r>
        <w:rPr>
          <w:rFonts w:hint="eastAsia" w:ascii="宋体" w:hAnsi="宋体"/>
          <w:color w:val="000000"/>
          <w:sz w:val="24"/>
        </w:rPr>
        <w:t>开户名称：               开户银行：                 开户账号：</w:t>
      </w:r>
    </w:p>
    <w:p>
      <w:pPr>
        <w:jc w:val="center"/>
        <w:outlineLvl w:val="0"/>
        <w:rPr>
          <w:rFonts w:ascii="黑体" w:eastAsia="黑体"/>
          <w:b/>
          <w:color w:val="000000"/>
          <w:sz w:val="30"/>
          <w:szCs w:val="30"/>
        </w:rPr>
      </w:pPr>
    </w:p>
    <w:p>
      <w:pPr>
        <w:jc w:val="center"/>
        <w:outlineLvl w:val="0"/>
        <w:rPr>
          <w:rFonts w:ascii="黑体" w:eastAsia="黑体"/>
          <w:b/>
          <w:color w:val="000000"/>
          <w:sz w:val="30"/>
          <w:szCs w:val="30"/>
        </w:rPr>
      </w:pPr>
      <w:r>
        <w:rPr>
          <w:rFonts w:hint="eastAsia" w:ascii="黑体" w:eastAsia="黑体"/>
          <w:b/>
          <w:color w:val="000000"/>
          <w:sz w:val="30"/>
          <w:szCs w:val="30"/>
        </w:rPr>
        <w:t>（二）关于资格的声明函（格式）</w:t>
      </w:r>
    </w:p>
    <w:p>
      <w:pPr>
        <w:jc w:val="center"/>
        <w:rPr>
          <w:rFonts w:ascii="黑体" w:eastAsia="黑体"/>
          <w:bCs/>
          <w:color w:val="000000"/>
          <w:sz w:val="32"/>
        </w:rPr>
      </w:pPr>
    </w:p>
    <w:p>
      <w:pPr>
        <w:spacing w:line="480" w:lineRule="auto"/>
        <w:jc w:val="center"/>
        <w:rPr>
          <w:rFonts w:ascii="宋体" w:hAnsi="宋体"/>
          <w:bCs/>
          <w:color w:val="000000"/>
          <w:sz w:val="24"/>
        </w:rPr>
      </w:pPr>
      <w:r>
        <w:rPr>
          <w:rFonts w:hint="eastAsia" w:ascii="楷体_GB2312" w:eastAsia="楷体_GB2312"/>
          <w:bCs/>
          <w:color w:val="000000"/>
          <w:sz w:val="30"/>
        </w:rPr>
        <w:t xml:space="preserve">   </w:t>
      </w:r>
      <w:r>
        <w:rPr>
          <w:rFonts w:hint="eastAsia" w:ascii="宋体" w:hAnsi="宋体"/>
          <w:bCs/>
          <w:color w:val="000000"/>
          <w:sz w:val="24"/>
        </w:rPr>
        <w:t>采购编号：</w:t>
      </w:r>
    </w:p>
    <w:p>
      <w:pPr>
        <w:tabs>
          <w:tab w:val="left" w:pos="6300"/>
        </w:tabs>
        <w:spacing w:line="480" w:lineRule="auto"/>
        <w:jc w:val="center"/>
        <w:rPr>
          <w:rFonts w:ascii="宋体" w:hAnsi="宋体"/>
          <w:bCs/>
          <w:color w:val="000000"/>
          <w:sz w:val="24"/>
        </w:rPr>
      </w:pPr>
      <w:r>
        <w:rPr>
          <w:rFonts w:hint="eastAsia" w:ascii="宋体" w:hAnsi="宋体"/>
          <w:bCs/>
          <w:color w:val="000000"/>
          <w:sz w:val="24"/>
        </w:rPr>
        <w:t xml:space="preserve">            日期：</w:t>
      </w:r>
    </w:p>
    <w:p>
      <w:pPr>
        <w:spacing w:line="480" w:lineRule="auto"/>
        <w:jc w:val="center"/>
        <w:rPr>
          <w:rFonts w:ascii="宋体" w:hAnsi="宋体"/>
          <w:bCs/>
          <w:color w:val="000000"/>
          <w:sz w:val="24"/>
        </w:rPr>
      </w:pPr>
    </w:p>
    <w:p>
      <w:pPr>
        <w:spacing w:line="480" w:lineRule="auto"/>
        <w:rPr>
          <w:rFonts w:ascii="宋体" w:hAnsi="宋体"/>
          <w:bCs/>
          <w:color w:val="000000"/>
          <w:sz w:val="24"/>
        </w:rPr>
      </w:pPr>
      <w:r>
        <w:rPr>
          <w:rFonts w:hint="eastAsia" w:ascii="宋体" w:hAnsi="宋体"/>
          <w:bCs/>
          <w:color w:val="000000"/>
          <w:sz w:val="24"/>
        </w:rPr>
        <w:t>无锡众邦技术咨询有限公司：</w:t>
      </w:r>
    </w:p>
    <w:p>
      <w:pPr>
        <w:spacing w:line="480" w:lineRule="auto"/>
        <w:rPr>
          <w:rFonts w:ascii="宋体" w:hAnsi="宋体"/>
          <w:bCs/>
          <w:color w:val="000000"/>
          <w:sz w:val="24"/>
        </w:rPr>
      </w:pPr>
      <w:r>
        <w:rPr>
          <w:rFonts w:hint="eastAsia" w:ascii="宋体" w:hAnsi="宋体"/>
          <w:bCs/>
          <w:color w:val="000000"/>
          <w:sz w:val="24"/>
        </w:rPr>
        <w:t xml:space="preserve">    我公司（单位）参加政府采购活动前三年内，在经营活动中没有重大违法记录。</w:t>
      </w:r>
    </w:p>
    <w:p>
      <w:pPr>
        <w:spacing w:line="480" w:lineRule="auto"/>
        <w:rPr>
          <w:rFonts w:ascii="宋体" w:hAnsi="宋体"/>
          <w:bCs/>
          <w:color w:val="000000"/>
          <w:sz w:val="24"/>
        </w:rPr>
      </w:pPr>
      <w:r>
        <w:rPr>
          <w:rFonts w:hint="eastAsia" w:ascii="宋体" w:hAnsi="宋体"/>
          <w:bCs/>
          <w:color w:val="000000"/>
          <w:sz w:val="24"/>
        </w:rPr>
        <w:t xml:space="preserve">    我公司（单位）愿针对本次项目（</w:t>
      </w:r>
      <w:r>
        <w:rPr>
          <w:rFonts w:hint="eastAsia" w:ascii="宋体" w:hAnsi="宋体"/>
          <w:b/>
          <w:bCs/>
          <w:color w:val="000000"/>
          <w:sz w:val="24"/>
        </w:rPr>
        <w:t>采购编号：</w:t>
      </w:r>
      <w:r>
        <w:rPr>
          <w:rFonts w:hint="eastAsia" w:ascii="宋体" w:hAnsi="宋体"/>
          <w:b/>
          <w:bCs/>
          <w:color w:val="000000"/>
          <w:sz w:val="24"/>
          <w:lang w:eastAsia="zh-CN"/>
        </w:rPr>
        <w:t>ZBCG2021032</w:t>
      </w:r>
      <w:r>
        <w:rPr>
          <w:rFonts w:hint="eastAsia" w:ascii="黑体" w:eastAsia="黑体"/>
          <w:bCs/>
          <w:color w:val="000000"/>
          <w:sz w:val="24"/>
        </w:rPr>
        <w:t>）</w:t>
      </w:r>
      <w:r>
        <w:rPr>
          <w:rFonts w:hint="eastAsia" w:ascii="宋体" w:hAnsi="宋体"/>
          <w:bCs/>
          <w:color w:val="000000"/>
          <w:sz w:val="24"/>
        </w:rPr>
        <w:t>进行投标，响应文件中所有关于投标资格的文件、证明、陈述均是真实的、准确的。若有违背，我公司（单位）愿意承担由此而产生的一切后果。</w:t>
      </w:r>
    </w:p>
    <w:p>
      <w:pPr>
        <w:spacing w:line="480" w:lineRule="auto"/>
        <w:rPr>
          <w:rFonts w:ascii="宋体" w:hAnsi="宋体"/>
          <w:bCs/>
          <w:color w:val="000000"/>
          <w:sz w:val="24"/>
        </w:rPr>
      </w:pPr>
    </w:p>
    <w:p>
      <w:pPr>
        <w:spacing w:line="480" w:lineRule="auto"/>
        <w:rPr>
          <w:rFonts w:ascii="宋体" w:hAnsi="宋体"/>
          <w:bCs/>
          <w:color w:val="000000"/>
          <w:sz w:val="24"/>
        </w:rPr>
      </w:pPr>
      <w:r>
        <w:rPr>
          <w:rFonts w:hint="eastAsia" w:ascii="宋体" w:hAnsi="宋体"/>
          <w:bCs/>
          <w:color w:val="000000"/>
          <w:sz w:val="24"/>
        </w:rPr>
        <w:t xml:space="preserve">                                     投标人（盖章）：</w:t>
      </w:r>
    </w:p>
    <w:p>
      <w:pPr>
        <w:spacing w:line="480" w:lineRule="auto"/>
        <w:rPr>
          <w:rFonts w:ascii="宋体" w:hAnsi="宋体"/>
          <w:bCs/>
          <w:color w:val="000000"/>
          <w:sz w:val="24"/>
        </w:rPr>
      </w:pPr>
      <w:r>
        <w:rPr>
          <w:rFonts w:hint="eastAsia" w:ascii="宋体" w:hAnsi="宋体"/>
          <w:bCs/>
          <w:color w:val="000000"/>
          <w:sz w:val="24"/>
        </w:rPr>
        <w:t xml:space="preserve">                               法定代表人（签字或盖章）：</w:t>
      </w:r>
    </w:p>
    <w:p>
      <w:pPr>
        <w:spacing w:line="480" w:lineRule="auto"/>
        <w:ind w:firstLine="4680" w:firstLineChars="1950"/>
        <w:rPr>
          <w:rFonts w:ascii="宋体" w:hAnsi="宋体"/>
          <w:bCs/>
          <w:color w:val="000000"/>
          <w:sz w:val="24"/>
        </w:rPr>
      </w:pPr>
      <w:r>
        <w:rPr>
          <w:rFonts w:hint="eastAsia" w:ascii="宋体" w:hAnsi="宋体"/>
          <w:bCs/>
          <w:color w:val="000000"/>
          <w:sz w:val="24"/>
        </w:rPr>
        <w:t>年     月     日</w:t>
      </w:r>
    </w:p>
    <w:p>
      <w:pPr>
        <w:jc w:val="center"/>
        <w:outlineLvl w:val="0"/>
        <w:rPr>
          <w:rFonts w:ascii="黑体" w:eastAsia="黑体"/>
          <w:b/>
          <w:color w:val="000000"/>
          <w:sz w:val="30"/>
          <w:szCs w:val="30"/>
        </w:rPr>
      </w:pPr>
    </w:p>
    <w:p>
      <w:pPr>
        <w:jc w:val="center"/>
        <w:outlineLvl w:val="0"/>
        <w:rPr>
          <w:rFonts w:ascii="黑体" w:eastAsia="黑体"/>
          <w:b/>
          <w:color w:val="000000"/>
          <w:sz w:val="30"/>
          <w:szCs w:val="30"/>
        </w:rPr>
      </w:pPr>
    </w:p>
    <w:p>
      <w:pPr>
        <w:jc w:val="center"/>
        <w:outlineLvl w:val="0"/>
        <w:rPr>
          <w:rFonts w:ascii="黑体" w:eastAsia="黑体"/>
          <w:b/>
          <w:color w:val="000000"/>
          <w:sz w:val="30"/>
          <w:szCs w:val="30"/>
        </w:rPr>
      </w:pPr>
    </w:p>
    <w:p>
      <w:pPr>
        <w:jc w:val="center"/>
        <w:outlineLvl w:val="0"/>
        <w:rPr>
          <w:rFonts w:ascii="黑体" w:eastAsia="黑体"/>
          <w:b/>
          <w:color w:val="000000"/>
          <w:sz w:val="30"/>
          <w:szCs w:val="30"/>
        </w:rPr>
      </w:pPr>
    </w:p>
    <w:p>
      <w:pPr>
        <w:jc w:val="center"/>
        <w:outlineLvl w:val="0"/>
        <w:rPr>
          <w:rFonts w:ascii="黑体" w:eastAsia="黑体"/>
          <w:b/>
          <w:color w:val="000000"/>
          <w:sz w:val="30"/>
          <w:szCs w:val="30"/>
        </w:rPr>
      </w:pPr>
    </w:p>
    <w:p>
      <w:pPr>
        <w:outlineLvl w:val="0"/>
        <w:rPr>
          <w:rFonts w:ascii="黑体" w:eastAsia="黑体"/>
          <w:b/>
          <w:color w:val="000000"/>
          <w:sz w:val="30"/>
          <w:szCs w:val="30"/>
        </w:rPr>
      </w:pPr>
    </w:p>
    <w:p>
      <w:pPr>
        <w:outlineLvl w:val="0"/>
        <w:rPr>
          <w:rFonts w:ascii="黑体" w:eastAsia="黑体"/>
          <w:b/>
          <w:color w:val="000000"/>
          <w:sz w:val="30"/>
          <w:szCs w:val="30"/>
        </w:rPr>
      </w:pPr>
    </w:p>
    <w:p>
      <w:pPr>
        <w:jc w:val="center"/>
        <w:outlineLvl w:val="0"/>
        <w:rPr>
          <w:rFonts w:ascii="黑体" w:eastAsia="黑体"/>
          <w:bCs/>
          <w:color w:val="000000"/>
          <w:sz w:val="28"/>
          <w:szCs w:val="28"/>
        </w:rPr>
      </w:pPr>
      <w:r>
        <w:rPr>
          <w:rFonts w:hint="eastAsia" w:ascii="黑体" w:eastAsia="黑体"/>
          <w:b/>
          <w:color w:val="000000"/>
          <w:sz w:val="30"/>
          <w:szCs w:val="30"/>
        </w:rPr>
        <w:t>（三）（投标人）法定代表人授权委托书（格式）：</w:t>
      </w:r>
    </w:p>
    <w:p>
      <w:pPr>
        <w:jc w:val="center"/>
        <w:outlineLvl w:val="0"/>
        <w:rPr>
          <w:rFonts w:ascii="宋体" w:hAnsi="宋体" w:cs="宋体"/>
          <w:bCs/>
          <w:color w:val="000000"/>
          <w:sz w:val="28"/>
          <w:szCs w:val="28"/>
        </w:rPr>
      </w:pPr>
      <w:r>
        <w:rPr>
          <w:rFonts w:hint="eastAsia" w:ascii="宋体" w:hAnsi="宋体" w:cs="宋体"/>
          <w:bCs/>
          <w:color w:val="000000"/>
          <w:sz w:val="28"/>
          <w:szCs w:val="28"/>
        </w:rPr>
        <w:t>法定代表人授权委托书</w:t>
      </w:r>
    </w:p>
    <w:p>
      <w:pPr>
        <w:spacing w:line="480" w:lineRule="auto"/>
        <w:rPr>
          <w:rFonts w:hint="eastAsia" w:ascii="宋体" w:hAnsi="宋体" w:eastAsia="宋体" w:cs="宋体"/>
          <w:bCs/>
          <w:color w:val="000000"/>
          <w:sz w:val="24"/>
          <w:lang w:eastAsia="zh-CN"/>
        </w:rPr>
      </w:pPr>
      <w:r>
        <w:rPr>
          <w:rFonts w:hint="eastAsia" w:ascii="宋体" w:hAnsi="宋体" w:cs="宋体"/>
          <w:bCs/>
          <w:color w:val="000000"/>
          <w:sz w:val="30"/>
        </w:rPr>
        <w:t xml:space="preserve">                           </w:t>
      </w:r>
      <w:r>
        <w:rPr>
          <w:rFonts w:hint="eastAsia" w:ascii="宋体" w:hAnsi="宋体" w:cs="宋体"/>
          <w:bCs/>
          <w:color w:val="000000"/>
          <w:sz w:val="24"/>
        </w:rPr>
        <w:t>采购编号：</w:t>
      </w:r>
      <w:r>
        <w:rPr>
          <w:rFonts w:hint="eastAsia" w:ascii="宋体" w:hAnsi="宋体" w:cs="宋体"/>
          <w:b/>
          <w:bCs/>
          <w:color w:val="000000"/>
          <w:sz w:val="24"/>
          <w:lang w:eastAsia="zh-CN"/>
        </w:rPr>
        <w:t>ZBCG2021032</w:t>
      </w:r>
    </w:p>
    <w:p>
      <w:pPr>
        <w:spacing w:line="480" w:lineRule="auto"/>
        <w:rPr>
          <w:rFonts w:ascii="宋体" w:hAnsi="宋体" w:cs="宋体"/>
          <w:bCs/>
          <w:color w:val="000000"/>
          <w:sz w:val="24"/>
        </w:rPr>
      </w:pPr>
      <w:r>
        <w:rPr>
          <w:rFonts w:hint="eastAsia" w:ascii="宋体" w:hAnsi="宋体" w:cs="宋体"/>
          <w:bCs/>
          <w:color w:val="000000"/>
          <w:sz w:val="24"/>
        </w:rPr>
        <w:t xml:space="preserve">                                   日期：</w:t>
      </w:r>
    </w:p>
    <w:p>
      <w:pPr>
        <w:spacing w:line="480" w:lineRule="auto"/>
        <w:rPr>
          <w:rFonts w:ascii="宋体" w:hAnsi="宋体" w:cs="宋体"/>
          <w:bCs/>
          <w:color w:val="000000"/>
          <w:sz w:val="24"/>
        </w:rPr>
      </w:pPr>
      <w:r>
        <w:rPr>
          <w:rFonts w:hint="eastAsia" w:ascii="宋体" w:hAnsi="宋体" w:cs="宋体"/>
          <w:bCs/>
          <w:color w:val="000000"/>
          <w:sz w:val="24"/>
        </w:rPr>
        <w:t>无锡众邦技术咨询有限公司：</w:t>
      </w:r>
    </w:p>
    <w:p>
      <w:pPr>
        <w:spacing w:line="480" w:lineRule="auto"/>
        <w:rPr>
          <w:rFonts w:ascii="宋体" w:hAnsi="宋体" w:cs="宋体"/>
          <w:bCs/>
          <w:color w:val="000000"/>
          <w:sz w:val="24"/>
        </w:rPr>
      </w:pPr>
      <w:r>
        <w:rPr>
          <w:rFonts w:hint="eastAsia" w:ascii="宋体" w:hAnsi="宋体" w:cs="宋体"/>
          <w:bCs/>
          <w:color w:val="000000"/>
          <w:sz w:val="24"/>
        </w:rPr>
        <w:t xml:space="preserve">     </w:t>
      </w:r>
      <w:r>
        <w:rPr>
          <w:rFonts w:hint="eastAsia" w:ascii="宋体" w:hAnsi="宋体" w:cs="宋体"/>
          <w:bCs/>
          <w:color w:val="000000"/>
          <w:sz w:val="24"/>
          <w:u w:val="single"/>
        </w:rPr>
        <w:t xml:space="preserve">   （投标人单位名称）          </w:t>
      </w:r>
      <w:r>
        <w:rPr>
          <w:rFonts w:hint="eastAsia" w:ascii="宋体" w:hAnsi="宋体" w:cs="宋体"/>
          <w:bCs/>
          <w:color w:val="000000"/>
          <w:sz w:val="24"/>
        </w:rPr>
        <w:t>系中华人民共和国合法企业，</w:t>
      </w:r>
    </w:p>
    <w:p>
      <w:pPr>
        <w:spacing w:line="480" w:lineRule="auto"/>
        <w:rPr>
          <w:rFonts w:ascii="宋体" w:hAnsi="宋体" w:cs="宋体"/>
          <w:bCs/>
          <w:color w:val="000000"/>
          <w:sz w:val="24"/>
        </w:rPr>
      </w:pPr>
      <w:r>
        <w:rPr>
          <w:rFonts w:hint="eastAsia" w:ascii="宋体" w:hAnsi="宋体" w:cs="宋体"/>
          <w:bCs/>
          <w:color w:val="000000"/>
          <w:sz w:val="24"/>
        </w:rPr>
        <w:t>法定地址：</w:t>
      </w:r>
      <w:r>
        <w:rPr>
          <w:rFonts w:hint="eastAsia" w:ascii="宋体" w:hAnsi="宋体" w:cs="宋体"/>
          <w:bCs/>
          <w:color w:val="000000"/>
          <w:sz w:val="24"/>
          <w:u w:val="single"/>
        </w:rPr>
        <w:t xml:space="preserve">                </w:t>
      </w:r>
      <w:r>
        <w:rPr>
          <w:rFonts w:hint="eastAsia" w:ascii="宋体" w:hAnsi="宋体" w:cs="宋体"/>
          <w:bCs/>
          <w:color w:val="000000"/>
          <w:sz w:val="24"/>
        </w:rPr>
        <w:t>，特授权</w:t>
      </w:r>
      <w:r>
        <w:rPr>
          <w:rFonts w:hint="eastAsia" w:ascii="宋体" w:hAnsi="宋体" w:cs="宋体"/>
          <w:bCs/>
          <w:color w:val="000000"/>
          <w:sz w:val="24"/>
          <w:u w:val="single"/>
        </w:rPr>
        <w:t xml:space="preserve">    （姓名）   </w:t>
      </w:r>
      <w:r>
        <w:rPr>
          <w:rFonts w:hint="eastAsia" w:ascii="宋体" w:hAnsi="宋体" w:cs="宋体"/>
          <w:bCs/>
          <w:color w:val="000000"/>
          <w:sz w:val="24"/>
        </w:rPr>
        <w:t>代表我公司（单位）全权办理针对本项目（</w:t>
      </w:r>
      <w:r>
        <w:rPr>
          <w:rFonts w:hint="eastAsia" w:ascii="宋体" w:hAnsi="宋体" w:cs="宋体"/>
          <w:b/>
          <w:bCs/>
          <w:color w:val="000000"/>
          <w:sz w:val="24"/>
        </w:rPr>
        <w:t>采购编号：</w:t>
      </w:r>
      <w:r>
        <w:rPr>
          <w:rFonts w:hint="eastAsia" w:ascii="宋体" w:hAnsi="宋体" w:cs="宋体"/>
          <w:b/>
          <w:bCs/>
          <w:color w:val="000000"/>
          <w:sz w:val="24"/>
          <w:lang w:eastAsia="zh-CN"/>
        </w:rPr>
        <w:t>ZBCG2021032</w:t>
      </w:r>
      <w:r>
        <w:rPr>
          <w:rFonts w:hint="eastAsia" w:ascii="宋体" w:hAnsi="宋体" w:cs="宋体"/>
          <w:bCs/>
          <w:color w:val="000000"/>
          <w:sz w:val="24"/>
        </w:rPr>
        <w:t>）的投标，参与谈判、签约等具体工作，并签署全部有关的文件、协议及合同。</w:t>
      </w:r>
    </w:p>
    <w:p>
      <w:pPr>
        <w:spacing w:line="480" w:lineRule="auto"/>
        <w:ind w:firstLine="525"/>
        <w:rPr>
          <w:rFonts w:ascii="宋体" w:hAnsi="宋体" w:cs="宋体"/>
          <w:bCs/>
          <w:color w:val="000000"/>
          <w:sz w:val="24"/>
        </w:rPr>
      </w:pPr>
      <w:r>
        <w:rPr>
          <w:rFonts w:hint="eastAsia" w:ascii="宋体" w:hAnsi="宋体" w:cs="宋体"/>
          <w:bCs/>
          <w:color w:val="000000"/>
          <w:sz w:val="24"/>
        </w:rPr>
        <w:t>我公司（单位）对被授权人的签名负全部责任。</w:t>
      </w:r>
    </w:p>
    <w:p>
      <w:pPr>
        <w:spacing w:line="480" w:lineRule="auto"/>
        <w:ind w:firstLine="523" w:firstLineChars="218"/>
        <w:rPr>
          <w:rFonts w:ascii="宋体" w:hAnsi="宋体" w:cs="宋体"/>
          <w:bCs/>
          <w:color w:val="000000"/>
          <w:sz w:val="24"/>
        </w:rPr>
      </w:pPr>
      <w:r>
        <w:rPr>
          <w:rFonts w:hint="eastAsia" w:ascii="宋体" w:hAnsi="宋体" w:cs="宋体"/>
          <w:bCs/>
          <w:color w:val="000000"/>
          <w:sz w:val="24"/>
        </w:rPr>
        <w:t>在撤销授权的书面通知送达你处以前，本授权书一直有效，被授权人签署的所有文件（在授权书有效期内签署的）不因授权的撤销而失效。被授权人有（无）转委托权。</w:t>
      </w:r>
    </w:p>
    <w:p>
      <w:pPr>
        <w:spacing w:line="480" w:lineRule="auto"/>
        <w:ind w:firstLine="525"/>
        <w:rPr>
          <w:rFonts w:ascii="宋体" w:hAnsi="宋体" w:cs="宋体"/>
          <w:bCs/>
          <w:color w:val="000000"/>
          <w:sz w:val="24"/>
        </w:rPr>
      </w:pPr>
      <w:r>
        <w:rPr>
          <w:rFonts w:hint="eastAsia" w:ascii="宋体" w:hAnsi="宋体" w:cs="宋体"/>
          <w:bCs/>
          <w:color w:val="000000"/>
          <w:sz w:val="24"/>
        </w:rPr>
        <w:t>被授权人情况：</w:t>
      </w:r>
    </w:p>
    <w:p>
      <w:pPr>
        <w:spacing w:line="480" w:lineRule="auto"/>
        <w:ind w:firstLine="525"/>
        <w:rPr>
          <w:rFonts w:ascii="宋体" w:hAnsi="宋体" w:cs="宋体"/>
          <w:bCs/>
          <w:color w:val="000000"/>
          <w:sz w:val="24"/>
        </w:rPr>
      </w:pPr>
      <w:r>
        <w:rPr>
          <w:rFonts w:hint="eastAsia" w:ascii="宋体" w:hAnsi="宋体" w:cs="宋体"/>
          <w:bCs/>
          <w:color w:val="000000"/>
          <w:sz w:val="24"/>
        </w:rPr>
        <w:t>姓名：         性别：       年龄：       职务：</w:t>
      </w:r>
    </w:p>
    <w:p>
      <w:pPr>
        <w:spacing w:line="480" w:lineRule="auto"/>
        <w:ind w:firstLine="525"/>
        <w:rPr>
          <w:rFonts w:ascii="宋体" w:hAnsi="宋体" w:cs="宋体"/>
          <w:bCs/>
          <w:color w:val="000000"/>
          <w:sz w:val="24"/>
        </w:rPr>
      </w:pPr>
      <w:r>
        <w:rPr>
          <w:rFonts w:hint="eastAsia" w:ascii="宋体" w:hAnsi="宋体" w:cs="宋体"/>
          <w:bCs/>
          <w:color w:val="000000"/>
          <w:sz w:val="24"/>
        </w:rPr>
        <w:t>身份证号码：                电话：</w:t>
      </w:r>
    </w:p>
    <w:p>
      <w:pPr>
        <w:spacing w:line="480" w:lineRule="auto"/>
        <w:ind w:firstLine="525"/>
        <w:rPr>
          <w:rFonts w:ascii="宋体" w:hAnsi="宋体" w:cs="宋体"/>
          <w:bCs/>
          <w:color w:val="000000"/>
          <w:sz w:val="24"/>
        </w:rPr>
      </w:pPr>
      <w:r>
        <w:rPr>
          <w:rFonts w:hint="eastAsia" w:ascii="宋体" w:hAnsi="宋体" w:cs="宋体"/>
          <w:bCs/>
          <w:color w:val="000000"/>
          <w:sz w:val="24"/>
        </w:rPr>
        <w:t>通讯地址：</w:t>
      </w:r>
    </w:p>
    <w:p>
      <w:pPr>
        <w:spacing w:line="480" w:lineRule="auto"/>
        <w:ind w:firstLine="525"/>
        <w:rPr>
          <w:rFonts w:ascii="宋体" w:hAnsi="宋体" w:cs="宋体"/>
          <w:bCs/>
          <w:color w:val="000000"/>
          <w:sz w:val="24"/>
        </w:rPr>
      </w:pPr>
      <w:r>
        <w:rPr>
          <w:rFonts w:hint="eastAsia" w:ascii="宋体" w:hAnsi="宋体" w:cs="宋体"/>
          <w:bCs/>
          <w:color w:val="000000"/>
          <w:sz w:val="24"/>
        </w:rPr>
        <w:t>被授权人签名：                单位名称（盖章）：</w:t>
      </w:r>
    </w:p>
    <w:p>
      <w:pPr>
        <w:spacing w:line="480" w:lineRule="auto"/>
        <w:ind w:firstLine="420"/>
        <w:rPr>
          <w:rFonts w:ascii="宋体" w:hAnsi="宋体" w:cs="宋体"/>
          <w:bCs/>
          <w:color w:val="000000"/>
          <w:sz w:val="24"/>
        </w:rPr>
      </w:pPr>
      <w:r>
        <w:rPr>
          <w:rFonts w:hint="eastAsia" w:ascii="宋体" w:hAnsi="宋体" w:cs="宋体"/>
          <w:bCs/>
          <w:color w:val="000000"/>
          <w:sz w:val="24"/>
        </w:rPr>
        <w:t xml:space="preserve">                       法定代表人（签字或盖章）：</w:t>
      </w:r>
    </w:p>
    <w:p>
      <w:pPr>
        <w:spacing w:line="480" w:lineRule="auto"/>
        <w:ind w:firstLine="420"/>
        <w:rPr>
          <w:rFonts w:ascii="宋体" w:hAnsi="宋体" w:cs="宋体"/>
          <w:bCs/>
          <w:color w:val="000000"/>
          <w:sz w:val="24"/>
        </w:rPr>
      </w:pPr>
      <w:r>
        <w:rPr>
          <w:rFonts w:ascii="仿宋" w:hAnsi="仿宋" w:eastAsia="仿宋" w:cs="仿宋"/>
          <w:bCs/>
          <w:sz w:val="24"/>
        </w:rPr>
        <w:pict>
          <v:shape id="_x0000_s1026" o:spid="_x0000_s1026" o:spt="202" type="#_x0000_t202" style="position:absolute;left:0pt;margin-left:257.25pt;margin-top:11.9pt;height:124.8pt;width:225.75pt;z-index:251661312;mso-width-relative:page;mso-height-relative:page;" coordsize="21600,21600" o:gfxdata="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IsIwW3ZAAAACgEAAA8AAAAA&#10;AAAAAQAgAAAAIgAAAGRycy9kb3ducmV2LnhtbFBLAQIUABQAAAAIAIdO4kDRRbh7EwIAAEUEAAAO&#10;AAAAAAAAAAEAIAAAACgBAABkcnMvZTJvRG9jLnhtbFBLBQYAAAAABgAGAFkBAACtBQAAAAA=&#10;">
            <v:path/>
            <v:fill focussize="0,0"/>
            <v:stroke joinstyle="miter"/>
            <v:imagedata o:title=""/>
            <o:lock v:ext="edit"/>
            <v:textbox>
              <w:txbxContent>
                <w:p>
                  <w:pPr>
                    <w:jc w:val="center"/>
                    <w:rPr>
                      <w:rFonts w:ascii="黑体" w:eastAsia="黑体"/>
                      <w:sz w:val="32"/>
                      <w:szCs w:val="32"/>
                    </w:rPr>
                  </w:pPr>
                </w:p>
                <w:p>
                  <w:pPr>
                    <w:jc w:val="center"/>
                    <w:rPr>
                      <w:rFonts w:ascii="黑体" w:eastAsia="黑体"/>
                      <w:sz w:val="32"/>
                      <w:szCs w:val="32"/>
                    </w:rPr>
                  </w:pPr>
                  <w:r>
                    <w:rPr>
                      <w:rFonts w:hint="eastAsia" w:ascii="黑体" w:eastAsia="黑体"/>
                      <w:sz w:val="32"/>
                      <w:szCs w:val="32"/>
                    </w:rPr>
                    <w:t>授权代表身份证复印件</w:t>
                  </w:r>
                </w:p>
                <w:p>
                  <w:pPr>
                    <w:pStyle w:val="12"/>
                    <w:ind w:firstLine="1120" w:firstLineChars="350"/>
                  </w:pPr>
                  <w:r>
                    <w:rPr>
                      <w:rFonts w:hint="eastAsia" w:ascii="黑体" w:eastAsia="黑体"/>
                      <w:sz w:val="32"/>
                      <w:szCs w:val="32"/>
                    </w:rPr>
                    <w:t>（正反两面）</w:t>
                  </w:r>
                </w:p>
              </w:txbxContent>
            </v:textbox>
          </v:shape>
        </w:pict>
      </w:r>
      <w:r>
        <w:rPr>
          <w:rFonts w:ascii="仿宋" w:hAnsi="仿宋" w:eastAsia="仿宋" w:cs="仿宋"/>
          <w:bCs/>
          <w:sz w:val="24"/>
        </w:rPr>
        <w:pict>
          <v:shape id="_x0000_s1027" o:spid="_x0000_s1027" o:spt="202" type="#_x0000_t202" style="position:absolute;left:0pt;margin-left:0pt;margin-top:11.9pt;height:124.8pt;width:225.75pt;z-index:251660288;mso-width-relative:page;mso-height-relative:page;" coordsize="21600,21600" o:gfxdata="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DDwRgTXAAAABwEAAA8AAAAAAAAA&#10;AQAgAAAAIgAAAGRycy9kb3ducmV2LnhtbFBLAQIUABQAAAAIAIdO4kBMhwjZEgIAAEUEAAAOAAAA&#10;AAAAAAEAIAAAACYBAABkcnMvZTJvRG9jLnhtbFBLBQYAAAAABgAGAFkBAACqBQAAAAA=&#10;">
            <v:path/>
            <v:fill focussize="0,0"/>
            <v:stroke joinstyle="miter"/>
            <v:imagedata o:title=""/>
            <o:lock v:ext="edit"/>
            <v:textbox>
              <w:txbxContent>
                <w:p>
                  <w:pPr>
                    <w:jc w:val="center"/>
                    <w:rPr>
                      <w:rFonts w:ascii="黑体" w:eastAsia="黑体"/>
                      <w:sz w:val="32"/>
                      <w:szCs w:val="32"/>
                    </w:rPr>
                  </w:pPr>
                </w:p>
                <w:p>
                  <w:pPr>
                    <w:jc w:val="center"/>
                    <w:rPr>
                      <w:rFonts w:ascii="黑体" w:eastAsia="黑体"/>
                      <w:sz w:val="32"/>
                      <w:szCs w:val="32"/>
                    </w:rPr>
                  </w:pPr>
                  <w:r>
                    <w:rPr>
                      <w:rFonts w:hint="eastAsia" w:ascii="黑体" w:eastAsia="黑体"/>
                      <w:sz w:val="32"/>
                      <w:szCs w:val="32"/>
                    </w:rPr>
                    <w:t>法定代表人身份证复印件</w:t>
                  </w:r>
                </w:p>
                <w:p>
                  <w:pPr>
                    <w:jc w:val="center"/>
                    <w:rPr>
                      <w:rFonts w:ascii="黑体" w:eastAsia="黑体"/>
                      <w:sz w:val="32"/>
                      <w:szCs w:val="32"/>
                    </w:rPr>
                  </w:pPr>
                  <w:r>
                    <w:rPr>
                      <w:rFonts w:hint="eastAsia" w:ascii="黑体" w:eastAsia="黑体"/>
                      <w:sz w:val="32"/>
                      <w:szCs w:val="32"/>
                    </w:rPr>
                    <w:t>（正反两面）</w:t>
                  </w:r>
                </w:p>
              </w:txbxContent>
            </v:textbox>
          </v:shape>
        </w:pict>
      </w:r>
    </w:p>
    <w:p>
      <w:pPr>
        <w:spacing w:line="480" w:lineRule="auto"/>
        <w:ind w:firstLine="420"/>
        <w:rPr>
          <w:rFonts w:ascii="宋体" w:hAnsi="宋体" w:cs="宋体"/>
          <w:bCs/>
          <w:color w:val="000000"/>
          <w:sz w:val="24"/>
        </w:rPr>
      </w:pPr>
    </w:p>
    <w:p>
      <w:pPr>
        <w:spacing w:line="360" w:lineRule="auto"/>
        <w:jc w:val="center"/>
        <w:outlineLvl w:val="0"/>
        <w:rPr>
          <w:rFonts w:ascii="黑体" w:eastAsia="黑体"/>
          <w:b/>
          <w:color w:val="000000"/>
          <w:sz w:val="30"/>
          <w:szCs w:val="30"/>
        </w:rPr>
      </w:pPr>
    </w:p>
    <w:p>
      <w:pPr>
        <w:pStyle w:val="15"/>
        <w:numPr>
          <w:ilvl w:val="0"/>
          <w:numId w:val="8"/>
        </w:numPr>
        <w:spacing w:line="360" w:lineRule="auto"/>
        <w:ind w:firstLineChars="0"/>
        <w:jc w:val="center"/>
        <w:outlineLvl w:val="0"/>
        <w:rPr>
          <w:rFonts w:ascii="黑体" w:eastAsia="黑体"/>
          <w:b/>
          <w:color w:val="000000"/>
          <w:sz w:val="30"/>
          <w:szCs w:val="30"/>
        </w:rPr>
      </w:pPr>
      <w:r>
        <w:rPr>
          <w:rFonts w:hint="eastAsia" w:ascii="黑体" w:eastAsia="黑体"/>
          <w:b/>
          <w:color w:val="000000"/>
          <w:sz w:val="30"/>
          <w:szCs w:val="30"/>
        </w:rPr>
        <w:t>承诺书（格式）：</w:t>
      </w:r>
    </w:p>
    <w:p>
      <w:pPr>
        <w:spacing w:line="480" w:lineRule="auto"/>
        <w:rPr>
          <w:rFonts w:ascii="宋体" w:hAnsi="宋体"/>
          <w:color w:val="000000"/>
          <w:sz w:val="24"/>
          <w:u w:val="single"/>
        </w:rPr>
      </w:pPr>
    </w:p>
    <w:p>
      <w:pPr>
        <w:spacing w:line="480" w:lineRule="auto"/>
        <w:rPr>
          <w:rFonts w:ascii="宋体" w:hAnsi="宋体"/>
          <w:color w:val="000000"/>
          <w:sz w:val="24"/>
          <w:u w:val="single"/>
        </w:rPr>
      </w:pPr>
    </w:p>
    <w:p>
      <w:pPr>
        <w:spacing w:line="480" w:lineRule="auto"/>
        <w:rPr>
          <w:rFonts w:ascii="宋体" w:hAnsi="宋体"/>
          <w:color w:val="000000"/>
          <w:sz w:val="24"/>
          <w:u w:val="single"/>
        </w:rPr>
      </w:pPr>
    </w:p>
    <w:p>
      <w:pPr>
        <w:spacing w:line="480" w:lineRule="auto"/>
        <w:rPr>
          <w:rFonts w:ascii="宋体" w:hAnsi="宋体"/>
          <w:color w:val="000000"/>
          <w:sz w:val="24"/>
        </w:rPr>
      </w:pPr>
      <w:r>
        <w:rPr>
          <w:rFonts w:hint="eastAsia" w:ascii="宋体" w:hAnsi="宋体"/>
          <w:color w:val="000000"/>
          <w:sz w:val="24"/>
          <w:u w:val="single"/>
        </w:rPr>
        <w:t xml:space="preserve">                              </w:t>
      </w:r>
      <w:r>
        <w:rPr>
          <w:rFonts w:hint="eastAsia" w:ascii="宋体" w:hAnsi="宋体"/>
          <w:color w:val="000000"/>
          <w:sz w:val="24"/>
        </w:rPr>
        <w:t>（投标人名称）在此承诺：</w:t>
      </w:r>
    </w:p>
    <w:p>
      <w:pPr>
        <w:spacing w:line="480" w:lineRule="auto"/>
        <w:rPr>
          <w:rFonts w:ascii="宋体" w:hAnsi="宋体"/>
          <w:color w:val="000000"/>
          <w:sz w:val="24"/>
        </w:rPr>
      </w:pPr>
    </w:p>
    <w:p>
      <w:pPr>
        <w:spacing w:line="480" w:lineRule="auto"/>
        <w:rPr>
          <w:rFonts w:ascii="宋体" w:hAnsi="宋体"/>
          <w:bCs/>
          <w:color w:val="000000"/>
          <w:sz w:val="24"/>
        </w:rPr>
      </w:pPr>
      <w:r>
        <w:rPr>
          <w:rFonts w:hint="eastAsia" w:ascii="宋体" w:hAnsi="宋体"/>
          <w:bCs/>
          <w:color w:val="000000"/>
          <w:sz w:val="24"/>
        </w:rPr>
        <w:t>1．本公司（单位）对本项目（</w:t>
      </w:r>
      <w:r>
        <w:rPr>
          <w:rFonts w:hint="eastAsia" w:ascii="宋体" w:hAnsi="宋体"/>
          <w:bCs/>
          <w:color w:val="000000"/>
          <w:sz w:val="24"/>
          <w:lang w:eastAsia="zh-CN"/>
        </w:rPr>
        <w:t>ZBCG2021032</w:t>
      </w:r>
      <w:r>
        <w:rPr>
          <w:rFonts w:hint="eastAsia" w:ascii="宋体" w:hAnsi="宋体"/>
          <w:bCs/>
          <w:color w:val="000000"/>
          <w:sz w:val="24"/>
        </w:rPr>
        <w:t>）提供符合招标要求的产品和服务；</w:t>
      </w:r>
    </w:p>
    <w:p>
      <w:pPr>
        <w:spacing w:line="480" w:lineRule="auto"/>
        <w:rPr>
          <w:rFonts w:ascii="宋体" w:hAnsi="宋体"/>
          <w:bCs/>
          <w:color w:val="000000"/>
          <w:sz w:val="24"/>
        </w:rPr>
      </w:pPr>
      <w:r>
        <w:rPr>
          <w:rFonts w:hint="eastAsia" w:ascii="宋体" w:hAnsi="宋体"/>
          <w:bCs/>
          <w:color w:val="000000"/>
          <w:sz w:val="24"/>
        </w:rPr>
        <w:t>2．本公司（单位）具备履行合同所必需的设备和专业技术能力；</w:t>
      </w:r>
    </w:p>
    <w:p>
      <w:pPr>
        <w:spacing w:line="480" w:lineRule="auto"/>
        <w:rPr>
          <w:rFonts w:ascii="宋体" w:hAnsi="宋体"/>
          <w:bCs/>
          <w:color w:val="000000"/>
          <w:sz w:val="24"/>
        </w:rPr>
      </w:pPr>
      <w:r>
        <w:rPr>
          <w:rFonts w:hint="eastAsia" w:ascii="宋体" w:hAnsi="宋体"/>
          <w:bCs/>
          <w:color w:val="000000"/>
          <w:sz w:val="24"/>
        </w:rPr>
        <w:t>3. 本公司未被“信用中国”网站（www.creditchina.gov.cn）列入失信执行人、重大税收违法案件当事人名单、政府采购严重违法失信行为记录名单。</w:t>
      </w:r>
    </w:p>
    <w:p>
      <w:pPr>
        <w:spacing w:line="480" w:lineRule="auto"/>
        <w:rPr>
          <w:rFonts w:ascii="宋体" w:hAnsi="宋体"/>
          <w:color w:val="000000"/>
          <w:sz w:val="24"/>
        </w:rPr>
      </w:pPr>
      <w:r>
        <w:rPr>
          <w:rFonts w:hint="eastAsia" w:ascii="宋体" w:hAnsi="宋体"/>
          <w:bCs/>
          <w:color w:val="000000"/>
          <w:sz w:val="24"/>
        </w:rPr>
        <w:t>如违背上述承诺，本公司（单位）将承担一切法律责任。</w:t>
      </w:r>
    </w:p>
    <w:p>
      <w:pPr>
        <w:spacing w:line="480" w:lineRule="auto"/>
        <w:rPr>
          <w:rFonts w:ascii="宋体" w:hAnsi="宋体"/>
          <w:color w:val="000000"/>
          <w:sz w:val="24"/>
        </w:rPr>
      </w:pPr>
    </w:p>
    <w:p>
      <w:pPr>
        <w:spacing w:line="480" w:lineRule="auto"/>
        <w:ind w:firstLine="5400" w:firstLineChars="2250"/>
        <w:rPr>
          <w:rFonts w:ascii="宋体" w:hAnsi="宋体"/>
          <w:bCs/>
          <w:color w:val="000000"/>
          <w:sz w:val="24"/>
        </w:rPr>
      </w:pPr>
    </w:p>
    <w:p>
      <w:pPr>
        <w:spacing w:line="480" w:lineRule="auto"/>
        <w:ind w:firstLine="3720" w:firstLineChars="1550"/>
        <w:rPr>
          <w:rFonts w:ascii="宋体" w:hAnsi="宋体"/>
          <w:bCs/>
          <w:color w:val="000000"/>
          <w:sz w:val="24"/>
        </w:rPr>
      </w:pPr>
      <w:r>
        <w:rPr>
          <w:rFonts w:hint="eastAsia" w:ascii="宋体" w:hAnsi="宋体"/>
          <w:bCs/>
          <w:color w:val="000000"/>
          <w:sz w:val="24"/>
        </w:rPr>
        <w:t>投标人（盖章）：</w:t>
      </w:r>
    </w:p>
    <w:p>
      <w:pPr>
        <w:spacing w:line="480" w:lineRule="auto"/>
        <w:ind w:firstLine="480" w:firstLineChars="200"/>
        <w:rPr>
          <w:rFonts w:ascii="宋体" w:hAnsi="宋体"/>
          <w:bCs/>
          <w:color w:val="000000"/>
          <w:sz w:val="24"/>
        </w:rPr>
      </w:pPr>
      <w:r>
        <w:rPr>
          <w:rFonts w:hint="eastAsia" w:ascii="宋体" w:hAnsi="宋体"/>
          <w:bCs/>
          <w:color w:val="000000"/>
          <w:sz w:val="24"/>
        </w:rPr>
        <w:t>法定代表人或法定代表人授权代表签字或盖章：</w:t>
      </w:r>
    </w:p>
    <w:p>
      <w:pPr>
        <w:outlineLvl w:val="0"/>
        <w:rPr>
          <w:rFonts w:ascii="黑体" w:hAnsi="宋体" w:eastAsia="黑体"/>
          <w:bCs/>
          <w:color w:val="000000"/>
          <w:sz w:val="24"/>
        </w:rPr>
      </w:pPr>
    </w:p>
    <w:p>
      <w:pPr>
        <w:outlineLvl w:val="0"/>
        <w:rPr>
          <w:rFonts w:ascii="黑体" w:hAnsi="宋体" w:eastAsia="黑体"/>
          <w:bCs/>
          <w:color w:val="000000"/>
          <w:sz w:val="24"/>
        </w:rPr>
      </w:pPr>
    </w:p>
    <w:p>
      <w:pPr>
        <w:outlineLvl w:val="0"/>
        <w:rPr>
          <w:rFonts w:ascii="黑体" w:hAnsi="宋体" w:eastAsia="黑体"/>
          <w:bCs/>
          <w:color w:val="000000"/>
          <w:sz w:val="24"/>
        </w:rPr>
      </w:pPr>
    </w:p>
    <w:p>
      <w:pPr>
        <w:outlineLvl w:val="0"/>
        <w:rPr>
          <w:rFonts w:ascii="黑体" w:eastAsia="黑体"/>
          <w:bCs/>
          <w:color w:val="000000"/>
          <w:sz w:val="28"/>
          <w:szCs w:val="28"/>
        </w:rPr>
      </w:pPr>
    </w:p>
    <w:p>
      <w:pPr>
        <w:outlineLvl w:val="0"/>
        <w:rPr>
          <w:rFonts w:ascii="黑体" w:eastAsia="黑体"/>
          <w:bCs/>
          <w:color w:val="000000"/>
          <w:sz w:val="28"/>
          <w:szCs w:val="28"/>
        </w:rPr>
      </w:pPr>
    </w:p>
    <w:p>
      <w:pPr>
        <w:outlineLvl w:val="0"/>
        <w:rPr>
          <w:rFonts w:ascii="黑体" w:eastAsia="黑体"/>
          <w:bCs/>
          <w:color w:val="000000"/>
          <w:sz w:val="28"/>
          <w:szCs w:val="28"/>
        </w:rPr>
      </w:pPr>
    </w:p>
    <w:p>
      <w:pPr>
        <w:outlineLvl w:val="0"/>
        <w:rPr>
          <w:rFonts w:ascii="黑体" w:eastAsia="黑体"/>
          <w:bCs/>
          <w:color w:val="000000"/>
          <w:sz w:val="28"/>
          <w:szCs w:val="28"/>
        </w:rPr>
      </w:pPr>
    </w:p>
    <w:p>
      <w:pPr>
        <w:spacing w:line="360" w:lineRule="auto"/>
        <w:jc w:val="center"/>
        <w:outlineLvl w:val="0"/>
        <w:rPr>
          <w:rFonts w:ascii="黑体" w:eastAsia="黑体"/>
          <w:b/>
          <w:color w:val="000000"/>
          <w:sz w:val="30"/>
          <w:szCs w:val="30"/>
        </w:rPr>
      </w:pPr>
    </w:p>
    <w:p>
      <w:pPr>
        <w:spacing w:line="360" w:lineRule="auto"/>
        <w:jc w:val="center"/>
        <w:outlineLvl w:val="0"/>
        <w:rPr>
          <w:rFonts w:ascii="黑体" w:eastAsia="黑体"/>
          <w:b/>
          <w:color w:val="000000"/>
          <w:sz w:val="30"/>
          <w:szCs w:val="30"/>
        </w:rPr>
      </w:pPr>
      <w:r>
        <w:rPr>
          <w:rFonts w:hint="eastAsia" w:ascii="黑体" w:eastAsia="黑体"/>
          <w:b/>
          <w:color w:val="000000"/>
          <w:sz w:val="30"/>
          <w:szCs w:val="30"/>
        </w:rPr>
        <w:t>（五）开标一览表（格式）</w:t>
      </w:r>
    </w:p>
    <w:p>
      <w:pPr>
        <w:adjustRightInd w:val="0"/>
        <w:snapToGrid w:val="0"/>
        <w:spacing w:line="300" w:lineRule="auto"/>
        <w:jc w:val="center"/>
        <w:rPr>
          <w:rFonts w:ascii="宋体" w:hAnsi="宋体" w:cs="宋体"/>
          <w:b/>
          <w:bCs/>
          <w:color w:val="000000"/>
          <w:sz w:val="36"/>
          <w:szCs w:val="36"/>
        </w:rPr>
      </w:pPr>
    </w:p>
    <w:p>
      <w:pPr>
        <w:adjustRightInd w:val="0"/>
        <w:snapToGrid w:val="0"/>
        <w:spacing w:line="300" w:lineRule="auto"/>
        <w:rPr>
          <w:rFonts w:ascii="宋体" w:hAnsi="宋体"/>
          <w:color w:val="000000"/>
        </w:rPr>
      </w:pPr>
      <w:r>
        <w:rPr>
          <w:rFonts w:hint="eastAsia" w:ascii="宋体" w:hAnsi="宋体"/>
          <w:color w:val="000000"/>
          <w:sz w:val="24"/>
        </w:rPr>
        <w:t xml:space="preserve">投标人全称（加盖公章）：  </w:t>
      </w:r>
      <w:r>
        <w:rPr>
          <w:rFonts w:hint="eastAsia" w:ascii="宋体" w:hAnsi="宋体" w:cs="宋体"/>
          <w:color w:val="000000"/>
          <w:sz w:val="24"/>
          <w:szCs w:val="28"/>
        </w:rPr>
        <w:t xml:space="preserve">                      </w:t>
      </w:r>
      <w:r>
        <w:rPr>
          <w:rFonts w:hint="eastAsia" w:ascii="宋体" w:hAnsi="宋体"/>
          <w:color w:val="000000"/>
          <w:sz w:val="24"/>
        </w:rPr>
        <w:t>采购编号：</w:t>
      </w:r>
      <w:r>
        <w:rPr>
          <w:rFonts w:hint="eastAsia" w:ascii="宋体" w:hAnsi="宋体"/>
          <w:color w:val="000000"/>
        </w:rPr>
        <w:t xml:space="preserve"> </w:t>
      </w:r>
    </w:p>
    <w:tbl>
      <w:tblPr>
        <w:tblStyle w:val="13"/>
        <w:tblW w:w="895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38"/>
        <w:gridCol w:w="66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3" w:hRule="atLeast"/>
        </w:trPr>
        <w:tc>
          <w:tcPr>
            <w:tcW w:w="2338" w:type="dxa"/>
            <w:vAlign w:val="center"/>
          </w:tcPr>
          <w:p>
            <w:pPr>
              <w:pStyle w:val="6"/>
              <w:snapToGrid w:val="0"/>
              <w:spacing w:line="300" w:lineRule="auto"/>
              <w:rPr>
                <w:rFonts w:ascii="宋体" w:hAnsi="宋体" w:eastAsia="宋体" w:cs="宋体"/>
                <w:color w:val="000000"/>
                <w:sz w:val="24"/>
              </w:rPr>
            </w:pPr>
            <w:r>
              <w:rPr>
                <w:rFonts w:hint="eastAsia" w:ascii="宋体" w:hAnsi="宋体" w:eastAsia="宋体" w:cs="宋体"/>
                <w:color w:val="000000"/>
                <w:sz w:val="24"/>
              </w:rPr>
              <w:t>项目总报价</w:t>
            </w:r>
          </w:p>
          <w:p>
            <w:pPr>
              <w:pStyle w:val="6"/>
              <w:snapToGrid w:val="0"/>
              <w:spacing w:line="300" w:lineRule="auto"/>
              <w:rPr>
                <w:rFonts w:ascii="宋体" w:hAnsi="宋体" w:eastAsia="宋体" w:cs="宋体"/>
                <w:color w:val="000000"/>
                <w:sz w:val="24"/>
              </w:rPr>
            </w:pPr>
            <w:r>
              <w:rPr>
                <w:rFonts w:hint="eastAsia" w:ascii="宋体" w:hAnsi="宋体" w:eastAsia="宋体" w:cs="宋体"/>
                <w:color w:val="000000"/>
                <w:sz w:val="24"/>
              </w:rPr>
              <w:t>（人民币）</w:t>
            </w:r>
          </w:p>
        </w:tc>
        <w:tc>
          <w:tcPr>
            <w:tcW w:w="6613" w:type="dxa"/>
            <w:vAlign w:val="center"/>
          </w:tcPr>
          <w:p>
            <w:pPr>
              <w:pStyle w:val="6"/>
              <w:snapToGrid w:val="0"/>
              <w:spacing w:line="300" w:lineRule="auto"/>
              <w:rPr>
                <w:rFonts w:ascii="宋体" w:hAnsi="宋体" w:eastAsia="宋体" w:cs="宋体"/>
                <w:color w:val="000000"/>
                <w:sz w:val="24"/>
              </w:rPr>
            </w:pPr>
            <w:r>
              <w:rPr>
                <w:rFonts w:hint="eastAsia" w:ascii="宋体" w:hAnsi="宋体" w:eastAsia="宋体" w:cs="宋体"/>
                <w:color w:val="000000"/>
                <w:sz w:val="24"/>
              </w:rPr>
              <w:t>大写：</w:t>
            </w:r>
          </w:p>
          <w:p>
            <w:pPr>
              <w:pStyle w:val="6"/>
              <w:snapToGrid w:val="0"/>
              <w:spacing w:line="300" w:lineRule="auto"/>
              <w:rPr>
                <w:rFonts w:ascii="宋体" w:hAnsi="宋体" w:eastAsia="宋体" w:cs="宋体"/>
                <w:color w:val="000000"/>
                <w:sz w:val="24"/>
              </w:rPr>
            </w:pPr>
            <w:r>
              <w:rPr>
                <w:rFonts w:hint="eastAsia" w:ascii="宋体" w:hAnsi="宋体" w:eastAsia="宋体" w:cs="宋体"/>
                <w:color w:val="000000"/>
                <w:sz w:val="24"/>
              </w:rPr>
              <w:t xml:space="preserve">小写：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1" w:hRule="atLeast"/>
        </w:trPr>
        <w:tc>
          <w:tcPr>
            <w:tcW w:w="2338" w:type="dxa"/>
            <w:vAlign w:val="center"/>
          </w:tcPr>
          <w:p>
            <w:pPr>
              <w:widowControl/>
              <w:jc w:val="center"/>
              <w:textAlignment w:val="center"/>
              <w:rPr>
                <w:rFonts w:ascii="宋体" w:hAnsi="宋体" w:cs="宋体"/>
                <w:color w:val="000000"/>
                <w:kern w:val="0"/>
                <w:sz w:val="24"/>
              </w:rPr>
            </w:pPr>
            <w:r>
              <w:rPr>
                <w:rFonts w:hint="eastAsia" w:ascii="宋体" w:hAnsi="宋体" w:cs="宋体"/>
                <w:kern w:val="0"/>
                <w:sz w:val="24"/>
              </w:rPr>
              <w:t>交货期</w:t>
            </w:r>
          </w:p>
        </w:tc>
        <w:tc>
          <w:tcPr>
            <w:tcW w:w="6613" w:type="dxa"/>
            <w:vAlign w:val="center"/>
          </w:tcPr>
          <w:p>
            <w:pPr>
              <w:adjustRightInd w:val="0"/>
              <w:snapToGrid w:val="0"/>
              <w:spacing w:line="300" w:lineRule="auto"/>
              <w:rPr>
                <w:rFonts w:ascii="宋体" w:hAnsi="宋体" w:cs="宋体"/>
                <w:color w:val="00000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1" w:hRule="atLeast"/>
        </w:trPr>
        <w:tc>
          <w:tcPr>
            <w:tcW w:w="2338" w:type="dxa"/>
            <w:vAlign w:val="center"/>
          </w:tcPr>
          <w:p>
            <w:pPr>
              <w:widowControl/>
              <w:jc w:val="center"/>
              <w:textAlignment w:val="center"/>
              <w:rPr>
                <w:rFonts w:ascii="宋体" w:hAnsi="宋体" w:cs="宋体"/>
                <w:color w:val="000000"/>
                <w:sz w:val="24"/>
                <w:szCs w:val="28"/>
              </w:rPr>
            </w:pPr>
            <w:r>
              <w:rPr>
                <w:rFonts w:hint="eastAsia" w:ascii="宋体" w:hAnsi="宋体" w:cs="宋体"/>
                <w:color w:val="000000"/>
                <w:sz w:val="24"/>
                <w:szCs w:val="28"/>
              </w:rPr>
              <w:t>误期违约金</w:t>
            </w:r>
          </w:p>
        </w:tc>
        <w:tc>
          <w:tcPr>
            <w:tcW w:w="6613" w:type="dxa"/>
            <w:vAlign w:val="center"/>
          </w:tcPr>
          <w:p>
            <w:pPr>
              <w:adjustRightInd w:val="0"/>
              <w:snapToGrid w:val="0"/>
              <w:spacing w:line="300" w:lineRule="auto"/>
              <w:rPr>
                <w:rFonts w:ascii="宋体" w:hAnsi="宋体" w:cs="宋体"/>
                <w:color w:val="00000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1" w:hRule="atLeast"/>
        </w:trPr>
        <w:tc>
          <w:tcPr>
            <w:tcW w:w="2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质量标准</w:t>
            </w:r>
          </w:p>
        </w:tc>
        <w:tc>
          <w:tcPr>
            <w:tcW w:w="6613" w:type="dxa"/>
            <w:vAlign w:val="center"/>
          </w:tcPr>
          <w:p>
            <w:pPr>
              <w:adjustRightInd w:val="0"/>
              <w:snapToGrid w:val="0"/>
              <w:spacing w:line="300" w:lineRule="auto"/>
              <w:rPr>
                <w:rFonts w:ascii="宋体" w:hAnsi="宋体" w:cs="宋体"/>
                <w:color w:val="00000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1" w:hRule="atLeast"/>
        </w:trPr>
        <w:tc>
          <w:tcPr>
            <w:tcW w:w="2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质量违约金</w:t>
            </w:r>
          </w:p>
        </w:tc>
        <w:tc>
          <w:tcPr>
            <w:tcW w:w="6613" w:type="dxa"/>
            <w:vAlign w:val="center"/>
          </w:tcPr>
          <w:p>
            <w:pPr>
              <w:adjustRightInd w:val="0"/>
              <w:snapToGrid w:val="0"/>
              <w:spacing w:line="300" w:lineRule="auto"/>
              <w:rPr>
                <w:rFonts w:ascii="宋体" w:hAnsi="宋体" w:cs="宋体"/>
                <w:color w:val="00000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1" w:hRule="atLeast"/>
        </w:trPr>
        <w:tc>
          <w:tcPr>
            <w:tcW w:w="2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sz w:val="24"/>
                <w:szCs w:val="28"/>
              </w:rPr>
              <w:t>质保期</w:t>
            </w:r>
          </w:p>
        </w:tc>
        <w:tc>
          <w:tcPr>
            <w:tcW w:w="6613" w:type="dxa"/>
            <w:vAlign w:val="center"/>
          </w:tcPr>
          <w:p>
            <w:pPr>
              <w:adjustRightInd w:val="0"/>
              <w:snapToGrid w:val="0"/>
              <w:spacing w:line="300" w:lineRule="auto"/>
              <w:rPr>
                <w:rFonts w:ascii="宋体" w:hAnsi="宋体" w:cs="宋体"/>
                <w:color w:val="00000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1" w:hRule="atLeast"/>
        </w:trPr>
        <w:tc>
          <w:tcPr>
            <w:tcW w:w="2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sz w:val="24"/>
                <w:szCs w:val="28"/>
              </w:rPr>
              <w:t>维修响应时间</w:t>
            </w:r>
          </w:p>
        </w:tc>
        <w:tc>
          <w:tcPr>
            <w:tcW w:w="6613" w:type="dxa"/>
            <w:vAlign w:val="center"/>
          </w:tcPr>
          <w:p>
            <w:pPr>
              <w:adjustRightInd w:val="0"/>
              <w:snapToGrid w:val="0"/>
              <w:spacing w:line="300" w:lineRule="auto"/>
              <w:rPr>
                <w:rFonts w:ascii="宋体" w:hAnsi="宋体" w:cs="宋体"/>
                <w:color w:val="00000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1" w:hRule="atLeast"/>
        </w:trPr>
        <w:tc>
          <w:tcPr>
            <w:tcW w:w="2338" w:type="dxa"/>
            <w:vAlign w:val="center"/>
          </w:tcPr>
          <w:p>
            <w:pPr>
              <w:adjustRightInd w:val="0"/>
              <w:snapToGrid w:val="0"/>
              <w:spacing w:line="300" w:lineRule="auto"/>
              <w:jc w:val="center"/>
              <w:rPr>
                <w:rFonts w:ascii="宋体" w:hAnsi="宋体" w:cs="宋体"/>
                <w:color w:val="000000"/>
                <w:sz w:val="24"/>
                <w:szCs w:val="28"/>
              </w:rPr>
            </w:pPr>
            <w:r>
              <w:rPr>
                <w:rFonts w:hint="eastAsia" w:ascii="宋体" w:hAnsi="宋体" w:cs="宋体"/>
                <w:color w:val="000000"/>
                <w:sz w:val="24"/>
                <w:szCs w:val="28"/>
              </w:rPr>
              <w:t>投标文件</w:t>
            </w:r>
          </w:p>
          <w:p>
            <w:pPr>
              <w:adjustRightInd w:val="0"/>
              <w:snapToGrid w:val="0"/>
              <w:spacing w:line="300" w:lineRule="auto"/>
              <w:jc w:val="center"/>
              <w:rPr>
                <w:rFonts w:ascii="宋体" w:hAnsi="宋体" w:cs="宋体"/>
                <w:color w:val="000000"/>
                <w:sz w:val="24"/>
                <w:szCs w:val="28"/>
              </w:rPr>
            </w:pPr>
            <w:r>
              <w:rPr>
                <w:rFonts w:hint="eastAsia" w:ascii="宋体" w:hAnsi="宋体" w:cs="宋体"/>
                <w:color w:val="000000"/>
                <w:sz w:val="24"/>
                <w:szCs w:val="28"/>
              </w:rPr>
              <w:t>份数</w:t>
            </w:r>
          </w:p>
        </w:tc>
        <w:tc>
          <w:tcPr>
            <w:tcW w:w="6613" w:type="dxa"/>
            <w:vAlign w:val="center"/>
          </w:tcPr>
          <w:p>
            <w:pPr>
              <w:adjustRightInd w:val="0"/>
              <w:snapToGrid w:val="0"/>
              <w:spacing w:line="300" w:lineRule="auto"/>
              <w:rPr>
                <w:rFonts w:ascii="宋体" w:hAnsi="宋体" w:cs="宋体"/>
                <w:color w:val="000000"/>
                <w:sz w:val="24"/>
                <w:szCs w:val="28"/>
              </w:rPr>
            </w:pPr>
            <w:r>
              <w:rPr>
                <w:rFonts w:hint="eastAsia" w:ascii="宋体" w:hAnsi="宋体" w:cs="宋体"/>
                <w:color w:val="000000"/>
                <w:sz w:val="24"/>
              </w:rPr>
              <w:t>正本1份，副本4份。</w:t>
            </w:r>
          </w:p>
        </w:tc>
      </w:tr>
    </w:tbl>
    <w:p>
      <w:pPr>
        <w:adjustRightInd w:val="0"/>
        <w:snapToGrid w:val="0"/>
        <w:spacing w:line="300" w:lineRule="auto"/>
        <w:rPr>
          <w:rFonts w:ascii="宋体" w:hAnsi="宋体"/>
          <w:color w:val="000000"/>
          <w:sz w:val="24"/>
        </w:rPr>
      </w:pPr>
    </w:p>
    <w:p>
      <w:pPr>
        <w:adjustRightInd w:val="0"/>
        <w:snapToGrid w:val="0"/>
        <w:spacing w:line="300" w:lineRule="auto"/>
        <w:rPr>
          <w:rFonts w:ascii="宋体" w:hAnsi="宋体" w:cs="宋体"/>
          <w:color w:val="000000"/>
          <w:sz w:val="24"/>
          <w:szCs w:val="28"/>
        </w:rPr>
      </w:pPr>
    </w:p>
    <w:p>
      <w:pPr>
        <w:overflowPunct w:val="0"/>
        <w:rPr>
          <w:rFonts w:ascii="宋体" w:hAnsi="宋体"/>
          <w:color w:val="000000"/>
          <w:sz w:val="24"/>
        </w:rPr>
      </w:pPr>
      <w:r>
        <w:rPr>
          <w:rFonts w:hint="eastAsia" w:ascii="宋体" w:hAnsi="宋体"/>
          <w:color w:val="000000"/>
          <w:sz w:val="24"/>
        </w:rPr>
        <w:t>法定代表人或授权代表签字和盖章：                  日期：   年   月   日</w:t>
      </w:r>
    </w:p>
    <w:p>
      <w:pPr>
        <w:overflowPunct w:val="0"/>
        <w:spacing w:before="156" w:beforeLines="50"/>
        <w:rPr>
          <w:rFonts w:ascii="宋体" w:hAnsi="宋体"/>
          <w:color w:val="000000"/>
          <w:sz w:val="24"/>
        </w:rPr>
      </w:pPr>
      <w:r>
        <w:rPr>
          <w:rFonts w:hint="eastAsia" w:ascii="宋体" w:hAnsi="宋体"/>
          <w:color w:val="000000"/>
          <w:sz w:val="24"/>
        </w:rPr>
        <w:t>填写说明：</w:t>
      </w:r>
    </w:p>
    <w:p>
      <w:pPr>
        <w:spacing w:line="500" w:lineRule="exact"/>
        <w:ind w:firstLine="482" w:firstLineChars="200"/>
        <w:rPr>
          <w:rFonts w:ascii="宋体" w:hAnsi="宋体"/>
          <w:b/>
          <w:color w:val="000000"/>
          <w:sz w:val="24"/>
        </w:rPr>
      </w:pPr>
      <w:r>
        <w:rPr>
          <w:rFonts w:hint="eastAsia" w:ascii="宋体" w:hAnsi="宋体"/>
          <w:b/>
          <w:color w:val="000000"/>
          <w:sz w:val="24"/>
        </w:rPr>
        <w:t>开标一览表中的内容应与响应函内容一致，否则评标时一律按开标一览表中内容为准，开标一览表中必须盖章和签字。</w:t>
      </w:r>
    </w:p>
    <w:p>
      <w:pPr>
        <w:ind w:firstLine="562" w:firstLineChars="175"/>
        <w:jc w:val="center"/>
        <w:outlineLvl w:val="0"/>
        <w:rPr>
          <w:rFonts w:ascii="黑体" w:eastAsia="黑体" w:cs="宋体"/>
          <w:b/>
          <w:color w:val="000000"/>
          <w:sz w:val="32"/>
          <w:szCs w:val="32"/>
        </w:rPr>
      </w:pPr>
    </w:p>
    <w:p>
      <w:pPr>
        <w:spacing w:line="400" w:lineRule="exact"/>
        <w:jc w:val="center"/>
        <w:outlineLvl w:val="0"/>
        <w:rPr>
          <w:rFonts w:ascii="黑体" w:eastAsia="黑体"/>
          <w:bCs/>
          <w:color w:val="000000"/>
          <w:sz w:val="28"/>
          <w:szCs w:val="28"/>
        </w:rPr>
      </w:pPr>
    </w:p>
    <w:p>
      <w:pPr>
        <w:spacing w:line="400" w:lineRule="exact"/>
        <w:jc w:val="center"/>
        <w:outlineLvl w:val="0"/>
        <w:rPr>
          <w:rFonts w:ascii="黑体" w:eastAsia="黑体" w:cs="宋体"/>
          <w:b/>
          <w:color w:val="000000"/>
          <w:sz w:val="32"/>
          <w:szCs w:val="32"/>
        </w:rPr>
      </w:pPr>
      <w:r>
        <w:rPr>
          <w:rFonts w:hint="eastAsia" w:ascii="黑体" w:eastAsia="黑体" w:cs="宋体"/>
          <w:b/>
          <w:color w:val="000000"/>
          <w:sz w:val="32"/>
          <w:szCs w:val="32"/>
        </w:rPr>
        <w:t>（六）采购需求响应表（格式）</w:t>
      </w:r>
    </w:p>
    <w:p>
      <w:pPr>
        <w:spacing w:line="400" w:lineRule="exact"/>
        <w:ind w:firstLine="3080" w:firstLineChars="1100"/>
        <w:outlineLvl w:val="0"/>
        <w:rPr>
          <w:rFonts w:ascii="宋体" w:hAnsi="宋体"/>
          <w:b/>
          <w:color w:val="000000"/>
          <w:sz w:val="24"/>
        </w:rPr>
      </w:pPr>
      <w:r>
        <w:rPr>
          <w:rFonts w:hint="eastAsia" w:ascii="黑体" w:eastAsia="黑体"/>
          <w:bCs/>
          <w:color w:val="000000"/>
          <w:sz w:val="28"/>
          <w:szCs w:val="28"/>
        </w:rPr>
        <w:t>采购需求响应表</w:t>
      </w:r>
    </w:p>
    <w:p>
      <w:pPr>
        <w:spacing w:line="400" w:lineRule="exact"/>
        <w:rPr>
          <w:rFonts w:ascii="黑体" w:eastAsia="黑体"/>
          <w:bCs/>
          <w:color w:val="000000"/>
          <w:sz w:val="24"/>
        </w:rPr>
      </w:pPr>
    </w:p>
    <w:p>
      <w:pPr>
        <w:spacing w:line="400" w:lineRule="exact"/>
        <w:rPr>
          <w:rFonts w:ascii="黑体" w:eastAsia="黑体"/>
          <w:bCs/>
          <w:color w:val="000000"/>
          <w:sz w:val="24"/>
        </w:rPr>
      </w:pPr>
      <w:r>
        <w:rPr>
          <w:rFonts w:hint="eastAsia" w:ascii="黑体" w:eastAsia="黑体"/>
          <w:bCs/>
          <w:color w:val="000000"/>
          <w:sz w:val="24"/>
        </w:rPr>
        <w:t>投标人名称（盖章）                                   政府采购编号：</w:t>
      </w:r>
    </w:p>
    <w:tbl>
      <w:tblPr>
        <w:tblStyle w:val="13"/>
        <w:tblW w:w="9276" w:type="dxa"/>
        <w:tblInd w:w="-90" w:type="dxa"/>
        <w:tblLayout w:type="fixed"/>
        <w:tblCellMar>
          <w:top w:w="0" w:type="dxa"/>
          <w:left w:w="0" w:type="dxa"/>
          <w:bottom w:w="0" w:type="dxa"/>
          <w:right w:w="0" w:type="dxa"/>
        </w:tblCellMar>
      </w:tblPr>
      <w:tblGrid>
        <w:gridCol w:w="420"/>
        <w:gridCol w:w="3570"/>
        <w:gridCol w:w="3150"/>
        <w:gridCol w:w="2136"/>
      </w:tblGrid>
      <w:tr>
        <w:tblPrEx>
          <w:tblCellMar>
            <w:top w:w="0" w:type="dxa"/>
            <w:left w:w="0" w:type="dxa"/>
            <w:bottom w:w="0" w:type="dxa"/>
            <w:right w:w="0" w:type="dxa"/>
          </w:tblCellMar>
        </w:tblPrEx>
        <w:trPr>
          <w:cantSplit/>
          <w:trHeight w:val="495" w:hRule="atLeast"/>
        </w:trPr>
        <w:tc>
          <w:tcPr>
            <w:tcW w:w="42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before="5"/>
              <w:jc w:val="center"/>
              <w:rPr>
                <w:color w:val="000000"/>
                <w:sz w:val="18"/>
              </w:rPr>
            </w:pPr>
            <w:r>
              <w:rPr>
                <w:rFonts w:hint="eastAsia"/>
                <w:color w:val="000000"/>
                <w:sz w:val="18"/>
              </w:rPr>
              <w:t>序号</w:t>
            </w:r>
          </w:p>
        </w:tc>
        <w:tc>
          <w:tcPr>
            <w:tcW w:w="3570"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before="5"/>
              <w:jc w:val="center"/>
              <w:rPr>
                <w:color w:val="000000"/>
                <w:sz w:val="18"/>
                <w:u w:color="FF0000"/>
              </w:rPr>
            </w:pPr>
            <w:r>
              <w:rPr>
                <w:rFonts w:hint="eastAsia"/>
                <w:color w:val="000000"/>
                <w:sz w:val="18"/>
                <w:u w:color="FF0000"/>
              </w:rPr>
              <w:t>采购需求</w:t>
            </w:r>
          </w:p>
        </w:tc>
        <w:tc>
          <w:tcPr>
            <w:tcW w:w="3150"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before="5"/>
              <w:jc w:val="center"/>
              <w:rPr>
                <w:color w:val="000000"/>
                <w:sz w:val="18"/>
              </w:rPr>
            </w:pPr>
            <w:r>
              <w:rPr>
                <w:rFonts w:hint="eastAsia"/>
                <w:color w:val="000000"/>
                <w:sz w:val="18"/>
                <w:u w:color="FF0000"/>
              </w:rPr>
              <w:t>响应情况</w:t>
            </w:r>
          </w:p>
        </w:tc>
        <w:tc>
          <w:tcPr>
            <w:tcW w:w="2136"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before="5"/>
              <w:jc w:val="center"/>
              <w:rPr>
                <w:color w:val="000000"/>
                <w:sz w:val="18"/>
                <w:u w:color="FF0000"/>
              </w:rPr>
            </w:pPr>
            <w:r>
              <w:rPr>
                <w:rFonts w:hint="eastAsia"/>
                <w:color w:val="000000"/>
                <w:sz w:val="18"/>
                <w:u w:color="FF0000"/>
              </w:rPr>
              <w:t>偏离情况</w:t>
            </w:r>
          </w:p>
        </w:tc>
      </w:tr>
      <w:tr>
        <w:tblPrEx>
          <w:tblCellMar>
            <w:top w:w="0" w:type="dxa"/>
            <w:left w:w="0" w:type="dxa"/>
            <w:bottom w:w="0" w:type="dxa"/>
            <w:right w:w="0" w:type="dxa"/>
          </w:tblCellMar>
        </w:tblPrEx>
        <w:trPr>
          <w:cantSplit/>
          <w:trHeight w:val="458" w:hRule="atLeast"/>
        </w:trPr>
        <w:tc>
          <w:tcPr>
            <w:tcW w:w="42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olor w:val="000000"/>
                <w:sz w:val="18"/>
              </w:rPr>
            </w:pPr>
            <w:r>
              <w:rPr>
                <w:rFonts w:hint="eastAsia" w:ascii="宋体" w:hAnsi="宋体"/>
                <w:color w:val="000000"/>
                <w:sz w:val="18"/>
              </w:rPr>
              <w:t>1</w:t>
            </w:r>
          </w:p>
        </w:tc>
        <w:tc>
          <w:tcPr>
            <w:tcW w:w="3570"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pStyle w:val="11"/>
              <w:pBdr>
                <w:bottom w:val="none" w:color="auto" w:sz="0" w:space="0"/>
              </w:pBdr>
              <w:tabs>
                <w:tab w:val="clear" w:pos="4153"/>
                <w:tab w:val="clear" w:pos="8306"/>
              </w:tabs>
              <w:snapToGrid/>
              <w:rPr>
                <w:rFonts w:ascii="宋体"/>
                <w:bCs/>
                <w:color w:val="000000"/>
              </w:rPr>
            </w:pPr>
          </w:p>
        </w:tc>
        <w:tc>
          <w:tcPr>
            <w:tcW w:w="3150"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rPr>
                <w:rFonts w:ascii="宋体" w:hAnsi="宋体"/>
                <w:color w:val="000000"/>
              </w:rPr>
            </w:pPr>
          </w:p>
        </w:tc>
        <w:tc>
          <w:tcPr>
            <w:tcW w:w="2136"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jc w:val="center"/>
              <w:rPr>
                <w:rFonts w:ascii="黑体" w:hAnsi="宋体" w:eastAsia="黑体"/>
                <w:b/>
                <w:bCs/>
                <w:color w:val="000000"/>
                <w:sz w:val="24"/>
              </w:rPr>
            </w:pPr>
          </w:p>
        </w:tc>
      </w:tr>
      <w:tr>
        <w:tblPrEx>
          <w:tblCellMar>
            <w:top w:w="0" w:type="dxa"/>
            <w:left w:w="0" w:type="dxa"/>
            <w:bottom w:w="0" w:type="dxa"/>
            <w:right w:w="0" w:type="dxa"/>
          </w:tblCellMar>
        </w:tblPrEx>
        <w:trPr>
          <w:cantSplit/>
          <w:trHeight w:val="458" w:hRule="atLeast"/>
        </w:trPr>
        <w:tc>
          <w:tcPr>
            <w:tcW w:w="42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olor w:val="000000"/>
                <w:sz w:val="18"/>
              </w:rPr>
            </w:pPr>
            <w:r>
              <w:rPr>
                <w:rFonts w:hint="eastAsia" w:ascii="宋体" w:hAnsi="宋体"/>
                <w:color w:val="000000"/>
                <w:sz w:val="18"/>
              </w:rPr>
              <w:t>2</w:t>
            </w:r>
          </w:p>
        </w:tc>
        <w:tc>
          <w:tcPr>
            <w:tcW w:w="3570"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pStyle w:val="11"/>
              <w:pBdr>
                <w:bottom w:val="none" w:color="auto" w:sz="0" w:space="0"/>
              </w:pBdr>
              <w:tabs>
                <w:tab w:val="clear" w:pos="4153"/>
                <w:tab w:val="clear" w:pos="8306"/>
              </w:tabs>
              <w:snapToGrid/>
              <w:rPr>
                <w:rFonts w:ascii="宋体"/>
                <w:bCs/>
                <w:color w:val="000000"/>
              </w:rPr>
            </w:pPr>
          </w:p>
        </w:tc>
        <w:tc>
          <w:tcPr>
            <w:tcW w:w="3150"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rPr>
                <w:rFonts w:ascii="宋体" w:hAnsi="宋体"/>
                <w:color w:val="000000"/>
              </w:rPr>
            </w:pPr>
          </w:p>
        </w:tc>
        <w:tc>
          <w:tcPr>
            <w:tcW w:w="2136"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jc w:val="center"/>
              <w:rPr>
                <w:rFonts w:ascii="黑体" w:hAnsi="宋体" w:eastAsia="黑体"/>
                <w:b/>
                <w:bCs/>
                <w:color w:val="000000"/>
                <w:sz w:val="24"/>
              </w:rPr>
            </w:pPr>
          </w:p>
        </w:tc>
      </w:tr>
      <w:tr>
        <w:tblPrEx>
          <w:tblCellMar>
            <w:top w:w="0" w:type="dxa"/>
            <w:left w:w="0" w:type="dxa"/>
            <w:bottom w:w="0" w:type="dxa"/>
            <w:right w:w="0" w:type="dxa"/>
          </w:tblCellMar>
        </w:tblPrEx>
        <w:trPr>
          <w:cantSplit/>
          <w:trHeight w:val="458" w:hRule="atLeast"/>
        </w:trPr>
        <w:tc>
          <w:tcPr>
            <w:tcW w:w="42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olor w:val="000000"/>
                <w:sz w:val="18"/>
              </w:rPr>
            </w:pPr>
          </w:p>
        </w:tc>
        <w:tc>
          <w:tcPr>
            <w:tcW w:w="3570"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pStyle w:val="11"/>
              <w:pBdr>
                <w:bottom w:val="none" w:color="auto" w:sz="0" w:space="0"/>
              </w:pBdr>
              <w:tabs>
                <w:tab w:val="clear" w:pos="4153"/>
                <w:tab w:val="clear" w:pos="8306"/>
              </w:tabs>
              <w:snapToGrid/>
              <w:rPr>
                <w:rFonts w:ascii="宋体"/>
                <w:bCs/>
                <w:color w:val="000000"/>
              </w:rPr>
            </w:pPr>
          </w:p>
        </w:tc>
        <w:tc>
          <w:tcPr>
            <w:tcW w:w="3150"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rPr>
                <w:rFonts w:ascii="宋体" w:hAnsi="宋体"/>
                <w:color w:val="000000"/>
              </w:rPr>
            </w:pPr>
          </w:p>
        </w:tc>
        <w:tc>
          <w:tcPr>
            <w:tcW w:w="2136"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jc w:val="center"/>
              <w:rPr>
                <w:rFonts w:ascii="黑体" w:hAnsi="宋体" w:eastAsia="黑体"/>
                <w:b/>
                <w:bCs/>
                <w:color w:val="000000"/>
                <w:sz w:val="24"/>
              </w:rPr>
            </w:pPr>
          </w:p>
        </w:tc>
      </w:tr>
      <w:tr>
        <w:tblPrEx>
          <w:tblCellMar>
            <w:top w:w="0" w:type="dxa"/>
            <w:left w:w="0" w:type="dxa"/>
            <w:bottom w:w="0" w:type="dxa"/>
            <w:right w:w="0" w:type="dxa"/>
          </w:tblCellMar>
        </w:tblPrEx>
        <w:trPr>
          <w:cantSplit/>
          <w:trHeight w:val="458" w:hRule="atLeast"/>
        </w:trPr>
        <w:tc>
          <w:tcPr>
            <w:tcW w:w="42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olor w:val="000000"/>
                <w:sz w:val="18"/>
              </w:rPr>
            </w:pPr>
          </w:p>
        </w:tc>
        <w:tc>
          <w:tcPr>
            <w:tcW w:w="3570"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pStyle w:val="11"/>
              <w:pBdr>
                <w:bottom w:val="none" w:color="auto" w:sz="0" w:space="0"/>
              </w:pBdr>
              <w:tabs>
                <w:tab w:val="clear" w:pos="4153"/>
                <w:tab w:val="clear" w:pos="8306"/>
              </w:tabs>
              <w:snapToGrid/>
              <w:rPr>
                <w:rFonts w:ascii="宋体"/>
                <w:bCs/>
                <w:color w:val="000000"/>
              </w:rPr>
            </w:pPr>
          </w:p>
        </w:tc>
        <w:tc>
          <w:tcPr>
            <w:tcW w:w="3150"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rPr>
                <w:rFonts w:ascii="宋体" w:hAnsi="宋体"/>
                <w:color w:val="000000"/>
              </w:rPr>
            </w:pPr>
          </w:p>
        </w:tc>
        <w:tc>
          <w:tcPr>
            <w:tcW w:w="2136"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jc w:val="center"/>
              <w:rPr>
                <w:rFonts w:ascii="黑体" w:hAnsi="宋体" w:eastAsia="黑体"/>
                <w:b/>
                <w:bCs/>
                <w:color w:val="000000"/>
                <w:sz w:val="24"/>
              </w:rPr>
            </w:pPr>
          </w:p>
        </w:tc>
      </w:tr>
      <w:tr>
        <w:tblPrEx>
          <w:tblCellMar>
            <w:top w:w="0" w:type="dxa"/>
            <w:left w:w="0" w:type="dxa"/>
            <w:bottom w:w="0" w:type="dxa"/>
            <w:right w:w="0" w:type="dxa"/>
          </w:tblCellMar>
        </w:tblPrEx>
        <w:trPr>
          <w:cantSplit/>
          <w:trHeight w:val="458" w:hRule="atLeast"/>
        </w:trPr>
        <w:tc>
          <w:tcPr>
            <w:tcW w:w="42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olor w:val="000000"/>
                <w:sz w:val="18"/>
              </w:rPr>
            </w:pPr>
          </w:p>
        </w:tc>
        <w:tc>
          <w:tcPr>
            <w:tcW w:w="3570"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pStyle w:val="11"/>
              <w:pBdr>
                <w:bottom w:val="none" w:color="auto" w:sz="0" w:space="0"/>
              </w:pBdr>
              <w:tabs>
                <w:tab w:val="clear" w:pos="4153"/>
                <w:tab w:val="clear" w:pos="8306"/>
              </w:tabs>
              <w:snapToGrid/>
              <w:rPr>
                <w:rFonts w:ascii="宋体"/>
                <w:bCs/>
                <w:color w:val="000000"/>
              </w:rPr>
            </w:pPr>
          </w:p>
        </w:tc>
        <w:tc>
          <w:tcPr>
            <w:tcW w:w="3150"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rPr>
                <w:rFonts w:ascii="宋体" w:hAnsi="宋体"/>
                <w:color w:val="000000"/>
              </w:rPr>
            </w:pPr>
          </w:p>
        </w:tc>
        <w:tc>
          <w:tcPr>
            <w:tcW w:w="2136"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jc w:val="center"/>
              <w:rPr>
                <w:rFonts w:ascii="黑体" w:hAnsi="宋体" w:eastAsia="黑体"/>
                <w:b/>
                <w:bCs/>
                <w:color w:val="000000"/>
                <w:sz w:val="24"/>
              </w:rPr>
            </w:pPr>
          </w:p>
        </w:tc>
      </w:tr>
      <w:tr>
        <w:tblPrEx>
          <w:tblCellMar>
            <w:top w:w="0" w:type="dxa"/>
            <w:left w:w="0" w:type="dxa"/>
            <w:bottom w:w="0" w:type="dxa"/>
            <w:right w:w="0" w:type="dxa"/>
          </w:tblCellMar>
        </w:tblPrEx>
        <w:trPr>
          <w:cantSplit/>
          <w:trHeight w:val="458" w:hRule="atLeast"/>
        </w:trPr>
        <w:tc>
          <w:tcPr>
            <w:tcW w:w="42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olor w:val="000000"/>
                <w:sz w:val="18"/>
              </w:rPr>
            </w:pPr>
          </w:p>
        </w:tc>
        <w:tc>
          <w:tcPr>
            <w:tcW w:w="3570"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pStyle w:val="11"/>
              <w:pBdr>
                <w:bottom w:val="none" w:color="auto" w:sz="0" w:space="0"/>
              </w:pBdr>
              <w:tabs>
                <w:tab w:val="clear" w:pos="4153"/>
                <w:tab w:val="clear" w:pos="8306"/>
              </w:tabs>
              <w:snapToGrid/>
              <w:rPr>
                <w:rFonts w:ascii="宋体"/>
                <w:bCs/>
                <w:color w:val="000000"/>
              </w:rPr>
            </w:pPr>
          </w:p>
        </w:tc>
        <w:tc>
          <w:tcPr>
            <w:tcW w:w="3150"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rPr>
                <w:rFonts w:ascii="宋体" w:hAnsi="宋体"/>
                <w:color w:val="000000"/>
              </w:rPr>
            </w:pPr>
          </w:p>
        </w:tc>
        <w:tc>
          <w:tcPr>
            <w:tcW w:w="2136"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jc w:val="center"/>
              <w:rPr>
                <w:rFonts w:ascii="黑体" w:hAnsi="宋体" w:eastAsia="黑体"/>
                <w:b/>
                <w:bCs/>
                <w:color w:val="000000"/>
                <w:sz w:val="24"/>
              </w:rPr>
            </w:pPr>
          </w:p>
        </w:tc>
      </w:tr>
      <w:tr>
        <w:tblPrEx>
          <w:tblCellMar>
            <w:top w:w="0" w:type="dxa"/>
            <w:left w:w="0" w:type="dxa"/>
            <w:bottom w:w="0" w:type="dxa"/>
            <w:right w:w="0" w:type="dxa"/>
          </w:tblCellMar>
        </w:tblPrEx>
        <w:trPr>
          <w:cantSplit/>
          <w:trHeight w:val="458" w:hRule="atLeast"/>
        </w:trPr>
        <w:tc>
          <w:tcPr>
            <w:tcW w:w="42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olor w:val="000000"/>
                <w:sz w:val="18"/>
              </w:rPr>
            </w:pPr>
          </w:p>
        </w:tc>
        <w:tc>
          <w:tcPr>
            <w:tcW w:w="3570"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pStyle w:val="11"/>
              <w:pBdr>
                <w:bottom w:val="none" w:color="auto" w:sz="0" w:space="0"/>
              </w:pBdr>
              <w:tabs>
                <w:tab w:val="clear" w:pos="4153"/>
                <w:tab w:val="clear" w:pos="8306"/>
              </w:tabs>
              <w:snapToGrid/>
              <w:rPr>
                <w:rFonts w:ascii="宋体"/>
                <w:bCs/>
                <w:color w:val="000000"/>
              </w:rPr>
            </w:pPr>
          </w:p>
        </w:tc>
        <w:tc>
          <w:tcPr>
            <w:tcW w:w="3150"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rPr>
                <w:rFonts w:ascii="宋体" w:hAnsi="宋体"/>
                <w:color w:val="000000"/>
              </w:rPr>
            </w:pPr>
          </w:p>
        </w:tc>
        <w:tc>
          <w:tcPr>
            <w:tcW w:w="2136"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jc w:val="center"/>
              <w:rPr>
                <w:rFonts w:ascii="黑体" w:hAnsi="宋体" w:eastAsia="黑体"/>
                <w:b/>
                <w:bCs/>
                <w:color w:val="000000"/>
                <w:sz w:val="24"/>
              </w:rPr>
            </w:pPr>
          </w:p>
        </w:tc>
      </w:tr>
      <w:tr>
        <w:tblPrEx>
          <w:tblCellMar>
            <w:top w:w="0" w:type="dxa"/>
            <w:left w:w="0" w:type="dxa"/>
            <w:bottom w:w="0" w:type="dxa"/>
            <w:right w:w="0" w:type="dxa"/>
          </w:tblCellMar>
        </w:tblPrEx>
        <w:trPr>
          <w:cantSplit/>
          <w:trHeight w:val="458" w:hRule="atLeast"/>
        </w:trPr>
        <w:tc>
          <w:tcPr>
            <w:tcW w:w="42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olor w:val="000000"/>
                <w:sz w:val="18"/>
              </w:rPr>
            </w:pPr>
          </w:p>
        </w:tc>
        <w:tc>
          <w:tcPr>
            <w:tcW w:w="3570"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pStyle w:val="11"/>
              <w:pBdr>
                <w:bottom w:val="none" w:color="auto" w:sz="0" w:space="0"/>
              </w:pBdr>
              <w:tabs>
                <w:tab w:val="clear" w:pos="4153"/>
                <w:tab w:val="clear" w:pos="8306"/>
              </w:tabs>
              <w:snapToGrid/>
              <w:rPr>
                <w:rFonts w:ascii="宋体"/>
                <w:bCs/>
                <w:color w:val="000000"/>
              </w:rPr>
            </w:pPr>
          </w:p>
        </w:tc>
        <w:tc>
          <w:tcPr>
            <w:tcW w:w="3150"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rPr>
                <w:rFonts w:ascii="宋体" w:hAnsi="宋体"/>
                <w:color w:val="000000"/>
              </w:rPr>
            </w:pPr>
          </w:p>
        </w:tc>
        <w:tc>
          <w:tcPr>
            <w:tcW w:w="2136"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jc w:val="center"/>
              <w:rPr>
                <w:rFonts w:ascii="黑体" w:hAnsi="宋体" w:eastAsia="黑体"/>
                <w:b/>
                <w:bCs/>
                <w:color w:val="000000"/>
                <w:sz w:val="24"/>
              </w:rPr>
            </w:pPr>
          </w:p>
        </w:tc>
      </w:tr>
      <w:tr>
        <w:tblPrEx>
          <w:tblCellMar>
            <w:top w:w="0" w:type="dxa"/>
            <w:left w:w="0" w:type="dxa"/>
            <w:bottom w:w="0" w:type="dxa"/>
            <w:right w:w="0" w:type="dxa"/>
          </w:tblCellMar>
        </w:tblPrEx>
        <w:trPr>
          <w:cantSplit/>
          <w:trHeight w:val="458" w:hRule="atLeast"/>
        </w:trPr>
        <w:tc>
          <w:tcPr>
            <w:tcW w:w="42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olor w:val="000000"/>
                <w:sz w:val="18"/>
              </w:rPr>
            </w:pPr>
          </w:p>
        </w:tc>
        <w:tc>
          <w:tcPr>
            <w:tcW w:w="3570"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pStyle w:val="11"/>
              <w:pBdr>
                <w:bottom w:val="none" w:color="auto" w:sz="0" w:space="0"/>
              </w:pBdr>
              <w:tabs>
                <w:tab w:val="clear" w:pos="4153"/>
                <w:tab w:val="clear" w:pos="8306"/>
              </w:tabs>
              <w:snapToGrid/>
              <w:rPr>
                <w:rFonts w:ascii="宋体"/>
                <w:bCs/>
                <w:color w:val="000000"/>
              </w:rPr>
            </w:pPr>
          </w:p>
        </w:tc>
        <w:tc>
          <w:tcPr>
            <w:tcW w:w="3150"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rPr>
                <w:rFonts w:ascii="宋体" w:hAnsi="宋体"/>
                <w:color w:val="000000"/>
              </w:rPr>
            </w:pPr>
          </w:p>
        </w:tc>
        <w:tc>
          <w:tcPr>
            <w:tcW w:w="2136"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jc w:val="center"/>
              <w:rPr>
                <w:rFonts w:ascii="黑体" w:hAnsi="宋体" w:eastAsia="黑体"/>
                <w:b/>
                <w:bCs/>
                <w:color w:val="000000"/>
                <w:sz w:val="24"/>
              </w:rPr>
            </w:pPr>
          </w:p>
        </w:tc>
      </w:tr>
    </w:tbl>
    <w:p>
      <w:pPr>
        <w:spacing w:before="5" w:line="560" w:lineRule="atLeast"/>
        <w:rPr>
          <w:b/>
          <w:bCs/>
          <w:color w:val="000000"/>
          <w:sz w:val="24"/>
        </w:rPr>
      </w:pPr>
      <w:r>
        <w:rPr>
          <w:rFonts w:hint="eastAsia"/>
          <w:b/>
          <w:bCs/>
          <w:color w:val="000000"/>
          <w:sz w:val="24"/>
        </w:rPr>
        <w:t>法定代表人或法定代表人授权代表签字或盖章：</w:t>
      </w:r>
    </w:p>
    <w:p>
      <w:pPr>
        <w:spacing w:line="400" w:lineRule="exact"/>
        <w:outlineLvl w:val="0"/>
        <w:rPr>
          <w:rFonts w:ascii="宋体" w:hAnsi="宋体"/>
          <w:bCs/>
          <w:color w:val="000000"/>
          <w:szCs w:val="21"/>
        </w:rPr>
      </w:pPr>
      <w:r>
        <w:rPr>
          <w:rFonts w:hint="eastAsia" w:ascii="宋体" w:hAnsi="宋体"/>
          <w:bCs/>
          <w:color w:val="000000"/>
          <w:szCs w:val="21"/>
        </w:rPr>
        <w:t>注：（1）投标人应当根据“采购需求”的内容在上表“响应情况”中详细填写，并根据“采购需求”对应填写“偏离情况”；</w:t>
      </w:r>
    </w:p>
    <w:p>
      <w:pPr>
        <w:spacing w:line="400" w:lineRule="exact"/>
        <w:outlineLvl w:val="0"/>
        <w:rPr>
          <w:rFonts w:ascii="宋体" w:hAnsi="宋体"/>
          <w:bCs/>
          <w:color w:val="000000"/>
          <w:szCs w:val="21"/>
        </w:rPr>
      </w:pPr>
      <w:r>
        <w:rPr>
          <w:rFonts w:hint="eastAsia" w:ascii="宋体" w:hAnsi="宋体"/>
          <w:bCs/>
          <w:color w:val="000000"/>
          <w:szCs w:val="21"/>
        </w:rPr>
        <w:t xml:space="preserve">   （2）表格不够可自行延长。</w:t>
      </w:r>
    </w:p>
    <w:p>
      <w:pPr>
        <w:ind w:firstLine="420" w:firstLineChars="175"/>
        <w:outlineLvl w:val="0"/>
        <w:rPr>
          <w:rFonts w:ascii="黑体" w:hAnsi="宋体" w:eastAsia="黑体"/>
          <w:bCs/>
          <w:color w:val="000000"/>
          <w:sz w:val="24"/>
        </w:rPr>
      </w:pPr>
    </w:p>
    <w:p>
      <w:pPr>
        <w:ind w:firstLine="420" w:firstLineChars="175"/>
        <w:outlineLvl w:val="0"/>
        <w:rPr>
          <w:rFonts w:ascii="黑体" w:hAnsi="宋体" w:eastAsia="黑体"/>
          <w:bCs/>
          <w:color w:val="000000"/>
          <w:sz w:val="24"/>
        </w:rPr>
      </w:pPr>
    </w:p>
    <w:p>
      <w:pPr>
        <w:ind w:firstLine="420" w:firstLineChars="175"/>
        <w:outlineLvl w:val="0"/>
        <w:rPr>
          <w:rFonts w:ascii="黑体" w:hAnsi="宋体" w:eastAsia="黑体"/>
          <w:bCs/>
          <w:color w:val="000000"/>
          <w:sz w:val="24"/>
        </w:rPr>
      </w:pPr>
    </w:p>
    <w:p>
      <w:pPr>
        <w:ind w:firstLine="420" w:firstLineChars="175"/>
        <w:outlineLvl w:val="0"/>
        <w:rPr>
          <w:rFonts w:ascii="黑体" w:hAnsi="宋体" w:eastAsia="黑体"/>
          <w:bCs/>
          <w:color w:val="000000"/>
          <w:sz w:val="24"/>
        </w:rPr>
      </w:pPr>
    </w:p>
    <w:p>
      <w:pPr>
        <w:ind w:firstLine="420" w:firstLineChars="175"/>
        <w:outlineLvl w:val="0"/>
        <w:rPr>
          <w:rFonts w:ascii="黑体" w:hAnsi="宋体" w:eastAsia="黑体"/>
          <w:bCs/>
          <w:color w:val="000000"/>
          <w:sz w:val="24"/>
        </w:rPr>
      </w:pPr>
    </w:p>
    <w:p>
      <w:pPr>
        <w:ind w:firstLine="420" w:firstLineChars="175"/>
        <w:outlineLvl w:val="0"/>
        <w:rPr>
          <w:rFonts w:ascii="黑体" w:hAnsi="宋体" w:eastAsia="黑体"/>
          <w:bCs/>
          <w:color w:val="000000"/>
          <w:sz w:val="24"/>
        </w:rPr>
      </w:pPr>
    </w:p>
    <w:p>
      <w:pPr>
        <w:ind w:firstLine="420" w:firstLineChars="175"/>
        <w:outlineLvl w:val="0"/>
        <w:rPr>
          <w:rFonts w:ascii="黑体" w:hAnsi="宋体" w:eastAsia="黑体"/>
          <w:bCs/>
          <w:color w:val="000000"/>
          <w:sz w:val="24"/>
        </w:rPr>
      </w:pPr>
    </w:p>
    <w:p>
      <w:pPr>
        <w:ind w:firstLine="420" w:firstLineChars="175"/>
        <w:outlineLvl w:val="0"/>
        <w:rPr>
          <w:rFonts w:ascii="黑体" w:hAnsi="宋体" w:eastAsia="黑体"/>
          <w:bCs/>
          <w:color w:val="000000"/>
          <w:sz w:val="24"/>
        </w:rPr>
      </w:pPr>
    </w:p>
    <w:p>
      <w:pPr>
        <w:ind w:firstLine="420" w:firstLineChars="175"/>
        <w:outlineLvl w:val="0"/>
        <w:rPr>
          <w:rFonts w:ascii="黑体" w:hAnsi="宋体" w:eastAsia="黑体"/>
          <w:bCs/>
          <w:color w:val="000000"/>
          <w:sz w:val="24"/>
        </w:rPr>
      </w:pPr>
    </w:p>
    <w:p>
      <w:pPr>
        <w:ind w:firstLine="420" w:firstLineChars="175"/>
        <w:outlineLvl w:val="0"/>
        <w:rPr>
          <w:rFonts w:ascii="黑体" w:hAnsi="宋体" w:eastAsia="黑体"/>
          <w:bCs/>
          <w:color w:val="000000"/>
          <w:sz w:val="24"/>
        </w:rPr>
      </w:pPr>
    </w:p>
    <w:p>
      <w:pPr>
        <w:ind w:firstLine="420" w:firstLineChars="175"/>
        <w:outlineLvl w:val="0"/>
        <w:rPr>
          <w:rFonts w:ascii="黑体" w:hAnsi="宋体" w:eastAsia="黑体"/>
          <w:bCs/>
          <w:color w:val="000000"/>
          <w:sz w:val="24"/>
        </w:rPr>
      </w:pPr>
    </w:p>
    <w:p>
      <w:pPr>
        <w:pStyle w:val="2"/>
        <w:ind w:left="855"/>
      </w:pPr>
    </w:p>
    <w:p>
      <w:pPr>
        <w:ind w:firstLine="420" w:firstLineChars="175"/>
        <w:outlineLvl w:val="0"/>
        <w:rPr>
          <w:rFonts w:ascii="黑体" w:hAnsi="宋体" w:eastAsia="黑体"/>
          <w:bCs/>
          <w:color w:val="000000"/>
          <w:sz w:val="24"/>
        </w:rPr>
      </w:pPr>
    </w:p>
    <w:p>
      <w:pPr>
        <w:pStyle w:val="3"/>
        <w:jc w:val="center"/>
        <w:rPr>
          <w:rFonts w:ascii="宋体" w:hAnsi="宋体" w:eastAsia="宋体"/>
          <w:color w:val="000000"/>
        </w:rPr>
      </w:pPr>
      <w:r>
        <w:rPr>
          <w:rFonts w:hint="eastAsia" w:ascii="宋体" w:hAnsi="宋体" w:eastAsia="宋体"/>
          <w:color w:val="000000"/>
        </w:rPr>
        <w:t>（七)中小企业声明函（格式）：</w:t>
      </w:r>
    </w:p>
    <w:p>
      <w:pPr>
        <w:rPr>
          <w:rFonts w:ascii="宋体" w:hAnsi="宋体"/>
          <w:color w:val="000000"/>
        </w:rPr>
      </w:pPr>
    </w:p>
    <w:p>
      <w:pPr>
        <w:pStyle w:val="6"/>
        <w:spacing w:before="55" w:line="302" w:lineRule="auto"/>
        <w:ind w:right="-70" w:firstLine="640"/>
        <w:rPr>
          <w:rFonts w:ascii="宋体" w:hAnsi="宋体" w:eastAsia="宋体" w:cs="宋体"/>
          <w:sz w:val="21"/>
          <w:szCs w:val="21"/>
        </w:rPr>
      </w:pPr>
      <w:r>
        <w:rPr>
          <w:rFonts w:hint="eastAsia" w:ascii="宋体" w:hAnsi="宋体" w:eastAsia="宋体" w:cs="宋体"/>
          <w:sz w:val="21"/>
          <w:szCs w:val="21"/>
        </w:rPr>
        <w:t>本公司（联合体）郑重声明，根据《政府采购促进中小企业发展管理办法》（财库﹝2020﹞46号）的规定，本公司（联合体）参加</w:t>
      </w:r>
      <w:r>
        <w:rPr>
          <w:rFonts w:hint="eastAsia" w:ascii="宋体" w:hAnsi="宋体" w:eastAsia="宋体" w:cs="宋体"/>
          <w:sz w:val="21"/>
          <w:szCs w:val="21"/>
          <w:u w:val="single"/>
        </w:rPr>
        <w:t>（单位名称）</w:t>
      </w:r>
      <w:r>
        <w:rPr>
          <w:rFonts w:hint="eastAsia" w:ascii="宋体" w:hAnsi="宋体" w:eastAsia="宋体" w:cs="宋体"/>
          <w:sz w:val="21"/>
          <w:szCs w:val="21"/>
        </w:rPr>
        <w:t>的</w:t>
      </w:r>
      <w:r>
        <w:rPr>
          <w:rFonts w:hint="eastAsia" w:ascii="宋体" w:hAnsi="宋体" w:eastAsia="宋体" w:cs="宋体"/>
          <w:sz w:val="21"/>
          <w:szCs w:val="21"/>
          <w:u w:val="single"/>
        </w:rPr>
        <w:t>（项目名称）</w:t>
      </w:r>
      <w:r>
        <w:rPr>
          <w:rFonts w:hint="eastAsia" w:ascii="宋体" w:hAnsi="宋体" w:eastAsia="宋体" w:cs="宋体"/>
          <w:sz w:val="21"/>
          <w:szCs w:val="21"/>
        </w:rPr>
        <w:t>采购活动，提供的货物全部由符合政策要求的中小企业制造。相关企业（含联合体中的中小企业、签订分包意向协议的中小企业）的具体情况如下：</w:t>
      </w:r>
    </w:p>
    <w:p>
      <w:pPr>
        <w:pStyle w:val="15"/>
        <w:numPr>
          <w:ilvl w:val="0"/>
          <w:numId w:val="12"/>
        </w:numPr>
        <w:tabs>
          <w:tab w:val="left" w:pos="1183"/>
          <w:tab w:val="left" w:pos="1484"/>
          <w:tab w:val="left" w:pos="4662"/>
          <w:tab w:val="left" w:pos="6903"/>
        </w:tabs>
        <w:spacing w:line="295" w:lineRule="auto"/>
        <w:ind w:right="169" w:firstLine="420"/>
        <w:rPr>
          <w:rFonts w:ascii="宋体" w:hAnsi="宋体" w:cs="宋体"/>
          <w:szCs w:val="21"/>
        </w:rPr>
      </w:pPr>
      <w:r>
        <w:rPr>
          <w:rFonts w:hint="eastAsia" w:ascii="宋体" w:hAnsi="宋体" w:cs="宋体"/>
          <w:szCs w:val="21"/>
          <w:u w:val="single"/>
        </w:rPr>
        <w:t>（标的名称）</w:t>
      </w:r>
      <w:r>
        <w:rPr>
          <w:rFonts w:hint="eastAsia" w:ascii="宋体" w:hAnsi="宋体" w:cs="宋体"/>
          <w:szCs w:val="21"/>
        </w:rPr>
        <w:t>，属于（</w:t>
      </w:r>
      <w:r>
        <w:rPr>
          <w:rFonts w:hint="eastAsia" w:ascii="宋体" w:hAnsi="宋体" w:cs="宋体"/>
          <w:szCs w:val="21"/>
          <w:u w:val="single"/>
        </w:rPr>
        <w:t>采购文件中明确的所属行业）行业</w:t>
      </w:r>
      <w:r>
        <w:rPr>
          <w:rFonts w:hint="eastAsia" w:ascii="宋体" w:hAnsi="宋体" w:cs="宋体"/>
          <w:szCs w:val="21"/>
        </w:rPr>
        <w:t>；制造商为</w:t>
      </w:r>
      <w:r>
        <w:rPr>
          <w:rFonts w:hint="eastAsia" w:ascii="宋体" w:hAnsi="宋体" w:cs="宋体"/>
          <w:szCs w:val="21"/>
          <w:u w:val="single"/>
        </w:rPr>
        <w:t>（企业名称）</w:t>
      </w:r>
      <w:r>
        <w:rPr>
          <w:rFonts w:hint="eastAsia" w:ascii="宋体" w:hAnsi="宋体" w:cs="宋体"/>
          <w:szCs w:val="21"/>
        </w:rPr>
        <w:t>，从业人员</w:t>
      </w:r>
      <w:r>
        <w:rPr>
          <w:rFonts w:hint="eastAsia" w:ascii="宋体" w:hAnsi="宋体" w:cs="宋体"/>
          <w:szCs w:val="21"/>
          <w:u w:val="single"/>
        </w:rPr>
        <w:tab/>
      </w:r>
      <w:r>
        <w:rPr>
          <w:rFonts w:hint="eastAsia" w:ascii="宋体" w:hAnsi="宋体" w:cs="宋体"/>
          <w:szCs w:val="21"/>
        </w:rPr>
        <w:t>人，营业收入为</w:t>
      </w:r>
      <w:r>
        <w:rPr>
          <w:rFonts w:hint="eastAsia" w:ascii="宋体" w:hAnsi="宋体" w:cs="宋体"/>
          <w:szCs w:val="21"/>
          <w:u w:val="single"/>
        </w:rPr>
        <w:tab/>
      </w:r>
      <w:r>
        <w:rPr>
          <w:rFonts w:hint="eastAsia" w:ascii="宋体" w:hAnsi="宋体" w:cs="宋体"/>
          <w:szCs w:val="21"/>
        </w:rPr>
        <w:t>万元，资产总额为</w:t>
      </w:r>
      <w:r>
        <w:rPr>
          <w:rFonts w:hint="eastAsia" w:ascii="宋体" w:hAnsi="宋体" w:cs="宋体"/>
          <w:szCs w:val="21"/>
          <w:u w:val="single"/>
        </w:rPr>
        <w:tab/>
      </w:r>
      <w:r>
        <w:rPr>
          <w:rFonts w:hint="eastAsia" w:ascii="宋体" w:hAnsi="宋体" w:cs="宋体"/>
          <w:szCs w:val="21"/>
        </w:rPr>
        <w:t>万元</w:t>
      </w:r>
      <w:r>
        <w:fldChar w:fldCharType="begin"/>
      </w:r>
      <w:r>
        <w:instrText xml:space="preserve"> HYPERLINK \l "_bookmark0" </w:instrText>
      </w:r>
      <w:r>
        <w:fldChar w:fldCharType="separate"/>
      </w:r>
      <w:r>
        <w:rPr>
          <w:rFonts w:hint="eastAsia" w:ascii="宋体" w:hAnsi="宋体" w:cs="宋体"/>
          <w:szCs w:val="21"/>
          <w:vertAlign w:val="superscript"/>
        </w:rPr>
        <w:t>1</w:t>
      </w:r>
      <w:r>
        <w:rPr>
          <w:rFonts w:hint="eastAsia" w:ascii="宋体" w:hAnsi="宋体" w:cs="宋体"/>
          <w:szCs w:val="21"/>
          <w:vertAlign w:val="superscript"/>
        </w:rPr>
        <w:fldChar w:fldCharType="end"/>
      </w:r>
      <w:r>
        <w:rPr>
          <w:rFonts w:hint="eastAsia" w:ascii="宋体" w:hAnsi="宋体" w:cs="宋体"/>
          <w:szCs w:val="21"/>
        </w:rPr>
        <w:t>，属于</w:t>
      </w:r>
      <w:r>
        <w:rPr>
          <w:rFonts w:hint="eastAsia" w:ascii="宋体" w:hAnsi="宋体" w:cs="宋体"/>
          <w:szCs w:val="21"/>
          <w:u w:val="single"/>
        </w:rPr>
        <w:t>（中型企业、小型企业、微型企业）</w:t>
      </w:r>
      <w:r>
        <w:rPr>
          <w:rFonts w:hint="eastAsia" w:ascii="宋体" w:hAnsi="宋体" w:cs="宋体"/>
          <w:szCs w:val="21"/>
        </w:rPr>
        <w:t>；</w:t>
      </w:r>
    </w:p>
    <w:p>
      <w:pPr>
        <w:pStyle w:val="15"/>
        <w:numPr>
          <w:ilvl w:val="0"/>
          <w:numId w:val="12"/>
        </w:numPr>
        <w:tabs>
          <w:tab w:val="left" w:pos="1165"/>
          <w:tab w:val="left" w:pos="1183"/>
          <w:tab w:val="left" w:pos="4362"/>
          <w:tab w:val="left" w:pos="6577"/>
        </w:tabs>
        <w:spacing w:line="295" w:lineRule="auto"/>
        <w:ind w:right="169" w:firstLine="420"/>
        <w:rPr>
          <w:rFonts w:ascii="宋体" w:hAnsi="宋体" w:cs="宋体"/>
          <w:szCs w:val="21"/>
        </w:rPr>
      </w:pPr>
      <w:r>
        <w:rPr>
          <w:rFonts w:hint="eastAsia" w:ascii="宋体" w:hAnsi="宋体" w:cs="宋体"/>
          <w:szCs w:val="21"/>
          <w:u w:val="single"/>
        </w:rPr>
        <w:t>（标的名称）</w:t>
      </w:r>
      <w:r>
        <w:rPr>
          <w:rFonts w:hint="eastAsia" w:ascii="宋体" w:hAnsi="宋体" w:cs="宋体"/>
          <w:szCs w:val="21"/>
        </w:rPr>
        <w:t>，属于（</w:t>
      </w:r>
      <w:r>
        <w:rPr>
          <w:rFonts w:hint="eastAsia" w:ascii="宋体" w:hAnsi="宋体" w:cs="宋体"/>
          <w:szCs w:val="21"/>
          <w:u w:val="single"/>
        </w:rPr>
        <w:t>采购文件中明确的所属行业）行业</w:t>
      </w:r>
      <w:r>
        <w:rPr>
          <w:rFonts w:hint="eastAsia" w:ascii="宋体" w:hAnsi="宋体" w:cs="宋体"/>
          <w:szCs w:val="21"/>
        </w:rPr>
        <w:t>；制造商为</w:t>
      </w:r>
      <w:r>
        <w:rPr>
          <w:rFonts w:hint="eastAsia" w:ascii="宋体" w:hAnsi="宋体" w:cs="宋体"/>
          <w:szCs w:val="21"/>
          <w:u w:val="single"/>
        </w:rPr>
        <w:t>（企业名称）</w:t>
      </w:r>
      <w:r>
        <w:rPr>
          <w:rFonts w:hint="eastAsia" w:ascii="宋体" w:hAnsi="宋体" w:cs="宋体"/>
          <w:szCs w:val="21"/>
        </w:rPr>
        <w:t>，从业人员</w:t>
      </w:r>
      <w:r>
        <w:rPr>
          <w:rFonts w:hint="eastAsia" w:ascii="宋体" w:hAnsi="宋体" w:cs="宋体"/>
          <w:szCs w:val="21"/>
          <w:u w:val="single"/>
        </w:rPr>
        <w:tab/>
      </w:r>
      <w:r>
        <w:rPr>
          <w:rFonts w:hint="eastAsia" w:ascii="宋体" w:hAnsi="宋体" w:cs="宋体"/>
          <w:szCs w:val="21"/>
        </w:rPr>
        <w:t>人，营业收入为</w:t>
      </w:r>
      <w:r>
        <w:rPr>
          <w:rFonts w:hint="eastAsia" w:ascii="宋体" w:hAnsi="宋体" w:cs="宋体"/>
          <w:szCs w:val="21"/>
          <w:u w:val="single"/>
        </w:rPr>
        <w:tab/>
      </w:r>
      <w:r>
        <w:rPr>
          <w:rFonts w:hint="eastAsia" w:ascii="宋体" w:hAnsi="宋体" w:cs="宋体"/>
          <w:szCs w:val="21"/>
        </w:rPr>
        <w:t>万元，资产总额为</w:t>
      </w:r>
      <w:r>
        <w:rPr>
          <w:rFonts w:hint="eastAsia" w:ascii="宋体" w:hAnsi="宋体" w:cs="宋体"/>
          <w:szCs w:val="21"/>
          <w:u w:val="single"/>
        </w:rPr>
        <w:tab/>
      </w:r>
      <w:r>
        <w:rPr>
          <w:rFonts w:hint="eastAsia" w:ascii="宋体" w:hAnsi="宋体" w:cs="宋体"/>
          <w:szCs w:val="21"/>
        </w:rPr>
        <w:t>万元，属于</w:t>
      </w:r>
      <w:r>
        <w:rPr>
          <w:rFonts w:hint="eastAsia" w:ascii="宋体" w:hAnsi="宋体" w:cs="宋体"/>
          <w:szCs w:val="21"/>
          <w:u w:val="single"/>
        </w:rPr>
        <w:t>（中型企业、小型企业、微型企业）</w:t>
      </w:r>
      <w:r>
        <w:rPr>
          <w:rFonts w:hint="eastAsia" w:ascii="宋体" w:hAnsi="宋体" w:cs="宋体"/>
          <w:szCs w:val="21"/>
        </w:rPr>
        <w:t>；</w:t>
      </w:r>
    </w:p>
    <w:p>
      <w:pPr>
        <w:pStyle w:val="6"/>
        <w:ind w:left="860"/>
        <w:rPr>
          <w:rFonts w:ascii="宋体" w:hAnsi="宋体" w:eastAsia="宋体" w:cs="宋体"/>
          <w:sz w:val="21"/>
          <w:szCs w:val="21"/>
        </w:rPr>
      </w:pPr>
      <w:r>
        <w:rPr>
          <w:rFonts w:hint="eastAsia" w:ascii="宋体" w:hAnsi="宋体" w:eastAsia="宋体" w:cs="宋体"/>
          <w:sz w:val="21"/>
          <w:szCs w:val="21"/>
        </w:rPr>
        <w:t>……</w:t>
      </w:r>
    </w:p>
    <w:p>
      <w:pPr>
        <w:pStyle w:val="6"/>
        <w:spacing w:before="105" w:line="304" w:lineRule="auto"/>
        <w:ind w:right="417" w:firstLine="645"/>
        <w:rPr>
          <w:rFonts w:ascii="宋体" w:hAnsi="宋体" w:eastAsia="宋体" w:cs="宋体"/>
          <w:sz w:val="21"/>
          <w:szCs w:val="21"/>
        </w:rPr>
      </w:pPr>
      <w:r>
        <w:rPr>
          <w:rFonts w:hint="eastAsia" w:ascii="宋体" w:hAnsi="宋体" w:eastAsia="宋体" w:cs="宋体"/>
          <w:sz w:val="21"/>
          <w:szCs w:val="21"/>
        </w:rPr>
        <w:t>以上企业，不属于大企业的分支机构，不存在控股股东为大企业的情形，也不存在与大企业的负责人为同一人的情形。</w:t>
      </w:r>
    </w:p>
    <w:p>
      <w:pPr>
        <w:pStyle w:val="6"/>
        <w:spacing w:line="302" w:lineRule="auto"/>
        <w:ind w:right="372" w:firstLine="645"/>
        <w:rPr>
          <w:rFonts w:ascii="宋体" w:hAnsi="宋体" w:eastAsia="宋体" w:cs="宋体"/>
          <w:bCs/>
          <w:color w:val="000000"/>
          <w:sz w:val="21"/>
          <w:szCs w:val="21"/>
        </w:rPr>
      </w:pPr>
      <w:r>
        <w:rPr>
          <w:rFonts w:hint="eastAsia" w:ascii="宋体" w:hAnsi="宋体" w:eastAsia="宋体" w:cs="宋体"/>
          <w:sz w:val="21"/>
          <w:szCs w:val="21"/>
        </w:rPr>
        <w:t>本企业对上述声明内容的真实性负责。如有虚假，将依法承担相应责任。</w:t>
      </w:r>
    </w:p>
    <w:p>
      <w:pPr>
        <w:spacing w:line="360" w:lineRule="auto"/>
        <w:rPr>
          <w:rFonts w:ascii="宋体" w:hAnsi="宋体" w:cs="宋体"/>
          <w:bCs/>
          <w:color w:val="000000"/>
          <w:szCs w:val="21"/>
        </w:rPr>
      </w:pPr>
    </w:p>
    <w:p>
      <w:pPr>
        <w:spacing w:line="360" w:lineRule="auto"/>
        <w:ind w:firstLine="4200" w:firstLineChars="2000"/>
        <w:rPr>
          <w:rFonts w:ascii="宋体" w:hAnsi="宋体" w:cs="宋体"/>
          <w:bCs/>
          <w:color w:val="000000"/>
          <w:szCs w:val="21"/>
        </w:rPr>
      </w:pPr>
      <w:r>
        <w:rPr>
          <w:rFonts w:hint="eastAsia" w:ascii="宋体" w:hAnsi="宋体" w:cs="宋体"/>
          <w:bCs/>
          <w:color w:val="000000"/>
          <w:szCs w:val="21"/>
        </w:rPr>
        <w:t>企业名称（盖章）：</w:t>
      </w:r>
    </w:p>
    <w:p>
      <w:pPr>
        <w:spacing w:line="360" w:lineRule="auto"/>
        <w:ind w:firstLine="4200" w:firstLineChars="2000"/>
        <w:rPr>
          <w:rFonts w:ascii="宋体" w:hAnsi="宋体" w:cs="宋体"/>
          <w:bCs/>
          <w:color w:val="000000"/>
          <w:szCs w:val="21"/>
        </w:rPr>
      </w:pPr>
    </w:p>
    <w:p>
      <w:pPr>
        <w:spacing w:line="360" w:lineRule="auto"/>
        <w:ind w:firstLine="4200" w:firstLineChars="2000"/>
        <w:rPr>
          <w:rFonts w:ascii="宋体" w:hAnsi="宋体" w:cs="宋体"/>
          <w:color w:val="000000"/>
          <w:szCs w:val="21"/>
        </w:rPr>
      </w:pPr>
      <w:r>
        <w:rPr>
          <w:rFonts w:hint="eastAsia" w:ascii="宋体" w:hAnsi="宋体" w:cs="宋体"/>
          <w:bCs/>
          <w:color w:val="000000"/>
          <w:szCs w:val="21"/>
        </w:rPr>
        <w:t>日　　　　　　期：</w:t>
      </w:r>
    </w:p>
    <w:p>
      <w:pPr>
        <w:spacing w:line="580" w:lineRule="exact"/>
        <w:ind w:firstLine="422" w:firstLineChars="200"/>
        <w:rPr>
          <w:rFonts w:ascii="宋体" w:hAnsi="宋体" w:cs="宋体"/>
          <w:b/>
          <w:bCs/>
          <w:color w:val="000000"/>
          <w:szCs w:val="21"/>
        </w:rPr>
      </w:pPr>
    </w:p>
    <w:p>
      <w:pPr>
        <w:spacing w:line="360" w:lineRule="auto"/>
        <w:jc w:val="left"/>
        <w:rPr>
          <w:rFonts w:ascii="宋体" w:hAnsi="宋体" w:cs="宋体"/>
          <w:b/>
          <w:szCs w:val="21"/>
        </w:rPr>
      </w:pPr>
      <w:r>
        <w:rPr>
          <w:rFonts w:hint="eastAsia" w:ascii="宋体" w:hAnsi="宋体" w:cs="宋体"/>
          <w:b/>
          <w:szCs w:val="21"/>
        </w:rPr>
        <w:t>注：1.从业人员、营业收入、资产总额填报上一年度数据，无上一年度数据的新成立企业可不填报；</w:t>
      </w:r>
    </w:p>
    <w:p>
      <w:pPr>
        <w:spacing w:line="360" w:lineRule="auto"/>
        <w:ind w:firstLine="422" w:firstLineChars="200"/>
        <w:rPr>
          <w:rFonts w:ascii="宋体" w:hAnsi="宋体" w:cs="宋体"/>
          <w:b/>
          <w:bCs/>
          <w:color w:val="000000"/>
          <w:szCs w:val="21"/>
        </w:rPr>
      </w:pPr>
      <w:r>
        <w:rPr>
          <w:rFonts w:hint="eastAsia" w:ascii="宋体" w:hAnsi="宋体" w:cs="宋体"/>
          <w:b/>
          <w:szCs w:val="21"/>
        </w:rPr>
        <w:t>2、在货物采购项目中，供应商提供的货物既有中小企业制造货物，也有大型企业制造货物的，不享受本办法规定的中小企业扶持政策。中标、成交供应商的《中小企业声明函》将随中标、成交公告进行公示。供应商按照本办法规定提供声明函内容不实的，属于提供虚假材料谋取中标、成交，依照《中华人民共和国政府采购法》等国家有关规定追究相应责任。</w:t>
      </w:r>
    </w:p>
    <w:p>
      <w:pPr>
        <w:rPr>
          <w:rFonts w:ascii="宋体" w:hAnsi="宋体"/>
          <w:color w:val="000000"/>
        </w:rPr>
      </w:pPr>
    </w:p>
    <w:p>
      <w:pPr>
        <w:rPr>
          <w:rFonts w:ascii="宋体" w:hAnsi="宋体"/>
          <w:color w:val="000000"/>
        </w:rPr>
      </w:pPr>
    </w:p>
    <w:p>
      <w:pPr>
        <w:jc w:val="center"/>
        <w:rPr>
          <w:rFonts w:ascii="黑体"/>
          <w:b/>
          <w:color w:val="000000"/>
          <w:sz w:val="32"/>
          <w:szCs w:val="32"/>
        </w:rPr>
      </w:pPr>
      <w:r>
        <w:rPr>
          <w:rFonts w:hint="eastAsia" w:ascii="黑体"/>
          <w:b/>
          <w:color w:val="000000"/>
          <w:sz w:val="32"/>
          <w:szCs w:val="32"/>
        </w:rPr>
        <w:t>(八）残疾人福利性单位声明函（格式）：</w:t>
      </w:r>
    </w:p>
    <w:p>
      <w:pPr>
        <w:jc w:val="center"/>
        <w:rPr>
          <w:rFonts w:ascii="黑体"/>
          <w:b/>
          <w:color w:val="000000"/>
          <w:sz w:val="32"/>
          <w:szCs w:val="32"/>
        </w:rPr>
      </w:pPr>
    </w:p>
    <w:p>
      <w:pPr>
        <w:spacing w:line="580" w:lineRule="exact"/>
        <w:ind w:firstLine="420" w:firstLineChars="200"/>
        <w:rPr>
          <w:rFonts w:ascii="宋体" w:hAnsi="宋体"/>
          <w:bCs/>
        </w:rPr>
      </w:pPr>
      <w:r>
        <w:rPr>
          <w:rFonts w:hint="eastAsia" w:ascii="宋体" w:hAnsi="宋体"/>
          <w:bCs/>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580" w:lineRule="exact"/>
        <w:ind w:firstLine="420" w:firstLineChars="200"/>
        <w:rPr>
          <w:rFonts w:ascii="宋体" w:hAnsi="宋体"/>
          <w:bCs/>
        </w:rPr>
      </w:pPr>
      <w:r>
        <w:rPr>
          <w:rFonts w:hint="eastAsia" w:ascii="宋体" w:hAnsi="宋体"/>
          <w:bCs/>
        </w:rPr>
        <w:t>本单位对上述声明的真实性负责。如有虚假，将依法承担相应责任。</w:t>
      </w:r>
    </w:p>
    <w:p>
      <w:pPr>
        <w:spacing w:line="580" w:lineRule="exact"/>
        <w:ind w:firstLine="420" w:firstLineChars="200"/>
        <w:rPr>
          <w:rFonts w:ascii="宋体" w:hAnsi="宋体"/>
          <w:bCs/>
        </w:rPr>
      </w:pPr>
    </w:p>
    <w:p>
      <w:pPr>
        <w:spacing w:line="580" w:lineRule="exact"/>
        <w:ind w:firstLine="420" w:firstLineChars="200"/>
        <w:rPr>
          <w:rFonts w:ascii="宋体" w:hAnsi="宋体"/>
          <w:bCs/>
        </w:rPr>
      </w:pPr>
    </w:p>
    <w:p>
      <w:pPr>
        <w:wordWrap w:val="0"/>
        <w:spacing w:line="580" w:lineRule="exact"/>
        <w:ind w:firstLine="420" w:firstLineChars="200"/>
        <w:jc w:val="right"/>
        <w:rPr>
          <w:rFonts w:ascii="宋体" w:hAnsi="宋体"/>
          <w:bCs/>
        </w:rPr>
      </w:pPr>
      <w:r>
        <w:rPr>
          <w:rFonts w:hint="eastAsia" w:ascii="宋体" w:hAnsi="宋体"/>
          <w:bCs/>
        </w:rPr>
        <w:t xml:space="preserve">单位名称（盖章）： </w:t>
      </w:r>
      <w:r>
        <w:rPr>
          <w:rFonts w:ascii="宋体" w:hAnsi="宋体"/>
          <w:bCs/>
        </w:rPr>
        <w:t xml:space="preserve">        </w:t>
      </w:r>
    </w:p>
    <w:p>
      <w:pPr>
        <w:spacing w:line="580" w:lineRule="exact"/>
        <w:ind w:firstLine="420" w:firstLineChars="200"/>
        <w:jc w:val="right"/>
        <w:rPr>
          <w:rFonts w:ascii="宋体" w:hAnsi="宋体"/>
          <w:bCs/>
        </w:rPr>
      </w:pPr>
      <w:r>
        <w:rPr>
          <w:rFonts w:ascii="宋体" w:hAnsi="宋体"/>
          <w:bCs/>
        </w:rPr>
        <w:t xml:space="preserve">  </w:t>
      </w:r>
    </w:p>
    <w:p>
      <w:pPr>
        <w:wordWrap w:val="0"/>
        <w:spacing w:line="580" w:lineRule="exact"/>
        <w:ind w:firstLine="420" w:firstLineChars="200"/>
        <w:jc w:val="right"/>
        <w:rPr>
          <w:rFonts w:ascii="宋体" w:hAnsi="宋体"/>
          <w:bCs/>
        </w:rPr>
      </w:pPr>
      <w:r>
        <w:rPr>
          <w:rFonts w:hint="eastAsia" w:ascii="宋体" w:hAnsi="宋体"/>
          <w:bCs/>
        </w:rPr>
        <w:t xml:space="preserve">日  期： </w:t>
      </w:r>
      <w:r>
        <w:rPr>
          <w:rFonts w:ascii="宋体" w:hAnsi="宋体"/>
          <w:bCs/>
        </w:rPr>
        <w:t xml:space="preserve">        </w:t>
      </w:r>
    </w:p>
    <w:p>
      <w:pPr>
        <w:ind w:firstLine="420" w:firstLineChars="200"/>
        <w:outlineLvl w:val="0"/>
        <w:rPr>
          <w:rFonts w:ascii="黑体" w:hAnsi="宋体" w:eastAsia="黑体"/>
          <w:bCs/>
        </w:rPr>
      </w:pP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pStyle w:val="15"/>
        <w:ind w:firstLine="0" w:firstLineChars="0"/>
        <w:rPr>
          <w:rFonts w:ascii="宋体" w:hAnsi="宋体"/>
          <w:color w:val="000000"/>
        </w:rPr>
      </w:pPr>
    </w:p>
    <w:p>
      <w:pPr>
        <w:pStyle w:val="15"/>
        <w:ind w:firstLine="0" w:firstLineChars="0"/>
        <w:rPr>
          <w:rFonts w:ascii="宋体" w:hAnsi="宋体"/>
          <w:color w:val="000000"/>
        </w:rPr>
      </w:pPr>
    </w:p>
    <w:p>
      <w:pPr>
        <w:jc w:val="center"/>
        <w:rPr>
          <w:rFonts w:ascii="黑体"/>
          <w:b/>
          <w:color w:val="000000"/>
          <w:sz w:val="32"/>
          <w:szCs w:val="32"/>
        </w:rPr>
      </w:pPr>
    </w:p>
    <w:p>
      <w:pPr>
        <w:jc w:val="center"/>
        <w:rPr>
          <w:rFonts w:ascii="黑体"/>
          <w:b/>
          <w:color w:val="000000"/>
          <w:sz w:val="32"/>
          <w:szCs w:val="32"/>
        </w:rPr>
      </w:pPr>
    </w:p>
    <w:p>
      <w:pPr>
        <w:jc w:val="center"/>
        <w:rPr>
          <w:rFonts w:ascii="黑体"/>
          <w:b/>
          <w:color w:val="000000"/>
          <w:sz w:val="32"/>
          <w:szCs w:val="32"/>
        </w:rPr>
      </w:pPr>
      <w:r>
        <w:rPr>
          <w:rFonts w:hint="eastAsia" w:ascii="黑体"/>
          <w:b/>
          <w:color w:val="000000"/>
          <w:sz w:val="32"/>
          <w:szCs w:val="32"/>
        </w:rPr>
        <w:t>（九）评分索引表（格式）</w:t>
      </w:r>
    </w:p>
    <w:p>
      <w:pPr>
        <w:pStyle w:val="15"/>
      </w:pPr>
    </w:p>
    <w:p>
      <w:pPr>
        <w:outlineLvl w:val="0"/>
        <w:rPr>
          <w:rFonts w:hint="eastAsia" w:ascii="黑体" w:eastAsia="黑体"/>
          <w:bCs/>
          <w:color w:val="000000"/>
          <w:sz w:val="24"/>
          <w:lang w:eastAsia="zh-CN"/>
        </w:rPr>
      </w:pPr>
      <w:r>
        <w:rPr>
          <w:rFonts w:hint="eastAsia" w:ascii="黑体" w:eastAsia="黑体"/>
          <w:bCs/>
          <w:color w:val="000000"/>
          <w:sz w:val="24"/>
        </w:rPr>
        <w:t>采购项目编号：</w:t>
      </w:r>
      <w:r>
        <w:rPr>
          <w:rFonts w:hint="eastAsia" w:ascii="黑体" w:eastAsia="黑体"/>
          <w:bCs/>
          <w:color w:val="000000"/>
          <w:sz w:val="24"/>
          <w:lang w:eastAsia="zh-CN"/>
        </w:rPr>
        <w:t>ZBCG2021032</w:t>
      </w:r>
    </w:p>
    <w:tbl>
      <w:tblPr>
        <w:tblStyle w:val="13"/>
        <w:tblW w:w="95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1"/>
        <w:gridCol w:w="6559"/>
        <w:gridCol w:w="747"/>
        <w:gridCol w:w="13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450" w:type="dxa"/>
            <w:gridSpan w:val="2"/>
            <w:shd w:val="clear" w:color="000000" w:fill="FFFFFF"/>
            <w:vAlign w:val="center"/>
          </w:tcPr>
          <w:p>
            <w:pPr>
              <w:widowControl/>
              <w:jc w:val="center"/>
              <w:rPr>
                <w:rFonts w:ascii="宋体" w:hAnsi="宋体" w:cs="宋体"/>
                <w:b/>
                <w:color w:val="000000"/>
                <w:kern w:val="0"/>
                <w:szCs w:val="21"/>
              </w:rPr>
            </w:pPr>
            <w:r>
              <w:rPr>
                <w:rFonts w:hint="eastAsia" w:ascii="宋体" w:hAnsi="宋体" w:cs="宋体"/>
                <w:b/>
                <w:color w:val="000000"/>
                <w:kern w:val="0"/>
                <w:szCs w:val="21"/>
              </w:rPr>
              <w:t>评分标准对应证明材料</w:t>
            </w:r>
          </w:p>
        </w:tc>
        <w:tc>
          <w:tcPr>
            <w:tcW w:w="747" w:type="dxa"/>
            <w:shd w:val="clear" w:color="000000" w:fill="FFFFFF"/>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是否提供</w:t>
            </w:r>
          </w:p>
        </w:tc>
        <w:tc>
          <w:tcPr>
            <w:tcW w:w="1399" w:type="dxa"/>
            <w:shd w:val="clear" w:color="000000" w:fill="FFFFFF"/>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对应页码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1" w:type="dxa"/>
            <w:shd w:val="clear" w:color="000000" w:fill="FFFFFF"/>
            <w:vAlign w:val="center"/>
          </w:tcPr>
          <w:p>
            <w:pPr>
              <w:spacing w:line="720" w:lineRule="auto"/>
              <w:jc w:val="center"/>
              <w:rPr>
                <w:rFonts w:ascii="宋体" w:hAnsi="宋体"/>
                <w:bCs/>
                <w:color w:val="000000"/>
                <w:szCs w:val="21"/>
              </w:rPr>
            </w:pPr>
            <w:r>
              <w:rPr>
                <w:rFonts w:hint="eastAsia" w:ascii="宋体" w:hAnsi="宋体"/>
                <w:bCs/>
                <w:color w:val="000000"/>
                <w:szCs w:val="21"/>
              </w:rPr>
              <w:t>1</w:t>
            </w:r>
          </w:p>
        </w:tc>
        <w:tc>
          <w:tcPr>
            <w:tcW w:w="6559" w:type="dxa"/>
            <w:shd w:val="clear" w:color="000000" w:fill="FFFFFF"/>
            <w:vAlign w:val="center"/>
          </w:tcPr>
          <w:p>
            <w:pPr>
              <w:widowControl/>
              <w:spacing w:line="720" w:lineRule="auto"/>
              <w:jc w:val="left"/>
              <w:rPr>
                <w:rFonts w:ascii="宋体" w:hAnsi="宋体" w:cs="宋体"/>
                <w:color w:val="000000"/>
                <w:kern w:val="0"/>
                <w:szCs w:val="21"/>
              </w:rPr>
            </w:pPr>
          </w:p>
        </w:tc>
        <w:tc>
          <w:tcPr>
            <w:tcW w:w="747" w:type="dxa"/>
            <w:shd w:val="clear" w:color="000000" w:fill="FFFFFF"/>
            <w:vAlign w:val="center"/>
          </w:tcPr>
          <w:p>
            <w:pPr>
              <w:widowControl/>
              <w:spacing w:line="720" w:lineRule="auto"/>
              <w:jc w:val="center"/>
              <w:rPr>
                <w:rFonts w:ascii="宋体" w:hAnsi="宋体" w:cs="宋体"/>
                <w:b/>
                <w:bCs/>
                <w:color w:val="000000"/>
                <w:kern w:val="0"/>
                <w:szCs w:val="21"/>
              </w:rPr>
            </w:pPr>
          </w:p>
        </w:tc>
        <w:tc>
          <w:tcPr>
            <w:tcW w:w="1399" w:type="dxa"/>
            <w:shd w:val="clear" w:color="000000" w:fill="FFFFFF"/>
            <w:vAlign w:val="center"/>
          </w:tcPr>
          <w:p>
            <w:pPr>
              <w:widowControl/>
              <w:spacing w:line="720" w:lineRule="auto"/>
              <w:jc w:val="center"/>
              <w:rPr>
                <w:rFonts w:ascii="宋体" w:hAnsi="宋体" w:cs="宋体"/>
                <w:b/>
                <w:bCs/>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1" w:type="dxa"/>
            <w:shd w:val="clear" w:color="000000" w:fill="FFFFFF"/>
            <w:vAlign w:val="center"/>
          </w:tcPr>
          <w:p>
            <w:pPr>
              <w:spacing w:line="720" w:lineRule="auto"/>
              <w:jc w:val="center"/>
              <w:rPr>
                <w:rFonts w:ascii="宋体" w:hAnsi="宋体"/>
                <w:bCs/>
                <w:color w:val="000000"/>
                <w:szCs w:val="21"/>
              </w:rPr>
            </w:pPr>
            <w:r>
              <w:rPr>
                <w:rFonts w:hint="eastAsia" w:ascii="宋体" w:hAnsi="宋体"/>
                <w:bCs/>
                <w:color w:val="000000"/>
                <w:szCs w:val="21"/>
              </w:rPr>
              <w:t>2</w:t>
            </w:r>
          </w:p>
        </w:tc>
        <w:tc>
          <w:tcPr>
            <w:tcW w:w="6559" w:type="dxa"/>
            <w:shd w:val="clear" w:color="000000" w:fill="FFFFFF"/>
            <w:vAlign w:val="center"/>
          </w:tcPr>
          <w:p>
            <w:pPr>
              <w:widowControl/>
              <w:spacing w:line="720" w:lineRule="auto"/>
              <w:jc w:val="left"/>
              <w:rPr>
                <w:rFonts w:ascii="宋体" w:hAnsi="宋体" w:cs="宋体"/>
                <w:color w:val="000000"/>
                <w:kern w:val="0"/>
                <w:szCs w:val="21"/>
              </w:rPr>
            </w:pPr>
          </w:p>
        </w:tc>
        <w:tc>
          <w:tcPr>
            <w:tcW w:w="747" w:type="dxa"/>
            <w:shd w:val="clear" w:color="000000" w:fill="FFFFFF"/>
            <w:vAlign w:val="center"/>
          </w:tcPr>
          <w:p>
            <w:pPr>
              <w:widowControl/>
              <w:spacing w:line="720" w:lineRule="auto"/>
              <w:jc w:val="center"/>
              <w:rPr>
                <w:rFonts w:ascii="宋体" w:hAnsi="宋体" w:cs="宋体"/>
                <w:b/>
                <w:bCs/>
                <w:color w:val="000000"/>
                <w:kern w:val="0"/>
                <w:szCs w:val="21"/>
              </w:rPr>
            </w:pPr>
          </w:p>
        </w:tc>
        <w:tc>
          <w:tcPr>
            <w:tcW w:w="1399" w:type="dxa"/>
            <w:shd w:val="clear" w:color="000000" w:fill="FFFFFF"/>
            <w:vAlign w:val="center"/>
          </w:tcPr>
          <w:p>
            <w:pPr>
              <w:widowControl/>
              <w:spacing w:line="720" w:lineRule="auto"/>
              <w:jc w:val="center"/>
              <w:rPr>
                <w:rFonts w:ascii="宋体" w:hAnsi="宋体" w:cs="宋体"/>
                <w:b/>
                <w:bCs/>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1" w:type="dxa"/>
            <w:shd w:val="clear" w:color="000000" w:fill="FFFFFF"/>
            <w:vAlign w:val="center"/>
          </w:tcPr>
          <w:p>
            <w:pPr>
              <w:spacing w:line="720" w:lineRule="auto"/>
              <w:jc w:val="center"/>
              <w:rPr>
                <w:rFonts w:ascii="宋体" w:hAnsi="宋体"/>
                <w:bCs/>
                <w:color w:val="000000"/>
                <w:szCs w:val="21"/>
              </w:rPr>
            </w:pPr>
            <w:r>
              <w:rPr>
                <w:rFonts w:hint="eastAsia" w:ascii="宋体" w:hAnsi="宋体"/>
                <w:bCs/>
                <w:color w:val="000000"/>
                <w:szCs w:val="21"/>
              </w:rPr>
              <w:t>3</w:t>
            </w:r>
          </w:p>
        </w:tc>
        <w:tc>
          <w:tcPr>
            <w:tcW w:w="6559" w:type="dxa"/>
            <w:shd w:val="clear" w:color="000000" w:fill="FFFFFF"/>
            <w:vAlign w:val="center"/>
          </w:tcPr>
          <w:p>
            <w:pPr>
              <w:widowControl/>
              <w:spacing w:line="720" w:lineRule="auto"/>
              <w:jc w:val="left"/>
              <w:rPr>
                <w:rFonts w:ascii="宋体" w:hAnsi="宋体" w:cs="宋体"/>
                <w:color w:val="000000"/>
                <w:kern w:val="0"/>
                <w:szCs w:val="21"/>
              </w:rPr>
            </w:pPr>
          </w:p>
        </w:tc>
        <w:tc>
          <w:tcPr>
            <w:tcW w:w="747" w:type="dxa"/>
            <w:shd w:val="clear" w:color="000000" w:fill="FFFFFF"/>
            <w:vAlign w:val="center"/>
          </w:tcPr>
          <w:p>
            <w:pPr>
              <w:widowControl/>
              <w:spacing w:line="720" w:lineRule="auto"/>
              <w:jc w:val="center"/>
              <w:rPr>
                <w:rFonts w:ascii="宋体" w:hAnsi="宋体" w:cs="宋体"/>
                <w:b/>
                <w:bCs/>
                <w:color w:val="000000"/>
                <w:kern w:val="0"/>
                <w:szCs w:val="21"/>
              </w:rPr>
            </w:pPr>
          </w:p>
        </w:tc>
        <w:tc>
          <w:tcPr>
            <w:tcW w:w="1399" w:type="dxa"/>
            <w:shd w:val="clear" w:color="000000" w:fill="FFFFFF"/>
            <w:vAlign w:val="center"/>
          </w:tcPr>
          <w:p>
            <w:pPr>
              <w:widowControl/>
              <w:spacing w:line="720" w:lineRule="auto"/>
              <w:jc w:val="center"/>
              <w:rPr>
                <w:rFonts w:ascii="宋体" w:hAnsi="宋体" w:cs="宋体"/>
                <w:b/>
                <w:bCs/>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1" w:type="dxa"/>
            <w:shd w:val="clear" w:color="000000" w:fill="FFFFFF"/>
            <w:vAlign w:val="center"/>
          </w:tcPr>
          <w:p>
            <w:pPr>
              <w:spacing w:line="720" w:lineRule="auto"/>
              <w:jc w:val="center"/>
              <w:rPr>
                <w:rFonts w:ascii="宋体" w:hAnsi="宋体"/>
                <w:bCs/>
                <w:color w:val="000000"/>
                <w:szCs w:val="21"/>
              </w:rPr>
            </w:pPr>
            <w:r>
              <w:rPr>
                <w:rFonts w:hint="eastAsia" w:ascii="宋体" w:hAnsi="宋体"/>
                <w:bCs/>
                <w:color w:val="000000"/>
                <w:szCs w:val="21"/>
              </w:rPr>
              <w:t>4</w:t>
            </w:r>
          </w:p>
        </w:tc>
        <w:tc>
          <w:tcPr>
            <w:tcW w:w="6559" w:type="dxa"/>
            <w:shd w:val="clear" w:color="000000" w:fill="FFFFFF"/>
            <w:vAlign w:val="center"/>
          </w:tcPr>
          <w:p>
            <w:pPr>
              <w:widowControl/>
              <w:spacing w:line="720" w:lineRule="auto"/>
              <w:jc w:val="left"/>
              <w:rPr>
                <w:rFonts w:ascii="宋体" w:hAnsi="宋体" w:cs="Arial"/>
                <w:color w:val="000000"/>
                <w:szCs w:val="21"/>
              </w:rPr>
            </w:pPr>
          </w:p>
        </w:tc>
        <w:tc>
          <w:tcPr>
            <w:tcW w:w="747" w:type="dxa"/>
            <w:shd w:val="clear" w:color="000000" w:fill="FFFFFF"/>
            <w:vAlign w:val="center"/>
          </w:tcPr>
          <w:p>
            <w:pPr>
              <w:widowControl/>
              <w:spacing w:line="720" w:lineRule="auto"/>
              <w:jc w:val="center"/>
              <w:rPr>
                <w:rFonts w:ascii="宋体" w:hAnsi="宋体" w:cs="宋体"/>
                <w:b/>
                <w:bCs/>
                <w:color w:val="000000"/>
                <w:kern w:val="0"/>
                <w:szCs w:val="21"/>
              </w:rPr>
            </w:pPr>
          </w:p>
        </w:tc>
        <w:tc>
          <w:tcPr>
            <w:tcW w:w="1399" w:type="dxa"/>
            <w:shd w:val="clear" w:color="000000" w:fill="FFFFFF"/>
            <w:vAlign w:val="center"/>
          </w:tcPr>
          <w:p>
            <w:pPr>
              <w:widowControl/>
              <w:spacing w:line="720" w:lineRule="auto"/>
              <w:jc w:val="center"/>
              <w:rPr>
                <w:rFonts w:ascii="宋体" w:hAnsi="宋体" w:cs="宋体"/>
                <w:b/>
                <w:bCs/>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1" w:type="dxa"/>
            <w:shd w:val="clear" w:color="000000" w:fill="FFFFFF"/>
            <w:vAlign w:val="center"/>
          </w:tcPr>
          <w:p>
            <w:pPr>
              <w:spacing w:line="720" w:lineRule="auto"/>
              <w:jc w:val="center"/>
              <w:rPr>
                <w:rFonts w:ascii="宋体" w:hAnsi="宋体"/>
                <w:bCs/>
                <w:color w:val="000000"/>
                <w:szCs w:val="21"/>
              </w:rPr>
            </w:pPr>
          </w:p>
        </w:tc>
        <w:tc>
          <w:tcPr>
            <w:tcW w:w="6559" w:type="dxa"/>
            <w:shd w:val="clear" w:color="000000" w:fill="FFFFFF"/>
            <w:vAlign w:val="center"/>
          </w:tcPr>
          <w:p>
            <w:pPr>
              <w:widowControl/>
              <w:spacing w:line="720" w:lineRule="auto"/>
              <w:jc w:val="left"/>
              <w:rPr>
                <w:rFonts w:ascii="宋体" w:hAnsi="宋体" w:cs="Arial"/>
                <w:color w:val="000000"/>
                <w:szCs w:val="21"/>
              </w:rPr>
            </w:pPr>
          </w:p>
        </w:tc>
        <w:tc>
          <w:tcPr>
            <w:tcW w:w="747" w:type="dxa"/>
            <w:shd w:val="clear" w:color="000000" w:fill="FFFFFF"/>
            <w:vAlign w:val="center"/>
          </w:tcPr>
          <w:p>
            <w:pPr>
              <w:widowControl/>
              <w:spacing w:line="720" w:lineRule="auto"/>
              <w:jc w:val="center"/>
              <w:rPr>
                <w:rFonts w:ascii="宋体" w:hAnsi="宋体" w:cs="宋体"/>
                <w:b/>
                <w:bCs/>
                <w:color w:val="000000"/>
                <w:kern w:val="0"/>
                <w:szCs w:val="21"/>
              </w:rPr>
            </w:pPr>
          </w:p>
        </w:tc>
        <w:tc>
          <w:tcPr>
            <w:tcW w:w="1399" w:type="dxa"/>
            <w:shd w:val="clear" w:color="000000" w:fill="FFFFFF"/>
            <w:vAlign w:val="center"/>
          </w:tcPr>
          <w:p>
            <w:pPr>
              <w:widowControl/>
              <w:spacing w:line="720" w:lineRule="auto"/>
              <w:jc w:val="center"/>
              <w:rPr>
                <w:rFonts w:ascii="宋体" w:hAnsi="宋体" w:cs="宋体"/>
                <w:b/>
                <w:bCs/>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1" w:type="dxa"/>
            <w:shd w:val="clear" w:color="000000" w:fill="FFFFFF"/>
            <w:vAlign w:val="center"/>
          </w:tcPr>
          <w:p>
            <w:pPr>
              <w:spacing w:line="720" w:lineRule="auto"/>
              <w:jc w:val="center"/>
              <w:rPr>
                <w:rFonts w:ascii="宋体" w:hAnsi="宋体"/>
                <w:bCs/>
                <w:color w:val="000000"/>
                <w:szCs w:val="21"/>
              </w:rPr>
            </w:pPr>
          </w:p>
        </w:tc>
        <w:tc>
          <w:tcPr>
            <w:tcW w:w="6559" w:type="dxa"/>
            <w:shd w:val="clear" w:color="000000" w:fill="FFFFFF"/>
            <w:vAlign w:val="center"/>
          </w:tcPr>
          <w:p>
            <w:pPr>
              <w:widowControl/>
              <w:spacing w:line="720" w:lineRule="auto"/>
              <w:jc w:val="left"/>
              <w:rPr>
                <w:rFonts w:ascii="宋体" w:hAnsi="宋体" w:cs="Arial"/>
                <w:color w:val="000000"/>
                <w:szCs w:val="21"/>
              </w:rPr>
            </w:pPr>
          </w:p>
        </w:tc>
        <w:tc>
          <w:tcPr>
            <w:tcW w:w="747" w:type="dxa"/>
            <w:shd w:val="clear" w:color="000000" w:fill="FFFFFF"/>
            <w:vAlign w:val="center"/>
          </w:tcPr>
          <w:p>
            <w:pPr>
              <w:widowControl/>
              <w:spacing w:line="720" w:lineRule="auto"/>
              <w:jc w:val="center"/>
              <w:rPr>
                <w:rFonts w:ascii="宋体" w:hAnsi="宋体" w:cs="宋体"/>
                <w:b/>
                <w:bCs/>
                <w:color w:val="000000"/>
                <w:kern w:val="0"/>
                <w:szCs w:val="21"/>
              </w:rPr>
            </w:pPr>
          </w:p>
        </w:tc>
        <w:tc>
          <w:tcPr>
            <w:tcW w:w="1399" w:type="dxa"/>
            <w:shd w:val="clear" w:color="000000" w:fill="FFFFFF"/>
            <w:vAlign w:val="center"/>
          </w:tcPr>
          <w:p>
            <w:pPr>
              <w:widowControl/>
              <w:spacing w:line="720" w:lineRule="auto"/>
              <w:jc w:val="center"/>
              <w:rPr>
                <w:rFonts w:ascii="宋体" w:hAnsi="宋体" w:cs="宋体"/>
                <w:b/>
                <w:bCs/>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1" w:type="dxa"/>
            <w:shd w:val="clear" w:color="000000" w:fill="FFFFFF"/>
            <w:vAlign w:val="center"/>
          </w:tcPr>
          <w:p>
            <w:pPr>
              <w:spacing w:line="720" w:lineRule="auto"/>
              <w:jc w:val="center"/>
              <w:rPr>
                <w:rFonts w:ascii="宋体" w:hAnsi="宋体"/>
                <w:bCs/>
                <w:color w:val="000000"/>
                <w:szCs w:val="21"/>
              </w:rPr>
            </w:pPr>
          </w:p>
        </w:tc>
        <w:tc>
          <w:tcPr>
            <w:tcW w:w="6559" w:type="dxa"/>
            <w:shd w:val="clear" w:color="000000" w:fill="FFFFFF"/>
            <w:vAlign w:val="center"/>
          </w:tcPr>
          <w:p>
            <w:pPr>
              <w:widowControl/>
              <w:spacing w:line="720" w:lineRule="auto"/>
              <w:jc w:val="left"/>
              <w:rPr>
                <w:rFonts w:ascii="宋体" w:hAnsi="宋体" w:cs="Arial"/>
                <w:color w:val="000000"/>
                <w:szCs w:val="21"/>
              </w:rPr>
            </w:pPr>
          </w:p>
        </w:tc>
        <w:tc>
          <w:tcPr>
            <w:tcW w:w="747" w:type="dxa"/>
            <w:shd w:val="clear" w:color="000000" w:fill="FFFFFF"/>
            <w:vAlign w:val="center"/>
          </w:tcPr>
          <w:p>
            <w:pPr>
              <w:widowControl/>
              <w:spacing w:line="720" w:lineRule="auto"/>
              <w:jc w:val="center"/>
              <w:rPr>
                <w:rFonts w:ascii="宋体" w:hAnsi="宋体" w:cs="宋体"/>
                <w:b/>
                <w:bCs/>
                <w:color w:val="000000"/>
                <w:kern w:val="0"/>
                <w:szCs w:val="21"/>
              </w:rPr>
            </w:pPr>
          </w:p>
        </w:tc>
        <w:tc>
          <w:tcPr>
            <w:tcW w:w="1399" w:type="dxa"/>
            <w:shd w:val="clear" w:color="000000" w:fill="FFFFFF"/>
            <w:vAlign w:val="center"/>
          </w:tcPr>
          <w:p>
            <w:pPr>
              <w:widowControl/>
              <w:spacing w:line="720" w:lineRule="auto"/>
              <w:jc w:val="center"/>
              <w:rPr>
                <w:rFonts w:ascii="宋体" w:hAnsi="宋体" w:cs="宋体"/>
                <w:b/>
                <w:bCs/>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1" w:type="dxa"/>
            <w:shd w:val="clear" w:color="000000" w:fill="FFFFFF"/>
            <w:vAlign w:val="center"/>
          </w:tcPr>
          <w:p>
            <w:pPr>
              <w:spacing w:line="720" w:lineRule="auto"/>
              <w:jc w:val="center"/>
              <w:rPr>
                <w:rFonts w:ascii="宋体" w:hAnsi="宋体"/>
                <w:bCs/>
                <w:color w:val="000000"/>
                <w:szCs w:val="21"/>
              </w:rPr>
            </w:pPr>
          </w:p>
        </w:tc>
        <w:tc>
          <w:tcPr>
            <w:tcW w:w="6559" w:type="dxa"/>
            <w:shd w:val="clear" w:color="000000" w:fill="FFFFFF"/>
            <w:vAlign w:val="center"/>
          </w:tcPr>
          <w:p>
            <w:pPr>
              <w:widowControl/>
              <w:spacing w:line="720" w:lineRule="auto"/>
              <w:jc w:val="left"/>
              <w:rPr>
                <w:rFonts w:ascii="宋体" w:hAnsi="宋体" w:cs="Arial"/>
                <w:color w:val="000000"/>
                <w:szCs w:val="21"/>
              </w:rPr>
            </w:pPr>
          </w:p>
        </w:tc>
        <w:tc>
          <w:tcPr>
            <w:tcW w:w="747" w:type="dxa"/>
            <w:shd w:val="clear" w:color="000000" w:fill="FFFFFF"/>
            <w:vAlign w:val="center"/>
          </w:tcPr>
          <w:p>
            <w:pPr>
              <w:widowControl/>
              <w:spacing w:line="720" w:lineRule="auto"/>
              <w:jc w:val="center"/>
              <w:rPr>
                <w:rFonts w:ascii="宋体" w:hAnsi="宋体" w:cs="宋体"/>
                <w:b/>
                <w:bCs/>
                <w:color w:val="000000"/>
                <w:kern w:val="0"/>
                <w:szCs w:val="21"/>
              </w:rPr>
            </w:pPr>
          </w:p>
        </w:tc>
        <w:tc>
          <w:tcPr>
            <w:tcW w:w="1399" w:type="dxa"/>
            <w:shd w:val="clear" w:color="000000" w:fill="FFFFFF"/>
            <w:vAlign w:val="center"/>
          </w:tcPr>
          <w:p>
            <w:pPr>
              <w:widowControl/>
              <w:spacing w:line="720" w:lineRule="auto"/>
              <w:jc w:val="center"/>
              <w:rPr>
                <w:rFonts w:ascii="宋体" w:hAnsi="宋体" w:cs="宋体"/>
                <w:b/>
                <w:bCs/>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1" w:type="dxa"/>
            <w:shd w:val="clear" w:color="000000" w:fill="FFFFFF"/>
            <w:vAlign w:val="center"/>
          </w:tcPr>
          <w:p>
            <w:pPr>
              <w:spacing w:line="720" w:lineRule="auto"/>
              <w:jc w:val="center"/>
              <w:rPr>
                <w:rFonts w:ascii="宋体" w:hAnsi="宋体"/>
                <w:bCs/>
                <w:color w:val="000000"/>
                <w:szCs w:val="21"/>
              </w:rPr>
            </w:pPr>
          </w:p>
        </w:tc>
        <w:tc>
          <w:tcPr>
            <w:tcW w:w="6559" w:type="dxa"/>
            <w:shd w:val="clear" w:color="000000" w:fill="FFFFFF"/>
            <w:vAlign w:val="center"/>
          </w:tcPr>
          <w:p>
            <w:pPr>
              <w:widowControl/>
              <w:spacing w:line="720" w:lineRule="auto"/>
              <w:jc w:val="left"/>
              <w:rPr>
                <w:rFonts w:ascii="宋体" w:hAnsi="宋体" w:cs="Arial"/>
                <w:color w:val="000000"/>
                <w:szCs w:val="21"/>
              </w:rPr>
            </w:pPr>
          </w:p>
        </w:tc>
        <w:tc>
          <w:tcPr>
            <w:tcW w:w="747" w:type="dxa"/>
            <w:shd w:val="clear" w:color="000000" w:fill="FFFFFF"/>
            <w:vAlign w:val="center"/>
          </w:tcPr>
          <w:p>
            <w:pPr>
              <w:widowControl/>
              <w:spacing w:line="720" w:lineRule="auto"/>
              <w:jc w:val="center"/>
              <w:rPr>
                <w:rFonts w:ascii="宋体" w:hAnsi="宋体" w:cs="宋体"/>
                <w:b/>
                <w:bCs/>
                <w:color w:val="000000"/>
                <w:kern w:val="0"/>
                <w:szCs w:val="21"/>
              </w:rPr>
            </w:pPr>
          </w:p>
        </w:tc>
        <w:tc>
          <w:tcPr>
            <w:tcW w:w="1399" w:type="dxa"/>
            <w:shd w:val="clear" w:color="000000" w:fill="FFFFFF"/>
            <w:vAlign w:val="center"/>
          </w:tcPr>
          <w:p>
            <w:pPr>
              <w:widowControl/>
              <w:spacing w:line="720" w:lineRule="auto"/>
              <w:jc w:val="center"/>
              <w:rPr>
                <w:rFonts w:ascii="宋体" w:hAnsi="宋体" w:cs="宋体"/>
                <w:b/>
                <w:bCs/>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1" w:type="dxa"/>
            <w:shd w:val="clear" w:color="000000" w:fill="FFFFFF"/>
            <w:vAlign w:val="center"/>
          </w:tcPr>
          <w:p>
            <w:pPr>
              <w:spacing w:line="720" w:lineRule="auto"/>
              <w:jc w:val="center"/>
              <w:rPr>
                <w:rFonts w:ascii="宋体" w:hAnsi="宋体"/>
                <w:bCs/>
                <w:color w:val="000000"/>
                <w:szCs w:val="21"/>
              </w:rPr>
            </w:pPr>
          </w:p>
        </w:tc>
        <w:tc>
          <w:tcPr>
            <w:tcW w:w="6559" w:type="dxa"/>
            <w:shd w:val="clear" w:color="000000" w:fill="FFFFFF"/>
            <w:vAlign w:val="center"/>
          </w:tcPr>
          <w:p>
            <w:pPr>
              <w:widowControl/>
              <w:spacing w:line="720" w:lineRule="auto"/>
              <w:jc w:val="left"/>
              <w:rPr>
                <w:rFonts w:ascii="宋体" w:hAnsi="宋体" w:cs="Arial"/>
                <w:color w:val="000000"/>
                <w:szCs w:val="21"/>
              </w:rPr>
            </w:pPr>
          </w:p>
        </w:tc>
        <w:tc>
          <w:tcPr>
            <w:tcW w:w="747" w:type="dxa"/>
            <w:shd w:val="clear" w:color="000000" w:fill="FFFFFF"/>
            <w:vAlign w:val="center"/>
          </w:tcPr>
          <w:p>
            <w:pPr>
              <w:widowControl/>
              <w:spacing w:line="720" w:lineRule="auto"/>
              <w:jc w:val="center"/>
              <w:rPr>
                <w:rFonts w:ascii="宋体" w:hAnsi="宋体" w:cs="宋体"/>
                <w:b/>
                <w:bCs/>
                <w:color w:val="000000"/>
                <w:kern w:val="0"/>
                <w:szCs w:val="21"/>
              </w:rPr>
            </w:pPr>
          </w:p>
        </w:tc>
        <w:tc>
          <w:tcPr>
            <w:tcW w:w="1399" w:type="dxa"/>
            <w:shd w:val="clear" w:color="000000" w:fill="FFFFFF"/>
            <w:vAlign w:val="center"/>
          </w:tcPr>
          <w:p>
            <w:pPr>
              <w:widowControl/>
              <w:spacing w:line="720" w:lineRule="auto"/>
              <w:jc w:val="center"/>
              <w:rPr>
                <w:rFonts w:ascii="宋体" w:hAnsi="宋体" w:cs="宋体"/>
                <w:b/>
                <w:bCs/>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1" w:type="dxa"/>
            <w:shd w:val="clear" w:color="000000" w:fill="FFFFFF"/>
            <w:vAlign w:val="center"/>
          </w:tcPr>
          <w:p>
            <w:pPr>
              <w:spacing w:line="720" w:lineRule="auto"/>
              <w:jc w:val="center"/>
              <w:rPr>
                <w:rFonts w:ascii="宋体" w:hAnsi="宋体"/>
                <w:bCs/>
                <w:color w:val="000000"/>
                <w:szCs w:val="21"/>
              </w:rPr>
            </w:pPr>
          </w:p>
        </w:tc>
        <w:tc>
          <w:tcPr>
            <w:tcW w:w="6559" w:type="dxa"/>
            <w:shd w:val="clear" w:color="000000" w:fill="FFFFFF"/>
            <w:vAlign w:val="center"/>
          </w:tcPr>
          <w:p>
            <w:pPr>
              <w:widowControl/>
              <w:spacing w:line="720" w:lineRule="auto"/>
              <w:jc w:val="left"/>
              <w:rPr>
                <w:rFonts w:ascii="宋体" w:hAnsi="宋体" w:cs="Arial"/>
                <w:color w:val="000000"/>
                <w:szCs w:val="21"/>
              </w:rPr>
            </w:pPr>
          </w:p>
        </w:tc>
        <w:tc>
          <w:tcPr>
            <w:tcW w:w="747" w:type="dxa"/>
            <w:shd w:val="clear" w:color="000000" w:fill="FFFFFF"/>
            <w:vAlign w:val="center"/>
          </w:tcPr>
          <w:p>
            <w:pPr>
              <w:widowControl/>
              <w:spacing w:line="720" w:lineRule="auto"/>
              <w:jc w:val="center"/>
              <w:rPr>
                <w:rFonts w:ascii="宋体" w:hAnsi="宋体" w:cs="宋体"/>
                <w:b/>
                <w:bCs/>
                <w:color w:val="000000"/>
                <w:kern w:val="0"/>
                <w:szCs w:val="21"/>
              </w:rPr>
            </w:pPr>
          </w:p>
        </w:tc>
        <w:tc>
          <w:tcPr>
            <w:tcW w:w="1399" w:type="dxa"/>
            <w:shd w:val="clear" w:color="000000" w:fill="FFFFFF"/>
            <w:vAlign w:val="center"/>
          </w:tcPr>
          <w:p>
            <w:pPr>
              <w:widowControl/>
              <w:spacing w:line="720" w:lineRule="auto"/>
              <w:jc w:val="center"/>
              <w:rPr>
                <w:rFonts w:ascii="宋体" w:hAnsi="宋体" w:cs="宋体"/>
                <w:b/>
                <w:bCs/>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1" w:type="dxa"/>
            <w:shd w:val="clear" w:color="000000" w:fill="FFFFFF"/>
            <w:vAlign w:val="center"/>
          </w:tcPr>
          <w:p>
            <w:pPr>
              <w:spacing w:line="720" w:lineRule="auto"/>
              <w:jc w:val="center"/>
              <w:rPr>
                <w:rFonts w:ascii="宋体" w:hAnsi="宋体"/>
                <w:bCs/>
                <w:color w:val="000000"/>
                <w:szCs w:val="21"/>
              </w:rPr>
            </w:pPr>
          </w:p>
        </w:tc>
        <w:tc>
          <w:tcPr>
            <w:tcW w:w="6559" w:type="dxa"/>
            <w:shd w:val="clear" w:color="000000" w:fill="FFFFFF"/>
            <w:vAlign w:val="center"/>
          </w:tcPr>
          <w:p>
            <w:pPr>
              <w:widowControl/>
              <w:spacing w:line="720" w:lineRule="auto"/>
              <w:jc w:val="left"/>
              <w:rPr>
                <w:rFonts w:ascii="宋体" w:hAnsi="宋体" w:cs="Arial"/>
                <w:color w:val="000000"/>
                <w:szCs w:val="21"/>
              </w:rPr>
            </w:pPr>
          </w:p>
        </w:tc>
        <w:tc>
          <w:tcPr>
            <w:tcW w:w="747" w:type="dxa"/>
            <w:shd w:val="clear" w:color="000000" w:fill="FFFFFF"/>
            <w:vAlign w:val="center"/>
          </w:tcPr>
          <w:p>
            <w:pPr>
              <w:widowControl/>
              <w:spacing w:line="720" w:lineRule="auto"/>
              <w:jc w:val="center"/>
              <w:rPr>
                <w:rFonts w:ascii="宋体" w:hAnsi="宋体" w:cs="宋体"/>
                <w:b/>
                <w:bCs/>
                <w:color w:val="000000"/>
                <w:kern w:val="0"/>
                <w:szCs w:val="21"/>
              </w:rPr>
            </w:pPr>
          </w:p>
        </w:tc>
        <w:tc>
          <w:tcPr>
            <w:tcW w:w="1399" w:type="dxa"/>
            <w:shd w:val="clear" w:color="000000" w:fill="FFFFFF"/>
            <w:vAlign w:val="center"/>
          </w:tcPr>
          <w:p>
            <w:pPr>
              <w:widowControl/>
              <w:spacing w:line="720" w:lineRule="auto"/>
              <w:jc w:val="center"/>
              <w:rPr>
                <w:rFonts w:ascii="宋体" w:hAnsi="宋体" w:cs="宋体"/>
                <w:b/>
                <w:bCs/>
                <w:color w:val="000000"/>
                <w:kern w:val="0"/>
                <w:szCs w:val="21"/>
              </w:rPr>
            </w:pPr>
          </w:p>
        </w:tc>
      </w:tr>
    </w:tbl>
    <w:p>
      <w:pPr>
        <w:spacing w:line="360" w:lineRule="auto"/>
        <w:rPr>
          <w:rFonts w:ascii="宋体" w:hAnsi="宋体"/>
          <w:color w:val="000000"/>
          <w:sz w:val="24"/>
        </w:rPr>
      </w:pPr>
    </w:p>
    <w:p>
      <w:pPr>
        <w:spacing w:line="360" w:lineRule="auto"/>
        <w:rPr>
          <w:rFonts w:ascii="宋体" w:hAnsi="宋体"/>
          <w:color w:val="000000"/>
          <w:sz w:val="24"/>
        </w:rPr>
      </w:pPr>
      <w:r>
        <w:rPr>
          <w:rFonts w:hint="eastAsia" w:ascii="宋体" w:hAnsi="宋体"/>
          <w:color w:val="000000"/>
          <w:sz w:val="24"/>
        </w:rPr>
        <w:t>附1：</w:t>
      </w:r>
    </w:p>
    <w:p>
      <w:pPr>
        <w:spacing w:line="360" w:lineRule="auto"/>
        <w:jc w:val="center"/>
        <w:rPr>
          <w:rFonts w:ascii="宋体" w:hAnsi="宋体"/>
          <w:b/>
          <w:color w:val="000000"/>
          <w:sz w:val="24"/>
        </w:rPr>
      </w:pPr>
      <w:r>
        <w:rPr>
          <w:rFonts w:hint="eastAsia" w:ascii="宋体" w:hAnsi="宋体"/>
          <w:b/>
          <w:color w:val="000000"/>
          <w:sz w:val="24"/>
        </w:rPr>
        <w:t>政府采购投标担保函 （项目用）</w:t>
      </w:r>
    </w:p>
    <w:p>
      <w:pPr>
        <w:spacing w:line="360" w:lineRule="auto"/>
        <w:ind w:firstLine="7680" w:firstLineChars="3200"/>
        <w:rPr>
          <w:rFonts w:ascii="宋体" w:hAnsi="宋体"/>
          <w:color w:val="000000"/>
          <w:sz w:val="24"/>
        </w:rPr>
      </w:pPr>
      <w:r>
        <w:rPr>
          <w:rFonts w:hint="eastAsia" w:ascii="宋体" w:hAnsi="宋体"/>
          <w:color w:val="000000"/>
          <w:sz w:val="24"/>
        </w:rPr>
        <w:t>编号：</w:t>
      </w:r>
    </w:p>
    <w:p>
      <w:pPr>
        <w:spacing w:line="360" w:lineRule="auto"/>
        <w:rPr>
          <w:rFonts w:ascii="宋体" w:hAnsi="宋体"/>
          <w:color w:val="000000"/>
          <w:sz w:val="24"/>
        </w:rPr>
      </w:pPr>
      <w:r>
        <w:rPr>
          <w:rFonts w:ascii="宋体" w:hAnsi="宋体"/>
          <w:color w:val="000000"/>
          <w:sz w:val="24"/>
        </w:rPr>
        <w:t xml:space="preserve"> </w:t>
      </w:r>
    </w:p>
    <w:p>
      <w:pPr>
        <w:spacing w:line="360" w:lineRule="auto"/>
        <w:rPr>
          <w:rFonts w:ascii="宋体" w:hAnsi="宋体"/>
          <w:color w:val="000000"/>
          <w:sz w:val="24"/>
        </w:rPr>
      </w:pPr>
      <w:r>
        <w:rPr>
          <w:rFonts w:hint="eastAsia" w:ascii="宋体" w:hAnsi="宋体"/>
          <w:color w:val="000000"/>
          <w:sz w:val="24"/>
          <w:u w:val="single"/>
        </w:rPr>
        <w:t xml:space="preserve">                  </w:t>
      </w:r>
      <w:r>
        <w:rPr>
          <w:rFonts w:hint="eastAsia" w:ascii="宋体" w:hAnsi="宋体"/>
          <w:color w:val="000000"/>
          <w:sz w:val="24"/>
        </w:rPr>
        <w:t>（采购人或采购代理机构）：</w:t>
      </w:r>
    </w:p>
    <w:p>
      <w:pPr>
        <w:spacing w:line="360" w:lineRule="auto"/>
        <w:rPr>
          <w:rFonts w:ascii="宋体" w:hAnsi="宋体"/>
          <w:color w:val="000000"/>
          <w:sz w:val="24"/>
        </w:rPr>
      </w:pPr>
    </w:p>
    <w:p>
      <w:pPr>
        <w:spacing w:line="360" w:lineRule="auto"/>
        <w:ind w:firstLine="480" w:firstLineChars="200"/>
        <w:rPr>
          <w:rFonts w:ascii="宋体" w:hAnsi="宋体"/>
          <w:color w:val="000000"/>
          <w:sz w:val="24"/>
        </w:rPr>
      </w:pPr>
      <w:r>
        <w:rPr>
          <w:rFonts w:hint="eastAsia" w:ascii="宋体" w:hAnsi="宋体"/>
          <w:color w:val="000000"/>
          <w:sz w:val="24"/>
        </w:rPr>
        <w:t>鉴于</w:t>
      </w:r>
      <w:r>
        <w:rPr>
          <w:rFonts w:hint="eastAsia" w:ascii="宋体" w:hAnsi="宋体"/>
          <w:color w:val="000000"/>
          <w:sz w:val="24"/>
          <w:u w:val="single"/>
        </w:rPr>
        <w:t xml:space="preserve">               </w:t>
      </w:r>
      <w:r>
        <w:rPr>
          <w:rFonts w:hint="eastAsia" w:ascii="宋体" w:hAnsi="宋体"/>
          <w:color w:val="000000"/>
          <w:sz w:val="24"/>
        </w:rPr>
        <w:t>（以下简称“投标人”）拟参加编号为</w:t>
      </w:r>
      <w:r>
        <w:rPr>
          <w:rFonts w:hint="eastAsia" w:ascii="宋体" w:hAnsi="宋体"/>
          <w:color w:val="000000"/>
          <w:sz w:val="24"/>
          <w:u w:val="single"/>
        </w:rPr>
        <w:t xml:space="preserve">            </w:t>
      </w:r>
      <w:r>
        <w:rPr>
          <w:rFonts w:hint="eastAsia" w:ascii="宋体" w:hAnsi="宋体"/>
          <w:color w:val="000000"/>
          <w:sz w:val="24"/>
        </w:rPr>
        <w:t>的</w:t>
      </w:r>
      <w:r>
        <w:rPr>
          <w:rFonts w:hint="eastAsia" w:ascii="宋体" w:hAnsi="宋体"/>
          <w:color w:val="000000"/>
          <w:sz w:val="24"/>
          <w:u w:val="single"/>
        </w:rPr>
        <w:t xml:space="preserve">           </w:t>
      </w:r>
      <w:r>
        <w:rPr>
          <w:rFonts w:hint="eastAsia" w:ascii="宋体" w:hAnsi="宋体"/>
          <w:color w:val="000000"/>
          <w:sz w:val="24"/>
        </w:rPr>
        <w:t xml:space="preserve">                            </w:t>
      </w:r>
    </w:p>
    <w:p>
      <w:pPr>
        <w:spacing w:line="360" w:lineRule="auto"/>
        <w:rPr>
          <w:rFonts w:ascii="宋体" w:hAnsi="宋体"/>
          <w:color w:val="000000"/>
          <w:sz w:val="24"/>
        </w:rPr>
      </w:pPr>
      <w:r>
        <w:rPr>
          <w:rFonts w:hint="eastAsia" w:ascii="宋体" w:hAnsi="宋体"/>
          <w:color w:val="000000"/>
          <w:sz w:val="24"/>
        </w:rPr>
        <w:t>项目（以下简称“本项目”）投标，根据本项目招标文件，供应商参加投标时应向你方缴纳投标保证金，且可以投标担保函的形式缴纳投标保证金。应供应商的申请，我方以保证的方式向你方提供如下投标保证金担保：</w:t>
      </w:r>
    </w:p>
    <w:p>
      <w:pPr>
        <w:spacing w:line="360" w:lineRule="auto"/>
        <w:ind w:firstLine="480" w:firstLineChars="200"/>
        <w:rPr>
          <w:rFonts w:ascii="宋体" w:hAnsi="宋体"/>
          <w:color w:val="000000"/>
          <w:sz w:val="24"/>
        </w:rPr>
      </w:pPr>
      <w:r>
        <w:rPr>
          <w:rFonts w:hint="eastAsia" w:ascii="宋体" w:hAnsi="宋体"/>
          <w:color w:val="000000"/>
          <w:sz w:val="24"/>
        </w:rPr>
        <w:t>一、保证责任的情形及保证金额</w:t>
      </w:r>
    </w:p>
    <w:p>
      <w:pPr>
        <w:spacing w:line="360" w:lineRule="auto"/>
        <w:ind w:firstLine="240" w:firstLineChars="100"/>
        <w:rPr>
          <w:rFonts w:ascii="宋体" w:hAnsi="宋体"/>
          <w:color w:val="000000"/>
          <w:sz w:val="24"/>
        </w:rPr>
      </w:pPr>
      <w:r>
        <w:rPr>
          <w:rFonts w:hint="eastAsia" w:ascii="宋体" w:hAnsi="宋体"/>
          <w:color w:val="000000"/>
          <w:sz w:val="24"/>
        </w:rPr>
        <w:t>（一）在投标人出现下列情形之一时，我方承担保证责任：</w:t>
      </w:r>
    </w:p>
    <w:p>
      <w:pPr>
        <w:spacing w:line="360" w:lineRule="auto"/>
        <w:ind w:firstLine="480" w:firstLineChars="200"/>
        <w:rPr>
          <w:rFonts w:ascii="宋体" w:hAnsi="宋体"/>
          <w:color w:val="000000"/>
          <w:sz w:val="24"/>
        </w:rPr>
      </w:pPr>
      <w:r>
        <w:rPr>
          <w:rFonts w:hint="eastAsia" w:ascii="宋体" w:hAnsi="宋体"/>
          <w:color w:val="000000"/>
          <w:sz w:val="24"/>
        </w:rPr>
        <w:t>1．中标后投标人无正当理由不与采购人或者采购代理机构签订《政府采购合同》；</w:t>
      </w:r>
    </w:p>
    <w:p>
      <w:pPr>
        <w:spacing w:line="360" w:lineRule="auto"/>
        <w:ind w:firstLine="480" w:firstLineChars="200"/>
        <w:rPr>
          <w:rFonts w:ascii="宋体" w:hAnsi="宋体"/>
          <w:color w:val="000000"/>
          <w:sz w:val="24"/>
        </w:rPr>
      </w:pPr>
      <w:r>
        <w:rPr>
          <w:rFonts w:hint="eastAsia" w:ascii="宋体" w:hAnsi="宋体"/>
          <w:color w:val="000000"/>
          <w:sz w:val="24"/>
        </w:rPr>
        <w:t>2．招标文件规定的投标人应当缴纳保证金的其他情形。</w:t>
      </w:r>
    </w:p>
    <w:p>
      <w:pPr>
        <w:spacing w:line="360" w:lineRule="auto"/>
        <w:ind w:firstLine="240" w:firstLineChars="100"/>
        <w:rPr>
          <w:rFonts w:ascii="宋体" w:hAnsi="宋体"/>
          <w:color w:val="000000"/>
          <w:sz w:val="24"/>
        </w:rPr>
      </w:pPr>
      <w:r>
        <w:rPr>
          <w:rFonts w:hint="eastAsia" w:ascii="宋体" w:hAnsi="宋体"/>
          <w:color w:val="000000"/>
          <w:sz w:val="24"/>
        </w:rPr>
        <w:t>（二）我方承担保证责任的最高金额为人民币</w:t>
      </w:r>
      <w:r>
        <w:rPr>
          <w:rFonts w:hint="eastAsia" w:ascii="宋体" w:hAnsi="宋体"/>
          <w:color w:val="000000"/>
          <w:sz w:val="24"/>
          <w:u w:val="single"/>
        </w:rPr>
        <w:t xml:space="preserve">      </w:t>
      </w:r>
      <w:r>
        <w:rPr>
          <w:rFonts w:hint="eastAsia" w:ascii="宋体" w:hAnsi="宋体"/>
          <w:color w:val="000000"/>
          <w:sz w:val="24"/>
        </w:rPr>
        <w:t>元（大写</w:t>
      </w:r>
      <w:r>
        <w:rPr>
          <w:rFonts w:hint="eastAsia" w:ascii="宋体" w:hAnsi="宋体"/>
          <w:color w:val="000000"/>
          <w:sz w:val="24"/>
          <w:u w:val="single"/>
        </w:rPr>
        <w:t xml:space="preserve">            </w:t>
      </w:r>
      <w:r>
        <w:rPr>
          <w:rFonts w:hint="eastAsia" w:ascii="宋体" w:hAnsi="宋体"/>
          <w:color w:val="000000"/>
          <w:sz w:val="24"/>
        </w:rPr>
        <w:t>），即本项目的投标保证金金额。</w:t>
      </w:r>
    </w:p>
    <w:p>
      <w:pPr>
        <w:spacing w:line="360" w:lineRule="auto"/>
        <w:ind w:firstLine="480" w:firstLineChars="200"/>
        <w:rPr>
          <w:rFonts w:ascii="宋体" w:hAnsi="宋体"/>
          <w:color w:val="000000"/>
          <w:sz w:val="24"/>
        </w:rPr>
      </w:pPr>
      <w:r>
        <w:rPr>
          <w:rFonts w:hint="eastAsia" w:ascii="宋体" w:hAnsi="宋体"/>
          <w:color w:val="000000"/>
          <w:sz w:val="24"/>
        </w:rPr>
        <w:t>二、保证的方式及保证期间</w:t>
      </w:r>
    </w:p>
    <w:p>
      <w:pPr>
        <w:spacing w:line="360" w:lineRule="auto"/>
        <w:ind w:firstLine="480" w:firstLineChars="200"/>
        <w:rPr>
          <w:rFonts w:ascii="宋体" w:hAnsi="宋体"/>
          <w:color w:val="000000"/>
          <w:sz w:val="24"/>
        </w:rPr>
      </w:pPr>
      <w:r>
        <w:rPr>
          <w:rFonts w:hint="eastAsia" w:ascii="宋体" w:hAnsi="宋体"/>
          <w:color w:val="000000"/>
          <w:sz w:val="24"/>
        </w:rPr>
        <w:t>我方保证的方式为：连带责任保证。</w:t>
      </w:r>
    </w:p>
    <w:p>
      <w:pPr>
        <w:spacing w:line="360" w:lineRule="auto"/>
        <w:ind w:firstLine="480" w:firstLineChars="200"/>
        <w:rPr>
          <w:rFonts w:ascii="宋体" w:hAnsi="宋体"/>
          <w:color w:val="000000"/>
          <w:sz w:val="24"/>
        </w:rPr>
      </w:pPr>
      <w:r>
        <w:rPr>
          <w:rFonts w:hint="eastAsia" w:ascii="宋体" w:hAnsi="宋体"/>
          <w:color w:val="000000"/>
          <w:sz w:val="24"/>
        </w:rPr>
        <w:t>我方的保证期间为：自本保函生效之日起</w:t>
      </w:r>
      <w:r>
        <w:rPr>
          <w:rFonts w:hint="eastAsia" w:ascii="宋体" w:hAnsi="宋体"/>
          <w:color w:val="000000"/>
          <w:sz w:val="24"/>
          <w:u w:val="single"/>
        </w:rPr>
        <w:t xml:space="preserve">    </w:t>
      </w:r>
      <w:r>
        <w:rPr>
          <w:rFonts w:hint="eastAsia" w:ascii="宋体" w:hAnsi="宋体"/>
          <w:color w:val="000000"/>
          <w:sz w:val="24"/>
        </w:rPr>
        <w:t>个月止。</w:t>
      </w:r>
    </w:p>
    <w:p>
      <w:pPr>
        <w:spacing w:line="360" w:lineRule="auto"/>
        <w:ind w:firstLine="480" w:firstLineChars="200"/>
        <w:rPr>
          <w:rFonts w:ascii="宋体" w:hAnsi="宋体"/>
          <w:color w:val="000000"/>
          <w:sz w:val="24"/>
        </w:rPr>
      </w:pPr>
      <w:r>
        <w:rPr>
          <w:rFonts w:hint="eastAsia" w:ascii="宋体" w:hAnsi="宋体"/>
          <w:color w:val="000000"/>
          <w:sz w:val="24"/>
        </w:rPr>
        <w:t>三、承担保证责任的程序</w:t>
      </w:r>
    </w:p>
    <w:p>
      <w:pPr>
        <w:spacing w:line="360" w:lineRule="auto"/>
        <w:ind w:firstLine="480" w:firstLineChars="200"/>
        <w:rPr>
          <w:rFonts w:ascii="宋体" w:hAnsi="宋体"/>
          <w:color w:val="000000"/>
          <w:sz w:val="24"/>
        </w:rPr>
      </w:pPr>
      <w:r>
        <w:rPr>
          <w:rFonts w:hint="eastAsia" w:ascii="宋体" w:hAnsi="宋体"/>
          <w:color w:val="000000"/>
          <w:sz w:val="24"/>
        </w:rPr>
        <w:t>1．你方要求我方承担保证责任的，应在本保函保证期间内向我方发出书面索赔通知。索赔通知应写明要求索赔的金额，支付款项应到达的账号，并附有证明投标人发生我方应承担保证责任情形的事实材料。</w:t>
      </w:r>
    </w:p>
    <w:p>
      <w:pPr>
        <w:spacing w:line="360" w:lineRule="auto"/>
        <w:ind w:firstLine="480" w:firstLineChars="200"/>
        <w:rPr>
          <w:rFonts w:ascii="宋体" w:hAnsi="宋体"/>
          <w:color w:val="000000"/>
          <w:sz w:val="24"/>
        </w:rPr>
      </w:pPr>
      <w:r>
        <w:rPr>
          <w:rFonts w:hint="eastAsia" w:ascii="宋体" w:hAnsi="宋体"/>
          <w:color w:val="000000"/>
          <w:sz w:val="24"/>
        </w:rPr>
        <w:t>2．我方在收到索赔通知及相关证明材料后，在</w:t>
      </w:r>
      <w:r>
        <w:rPr>
          <w:rFonts w:hint="eastAsia" w:ascii="宋体" w:hAnsi="宋体"/>
          <w:color w:val="000000"/>
          <w:sz w:val="24"/>
          <w:u w:val="single"/>
        </w:rPr>
        <w:t>　　　</w:t>
      </w:r>
      <w:r>
        <w:rPr>
          <w:rFonts w:hint="eastAsia" w:ascii="宋体" w:hAnsi="宋体"/>
          <w:color w:val="000000"/>
          <w:sz w:val="24"/>
        </w:rPr>
        <w:t>个工作日内进行审查，符合应承担保证责任情形的，我方应按照你方的要求代投标人向你方支付投标保证金。</w:t>
      </w:r>
    </w:p>
    <w:p>
      <w:pPr>
        <w:spacing w:line="360" w:lineRule="auto"/>
        <w:ind w:firstLine="480" w:firstLineChars="200"/>
        <w:rPr>
          <w:rFonts w:ascii="宋体" w:hAnsi="宋体"/>
          <w:color w:val="000000"/>
          <w:sz w:val="24"/>
        </w:rPr>
      </w:pPr>
      <w:r>
        <w:rPr>
          <w:rFonts w:hint="eastAsia" w:ascii="宋体" w:hAnsi="宋体"/>
          <w:color w:val="000000"/>
          <w:sz w:val="24"/>
        </w:rPr>
        <w:t>四、保证责任的终止</w:t>
      </w:r>
    </w:p>
    <w:p>
      <w:pPr>
        <w:spacing w:line="360" w:lineRule="auto"/>
        <w:ind w:firstLine="480" w:firstLineChars="200"/>
        <w:rPr>
          <w:rFonts w:ascii="宋体" w:hAnsi="宋体"/>
          <w:color w:val="000000"/>
          <w:sz w:val="24"/>
        </w:rPr>
      </w:pPr>
      <w:r>
        <w:rPr>
          <w:rFonts w:hint="eastAsia" w:ascii="宋体" w:hAnsi="宋体"/>
          <w:color w:val="000000"/>
          <w:sz w:val="24"/>
        </w:rPr>
        <w:t>1．保证期间届满你方未向我方书面主张保证责任的，自保证期间届满次日起，我方保证责任自动终止。</w:t>
      </w:r>
    </w:p>
    <w:p>
      <w:pPr>
        <w:spacing w:line="360" w:lineRule="auto"/>
        <w:ind w:firstLine="480" w:firstLineChars="200"/>
        <w:rPr>
          <w:rFonts w:ascii="宋体" w:hAnsi="宋体"/>
          <w:color w:val="000000"/>
          <w:sz w:val="24"/>
        </w:rPr>
      </w:pPr>
      <w:r>
        <w:rPr>
          <w:rFonts w:hint="eastAsia" w:ascii="宋体" w:hAnsi="宋体"/>
          <w:color w:val="000000"/>
          <w:sz w:val="24"/>
        </w:rPr>
        <w:t>2．我方按照本保函向你贵方履行了保证责任后，自我方向你贵方支付款项（支付款项从我方账户划出）之日起，保证责任终止。</w:t>
      </w:r>
    </w:p>
    <w:p>
      <w:pPr>
        <w:spacing w:line="360" w:lineRule="auto"/>
        <w:ind w:firstLine="480" w:firstLineChars="200"/>
        <w:rPr>
          <w:rFonts w:ascii="宋体" w:hAnsi="宋体"/>
          <w:color w:val="000000"/>
          <w:sz w:val="24"/>
        </w:rPr>
      </w:pPr>
      <w:r>
        <w:rPr>
          <w:rFonts w:hint="eastAsia" w:ascii="宋体" w:hAnsi="宋体"/>
          <w:color w:val="000000"/>
          <w:sz w:val="24"/>
        </w:rPr>
        <w:t>3．按照法律法规的规定或出现我方保证责任终止的其它情形的，我方在本保函项下的保证责任亦终止。</w:t>
      </w:r>
    </w:p>
    <w:p>
      <w:pPr>
        <w:spacing w:line="360" w:lineRule="auto"/>
        <w:ind w:firstLine="480" w:firstLineChars="200"/>
        <w:rPr>
          <w:rFonts w:ascii="宋体" w:hAnsi="宋体"/>
          <w:color w:val="000000"/>
          <w:sz w:val="24"/>
        </w:rPr>
      </w:pPr>
      <w:r>
        <w:rPr>
          <w:rFonts w:hint="eastAsia" w:ascii="宋体" w:hAnsi="宋体"/>
          <w:color w:val="000000"/>
          <w:sz w:val="24"/>
        </w:rPr>
        <w:t>五、免责条款</w:t>
      </w:r>
    </w:p>
    <w:p>
      <w:pPr>
        <w:spacing w:line="360" w:lineRule="auto"/>
        <w:ind w:firstLine="480" w:firstLineChars="200"/>
        <w:rPr>
          <w:rFonts w:ascii="宋体" w:hAnsi="宋体"/>
          <w:color w:val="000000"/>
          <w:sz w:val="24"/>
        </w:rPr>
      </w:pPr>
      <w:r>
        <w:rPr>
          <w:rFonts w:hint="eastAsia" w:ascii="宋体" w:hAnsi="宋体"/>
          <w:color w:val="000000"/>
          <w:sz w:val="24"/>
        </w:rPr>
        <w:t>1．依照法律规定或你方与投标人的另行约定，全部或者部分免除投标人投标保证金义务时，我方亦免除相应的保证责任。</w:t>
      </w:r>
    </w:p>
    <w:p>
      <w:pPr>
        <w:spacing w:line="360" w:lineRule="auto"/>
        <w:ind w:firstLine="480" w:firstLineChars="200"/>
        <w:rPr>
          <w:rFonts w:ascii="宋体" w:hAnsi="宋体"/>
          <w:color w:val="000000"/>
          <w:sz w:val="24"/>
        </w:rPr>
      </w:pPr>
      <w:r>
        <w:rPr>
          <w:rFonts w:hint="eastAsia" w:ascii="宋体" w:hAnsi="宋体"/>
          <w:color w:val="000000"/>
          <w:sz w:val="24"/>
        </w:rPr>
        <w:t>2．因你方原因致使投标人发生本保函第一条第（一）款约定情形的，我方不承担保证责任。</w:t>
      </w:r>
    </w:p>
    <w:p>
      <w:pPr>
        <w:spacing w:line="360" w:lineRule="auto"/>
        <w:ind w:firstLine="480" w:firstLineChars="200"/>
        <w:rPr>
          <w:rFonts w:ascii="宋体" w:hAnsi="宋体"/>
          <w:color w:val="000000"/>
          <w:sz w:val="24"/>
        </w:rPr>
      </w:pPr>
      <w:r>
        <w:rPr>
          <w:rFonts w:hint="eastAsia" w:ascii="宋体" w:hAnsi="宋体"/>
          <w:color w:val="000000"/>
          <w:sz w:val="24"/>
        </w:rPr>
        <w:t>3．因不可抗力造成投标人发生本保函第一条约定情形的，我方不承担保证责任。</w:t>
      </w:r>
    </w:p>
    <w:p>
      <w:pPr>
        <w:spacing w:line="360" w:lineRule="auto"/>
        <w:ind w:firstLine="480" w:firstLineChars="200"/>
        <w:rPr>
          <w:rFonts w:ascii="宋体" w:hAnsi="宋体"/>
          <w:color w:val="000000"/>
          <w:sz w:val="24"/>
        </w:rPr>
      </w:pPr>
      <w:r>
        <w:rPr>
          <w:rFonts w:hint="eastAsia" w:ascii="宋体" w:hAnsi="宋体"/>
          <w:color w:val="000000"/>
          <w:sz w:val="24"/>
        </w:rPr>
        <w:t>4．你方或其他有权机关对招标文件进行任何澄清或修改，加重我方保证责任的，我方对加重部分不承担保证责任，但该澄清或修改经我方事先书面同意的除外。</w:t>
      </w:r>
    </w:p>
    <w:p>
      <w:pPr>
        <w:spacing w:line="360" w:lineRule="auto"/>
        <w:ind w:firstLine="480" w:firstLineChars="200"/>
        <w:rPr>
          <w:rFonts w:ascii="宋体" w:hAnsi="宋体"/>
          <w:color w:val="000000"/>
          <w:sz w:val="24"/>
        </w:rPr>
      </w:pPr>
      <w:r>
        <w:rPr>
          <w:rFonts w:hint="eastAsia" w:ascii="宋体" w:hAnsi="宋体"/>
          <w:color w:val="000000"/>
          <w:sz w:val="24"/>
        </w:rPr>
        <w:t>六、争议的解决</w:t>
      </w:r>
    </w:p>
    <w:p>
      <w:pPr>
        <w:spacing w:line="360" w:lineRule="auto"/>
        <w:ind w:firstLine="480" w:firstLineChars="200"/>
        <w:rPr>
          <w:rFonts w:ascii="宋体" w:hAnsi="宋体"/>
          <w:color w:val="000000"/>
          <w:sz w:val="24"/>
        </w:rPr>
      </w:pPr>
      <w:r>
        <w:rPr>
          <w:rFonts w:hint="eastAsia" w:ascii="宋体" w:hAnsi="宋体"/>
          <w:color w:val="000000"/>
          <w:sz w:val="24"/>
        </w:rPr>
        <w:t>因本保函发生的纠纷，由你我双方协商解决，协商不成的，通过诉讼程序解决，诉讼管辖地法院为</w:t>
      </w:r>
      <w:r>
        <w:rPr>
          <w:rFonts w:hint="eastAsia" w:ascii="宋体" w:hAnsi="宋体"/>
          <w:color w:val="000000"/>
          <w:sz w:val="24"/>
          <w:u w:val="single"/>
        </w:rPr>
        <w:t xml:space="preserve">          </w:t>
      </w:r>
      <w:r>
        <w:rPr>
          <w:rFonts w:hint="eastAsia" w:ascii="宋体" w:hAnsi="宋体"/>
          <w:color w:val="000000"/>
          <w:sz w:val="24"/>
        </w:rPr>
        <w:t>法院。</w:t>
      </w:r>
    </w:p>
    <w:p>
      <w:pPr>
        <w:spacing w:line="360" w:lineRule="auto"/>
        <w:ind w:firstLine="480" w:firstLineChars="200"/>
        <w:rPr>
          <w:rFonts w:ascii="宋体" w:hAnsi="宋体"/>
          <w:color w:val="000000"/>
          <w:sz w:val="24"/>
        </w:rPr>
      </w:pPr>
      <w:r>
        <w:rPr>
          <w:rFonts w:hint="eastAsia" w:ascii="宋体" w:hAnsi="宋体"/>
          <w:color w:val="000000"/>
          <w:sz w:val="24"/>
        </w:rPr>
        <w:t>七、保函的生效</w:t>
      </w:r>
    </w:p>
    <w:p>
      <w:pPr>
        <w:spacing w:line="360" w:lineRule="auto"/>
        <w:ind w:firstLine="480" w:firstLineChars="200"/>
        <w:rPr>
          <w:rFonts w:ascii="宋体" w:hAnsi="宋体"/>
          <w:color w:val="000000"/>
          <w:sz w:val="24"/>
        </w:rPr>
      </w:pPr>
      <w:r>
        <w:rPr>
          <w:rFonts w:hint="eastAsia" w:ascii="宋体" w:hAnsi="宋体"/>
          <w:color w:val="000000"/>
          <w:sz w:val="24"/>
        </w:rPr>
        <w:t>本保函自我方加盖公章之日起生效。</w:t>
      </w:r>
    </w:p>
    <w:p>
      <w:pPr>
        <w:spacing w:line="360" w:lineRule="auto"/>
        <w:rPr>
          <w:rFonts w:ascii="宋体" w:hAnsi="宋体"/>
          <w:color w:val="000000"/>
          <w:sz w:val="24"/>
        </w:rPr>
      </w:pPr>
    </w:p>
    <w:p>
      <w:pPr>
        <w:spacing w:line="360" w:lineRule="auto"/>
        <w:ind w:firstLine="6360" w:firstLineChars="2650"/>
        <w:rPr>
          <w:rFonts w:ascii="宋体" w:hAnsi="宋体"/>
          <w:color w:val="000000"/>
          <w:sz w:val="24"/>
        </w:rPr>
      </w:pPr>
      <w:r>
        <w:rPr>
          <w:rFonts w:hint="eastAsia" w:ascii="宋体" w:hAnsi="宋体"/>
          <w:color w:val="000000"/>
          <w:sz w:val="24"/>
        </w:rPr>
        <w:t>保证人：（公章）</w:t>
      </w:r>
    </w:p>
    <w:p>
      <w:pPr>
        <w:spacing w:line="360" w:lineRule="auto"/>
        <w:rPr>
          <w:rFonts w:ascii="宋体" w:hAnsi="宋体"/>
          <w:color w:val="000000"/>
          <w:sz w:val="24"/>
        </w:rPr>
      </w:pPr>
      <w:r>
        <w:rPr>
          <w:rFonts w:ascii="宋体" w:hAnsi="宋体"/>
          <w:color w:val="000000"/>
          <w:sz w:val="24"/>
        </w:rPr>
        <w:t xml:space="preserve">                               </w:t>
      </w:r>
    </w:p>
    <w:p>
      <w:pPr>
        <w:spacing w:line="360" w:lineRule="auto"/>
        <w:ind w:firstLine="6240" w:firstLineChars="2600"/>
        <w:rPr>
          <w:rFonts w:ascii="宋体" w:hAnsi="宋体"/>
          <w:color w:val="000000"/>
          <w:sz w:val="24"/>
        </w:rPr>
      </w:pPr>
      <w:r>
        <w:rPr>
          <w:rFonts w:hint="eastAsia" w:ascii="宋体" w:hAnsi="宋体"/>
          <w:color w:val="000000"/>
          <w:sz w:val="24"/>
        </w:rPr>
        <w:t>年     月      日</w:t>
      </w:r>
    </w:p>
    <w:p>
      <w:pPr>
        <w:spacing w:line="360" w:lineRule="auto"/>
        <w:rPr>
          <w:rFonts w:ascii="宋体" w:hAnsi="宋体"/>
          <w:color w:val="000000"/>
          <w:sz w:val="24"/>
        </w:rPr>
      </w:pPr>
    </w:p>
    <w:p>
      <w:pPr>
        <w:spacing w:line="360" w:lineRule="auto"/>
        <w:rPr>
          <w:rFonts w:ascii="宋体" w:hAnsi="宋体"/>
          <w:color w:val="000000"/>
          <w:sz w:val="24"/>
        </w:rPr>
      </w:pPr>
    </w:p>
    <w:p>
      <w:pPr>
        <w:spacing w:line="360" w:lineRule="auto"/>
        <w:rPr>
          <w:rFonts w:ascii="宋体" w:hAnsi="宋体"/>
          <w:color w:val="000000"/>
          <w:sz w:val="24"/>
        </w:rPr>
      </w:pPr>
    </w:p>
    <w:p>
      <w:pPr>
        <w:spacing w:line="360" w:lineRule="auto"/>
        <w:rPr>
          <w:rFonts w:ascii="宋体" w:hAnsi="宋体"/>
          <w:color w:val="000000"/>
          <w:sz w:val="24"/>
        </w:rPr>
      </w:pPr>
    </w:p>
    <w:p>
      <w:pPr>
        <w:spacing w:line="360" w:lineRule="auto"/>
        <w:rPr>
          <w:rFonts w:ascii="宋体" w:hAnsi="宋体"/>
          <w:color w:val="000000"/>
          <w:sz w:val="24"/>
        </w:rPr>
      </w:pPr>
    </w:p>
    <w:p>
      <w:pPr>
        <w:spacing w:line="360" w:lineRule="auto"/>
        <w:rPr>
          <w:rFonts w:ascii="宋体" w:hAnsi="宋体"/>
          <w:color w:val="000000"/>
          <w:sz w:val="24"/>
        </w:rPr>
      </w:pPr>
      <w:r>
        <w:rPr>
          <w:rFonts w:hint="eastAsia" w:ascii="宋体" w:hAnsi="宋体"/>
          <w:color w:val="000000"/>
          <w:sz w:val="24"/>
        </w:rPr>
        <w:t>附2：</w:t>
      </w:r>
    </w:p>
    <w:p>
      <w:pPr>
        <w:spacing w:line="360" w:lineRule="auto"/>
        <w:jc w:val="center"/>
        <w:rPr>
          <w:rFonts w:ascii="宋体" w:hAnsi="宋体"/>
          <w:b/>
          <w:color w:val="000000"/>
          <w:sz w:val="24"/>
        </w:rPr>
      </w:pPr>
      <w:r>
        <w:rPr>
          <w:rFonts w:hint="eastAsia" w:ascii="宋体" w:hAnsi="宋体"/>
          <w:b/>
          <w:color w:val="000000"/>
          <w:sz w:val="24"/>
        </w:rPr>
        <w:t>政府采购履约担保函（项目用）</w:t>
      </w:r>
    </w:p>
    <w:p>
      <w:pPr>
        <w:spacing w:line="360" w:lineRule="auto"/>
        <w:rPr>
          <w:rFonts w:ascii="宋体" w:hAnsi="宋体"/>
          <w:color w:val="000000"/>
          <w:sz w:val="24"/>
        </w:rPr>
      </w:pPr>
      <w:r>
        <w:rPr>
          <w:rFonts w:hint="eastAsia" w:ascii="宋体" w:hAnsi="宋体"/>
          <w:color w:val="000000"/>
          <w:sz w:val="24"/>
        </w:rPr>
        <w:t xml:space="preserve">                                                            编号：</w:t>
      </w:r>
    </w:p>
    <w:p>
      <w:pPr>
        <w:spacing w:line="360" w:lineRule="auto"/>
        <w:rPr>
          <w:rFonts w:ascii="宋体" w:hAnsi="宋体"/>
          <w:color w:val="000000"/>
          <w:sz w:val="24"/>
        </w:rPr>
      </w:pPr>
      <w:r>
        <w:rPr>
          <w:rFonts w:hint="eastAsia" w:ascii="宋体" w:hAnsi="宋体"/>
          <w:color w:val="000000"/>
          <w:sz w:val="24"/>
          <w:u w:val="single"/>
        </w:rPr>
        <w:t xml:space="preserve">                  </w:t>
      </w:r>
      <w:r>
        <w:rPr>
          <w:rFonts w:hint="eastAsia" w:ascii="宋体" w:hAnsi="宋体"/>
          <w:color w:val="000000"/>
          <w:sz w:val="24"/>
        </w:rPr>
        <w:t>（采购人）：</w:t>
      </w:r>
    </w:p>
    <w:p>
      <w:pPr>
        <w:spacing w:line="360" w:lineRule="auto"/>
        <w:ind w:firstLine="480" w:firstLineChars="200"/>
        <w:rPr>
          <w:rFonts w:ascii="宋体" w:hAnsi="宋体"/>
          <w:color w:val="000000"/>
          <w:sz w:val="24"/>
        </w:rPr>
      </w:pPr>
      <w:r>
        <w:rPr>
          <w:rFonts w:hint="eastAsia" w:ascii="宋体" w:hAnsi="宋体"/>
          <w:color w:val="000000"/>
          <w:sz w:val="24"/>
        </w:rPr>
        <w:t>鉴于你方与</w:t>
      </w:r>
      <w:r>
        <w:rPr>
          <w:rFonts w:hint="eastAsia" w:ascii="宋体" w:hAnsi="宋体"/>
          <w:color w:val="000000"/>
          <w:sz w:val="24"/>
          <w:u w:val="single"/>
        </w:rPr>
        <w:t xml:space="preserve">                    </w:t>
      </w:r>
      <w:r>
        <w:rPr>
          <w:rFonts w:hint="eastAsia" w:ascii="宋体" w:hAnsi="宋体"/>
          <w:color w:val="000000"/>
          <w:sz w:val="24"/>
        </w:rPr>
        <w:t>（以下简称供应商）于</w:t>
      </w: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xml:space="preserve">  </w:t>
      </w:r>
      <w:r>
        <w:rPr>
          <w:rFonts w:hint="eastAsia" w:ascii="宋体" w:hAnsi="宋体"/>
          <w:color w:val="000000"/>
          <w:sz w:val="24"/>
        </w:rPr>
        <w:t>月</w:t>
      </w:r>
      <w:r>
        <w:rPr>
          <w:rFonts w:hint="eastAsia" w:ascii="宋体" w:hAnsi="宋体"/>
          <w:color w:val="000000"/>
          <w:sz w:val="24"/>
          <w:u w:val="single"/>
        </w:rPr>
        <w:t xml:space="preserve">  </w:t>
      </w:r>
      <w:r>
        <w:rPr>
          <w:rFonts w:hint="eastAsia" w:ascii="宋体" w:hAnsi="宋体"/>
          <w:color w:val="000000"/>
          <w:sz w:val="24"/>
        </w:rPr>
        <w:t>日签定编号为   的《</w:t>
      </w:r>
      <w:r>
        <w:rPr>
          <w:rFonts w:hint="eastAsia" w:ascii="宋体" w:hAnsi="宋体"/>
          <w:color w:val="000000"/>
          <w:sz w:val="24"/>
          <w:u w:val="single"/>
        </w:rPr>
        <w:t xml:space="preserve">           </w:t>
      </w:r>
      <w:r>
        <w:rPr>
          <w:rFonts w:hint="eastAsia" w:ascii="宋体" w:hAnsi="宋体"/>
          <w:color w:val="000000"/>
          <w:sz w:val="24"/>
        </w:rPr>
        <w:t>政府采购合同》（以下简称主合同），且依据该合同的约定，供应商应在</w:t>
      </w:r>
      <w:r>
        <w:rPr>
          <w:rFonts w:hint="eastAsia" w:ascii="宋体" w:hAnsi="宋体"/>
          <w:color w:val="000000"/>
          <w:sz w:val="24"/>
          <w:u w:val="single"/>
        </w:rPr>
        <w:t xml:space="preserve">    </w:t>
      </w:r>
      <w:r>
        <w:rPr>
          <w:rFonts w:hint="eastAsia" w:ascii="宋体" w:hAnsi="宋体"/>
          <w:color w:val="000000"/>
          <w:sz w:val="24"/>
        </w:rPr>
        <w:t>年</w:t>
      </w:r>
    </w:p>
    <w:p>
      <w:pPr>
        <w:spacing w:line="360" w:lineRule="auto"/>
        <w:rPr>
          <w:rFonts w:ascii="宋体" w:hAnsi="宋体"/>
          <w:color w:val="000000"/>
          <w:sz w:val="24"/>
        </w:rPr>
      </w:pPr>
      <w:r>
        <w:rPr>
          <w:rFonts w:hint="eastAsia" w:ascii="宋体" w:hAnsi="宋体"/>
          <w:color w:val="000000"/>
          <w:sz w:val="24"/>
          <w:u w:val="single"/>
        </w:rPr>
        <w:t xml:space="preserve">    </w:t>
      </w:r>
      <w:r>
        <w:rPr>
          <w:rFonts w:hint="eastAsia" w:ascii="宋体" w:hAnsi="宋体"/>
          <w:color w:val="000000"/>
          <w:sz w:val="24"/>
        </w:rPr>
        <w:t>月</w:t>
      </w:r>
      <w:r>
        <w:rPr>
          <w:rFonts w:hint="eastAsia" w:ascii="宋体" w:hAnsi="宋体"/>
          <w:color w:val="000000"/>
          <w:sz w:val="24"/>
          <w:u w:val="single"/>
        </w:rPr>
        <w:t xml:space="preserve">   </w:t>
      </w:r>
      <w:r>
        <w:rPr>
          <w:rFonts w:hint="eastAsia" w:ascii="宋体" w:hAnsi="宋体"/>
          <w:color w:val="000000"/>
          <w:sz w:val="24"/>
        </w:rPr>
        <w:t>日前向你方缴纳履约保证金，且可以履约担保函的形式缴纳履约保证金。应供应商的申请，我方以保证的方式向你方提供如下履约保证金担保：</w:t>
      </w:r>
    </w:p>
    <w:p>
      <w:pPr>
        <w:spacing w:line="360" w:lineRule="auto"/>
        <w:ind w:firstLine="480" w:firstLineChars="200"/>
        <w:rPr>
          <w:rFonts w:ascii="宋体" w:hAnsi="宋体"/>
          <w:color w:val="000000"/>
          <w:sz w:val="24"/>
        </w:rPr>
      </w:pPr>
      <w:r>
        <w:rPr>
          <w:rFonts w:hint="eastAsia" w:ascii="宋体" w:hAnsi="宋体"/>
          <w:color w:val="000000"/>
          <w:sz w:val="24"/>
        </w:rPr>
        <w:t>一、保证责任的情形及保证金额</w:t>
      </w:r>
    </w:p>
    <w:p>
      <w:pPr>
        <w:spacing w:line="360" w:lineRule="auto"/>
        <w:ind w:firstLine="480" w:firstLineChars="200"/>
        <w:rPr>
          <w:rFonts w:ascii="宋体" w:hAnsi="宋体"/>
          <w:color w:val="000000"/>
          <w:sz w:val="24"/>
        </w:rPr>
      </w:pPr>
      <w:r>
        <w:rPr>
          <w:rFonts w:hint="eastAsia" w:ascii="宋体" w:hAnsi="宋体"/>
          <w:color w:val="000000"/>
          <w:sz w:val="24"/>
        </w:rPr>
        <w:t>（一）在供应商出现下列情形之一时，我方承担保证责任：</w:t>
      </w:r>
    </w:p>
    <w:p>
      <w:pPr>
        <w:spacing w:line="360" w:lineRule="auto"/>
        <w:ind w:firstLine="480" w:firstLineChars="200"/>
        <w:rPr>
          <w:rFonts w:ascii="宋体" w:hAnsi="宋体"/>
          <w:color w:val="000000"/>
          <w:sz w:val="24"/>
        </w:rPr>
      </w:pPr>
      <w:r>
        <w:rPr>
          <w:rFonts w:hint="eastAsia" w:ascii="宋体" w:hAnsi="宋体"/>
          <w:color w:val="000000"/>
          <w:sz w:val="24"/>
        </w:rPr>
        <w:t>1．将中标项目转让给他人，或者在投标文件中未说明，且未经采购招标机构人同意，将中标项目分包给他人的；</w:t>
      </w:r>
    </w:p>
    <w:p>
      <w:pPr>
        <w:spacing w:line="360" w:lineRule="auto"/>
        <w:rPr>
          <w:rFonts w:ascii="宋体" w:hAnsi="宋体"/>
          <w:color w:val="000000"/>
          <w:sz w:val="24"/>
        </w:rPr>
      </w:pPr>
      <w:r>
        <w:rPr>
          <w:rFonts w:hint="eastAsia" w:ascii="宋体" w:hAnsi="宋体"/>
          <w:color w:val="000000"/>
          <w:sz w:val="24"/>
        </w:rPr>
        <w:t xml:space="preserve">　　2．主合同约定的应当缴纳履约保证金的情形: </w:t>
      </w:r>
    </w:p>
    <w:p>
      <w:pPr>
        <w:spacing w:line="360" w:lineRule="auto"/>
        <w:ind w:firstLine="480" w:firstLineChars="200"/>
        <w:rPr>
          <w:rFonts w:ascii="宋体" w:hAnsi="宋体"/>
          <w:color w:val="000000"/>
          <w:sz w:val="24"/>
        </w:rPr>
      </w:pPr>
      <w:r>
        <w:rPr>
          <w:rFonts w:hint="eastAsia" w:ascii="宋体" w:hAnsi="宋体"/>
          <w:color w:val="000000"/>
          <w:sz w:val="24"/>
        </w:rPr>
        <w:t>（1）未按主合同约定的质量、数量和期限供应货物/提供服务/完成工程的；</w:t>
      </w:r>
    </w:p>
    <w:p>
      <w:pPr>
        <w:spacing w:line="360" w:lineRule="auto"/>
        <w:ind w:firstLine="480" w:firstLineChars="200"/>
        <w:rPr>
          <w:rFonts w:ascii="宋体" w:hAnsi="宋体"/>
          <w:color w:val="000000"/>
          <w:sz w:val="24"/>
        </w:rPr>
      </w:pPr>
      <w:r>
        <w:rPr>
          <w:rFonts w:hint="eastAsia" w:ascii="宋体" w:hAnsi="宋体"/>
          <w:color w:val="000000"/>
          <w:sz w:val="24"/>
        </w:rPr>
        <w:t>（2）</w:t>
      </w:r>
      <w:r>
        <w:rPr>
          <w:rFonts w:hint="eastAsia" w:ascii="宋体" w:hAnsi="宋体"/>
          <w:color w:val="000000"/>
          <w:sz w:val="24"/>
          <w:u w:val="single"/>
        </w:rPr>
        <w:t xml:space="preserve">                                                           </w:t>
      </w:r>
      <w:r>
        <w:rPr>
          <w:rFonts w:hint="eastAsia" w:ascii="宋体" w:hAnsi="宋体"/>
          <w:color w:val="000000"/>
          <w:sz w:val="24"/>
        </w:rPr>
        <w:t>。</w:t>
      </w:r>
    </w:p>
    <w:p>
      <w:pPr>
        <w:spacing w:line="360" w:lineRule="auto"/>
        <w:ind w:firstLine="480" w:firstLineChars="200"/>
        <w:rPr>
          <w:rFonts w:ascii="宋体" w:hAnsi="宋体"/>
          <w:color w:val="000000"/>
          <w:sz w:val="24"/>
        </w:rPr>
      </w:pPr>
      <w:r>
        <w:rPr>
          <w:rFonts w:hint="eastAsia" w:ascii="宋体" w:hAnsi="宋体"/>
          <w:color w:val="000000"/>
          <w:sz w:val="24"/>
        </w:rPr>
        <w:t>（二）我方的保证范围是主合同约定的合同价款总额的</w:t>
      </w:r>
      <w:r>
        <w:rPr>
          <w:rFonts w:hint="eastAsia" w:ascii="宋体" w:hAnsi="宋体"/>
          <w:color w:val="000000"/>
          <w:sz w:val="24"/>
          <w:u w:val="single"/>
        </w:rPr>
        <w:t xml:space="preserve">        </w:t>
      </w:r>
      <w:r>
        <w:rPr>
          <w:rFonts w:hint="eastAsia" w:ascii="宋体" w:hAnsi="宋体"/>
          <w:color w:val="000000"/>
          <w:sz w:val="24"/>
        </w:rPr>
        <w:t>%数额为</w:t>
      </w:r>
      <w:r>
        <w:rPr>
          <w:rFonts w:hint="eastAsia" w:ascii="宋体" w:hAnsi="宋体"/>
          <w:color w:val="000000"/>
          <w:sz w:val="24"/>
          <w:u w:val="single"/>
        </w:rPr>
        <w:t xml:space="preserve">         </w:t>
      </w:r>
      <w:r>
        <w:rPr>
          <w:rFonts w:hint="eastAsia" w:ascii="宋体" w:hAnsi="宋体"/>
          <w:color w:val="000000"/>
          <w:sz w:val="24"/>
        </w:rPr>
        <w:t>元（大写</w:t>
      </w:r>
      <w:r>
        <w:rPr>
          <w:rFonts w:hint="eastAsia" w:ascii="宋体" w:hAnsi="宋体"/>
          <w:color w:val="000000"/>
          <w:sz w:val="24"/>
          <w:u w:val="single"/>
        </w:rPr>
        <w:t xml:space="preserve">           </w:t>
      </w:r>
      <w:r>
        <w:rPr>
          <w:rFonts w:hint="eastAsia" w:ascii="宋体" w:hAnsi="宋体"/>
          <w:color w:val="000000"/>
          <w:sz w:val="24"/>
        </w:rPr>
        <w:t>），币种为</w:t>
      </w:r>
      <w:r>
        <w:rPr>
          <w:rFonts w:hint="eastAsia" w:ascii="宋体" w:hAnsi="宋体"/>
          <w:color w:val="000000"/>
          <w:sz w:val="24"/>
          <w:u w:val="single"/>
        </w:rPr>
        <w:t xml:space="preserve">        </w:t>
      </w:r>
      <w:r>
        <w:rPr>
          <w:rFonts w:hint="eastAsia" w:ascii="宋体" w:hAnsi="宋体"/>
          <w:color w:val="000000"/>
          <w:sz w:val="24"/>
        </w:rPr>
        <w:t>。（即主合同履约保证金金额）</w:t>
      </w:r>
    </w:p>
    <w:p>
      <w:pPr>
        <w:spacing w:line="360" w:lineRule="auto"/>
        <w:ind w:firstLine="480" w:firstLineChars="200"/>
        <w:rPr>
          <w:rFonts w:ascii="宋体" w:hAnsi="宋体"/>
          <w:color w:val="000000"/>
          <w:sz w:val="24"/>
        </w:rPr>
      </w:pPr>
      <w:r>
        <w:rPr>
          <w:rFonts w:hint="eastAsia" w:ascii="宋体" w:hAnsi="宋体"/>
          <w:color w:val="000000"/>
          <w:sz w:val="24"/>
        </w:rPr>
        <w:t>二、保证的方式及保证期间</w:t>
      </w:r>
    </w:p>
    <w:p>
      <w:pPr>
        <w:spacing w:line="360" w:lineRule="auto"/>
        <w:ind w:firstLine="480" w:firstLineChars="200"/>
        <w:rPr>
          <w:rFonts w:ascii="宋体" w:hAnsi="宋体"/>
          <w:color w:val="000000"/>
          <w:sz w:val="24"/>
        </w:rPr>
      </w:pPr>
      <w:r>
        <w:rPr>
          <w:rFonts w:hint="eastAsia" w:ascii="宋体" w:hAnsi="宋体"/>
          <w:color w:val="000000"/>
          <w:sz w:val="24"/>
        </w:rPr>
        <w:t>我方保证的方式为：连带责任保证。</w:t>
      </w:r>
    </w:p>
    <w:p>
      <w:pPr>
        <w:spacing w:line="360" w:lineRule="auto"/>
        <w:ind w:firstLine="480" w:firstLineChars="200"/>
        <w:rPr>
          <w:rFonts w:ascii="宋体" w:hAnsi="宋体"/>
          <w:color w:val="000000"/>
          <w:sz w:val="24"/>
        </w:rPr>
      </w:pPr>
      <w:r>
        <w:rPr>
          <w:rFonts w:hint="eastAsia" w:ascii="宋体" w:hAnsi="宋体"/>
          <w:color w:val="000000"/>
          <w:sz w:val="24"/>
        </w:rPr>
        <w:t>我方保证的期间为：自本合同生效之日起至供应商按照主合同约定的供货/完工期限届满后</w:t>
      </w:r>
      <w:r>
        <w:rPr>
          <w:rFonts w:hint="eastAsia" w:ascii="宋体" w:hAnsi="宋体"/>
          <w:color w:val="000000"/>
          <w:sz w:val="24"/>
          <w:u w:val="single"/>
        </w:rPr>
        <w:t xml:space="preserve">     </w:t>
      </w:r>
      <w:r>
        <w:rPr>
          <w:rFonts w:hint="eastAsia" w:ascii="宋体" w:hAnsi="宋体"/>
          <w:color w:val="000000"/>
          <w:sz w:val="24"/>
        </w:rPr>
        <w:t>日内。</w:t>
      </w:r>
    </w:p>
    <w:p>
      <w:pPr>
        <w:spacing w:line="360" w:lineRule="auto"/>
        <w:ind w:firstLine="480" w:firstLineChars="200"/>
        <w:rPr>
          <w:rFonts w:ascii="宋体" w:hAnsi="宋体"/>
          <w:color w:val="000000"/>
          <w:sz w:val="24"/>
        </w:rPr>
      </w:pPr>
      <w:r>
        <w:rPr>
          <w:rFonts w:hint="eastAsia" w:ascii="宋体" w:hAnsi="宋体"/>
          <w:color w:val="000000"/>
          <w:sz w:val="24"/>
        </w:rPr>
        <w:t>如果供应商未按主合同约定向贵方供应货物/提供服务/完成工程的，由我方在保证金额内向你方支付上述款项。</w:t>
      </w:r>
    </w:p>
    <w:p>
      <w:pPr>
        <w:spacing w:line="360" w:lineRule="auto"/>
        <w:ind w:firstLine="480" w:firstLineChars="200"/>
        <w:rPr>
          <w:rFonts w:ascii="宋体" w:hAnsi="宋体"/>
          <w:color w:val="000000"/>
          <w:sz w:val="24"/>
        </w:rPr>
      </w:pPr>
      <w:r>
        <w:rPr>
          <w:rFonts w:hint="eastAsia" w:ascii="宋体" w:hAnsi="宋体"/>
          <w:color w:val="000000"/>
          <w:sz w:val="24"/>
        </w:rPr>
        <w:t>三、承担保证责任的程序</w:t>
      </w:r>
    </w:p>
    <w:p>
      <w:pPr>
        <w:spacing w:line="360" w:lineRule="auto"/>
        <w:ind w:firstLine="480" w:firstLineChars="200"/>
        <w:rPr>
          <w:rFonts w:ascii="宋体" w:hAnsi="宋体"/>
          <w:color w:val="000000"/>
          <w:sz w:val="24"/>
        </w:rPr>
      </w:pPr>
      <w:r>
        <w:rPr>
          <w:rFonts w:hint="eastAsia" w:ascii="宋体" w:hAnsi="宋体"/>
          <w:color w:val="000000"/>
          <w:sz w:val="24"/>
        </w:rPr>
        <w:t>1．你方要求我方承担保证责任的，应在本保函保证期间内向我方发出书面索赔通知。索赔通知应写明要求索赔的金额，支付款项应到达的账号。并附有证明供应商违约事实的证明材料。</w:t>
      </w:r>
    </w:p>
    <w:p>
      <w:pPr>
        <w:spacing w:line="360" w:lineRule="auto"/>
        <w:ind w:firstLine="480" w:firstLineChars="200"/>
        <w:rPr>
          <w:rFonts w:ascii="宋体" w:hAnsi="宋体"/>
          <w:color w:val="000000"/>
          <w:sz w:val="24"/>
        </w:rPr>
      </w:pPr>
      <w:r>
        <w:rPr>
          <w:rFonts w:hint="eastAsia" w:ascii="宋体" w:hAnsi="宋体"/>
          <w:color w:val="000000"/>
          <w:sz w:val="24"/>
        </w:rPr>
        <w:t>如果你方与供应商因货物质量问题产生争议，你方还需同时提供</w:t>
      </w:r>
      <w:r>
        <w:rPr>
          <w:rFonts w:hint="eastAsia" w:ascii="宋体" w:hAnsi="宋体"/>
          <w:color w:val="000000"/>
          <w:sz w:val="24"/>
          <w:u w:val="single"/>
        </w:rPr>
        <w:t xml:space="preserve">        </w:t>
      </w:r>
      <w:r>
        <w:rPr>
          <w:rFonts w:hint="eastAsia" w:ascii="宋体" w:hAnsi="宋体"/>
          <w:color w:val="000000"/>
          <w:sz w:val="24"/>
        </w:rPr>
        <w:t>部门出具的质量检测报告，或经诉讼（仲裁）程序裁决后的裁决书、调解书，本保证人即按照检测结果或裁决书、调解书决定是否承担保证责任。</w:t>
      </w:r>
    </w:p>
    <w:p>
      <w:pPr>
        <w:spacing w:line="360" w:lineRule="auto"/>
        <w:ind w:firstLine="480" w:firstLineChars="200"/>
        <w:rPr>
          <w:rFonts w:ascii="宋体" w:hAnsi="宋体"/>
          <w:color w:val="000000"/>
          <w:sz w:val="24"/>
        </w:rPr>
      </w:pPr>
      <w:r>
        <w:rPr>
          <w:rFonts w:hint="eastAsia" w:ascii="宋体" w:hAnsi="宋体"/>
          <w:color w:val="000000"/>
          <w:sz w:val="24"/>
        </w:rPr>
        <w:t>2． 我方收到你方的书面索赔通知及相应证明材料，在</w:t>
      </w:r>
      <w:r>
        <w:rPr>
          <w:rFonts w:hint="eastAsia" w:ascii="宋体" w:hAnsi="宋体"/>
          <w:color w:val="000000"/>
          <w:sz w:val="24"/>
          <w:u w:val="single"/>
        </w:rPr>
        <w:t xml:space="preserve">     </w:t>
      </w:r>
      <w:r>
        <w:rPr>
          <w:rFonts w:hint="eastAsia" w:ascii="宋体" w:hAnsi="宋体"/>
          <w:color w:val="000000"/>
          <w:sz w:val="24"/>
        </w:rPr>
        <w:t>工作日内进行核定后按照本保函的承诺承担保证责任。</w:t>
      </w:r>
    </w:p>
    <w:p>
      <w:pPr>
        <w:spacing w:line="360" w:lineRule="auto"/>
        <w:ind w:firstLine="480" w:firstLineChars="200"/>
        <w:rPr>
          <w:rFonts w:ascii="宋体" w:hAnsi="宋体"/>
          <w:color w:val="000000"/>
          <w:sz w:val="24"/>
        </w:rPr>
      </w:pPr>
      <w:r>
        <w:rPr>
          <w:rFonts w:hint="eastAsia" w:ascii="宋体" w:hAnsi="宋体"/>
          <w:color w:val="000000"/>
          <w:sz w:val="24"/>
        </w:rPr>
        <w:t>四、保证责任的终止</w:t>
      </w:r>
    </w:p>
    <w:p>
      <w:pPr>
        <w:spacing w:line="360" w:lineRule="auto"/>
        <w:ind w:firstLine="480" w:firstLineChars="200"/>
        <w:rPr>
          <w:rFonts w:ascii="宋体" w:hAnsi="宋体"/>
          <w:color w:val="000000"/>
          <w:sz w:val="24"/>
        </w:rPr>
      </w:pPr>
      <w:r>
        <w:rPr>
          <w:rFonts w:hint="eastAsia" w:ascii="宋体" w:hAnsi="宋体"/>
          <w:color w:val="000000"/>
          <w:sz w:val="24"/>
        </w:rPr>
        <w:t>1．保证期间届满你方未向我方书面主张保证责任的，自保证期间届满次日起，我方保证责任自动终止。保证期间届满前，主合同约定的货物\工程\服务全部验收合格的，自验收合格日起，我方保证责任自动终止。</w:t>
      </w:r>
    </w:p>
    <w:p>
      <w:pPr>
        <w:spacing w:line="360" w:lineRule="auto"/>
        <w:ind w:firstLine="480" w:firstLineChars="200"/>
        <w:rPr>
          <w:rFonts w:ascii="宋体" w:hAnsi="宋体"/>
          <w:color w:val="000000"/>
          <w:sz w:val="24"/>
        </w:rPr>
      </w:pPr>
      <w:r>
        <w:rPr>
          <w:rFonts w:hint="eastAsia" w:ascii="宋体" w:hAnsi="宋体"/>
          <w:color w:val="000000"/>
          <w:sz w:val="24"/>
        </w:rPr>
        <w:t>2．我方按照本保函向你方履行了保证责任后，自我方向你方支付款项（支付款项从我方账户划出）之日起，保证责任即终止。</w:t>
      </w:r>
    </w:p>
    <w:p>
      <w:pPr>
        <w:spacing w:line="360" w:lineRule="auto"/>
        <w:ind w:firstLine="480" w:firstLineChars="200"/>
        <w:rPr>
          <w:rFonts w:ascii="宋体" w:hAnsi="宋体"/>
          <w:color w:val="000000"/>
          <w:sz w:val="24"/>
        </w:rPr>
      </w:pPr>
      <w:r>
        <w:rPr>
          <w:rFonts w:hint="eastAsia" w:ascii="宋体" w:hAnsi="宋体"/>
          <w:color w:val="000000"/>
          <w:sz w:val="24"/>
        </w:rPr>
        <w:t>3．按照法律法规的规定或出现应终止我方保证责任的其它情形的，我方在本保函项下的保证责任亦终止。</w:t>
      </w:r>
    </w:p>
    <w:p>
      <w:pPr>
        <w:spacing w:line="360" w:lineRule="auto"/>
        <w:ind w:firstLine="480" w:firstLineChars="200"/>
        <w:rPr>
          <w:rFonts w:ascii="宋体" w:hAnsi="宋体"/>
          <w:color w:val="000000"/>
          <w:sz w:val="24"/>
        </w:rPr>
      </w:pPr>
      <w:r>
        <w:rPr>
          <w:rFonts w:hint="eastAsia" w:ascii="宋体" w:hAnsi="宋体"/>
          <w:color w:val="000000"/>
          <w:sz w:val="24"/>
        </w:rPr>
        <w:t>4．你方与供应商修改主合同，加重我方保证责任的，我方对加重部分不承担保证责任，但该等修改事先经我方书面同意的除外；你方与供应商修改主合同履行期限，我方保证期间仍依修改前的履行期限计算，但该等修改事先经我方书面同意的除外。</w:t>
      </w:r>
    </w:p>
    <w:p>
      <w:pPr>
        <w:spacing w:line="360" w:lineRule="auto"/>
        <w:ind w:firstLine="480" w:firstLineChars="200"/>
        <w:rPr>
          <w:rFonts w:ascii="宋体" w:hAnsi="宋体"/>
          <w:color w:val="000000"/>
          <w:sz w:val="24"/>
        </w:rPr>
      </w:pPr>
      <w:r>
        <w:rPr>
          <w:rFonts w:hint="eastAsia" w:ascii="宋体" w:hAnsi="宋体"/>
          <w:color w:val="000000"/>
          <w:sz w:val="24"/>
        </w:rPr>
        <w:t>五、免责条款</w:t>
      </w:r>
    </w:p>
    <w:p>
      <w:pPr>
        <w:spacing w:line="360" w:lineRule="auto"/>
        <w:ind w:firstLine="480" w:firstLineChars="200"/>
        <w:rPr>
          <w:rFonts w:ascii="宋体" w:hAnsi="宋体"/>
          <w:color w:val="000000"/>
          <w:sz w:val="24"/>
        </w:rPr>
      </w:pPr>
      <w:r>
        <w:rPr>
          <w:rFonts w:hint="eastAsia" w:ascii="宋体" w:hAnsi="宋体"/>
          <w:color w:val="000000"/>
          <w:sz w:val="24"/>
        </w:rPr>
        <w:t>1．因你方违反主合同约定致使供应商不能履行义务的，我方不承担保证责任。</w:t>
      </w:r>
    </w:p>
    <w:p>
      <w:pPr>
        <w:spacing w:line="360" w:lineRule="auto"/>
        <w:ind w:firstLine="480" w:firstLineChars="200"/>
        <w:rPr>
          <w:rFonts w:ascii="宋体" w:hAnsi="宋体"/>
          <w:color w:val="000000"/>
          <w:sz w:val="24"/>
        </w:rPr>
      </w:pPr>
      <w:r>
        <w:rPr>
          <w:rFonts w:hint="eastAsia" w:ascii="宋体" w:hAnsi="宋体"/>
          <w:color w:val="000000"/>
          <w:sz w:val="24"/>
        </w:rPr>
        <w:t>2．依照法律法规的规定或你方与供应商的另行约定，全部或者部分免除供应商应缴纳的保证金义务的，我方亦免除相应的保证责任。</w:t>
      </w:r>
    </w:p>
    <w:p>
      <w:pPr>
        <w:spacing w:line="360" w:lineRule="auto"/>
        <w:ind w:firstLine="480" w:firstLineChars="200"/>
        <w:rPr>
          <w:rFonts w:ascii="宋体" w:hAnsi="宋体"/>
          <w:color w:val="000000"/>
          <w:sz w:val="24"/>
        </w:rPr>
      </w:pPr>
      <w:r>
        <w:rPr>
          <w:rFonts w:hint="eastAsia" w:ascii="宋体" w:hAnsi="宋体"/>
          <w:color w:val="000000"/>
          <w:sz w:val="24"/>
        </w:rPr>
        <w:t>3．因不可抗力造成供应商不能履行供货义务的，我方不承担保证责任。</w:t>
      </w:r>
    </w:p>
    <w:p>
      <w:pPr>
        <w:spacing w:line="360" w:lineRule="auto"/>
        <w:ind w:firstLine="480" w:firstLineChars="200"/>
        <w:rPr>
          <w:rFonts w:ascii="宋体" w:hAnsi="宋体"/>
          <w:color w:val="000000"/>
          <w:sz w:val="24"/>
        </w:rPr>
      </w:pPr>
      <w:r>
        <w:rPr>
          <w:rFonts w:hint="eastAsia" w:ascii="宋体" w:hAnsi="宋体"/>
          <w:color w:val="000000"/>
          <w:sz w:val="24"/>
        </w:rPr>
        <w:t>六、争议的解决</w:t>
      </w:r>
    </w:p>
    <w:p>
      <w:pPr>
        <w:spacing w:line="360" w:lineRule="auto"/>
        <w:ind w:firstLine="480" w:firstLineChars="200"/>
        <w:rPr>
          <w:rFonts w:ascii="宋体" w:hAnsi="宋体"/>
          <w:color w:val="000000"/>
          <w:sz w:val="24"/>
        </w:rPr>
      </w:pPr>
      <w:r>
        <w:rPr>
          <w:rFonts w:hint="eastAsia" w:ascii="宋体" w:hAnsi="宋体"/>
          <w:color w:val="000000"/>
          <w:sz w:val="24"/>
        </w:rPr>
        <w:t>因本保函发生的纠纷，由你我双方协商解决，协商不成的，通过诉讼程序解决，诉讼管辖地法院为</w:t>
      </w:r>
      <w:r>
        <w:rPr>
          <w:rFonts w:hint="eastAsia" w:ascii="宋体" w:hAnsi="宋体"/>
          <w:color w:val="000000"/>
          <w:sz w:val="24"/>
          <w:u w:val="single"/>
        </w:rPr>
        <w:t xml:space="preserve">        </w:t>
      </w:r>
      <w:r>
        <w:rPr>
          <w:rFonts w:hint="eastAsia" w:ascii="宋体" w:hAnsi="宋体"/>
          <w:color w:val="000000"/>
          <w:sz w:val="24"/>
        </w:rPr>
        <w:t>法院。</w:t>
      </w:r>
    </w:p>
    <w:p>
      <w:pPr>
        <w:spacing w:line="360" w:lineRule="auto"/>
        <w:ind w:firstLine="480" w:firstLineChars="200"/>
        <w:rPr>
          <w:rFonts w:ascii="宋体" w:hAnsi="宋体"/>
          <w:color w:val="000000"/>
          <w:sz w:val="24"/>
        </w:rPr>
      </w:pPr>
      <w:r>
        <w:rPr>
          <w:rFonts w:hint="eastAsia" w:ascii="宋体" w:hAnsi="宋体"/>
          <w:color w:val="000000"/>
          <w:sz w:val="24"/>
        </w:rPr>
        <w:t>七、保函的生效</w:t>
      </w:r>
    </w:p>
    <w:p>
      <w:pPr>
        <w:spacing w:line="360" w:lineRule="auto"/>
        <w:ind w:firstLine="480" w:firstLineChars="200"/>
        <w:rPr>
          <w:rFonts w:ascii="宋体" w:hAnsi="宋体"/>
          <w:color w:val="000000"/>
          <w:sz w:val="24"/>
        </w:rPr>
      </w:pPr>
      <w:r>
        <w:rPr>
          <w:rFonts w:hint="eastAsia" w:ascii="宋体" w:hAnsi="宋体"/>
          <w:color w:val="000000"/>
          <w:sz w:val="24"/>
        </w:rPr>
        <w:t>本保函自我方加盖公章之日起生效。</w:t>
      </w:r>
      <w:r>
        <w:rPr>
          <w:rFonts w:ascii="宋体" w:hAnsi="宋体"/>
          <w:color w:val="000000"/>
          <w:sz w:val="24"/>
        </w:rPr>
        <w:t xml:space="preserve">                               </w:t>
      </w:r>
    </w:p>
    <w:p>
      <w:pPr>
        <w:spacing w:line="360" w:lineRule="auto"/>
        <w:jc w:val="right"/>
        <w:rPr>
          <w:rFonts w:ascii="宋体" w:hAnsi="宋体"/>
          <w:color w:val="000000"/>
          <w:sz w:val="24"/>
        </w:rPr>
      </w:pPr>
      <w:r>
        <w:rPr>
          <w:rFonts w:hint="eastAsia" w:ascii="宋体" w:hAnsi="宋体"/>
          <w:color w:val="000000"/>
          <w:sz w:val="24"/>
        </w:rPr>
        <w:t>保证人：（公章）</w:t>
      </w:r>
    </w:p>
    <w:p>
      <w:pPr>
        <w:spacing w:line="360" w:lineRule="auto"/>
        <w:rPr>
          <w:rFonts w:ascii="宋体" w:hAnsi="宋体"/>
          <w:color w:val="000000"/>
          <w:sz w:val="24"/>
        </w:rPr>
      </w:pPr>
      <w:r>
        <w:rPr>
          <w:rFonts w:ascii="宋体" w:hAnsi="宋体"/>
          <w:color w:val="000000"/>
          <w:sz w:val="24"/>
        </w:rPr>
        <w:t xml:space="preserve">                   </w:t>
      </w:r>
      <w:r>
        <w:rPr>
          <w:rFonts w:hint="eastAsia" w:ascii="宋体" w:hAnsi="宋体"/>
          <w:color w:val="000000"/>
          <w:sz w:val="24"/>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中宋">
    <w:altName w:val="微软雅黑"/>
    <w:panose1 w:val="02010600040101010101"/>
    <w:charset w:val="86"/>
    <w:family w:val="auto"/>
    <w:pitch w:val="default"/>
    <w:sig w:usb0="00000000" w:usb1="00000000" w:usb2="00000010" w:usb3="00000000" w:csb0="000400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华文新魏">
    <w:altName w:val="宋体"/>
    <w:panose1 w:val="02010800040101010101"/>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pict>
        <v:shape id="_x0000_s2051" o:spid="_x0000_s2051"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10"/>
                </w:pPr>
                <w:r>
                  <w:fldChar w:fldCharType="begin"/>
                </w:r>
                <w:r>
                  <w:instrText xml:space="preserve"> PAGE  \* MERGEFORMAT </w:instrText>
                </w:r>
                <w:r>
                  <w:fldChar w:fldCharType="separate"/>
                </w:r>
                <w:r>
                  <w:t>22</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pict>
        <v:shape id="_x0000_s2052" o:spid="_x0000_s2052"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pPr>
                  <w:pStyle w:val="10"/>
                </w:pPr>
                <w:r>
                  <w:fldChar w:fldCharType="begin"/>
                </w:r>
                <w:r>
                  <w:instrText xml:space="preserve"> PAGE  \* MERGEFORMAT </w:instrText>
                </w:r>
                <w:r>
                  <w:fldChar w:fldCharType="separate"/>
                </w:r>
                <w:r>
                  <w:t>1</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sz w:val="24"/>
      </w:rPr>
    </w:pPr>
    <w:r>
      <w:rPr>
        <w:kern w:val="0"/>
        <w:sz w:val="24"/>
      </w:rPr>
      <w:t xml:space="preserve">- </w:t>
    </w:r>
    <w:r>
      <w:rPr>
        <w:kern w:val="0"/>
        <w:sz w:val="24"/>
      </w:rPr>
      <w:fldChar w:fldCharType="begin"/>
    </w:r>
    <w:r>
      <w:rPr>
        <w:kern w:val="0"/>
        <w:sz w:val="24"/>
      </w:rPr>
      <w:instrText xml:space="preserve"> PAGE </w:instrText>
    </w:r>
    <w:r>
      <w:rPr>
        <w:kern w:val="0"/>
        <w:sz w:val="24"/>
      </w:rPr>
      <w:fldChar w:fldCharType="separate"/>
    </w:r>
    <w:r>
      <w:rPr>
        <w:kern w:val="0"/>
        <w:sz w:val="24"/>
      </w:rPr>
      <w:t>2</w:t>
    </w:r>
    <w:r>
      <w:rPr>
        <w:kern w:val="0"/>
        <w:sz w:val="24"/>
      </w:rPr>
      <w:fldChar w:fldCharType="end"/>
    </w:r>
    <w:r>
      <w:rPr>
        <w:kern w:val="0"/>
        <w:sz w:val="24"/>
      </w:rPr>
      <w:t xml:space="preserve"> -</w:t>
    </w:r>
  </w:p>
  <w:p>
    <w:pPr>
      <w:rPr>
        <w:sz w:val="2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rPr>
        <w:rFonts w:hint="eastAsia" w:ascii="宋体" w:hAnsi="宋体" w:eastAsia="宋体" w:cs="宋体"/>
        <w:kern w:val="0"/>
        <w:sz w:val="24"/>
        <w:lang w:eastAsia="zh-CN"/>
      </w:rPr>
    </w:pPr>
    <w:r>
      <w:rPr>
        <w:rFonts w:hint="eastAsia" w:ascii="宋体" w:hAnsi="宋体" w:cs="宋体"/>
        <w:kern w:val="0"/>
        <w:sz w:val="24"/>
        <w:lang w:eastAsia="zh-CN"/>
      </w:rPr>
      <w:t>云林街道农村公路（隐患路段）交通安全设施采购项目</w:t>
    </w:r>
  </w:p>
  <w:p>
    <w:pPr>
      <w:pStyle w:val="1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right"/>
      <w:rPr>
        <w:rFonts w:hint="eastAsia" w:ascii="宋体" w:hAnsi="宋体" w:eastAsia="宋体"/>
        <w:sz w:val="11"/>
        <w:lang w:eastAsia="zh-CN"/>
      </w:rPr>
    </w:pPr>
    <w:r>
      <w:rPr>
        <w:rFonts w:hint="eastAsia" w:eastAsia="楷体_GB2312"/>
      </w:rPr>
      <w:t xml:space="preserve"> </w:t>
    </w:r>
    <w:r>
      <w:rPr>
        <w:rFonts w:eastAsia="楷体_GB2312"/>
      </w:rPr>
      <w:t xml:space="preserve">                   </w:t>
    </w:r>
    <w:r>
      <w:rPr>
        <w:rFonts w:hint="eastAsia" w:eastAsia="楷体_GB2312"/>
      </w:rPr>
      <w:t xml:space="preserve">     </w:t>
    </w:r>
    <w:r>
      <w:rPr>
        <w:rFonts w:hint="eastAsia" w:ascii="宋体" w:hAnsi="宋体"/>
        <w:sz w:val="11"/>
      </w:rPr>
      <w:t xml:space="preserve"> </w:t>
    </w:r>
    <w:r>
      <w:rPr>
        <w:rFonts w:hint="eastAsia" w:ascii="宋体" w:hAnsi="宋体"/>
        <w:bCs/>
        <w:color w:val="000000"/>
        <w:sz w:val="20"/>
        <w:szCs w:val="30"/>
        <w:lang w:eastAsia="zh-CN"/>
      </w:rPr>
      <w:t>云林街道农村公路（隐患路段）交通安全设施采购项目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3F3350"/>
    <w:multiLevelType w:val="multilevel"/>
    <w:tmpl w:val="B53F3350"/>
    <w:lvl w:ilvl="0" w:tentative="0">
      <w:start w:val="1"/>
      <w:numFmt w:val="decimal"/>
      <w:lvlText w:val="%1."/>
      <w:lvlJc w:val="left"/>
      <w:pPr>
        <w:ind w:left="205" w:hanging="322"/>
      </w:pPr>
      <w:rPr>
        <w:rFonts w:hint="default" w:ascii="仿宋" w:hAnsi="仿宋" w:eastAsia="仿宋" w:cs="仿宋"/>
        <w:spacing w:val="-46"/>
        <w:w w:val="99"/>
        <w:sz w:val="30"/>
        <w:szCs w:val="30"/>
        <w:lang w:val="zh-CN" w:eastAsia="zh-CN" w:bidi="zh-CN"/>
      </w:rPr>
    </w:lvl>
    <w:lvl w:ilvl="1" w:tentative="0">
      <w:start w:val="0"/>
      <w:numFmt w:val="bullet"/>
      <w:lvlText w:val="•"/>
      <w:lvlJc w:val="left"/>
      <w:pPr>
        <w:ind w:left="1074" w:hanging="322"/>
      </w:pPr>
      <w:rPr>
        <w:rFonts w:hint="default"/>
        <w:lang w:val="zh-CN" w:eastAsia="zh-CN" w:bidi="zh-CN"/>
      </w:rPr>
    </w:lvl>
    <w:lvl w:ilvl="2" w:tentative="0">
      <w:start w:val="0"/>
      <w:numFmt w:val="bullet"/>
      <w:lvlText w:val="•"/>
      <w:lvlJc w:val="left"/>
      <w:pPr>
        <w:ind w:left="1949" w:hanging="322"/>
      </w:pPr>
      <w:rPr>
        <w:rFonts w:hint="default"/>
        <w:lang w:val="zh-CN" w:eastAsia="zh-CN" w:bidi="zh-CN"/>
      </w:rPr>
    </w:lvl>
    <w:lvl w:ilvl="3" w:tentative="0">
      <w:start w:val="0"/>
      <w:numFmt w:val="bullet"/>
      <w:lvlText w:val="•"/>
      <w:lvlJc w:val="left"/>
      <w:pPr>
        <w:ind w:left="2823" w:hanging="322"/>
      </w:pPr>
      <w:rPr>
        <w:rFonts w:hint="default"/>
        <w:lang w:val="zh-CN" w:eastAsia="zh-CN" w:bidi="zh-CN"/>
      </w:rPr>
    </w:lvl>
    <w:lvl w:ilvl="4" w:tentative="0">
      <w:start w:val="0"/>
      <w:numFmt w:val="bullet"/>
      <w:lvlText w:val="•"/>
      <w:lvlJc w:val="left"/>
      <w:pPr>
        <w:ind w:left="3698" w:hanging="322"/>
      </w:pPr>
      <w:rPr>
        <w:rFonts w:hint="default"/>
        <w:lang w:val="zh-CN" w:eastAsia="zh-CN" w:bidi="zh-CN"/>
      </w:rPr>
    </w:lvl>
    <w:lvl w:ilvl="5" w:tentative="0">
      <w:start w:val="0"/>
      <w:numFmt w:val="bullet"/>
      <w:lvlText w:val="•"/>
      <w:lvlJc w:val="left"/>
      <w:pPr>
        <w:ind w:left="4573" w:hanging="322"/>
      </w:pPr>
      <w:rPr>
        <w:rFonts w:hint="default"/>
        <w:lang w:val="zh-CN" w:eastAsia="zh-CN" w:bidi="zh-CN"/>
      </w:rPr>
    </w:lvl>
    <w:lvl w:ilvl="6" w:tentative="0">
      <w:start w:val="0"/>
      <w:numFmt w:val="bullet"/>
      <w:lvlText w:val="•"/>
      <w:lvlJc w:val="left"/>
      <w:pPr>
        <w:ind w:left="5447" w:hanging="322"/>
      </w:pPr>
      <w:rPr>
        <w:rFonts w:hint="default"/>
        <w:lang w:val="zh-CN" w:eastAsia="zh-CN" w:bidi="zh-CN"/>
      </w:rPr>
    </w:lvl>
    <w:lvl w:ilvl="7" w:tentative="0">
      <w:start w:val="0"/>
      <w:numFmt w:val="bullet"/>
      <w:lvlText w:val="•"/>
      <w:lvlJc w:val="left"/>
      <w:pPr>
        <w:ind w:left="6322" w:hanging="322"/>
      </w:pPr>
      <w:rPr>
        <w:rFonts w:hint="default"/>
        <w:lang w:val="zh-CN" w:eastAsia="zh-CN" w:bidi="zh-CN"/>
      </w:rPr>
    </w:lvl>
    <w:lvl w:ilvl="8" w:tentative="0">
      <w:start w:val="0"/>
      <w:numFmt w:val="bullet"/>
      <w:lvlText w:val="•"/>
      <w:lvlJc w:val="left"/>
      <w:pPr>
        <w:ind w:left="7196" w:hanging="322"/>
      </w:pPr>
      <w:rPr>
        <w:rFonts w:hint="default"/>
        <w:lang w:val="zh-CN" w:eastAsia="zh-CN" w:bidi="zh-CN"/>
      </w:rPr>
    </w:lvl>
  </w:abstractNum>
  <w:abstractNum w:abstractNumId="1">
    <w:nsid w:val="0000001F"/>
    <w:multiLevelType w:val="multilevel"/>
    <w:tmpl w:val="0000001F"/>
    <w:lvl w:ilvl="0" w:tentative="0">
      <w:start w:val="1"/>
      <w:numFmt w:val="decimal"/>
      <w:lvlText w:val="%1."/>
      <w:lvlJc w:val="left"/>
      <w:pPr>
        <w:tabs>
          <w:tab w:val="left" w:pos="510"/>
        </w:tabs>
        <w:ind w:left="510" w:hanging="360"/>
      </w:pPr>
      <w:rPr>
        <w:rFonts w:hint="default" w:ascii="Times New Roman"/>
        <w:u w:val="none"/>
      </w:rPr>
    </w:lvl>
    <w:lvl w:ilvl="1" w:tentative="0">
      <w:start w:val="1"/>
      <w:numFmt w:val="decimal"/>
      <w:lvlText w:val="%2．"/>
      <w:lvlJc w:val="left"/>
      <w:pPr>
        <w:tabs>
          <w:tab w:val="left" w:pos="1146"/>
        </w:tabs>
        <w:ind w:left="1146" w:hanging="720"/>
      </w:pPr>
      <w:rPr>
        <w:rFonts w:hint="default" w:ascii="Times New Roman"/>
        <w:u w:val="none"/>
      </w:rPr>
    </w:lvl>
    <w:lvl w:ilvl="2" w:tentative="0">
      <w:start w:val="3"/>
      <w:numFmt w:val="decimal"/>
      <w:lvlText w:val="（%3）"/>
      <w:lvlJc w:val="left"/>
      <w:pPr>
        <w:tabs>
          <w:tab w:val="left" w:pos="1140"/>
        </w:tabs>
        <w:ind w:left="1140" w:hanging="720"/>
      </w:pPr>
      <w:rPr>
        <w:rFonts w:hint="default" w:ascii="Times New Roman"/>
        <w:u w:val="none"/>
        <w:lang w:val="en-US"/>
      </w:rPr>
    </w:lvl>
    <w:lvl w:ilvl="3" w:tentative="0">
      <w:start w:val="1"/>
      <w:numFmt w:val="decimal"/>
      <w:lvlText w:val="（%4）"/>
      <w:lvlJc w:val="left"/>
      <w:pPr>
        <w:tabs>
          <w:tab w:val="left" w:pos="1830"/>
        </w:tabs>
        <w:ind w:left="1830" w:hanging="420"/>
      </w:pPr>
      <w:rPr>
        <w:rFonts w:hint="default" w:ascii="宋体" w:hAnsi="宋体" w:eastAsia="宋体"/>
        <w:u w:val="none"/>
      </w:rPr>
    </w:lvl>
    <w:lvl w:ilvl="4" w:tentative="0">
      <w:start w:val="1"/>
      <w:numFmt w:val="decimal"/>
      <w:lvlText w:val="（%5）"/>
      <w:lvlJc w:val="left"/>
      <w:pPr>
        <w:tabs>
          <w:tab w:val="left" w:pos="960"/>
        </w:tabs>
        <w:ind w:left="960" w:hanging="420"/>
      </w:pPr>
      <w:rPr>
        <w:rFonts w:hint="default" w:ascii="Times New Roman"/>
        <w:u w:val="none"/>
        <w:lang w:val="en-US"/>
      </w:rPr>
    </w:lvl>
    <w:lvl w:ilvl="5" w:tentative="0">
      <w:start w:val="1"/>
      <w:numFmt w:val="decimal"/>
      <w:lvlText w:val="%6."/>
      <w:lvlJc w:val="left"/>
      <w:pPr>
        <w:tabs>
          <w:tab w:val="left" w:pos="2670"/>
        </w:tabs>
        <w:ind w:left="2670" w:hanging="420"/>
      </w:pPr>
      <w:rPr>
        <w:rFonts w:hint="default" w:ascii="Times New Roman"/>
        <w:u w:val="none"/>
      </w:rPr>
    </w:lvl>
    <w:lvl w:ilvl="6" w:tentative="0">
      <w:start w:val="1"/>
      <w:numFmt w:val="decimal"/>
      <w:lvlText w:val="%7."/>
      <w:lvlJc w:val="left"/>
      <w:pPr>
        <w:tabs>
          <w:tab w:val="left" w:pos="3090"/>
        </w:tabs>
        <w:ind w:left="3090" w:hanging="420"/>
      </w:pPr>
      <w:rPr>
        <w:rFonts w:hint="default" w:ascii="Times New Roman"/>
        <w:u w:val="none"/>
      </w:rPr>
    </w:lvl>
    <w:lvl w:ilvl="7" w:tentative="0">
      <w:start w:val="1"/>
      <w:numFmt w:val="lowerLetter"/>
      <w:lvlText w:val="%8)"/>
      <w:lvlJc w:val="left"/>
      <w:pPr>
        <w:tabs>
          <w:tab w:val="left" w:pos="3510"/>
        </w:tabs>
        <w:ind w:left="3510" w:hanging="420"/>
      </w:pPr>
      <w:rPr>
        <w:rFonts w:hint="default" w:ascii="Times New Roman"/>
        <w:u w:val="none"/>
      </w:rPr>
    </w:lvl>
    <w:lvl w:ilvl="8" w:tentative="0">
      <w:start w:val="1"/>
      <w:numFmt w:val="lowerRoman"/>
      <w:lvlText w:val="%9."/>
      <w:lvlJc w:val="right"/>
      <w:pPr>
        <w:tabs>
          <w:tab w:val="left" w:pos="3930"/>
        </w:tabs>
        <w:ind w:left="3930" w:hanging="420"/>
      </w:pPr>
      <w:rPr>
        <w:rFonts w:hint="default" w:ascii="Times New Roman"/>
        <w:u w:val="none"/>
      </w:rPr>
    </w:lvl>
  </w:abstractNum>
  <w:abstractNum w:abstractNumId="2">
    <w:nsid w:val="085007CF"/>
    <w:multiLevelType w:val="multilevel"/>
    <w:tmpl w:val="085007CF"/>
    <w:lvl w:ilvl="0" w:tentative="0">
      <w:start w:val="1"/>
      <w:numFmt w:val="decimal"/>
      <w:lvlText w:val="%1."/>
      <w:lvlJc w:val="left"/>
      <w:pPr>
        <w:tabs>
          <w:tab w:val="left" w:pos="630"/>
        </w:tabs>
        <w:ind w:left="630" w:hanging="420"/>
      </w:pPr>
      <w:rPr>
        <w:color w:val="auto"/>
      </w:rPr>
    </w:lvl>
    <w:lvl w:ilvl="1" w:tentative="0">
      <w:start w:val="1"/>
      <w:numFmt w:val="decimalEnclosedCircle"/>
      <w:lvlText w:val="%2"/>
      <w:lvlJc w:val="left"/>
      <w:pPr>
        <w:tabs>
          <w:tab w:val="left" w:pos="1050"/>
        </w:tabs>
        <w:ind w:left="1050" w:hanging="420"/>
      </w:pPr>
      <w:rPr>
        <w:rFonts w:ascii="Times New Roman" w:hAnsi="Times New Roman" w:eastAsia="Times New Roman" w:cs="Times New Roman"/>
        <w:color w:val="auto"/>
      </w:rPr>
    </w:lvl>
    <w:lvl w:ilvl="2" w:tentative="0">
      <w:start w:val="1"/>
      <w:numFmt w:val="lowerRoman"/>
      <w:lvlText w:val="%3."/>
      <w:lvlJc w:val="right"/>
      <w:pPr>
        <w:tabs>
          <w:tab w:val="left" w:pos="1470"/>
        </w:tabs>
        <w:ind w:left="1470" w:hanging="420"/>
      </w:pPr>
    </w:lvl>
    <w:lvl w:ilvl="3" w:tentative="0">
      <w:start w:val="1"/>
      <w:numFmt w:val="decimal"/>
      <w:lvlText w:val="%4."/>
      <w:lvlJc w:val="left"/>
      <w:pPr>
        <w:tabs>
          <w:tab w:val="left" w:pos="1890"/>
        </w:tabs>
        <w:ind w:left="1890" w:hanging="420"/>
      </w:pPr>
    </w:lvl>
    <w:lvl w:ilvl="4" w:tentative="0">
      <w:start w:val="1"/>
      <w:numFmt w:val="lowerLetter"/>
      <w:lvlText w:val="%5)"/>
      <w:lvlJc w:val="left"/>
      <w:pPr>
        <w:tabs>
          <w:tab w:val="left" w:pos="2310"/>
        </w:tabs>
        <w:ind w:left="2310" w:hanging="420"/>
      </w:pPr>
    </w:lvl>
    <w:lvl w:ilvl="5" w:tentative="0">
      <w:start w:val="1"/>
      <w:numFmt w:val="lowerRoman"/>
      <w:lvlText w:val="%6."/>
      <w:lvlJc w:val="right"/>
      <w:pPr>
        <w:tabs>
          <w:tab w:val="left" w:pos="2730"/>
        </w:tabs>
        <w:ind w:left="2730" w:hanging="420"/>
      </w:pPr>
    </w:lvl>
    <w:lvl w:ilvl="6" w:tentative="0">
      <w:start w:val="1"/>
      <w:numFmt w:val="decimal"/>
      <w:lvlText w:val="%7."/>
      <w:lvlJc w:val="left"/>
      <w:pPr>
        <w:tabs>
          <w:tab w:val="left" w:pos="3150"/>
        </w:tabs>
        <w:ind w:left="3150" w:hanging="420"/>
      </w:pPr>
    </w:lvl>
    <w:lvl w:ilvl="7" w:tentative="0">
      <w:start w:val="1"/>
      <w:numFmt w:val="lowerLetter"/>
      <w:lvlText w:val="%8)"/>
      <w:lvlJc w:val="left"/>
      <w:pPr>
        <w:tabs>
          <w:tab w:val="left" w:pos="3570"/>
        </w:tabs>
        <w:ind w:left="3570" w:hanging="420"/>
      </w:pPr>
    </w:lvl>
    <w:lvl w:ilvl="8" w:tentative="0">
      <w:start w:val="1"/>
      <w:numFmt w:val="lowerRoman"/>
      <w:lvlText w:val="%9."/>
      <w:lvlJc w:val="right"/>
      <w:pPr>
        <w:tabs>
          <w:tab w:val="left" w:pos="3990"/>
        </w:tabs>
        <w:ind w:left="3990" w:hanging="420"/>
      </w:pPr>
    </w:lvl>
  </w:abstractNum>
  <w:abstractNum w:abstractNumId="3">
    <w:nsid w:val="30C36D78"/>
    <w:multiLevelType w:val="singleLevel"/>
    <w:tmpl w:val="30C36D78"/>
    <w:lvl w:ilvl="0" w:tentative="0">
      <w:start w:val="1"/>
      <w:numFmt w:val="decimal"/>
      <w:lvlText w:val="%1．"/>
      <w:lvlJc w:val="left"/>
      <w:pPr>
        <w:tabs>
          <w:tab w:val="left" w:pos="552"/>
        </w:tabs>
        <w:ind w:left="552" w:hanging="420"/>
      </w:pPr>
      <w:rPr>
        <w:rFonts w:hint="eastAsia"/>
      </w:rPr>
    </w:lvl>
  </w:abstractNum>
  <w:abstractNum w:abstractNumId="4">
    <w:nsid w:val="391E7D04"/>
    <w:multiLevelType w:val="singleLevel"/>
    <w:tmpl w:val="391E7D04"/>
    <w:lvl w:ilvl="0" w:tentative="0">
      <w:start w:val="1"/>
      <w:numFmt w:val="decimal"/>
      <w:lvlText w:val="%1．"/>
      <w:lvlJc w:val="left"/>
      <w:pPr>
        <w:tabs>
          <w:tab w:val="left" w:pos="315"/>
        </w:tabs>
        <w:ind w:left="315" w:hanging="315"/>
      </w:pPr>
      <w:rPr>
        <w:rFonts w:hint="eastAsia"/>
      </w:rPr>
    </w:lvl>
  </w:abstractNum>
  <w:abstractNum w:abstractNumId="5">
    <w:nsid w:val="57866F71"/>
    <w:multiLevelType w:val="multilevel"/>
    <w:tmpl w:val="57866F71"/>
    <w:lvl w:ilvl="0" w:tentative="0">
      <w:start w:val="1"/>
      <w:numFmt w:val="decimal"/>
      <w:lvlText w:val="%1."/>
      <w:lvlJc w:val="left"/>
      <w:pPr>
        <w:tabs>
          <w:tab w:val="left" w:pos="1965"/>
        </w:tabs>
        <w:ind w:left="1965" w:hanging="705"/>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5812D925"/>
    <w:multiLevelType w:val="singleLevel"/>
    <w:tmpl w:val="5812D925"/>
    <w:lvl w:ilvl="0" w:tentative="0">
      <w:start w:val="9"/>
      <w:numFmt w:val="chineseCounting"/>
      <w:suff w:val="space"/>
      <w:lvlText w:val="（%1）"/>
      <w:lvlJc w:val="left"/>
    </w:lvl>
  </w:abstractNum>
  <w:abstractNum w:abstractNumId="7">
    <w:nsid w:val="6EE101FC"/>
    <w:multiLevelType w:val="singleLevel"/>
    <w:tmpl w:val="6EE101FC"/>
    <w:lvl w:ilvl="0" w:tentative="0">
      <w:start w:val="1"/>
      <w:numFmt w:val="decimal"/>
      <w:lvlText w:val="%1．"/>
      <w:lvlJc w:val="left"/>
      <w:pPr>
        <w:tabs>
          <w:tab w:val="left" w:pos="570"/>
        </w:tabs>
        <w:ind w:left="570" w:hanging="420"/>
      </w:pPr>
      <w:rPr>
        <w:rFonts w:hint="eastAsia"/>
      </w:rPr>
    </w:lvl>
  </w:abstractNum>
  <w:abstractNum w:abstractNumId="8">
    <w:nsid w:val="752B41A1"/>
    <w:multiLevelType w:val="singleLevel"/>
    <w:tmpl w:val="752B41A1"/>
    <w:lvl w:ilvl="0" w:tentative="0">
      <w:start w:val="3"/>
      <w:numFmt w:val="japaneseCounting"/>
      <w:lvlText w:val="（%1）"/>
      <w:lvlJc w:val="left"/>
      <w:pPr>
        <w:tabs>
          <w:tab w:val="left" w:pos="855"/>
        </w:tabs>
        <w:ind w:left="855" w:hanging="855"/>
      </w:pPr>
      <w:rPr>
        <w:rFonts w:hint="eastAsia"/>
      </w:rPr>
    </w:lvl>
  </w:abstractNum>
  <w:abstractNum w:abstractNumId="9">
    <w:nsid w:val="7A672089"/>
    <w:multiLevelType w:val="singleLevel"/>
    <w:tmpl w:val="7A672089"/>
    <w:lvl w:ilvl="0" w:tentative="0">
      <w:start w:val="1"/>
      <w:numFmt w:val="decimal"/>
      <w:lvlText w:val="%1."/>
      <w:lvlJc w:val="left"/>
      <w:pPr>
        <w:tabs>
          <w:tab w:val="left" w:pos="762"/>
        </w:tabs>
        <w:ind w:left="762" w:hanging="210"/>
      </w:pPr>
      <w:rPr>
        <w:rFonts w:hint="eastAsia"/>
      </w:rPr>
    </w:lvl>
  </w:abstractNum>
  <w:abstractNum w:abstractNumId="10">
    <w:nsid w:val="7E0C7403"/>
    <w:multiLevelType w:val="multilevel"/>
    <w:tmpl w:val="7E0C7403"/>
    <w:lvl w:ilvl="0" w:tentative="0">
      <w:start w:val="1"/>
      <w:numFmt w:val="japaneseCounting"/>
      <w:lvlText w:val="%1、"/>
      <w:lvlJc w:val="left"/>
      <w:pPr>
        <w:tabs>
          <w:tab w:val="left" w:pos="450"/>
        </w:tabs>
        <w:ind w:left="450" w:hanging="45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7FB059FC"/>
    <w:multiLevelType w:val="singleLevel"/>
    <w:tmpl w:val="7FB059FC"/>
    <w:lvl w:ilvl="0" w:tentative="0">
      <w:start w:val="1"/>
      <w:numFmt w:val="decimal"/>
      <w:lvlText w:val="%1．"/>
      <w:lvlJc w:val="left"/>
      <w:pPr>
        <w:tabs>
          <w:tab w:val="left" w:pos="315"/>
        </w:tabs>
        <w:ind w:left="315" w:hanging="315"/>
      </w:pPr>
      <w:rPr>
        <w:rFonts w:hint="eastAsia"/>
      </w:rPr>
    </w:lvl>
  </w:abstractNum>
  <w:num w:numId="1">
    <w:abstractNumId w:val="2"/>
  </w:num>
  <w:num w:numId="2">
    <w:abstractNumId w:val="9"/>
  </w:num>
  <w:num w:numId="3">
    <w:abstractNumId w:val="6"/>
  </w:num>
  <w:num w:numId="4">
    <w:abstractNumId w:val="1"/>
  </w:num>
  <w:num w:numId="5">
    <w:abstractNumId w:val="3"/>
  </w:num>
  <w:num w:numId="6">
    <w:abstractNumId w:val="7"/>
  </w:num>
  <w:num w:numId="7">
    <w:abstractNumId w:val="10"/>
  </w:num>
  <w:num w:numId="8">
    <w:abstractNumId w:val="8"/>
  </w:num>
  <w:num w:numId="9">
    <w:abstractNumId w:val="5"/>
  </w:num>
  <w:num w:numId="10">
    <w:abstractNumId w:val="11"/>
  </w:num>
  <w:num w:numId="11">
    <w:abstractNumId w:val="4"/>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8424E6"/>
    <w:rsid w:val="00010741"/>
    <w:rsid w:val="000D7A1E"/>
    <w:rsid w:val="002770D5"/>
    <w:rsid w:val="002A4DC1"/>
    <w:rsid w:val="003400AD"/>
    <w:rsid w:val="003D7FB1"/>
    <w:rsid w:val="00434173"/>
    <w:rsid w:val="00486BAB"/>
    <w:rsid w:val="004A58F2"/>
    <w:rsid w:val="005820F0"/>
    <w:rsid w:val="00582CEF"/>
    <w:rsid w:val="005A1F5B"/>
    <w:rsid w:val="00650F52"/>
    <w:rsid w:val="00673707"/>
    <w:rsid w:val="00742319"/>
    <w:rsid w:val="0083209E"/>
    <w:rsid w:val="008424E6"/>
    <w:rsid w:val="008E41AB"/>
    <w:rsid w:val="009141F6"/>
    <w:rsid w:val="00946973"/>
    <w:rsid w:val="00964E1D"/>
    <w:rsid w:val="00A02DB2"/>
    <w:rsid w:val="00A10DA3"/>
    <w:rsid w:val="00A22BA9"/>
    <w:rsid w:val="00A73172"/>
    <w:rsid w:val="00AD468D"/>
    <w:rsid w:val="00B55D9E"/>
    <w:rsid w:val="00C0686F"/>
    <w:rsid w:val="00C2219F"/>
    <w:rsid w:val="00CD12F7"/>
    <w:rsid w:val="00CD3D35"/>
    <w:rsid w:val="00CE4274"/>
    <w:rsid w:val="00D05F9A"/>
    <w:rsid w:val="00D6517A"/>
    <w:rsid w:val="00DE0EA4"/>
    <w:rsid w:val="00E94708"/>
    <w:rsid w:val="00ED0049"/>
    <w:rsid w:val="00F85B44"/>
    <w:rsid w:val="00FB3A50"/>
    <w:rsid w:val="00FD75F1"/>
    <w:rsid w:val="01DA50B6"/>
    <w:rsid w:val="057E617D"/>
    <w:rsid w:val="05BC6F90"/>
    <w:rsid w:val="06C0431F"/>
    <w:rsid w:val="08B91CBA"/>
    <w:rsid w:val="0D2D24B5"/>
    <w:rsid w:val="0D4A3503"/>
    <w:rsid w:val="0D6478C8"/>
    <w:rsid w:val="0FA46FF9"/>
    <w:rsid w:val="163F023C"/>
    <w:rsid w:val="1D894FD3"/>
    <w:rsid w:val="2092507A"/>
    <w:rsid w:val="21F049AF"/>
    <w:rsid w:val="229245EC"/>
    <w:rsid w:val="27216BE7"/>
    <w:rsid w:val="2A9D1E46"/>
    <w:rsid w:val="2AB63109"/>
    <w:rsid w:val="30202D69"/>
    <w:rsid w:val="32A348C2"/>
    <w:rsid w:val="337331ED"/>
    <w:rsid w:val="350F369F"/>
    <w:rsid w:val="39027E86"/>
    <w:rsid w:val="39861EEA"/>
    <w:rsid w:val="3A274273"/>
    <w:rsid w:val="3CB37581"/>
    <w:rsid w:val="3F5B6185"/>
    <w:rsid w:val="44DE529D"/>
    <w:rsid w:val="4BFE2E67"/>
    <w:rsid w:val="4C697924"/>
    <w:rsid w:val="4DAC734D"/>
    <w:rsid w:val="4F8A6F96"/>
    <w:rsid w:val="525A00C8"/>
    <w:rsid w:val="57735A80"/>
    <w:rsid w:val="5A17327C"/>
    <w:rsid w:val="5FE301D8"/>
    <w:rsid w:val="6AFD1273"/>
    <w:rsid w:val="6B3F396D"/>
    <w:rsid w:val="6B432E25"/>
    <w:rsid w:val="6D317828"/>
    <w:rsid w:val="71921BF8"/>
    <w:rsid w:val="71C2446B"/>
    <w:rsid w:val="75FA7FFA"/>
    <w:rsid w:val="770760B8"/>
    <w:rsid w:val="7D136E78"/>
    <w:rsid w:val="7EBA44E6"/>
    <w:rsid w:val="7FF700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bCs/>
      <w:kern w:val="44"/>
      <w:sz w:val="44"/>
      <w:szCs w:val="44"/>
    </w:rPr>
  </w:style>
  <w:style w:type="paragraph" w:styleId="3">
    <w:name w:val="heading 3"/>
    <w:basedOn w:val="1"/>
    <w:next w:val="4"/>
    <w:qFormat/>
    <w:uiPriority w:val="0"/>
    <w:pPr>
      <w:keepNext/>
      <w:keepLines/>
      <w:spacing w:before="260" w:after="260" w:line="416" w:lineRule="auto"/>
      <w:outlineLvl w:val="2"/>
    </w:pPr>
    <w:rPr>
      <w:rFonts w:ascii="黑体" w:eastAsia="黑体"/>
      <w:b/>
      <w:bCs/>
      <w:sz w:val="32"/>
      <w:szCs w:val="32"/>
    </w:rPr>
  </w:style>
  <w:style w:type="paragraph" w:styleId="5">
    <w:name w:val="heading 4"/>
    <w:basedOn w:val="1"/>
    <w:next w:val="1"/>
    <w:qFormat/>
    <w:uiPriority w:val="0"/>
    <w:pPr>
      <w:keepNext/>
      <w:jc w:val="center"/>
      <w:outlineLvl w:val="3"/>
    </w:pPr>
    <w:rPr>
      <w:rFonts w:eastAsia="楷体_GB2312"/>
      <w:b/>
      <w:bCs/>
      <w:sz w:val="13"/>
    </w:rPr>
  </w:style>
  <w:style w:type="character" w:default="1" w:styleId="14">
    <w:name w:val="Default Paragraph Font"/>
    <w:semiHidden/>
    <w:unhideWhenUsed/>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widowControl/>
      <w:ind w:firstLine="420"/>
      <w:jc w:val="left"/>
    </w:pPr>
    <w:rPr>
      <w:kern w:val="0"/>
      <w:sz w:val="20"/>
      <w:szCs w:val="20"/>
    </w:rPr>
  </w:style>
  <w:style w:type="paragraph" w:styleId="6">
    <w:name w:val="Body Text"/>
    <w:basedOn w:val="1"/>
    <w:next w:val="7"/>
    <w:qFormat/>
    <w:uiPriority w:val="0"/>
    <w:pPr>
      <w:autoSpaceDE w:val="0"/>
      <w:autoSpaceDN w:val="0"/>
      <w:adjustRightInd w:val="0"/>
    </w:pPr>
    <w:rPr>
      <w:rFonts w:ascii="仿宋_GB2312" w:eastAsia="仿宋_GB2312"/>
      <w:kern w:val="0"/>
      <w:sz w:val="28"/>
      <w:szCs w:val="20"/>
    </w:rPr>
  </w:style>
  <w:style w:type="paragraph" w:styleId="7">
    <w:name w:val="Body Text 2"/>
    <w:basedOn w:val="1"/>
    <w:qFormat/>
    <w:uiPriority w:val="0"/>
    <w:pPr>
      <w:spacing w:line="480" w:lineRule="auto"/>
    </w:pPr>
    <w:rPr>
      <w:szCs w:val="21"/>
    </w:rPr>
  </w:style>
  <w:style w:type="paragraph" w:styleId="8">
    <w:name w:val="index 4"/>
    <w:basedOn w:val="1"/>
    <w:next w:val="1"/>
    <w:qFormat/>
    <w:uiPriority w:val="0"/>
    <w:pPr>
      <w:ind w:left="600" w:leftChars="600"/>
    </w:pPr>
    <w:rPr>
      <w:rFonts w:ascii="Times New Roman" w:hAnsi="Times New Roman"/>
      <w:szCs w:val="20"/>
    </w:rPr>
  </w:style>
  <w:style w:type="paragraph" w:styleId="9">
    <w:name w:val="Plain Text"/>
    <w:basedOn w:val="1"/>
    <w:link w:val="19"/>
    <w:qFormat/>
    <w:uiPriority w:val="0"/>
    <w:rPr>
      <w:rFonts w:ascii="宋体" w:hAnsi="Courier New"/>
      <w:szCs w:val="20"/>
    </w:rPr>
  </w:style>
  <w:style w:type="paragraph" w:styleId="10">
    <w:name w:val="footer"/>
    <w:basedOn w:val="1"/>
    <w:qFormat/>
    <w:uiPriority w:val="99"/>
    <w:pPr>
      <w:tabs>
        <w:tab w:val="center" w:pos="4153"/>
        <w:tab w:val="right" w:pos="8306"/>
      </w:tabs>
      <w:snapToGrid w:val="0"/>
      <w:jc w:val="left"/>
    </w:pPr>
    <w:rPr>
      <w:sz w:val="18"/>
    </w:rPr>
  </w:style>
  <w:style w:type="paragraph" w:styleId="11">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2">
    <w:name w:val="Body Text First Indent"/>
    <w:basedOn w:val="6"/>
    <w:qFormat/>
    <w:uiPriority w:val="0"/>
    <w:pPr>
      <w:spacing w:line="440" w:lineRule="exact"/>
      <w:ind w:firstLine="420" w:firstLineChars="100"/>
    </w:pPr>
    <w:rPr>
      <w:rFonts w:ascii="宋体" w:eastAsia="华文中宋"/>
      <w:bCs/>
      <w:sz w:val="24"/>
      <w:szCs w:val="28"/>
    </w:rPr>
  </w:style>
  <w:style w:type="paragraph" w:styleId="15">
    <w:name w:val="List Paragraph"/>
    <w:basedOn w:val="1"/>
    <w:qFormat/>
    <w:uiPriority w:val="34"/>
    <w:pPr>
      <w:ind w:firstLine="420" w:firstLineChars="200"/>
    </w:pPr>
    <w:rPr>
      <w:szCs w:val="22"/>
    </w:rPr>
  </w:style>
  <w:style w:type="paragraph" w:customStyle="1" w:styleId="16">
    <w:name w:val="段"/>
    <w:next w:val="17"/>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17">
    <w:name w:val="正文 A"/>
    <w:next w:val="16"/>
    <w:qFormat/>
    <w:uiPriority w:val="0"/>
    <w:pPr>
      <w:framePr w:wrap="around" w:vAnchor="margin" w:hAnchor="text" w:yAlign="top"/>
      <w:widowControl w:val="0"/>
      <w:jc w:val="both"/>
    </w:pPr>
    <w:rPr>
      <w:rFonts w:ascii="Times New Roman" w:hAnsi="Times New Roman" w:eastAsia="Times New Roman" w:cs="Times New Roman"/>
      <w:color w:val="000000"/>
      <w:kern w:val="2"/>
      <w:sz w:val="21"/>
      <w:szCs w:val="21"/>
      <w:u w:color="000000"/>
      <w:lang w:val="en-US" w:eastAsia="zh-CN" w:bidi="ar-SA"/>
    </w:rPr>
  </w:style>
  <w:style w:type="paragraph" w:customStyle="1" w:styleId="18">
    <w:name w:val="Body text|1"/>
    <w:basedOn w:val="1"/>
    <w:qFormat/>
    <w:uiPriority w:val="0"/>
    <w:pPr>
      <w:spacing w:line="432" w:lineRule="auto"/>
      <w:ind w:firstLine="400"/>
    </w:pPr>
    <w:rPr>
      <w:rFonts w:ascii="宋体" w:hAnsi="宋体" w:cs="宋体"/>
      <w:sz w:val="20"/>
      <w:szCs w:val="20"/>
      <w:lang w:val="zh-TW" w:eastAsia="zh-TW" w:bidi="zh-TW"/>
    </w:rPr>
  </w:style>
  <w:style w:type="character" w:customStyle="1" w:styleId="19">
    <w:name w:val="纯文本 Char"/>
    <w:basedOn w:val="14"/>
    <w:link w:val="9"/>
    <w:qFormat/>
    <w:uiPriority w:val="0"/>
    <w:rPr>
      <w:rFonts w:ascii="宋体" w:hAnsi="Courier New"/>
      <w:kern w:val="2"/>
      <w:sz w:val="21"/>
    </w:rPr>
  </w:style>
  <w:style w:type="character" w:customStyle="1" w:styleId="20">
    <w:name w:val="font01"/>
    <w:basedOn w:val="14"/>
    <w:uiPriority w:val="0"/>
    <w:rPr>
      <w:rFonts w:hint="eastAsia" w:ascii="宋体" w:hAnsi="宋体" w:eastAsia="宋体" w:cs="宋体"/>
      <w:color w:val="000000"/>
      <w:sz w:val="22"/>
      <w:szCs w:val="22"/>
      <w:u w:val="none"/>
    </w:rPr>
  </w:style>
  <w:style w:type="character" w:customStyle="1" w:styleId="21">
    <w:name w:val="font21"/>
    <w:basedOn w:val="14"/>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51"/>
    <customShpInfo spid="_x0000_s2052"/>
    <customShpInfo spid="_x0000_s1026"/>
    <customShpInfo spid="_x0000_s1027"/>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24E6036-BFE1-4139-9582-B8C4DCF8CEE3}">
  <ds:schemaRefs/>
</ds:datastoreItem>
</file>

<file path=docProps/app.xml><?xml version="1.0" encoding="utf-8"?>
<Properties xmlns="http://schemas.openxmlformats.org/officeDocument/2006/extended-properties" xmlns:vt="http://schemas.openxmlformats.org/officeDocument/2006/docPropsVTypes">
  <Template>Normal</Template>
  <Pages>63</Pages>
  <Words>6324</Words>
  <Characters>36052</Characters>
  <Lines>300</Lines>
  <Paragraphs>84</Paragraphs>
  <TotalTime>24</TotalTime>
  <ScaleCrop>false</ScaleCrop>
  <LinksUpToDate>false</LinksUpToDate>
  <CharactersWithSpaces>42292</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2020-11-25T01:54:00Z</dcterms:created>
  <dc:creator>86138</dc:creator>
  <cp:lastModifiedBy>清清</cp:lastModifiedBy>
  <cp:lastPrinted>2020-12-09T05:35:00Z</cp:lastPrinted>
  <dcterms:modified xsi:type="dcterms:W3CDTF">2021-12-06T07:32:01Z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793DF93617544764AD625585A2177DCE</vt:lpwstr>
  </property>
</Properties>
</file>