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Cs/>
          <w:sz w:val="30"/>
          <w:highlight w:val="none"/>
        </w:rPr>
      </w:pPr>
    </w:p>
    <w:p>
      <w:pPr>
        <w:topLinePunct/>
        <w:jc w:val="center"/>
        <w:rPr>
          <w:rFonts w:hint="eastAsia" w:ascii="宋体" w:hAnsi="宋体" w:eastAsia="宋体" w:cs="宋体"/>
          <w:b/>
          <w:sz w:val="52"/>
          <w:szCs w:val="52"/>
          <w:highlight w:val="none"/>
        </w:rPr>
      </w:pPr>
    </w:p>
    <w:p>
      <w:pPr>
        <w:topLinePunct/>
        <w:jc w:val="center"/>
        <w:rPr>
          <w:rFonts w:hint="eastAsia" w:ascii="宋体" w:hAnsi="宋体" w:eastAsia="宋体" w:cs="宋体"/>
          <w:b/>
          <w:sz w:val="56"/>
          <w:szCs w:val="56"/>
          <w:highlight w:val="none"/>
        </w:rPr>
      </w:pPr>
      <w:r>
        <w:rPr>
          <w:rFonts w:hint="eastAsia" w:ascii="宋体" w:hAnsi="宋体" w:eastAsia="宋体" w:cs="宋体"/>
          <w:b/>
          <w:sz w:val="56"/>
          <w:szCs w:val="56"/>
          <w:highlight w:val="none"/>
        </w:rPr>
        <w:t>无锡市政府采购项目</w:t>
      </w:r>
    </w:p>
    <w:p>
      <w:pPr>
        <w:pStyle w:val="25"/>
        <w:rPr>
          <w:rFonts w:hint="eastAsia" w:ascii="宋体" w:hAnsi="宋体" w:eastAsia="宋体" w:cs="宋体"/>
          <w:b/>
          <w:sz w:val="56"/>
          <w:szCs w:val="56"/>
          <w:highlight w:val="none"/>
        </w:rPr>
      </w:pPr>
    </w:p>
    <w:p>
      <w:pPr>
        <w:pStyle w:val="25"/>
        <w:rPr>
          <w:rFonts w:hint="eastAsia" w:ascii="宋体" w:hAnsi="宋体" w:eastAsia="宋体" w:cs="宋体"/>
          <w:b/>
          <w:sz w:val="56"/>
          <w:szCs w:val="56"/>
          <w:highlight w:val="none"/>
        </w:rPr>
      </w:pPr>
    </w:p>
    <w:p>
      <w:pPr>
        <w:topLinePunct/>
        <w:jc w:val="center"/>
        <w:rPr>
          <w:rFonts w:ascii="宋体" w:hAnsi="宋体"/>
          <w:b/>
          <w:color w:val="auto"/>
          <w:sz w:val="52"/>
          <w:szCs w:val="52"/>
          <w:highlight w:val="none"/>
        </w:rPr>
      </w:pPr>
      <w:r>
        <w:rPr>
          <w:rFonts w:hint="eastAsia" w:ascii="宋体" w:hAnsi="宋体"/>
          <w:b/>
          <w:color w:val="auto"/>
          <w:sz w:val="52"/>
          <w:szCs w:val="52"/>
          <w:highlight w:val="none"/>
        </w:rPr>
        <w:t>竞争性磋商文件</w:t>
      </w:r>
    </w:p>
    <w:p>
      <w:pPr>
        <w:rPr>
          <w:rFonts w:ascii="宋体" w:hAnsi="宋体"/>
          <w:bCs/>
          <w:sz w:val="30"/>
          <w:highlight w:val="none"/>
        </w:rPr>
      </w:pPr>
    </w:p>
    <w:p>
      <w:pPr>
        <w:rPr>
          <w:rFonts w:ascii="宋体" w:hAnsi="宋体"/>
          <w:bCs/>
          <w:sz w:val="30"/>
          <w:highlight w:val="none"/>
        </w:rPr>
      </w:pPr>
    </w:p>
    <w:p>
      <w:pPr>
        <w:rPr>
          <w:rFonts w:ascii="宋体" w:hAnsi="宋体"/>
          <w:bCs/>
          <w:sz w:val="30"/>
          <w:highlight w:val="none"/>
        </w:rPr>
      </w:pPr>
    </w:p>
    <w:p>
      <w:pPr>
        <w:keepNext w:val="0"/>
        <w:keepLines w:val="0"/>
        <w:pageBreakBefore w:val="0"/>
        <w:widowControl/>
        <w:kinsoku/>
        <w:wordWrap/>
        <w:overflowPunct/>
        <w:autoSpaceDE/>
        <w:autoSpaceDN/>
        <w:bidi w:val="0"/>
        <w:adjustRightInd/>
        <w:snapToGrid/>
        <w:jc w:val="left"/>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 xml:space="preserve">政 府 采 购 编 号： </w:t>
      </w:r>
      <w:r>
        <w:rPr>
          <w:rFonts w:hint="eastAsia" w:ascii="宋体" w:hAnsi="宋体" w:cs="宋体"/>
          <w:b/>
          <w:sz w:val="32"/>
          <w:szCs w:val="32"/>
          <w:highlight w:val="none"/>
          <w:lang w:eastAsia="zh-CN"/>
        </w:rPr>
        <w:t>WXZJCG2021-074</w:t>
      </w:r>
    </w:p>
    <w:p>
      <w:pPr>
        <w:keepNext w:val="0"/>
        <w:keepLines w:val="0"/>
        <w:pageBreakBefore w:val="0"/>
        <w:kinsoku/>
        <w:wordWrap/>
        <w:overflowPunct/>
        <w:topLinePunct/>
        <w:autoSpaceDE/>
        <w:autoSpaceDN/>
        <w:bidi w:val="0"/>
        <w:adjustRightInd/>
        <w:snapToGrid/>
        <w:textAlignment w:val="auto"/>
        <w:rPr>
          <w:rFonts w:hint="eastAsia" w:ascii="宋体" w:hAnsi="宋体" w:eastAsia="宋体" w:cs="宋体"/>
          <w:b/>
          <w:sz w:val="32"/>
          <w:szCs w:val="32"/>
          <w:highlight w:val="none"/>
        </w:rPr>
      </w:pPr>
    </w:p>
    <w:p>
      <w:pPr>
        <w:keepNext w:val="0"/>
        <w:keepLines w:val="0"/>
        <w:pageBreakBefore w:val="0"/>
        <w:kinsoku/>
        <w:wordWrap/>
        <w:overflowPunct/>
        <w:topLinePunct/>
        <w:autoSpaceDE/>
        <w:autoSpaceDN/>
        <w:bidi w:val="0"/>
        <w:adjustRightInd/>
        <w:snapToGrid/>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采购项目名称：</w:t>
      </w:r>
      <w:r>
        <w:rPr>
          <w:rFonts w:hint="eastAsia" w:ascii="宋体" w:hAnsi="宋体" w:eastAsia="宋体" w:cs="宋体"/>
          <w:b/>
          <w:sz w:val="32"/>
          <w:szCs w:val="32"/>
          <w:highlight w:val="none"/>
          <w:lang w:eastAsia="zh-CN"/>
        </w:rPr>
        <w:t>新吴区地质灾害风险普查项目</w:t>
      </w:r>
    </w:p>
    <w:p>
      <w:pPr>
        <w:keepNext w:val="0"/>
        <w:keepLines w:val="0"/>
        <w:pageBreakBefore w:val="0"/>
        <w:kinsoku/>
        <w:wordWrap/>
        <w:overflowPunct/>
        <w:autoSpaceDE/>
        <w:autoSpaceDN/>
        <w:bidi w:val="0"/>
        <w:adjustRightInd/>
        <w:snapToGrid/>
        <w:textAlignment w:val="auto"/>
        <w:rPr>
          <w:rFonts w:hint="eastAsia" w:ascii="宋体" w:hAnsi="宋体" w:eastAsia="宋体" w:cs="宋体"/>
          <w:highlight w:val="none"/>
        </w:rPr>
      </w:pPr>
    </w:p>
    <w:p>
      <w:pPr>
        <w:keepNext w:val="0"/>
        <w:keepLines w:val="0"/>
        <w:pageBreakBefore w:val="0"/>
        <w:kinsoku/>
        <w:wordWrap/>
        <w:overflowPunct/>
        <w:topLinePunct/>
        <w:autoSpaceDE/>
        <w:autoSpaceDN/>
        <w:bidi w:val="0"/>
        <w:adjustRightInd/>
        <w:snapToGrid/>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采购人：</w:t>
      </w:r>
      <w:r>
        <w:rPr>
          <w:rFonts w:hint="eastAsia" w:ascii="宋体" w:hAnsi="宋体" w:eastAsia="宋体" w:cs="宋体"/>
          <w:b/>
          <w:sz w:val="32"/>
          <w:szCs w:val="32"/>
          <w:highlight w:val="none"/>
          <w:lang w:eastAsia="zh-CN"/>
        </w:rPr>
        <w:t>无锡市自然资源和规划局新吴分局</w:t>
      </w:r>
    </w:p>
    <w:p>
      <w:pPr>
        <w:keepNext w:val="0"/>
        <w:keepLines w:val="0"/>
        <w:pageBreakBefore w:val="0"/>
        <w:kinsoku/>
        <w:wordWrap/>
        <w:overflowPunct/>
        <w:topLinePunct/>
        <w:autoSpaceDE/>
        <w:autoSpaceDN/>
        <w:bidi w:val="0"/>
        <w:adjustRightInd/>
        <w:snapToGrid/>
        <w:textAlignment w:val="auto"/>
        <w:rPr>
          <w:rFonts w:hint="eastAsia" w:ascii="宋体" w:hAnsi="宋体" w:eastAsia="宋体" w:cs="宋体"/>
          <w:b/>
          <w:sz w:val="32"/>
          <w:szCs w:val="32"/>
          <w:highlight w:val="none"/>
        </w:rPr>
      </w:pPr>
    </w:p>
    <w:p>
      <w:pPr>
        <w:keepNext w:val="0"/>
        <w:keepLines w:val="0"/>
        <w:pageBreakBefore w:val="0"/>
        <w:kinsoku/>
        <w:wordWrap/>
        <w:overflowPunct/>
        <w:topLinePunct/>
        <w:autoSpaceDE/>
        <w:autoSpaceDN/>
        <w:bidi w:val="0"/>
        <w:adjustRightInd/>
        <w:snapToGrid/>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采 购 代 理 机 构：中嘉工程管理咨询（江苏）有限公司</w:t>
      </w:r>
    </w:p>
    <w:p>
      <w:pPr>
        <w:topLinePunct/>
        <w:rPr>
          <w:rFonts w:hint="eastAsia" w:ascii="宋体" w:hAnsi="宋体" w:eastAsia="宋体" w:cs="宋体"/>
          <w:b/>
          <w:highlight w:val="none"/>
        </w:rPr>
      </w:pPr>
    </w:p>
    <w:p>
      <w:pPr>
        <w:topLinePunct/>
        <w:rPr>
          <w:rFonts w:hint="eastAsia" w:ascii="宋体" w:hAnsi="宋体" w:eastAsia="宋体" w:cs="宋体"/>
          <w:b/>
          <w:highlight w:val="none"/>
        </w:rPr>
      </w:pPr>
    </w:p>
    <w:p>
      <w:pPr>
        <w:topLinePunct/>
        <w:rPr>
          <w:rFonts w:hint="eastAsia" w:ascii="宋体" w:hAnsi="宋体" w:eastAsia="宋体" w:cs="宋体"/>
          <w:b/>
          <w:highlight w:val="none"/>
        </w:rPr>
      </w:pPr>
    </w:p>
    <w:p>
      <w:pPr>
        <w:topLinePun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二○二</w:t>
      </w:r>
      <w:r>
        <w:rPr>
          <w:rFonts w:hint="eastAsia" w:ascii="宋体" w:hAnsi="宋体" w:eastAsia="宋体" w:cs="宋体"/>
          <w:b/>
          <w:sz w:val="32"/>
          <w:szCs w:val="32"/>
          <w:highlight w:val="none"/>
          <w:lang w:val="en-US" w:eastAsia="zh-CN"/>
        </w:rPr>
        <w:t>一</w:t>
      </w:r>
      <w:r>
        <w:rPr>
          <w:rFonts w:hint="eastAsia" w:ascii="宋体" w:hAnsi="宋体" w:eastAsia="宋体" w:cs="宋体"/>
          <w:b/>
          <w:sz w:val="32"/>
          <w:szCs w:val="32"/>
          <w:highlight w:val="none"/>
        </w:rPr>
        <w:t>年十</w:t>
      </w:r>
      <w:r>
        <w:rPr>
          <w:rFonts w:hint="eastAsia" w:ascii="宋体" w:hAnsi="宋体" w:cs="宋体"/>
          <w:b/>
          <w:sz w:val="32"/>
          <w:szCs w:val="32"/>
          <w:highlight w:val="none"/>
          <w:lang w:val="en-US" w:eastAsia="zh-CN"/>
        </w:rPr>
        <w:t>二</w:t>
      </w:r>
      <w:r>
        <w:rPr>
          <w:rFonts w:hint="eastAsia" w:ascii="宋体" w:hAnsi="宋体" w:eastAsia="宋体" w:cs="宋体"/>
          <w:b/>
          <w:sz w:val="32"/>
          <w:szCs w:val="32"/>
          <w:highlight w:val="none"/>
        </w:rPr>
        <w:t>月</w:t>
      </w:r>
    </w:p>
    <w:p>
      <w:pPr>
        <w:topLinePunct/>
        <w:snapToGrid w:val="0"/>
        <w:jc w:val="center"/>
        <w:rPr>
          <w:rFonts w:hint="eastAsia" w:ascii="宋体" w:hAnsi="宋体" w:eastAsia="宋体" w:cs="宋体"/>
          <w:b/>
          <w:highlight w:val="none"/>
        </w:rPr>
        <w:sectPr>
          <w:headerReference r:id="rId5" w:type="first"/>
          <w:headerReference r:id="rId3" w:type="default"/>
          <w:footerReference r:id="rId6" w:type="default"/>
          <w:headerReference r:id="rId4" w:type="even"/>
          <w:footerReference r:id="rId7" w:type="even"/>
          <w:pgSz w:w="11907" w:h="16840"/>
          <w:pgMar w:top="1440" w:right="1406" w:bottom="1440" w:left="1797" w:header="850" w:footer="907" w:gutter="0"/>
          <w:pgNumType w:fmt="decimal" w:start="1"/>
          <w:cols w:space="720" w:num="1"/>
          <w:titlePg/>
          <w:docGrid w:type="linesAndChars" w:linePitch="312" w:charSpace="0"/>
        </w:sectPr>
      </w:pPr>
    </w:p>
    <w:p>
      <w:pPr>
        <w:rPr>
          <w:rStyle w:val="67"/>
          <w:rFonts w:ascii="宋体" w:hAnsi="宋体"/>
          <w:bCs/>
          <w:sz w:val="48"/>
          <w:highlight w:val="none"/>
        </w:rPr>
      </w:pPr>
    </w:p>
    <w:p>
      <w:pPr>
        <w:rPr>
          <w:rStyle w:val="67"/>
          <w:rFonts w:ascii="宋体" w:hAnsi="宋体"/>
          <w:bCs/>
          <w:sz w:val="48"/>
          <w:highlight w:val="none"/>
        </w:rPr>
      </w:pPr>
    </w:p>
    <w:p>
      <w:pPr>
        <w:jc w:val="center"/>
        <w:rPr>
          <w:rStyle w:val="67"/>
          <w:rFonts w:ascii="宋体" w:hAnsi="宋体"/>
          <w:bCs/>
          <w:sz w:val="48"/>
          <w:highlight w:val="none"/>
        </w:rPr>
      </w:pPr>
      <w:r>
        <w:rPr>
          <w:rStyle w:val="67"/>
          <w:rFonts w:hint="eastAsia" w:ascii="宋体" w:hAnsi="宋体"/>
          <w:bCs/>
          <w:sz w:val="48"/>
          <w:highlight w:val="none"/>
        </w:rPr>
        <w:t>目     录</w:t>
      </w:r>
    </w:p>
    <w:p>
      <w:pPr>
        <w:jc w:val="center"/>
        <w:rPr>
          <w:rFonts w:ascii="宋体" w:hAnsi="宋体"/>
          <w:bCs/>
          <w:sz w:val="30"/>
          <w:highlight w:val="none"/>
        </w:rPr>
      </w:pPr>
    </w:p>
    <w:p>
      <w:pPr>
        <w:jc w:val="center"/>
        <w:rPr>
          <w:rFonts w:ascii="宋体" w:hAnsi="宋体"/>
          <w:bCs/>
          <w:sz w:val="30"/>
          <w:highlight w:val="none"/>
        </w:rPr>
      </w:pPr>
    </w:p>
    <w:p>
      <w:pPr>
        <w:spacing w:line="720" w:lineRule="auto"/>
        <w:ind w:firstLine="450" w:firstLineChars="150"/>
        <w:rPr>
          <w:rFonts w:ascii="宋体" w:hAnsi="宋体"/>
          <w:bCs/>
          <w:sz w:val="30"/>
          <w:szCs w:val="30"/>
          <w:highlight w:val="none"/>
        </w:rPr>
      </w:pPr>
      <w:r>
        <w:rPr>
          <w:rFonts w:hint="eastAsia" w:ascii="宋体" w:hAnsi="宋体"/>
          <w:bCs/>
          <w:sz w:val="30"/>
          <w:szCs w:val="30"/>
          <w:highlight w:val="none"/>
        </w:rPr>
        <w:t>一．磋商邀请函</w:t>
      </w:r>
    </w:p>
    <w:p>
      <w:pPr>
        <w:spacing w:line="720" w:lineRule="auto"/>
        <w:ind w:firstLine="450" w:firstLineChars="150"/>
        <w:rPr>
          <w:rFonts w:ascii="宋体" w:hAnsi="宋体"/>
          <w:bCs/>
          <w:sz w:val="30"/>
          <w:szCs w:val="30"/>
          <w:highlight w:val="none"/>
        </w:rPr>
      </w:pPr>
      <w:r>
        <w:rPr>
          <w:rFonts w:hint="eastAsia" w:ascii="宋体" w:hAnsi="宋体"/>
          <w:bCs/>
          <w:sz w:val="30"/>
          <w:szCs w:val="30"/>
          <w:highlight w:val="none"/>
        </w:rPr>
        <w:t>二．报价供应商须知</w:t>
      </w:r>
    </w:p>
    <w:p>
      <w:pPr>
        <w:spacing w:line="720" w:lineRule="auto"/>
        <w:ind w:firstLine="450" w:firstLineChars="150"/>
        <w:rPr>
          <w:rFonts w:ascii="宋体" w:hAnsi="宋体"/>
          <w:bCs/>
          <w:sz w:val="30"/>
          <w:szCs w:val="30"/>
          <w:highlight w:val="none"/>
        </w:rPr>
      </w:pPr>
      <w:r>
        <w:rPr>
          <w:rFonts w:hint="eastAsia" w:ascii="宋体" w:hAnsi="宋体"/>
          <w:bCs/>
          <w:sz w:val="30"/>
          <w:szCs w:val="30"/>
          <w:highlight w:val="none"/>
        </w:rPr>
        <w:t>三．项目技术</w:t>
      </w:r>
      <w:bookmarkStart w:id="0" w:name="_Hlt49764623"/>
      <w:r>
        <w:rPr>
          <w:rFonts w:hint="eastAsia" w:ascii="宋体" w:hAnsi="宋体"/>
          <w:bCs/>
          <w:sz w:val="30"/>
          <w:szCs w:val="30"/>
          <w:highlight w:val="none"/>
        </w:rPr>
        <w:t>要求和</w:t>
      </w:r>
      <w:bookmarkEnd w:id="0"/>
      <w:r>
        <w:rPr>
          <w:rFonts w:hint="eastAsia" w:ascii="宋体" w:hAnsi="宋体"/>
          <w:bCs/>
          <w:sz w:val="30"/>
          <w:szCs w:val="30"/>
          <w:highlight w:val="none"/>
        </w:rPr>
        <w:t>有</w:t>
      </w:r>
      <w:bookmarkStart w:id="1" w:name="_Hlt15786849"/>
      <w:bookmarkStart w:id="2" w:name="_Hlt15786850"/>
      <w:r>
        <w:rPr>
          <w:rFonts w:hint="eastAsia" w:ascii="宋体" w:hAnsi="宋体"/>
          <w:bCs/>
          <w:sz w:val="30"/>
          <w:szCs w:val="30"/>
          <w:highlight w:val="none"/>
        </w:rPr>
        <w:t>关</w:t>
      </w:r>
      <w:bookmarkEnd w:id="1"/>
      <w:bookmarkEnd w:id="2"/>
      <w:r>
        <w:rPr>
          <w:rFonts w:hint="eastAsia" w:ascii="宋体" w:hAnsi="宋体"/>
          <w:bCs/>
          <w:sz w:val="30"/>
          <w:szCs w:val="30"/>
          <w:highlight w:val="none"/>
        </w:rPr>
        <w:t>说</w:t>
      </w:r>
      <w:bookmarkStart w:id="3" w:name="_Hlt529244298"/>
      <w:r>
        <w:rPr>
          <w:rFonts w:hint="eastAsia" w:ascii="宋体" w:hAnsi="宋体"/>
          <w:bCs/>
          <w:sz w:val="30"/>
          <w:szCs w:val="30"/>
          <w:highlight w:val="none"/>
        </w:rPr>
        <w:t>明</w:t>
      </w:r>
      <w:bookmarkEnd w:id="3"/>
    </w:p>
    <w:p>
      <w:pPr>
        <w:spacing w:line="720" w:lineRule="auto"/>
        <w:ind w:firstLine="450" w:firstLineChars="150"/>
        <w:rPr>
          <w:rFonts w:ascii="宋体" w:hAnsi="宋体"/>
          <w:bCs/>
          <w:sz w:val="30"/>
          <w:szCs w:val="30"/>
          <w:highlight w:val="none"/>
        </w:rPr>
      </w:pPr>
      <w:r>
        <w:rPr>
          <w:rFonts w:hint="eastAsia" w:ascii="宋体" w:hAnsi="宋体"/>
          <w:bCs/>
          <w:sz w:val="30"/>
          <w:szCs w:val="30"/>
          <w:highlight w:val="none"/>
        </w:rPr>
        <w:t>四. 合同书（格式文本）</w:t>
      </w:r>
    </w:p>
    <w:p>
      <w:pPr>
        <w:spacing w:line="720" w:lineRule="auto"/>
        <w:ind w:firstLine="450" w:firstLineChars="150"/>
        <w:rPr>
          <w:rFonts w:ascii="宋体" w:hAnsi="宋体"/>
          <w:bCs/>
          <w:sz w:val="30"/>
          <w:szCs w:val="30"/>
          <w:highlight w:val="none"/>
        </w:rPr>
      </w:pPr>
      <w:r>
        <w:rPr>
          <w:rFonts w:hint="eastAsia" w:ascii="宋体" w:hAnsi="宋体"/>
          <w:bCs/>
          <w:sz w:val="30"/>
          <w:szCs w:val="30"/>
          <w:highlight w:val="none"/>
        </w:rPr>
        <w:t>五．合</w:t>
      </w:r>
      <w:bookmarkStart w:id="4" w:name="_Hlt15786867"/>
      <w:bookmarkStart w:id="5" w:name="_Hlt29808642"/>
      <w:r>
        <w:rPr>
          <w:rFonts w:hint="eastAsia" w:ascii="宋体" w:hAnsi="宋体"/>
          <w:bCs/>
          <w:sz w:val="30"/>
          <w:szCs w:val="30"/>
          <w:highlight w:val="none"/>
        </w:rPr>
        <w:t>同</w:t>
      </w:r>
      <w:bookmarkEnd w:id="4"/>
      <w:bookmarkEnd w:id="5"/>
      <w:bookmarkStart w:id="6" w:name="_Hlt42398777"/>
      <w:bookmarkStart w:id="7" w:name="_Hlt42398776"/>
      <w:r>
        <w:rPr>
          <w:rFonts w:hint="eastAsia" w:ascii="宋体" w:hAnsi="宋体"/>
          <w:bCs/>
          <w:sz w:val="30"/>
          <w:szCs w:val="30"/>
          <w:highlight w:val="none"/>
        </w:rPr>
        <w:t>条</w:t>
      </w:r>
      <w:bookmarkEnd w:id="6"/>
      <w:bookmarkEnd w:id="7"/>
      <w:r>
        <w:rPr>
          <w:rFonts w:hint="eastAsia" w:ascii="宋体" w:hAnsi="宋体"/>
          <w:bCs/>
          <w:sz w:val="30"/>
          <w:szCs w:val="30"/>
          <w:highlight w:val="none"/>
        </w:rPr>
        <w:t>款（格式）</w:t>
      </w:r>
    </w:p>
    <w:p>
      <w:pPr>
        <w:spacing w:line="720" w:lineRule="auto"/>
        <w:ind w:firstLine="450" w:firstLineChars="150"/>
        <w:rPr>
          <w:rFonts w:ascii="宋体" w:hAnsi="宋体"/>
          <w:bCs/>
          <w:sz w:val="28"/>
          <w:szCs w:val="28"/>
          <w:highlight w:val="none"/>
        </w:rPr>
      </w:pPr>
      <w:r>
        <w:rPr>
          <w:rFonts w:hint="eastAsia" w:ascii="宋体" w:hAnsi="宋体"/>
          <w:bCs/>
          <w:sz w:val="30"/>
          <w:szCs w:val="30"/>
          <w:highlight w:val="none"/>
        </w:rPr>
        <w:t>六. 附件（响应文件格式）</w:t>
      </w:r>
    </w:p>
    <w:p>
      <w:pPr>
        <w:spacing w:line="720" w:lineRule="auto"/>
        <w:rPr>
          <w:rFonts w:ascii="宋体" w:hAnsi="宋体"/>
          <w:bCs/>
          <w:sz w:val="30"/>
          <w:highlight w:val="none"/>
        </w:rPr>
      </w:pPr>
    </w:p>
    <w:p>
      <w:pPr>
        <w:spacing w:line="480" w:lineRule="auto"/>
        <w:rPr>
          <w:rFonts w:ascii="宋体" w:hAnsi="宋体"/>
          <w:bCs/>
          <w:sz w:val="30"/>
          <w:highlight w:val="none"/>
        </w:rPr>
      </w:pPr>
    </w:p>
    <w:p>
      <w:pPr>
        <w:rPr>
          <w:rFonts w:ascii="宋体" w:hAnsi="宋体"/>
          <w:bCs/>
          <w:sz w:val="32"/>
          <w:highlight w:val="none"/>
        </w:rPr>
      </w:pPr>
    </w:p>
    <w:p>
      <w:pPr>
        <w:pageBreakBefore/>
        <w:jc w:val="center"/>
        <w:rPr>
          <w:rFonts w:ascii="宋体" w:hAnsi="宋体"/>
          <w:bCs/>
          <w:sz w:val="28"/>
          <w:szCs w:val="28"/>
          <w:highlight w:val="none"/>
        </w:rPr>
      </w:pPr>
      <w:bookmarkStart w:id="8" w:name="报价方须知前附表"/>
      <w:bookmarkEnd w:id="8"/>
      <w:r>
        <w:rPr>
          <w:rFonts w:hint="eastAsia" w:ascii="宋体" w:hAnsi="宋体"/>
          <w:bCs/>
          <w:sz w:val="28"/>
          <w:szCs w:val="28"/>
          <w:highlight w:val="none"/>
        </w:rPr>
        <w:t>一．磋商邀请函</w:t>
      </w:r>
    </w:p>
    <w:tbl>
      <w:tblPr>
        <w:tblStyle w:val="6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tcPr>
          <w:p>
            <w:pPr>
              <w:adjustRightInd w:val="0"/>
              <w:snapToGrid w:val="0"/>
              <w:spacing w:line="360" w:lineRule="auto"/>
              <w:jc w:val="center"/>
              <w:rPr>
                <w:rFonts w:ascii="宋体" w:hAnsi="宋体"/>
                <w:bCs/>
                <w:sz w:val="24"/>
                <w:szCs w:val="24"/>
                <w:highlight w:val="none"/>
              </w:rPr>
            </w:pPr>
            <w:bookmarkStart w:id="9" w:name="二．报价方须知"/>
            <w:bookmarkEnd w:id="9"/>
            <w:r>
              <w:rPr>
                <w:rFonts w:hint="eastAsia" w:ascii="宋体" w:hAnsi="宋体"/>
                <w:bCs/>
                <w:sz w:val="24"/>
                <w:szCs w:val="24"/>
                <w:highlight w:val="none"/>
              </w:rPr>
              <w:t>序号</w:t>
            </w:r>
          </w:p>
        </w:tc>
        <w:tc>
          <w:tcPr>
            <w:tcW w:w="8621" w:type="dxa"/>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1</w:t>
            </w:r>
          </w:p>
        </w:tc>
        <w:tc>
          <w:tcPr>
            <w:tcW w:w="8621" w:type="dxa"/>
          </w:tcPr>
          <w:p>
            <w:pPr>
              <w:adjustRightInd w:val="0"/>
              <w:snapToGrid w:val="0"/>
              <w:spacing w:line="360" w:lineRule="auto"/>
              <w:rPr>
                <w:rFonts w:ascii="宋体" w:hAnsi="宋体"/>
                <w:bCs/>
                <w:sz w:val="24"/>
                <w:szCs w:val="24"/>
                <w:highlight w:val="none"/>
              </w:rPr>
            </w:pPr>
            <w:r>
              <w:rPr>
                <w:rFonts w:hint="eastAsia" w:ascii="宋体" w:hAnsi="宋体"/>
                <w:bCs/>
                <w:sz w:val="24"/>
                <w:szCs w:val="24"/>
                <w:highlight w:val="none"/>
              </w:rPr>
              <w:t>项目名称：</w:t>
            </w:r>
            <w:r>
              <w:rPr>
                <w:rFonts w:hint="eastAsia" w:ascii="宋体" w:hAnsi="宋体"/>
                <w:bCs/>
                <w:sz w:val="24"/>
                <w:szCs w:val="24"/>
                <w:highlight w:val="none"/>
                <w:lang w:eastAsia="zh-CN"/>
              </w:rPr>
              <w:t>新吴区地质灾害风险普查项目</w:t>
            </w:r>
          </w:p>
          <w:p>
            <w:pPr>
              <w:adjustRightInd w:val="0"/>
              <w:snapToGrid w:val="0"/>
              <w:spacing w:line="360" w:lineRule="auto"/>
              <w:rPr>
                <w:rFonts w:ascii="宋体" w:hAnsi="宋体"/>
                <w:bCs/>
                <w:sz w:val="24"/>
                <w:szCs w:val="24"/>
                <w:highlight w:val="none"/>
              </w:rPr>
            </w:pPr>
            <w:r>
              <w:rPr>
                <w:rFonts w:hint="eastAsia" w:ascii="宋体" w:hAnsi="宋体"/>
                <w:bCs/>
                <w:sz w:val="24"/>
                <w:szCs w:val="24"/>
                <w:highlight w:val="none"/>
              </w:rPr>
              <w:t>采购编号：</w:t>
            </w:r>
            <w:r>
              <w:rPr>
                <w:rFonts w:hint="eastAsia" w:ascii="宋体" w:hAnsi="宋体"/>
                <w:bCs/>
                <w:sz w:val="24"/>
                <w:szCs w:val="24"/>
                <w:highlight w:val="none"/>
                <w:lang w:eastAsia="zh-CN"/>
              </w:rPr>
              <w:t>WXZJCG2021-074</w:t>
            </w:r>
          </w:p>
          <w:p>
            <w:pPr>
              <w:adjustRightInd w:val="0"/>
              <w:snapToGrid w:val="0"/>
              <w:spacing w:line="360" w:lineRule="auto"/>
              <w:rPr>
                <w:rFonts w:ascii="宋体" w:hAnsi="宋体"/>
                <w:bCs/>
                <w:sz w:val="24"/>
                <w:szCs w:val="24"/>
                <w:highlight w:val="none"/>
              </w:rPr>
            </w:pPr>
            <w:r>
              <w:rPr>
                <w:rFonts w:hint="eastAsia" w:ascii="宋体" w:hAnsi="宋体"/>
                <w:bCs/>
                <w:sz w:val="24"/>
                <w:szCs w:val="24"/>
                <w:highlight w:val="none"/>
              </w:rPr>
              <w:t xml:space="preserve">采购人： </w:t>
            </w:r>
            <w:r>
              <w:rPr>
                <w:rFonts w:hint="eastAsia" w:ascii="宋体" w:hAnsi="宋体"/>
                <w:bCs/>
                <w:sz w:val="24"/>
                <w:szCs w:val="24"/>
                <w:highlight w:val="none"/>
                <w:lang w:eastAsia="zh-CN"/>
              </w:rPr>
              <w:t>无锡市自然资源和规划局新吴分局</w:t>
            </w:r>
            <w:r>
              <w:rPr>
                <w:rFonts w:hint="eastAsia" w:ascii="宋体" w:hAnsi="宋体"/>
                <w:bCs/>
                <w:sz w:val="24"/>
                <w:szCs w:val="24"/>
                <w:highlight w:val="none"/>
              </w:rPr>
              <w:t xml:space="preserve"> </w:t>
            </w:r>
          </w:p>
          <w:p>
            <w:pPr>
              <w:adjustRightInd w:val="0"/>
              <w:snapToGrid w:val="0"/>
              <w:spacing w:line="360" w:lineRule="auto"/>
              <w:rPr>
                <w:rFonts w:ascii="宋体" w:hAnsi="宋体"/>
                <w:bCs/>
                <w:sz w:val="24"/>
                <w:szCs w:val="24"/>
                <w:highlight w:val="none"/>
              </w:rPr>
            </w:pPr>
            <w:r>
              <w:rPr>
                <w:rFonts w:hint="eastAsia" w:ascii="宋体" w:hAnsi="宋体"/>
                <w:bCs/>
                <w:sz w:val="24"/>
                <w:szCs w:val="24"/>
                <w:highlight w:val="none"/>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2</w:t>
            </w:r>
          </w:p>
        </w:tc>
        <w:tc>
          <w:tcPr>
            <w:tcW w:w="8621" w:type="dxa"/>
            <w:tcBorders>
              <w:bottom w:val="single" w:color="auto" w:sz="4" w:space="0"/>
            </w:tcBorders>
          </w:tcPr>
          <w:p>
            <w:pPr>
              <w:adjustRightInd w:val="0"/>
              <w:snapToGrid w:val="0"/>
              <w:spacing w:line="360" w:lineRule="auto"/>
              <w:rPr>
                <w:rFonts w:hint="eastAsia" w:ascii="宋体" w:hAnsi="宋体" w:eastAsia="宋体"/>
                <w:bCs/>
                <w:sz w:val="24"/>
                <w:szCs w:val="24"/>
                <w:highlight w:val="none"/>
                <w:lang w:eastAsia="zh-CN"/>
              </w:rPr>
            </w:pPr>
            <w:r>
              <w:rPr>
                <w:rFonts w:hint="eastAsia" w:ascii="宋体" w:hAnsi="宋体"/>
                <w:bCs/>
                <w:sz w:val="24"/>
                <w:szCs w:val="24"/>
                <w:highlight w:val="none"/>
              </w:rPr>
              <w:t>采购代理机构：</w:t>
            </w:r>
            <w:r>
              <w:rPr>
                <w:rFonts w:hint="eastAsia" w:ascii="宋体" w:hAnsi="宋体"/>
                <w:bCs/>
                <w:sz w:val="24"/>
                <w:szCs w:val="24"/>
                <w:highlight w:val="none"/>
                <w:lang w:eastAsia="zh-CN"/>
              </w:rPr>
              <w:t>中嘉工程管理咨询（江苏）有限公司</w:t>
            </w:r>
          </w:p>
          <w:p>
            <w:pPr>
              <w:adjustRightInd w:val="0"/>
              <w:snapToGrid w:val="0"/>
              <w:spacing w:line="360" w:lineRule="auto"/>
              <w:rPr>
                <w:rFonts w:hint="eastAsia" w:ascii="宋体" w:hAnsi="宋体" w:eastAsia="宋体"/>
                <w:bCs/>
                <w:sz w:val="24"/>
                <w:szCs w:val="24"/>
                <w:highlight w:val="none"/>
                <w:lang w:eastAsia="zh-CN"/>
              </w:rPr>
            </w:pPr>
            <w:r>
              <w:rPr>
                <w:rFonts w:hint="eastAsia" w:ascii="宋体" w:hAnsi="宋体"/>
                <w:bCs/>
                <w:sz w:val="24"/>
                <w:szCs w:val="24"/>
                <w:highlight w:val="none"/>
              </w:rPr>
              <w:t>地址：</w:t>
            </w:r>
            <w:r>
              <w:rPr>
                <w:rFonts w:hint="eastAsia" w:ascii="宋体" w:hAnsi="宋体"/>
                <w:bCs/>
                <w:sz w:val="24"/>
                <w:szCs w:val="24"/>
                <w:highlight w:val="none"/>
                <w:lang w:eastAsia="zh-CN"/>
              </w:rPr>
              <w:t>无锡市滨湖区太湖西大道2168号中锐佳诚国际大厦A栋608室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vAlign w:val="center"/>
          </w:tcPr>
          <w:p>
            <w:pPr>
              <w:adjustRightInd w:val="0"/>
              <w:snapToGrid w:val="0"/>
              <w:spacing w:line="360" w:lineRule="auto"/>
              <w:jc w:val="center"/>
              <w:rPr>
                <w:rFonts w:ascii="宋体" w:hAnsi="宋体"/>
                <w:bCs/>
                <w:sz w:val="24"/>
                <w:szCs w:val="24"/>
                <w:highlight w:val="none"/>
                <w:shd w:val="pct10" w:color="auto" w:fill="FFFFFF"/>
              </w:rPr>
            </w:pPr>
            <w:r>
              <w:rPr>
                <w:rFonts w:hint="eastAsia" w:ascii="宋体" w:hAnsi="宋体"/>
                <w:bCs/>
                <w:sz w:val="24"/>
                <w:szCs w:val="24"/>
                <w:highlight w:val="none"/>
              </w:rPr>
              <w:t>3</w:t>
            </w:r>
          </w:p>
        </w:tc>
        <w:tc>
          <w:tcPr>
            <w:tcW w:w="8621" w:type="dxa"/>
          </w:tcPr>
          <w:p>
            <w:pPr>
              <w:spacing w:line="360" w:lineRule="auto"/>
              <w:rPr>
                <w:rFonts w:ascii="宋体" w:hAnsi="宋体"/>
                <w:bCs/>
                <w:sz w:val="24"/>
                <w:szCs w:val="22"/>
                <w:highlight w:val="none"/>
              </w:rPr>
            </w:pPr>
            <w:r>
              <w:rPr>
                <w:rFonts w:hint="eastAsia" w:ascii="宋体" w:hAnsi="宋体"/>
                <w:bCs/>
                <w:sz w:val="24"/>
                <w:szCs w:val="22"/>
                <w:highlight w:val="none"/>
              </w:rPr>
              <w:t>采购项目概况、要求：</w:t>
            </w:r>
            <w:r>
              <w:rPr>
                <w:rFonts w:hint="eastAsia" w:ascii="宋体" w:hAnsi="宋体"/>
                <w:bCs/>
                <w:sz w:val="24"/>
                <w:szCs w:val="22"/>
                <w:highlight w:val="none"/>
                <w:lang w:eastAsia="zh-CN"/>
              </w:rPr>
              <w:t>普查内容主要包括地质灾害致灾调查与评估、承灾体调查、历史地质灾害调查与综合减灾能力调查、地质灾害风险评估与区划、数据库建设等内容</w:t>
            </w:r>
            <w:r>
              <w:rPr>
                <w:rFonts w:hint="eastAsia" w:ascii="宋体" w:hAnsi="宋体"/>
                <w:bCs/>
                <w:sz w:val="24"/>
                <w:szCs w:val="22"/>
                <w:highlight w:val="none"/>
              </w:rPr>
              <w:t>；</w:t>
            </w:r>
          </w:p>
          <w:p>
            <w:pPr>
              <w:spacing w:line="360" w:lineRule="auto"/>
              <w:rPr>
                <w:highlight w:val="none"/>
              </w:rPr>
            </w:pPr>
            <w:r>
              <w:rPr>
                <w:rFonts w:hint="eastAsia" w:ascii="宋体" w:hAnsi="宋体"/>
                <w:bCs/>
                <w:sz w:val="24"/>
                <w:szCs w:val="22"/>
                <w:highlight w:val="none"/>
              </w:rPr>
              <w:t>服务</w:t>
            </w:r>
            <w:r>
              <w:rPr>
                <w:rFonts w:hint="eastAsia" w:ascii="宋体" w:hAnsi="宋体"/>
                <w:bCs/>
                <w:color w:val="auto"/>
                <w:sz w:val="24"/>
                <w:szCs w:val="22"/>
                <w:highlight w:val="none"/>
              </w:rPr>
              <w:t>期：</w:t>
            </w:r>
            <w:r>
              <w:rPr>
                <w:sz w:val="24"/>
                <w:szCs w:val="24"/>
                <w:highlight w:val="none"/>
              </w:rPr>
              <w:t>截止2022年</w:t>
            </w:r>
            <w:r>
              <w:rPr>
                <w:rFonts w:hint="default"/>
                <w:sz w:val="24"/>
                <w:szCs w:val="24"/>
                <w:highlight w:val="none"/>
              </w:rPr>
              <w:t>12</w:t>
            </w:r>
            <w:r>
              <w:rPr>
                <w:sz w:val="24"/>
                <w:szCs w:val="24"/>
                <w:highlight w:val="none"/>
              </w:rPr>
              <w:t>月底前完成所有成果及资料整理并通过验收</w:t>
            </w:r>
            <w:r>
              <w:rPr>
                <w:rFonts w:hint="eastAsia" w:asciiTheme="minorEastAsia" w:hAnsiTheme="minorEastAsia"/>
                <w:color w:val="auto"/>
                <w:sz w:val="24"/>
                <w:szCs w:val="24"/>
                <w:highlight w:val="none"/>
              </w:rPr>
              <w:t>；</w:t>
            </w:r>
          </w:p>
          <w:p>
            <w:pPr>
              <w:pageBreakBefore w:val="0"/>
              <w:kinsoku/>
              <w:wordWrap/>
              <w:overflowPunct/>
              <w:topLinePunct w:val="0"/>
              <w:bidi w:val="0"/>
              <w:spacing w:line="360" w:lineRule="auto"/>
              <w:textAlignment w:val="auto"/>
              <w:rPr>
                <w:rFonts w:hint="eastAsia" w:ascii="宋体" w:hAnsi="宋体" w:eastAsia="宋体" w:cs="仿宋"/>
                <w:bCs/>
                <w:color w:val="auto"/>
                <w:kern w:val="0"/>
                <w:sz w:val="24"/>
                <w:szCs w:val="24"/>
                <w:highlight w:val="none"/>
                <w:lang w:val="en-US" w:eastAsia="zh-CN"/>
              </w:rPr>
            </w:pPr>
            <w:r>
              <w:rPr>
                <w:rFonts w:hint="eastAsia" w:ascii="宋体" w:hAnsi="宋体" w:cs="仿宋"/>
                <w:bCs/>
                <w:color w:val="auto"/>
                <w:kern w:val="0"/>
                <w:sz w:val="24"/>
                <w:szCs w:val="24"/>
                <w:highlight w:val="none"/>
                <w:lang w:val="en-US" w:eastAsia="zh-CN"/>
              </w:rPr>
              <w:t>质量标准：</w:t>
            </w:r>
            <w:r>
              <w:rPr>
                <w:rFonts w:ascii="宋体" w:hAnsi="宋体"/>
                <w:sz w:val="24"/>
                <w:highlight w:val="none"/>
              </w:rPr>
              <w:t>验收由采购单位组织相关人员进行验收</w:t>
            </w:r>
            <w:r>
              <w:rPr>
                <w:rFonts w:hint="eastAsia" w:ascii="宋体" w:hAnsi="宋体"/>
                <w:sz w:val="24"/>
                <w:highlight w:val="none"/>
                <w:lang w:eastAsia="zh-CN"/>
              </w:rPr>
              <w:t>，</w:t>
            </w:r>
            <w:r>
              <w:rPr>
                <w:rFonts w:hint="eastAsia" w:ascii="宋体" w:hAnsi="宋体"/>
                <w:sz w:val="24"/>
                <w:highlight w:val="none"/>
                <w:lang w:val="en-US" w:eastAsia="zh-CN"/>
              </w:rPr>
              <w:t>需</w:t>
            </w:r>
            <w:r>
              <w:rPr>
                <w:rFonts w:ascii="宋体" w:hAnsi="宋体"/>
                <w:sz w:val="24"/>
                <w:highlight w:val="none"/>
              </w:rPr>
              <w:t>符合我国国家有关技术规范要求和技术标准</w:t>
            </w:r>
            <w:r>
              <w:rPr>
                <w:rFonts w:hint="eastAsia" w:ascii="宋体" w:hAnsi="宋体"/>
                <w:sz w:val="24"/>
                <w:highlight w:val="none"/>
                <w:lang w:eastAsia="zh-CN"/>
              </w:rPr>
              <w:t>；</w:t>
            </w:r>
          </w:p>
          <w:p>
            <w:pPr>
              <w:spacing w:line="360" w:lineRule="auto"/>
              <w:rPr>
                <w:rFonts w:hint="eastAsia" w:ascii="宋体" w:hAnsi="宋体" w:cs="仿宋"/>
                <w:bCs/>
                <w:color w:val="auto"/>
                <w:kern w:val="0"/>
                <w:sz w:val="24"/>
                <w:szCs w:val="24"/>
                <w:highlight w:val="none"/>
                <w:lang w:val="en-US" w:eastAsia="zh-CN"/>
              </w:rPr>
            </w:pPr>
            <w:r>
              <w:rPr>
                <w:rFonts w:ascii="宋体" w:cs="宋体"/>
                <w:sz w:val="24"/>
                <w:highlight w:val="none"/>
              </w:rPr>
              <w:t>质保期</w:t>
            </w:r>
            <w:r>
              <w:rPr>
                <w:rFonts w:ascii="宋体" w:hAnsi="宋体"/>
                <w:sz w:val="24"/>
                <w:highlight w:val="none"/>
              </w:rPr>
              <w:t>一年。自验收合格之日起一年内，如调查成果有任何质量问题，中标供应商应无条件配合采购人进行重新调查并出具报告。</w:t>
            </w:r>
          </w:p>
          <w:p>
            <w:pPr>
              <w:spacing w:line="360" w:lineRule="auto"/>
              <w:rPr>
                <w:rFonts w:ascii="宋体" w:hAnsi="宋体"/>
                <w:bCs/>
                <w:sz w:val="24"/>
                <w:szCs w:val="22"/>
                <w:highlight w:val="none"/>
              </w:rPr>
            </w:pPr>
            <w:r>
              <w:rPr>
                <w:rFonts w:hint="eastAsia" w:ascii="宋体" w:hAnsi="宋体"/>
                <w:bCs/>
                <w:sz w:val="24"/>
                <w:szCs w:val="22"/>
                <w:highlight w:val="none"/>
              </w:rPr>
              <w:t>采购预算：</w:t>
            </w:r>
            <w:r>
              <w:rPr>
                <w:rFonts w:hint="eastAsia" w:ascii="宋体" w:hAnsi="宋体"/>
                <w:bCs/>
                <w:sz w:val="24"/>
                <w:szCs w:val="22"/>
                <w:highlight w:val="none"/>
                <w:lang w:val="en-US" w:eastAsia="zh-CN"/>
              </w:rPr>
              <w:t>70</w:t>
            </w:r>
            <w:r>
              <w:rPr>
                <w:rFonts w:hint="eastAsia" w:ascii="宋体" w:hAnsi="宋体"/>
                <w:bCs/>
                <w:sz w:val="24"/>
                <w:szCs w:val="22"/>
                <w:highlight w:val="none"/>
              </w:rPr>
              <w:t>万元；</w:t>
            </w:r>
          </w:p>
          <w:p>
            <w:pPr>
              <w:spacing w:line="360" w:lineRule="auto"/>
              <w:rPr>
                <w:rFonts w:ascii="宋体" w:hAnsi="宋体"/>
                <w:bCs/>
                <w:sz w:val="24"/>
                <w:szCs w:val="22"/>
                <w:highlight w:val="none"/>
              </w:rPr>
            </w:pPr>
            <w:r>
              <w:rPr>
                <w:rFonts w:ascii="宋体" w:hAnsi="宋体"/>
                <w:bCs/>
                <w:sz w:val="24"/>
                <w:szCs w:val="22"/>
                <w:highlight w:val="none"/>
              </w:rPr>
              <w:t>最高限价</w:t>
            </w:r>
            <w:r>
              <w:rPr>
                <w:rFonts w:hint="eastAsia" w:ascii="宋体" w:hAnsi="宋体"/>
                <w:bCs/>
                <w:sz w:val="24"/>
                <w:szCs w:val="22"/>
                <w:highlight w:val="none"/>
              </w:rPr>
              <w:t>：</w:t>
            </w:r>
            <w:r>
              <w:rPr>
                <w:rFonts w:hint="eastAsia" w:ascii="宋体" w:hAnsi="宋体"/>
                <w:bCs/>
                <w:sz w:val="24"/>
                <w:szCs w:val="22"/>
                <w:highlight w:val="none"/>
                <w:lang w:val="en-US" w:eastAsia="zh-CN"/>
              </w:rPr>
              <w:t>70</w:t>
            </w:r>
            <w:r>
              <w:rPr>
                <w:rFonts w:ascii="宋体" w:hAnsi="宋体"/>
                <w:bCs/>
                <w:sz w:val="24"/>
                <w:szCs w:val="22"/>
                <w:highlight w:val="none"/>
              </w:rPr>
              <w:t>万元</w:t>
            </w:r>
            <w:r>
              <w:rPr>
                <w:rFonts w:hint="eastAsia" w:ascii="宋体" w:hAnsi="宋体"/>
                <w:bCs/>
                <w:sz w:val="24"/>
                <w:szCs w:val="22"/>
                <w:highlight w:val="none"/>
              </w:rPr>
              <w:t>；</w:t>
            </w:r>
          </w:p>
          <w:p>
            <w:pPr>
              <w:spacing w:line="360" w:lineRule="auto"/>
              <w:rPr>
                <w:rFonts w:ascii="宋体" w:hAnsi="宋体"/>
                <w:bCs/>
                <w:sz w:val="24"/>
                <w:szCs w:val="22"/>
                <w:highlight w:val="none"/>
              </w:rPr>
            </w:pPr>
            <w:r>
              <w:rPr>
                <w:rFonts w:hint="eastAsia" w:ascii="宋体" w:hAnsi="宋体"/>
                <w:bCs/>
                <w:sz w:val="24"/>
                <w:szCs w:val="22"/>
                <w:highlight w:val="none"/>
              </w:rPr>
              <w:t>本项目</w:t>
            </w:r>
            <w:r>
              <w:rPr>
                <w:rFonts w:hint="eastAsia" w:ascii="宋体" w:hAnsi="宋体"/>
                <w:bCs/>
                <w:sz w:val="24"/>
                <w:szCs w:val="22"/>
                <w:highlight w:val="none"/>
                <w:lang w:val="en-US" w:eastAsia="zh-CN"/>
              </w:rPr>
              <w:t>是否</w:t>
            </w:r>
            <w:r>
              <w:rPr>
                <w:rFonts w:hint="eastAsia" w:ascii="宋体" w:hAnsi="宋体"/>
                <w:bCs/>
                <w:sz w:val="24"/>
                <w:szCs w:val="22"/>
                <w:highlight w:val="none"/>
              </w:rPr>
              <w:t>专门面向中小企业</w:t>
            </w:r>
            <w:r>
              <w:rPr>
                <w:rFonts w:hint="eastAsia" w:ascii="宋体" w:hAnsi="宋体"/>
                <w:bCs/>
                <w:sz w:val="24"/>
                <w:szCs w:val="22"/>
                <w:highlight w:val="none"/>
                <w:lang w:eastAsia="zh-CN"/>
              </w:rPr>
              <w:t>：</w:t>
            </w:r>
            <w:r>
              <w:rPr>
                <w:rFonts w:hint="eastAsia" w:ascii="宋体" w:hAnsi="宋体"/>
                <w:bCs/>
                <w:sz w:val="24"/>
                <w:szCs w:val="22"/>
                <w:highlight w:val="none"/>
                <w:lang w:val="en-US" w:eastAsia="zh-CN"/>
              </w:rPr>
              <w:t>否</w:t>
            </w:r>
            <w:r>
              <w:rPr>
                <w:rFonts w:hint="eastAsia" w:ascii="宋体" w:hAnsi="宋体"/>
                <w:bCs/>
                <w:sz w:val="24"/>
                <w:szCs w:val="22"/>
                <w:highlight w:val="none"/>
              </w:rPr>
              <w:t>；</w:t>
            </w:r>
          </w:p>
          <w:p>
            <w:pPr>
              <w:spacing w:line="360" w:lineRule="auto"/>
              <w:rPr>
                <w:rFonts w:hint="eastAsia" w:ascii="宋体" w:hAnsi="宋体"/>
                <w:bCs/>
                <w:sz w:val="24"/>
                <w:szCs w:val="22"/>
                <w:highlight w:val="none"/>
              </w:rPr>
            </w:pPr>
            <w:r>
              <w:rPr>
                <w:rFonts w:hint="eastAsia" w:ascii="宋体" w:hAnsi="宋体"/>
                <w:bCs/>
                <w:sz w:val="24"/>
                <w:szCs w:val="22"/>
                <w:highlight w:val="none"/>
              </w:rPr>
              <w:t>本项目标的所属行业：其他未列明行业。</w:t>
            </w:r>
          </w:p>
          <w:p>
            <w:pPr>
              <w:spacing w:line="360" w:lineRule="auto"/>
              <w:rPr>
                <w:highlight w:val="none"/>
              </w:rPr>
            </w:pPr>
            <w:r>
              <w:rPr>
                <w:rFonts w:hint="eastAsia" w:ascii="宋体" w:hAnsi="宋体" w:eastAsia="宋体" w:cs="宋体"/>
                <w:color w:val="auto"/>
                <w:kern w:val="0"/>
                <w:sz w:val="24"/>
                <w:szCs w:val="24"/>
                <w:highlight w:val="none"/>
                <w:lang w:val="en-US"/>
              </w:rPr>
              <w:t>其他未列明行业中小微企业认定标准：从业人员300人以下的为中小微型企业。其中，从业人员100人及以上的为中型企业；从业人员10人及以上的为小型企业；从业人员10人以下的为微型企业</w:t>
            </w:r>
            <w:r>
              <w:rPr>
                <w:rFonts w:hint="eastAsia" w:ascii="宋体" w:hAnsi="宋体" w:eastAsia="宋体" w:cs="宋体"/>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4</w:t>
            </w:r>
          </w:p>
        </w:tc>
        <w:tc>
          <w:tcPr>
            <w:tcW w:w="8621" w:type="dxa"/>
          </w:tcPr>
          <w:p>
            <w:pPr>
              <w:widowControl/>
              <w:spacing w:line="360" w:lineRule="auto"/>
              <w:rPr>
                <w:rFonts w:hint="eastAsia"/>
                <w:sz w:val="24"/>
                <w:highlight w:val="none"/>
              </w:rPr>
            </w:pPr>
            <w:r>
              <w:rPr>
                <w:rFonts w:hint="eastAsia"/>
                <w:sz w:val="24"/>
                <w:highlight w:val="none"/>
                <w:lang w:val="en-US" w:eastAsia="zh-CN"/>
              </w:rPr>
              <w:t>报价供应商</w:t>
            </w:r>
            <w:r>
              <w:rPr>
                <w:rFonts w:hint="eastAsia"/>
                <w:sz w:val="24"/>
                <w:highlight w:val="none"/>
              </w:rPr>
              <w:t>资格要求：</w:t>
            </w:r>
          </w:p>
          <w:p>
            <w:pPr>
              <w:widowControl/>
              <w:spacing w:line="360" w:lineRule="auto"/>
              <w:rPr>
                <w:sz w:val="24"/>
                <w:highlight w:val="none"/>
              </w:rPr>
            </w:pPr>
            <w:r>
              <w:rPr>
                <w:rFonts w:hint="eastAsia"/>
                <w:sz w:val="24"/>
                <w:highlight w:val="none"/>
              </w:rPr>
              <w:t>1、基本资格要求：</w:t>
            </w:r>
          </w:p>
          <w:p>
            <w:pPr>
              <w:widowControl/>
              <w:spacing w:line="360" w:lineRule="auto"/>
              <w:rPr>
                <w:rFonts w:ascii="宋体" w:hAnsi="宋体" w:cs="宋体"/>
                <w:kern w:val="0"/>
                <w:sz w:val="24"/>
                <w:highlight w:val="none"/>
              </w:rPr>
            </w:pPr>
            <w:r>
              <w:rPr>
                <w:rFonts w:hint="eastAsia"/>
                <w:sz w:val="24"/>
                <w:highlight w:val="none"/>
              </w:rPr>
              <w:t>（1）符合《中华人民共和国政府采购法》第二十二条的规定；</w:t>
            </w:r>
          </w:p>
          <w:p>
            <w:pPr>
              <w:widowControl/>
              <w:spacing w:line="360" w:lineRule="auto"/>
              <w:rPr>
                <w:rFonts w:hint="eastAsia"/>
                <w:sz w:val="24"/>
                <w:highlight w:val="none"/>
              </w:rPr>
            </w:pPr>
            <w:r>
              <w:rPr>
                <w:rFonts w:hint="eastAsia"/>
                <w:sz w:val="24"/>
                <w:highlight w:val="none"/>
              </w:rPr>
              <w:t>（2）</w:t>
            </w:r>
            <w:r>
              <w:rPr>
                <w:sz w:val="24"/>
                <w:highlight w:val="none"/>
              </w:rPr>
              <w:t>未被</w:t>
            </w:r>
            <w:r>
              <w:rPr>
                <w:rFonts w:hint="eastAsia"/>
                <w:sz w:val="24"/>
                <w:highlight w:val="none"/>
                <w:lang w:eastAsia="zh-CN"/>
              </w:rPr>
              <w:t>“</w:t>
            </w:r>
            <w:r>
              <w:rPr>
                <w:sz w:val="24"/>
                <w:highlight w:val="none"/>
              </w:rPr>
              <w:t>信用中国</w:t>
            </w:r>
            <w:r>
              <w:rPr>
                <w:rFonts w:hint="eastAsia"/>
                <w:sz w:val="24"/>
                <w:highlight w:val="none"/>
                <w:lang w:eastAsia="zh-CN"/>
              </w:rPr>
              <w:t>”</w:t>
            </w:r>
            <w:r>
              <w:rPr>
                <w:sz w:val="24"/>
                <w:highlight w:val="none"/>
              </w:rPr>
              <w:t>（www.creditchina.gov.cn）、中国政府采购网（www.ccgp.gov.cn）列入失信被执行人、重大税收违法案件当事人名单、政府采购严重违法失信行为记录名单</w:t>
            </w:r>
            <w:r>
              <w:rPr>
                <w:rFonts w:hint="eastAsia"/>
                <w:sz w:val="24"/>
                <w:highlight w:val="none"/>
              </w:rPr>
              <w:t>；</w:t>
            </w:r>
          </w:p>
          <w:p>
            <w:pPr>
              <w:widowControl/>
              <w:spacing w:line="360" w:lineRule="auto"/>
              <w:rPr>
                <w:highlight w:val="none"/>
              </w:rPr>
            </w:pPr>
            <w:r>
              <w:rPr>
                <w:rFonts w:hint="eastAsia"/>
                <w:sz w:val="24"/>
                <w:highlight w:val="none"/>
              </w:rPr>
              <w:t>2、本项目的特定资格要求：</w:t>
            </w:r>
          </w:p>
          <w:p>
            <w:pPr>
              <w:widowControl/>
              <w:shd w:val="clear" w:color="auto" w:fill="FFFFFF"/>
              <w:adjustRightInd w:val="0"/>
              <w:snapToGrid w:val="0"/>
              <w:spacing w:line="360" w:lineRule="auto"/>
              <w:rPr>
                <w:rFonts w:hint="eastAsia" w:ascii="宋体" w:hAnsi="宋体" w:cs="宋体"/>
                <w:color w:val="auto"/>
                <w:kern w:val="0"/>
                <w:sz w:val="24"/>
                <w:highlight w:val="none"/>
              </w:rPr>
            </w:pPr>
            <w:r>
              <w:rPr>
                <w:rFonts w:hint="eastAsia" w:ascii="宋体" w:hAnsi="宋体"/>
                <w:bCs/>
                <w:sz w:val="24"/>
                <w:szCs w:val="24"/>
                <w:highlight w:val="none"/>
              </w:rPr>
              <w:t>（1）</w:t>
            </w:r>
            <w:r>
              <w:rPr>
                <w:rFonts w:hint="eastAsia" w:ascii="宋体" w:hAnsi="宋体" w:cs="宋体"/>
                <w:kern w:val="0"/>
                <w:sz w:val="24"/>
                <w:highlight w:val="none"/>
              </w:rPr>
              <w:t>报价供应商应为中华人民共和国境内经国家相关管理机关注册并登记的具有独立法人资格的企（</w:t>
            </w:r>
            <w:r>
              <w:rPr>
                <w:rFonts w:hint="eastAsia" w:ascii="宋体" w:hAnsi="宋体" w:cs="宋体"/>
                <w:color w:val="auto"/>
                <w:kern w:val="0"/>
                <w:sz w:val="24"/>
                <w:highlight w:val="none"/>
              </w:rPr>
              <w:t>事业）单位、社会组织、其他组织和自然人；</w:t>
            </w:r>
          </w:p>
          <w:p>
            <w:pPr>
              <w:widowControl/>
              <w:shd w:val="clear" w:color="auto" w:fill="FFFFFF"/>
              <w:adjustRightInd w:val="0"/>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rPr>
              <w:t>（2）报价供应商</w:t>
            </w:r>
            <w:r>
              <w:rPr>
                <w:rFonts w:hint="eastAsia" w:ascii="宋体" w:hAnsi="宋体" w:cs="宋体"/>
                <w:color w:val="auto"/>
                <w:kern w:val="0"/>
                <w:sz w:val="24"/>
                <w:highlight w:val="none"/>
                <w:lang w:val="en-US" w:eastAsia="zh-CN"/>
              </w:rPr>
              <w:t>具备</w:t>
            </w:r>
            <w:r>
              <w:rPr>
                <w:rFonts w:hint="eastAsia" w:ascii="宋体" w:hAnsi="宋体" w:cs="宋体"/>
                <w:color w:val="auto"/>
                <w:kern w:val="0"/>
                <w:sz w:val="24"/>
                <w:highlight w:val="none"/>
              </w:rPr>
              <w:t>有效</w:t>
            </w:r>
            <w:r>
              <w:rPr>
                <w:rFonts w:hint="eastAsia" w:ascii="宋体" w:hAnsi="宋体" w:cs="宋体"/>
                <w:color w:val="auto"/>
                <w:kern w:val="0"/>
                <w:sz w:val="24"/>
                <w:highlight w:val="none"/>
                <w:lang w:val="en-US" w:eastAsia="zh-CN"/>
              </w:rPr>
              <w:t>的</w:t>
            </w:r>
            <w:r>
              <w:rPr>
                <w:rFonts w:hint="eastAsia" w:ascii="宋体" w:hAnsi="宋体" w:cs="宋体"/>
                <w:color w:val="auto"/>
                <w:kern w:val="0"/>
                <w:sz w:val="24"/>
                <w:highlight w:val="none"/>
              </w:rPr>
              <w:t>地质灾害防治单位资质证书（资质类别：危险性评估，资质等级：甲级）</w:t>
            </w:r>
            <w:r>
              <w:rPr>
                <w:rFonts w:hint="eastAsia" w:ascii="宋体" w:hAnsi="宋体" w:cs="宋体"/>
                <w:color w:val="auto"/>
                <w:kern w:val="0"/>
                <w:sz w:val="24"/>
                <w:highlight w:val="none"/>
                <w:lang w:val="en-US" w:eastAsia="zh-CN"/>
              </w:rPr>
              <w:t>及地质灾害治理工程勘查甲级资质</w:t>
            </w:r>
            <w:r>
              <w:rPr>
                <w:rFonts w:hint="eastAsia" w:ascii="宋体" w:hAnsi="宋体" w:cs="宋体"/>
                <w:color w:val="auto"/>
                <w:kern w:val="0"/>
                <w:sz w:val="24"/>
                <w:highlight w:val="none"/>
              </w:rPr>
              <w:t>；</w:t>
            </w:r>
          </w:p>
          <w:p>
            <w:pPr>
              <w:widowControl/>
              <w:shd w:val="clear" w:color="auto" w:fill="FFFFFF"/>
              <w:adjustRightInd w:val="0"/>
              <w:snapToGrid w:val="0"/>
              <w:spacing w:line="360" w:lineRule="auto"/>
              <w:rPr>
                <w:rFonts w:ascii="宋体" w:hAnsi="宋体"/>
                <w:bCs/>
                <w:sz w:val="24"/>
                <w:szCs w:val="24"/>
                <w:highlight w:val="none"/>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）授权代表应为报价供应商本单位在职员工，提供与企业签订的劳动合同和由</w:t>
            </w:r>
            <w:r>
              <w:rPr>
                <w:rFonts w:hint="eastAsia" w:ascii="宋体" w:hAnsi="宋体" w:cs="宋体"/>
                <w:bCs/>
                <w:kern w:val="0"/>
                <w:sz w:val="24"/>
                <w:szCs w:val="24"/>
                <w:highlight w:val="none"/>
              </w:rPr>
              <w:t>法定的社保收缴部门出具的</w:t>
            </w:r>
            <w:r>
              <w:rPr>
                <w:rFonts w:hint="eastAsia" w:ascii="宋体" w:hAnsi="宋体" w:cs="宋体"/>
                <w:bCs/>
                <w:kern w:val="0"/>
                <w:sz w:val="24"/>
                <w:szCs w:val="24"/>
                <w:highlight w:val="none"/>
                <w:lang w:eastAsia="zh-CN"/>
              </w:rPr>
              <w:t>2021年</w:t>
            </w:r>
            <w:r>
              <w:rPr>
                <w:rFonts w:hint="eastAsia" w:ascii="宋体" w:hAnsi="宋体" w:cs="宋体"/>
                <w:bCs/>
                <w:kern w:val="0"/>
                <w:sz w:val="24"/>
                <w:szCs w:val="24"/>
                <w:highlight w:val="none"/>
                <w:lang w:val="en-US" w:eastAsia="zh-CN"/>
              </w:rPr>
              <w:t>6</w:t>
            </w:r>
            <w:r>
              <w:rPr>
                <w:rFonts w:hint="eastAsia" w:ascii="宋体" w:hAnsi="宋体" w:cs="宋体"/>
                <w:bCs/>
                <w:kern w:val="0"/>
                <w:sz w:val="24"/>
                <w:szCs w:val="24"/>
                <w:highlight w:val="none"/>
                <w:lang w:eastAsia="zh-CN"/>
              </w:rPr>
              <w:t>月-2021年</w:t>
            </w:r>
            <w:r>
              <w:rPr>
                <w:rFonts w:hint="eastAsia" w:ascii="宋体" w:hAnsi="宋体" w:cs="宋体"/>
                <w:bCs/>
                <w:kern w:val="0"/>
                <w:sz w:val="24"/>
                <w:szCs w:val="24"/>
                <w:highlight w:val="none"/>
                <w:lang w:val="en-US" w:eastAsia="zh-CN"/>
              </w:rPr>
              <w:t>11</w:t>
            </w:r>
            <w:r>
              <w:rPr>
                <w:rFonts w:hint="eastAsia" w:ascii="宋体" w:hAnsi="宋体" w:cs="宋体"/>
                <w:bCs/>
                <w:kern w:val="0"/>
                <w:sz w:val="24"/>
                <w:szCs w:val="24"/>
                <w:highlight w:val="none"/>
                <w:lang w:eastAsia="zh-CN"/>
              </w:rPr>
              <w:t>月</w:t>
            </w:r>
            <w:r>
              <w:rPr>
                <w:rFonts w:hint="eastAsia" w:ascii="宋体" w:hAnsi="宋体" w:cs="宋体"/>
                <w:bCs/>
                <w:kern w:val="0"/>
                <w:sz w:val="24"/>
                <w:szCs w:val="24"/>
                <w:highlight w:val="none"/>
              </w:rPr>
              <w:t>的报价供应商依法为其缴纳社会保险证明</w:t>
            </w:r>
            <w:r>
              <w:rPr>
                <w:rFonts w:hint="eastAsia" w:ascii="宋体" w:hAnsi="宋体"/>
                <w:bCs/>
                <w:sz w:val="24"/>
                <w:szCs w:val="24"/>
                <w:highlight w:val="none"/>
              </w:rPr>
              <w:t>（</w:t>
            </w:r>
            <w:r>
              <w:rPr>
                <w:rFonts w:hint="eastAsia"/>
                <w:sz w:val="24"/>
                <w:highlight w:val="none"/>
              </w:rPr>
              <w:t>如报价供应商成立时间迟于要求的开始月份，则时间要求为报价供应商成立时间至截止时间</w:t>
            </w:r>
            <w:r>
              <w:rPr>
                <w:rFonts w:hint="eastAsia" w:ascii="宋体" w:hAnsi="宋体"/>
                <w:bCs/>
                <w:sz w:val="24"/>
                <w:szCs w:val="24"/>
                <w:highlight w:val="none"/>
              </w:rPr>
              <w:t>）；</w:t>
            </w:r>
          </w:p>
          <w:p>
            <w:pPr>
              <w:widowControl/>
              <w:shd w:val="clear" w:color="auto" w:fill="FFFFFF"/>
              <w:adjustRightInd w:val="0"/>
              <w:snapToGrid w:val="0"/>
              <w:spacing w:line="360" w:lineRule="auto"/>
              <w:rPr>
                <w:rFonts w:ascii="宋体" w:hAnsi="宋体"/>
                <w:bCs/>
                <w:sz w:val="24"/>
                <w:szCs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4</w:t>
            </w:r>
            <w:r>
              <w:rPr>
                <w:rFonts w:hint="eastAsia" w:ascii="宋体" w:hAnsi="宋体" w:cs="宋体"/>
                <w:kern w:val="0"/>
                <w:sz w:val="24"/>
                <w:highlight w:val="none"/>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5</w:t>
            </w:r>
          </w:p>
        </w:tc>
        <w:tc>
          <w:tcPr>
            <w:tcW w:w="8621" w:type="dxa"/>
          </w:tcPr>
          <w:p>
            <w:pPr>
              <w:adjustRightInd w:val="0"/>
              <w:snapToGrid w:val="0"/>
              <w:spacing w:line="360" w:lineRule="auto"/>
              <w:rPr>
                <w:rFonts w:ascii="宋体" w:hAnsi="宋体"/>
                <w:bCs/>
                <w:sz w:val="24"/>
                <w:szCs w:val="24"/>
                <w:highlight w:val="none"/>
              </w:rPr>
            </w:pPr>
            <w:r>
              <w:rPr>
                <w:rFonts w:hint="eastAsia" w:ascii="宋体" w:hAnsi="宋体" w:cs="宋体"/>
                <w:sz w:val="24"/>
                <w:highlight w:val="none"/>
              </w:rPr>
              <w:t>提供磋商文件时间：</w:t>
            </w:r>
            <w:r>
              <w:rPr>
                <w:rFonts w:hint="eastAsia" w:ascii="宋体" w:hAnsi="宋体" w:cs="宋体"/>
                <w:kern w:val="0"/>
                <w:sz w:val="24"/>
                <w:highlight w:val="none"/>
              </w:rPr>
              <w:t>2021年</w:t>
            </w:r>
            <w:r>
              <w:rPr>
                <w:rFonts w:hint="eastAsia" w:ascii="宋体" w:hAnsi="宋体" w:cs="宋体"/>
                <w:kern w:val="0"/>
                <w:sz w:val="24"/>
                <w:highlight w:val="none"/>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9</w:t>
            </w:r>
            <w:r>
              <w:rPr>
                <w:rFonts w:hint="eastAsia" w:ascii="宋体" w:hAnsi="宋体" w:cs="宋体"/>
                <w:kern w:val="0"/>
                <w:sz w:val="24"/>
                <w:highlight w:val="none"/>
              </w:rPr>
              <w:t>日至2021年</w:t>
            </w:r>
            <w:r>
              <w:rPr>
                <w:rFonts w:hint="eastAsia" w:ascii="宋体" w:hAnsi="宋体" w:cs="宋体"/>
                <w:kern w:val="0"/>
                <w:sz w:val="24"/>
                <w:highlight w:val="none"/>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16</w:t>
            </w:r>
            <w:r>
              <w:rPr>
                <w:rFonts w:hint="eastAsia" w:ascii="宋体" w:hAnsi="宋体" w:cs="宋体"/>
                <w:kern w:val="0"/>
                <w:sz w:val="24"/>
                <w:highlight w:val="none"/>
              </w:rPr>
              <w:t>日（法定假日除外）</w:t>
            </w:r>
            <w:r>
              <w:rPr>
                <w:rFonts w:hint="eastAsia" w:ascii="宋体" w:hAnsi="宋体"/>
                <w:sz w:val="24"/>
                <w:szCs w:val="24"/>
                <w:highlight w:val="none"/>
                <w:shd w:val="clear" w:color="auto" w:fill="FFFFFF"/>
              </w:rPr>
              <w:t>（法定假日除外）</w:t>
            </w:r>
            <w:r>
              <w:rPr>
                <w:rFonts w:hint="eastAsia" w:ascii="宋体" w:hAnsi="宋体"/>
                <w:bCs/>
                <w:sz w:val="24"/>
                <w:szCs w:val="24"/>
                <w:highlight w:val="none"/>
              </w:rPr>
              <w:t>，每天9:00~11:</w:t>
            </w:r>
            <w:r>
              <w:rPr>
                <w:rFonts w:ascii="宋体" w:hAnsi="宋体"/>
                <w:bCs/>
                <w:sz w:val="24"/>
                <w:szCs w:val="24"/>
                <w:highlight w:val="none"/>
              </w:rPr>
              <w:t>3</w:t>
            </w:r>
            <w:r>
              <w:rPr>
                <w:rFonts w:hint="eastAsia" w:ascii="宋体" w:hAnsi="宋体"/>
                <w:bCs/>
                <w:sz w:val="24"/>
                <w:szCs w:val="24"/>
                <w:highlight w:val="none"/>
              </w:rPr>
              <w:t>0,13:30~16:00。售价：</w:t>
            </w:r>
            <w:r>
              <w:rPr>
                <w:rFonts w:hint="eastAsia" w:ascii="宋体" w:hAnsi="宋体"/>
                <w:bCs/>
                <w:sz w:val="24"/>
                <w:szCs w:val="24"/>
                <w:highlight w:val="none"/>
                <w:lang w:val="en-US" w:eastAsia="zh-CN"/>
              </w:rPr>
              <w:t>叁</w:t>
            </w:r>
            <w:r>
              <w:rPr>
                <w:rFonts w:hint="eastAsia" w:ascii="宋体" w:hAnsi="宋体"/>
                <w:bCs/>
                <w:sz w:val="24"/>
                <w:szCs w:val="24"/>
                <w:highlight w:val="none"/>
              </w:rPr>
              <w:t>佰元/份，现金支付，</w:t>
            </w:r>
            <w:r>
              <w:rPr>
                <w:rFonts w:hint="eastAsia" w:ascii="宋体" w:hAnsi="宋体" w:cs="宋体"/>
                <w:sz w:val="24"/>
                <w:highlight w:val="none"/>
              </w:rPr>
              <w:t>磋商文件</w:t>
            </w:r>
            <w:r>
              <w:rPr>
                <w:rFonts w:hint="eastAsia" w:ascii="宋体" w:hAnsi="宋体"/>
                <w:bCs/>
                <w:sz w:val="24"/>
                <w:szCs w:val="24"/>
                <w:highlight w:val="none"/>
              </w:rPr>
              <w:t>售后不退。</w:t>
            </w:r>
          </w:p>
          <w:p>
            <w:pPr>
              <w:adjustRightInd w:val="0"/>
              <w:snapToGrid w:val="0"/>
              <w:spacing w:line="360" w:lineRule="auto"/>
              <w:ind w:left="-59" w:leftChars="-28"/>
              <w:rPr>
                <w:rFonts w:ascii="宋体" w:hAnsi="宋体"/>
                <w:bCs/>
                <w:sz w:val="24"/>
                <w:szCs w:val="24"/>
                <w:highlight w:val="none"/>
              </w:rPr>
            </w:pPr>
            <w:r>
              <w:rPr>
                <w:rFonts w:hint="eastAsia" w:ascii="宋体" w:hAnsi="宋体"/>
                <w:bCs/>
                <w:sz w:val="24"/>
                <w:szCs w:val="24"/>
                <w:highlight w:val="none"/>
              </w:rPr>
              <w:t>磋商文件提供地点：</w:t>
            </w:r>
            <w:r>
              <w:rPr>
                <w:rFonts w:hint="eastAsia" w:ascii="宋体" w:hAnsi="宋体"/>
                <w:sz w:val="24"/>
                <w:highlight w:val="none"/>
                <w:lang w:eastAsia="zh-CN"/>
              </w:rPr>
              <w:t>中嘉工程管理咨询（江苏）有限公司</w:t>
            </w:r>
            <w:r>
              <w:rPr>
                <w:rFonts w:hint="eastAsia" w:ascii="宋体" w:hAnsi="宋体"/>
                <w:sz w:val="24"/>
                <w:highlight w:val="none"/>
              </w:rPr>
              <w:t>(无锡市滨湖区太湖西大道2168号中锐佳诚国际大厦A栋608室)</w:t>
            </w:r>
          </w:p>
          <w:p>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磋商文件提供方式：电子文档介质。</w:t>
            </w:r>
            <w:r>
              <w:rPr>
                <w:rFonts w:hint="eastAsia" w:ascii="宋体" w:hAnsi="宋体" w:cs="宋体"/>
                <w:sz w:val="24"/>
                <w:highlight w:val="none"/>
                <w:lang w:val="en-US" w:eastAsia="zh-CN"/>
              </w:rPr>
              <w:t>获取磋商文件时，供应商</w:t>
            </w:r>
            <w:r>
              <w:rPr>
                <w:rFonts w:hint="eastAsia" w:ascii="宋体" w:hAnsi="宋体" w:cs="宋体"/>
                <w:sz w:val="24"/>
                <w:highlight w:val="none"/>
              </w:rPr>
              <w:t>同时递交以下资料的原件和加盖公章的复印件：营业执照、单位介绍信或法人授权委托书（加盖单位公章）注明联系人、联系方式、邮箱；</w:t>
            </w:r>
          </w:p>
          <w:p>
            <w:pPr>
              <w:adjustRightInd w:val="0"/>
              <w:snapToGrid w:val="0"/>
              <w:spacing w:line="360" w:lineRule="auto"/>
              <w:ind w:left="-59" w:leftChars="-28"/>
              <w:rPr>
                <w:rFonts w:ascii="宋体" w:hAnsi="宋体"/>
                <w:bCs/>
                <w:sz w:val="24"/>
                <w:szCs w:val="24"/>
                <w:highlight w:val="none"/>
              </w:rPr>
            </w:pPr>
            <w:r>
              <w:rPr>
                <w:rFonts w:hint="eastAsia" w:ascii="宋体" w:hAnsi="宋体"/>
                <w:sz w:val="24"/>
                <w:highlight w:val="none"/>
              </w:rPr>
              <w:t>报价供应商应承担其编制投标文件以及递交投标文件所涉及的一切费用。无论投标结果如何，采购人对上述费用不负任何责任。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6</w:t>
            </w:r>
          </w:p>
        </w:tc>
        <w:tc>
          <w:tcPr>
            <w:tcW w:w="8621" w:type="dxa"/>
          </w:tcPr>
          <w:p>
            <w:pPr>
              <w:widowControl/>
              <w:topLinePunct/>
              <w:spacing w:line="360" w:lineRule="auto"/>
              <w:rPr>
                <w:rFonts w:ascii="宋体" w:hAnsi="宋体"/>
                <w:sz w:val="24"/>
                <w:szCs w:val="24"/>
                <w:highlight w:val="none"/>
              </w:rPr>
            </w:pPr>
            <w:r>
              <w:rPr>
                <w:rFonts w:hint="eastAsia" w:ascii="宋体" w:hAnsi="宋体" w:cs="宋体"/>
                <w:sz w:val="24"/>
                <w:highlight w:val="none"/>
              </w:rPr>
              <w:t>供应商要求修改竞争性磋商文件的截止时间</w:t>
            </w:r>
            <w:r>
              <w:rPr>
                <w:rFonts w:hint="eastAsia" w:ascii="宋体" w:hAnsi="宋体" w:cs="宋体"/>
                <w:kern w:val="0"/>
                <w:sz w:val="24"/>
                <w:highlight w:val="none"/>
              </w:rPr>
              <w:t>2021年</w:t>
            </w:r>
            <w:r>
              <w:rPr>
                <w:rFonts w:hint="eastAsia" w:ascii="宋体" w:hAnsi="宋体" w:cs="宋体"/>
                <w:kern w:val="0"/>
                <w:sz w:val="24"/>
                <w:highlight w:val="none"/>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17</w:t>
            </w:r>
            <w:r>
              <w:rPr>
                <w:rFonts w:hint="eastAsia" w:ascii="宋体" w:hAnsi="宋体" w:cs="宋体"/>
                <w:kern w:val="0"/>
                <w:sz w:val="24"/>
                <w:highlight w:val="none"/>
              </w:rPr>
              <w:t>日</w:t>
            </w:r>
            <w:r>
              <w:rPr>
                <w:rFonts w:hint="eastAsia" w:ascii="宋体" w:hAnsi="宋体"/>
                <w:sz w:val="24"/>
                <w:szCs w:val="24"/>
                <w:highlight w:val="none"/>
              </w:rPr>
              <w:t>1</w:t>
            </w:r>
            <w:r>
              <w:rPr>
                <w:rFonts w:ascii="宋体" w:hAnsi="宋体"/>
                <w:sz w:val="24"/>
                <w:szCs w:val="24"/>
                <w:highlight w:val="none"/>
              </w:rPr>
              <w:t>0</w:t>
            </w:r>
            <w:r>
              <w:rPr>
                <w:rFonts w:hint="eastAsia" w:ascii="宋体" w:hAnsi="宋体"/>
                <w:sz w:val="24"/>
                <w:szCs w:val="24"/>
                <w:highlight w:val="none"/>
              </w:rPr>
              <w:t>时，以书面形式和电子邮件形式发送给采购代理机构。</w:t>
            </w:r>
          </w:p>
          <w:p>
            <w:pPr>
              <w:adjustRightInd w:val="0"/>
              <w:snapToGrid w:val="0"/>
              <w:spacing w:line="360" w:lineRule="auto"/>
              <w:rPr>
                <w:rFonts w:ascii="宋体" w:hAnsi="宋体"/>
                <w:bCs/>
                <w:sz w:val="24"/>
                <w:szCs w:val="24"/>
                <w:highlight w:val="none"/>
              </w:rPr>
            </w:pPr>
            <w:r>
              <w:rPr>
                <w:rFonts w:hint="eastAsia" w:ascii="宋体" w:hAnsi="宋体" w:cs="宋体"/>
                <w:sz w:val="24"/>
                <w:highlight w:val="none"/>
              </w:rPr>
              <w:t>采购人对竞争性磋商文件澄清修改的时间：</w:t>
            </w:r>
            <w:r>
              <w:rPr>
                <w:rFonts w:hint="eastAsia" w:ascii="宋体" w:hAnsi="宋体" w:cs="宋体"/>
                <w:kern w:val="0"/>
                <w:sz w:val="24"/>
                <w:highlight w:val="none"/>
              </w:rPr>
              <w:t>2021年</w:t>
            </w:r>
            <w:r>
              <w:rPr>
                <w:rFonts w:hint="eastAsia" w:ascii="宋体" w:hAnsi="宋体" w:cs="宋体"/>
                <w:kern w:val="0"/>
                <w:sz w:val="24"/>
                <w:highlight w:val="none"/>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22</w:t>
            </w:r>
            <w:r>
              <w:rPr>
                <w:rFonts w:hint="eastAsia" w:ascii="宋体" w:hAnsi="宋体" w:cs="宋体"/>
                <w:kern w:val="0"/>
                <w:sz w:val="24"/>
                <w:highlight w:val="none"/>
              </w:rPr>
              <w:t>日</w:t>
            </w:r>
            <w:r>
              <w:rPr>
                <w:rFonts w:hint="eastAsia" w:ascii="宋体" w:hAnsi="宋体"/>
                <w:sz w:val="24"/>
                <w:szCs w:val="24"/>
                <w:highlight w:val="none"/>
              </w:rPr>
              <w:t>17时前，以书面或电邮件形式发送给各报名报价供应商。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7</w:t>
            </w:r>
          </w:p>
        </w:tc>
        <w:tc>
          <w:tcPr>
            <w:tcW w:w="8621" w:type="dxa"/>
          </w:tcPr>
          <w:p>
            <w:pPr>
              <w:widowControl/>
              <w:topLinePunct/>
              <w:spacing w:line="360" w:lineRule="auto"/>
              <w:rPr>
                <w:rFonts w:ascii="宋体" w:hAnsi="宋体"/>
                <w:sz w:val="24"/>
                <w:highlight w:val="none"/>
              </w:rPr>
            </w:pPr>
            <w:r>
              <w:rPr>
                <w:rFonts w:hint="eastAsia" w:ascii="宋体" w:hAnsi="宋体"/>
                <w:sz w:val="24"/>
                <w:szCs w:val="24"/>
                <w:highlight w:val="none"/>
              </w:rPr>
              <w:t>报价供应商免交磋商保证金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8</w:t>
            </w:r>
          </w:p>
        </w:tc>
        <w:tc>
          <w:tcPr>
            <w:tcW w:w="8621" w:type="dxa"/>
          </w:tcPr>
          <w:p>
            <w:pPr>
              <w:adjustRightInd w:val="0"/>
              <w:snapToGrid w:val="0"/>
              <w:spacing w:line="360" w:lineRule="auto"/>
              <w:rPr>
                <w:rFonts w:ascii="宋体" w:hAnsi="宋体"/>
                <w:sz w:val="24"/>
                <w:szCs w:val="24"/>
                <w:highlight w:val="none"/>
              </w:rPr>
            </w:pPr>
            <w:r>
              <w:rPr>
                <w:rFonts w:hint="eastAsia" w:ascii="宋体" w:hAnsi="宋体"/>
                <w:bCs/>
                <w:sz w:val="24"/>
                <w:szCs w:val="24"/>
                <w:highlight w:val="none"/>
              </w:rPr>
              <w:t>报价有效期：</w:t>
            </w:r>
            <w:r>
              <w:rPr>
                <w:rFonts w:hint="eastAsia" w:ascii="宋体" w:hAnsi="宋体" w:cs="宋体"/>
                <w:sz w:val="24"/>
                <w:highlight w:val="none"/>
              </w:rPr>
              <w:t>磋商截止时间</w:t>
            </w:r>
            <w:r>
              <w:rPr>
                <w:rFonts w:hint="eastAsia" w:ascii="宋体" w:hAnsi="宋体"/>
                <w:sz w:val="24"/>
                <w:highlight w:val="none"/>
              </w:rPr>
              <w:t>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9</w:t>
            </w:r>
          </w:p>
        </w:tc>
        <w:tc>
          <w:tcPr>
            <w:tcW w:w="8621" w:type="dxa"/>
          </w:tcPr>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响应文件开始接受时间：</w:t>
            </w:r>
            <w:r>
              <w:rPr>
                <w:rFonts w:hint="eastAsia" w:ascii="宋体" w:hAnsi="宋体" w:cs="宋体"/>
                <w:kern w:val="0"/>
                <w:sz w:val="24"/>
                <w:highlight w:val="none"/>
              </w:rPr>
              <w:t>2021年</w:t>
            </w:r>
            <w:r>
              <w:rPr>
                <w:rFonts w:hint="eastAsia" w:ascii="宋体" w:hAnsi="宋体" w:cs="宋体"/>
                <w:kern w:val="0"/>
                <w:sz w:val="24"/>
                <w:highlight w:val="none"/>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31</w:t>
            </w:r>
            <w:r>
              <w:rPr>
                <w:rFonts w:hint="eastAsia" w:ascii="宋体" w:hAnsi="宋体" w:cs="宋体"/>
                <w:kern w:val="0"/>
                <w:sz w:val="24"/>
                <w:highlight w:val="none"/>
              </w:rPr>
              <w:t>日</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w:t>
            </w:r>
            <w:r>
              <w:rPr>
                <w:rFonts w:ascii="宋体" w:hAnsi="宋体"/>
                <w:color w:val="auto"/>
                <w:sz w:val="24"/>
                <w:szCs w:val="24"/>
                <w:highlight w:val="none"/>
              </w:rPr>
              <w:t>0</w:t>
            </w:r>
            <w:r>
              <w:rPr>
                <w:rFonts w:hint="eastAsia" w:ascii="宋体" w:hAnsi="宋体"/>
                <w:color w:val="auto"/>
                <w:sz w:val="24"/>
                <w:szCs w:val="24"/>
                <w:highlight w:val="none"/>
              </w:rPr>
              <w:t xml:space="preserve">0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响应文件接受截止时间：</w:t>
            </w:r>
            <w:r>
              <w:rPr>
                <w:rFonts w:hint="eastAsia" w:ascii="宋体" w:hAnsi="宋体" w:cs="宋体"/>
                <w:kern w:val="0"/>
                <w:sz w:val="24"/>
                <w:highlight w:val="none"/>
              </w:rPr>
              <w:t>2021年</w:t>
            </w:r>
            <w:r>
              <w:rPr>
                <w:rFonts w:hint="eastAsia" w:ascii="宋体" w:hAnsi="宋体" w:cs="宋体"/>
                <w:kern w:val="0"/>
                <w:sz w:val="24"/>
                <w:highlight w:val="none"/>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31</w:t>
            </w:r>
            <w:r>
              <w:rPr>
                <w:rFonts w:hint="eastAsia" w:ascii="宋体" w:hAnsi="宋体" w:cs="宋体"/>
                <w:kern w:val="0"/>
                <w:sz w:val="24"/>
                <w:highlight w:val="none"/>
              </w:rPr>
              <w:t>日</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0止，截止期后的响应文件恕不接受。</w:t>
            </w:r>
          </w:p>
          <w:p>
            <w:pPr>
              <w:adjustRightInd w:val="0"/>
              <w:snapToGrid w:val="0"/>
              <w:spacing w:line="360" w:lineRule="auto"/>
              <w:rPr>
                <w:rFonts w:ascii="宋体" w:hAnsi="宋体"/>
                <w:color w:val="auto"/>
                <w:sz w:val="24"/>
                <w:szCs w:val="24"/>
                <w:highlight w:val="none"/>
              </w:rPr>
            </w:pPr>
            <w:r>
              <w:rPr>
                <w:rFonts w:hint="eastAsia" w:ascii="宋体" w:hAnsi="宋体" w:cs="宋体"/>
                <w:color w:val="auto"/>
                <w:sz w:val="24"/>
                <w:highlight w:val="none"/>
              </w:rPr>
              <w:t>响应文件接受地点</w:t>
            </w:r>
            <w:r>
              <w:rPr>
                <w:rFonts w:hint="eastAsia" w:ascii="宋体" w:hAnsi="宋体"/>
                <w:color w:val="auto"/>
                <w:sz w:val="24"/>
                <w:szCs w:val="24"/>
                <w:highlight w:val="none"/>
              </w:rPr>
              <w:t>：</w:t>
            </w:r>
            <w:r>
              <w:rPr>
                <w:rFonts w:hint="eastAsia" w:ascii="宋体" w:hAnsi="宋体" w:eastAsia="宋体" w:cs="宋体"/>
                <w:highlight w:val="none"/>
              </w:rPr>
              <w:t>无锡市公共资源交易中心新吴分中心（新区长江路7号科技园四区一楼）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10</w:t>
            </w:r>
          </w:p>
        </w:tc>
        <w:tc>
          <w:tcPr>
            <w:tcW w:w="8621" w:type="dxa"/>
          </w:tcPr>
          <w:p>
            <w:pPr>
              <w:adjustRightInd w:val="0"/>
              <w:snapToGrid w:val="0"/>
              <w:spacing w:line="360" w:lineRule="auto"/>
              <w:rPr>
                <w:rFonts w:ascii="宋体" w:hAnsi="宋体"/>
                <w:bCs/>
                <w:color w:val="auto"/>
                <w:sz w:val="24"/>
                <w:szCs w:val="24"/>
                <w:highlight w:val="none"/>
              </w:rPr>
            </w:pPr>
            <w:r>
              <w:rPr>
                <w:rFonts w:hint="eastAsia" w:ascii="宋体" w:hAnsi="宋体" w:cs="宋体"/>
                <w:color w:val="auto"/>
                <w:sz w:val="24"/>
                <w:highlight w:val="none"/>
              </w:rPr>
              <w:t>磋商开始时间</w:t>
            </w:r>
            <w:r>
              <w:rPr>
                <w:rFonts w:hint="eastAsia" w:ascii="宋体" w:hAnsi="宋体"/>
                <w:bCs/>
                <w:color w:val="auto"/>
                <w:sz w:val="24"/>
                <w:szCs w:val="24"/>
                <w:highlight w:val="none"/>
              </w:rPr>
              <w:t>：</w:t>
            </w:r>
            <w:r>
              <w:rPr>
                <w:rFonts w:hint="eastAsia" w:ascii="宋体" w:hAnsi="宋体"/>
                <w:color w:val="auto"/>
                <w:sz w:val="24"/>
                <w:szCs w:val="24"/>
                <w:highlight w:val="none"/>
              </w:rPr>
              <w:t>20</w:t>
            </w:r>
            <w:r>
              <w:rPr>
                <w:rFonts w:ascii="宋体" w:hAnsi="宋体"/>
                <w:color w:val="auto"/>
                <w:sz w:val="24"/>
                <w:szCs w:val="24"/>
                <w:highlight w:val="none"/>
              </w:rPr>
              <w:t>2</w:t>
            </w:r>
            <w:r>
              <w:rPr>
                <w:rFonts w:hint="eastAsia" w:ascii="宋体" w:hAnsi="宋体"/>
                <w:color w:val="auto"/>
                <w:sz w:val="24"/>
                <w:szCs w:val="24"/>
                <w:highlight w:val="none"/>
              </w:rPr>
              <w:t>1年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日</w:t>
            </w:r>
            <w:r>
              <w:rPr>
                <w:rFonts w:hint="eastAsia" w:ascii="宋体" w:hAnsi="宋体"/>
                <w:bCs/>
                <w:color w:val="auto"/>
                <w:sz w:val="24"/>
                <w:szCs w:val="24"/>
                <w:highlight w:val="none"/>
                <w:lang w:val="en-US" w:eastAsia="zh-CN"/>
              </w:rPr>
              <w:t>13</w:t>
            </w:r>
            <w:r>
              <w:rPr>
                <w:rFonts w:hint="eastAsia" w:ascii="宋体" w:hAnsi="宋体"/>
                <w:bCs/>
                <w:color w:val="auto"/>
                <w:sz w:val="24"/>
                <w:szCs w:val="24"/>
                <w:highlight w:val="none"/>
              </w:rPr>
              <w:t>时</w:t>
            </w:r>
            <w:r>
              <w:rPr>
                <w:rFonts w:ascii="宋体" w:hAnsi="宋体"/>
                <w:bCs/>
                <w:color w:val="auto"/>
                <w:sz w:val="24"/>
                <w:szCs w:val="24"/>
                <w:highlight w:val="none"/>
              </w:rPr>
              <w:t>30</w:t>
            </w:r>
            <w:r>
              <w:rPr>
                <w:rFonts w:hint="eastAsia" w:ascii="宋体" w:hAnsi="宋体"/>
                <w:bCs/>
                <w:color w:val="auto"/>
                <w:sz w:val="24"/>
                <w:szCs w:val="24"/>
                <w:highlight w:val="none"/>
              </w:rPr>
              <w:t>分</w:t>
            </w:r>
          </w:p>
          <w:p>
            <w:pPr>
              <w:adjustRightInd w:val="0"/>
              <w:snapToGrid w:val="0"/>
              <w:spacing w:line="360" w:lineRule="auto"/>
              <w:rPr>
                <w:rFonts w:ascii="宋体" w:hAnsi="宋体"/>
                <w:color w:val="auto"/>
                <w:sz w:val="24"/>
                <w:highlight w:val="none"/>
              </w:rPr>
            </w:pPr>
            <w:r>
              <w:rPr>
                <w:rFonts w:hint="eastAsia" w:ascii="宋体" w:hAnsi="宋体" w:cs="宋体"/>
                <w:color w:val="auto"/>
                <w:sz w:val="24"/>
                <w:highlight w:val="none"/>
              </w:rPr>
              <w:t>磋商地点</w:t>
            </w:r>
            <w:r>
              <w:rPr>
                <w:rFonts w:hint="eastAsia" w:ascii="宋体" w:hAnsi="宋体"/>
                <w:bCs/>
                <w:color w:val="auto"/>
                <w:sz w:val="24"/>
                <w:szCs w:val="24"/>
                <w:highlight w:val="none"/>
              </w:rPr>
              <w:t>：无锡市公共资源交易中心新吴分中心（新区长江路7号科技园四区一楼）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11</w:t>
            </w:r>
          </w:p>
        </w:tc>
        <w:tc>
          <w:tcPr>
            <w:tcW w:w="8621" w:type="dxa"/>
          </w:tcPr>
          <w:p>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确定成交单位时间：</w:t>
            </w:r>
            <w:r>
              <w:rPr>
                <w:rFonts w:hint="eastAsia" w:ascii="宋体" w:hAnsi="宋体"/>
                <w:color w:val="auto"/>
                <w:sz w:val="24"/>
                <w:szCs w:val="24"/>
                <w:highlight w:val="none"/>
              </w:rPr>
              <w:t>20</w:t>
            </w:r>
            <w:r>
              <w:rPr>
                <w:rFonts w:ascii="宋体" w:hAnsi="宋体"/>
                <w:color w:val="auto"/>
                <w:sz w:val="24"/>
                <w:szCs w:val="24"/>
                <w:highlight w:val="none"/>
              </w:rPr>
              <w:t>2</w:t>
            </w:r>
            <w:r>
              <w:rPr>
                <w:rFonts w:hint="eastAsia" w:ascii="宋体" w:hAnsi="宋体"/>
                <w:color w:val="auto"/>
                <w:sz w:val="24"/>
                <w:szCs w:val="24"/>
                <w:highlight w:val="none"/>
              </w:rPr>
              <w:t>1年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日</w:t>
            </w:r>
            <w:r>
              <w:rPr>
                <w:rFonts w:hint="eastAsia" w:ascii="宋体" w:hAnsi="宋体" w:cs="宋体"/>
                <w:color w:val="auto"/>
                <w:kern w:val="0"/>
                <w:sz w:val="24"/>
                <w:szCs w:val="24"/>
                <w:highlight w:val="none"/>
              </w:rPr>
              <w:t>评审结束</w:t>
            </w:r>
          </w:p>
          <w:p>
            <w:pPr>
              <w:adjustRightInd w:val="0"/>
              <w:snapToGrid w:val="0"/>
              <w:spacing w:line="360" w:lineRule="auto"/>
              <w:rPr>
                <w:rFonts w:ascii="宋体" w:hAnsi="宋体"/>
                <w:bCs/>
                <w:color w:val="auto"/>
                <w:sz w:val="24"/>
                <w:szCs w:val="24"/>
                <w:highlight w:val="none"/>
              </w:rPr>
            </w:pPr>
            <w:r>
              <w:rPr>
                <w:rFonts w:hint="eastAsia" w:ascii="宋体" w:hAnsi="宋体" w:cs="宋体"/>
                <w:color w:val="auto"/>
                <w:kern w:val="0"/>
                <w:sz w:val="24"/>
                <w:szCs w:val="24"/>
                <w:highlight w:val="none"/>
              </w:rPr>
              <w:t>确定成交单位地点：无锡市公共资源交易中心新吴分中心（新区长江路7号科技园四区一楼）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12</w:t>
            </w:r>
          </w:p>
        </w:tc>
        <w:tc>
          <w:tcPr>
            <w:tcW w:w="8621" w:type="dxa"/>
          </w:tcPr>
          <w:p>
            <w:pPr>
              <w:widowControl/>
              <w:topLinePunct/>
              <w:spacing w:line="360" w:lineRule="auto"/>
              <w:rPr>
                <w:rFonts w:ascii="宋体" w:hAnsi="宋体"/>
                <w:bCs/>
                <w:sz w:val="24"/>
                <w:szCs w:val="24"/>
                <w:highlight w:val="none"/>
              </w:rPr>
            </w:pPr>
            <w:r>
              <w:rPr>
                <w:rFonts w:hint="eastAsia" w:ascii="宋体" w:hAnsi="宋体"/>
                <w:sz w:val="24"/>
                <w:szCs w:val="24"/>
                <w:highlight w:val="none"/>
              </w:rPr>
              <w:t>响应文件份数：</w:t>
            </w:r>
            <w:r>
              <w:rPr>
                <w:rFonts w:hint="eastAsia" w:ascii="宋体" w:hAnsi="宋体"/>
                <w:sz w:val="24"/>
                <w:highlight w:val="none"/>
              </w:rPr>
              <w:t>正本1份，副本</w:t>
            </w:r>
            <w:r>
              <w:rPr>
                <w:rFonts w:hint="eastAsia" w:ascii="宋体" w:hAnsi="宋体"/>
                <w:sz w:val="24"/>
                <w:highlight w:val="none"/>
                <w:lang w:val="en-US" w:eastAsia="zh-CN"/>
              </w:rPr>
              <w:t>2</w:t>
            </w:r>
            <w:r>
              <w:rPr>
                <w:rFonts w:hint="eastAsia" w:ascii="宋体" w:hAnsi="宋体"/>
                <w:sz w:val="24"/>
                <w:highlight w:val="none"/>
              </w:rPr>
              <w:t>份，</w:t>
            </w:r>
            <w:r>
              <w:rPr>
                <w:rFonts w:hint="eastAsia" w:ascii="宋体" w:hAnsi="宋体"/>
                <w:sz w:val="24"/>
                <w:highlight w:val="none"/>
                <w:lang w:val="en-US" w:eastAsia="zh-CN"/>
              </w:rPr>
              <w:t>1份</w:t>
            </w:r>
            <w:r>
              <w:rPr>
                <w:rFonts w:hint="eastAsia" w:ascii="宋体" w:hAnsi="宋体"/>
                <w:sz w:val="24"/>
                <w:highlight w:val="none"/>
              </w:rPr>
              <w:t>电子光盘（不可擦写光盘）或u盘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ascii="宋体" w:hAnsi="宋体"/>
                <w:sz w:val="24"/>
                <w:szCs w:val="24"/>
                <w:highlight w:val="none"/>
              </w:rPr>
            </w:pPr>
            <w:r>
              <w:rPr>
                <w:rFonts w:hint="eastAsia" w:ascii="宋体" w:hAnsi="宋体"/>
                <w:sz w:val="24"/>
                <w:szCs w:val="24"/>
                <w:highlight w:val="none"/>
              </w:rPr>
              <w:t>13</w:t>
            </w:r>
          </w:p>
        </w:tc>
        <w:tc>
          <w:tcPr>
            <w:tcW w:w="8621" w:type="dxa"/>
            <w:vAlign w:val="center"/>
          </w:tcPr>
          <w:p>
            <w:pPr>
              <w:adjustRightInd w:val="0"/>
              <w:snapToGrid w:val="0"/>
              <w:spacing w:line="360" w:lineRule="auto"/>
              <w:rPr>
                <w:rFonts w:ascii="宋体" w:hAnsi="宋体"/>
                <w:sz w:val="24"/>
                <w:szCs w:val="24"/>
                <w:highlight w:val="none"/>
              </w:rPr>
            </w:pPr>
            <w:r>
              <w:rPr>
                <w:rFonts w:hint="eastAsia" w:ascii="宋体" w:hAnsi="宋体"/>
                <w:sz w:val="24"/>
                <w:szCs w:val="24"/>
                <w:highlight w:val="none"/>
              </w:rPr>
              <w:t>本项目最高限价为</w:t>
            </w:r>
            <w:r>
              <w:rPr>
                <w:rFonts w:hint="eastAsia" w:ascii="宋体" w:hAnsi="宋体"/>
                <w:b/>
                <w:sz w:val="24"/>
                <w:szCs w:val="22"/>
                <w:highlight w:val="none"/>
              </w:rPr>
              <w:t>人民币</w:t>
            </w:r>
            <w:r>
              <w:rPr>
                <w:rFonts w:hint="eastAsia" w:ascii="宋体" w:hAnsi="宋体"/>
                <w:b/>
                <w:sz w:val="24"/>
                <w:szCs w:val="22"/>
                <w:highlight w:val="none"/>
                <w:lang w:val="en-US" w:eastAsia="zh-CN"/>
              </w:rPr>
              <w:t>70</w:t>
            </w:r>
            <w:r>
              <w:rPr>
                <w:rFonts w:ascii="宋体" w:hAnsi="宋体"/>
                <w:b/>
                <w:sz w:val="24"/>
                <w:szCs w:val="22"/>
                <w:highlight w:val="none"/>
              </w:rPr>
              <w:t>万元</w:t>
            </w:r>
            <w:r>
              <w:rPr>
                <w:rFonts w:hint="eastAsia" w:ascii="宋体" w:hAnsi="宋体"/>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5" w:type="dxa"/>
            <w:vAlign w:val="center"/>
          </w:tcPr>
          <w:p>
            <w:pPr>
              <w:adjustRightInd w:val="0"/>
              <w:snapToGrid w:val="0"/>
              <w:spacing w:line="360" w:lineRule="auto"/>
              <w:jc w:val="center"/>
              <w:rPr>
                <w:rFonts w:ascii="宋体" w:hAnsi="宋体"/>
                <w:sz w:val="24"/>
                <w:szCs w:val="24"/>
                <w:highlight w:val="none"/>
              </w:rPr>
            </w:pPr>
            <w:r>
              <w:rPr>
                <w:rFonts w:hint="eastAsia" w:ascii="宋体" w:hAnsi="宋体"/>
                <w:sz w:val="24"/>
                <w:szCs w:val="24"/>
                <w:highlight w:val="none"/>
              </w:rPr>
              <w:t>14</w:t>
            </w:r>
          </w:p>
        </w:tc>
        <w:tc>
          <w:tcPr>
            <w:tcW w:w="8621" w:type="dxa"/>
          </w:tcPr>
          <w:p>
            <w:pPr>
              <w:widowControl/>
              <w:topLinePunct/>
              <w:spacing w:line="360" w:lineRule="auto"/>
              <w:rPr>
                <w:rFonts w:ascii="宋体" w:hAnsi="宋体"/>
                <w:sz w:val="24"/>
                <w:szCs w:val="24"/>
                <w:highlight w:val="none"/>
              </w:rPr>
            </w:pPr>
            <w:r>
              <w:rPr>
                <w:rFonts w:hint="eastAsia" w:ascii="宋体" w:hAnsi="宋体"/>
                <w:sz w:val="24"/>
                <w:szCs w:val="24"/>
                <w:highlight w:val="none"/>
              </w:rPr>
              <w:t>有关本次采购活动程序方面的问题，可来人、来函（传真）或电话联系。</w:t>
            </w:r>
          </w:p>
          <w:p>
            <w:pPr>
              <w:widowControl/>
              <w:topLinePunct/>
              <w:spacing w:line="360" w:lineRule="auto"/>
              <w:rPr>
                <w:rFonts w:hint="eastAsia" w:ascii="宋体" w:hAnsi="宋体" w:eastAsia="宋体"/>
                <w:bCs/>
                <w:sz w:val="24"/>
                <w:szCs w:val="24"/>
                <w:highlight w:val="none"/>
                <w:lang w:eastAsia="zh-CN"/>
              </w:rPr>
            </w:pPr>
            <w:r>
              <w:rPr>
                <w:rFonts w:hint="eastAsia" w:ascii="宋体" w:hAnsi="宋体"/>
                <w:sz w:val="24"/>
                <w:szCs w:val="24"/>
                <w:highlight w:val="none"/>
              </w:rPr>
              <w:t>采购人：</w:t>
            </w:r>
            <w:r>
              <w:rPr>
                <w:rFonts w:hint="eastAsia" w:ascii="宋体" w:hAnsi="宋体"/>
                <w:bCs/>
                <w:sz w:val="24"/>
                <w:szCs w:val="24"/>
                <w:highlight w:val="none"/>
              </w:rPr>
              <w:t xml:space="preserve"> </w:t>
            </w:r>
            <w:r>
              <w:rPr>
                <w:rFonts w:hint="eastAsia" w:ascii="宋体" w:hAnsi="宋体"/>
                <w:bCs/>
                <w:sz w:val="24"/>
                <w:szCs w:val="24"/>
                <w:highlight w:val="none"/>
                <w:lang w:eastAsia="zh-CN"/>
              </w:rPr>
              <w:t>无锡市自然资源和规划局新吴分局</w:t>
            </w:r>
          </w:p>
          <w:p>
            <w:pPr>
              <w:widowControl/>
              <w:topLinePunct/>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采购人地址：</w:t>
            </w:r>
            <w:r>
              <w:rPr>
                <w:rFonts w:hint="eastAsia" w:ascii="宋体" w:hAnsi="宋体"/>
                <w:bCs/>
                <w:sz w:val="24"/>
                <w:szCs w:val="24"/>
                <w:highlight w:val="none"/>
              </w:rPr>
              <w:t>无锡市新吴区龙山路九号</w:t>
            </w:r>
            <w:r>
              <w:rPr>
                <w:rFonts w:hint="eastAsia" w:cs="Arial" w:asciiTheme="majorEastAsia" w:hAnsiTheme="majorEastAsia" w:eastAsiaTheme="majorEastAsia"/>
                <w:kern w:val="0"/>
                <w:sz w:val="24"/>
                <w:szCs w:val="24"/>
                <w:highlight w:val="none"/>
                <w:lang w:val="en-US" w:eastAsia="zh-CN"/>
              </w:rPr>
              <w:t xml:space="preserve"> </w:t>
            </w:r>
          </w:p>
          <w:p>
            <w:pPr>
              <w:widowControl/>
              <w:topLinePunct/>
              <w:spacing w:line="360" w:lineRule="auto"/>
              <w:rPr>
                <w:rFonts w:hint="eastAsia" w:ascii="宋体" w:hAnsi="宋体" w:eastAsia="宋体"/>
                <w:bCs/>
                <w:sz w:val="24"/>
                <w:szCs w:val="24"/>
                <w:highlight w:val="none"/>
                <w:lang w:eastAsia="zh-CN"/>
              </w:rPr>
            </w:pPr>
            <w:r>
              <w:rPr>
                <w:rFonts w:hint="eastAsia" w:ascii="宋体" w:hAnsi="宋体"/>
                <w:bCs/>
                <w:sz w:val="24"/>
                <w:szCs w:val="24"/>
                <w:highlight w:val="none"/>
              </w:rPr>
              <w:t>联系人：</w:t>
            </w:r>
            <w:r>
              <w:rPr>
                <w:rFonts w:hint="eastAsia" w:ascii="宋体" w:hAnsi="宋体"/>
                <w:bCs/>
                <w:sz w:val="24"/>
                <w:szCs w:val="24"/>
                <w:highlight w:val="none"/>
                <w:lang w:val="en-US" w:eastAsia="zh-CN"/>
              </w:rPr>
              <w:t>邱工</w:t>
            </w:r>
            <w:r>
              <w:rPr>
                <w:rFonts w:hint="eastAsia" w:ascii="宋体" w:hAnsi="宋体"/>
                <w:sz w:val="24"/>
                <w:highlight w:val="none"/>
                <w:lang w:val="en-US" w:eastAsia="zh-CN"/>
              </w:rPr>
              <w:t xml:space="preserve"> </w:t>
            </w:r>
          </w:p>
          <w:p>
            <w:pPr>
              <w:widowControl/>
              <w:topLinePunct/>
              <w:spacing w:line="360" w:lineRule="auto"/>
              <w:rPr>
                <w:rFonts w:hint="eastAsia" w:ascii="宋体" w:hAnsi="宋体" w:eastAsia="宋体"/>
                <w:sz w:val="24"/>
                <w:szCs w:val="24"/>
                <w:highlight w:val="none"/>
                <w:lang w:eastAsia="zh-CN"/>
              </w:rPr>
            </w:pPr>
            <w:r>
              <w:rPr>
                <w:rFonts w:hint="eastAsia" w:ascii="宋体" w:hAnsi="宋体"/>
                <w:bCs/>
                <w:sz w:val="24"/>
                <w:szCs w:val="24"/>
                <w:highlight w:val="none"/>
              </w:rPr>
              <w:t>联系电话</w:t>
            </w:r>
            <w:r>
              <w:rPr>
                <w:rFonts w:hint="eastAsia" w:ascii="宋体" w:hAnsi="宋体"/>
                <w:sz w:val="24"/>
                <w:szCs w:val="24"/>
                <w:highlight w:val="none"/>
              </w:rPr>
              <w:t>：</w:t>
            </w:r>
            <w:r>
              <w:rPr>
                <w:rFonts w:hint="eastAsia" w:ascii="宋体" w:hAnsi="宋体"/>
                <w:sz w:val="24"/>
                <w:szCs w:val="24"/>
                <w:highlight w:val="none"/>
                <w:lang w:val="en-US" w:eastAsia="zh-CN"/>
              </w:rPr>
              <w:t xml:space="preserve">0510-85259882 </w:t>
            </w:r>
          </w:p>
          <w:p>
            <w:pPr>
              <w:widowControl/>
              <w:topLinePunct/>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采购代理机构：</w:t>
            </w:r>
            <w:r>
              <w:rPr>
                <w:rFonts w:hint="eastAsia" w:ascii="宋体" w:hAnsi="宋体"/>
                <w:sz w:val="24"/>
                <w:szCs w:val="24"/>
                <w:highlight w:val="none"/>
                <w:lang w:eastAsia="zh-CN"/>
              </w:rPr>
              <w:t>中嘉工程管理咨询（江苏）有限公司</w:t>
            </w:r>
          </w:p>
          <w:p>
            <w:pPr>
              <w:widowControl/>
              <w:topLinePunct/>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龚茜茜</w:t>
            </w:r>
          </w:p>
          <w:p>
            <w:pPr>
              <w:widowControl/>
              <w:topLinePunct/>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0510-</w:t>
            </w:r>
            <w:r>
              <w:rPr>
                <w:rFonts w:hint="eastAsia" w:ascii="宋体" w:hAnsi="宋体"/>
                <w:sz w:val="24"/>
                <w:szCs w:val="24"/>
                <w:highlight w:val="none"/>
                <w:lang w:val="en-US" w:eastAsia="zh-CN"/>
              </w:rPr>
              <w:t>68750826</w:t>
            </w:r>
          </w:p>
          <w:p>
            <w:pPr>
              <w:widowControl/>
              <w:topLinePunct/>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rPr>
              <w:t>传真：</w:t>
            </w:r>
            <w:r>
              <w:rPr>
                <w:rFonts w:ascii="宋体" w:hAnsi="宋体"/>
                <w:sz w:val="24"/>
                <w:szCs w:val="24"/>
                <w:highlight w:val="none"/>
              </w:rPr>
              <w:t>0510-</w:t>
            </w:r>
            <w:r>
              <w:rPr>
                <w:rFonts w:hint="eastAsia" w:ascii="宋体" w:hAnsi="宋体"/>
                <w:sz w:val="24"/>
                <w:szCs w:val="24"/>
                <w:highlight w:val="none"/>
                <w:lang w:val="en-US" w:eastAsia="zh-CN"/>
              </w:rPr>
              <w:t>82622022</w:t>
            </w:r>
          </w:p>
          <w:p>
            <w:pPr>
              <w:widowControl/>
              <w:topLinePunct/>
              <w:spacing w:line="360" w:lineRule="auto"/>
              <w:rPr>
                <w:rFonts w:hint="eastAsia" w:ascii="宋体" w:hAnsi="宋体"/>
                <w:sz w:val="24"/>
                <w:szCs w:val="24"/>
                <w:highlight w:val="none"/>
                <w:lang w:eastAsia="zh-CN"/>
              </w:rPr>
            </w:pPr>
            <w:r>
              <w:rPr>
                <w:rFonts w:hint="eastAsia" w:ascii="宋体" w:hAnsi="宋体"/>
                <w:sz w:val="24"/>
                <w:szCs w:val="24"/>
                <w:highlight w:val="none"/>
              </w:rPr>
              <w:t>联系地址：</w:t>
            </w:r>
            <w:r>
              <w:rPr>
                <w:rFonts w:hint="eastAsia" w:ascii="宋体" w:hAnsi="宋体"/>
                <w:sz w:val="24"/>
                <w:szCs w:val="24"/>
                <w:highlight w:val="none"/>
                <w:lang w:eastAsia="zh-CN"/>
              </w:rPr>
              <w:t>无锡市滨湖区太湖西大道2168号中锐佳诚国际大厦A栋608室</w:t>
            </w:r>
          </w:p>
          <w:p>
            <w:pPr>
              <w:widowControl/>
              <w:topLinePunct/>
              <w:spacing w:line="360" w:lineRule="auto"/>
              <w:rPr>
                <w:rFonts w:ascii="宋体" w:hAnsi="宋体"/>
                <w:sz w:val="24"/>
                <w:szCs w:val="24"/>
                <w:highlight w:val="none"/>
              </w:rPr>
            </w:pPr>
            <w:r>
              <w:rPr>
                <w:rFonts w:hint="eastAsia" w:ascii="宋体" w:hAnsi="宋体"/>
                <w:sz w:val="24"/>
                <w:szCs w:val="24"/>
                <w:highlight w:val="none"/>
              </w:rPr>
              <w:t>邮政编码：214000</w:t>
            </w:r>
          </w:p>
          <w:p>
            <w:pPr>
              <w:adjustRightInd w:val="0"/>
              <w:snapToGrid w:val="0"/>
              <w:spacing w:line="360" w:lineRule="auto"/>
              <w:rPr>
                <w:rFonts w:ascii="宋体" w:hAnsi="宋体"/>
                <w:sz w:val="24"/>
                <w:szCs w:val="24"/>
                <w:highlight w:val="none"/>
              </w:rPr>
            </w:pPr>
            <w:r>
              <w:rPr>
                <w:rFonts w:hint="eastAsia" w:ascii="宋体" w:hAnsi="宋体"/>
                <w:sz w:val="24"/>
                <w:szCs w:val="24"/>
                <w:highlight w:val="none"/>
              </w:rPr>
              <w:t>电子邮件地址：</w:t>
            </w:r>
            <w:r>
              <w:rPr>
                <w:rFonts w:hint="eastAsia" w:ascii="宋体" w:hAnsi="宋体"/>
                <w:bCs/>
                <w:sz w:val="24"/>
                <w:szCs w:val="24"/>
                <w:highlight w:val="none"/>
                <w:lang w:val="en-US" w:eastAsia="zh-CN"/>
              </w:rPr>
              <w:t>439893083</w:t>
            </w:r>
            <w:r>
              <w:rPr>
                <w:rFonts w:hint="eastAsia" w:ascii="宋体" w:hAnsi="宋体"/>
                <w:bCs/>
                <w:sz w:val="24"/>
                <w:szCs w:val="24"/>
                <w:highlight w:val="non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5" w:type="dxa"/>
            <w:vAlign w:val="center"/>
          </w:tcPr>
          <w:p>
            <w:pPr>
              <w:adjustRightInd w:val="0"/>
              <w:snapToGrid w:val="0"/>
              <w:spacing w:line="360" w:lineRule="auto"/>
              <w:jc w:val="center"/>
              <w:rPr>
                <w:rFonts w:ascii="宋体" w:hAnsi="宋体"/>
                <w:sz w:val="24"/>
                <w:szCs w:val="24"/>
                <w:highlight w:val="none"/>
              </w:rPr>
            </w:pPr>
            <w:r>
              <w:rPr>
                <w:rFonts w:hint="eastAsia" w:ascii="宋体" w:hAnsi="宋体"/>
                <w:sz w:val="24"/>
                <w:szCs w:val="24"/>
                <w:highlight w:val="none"/>
              </w:rPr>
              <w:t>15</w:t>
            </w:r>
          </w:p>
        </w:tc>
        <w:tc>
          <w:tcPr>
            <w:tcW w:w="8621" w:type="dxa"/>
          </w:tcPr>
          <w:p>
            <w:pPr>
              <w:widowControl/>
              <w:topLinePunct/>
              <w:spacing w:line="360" w:lineRule="auto"/>
              <w:rPr>
                <w:rFonts w:ascii="宋体" w:hAnsi="宋体" w:cs="宋体"/>
                <w:b/>
                <w:kern w:val="0"/>
                <w:sz w:val="24"/>
                <w:highlight w:val="none"/>
              </w:rPr>
            </w:pPr>
            <w:r>
              <w:rPr>
                <w:rFonts w:hint="eastAsia" w:ascii="宋体" w:hAnsi="宋体" w:cs="宋体"/>
                <w:b/>
                <w:kern w:val="0"/>
                <w:sz w:val="24"/>
                <w:highlight w:val="none"/>
              </w:rPr>
              <w:t>疫情防控注意事项：</w:t>
            </w:r>
          </w:p>
          <w:p>
            <w:pPr>
              <w:widowControl/>
              <w:topLinePunct/>
              <w:spacing w:line="360" w:lineRule="auto"/>
              <w:rPr>
                <w:rFonts w:ascii="宋体" w:hAnsi="宋体" w:cs="宋体"/>
                <w:bCs/>
                <w:kern w:val="0"/>
                <w:sz w:val="24"/>
                <w:highlight w:val="none"/>
              </w:rPr>
            </w:pPr>
            <w:r>
              <w:rPr>
                <w:rFonts w:hint="eastAsia" w:ascii="宋体" w:hAnsi="宋体" w:cs="宋体"/>
                <w:bCs/>
                <w:kern w:val="0"/>
                <w:sz w:val="24"/>
                <w:highlight w:val="none"/>
              </w:rPr>
              <w:t>①报价供应商委派人数（每家供应商不得超过2人），尽可能减少现场人数规模。</w:t>
            </w:r>
          </w:p>
          <w:p>
            <w:pPr>
              <w:widowControl/>
              <w:topLinePunct/>
              <w:spacing w:line="360" w:lineRule="auto"/>
              <w:rPr>
                <w:rFonts w:ascii="宋体" w:hAnsi="宋体" w:cs="宋体"/>
                <w:bCs/>
                <w:kern w:val="0"/>
                <w:sz w:val="24"/>
                <w:highlight w:val="none"/>
              </w:rPr>
            </w:pPr>
            <w:r>
              <w:rPr>
                <w:rFonts w:hint="eastAsia" w:ascii="宋体" w:hAnsi="宋体" w:cs="宋体"/>
                <w:bCs/>
                <w:kern w:val="0"/>
                <w:sz w:val="24"/>
                <w:highlight w:val="none"/>
              </w:rPr>
              <w:t>②凡进入无锡市公共资源交易中心</w:t>
            </w:r>
            <w:r>
              <w:rPr>
                <w:rFonts w:hint="eastAsia" w:ascii="宋体" w:hAnsi="宋体" w:cs="宋体"/>
                <w:bCs/>
                <w:kern w:val="0"/>
                <w:sz w:val="24"/>
                <w:highlight w:val="none"/>
                <w:lang w:val="en-US" w:eastAsia="zh-CN"/>
              </w:rPr>
              <w:t>新吴</w:t>
            </w:r>
            <w:r>
              <w:rPr>
                <w:rFonts w:hint="eastAsia" w:ascii="宋体" w:hAnsi="宋体" w:cs="宋体"/>
                <w:bCs/>
                <w:kern w:val="0"/>
                <w:sz w:val="24"/>
                <w:highlight w:val="none"/>
              </w:rPr>
              <w:t>分中心的所有报价供应商人员，均应佩戴口罩，并进行测温扫码。</w:t>
            </w:r>
          </w:p>
          <w:p>
            <w:pPr>
              <w:widowControl/>
              <w:topLinePunct/>
              <w:spacing w:line="360" w:lineRule="auto"/>
              <w:rPr>
                <w:rFonts w:ascii="宋体" w:hAnsi="宋体" w:cs="宋体"/>
                <w:bCs/>
                <w:kern w:val="0"/>
                <w:sz w:val="24"/>
                <w:highlight w:val="none"/>
              </w:rPr>
            </w:pPr>
            <w:r>
              <w:rPr>
                <w:rFonts w:ascii="宋体" w:hAnsi="宋体" w:cs="宋体"/>
                <w:bCs/>
                <w:kern w:val="0"/>
                <w:sz w:val="24"/>
                <w:highlight w:val="none"/>
              </w:rPr>
              <w:t>③</w:t>
            </w:r>
            <w:r>
              <w:rPr>
                <w:rFonts w:hint="eastAsia" w:ascii="宋体" w:hAnsi="宋体" w:cs="宋体"/>
                <w:bCs/>
                <w:kern w:val="0"/>
                <w:sz w:val="24"/>
                <w:highlight w:val="none"/>
              </w:rPr>
              <w:t>凡进入无锡市公共资源交易中心</w:t>
            </w:r>
            <w:r>
              <w:rPr>
                <w:rFonts w:hint="eastAsia" w:ascii="宋体" w:hAnsi="宋体" w:cs="宋体"/>
                <w:bCs/>
                <w:kern w:val="0"/>
                <w:sz w:val="24"/>
                <w:highlight w:val="none"/>
                <w:lang w:val="en-US" w:eastAsia="zh-CN"/>
              </w:rPr>
              <w:t>新吴</w:t>
            </w:r>
            <w:r>
              <w:rPr>
                <w:rFonts w:hint="eastAsia" w:ascii="宋体" w:hAnsi="宋体" w:cs="宋体"/>
                <w:bCs/>
                <w:kern w:val="0"/>
                <w:sz w:val="24"/>
                <w:highlight w:val="none"/>
              </w:rPr>
              <w:t>分中心的代理机构工作人员，必须戴口罩并出示“苏康码”，并对参加投标的的所有人员进行“测温+扫码”并登记，“苏康码”验证结果为红色或体温≥37.3℃的，严禁进场。（申领“苏康码”的，可通过江苏政务服务APP或在支付宝首页搜索“江苏政务服务（官方）”申报获取。）</w:t>
            </w:r>
          </w:p>
          <w:p>
            <w:pPr>
              <w:widowControl/>
              <w:topLinePunct/>
              <w:spacing w:line="360" w:lineRule="auto"/>
              <w:rPr>
                <w:rFonts w:ascii="宋体" w:hAnsi="宋体" w:cs="宋体"/>
                <w:bCs/>
                <w:kern w:val="0"/>
                <w:sz w:val="24"/>
                <w:highlight w:val="none"/>
              </w:rPr>
            </w:pPr>
            <w:r>
              <w:rPr>
                <w:rFonts w:hint="eastAsia" w:ascii="宋体" w:hAnsi="宋体" w:cs="宋体"/>
                <w:bCs/>
                <w:kern w:val="0"/>
                <w:sz w:val="24"/>
                <w:highlight w:val="none"/>
              </w:rPr>
              <w:t>注：报价供应商应考虑完成上述程序所需时间，提前进入开标地点，不能在投标截止时间前参加投标所造成的风险及损失，由报价供应商自行承担。</w:t>
            </w:r>
          </w:p>
        </w:tc>
      </w:tr>
    </w:tbl>
    <w:p>
      <w:pPr>
        <w:pageBreakBefore/>
        <w:spacing w:line="360" w:lineRule="auto"/>
        <w:jc w:val="center"/>
        <w:rPr>
          <w:rFonts w:ascii="宋体" w:hAnsi="宋体"/>
          <w:bCs/>
          <w:sz w:val="28"/>
          <w:szCs w:val="28"/>
          <w:highlight w:val="none"/>
        </w:rPr>
      </w:pPr>
      <w:r>
        <w:rPr>
          <w:rFonts w:hint="eastAsia" w:ascii="宋体" w:hAnsi="宋体"/>
          <w:bCs/>
          <w:sz w:val="28"/>
          <w:szCs w:val="28"/>
          <w:highlight w:val="none"/>
        </w:rPr>
        <w:t>二．报价供应商须知</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（一） 遵循原则：</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公开透明原则、公平竞争原则、公正原则和诚实信用原则。</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（二）磋商文件：</w:t>
      </w:r>
    </w:p>
    <w:p>
      <w:pPr>
        <w:numPr>
          <w:ilvl w:val="0"/>
          <w:numId w:val="4"/>
        </w:numPr>
        <w:tabs>
          <w:tab w:val="left" w:pos="-1260"/>
          <w:tab w:val="left" w:pos="525"/>
          <w:tab w:val="left" w:pos="945"/>
          <w:tab w:val="clear" w:pos="552"/>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磋商文件包括本文件目录所列全部内容，报价供应商应仔细阅读，并在响应文件中充分响应磋商文件的所有要求。</w:t>
      </w:r>
    </w:p>
    <w:p>
      <w:pPr>
        <w:numPr>
          <w:ilvl w:val="0"/>
          <w:numId w:val="4"/>
        </w:numPr>
        <w:tabs>
          <w:tab w:val="left" w:pos="0"/>
          <w:tab w:val="left" w:pos="525"/>
          <w:tab w:val="left" w:pos="945"/>
          <w:tab w:val="clear" w:pos="552"/>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报价供应商应向</w:t>
      </w:r>
      <w:r>
        <w:rPr>
          <w:rFonts w:hint="eastAsia" w:ascii="宋体" w:hAnsi="宋体"/>
          <w:bCs/>
          <w:sz w:val="24"/>
          <w:szCs w:val="24"/>
          <w:highlight w:val="none"/>
          <w:lang w:eastAsia="zh-CN"/>
        </w:rPr>
        <w:t>中嘉工程管理咨询（江苏）有限公司</w:t>
      </w:r>
      <w:r>
        <w:rPr>
          <w:rFonts w:hint="eastAsia" w:ascii="宋体" w:hAnsi="宋体"/>
          <w:bCs/>
          <w:sz w:val="24"/>
          <w:szCs w:val="24"/>
          <w:highlight w:val="none"/>
        </w:rPr>
        <w:t>获取文件及有关资料，按磋商文件要求提交全部资料并对磋商文件各项内容做出实质性响应，否则投标无效。</w:t>
      </w:r>
    </w:p>
    <w:p>
      <w:pPr>
        <w:numPr>
          <w:ilvl w:val="0"/>
          <w:numId w:val="4"/>
        </w:numPr>
        <w:tabs>
          <w:tab w:val="left" w:pos="0"/>
          <w:tab w:val="left" w:pos="525"/>
          <w:tab w:val="left" w:pos="945"/>
          <w:tab w:val="clear" w:pos="552"/>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报价供应商一旦参加本项目竞争性磋商，即表明承诺接受了本磋商文件中所有条件和规定。</w:t>
      </w:r>
    </w:p>
    <w:p>
      <w:pPr>
        <w:numPr>
          <w:ilvl w:val="0"/>
          <w:numId w:val="4"/>
        </w:numPr>
        <w:tabs>
          <w:tab w:val="left" w:pos="0"/>
          <w:tab w:val="left" w:pos="525"/>
          <w:tab w:val="left" w:pos="945"/>
          <w:tab w:val="clear" w:pos="552"/>
        </w:tabs>
        <w:spacing w:line="360" w:lineRule="auto"/>
        <w:ind w:left="0" w:firstLine="523" w:firstLineChars="218"/>
        <w:rPr>
          <w:rFonts w:ascii="宋体" w:hAnsi="宋体"/>
          <w:bCs/>
          <w:sz w:val="24"/>
          <w:szCs w:val="24"/>
          <w:highlight w:val="none"/>
        </w:rPr>
      </w:pPr>
      <w:r>
        <w:rPr>
          <w:rFonts w:hint="eastAsia" w:ascii="宋体" w:hAnsi="宋体" w:cs="宋体"/>
          <w:sz w:val="24"/>
          <w:szCs w:val="28"/>
          <w:highlight w:val="none"/>
        </w:rPr>
        <w:t>磋商文件一经售出、一律不退，且仅作为本次竞争性磋商使用。</w:t>
      </w:r>
    </w:p>
    <w:p>
      <w:pPr>
        <w:tabs>
          <w:tab w:val="left" w:pos="0"/>
          <w:tab w:val="left" w:pos="525"/>
          <w:tab w:val="left" w:pos="945"/>
        </w:tabs>
        <w:spacing w:line="360" w:lineRule="auto"/>
        <w:ind w:left="523"/>
        <w:rPr>
          <w:rFonts w:ascii="宋体" w:hAnsi="宋体"/>
          <w:bCs/>
          <w:sz w:val="24"/>
          <w:szCs w:val="24"/>
          <w:highlight w:val="none"/>
        </w:rPr>
      </w:pPr>
      <w:r>
        <w:rPr>
          <w:rFonts w:hint="eastAsia" w:ascii="宋体" w:hAnsi="宋体"/>
          <w:bCs/>
          <w:sz w:val="24"/>
          <w:szCs w:val="24"/>
          <w:highlight w:val="none"/>
        </w:rPr>
        <w:t>（三）磋商文件的解释：</w:t>
      </w:r>
    </w:p>
    <w:p>
      <w:pPr>
        <w:numPr>
          <w:ilvl w:val="2"/>
          <w:numId w:val="1"/>
        </w:numPr>
        <w:tabs>
          <w:tab w:val="left" w:pos="525"/>
          <w:tab w:val="left" w:pos="945"/>
          <w:tab w:val="clear" w:pos="1740"/>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报价供应商如有需要对磋商文件要求澄清的问题，请以书面形式提出，并按“磋商邀请函”第6项规定的时间前将电子邮件及书面传真（两种形式均须发送）至</w:t>
      </w:r>
      <w:r>
        <w:rPr>
          <w:rFonts w:hint="eastAsia" w:ascii="宋体" w:hAnsi="宋体"/>
          <w:bCs/>
          <w:sz w:val="24"/>
          <w:szCs w:val="24"/>
          <w:highlight w:val="none"/>
          <w:lang w:eastAsia="zh-CN"/>
        </w:rPr>
        <w:t>中嘉工程管理咨询（江苏）有限公司</w:t>
      </w:r>
      <w:r>
        <w:rPr>
          <w:rFonts w:hint="eastAsia" w:ascii="宋体" w:hAnsi="宋体"/>
          <w:bCs/>
          <w:sz w:val="24"/>
          <w:szCs w:val="24"/>
          <w:highlight w:val="none"/>
        </w:rPr>
        <w:t>，联系方式详见磋商邀请函第1</w:t>
      </w:r>
      <w:r>
        <w:rPr>
          <w:rFonts w:ascii="宋体" w:hAnsi="宋体"/>
          <w:bCs/>
          <w:sz w:val="24"/>
          <w:szCs w:val="24"/>
          <w:highlight w:val="none"/>
        </w:rPr>
        <w:t>4</w:t>
      </w:r>
      <w:r>
        <w:rPr>
          <w:rFonts w:hint="eastAsia" w:ascii="宋体" w:hAnsi="宋体"/>
          <w:bCs/>
          <w:sz w:val="24"/>
          <w:szCs w:val="24"/>
          <w:highlight w:val="none"/>
        </w:rPr>
        <w:t>项。</w:t>
      </w:r>
    </w:p>
    <w:p>
      <w:pPr>
        <w:numPr>
          <w:ilvl w:val="2"/>
          <w:numId w:val="1"/>
        </w:numPr>
        <w:tabs>
          <w:tab w:val="left" w:pos="525"/>
          <w:tab w:val="left" w:pos="945"/>
          <w:tab w:val="clear" w:pos="1740"/>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采购人、</w:t>
      </w:r>
      <w:r>
        <w:rPr>
          <w:rFonts w:hint="eastAsia" w:ascii="宋体" w:hAnsi="宋体"/>
          <w:bCs/>
          <w:sz w:val="24"/>
          <w:szCs w:val="24"/>
          <w:highlight w:val="none"/>
          <w:lang w:eastAsia="zh-CN"/>
        </w:rPr>
        <w:t>中嘉工程管理咨询（江苏）有限公司</w:t>
      </w:r>
      <w:r>
        <w:rPr>
          <w:rFonts w:hint="eastAsia" w:ascii="宋体" w:hAnsi="宋体"/>
          <w:bCs/>
          <w:sz w:val="24"/>
          <w:szCs w:val="24"/>
          <w:highlight w:val="none"/>
        </w:rPr>
        <w:t>将按“磋商邀请函”第6项规定的时间对报价供应商针对磋商文件书面提出的要求澄清的问题进行答疑。</w:t>
      </w:r>
    </w:p>
    <w:p>
      <w:pPr>
        <w:numPr>
          <w:ilvl w:val="2"/>
          <w:numId w:val="1"/>
        </w:numPr>
        <w:tabs>
          <w:tab w:val="left" w:pos="525"/>
          <w:tab w:val="left" w:pos="945"/>
          <w:tab w:val="clear" w:pos="1740"/>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本文件的最终解释权归采购人。</w:t>
      </w:r>
    </w:p>
    <w:p>
      <w:pPr>
        <w:tabs>
          <w:tab w:val="left" w:pos="0"/>
          <w:tab w:val="left" w:pos="525"/>
          <w:tab w:val="left" w:pos="945"/>
        </w:tabs>
        <w:spacing w:line="360" w:lineRule="auto"/>
        <w:ind w:left="523"/>
        <w:rPr>
          <w:rFonts w:ascii="宋体" w:hAnsi="宋体"/>
          <w:bCs/>
          <w:sz w:val="24"/>
          <w:szCs w:val="24"/>
          <w:highlight w:val="none"/>
        </w:rPr>
      </w:pPr>
      <w:r>
        <w:rPr>
          <w:rFonts w:hint="eastAsia" w:ascii="宋体" w:hAnsi="宋体"/>
          <w:bCs/>
          <w:sz w:val="24"/>
          <w:szCs w:val="24"/>
          <w:highlight w:val="none"/>
        </w:rPr>
        <w:t xml:space="preserve">（四）磋商文件的补充或修正： </w:t>
      </w:r>
    </w:p>
    <w:p>
      <w:pPr>
        <w:numPr>
          <w:ilvl w:val="0"/>
          <w:numId w:val="11"/>
        </w:numPr>
        <w:tabs>
          <w:tab w:val="left" w:pos="525"/>
          <w:tab w:val="left" w:pos="945"/>
          <w:tab w:val="clear" w:pos="898"/>
        </w:tabs>
        <w:spacing w:line="360" w:lineRule="auto"/>
        <w:ind w:left="1" w:firstLine="523" w:firstLineChars="218"/>
        <w:rPr>
          <w:rFonts w:ascii="宋体" w:hAnsi="宋体"/>
          <w:bCs/>
          <w:sz w:val="24"/>
          <w:szCs w:val="24"/>
          <w:highlight w:val="none"/>
        </w:rPr>
      </w:pPr>
      <w:r>
        <w:rPr>
          <w:rFonts w:hint="eastAsia" w:ascii="宋体" w:hAnsi="宋体"/>
          <w:bCs/>
          <w:sz w:val="24"/>
          <w:szCs w:val="24"/>
          <w:highlight w:val="none"/>
        </w:rPr>
        <w:t>采购人或者采购代理机构可以对已发出的磋商文件进行必要的澄清或者修改，但不得改变采购标的和资格条件。澄清或者修改应当在</w:t>
      </w:r>
      <w:r>
        <w:rPr>
          <w:rFonts w:hint="eastAsia" w:ascii="宋体" w:hAnsi="宋体"/>
          <w:bCs/>
          <w:sz w:val="24"/>
          <w:highlight w:val="none"/>
        </w:rPr>
        <w:t>江苏政府采购网、无锡政府采购网</w:t>
      </w:r>
      <w:r>
        <w:rPr>
          <w:rFonts w:hint="eastAsia" w:ascii="宋体" w:hAnsi="宋体"/>
          <w:bCs/>
          <w:sz w:val="24"/>
          <w:szCs w:val="24"/>
          <w:highlight w:val="none"/>
        </w:rPr>
        <w:t>发布澄清公告。澄清或者修改的内容为磋商文件的组成部分，</w:t>
      </w:r>
      <w:r>
        <w:rPr>
          <w:rFonts w:hint="eastAsia" w:ascii="宋体" w:hAnsi="宋体"/>
          <w:sz w:val="24"/>
          <w:highlight w:val="none"/>
        </w:rPr>
        <w:t>与磋商文件具有同等约束力</w:t>
      </w:r>
      <w:r>
        <w:rPr>
          <w:rFonts w:hint="eastAsia" w:ascii="宋体" w:hAnsi="宋体"/>
          <w:bCs/>
          <w:sz w:val="24"/>
          <w:szCs w:val="24"/>
          <w:highlight w:val="none"/>
        </w:rPr>
        <w:t>。</w:t>
      </w:r>
    </w:p>
    <w:p>
      <w:pPr>
        <w:numPr>
          <w:ilvl w:val="0"/>
          <w:numId w:val="11"/>
        </w:numPr>
        <w:tabs>
          <w:tab w:val="left" w:pos="525"/>
          <w:tab w:val="left" w:pos="945"/>
          <w:tab w:val="clear" w:pos="898"/>
        </w:tabs>
        <w:spacing w:line="360" w:lineRule="auto"/>
        <w:ind w:left="1" w:firstLine="523" w:firstLineChars="218"/>
        <w:rPr>
          <w:rFonts w:ascii="宋体" w:hAnsi="宋体"/>
          <w:bCs/>
          <w:sz w:val="24"/>
          <w:szCs w:val="24"/>
          <w:highlight w:val="none"/>
        </w:rPr>
      </w:pPr>
      <w:r>
        <w:rPr>
          <w:rFonts w:hint="eastAsia" w:ascii="宋体" w:hAnsi="宋体"/>
          <w:bCs/>
          <w:sz w:val="24"/>
          <w:szCs w:val="24"/>
          <w:highlight w:val="none"/>
        </w:rPr>
        <w:t>澄清或者修改的内容可能影响响应文件编制的，采购人或者采购代理机构报价截止时间至少5日前，在江苏政府采购网、无锡政府采购网</w:t>
      </w:r>
      <w:r>
        <w:rPr>
          <w:rFonts w:hint="eastAsia" w:ascii="宋体" w:hAnsi="宋体"/>
          <w:bCs/>
          <w:sz w:val="24"/>
          <w:highlight w:val="none"/>
        </w:rPr>
        <w:t>上</w:t>
      </w:r>
      <w:r>
        <w:rPr>
          <w:rFonts w:hint="eastAsia" w:ascii="宋体" w:hAnsi="宋体"/>
          <w:bCs/>
          <w:sz w:val="24"/>
          <w:szCs w:val="24"/>
          <w:highlight w:val="none"/>
        </w:rPr>
        <w:t>发布更正公告，不足5日的，采购人或者采购代理机构将顺延提交响应文件的截止时间。</w:t>
      </w:r>
    </w:p>
    <w:p>
      <w:pPr>
        <w:numPr>
          <w:ilvl w:val="0"/>
          <w:numId w:val="11"/>
        </w:numPr>
        <w:tabs>
          <w:tab w:val="left" w:pos="525"/>
          <w:tab w:val="left" w:pos="945"/>
          <w:tab w:val="clear" w:pos="898"/>
        </w:tabs>
        <w:spacing w:line="360" w:lineRule="auto"/>
        <w:ind w:left="1" w:firstLine="523" w:firstLineChars="218"/>
        <w:rPr>
          <w:rFonts w:ascii="宋体" w:hAnsi="宋体"/>
          <w:bCs/>
          <w:sz w:val="24"/>
          <w:szCs w:val="24"/>
          <w:highlight w:val="none"/>
        </w:rPr>
      </w:pPr>
      <w:r>
        <w:rPr>
          <w:rFonts w:hint="eastAsia" w:ascii="宋体" w:hAnsi="宋体"/>
          <w:bCs/>
          <w:sz w:val="24"/>
          <w:szCs w:val="24"/>
          <w:highlight w:val="none"/>
        </w:rPr>
        <w:t>供应商应在报价截止时间前关注原采购公告媒体上发布的相关更正公告。因供应商未尽注意义务，未及时全面地关注更正公告导致其提交的报价材料不符合磋商要求，而造成的损失及风险（包括但不限于未成交）由供应商自行承担。</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（五） 响应文件的组成：</w:t>
      </w:r>
    </w:p>
    <w:p>
      <w:pPr>
        <w:spacing w:line="360" w:lineRule="auto"/>
        <w:ind w:firstLine="482" w:firstLineChars="200"/>
        <w:rPr>
          <w:rFonts w:ascii="宋体" w:hAnsi="宋体"/>
          <w:b/>
          <w:bCs/>
          <w:sz w:val="24"/>
          <w:highlight w:val="none"/>
        </w:rPr>
      </w:pPr>
      <w:r>
        <w:rPr>
          <w:rFonts w:hint="eastAsia" w:ascii="宋体" w:hAnsi="宋体"/>
          <w:b/>
          <w:bCs/>
          <w:sz w:val="24"/>
          <w:highlight w:val="none"/>
        </w:rPr>
        <w:t>响应文件分由</w:t>
      </w:r>
      <w:r>
        <w:rPr>
          <w:rFonts w:hint="eastAsia" w:ascii="宋体" w:hAnsi="宋体" w:cs="宋体"/>
          <w:b/>
          <w:sz w:val="24"/>
          <w:highlight w:val="none"/>
        </w:rPr>
        <w:t>证明文件部分、响应函部分、报价部分、技术文件部分</w:t>
      </w:r>
      <w:r>
        <w:rPr>
          <w:rFonts w:hint="eastAsia" w:ascii="宋体" w:hAnsi="宋体"/>
          <w:b/>
          <w:bCs/>
          <w:sz w:val="24"/>
          <w:highlight w:val="none"/>
        </w:rPr>
        <w:t>组成。另附一份电子光盘（不可擦写光盘）或u盘。</w:t>
      </w:r>
    </w:p>
    <w:p>
      <w:pPr>
        <w:spacing w:line="360" w:lineRule="auto"/>
        <w:ind w:left="105" w:leftChars="50" w:firstLine="360" w:firstLineChars="150"/>
        <w:rPr>
          <w:rFonts w:ascii="宋体" w:hAnsi="宋体"/>
          <w:sz w:val="24"/>
          <w:highlight w:val="none"/>
        </w:rPr>
      </w:pPr>
      <w:r>
        <w:rPr>
          <w:rFonts w:hint="eastAsia" w:ascii="宋体" w:hAnsi="宋体"/>
          <w:sz w:val="24"/>
          <w:highlight w:val="none"/>
        </w:rPr>
        <w:t>1、证明文件部分：</w:t>
      </w:r>
    </w:p>
    <w:p>
      <w:pPr>
        <w:spacing w:line="360" w:lineRule="auto"/>
        <w:ind w:left="105" w:leftChars="50" w:firstLine="360" w:firstLineChars="150"/>
        <w:rPr>
          <w:rFonts w:ascii="宋体" w:hAnsi="宋体"/>
          <w:sz w:val="24"/>
          <w:highlight w:val="none"/>
        </w:rPr>
      </w:pPr>
      <w:r>
        <w:rPr>
          <w:rFonts w:hint="eastAsia" w:ascii="宋体" w:hAnsi="宋体"/>
          <w:sz w:val="24"/>
          <w:highlight w:val="none"/>
        </w:rPr>
        <w:t>第一部分：资格、资信证明文件</w:t>
      </w:r>
    </w:p>
    <w:p>
      <w:pPr>
        <w:numPr>
          <w:ilvl w:val="0"/>
          <w:numId w:val="7"/>
        </w:numPr>
        <w:tabs>
          <w:tab w:val="left" w:pos="420"/>
          <w:tab w:val="left" w:pos="945"/>
          <w:tab w:val="left" w:pos="1155"/>
          <w:tab w:val="left" w:pos="1288"/>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关于资格的声明函（格式见附件）；</w:t>
      </w:r>
    </w:p>
    <w:p>
      <w:pPr>
        <w:numPr>
          <w:ilvl w:val="0"/>
          <w:numId w:val="7"/>
        </w:numPr>
        <w:tabs>
          <w:tab w:val="left" w:pos="420"/>
          <w:tab w:val="left" w:pos="945"/>
          <w:tab w:val="left" w:pos="1155"/>
          <w:tab w:val="left" w:pos="1288"/>
        </w:tabs>
        <w:spacing w:line="360" w:lineRule="auto"/>
        <w:ind w:left="0" w:firstLine="523" w:firstLineChars="218"/>
        <w:rPr>
          <w:rFonts w:ascii="宋体" w:hAnsi="宋体"/>
          <w:b/>
          <w:bCs w:val="0"/>
          <w:sz w:val="24"/>
          <w:highlight w:val="none"/>
        </w:rPr>
      </w:pPr>
      <w:r>
        <w:rPr>
          <w:rFonts w:hint="eastAsia" w:ascii="宋体" w:hAnsi="宋体"/>
          <w:bCs/>
          <w:sz w:val="24"/>
          <w:highlight w:val="none"/>
          <w:lang w:val="en-US" w:eastAsia="zh-CN"/>
        </w:rPr>
        <w:t>报价人法人营业执照副本或其他组织证明文件复印件加盖公章</w:t>
      </w:r>
      <w:r>
        <w:rPr>
          <w:rFonts w:hint="eastAsia" w:ascii="宋体" w:hAnsi="宋体"/>
          <w:b/>
          <w:bCs w:val="0"/>
          <w:sz w:val="24"/>
          <w:highlight w:val="none"/>
          <w:lang w:val="en-US" w:eastAsia="zh-CN"/>
        </w:rPr>
        <w:t>（投标时必须提交原件或公证件）；</w:t>
      </w:r>
    </w:p>
    <w:p>
      <w:pPr>
        <w:numPr>
          <w:ilvl w:val="0"/>
          <w:numId w:val="7"/>
        </w:numPr>
        <w:tabs>
          <w:tab w:val="left" w:pos="420"/>
          <w:tab w:val="left" w:pos="945"/>
          <w:tab w:val="left" w:pos="1155"/>
          <w:tab w:val="left" w:pos="1288"/>
        </w:tabs>
        <w:spacing w:line="360" w:lineRule="auto"/>
        <w:ind w:left="0" w:firstLine="523" w:firstLineChars="218"/>
        <w:rPr>
          <w:rFonts w:hint="eastAsia" w:ascii="宋体" w:hAnsi="宋体" w:cs="宋体"/>
          <w:b w:val="0"/>
          <w:bCs/>
          <w:sz w:val="24"/>
          <w:highlight w:val="none"/>
          <w:lang w:eastAsia="zh-CN"/>
        </w:rPr>
      </w:pPr>
      <w:r>
        <w:rPr>
          <w:rFonts w:hint="eastAsia" w:ascii="宋体" w:hAnsi="宋体"/>
          <w:bCs/>
          <w:sz w:val="24"/>
          <w:highlight w:val="none"/>
          <w:lang w:val="en-US" w:eastAsia="zh-CN"/>
        </w:rPr>
        <w:t>报价人的</w:t>
      </w:r>
      <w:r>
        <w:rPr>
          <w:rFonts w:hint="eastAsia" w:ascii="宋体" w:hAnsi="宋体" w:cs="宋体"/>
          <w:b w:val="0"/>
          <w:bCs/>
          <w:sz w:val="24"/>
          <w:highlight w:val="none"/>
        </w:rPr>
        <w:t>地质灾害防治单位资质证书（资质类别：危险性评估，资质等级：甲级）</w:t>
      </w:r>
      <w:r>
        <w:rPr>
          <w:rFonts w:hint="eastAsia" w:ascii="宋体" w:hAnsi="宋体"/>
          <w:sz w:val="24"/>
          <w:highlight w:val="none"/>
          <w:lang w:eastAsia="zh-CN"/>
        </w:rPr>
        <w:t>（</w:t>
      </w:r>
      <w:r>
        <w:rPr>
          <w:rFonts w:hint="eastAsia" w:ascii="宋体" w:hAnsi="宋体"/>
          <w:sz w:val="24"/>
          <w:highlight w:val="none"/>
          <w:lang w:val="en-US" w:eastAsia="zh-CN"/>
        </w:rPr>
        <w:t>有效期内</w:t>
      </w:r>
      <w:r>
        <w:rPr>
          <w:rFonts w:hint="eastAsia" w:ascii="宋体" w:hAnsi="宋体"/>
          <w:sz w:val="24"/>
          <w:highlight w:val="none"/>
          <w:lang w:eastAsia="zh-CN"/>
        </w:rPr>
        <w:t>）</w:t>
      </w:r>
      <w:r>
        <w:rPr>
          <w:rFonts w:hint="eastAsia" w:ascii="宋体" w:hAnsi="宋体" w:cs="宋体"/>
          <w:b w:val="0"/>
          <w:bCs/>
          <w:sz w:val="24"/>
          <w:highlight w:val="none"/>
          <w:lang w:val="en-US" w:eastAsia="zh-CN"/>
        </w:rPr>
        <w:t>复印件加盖公章</w:t>
      </w:r>
      <w:r>
        <w:rPr>
          <w:rFonts w:hint="eastAsia" w:ascii="宋体" w:hAnsi="宋体" w:cs="宋体"/>
          <w:b/>
          <w:bCs w:val="0"/>
          <w:sz w:val="24"/>
          <w:highlight w:val="none"/>
          <w:lang w:val="en-US" w:eastAsia="zh-CN"/>
        </w:rPr>
        <w:t>（投标时提供原件或公证件）</w:t>
      </w:r>
      <w:r>
        <w:rPr>
          <w:rFonts w:hint="eastAsia" w:ascii="宋体" w:hAnsi="宋体" w:cs="宋体"/>
          <w:b w:val="0"/>
          <w:bCs/>
          <w:sz w:val="24"/>
          <w:highlight w:val="none"/>
          <w:lang w:val="en-US" w:eastAsia="zh-CN"/>
        </w:rPr>
        <w:t>；</w:t>
      </w:r>
    </w:p>
    <w:p>
      <w:pPr>
        <w:numPr>
          <w:ilvl w:val="0"/>
          <w:numId w:val="7"/>
        </w:numPr>
        <w:tabs>
          <w:tab w:val="left" w:pos="420"/>
          <w:tab w:val="left" w:pos="945"/>
          <w:tab w:val="left" w:pos="1155"/>
          <w:tab w:val="left" w:pos="1288"/>
        </w:tabs>
        <w:spacing w:line="360" w:lineRule="auto"/>
        <w:ind w:left="0" w:firstLine="523" w:firstLineChars="218"/>
        <w:rPr>
          <w:rFonts w:hint="default" w:ascii="宋体" w:hAnsi="宋体" w:cs="Times New Roman"/>
          <w:bCs/>
          <w:sz w:val="24"/>
          <w:highlight w:val="none"/>
          <w:lang w:val="en-US" w:eastAsia="zh-CN"/>
        </w:rPr>
      </w:pPr>
      <w:r>
        <w:rPr>
          <w:rFonts w:hint="eastAsia" w:ascii="宋体" w:hAnsi="宋体" w:cs="Times New Roman"/>
          <w:bCs/>
          <w:sz w:val="24"/>
          <w:highlight w:val="none"/>
          <w:lang w:val="en-US" w:eastAsia="zh-CN"/>
        </w:rPr>
        <w:t>报价人的地质灾害治理工程勘查甲级资质证书</w:t>
      </w:r>
      <w:r>
        <w:rPr>
          <w:rFonts w:hint="eastAsia" w:ascii="宋体" w:hAnsi="宋体" w:cs="宋体"/>
          <w:b w:val="0"/>
          <w:bCs/>
          <w:sz w:val="24"/>
          <w:highlight w:val="none"/>
          <w:lang w:val="en-US" w:eastAsia="zh-CN"/>
        </w:rPr>
        <w:t>复印件加盖公章；</w:t>
      </w:r>
      <w:r>
        <w:rPr>
          <w:rFonts w:hint="eastAsia" w:ascii="宋体" w:hAnsi="宋体" w:cs="宋体"/>
          <w:b/>
          <w:bCs w:val="0"/>
          <w:sz w:val="24"/>
          <w:highlight w:val="none"/>
          <w:lang w:val="en-US" w:eastAsia="zh-CN"/>
        </w:rPr>
        <w:t>（投标时提供原件或公证件）</w:t>
      </w:r>
    </w:p>
    <w:p>
      <w:pPr>
        <w:numPr>
          <w:ilvl w:val="0"/>
          <w:numId w:val="7"/>
        </w:numPr>
        <w:tabs>
          <w:tab w:val="left" w:pos="420"/>
          <w:tab w:val="left" w:pos="945"/>
          <w:tab w:val="left" w:pos="1155"/>
          <w:tab w:val="left" w:pos="1288"/>
        </w:tabs>
        <w:spacing w:line="360" w:lineRule="auto"/>
        <w:ind w:left="0" w:firstLine="523" w:firstLineChars="218"/>
        <w:rPr>
          <w:rFonts w:ascii="宋体" w:hAnsi="宋体"/>
          <w:bCs/>
          <w:sz w:val="24"/>
          <w:highlight w:val="none"/>
        </w:rPr>
      </w:pPr>
      <w:r>
        <w:rPr>
          <w:rFonts w:hint="eastAsia" w:ascii="宋体" w:hAnsi="宋体"/>
          <w:bCs/>
          <w:sz w:val="24"/>
          <w:highlight w:val="none"/>
        </w:rPr>
        <w:t>供应商法定代表人授权委托书（法定代表人亲自参与报价的除外，格式见附件）；</w:t>
      </w:r>
    </w:p>
    <w:p>
      <w:pPr>
        <w:numPr>
          <w:ilvl w:val="0"/>
          <w:numId w:val="7"/>
        </w:numPr>
        <w:tabs>
          <w:tab w:val="left" w:pos="420"/>
          <w:tab w:val="left" w:pos="945"/>
          <w:tab w:val="left" w:pos="1155"/>
          <w:tab w:val="left" w:pos="1288"/>
        </w:tabs>
        <w:spacing w:line="360" w:lineRule="auto"/>
        <w:ind w:left="0" w:firstLine="523" w:firstLineChars="218"/>
        <w:rPr>
          <w:rFonts w:ascii="宋体" w:hAnsi="宋体" w:cs="宋体"/>
          <w:kern w:val="0"/>
          <w:sz w:val="24"/>
          <w:szCs w:val="24"/>
          <w:highlight w:val="none"/>
        </w:rPr>
      </w:pPr>
      <w:r>
        <w:rPr>
          <w:rFonts w:hint="eastAsia" w:ascii="宋体" w:hAnsi="宋体"/>
          <w:bCs/>
          <w:sz w:val="24"/>
          <w:highlight w:val="none"/>
          <w:lang w:val="en-US" w:eastAsia="zh-CN"/>
        </w:rPr>
        <w:t>报价人</w:t>
      </w:r>
      <w:r>
        <w:rPr>
          <w:rFonts w:hint="eastAsia" w:ascii="宋体" w:hAnsi="宋体"/>
          <w:bCs/>
          <w:sz w:val="24"/>
          <w:highlight w:val="none"/>
        </w:rPr>
        <w:t>法定代表人身份证复印件及被授权代表身份证复印件并加盖公章（</w:t>
      </w:r>
      <w:r>
        <w:rPr>
          <w:rFonts w:hint="eastAsia" w:ascii="宋体" w:hAnsi="宋体" w:cs="宋体"/>
          <w:bCs/>
          <w:sz w:val="24"/>
          <w:highlight w:val="none"/>
        </w:rPr>
        <w:t>投标时</w:t>
      </w:r>
      <w:r>
        <w:rPr>
          <w:rFonts w:hint="eastAsia" w:ascii="宋体" w:hAnsi="宋体"/>
          <w:bCs/>
          <w:sz w:val="24"/>
          <w:highlight w:val="none"/>
        </w:rPr>
        <w:t>必须携带并提交参加开标会议的法定代表人或被授权代表有效身份证明原件）；</w:t>
      </w:r>
    </w:p>
    <w:p>
      <w:pPr>
        <w:numPr>
          <w:ilvl w:val="0"/>
          <w:numId w:val="7"/>
        </w:numPr>
        <w:tabs>
          <w:tab w:val="left" w:pos="420"/>
          <w:tab w:val="left" w:pos="945"/>
          <w:tab w:val="left" w:pos="1155"/>
          <w:tab w:val="left" w:pos="1288"/>
        </w:tabs>
        <w:spacing w:line="360" w:lineRule="auto"/>
        <w:ind w:left="0" w:firstLine="523" w:firstLineChars="218"/>
        <w:rPr>
          <w:rFonts w:ascii="宋体" w:cs="宋体"/>
          <w:sz w:val="24"/>
          <w:highlight w:val="none"/>
          <w:lang w:val="zh-CN"/>
        </w:rPr>
      </w:pPr>
      <w:r>
        <w:rPr>
          <w:rFonts w:hint="eastAsia" w:ascii="宋体" w:hAnsi="宋体"/>
          <w:bCs/>
          <w:sz w:val="24"/>
          <w:szCs w:val="24"/>
          <w:highlight w:val="none"/>
        </w:rPr>
        <w:t>授权代表应为报价</w:t>
      </w:r>
      <w:r>
        <w:rPr>
          <w:rFonts w:hint="eastAsia" w:ascii="宋体" w:hAnsi="宋体"/>
          <w:bCs/>
          <w:sz w:val="24"/>
          <w:szCs w:val="24"/>
          <w:highlight w:val="none"/>
          <w:lang w:val="en-US" w:eastAsia="zh-CN"/>
        </w:rPr>
        <w:t>人</w:t>
      </w:r>
      <w:r>
        <w:rPr>
          <w:rFonts w:hint="eastAsia" w:ascii="宋体" w:hAnsi="宋体"/>
          <w:bCs/>
          <w:sz w:val="24"/>
          <w:szCs w:val="24"/>
          <w:highlight w:val="none"/>
        </w:rPr>
        <w:t>本单位在职员工，提供与企业签订的劳动合同和</w:t>
      </w:r>
      <w:r>
        <w:rPr>
          <w:rFonts w:hint="eastAsia" w:ascii="宋体" w:hAnsi="宋体" w:cs="宋体"/>
          <w:bCs/>
          <w:kern w:val="0"/>
          <w:sz w:val="24"/>
          <w:szCs w:val="24"/>
          <w:highlight w:val="none"/>
        </w:rPr>
        <w:t>由法定的社保收缴部门出具的</w:t>
      </w:r>
      <w:r>
        <w:rPr>
          <w:rFonts w:hint="eastAsia" w:ascii="宋体" w:hAnsi="宋体" w:cs="宋体"/>
          <w:bCs/>
          <w:kern w:val="0"/>
          <w:sz w:val="24"/>
          <w:szCs w:val="24"/>
          <w:highlight w:val="none"/>
          <w:lang w:eastAsia="zh-CN"/>
        </w:rPr>
        <w:t>2021年</w:t>
      </w:r>
      <w:r>
        <w:rPr>
          <w:rFonts w:hint="eastAsia" w:ascii="宋体" w:hAnsi="宋体" w:cs="宋体"/>
          <w:bCs/>
          <w:kern w:val="0"/>
          <w:sz w:val="24"/>
          <w:szCs w:val="24"/>
          <w:highlight w:val="none"/>
          <w:lang w:val="en-US" w:eastAsia="zh-CN"/>
        </w:rPr>
        <w:t>6</w:t>
      </w:r>
      <w:r>
        <w:rPr>
          <w:rFonts w:hint="eastAsia" w:ascii="宋体" w:hAnsi="宋体" w:cs="宋体"/>
          <w:bCs/>
          <w:kern w:val="0"/>
          <w:sz w:val="24"/>
          <w:szCs w:val="24"/>
          <w:highlight w:val="none"/>
          <w:lang w:eastAsia="zh-CN"/>
        </w:rPr>
        <w:t>月-2021年</w:t>
      </w:r>
      <w:r>
        <w:rPr>
          <w:rFonts w:hint="eastAsia" w:ascii="宋体" w:hAnsi="宋体" w:cs="宋体"/>
          <w:bCs/>
          <w:kern w:val="0"/>
          <w:sz w:val="24"/>
          <w:szCs w:val="24"/>
          <w:highlight w:val="none"/>
          <w:lang w:val="en-US" w:eastAsia="zh-CN"/>
        </w:rPr>
        <w:t>11</w:t>
      </w:r>
      <w:r>
        <w:rPr>
          <w:rFonts w:hint="eastAsia" w:ascii="宋体" w:hAnsi="宋体" w:cs="宋体"/>
          <w:bCs/>
          <w:kern w:val="0"/>
          <w:sz w:val="24"/>
          <w:szCs w:val="24"/>
          <w:highlight w:val="none"/>
          <w:lang w:eastAsia="zh-CN"/>
        </w:rPr>
        <w:t>月</w:t>
      </w:r>
      <w:r>
        <w:rPr>
          <w:rFonts w:hint="eastAsia" w:ascii="宋体" w:hAnsi="宋体" w:cs="宋体"/>
          <w:bCs/>
          <w:kern w:val="0"/>
          <w:sz w:val="24"/>
          <w:szCs w:val="24"/>
          <w:highlight w:val="none"/>
        </w:rPr>
        <w:t>的报价供应商依法为其缴纳社会保险证明</w:t>
      </w:r>
      <w:r>
        <w:rPr>
          <w:rFonts w:hint="eastAsia" w:ascii="宋体" w:hAnsi="宋体"/>
          <w:bCs/>
          <w:sz w:val="24"/>
          <w:szCs w:val="24"/>
          <w:highlight w:val="none"/>
        </w:rPr>
        <w:t>（</w:t>
      </w:r>
      <w:r>
        <w:rPr>
          <w:rFonts w:hint="eastAsia"/>
          <w:sz w:val="24"/>
          <w:highlight w:val="none"/>
        </w:rPr>
        <w:t>如报价供应商成立时间迟于要求的开始月份，则时间要求为报价供应商成立时间至截止时间</w:t>
      </w:r>
      <w:r>
        <w:rPr>
          <w:rFonts w:hint="eastAsia" w:ascii="宋体" w:hAnsi="宋体"/>
          <w:bCs/>
          <w:sz w:val="24"/>
          <w:szCs w:val="24"/>
          <w:highlight w:val="none"/>
        </w:rPr>
        <w:t>）</w:t>
      </w:r>
      <w:r>
        <w:rPr>
          <w:rFonts w:hint="eastAsia"/>
          <w:sz w:val="24"/>
          <w:highlight w:val="none"/>
        </w:rPr>
        <w:t>；</w:t>
      </w:r>
    </w:p>
    <w:p>
      <w:pPr>
        <w:numPr>
          <w:ilvl w:val="0"/>
          <w:numId w:val="7"/>
        </w:numPr>
        <w:tabs>
          <w:tab w:val="left" w:pos="420"/>
          <w:tab w:val="left" w:pos="945"/>
          <w:tab w:val="left" w:pos="1155"/>
          <w:tab w:val="left" w:pos="1288"/>
        </w:tabs>
        <w:spacing w:line="360" w:lineRule="auto"/>
        <w:ind w:left="0" w:firstLine="523" w:firstLineChars="218"/>
        <w:rPr>
          <w:rFonts w:ascii="宋体" w:hAnsi="宋体"/>
          <w:sz w:val="24"/>
          <w:szCs w:val="24"/>
          <w:highlight w:val="none"/>
        </w:rPr>
      </w:pPr>
      <w:r>
        <w:rPr>
          <w:rFonts w:hint="eastAsia" w:ascii="宋体" w:hAnsi="宋体" w:cs="宋体"/>
          <w:sz w:val="24"/>
          <w:highlight w:val="none"/>
        </w:rPr>
        <w:t>供应商20</w:t>
      </w:r>
      <w:r>
        <w:rPr>
          <w:rFonts w:hint="eastAsia" w:ascii="宋体" w:hAnsi="宋体" w:cs="宋体"/>
          <w:sz w:val="24"/>
          <w:highlight w:val="none"/>
          <w:lang w:val="en-US" w:eastAsia="zh-CN"/>
        </w:rPr>
        <w:t>20</w:t>
      </w:r>
      <w:r>
        <w:rPr>
          <w:rFonts w:hint="eastAsia" w:ascii="宋体" w:hAnsi="宋体" w:cs="宋体"/>
          <w:sz w:val="24"/>
          <w:highlight w:val="none"/>
        </w:rPr>
        <w:t>年度由会计师事务所出具的财务审计报告和所附已审财务报告或者近三个月任意一个月财务报表复印件逐页加盖公章（投标时必须提交原件或公证件）；</w:t>
      </w:r>
    </w:p>
    <w:p>
      <w:pPr>
        <w:numPr>
          <w:ilvl w:val="0"/>
          <w:numId w:val="7"/>
        </w:numPr>
        <w:tabs>
          <w:tab w:val="left" w:pos="420"/>
          <w:tab w:val="left" w:pos="945"/>
          <w:tab w:val="left" w:pos="1155"/>
          <w:tab w:val="left" w:pos="1288"/>
        </w:tabs>
        <w:spacing w:line="360" w:lineRule="auto"/>
        <w:ind w:left="0" w:firstLine="523" w:firstLineChars="218"/>
        <w:rPr>
          <w:rFonts w:ascii="宋体" w:cs="宋体"/>
          <w:bCs/>
          <w:sz w:val="24"/>
          <w:highlight w:val="none"/>
          <w:lang w:val="zh-CN"/>
        </w:rPr>
      </w:pPr>
      <w:r>
        <w:rPr>
          <w:rFonts w:hint="eastAsia" w:ascii="宋体" w:hAnsi="宋体"/>
          <w:bCs/>
          <w:sz w:val="24"/>
          <w:szCs w:val="24"/>
          <w:highlight w:val="none"/>
        </w:rPr>
        <w:t>供应商近三个月中任意一个月份(不含报价当月) 的依法缴纳税收的相关材料（提供相关主管部门证明或银行代扣证明）复印件</w:t>
      </w:r>
      <w:r>
        <w:rPr>
          <w:rFonts w:hint="eastAsia" w:ascii="宋体" w:hAnsi="宋体" w:cs="宋体"/>
          <w:sz w:val="24"/>
          <w:highlight w:val="none"/>
        </w:rPr>
        <w:t>加盖公章</w:t>
      </w:r>
      <w:r>
        <w:rPr>
          <w:rFonts w:hint="eastAsia" w:ascii="宋体" w:hAnsi="宋体"/>
          <w:bCs/>
          <w:sz w:val="24"/>
          <w:szCs w:val="24"/>
          <w:highlight w:val="none"/>
        </w:rPr>
        <w:t>；</w:t>
      </w:r>
    </w:p>
    <w:p>
      <w:pPr>
        <w:numPr>
          <w:ilvl w:val="0"/>
          <w:numId w:val="7"/>
        </w:numPr>
        <w:tabs>
          <w:tab w:val="left" w:pos="420"/>
          <w:tab w:val="left" w:pos="945"/>
          <w:tab w:val="left" w:pos="1155"/>
          <w:tab w:val="left" w:pos="1288"/>
        </w:tabs>
        <w:spacing w:line="360" w:lineRule="auto"/>
        <w:ind w:left="0" w:firstLine="523" w:firstLineChars="218"/>
        <w:rPr>
          <w:rFonts w:ascii="宋体" w:hAnsi="宋体"/>
          <w:bCs/>
          <w:sz w:val="24"/>
          <w:szCs w:val="24"/>
          <w:highlight w:val="none"/>
        </w:rPr>
      </w:pPr>
      <w:r>
        <w:rPr>
          <w:rFonts w:hint="eastAsia" w:ascii="宋体" w:hAnsi="宋体" w:cs="宋体"/>
          <w:sz w:val="24"/>
          <w:highlight w:val="none"/>
        </w:rPr>
        <w:t>供应商近三个月中任意一个月份(不含投标当月)的依法缴纳社会保障资金的相关材料（提供相关主管部门证明或银行代扣证明）复印件加盖公章；</w:t>
      </w:r>
    </w:p>
    <w:p>
      <w:pPr>
        <w:numPr>
          <w:ilvl w:val="0"/>
          <w:numId w:val="7"/>
        </w:numPr>
        <w:tabs>
          <w:tab w:val="left" w:pos="420"/>
          <w:tab w:val="left" w:pos="945"/>
          <w:tab w:val="left" w:pos="1155"/>
          <w:tab w:val="left" w:pos="1288"/>
        </w:tabs>
        <w:spacing w:line="360" w:lineRule="auto"/>
        <w:ind w:left="0" w:firstLine="523" w:firstLineChars="218"/>
        <w:rPr>
          <w:rFonts w:ascii="宋体" w:hAnsi="宋体" w:cs="宋体"/>
          <w:color w:val="0000FF"/>
          <w:sz w:val="24"/>
          <w:highlight w:val="none"/>
        </w:rPr>
      </w:pPr>
      <w:r>
        <w:rPr>
          <w:rFonts w:hint="eastAsia" w:ascii="宋体" w:hAnsi="宋体"/>
          <w:bCs/>
          <w:sz w:val="24"/>
          <w:szCs w:val="24"/>
          <w:highlight w:val="none"/>
        </w:rPr>
        <w:t>承诺书（格式见附件）；</w:t>
      </w:r>
    </w:p>
    <w:p>
      <w:pPr>
        <w:tabs>
          <w:tab w:val="left" w:pos="420"/>
          <w:tab w:val="left" w:pos="945"/>
          <w:tab w:val="left" w:pos="1155"/>
        </w:tabs>
        <w:spacing w:line="360" w:lineRule="auto"/>
        <w:ind w:firstLine="720" w:firstLineChars="300"/>
        <w:rPr>
          <w:rFonts w:ascii="宋体" w:hAnsi="宋体"/>
          <w:bCs/>
          <w:sz w:val="24"/>
          <w:szCs w:val="24"/>
          <w:highlight w:val="none"/>
        </w:rPr>
      </w:pPr>
      <w:r>
        <w:rPr>
          <w:rFonts w:hint="eastAsia" w:ascii="宋体" w:hAnsi="宋体"/>
          <w:sz w:val="24"/>
          <w:highlight w:val="none"/>
        </w:rPr>
        <w:t>*</w:t>
      </w:r>
      <w:r>
        <w:rPr>
          <w:rFonts w:ascii="宋体" w:hAnsi="宋体" w:cs="宋体"/>
          <w:kern w:val="0"/>
          <w:sz w:val="24"/>
          <w:highlight w:val="none"/>
        </w:rPr>
        <w:t>注：供应商已按《无锡市政府采购供应商注册登记管理办法》（锡财购〔2012〕3号）文件要求入供应商库的，可注册入库（详见http://cz.wuxi.gov.cn/doc</w:t>
      </w:r>
      <w:r>
        <w:rPr>
          <w:rFonts w:ascii="宋体" w:hAnsi="宋体" w:cs="宋体"/>
          <w:kern w:val="0"/>
          <w:sz w:val="24"/>
          <w:highlight w:val="none"/>
        </w:rPr>
        <w:br w:type="textWrapping"/>
      </w:r>
      <w:r>
        <w:rPr>
          <w:rFonts w:ascii="宋体" w:hAnsi="宋体" w:cs="宋体"/>
          <w:kern w:val="0"/>
          <w:sz w:val="24"/>
          <w:highlight w:val="none"/>
        </w:rPr>
        <w:t>/2012/10/11/51585.shtml）成功后，从网上下载打印《无锡市政府采购注册供应商资格信息登记表》（以下简称信息登记表），并经法定代表人签字和加盖公章后,可作为供应商响应文件的有效组成部分提交采购代理机构。信息登记表所记录的信息如能反映</w:t>
      </w:r>
      <w:r>
        <w:rPr>
          <w:rFonts w:hint="eastAsia" w:ascii="宋体" w:hAnsi="宋体" w:cs="宋体"/>
          <w:kern w:val="0"/>
          <w:sz w:val="24"/>
          <w:highlight w:val="none"/>
        </w:rPr>
        <w:t>报价供应商</w:t>
      </w:r>
      <w:r>
        <w:rPr>
          <w:rFonts w:ascii="宋体" w:hAnsi="宋体" w:cs="宋体"/>
          <w:kern w:val="0"/>
          <w:sz w:val="24"/>
          <w:highlight w:val="none"/>
        </w:rPr>
        <w:t>具备对应资格条件项的，在本项目评审时，可凭信息登记表免于提供相应的资格</w:t>
      </w:r>
      <w:r>
        <w:rPr>
          <w:rFonts w:hint="eastAsia" w:ascii="宋体" w:hAnsi="宋体" w:cs="宋体"/>
          <w:kern w:val="0"/>
          <w:sz w:val="24"/>
          <w:highlight w:val="none"/>
        </w:rPr>
        <w:t>、资信</w:t>
      </w:r>
      <w:r>
        <w:rPr>
          <w:rFonts w:ascii="宋体" w:hAnsi="宋体" w:cs="宋体"/>
          <w:kern w:val="0"/>
          <w:sz w:val="24"/>
          <w:highlight w:val="none"/>
        </w:rPr>
        <w:t>证明材料的原件或公证件，否则必须按要求提供相应的资格</w:t>
      </w:r>
      <w:r>
        <w:rPr>
          <w:rFonts w:hint="eastAsia" w:ascii="宋体" w:hAnsi="宋体" w:cs="宋体"/>
          <w:kern w:val="0"/>
          <w:sz w:val="24"/>
          <w:highlight w:val="none"/>
        </w:rPr>
        <w:t>、资信</w:t>
      </w:r>
      <w:r>
        <w:rPr>
          <w:rFonts w:ascii="宋体" w:hAnsi="宋体" w:cs="宋体"/>
          <w:kern w:val="0"/>
          <w:sz w:val="24"/>
          <w:highlight w:val="none"/>
        </w:rPr>
        <w:t>证明材料原件或公证件来予以证明。</w:t>
      </w:r>
      <w:r>
        <w:rPr>
          <w:rFonts w:ascii="宋体" w:hAnsi="宋体" w:cs="宋体"/>
          <w:kern w:val="0"/>
          <w:sz w:val="24"/>
          <w:highlight w:val="none"/>
        </w:rPr>
        <w:br w:type="textWrapping"/>
      </w:r>
      <w:r>
        <w:rPr>
          <w:rFonts w:hint="eastAsia" w:ascii="宋体" w:hAnsi="宋体" w:cs="宋体"/>
          <w:kern w:val="0"/>
          <w:sz w:val="24"/>
          <w:highlight w:val="none"/>
        </w:rPr>
        <w:t xml:space="preserve">    </w:t>
      </w:r>
      <w:r>
        <w:rPr>
          <w:rFonts w:ascii="宋体" w:hAnsi="宋体" w:cs="宋体"/>
          <w:kern w:val="0"/>
          <w:sz w:val="24"/>
          <w:highlight w:val="none"/>
        </w:rPr>
        <w:t>上述证明文件中的资格</w:t>
      </w:r>
      <w:r>
        <w:rPr>
          <w:rFonts w:hint="eastAsia" w:ascii="宋体" w:hAnsi="宋体" w:cs="宋体"/>
          <w:kern w:val="0"/>
          <w:sz w:val="24"/>
          <w:highlight w:val="none"/>
        </w:rPr>
        <w:t>、资信</w:t>
      </w:r>
      <w:r>
        <w:rPr>
          <w:rFonts w:ascii="宋体" w:hAnsi="宋体" w:cs="宋体"/>
          <w:kern w:val="0"/>
          <w:sz w:val="24"/>
          <w:highlight w:val="none"/>
        </w:rPr>
        <w:t>证明文件必须全部提供</w:t>
      </w:r>
      <w:r>
        <w:rPr>
          <w:rFonts w:hint="eastAsia" w:ascii="宋体" w:hAnsi="宋体" w:cs="宋体"/>
          <w:kern w:val="0"/>
          <w:sz w:val="24"/>
          <w:highlight w:val="none"/>
        </w:rPr>
        <w:t>,若报价供应商为联合体报价，须同时提供联合体单位的</w:t>
      </w:r>
      <w:r>
        <w:rPr>
          <w:rFonts w:ascii="宋体" w:hAnsi="宋体" w:cs="宋体"/>
          <w:kern w:val="0"/>
          <w:sz w:val="24"/>
          <w:highlight w:val="none"/>
        </w:rPr>
        <w:t>资格</w:t>
      </w:r>
      <w:r>
        <w:rPr>
          <w:rFonts w:hint="eastAsia" w:ascii="宋体" w:hAnsi="宋体" w:cs="宋体"/>
          <w:kern w:val="0"/>
          <w:sz w:val="24"/>
          <w:highlight w:val="none"/>
        </w:rPr>
        <w:t>、资信</w:t>
      </w:r>
      <w:r>
        <w:rPr>
          <w:rFonts w:ascii="宋体" w:hAnsi="宋体" w:cs="宋体"/>
          <w:kern w:val="0"/>
          <w:sz w:val="24"/>
          <w:highlight w:val="none"/>
        </w:rPr>
        <w:t>证明文件。其中要求提交的原件或公证件必须与响应文件同时提交，如果原件正在年检（或换证），则必须提供法定年检（或换证）单位出具的有效证明原件。</w:t>
      </w:r>
      <w:r>
        <w:rPr>
          <w:rFonts w:hint="eastAsia" w:ascii="宋体" w:hAnsi="宋体" w:cs="宋体"/>
          <w:kern w:val="0"/>
          <w:sz w:val="24"/>
          <w:highlight w:val="none"/>
        </w:rPr>
        <w:t>报价供应商</w:t>
      </w:r>
      <w:r>
        <w:rPr>
          <w:rFonts w:ascii="宋体" w:hAnsi="宋体" w:cs="宋体"/>
          <w:kern w:val="0"/>
          <w:sz w:val="24"/>
          <w:highlight w:val="none"/>
        </w:rPr>
        <w:t>法定代表人或被授权代表为外籍、港、澳、台地区人士的，其身份证明须提供有效的护照或港澳同胞来往内地通行证、台湾同胞来往大陆通行证，或其它可在中国大陆有效居留的许可证明。否则必须提供原件或公证件来予以证明。</w:t>
      </w:r>
      <w:r>
        <w:rPr>
          <w:rFonts w:hint="eastAsia" w:ascii="宋体" w:hAnsi="宋体" w:cs="宋体"/>
          <w:kern w:val="0"/>
          <w:sz w:val="24"/>
          <w:highlight w:val="none"/>
        </w:rPr>
        <w:t>报价供应商</w:t>
      </w:r>
      <w:r>
        <w:rPr>
          <w:rFonts w:ascii="宋体" w:hAnsi="宋体" w:cs="宋体"/>
          <w:kern w:val="0"/>
          <w:sz w:val="24"/>
          <w:highlight w:val="none"/>
        </w:rPr>
        <w:t>所提交的证明文件的完整与否，将直接影响其响应文件的审核和评分结果。</w:t>
      </w:r>
    </w:p>
    <w:p>
      <w:pPr>
        <w:widowControl/>
        <w:tabs>
          <w:tab w:val="left" w:pos="0"/>
        </w:tabs>
        <w:spacing w:line="360" w:lineRule="auto"/>
        <w:ind w:firstLine="424" w:firstLineChars="177"/>
        <w:jc w:val="left"/>
        <w:rPr>
          <w:rFonts w:ascii="宋体" w:hAnsi="宋体" w:cs="宋体"/>
          <w:kern w:val="0"/>
          <w:sz w:val="24"/>
          <w:highlight w:val="none"/>
        </w:rPr>
      </w:pPr>
      <w:r>
        <w:rPr>
          <w:rFonts w:hint="eastAsia" w:ascii="宋体" w:hAnsi="宋体"/>
          <w:sz w:val="24"/>
          <w:highlight w:val="none"/>
        </w:rPr>
        <w:t>第二部分：</w:t>
      </w:r>
      <w:r>
        <w:rPr>
          <w:rFonts w:hint="eastAsia" w:ascii="宋体" w:hAnsi="宋体" w:cs="宋体"/>
          <w:kern w:val="0"/>
          <w:sz w:val="24"/>
          <w:highlight w:val="none"/>
        </w:rPr>
        <w:t>补充性文件：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（1）报价供应商简介和经营情况说明；</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（2）报价供应商认为有必要提供的其他证明材料（参照评分标准要求）</w:t>
      </w:r>
      <w:r>
        <w:rPr>
          <w:rFonts w:hint="eastAsia" w:ascii="宋体" w:hAnsi="宋体" w:cs="宋体"/>
          <w:kern w:val="0"/>
          <w:sz w:val="24"/>
          <w:highlight w:val="none"/>
          <w:lang w:eastAsia="zh-CN"/>
        </w:rPr>
        <w:t>；</w:t>
      </w:r>
    </w:p>
    <w:p>
      <w:pPr>
        <w:widowControl/>
        <w:spacing w:line="360" w:lineRule="auto"/>
        <w:ind w:firstLine="480" w:firstLineChars="200"/>
        <w:jc w:val="left"/>
        <w:rPr>
          <w:rFonts w:hint="eastAsia" w:ascii="宋体" w:hAnsi="宋体" w:cs="宋体"/>
          <w:kern w:val="0"/>
          <w:sz w:val="24"/>
          <w:highlight w:val="none"/>
          <w:lang w:eastAsia="zh-CN"/>
        </w:rPr>
      </w:pPr>
      <w:r>
        <w:rPr>
          <w:rFonts w:hint="eastAsia" w:ascii="宋体" w:hAnsi="宋体" w:cs="宋体"/>
          <w:kern w:val="0"/>
          <w:sz w:val="24"/>
          <w:highlight w:val="none"/>
        </w:rPr>
        <w:t>（3）项目管理机构配备情况（格式见附件）</w:t>
      </w:r>
      <w:r>
        <w:rPr>
          <w:rFonts w:hint="eastAsia" w:ascii="宋体" w:hAnsi="宋体" w:cs="宋体"/>
          <w:kern w:val="0"/>
          <w:sz w:val="24"/>
          <w:highlight w:val="none"/>
          <w:lang w:eastAsia="zh-CN"/>
        </w:rPr>
        <w:t>；</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）如是中小企业的，提供《中小企业声明函》（格式见附件）；</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）残疾人福利性单位声明函（如是，格式见附件）；</w:t>
      </w:r>
    </w:p>
    <w:p>
      <w:pPr>
        <w:widowControl/>
        <w:spacing w:line="360" w:lineRule="auto"/>
        <w:ind w:firstLine="480" w:firstLineChars="200"/>
        <w:jc w:val="left"/>
        <w:rPr>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）由省级以上监狱管理局、戒毒管理局(含新疆生产建设兵团)出具的属于监狱企业的证明文件复印件（如是）；</w:t>
      </w:r>
    </w:p>
    <w:p>
      <w:pPr>
        <w:spacing w:line="360" w:lineRule="auto"/>
        <w:ind w:firstLine="482" w:firstLineChars="200"/>
        <w:rPr>
          <w:rFonts w:ascii="宋体" w:hAnsi="宋体"/>
          <w:b/>
          <w:sz w:val="24"/>
          <w:highlight w:val="none"/>
        </w:rPr>
      </w:pPr>
      <w:r>
        <w:rPr>
          <w:rFonts w:hint="eastAsia" w:ascii="宋体" w:hAnsi="宋体"/>
          <w:b/>
          <w:sz w:val="24"/>
          <w:highlight w:val="none"/>
        </w:rPr>
        <w:t>2、响应函部分（格式见附件）：</w:t>
      </w:r>
    </w:p>
    <w:p>
      <w:pPr>
        <w:spacing w:line="360" w:lineRule="auto"/>
        <w:ind w:firstLine="480" w:firstLineChars="200"/>
        <w:rPr>
          <w:rFonts w:ascii="宋体" w:hAnsi="宋体"/>
          <w:sz w:val="24"/>
          <w:highlight w:val="none"/>
        </w:rPr>
      </w:pPr>
      <w:r>
        <w:rPr>
          <w:rFonts w:hint="eastAsia" w:ascii="宋体" w:hAnsi="宋体"/>
          <w:sz w:val="24"/>
          <w:highlight w:val="none"/>
        </w:rPr>
        <w:t>（1）响应函；</w:t>
      </w:r>
    </w:p>
    <w:p>
      <w:pPr>
        <w:widowControl/>
        <w:spacing w:line="360" w:lineRule="auto"/>
        <w:ind w:firstLine="480" w:firstLineChars="200"/>
        <w:jc w:val="left"/>
        <w:rPr>
          <w:rFonts w:ascii="宋体" w:hAnsi="宋体"/>
          <w:sz w:val="24"/>
          <w:highlight w:val="none"/>
        </w:rPr>
      </w:pPr>
      <w:r>
        <w:rPr>
          <w:rFonts w:hint="eastAsia" w:ascii="宋体" w:hAnsi="宋体" w:cs="宋体"/>
          <w:kern w:val="0"/>
          <w:sz w:val="24"/>
          <w:highlight w:val="none"/>
        </w:rPr>
        <w:t>（2）开标一览表</w:t>
      </w:r>
      <w:r>
        <w:rPr>
          <w:rFonts w:hint="eastAsia" w:ascii="宋体" w:hAnsi="宋体"/>
          <w:sz w:val="24"/>
          <w:highlight w:val="none"/>
        </w:rPr>
        <w:t>；</w:t>
      </w:r>
    </w:p>
    <w:p>
      <w:pPr>
        <w:widowControl/>
        <w:spacing w:line="360" w:lineRule="auto"/>
        <w:ind w:firstLine="480" w:firstLineChars="200"/>
        <w:jc w:val="left"/>
        <w:rPr>
          <w:rFonts w:ascii="宋体" w:hAnsi="宋体"/>
          <w:sz w:val="24"/>
          <w:highlight w:val="none"/>
        </w:rPr>
      </w:pPr>
      <w:r>
        <w:rPr>
          <w:rFonts w:hint="eastAsia" w:ascii="宋体" w:hAnsi="宋体" w:cs="宋体"/>
          <w:kern w:val="0"/>
          <w:sz w:val="24"/>
          <w:highlight w:val="none"/>
        </w:rPr>
        <w:t>（3）细目报价表</w:t>
      </w:r>
      <w:r>
        <w:rPr>
          <w:rFonts w:hint="eastAsia" w:ascii="宋体" w:hAnsi="宋体"/>
          <w:sz w:val="24"/>
          <w:highlight w:val="none"/>
        </w:rPr>
        <w:t>；</w:t>
      </w:r>
    </w:p>
    <w:p>
      <w:pPr>
        <w:widowControl/>
        <w:spacing w:line="360" w:lineRule="auto"/>
        <w:ind w:firstLine="480" w:firstLineChars="200"/>
        <w:jc w:val="left"/>
        <w:rPr>
          <w:rFonts w:ascii="宋体" w:hAnsi="宋体" w:cs="宋体"/>
          <w:kern w:val="0"/>
          <w:sz w:val="24"/>
          <w:highlight w:val="none"/>
        </w:rPr>
      </w:pPr>
      <w:r>
        <w:rPr>
          <w:rFonts w:hint="eastAsia" w:ascii="宋体" w:hAnsi="宋体"/>
          <w:sz w:val="24"/>
          <w:highlight w:val="none"/>
        </w:rPr>
        <w:t>（4）投标偏离表；</w:t>
      </w:r>
    </w:p>
    <w:p>
      <w:pPr>
        <w:tabs>
          <w:tab w:val="left" w:pos="1050"/>
        </w:tabs>
        <w:spacing w:line="360" w:lineRule="auto"/>
        <w:ind w:firstLine="482" w:firstLineChars="200"/>
        <w:rPr>
          <w:rFonts w:ascii="宋体" w:hAnsi="宋体"/>
          <w:b/>
          <w:sz w:val="24"/>
          <w:highlight w:val="none"/>
        </w:rPr>
      </w:pPr>
      <w:r>
        <w:rPr>
          <w:rFonts w:hint="eastAsia" w:ascii="宋体" w:hAnsi="宋体"/>
          <w:b/>
          <w:sz w:val="24"/>
          <w:highlight w:val="none"/>
        </w:rPr>
        <w:t>3、技术文件部分</w:t>
      </w:r>
    </w:p>
    <w:p>
      <w:pPr>
        <w:numPr>
          <w:ilvl w:val="0"/>
          <w:numId w:val="12"/>
        </w:num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报价说明：</w:t>
      </w:r>
    </w:p>
    <w:p>
      <w:pPr>
        <w:spacing w:line="360" w:lineRule="auto"/>
        <w:ind w:firstLine="662" w:firstLineChars="276"/>
        <w:rPr>
          <w:rFonts w:ascii="宋体" w:hAnsi="宋体"/>
          <w:sz w:val="24"/>
          <w:highlight w:val="none"/>
        </w:rPr>
      </w:pPr>
      <w:r>
        <w:rPr>
          <w:rFonts w:hint="eastAsia" w:ascii="宋体" w:hAnsi="宋体"/>
          <w:sz w:val="24"/>
          <w:highlight w:val="none"/>
        </w:rPr>
        <w:t>1.</w:t>
      </w:r>
      <w:r>
        <w:rPr>
          <w:rFonts w:hint="eastAsia" w:ascii="新宋体" w:hAnsi="新宋体" w:eastAsia="新宋体"/>
          <w:sz w:val="24"/>
          <w:highlight w:val="none"/>
        </w:rPr>
        <w:t>投标报价视为应完成该项目的全部费用。</w:t>
      </w:r>
    </w:p>
    <w:p>
      <w:pPr>
        <w:spacing w:line="360" w:lineRule="auto"/>
        <w:ind w:firstLine="662" w:firstLineChars="276"/>
        <w:rPr>
          <w:rFonts w:ascii="宋体" w:hAnsi="宋体"/>
          <w:sz w:val="24"/>
          <w:highlight w:val="none"/>
        </w:rPr>
      </w:pPr>
      <w:r>
        <w:rPr>
          <w:rFonts w:hint="eastAsia" w:ascii="宋体" w:hAnsi="宋体"/>
          <w:sz w:val="24"/>
          <w:highlight w:val="none"/>
        </w:rPr>
        <w:t>2.报价供应商可先到现场踏勘以充分了解项目位置、情况、道路及任何其他足以影响承包价的情况，任何因忽视或误解项目情况而导致的索赔申请将不被批准。</w:t>
      </w:r>
    </w:p>
    <w:p>
      <w:pPr>
        <w:spacing w:line="360" w:lineRule="auto"/>
        <w:ind w:firstLine="662" w:firstLineChars="276"/>
        <w:rPr>
          <w:rFonts w:ascii="宋体" w:hAnsi="宋体"/>
          <w:sz w:val="24"/>
          <w:highlight w:val="none"/>
        </w:rPr>
      </w:pPr>
      <w:r>
        <w:rPr>
          <w:rFonts w:hint="eastAsia" w:ascii="宋体" w:hAnsi="宋体"/>
          <w:sz w:val="24"/>
          <w:highlight w:val="none"/>
        </w:rPr>
        <w:t>3.所有的技术方案必须符合国家标准或规范的要求。</w:t>
      </w:r>
    </w:p>
    <w:p>
      <w:pPr>
        <w:spacing w:line="360" w:lineRule="auto"/>
        <w:ind w:firstLine="662" w:firstLineChars="276"/>
        <w:rPr>
          <w:rFonts w:ascii="宋体" w:hAnsi="宋体"/>
          <w:b/>
          <w:bCs/>
          <w:sz w:val="24"/>
          <w:highlight w:val="none"/>
        </w:rPr>
      </w:pPr>
      <w:r>
        <w:rPr>
          <w:rFonts w:hint="eastAsia" w:ascii="宋体" w:hAnsi="宋体"/>
          <w:sz w:val="24"/>
          <w:highlight w:val="none"/>
        </w:rPr>
        <w:t>4.报价供应商应结合本企业的技术水平，管理水平和拟定的设计规划方案自主报价。</w:t>
      </w:r>
    </w:p>
    <w:p>
      <w:pPr>
        <w:spacing w:line="360" w:lineRule="auto"/>
        <w:ind w:firstLine="723" w:firstLineChars="300"/>
        <w:rPr>
          <w:rFonts w:ascii="宋体" w:hAnsi="宋体"/>
          <w:b/>
          <w:bCs/>
          <w:sz w:val="24"/>
          <w:highlight w:val="none"/>
        </w:rPr>
      </w:pPr>
      <w:r>
        <w:rPr>
          <w:rFonts w:hint="eastAsia" w:ascii="宋体" w:hAnsi="宋体"/>
          <w:b/>
          <w:bCs/>
          <w:sz w:val="24"/>
          <w:highlight w:val="none"/>
        </w:rPr>
        <w:t>5.磋商小组认为报价供应商的报价明显低于其他通过符合性审查报价供应商的报价，有可能影响产品质量或者不能诚信履约的，应当要求其在评标现场合理的时间内(自通知之时起半小时内)提供书面说明，必要时提交相关证明材料；报价供应商不能证明其报价合理性的，磋商小组应当将其作为无效标处理。</w:t>
      </w:r>
    </w:p>
    <w:p>
      <w:pPr>
        <w:spacing w:line="360" w:lineRule="auto"/>
        <w:ind w:firstLine="240"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（七）响应文件的要求：</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所有文件、往来函件均应使用简体中文（规格、型号辅助符号除外）。</w:t>
      </w:r>
    </w:p>
    <w:p>
      <w:pPr>
        <w:spacing w:line="360" w:lineRule="auto"/>
        <w:ind w:firstLine="480" w:firstLineChars="200"/>
        <w:rPr>
          <w:rFonts w:ascii="宋体" w:hAnsi="宋体"/>
          <w:b/>
          <w:sz w:val="24"/>
          <w:highlight w:val="none"/>
        </w:rPr>
      </w:pPr>
      <w:r>
        <w:rPr>
          <w:rFonts w:ascii="宋体" w:hAnsi="宋体"/>
          <w:sz w:val="24"/>
          <w:highlight w:val="none"/>
        </w:rPr>
        <w:t>2.</w:t>
      </w:r>
      <w:r>
        <w:rPr>
          <w:rFonts w:hint="eastAsia" w:ascii="宋体" w:hAnsi="宋体"/>
          <w:bCs/>
          <w:sz w:val="24"/>
          <w:highlight w:val="none"/>
        </w:rPr>
        <w:t>响应文件由报价供应商按给定格式如实填写（编写），须有法人（盖章）、法定代表人或被授权代表签字或盖章，方为有效，未尽事宜可自行补充。</w:t>
      </w:r>
      <w:r>
        <w:rPr>
          <w:rFonts w:hint="eastAsia" w:ascii="宋体" w:hAnsi="宋体"/>
          <w:b/>
          <w:sz w:val="24"/>
          <w:highlight w:val="none"/>
        </w:rPr>
        <w:t>响应文件正文部分打印一律使用普白办公用纸A4，竖排版面。</w:t>
      </w:r>
    </w:p>
    <w:p>
      <w:pPr>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报价供应商报价一律以人民币为报价结算货币，结算单位为“元”。</w:t>
      </w:r>
    </w:p>
    <w:p>
      <w:pPr>
        <w:spacing w:line="360" w:lineRule="auto"/>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响应文件格式部分，应由报价供应商按给定格式提供，不得更改。</w:t>
      </w:r>
    </w:p>
    <w:p>
      <w:pPr>
        <w:spacing w:line="360" w:lineRule="auto"/>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响应文件应用不褪色的黑色墨水书写或打印。</w:t>
      </w:r>
    </w:p>
    <w:p>
      <w:pPr>
        <w:tabs>
          <w:tab w:val="left" w:pos="0"/>
          <w:tab w:val="left" w:pos="704"/>
        </w:tabs>
        <w:spacing w:line="360" w:lineRule="auto"/>
        <w:ind w:firstLine="480" w:firstLineChars="200"/>
        <w:rPr>
          <w:rFonts w:ascii="宋体" w:hAnsi="宋体"/>
          <w:sz w:val="24"/>
          <w:highlight w:val="none"/>
        </w:rPr>
      </w:pPr>
      <w:r>
        <w:rPr>
          <w:rFonts w:ascii="宋体" w:hAnsi="宋体"/>
          <w:sz w:val="24"/>
          <w:highlight w:val="none"/>
        </w:rPr>
        <w:t>6.</w:t>
      </w:r>
      <w:r>
        <w:rPr>
          <w:rFonts w:hint="eastAsia" w:ascii="宋体" w:hAnsi="宋体"/>
          <w:sz w:val="24"/>
          <w:highlight w:val="none"/>
        </w:rPr>
        <w:t>响应文件统一采用A4纸，按照响应函格式中的顺序制作，并编制目录和页码。</w:t>
      </w:r>
    </w:p>
    <w:p>
      <w:pPr>
        <w:tabs>
          <w:tab w:val="left" w:pos="1620"/>
        </w:tabs>
        <w:spacing w:line="360" w:lineRule="auto"/>
        <w:ind w:firstLine="480" w:firstLineChars="200"/>
        <w:rPr>
          <w:rFonts w:ascii="宋体" w:hAnsi="宋体"/>
          <w:b/>
          <w:sz w:val="24"/>
          <w:highlight w:val="none"/>
        </w:rPr>
      </w:pPr>
      <w:r>
        <w:rPr>
          <w:rFonts w:ascii="宋体" w:hAnsi="宋体"/>
          <w:bCs/>
          <w:sz w:val="24"/>
          <w:highlight w:val="none"/>
        </w:rPr>
        <w:t>7.</w:t>
      </w:r>
      <w:r>
        <w:rPr>
          <w:rFonts w:hint="eastAsia" w:ascii="宋体" w:hAnsi="宋体"/>
          <w:bCs/>
          <w:sz w:val="24"/>
          <w:highlight w:val="none"/>
        </w:rPr>
        <w:t>响应文件份数为一正二副。报价供应商应将响应文件正本、电子光盘（不可擦写光盘）或U盘密封在一个封袋中并在封袋上清楚地标明“正本”，将响应文件所有副本密封在另一个封袋中并在密封袋上清楚地标明</w:t>
      </w:r>
      <w:r>
        <w:rPr>
          <w:rFonts w:ascii="宋体" w:hAnsi="宋体"/>
          <w:bCs/>
          <w:sz w:val="24"/>
          <w:highlight w:val="none"/>
        </w:rPr>
        <w:t xml:space="preserve"> “</w:t>
      </w:r>
      <w:r>
        <w:rPr>
          <w:rFonts w:hint="eastAsia" w:ascii="宋体" w:hAnsi="宋体"/>
          <w:bCs/>
          <w:sz w:val="24"/>
          <w:highlight w:val="none"/>
        </w:rPr>
        <w:t>副本</w:t>
      </w:r>
      <w:r>
        <w:rPr>
          <w:rFonts w:ascii="宋体" w:hAnsi="宋体"/>
          <w:bCs/>
          <w:sz w:val="24"/>
          <w:highlight w:val="none"/>
        </w:rPr>
        <w:t>”</w:t>
      </w:r>
      <w:r>
        <w:rPr>
          <w:rFonts w:hint="eastAsia" w:ascii="宋体" w:hAnsi="宋体"/>
          <w:bCs/>
          <w:sz w:val="24"/>
          <w:highlight w:val="none"/>
        </w:rPr>
        <w:t>；（3）磋商文件中证明文件部分及评标办法中所需提供的原件资料需单独装在一个资料袋中，并在袋上清楚地标明“原件资料”；（4）授权委托人身份证、授权委托书随身携带，不放入原件袋；（5）所有响应文件封袋的封口处应加盖报价供应商印章。密封袋上还均应注明采购编号、项目名称、报价供应商名称。</w:t>
      </w:r>
    </w:p>
    <w:p>
      <w:pPr>
        <w:spacing w:line="360" w:lineRule="auto"/>
        <w:ind w:firstLine="480" w:firstLineChars="200"/>
        <w:rPr>
          <w:rFonts w:ascii="宋体" w:hAnsi="宋体"/>
          <w:b/>
          <w:sz w:val="24"/>
          <w:highlight w:val="none"/>
        </w:rPr>
      </w:pPr>
      <w:r>
        <w:rPr>
          <w:rFonts w:ascii="宋体" w:hAnsi="宋体"/>
          <w:sz w:val="24"/>
          <w:highlight w:val="none"/>
        </w:rPr>
        <w:t>8.</w:t>
      </w:r>
      <w:r>
        <w:rPr>
          <w:rFonts w:hint="eastAsia" w:ascii="宋体" w:hAnsi="宋体"/>
          <w:sz w:val="24"/>
          <w:highlight w:val="none"/>
        </w:rPr>
        <w:t>响应文件不应有涂改、增删和潦草之处，如有必须修改时，修改处必须有法人、法定代表人或法定代表人授权代表的签章。</w:t>
      </w:r>
    </w:p>
    <w:p>
      <w:pPr>
        <w:spacing w:line="360" w:lineRule="auto"/>
        <w:ind w:firstLine="480" w:firstLineChars="200"/>
        <w:rPr>
          <w:rFonts w:ascii="宋体" w:hAnsi="宋体"/>
          <w:bCs/>
          <w:sz w:val="24"/>
          <w:szCs w:val="24"/>
          <w:highlight w:val="none"/>
        </w:rPr>
      </w:pPr>
      <w:r>
        <w:rPr>
          <w:rFonts w:ascii="宋体" w:hAnsi="宋体"/>
          <w:sz w:val="24"/>
          <w:highlight w:val="none"/>
        </w:rPr>
        <w:t>9</w:t>
      </w:r>
      <w:r>
        <w:rPr>
          <w:rFonts w:hint="eastAsia" w:ascii="宋体" w:hAnsi="宋体"/>
          <w:sz w:val="24"/>
          <w:highlight w:val="none"/>
        </w:rPr>
        <w:t>.报价费用自理。</w:t>
      </w:r>
    </w:p>
    <w:p>
      <w:pPr>
        <w:tabs>
          <w:tab w:val="left" w:pos="945"/>
        </w:tabs>
        <w:spacing w:line="360" w:lineRule="auto"/>
        <w:ind w:firstLine="240" w:firstLineChars="100"/>
        <w:rPr>
          <w:rFonts w:ascii="宋体" w:hAnsi="宋体"/>
          <w:bCs/>
          <w:sz w:val="24"/>
          <w:szCs w:val="24"/>
          <w:highlight w:val="none"/>
        </w:rPr>
      </w:pPr>
      <w:r>
        <w:rPr>
          <w:rFonts w:hint="eastAsia" w:ascii="宋体" w:hAnsi="宋体"/>
          <w:bCs/>
          <w:sz w:val="24"/>
          <w:szCs w:val="24"/>
          <w:highlight w:val="none"/>
        </w:rPr>
        <w:t>（八） 无效响应文件的确认：</w:t>
      </w:r>
    </w:p>
    <w:p>
      <w:pPr>
        <w:tabs>
          <w:tab w:val="left" w:pos="945"/>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报价供应商有下列情况之一者，响应文件无效：</w:t>
      </w:r>
    </w:p>
    <w:p>
      <w:pPr>
        <w:numPr>
          <w:ilvl w:val="0"/>
          <w:numId w:val="5"/>
        </w:numPr>
        <w:spacing w:line="360" w:lineRule="auto"/>
        <w:rPr>
          <w:rFonts w:ascii="宋体" w:hAnsi="宋体"/>
          <w:sz w:val="24"/>
          <w:highlight w:val="none"/>
        </w:rPr>
      </w:pPr>
      <w:r>
        <w:rPr>
          <w:rFonts w:hint="eastAsia" w:ascii="宋体" w:hAnsi="宋体"/>
          <w:sz w:val="24"/>
          <w:highlight w:val="none"/>
        </w:rPr>
        <w:t>响应文件未按规定的期限、地点送达的；</w:t>
      </w:r>
    </w:p>
    <w:p>
      <w:pPr>
        <w:numPr>
          <w:ilvl w:val="0"/>
          <w:numId w:val="5"/>
        </w:numPr>
        <w:spacing w:line="360" w:lineRule="auto"/>
        <w:rPr>
          <w:rFonts w:ascii="宋体" w:hAnsi="宋体"/>
          <w:sz w:val="24"/>
          <w:highlight w:val="none"/>
        </w:rPr>
      </w:pPr>
      <w:r>
        <w:rPr>
          <w:rFonts w:hint="eastAsia" w:ascii="宋体" w:hAnsi="宋体"/>
          <w:sz w:val="24"/>
          <w:highlight w:val="none"/>
        </w:rPr>
        <w:t>响应文件未按要求密封、签署、盖章的；</w:t>
      </w:r>
    </w:p>
    <w:p>
      <w:pPr>
        <w:numPr>
          <w:ilvl w:val="0"/>
          <w:numId w:val="5"/>
        </w:numPr>
        <w:spacing w:line="360" w:lineRule="auto"/>
        <w:rPr>
          <w:rFonts w:ascii="宋体" w:hAnsi="宋体"/>
          <w:sz w:val="24"/>
          <w:highlight w:val="none"/>
        </w:rPr>
      </w:pPr>
      <w:r>
        <w:rPr>
          <w:rFonts w:hint="eastAsia" w:ascii="宋体" w:hAnsi="宋体"/>
          <w:sz w:val="24"/>
          <w:highlight w:val="none"/>
        </w:rPr>
        <w:t>报价供应商的法定代表人或法定代表人授权代表，未准时参加磋商会议的；</w:t>
      </w:r>
    </w:p>
    <w:p>
      <w:pPr>
        <w:numPr>
          <w:ilvl w:val="0"/>
          <w:numId w:val="5"/>
        </w:numPr>
        <w:spacing w:line="360" w:lineRule="auto"/>
        <w:rPr>
          <w:rFonts w:ascii="宋体" w:hAnsi="宋体"/>
          <w:sz w:val="24"/>
          <w:highlight w:val="none"/>
        </w:rPr>
      </w:pPr>
      <w:r>
        <w:rPr>
          <w:rFonts w:hint="eastAsia" w:ascii="宋体" w:hAnsi="宋体"/>
          <w:sz w:val="24"/>
          <w:highlight w:val="none"/>
        </w:rPr>
        <w:t>报价供应商的法定代表人授权代表，无法定代表人授权委托书的；</w:t>
      </w:r>
    </w:p>
    <w:p>
      <w:pPr>
        <w:numPr>
          <w:ilvl w:val="0"/>
          <w:numId w:val="5"/>
        </w:numPr>
        <w:spacing w:line="360" w:lineRule="auto"/>
        <w:rPr>
          <w:rFonts w:ascii="宋体" w:hAnsi="宋体"/>
          <w:sz w:val="24"/>
          <w:highlight w:val="none"/>
        </w:rPr>
      </w:pPr>
      <w:r>
        <w:rPr>
          <w:rFonts w:hint="eastAsia" w:ascii="宋体" w:hAnsi="宋体"/>
          <w:sz w:val="24"/>
          <w:highlight w:val="none"/>
        </w:rPr>
        <w:t>不具备磋商文件中规定的资格要求及未按磋商文件规定的要求提供资格证明文件的；</w:t>
      </w:r>
    </w:p>
    <w:p>
      <w:pPr>
        <w:numPr>
          <w:ilvl w:val="0"/>
          <w:numId w:val="5"/>
        </w:numPr>
        <w:spacing w:line="360" w:lineRule="auto"/>
        <w:rPr>
          <w:rFonts w:ascii="宋体" w:hAnsi="宋体"/>
          <w:sz w:val="24"/>
          <w:highlight w:val="none"/>
        </w:rPr>
      </w:pPr>
      <w:r>
        <w:rPr>
          <w:rFonts w:hint="eastAsia" w:ascii="宋体" w:hAnsi="宋体"/>
          <w:sz w:val="24"/>
          <w:highlight w:val="none"/>
        </w:rPr>
        <w:t>响应文件含有采购人不能接受的附加条件的；</w:t>
      </w:r>
    </w:p>
    <w:p>
      <w:pPr>
        <w:numPr>
          <w:ilvl w:val="0"/>
          <w:numId w:val="5"/>
        </w:numPr>
        <w:spacing w:line="360" w:lineRule="auto"/>
        <w:rPr>
          <w:rFonts w:ascii="宋体" w:hAnsi="宋体"/>
          <w:sz w:val="24"/>
          <w:highlight w:val="none"/>
        </w:rPr>
      </w:pPr>
      <w:r>
        <w:rPr>
          <w:rFonts w:hint="eastAsia" w:ascii="宋体" w:hAnsi="宋体"/>
          <w:sz w:val="24"/>
          <w:highlight w:val="none"/>
        </w:rPr>
        <w:t>响应文件未按磋商文件规定的格式、内容和要求填写、制作的；</w:t>
      </w:r>
    </w:p>
    <w:p>
      <w:pPr>
        <w:numPr>
          <w:ilvl w:val="0"/>
          <w:numId w:val="5"/>
        </w:numPr>
        <w:spacing w:line="360" w:lineRule="auto"/>
        <w:rPr>
          <w:rFonts w:ascii="宋体" w:hAnsi="宋体"/>
          <w:sz w:val="24"/>
          <w:highlight w:val="none"/>
        </w:rPr>
      </w:pPr>
      <w:r>
        <w:rPr>
          <w:rFonts w:hint="eastAsia" w:ascii="宋体" w:hAnsi="宋体"/>
          <w:sz w:val="24"/>
          <w:highlight w:val="none"/>
        </w:rPr>
        <w:t>响应文件书写潦草、字迹模糊不清、无法辨认的；</w:t>
      </w:r>
    </w:p>
    <w:p>
      <w:pPr>
        <w:numPr>
          <w:ilvl w:val="0"/>
          <w:numId w:val="5"/>
        </w:numPr>
        <w:spacing w:line="360" w:lineRule="auto"/>
        <w:rPr>
          <w:rFonts w:ascii="宋体" w:hAnsi="宋体"/>
          <w:sz w:val="24"/>
          <w:highlight w:val="none"/>
        </w:rPr>
      </w:pPr>
      <w:r>
        <w:rPr>
          <w:rFonts w:hint="eastAsia" w:ascii="宋体" w:hAnsi="宋体"/>
          <w:sz w:val="24"/>
          <w:highlight w:val="none"/>
        </w:rPr>
        <w:t>响应文件中有磋商文件未允许提供的选择性内容的；</w:t>
      </w:r>
    </w:p>
    <w:p>
      <w:pPr>
        <w:numPr>
          <w:ilvl w:val="0"/>
          <w:numId w:val="5"/>
        </w:numPr>
        <w:spacing w:line="360" w:lineRule="auto"/>
        <w:rPr>
          <w:rFonts w:ascii="宋体" w:hAnsi="宋体"/>
          <w:sz w:val="24"/>
          <w:highlight w:val="none"/>
        </w:rPr>
      </w:pPr>
      <w:r>
        <w:rPr>
          <w:rFonts w:hint="eastAsia" w:ascii="宋体" w:hAnsi="宋体"/>
          <w:sz w:val="24"/>
          <w:highlight w:val="none"/>
        </w:rPr>
        <w:t>恶意串通其他报价供应商，故意哄抬价格或压价的；</w:t>
      </w:r>
    </w:p>
    <w:p>
      <w:pPr>
        <w:numPr>
          <w:ilvl w:val="0"/>
          <w:numId w:val="5"/>
        </w:numPr>
        <w:spacing w:line="360" w:lineRule="auto"/>
        <w:rPr>
          <w:rFonts w:ascii="宋体" w:hAnsi="宋体"/>
          <w:sz w:val="24"/>
          <w:highlight w:val="none"/>
        </w:rPr>
      </w:pPr>
      <w:r>
        <w:rPr>
          <w:rFonts w:hint="eastAsia" w:ascii="宋体" w:hAnsi="宋体"/>
          <w:sz w:val="24"/>
          <w:highlight w:val="none"/>
        </w:rPr>
        <w:t>提供虚假材料的（包括工商营业执照、财务报表、资格证明文件等）；</w:t>
      </w:r>
    </w:p>
    <w:p>
      <w:pPr>
        <w:numPr>
          <w:ilvl w:val="0"/>
          <w:numId w:val="5"/>
        </w:numPr>
        <w:spacing w:line="360" w:lineRule="auto"/>
        <w:rPr>
          <w:rFonts w:ascii="宋体" w:hAnsi="宋体"/>
          <w:sz w:val="24"/>
          <w:highlight w:val="none"/>
        </w:rPr>
      </w:pPr>
      <w:r>
        <w:rPr>
          <w:rFonts w:hint="eastAsia" w:ascii="宋体" w:hAnsi="宋体"/>
          <w:sz w:val="24"/>
          <w:highlight w:val="none"/>
        </w:rPr>
        <w:t>响应文件未按要求制作、装订、密封包装的；</w:t>
      </w:r>
    </w:p>
    <w:p>
      <w:pPr>
        <w:numPr>
          <w:ilvl w:val="0"/>
          <w:numId w:val="5"/>
        </w:numPr>
        <w:spacing w:line="360" w:lineRule="auto"/>
        <w:rPr>
          <w:sz w:val="24"/>
          <w:highlight w:val="none"/>
        </w:rPr>
      </w:pPr>
      <w:r>
        <w:rPr>
          <w:rFonts w:hint="eastAsia" w:ascii="宋体" w:hAnsi="宋体"/>
          <w:sz w:val="24"/>
          <w:highlight w:val="none"/>
        </w:rPr>
        <w:t>响应文件未加盖报价供应商公章及法定代表人或授权代表签字和盖章的；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不同报价供应商响应文件相互混装的；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不同报价供应商响应文件中的项目相关人员出现同一人的；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不同报价供应商聘请同一人为其报价提供技术或经济咨询服务的；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不同报价供应商的单位负责人为同一人或者存在直接控股、管理关系的；</w:t>
      </w:r>
    </w:p>
    <w:p>
      <w:pPr>
        <w:numPr>
          <w:ilvl w:val="0"/>
          <w:numId w:val="5"/>
        </w:numPr>
        <w:spacing w:line="360" w:lineRule="auto"/>
        <w:rPr>
          <w:rFonts w:ascii="宋体" w:hAnsi="宋体"/>
          <w:sz w:val="24"/>
          <w:highlight w:val="none"/>
        </w:rPr>
      </w:pPr>
      <w:r>
        <w:rPr>
          <w:rFonts w:hint="eastAsia" w:ascii="宋体" w:hAnsi="宋体"/>
          <w:sz w:val="24"/>
          <w:highlight w:val="none"/>
        </w:rPr>
        <w:t>报价供应商为本项目提供整体设计、规范编制或者项目管理、监理、检测等服务的；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不同报价供应商的响应文件异常一致或者投标报价呈规律性差异；</w:t>
      </w:r>
    </w:p>
    <w:p>
      <w:pPr>
        <w:numPr>
          <w:ilvl w:val="0"/>
          <w:numId w:val="5"/>
        </w:numPr>
        <w:spacing w:line="360" w:lineRule="auto"/>
        <w:rPr>
          <w:rFonts w:ascii="宋体" w:hAnsi="宋体"/>
          <w:sz w:val="24"/>
          <w:highlight w:val="none"/>
        </w:rPr>
      </w:pPr>
      <w:r>
        <w:rPr>
          <w:rFonts w:hint="eastAsia" w:ascii="宋体" w:hAnsi="宋体"/>
          <w:sz w:val="24"/>
          <w:highlight w:val="none"/>
        </w:rPr>
        <w:t>响应文件中同一方案有选择性报价且未声明以哪一个为准的；</w:t>
      </w:r>
    </w:p>
    <w:p>
      <w:pPr>
        <w:numPr>
          <w:ilvl w:val="0"/>
          <w:numId w:val="5"/>
        </w:numPr>
        <w:spacing w:line="360" w:lineRule="auto"/>
        <w:rPr>
          <w:rFonts w:ascii="宋体" w:hAnsi="宋体"/>
          <w:sz w:val="24"/>
          <w:highlight w:val="none"/>
        </w:rPr>
      </w:pPr>
      <w:r>
        <w:rPr>
          <w:rFonts w:hint="eastAsia" w:ascii="宋体" w:hAnsi="宋体"/>
          <w:sz w:val="24"/>
          <w:highlight w:val="none"/>
        </w:rPr>
        <w:t>改变磋商文件规定的暂定价格或不可竞争费用的；改变磋商文件规定的工期、误期违约金 、质量标准及质量违约金的；</w:t>
      </w:r>
    </w:p>
    <w:p>
      <w:pPr>
        <w:numPr>
          <w:ilvl w:val="0"/>
          <w:numId w:val="5"/>
        </w:numPr>
        <w:spacing w:line="360" w:lineRule="auto"/>
        <w:rPr>
          <w:rFonts w:ascii="宋体" w:hAnsi="宋体"/>
          <w:sz w:val="24"/>
          <w:highlight w:val="none"/>
        </w:rPr>
      </w:pPr>
      <w:r>
        <w:rPr>
          <w:rFonts w:hint="eastAsia" w:ascii="宋体" w:hAnsi="宋体"/>
          <w:sz w:val="24"/>
          <w:highlight w:val="none"/>
        </w:rPr>
        <w:t>被本项目评委确认为无效响应文件的；</w:t>
      </w:r>
    </w:p>
    <w:p>
      <w:pPr>
        <w:numPr>
          <w:ilvl w:val="0"/>
          <w:numId w:val="5"/>
        </w:numPr>
        <w:spacing w:line="360" w:lineRule="auto"/>
        <w:rPr>
          <w:rFonts w:ascii="宋体" w:hAnsi="宋体"/>
          <w:sz w:val="24"/>
          <w:highlight w:val="none"/>
        </w:rPr>
      </w:pPr>
      <w:r>
        <w:rPr>
          <w:rFonts w:hint="eastAsia" w:ascii="宋体" w:hAnsi="宋体"/>
          <w:sz w:val="24"/>
          <w:highlight w:val="none"/>
        </w:rPr>
        <w:t>未按要求提供技术文件的；</w:t>
      </w:r>
    </w:p>
    <w:p>
      <w:pPr>
        <w:numPr>
          <w:ilvl w:val="0"/>
          <w:numId w:val="5"/>
        </w:numPr>
        <w:spacing w:line="360" w:lineRule="auto"/>
        <w:rPr>
          <w:rFonts w:ascii="宋体" w:hAnsi="宋体"/>
          <w:sz w:val="24"/>
          <w:highlight w:val="none"/>
        </w:rPr>
      </w:pPr>
      <w:r>
        <w:rPr>
          <w:rFonts w:hint="eastAsia" w:ascii="宋体" w:hAnsi="宋体"/>
          <w:sz w:val="24"/>
          <w:highlight w:val="none"/>
        </w:rPr>
        <w:t>未按要求提供电子版或电子版内容不全、格式不符要求的；</w:t>
      </w:r>
    </w:p>
    <w:p>
      <w:pPr>
        <w:numPr>
          <w:ilvl w:val="0"/>
          <w:numId w:val="5"/>
        </w:numPr>
        <w:spacing w:line="360" w:lineRule="auto"/>
        <w:rPr>
          <w:rFonts w:ascii="宋体" w:hAnsi="宋体"/>
          <w:sz w:val="24"/>
          <w:highlight w:val="none"/>
        </w:rPr>
      </w:pPr>
      <w:r>
        <w:rPr>
          <w:rFonts w:hint="eastAsia" w:ascii="宋体" w:hAnsi="宋体"/>
          <w:sz w:val="24"/>
          <w:highlight w:val="none"/>
        </w:rPr>
        <w:t>响应文件报价出现前后不一致，报价供应商拒不确认修正后的报价的；</w:t>
      </w:r>
    </w:p>
    <w:p>
      <w:pPr>
        <w:numPr>
          <w:ilvl w:val="0"/>
          <w:numId w:val="5"/>
        </w:numPr>
        <w:spacing w:line="360" w:lineRule="auto"/>
        <w:rPr>
          <w:rFonts w:ascii="宋体" w:hAnsi="宋体"/>
          <w:sz w:val="24"/>
          <w:highlight w:val="none"/>
        </w:rPr>
      </w:pPr>
      <w:r>
        <w:rPr>
          <w:rFonts w:hint="eastAsia" w:ascii="宋体" w:hAnsi="宋体"/>
          <w:sz w:val="24"/>
          <w:highlight w:val="none"/>
        </w:rPr>
        <w:t>超过磋商文件规定的最高限价的；</w:t>
      </w:r>
    </w:p>
    <w:p>
      <w:pPr>
        <w:numPr>
          <w:ilvl w:val="0"/>
          <w:numId w:val="5"/>
        </w:numPr>
        <w:spacing w:line="360" w:lineRule="auto"/>
        <w:rPr>
          <w:rFonts w:ascii="宋体" w:hAnsi="宋体"/>
          <w:sz w:val="24"/>
          <w:highlight w:val="none"/>
        </w:rPr>
      </w:pPr>
      <w:r>
        <w:rPr>
          <w:rFonts w:hint="eastAsia" w:ascii="宋体" w:hAnsi="宋体"/>
          <w:bCs/>
          <w:sz w:val="24"/>
          <w:highlight w:val="none"/>
        </w:rPr>
        <w:t>磋商小组认为报价供应商的报价明显低于其他通过符合性审查报价供应商的报价，</w:t>
      </w:r>
      <w:r>
        <w:rPr>
          <w:rFonts w:hint="eastAsia" w:ascii="宋体" w:hAnsi="宋体"/>
          <w:sz w:val="24"/>
          <w:highlight w:val="none"/>
        </w:rPr>
        <w:t>有可能影响产品质量或者不能诚信履约的，要求其在评标现场合理的时间内提供书面说明，必要时提交相关证明材料；报价供应商不能证明其报价合理性的；</w:t>
      </w:r>
    </w:p>
    <w:p>
      <w:pPr>
        <w:numPr>
          <w:ilvl w:val="0"/>
          <w:numId w:val="5"/>
        </w:numPr>
        <w:spacing w:line="360" w:lineRule="auto"/>
        <w:rPr>
          <w:rFonts w:ascii="宋体" w:hAnsi="宋体"/>
          <w:sz w:val="24"/>
          <w:highlight w:val="none"/>
        </w:rPr>
      </w:pPr>
      <w:r>
        <w:rPr>
          <w:rFonts w:hint="eastAsia" w:ascii="宋体" w:hAnsi="宋体"/>
          <w:sz w:val="24"/>
          <w:highlight w:val="none"/>
        </w:rPr>
        <w:t>未通过初步资格性审查、响应文件资格性检查、 响应文件符合性检查的；</w:t>
      </w:r>
    </w:p>
    <w:p>
      <w:pPr>
        <w:numPr>
          <w:ilvl w:val="0"/>
          <w:numId w:val="5"/>
        </w:numPr>
        <w:spacing w:line="360" w:lineRule="auto"/>
        <w:rPr>
          <w:rFonts w:ascii="宋体" w:hAnsi="宋体"/>
          <w:sz w:val="24"/>
          <w:highlight w:val="none"/>
        </w:rPr>
      </w:pPr>
      <w:r>
        <w:rPr>
          <w:rFonts w:hint="eastAsia" w:ascii="宋体" w:hAnsi="宋体"/>
          <w:sz w:val="24"/>
          <w:highlight w:val="none"/>
        </w:rPr>
        <w:t>列入失信被执行人、重大税收违法案件当事人名单、政府采购严重违法失信行为记录名单及其他不符合《中华人民共和国政府采购法》第二十二条规定条件的；</w:t>
      </w:r>
    </w:p>
    <w:p>
      <w:pPr>
        <w:numPr>
          <w:ilvl w:val="0"/>
          <w:numId w:val="5"/>
        </w:numPr>
        <w:spacing w:line="360" w:lineRule="auto"/>
        <w:rPr>
          <w:rFonts w:ascii="宋体" w:hAnsi="宋体"/>
          <w:sz w:val="24"/>
          <w:highlight w:val="none"/>
        </w:rPr>
      </w:pPr>
      <w:r>
        <w:rPr>
          <w:rFonts w:hint="eastAsia" w:ascii="宋体" w:hAnsi="宋体"/>
          <w:sz w:val="24"/>
          <w:highlight w:val="none"/>
        </w:rPr>
        <w:t>技术文件编制粗制滥造、内容不全、缺项漏项较多的，或经磋商小组评审得分达不到技术标分值60%的；</w:t>
      </w:r>
    </w:p>
    <w:p>
      <w:pPr>
        <w:numPr>
          <w:ilvl w:val="0"/>
          <w:numId w:val="5"/>
        </w:numPr>
        <w:spacing w:line="360" w:lineRule="auto"/>
        <w:rPr>
          <w:rFonts w:ascii="宋体" w:hAnsi="宋体"/>
          <w:sz w:val="24"/>
          <w:highlight w:val="none"/>
        </w:rPr>
      </w:pPr>
      <w:r>
        <w:rPr>
          <w:rFonts w:hint="eastAsia" w:ascii="宋体" w:hAnsi="宋体"/>
          <w:sz w:val="24"/>
          <w:highlight w:val="none"/>
        </w:rPr>
        <w:t>报价供应商的报价报价畸高或畸低，在询标时没有合理的解释或者不能提供计算依据和报价依据的；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不同报价供应商的响应文件的装订形式、纸张情况、目录序号、排版格式、文字风格等存在明显的相似性或一致性，特征显示由同一单位或者同一个人编制的；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不同报价供应商响应文件内容存在非正常一致、项目组成员或者联系人员出现同一人、响应文件中错误（或异常）一致或雷同、电子文档信息一致或雷同的；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不同报价供应商的委托代理人、项目负责人以及其他相关人员有在同一个单位缴纳社会保险的；</w:t>
      </w:r>
    </w:p>
    <w:p>
      <w:pPr>
        <w:numPr>
          <w:ilvl w:val="0"/>
          <w:numId w:val="5"/>
        </w:numPr>
        <w:spacing w:line="360" w:lineRule="auto"/>
        <w:rPr>
          <w:rFonts w:ascii="宋体" w:hAnsi="宋体"/>
          <w:sz w:val="24"/>
          <w:highlight w:val="none"/>
        </w:rPr>
      </w:pPr>
      <w:r>
        <w:rPr>
          <w:rFonts w:hint="eastAsia" w:ascii="宋体" w:hAnsi="宋体"/>
          <w:sz w:val="24"/>
          <w:highlight w:val="none"/>
        </w:rPr>
        <w:t>同一响应文件中单位名称落款与公章不是同一单位的；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不同报价供应商委托同一单位或者个人办理报价事宜的；</w:t>
      </w:r>
    </w:p>
    <w:p>
      <w:pPr>
        <w:numPr>
          <w:ilvl w:val="0"/>
          <w:numId w:val="5"/>
        </w:numPr>
        <w:spacing w:line="360" w:lineRule="auto"/>
        <w:rPr>
          <w:rFonts w:ascii="宋体" w:hAnsi="宋体"/>
          <w:bCs/>
          <w:sz w:val="24"/>
          <w:szCs w:val="24"/>
          <w:highlight w:val="none"/>
        </w:rPr>
      </w:pPr>
      <w:r>
        <w:rPr>
          <w:rFonts w:hint="eastAsia" w:ascii="宋体" w:hAnsi="宋体"/>
          <w:sz w:val="24"/>
          <w:highlight w:val="none"/>
        </w:rPr>
        <w:t>响应文件内容不全或不符合法律法规和磋商文件中规定的其他实质性要求的；</w:t>
      </w:r>
    </w:p>
    <w:p>
      <w:pPr>
        <w:pStyle w:val="38"/>
        <w:ind w:firstLine="480" w:firstLineChars="200"/>
        <w:rPr>
          <w:highlight w:val="none"/>
        </w:rPr>
      </w:pPr>
      <w:r>
        <w:rPr>
          <w:rFonts w:hint="eastAsia" w:ascii="宋体" w:hAnsi="宋体"/>
          <w:sz w:val="24"/>
          <w:highlight w:val="none"/>
        </w:rPr>
        <w:t>38.报价低于成本价的作为无效标。</w:t>
      </w: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（九）磋商、评审：</w:t>
      </w:r>
    </w:p>
    <w:p>
      <w:pPr>
        <w:numPr>
          <w:ilvl w:val="1"/>
          <w:numId w:val="3"/>
        </w:numPr>
        <w:tabs>
          <w:tab w:val="left" w:pos="525"/>
          <w:tab w:val="left" w:pos="1050"/>
          <w:tab w:val="clear" w:pos="1290"/>
        </w:tabs>
        <w:spacing w:line="360" w:lineRule="auto"/>
        <w:ind w:left="1" w:firstLine="628" w:firstLineChars="262"/>
        <w:rPr>
          <w:rFonts w:ascii="宋体" w:hAnsi="宋体"/>
          <w:bCs/>
          <w:sz w:val="24"/>
          <w:highlight w:val="none"/>
        </w:rPr>
      </w:pPr>
      <w:r>
        <w:rPr>
          <w:rFonts w:hint="eastAsia" w:ascii="宋体" w:hAnsi="宋体"/>
          <w:bCs/>
          <w:sz w:val="24"/>
          <w:highlight w:val="none"/>
        </w:rPr>
        <w:t>由专家及采购人代表组成磋商小组，并实行回避制度。</w:t>
      </w:r>
    </w:p>
    <w:p>
      <w:pPr>
        <w:numPr>
          <w:ilvl w:val="1"/>
          <w:numId w:val="3"/>
        </w:numPr>
        <w:tabs>
          <w:tab w:val="left" w:pos="525"/>
          <w:tab w:val="left" w:pos="1050"/>
          <w:tab w:val="clear" w:pos="1290"/>
        </w:tabs>
        <w:spacing w:line="360" w:lineRule="auto"/>
        <w:ind w:left="1" w:firstLine="628" w:firstLineChars="262"/>
        <w:rPr>
          <w:rFonts w:ascii="宋体" w:hAnsi="宋体"/>
          <w:bCs/>
          <w:sz w:val="24"/>
          <w:highlight w:val="none"/>
        </w:rPr>
      </w:pPr>
      <w:r>
        <w:rPr>
          <w:rFonts w:hint="eastAsia" w:ascii="宋体" w:hAnsi="宋体"/>
          <w:bCs/>
          <w:sz w:val="24"/>
          <w:highlight w:val="none"/>
        </w:rPr>
        <w:t>响应文件的评审依据：</w:t>
      </w:r>
    </w:p>
    <w:p>
      <w:pPr>
        <w:tabs>
          <w:tab w:val="left" w:pos="630"/>
          <w:tab w:val="left" w:pos="1155"/>
          <w:tab w:val="left" w:pos="1320"/>
          <w:tab w:val="left" w:pos="1365"/>
        </w:tabs>
        <w:spacing w:line="360" w:lineRule="auto"/>
        <w:ind w:left="630"/>
        <w:rPr>
          <w:rFonts w:ascii="宋体" w:hAnsi="宋体"/>
          <w:bCs/>
          <w:sz w:val="24"/>
          <w:highlight w:val="none"/>
        </w:rPr>
      </w:pPr>
      <w:r>
        <w:rPr>
          <w:rFonts w:hint="eastAsia" w:ascii="宋体" w:hAnsi="宋体"/>
          <w:bCs/>
          <w:sz w:val="24"/>
          <w:highlight w:val="none"/>
        </w:rPr>
        <w:t>2.1响应文件的纸质文件,正本与副本不符，以正本为准；</w:t>
      </w:r>
    </w:p>
    <w:p>
      <w:pPr>
        <w:tabs>
          <w:tab w:val="left" w:pos="630"/>
          <w:tab w:val="left" w:pos="1155"/>
          <w:tab w:val="left" w:pos="1320"/>
          <w:tab w:val="left" w:pos="1365"/>
        </w:tabs>
        <w:spacing w:line="360" w:lineRule="auto"/>
        <w:ind w:left="630"/>
        <w:rPr>
          <w:rFonts w:ascii="宋体" w:hAnsi="宋体"/>
          <w:bCs/>
          <w:sz w:val="24"/>
          <w:highlight w:val="none"/>
        </w:rPr>
      </w:pPr>
      <w:r>
        <w:rPr>
          <w:rFonts w:hint="eastAsia" w:ascii="宋体" w:hAnsi="宋体"/>
          <w:bCs/>
          <w:sz w:val="24"/>
          <w:highlight w:val="none"/>
        </w:rPr>
        <w:t>2.2响应文件报价出现前后不一致的，除磋商文件另有规定外，按照下列规定修正：</w:t>
      </w:r>
    </w:p>
    <w:p>
      <w:pPr>
        <w:tabs>
          <w:tab w:val="left" w:pos="630"/>
          <w:tab w:val="left" w:pos="1155"/>
          <w:tab w:val="left" w:pos="1320"/>
          <w:tab w:val="left" w:pos="1365"/>
        </w:tabs>
        <w:spacing w:line="360" w:lineRule="auto"/>
        <w:ind w:left="630"/>
        <w:rPr>
          <w:rFonts w:ascii="宋体" w:hAnsi="宋体"/>
          <w:bCs/>
          <w:sz w:val="24"/>
          <w:highlight w:val="none"/>
        </w:rPr>
      </w:pPr>
      <w:r>
        <w:rPr>
          <w:rFonts w:hint="eastAsia" w:ascii="宋体" w:hAnsi="宋体"/>
          <w:bCs/>
          <w:sz w:val="24"/>
          <w:highlight w:val="none"/>
        </w:rPr>
        <w:t>2.2.1响应文件中开标一览表（报价表）内容与响应文件中相应内容不一致的，以开标一览表（报价表）为准；</w:t>
      </w:r>
    </w:p>
    <w:p>
      <w:pPr>
        <w:tabs>
          <w:tab w:val="left" w:pos="630"/>
          <w:tab w:val="left" w:pos="1155"/>
          <w:tab w:val="left" w:pos="1320"/>
          <w:tab w:val="left" w:pos="1365"/>
        </w:tabs>
        <w:spacing w:line="360" w:lineRule="auto"/>
        <w:ind w:left="630"/>
        <w:rPr>
          <w:rFonts w:ascii="宋体" w:hAnsi="宋体"/>
          <w:bCs/>
          <w:sz w:val="24"/>
          <w:highlight w:val="none"/>
        </w:rPr>
      </w:pPr>
      <w:r>
        <w:rPr>
          <w:rFonts w:hint="eastAsia" w:ascii="宋体" w:hAnsi="宋体"/>
          <w:bCs/>
          <w:sz w:val="24"/>
          <w:highlight w:val="none"/>
        </w:rPr>
        <w:t>2.2.2大写金额和小写金额不一致的，以大写金额为准；</w:t>
      </w:r>
    </w:p>
    <w:p>
      <w:pPr>
        <w:tabs>
          <w:tab w:val="left" w:pos="630"/>
          <w:tab w:val="left" w:pos="1155"/>
          <w:tab w:val="left" w:pos="1320"/>
          <w:tab w:val="left" w:pos="1365"/>
        </w:tabs>
        <w:spacing w:line="360" w:lineRule="auto"/>
        <w:ind w:left="630"/>
        <w:rPr>
          <w:rFonts w:ascii="宋体" w:hAnsi="宋体"/>
          <w:bCs/>
          <w:sz w:val="24"/>
          <w:highlight w:val="none"/>
        </w:rPr>
      </w:pPr>
      <w:r>
        <w:rPr>
          <w:rFonts w:hint="eastAsia" w:ascii="宋体" w:hAnsi="宋体"/>
          <w:bCs/>
          <w:sz w:val="24"/>
          <w:highlight w:val="none"/>
        </w:rPr>
        <w:t>2.2.3正本与副本不符，以正本为准</w:t>
      </w:r>
    </w:p>
    <w:p>
      <w:pPr>
        <w:tabs>
          <w:tab w:val="left" w:pos="630"/>
          <w:tab w:val="left" w:pos="1155"/>
          <w:tab w:val="left" w:pos="1320"/>
          <w:tab w:val="left" w:pos="1365"/>
        </w:tabs>
        <w:spacing w:line="360" w:lineRule="auto"/>
        <w:ind w:left="630"/>
        <w:rPr>
          <w:rFonts w:ascii="宋体" w:hAnsi="宋体"/>
          <w:bCs/>
          <w:sz w:val="24"/>
          <w:highlight w:val="none"/>
        </w:rPr>
      </w:pPr>
      <w:r>
        <w:rPr>
          <w:rFonts w:hint="eastAsia" w:ascii="宋体" w:hAnsi="宋体"/>
          <w:bCs/>
          <w:sz w:val="24"/>
          <w:highlight w:val="none"/>
        </w:rPr>
        <w:t>2.2.4单价金额小数点或者百分比有明显错位的，以开标一览表的总价为准，并修改单价；</w:t>
      </w:r>
    </w:p>
    <w:p>
      <w:pPr>
        <w:tabs>
          <w:tab w:val="left" w:pos="630"/>
          <w:tab w:val="left" w:pos="1155"/>
          <w:tab w:val="left" w:pos="1320"/>
          <w:tab w:val="left" w:pos="1365"/>
        </w:tabs>
        <w:spacing w:line="360" w:lineRule="auto"/>
        <w:ind w:left="630"/>
        <w:rPr>
          <w:rFonts w:ascii="宋体" w:hAnsi="宋体"/>
          <w:b/>
          <w:sz w:val="24"/>
          <w:highlight w:val="none"/>
        </w:rPr>
      </w:pPr>
      <w:r>
        <w:rPr>
          <w:rFonts w:hint="eastAsia" w:ascii="宋体" w:hAnsi="宋体"/>
          <w:bCs/>
          <w:sz w:val="24"/>
          <w:highlight w:val="none"/>
        </w:rPr>
        <w:t>2.2.5总价金额与按单价汇总金额不一致的，以单价金额计算结果为准。</w:t>
      </w:r>
      <w:r>
        <w:rPr>
          <w:rFonts w:hint="eastAsia" w:ascii="宋体" w:hAnsi="宋体"/>
          <w:b/>
          <w:sz w:val="24"/>
          <w:highlight w:val="none"/>
        </w:rPr>
        <w:t>　　</w:t>
      </w:r>
    </w:p>
    <w:p>
      <w:pPr>
        <w:numPr>
          <w:ilvl w:val="1"/>
          <w:numId w:val="3"/>
        </w:numPr>
        <w:tabs>
          <w:tab w:val="left" w:pos="525"/>
          <w:tab w:val="left" w:pos="840"/>
          <w:tab w:val="left" w:pos="1050"/>
          <w:tab w:val="clear" w:pos="1290"/>
        </w:tabs>
        <w:spacing w:line="360" w:lineRule="auto"/>
        <w:ind w:left="1" w:firstLine="628" w:firstLineChars="262"/>
        <w:rPr>
          <w:rFonts w:ascii="宋体" w:hAnsi="宋体"/>
          <w:bCs/>
          <w:sz w:val="24"/>
          <w:highlight w:val="none"/>
        </w:rPr>
      </w:pPr>
      <w:r>
        <w:rPr>
          <w:rFonts w:hint="eastAsia" w:ascii="宋体" w:hAnsi="宋体"/>
          <w:bCs/>
          <w:sz w:val="24"/>
          <w:highlight w:val="none"/>
        </w:rPr>
        <w:t>开标工作程序</w:t>
      </w:r>
    </w:p>
    <w:p>
      <w:pPr>
        <w:tabs>
          <w:tab w:val="left" w:pos="840"/>
          <w:tab w:val="left" w:pos="1050"/>
        </w:tabs>
        <w:spacing w:line="360" w:lineRule="auto"/>
        <w:ind w:left="630"/>
        <w:rPr>
          <w:rFonts w:ascii="宋体" w:hAnsi="宋体"/>
          <w:bCs/>
          <w:sz w:val="24"/>
          <w:highlight w:val="none"/>
        </w:rPr>
      </w:pPr>
      <w:r>
        <w:rPr>
          <w:rFonts w:hint="eastAsia" w:ascii="宋体" w:hAnsi="宋体"/>
          <w:bCs/>
          <w:sz w:val="24"/>
          <w:highlight w:val="none"/>
        </w:rPr>
        <w:t>3.1 密封性审查：</w:t>
      </w:r>
    </w:p>
    <w:p>
      <w:pPr>
        <w:tabs>
          <w:tab w:val="left" w:pos="840"/>
          <w:tab w:val="left" w:pos="1050"/>
        </w:tabs>
        <w:spacing w:line="360" w:lineRule="auto"/>
        <w:ind w:left="630"/>
        <w:rPr>
          <w:rFonts w:ascii="宋体" w:hAnsi="宋体"/>
          <w:bCs/>
          <w:sz w:val="24"/>
          <w:highlight w:val="none"/>
        </w:rPr>
      </w:pPr>
      <w:r>
        <w:rPr>
          <w:rFonts w:hint="eastAsia" w:ascii="宋体" w:hAnsi="宋体"/>
          <w:bCs/>
          <w:sz w:val="24"/>
          <w:highlight w:val="none"/>
        </w:rPr>
        <w:t>由报价供应商或其推选的代表检查响应文件的密封、签署、盖章情况，也可以由公证人员检查并公证；</w:t>
      </w:r>
    </w:p>
    <w:p>
      <w:pPr>
        <w:tabs>
          <w:tab w:val="left" w:pos="840"/>
          <w:tab w:val="left" w:pos="1050"/>
        </w:tabs>
        <w:spacing w:line="360" w:lineRule="auto"/>
        <w:ind w:left="630"/>
        <w:rPr>
          <w:rFonts w:ascii="宋体" w:hAnsi="宋体"/>
          <w:bCs/>
          <w:sz w:val="24"/>
          <w:highlight w:val="none"/>
        </w:rPr>
      </w:pPr>
      <w:r>
        <w:rPr>
          <w:rFonts w:hint="eastAsia" w:ascii="宋体" w:hAnsi="宋体"/>
          <w:bCs/>
          <w:sz w:val="24"/>
          <w:highlight w:val="none"/>
        </w:rPr>
        <w:t>3.2初步资格性审查：</w:t>
      </w:r>
    </w:p>
    <w:p>
      <w:pPr>
        <w:tabs>
          <w:tab w:val="left" w:pos="840"/>
          <w:tab w:val="left" w:pos="1050"/>
        </w:tabs>
        <w:spacing w:line="360" w:lineRule="auto"/>
        <w:ind w:left="630"/>
        <w:rPr>
          <w:rFonts w:ascii="宋体" w:hAnsi="宋体"/>
          <w:bCs/>
          <w:sz w:val="24"/>
          <w:highlight w:val="none"/>
        </w:rPr>
      </w:pPr>
      <w:r>
        <w:rPr>
          <w:rFonts w:hint="eastAsia" w:ascii="宋体" w:hAnsi="宋体"/>
          <w:bCs/>
          <w:sz w:val="24"/>
          <w:highlight w:val="none"/>
        </w:rPr>
        <w:t>由工作人员在公证或监督下，按照报价供应商签到时间顺序进行。审查内容有：</w:t>
      </w:r>
    </w:p>
    <w:p>
      <w:pPr>
        <w:tabs>
          <w:tab w:val="left" w:pos="840"/>
          <w:tab w:val="left" w:pos="1050"/>
        </w:tabs>
        <w:spacing w:line="360" w:lineRule="auto"/>
        <w:ind w:left="630"/>
        <w:rPr>
          <w:rFonts w:ascii="宋体" w:hAnsi="宋体"/>
          <w:bCs/>
          <w:sz w:val="24"/>
          <w:highlight w:val="none"/>
        </w:rPr>
      </w:pPr>
      <w:r>
        <w:rPr>
          <w:rFonts w:hint="eastAsia" w:ascii="宋体" w:hAnsi="宋体"/>
          <w:bCs/>
          <w:sz w:val="24"/>
          <w:highlight w:val="none"/>
        </w:rPr>
        <w:t>3.2.1 报价供应商的响应文件是否规定的期限、地点送达；</w:t>
      </w:r>
    </w:p>
    <w:p>
      <w:pPr>
        <w:tabs>
          <w:tab w:val="left" w:pos="840"/>
          <w:tab w:val="left" w:pos="1050"/>
        </w:tabs>
        <w:spacing w:line="360" w:lineRule="auto"/>
        <w:ind w:left="630"/>
        <w:rPr>
          <w:rFonts w:ascii="宋体" w:hAnsi="宋体"/>
          <w:bCs/>
          <w:sz w:val="24"/>
          <w:highlight w:val="none"/>
        </w:rPr>
      </w:pPr>
      <w:r>
        <w:rPr>
          <w:rFonts w:hint="eastAsia" w:ascii="宋体" w:hAnsi="宋体"/>
          <w:bCs/>
          <w:sz w:val="24"/>
          <w:highlight w:val="none"/>
        </w:rPr>
        <w:t>3.2.2 报价供应商的法定代表人或负责人或授权代表是否准时参加开标会议；</w:t>
      </w:r>
    </w:p>
    <w:p>
      <w:pPr>
        <w:tabs>
          <w:tab w:val="left" w:pos="840"/>
          <w:tab w:val="left" w:pos="1050"/>
        </w:tabs>
        <w:spacing w:line="360" w:lineRule="auto"/>
        <w:ind w:left="630"/>
        <w:rPr>
          <w:rFonts w:ascii="宋体" w:hAnsi="宋体"/>
          <w:bCs/>
          <w:sz w:val="24"/>
          <w:highlight w:val="none"/>
        </w:rPr>
      </w:pPr>
      <w:r>
        <w:rPr>
          <w:rFonts w:hint="eastAsia" w:ascii="宋体" w:hAnsi="宋体"/>
          <w:bCs/>
          <w:sz w:val="24"/>
          <w:highlight w:val="none"/>
        </w:rPr>
        <w:t>3.2.3报价供应商的法定代表人授权代表是否提供有效的身份证明和法定代表人授权委托书。</w:t>
      </w:r>
    </w:p>
    <w:p>
      <w:pPr>
        <w:tabs>
          <w:tab w:val="left" w:pos="840"/>
          <w:tab w:val="left" w:pos="1050"/>
        </w:tabs>
        <w:spacing w:line="360" w:lineRule="auto"/>
        <w:ind w:left="630"/>
        <w:rPr>
          <w:rFonts w:ascii="宋体" w:hAnsi="宋体"/>
          <w:sz w:val="24"/>
          <w:highlight w:val="none"/>
        </w:rPr>
      </w:pPr>
      <w:r>
        <w:rPr>
          <w:rFonts w:hint="eastAsia" w:ascii="宋体" w:hAnsi="宋体"/>
          <w:bCs/>
          <w:sz w:val="24"/>
          <w:highlight w:val="none"/>
        </w:rPr>
        <w:t>3.3</w:t>
      </w:r>
      <w:bookmarkStart w:id="10" w:name="OLE_LINK9"/>
      <w:r>
        <w:rPr>
          <w:rFonts w:hint="eastAsia" w:ascii="宋体" w:hAnsi="宋体"/>
          <w:sz w:val="24"/>
          <w:highlight w:val="none"/>
        </w:rPr>
        <w:t>对响应文件进行基础性数据分析和整理工作(清标)</w:t>
      </w:r>
    </w:p>
    <w:p>
      <w:pPr>
        <w:tabs>
          <w:tab w:val="left" w:pos="840"/>
          <w:tab w:val="left" w:pos="1050"/>
        </w:tabs>
        <w:spacing w:line="360" w:lineRule="auto"/>
        <w:ind w:firstLine="600" w:firstLineChars="250"/>
        <w:rPr>
          <w:rFonts w:ascii="宋体" w:hAnsi="宋体"/>
          <w:sz w:val="24"/>
          <w:highlight w:val="none"/>
        </w:rPr>
      </w:pPr>
      <w:r>
        <w:rPr>
          <w:rFonts w:hint="eastAsia" w:ascii="宋体" w:hAnsi="宋体"/>
          <w:sz w:val="24"/>
          <w:highlight w:val="none"/>
        </w:rPr>
        <w:t>3.</w:t>
      </w:r>
      <w:r>
        <w:rPr>
          <w:rFonts w:ascii="宋体" w:hAnsi="宋体"/>
          <w:sz w:val="24"/>
          <w:highlight w:val="none"/>
        </w:rPr>
        <w:t>3</w:t>
      </w:r>
      <w:r>
        <w:rPr>
          <w:rFonts w:hint="eastAsia" w:ascii="宋体" w:hAnsi="宋体"/>
          <w:sz w:val="24"/>
          <w:highlight w:val="none"/>
        </w:rPr>
        <w:t>.1在不改变报价供应商响应文件实质性内容的前提下，磋商小组应当对响应文件进行基础性数据分析和整理(简称为“清标”)，从而发现并提取其中可能存在的对招标范围理解的偏差、投标报价的算术性错误、错漏项、投标报价构成不合理、不平衡报价等存在明显异常的问题，并就这些问题整理形成清标成果。磋商小组对清标成果审议后，决定需要报价供应商进行澄清、说明或补正的问题，形成质疑问卷，向报价供应商发出问题澄清通知(包括质疑问卷)。</w:t>
      </w:r>
    </w:p>
    <w:p>
      <w:pPr>
        <w:tabs>
          <w:tab w:val="left" w:pos="840"/>
          <w:tab w:val="left" w:pos="1050"/>
        </w:tabs>
        <w:spacing w:line="360" w:lineRule="auto"/>
        <w:ind w:firstLine="480" w:firstLineChars="200"/>
        <w:rPr>
          <w:rFonts w:ascii="宋体" w:hAnsi="宋体"/>
          <w:bCs/>
          <w:sz w:val="24"/>
          <w:highlight w:val="none"/>
        </w:rPr>
      </w:pPr>
      <w:r>
        <w:rPr>
          <w:rFonts w:hint="eastAsia" w:ascii="宋体" w:hAnsi="宋体"/>
          <w:sz w:val="24"/>
          <w:highlight w:val="none"/>
        </w:rPr>
        <w:t>3.</w:t>
      </w:r>
      <w:r>
        <w:rPr>
          <w:rFonts w:ascii="宋体" w:hAnsi="宋体"/>
          <w:sz w:val="24"/>
          <w:highlight w:val="none"/>
        </w:rPr>
        <w:t>3</w:t>
      </w:r>
      <w:r>
        <w:rPr>
          <w:rFonts w:hint="eastAsia" w:ascii="宋体" w:hAnsi="宋体"/>
          <w:sz w:val="24"/>
          <w:highlight w:val="none"/>
        </w:rPr>
        <w:t>.2报价供应商接到磋商小组发出的问题澄清通知后，应按磋商小组的要求提供澄清资料并在规定的时间递交。否则视为“不按磋商小组要求澄清、说明或补正”，按无效响应文件处理。</w:t>
      </w:r>
      <w:bookmarkEnd w:id="10"/>
    </w:p>
    <w:p>
      <w:pPr>
        <w:tabs>
          <w:tab w:val="left" w:pos="840"/>
          <w:tab w:val="left" w:pos="1050"/>
        </w:tabs>
        <w:spacing w:line="360" w:lineRule="auto"/>
        <w:ind w:firstLine="480" w:firstLineChars="200"/>
        <w:rPr>
          <w:rFonts w:ascii="宋体" w:hAnsi="宋体"/>
          <w:bCs/>
          <w:sz w:val="24"/>
          <w:highlight w:val="none"/>
        </w:rPr>
      </w:pPr>
      <w:r>
        <w:rPr>
          <w:rFonts w:hint="eastAsia" w:ascii="宋体" w:hAnsi="宋体"/>
          <w:bCs/>
          <w:sz w:val="24"/>
          <w:highlight w:val="none"/>
        </w:rPr>
        <w:t>4.信用信息查询</w:t>
      </w:r>
    </w:p>
    <w:p>
      <w:pPr>
        <w:tabs>
          <w:tab w:val="left" w:pos="840"/>
          <w:tab w:val="left" w:pos="1050"/>
        </w:tabs>
        <w:spacing w:line="360" w:lineRule="auto"/>
        <w:ind w:firstLine="480" w:firstLineChars="200"/>
        <w:rPr>
          <w:rFonts w:ascii="宋体" w:hAnsi="宋体"/>
          <w:bCs/>
          <w:sz w:val="24"/>
          <w:highlight w:val="none"/>
        </w:rPr>
      </w:pPr>
      <w:r>
        <w:rPr>
          <w:rFonts w:hint="eastAsia" w:ascii="宋体" w:hAnsi="宋体"/>
          <w:bCs/>
          <w:sz w:val="24"/>
          <w:highlight w:val="none"/>
        </w:rPr>
        <w:t>4.1采购人或采购代理机构在</w:t>
      </w:r>
      <w:r>
        <w:rPr>
          <w:rFonts w:hint="eastAsia" w:ascii="宋体" w:hAnsi="宋体"/>
          <w:bCs/>
          <w:sz w:val="24"/>
          <w:highlight w:val="none"/>
          <w:lang w:val="en-US" w:eastAsia="zh-CN"/>
        </w:rPr>
        <w:t>投标截止时间</w:t>
      </w:r>
      <w:r>
        <w:rPr>
          <w:rFonts w:hint="eastAsia" w:ascii="宋体" w:hAnsi="宋体"/>
          <w:bCs/>
          <w:sz w:val="24"/>
          <w:highlight w:val="none"/>
        </w:rPr>
        <w:t>前通过“信用中国”网站(www.creditchina.gov.cn)、中国政府采购网(www.ccgp.gov.cn)等渠道查询相关报价人主体信用记录，对列入失信被执行人、重大税收违法案件当事人名单、政府采购严重违法失信行为记录名单及其他不符合《中华人民共和国政府采购法》第二十二条规定条件的报价人，拒绝其参与政府采购活动。</w:t>
      </w:r>
    </w:p>
    <w:p>
      <w:pPr>
        <w:tabs>
          <w:tab w:val="left" w:pos="840"/>
          <w:tab w:val="left" w:pos="1050"/>
        </w:tabs>
        <w:spacing w:line="360" w:lineRule="auto"/>
        <w:ind w:firstLine="480" w:firstLineChars="200"/>
        <w:rPr>
          <w:rFonts w:ascii="宋体" w:hAnsi="宋体"/>
          <w:bCs/>
          <w:sz w:val="24"/>
          <w:highlight w:val="none"/>
        </w:rPr>
      </w:pPr>
      <w:r>
        <w:rPr>
          <w:rFonts w:hint="eastAsia" w:ascii="宋体" w:hAnsi="宋体"/>
          <w:bCs/>
          <w:sz w:val="24"/>
          <w:highlight w:val="none"/>
        </w:rPr>
        <w:t>4.2采购人或采购代理机构通过相关渠道查询的供应商主体信用记录，与项目其他采购资料一并保存。</w:t>
      </w:r>
    </w:p>
    <w:p>
      <w:pPr>
        <w:tabs>
          <w:tab w:val="left" w:pos="840"/>
          <w:tab w:val="left" w:pos="1050"/>
        </w:tabs>
        <w:spacing w:line="360" w:lineRule="auto"/>
        <w:ind w:firstLine="480" w:firstLineChars="200"/>
        <w:rPr>
          <w:rFonts w:ascii="宋体" w:hAnsi="宋体"/>
          <w:bCs/>
          <w:sz w:val="24"/>
          <w:highlight w:val="none"/>
        </w:rPr>
      </w:pPr>
      <w:r>
        <w:rPr>
          <w:rFonts w:hint="eastAsia" w:ascii="宋体" w:hAnsi="宋体"/>
          <w:bCs/>
          <w:sz w:val="24"/>
          <w:highlight w:val="none"/>
        </w:rPr>
        <w:t>5. 磋商、评审程序</w:t>
      </w:r>
    </w:p>
    <w:p>
      <w:pPr>
        <w:spacing w:line="360" w:lineRule="auto"/>
        <w:ind w:firstLine="480" w:firstLineChars="200"/>
        <w:rPr>
          <w:rFonts w:ascii="宋体" w:hAnsi="宋体"/>
          <w:sz w:val="24"/>
          <w:highlight w:val="none"/>
        </w:rPr>
      </w:pPr>
      <w:r>
        <w:rPr>
          <w:rFonts w:hint="eastAsia" w:ascii="宋体" w:hAnsi="宋体"/>
          <w:sz w:val="24"/>
          <w:highlight w:val="none"/>
        </w:rPr>
        <w:t>5.1响应文件资格性检查。</w:t>
      </w:r>
    </w:p>
    <w:p>
      <w:pPr>
        <w:spacing w:line="360" w:lineRule="auto"/>
        <w:ind w:firstLine="480" w:firstLineChars="200"/>
        <w:rPr>
          <w:rFonts w:ascii="宋体" w:hAnsi="宋体"/>
          <w:sz w:val="24"/>
          <w:highlight w:val="none"/>
        </w:rPr>
      </w:pPr>
      <w:r>
        <w:rPr>
          <w:rFonts w:hint="eastAsia" w:ascii="宋体" w:hAnsi="宋体"/>
          <w:sz w:val="24"/>
          <w:highlight w:val="none"/>
        </w:rPr>
        <w:t>5.1.1磋商小组对响应文件进行资格性检查。</w:t>
      </w:r>
    </w:p>
    <w:p>
      <w:pPr>
        <w:spacing w:line="360" w:lineRule="auto"/>
        <w:ind w:firstLine="480" w:firstLineChars="200"/>
        <w:rPr>
          <w:rFonts w:ascii="宋体" w:hAnsi="宋体"/>
          <w:sz w:val="24"/>
          <w:highlight w:val="none"/>
        </w:rPr>
      </w:pPr>
      <w:r>
        <w:rPr>
          <w:rFonts w:hint="eastAsia" w:ascii="宋体" w:hAnsi="宋体"/>
          <w:sz w:val="24"/>
          <w:highlight w:val="none"/>
        </w:rPr>
        <w:t>5.1.2依据法律法规和磋商文件的规定，对响应文件中的资格、资信证明等进行审查，以确定报价供应商提供资格、资信证明材料的合法性、真实性，是否具备报价资格。</w:t>
      </w:r>
    </w:p>
    <w:p>
      <w:pPr>
        <w:spacing w:line="360" w:lineRule="auto"/>
        <w:ind w:firstLine="480" w:firstLineChars="200"/>
        <w:rPr>
          <w:rFonts w:ascii="宋体" w:hAnsi="宋体"/>
          <w:sz w:val="24"/>
          <w:highlight w:val="none"/>
        </w:rPr>
      </w:pPr>
      <w:r>
        <w:rPr>
          <w:rFonts w:hint="eastAsia" w:ascii="宋体" w:hAnsi="宋体"/>
          <w:sz w:val="24"/>
          <w:highlight w:val="none"/>
        </w:rPr>
        <w:t>5.2响应文件符合性检查。</w:t>
      </w:r>
    </w:p>
    <w:p>
      <w:pPr>
        <w:spacing w:line="360" w:lineRule="auto"/>
        <w:ind w:firstLine="480" w:firstLineChars="200"/>
        <w:rPr>
          <w:rFonts w:ascii="宋体" w:hAnsi="宋体"/>
          <w:sz w:val="24"/>
          <w:highlight w:val="none"/>
        </w:rPr>
      </w:pPr>
      <w:r>
        <w:rPr>
          <w:rFonts w:hint="eastAsia" w:ascii="宋体" w:hAnsi="宋体"/>
          <w:sz w:val="24"/>
          <w:highlight w:val="none"/>
        </w:rPr>
        <w:t>5.2.1磋商小组应当对符合资格的报价供应商的响应文件进行符合性审查，以确定其是否满足磋商文件的实质性要求。</w:t>
      </w:r>
    </w:p>
    <w:p>
      <w:pPr>
        <w:spacing w:line="360" w:lineRule="auto"/>
        <w:ind w:firstLine="480" w:firstLineChars="200"/>
        <w:rPr>
          <w:rFonts w:ascii="宋体" w:hAnsi="宋体"/>
          <w:b/>
          <w:sz w:val="24"/>
          <w:highlight w:val="none"/>
        </w:rPr>
      </w:pPr>
      <w:r>
        <w:rPr>
          <w:rFonts w:hint="eastAsia" w:ascii="宋体" w:hAnsi="宋体"/>
          <w:sz w:val="24"/>
          <w:highlight w:val="none"/>
        </w:rPr>
        <w:t>5.3</w:t>
      </w:r>
      <w:r>
        <w:rPr>
          <w:rFonts w:hint="eastAsia" w:ascii="宋体" w:hAnsi="宋体"/>
          <w:b/>
          <w:sz w:val="24"/>
          <w:highlight w:val="none"/>
        </w:rPr>
        <w:t>澄清有关问题。磋商小组认为响应文件中有含义不明确、同类问题表述不一致或者有明显文字和计算错误的，应以书面形式提出询标内容，由招标工作人员传递给报价供应商授权代表。报价供应商授权代表应当以书面形式作出澄清、说明或者补正，由报价供应商加盖公章，或者由法定代表人或其授权的代表签字确认；报价供应商的澄清、说明或者补正不得超出响应文件的范围或者改变响应文件的实质性内容。</w:t>
      </w:r>
    </w:p>
    <w:p>
      <w:pPr>
        <w:spacing w:line="360" w:lineRule="auto"/>
        <w:ind w:firstLine="480" w:firstLineChars="200"/>
        <w:rPr>
          <w:rFonts w:ascii="宋体" w:hAnsi="宋体"/>
          <w:sz w:val="24"/>
          <w:highlight w:val="none"/>
        </w:rPr>
      </w:pPr>
      <w:r>
        <w:rPr>
          <w:rFonts w:hint="eastAsia" w:ascii="宋体" w:hAnsi="宋体"/>
          <w:sz w:val="24"/>
          <w:highlight w:val="none"/>
        </w:rPr>
        <w:t>5.4磋商小组讨论、确定磋商程序和磋商内容。</w:t>
      </w:r>
    </w:p>
    <w:p>
      <w:pPr>
        <w:spacing w:line="360" w:lineRule="auto"/>
        <w:ind w:firstLine="480" w:firstLineChars="200"/>
        <w:rPr>
          <w:rFonts w:ascii="宋体" w:hAnsi="宋体"/>
          <w:sz w:val="24"/>
          <w:highlight w:val="none"/>
        </w:rPr>
      </w:pPr>
      <w:r>
        <w:rPr>
          <w:rFonts w:hint="eastAsia" w:ascii="宋体" w:hAnsi="宋体"/>
          <w:sz w:val="24"/>
          <w:highlight w:val="none"/>
        </w:rPr>
        <w:t>5.5磋商小组集中与单一供应商分别进行磋商。磋商轮次由磋商小组视情况决定。</w:t>
      </w:r>
    </w:p>
    <w:p>
      <w:pPr>
        <w:spacing w:line="360" w:lineRule="auto"/>
        <w:ind w:firstLine="480" w:firstLineChars="200"/>
        <w:rPr>
          <w:highlight w:val="none"/>
        </w:rPr>
      </w:pPr>
      <w:r>
        <w:rPr>
          <w:rFonts w:hint="eastAsia" w:ascii="宋体" w:hAnsi="宋体"/>
          <w:sz w:val="24"/>
          <w:highlight w:val="none"/>
        </w:rPr>
        <w:t>5.6在磋商过程中，磋商小组可以根据磋商文件和磋商情况实质性变动采购需求中的技术、服务要求以及合同草案条款，但不得变动磋商文件中的其他内容。对磋商文件作出的实质性变动是磋商文件的有效组成部分。如有实质性变动，磋商小组将以书面形式通知所有参加磋商的供应商。供应商应当按照磋商文件的变动情况和磋商小组的要求在规定的时间内重新提交响应文件，并由其法定代表人或授权代表签字或者加盖公章。如有负偏离，将作为无效标处理。</w:t>
      </w:r>
    </w:p>
    <w:p>
      <w:pPr>
        <w:spacing w:line="360" w:lineRule="auto"/>
        <w:ind w:firstLine="480" w:firstLineChars="200"/>
        <w:rPr>
          <w:rFonts w:ascii="宋体" w:hAnsi="宋体"/>
          <w:sz w:val="24"/>
          <w:highlight w:val="none"/>
        </w:rPr>
      </w:pPr>
      <w:r>
        <w:rPr>
          <w:rFonts w:hint="eastAsia" w:ascii="宋体" w:hAnsi="宋体"/>
          <w:sz w:val="24"/>
          <w:highlight w:val="none"/>
        </w:rPr>
        <w:t>5.8 比较与评价</w:t>
      </w:r>
    </w:p>
    <w:p>
      <w:pPr>
        <w:spacing w:line="360" w:lineRule="auto"/>
        <w:ind w:firstLine="480" w:firstLineChars="200"/>
        <w:rPr>
          <w:rFonts w:ascii="宋体" w:hAnsi="宋体"/>
          <w:sz w:val="24"/>
          <w:highlight w:val="none"/>
        </w:rPr>
      </w:pPr>
      <w:r>
        <w:rPr>
          <w:rFonts w:hint="eastAsia" w:ascii="宋体" w:hAnsi="宋体"/>
          <w:sz w:val="24"/>
          <w:highlight w:val="none"/>
        </w:rPr>
        <w:t>5.8.1响应文件资格性检查和响应文件的符合性检查结束后，凡属于“（七）无效响应文件的确认”的响应文件不进入比较与评价程序。</w:t>
      </w:r>
    </w:p>
    <w:p>
      <w:pPr>
        <w:spacing w:line="360" w:lineRule="auto"/>
        <w:ind w:firstLine="480" w:firstLineChars="200"/>
        <w:rPr>
          <w:rFonts w:ascii="宋体" w:hAnsi="宋体" w:cs="宋体"/>
          <w:sz w:val="24"/>
          <w:szCs w:val="28"/>
          <w:highlight w:val="none"/>
        </w:rPr>
      </w:pPr>
      <w:r>
        <w:rPr>
          <w:rFonts w:hint="eastAsia" w:ascii="宋体" w:hAnsi="宋体"/>
          <w:sz w:val="24"/>
          <w:highlight w:val="none"/>
        </w:rPr>
        <w:t xml:space="preserve">5.8.2 </w:t>
      </w:r>
      <w:r>
        <w:rPr>
          <w:rFonts w:hint="eastAsia" w:ascii="宋体" w:hAnsi="宋体" w:cs="宋体"/>
          <w:sz w:val="24"/>
          <w:szCs w:val="28"/>
          <w:highlight w:val="none"/>
        </w:rPr>
        <w:t>本项目对磋商小组对确定最终采购需求和提交最后报价的报价供应商采用综合评分法进行比较与评价。经评审有效的响应文件按磋商文件中规定的评标方法和标准，由磋商小组进行比较与评价。</w:t>
      </w:r>
    </w:p>
    <w:p>
      <w:pPr>
        <w:spacing w:line="360" w:lineRule="auto"/>
        <w:ind w:firstLine="480" w:firstLineChars="200"/>
        <w:rPr>
          <w:rFonts w:ascii="宋体" w:hAnsi="宋体"/>
          <w:sz w:val="24"/>
          <w:highlight w:val="none"/>
        </w:rPr>
      </w:pPr>
      <w:r>
        <w:rPr>
          <w:rFonts w:hint="eastAsia" w:ascii="宋体" w:hAnsi="宋体"/>
          <w:sz w:val="24"/>
          <w:highlight w:val="none"/>
        </w:rPr>
        <w:t>5.8.3 磋商小组负责对磋商文件评分标准中涉及的报价供应商投标价格、业绩、信誉、技术方案、服务质量等内容进行评审；</w:t>
      </w:r>
    </w:p>
    <w:p>
      <w:pPr>
        <w:spacing w:line="360" w:lineRule="auto"/>
        <w:ind w:firstLine="480" w:firstLineChars="200"/>
        <w:rPr>
          <w:rFonts w:ascii="宋体" w:hAnsi="宋体"/>
          <w:sz w:val="24"/>
          <w:highlight w:val="none"/>
        </w:rPr>
      </w:pPr>
      <w:r>
        <w:rPr>
          <w:rFonts w:hint="eastAsia" w:ascii="宋体" w:hAnsi="宋体"/>
          <w:sz w:val="24"/>
          <w:highlight w:val="none"/>
        </w:rPr>
        <w:t>5.8.4评审全部结束后，由工作人员在公证或监督下，在评标室当场核对、汇总各报价供应商商务标和技术标得分，确定各报价供应商总分和最终排序。</w:t>
      </w:r>
    </w:p>
    <w:p>
      <w:pPr>
        <w:spacing w:line="360" w:lineRule="auto"/>
        <w:ind w:firstLine="480" w:firstLineChars="200"/>
        <w:rPr>
          <w:rFonts w:ascii="宋体" w:hAnsi="宋体"/>
          <w:bCs/>
          <w:sz w:val="24"/>
          <w:highlight w:val="none"/>
        </w:rPr>
      </w:pPr>
      <w:r>
        <w:rPr>
          <w:rFonts w:hint="eastAsia" w:ascii="宋体" w:hAnsi="宋体"/>
          <w:bCs/>
          <w:sz w:val="24"/>
          <w:highlight w:val="none"/>
        </w:rPr>
        <w:t>5.8.5 评标方法和主要因素：</w:t>
      </w:r>
    </w:p>
    <w:p>
      <w:pPr>
        <w:spacing w:line="360" w:lineRule="auto"/>
        <w:ind w:firstLine="480" w:firstLineChars="200"/>
        <w:rPr>
          <w:rFonts w:ascii="宋体" w:hAnsi="宋体"/>
          <w:sz w:val="24"/>
          <w:highlight w:val="none"/>
        </w:rPr>
      </w:pPr>
      <w:r>
        <w:rPr>
          <w:rFonts w:hint="eastAsia" w:ascii="宋体" w:hAnsi="宋体"/>
          <w:bCs/>
          <w:sz w:val="24"/>
          <w:highlight w:val="none"/>
        </w:rPr>
        <w:t>本次评标采用综合评分法，即在最大限度地满足磋商文件实质性要求前提下，按照磋商文件中规定的各项因素进行综合评审后，</w:t>
      </w:r>
      <w:r>
        <w:rPr>
          <w:rFonts w:ascii="宋体" w:hAnsi="宋体"/>
          <w:bCs/>
          <w:sz w:val="24"/>
          <w:highlight w:val="none"/>
        </w:rPr>
        <w:t>按评审后得分由高到低顺序排列。得分相同的，按投标报价由低到高顺序排列。得分且投标报价相同的，按</w:t>
      </w:r>
      <w:r>
        <w:rPr>
          <w:rFonts w:hint="eastAsia" w:ascii="宋体" w:hAnsi="宋体"/>
          <w:bCs/>
          <w:sz w:val="24"/>
          <w:highlight w:val="none"/>
        </w:rPr>
        <w:t>技术标</w:t>
      </w:r>
      <w:r>
        <w:rPr>
          <w:rFonts w:ascii="宋体" w:hAnsi="宋体"/>
          <w:bCs/>
          <w:sz w:val="24"/>
          <w:highlight w:val="none"/>
        </w:rPr>
        <w:t>指标优劣顺序排列</w:t>
      </w:r>
      <w:r>
        <w:rPr>
          <w:rFonts w:hint="eastAsia" w:ascii="宋体" w:hAnsi="宋体"/>
          <w:bCs/>
          <w:sz w:val="24"/>
          <w:highlight w:val="none"/>
        </w:rPr>
        <w:t>。</w:t>
      </w:r>
    </w:p>
    <w:p>
      <w:pPr>
        <w:tabs>
          <w:tab w:val="left" w:pos="525"/>
          <w:tab w:val="left" w:pos="945"/>
        </w:tabs>
        <w:spacing w:line="360" w:lineRule="auto"/>
        <w:ind w:left="458" w:leftChars="218"/>
        <w:rPr>
          <w:rFonts w:ascii="宋体" w:hAnsi="宋体"/>
          <w:bCs/>
          <w:sz w:val="24"/>
          <w:szCs w:val="24"/>
          <w:highlight w:val="none"/>
        </w:rPr>
      </w:pPr>
      <w:r>
        <w:rPr>
          <w:rFonts w:hint="eastAsia" w:ascii="宋体" w:hAnsi="宋体"/>
          <w:bCs/>
          <w:sz w:val="24"/>
          <w:szCs w:val="24"/>
          <w:highlight w:val="none"/>
        </w:rPr>
        <w:t>6.评分标准</w:t>
      </w:r>
    </w:p>
    <w:p>
      <w:pPr>
        <w:spacing w:line="360" w:lineRule="auto"/>
        <w:ind w:firstLine="240" w:firstLineChars="100"/>
        <w:rPr>
          <w:rFonts w:ascii="宋体" w:hAnsi="宋体"/>
          <w:sz w:val="24"/>
          <w:highlight w:val="none"/>
        </w:rPr>
      </w:pPr>
      <w:r>
        <w:rPr>
          <w:rFonts w:hint="eastAsia" w:ascii="宋体" w:hAnsi="宋体"/>
          <w:sz w:val="24"/>
          <w:highlight w:val="none"/>
        </w:rPr>
        <w:t>（一)评分项目及总分</w:t>
      </w:r>
      <w:r>
        <w:rPr>
          <w:rFonts w:hint="eastAsia" w:ascii="宋体" w:hAnsi="宋体"/>
          <w:sz w:val="24"/>
          <w:szCs w:val="24"/>
          <w:highlight w:val="none"/>
        </w:rPr>
        <w:t>（总分102分）</w:t>
      </w:r>
    </w:p>
    <w:p>
      <w:pPr>
        <w:tabs>
          <w:tab w:val="left" w:pos="945"/>
          <w:tab w:val="left" w:pos="1155"/>
          <w:tab w:val="left" w:pos="2250"/>
        </w:tabs>
        <w:spacing w:line="360" w:lineRule="auto"/>
        <w:ind w:firstLine="482" w:firstLineChars="200"/>
        <w:rPr>
          <w:rFonts w:ascii="宋体" w:hAnsi="宋体"/>
          <w:b/>
          <w:bCs/>
          <w:color w:val="auto"/>
          <w:sz w:val="24"/>
          <w:szCs w:val="24"/>
          <w:highlight w:val="none"/>
        </w:rPr>
      </w:pPr>
      <w:r>
        <w:rPr>
          <w:rFonts w:hint="eastAsia" w:ascii="宋体" w:hAnsi="宋体"/>
          <w:b/>
          <w:bCs/>
          <w:sz w:val="24"/>
          <w:szCs w:val="24"/>
          <w:highlight w:val="none"/>
        </w:rPr>
        <w:t xml:space="preserve">（1）价格 </w:t>
      </w:r>
      <w:r>
        <w:rPr>
          <w:rFonts w:hint="eastAsia" w:ascii="宋体" w:hAnsi="宋体"/>
          <w:b/>
          <w:bCs/>
          <w:sz w:val="24"/>
          <w:szCs w:val="24"/>
          <w:highlight w:val="none"/>
          <w:lang w:val="en-US" w:eastAsia="zh-CN"/>
        </w:rPr>
        <w:t xml:space="preserve">  </w:t>
      </w:r>
      <w:r>
        <w:rPr>
          <w:rFonts w:hint="eastAsia" w:ascii="宋体" w:hAnsi="宋体"/>
          <w:b/>
          <w:bCs/>
          <w:color w:val="auto"/>
          <w:sz w:val="24"/>
          <w:szCs w:val="24"/>
          <w:highlight w:val="none"/>
          <w:lang w:val="en-US" w:eastAsia="zh-CN"/>
        </w:rPr>
        <w:t xml:space="preserve">        15</w:t>
      </w:r>
      <w:r>
        <w:rPr>
          <w:rFonts w:hint="eastAsia" w:ascii="宋体" w:hAnsi="宋体"/>
          <w:b/>
          <w:bCs/>
          <w:color w:val="auto"/>
          <w:sz w:val="24"/>
          <w:szCs w:val="24"/>
          <w:highlight w:val="none"/>
        </w:rPr>
        <w:t>分</w:t>
      </w:r>
    </w:p>
    <w:p>
      <w:pPr>
        <w:tabs>
          <w:tab w:val="left" w:pos="945"/>
          <w:tab w:val="left" w:pos="1155"/>
          <w:tab w:val="left" w:pos="2250"/>
        </w:tabs>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（2）报价</w:t>
      </w:r>
      <w:r>
        <w:rPr>
          <w:rFonts w:hint="eastAsia" w:ascii="宋体" w:hAnsi="宋体"/>
          <w:b/>
          <w:bCs/>
          <w:color w:val="auto"/>
          <w:sz w:val="24"/>
          <w:szCs w:val="24"/>
          <w:highlight w:val="none"/>
          <w:lang w:val="en-US" w:eastAsia="zh-CN"/>
        </w:rPr>
        <w:t>人</w:t>
      </w:r>
      <w:r>
        <w:rPr>
          <w:rFonts w:hint="eastAsia" w:ascii="宋体" w:hAnsi="宋体"/>
          <w:b/>
          <w:bCs/>
          <w:color w:val="auto"/>
          <w:sz w:val="24"/>
          <w:szCs w:val="24"/>
          <w:highlight w:val="none"/>
        </w:rPr>
        <w:t xml:space="preserve">评价 </w:t>
      </w:r>
      <w:r>
        <w:rPr>
          <w:rFonts w:hint="eastAsia" w:ascii="宋体" w:hAnsi="宋体"/>
          <w:b/>
          <w:bCs/>
          <w:color w:val="auto"/>
          <w:sz w:val="24"/>
          <w:szCs w:val="24"/>
          <w:highlight w:val="none"/>
          <w:lang w:val="en-US" w:eastAsia="zh-CN"/>
        </w:rPr>
        <w:t xml:space="preserve">    23</w:t>
      </w:r>
      <w:r>
        <w:rPr>
          <w:rFonts w:hint="eastAsia" w:ascii="宋体" w:hAnsi="宋体"/>
          <w:b/>
          <w:bCs/>
          <w:color w:val="auto"/>
          <w:sz w:val="24"/>
          <w:szCs w:val="24"/>
          <w:highlight w:val="none"/>
        </w:rPr>
        <w:t>分</w:t>
      </w:r>
    </w:p>
    <w:p>
      <w:pPr>
        <w:tabs>
          <w:tab w:val="left" w:pos="945"/>
          <w:tab w:val="left" w:pos="1155"/>
          <w:tab w:val="left" w:pos="2250"/>
        </w:tabs>
        <w:spacing w:line="360" w:lineRule="auto"/>
        <w:ind w:firstLine="482" w:firstLineChars="200"/>
        <w:rPr>
          <w:rFonts w:ascii="宋体" w:hAnsi="宋体" w:cs="楷体"/>
          <w:b/>
          <w:color w:val="auto"/>
          <w:sz w:val="24"/>
          <w:szCs w:val="24"/>
          <w:highlight w:val="none"/>
        </w:rPr>
      </w:pPr>
      <w:r>
        <w:rPr>
          <w:rFonts w:hint="eastAsia" w:ascii="宋体" w:hAnsi="宋体"/>
          <w:b/>
          <w:bCs/>
          <w:color w:val="auto"/>
          <w:sz w:val="24"/>
          <w:szCs w:val="24"/>
          <w:highlight w:val="none"/>
        </w:rPr>
        <w:t>（</w:t>
      </w:r>
      <w:r>
        <w:rPr>
          <w:rFonts w:ascii="宋体" w:hAnsi="宋体"/>
          <w:b/>
          <w:bCs/>
          <w:color w:val="auto"/>
          <w:sz w:val="24"/>
          <w:szCs w:val="24"/>
          <w:highlight w:val="none"/>
        </w:rPr>
        <w:t>3</w:t>
      </w:r>
      <w:r>
        <w:rPr>
          <w:rFonts w:hint="eastAsia" w:ascii="宋体" w:hAnsi="宋体"/>
          <w:b/>
          <w:bCs/>
          <w:color w:val="auto"/>
          <w:sz w:val="24"/>
          <w:szCs w:val="24"/>
          <w:highlight w:val="none"/>
        </w:rPr>
        <w:t>）</w:t>
      </w:r>
      <w:r>
        <w:rPr>
          <w:rFonts w:hint="eastAsia" w:ascii="宋体" w:hAnsi="宋体" w:cs="楷体"/>
          <w:b/>
          <w:color w:val="auto"/>
          <w:sz w:val="24"/>
          <w:szCs w:val="24"/>
          <w:highlight w:val="none"/>
        </w:rPr>
        <w:t xml:space="preserve">技术方案 </w:t>
      </w:r>
      <w:r>
        <w:rPr>
          <w:rFonts w:hint="eastAsia" w:ascii="宋体" w:hAnsi="宋体" w:cs="楷体"/>
          <w:b/>
          <w:color w:val="auto"/>
          <w:sz w:val="24"/>
          <w:szCs w:val="24"/>
          <w:highlight w:val="none"/>
          <w:lang w:val="en-US" w:eastAsia="zh-CN"/>
        </w:rPr>
        <w:t xml:space="preserve">      60</w:t>
      </w:r>
      <w:r>
        <w:rPr>
          <w:rFonts w:ascii="宋体" w:hAnsi="宋体" w:cs="楷体"/>
          <w:b/>
          <w:color w:val="auto"/>
          <w:sz w:val="24"/>
          <w:szCs w:val="24"/>
          <w:highlight w:val="none"/>
        </w:rPr>
        <w:t>分</w:t>
      </w:r>
    </w:p>
    <w:p>
      <w:pPr>
        <w:spacing w:line="360" w:lineRule="auto"/>
        <w:ind w:firstLine="482" w:firstLineChars="200"/>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lang w:eastAsia="zh-CN"/>
        </w:rPr>
        <w:t>）</w:t>
      </w:r>
      <w:r>
        <w:rPr>
          <w:rFonts w:ascii="宋体" w:hAnsi="宋体"/>
          <w:b/>
          <w:bCs/>
          <w:color w:val="000000"/>
          <w:sz w:val="24"/>
          <w:szCs w:val="24"/>
          <w:highlight w:val="none"/>
        </w:rPr>
        <w:t>规范性、表述清晰程度2分</w:t>
      </w:r>
    </w:p>
    <w:p>
      <w:pPr>
        <w:spacing w:line="360" w:lineRule="auto"/>
        <w:ind w:firstLine="240" w:firstLineChars="100"/>
        <w:rPr>
          <w:rFonts w:ascii="宋体" w:hAnsi="宋体"/>
          <w:sz w:val="24"/>
          <w:szCs w:val="24"/>
          <w:highlight w:val="none"/>
        </w:rPr>
      </w:pPr>
      <w:r>
        <w:rPr>
          <w:rFonts w:hint="eastAsia" w:ascii="宋体" w:hAnsi="宋体"/>
          <w:color w:val="auto"/>
          <w:sz w:val="24"/>
          <w:szCs w:val="24"/>
          <w:highlight w:val="none"/>
        </w:rPr>
        <w:t>（二）各项目评分标准：</w:t>
      </w:r>
    </w:p>
    <w:p>
      <w:pPr>
        <w:tabs>
          <w:tab w:val="left" w:pos="945"/>
          <w:tab w:val="left" w:pos="1155"/>
          <w:tab w:val="left" w:pos="2250"/>
        </w:tabs>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（1）价格（</w:t>
      </w:r>
      <w:r>
        <w:rPr>
          <w:rFonts w:hint="eastAsia" w:ascii="宋体" w:hAnsi="宋体"/>
          <w:b/>
          <w:bCs/>
          <w:sz w:val="24"/>
          <w:szCs w:val="24"/>
          <w:highlight w:val="none"/>
          <w:lang w:val="en-US" w:eastAsia="zh-CN"/>
        </w:rPr>
        <w:t>15</w:t>
      </w:r>
      <w:r>
        <w:rPr>
          <w:rFonts w:hint="eastAsia" w:ascii="宋体" w:hAnsi="宋体"/>
          <w:b/>
          <w:bCs/>
          <w:sz w:val="24"/>
          <w:szCs w:val="24"/>
          <w:highlight w:val="none"/>
        </w:rPr>
        <w:t>分）：</w:t>
      </w:r>
    </w:p>
    <w:p>
      <w:pPr>
        <w:tabs>
          <w:tab w:val="left" w:pos="945"/>
          <w:tab w:val="left" w:pos="1155"/>
        </w:tabs>
        <w:spacing w:line="360" w:lineRule="auto"/>
        <w:ind w:firstLine="566" w:firstLineChars="236"/>
        <w:rPr>
          <w:rFonts w:ascii="宋体" w:hAnsi="宋体"/>
          <w:bCs/>
          <w:sz w:val="24"/>
          <w:highlight w:val="none"/>
        </w:rPr>
      </w:pPr>
      <w:r>
        <w:rPr>
          <w:rFonts w:hint="eastAsia" w:ascii="宋体" w:hAnsi="宋体"/>
          <w:bCs/>
          <w:sz w:val="24"/>
          <w:highlight w:val="none"/>
        </w:rPr>
        <w:t>本项目价格权值为</w:t>
      </w:r>
      <w:r>
        <w:rPr>
          <w:rFonts w:hint="eastAsia" w:ascii="宋体" w:hAnsi="宋体"/>
          <w:bCs/>
          <w:sz w:val="24"/>
          <w:highlight w:val="none"/>
          <w:lang w:val="en-US" w:eastAsia="zh-CN"/>
        </w:rPr>
        <w:t>15</w:t>
      </w:r>
      <w:r>
        <w:rPr>
          <w:rFonts w:hint="eastAsia" w:ascii="宋体" w:hAnsi="宋体"/>
          <w:bCs/>
          <w:sz w:val="24"/>
          <w:highlight w:val="none"/>
        </w:rPr>
        <w:t>%，采用低价优先法计算，</w:t>
      </w:r>
      <w:r>
        <w:rPr>
          <w:rFonts w:hint="eastAsia" w:ascii="宋体" w:hAnsi="宋体" w:cs="宋体"/>
          <w:sz w:val="24"/>
          <w:szCs w:val="28"/>
          <w:highlight w:val="none"/>
        </w:rPr>
        <w:t>各报价供应商的有效磋商报价，满足磋商文件要求的最低投标报价为评标基准价</w:t>
      </w:r>
      <w:r>
        <w:rPr>
          <w:rFonts w:hint="eastAsia" w:ascii="宋体" w:hAnsi="宋体"/>
          <w:bCs/>
          <w:sz w:val="24"/>
          <w:highlight w:val="none"/>
        </w:rPr>
        <w:t>，其价格分为满分。其他供应商的价格分统一按照下列公式计算：</w:t>
      </w:r>
    </w:p>
    <w:p>
      <w:pPr>
        <w:tabs>
          <w:tab w:val="left" w:pos="945"/>
          <w:tab w:val="left" w:pos="1155"/>
        </w:tabs>
        <w:spacing w:line="360" w:lineRule="auto"/>
        <w:ind w:firstLine="566" w:firstLineChars="236"/>
        <w:rPr>
          <w:rFonts w:ascii="宋体"/>
          <w:bCs/>
          <w:sz w:val="24"/>
          <w:highlight w:val="none"/>
        </w:rPr>
      </w:pPr>
      <w:r>
        <w:rPr>
          <w:rFonts w:hint="eastAsia" w:ascii="宋体" w:hAnsi="宋体"/>
          <w:bCs/>
          <w:sz w:val="24"/>
          <w:highlight w:val="none"/>
        </w:rPr>
        <w:t>磋商报价得分=（磋商基准价/最后磋商报价)×价格权值×</w:t>
      </w:r>
      <w:r>
        <w:rPr>
          <w:rFonts w:ascii="宋体" w:hAnsi="宋体"/>
          <w:bCs/>
          <w:sz w:val="24"/>
          <w:highlight w:val="none"/>
        </w:rPr>
        <w:t>100</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sz w:val="24"/>
          <w:highlight w:val="none"/>
        </w:rPr>
      </w:pPr>
      <w:r>
        <w:rPr>
          <w:rFonts w:hint="eastAsia" w:ascii="宋体" w:hAnsi="宋体"/>
          <w:b/>
          <w:sz w:val="24"/>
          <w:highlight w:val="none"/>
        </w:rPr>
        <w:t>注：本项目标的所属行业为其他未列明行业，根据《关于印发中小企业划型标准规定的通知》工信部联企业〔2011〕300号规定，从业人员300人以下的为中小微型企业。其中，从业人员100人及以上的为中型企业；从业人员10人及以上的为小型企业;从业人员10人以下的为微型企业。</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采购项目需要落实的政府采购政策及注意事项如下：</w:t>
      </w:r>
    </w:p>
    <w:p>
      <w:pPr>
        <w:pStyle w:val="61"/>
        <w:spacing w:line="360" w:lineRule="auto"/>
        <w:rPr>
          <w:rFonts w:hint="default" w:ascii="宋体" w:hAnsi="宋体" w:eastAsia="宋体" w:cs="Times New Roman"/>
          <w:color w:val="auto"/>
          <w:spacing w:val="0"/>
          <w:kern w:val="2"/>
          <w:sz w:val="24"/>
          <w:szCs w:val="24"/>
          <w:highlight w:val="none"/>
          <w:lang w:val="en-US" w:eastAsia="zh-CN" w:bidi="ar-SA"/>
        </w:rPr>
      </w:pPr>
      <w:r>
        <w:rPr>
          <w:rFonts w:hint="default" w:ascii="宋体" w:hAnsi="宋体" w:eastAsia="宋体" w:cs="Times New Roman"/>
          <w:color w:val="auto"/>
          <w:spacing w:val="0"/>
          <w:kern w:val="2"/>
          <w:sz w:val="24"/>
          <w:szCs w:val="24"/>
          <w:highlight w:val="none"/>
          <w:lang w:val="en-US" w:eastAsia="zh-CN" w:bidi="ar-SA"/>
        </w:rPr>
        <w:t>a. 对小型和微型企业产品的价格给予10%的扣除，用扣除后的价格进行评审。参加报价的中小企业，根据《政府采购促进中小企业发展管理办法》（财库[2020]46号）的规定提供《中小企业声明函》（格式见附件）。参与政府采购活动的供应商对其企业规模实行承诺制，由企业自行对照国家《中小企业划型标准规定》工信部联企业〔2011〕300号诚信确定自身企业规模，提供《中小企业声明函》，对其声明的真实性承担法律责任，在资格审查和评审过程中无需提供证明其企业规模的其他材料（中小企业划型标准详见《关于印发中小企业划型标准规定的通知》工信部联企业〔2011〕300号）。</w:t>
      </w:r>
    </w:p>
    <w:p>
      <w:pPr>
        <w:pStyle w:val="61"/>
        <w:spacing w:line="360" w:lineRule="auto"/>
        <w:rPr>
          <w:rFonts w:hint="default" w:ascii="宋体" w:hAnsi="宋体" w:eastAsia="宋体" w:cs="Times New Roman"/>
          <w:color w:val="auto"/>
          <w:spacing w:val="0"/>
          <w:kern w:val="2"/>
          <w:sz w:val="24"/>
          <w:szCs w:val="24"/>
          <w:highlight w:val="none"/>
          <w:lang w:val="en-US" w:eastAsia="zh-CN" w:bidi="ar-SA"/>
        </w:rPr>
      </w:pPr>
      <w:r>
        <w:rPr>
          <w:rFonts w:hint="default" w:ascii="宋体" w:hAnsi="宋体" w:eastAsia="宋体" w:cs="Times New Roman"/>
          <w:color w:val="auto"/>
          <w:spacing w:val="0"/>
          <w:kern w:val="2"/>
          <w:sz w:val="24"/>
          <w:szCs w:val="24"/>
          <w:highlight w:val="none"/>
          <w:lang w:val="en-US" w:eastAsia="zh-CN" w:bidi="ar-SA"/>
        </w:rPr>
        <w:t>b.监狱和戒毒企业参加政府采购活动视同小型、微型企业，享受评审价格扣除10%的政府采购优惠政策。参加报价的监狱和戒毒企业，应当按照财政部《司法部关于政府采购支持监狱企业发展有关问题》（财库〔2014〕68号）的规定提供由省级以上监狱管理局、戒毒管理局（含新疆生产建设兵团）出具的属于监狱企业的证明文件复印件。（按属于监狱和戒毒企业产品细目报价表认真填写，未按要求提供有效证明或相关内容表述不清的，不得享受价格扣除。）</w:t>
      </w:r>
    </w:p>
    <w:p>
      <w:pPr>
        <w:pStyle w:val="61"/>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Times New Roman"/>
          <w:color w:val="auto"/>
          <w:spacing w:val="0"/>
          <w:kern w:val="2"/>
          <w:sz w:val="24"/>
          <w:szCs w:val="24"/>
          <w:highlight w:val="none"/>
          <w:lang w:val="en-US" w:eastAsia="zh-CN" w:bidi="ar-SA"/>
        </w:rPr>
      </w:pPr>
      <w:r>
        <w:rPr>
          <w:rFonts w:hint="default" w:ascii="宋体" w:hAnsi="宋体" w:eastAsia="宋体" w:cs="Times New Roman"/>
          <w:color w:val="auto"/>
          <w:spacing w:val="0"/>
          <w:kern w:val="2"/>
          <w:sz w:val="24"/>
          <w:szCs w:val="24"/>
          <w:highlight w:val="none"/>
          <w:lang w:val="en-US" w:eastAsia="zh-CN" w:bidi="ar-SA"/>
        </w:rPr>
        <w:t>c.残疾人福利性单位参加政府采购活动视同小型、微型企业，享受评审价格扣除10%的政府采购优惠政策。参加报价的残疾人福利性单位，应当按照财政部民政部《中国残疾人联合会关于促进残疾人就业政府采购政策的通知》(财库[2017]141号)的规定提供《残疾人福利性单位声明函》（格式见附件）。残疾人福利性单位属于小型、微型企业的，不重复享受政策。（按属于残疾人福利性单位产品细目报价表认真填写，如未按要求填写和提供有效声明函的，不得享受价格扣除。）</w:t>
      </w:r>
    </w:p>
    <w:p>
      <w:pPr>
        <w:pStyle w:val="61"/>
        <w:keepNext w:val="0"/>
        <w:keepLines w:val="0"/>
        <w:pageBreakBefore w:val="0"/>
        <w:widowControl w:val="0"/>
        <w:kinsoku/>
        <w:wordWrap/>
        <w:overflowPunct/>
        <w:topLinePunct w:val="0"/>
        <w:autoSpaceDE/>
        <w:autoSpaceDN/>
        <w:bidi w:val="0"/>
        <w:spacing w:line="360" w:lineRule="auto"/>
        <w:textAlignment w:val="auto"/>
        <w:rPr>
          <w:rFonts w:ascii="宋体" w:hAnsi="宋体"/>
          <w:b/>
          <w:sz w:val="24"/>
          <w:highlight w:val="none"/>
        </w:rPr>
      </w:pPr>
      <w:r>
        <w:rPr>
          <w:rFonts w:hint="default" w:ascii="宋体" w:hAnsi="宋体" w:eastAsia="宋体" w:cs="Times New Roman"/>
          <w:b/>
          <w:bCs/>
          <w:color w:val="auto"/>
          <w:spacing w:val="0"/>
          <w:kern w:val="2"/>
          <w:sz w:val="24"/>
          <w:szCs w:val="24"/>
          <w:highlight w:val="none"/>
          <w:lang w:val="en-US" w:eastAsia="zh-CN" w:bidi="ar-SA"/>
        </w:rPr>
        <w:t>注：同一投标人，上述三项价格扣除优惠不得重复享受。</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highlight w:val="none"/>
        </w:rPr>
      </w:pPr>
      <w:bookmarkStart w:id="11" w:name="_Hlk61121298"/>
      <w:r>
        <w:rPr>
          <w:rFonts w:hint="eastAsia" w:ascii="宋体" w:hAnsi="宋体"/>
          <w:b/>
          <w:sz w:val="24"/>
          <w:highlight w:val="none"/>
        </w:rPr>
        <w:t>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将其作为无效投标处理。</w:t>
      </w:r>
    </w:p>
    <w:bookmarkEnd w:id="11"/>
    <w:p>
      <w:pPr>
        <w:keepNext w:val="0"/>
        <w:keepLines w:val="0"/>
        <w:pageBreakBefore w:val="0"/>
        <w:widowControl w:val="0"/>
        <w:numPr>
          <w:ilvl w:val="0"/>
          <w:numId w:val="13"/>
        </w:numPr>
        <w:tabs>
          <w:tab w:val="left" w:pos="945"/>
        </w:tabs>
        <w:kinsoku/>
        <w:wordWrap/>
        <w:overflowPunct/>
        <w:topLinePunct w:val="0"/>
        <w:autoSpaceDE/>
        <w:autoSpaceDN/>
        <w:bidi w:val="0"/>
        <w:adjustRightInd w:val="0"/>
        <w:snapToGrid w:val="0"/>
        <w:spacing w:line="360" w:lineRule="auto"/>
        <w:ind w:firstLine="241" w:firstLineChars="100"/>
        <w:textAlignment w:val="auto"/>
        <w:rPr>
          <w:rFonts w:ascii="宋体" w:hAnsi="宋体"/>
          <w:b/>
          <w:bCs/>
          <w:sz w:val="24"/>
          <w:szCs w:val="24"/>
          <w:highlight w:val="none"/>
        </w:rPr>
      </w:pPr>
      <w:r>
        <w:rPr>
          <w:rFonts w:hint="eastAsia" w:ascii="宋体" w:hAnsi="宋体"/>
          <w:b/>
          <w:bCs/>
          <w:sz w:val="24"/>
          <w:szCs w:val="24"/>
          <w:highlight w:val="none"/>
        </w:rPr>
        <w:t>报价</w:t>
      </w:r>
      <w:r>
        <w:rPr>
          <w:rFonts w:hint="eastAsia" w:ascii="宋体" w:hAnsi="宋体"/>
          <w:b/>
          <w:bCs/>
          <w:sz w:val="24"/>
          <w:szCs w:val="24"/>
          <w:highlight w:val="none"/>
          <w:lang w:val="en-US" w:eastAsia="zh-CN"/>
        </w:rPr>
        <w:t>人</w:t>
      </w:r>
      <w:r>
        <w:rPr>
          <w:rFonts w:hint="eastAsia" w:ascii="宋体" w:hAnsi="宋体"/>
          <w:b/>
          <w:bCs/>
          <w:sz w:val="24"/>
          <w:szCs w:val="24"/>
          <w:highlight w:val="none"/>
        </w:rPr>
        <w:t>评</w:t>
      </w:r>
      <w:r>
        <w:rPr>
          <w:rFonts w:hint="eastAsia" w:ascii="宋体" w:hAnsi="宋体"/>
          <w:b/>
          <w:bCs/>
          <w:color w:val="auto"/>
          <w:sz w:val="24"/>
          <w:szCs w:val="24"/>
          <w:highlight w:val="none"/>
        </w:rPr>
        <w:t>价（</w:t>
      </w:r>
      <w:r>
        <w:rPr>
          <w:rFonts w:hint="eastAsia" w:ascii="宋体" w:hAnsi="宋体"/>
          <w:b/>
          <w:bCs/>
          <w:color w:val="auto"/>
          <w:sz w:val="24"/>
          <w:szCs w:val="24"/>
          <w:highlight w:val="none"/>
          <w:lang w:val="en-US" w:eastAsia="zh-CN"/>
        </w:rPr>
        <w:t>23</w:t>
      </w:r>
      <w:r>
        <w:rPr>
          <w:rFonts w:hint="eastAsia" w:ascii="宋体" w:hAnsi="宋体"/>
          <w:b/>
          <w:bCs/>
          <w:color w:val="auto"/>
          <w:sz w:val="24"/>
          <w:szCs w:val="24"/>
          <w:highlight w:val="none"/>
        </w:rPr>
        <w:t>分）</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641" w:firstLineChars="266"/>
        <w:jc w:val="both"/>
        <w:textAlignment w:val="auto"/>
        <w:rPr>
          <w:rFonts w:hint="eastAsia" w:ascii="宋体" w:hAnsi="宋体"/>
          <w:b w:val="0"/>
          <w:bCs/>
          <w:color w:val="auto"/>
          <w:sz w:val="24"/>
          <w:szCs w:val="24"/>
          <w:highlight w:val="none"/>
        </w:rPr>
      </w:pPr>
      <w:r>
        <w:rPr>
          <w:rFonts w:hint="eastAsia" w:ascii="宋体" w:hAnsi="宋体"/>
          <w:b/>
          <w:bCs w:val="0"/>
          <w:color w:val="auto"/>
          <w:sz w:val="24"/>
          <w:szCs w:val="24"/>
          <w:highlight w:val="none"/>
        </w:rPr>
        <w:t>1.</w:t>
      </w:r>
      <w:r>
        <w:rPr>
          <w:rFonts w:hint="eastAsia" w:ascii="宋体" w:hAnsi="宋体"/>
          <w:b/>
          <w:bCs w:val="0"/>
          <w:color w:val="auto"/>
          <w:sz w:val="24"/>
          <w:szCs w:val="24"/>
          <w:highlight w:val="none"/>
          <w:lang w:val="en-US" w:eastAsia="zh-CN"/>
        </w:rPr>
        <w:t>业绩（4分）：</w:t>
      </w:r>
      <w:r>
        <w:rPr>
          <w:rFonts w:hint="eastAsia" w:ascii="宋体" w:hAnsi="宋体"/>
          <w:b w:val="0"/>
          <w:bCs/>
          <w:color w:val="auto"/>
          <w:sz w:val="24"/>
          <w:szCs w:val="24"/>
          <w:highlight w:val="none"/>
        </w:rPr>
        <w:t>投标人近五年（2017年1月1日至今）承担过区域地质灾害危险性评估、地质灾害治理</w:t>
      </w:r>
      <w:r>
        <w:rPr>
          <w:rFonts w:hint="eastAsia" w:ascii="宋体" w:hAnsi="宋体"/>
          <w:b w:val="0"/>
          <w:bCs/>
          <w:color w:val="auto"/>
          <w:sz w:val="24"/>
          <w:szCs w:val="24"/>
          <w:highlight w:val="none"/>
          <w:lang w:val="en-US" w:eastAsia="zh-CN"/>
        </w:rPr>
        <w:t>评估调查</w:t>
      </w:r>
      <w:r>
        <w:rPr>
          <w:rFonts w:hint="eastAsia" w:ascii="宋体" w:hAnsi="宋体"/>
          <w:b w:val="0"/>
          <w:bCs/>
          <w:color w:val="auto"/>
          <w:sz w:val="24"/>
          <w:szCs w:val="24"/>
          <w:highlight w:val="none"/>
        </w:rPr>
        <w:t>项目，每种业绩得2分，最高得4分。（提供业绩合同复印件加盖公章，不能提供不得分。）</w:t>
      </w:r>
    </w:p>
    <w:p>
      <w:pPr>
        <w:widowControl w:val="0"/>
        <w:numPr>
          <w:ilvl w:val="0"/>
          <w:numId w:val="0"/>
        </w:numPr>
        <w:spacing w:line="360" w:lineRule="auto"/>
        <w:ind w:left="0" w:leftChars="0" w:firstLine="641" w:firstLineChars="266"/>
        <w:jc w:val="both"/>
        <w:rPr>
          <w:rFonts w:hint="eastAsia" w:ascii="宋体" w:hAnsi="宋体"/>
          <w:b w:val="0"/>
          <w:bCs/>
          <w:color w:val="auto"/>
          <w:sz w:val="24"/>
          <w:szCs w:val="24"/>
          <w:highlight w:val="none"/>
        </w:rPr>
      </w:pPr>
      <w:r>
        <w:rPr>
          <w:rFonts w:hint="eastAsia" w:ascii="宋体" w:hAnsi="宋体"/>
          <w:b/>
          <w:bCs w:val="0"/>
          <w:color w:val="auto"/>
          <w:sz w:val="24"/>
          <w:szCs w:val="24"/>
          <w:highlight w:val="none"/>
        </w:rPr>
        <w:t>2.</w:t>
      </w:r>
      <w:r>
        <w:rPr>
          <w:rFonts w:hint="eastAsia" w:ascii="宋体" w:hAnsi="宋体"/>
          <w:b/>
          <w:bCs w:val="0"/>
          <w:color w:val="auto"/>
          <w:sz w:val="24"/>
          <w:szCs w:val="24"/>
          <w:highlight w:val="none"/>
          <w:lang w:val="en-US" w:eastAsia="zh-CN"/>
        </w:rPr>
        <w:t>证书（5分）：</w:t>
      </w:r>
      <w:r>
        <w:rPr>
          <w:rFonts w:hint="eastAsia" w:ascii="宋体" w:hAnsi="宋体"/>
          <w:b w:val="0"/>
          <w:bCs/>
          <w:color w:val="auto"/>
          <w:sz w:val="24"/>
          <w:szCs w:val="24"/>
          <w:highlight w:val="none"/>
        </w:rPr>
        <w:t>投标人具有并提供质量体系认证证书、环境管理体系认证证书、职业健康安全管理体系认证证书，AAA资信证明、安全生产许可证每有一个得1分，最高得</w:t>
      </w: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rPr>
        <w:t>分；（提供证书复印件并加盖公章编制入投标文件中，开标时携带原件，否则不得分）</w:t>
      </w:r>
    </w:p>
    <w:p>
      <w:pPr>
        <w:widowControl w:val="0"/>
        <w:numPr>
          <w:ilvl w:val="0"/>
          <w:numId w:val="0"/>
        </w:numPr>
        <w:spacing w:line="360" w:lineRule="auto"/>
        <w:ind w:left="0" w:leftChars="0" w:firstLine="641" w:firstLineChars="266"/>
        <w:jc w:val="both"/>
        <w:rPr>
          <w:rFonts w:hint="eastAsia" w:ascii="宋体" w:hAnsi="宋体"/>
          <w:b w:val="0"/>
          <w:bCs/>
          <w:color w:val="auto"/>
          <w:sz w:val="24"/>
          <w:szCs w:val="24"/>
          <w:highlight w:val="none"/>
        </w:rPr>
      </w:pPr>
      <w:r>
        <w:rPr>
          <w:rFonts w:hint="eastAsia" w:ascii="宋体" w:hAnsi="宋体"/>
          <w:b/>
          <w:bCs w:val="0"/>
          <w:color w:val="auto"/>
          <w:sz w:val="24"/>
          <w:szCs w:val="24"/>
          <w:highlight w:val="none"/>
          <w:lang w:val="en-US" w:eastAsia="zh-CN"/>
        </w:rPr>
        <w:t>3</w:t>
      </w:r>
      <w:r>
        <w:rPr>
          <w:rFonts w:hint="eastAsia" w:ascii="宋体" w:hAnsi="宋体"/>
          <w:b/>
          <w:bCs w:val="0"/>
          <w:color w:val="auto"/>
          <w:sz w:val="24"/>
          <w:szCs w:val="24"/>
          <w:highlight w:val="none"/>
        </w:rPr>
        <w:t>.</w:t>
      </w:r>
      <w:r>
        <w:rPr>
          <w:rFonts w:hint="eastAsia" w:ascii="宋体" w:hAnsi="宋体"/>
          <w:b/>
          <w:bCs w:val="0"/>
          <w:color w:val="auto"/>
          <w:sz w:val="24"/>
          <w:szCs w:val="24"/>
          <w:highlight w:val="none"/>
          <w:lang w:val="en-US" w:eastAsia="zh-CN"/>
        </w:rPr>
        <w:t>设备（5分）：</w:t>
      </w:r>
      <w:r>
        <w:rPr>
          <w:rFonts w:hint="eastAsia" w:ascii="宋体" w:hAnsi="宋体"/>
          <w:b w:val="0"/>
          <w:bCs/>
          <w:color w:val="auto"/>
          <w:sz w:val="24"/>
          <w:szCs w:val="24"/>
          <w:highlight w:val="none"/>
        </w:rPr>
        <w:t>投标人具备无人机设备得3分，无人机操作证书提供一个得1分，最高的2分。（提供发票及证书复印件并加盖公章编制入投标文件中，开标时携带原件，否则不得分）</w:t>
      </w:r>
    </w:p>
    <w:p>
      <w:pPr>
        <w:widowControl w:val="0"/>
        <w:numPr>
          <w:ilvl w:val="0"/>
          <w:numId w:val="0"/>
        </w:numPr>
        <w:spacing w:line="360" w:lineRule="auto"/>
        <w:ind w:left="0" w:leftChars="0" w:firstLine="641" w:firstLineChars="266"/>
        <w:jc w:val="both"/>
        <w:rPr>
          <w:rFonts w:hint="eastAsia" w:ascii="宋体" w:hAnsi="宋体" w:eastAsia="宋体"/>
          <w:b/>
          <w:bCs w:val="0"/>
          <w:color w:val="auto"/>
          <w:sz w:val="24"/>
          <w:szCs w:val="24"/>
          <w:highlight w:val="none"/>
          <w:lang w:eastAsia="zh-CN"/>
        </w:rPr>
      </w:pPr>
      <w:r>
        <w:rPr>
          <w:rFonts w:hint="eastAsia" w:ascii="宋体" w:hAnsi="宋体"/>
          <w:b/>
          <w:bCs w:val="0"/>
          <w:color w:val="auto"/>
          <w:sz w:val="24"/>
          <w:szCs w:val="24"/>
          <w:highlight w:val="none"/>
          <w:lang w:val="en-US" w:eastAsia="zh-CN"/>
        </w:rPr>
        <w:t>4.</w:t>
      </w:r>
      <w:r>
        <w:rPr>
          <w:rFonts w:hint="eastAsia" w:ascii="宋体" w:hAnsi="宋体"/>
          <w:b/>
          <w:bCs w:val="0"/>
          <w:color w:val="auto"/>
          <w:sz w:val="24"/>
          <w:szCs w:val="24"/>
          <w:highlight w:val="none"/>
        </w:rPr>
        <w:t>人员（9分）</w:t>
      </w:r>
      <w:r>
        <w:rPr>
          <w:rFonts w:hint="eastAsia" w:ascii="宋体" w:hAnsi="宋体"/>
          <w:b/>
          <w:bCs w:val="0"/>
          <w:color w:val="auto"/>
          <w:sz w:val="24"/>
          <w:szCs w:val="24"/>
          <w:highlight w:val="none"/>
          <w:lang w:eastAsia="zh-CN"/>
        </w:rPr>
        <w:t>（</w:t>
      </w:r>
      <w:r>
        <w:rPr>
          <w:rFonts w:hint="eastAsia" w:ascii="宋体" w:hAnsi="宋体"/>
          <w:b/>
          <w:bCs w:val="0"/>
          <w:color w:val="auto"/>
          <w:sz w:val="24"/>
          <w:szCs w:val="24"/>
          <w:highlight w:val="none"/>
          <w:lang w:val="en-US" w:eastAsia="zh-CN"/>
        </w:rPr>
        <w:t>人员证书不可重复的分</w:t>
      </w:r>
      <w:r>
        <w:rPr>
          <w:rFonts w:hint="eastAsia" w:ascii="宋体" w:hAnsi="宋体"/>
          <w:b/>
          <w:bCs w:val="0"/>
          <w:color w:val="auto"/>
          <w:sz w:val="24"/>
          <w:szCs w:val="24"/>
          <w:highlight w:val="none"/>
          <w:lang w:eastAsia="zh-CN"/>
        </w:rPr>
        <w:t>）</w:t>
      </w:r>
    </w:p>
    <w:p>
      <w:pPr>
        <w:widowControl w:val="0"/>
        <w:numPr>
          <w:ilvl w:val="0"/>
          <w:numId w:val="0"/>
        </w:numPr>
        <w:spacing w:line="360" w:lineRule="auto"/>
        <w:ind w:left="0" w:leftChars="0" w:firstLine="638" w:firstLineChars="266"/>
        <w:jc w:val="both"/>
        <w:rPr>
          <w:rFonts w:hint="eastAsia" w:ascii="宋体" w:hAnsi="宋体"/>
          <w:b w:val="0"/>
          <w:bCs/>
          <w:color w:val="auto"/>
          <w:sz w:val="24"/>
          <w:szCs w:val="24"/>
          <w:highlight w:val="none"/>
        </w:rPr>
      </w:pPr>
      <w:r>
        <w:rPr>
          <w:rFonts w:hint="eastAsia" w:ascii="宋体" w:hAnsi="宋体"/>
          <w:b w:val="0"/>
          <w:bCs/>
          <w:color w:val="auto"/>
          <w:sz w:val="24"/>
          <w:szCs w:val="24"/>
          <w:highlight w:val="none"/>
          <w:lang w:val="en-US" w:eastAsia="zh-CN"/>
        </w:rPr>
        <w:t>①</w:t>
      </w:r>
      <w:r>
        <w:rPr>
          <w:rFonts w:hint="eastAsia" w:ascii="宋体" w:hAnsi="宋体"/>
          <w:b w:val="0"/>
          <w:bCs/>
          <w:color w:val="auto"/>
          <w:sz w:val="24"/>
          <w:szCs w:val="24"/>
          <w:highlight w:val="none"/>
        </w:rPr>
        <w:t>项目负责人具有水工环或水文地质类专业高级工程师及以上职称得3分，具有中级的得1分（提供人员证书复印件加盖公章及人员近3个月（2021年</w:t>
      </w:r>
      <w:r>
        <w:rPr>
          <w:rFonts w:hint="eastAsia" w:ascii="宋体" w:hAnsi="宋体"/>
          <w:b w:val="0"/>
          <w:bCs/>
          <w:color w:val="auto"/>
          <w:sz w:val="24"/>
          <w:szCs w:val="24"/>
          <w:highlight w:val="none"/>
          <w:lang w:val="en-US" w:eastAsia="zh-CN"/>
        </w:rPr>
        <w:t>9</w:t>
      </w:r>
      <w:r>
        <w:rPr>
          <w:rFonts w:hint="eastAsia" w:ascii="宋体" w:hAnsi="宋体"/>
          <w:b w:val="0"/>
          <w:bCs/>
          <w:color w:val="auto"/>
          <w:sz w:val="24"/>
          <w:szCs w:val="24"/>
          <w:highlight w:val="none"/>
        </w:rPr>
        <w:t>月-2021年</w:t>
      </w:r>
      <w:r>
        <w:rPr>
          <w:rFonts w:hint="eastAsia" w:ascii="宋体" w:hAnsi="宋体"/>
          <w:b w:val="0"/>
          <w:bCs/>
          <w:color w:val="auto"/>
          <w:sz w:val="24"/>
          <w:szCs w:val="24"/>
          <w:highlight w:val="none"/>
          <w:lang w:val="en-US" w:eastAsia="zh-CN"/>
        </w:rPr>
        <w:t>11</w:t>
      </w:r>
      <w:r>
        <w:rPr>
          <w:rFonts w:hint="eastAsia" w:ascii="宋体" w:hAnsi="宋体"/>
          <w:b w:val="0"/>
          <w:bCs/>
          <w:color w:val="auto"/>
          <w:sz w:val="24"/>
          <w:szCs w:val="24"/>
          <w:highlight w:val="none"/>
        </w:rPr>
        <w:t>月）社保参保证明复印件并加盖公章）</w:t>
      </w:r>
    </w:p>
    <w:p>
      <w:pPr>
        <w:widowControl w:val="0"/>
        <w:numPr>
          <w:ilvl w:val="0"/>
          <w:numId w:val="0"/>
        </w:numPr>
        <w:spacing w:line="360" w:lineRule="auto"/>
        <w:ind w:left="0" w:leftChars="0" w:firstLine="638" w:firstLineChars="266"/>
        <w:jc w:val="both"/>
        <w:rPr>
          <w:rFonts w:hint="eastAsia" w:ascii="宋体" w:hAnsi="宋体"/>
          <w:b w:val="0"/>
          <w:bCs/>
          <w:color w:val="auto"/>
          <w:sz w:val="24"/>
          <w:szCs w:val="24"/>
          <w:highlight w:val="none"/>
        </w:rPr>
      </w:pPr>
      <w:r>
        <w:rPr>
          <w:rFonts w:hint="eastAsia" w:ascii="宋体" w:hAnsi="宋体"/>
          <w:b w:val="0"/>
          <w:bCs/>
          <w:color w:val="auto"/>
          <w:sz w:val="24"/>
          <w:szCs w:val="24"/>
          <w:highlight w:val="none"/>
          <w:lang w:val="en-US" w:eastAsia="zh-CN"/>
        </w:rPr>
        <w:t>②</w:t>
      </w:r>
      <w:r>
        <w:rPr>
          <w:rFonts w:hint="eastAsia" w:ascii="宋体" w:hAnsi="宋体"/>
          <w:b w:val="0"/>
          <w:bCs/>
          <w:color w:val="auto"/>
          <w:sz w:val="24"/>
          <w:szCs w:val="24"/>
          <w:highlight w:val="none"/>
        </w:rPr>
        <w:t>项目技术负责人具备地质类或水工环高级及以上职称证书得3分，具有中级的得1分。（提供人员证书复印件加盖公章及人员近3个月（</w:t>
      </w:r>
      <w:bookmarkStart w:id="86" w:name="_GoBack"/>
      <w:bookmarkEnd w:id="86"/>
      <w:r>
        <w:rPr>
          <w:rFonts w:hint="eastAsia" w:ascii="宋体" w:hAnsi="宋体"/>
          <w:b w:val="0"/>
          <w:bCs/>
          <w:color w:val="auto"/>
          <w:sz w:val="24"/>
          <w:szCs w:val="24"/>
          <w:highlight w:val="none"/>
          <w:lang w:eastAsia="zh-CN"/>
        </w:rPr>
        <w:t>2021年9月-2021年11月</w:t>
      </w:r>
      <w:r>
        <w:rPr>
          <w:rFonts w:hint="eastAsia" w:ascii="宋体" w:hAnsi="宋体"/>
          <w:b w:val="0"/>
          <w:bCs/>
          <w:color w:val="auto"/>
          <w:sz w:val="24"/>
          <w:szCs w:val="24"/>
          <w:highlight w:val="none"/>
        </w:rPr>
        <w:t>）社保参保证明复印件并加盖公章）</w:t>
      </w:r>
    </w:p>
    <w:p>
      <w:pPr>
        <w:widowControl w:val="0"/>
        <w:numPr>
          <w:ilvl w:val="0"/>
          <w:numId w:val="0"/>
        </w:numPr>
        <w:spacing w:line="360" w:lineRule="auto"/>
        <w:ind w:left="0" w:leftChars="0" w:firstLine="638" w:firstLineChars="266"/>
        <w:jc w:val="both"/>
        <w:rPr>
          <w:highlight w:val="none"/>
        </w:rPr>
      </w:pPr>
      <w:r>
        <w:rPr>
          <w:rFonts w:hint="eastAsia" w:ascii="宋体" w:hAnsi="宋体"/>
          <w:b w:val="0"/>
          <w:bCs/>
          <w:color w:val="auto"/>
          <w:sz w:val="24"/>
          <w:szCs w:val="24"/>
          <w:highlight w:val="none"/>
          <w:lang w:val="en-US" w:eastAsia="zh-CN"/>
        </w:rPr>
        <w:t>③</w:t>
      </w:r>
      <w:r>
        <w:rPr>
          <w:rFonts w:hint="eastAsia" w:ascii="宋体" w:hAnsi="宋体"/>
          <w:b w:val="0"/>
          <w:bCs/>
          <w:color w:val="auto"/>
          <w:sz w:val="24"/>
          <w:szCs w:val="24"/>
          <w:highlight w:val="none"/>
        </w:rPr>
        <w:t>项目团队其他成员具有水工环、地质、环境工程、物探、岩土工程、测绘等相关专业中级及以上职称证书的，中级职称每提供一个证书得0.5分，高级及以上职称每提供一个证书得1分，满分3分。（提供人员证书复印件加盖公章及人员近3个月（</w:t>
      </w:r>
      <w:r>
        <w:rPr>
          <w:rFonts w:hint="eastAsia" w:ascii="宋体" w:hAnsi="宋体"/>
          <w:b w:val="0"/>
          <w:bCs/>
          <w:color w:val="auto"/>
          <w:sz w:val="24"/>
          <w:szCs w:val="24"/>
          <w:highlight w:val="none"/>
          <w:lang w:eastAsia="zh-CN"/>
        </w:rPr>
        <w:t>2021年9月-2021年11月</w:t>
      </w:r>
      <w:r>
        <w:rPr>
          <w:rFonts w:hint="eastAsia" w:ascii="宋体" w:hAnsi="宋体"/>
          <w:b w:val="0"/>
          <w:bCs/>
          <w:color w:val="auto"/>
          <w:sz w:val="24"/>
          <w:szCs w:val="24"/>
          <w:highlight w:val="none"/>
        </w:rPr>
        <w:t>）社保参保证明复印件并加盖公章）</w:t>
      </w:r>
    </w:p>
    <w:p>
      <w:pPr>
        <w:numPr>
          <w:ilvl w:val="0"/>
          <w:numId w:val="14"/>
        </w:numPr>
        <w:spacing w:line="360" w:lineRule="auto"/>
        <w:ind w:firstLine="241" w:firstLineChars="100"/>
        <w:rPr>
          <w:rFonts w:ascii="宋体" w:hAnsi="宋体"/>
          <w:b/>
          <w:color w:val="auto"/>
          <w:sz w:val="24"/>
          <w:szCs w:val="24"/>
          <w:highlight w:val="none"/>
        </w:rPr>
      </w:pPr>
      <w:r>
        <w:rPr>
          <w:rFonts w:hint="eastAsia" w:ascii="宋体" w:hAnsi="宋体"/>
          <w:b/>
          <w:color w:val="auto"/>
          <w:sz w:val="24"/>
          <w:szCs w:val="24"/>
          <w:highlight w:val="none"/>
        </w:rPr>
        <w:t>技术文件（</w:t>
      </w:r>
      <w:r>
        <w:rPr>
          <w:rFonts w:hint="eastAsia" w:ascii="宋体" w:hAnsi="宋体"/>
          <w:b/>
          <w:color w:val="auto"/>
          <w:sz w:val="24"/>
          <w:szCs w:val="24"/>
          <w:highlight w:val="none"/>
          <w:lang w:val="en-US" w:eastAsia="zh-CN"/>
        </w:rPr>
        <w:t>60</w:t>
      </w:r>
      <w:r>
        <w:rPr>
          <w:rFonts w:ascii="宋体" w:hAnsi="宋体"/>
          <w:b/>
          <w:color w:val="auto"/>
          <w:sz w:val="24"/>
          <w:szCs w:val="24"/>
          <w:highlight w:val="none"/>
        </w:rPr>
        <w:t>分）</w:t>
      </w:r>
    </w:p>
    <w:p>
      <w:pPr>
        <w:spacing w:line="360" w:lineRule="auto"/>
        <w:ind w:left="0" w:leftChars="0" w:firstLine="218" w:firstLineChars="91"/>
        <w:rPr>
          <w:rFonts w:hint="eastAsia" w:ascii="宋体" w:hAnsi="宋体"/>
          <w:bCs/>
          <w:sz w:val="24"/>
          <w:highlight w:val="none"/>
          <w:lang w:val="en-US" w:eastAsia="zh-CN"/>
        </w:rPr>
      </w:pPr>
      <w:r>
        <w:rPr>
          <w:rFonts w:hint="eastAsia" w:ascii="宋体" w:hAnsi="宋体"/>
          <w:bCs/>
          <w:sz w:val="24"/>
          <w:highlight w:val="none"/>
          <w:lang w:val="en-US" w:eastAsia="zh-CN"/>
        </w:rPr>
        <w:t>1.普查区概况，根据供应商对普查区地形地貌、地层岩性、地质构造、工程地质及水文地质条件等掌握程度进行打分；（12分）</w:t>
      </w:r>
    </w:p>
    <w:p>
      <w:pPr>
        <w:spacing w:line="360" w:lineRule="auto"/>
        <w:ind w:left="0" w:leftChars="0" w:firstLine="218" w:firstLineChars="91"/>
        <w:rPr>
          <w:rFonts w:hint="eastAsia" w:ascii="宋体" w:hAnsi="宋体"/>
          <w:bCs/>
          <w:sz w:val="24"/>
          <w:highlight w:val="none"/>
          <w:lang w:val="en-US" w:eastAsia="zh-CN"/>
        </w:rPr>
      </w:pPr>
      <w:r>
        <w:rPr>
          <w:rFonts w:hint="eastAsia" w:ascii="宋体" w:hAnsi="宋体"/>
          <w:bCs/>
          <w:sz w:val="24"/>
          <w:highlight w:val="none"/>
          <w:lang w:val="en-US" w:eastAsia="zh-CN"/>
        </w:rPr>
        <w:t>2.地质灾害类型及特征，根据供应商的对普查区地质灾害及特征掌握程度进行打分；（12分）</w:t>
      </w:r>
    </w:p>
    <w:p>
      <w:pPr>
        <w:spacing w:line="360" w:lineRule="auto"/>
        <w:ind w:left="0" w:leftChars="0" w:firstLine="218" w:firstLineChars="91"/>
        <w:rPr>
          <w:rFonts w:hint="eastAsia" w:ascii="宋体" w:hAnsi="宋体"/>
          <w:bCs/>
          <w:sz w:val="24"/>
          <w:highlight w:val="none"/>
          <w:lang w:val="en-US" w:eastAsia="zh-CN"/>
        </w:rPr>
      </w:pPr>
      <w:r>
        <w:rPr>
          <w:rFonts w:hint="eastAsia" w:ascii="宋体" w:hAnsi="宋体"/>
          <w:bCs/>
          <w:sz w:val="24"/>
          <w:highlight w:val="none"/>
          <w:lang w:val="en-US" w:eastAsia="zh-CN"/>
        </w:rPr>
        <w:t>3.工作目标、任务及安排情况，根据供应商本次工作部署的合理性、科学性以及是否满足技术要求的相关规定进行打分；（12分）</w:t>
      </w:r>
    </w:p>
    <w:p>
      <w:pPr>
        <w:spacing w:line="360" w:lineRule="auto"/>
        <w:ind w:left="0" w:leftChars="0" w:firstLine="218" w:firstLineChars="91"/>
        <w:rPr>
          <w:rFonts w:hint="eastAsia" w:ascii="宋体" w:hAnsi="宋体"/>
          <w:bCs/>
          <w:sz w:val="24"/>
          <w:highlight w:val="none"/>
          <w:lang w:val="en-US" w:eastAsia="zh-CN"/>
        </w:rPr>
      </w:pPr>
      <w:r>
        <w:rPr>
          <w:rFonts w:hint="eastAsia" w:ascii="宋体" w:hAnsi="宋体"/>
          <w:bCs/>
          <w:sz w:val="24"/>
          <w:highlight w:val="none"/>
          <w:lang w:val="en-US" w:eastAsia="zh-CN"/>
        </w:rPr>
        <w:t>4.组织管理与进度安排，根据供应商组织管理与进度安排的合理性、科学性以及是否满足技术要求的相关规定进行打分；（12分）</w:t>
      </w:r>
    </w:p>
    <w:p>
      <w:pPr>
        <w:spacing w:line="360" w:lineRule="auto"/>
        <w:ind w:left="0" w:leftChars="0" w:firstLine="218" w:firstLineChars="91"/>
        <w:rPr>
          <w:rFonts w:hint="eastAsia" w:ascii="宋体" w:hAnsi="宋体"/>
          <w:bCs/>
          <w:sz w:val="24"/>
          <w:highlight w:val="none"/>
          <w:lang w:val="en-US" w:eastAsia="zh-CN"/>
        </w:rPr>
      </w:pPr>
      <w:r>
        <w:rPr>
          <w:rFonts w:hint="eastAsia" w:ascii="宋体" w:hAnsi="宋体"/>
          <w:bCs/>
          <w:sz w:val="24"/>
          <w:highlight w:val="none"/>
          <w:lang w:val="en-US" w:eastAsia="zh-CN"/>
        </w:rPr>
        <w:t>5.保障措施，根据供应商项目实施的保障措施的完备性、合理性及可操作性进行打分。（12分）</w:t>
      </w:r>
    </w:p>
    <w:p>
      <w:pPr>
        <w:numPr>
          <w:ilvl w:val="0"/>
          <w:numId w:val="0"/>
        </w:numPr>
        <w:tabs>
          <w:tab w:val="left" w:pos="426"/>
        </w:tabs>
        <w:spacing w:line="360" w:lineRule="auto"/>
        <w:ind w:firstLine="480" w:firstLineChars="200"/>
        <w:rPr>
          <w:highlight w:val="none"/>
        </w:rPr>
      </w:pPr>
      <w:r>
        <w:rPr>
          <w:rFonts w:hint="eastAsia" w:ascii="宋体" w:hAnsi="宋体" w:eastAsia="宋体" w:cs="Times New Roman"/>
          <w:kern w:val="0"/>
          <w:sz w:val="24"/>
          <w:szCs w:val="22"/>
          <w:highlight w:val="none"/>
          <w:lang w:val="en-US" w:eastAsia="zh-CN" w:bidi="ar-SA"/>
        </w:rPr>
        <w:t>技术标除编制粗制滥造、内容不全、缺项漏项较多的以外，磋商小组一般按照下列</w:t>
      </w:r>
      <w:r>
        <w:rPr>
          <w:rFonts w:hint="eastAsia" w:ascii="宋体" w:hAnsi="宋体"/>
          <w:bCs/>
          <w:sz w:val="24"/>
          <w:highlight w:val="none"/>
        </w:rPr>
        <w:t>评分幅度对施工组织设计进行评分：90%≤优≤100%；80%≤良＜90%；70%≤中＜80%；60%≤一般＜70%。</w:t>
      </w:r>
    </w:p>
    <w:p>
      <w:pPr>
        <w:spacing w:line="360" w:lineRule="auto"/>
        <w:ind w:firstLine="482" w:firstLineChars="200"/>
        <w:rPr>
          <w:rFonts w:hint="eastAsia" w:ascii="宋体" w:hAnsi="宋体" w:eastAsia="宋体"/>
          <w:b/>
          <w:sz w:val="24"/>
          <w:szCs w:val="24"/>
          <w:highlight w:val="none"/>
          <w:lang w:eastAsia="zh-CN"/>
        </w:rPr>
      </w:pPr>
      <w:r>
        <w:rPr>
          <w:rFonts w:hint="eastAsia" w:ascii="宋体" w:hAnsi="宋体"/>
          <w:b/>
          <w:sz w:val="24"/>
          <w:szCs w:val="24"/>
          <w:highlight w:val="none"/>
          <w:lang w:eastAsia="zh-CN"/>
        </w:rPr>
        <w:t>（</w:t>
      </w:r>
      <w:r>
        <w:rPr>
          <w:rFonts w:hint="eastAsia" w:ascii="宋体" w:hAnsi="宋体"/>
          <w:b/>
          <w:sz w:val="24"/>
          <w:szCs w:val="24"/>
          <w:highlight w:val="none"/>
          <w:lang w:val="en-US" w:eastAsia="zh-CN"/>
        </w:rPr>
        <w:t>4</w:t>
      </w:r>
      <w:r>
        <w:rPr>
          <w:rFonts w:hint="eastAsia" w:ascii="宋体" w:hAnsi="宋体"/>
          <w:b/>
          <w:sz w:val="24"/>
          <w:szCs w:val="24"/>
          <w:highlight w:val="none"/>
          <w:lang w:eastAsia="zh-CN"/>
        </w:rPr>
        <w:t>）</w:t>
      </w:r>
      <w:r>
        <w:rPr>
          <w:rFonts w:ascii="宋体" w:hAnsi="宋体"/>
          <w:b/>
          <w:bCs/>
          <w:color w:val="000000"/>
          <w:sz w:val="24"/>
          <w:szCs w:val="24"/>
          <w:highlight w:val="none"/>
        </w:rPr>
        <w:t>投标文件的规范性、表述清晰程度（2分）</w:t>
      </w:r>
      <w:r>
        <w:rPr>
          <w:rFonts w:hint="eastAsia" w:ascii="宋体" w:hAnsi="宋体"/>
          <w:bCs/>
          <w:color w:val="000000"/>
          <w:sz w:val="24"/>
          <w:szCs w:val="24"/>
          <w:highlight w:val="none"/>
        </w:rPr>
        <w:t>投标文件内容未按照评分标准做对应位置绑定的，此项不得分。</w:t>
      </w:r>
    </w:p>
    <w:p>
      <w:pPr>
        <w:tabs>
          <w:tab w:val="left" w:pos="945"/>
          <w:tab w:val="left" w:pos="1155"/>
        </w:tabs>
        <w:spacing w:line="360" w:lineRule="auto"/>
        <w:ind w:firstLine="482" w:firstLineChars="200"/>
        <w:rPr>
          <w:rFonts w:ascii="宋体" w:hAnsi="宋体"/>
          <w:b/>
          <w:sz w:val="24"/>
          <w:szCs w:val="24"/>
          <w:highlight w:val="none"/>
        </w:rPr>
      </w:pPr>
      <w:r>
        <w:rPr>
          <w:rFonts w:hint="eastAsia" w:ascii="宋体" w:hAnsi="宋体"/>
          <w:b/>
          <w:sz w:val="24"/>
          <w:szCs w:val="24"/>
          <w:highlight w:val="none"/>
        </w:rPr>
        <w:t>加分因素（</w:t>
      </w:r>
      <w:r>
        <w:rPr>
          <w:rFonts w:ascii="宋体" w:hAnsi="宋体"/>
          <w:b/>
          <w:sz w:val="24"/>
          <w:szCs w:val="24"/>
          <w:highlight w:val="none"/>
        </w:rPr>
        <w:t>2分</w:t>
      </w:r>
      <w:r>
        <w:rPr>
          <w:rFonts w:hint="eastAsia" w:ascii="宋体" w:hAnsi="宋体"/>
          <w:b/>
          <w:sz w:val="24"/>
          <w:szCs w:val="24"/>
          <w:highlight w:val="none"/>
        </w:rPr>
        <w:t>）</w:t>
      </w:r>
    </w:p>
    <w:p>
      <w:pPr>
        <w:tabs>
          <w:tab w:val="left" w:pos="945"/>
          <w:tab w:val="left" w:pos="1155"/>
        </w:tabs>
        <w:spacing w:line="360" w:lineRule="auto"/>
        <w:ind w:firstLine="566" w:firstLineChars="236"/>
        <w:rPr>
          <w:rFonts w:ascii="宋体" w:hAnsi="宋体"/>
          <w:sz w:val="24"/>
          <w:szCs w:val="24"/>
          <w:highlight w:val="none"/>
        </w:rPr>
      </w:pPr>
      <w:r>
        <w:rPr>
          <w:rFonts w:hint="eastAsia" w:ascii="宋体" w:hAnsi="宋体"/>
          <w:sz w:val="24"/>
          <w:szCs w:val="24"/>
          <w:highlight w:val="none"/>
        </w:rPr>
        <w:t>报价供应商所投产品属于节能产品政府采购品目清单（政府强制采购节能产品除外）、环境标志产品政府采购品目清单范围内的，提供由国家确定的认证机构（目前仅根据《市场监管总局关于发布参与实施政府采购节能产品、环境标志产品认证机构名录的公告》（2019年第16号）中确认的《参与实施政府采购节能产品认证机构名录》《参与实施政府采购环境标志产品认证机构名录》）出具的、处于有效期之内的节能产品认证证书、环境标志产品认证证书。有1项得</w:t>
      </w:r>
      <w:r>
        <w:rPr>
          <w:rFonts w:ascii="宋体" w:hAnsi="宋体"/>
          <w:sz w:val="24"/>
          <w:szCs w:val="24"/>
          <w:highlight w:val="none"/>
        </w:rPr>
        <w:t>1</w:t>
      </w:r>
      <w:r>
        <w:rPr>
          <w:rFonts w:hint="eastAsia" w:ascii="宋体" w:hAnsi="宋体"/>
          <w:sz w:val="24"/>
          <w:szCs w:val="24"/>
          <w:highlight w:val="none"/>
        </w:rPr>
        <w:t>分，最高得</w:t>
      </w:r>
      <w:r>
        <w:rPr>
          <w:rFonts w:ascii="宋体" w:hAnsi="宋体"/>
          <w:sz w:val="24"/>
          <w:szCs w:val="24"/>
          <w:highlight w:val="none"/>
        </w:rPr>
        <w:t>2</w:t>
      </w:r>
      <w:r>
        <w:rPr>
          <w:rFonts w:hint="eastAsia" w:ascii="宋体" w:hAnsi="宋体"/>
          <w:sz w:val="24"/>
          <w:szCs w:val="24"/>
          <w:highlight w:val="none"/>
        </w:rPr>
        <w:t>分。注：同一产品同时具备节能产品认证证书、环境标志产品认证证书的，不重复计分，投标时提供认证证书复印件。</w:t>
      </w:r>
    </w:p>
    <w:p>
      <w:pPr>
        <w:spacing w:line="360" w:lineRule="auto"/>
        <w:ind w:firstLine="482" w:firstLineChars="200"/>
        <w:rPr>
          <w:highlight w:val="none"/>
        </w:rPr>
      </w:pPr>
      <w:r>
        <w:rPr>
          <w:rFonts w:hint="eastAsia" w:ascii="宋体" w:hAnsi="宋体" w:cs="宋体"/>
          <w:b/>
          <w:bCs/>
          <w:sz w:val="24"/>
          <w:highlight w:val="none"/>
        </w:rPr>
        <w:t>未列入本评分细则的其他条件不作为评分内容。</w:t>
      </w: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（十） 定标：</w:t>
      </w:r>
    </w:p>
    <w:p>
      <w:pPr>
        <w:spacing w:line="360" w:lineRule="auto"/>
        <w:ind w:firstLine="720" w:firstLineChars="300"/>
        <w:rPr>
          <w:rFonts w:ascii="宋体" w:hAnsi="宋体"/>
          <w:bCs/>
          <w:sz w:val="24"/>
          <w:highlight w:val="none"/>
        </w:rPr>
      </w:pPr>
      <w:r>
        <w:rPr>
          <w:rFonts w:hint="eastAsia" w:ascii="宋体" w:hAnsi="宋体"/>
          <w:bCs/>
          <w:sz w:val="24"/>
          <w:highlight w:val="none"/>
        </w:rPr>
        <w:t>1.磋商小组根据竞争性磋商文件规定的评审方法和评分标准进行评审，按竞争性磋商文件的要求在3家成交候选单位中，依法确定成交供应商。自评审结束之日起2个工作日内将评审报告送交采购人。采购人自收到评审报告之日起5个工作日内按磋商文件的要求，在评审报告推荐的成交候选单位中，依法确定成交供应商。</w:t>
      </w:r>
      <w:r>
        <w:rPr>
          <w:rFonts w:hint="eastAsia" w:ascii="宋体" w:hAnsi="宋体"/>
          <w:bCs/>
          <w:sz w:val="24"/>
          <w:highlight w:val="none"/>
          <w:lang w:eastAsia="zh-CN"/>
        </w:rPr>
        <w:t>中嘉工程管理咨询（江苏）有限公司</w:t>
      </w:r>
      <w:r>
        <w:rPr>
          <w:rFonts w:hint="eastAsia" w:ascii="宋体" w:hAnsi="宋体"/>
          <w:bCs/>
          <w:sz w:val="24"/>
          <w:highlight w:val="none"/>
        </w:rPr>
        <w:t>自成交供应商确定之日起2个工作日内，发出成交通知书，并在媒体（江苏政府采购网、无锡政府采购网）上发布成交结果公告。</w:t>
      </w:r>
      <w:r>
        <w:rPr>
          <w:rFonts w:hint="eastAsia" w:ascii="宋体" w:hAnsi="宋体"/>
          <w:bCs/>
          <w:sz w:val="24"/>
          <w:highlight w:val="none"/>
          <w:lang w:eastAsia="zh-CN"/>
        </w:rPr>
        <w:t>中嘉工程管理咨询（江苏）有限公司</w:t>
      </w:r>
      <w:r>
        <w:rPr>
          <w:rFonts w:hint="eastAsia" w:ascii="宋体" w:hAnsi="宋体"/>
          <w:bCs/>
          <w:sz w:val="24"/>
          <w:highlight w:val="none"/>
        </w:rPr>
        <w:t>和磋商小组对未成交原因不做解释。</w:t>
      </w:r>
      <w:r>
        <w:rPr>
          <w:rFonts w:hint="eastAsia" w:ascii="宋体" w:hAnsi="宋体" w:cs="宋体"/>
          <w:bCs/>
          <w:sz w:val="24"/>
          <w:highlight w:val="none"/>
        </w:rPr>
        <w:t>如有质疑，</w:t>
      </w:r>
      <w:r>
        <w:rPr>
          <w:rFonts w:hint="eastAsia" w:ascii="宋体" w:hAnsi="宋体" w:cs="宋体"/>
          <w:sz w:val="24"/>
          <w:highlight w:val="none"/>
        </w:rPr>
        <w:t>供应商按中华人民共和国财政部令【第94号】《政府采购质疑和投诉办法》第十二条：供应商提出质疑应当提交质疑函和必要的证明材料。质疑函应当包括下列内容: (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规定提交资料；按《中华人民共和国政府采购法》等有关法规处理。</w:t>
      </w:r>
      <w:r>
        <w:rPr>
          <w:rFonts w:hint="eastAsia" w:ascii="宋体" w:hAnsi="宋体" w:cs="宋体"/>
          <w:bCs/>
          <w:sz w:val="24"/>
          <w:highlight w:val="none"/>
        </w:rPr>
        <w:t>评审、开标及定标</w:t>
      </w:r>
      <w:r>
        <w:rPr>
          <w:rFonts w:hint="eastAsia" w:ascii="宋体" w:hAnsi="宋体" w:cs="宋体"/>
          <w:sz w:val="24"/>
          <w:highlight w:val="none"/>
        </w:rPr>
        <w:t>的整个过程均由采购人或纪律监察部门全程监督。</w:t>
      </w:r>
    </w:p>
    <w:p>
      <w:pPr>
        <w:tabs>
          <w:tab w:val="left" w:pos="1155"/>
        </w:tabs>
        <w:spacing w:line="360" w:lineRule="auto"/>
        <w:ind w:firstLine="480" w:firstLineChars="200"/>
        <w:rPr>
          <w:rFonts w:ascii="宋体" w:hAnsi="宋体"/>
          <w:bCs/>
          <w:sz w:val="24"/>
          <w:highlight w:val="none"/>
        </w:rPr>
      </w:pPr>
      <w:r>
        <w:rPr>
          <w:rFonts w:ascii="宋体" w:hAnsi="宋体"/>
          <w:bCs/>
          <w:sz w:val="24"/>
          <w:highlight w:val="none"/>
        </w:rPr>
        <w:t>2.</w:t>
      </w:r>
      <w:r>
        <w:rPr>
          <w:rFonts w:hint="eastAsia" w:ascii="宋体" w:hAnsi="宋体" w:cs="宋体"/>
          <w:bCs/>
          <w:sz w:val="24"/>
          <w:highlight w:val="none"/>
        </w:rPr>
        <w:t>定标后，采购人将向成交供应商发出成交通知书</w:t>
      </w:r>
      <w:r>
        <w:rPr>
          <w:rFonts w:hint="eastAsia" w:ascii="宋体" w:hAnsi="宋体" w:cs="宋体"/>
          <w:sz w:val="24"/>
          <w:highlight w:val="none"/>
        </w:rPr>
        <w:t>。</w:t>
      </w:r>
    </w:p>
    <w:p>
      <w:pPr>
        <w:tabs>
          <w:tab w:val="left" w:pos="525"/>
          <w:tab w:val="left" w:pos="945"/>
          <w:tab w:val="left" w:pos="1155"/>
        </w:tabs>
        <w:spacing w:line="360" w:lineRule="auto"/>
        <w:ind w:firstLine="480" w:firstLineChars="200"/>
        <w:rPr>
          <w:rFonts w:ascii="宋体" w:hAnsi="宋体"/>
          <w:bCs/>
          <w:sz w:val="24"/>
          <w:szCs w:val="24"/>
          <w:highlight w:val="none"/>
        </w:rPr>
      </w:pPr>
      <w:r>
        <w:rPr>
          <w:rFonts w:ascii="宋体" w:hAnsi="宋体"/>
          <w:bCs/>
          <w:sz w:val="24"/>
          <w:highlight w:val="none"/>
        </w:rPr>
        <w:t>3.</w:t>
      </w:r>
      <w:r>
        <w:rPr>
          <w:rFonts w:hint="eastAsia" w:ascii="宋体" w:hAnsi="宋体"/>
          <w:bCs/>
          <w:sz w:val="24"/>
          <w:highlight w:val="none"/>
        </w:rPr>
        <w:t>在发布成交公告的同时，</w:t>
      </w:r>
      <w:r>
        <w:rPr>
          <w:rFonts w:hint="eastAsia" w:ascii="宋体" w:hAnsi="宋体"/>
          <w:bCs/>
          <w:sz w:val="24"/>
          <w:highlight w:val="none"/>
          <w:lang w:eastAsia="zh-CN"/>
        </w:rPr>
        <w:t>中嘉工程管理咨询（江苏）有限公司</w:t>
      </w:r>
      <w:r>
        <w:rPr>
          <w:rFonts w:hint="eastAsia" w:ascii="宋体" w:hAnsi="宋体"/>
          <w:bCs/>
          <w:sz w:val="24"/>
          <w:highlight w:val="none"/>
        </w:rPr>
        <w:t>将向成交供应商发出成交通知书。</w:t>
      </w:r>
    </w:p>
    <w:p>
      <w:pPr>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（十一）采购终止：</w:t>
      </w: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cs="宋体"/>
          <w:snapToGrid w:val="0"/>
          <w:kern w:val="0"/>
          <w:sz w:val="24"/>
          <w:highlight w:val="none"/>
        </w:rPr>
        <w:t>出现下列情形之一的，采购人或者采购代理机构应当终止竞争性磋商采购活动，发布项目终止公告并说明原因，重新开展采购活动：</w:t>
      </w: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1．因情况变化，不再符合规定的竞争性磋商采购方式适用情形的；</w:t>
      </w: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2．出现影响采购公正的违法、违规行为的；</w:t>
      </w: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3．除《政府采购竞争性磋商采购方式管理暂行办法》第二十一条第三款和《财政部关于政府采购竞争性磋商采购方式管理暂行办法有关问题的补充通知》规定的情形外，在采购过程中符合要求的供应商或者报价未超过采购预算的供应商不足3家的；</w:t>
      </w: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4.在采购活动中因重大变故，采购任务取消的。</w:t>
      </w:r>
    </w:p>
    <w:p>
      <w:pPr>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（十二）成交无效的确认：</w:t>
      </w:r>
    </w:p>
    <w:p>
      <w:pPr>
        <w:tabs>
          <w:tab w:val="left" w:pos="420"/>
          <w:tab w:val="left" w:pos="945"/>
          <w:tab w:val="left" w:pos="1155"/>
        </w:tabs>
        <w:spacing w:line="360" w:lineRule="auto"/>
        <w:ind w:left="458" w:leftChars="218" w:firstLine="240" w:firstLineChars="100"/>
        <w:rPr>
          <w:rFonts w:ascii="宋体" w:hAnsi="宋体"/>
          <w:bCs/>
          <w:sz w:val="24"/>
          <w:szCs w:val="24"/>
          <w:highlight w:val="none"/>
        </w:rPr>
      </w:pPr>
      <w:r>
        <w:rPr>
          <w:rFonts w:hint="eastAsia" w:ascii="宋体" w:hAnsi="宋体"/>
          <w:bCs/>
          <w:sz w:val="24"/>
          <w:szCs w:val="24"/>
          <w:highlight w:val="none"/>
        </w:rPr>
        <w:t>1.提供虚假材料谋取中标的；</w:t>
      </w:r>
    </w:p>
    <w:p>
      <w:pPr>
        <w:tabs>
          <w:tab w:val="left" w:pos="420"/>
          <w:tab w:val="left" w:pos="945"/>
          <w:tab w:val="left" w:pos="1155"/>
        </w:tabs>
        <w:spacing w:line="360" w:lineRule="auto"/>
        <w:ind w:left="458" w:leftChars="218" w:firstLine="240" w:firstLineChars="100"/>
        <w:rPr>
          <w:rFonts w:ascii="宋体" w:hAnsi="宋体"/>
          <w:bCs/>
          <w:sz w:val="24"/>
          <w:szCs w:val="24"/>
          <w:highlight w:val="none"/>
        </w:rPr>
      </w:pPr>
      <w:r>
        <w:rPr>
          <w:rFonts w:hint="eastAsia" w:ascii="宋体" w:hAnsi="宋体"/>
          <w:bCs/>
          <w:sz w:val="24"/>
          <w:szCs w:val="24"/>
          <w:highlight w:val="none"/>
        </w:rPr>
        <w:t>2.采取不正当手段诋毁、排挤其他报价供应商的；</w:t>
      </w:r>
    </w:p>
    <w:p>
      <w:pPr>
        <w:tabs>
          <w:tab w:val="left" w:pos="420"/>
          <w:tab w:val="left" w:pos="945"/>
          <w:tab w:val="left" w:pos="1155"/>
        </w:tabs>
        <w:spacing w:line="360" w:lineRule="auto"/>
        <w:ind w:left="458" w:leftChars="218" w:firstLine="240" w:firstLineChars="100"/>
        <w:rPr>
          <w:rFonts w:ascii="宋体" w:hAnsi="宋体"/>
          <w:bCs/>
          <w:sz w:val="24"/>
          <w:szCs w:val="24"/>
          <w:highlight w:val="none"/>
        </w:rPr>
      </w:pPr>
      <w:r>
        <w:rPr>
          <w:rFonts w:hint="eastAsia" w:ascii="宋体" w:hAnsi="宋体"/>
          <w:bCs/>
          <w:sz w:val="24"/>
          <w:szCs w:val="24"/>
          <w:highlight w:val="none"/>
        </w:rPr>
        <w:t>3.与采购人、其他报价供应商</w:t>
      </w:r>
      <w:r>
        <w:rPr>
          <w:rFonts w:hint="eastAsia" w:ascii="宋体" w:hAnsi="宋体" w:cs="宋体"/>
          <w:bCs/>
          <w:sz w:val="24"/>
          <w:highlight w:val="none"/>
        </w:rPr>
        <w:t>或者采购代理机构</w:t>
      </w:r>
      <w:r>
        <w:rPr>
          <w:rFonts w:hint="eastAsia" w:ascii="宋体" w:hAnsi="宋体"/>
          <w:bCs/>
          <w:sz w:val="24"/>
          <w:szCs w:val="24"/>
          <w:highlight w:val="none"/>
        </w:rPr>
        <w:t>恶意串通的；</w:t>
      </w:r>
    </w:p>
    <w:p>
      <w:pPr>
        <w:tabs>
          <w:tab w:val="left" w:pos="420"/>
          <w:tab w:val="left" w:pos="945"/>
          <w:tab w:val="left" w:pos="1155"/>
        </w:tabs>
        <w:spacing w:line="360" w:lineRule="auto"/>
        <w:ind w:left="458" w:leftChars="218" w:firstLine="240" w:firstLineChars="100"/>
        <w:rPr>
          <w:rFonts w:ascii="宋体" w:hAnsi="宋体"/>
          <w:bCs/>
          <w:sz w:val="24"/>
          <w:szCs w:val="24"/>
          <w:highlight w:val="none"/>
        </w:rPr>
      </w:pPr>
      <w:r>
        <w:rPr>
          <w:rFonts w:hint="eastAsia" w:ascii="宋体" w:hAnsi="宋体"/>
          <w:bCs/>
          <w:sz w:val="24"/>
          <w:szCs w:val="24"/>
          <w:highlight w:val="none"/>
        </w:rPr>
        <w:t>4.向采购人、</w:t>
      </w:r>
      <w:r>
        <w:rPr>
          <w:rFonts w:hint="eastAsia" w:ascii="宋体" w:hAnsi="宋体" w:cs="宋体"/>
          <w:bCs/>
          <w:sz w:val="24"/>
          <w:highlight w:val="none"/>
        </w:rPr>
        <w:t>采购代理机构</w:t>
      </w:r>
      <w:r>
        <w:rPr>
          <w:rFonts w:hint="eastAsia" w:ascii="宋体" w:hAnsi="宋体"/>
          <w:bCs/>
          <w:sz w:val="24"/>
          <w:szCs w:val="24"/>
          <w:highlight w:val="none"/>
        </w:rPr>
        <w:t>行贿或者提供其他不正当利益的；</w:t>
      </w:r>
    </w:p>
    <w:p>
      <w:pPr>
        <w:tabs>
          <w:tab w:val="left" w:pos="420"/>
          <w:tab w:val="left" w:pos="945"/>
          <w:tab w:val="left" w:pos="1155"/>
        </w:tabs>
        <w:spacing w:line="360" w:lineRule="auto"/>
        <w:ind w:left="458" w:leftChars="218" w:firstLine="240" w:firstLineChars="100"/>
        <w:rPr>
          <w:rFonts w:ascii="宋体" w:hAnsi="宋体"/>
          <w:bCs/>
          <w:sz w:val="24"/>
          <w:szCs w:val="24"/>
          <w:highlight w:val="none"/>
        </w:rPr>
      </w:pPr>
      <w:r>
        <w:rPr>
          <w:rFonts w:hint="eastAsia" w:ascii="宋体" w:hAnsi="宋体"/>
          <w:bCs/>
          <w:sz w:val="24"/>
          <w:szCs w:val="24"/>
          <w:highlight w:val="none"/>
        </w:rPr>
        <w:t>5.在招标过程中与招标采购单位进行协商谈判、不按照磋商文件和成交供应商的响应文件订立合同，或者与采购人另行订立背离合同实质性内容的协议的；</w:t>
      </w:r>
    </w:p>
    <w:p>
      <w:pPr>
        <w:tabs>
          <w:tab w:val="left" w:pos="420"/>
          <w:tab w:val="left" w:pos="945"/>
          <w:tab w:val="left" w:pos="1155"/>
        </w:tabs>
        <w:spacing w:line="360" w:lineRule="auto"/>
        <w:ind w:left="458" w:leftChars="218" w:firstLine="240" w:firstLineChars="100"/>
        <w:rPr>
          <w:rFonts w:ascii="宋体" w:hAnsi="宋体"/>
          <w:bCs/>
          <w:sz w:val="24"/>
          <w:szCs w:val="24"/>
          <w:highlight w:val="none"/>
        </w:rPr>
      </w:pPr>
      <w:r>
        <w:rPr>
          <w:rFonts w:hint="eastAsia" w:ascii="宋体" w:hAnsi="宋体"/>
          <w:bCs/>
          <w:sz w:val="24"/>
          <w:szCs w:val="24"/>
          <w:highlight w:val="none"/>
        </w:rPr>
        <w:t>6.拒绝有关部门监督检查或者提供虚假情况的。</w:t>
      </w:r>
    </w:p>
    <w:p>
      <w:pPr>
        <w:tabs>
          <w:tab w:val="left" w:pos="945"/>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报价供应商有上述1至5项情形之一的，成交无效。有上述1至6项情形之一的，处以政府采购项目成交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（十三）签订、履行合同：</w:t>
      </w:r>
    </w:p>
    <w:p>
      <w:pPr>
        <w:tabs>
          <w:tab w:val="left" w:pos="780"/>
          <w:tab w:val="left" w:pos="1050"/>
          <w:tab w:val="left" w:pos="1140"/>
        </w:tabs>
        <w:spacing w:line="360" w:lineRule="auto"/>
        <w:ind w:firstLine="720" w:firstLineChars="300"/>
        <w:rPr>
          <w:rFonts w:ascii="宋体" w:hAnsi="宋体"/>
          <w:bCs/>
          <w:sz w:val="24"/>
          <w:szCs w:val="24"/>
          <w:highlight w:val="none"/>
        </w:rPr>
      </w:pPr>
      <w:r>
        <w:rPr>
          <w:rFonts w:hint="eastAsia" w:ascii="宋体" w:hAnsi="宋体"/>
          <w:bCs/>
          <w:sz w:val="24"/>
          <w:szCs w:val="24"/>
          <w:highlight w:val="none"/>
        </w:rPr>
        <w:t>1.</w:t>
      </w:r>
      <w:r>
        <w:rPr>
          <w:rFonts w:ascii="宋体" w:hAnsi="宋体" w:cs="微软雅黑"/>
          <w:sz w:val="24"/>
          <w:highlight w:val="none"/>
        </w:rPr>
        <w:t>采购人应当自</w:t>
      </w:r>
      <w:r>
        <w:rPr>
          <w:rFonts w:hint="eastAsia" w:ascii="宋体" w:hAnsi="宋体" w:cs="微软雅黑"/>
          <w:sz w:val="24"/>
          <w:highlight w:val="none"/>
        </w:rPr>
        <w:t>成交</w:t>
      </w:r>
      <w:r>
        <w:rPr>
          <w:rFonts w:ascii="宋体" w:hAnsi="宋体" w:cs="微软雅黑"/>
          <w:sz w:val="24"/>
          <w:highlight w:val="none"/>
        </w:rPr>
        <w:t>通知书发出之日起三十日内，按照</w:t>
      </w:r>
      <w:r>
        <w:rPr>
          <w:rFonts w:hint="eastAsia" w:ascii="宋体" w:hAnsi="宋体" w:cs="微软雅黑"/>
          <w:sz w:val="24"/>
          <w:highlight w:val="none"/>
        </w:rPr>
        <w:t>竞争性磋商</w:t>
      </w:r>
      <w:r>
        <w:rPr>
          <w:rFonts w:ascii="宋体" w:hAnsi="宋体" w:cs="微软雅黑"/>
          <w:sz w:val="24"/>
          <w:highlight w:val="none"/>
        </w:rPr>
        <w:t>文件和</w:t>
      </w:r>
      <w:r>
        <w:rPr>
          <w:rFonts w:hint="eastAsia" w:ascii="宋体" w:hAnsi="宋体" w:cs="微软雅黑"/>
          <w:sz w:val="24"/>
          <w:highlight w:val="none"/>
        </w:rPr>
        <w:t>成交</w:t>
      </w:r>
      <w:r>
        <w:rPr>
          <w:rFonts w:ascii="宋体" w:hAnsi="宋体" w:cs="微软雅黑"/>
          <w:sz w:val="24"/>
          <w:highlight w:val="none"/>
        </w:rPr>
        <w:t>供应商</w:t>
      </w:r>
      <w:r>
        <w:rPr>
          <w:rFonts w:hint="eastAsia" w:ascii="宋体" w:hAnsi="宋体" w:cs="微软雅黑"/>
          <w:sz w:val="24"/>
          <w:highlight w:val="none"/>
        </w:rPr>
        <w:t>响应</w:t>
      </w:r>
      <w:r>
        <w:rPr>
          <w:rFonts w:ascii="宋体" w:hAnsi="宋体" w:cs="微软雅黑"/>
          <w:sz w:val="24"/>
          <w:highlight w:val="none"/>
        </w:rPr>
        <w:t>文件的约定，与</w:t>
      </w:r>
      <w:r>
        <w:rPr>
          <w:rFonts w:hint="eastAsia" w:ascii="宋体" w:hAnsi="宋体" w:cs="微软雅黑"/>
          <w:sz w:val="24"/>
          <w:highlight w:val="none"/>
        </w:rPr>
        <w:t>成交</w:t>
      </w:r>
      <w:r>
        <w:rPr>
          <w:rFonts w:ascii="宋体" w:hAnsi="宋体" w:cs="微软雅黑"/>
          <w:sz w:val="24"/>
          <w:highlight w:val="none"/>
        </w:rPr>
        <w:t>供应商签订书面合同。所签订的合同不得对</w:t>
      </w:r>
      <w:r>
        <w:rPr>
          <w:rFonts w:hint="eastAsia" w:ascii="宋体" w:hAnsi="宋体" w:cs="微软雅黑"/>
          <w:sz w:val="24"/>
          <w:highlight w:val="none"/>
        </w:rPr>
        <w:t>竞争性磋商</w:t>
      </w:r>
      <w:r>
        <w:rPr>
          <w:rFonts w:ascii="宋体" w:hAnsi="宋体" w:cs="微软雅黑"/>
          <w:sz w:val="24"/>
          <w:highlight w:val="none"/>
        </w:rPr>
        <w:t>文件和</w:t>
      </w:r>
      <w:r>
        <w:rPr>
          <w:rFonts w:hint="eastAsia" w:ascii="宋体" w:hAnsi="宋体" w:cs="微软雅黑"/>
          <w:sz w:val="24"/>
          <w:highlight w:val="none"/>
        </w:rPr>
        <w:t>成交</w:t>
      </w:r>
      <w:r>
        <w:rPr>
          <w:rFonts w:ascii="宋体" w:hAnsi="宋体" w:cs="微软雅黑"/>
          <w:sz w:val="24"/>
          <w:highlight w:val="none"/>
        </w:rPr>
        <w:t>供应商</w:t>
      </w:r>
      <w:r>
        <w:rPr>
          <w:rFonts w:hint="eastAsia" w:ascii="宋体" w:hAnsi="宋体" w:cs="微软雅黑"/>
          <w:sz w:val="24"/>
          <w:highlight w:val="none"/>
        </w:rPr>
        <w:t>响应</w:t>
      </w:r>
      <w:r>
        <w:rPr>
          <w:rFonts w:ascii="宋体" w:hAnsi="宋体" w:cs="微软雅黑"/>
          <w:sz w:val="24"/>
          <w:highlight w:val="none"/>
        </w:rPr>
        <w:t>文件作实质性修改。</w:t>
      </w:r>
      <w:r>
        <w:rPr>
          <w:rFonts w:hint="eastAsia" w:ascii="宋体" w:hAnsi="宋体" w:cs="微软雅黑"/>
          <w:sz w:val="24"/>
          <w:highlight w:val="none"/>
        </w:rPr>
        <w:t>采购人</w:t>
      </w:r>
      <w:r>
        <w:rPr>
          <w:rFonts w:ascii="宋体" w:hAnsi="宋体" w:cs="微软雅黑"/>
          <w:sz w:val="24"/>
          <w:highlight w:val="none"/>
        </w:rPr>
        <w:t>不得向</w:t>
      </w:r>
      <w:r>
        <w:rPr>
          <w:rFonts w:hint="eastAsia" w:ascii="宋体" w:hAnsi="宋体" w:cs="微软雅黑"/>
          <w:sz w:val="24"/>
          <w:highlight w:val="none"/>
        </w:rPr>
        <w:t>成交</w:t>
      </w:r>
      <w:r>
        <w:rPr>
          <w:rFonts w:ascii="宋体" w:hAnsi="宋体" w:cs="微软雅黑"/>
          <w:sz w:val="24"/>
          <w:highlight w:val="none"/>
        </w:rPr>
        <w:t>供应商提出任何不合理的要求，作为签订合同的条件，不得与</w:t>
      </w:r>
      <w:r>
        <w:rPr>
          <w:rFonts w:hint="eastAsia" w:ascii="宋体" w:hAnsi="宋体" w:cs="微软雅黑"/>
          <w:sz w:val="24"/>
          <w:highlight w:val="none"/>
        </w:rPr>
        <w:t>成交</w:t>
      </w:r>
      <w:r>
        <w:rPr>
          <w:rFonts w:ascii="宋体" w:hAnsi="宋体" w:cs="微软雅黑"/>
          <w:sz w:val="24"/>
          <w:highlight w:val="none"/>
        </w:rPr>
        <w:t>供应商私下订立背离合同实质性内容的协议。</w:t>
      </w:r>
      <w:r>
        <w:rPr>
          <w:rFonts w:hint="eastAsia" w:ascii="宋体" w:hAnsi="宋体" w:cs="微软雅黑"/>
          <w:sz w:val="24"/>
          <w:highlight w:val="none"/>
        </w:rPr>
        <w:t>合同经</w:t>
      </w:r>
      <w:r>
        <w:rPr>
          <w:rFonts w:hint="eastAsia" w:ascii="宋体" w:hAnsi="宋体" w:cs="微软雅黑"/>
          <w:sz w:val="24"/>
          <w:highlight w:val="none"/>
          <w:lang w:eastAsia="zh-CN"/>
        </w:rPr>
        <w:t>中嘉工程管理咨询（江苏）有限公司</w:t>
      </w:r>
      <w:r>
        <w:rPr>
          <w:rFonts w:hint="eastAsia" w:ascii="宋体" w:hAnsi="宋体" w:cs="微软雅黑"/>
          <w:sz w:val="24"/>
          <w:highlight w:val="none"/>
        </w:rPr>
        <w:t>见证后生效。</w:t>
      </w:r>
    </w:p>
    <w:p>
      <w:pPr>
        <w:tabs>
          <w:tab w:val="left" w:pos="780"/>
          <w:tab w:val="left" w:pos="1050"/>
          <w:tab w:val="left" w:pos="1140"/>
        </w:tabs>
        <w:spacing w:line="360" w:lineRule="auto"/>
        <w:ind w:firstLine="720" w:firstLineChars="300"/>
        <w:rPr>
          <w:rFonts w:ascii="宋体" w:hAnsi="宋体"/>
          <w:bCs/>
          <w:sz w:val="24"/>
          <w:szCs w:val="24"/>
          <w:highlight w:val="none"/>
        </w:rPr>
      </w:pPr>
      <w:r>
        <w:rPr>
          <w:rFonts w:hint="eastAsia" w:ascii="宋体" w:hAnsi="宋体"/>
          <w:bCs/>
          <w:sz w:val="24"/>
          <w:szCs w:val="24"/>
          <w:highlight w:val="none"/>
        </w:rPr>
        <w:t>2.</w:t>
      </w:r>
      <w:r>
        <w:rPr>
          <w:rFonts w:hint="eastAsia" w:ascii="宋体" w:hAnsi="宋体"/>
          <w:bCs/>
          <w:sz w:val="24"/>
          <w:szCs w:val="24"/>
          <w:highlight w:val="none"/>
          <w:lang w:eastAsia="zh-CN"/>
        </w:rPr>
        <w:t>中嘉工程管理咨询（江苏）有限公司</w:t>
      </w:r>
      <w:r>
        <w:rPr>
          <w:rFonts w:hint="eastAsia" w:ascii="宋体" w:hAnsi="宋体"/>
          <w:bCs/>
          <w:sz w:val="24"/>
          <w:szCs w:val="24"/>
          <w:highlight w:val="none"/>
        </w:rPr>
        <w:t>监督合同的履行。成交方非因不可抗力未履行招、响应文件和合同规定的义务，一经查实，招标代理机构将根据具体情况提请政府采购管理部门作出相应处理。</w:t>
      </w:r>
    </w:p>
    <w:p>
      <w:pPr>
        <w:spacing w:line="360" w:lineRule="auto"/>
        <w:ind w:firstLine="720" w:firstLineChars="300"/>
        <w:rPr>
          <w:rFonts w:ascii="宋体" w:hAnsi="宋体"/>
          <w:bCs/>
          <w:sz w:val="24"/>
          <w:szCs w:val="24"/>
          <w:highlight w:val="none"/>
        </w:rPr>
      </w:pPr>
      <w:r>
        <w:rPr>
          <w:rFonts w:ascii="宋体" w:hAnsi="宋体"/>
          <w:bCs/>
          <w:sz w:val="24"/>
          <w:szCs w:val="24"/>
          <w:highlight w:val="none"/>
        </w:rPr>
        <w:t>3</w:t>
      </w:r>
      <w:r>
        <w:rPr>
          <w:rFonts w:hint="eastAsia" w:ascii="宋体" w:hAnsi="宋体"/>
          <w:bCs/>
          <w:sz w:val="24"/>
          <w:szCs w:val="24"/>
          <w:highlight w:val="none"/>
        </w:rPr>
        <w:t>.</w:t>
      </w:r>
      <w:r>
        <w:rPr>
          <w:rFonts w:hint="eastAsia" w:ascii="宋体" w:hAnsi="宋体"/>
          <w:sz w:val="24"/>
          <w:highlight w:val="none"/>
        </w:rPr>
        <w:t>若由于相应国家法律法规、地方法规、行业规章、政策文件等变动造成项目中止，项目参与各方均不承担违约责任。</w:t>
      </w:r>
    </w:p>
    <w:p>
      <w:pPr>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（十四）成交服务费：</w:t>
      </w:r>
    </w:p>
    <w:p>
      <w:pPr>
        <w:spacing w:line="360" w:lineRule="auto"/>
        <w:ind w:firstLine="720" w:firstLineChars="300"/>
        <w:rPr>
          <w:rFonts w:ascii="宋体" w:hAnsi="宋体" w:cs="宋体"/>
          <w:bCs/>
          <w:sz w:val="24"/>
          <w:highlight w:val="none"/>
          <w:u w:val="none"/>
        </w:rPr>
      </w:pPr>
      <w:r>
        <w:rPr>
          <w:rFonts w:hint="eastAsia" w:ascii="宋体" w:hAnsi="宋体" w:cs="宋体"/>
          <w:bCs/>
          <w:sz w:val="24"/>
          <w:highlight w:val="none"/>
        </w:rPr>
        <w:t xml:space="preserve">1. </w:t>
      </w:r>
      <w:r>
        <w:rPr>
          <w:rFonts w:hint="eastAsia" w:ascii="宋体" w:hAnsi="宋体" w:eastAsia="宋体"/>
          <w:color w:val="000000"/>
          <w:kern w:val="2"/>
          <w:sz w:val="24"/>
          <w:szCs w:val="24"/>
          <w:highlight w:val="none"/>
          <w:u w:val="none"/>
          <w:lang w:val="en-US" w:eastAsia="zh-CN" w:bidi="ar-SA"/>
        </w:rPr>
        <w:t>本项目代理服务费（服务招标）按差额定率累进法计算，以中标金额为计费基础，</w:t>
      </w:r>
      <w:r>
        <w:rPr>
          <w:rFonts w:hint="eastAsia" w:ascii="宋体" w:hAnsi="宋体" w:eastAsia="宋体"/>
          <w:color w:val="000000"/>
          <w:sz w:val="24"/>
          <w:highlight w:val="none"/>
          <w:u w:val="none"/>
          <w:lang w:val="en-US" w:eastAsia="zh-CN"/>
        </w:rPr>
        <w:t>中标</w:t>
      </w:r>
      <w:r>
        <w:rPr>
          <w:rFonts w:hint="eastAsia" w:ascii="宋体" w:hAnsi="宋体" w:eastAsia="宋体"/>
          <w:color w:val="000000"/>
          <w:sz w:val="24"/>
          <w:highlight w:val="none"/>
          <w:u w:val="none"/>
        </w:rPr>
        <w:t>金额100万元以内1.5%、100-500万元</w:t>
      </w:r>
      <w:r>
        <w:rPr>
          <w:rFonts w:hint="eastAsia" w:ascii="宋体" w:hAnsi="宋体" w:eastAsia="宋体"/>
          <w:color w:val="000000"/>
          <w:sz w:val="24"/>
          <w:highlight w:val="none"/>
          <w:u w:val="none"/>
          <w:lang w:val="en-US" w:eastAsia="zh-CN"/>
        </w:rPr>
        <w:t>0.8</w:t>
      </w:r>
      <w:r>
        <w:rPr>
          <w:rFonts w:hint="eastAsia" w:ascii="宋体" w:hAnsi="宋体" w:eastAsia="宋体"/>
          <w:color w:val="000000"/>
          <w:sz w:val="24"/>
          <w:highlight w:val="none"/>
          <w:u w:val="none"/>
        </w:rPr>
        <w:t>%</w:t>
      </w:r>
      <w:r>
        <w:rPr>
          <w:rFonts w:hint="eastAsia" w:ascii="宋体" w:hAnsi="宋体" w:eastAsia="宋体"/>
          <w:color w:val="000000"/>
          <w:sz w:val="24"/>
          <w:highlight w:val="none"/>
          <w:u w:val="none"/>
          <w:lang w:eastAsia="zh-CN"/>
        </w:rPr>
        <w:t>，</w:t>
      </w:r>
      <w:r>
        <w:rPr>
          <w:rFonts w:hint="eastAsia" w:ascii="宋体" w:hAnsi="宋体" w:eastAsia="宋体"/>
          <w:color w:val="auto"/>
          <w:kern w:val="2"/>
          <w:sz w:val="24"/>
          <w:szCs w:val="24"/>
          <w:highlight w:val="none"/>
          <w:u w:val="none"/>
          <w:lang w:val="en-US" w:eastAsia="zh-CN" w:bidi="ar-SA"/>
        </w:rPr>
        <w:t>并在此基础上打</w:t>
      </w:r>
      <w:r>
        <w:rPr>
          <w:rFonts w:hint="eastAsia" w:ascii="宋体" w:hAnsi="宋体"/>
          <w:color w:val="auto"/>
          <w:kern w:val="2"/>
          <w:sz w:val="24"/>
          <w:szCs w:val="24"/>
          <w:highlight w:val="none"/>
          <w:u w:val="none"/>
          <w:lang w:val="en-US" w:eastAsia="zh-CN" w:bidi="ar-SA"/>
        </w:rPr>
        <w:t>7</w:t>
      </w:r>
      <w:r>
        <w:rPr>
          <w:rFonts w:hint="eastAsia" w:ascii="宋体" w:hAnsi="宋体" w:eastAsia="宋体"/>
          <w:color w:val="auto"/>
          <w:kern w:val="2"/>
          <w:sz w:val="24"/>
          <w:szCs w:val="24"/>
          <w:highlight w:val="none"/>
          <w:u w:val="none"/>
          <w:lang w:val="en-US" w:eastAsia="zh-CN" w:bidi="ar-SA"/>
        </w:rPr>
        <w:t>折。</w:t>
      </w:r>
      <w:r>
        <w:rPr>
          <w:rFonts w:hint="eastAsia" w:ascii="宋体" w:hAnsi="宋体" w:eastAsia="宋体"/>
          <w:color w:val="000000"/>
          <w:kern w:val="2"/>
          <w:sz w:val="24"/>
          <w:szCs w:val="24"/>
          <w:highlight w:val="none"/>
          <w:u w:val="none"/>
          <w:lang w:val="en-US" w:eastAsia="zh-CN" w:bidi="ar-SA"/>
        </w:rPr>
        <w:t>由中标供应商领取中标通知书时向采购代理机构一次性付清。</w:t>
      </w:r>
    </w:p>
    <w:p>
      <w:pPr>
        <w:spacing w:line="360" w:lineRule="auto"/>
        <w:ind w:firstLine="480" w:firstLineChars="200"/>
        <w:outlineLvl w:val="0"/>
        <w:rPr>
          <w:rFonts w:ascii="宋体" w:hAnsi="宋体"/>
          <w:sz w:val="24"/>
          <w:highlight w:val="none"/>
        </w:rPr>
      </w:pPr>
      <w:r>
        <w:rPr>
          <w:rFonts w:hint="eastAsia" w:ascii="宋体" w:hAnsi="宋体"/>
          <w:sz w:val="24"/>
          <w:highlight w:val="none"/>
        </w:rPr>
        <w:t>（十五）政府采购履约担保</w:t>
      </w:r>
    </w:p>
    <w:p>
      <w:pPr>
        <w:spacing w:line="5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履约担保，是指由专业担保机构为中标供应商支付履约保证金的义务向采购人提供的保函担保。专业担保机构根据中标供应商的中标通知书为凭据，进行资信审查后出具保函, 中标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spacing w:line="5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中标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spacing w:line="500" w:lineRule="exact"/>
        <w:ind w:firstLine="480" w:firstLineChars="200"/>
        <w:rPr>
          <w:rFonts w:ascii="宋体" w:hAnsi="宋体" w:cs="宋体"/>
          <w:kern w:val="0"/>
          <w:sz w:val="24"/>
          <w:highlight w:val="none"/>
        </w:rPr>
      </w:pPr>
      <w:r>
        <w:rPr>
          <w:rFonts w:hint="eastAsia" w:ascii="宋体" w:hAnsi="宋体" w:cs="宋体"/>
          <w:kern w:val="0"/>
          <w:sz w:val="24"/>
          <w:highlight w:val="none"/>
        </w:rPr>
        <w:t>（十六）政府采购合同融资</w:t>
      </w:r>
    </w:p>
    <w:p>
      <w:pPr>
        <w:spacing w:line="5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根据无锡市《关于开展政府采购合同融资工作的通知》（锡财购〔2020〕17号）要求：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spacing w:line="5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中标、成交供应商可根据自身情况，自行决定是否选择采用合同融资形式，在无锡政府采购网——政采贷专栏提供的银行名录内自主选择合作银行。</w:t>
      </w:r>
    </w:p>
    <w:p>
      <w:pPr>
        <w:tabs>
          <w:tab w:val="left" w:pos="846"/>
          <w:tab w:val="left" w:pos="1050"/>
        </w:tabs>
        <w:spacing w:beforeLines="30" w:afterLines="30" w:line="360" w:lineRule="auto"/>
        <w:ind w:firstLine="600" w:firstLineChars="200"/>
        <w:jc w:val="center"/>
        <w:rPr>
          <w:rFonts w:ascii="宋体" w:hAnsi="宋体"/>
          <w:bCs/>
          <w:sz w:val="30"/>
          <w:szCs w:val="30"/>
          <w:highlight w:val="none"/>
        </w:rPr>
      </w:pPr>
    </w:p>
    <w:p>
      <w:pPr>
        <w:tabs>
          <w:tab w:val="left" w:pos="846"/>
          <w:tab w:val="left" w:pos="1050"/>
        </w:tabs>
        <w:spacing w:beforeLines="30" w:afterLines="30" w:line="360" w:lineRule="auto"/>
        <w:ind w:firstLine="600" w:firstLineChars="200"/>
        <w:jc w:val="center"/>
        <w:rPr>
          <w:rFonts w:ascii="宋体" w:hAnsi="宋体"/>
          <w:bCs/>
          <w:sz w:val="30"/>
          <w:szCs w:val="30"/>
          <w:highlight w:val="none"/>
        </w:rPr>
      </w:pPr>
    </w:p>
    <w:p>
      <w:pPr>
        <w:rPr>
          <w:rFonts w:ascii="宋体" w:hAnsi="宋体"/>
          <w:bCs/>
          <w:sz w:val="30"/>
          <w:szCs w:val="30"/>
          <w:highlight w:val="none"/>
        </w:rPr>
      </w:pPr>
      <w:r>
        <w:rPr>
          <w:rFonts w:ascii="宋体" w:hAnsi="宋体"/>
          <w:bCs/>
          <w:sz w:val="30"/>
          <w:szCs w:val="30"/>
          <w:highlight w:val="none"/>
        </w:rPr>
        <w:br w:type="page"/>
      </w:r>
    </w:p>
    <w:p>
      <w:pPr>
        <w:pStyle w:val="73"/>
        <w:ind w:firstLine="600"/>
        <w:rPr>
          <w:rFonts w:ascii="宋体" w:hAnsi="宋体"/>
          <w:bCs/>
          <w:sz w:val="30"/>
          <w:szCs w:val="30"/>
          <w:highlight w:val="none"/>
        </w:rPr>
      </w:pPr>
    </w:p>
    <w:p>
      <w:pPr>
        <w:numPr>
          <w:ilvl w:val="0"/>
          <w:numId w:val="15"/>
        </w:numPr>
        <w:tabs>
          <w:tab w:val="left" w:pos="846"/>
          <w:tab w:val="left" w:pos="1050"/>
        </w:tabs>
        <w:spacing w:beforeLines="30" w:afterLines="30" w:line="360" w:lineRule="auto"/>
        <w:ind w:firstLine="602" w:firstLineChars="200"/>
        <w:jc w:val="center"/>
        <w:rPr>
          <w:rFonts w:ascii="宋体" w:hAnsi="宋体"/>
          <w:b/>
          <w:color w:val="auto"/>
          <w:sz w:val="30"/>
          <w:szCs w:val="30"/>
          <w:highlight w:val="none"/>
        </w:rPr>
      </w:pPr>
      <w:r>
        <w:rPr>
          <w:rFonts w:hint="eastAsia" w:ascii="宋体" w:hAnsi="宋体"/>
          <w:b/>
          <w:color w:val="auto"/>
          <w:sz w:val="30"/>
          <w:szCs w:val="30"/>
          <w:highlight w:val="none"/>
        </w:rPr>
        <w:t>项目技术要求和有关说明</w:t>
      </w:r>
    </w:p>
    <w:p>
      <w:pPr>
        <w:pageBreakBefore w:val="0"/>
        <w:kinsoku/>
        <w:wordWrap/>
        <w:overflowPunct/>
        <w:topLinePunct w:val="0"/>
        <w:autoSpaceDN w:val="0"/>
        <w:bidi w:val="0"/>
        <w:spacing w:line="360" w:lineRule="auto"/>
        <w:textAlignment w:val="auto"/>
        <w:outlineLvl w:val="1"/>
        <w:rPr>
          <w:rFonts w:ascii="宋体" w:hAnsi="宋体" w:cs="宋体"/>
          <w:b/>
          <w:bCs/>
          <w:sz w:val="24"/>
          <w:highlight w:val="none"/>
        </w:rPr>
      </w:pPr>
      <w:bookmarkStart w:id="12" w:name="_Toc27773"/>
      <w:r>
        <w:rPr>
          <w:rFonts w:ascii="宋体" w:hAnsi="宋体" w:cs="宋体"/>
          <w:b/>
          <w:bCs/>
          <w:sz w:val="24"/>
          <w:highlight w:val="none"/>
        </w:rPr>
        <w:t>一、工作目标</w:t>
      </w:r>
      <w:bookmarkEnd w:id="12"/>
    </w:p>
    <w:p>
      <w:pPr>
        <w:pageBreakBefore w:val="0"/>
        <w:kinsoku/>
        <w:wordWrap/>
        <w:overflowPunct/>
        <w:topLinePunct w:val="0"/>
        <w:bidi w:val="0"/>
        <w:spacing w:line="360" w:lineRule="auto"/>
        <w:ind w:firstLine="480" w:firstLineChars="200"/>
        <w:textAlignment w:val="auto"/>
        <w:rPr>
          <w:rFonts w:ascii="宋体" w:hAnsi="宋体" w:cs="宋体"/>
          <w:kern w:val="0"/>
          <w:sz w:val="24"/>
          <w:highlight w:val="none"/>
        </w:rPr>
      </w:pPr>
      <w:bookmarkStart w:id="13" w:name="_Hlk62488640"/>
      <w:bookmarkStart w:id="14" w:name="_Hlk82679992"/>
      <w:r>
        <w:rPr>
          <w:rFonts w:ascii="宋体" w:hAnsi="宋体" w:cs="宋体"/>
          <w:kern w:val="0"/>
          <w:sz w:val="24"/>
          <w:highlight w:val="none"/>
        </w:rPr>
        <w:t>根据党中央、国务院关于开展第一次全国自然灾害综合风险普查工作的决策部署，按照《自然资源部办公厅关于印发&lt;地质灾害防治三年行动实施纲要&gt; 的通知》（自然资办发〔2020〕16号）等文件精神，为加快推进无锡市新吴区地质灾害风险普查工作，根据《第一次全国自然灾害综合风险普查总体方案》、《江苏省第一次全国自然灾害综合风险普查工作方案（试行）》，在江苏省低山丘陵区、隐伏岩溶区1：5万地质灾害详细调查工作的基础上，通过遥感调查、野外调查工作，全面摸清无锡市新吴区地质灾害风险底数，编制风险评价与区划系列图件，客观认识新吴区突发地质灾害风险综合防范水平，建立地质灾害风险调查空间数据库，为各级政府有效开展地质灾害防治和应急救援工作提供数据基础和保障。</w:t>
      </w:r>
      <w:bookmarkEnd w:id="13"/>
    </w:p>
    <w:bookmarkEnd w:id="14"/>
    <w:p>
      <w:pPr>
        <w:pageBreakBefore w:val="0"/>
        <w:kinsoku/>
        <w:wordWrap/>
        <w:overflowPunct/>
        <w:topLinePunct w:val="0"/>
        <w:autoSpaceDN w:val="0"/>
        <w:bidi w:val="0"/>
        <w:spacing w:line="360" w:lineRule="auto"/>
        <w:textAlignment w:val="auto"/>
        <w:outlineLvl w:val="1"/>
        <w:rPr>
          <w:rFonts w:ascii="宋体" w:hAnsi="宋体" w:cs="宋体"/>
          <w:b/>
          <w:bCs/>
          <w:sz w:val="24"/>
          <w:highlight w:val="none"/>
        </w:rPr>
      </w:pPr>
      <w:r>
        <w:rPr>
          <w:rFonts w:ascii="宋体" w:hAnsi="宋体" w:cs="宋体"/>
          <w:b/>
          <w:bCs/>
          <w:sz w:val="24"/>
          <w:highlight w:val="none"/>
        </w:rPr>
        <w:t>二、执行的标准</w:t>
      </w:r>
    </w:p>
    <w:p>
      <w:pPr>
        <w:pageBreakBefore w:val="0"/>
        <w:kinsoku/>
        <w:wordWrap/>
        <w:overflowPunct/>
        <w:topLinePunct w:val="0"/>
        <w:bidi w:val="0"/>
        <w:spacing w:line="360" w:lineRule="auto"/>
        <w:ind w:firstLine="480" w:firstLineChars="200"/>
        <w:textAlignment w:val="auto"/>
        <w:rPr>
          <w:rFonts w:ascii="宋体" w:hAnsi="宋体" w:cs="宋体"/>
          <w:kern w:val="0"/>
          <w:sz w:val="24"/>
          <w:highlight w:val="none"/>
        </w:rPr>
      </w:pPr>
      <w:bookmarkStart w:id="15" w:name="_Hlk82680180"/>
      <w:r>
        <w:rPr>
          <w:rFonts w:ascii="宋体" w:hAnsi="宋体" w:cs="宋体"/>
          <w:kern w:val="0"/>
          <w:sz w:val="24"/>
          <w:highlight w:val="none"/>
        </w:rPr>
        <w:t>1.自然资源部《地质灾害风险调查评价技术要求（1：50000）（试行）；</w:t>
      </w:r>
    </w:p>
    <w:p>
      <w:pPr>
        <w:pageBreakBefore w:val="0"/>
        <w:kinsoku/>
        <w:wordWrap/>
        <w:overflowPunct/>
        <w:topLinePunct w:val="0"/>
        <w:bidi w:val="0"/>
        <w:spacing w:line="360" w:lineRule="auto"/>
        <w:ind w:firstLine="480" w:firstLineChars="200"/>
        <w:textAlignment w:val="auto"/>
        <w:rPr>
          <w:rFonts w:hint="default" w:ascii="宋体" w:hAnsi="宋体" w:cs="宋体"/>
          <w:kern w:val="0"/>
          <w:sz w:val="24"/>
          <w:highlight w:val="none"/>
        </w:rPr>
      </w:pPr>
      <w:r>
        <w:rPr>
          <w:rFonts w:ascii="宋体" w:hAnsi="宋体" w:cs="宋体"/>
          <w:kern w:val="0"/>
          <w:sz w:val="24"/>
          <w:highlight w:val="none"/>
        </w:rPr>
        <w:t>2.江苏省自然资源厅《江苏省地质灾害风险普查实施方案》；</w:t>
      </w:r>
    </w:p>
    <w:p>
      <w:pPr>
        <w:pageBreakBefore w:val="0"/>
        <w:kinsoku/>
        <w:wordWrap/>
        <w:overflowPunct/>
        <w:topLinePunct w:val="0"/>
        <w:bidi w:val="0"/>
        <w:spacing w:line="360" w:lineRule="auto"/>
        <w:ind w:firstLine="480" w:firstLineChars="200"/>
        <w:textAlignment w:val="auto"/>
        <w:rPr>
          <w:rFonts w:ascii="宋体" w:hAnsi="宋体" w:cs="宋体"/>
          <w:kern w:val="0"/>
          <w:sz w:val="24"/>
          <w:highlight w:val="none"/>
        </w:rPr>
      </w:pPr>
      <w:r>
        <w:rPr>
          <w:rFonts w:ascii="宋体" w:hAnsi="宋体" w:cs="宋体"/>
          <w:kern w:val="0"/>
          <w:sz w:val="24"/>
          <w:highlight w:val="none"/>
        </w:rPr>
        <w:t>3</w:t>
      </w:r>
      <w:r>
        <w:rPr>
          <w:rFonts w:hint="default" w:ascii="宋体" w:hAnsi="宋体" w:cs="宋体"/>
          <w:kern w:val="0"/>
          <w:sz w:val="24"/>
          <w:highlight w:val="none"/>
        </w:rPr>
        <w:t>.</w:t>
      </w:r>
      <w:r>
        <w:rPr>
          <w:rFonts w:ascii="宋体" w:hAnsi="宋体" w:cs="宋体"/>
          <w:kern w:val="0"/>
          <w:sz w:val="24"/>
          <w:highlight w:val="none"/>
        </w:rPr>
        <w:t>地质灾害风险调查评价成果信息化技术要求（试行）。</w:t>
      </w:r>
    </w:p>
    <w:bookmarkEnd w:id="15"/>
    <w:p>
      <w:pPr>
        <w:pageBreakBefore w:val="0"/>
        <w:kinsoku/>
        <w:wordWrap/>
        <w:overflowPunct/>
        <w:topLinePunct w:val="0"/>
        <w:autoSpaceDN w:val="0"/>
        <w:bidi w:val="0"/>
        <w:spacing w:line="360" w:lineRule="auto"/>
        <w:textAlignment w:val="auto"/>
        <w:outlineLvl w:val="1"/>
        <w:rPr>
          <w:rFonts w:hint="default" w:ascii="宋体" w:hAnsi="宋体" w:cs="宋体"/>
          <w:b/>
          <w:bCs/>
          <w:sz w:val="24"/>
          <w:highlight w:val="none"/>
        </w:rPr>
      </w:pPr>
      <w:r>
        <w:rPr>
          <w:rFonts w:ascii="宋体" w:hAnsi="宋体" w:cs="宋体"/>
          <w:b/>
          <w:bCs/>
          <w:sz w:val="24"/>
          <w:highlight w:val="none"/>
        </w:rPr>
        <w:t>三、主要工作内容</w:t>
      </w:r>
    </w:p>
    <w:p>
      <w:pPr>
        <w:pageBreakBefore w:val="0"/>
        <w:kinsoku/>
        <w:wordWrap/>
        <w:overflowPunct/>
        <w:topLinePunct w:val="0"/>
        <w:bidi w:val="0"/>
        <w:spacing w:line="360" w:lineRule="auto"/>
        <w:ind w:firstLine="480" w:firstLineChars="200"/>
        <w:textAlignment w:val="auto"/>
        <w:rPr>
          <w:rFonts w:ascii="宋体" w:hAnsi="宋体" w:cs="宋体"/>
          <w:kern w:val="0"/>
          <w:sz w:val="24"/>
          <w:highlight w:val="none"/>
        </w:rPr>
      </w:pPr>
      <w:bookmarkStart w:id="16" w:name="_Hlk82680045"/>
      <w:r>
        <w:rPr>
          <w:rFonts w:ascii="宋体" w:hAnsi="宋体" w:cs="宋体"/>
          <w:kern w:val="0"/>
          <w:sz w:val="24"/>
          <w:highlight w:val="none"/>
        </w:rPr>
        <w:t>普查内容主要包括地质灾害致灾调查与评估、承灾体调查、历史地质灾害调查与综合减灾能力调查、地质灾害风险评估与区划、数据库建设等内容。</w:t>
      </w:r>
    </w:p>
    <w:p>
      <w:pPr>
        <w:keepNext/>
        <w:keepLines/>
        <w:pageBreakBefore w:val="0"/>
        <w:kinsoku/>
        <w:wordWrap/>
        <w:overflowPunct/>
        <w:topLinePunct w:val="0"/>
        <w:bidi w:val="0"/>
        <w:spacing w:before="120" w:beforeLines="50" w:after="120" w:afterLines="50" w:line="360" w:lineRule="auto"/>
        <w:ind w:firstLine="482" w:firstLineChars="200"/>
        <w:textAlignment w:val="auto"/>
        <w:outlineLvl w:val="2"/>
        <w:rPr>
          <w:rFonts w:ascii="Times New Roman" w:hAnsi="Times New Roman"/>
          <w:b/>
          <w:bCs/>
          <w:sz w:val="24"/>
          <w:szCs w:val="32"/>
          <w:highlight w:val="none"/>
        </w:rPr>
      </w:pPr>
      <w:bookmarkStart w:id="17" w:name="_Toc527"/>
      <w:bookmarkStart w:id="18" w:name="_Toc11833"/>
      <w:r>
        <w:rPr>
          <w:rFonts w:ascii="Times New Roman" w:hAnsi="Times New Roman"/>
          <w:b/>
          <w:bCs/>
          <w:sz w:val="24"/>
          <w:szCs w:val="32"/>
          <w:highlight w:val="none"/>
        </w:rPr>
        <w:t>（一）基础资料收集</w:t>
      </w:r>
      <w:bookmarkEnd w:id="17"/>
      <w:bookmarkEnd w:id="18"/>
    </w:p>
    <w:p>
      <w:pPr>
        <w:pageBreakBefore w:val="0"/>
        <w:kinsoku/>
        <w:wordWrap/>
        <w:overflowPunct/>
        <w:topLinePunct w:val="0"/>
        <w:bidi w:val="0"/>
        <w:adjustRightInd w:val="0"/>
        <w:snapToGrid w:val="0"/>
        <w:spacing w:line="360" w:lineRule="auto"/>
        <w:ind w:firstLine="480" w:firstLineChars="200"/>
        <w:jc w:val="left"/>
        <w:textAlignment w:val="auto"/>
        <w:rPr>
          <w:rFonts w:ascii="Times New Roman" w:hAnsi="Times New Roman"/>
          <w:sz w:val="24"/>
          <w:szCs w:val="24"/>
          <w:highlight w:val="none"/>
        </w:rPr>
      </w:pPr>
      <w:r>
        <w:rPr>
          <w:rFonts w:ascii="Times New Roman" w:hAnsi="Times New Roman"/>
          <w:sz w:val="24"/>
          <w:szCs w:val="24"/>
          <w:highlight w:val="none"/>
        </w:rPr>
        <w:t>收集江苏省低山丘陵、隐伏岩溶区1：5万地质灾害详细调查等项目资料，以及历年地质灾害发生资料，隐患点排查、核查、巡查和应急调查报告等成果资料。充分收集新吴区的地形、气象、水文、地层岩性等资料，为获取工程地质岩组、地质构造、气象等孕灾地质条件信息奠定基础。</w:t>
      </w:r>
    </w:p>
    <w:p>
      <w:pPr>
        <w:keepNext/>
        <w:keepLines/>
        <w:pageBreakBefore w:val="0"/>
        <w:kinsoku/>
        <w:wordWrap/>
        <w:overflowPunct/>
        <w:topLinePunct w:val="0"/>
        <w:bidi w:val="0"/>
        <w:spacing w:before="120" w:beforeLines="50" w:after="120" w:afterLines="50" w:line="360" w:lineRule="auto"/>
        <w:ind w:firstLine="482" w:firstLineChars="200"/>
        <w:textAlignment w:val="auto"/>
        <w:outlineLvl w:val="2"/>
        <w:rPr>
          <w:rFonts w:ascii="Times New Roman" w:hAnsi="Times New Roman"/>
          <w:b/>
          <w:bCs/>
          <w:sz w:val="24"/>
          <w:szCs w:val="32"/>
          <w:highlight w:val="none"/>
        </w:rPr>
      </w:pPr>
      <w:r>
        <w:rPr>
          <w:rFonts w:ascii="Times New Roman" w:hAnsi="Times New Roman"/>
          <w:b/>
          <w:bCs/>
          <w:sz w:val="24"/>
          <w:szCs w:val="32"/>
          <w:highlight w:val="none"/>
        </w:rPr>
        <w:t>（二）野外核查与补充调查</w:t>
      </w:r>
    </w:p>
    <w:p>
      <w:pPr>
        <w:pageBreakBefore w:val="0"/>
        <w:kinsoku/>
        <w:wordWrap/>
        <w:overflowPunct/>
        <w:topLinePunct w:val="0"/>
        <w:bidi w:val="0"/>
        <w:adjustRightInd w:val="0"/>
        <w:snapToGrid w:val="0"/>
        <w:spacing w:line="360" w:lineRule="auto"/>
        <w:ind w:firstLine="480" w:firstLineChars="200"/>
        <w:textAlignment w:val="auto"/>
        <w:rPr>
          <w:rFonts w:ascii="Times New Roman" w:hAnsi="Times New Roman"/>
          <w:sz w:val="24"/>
          <w:szCs w:val="24"/>
          <w:highlight w:val="none"/>
          <w:lang w:bidi="en-US"/>
        </w:rPr>
      </w:pPr>
      <w:r>
        <w:rPr>
          <w:rFonts w:ascii="Times New Roman" w:hAnsi="Times New Roman"/>
          <w:sz w:val="24"/>
          <w:szCs w:val="24"/>
          <w:highlight w:val="none"/>
          <w:lang w:bidi="en-US"/>
        </w:rPr>
        <w:t>对利用现有成果转化初步形成的地质灾害数据库以及遥感解译的成果进行野外核查修正，同时补充调查承灾体信息，更新地质灾害数据库。</w:t>
      </w:r>
    </w:p>
    <w:p>
      <w:pPr>
        <w:keepNext/>
        <w:keepLines/>
        <w:pageBreakBefore w:val="0"/>
        <w:kinsoku/>
        <w:wordWrap/>
        <w:overflowPunct/>
        <w:topLinePunct w:val="0"/>
        <w:bidi w:val="0"/>
        <w:spacing w:before="120" w:beforeLines="50" w:after="120" w:afterLines="50" w:line="360" w:lineRule="auto"/>
        <w:ind w:firstLine="482" w:firstLineChars="200"/>
        <w:textAlignment w:val="auto"/>
        <w:outlineLvl w:val="2"/>
        <w:rPr>
          <w:rFonts w:ascii="Times New Roman" w:hAnsi="Times New Roman"/>
          <w:b/>
          <w:bCs/>
          <w:sz w:val="24"/>
          <w:szCs w:val="32"/>
          <w:highlight w:val="none"/>
        </w:rPr>
      </w:pPr>
      <w:bookmarkStart w:id="19" w:name="_Toc3438"/>
      <w:bookmarkStart w:id="20" w:name="_Toc20943"/>
      <w:r>
        <w:rPr>
          <w:rFonts w:ascii="Times New Roman" w:hAnsi="Times New Roman"/>
          <w:b/>
          <w:bCs/>
          <w:sz w:val="24"/>
          <w:szCs w:val="32"/>
          <w:highlight w:val="none"/>
        </w:rPr>
        <w:t>（三）地质灾害风险评价</w:t>
      </w:r>
      <w:bookmarkEnd w:id="19"/>
      <w:bookmarkEnd w:id="20"/>
      <w:r>
        <w:rPr>
          <w:rFonts w:ascii="Times New Roman" w:hAnsi="Times New Roman"/>
          <w:b/>
          <w:bCs/>
          <w:sz w:val="24"/>
          <w:szCs w:val="32"/>
          <w:highlight w:val="none"/>
        </w:rPr>
        <w:t>与区划</w:t>
      </w:r>
    </w:p>
    <w:p>
      <w:pPr>
        <w:pageBreakBefore w:val="0"/>
        <w:kinsoku/>
        <w:wordWrap/>
        <w:overflowPunct/>
        <w:topLinePunct w:val="0"/>
        <w:bidi w:val="0"/>
        <w:adjustRightInd w:val="0"/>
        <w:snapToGrid w:val="0"/>
        <w:spacing w:line="360" w:lineRule="auto"/>
        <w:ind w:firstLine="480" w:firstLineChars="200"/>
        <w:textAlignment w:val="auto"/>
        <w:rPr>
          <w:rFonts w:ascii="Times New Roman" w:hAnsi="Times New Roman"/>
          <w:sz w:val="24"/>
          <w:szCs w:val="24"/>
          <w:highlight w:val="none"/>
          <w:lang w:bidi="en-US"/>
        </w:rPr>
      </w:pPr>
      <w:r>
        <w:rPr>
          <w:rFonts w:ascii="Times New Roman" w:hAnsi="Times New Roman"/>
          <w:sz w:val="24"/>
          <w:szCs w:val="24"/>
          <w:highlight w:val="none"/>
          <w:lang w:bidi="en-US"/>
        </w:rPr>
        <w:t>参照《地质灾害风险调查评价技术要求（1:50000）》的相关要求，采用定性与定量相结合的方法开展地质灾害风险评价与区划。</w:t>
      </w:r>
    </w:p>
    <w:p>
      <w:pPr>
        <w:keepNext/>
        <w:keepLines/>
        <w:pageBreakBefore w:val="0"/>
        <w:kinsoku/>
        <w:wordWrap/>
        <w:overflowPunct/>
        <w:topLinePunct w:val="0"/>
        <w:bidi w:val="0"/>
        <w:spacing w:before="120" w:beforeLines="50" w:after="120" w:afterLines="50" w:line="360" w:lineRule="auto"/>
        <w:ind w:firstLine="482" w:firstLineChars="200"/>
        <w:textAlignment w:val="auto"/>
        <w:outlineLvl w:val="2"/>
        <w:rPr>
          <w:rFonts w:ascii="Times New Roman" w:hAnsi="Times New Roman"/>
          <w:b/>
          <w:bCs/>
          <w:sz w:val="24"/>
          <w:szCs w:val="32"/>
          <w:highlight w:val="none"/>
        </w:rPr>
      </w:pPr>
      <w:bookmarkStart w:id="21" w:name="_Toc18626"/>
      <w:bookmarkStart w:id="22" w:name="_Toc23177"/>
      <w:r>
        <w:rPr>
          <w:rFonts w:ascii="Times New Roman" w:hAnsi="Times New Roman"/>
          <w:b/>
          <w:bCs/>
          <w:sz w:val="24"/>
          <w:szCs w:val="32"/>
          <w:highlight w:val="none"/>
        </w:rPr>
        <w:t>（四）成果编制</w:t>
      </w:r>
      <w:bookmarkEnd w:id="21"/>
      <w:bookmarkEnd w:id="22"/>
    </w:p>
    <w:p>
      <w:pPr>
        <w:pageBreakBefore w:val="0"/>
        <w:kinsoku/>
        <w:wordWrap/>
        <w:overflowPunct/>
        <w:topLinePunct w:val="0"/>
        <w:bidi w:val="0"/>
        <w:adjustRightInd w:val="0"/>
        <w:snapToGrid w:val="0"/>
        <w:spacing w:line="360" w:lineRule="auto"/>
        <w:ind w:firstLine="480" w:firstLineChars="200"/>
        <w:textAlignment w:val="auto"/>
        <w:rPr>
          <w:rFonts w:ascii="Times New Roman" w:hAnsi="Times New Roman"/>
          <w:sz w:val="24"/>
          <w:szCs w:val="24"/>
          <w:highlight w:val="none"/>
          <w:lang w:bidi="en-US"/>
        </w:rPr>
      </w:pPr>
      <w:r>
        <w:rPr>
          <w:rFonts w:ascii="Times New Roman" w:hAnsi="Times New Roman"/>
          <w:sz w:val="24"/>
          <w:szCs w:val="24"/>
          <w:highlight w:val="none"/>
          <w:lang w:bidi="en-US"/>
        </w:rPr>
        <w:t>根据新吴区孕灾地质条件、承灾体易损性评价、地质灾害风险评价与区划成果，编写《江苏省无锡市新吴区地质灾害风险普查成果报告》。在分析研究已有成果和最新调查资料的基础上编制图件，坐标系采用2000国家大地坐标系，编制地质灾害调查实际材料图、孕灾地质条件图、地质灾害及隐患分布图、地质灾害易发性分区图、地质灾害危险性评价图和地质灾害风险评价图，比例尺不小于1:50000。同时提交新吴区</w:t>
      </w:r>
      <w:r>
        <w:rPr>
          <w:rFonts w:ascii="Times New Roman" w:hAnsi="Times New Roman"/>
          <w:kern w:val="0"/>
          <w:sz w:val="24"/>
          <w:szCs w:val="24"/>
          <w:highlight w:val="none"/>
        </w:rPr>
        <w:t>地质灾害风险普查数据库。</w:t>
      </w:r>
    </w:p>
    <w:p>
      <w:pPr>
        <w:pageBreakBefore w:val="0"/>
        <w:kinsoku/>
        <w:wordWrap/>
        <w:overflowPunct/>
        <w:topLinePunct w:val="0"/>
        <w:autoSpaceDN w:val="0"/>
        <w:bidi w:val="0"/>
        <w:spacing w:line="360" w:lineRule="auto"/>
        <w:textAlignment w:val="auto"/>
        <w:outlineLvl w:val="1"/>
        <w:rPr>
          <w:rFonts w:ascii="宋体" w:hAnsi="宋体" w:cs="宋体"/>
          <w:b/>
          <w:bCs/>
          <w:sz w:val="24"/>
          <w:highlight w:val="none"/>
        </w:rPr>
      </w:pPr>
      <w:r>
        <w:rPr>
          <w:rFonts w:ascii="宋体" w:hAnsi="宋体" w:cs="宋体"/>
          <w:b/>
          <w:bCs/>
          <w:sz w:val="24"/>
          <w:highlight w:val="none"/>
        </w:rPr>
        <w:t>四、工作精度要求</w:t>
      </w:r>
    </w:p>
    <w:p>
      <w:pPr>
        <w:pageBreakBefore w:val="0"/>
        <w:kinsoku/>
        <w:wordWrap/>
        <w:overflowPunct/>
        <w:topLinePunct w:val="0"/>
        <w:bidi w:val="0"/>
        <w:spacing w:line="360" w:lineRule="auto"/>
        <w:ind w:firstLine="480" w:firstLineChars="200"/>
        <w:textAlignment w:val="auto"/>
        <w:rPr>
          <w:rFonts w:ascii="宋体" w:hAnsi="宋体" w:cs="宋体"/>
          <w:kern w:val="0"/>
          <w:sz w:val="24"/>
          <w:highlight w:val="none"/>
        </w:rPr>
      </w:pPr>
      <w:r>
        <w:rPr>
          <w:rFonts w:ascii="宋体" w:hAnsi="宋体" w:cs="宋体"/>
          <w:kern w:val="0"/>
          <w:sz w:val="24"/>
          <w:highlight w:val="none"/>
        </w:rPr>
        <w:t>本次地质灾害风险普查工作精度为1:50000，在充分收集县（市、区）农村山区地质灾害调查等成果基础上，采用地面调查等手段按照一般调查区精度要求开展补充调查；承灾体调查要充分利用应急等部门提供的数据资料，进行适当复核调查。</w:t>
      </w:r>
    </w:p>
    <w:p>
      <w:pPr>
        <w:pageBreakBefore w:val="0"/>
        <w:kinsoku/>
        <w:wordWrap/>
        <w:overflowPunct/>
        <w:topLinePunct w:val="0"/>
        <w:autoSpaceDN w:val="0"/>
        <w:bidi w:val="0"/>
        <w:spacing w:line="360" w:lineRule="auto"/>
        <w:textAlignment w:val="auto"/>
        <w:outlineLvl w:val="1"/>
        <w:rPr>
          <w:rFonts w:ascii="宋体" w:hAnsi="宋体" w:cs="宋体"/>
          <w:b/>
          <w:bCs/>
          <w:sz w:val="24"/>
          <w:highlight w:val="none"/>
        </w:rPr>
      </w:pPr>
      <w:r>
        <w:rPr>
          <w:rFonts w:ascii="宋体" w:hAnsi="宋体" w:cs="宋体"/>
          <w:b/>
          <w:bCs/>
          <w:sz w:val="24"/>
          <w:highlight w:val="none"/>
        </w:rPr>
        <w:t>五、工作方法</w:t>
      </w:r>
    </w:p>
    <w:p>
      <w:pPr>
        <w:pageBreakBefore w:val="0"/>
        <w:kinsoku/>
        <w:wordWrap/>
        <w:overflowPunct/>
        <w:topLinePunct w:val="0"/>
        <w:bidi w:val="0"/>
        <w:spacing w:line="360" w:lineRule="auto"/>
        <w:ind w:firstLine="480" w:firstLineChars="200"/>
        <w:textAlignment w:val="auto"/>
        <w:rPr>
          <w:rFonts w:ascii="宋体" w:hAnsi="宋体" w:cs="宋体"/>
          <w:kern w:val="0"/>
          <w:sz w:val="24"/>
          <w:highlight w:val="none"/>
        </w:rPr>
      </w:pPr>
      <w:bookmarkStart w:id="23" w:name="_Toc21084212"/>
      <w:bookmarkStart w:id="24" w:name="_Toc20755232"/>
      <w:bookmarkStart w:id="25" w:name="_Toc15902541"/>
      <w:bookmarkStart w:id="26" w:name="_Toc15908309"/>
      <w:bookmarkStart w:id="27" w:name="_Toc5237643"/>
      <w:bookmarkStart w:id="28" w:name="_Toc2465"/>
      <w:bookmarkStart w:id="29" w:name="_Toc11380"/>
      <w:bookmarkStart w:id="30" w:name="_Toc29635"/>
      <w:bookmarkStart w:id="31" w:name="_Toc32070910"/>
      <w:bookmarkStart w:id="32" w:name="_Toc27183"/>
      <w:bookmarkStart w:id="33" w:name="_Toc24084"/>
      <w:bookmarkStart w:id="34" w:name="_Toc6087"/>
      <w:bookmarkStart w:id="35" w:name="_Toc15922343"/>
      <w:bookmarkStart w:id="36" w:name="_Toc25063380"/>
      <w:bookmarkStart w:id="37" w:name="_Toc28244"/>
      <w:bookmarkStart w:id="38" w:name="_Toc20757437"/>
      <w:bookmarkStart w:id="39" w:name="_Toc6840567"/>
      <w:bookmarkStart w:id="40" w:name="_Toc532496268"/>
      <w:r>
        <w:rPr>
          <w:rFonts w:ascii="宋体" w:hAnsi="宋体" w:cs="宋体"/>
          <w:kern w:val="0"/>
          <w:sz w:val="24"/>
          <w:highlight w:val="none"/>
        </w:rPr>
        <w:t>本次风险普查以收编与补充调查为主。</w:t>
      </w:r>
    </w:p>
    <w:p>
      <w:pPr>
        <w:pageBreakBefore w:val="0"/>
        <w:kinsoku/>
        <w:wordWrap/>
        <w:overflowPunct/>
        <w:topLinePunct w:val="0"/>
        <w:bidi w:val="0"/>
        <w:spacing w:line="360" w:lineRule="auto"/>
        <w:ind w:firstLine="480" w:firstLineChars="200"/>
        <w:textAlignment w:val="auto"/>
        <w:rPr>
          <w:rFonts w:ascii="宋体" w:hAnsi="宋体" w:cs="宋体"/>
          <w:kern w:val="0"/>
          <w:sz w:val="24"/>
          <w:highlight w:val="none"/>
        </w:rPr>
      </w:pPr>
      <w:r>
        <w:rPr>
          <w:rFonts w:ascii="宋体" w:hAnsi="宋体" w:cs="宋体"/>
          <w:kern w:val="0"/>
          <w:sz w:val="24"/>
          <w:highlight w:val="none"/>
        </w:rPr>
        <w:t>1、资料收集与分析</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pageBreakBefore w:val="0"/>
        <w:kinsoku/>
        <w:wordWrap/>
        <w:overflowPunct/>
        <w:topLinePunct w:val="0"/>
        <w:bidi w:val="0"/>
        <w:spacing w:line="360" w:lineRule="auto"/>
        <w:ind w:firstLine="480" w:firstLineChars="200"/>
        <w:textAlignment w:val="auto"/>
        <w:rPr>
          <w:rFonts w:ascii="宋体" w:hAnsi="宋体" w:cs="宋体"/>
          <w:kern w:val="0"/>
          <w:sz w:val="24"/>
          <w:highlight w:val="none"/>
        </w:rPr>
      </w:pPr>
      <w:r>
        <w:rPr>
          <w:rFonts w:ascii="宋体" w:hAnsi="宋体" w:cs="宋体"/>
          <w:kern w:val="0"/>
          <w:sz w:val="24"/>
          <w:highlight w:val="none"/>
        </w:rPr>
        <w:t>充分收集利用已有地质灾害调查、监测、防治及与地质灾害相关的气象、水文、地质、规划等资料，初步分析调查区地质灾害发育分布状况、形成条件与诱发因素。</w:t>
      </w:r>
    </w:p>
    <w:p>
      <w:pPr>
        <w:pageBreakBefore w:val="0"/>
        <w:kinsoku/>
        <w:wordWrap/>
        <w:overflowPunct/>
        <w:topLinePunct w:val="0"/>
        <w:bidi w:val="0"/>
        <w:spacing w:line="360" w:lineRule="auto"/>
        <w:ind w:firstLine="480" w:firstLineChars="200"/>
        <w:textAlignment w:val="auto"/>
        <w:rPr>
          <w:rFonts w:ascii="宋体" w:hAnsi="宋体" w:cs="宋体"/>
          <w:kern w:val="0"/>
          <w:sz w:val="24"/>
          <w:highlight w:val="none"/>
        </w:rPr>
      </w:pPr>
      <w:bookmarkStart w:id="41" w:name="_Toc32070912"/>
      <w:bookmarkStart w:id="42" w:name="_Toc477384058"/>
      <w:bookmarkStart w:id="43" w:name="_Toc8394"/>
      <w:bookmarkStart w:id="44" w:name="_Toc484962044"/>
      <w:bookmarkStart w:id="45" w:name="_Toc512522179"/>
      <w:bookmarkStart w:id="46" w:name="_Toc501308113"/>
      <w:bookmarkStart w:id="47" w:name="_Toc478844180"/>
      <w:bookmarkStart w:id="48" w:name="_Toc477386844"/>
      <w:bookmarkStart w:id="49" w:name="_Toc496736898"/>
      <w:bookmarkStart w:id="50" w:name="_Toc495760323"/>
      <w:bookmarkStart w:id="51" w:name="_Toc30333"/>
      <w:bookmarkStart w:id="52" w:name="_Toc15908311"/>
      <w:bookmarkStart w:id="53" w:name="_Toc508980045"/>
      <w:bookmarkStart w:id="54" w:name="_Toc21980"/>
      <w:bookmarkStart w:id="55" w:name="_Toc1593434"/>
      <w:bookmarkStart w:id="56" w:name="_Toc21084214"/>
      <w:bookmarkStart w:id="57" w:name="_Toc478844943"/>
      <w:bookmarkStart w:id="58" w:name="_Toc25063382"/>
      <w:bookmarkStart w:id="59" w:name="_Toc20757439"/>
      <w:bookmarkStart w:id="60" w:name="_Toc23806"/>
      <w:bookmarkStart w:id="61" w:name="_Toc25867"/>
      <w:bookmarkStart w:id="62" w:name="_Toc5222385"/>
      <w:bookmarkStart w:id="63" w:name="_Toc530411572"/>
      <w:bookmarkStart w:id="64" w:name="_Toc484962640"/>
      <w:bookmarkStart w:id="65" w:name="_Toc20755234"/>
      <w:bookmarkStart w:id="66" w:name="_Toc6840569"/>
      <w:bookmarkStart w:id="67" w:name="_Toc19779"/>
      <w:bookmarkStart w:id="68" w:name="_Toc477383801"/>
      <w:bookmarkStart w:id="69" w:name="_Toc15922345"/>
      <w:bookmarkStart w:id="70" w:name="_Toc478840633"/>
      <w:bookmarkStart w:id="71" w:name="_Toc478841536"/>
      <w:bookmarkStart w:id="72" w:name="_Toc15902543"/>
      <w:bookmarkStart w:id="73" w:name="_Toc478341751"/>
      <w:bookmarkStart w:id="74" w:name="_Toc511119560"/>
      <w:bookmarkStart w:id="75" w:name="_Toc524723843"/>
      <w:bookmarkStart w:id="76" w:name="_Toc501294561"/>
      <w:bookmarkStart w:id="77" w:name="_Toc5237645"/>
      <w:bookmarkStart w:id="78" w:name="_Toc478367250"/>
      <w:bookmarkStart w:id="79" w:name="_Toc23550"/>
      <w:r>
        <w:rPr>
          <w:rFonts w:hint="default" w:ascii="宋体" w:hAnsi="宋体" w:cs="宋体"/>
          <w:kern w:val="0"/>
          <w:sz w:val="24"/>
          <w:highlight w:val="none"/>
        </w:rPr>
        <w:t>2</w:t>
      </w:r>
      <w:r>
        <w:rPr>
          <w:rFonts w:ascii="宋体" w:hAnsi="宋体" w:cs="宋体"/>
          <w:kern w:val="0"/>
          <w:sz w:val="24"/>
          <w:highlight w:val="none"/>
        </w:rPr>
        <w:t>、地面调查</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ascii="宋体" w:hAnsi="宋体" w:cs="宋体"/>
          <w:kern w:val="0"/>
          <w:sz w:val="24"/>
          <w:highlight w:val="none"/>
        </w:rPr>
        <w:t>（核查）</w:t>
      </w:r>
    </w:p>
    <w:p>
      <w:pPr>
        <w:pageBreakBefore w:val="0"/>
        <w:kinsoku/>
        <w:wordWrap/>
        <w:overflowPunct/>
        <w:topLinePunct w:val="0"/>
        <w:bidi w:val="0"/>
        <w:spacing w:line="360" w:lineRule="auto"/>
        <w:ind w:firstLine="480" w:firstLineChars="200"/>
        <w:textAlignment w:val="auto"/>
        <w:rPr>
          <w:rFonts w:hint="default" w:ascii="宋体" w:hAnsi="宋体" w:cs="宋体"/>
          <w:kern w:val="0"/>
          <w:sz w:val="24"/>
          <w:highlight w:val="none"/>
        </w:rPr>
      </w:pPr>
      <w:r>
        <w:rPr>
          <w:rFonts w:ascii="宋体" w:hAnsi="宋体" w:cs="宋体"/>
          <w:kern w:val="0"/>
          <w:sz w:val="24"/>
          <w:highlight w:val="none"/>
        </w:rPr>
        <w:t>孕灾地质条件调查宜采用追索法及穿越法，应按照调查精度要求布设调查线路和控制点，查明调查区孕灾地质条件和地质灾害特征。在野外调查过程中，原则上滑坡调查点定在滑坡后缘中部，泥石流调查点定在堆积扇扇顶，崩塌调查点定在崩塌（危岩体）前缘，地面塌陷调查点定在塌陷坑的周缘。</w:t>
      </w:r>
    </w:p>
    <w:p>
      <w:pPr>
        <w:pageBreakBefore w:val="0"/>
        <w:kinsoku/>
        <w:wordWrap/>
        <w:overflowPunct/>
        <w:topLinePunct w:val="0"/>
        <w:bidi w:val="0"/>
        <w:spacing w:line="360" w:lineRule="auto"/>
        <w:ind w:firstLine="480" w:firstLineChars="200"/>
        <w:textAlignment w:val="auto"/>
        <w:rPr>
          <w:rFonts w:ascii="宋体" w:hAnsi="宋体" w:cs="宋体"/>
          <w:kern w:val="0"/>
          <w:sz w:val="24"/>
          <w:highlight w:val="none"/>
        </w:rPr>
      </w:pPr>
      <w:r>
        <w:rPr>
          <w:rFonts w:hint="default" w:ascii="宋体" w:hAnsi="宋体" w:cs="宋体"/>
          <w:kern w:val="0"/>
          <w:sz w:val="24"/>
          <w:highlight w:val="none"/>
        </w:rPr>
        <w:t>3</w:t>
      </w:r>
      <w:r>
        <w:rPr>
          <w:rFonts w:ascii="宋体" w:hAnsi="宋体" w:cs="宋体"/>
          <w:kern w:val="0"/>
          <w:sz w:val="24"/>
          <w:highlight w:val="none"/>
        </w:rPr>
        <w:t>.工程辅助手段</w:t>
      </w:r>
    </w:p>
    <w:p>
      <w:pPr>
        <w:pageBreakBefore w:val="0"/>
        <w:kinsoku/>
        <w:wordWrap/>
        <w:overflowPunct/>
        <w:topLinePunct w:val="0"/>
        <w:bidi w:val="0"/>
        <w:spacing w:line="360" w:lineRule="auto"/>
        <w:ind w:firstLine="480" w:firstLineChars="200"/>
        <w:textAlignment w:val="auto"/>
        <w:rPr>
          <w:rFonts w:ascii="宋体" w:hAnsi="宋体" w:cs="宋体"/>
          <w:kern w:val="0"/>
          <w:sz w:val="24"/>
          <w:highlight w:val="none"/>
        </w:rPr>
      </w:pPr>
      <w:r>
        <w:rPr>
          <w:rFonts w:ascii="宋体" w:hAnsi="宋体" w:cs="宋体"/>
          <w:kern w:val="0"/>
          <w:sz w:val="24"/>
          <w:highlight w:val="none"/>
        </w:rPr>
        <w:t>本次风险普查以收编与补充调查为主，必要时可适当采用物探、钻探、槽探等工程措施辅助调查。</w:t>
      </w:r>
    </w:p>
    <w:p>
      <w:pPr>
        <w:pageBreakBefore w:val="0"/>
        <w:kinsoku/>
        <w:wordWrap/>
        <w:overflowPunct/>
        <w:topLinePunct w:val="0"/>
        <w:autoSpaceDN w:val="0"/>
        <w:bidi w:val="0"/>
        <w:spacing w:line="360" w:lineRule="auto"/>
        <w:textAlignment w:val="auto"/>
        <w:outlineLvl w:val="1"/>
        <w:rPr>
          <w:rFonts w:hint="default" w:ascii="宋体" w:hAnsi="宋体" w:cs="宋体"/>
          <w:b/>
          <w:bCs/>
          <w:sz w:val="24"/>
          <w:highlight w:val="none"/>
        </w:rPr>
      </w:pPr>
      <w:r>
        <w:rPr>
          <w:rFonts w:ascii="宋体" w:hAnsi="宋体" w:cs="宋体"/>
          <w:b/>
          <w:bCs/>
          <w:sz w:val="24"/>
          <w:highlight w:val="none"/>
        </w:rPr>
        <w:t>六、提交成果</w:t>
      </w:r>
    </w:p>
    <w:p>
      <w:pPr>
        <w:pageBreakBefore w:val="0"/>
        <w:kinsoku/>
        <w:wordWrap/>
        <w:overflowPunct/>
        <w:topLinePunct w:val="0"/>
        <w:bidi w:val="0"/>
        <w:spacing w:line="360" w:lineRule="auto"/>
        <w:ind w:firstLine="480" w:firstLineChars="200"/>
        <w:textAlignment w:val="auto"/>
        <w:rPr>
          <w:rFonts w:ascii="宋体" w:hAnsi="宋体" w:cs="宋体"/>
          <w:kern w:val="0"/>
          <w:sz w:val="24"/>
          <w:highlight w:val="none"/>
        </w:rPr>
      </w:pPr>
      <w:r>
        <w:rPr>
          <w:rFonts w:ascii="宋体" w:hAnsi="宋体" w:cs="宋体"/>
          <w:kern w:val="0"/>
          <w:sz w:val="24"/>
          <w:highlight w:val="none"/>
        </w:rPr>
        <w:t>内容主要包括调查数据类成果、图件类成果、文字报告类成果以及验收、质量审核意见。图件应按照《地质灾害风险调查评估编图技术要求》编制。</w:t>
      </w:r>
    </w:p>
    <w:p>
      <w:pPr>
        <w:pageBreakBefore w:val="0"/>
        <w:numPr>
          <w:ilvl w:val="0"/>
          <w:numId w:val="16"/>
        </w:numPr>
        <w:kinsoku/>
        <w:wordWrap/>
        <w:overflowPunct/>
        <w:topLinePunct w:val="0"/>
        <w:bidi w:val="0"/>
        <w:spacing w:line="360" w:lineRule="auto"/>
        <w:ind w:firstLine="480" w:firstLineChars="200"/>
        <w:textAlignment w:val="auto"/>
        <w:rPr>
          <w:sz w:val="24"/>
          <w:szCs w:val="22"/>
          <w:highlight w:val="none"/>
          <w:lang w:bidi="en-US"/>
        </w:rPr>
      </w:pPr>
      <w:r>
        <w:rPr>
          <w:sz w:val="24"/>
          <w:szCs w:val="22"/>
          <w:highlight w:val="none"/>
        </w:rPr>
        <w:t>成果报告：</w:t>
      </w:r>
      <w:r>
        <w:rPr>
          <w:sz w:val="24"/>
          <w:szCs w:val="22"/>
          <w:highlight w:val="none"/>
          <w:lang w:bidi="en-US"/>
        </w:rPr>
        <w:t>江苏省无锡市新吴区地质灾害风险普查成果报告</w:t>
      </w:r>
    </w:p>
    <w:p>
      <w:pPr>
        <w:pStyle w:val="15"/>
        <w:pageBreakBefore w:val="0"/>
        <w:numPr>
          <w:ilvl w:val="0"/>
          <w:numId w:val="16"/>
        </w:numPr>
        <w:kinsoku/>
        <w:wordWrap/>
        <w:overflowPunct/>
        <w:topLinePunct w:val="0"/>
        <w:bidi w:val="0"/>
        <w:spacing w:line="360" w:lineRule="auto"/>
        <w:textAlignment w:val="auto"/>
        <w:rPr>
          <w:rFonts w:hint="eastAsia"/>
          <w:sz w:val="24"/>
          <w:szCs w:val="22"/>
          <w:highlight w:val="none"/>
        </w:rPr>
      </w:pPr>
      <w:r>
        <w:rPr>
          <w:rFonts w:hint="eastAsia"/>
          <w:sz w:val="24"/>
          <w:szCs w:val="22"/>
          <w:highlight w:val="none"/>
        </w:rPr>
        <w:t>成果图件：</w:t>
      </w:r>
      <w:r>
        <w:rPr>
          <w:rFonts w:hint="eastAsia" w:ascii="宋体" w:hAnsi="宋体" w:cs="宋体"/>
          <w:sz w:val="24"/>
          <w:szCs w:val="22"/>
          <w:highlight w:val="none"/>
        </w:rPr>
        <w:t>主要成果附图见下表（参考）</w:t>
      </w:r>
    </w:p>
    <w:tbl>
      <w:tblPr>
        <w:tblStyle w:val="62"/>
        <w:tblW w:w="5000" w:type="pct"/>
        <w:tblInd w:w="0" w:type="dxa"/>
        <w:tblLayout w:type="autofit"/>
        <w:tblCellMar>
          <w:top w:w="0" w:type="dxa"/>
          <w:left w:w="108" w:type="dxa"/>
          <w:bottom w:w="0" w:type="dxa"/>
          <w:right w:w="108" w:type="dxa"/>
        </w:tblCellMar>
      </w:tblPr>
      <w:tblGrid>
        <w:gridCol w:w="987"/>
        <w:gridCol w:w="1575"/>
        <w:gridCol w:w="7575"/>
      </w:tblGrid>
      <w:tr>
        <w:tblPrEx>
          <w:tblCellMar>
            <w:top w:w="0" w:type="dxa"/>
            <w:left w:w="108" w:type="dxa"/>
            <w:bottom w:w="0" w:type="dxa"/>
            <w:right w:w="108" w:type="dxa"/>
          </w:tblCellMar>
        </w:tblPrEx>
        <w:trPr>
          <w:trHeight w:val="567" w:hRule="atLeast"/>
        </w:trPr>
        <w:tc>
          <w:tcPr>
            <w:tcW w:w="487" w:type="pct"/>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bidi w:val="0"/>
              <w:snapToGrid w:val="0"/>
              <w:spacing w:line="360" w:lineRule="auto"/>
              <w:jc w:val="center"/>
              <w:textAlignment w:val="auto"/>
              <w:rPr>
                <w:rFonts w:ascii="宋体" w:hAnsi="宋体" w:cs="新宋体"/>
                <w:b/>
                <w:sz w:val="22"/>
                <w:szCs w:val="24"/>
                <w:highlight w:val="none"/>
              </w:rPr>
            </w:pPr>
            <w:r>
              <w:rPr>
                <w:rFonts w:ascii="宋体" w:hAnsi="宋体" w:cs="新宋体"/>
                <w:b/>
                <w:sz w:val="22"/>
                <w:szCs w:val="24"/>
                <w:highlight w:val="none"/>
              </w:rPr>
              <w:t>序号</w:t>
            </w:r>
          </w:p>
        </w:tc>
        <w:tc>
          <w:tcPr>
            <w:tcW w:w="777" w:type="pct"/>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bidi w:val="0"/>
              <w:snapToGrid w:val="0"/>
              <w:spacing w:line="360" w:lineRule="auto"/>
              <w:jc w:val="center"/>
              <w:textAlignment w:val="auto"/>
              <w:rPr>
                <w:rFonts w:ascii="宋体" w:hAnsi="宋体" w:cs="新宋体"/>
                <w:b/>
                <w:sz w:val="22"/>
                <w:szCs w:val="24"/>
                <w:highlight w:val="none"/>
              </w:rPr>
            </w:pPr>
            <w:r>
              <w:rPr>
                <w:rFonts w:ascii="宋体" w:hAnsi="宋体" w:cs="新宋体"/>
                <w:b/>
                <w:sz w:val="22"/>
                <w:szCs w:val="24"/>
                <w:highlight w:val="none"/>
              </w:rPr>
              <w:t>单元</w:t>
            </w:r>
          </w:p>
        </w:tc>
        <w:tc>
          <w:tcPr>
            <w:tcW w:w="3736" w:type="pct"/>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bidi w:val="0"/>
              <w:snapToGrid w:val="0"/>
              <w:spacing w:line="360" w:lineRule="auto"/>
              <w:jc w:val="center"/>
              <w:textAlignment w:val="auto"/>
              <w:rPr>
                <w:rFonts w:ascii="宋体" w:hAnsi="宋体" w:cs="新宋体"/>
                <w:b/>
                <w:sz w:val="22"/>
                <w:szCs w:val="24"/>
                <w:highlight w:val="none"/>
              </w:rPr>
            </w:pPr>
            <w:r>
              <w:rPr>
                <w:rFonts w:ascii="宋体" w:hAnsi="宋体" w:cs="新宋体"/>
                <w:b/>
                <w:sz w:val="22"/>
                <w:szCs w:val="24"/>
                <w:highlight w:val="none"/>
              </w:rPr>
              <w:t>附件名称</w:t>
            </w:r>
          </w:p>
        </w:tc>
      </w:tr>
      <w:tr>
        <w:tblPrEx>
          <w:tblCellMar>
            <w:top w:w="0" w:type="dxa"/>
            <w:left w:w="108" w:type="dxa"/>
            <w:bottom w:w="0" w:type="dxa"/>
            <w:right w:w="108" w:type="dxa"/>
          </w:tblCellMar>
        </w:tblPrEx>
        <w:trPr>
          <w:trHeight w:val="567"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pageBreakBefore w:val="0"/>
              <w:tabs>
                <w:tab w:val="center" w:pos="190"/>
              </w:tabs>
              <w:kinsoku/>
              <w:wordWrap/>
              <w:overflowPunct/>
              <w:topLinePunct w:val="0"/>
              <w:bidi w:val="0"/>
              <w:snapToGrid w:val="0"/>
              <w:spacing w:line="360" w:lineRule="auto"/>
              <w:jc w:val="center"/>
              <w:textAlignment w:val="auto"/>
              <w:rPr>
                <w:rFonts w:ascii="宋体" w:hAnsi="宋体" w:cs="新宋体"/>
                <w:sz w:val="22"/>
                <w:szCs w:val="24"/>
                <w:highlight w:val="none"/>
              </w:rPr>
            </w:pPr>
            <w:r>
              <w:rPr>
                <w:rFonts w:ascii="宋体" w:hAnsi="宋体" w:cs="新宋体"/>
                <w:sz w:val="22"/>
                <w:szCs w:val="24"/>
                <w:highlight w:val="none"/>
              </w:rPr>
              <w:t>1</w:t>
            </w:r>
          </w:p>
        </w:tc>
        <w:tc>
          <w:tcPr>
            <w:tcW w:w="777"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60" w:lineRule="auto"/>
              <w:jc w:val="center"/>
              <w:textAlignment w:val="auto"/>
              <w:rPr>
                <w:rFonts w:ascii="宋体" w:hAnsi="宋体" w:cs="新宋体"/>
                <w:sz w:val="22"/>
                <w:szCs w:val="24"/>
                <w:highlight w:val="none"/>
              </w:rPr>
            </w:pPr>
            <w:r>
              <w:rPr>
                <w:rFonts w:ascii="宋体" w:hAnsi="宋体" w:cs="新宋体"/>
                <w:sz w:val="22"/>
                <w:szCs w:val="24"/>
                <w:highlight w:val="none"/>
              </w:rPr>
              <w:t>全区</w:t>
            </w:r>
          </w:p>
        </w:tc>
        <w:tc>
          <w:tcPr>
            <w:tcW w:w="3736"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r>
              <w:rPr>
                <w:rFonts w:ascii="宋体" w:hAnsi="宋体" w:cs="新宋体"/>
                <w:sz w:val="22"/>
                <w:szCs w:val="24"/>
                <w:highlight w:val="none"/>
              </w:rPr>
              <w:t>地质灾害及隐患分布图</w:t>
            </w:r>
          </w:p>
        </w:tc>
      </w:tr>
      <w:tr>
        <w:tblPrEx>
          <w:tblCellMar>
            <w:top w:w="0" w:type="dxa"/>
            <w:left w:w="108" w:type="dxa"/>
            <w:bottom w:w="0" w:type="dxa"/>
            <w:right w:w="108" w:type="dxa"/>
          </w:tblCellMar>
        </w:tblPrEx>
        <w:trPr>
          <w:trHeight w:val="567" w:hRule="atLeast"/>
        </w:trPr>
        <w:tc>
          <w:tcPr>
            <w:tcW w:w="487" w:type="pct"/>
            <w:tcBorders>
              <w:top w:val="single" w:color="auto" w:sz="4" w:space="0"/>
              <w:left w:val="single" w:color="000000" w:sz="4" w:space="0"/>
              <w:bottom w:val="single" w:color="000000" w:sz="4" w:space="0"/>
              <w:right w:val="single" w:color="000000" w:sz="4" w:space="0"/>
            </w:tcBorders>
            <w:noWrap w:val="0"/>
            <w:vAlign w:val="center"/>
          </w:tcPr>
          <w:p>
            <w:pPr>
              <w:pageBreakBefore w:val="0"/>
              <w:tabs>
                <w:tab w:val="center" w:pos="190"/>
              </w:tabs>
              <w:kinsoku/>
              <w:wordWrap/>
              <w:overflowPunct/>
              <w:topLinePunct w:val="0"/>
              <w:bidi w:val="0"/>
              <w:snapToGrid w:val="0"/>
              <w:spacing w:line="360" w:lineRule="auto"/>
              <w:jc w:val="center"/>
              <w:textAlignment w:val="auto"/>
              <w:rPr>
                <w:rFonts w:ascii="宋体" w:hAnsi="宋体" w:cs="新宋体"/>
                <w:sz w:val="22"/>
                <w:szCs w:val="24"/>
                <w:highlight w:val="none"/>
              </w:rPr>
            </w:pPr>
            <w:r>
              <w:rPr>
                <w:rFonts w:ascii="宋体" w:hAnsi="宋体" w:cs="新宋体"/>
                <w:sz w:val="22"/>
                <w:szCs w:val="24"/>
                <w:highlight w:val="none"/>
              </w:rPr>
              <w:t>2</w:t>
            </w:r>
          </w:p>
        </w:tc>
        <w:tc>
          <w:tcPr>
            <w:tcW w:w="777" w:type="pct"/>
            <w:vMerge w:val="continue"/>
            <w:tcBorders>
              <w:top w:val="single" w:color="auto" w:sz="4" w:space="0"/>
              <w:left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p>
        </w:tc>
        <w:tc>
          <w:tcPr>
            <w:tcW w:w="3736" w:type="pct"/>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r>
              <w:rPr>
                <w:rFonts w:ascii="宋体" w:hAnsi="宋体" w:cs="新宋体"/>
                <w:sz w:val="22"/>
                <w:szCs w:val="24"/>
                <w:highlight w:val="none"/>
              </w:rPr>
              <w:t>孕灾地质条件图</w:t>
            </w:r>
          </w:p>
        </w:tc>
      </w:tr>
      <w:tr>
        <w:tblPrEx>
          <w:tblCellMar>
            <w:top w:w="0" w:type="dxa"/>
            <w:left w:w="108" w:type="dxa"/>
            <w:bottom w:w="0" w:type="dxa"/>
            <w:right w:w="108" w:type="dxa"/>
          </w:tblCellMar>
        </w:tblPrEx>
        <w:trPr>
          <w:trHeight w:val="567" w:hRule="atLeast"/>
        </w:trPr>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center" w:pos="190"/>
              </w:tabs>
              <w:kinsoku/>
              <w:wordWrap/>
              <w:overflowPunct/>
              <w:topLinePunct w:val="0"/>
              <w:bidi w:val="0"/>
              <w:snapToGrid w:val="0"/>
              <w:spacing w:line="360" w:lineRule="auto"/>
              <w:jc w:val="center"/>
              <w:textAlignment w:val="auto"/>
              <w:rPr>
                <w:rFonts w:ascii="宋体" w:hAnsi="宋体" w:cs="新宋体"/>
                <w:sz w:val="22"/>
                <w:szCs w:val="24"/>
                <w:highlight w:val="none"/>
              </w:rPr>
            </w:pPr>
            <w:r>
              <w:rPr>
                <w:rFonts w:ascii="宋体" w:hAnsi="宋体" w:cs="新宋体"/>
                <w:sz w:val="22"/>
                <w:szCs w:val="24"/>
                <w:highlight w:val="none"/>
              </w:rPr>
              <w:t>3</w:t>
            </w:r>
          </w:p>
        </w:tc>
        <w:tc>
          <w:tcPr>
            <w:tcW w:w="777" w:type="pct"/>
            <w:vMerge w:val="continue"/>
            <w:tcBorders>
              <w:left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p>
        </w:tc>
        <w:tc>
          <w:tcPr>
            <w:tcW w:w="3736"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r>
              <w:rPr>
                <w:rFonts w:ascii="宋体" w:hAnsi="宋体" w:cs="新宋体"/>
                <w:sz w:val="22"/>
                <w:szCs w:val="24"/>
                <w:highlight w:val="none"/>
              </w:rPr>
              <w:t>地质灾害易发性评价图</w:t>
            </w:r>
          </w:p>
        </w:tc>
      </w:tr>
      <w:tr>
        <w:tblPrEx>
          <w:tblCellMar>
            <w:top w:w="0" w:type="dxa"/>
            <w:left w:w="108" w:type="dxa"/>
            <w:bottom w:w="0" w:type="dxa"/>
            <w:right w:w="108" w:type="dxa"/>
          </w:tblCellMar>
        </w:tblPrEx>
        <w:trPr>
          <w:trHeight w:val="567" w:hRule="atLeast"/>
        </w:trPr>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center" w:pos="190"/>
              </w:tabs>
              <w:kinsoku/>
              <w:wordWrap/>
              <w:overflowPunct/>
              <w:topLinePunct w:val="0"/>
              <w:bidi w:val="0"/>
              <w:snapToGrid w:val="0"/>
              <w:spacing w:line="360" w:lineRule="auto"/>
              <w:jc w:val="center"/>
              <w:textAlignment w:val="auto"/>
              <w:rPr>
                <w:rFonts w:ascii="宋体" w:hAnsi="宋体" w:cs="新宋体"/>
                <w:sz w:val="22"/>
                <w:szCs w:val="24"/>
                <w:highlight w:val="none"/>
              </w:rPr>
            </w:pPr>
            <w:r>
              <w:rPr>
                <w:rFonts w:ascii="宋体" w:hAnsi="宋体" w:cs="新宋体"/>
                <w:sz w:val="22"/>
                <w:szCs w:val="24"/>
                <w:highlight w:val="none"/>
              </w:rPr>
              <w:t>4</w:t>
            </w:r>
          </w:p>
        </w:tc>
        <w:tc>
          <w:tcPr>
            <w:tcW w:w="777" w:type="pct"/>
            <w:vMerge w:val="continue"/>
            <w:tcBorders>
              <w:left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p>
        </w:tc>
        <w:tc>
          <w:tcPr>
            <w:tcW w:w="3736"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r>
              <w:rPr>
                <w:rFonts w:ascii="宋体" w:hAnsi="宋体" w:cs="新宋体"/>
                <w:sz w:val="22"/>
                <w:szCs w:val="24"/>
                <w:highlight w:val="none"/>
              </w:rPr>
              <w:t>地质灾害危险性评价图</w:t>
            </w:r>
          </w:p>
        </w:tc>
      </w:tr>
      <w:tr>
        <w:tblPrEx>
          <w:tblCellMar>
            <w:top w:w="0" w:type="dxa"/>
            <w:left w:w="108" w:type="dxa"/>
            <w:bottom w:w="0" w:type="dxa"/>
            <w:right w:w="108" w:type="dxa"/>
          </w:tblCellMar>
        </w:tblPrEx>
        <w:trPr>
          <w:trHeight w:val="567" w:hRule="atLeast"/>
        </w:trPr>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center" w:pos="190"/>
              </w:tabs>
              <w:kinsoku/>
              <w:wordWrap/>
              <w:overflowPunct/>
              <w:topLinePunct w:val="0"/>
              <w:bidi w:val="0"/>
              <w:snapToGrid w:val="0"/>
              <w:spacing w:line="360" w:lineRule="auto"/>
              <w:jc w:val="center"/>
              <w:textAlignment w:val="auto"/>
              <w:rPr>
                <w:rFonts w:ascii="宋体" w:hAnsi="宋体" w:cs="新宋体"/>
                <w:sz w:val="22"/>
                <w:szCs w:val="24"/>
                <w:highlight w:val="none"/>
              </w:rPr>
            </w:pPr>
            <w:r>
              <w:rPr>
                <w:rFonts w:ascii="宋体" w:hAnsi="宋体" w:cs="新宋体"/>
                <w:sz w:val="22"/>
                <w:szCs w:val="24"/>
                <w:highlight w:val="none"/>
              </w:rPr>
              <w:t>5</w:t>
            </w:r>
          </w:p>
        </w:tc>
        <w:tc>
          <w:tcPr>
            <w:tcW w:w="777" w:type="pct"/>
            <w:vMerge w:val="continue"/>
            <w:tcBorders>
              <w:left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p>
        </w:tc>
        <w:tc>
          <w:tcPr>
            <w:tcW w:w="3736"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r>
              <w:rPr>
                <w:rFonts w:ascii="宋体" w:hAnsi="宋体" w:cs="新宋体"/>
                <w:sz w:val="22"/>
                <w:szCs w:val="24"/>
                <w:highlight w:val="none"/>
              </w:rPr>
              <w:t>地质灾害易损性评价图</w:t>
            </w:r>
          </w:p>
        </w:tc>
      </w:tr>
      <w:tr>
        <w:tblPrEx>
          <w:tblCellMar>
            <w:top w:w="0" w:type="dxa"/>
            <w:left w:w="108" w:type="dxa"/>
            <w:bottom w:w="0" w:type="dxa"/>
            <w:right w:w="108" w:type="dxa"/>
          </w:tblCellMar>
        </w:tblPrEx>
        <w:trPr>
          <w:trHeight w:val="567" w:hRule="atLeast"/>
        </w:trPr>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center" w:pos="190"/>
              </w:tabs>
              <w:kinsoku/>
              <w:wordWrap/>
              <w:overflowPunct/>
              <w:topLinePunct w:val="0"/>
              <w:bidi w:val="0"/>
              <w:snapToGrid w:val="0"/>
              <w:spacing w:line="360" w:lineRule="auto"/>
              <w:jc w:val="center"/>
              <w:textAlignment w:val="auto"/>
              <w:rPr>
                <w:rFonts w:ascii="宋体" w:hAnsi="宋体" w:cs="新宋体"/>
                <w:sz w:val="22"/>
                <w:szCs w:val="24"/>
                <w:highlight w:val="none"/>
              </w:rPr>
            </w:pPr>
            <w:r>
              <w:rPr>
                <w:rFonts w:ascii="宋体" w:hAnsi="宋体" w:cs="新宋体"/>
                <w:sz w:val="22"/>
                <w:szCs w:val="24"/>
                <w:highlight w:val="none"/>
              </w:rPr>
              <w:t>6</w:t>
            </w:r>
          </w:p>
        </w:tc>
        <w:tc>
          <w:tcPr>
            <w:tcW w:w="777" w:type="pct"/>
            <w:vMerge w:val="continue"/>
            <w:tcBorders>
              <w:left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p>
        </w:tc>
        <w:tc>
          <w:tcPr>
            <w:tcW w:w="3736"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r>
              <w:rPr>
                <w:rFonts w:ascii="宋体" w:hAnsi="宋体" w:cs="新宋体"/>
                <w:sz w:val="22"/>
                <w:szCs w:val="24"/>
                <w:highlight w:val="none"/>
              </w:rPr>
              <w:t>地质灾害风险评价图</w:t>
            </w:r>
          </w:p>
        </w:tc>
      </w:tr>
      <w:tr>
        <w:tblPrEx>
          <w:tblCellMar>
            <w:top w:w="0" w:type="dxa"/>
            <w:left w:w="108" w:type="dxa"/>
            <w:bottom w:w="0" w:type="dxa"/>
            <w:right w:w="108" w:type="dxa"/>
          </w:tblCellMar>
        </w:tblPrEx>
        <w:trPr>
          <w:trHeight w:val="567" w:hRule="atLeast"/>
        </w:trPr>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center" w:pos="190"/>
              </w:tabs>
              <w:kinsoku/>
              <w:wordWrap/>
              <w:overflowPunct/>
              <w:topLinePunct w:val="0"/>
              <w:bidi w:val="0"/>
              <w:snapToGrid w:val="0"/>
              <w:spacing w:line="360" w:lineRule="auto"/>
              <w:jc w:val="center"/>
              <w:textAlignment w:val="auto"/>
              <w:rPr>
                <w:rFonts w:ascii="宋体" w:hAnsi="宋体" w:cs="新宋体"/>
                <w:sz w:val="22"/>
                <w:szCs w:val="24"/>
                <w:highlight w:val="none"/>
              </w:rPr>
            </w:pPr>
            <w:r>
              <w:rPr>
                <w:rFonts w:ascii="宋体" w:hAnsi="宋体" w:cs="新宋体"/>
                <w:sz w:val="22"/>
                <w:szCs w:val="24"/>
                <w:highlight w:val="none"/>
              </w:rPr>
              <w:t>7</w:t>
            </w:r>
          </w:p>
        </w:tc>
        <w:tc>
          <w:tcPr>
            <w:tcW w:w="777" w:type="pct"/>
            <w:vMerge w:val="continue"/>
            <w:tcBorders>
              <w:left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p>
        </w:tc>
        <w:tc>
          <w:tcPr>
            <w:tcW w:w="3736"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r>
              <w:rPr>
                <w:rFonts w:ascii="宋体" w:hAnsi="宋体" w:cs="新宋体"/>
                <w:sz w:val="22"/>
                <w:szCs w:val="24"/>
                <w:highlight w:val="none"/>
              </w:rPr>
              <w:t>地质灾害风险区划图</w:t>
            </w:r>
          </w:p>
        </w:tc>
      </w:tr>
      <w:tr>
        <w:tblPrEx>
          <w:tblCellMar>
            <w:top w:w="0" w:type="dxa"/>
            <w:left w:w="108" w:type="dxa"/>
            <w:bottom w:w="0" w:type="dxa"/>
            <w:right w:w="108" w:type="dxa"/>
          </w:tblCellMar>
        </w:tblPrEx>
        <w:trPr>
          <w:trHeight w:val="567" w:hRule="atLeast"/>
        </w:trPr>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center" w:pos="190"/>
              </w:tabs>
              <w:kinsoku/>
              <w:wordWrap/>
              <w:overflowPunct/>
              <w:topLinePunct w:val="0"/>
              <w:bidi w:val="0"/>
              <w:snapToGrid w:val="0"/>
              <w:spacing w:line="360" w:lineRule="auto"/>
              <w:jc w:val="center"/>
              <w:textAlignment w:val="auto"/>
              <w:rPr>
                <w:rFonts w:ascii="宋体" w:hAnsi="宋体" w:cs="新宋体"/>
                <w:sz w:val="22"/>
                <w:szCs w:val="24"/>
                <w:highlight w:val="none"/>
              </w:rPr>
            </w:pPr>
            <w:r>
              <w:rPr>
                <w:rFonts w:ascii="宋体" w:hAnsi="宋体" w:cs="新宋体"/>
                <w:sz w:val="22"/>
                <w:szCs w:val="24"/>
                <w:highlight w:val="none"/>
              </w:rPr>
              <w:t>8</w:t>
            </w:r>
          </w:p>
        </w:tc>
        <w:tc>
          <w:tcPr>
            <w:tcW w:w="777" w:type="pct"/>
            <w:vMerge w:val="continue"/>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p>
        </w:tc>
        <w:tc>
          <w:tcPr>
            <w:tcW w:w="3736"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napToGrid w:val="0"/>
              <w:spacing w:line="360" w:lineRule="auto"/>
              <w:ind w:firstLine="541" w:firstLineChars="246"/>
              <w:jc w:val="center"/>
              <w:textAlignment w:val="auto"/>
              <w:rPr>
                <w:rFonts w:ascii="宋体" w:hAnsi="宋体" w:cs="新宋体"/>
                <w:sz w:val="22"/>
                <w:szCs w:val="24"/>
                <w:highlight w:val="none"/>
              </w:rPr>
            </w:pPr>
            <w:r>
              <w:rPr>
                <w:rFonts w:ascii="宋体" w:hAnsi="宋体" w:cs="新宋体"/>
                <w:sz w:val="22"/>
                <w:szCs w:val="24"/>
                <w:highlight w:val="none"/>
              </w:rPr>
              <w:t>地质灾害防治区划图</w:t>
            </w:r>
          </w:p>
        </w:tc>
      </w:tr>
    </w:tbl>
    <w:p>
      <w:pPr>
        <w:pStyle w:val="290"/>
        <w:pageBreakBefore w:val="0"/>
        <w:kinsoku/>
        <w:wordWrap/>
        <w:overflowPunct/>
        <w:topLinePunct w:val="0"/>
        <w:bidi w:val="0"/>
        <w:spacing w:line="360" w:lineRule="auto"/>
        <w:ind w:firstLine="420" w:firstLineChars="175"/>
        <w:textAlignment w:val="auto"/>
        <w:rPr>
          <w:rFonts w:hint="eastAsia" w:hAnsi="宋体"/>
          <w:color w:val="auto"/>
          <w:highlight w:val="none"/>
        </w:rPr>
      </w:pPr>
      <w:r>
        <w:rPr>
          <w:rFonts w:hint="eastAsia" w:hAnsi="宋体"/>
          <w:color w:val="auto"/>
          <w:highlight w:val="none"/>
        </w:rPr>
        <w:t>3、数据库建设</w:t>
      </w:r>
    </w:p>
    <w:p>
      <w:pPr>
        <w:pStyle w:val="290"/>
        <w:pageBreakBefore w:val="0"/>
        <w:kinsoku/>
        <w:wordWrap/>
        <w:overflowPunct/>
        <w:topLinePunct w:val="0"/>
        <w:bidi w:val="0"/>
        <w:spacing w:line="360" w:lineRule="auto"/>
        <w:ind w:firstLine="420" w:firstLineChars="175"/>
        <w:textAlignment w:val="auto"/>
        <w:rPr>
          <w:rFonts w:hint="eastAsia" w:hAnsi="宋体"/>
          <w:highlight w:val="none"/>
        </w:rPr>
      </w:pPr>
      <w:r>
        <w:rPr>
          <w:rFonts w:hAnsi="宋体"/>
          <w:color w:val="auto"/>
          <w:highlight w:val="none"/>
          <w:lang w:bidi="zh-TW"/>
        </w:rPr>
        <w:t>地质灾害风险普查数据库建设应按照《地质灾害风险调查评价技术要求</w:t>
      </w:r>
      <w:r>
        <w:rPr>
          <w:rFonts w:hAnsi="宋体"/>
          <w:bCs/>
          <w:color w:val="auto"/>
          <w:highlight w:val="none"/>
          <w:lang w:bidi="zh-TW"/>
        </w:rPr>
        <w:t>（1:50000）</w:t>
      </w:r>
      <w:r>
        <w:rPr>
          <w:rFonts w:hAnsi="宋体"/>
          <w:color w:val="auto"/>
          <w:highlight w:val="none"/>
          <w:lang w:bidi="zh-TW"/>
        </w:rPr>
        <w:t>（试行）》《地质灾害风险调查评价成果信息化技术要求（试行）》等最新要求进行，数据库建设内容包括项目基本信息、野外调查数据、空间图形数据、成果相关数据以及其他数据。</w:t>
      </w:r>
    </w:p>
    <w:p>
      <w:pPr>
        <w:pageBreakBefore w:val="0"/>
        <w:kinsoku/>
        <w:wordWrap/>
        <w:overflowPunct/>
        <w:topLinePunct w:val="0"/>
        <w:autoSpaceDN w:val="0"/>
        <w:bidi w:val="0"/>
        <w:spacing w:line="360" w:lineRule="auto"/>
        <w:textAlignment w:val="auto"/>
        <w:outlineLvl w:val="1"/>
        <w:rPr>
          <w:rFonts w:ascii="宋体" w:hAnsi="宋体" w:cs="宋体"/>
          <w:b/>
          <w:bCs/>
          <w:sz w:val="24"/>
          <w:highlight w:val="none"/>
        </w:rPr>
      </w:pPr>
      <w:r>
        <w:rPr>
          <w:rFonts w:ascii="宋体" w:hAnsi="宋体" w:cs="宋体"/>
          <w:b/>
          <w:bCs/>
          <w:sz w:val="24"/>
          <w:highlight w:val="none"/>
        </w:rPr>
        <w:t>七、项目期限和地点</w:t>
      </w:r>
    </w:p>
    <w:p>
      <w:pPr>
        <w:pageBreakBefore w:val="0"/>
        <w:kinsoku/>
        <w:wordWrap/>
        <w:overflowPunct/>
        <w:topLinePunct w:val="0"/>
        <w:bidi w:val="0"/>
        <w:snapToGrid w:val="0"/>
        <w:spacing w:line="360" w:lineRule="auto"/>
        <w:ind w:firstLine="480" w:firstLineChars="200"/>
        <w:contextualSpacing/>
        <w:textAlignment w:val="auto"/>
        <w:rPr>
          <w:rFonts w:ascii="宋体" w:hAnsi="宋体" w:cs="宋体"/>
          <w:sz w:val="24"/>
          <w:highlight w:val="none"/>
        </w:rPr>
      </w:pPr>
      <w:r>
        <w:rPr>
          <w:rFonts w:ascii="宋体" w:hAnsi="宋体" w:cs="宋体"/>
          <w:sz w:val="24"/>
          <w:highlight w:val="none"/>
        </w:rPr>
        <w:t>项目期限：截止</w:t>
      </w:r>
      <w:r>
        <w:rPr>
          <w:rFonts w:hint="default" w:ascii="宋体" w:hAnsi="宋体" w:cs="宋体"/>
          <w:sz w:val="24"/>
          <w:highlight w:val="none"/>
        </w:rPr>
        <w:t>2022</w:t>
      </w:r>
      <w:r>
        <w:rPr>
          <w:rFonts w:ascii="宋体" w:hAnsi="宋体" w:cs="宋体"/>
          <w:sz w:val="24"/>
          <w:highlight w:val="none"/>
        </w:rPr>
        <w:t>年</w:t>
      </w:r>
      <w:r>
        <w:rPr>
          <w:rFonts w:hint="default" w:ascii="宋体" w:hAnsi="宋体" w:cs="宋体"/>
          <w:sz w:val="24"/>
          <w:highlight w:val="none"/>
        </w:rPr>
        <w:t>12</w:t>
      </w:r>
      <w:r>
        <w:rPr>
          <w:rFonts w:ascii="宋体" w:hAnsi="宋体" w:cs="宋体"/>
          <w:sz w:val="24"/>
          <w:highlight w:val="none"/>
        </w:rPr>
        <w:t>月底前完成所有成果及资料整理并通过验收。</w:t>
      </w:r>
    </w:p>
    <w:p>
      <w:pPr>
        <w:pageBreakBefore w:val="0"/>
        <w:kinsoku/>
        <w:wordWrap/>
        <w:overflowPunct/>
        <w:topLinePunct w:val="0"/>
        <w:bidi w:val="0"/>
        <w:snapToGrid w:val="0"/>
        <w:spacing w:line="360" w:lineRule="auto"/>
        <w:ind w:firstLine="480" w:firstLineChars="200"/>
        <w:contextualSpacing/>
        <w:textAlignment w:val="auto"/>
        <w:rPr>
          <w:rFonts w:ascii="宋体" w:hAnsi="宋体" w:cs="宋体"/>
          <w:kern w:val="0"/>
          <w:sz w:val="24"/>
          <w:highlight w:val="none"/>
        </w:rPr>
      </w:pPr>
      <w:r>
        <w:rPr>
          <w:rFonts w:ascii="宋体" w:hAnsi="宋体" w:cs="宋体"/>
          <w:kern w:val="0"/>
          <w:sz w:val="24"/>
          <w:highlight w:val="none"/>
        </w:rPr>
        <w:t>项目地点：新吴区，工作区总面积</w:t>
      </w:r>
      <w:r>
        <w:rPr>
          <w:rFonts w:hint="default" w:ascii="宋体" w:hAnsi="宋体" w:cs="宋体"/>
          <w:kern w:val="0"/>
          <w:sz w:val="24"/>
          <w:highlight w:val="none"/>
        </w:rPr>
        <w:t>220</w:t>
      </w:r>
      <w:r>
        <w:rPr>
          <w:rFonts w:ascii="宋体" w:hAnsi="宋体" w:cs="宋体"/>
          <w:kern w:val="0"/>
          <w:sz w:val="24"/>
          <w:highlight w:val="none"/>
        </w:rPr>
        <w:t>平方千米。</w:t>
      </w:r>
    </w:p>
    <w:p>
      <w:pPr>
        <w:pageBreakBefore w:val="0"/>
        <w:kinsoku/>
        <w:wordWrap/>
        <w:overflowPunct/>
        <w:topLinePunct w:val="0"/>
        <w:autoSpaceDN w:val="0"/>
        <w:bidi w:val="0"/>
        <w:spacing w:line="360" w:lineRule="auto"/>
        <w:textAlignment w:val="auto"/>
        <w:outlineLvl w:val="1"/>
        <w:rPr>
          <w:rFonts w:ascii="宋体" w:hAnsi="宋体" w:cs="宋体"/>
          <w:b/>
          <w:bCs/>
          <w:sz w:val="24"/>
          <w:highlight w:val="none"/>
        </w:rPr>
      </w:pPr>
      <w:r>
        <w:rPr>
          <w:rFonts w:ascii="宋体" w:hAnsi="宋体" w:cs="宋体"/>
          <w:b/>
          <w:bCs/>
          <w:sz w:val="24"/>
          <w:highlight w:val="none"/>
        </w:rPr>
        <w:t>八、项目成果版权及使用</w:t>
      </w:r>
    </w:p>
    <w:p>
      <w:pPr>
        <w:pStyle w:val="543"/>
        <w:pageBreakBefore w:val="0"/>
        <w:kinsoku/>
        <w:wordWrap/>
        <w:overflowPunct/>
        <w:topLinePunct w:val="0"/>
        <w:bidi w:val="0"/>
        <w:spacing w:line="360" w:lineRule="auto"/>
        <w:ind w:firstLine="480" w:firstLineChars="200"/>
        <w:textAlignment w:val="auto"/>
        <w:rPr>
          <w:rFonts w:cs="宋体"/>
          <w:highlight w:val="none"/>
        </w:rPr>
      </w:pPr>
      <w:bookmarkStart w:id="80" w:name="_Toc22768"/>
      <w:bookmarkStart w:id="81" w:name="_Toc523152897"/>
      <w:r>
        <w:rPr>
          <w:rFonts w:cs="宋体"/>
          <w:highlight w:val="none"/>
        </w:rPr>
        <w:t>本次项目成果所有权和使用权均属于无锡市自然资源与规划局新吴分局。成交供应商不得以任何借口留存，否则承担由此产生的一切法律和经济责任。未经允许，任何单位和个人不得转让和使用本项目成果。</w:t>
      </w:r>
    </w:p>
    <w:p>
      <w:pPr>
        <w:pageBreakBefore w:val="0"/>
        <w:kinsoku/>
        <w:wordWrap/>
        <w:overflowPunct/>
        <w:topLinePunct w:val="0"/>
        <w:autoSpaceDN w:val="0"/>
        <w:bidi w:val="0"/>
        <w:spacing w:line="360" w:lineRule="auto"/>
        <w:textAlignment w:val="auto"/>
        <w:outlineLvl w:val="1"/>
        <w:rPr>
          <w:rFonts w:ascii="宋体" w:hAnsi="宋体" w:cs="宋体"/>
          <w:b/>
          <w:bCs/>
          <w:sz w:val="24"/>
          <w:highlight w:val="none"/>
        </w:rPr>
      </w:pPr>
      <w:r>
        <w:rPr>
          <w:rFonts w:ascii="宋体" w:hAnsi="宋体" w:cs="宋体"/>
          <w:b/>
          <w:bCs/>
          <w:sz w:val="24"/>
          <w:highlight w:val="none"/>
        </w:rPr>
        <w:t>九、</w:t>
      </w:r>
      <w:bookmarkEnd w:id="80"/>
      <w:bookmarkEnd w:id="81"/>
      <w:r>
        <w:rPr>
          <w:rFonts w:ascii="宋体" w:hAnsi="宋体" w:cs="宋体"/>
          <w:b/>
          <w:bCs/>
          <w:sz w:val="24"/>
          <w:highlight w:val="none"/>
        </w:rPr>
        <w:t>技术人员配备要求</w:t>
      </w:r>
    </w:p>
    <w:p>
      <w:pPr>
        <w:pageBreakBefore w:val="0"/>
        <w:widowControl/>
        <w:kinsoku/>
        <w:wordWrap/>
        <w:overflowPunct/>
        <w:topLinePunct w:val="0"/>
        <w:bidi w:val="0"/>
        <w:spacing w:line="360" w:lineRule="auto"/>
        <w:ind w:firstLine="480" w:firstLineChars="200"/>
        <w:jc w:val="left"/>
        <w:textAlignment w:val="auto"/>
        <w:rPr>
          <w:rFonts w:ascii="宋体" w:hAnsi="宋体" w:cs="宋体"/>
          <w:kern w:val="0"/>
          <w:sz w:val="24"/>
          <w:highlight w:val="none"/>
        </w:rPr>
      </w:pPr>
      <w:r>
        <w:rPr>
          <w:rFonts w:ascii="宋体" w:hAnsi="宋体" w:cs="宋体"/>
          <w:kern w:val="0"/>
          <w:sz w:val="24"/>
          <w:highlight w:val="none"/>
        </w:rPr>
        <w:t>为了保证本项目的工程质量，项目承担单位必须配备足够的专业技术人员，各野外调查小组组长及负责野外调查与测绘、制图、空间数据库的建设应由业务熟练的技术人员担任。</w:t>
      </w:r>
    </w:p>
    <w:p>
      <w:pPr>
        <w:pageBreakBefore w:val="0"/>
        <w:kinsoku/>
        <w:wordWrap/>
        <w:overflowPunct/>
        <w:topLinePunct w:val="0"/>
        <w:autoSpaceDN w:val="0"/>
        <w:bidi w:val="0"/>
        <w:spacing w:line="360" w:lineRule="auto"/>
        <w:textAlignment w:val="auto"/>
        <w:outlineLvl w:val="1"/>
        <w:rPr>
          <w:rFonts w:ascii="宋体" w:hAnsi="宋体" w:cs="宋体"/>
          <w:b/>
          <w:bCs/>
          <w:sz w:val="24"/>
          <w:highlight w:val="none"/>
        </w:rPr>
      </w:pPr>
      <w:r>
        <w:rPr>
          <w:rFonts w:ascii="宋体" w:hAnsi="宋体" w:cs="宋体"/>
          <w:b/>
          <w:bCs/>
          <w:sz w:val="24"/>
          <w:highlight w:val="none"/>
        </w:rPr>
        <w:t>十、其他要求</w:t>
      </w:r>
    </w:p>
    <w:p>
      <w:pPr>
        <w:pStyle w:val="543"/>
        <w:pageBreakBefore w:val="0"/>
        <w:kinsoku/>
        <w:wordWrap/>
        <w:overflowPunct/>
        <w:topLinePunct w:val="0"/>
        <w:bidi w:val="0"/>
        <w:spacing w:line="360" w:lineRule="auto"/>
        <w:ind w:firstLine="420" w:firstLineChars="175"/>
        <w:textAlignment w:val="auto"/>
        <w:rPr>
          <w:rFonts w:cs="宋体"/>
          <w:highlight w:val="none"/>
        </w:rPr>
      </w:pPr>
      <w:r>
        <w:rPr>
          <w:rFonts w:cs="宋体"/>
          <w:highlight w:val="none"/>
        </w:rPr>
        <w:t>1、后续服务要求：</w:t>
      </w:r>
    </w:p>
    <w:p>
      <w:pPr>
        <w:pStyle w:val="543"/>
        <w:pageBreakBefore w:val="0"/>
        <w:kinsoku/>
        <w:wordWrap/>
        <w:overflowPunct/>
        <w:topLinePunct w:val="0"/>
        <w:bidi w:val="0"/>
        <w:spacing w:line="360" w:lineRule="auto"/>
        <w:ind w:firstLine="420" w:firstLineChars="175"/>
        <w:textAlignment w:val="auto"/>
        <w:rPr>
          <w:rFonts w:cs="宋体"/>
          <w:highlight w:val="none"/>
        </w:rPr>
      </w:pPr>
      <w:r>
        <w:rPr>
          <w:rFonts w:cs="宋体"/>
          <w:highlight w:val="none"/>
        </w:rPr>
        <w:t>（1）成交供应商负责免费对项目成果错误内容进行及时更正。</w:t>
      </w:r>
    </w:p>
    <w:p>
      <w:pPr>
        <w:pStyle w:val="543"/>
        <w:pageBreakBefore w:val="0"/>
        <w:kinsoku/>
        <w:wordWrap/>
        <w:overflowPunct/>
        <w:topLinePunct w:val="0"/>
        <w:bidi w:val="0"/>
        <w:spacing w:line="360" w:lineRule="auto"/>
        <w:ind w:firstLine="420" w:firstLineChars="175"/>
        <w:textAlignment w:val="auto"/>
        <w:rPr>
          <w:rFonts w:cs="宋体"/>
          <w:highlight w:val="none"/>
        </w:rPr>
      </w:pPr>
      <w:r>
        <w:rPr>
          <w:rFonts w:cs="宋体"/>
          <w:highlight w:val="none"/>
        </w:rPr>
        <w:t>（2）成交供应商能提供快速的后续服务响应，保证在24小时内到达服务现场。</w:t>
      </w:r>
    </w:p>
    <w:p>
      <w:pPr>
        <w:pStyle w:val="543"/>
        <w:pageBreakBefore w:val="0"/>
        <w:kinsoku/>
        <w:wordWrap/>
        <w:overflowPunct/>
        <w:topLinePunct w:val="0"/>
        <w:bidi w:val="0"/>
        <w:spacing w:line="360" w:lineRule="auto"/>
        <w:ind w:firstLine="420" w:firstLineChars="175"/>
        <w:textAlignment w:val="auto"/>
        <w:rPr>
          <w:rFonts w:cs="宋体"/>
          <w:highlight w:val="none"/>
        </w:rPr>
      </w:pPr>
      <w:r>
        <w:rPr>
          <w:rFonts w:cs="宋体"/>
          <w:highlight w:val="none"/>
        </w:rPr>
        <w:t>2、成交供应商提供的工作成果，必须符合招投标文件及合同的要求，如有不符，其所造成的损失由成交供应商承担。</w:t>
      </w:r>
    </w:p>
    <w:p>
      <w:pPr>
        <w:pStyle w:val="543"/>
        <w:pageBreakBefore w:val="0"/>
        <w:kinsoku/>
        <w:wordWrap/>
        <w:overflowPunct/>
        <w:topLinePunct w:val="0"/>
        <w:bidi w:val="0"/>
        <w:spacing w:line="360" w:lineRule="auto"/>
        <w:ind w:firstLine="420" w:firstLineChars="175"/>
        <w:textAlignment w:val="auto"/>
        <w:rPr>
          <w:rFonts w:cs="宋体"/>
          <w:highlight w:val="none"/>
        </w:rPr>
      </w:pPr>
      <w:r>
        <w:rPr>
          <w:rFonts w:cs="宋体"/>
          <w:highlight w:val="none"/>
        </w:rPr>
        <w:t>3、因成交供应商自身原因导致项目延期，每超过1天，扣成交合同价0.1%延期违约金给采购人。如因采购人原因引起延期，则项目完成期相应延期。</w:t>
      </w:r>
    </w:p>
    <w:p>
      <w:pPr>
        <w:pStyle w:val="543"/>
        <w:pageBreakBefore w:val="0"/>
        <w:kinsoku/>
        <w:wordWrap/>
        <w:overflowPunct/>
        <w:topLinePunct w:val="0"/>
        <w:bidi w:val="0"/>
        <w:spacing w:line="360" w:lineRule="auto"/>
        <w:ind w:firstLine="420" w:firstLineChars="175"/>
        <w:textAlignment w:val="auto"/>
        <w:rPr>
          <w:rFonts w:cs="宋体"/>
          <w:highlight w:val="none"/>
        </w:rPr>
      </w:pPr>
      <w:r>
        <w:rPr>
          <w:rFonts w:cs="宋体"/>
          <w:highlight w:val="none"/>
        </w:rPr>
        <w:t>4、成交供应商不得将项目转包给其他单位完成。</w:t>
      </w:r>
    </w:p>
    <w:p>
      <w:pPr>
        <w:pStyle w:val="543"/>
        <w:pageBreakBefore w:val="0"/>
        <w:kinsoku/>
        <w:wordWrap/>
        <w:overflowPunct/>
        <w:topLinePunct w:val="0"/>
        <w:bidi w:val="0"/>
        <w:spacing w:line="360" w:lineRule="auto"/>
        <w:ind w:firstLine="420" w:firstLineChars="175"/>
        <w:textAlignment w:val="auto"/>
        <w:rPr>
          <w:rFonts w:cs="宋体"/>
          <w:highlight w:val="none"/>
        </w:rPr>
      </w:pPr>
      <w:r>
        <w:rPr>
          <w:rFonts w:cs="宋体"/>
          <w:highlight w:val="none"/>
        </w:rPr>
        <w:t>5、成交供应商到使用单位进行作业服务和野外调查所有的劳务支出、安全保险、住宿、运输等一切费用都已包含在报价中，由成交供应商自行负责。</w:t>
      </w:r>
    </w:p>
    <w:bookmarkEnd w:id="16"/>
    <w:p>
      <w:pPr>
        <w:pageBreakBefore w:val="0"/>
        <w:kinsoku/>
        <w:wordWrap/>
        <w:overflowPunct/>
        <w:topLinePunct w:val="0"/>
        <w:autoSpaceDN w:val="0"/>
        <w:bidi w:val="0"/>
        <w:spacing w:line="360" w:lineRule="auto"/>
        <w:textAlignment w:val="auto"/>
        <w:outlineLvl w:val="1"/>
        <w:rPr>
          <w:rFonts w:ascii="宋体" w:hAnsi="宋体" w:cs="宋体"/>
          <w:b/>
          <w:bCs/>
          <w:sz w:val="24"/>
          <w:highlight w:val="none"/>
        </w:rPr>
      </w:pPr>
      <w:r>
        <w:rPr>
          <w:rFonts w:ascii="宋体" w:hAnsi="宋体" w:cs="宋体"/>
          <w:b/>
          <w:bCs/>
          <w:sz w:val="24"/>
          <w:highlight w:val="none"/>
        </w:rPr>
        <w:t>十一、付款方式</w:t>
      </w:r>
    </w:p>
    <w:p>
      <w:pPr>
        <w:pStyle w:val="543"/>
        <w:pageBreakBefore w:val="0"/>
        <w:kinsoku/>
        <w:wordWrap/>
        <w:overflowPunct/>
        <w:topLinePunct w:val="0"/>
        <w:bidi w:val="0"/>
        <w:spacing w:line="360" w:lineRule="auto"/>
        <w:ind w:firstLine="480" w:firstLineChars="200"/>
        <w:textAlignment w:val="auto"/>
        <w:rPr>
          <w:rFonts w:cs="宋体"/>
          <w:highlight w:val="none"/>
        </w:rPr>
      </w:pPr>
      <w:r>
        <w:rPr>
          <w:rFonts w:cs="宋体"/>
          <w:highlight w:val="none"/>
        </w:rPr>
        <w:t>最终成果通过专家组评审验收并提交正式报告后10日内一次性付清全款。</w:t>
      </w:r>
    </w:p>
    <w:p>
      <w:pPr>
        <w:pageBreakBefore w:val="0"/>
        <w:kinsoku/>
        <w:wordWrap/>
        <w:overflowPunct/>
        <w:topLinePunct w:val="0"/>
        <w:autoSpaceDN w:val="0"/>
        <w:bidi w:val="0"/>
        <w:spacing w:line="360" w:lineRule="auto"/>
        <w:textAlignment w:val="auto"/>
        <w:outlineLvl w:val="1"/>
        <w:rPr>
          <w:rFonts w:ascii="宋体" w:hAnsi="宋体" w:cs="宋体"/>
          <w:b/>
          <w:bCs/>
          <w:sz w:val="24"/>
          <w:highlight w:val="none"/>
        </w:rPr>
      </w:pPr>
      <w:r>
        <w:rPr>
          <w:rFonts w:ascii="宋体" w:hAnsi="宋体" w:cs="宋体"/>
          <w:b/>
          <w:bCs/>
          <w:sz w:val="24"/>
          <w:highlight w:val="none"/>
        </w:rPr>
        <w:t>十二、资信及商务条款</w:t>
      </w:r>
    </w:p>
    <w:tbl>
      <w:tblPr>
        <w:tblStyle w:val="62"/>
        <w:tblW w:w="10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2"/>
        <w:gridCol w:w="82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762"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val="0"/>
              <w:spacing w:line="360" w:lineRule="auto"/>
              <w:textAlignment w:val="auto"/>
              <w:rPr>
                <w:rFonts w:ascii="宋体" w:cs="宋体"/>
                <w:sz w:val="24"/>
                <w:highlight w:val="none"/>
              </w:rPr>
            </w:pPr>
            <w:r>
              <w:rPr>
                <w:rFonts w:ascii="宋体" w:cs="宋体"/>
                <w:sz w:val="24"/>
                <w:highlight w:val="none"/>
              </w:rPr>
              <w:t>质保期</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ind w:firstLine="120" w:firstLineChars="50"/>
              <w:textAlignment w:val="auto"/>
              <w:rPr>
                <w:rFonts w:hint="default" w:ascii="宋体" w:hAnsi="宋体"/>
                <w:sz w:val="24"/>
                <w:highlight w:val="none"/>
              </w:rPr>
            </w:pPr>
            <w:r>
              <w:rPr>
                <w:rFonts w:ascii="宋体" w:hAnsi="宋体"/>
                <w:sz w:val="24"/>
                <w:highlight w:val="none"/>
              </w:rPr>
              <w:t>一年。自验收合格之日起一年内，如调查成果有任何质量问题，中标供应商应无条件配合采购人进行重新调查并出具报告。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762"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val="0"/>
              <w:spacing w:line="360" w:lineRule="auto"/>
              <w:textAlignment w:val="auto"/>
              <w:rPr>
                <w:rFonts w:ascii="宋体" w:cs="宋体"/>
                <w:sz w:val="24"/>
                <w:highlight w:val="none"/>
              </w:rPr>
            </w:pPr>
            <w:r>
              <w:rPr>
                <w:rFonts w:ascii="宋体" w:cs="宋体"/>
                <w:sz w:val="24"/>
                <w:highlight w:val="none"/>
              </w:rPr>
              <w:t>投标报价</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60" w:lineRule="auto"/>
              <w:jc w:val="left"/>
              <w:textAlignment w:val="auto"/>
              <w:rPr>
                <w:rFonts w:hAnsi="宋体"/>
                <w:b/>
                <w:bCs/>
                <w:sz w:val="24"/>
                <w:highlight w:val="none"/>
              </w:rPr>
            </w:pPr>
            <w:r>
              <w:rPr>
                <w:rFonts w:ascii="宋体" w:cs="宋体"/>
                <w:sz w:val="24"/>
                <w:highlight w:val="none"/>
              </w:rPr>
              <w:t>1、投标人的报价超过预算价或最高限价的将作无效标处理</w:t>
            </w:r>
            <w:r>
              <w:rPr>
                <w:rFonts w:hAnsi="宋体"/>
                <w:b/>
                <w:bCs/>
                <w:sz w:val="24"/>
                <w:highlight w:val="none"/>
              </w:rPr>
              <w:t>。</w:t>
            </w:r>
          </w:p>
          <w:p>
            <w:pPr>
              <w:pageBreakBefore w:val="0"/>
              <w:kinsoku/>
              <w:wordWrap/>
              <w:overflowPunct/>
              <w:topLinePunct w:val="0"/>
              <w:bidi w:val="0"/>
              <w:snapToGrid w:val="0"/>
              <w:spacing w:line="360" w:lineRule="auto"/>
              <w:jc w:val="left"/>
              <w:textAlignment w:val="auto"/>
              <w:rPr>
                <w:highlight w:val="none"/>
              </w:rPr>
            </w:pPr>
            <w:r>
              <w:rPr>
                <w:rFonts w:ascii="宋体" w:hAnsi="宋体" w:cs="宋体"/>
                <w:snapToGrid w:val="0"/>
                <w:kern w:val="0"/>
                <w:sz w:val="24"/>
                <w:highlight w:val="none"/>
              </w:rPr>
              <w:t>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176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60" w:lineRule="auto"/>
              <w:textAlignment w:val="auto"/>
              <w:rPr>
                <w:rFonts w:hint="default" w:ascii="宋体" w:hAnsi="宋体"/>
                <w:sz w:val="24"/>
                <w:szCs w:val="22"/>
                <w:highlight w:val="none"/>
              </w:rPr>
            </w:pPr>
            <w:r>
              <w:rPr>
                <w:rFonts w:ascii="宋体" w:hAnsi="宋体"/>
                <w:sz w:val="24"/>
                <w:highlight w:val="none"/>
              </w:rPr>
              <w:t>验收</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textAlignment w:val="auto"/>
              <w:rPr>
                <w:rFonts w:ascii="宋体" w:hAnsi="宋体"/>
                <w:sz w:val="24"/>
                <w:highlight w:val="none"/>
              </w:rPr>
            </w:pPr>
            <w:r>
              <w:rPr>
                <w:rFonts w:ascii="宋体" w:hAnsi="宋体"/>
                <w:sz w:val="24"/>
                <w:highlight w:val="none"/>
              </w:rPr>
              <w:t>1、符合我国国家有关技术规范要求和技术标准；</w:t>
            </w:r>
          </w:p>
          <w:p>
            <w:pPr>
              <w:pageBreakBefore w:val="0"/>
              <w:kinsoku/>
              <w:wordWrap/>
              <w:overflowPunct/>
              <w:topLinePunct w:val="0"/>
              <w:bidi w:val="0"/>
              <w:snapToGrid w:val="0"/>
              <w:spacing w:line="360" w:lineRule="auto"/>
              <w:textAlignment w:val="auto"/>
              <w:rPr>
                <w:rFonts w:ascii="宋体" w:hAnsi="宋体"/>
                <w:sz w:val="24"/>
                <w:szCs w:val="22"/>
                <w:highlight w:val="none"/>
              </w:rPr>
            </w:pPr>
            <w:r>
              <w:rPr>
                <w:rFonts w:ascii="宋体" w:hAnsi="宋体"/>
                <w:sz w:val="24"/>
                <w:highlight w:val="none"/>
              </w:rPr>
              <w:t>2、验收由采购单位组织相关人员进行验收。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76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60" w:lineRule="auto"/>
              <w:textAlignment w:val="auto"/>
              <w:rPr>
                <w:rFonts w:ascii="宋体" w:hAnsi="宋体" w:cs="宋体"/>
                <w:sz w:val="24"/>
                <w:highlight w:val="none"/>
              </w:rPr>
            </w:pPr>
            <w:r>
              <w:rPr>
                <w:rFonts w:ascii="宋体" w:hAnsi="宋体" w:cs="宋体"/>
                <w:sz w:val="24"/>
                <w:szCs w:val="24"/>
                <w:highlight w:val="none"/>
              </w:rPr>
              <w:t>成果提交时间及地点</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7"/>
              </w:numPr>
              <w:kinsoku/>
              <w:wordWrap/>
              <w:overflowPunct/>
              <w:topLinePunct w:val="0"/>
              <w:bidi w:val="0"/>
              <w:spacing w:line="360" w:lineRule="auto"/>
              <w:jc w:val="left"/>
              <w:textAlignment w:val="auto"/>
              <w:rPr>
                <w:rFonts w:ascii="宋体" w:hAnsi="宋体"/>
                <w:sz w:val="24"/>
                <w:szCs w:val="24"/>
                <w:highlight w:val="none"/>
              </w:rPr>
            </w:pPr>
            <w:r>
              <w:rPr>
                <w:rFonts w:ascii="宋体" w:hAnsi="宋体"/>
                <w:sz w:val="24"/>
                <w:szCs w:val="24"/>
                <w:highlight w:val="none"/>
              </w:rPr>
              <w:t>地点：采购人指定。</w:t>
            </w:r>
          </w:p>
          <w:p>
            <w:pPr>
              <w:pageBreakBefore w:val="0"/>
              <w:kinsoku/>
              <w:wordWrap/>
              <w:overflowPunct/>
              <w:topLinePunct w:val="0"/>
              <w:bidi w:val="0"/>
              <w:spacing w:line="360" w:lineRule="auto"/>
              <w:jc w:val="left"/>
              <w:textAlignment w:val="auto"/>
              <w:rPr>
                <w:rFonts w:hAnsi="宋体"/>
                <w:highlight w:val="none"/>
              </w:rPr>
            </w:pPr>
            <w:r>
              <w:rPr>
                <w:sz w:val="24"/>
                <w:szCs w:val="24"/>
                <w:highlight w:val="none"/>
              </w:rPr>
              <w:t>2、时间及要求：截止2022年</w:t>
            </w:r>
            <w:r>
              <w:rPr>
                <w:rFonts w:hint="default"/>
                <w:sz w:val="24"/>
                <w:szCs w:val="24"/>
                <w:highlight w:val="none"/>
              </w:rPr>
              <w:t>12</w:t>
            </w:r>
            <w:r>
              <w:rPr>
                <w:sz w:val="24"/>
                <w:szCs w:val="24"/>
                <w:highlight w:val="none"/>
              </w:rPr>
              <w:t>月底前完成所有成果及资料整理并通过验收。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176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60" w:lineRule="auto"/>
              <w:textAlignment w:val="auto"/>
              <w:rPr>
                <w:rFonts w:ascii="宋体" w:hAnsi="Courier New"/>
                <w:sz w:val="24"/>
                <w:szCs w:val="24"/>
                <w:highlight w:val="none"/>
              </w:rPr>
            </w:pPr>
            <w:r>
              <w:rPr>
                <w:rFonts w:ascii="宋体" w:hAnsi="Courier New"/>
                <w:sz w:val="24"/>
                <w:szCs w:val="24"/>
                <w:highlight w:val="none"/>
              </w:rPr>
              <w:t>付款方式</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jc w:val="left"/>
              <w:textAlignment w:val="auto"/>
              <w:rPr>
                <w:sz w:val="24"/>
                <w:szCs w:val="24"/>
                <w:highlight w:val="none"/>
              </w:rPr>
            </w:pPr>
            <w:bookmarkStart w:id="82" w:name="_Hlk82682976"/>
            <w:r>
              <w:rPr>
                <w:rFonts w:ascii="宋体" w:hAnsi="Courier New"/>
                <w:sz w:val="24"/>
                <w:szCs w:val="24"/>
                <w:highlight w:val="none"/>
              </w:rPr>
              <w:t>最终成果通过专家组评审验收并提交正式报告后10日内一次性付清全款。</w:t>
            </w:r>
            <w:bookmarkEnd w:id="8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76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textAlignment w:val="auto"/>
              <w:rPr>
                <w:rFonts w:ascii="宋体" w:hAnsi="Courier New"/>
                <w:sz w:val="24"/>
                <w:szCs w:val="24"/>
                <w:highlight w:val="none"/>
              </w:rPr>
            </w:pPr>
            <w:r>
              <w:rPr>
                <w:rFonts w:ascii="宋体" w:hAnsi="Courier New"/>
                <w:sz w:val="24"/>
                <w:szCs w:val="24"/>
                <w:highlight w:val="none"/>
              </w:rPr>
              <w:t>最高限价</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textAlignment w:val="auto"/>
              <w:rPr>
                <w:rFonts w:ascii="宋体" w:hAnsi="Courier New"/>
                <w:sz w:val="24"/>
                <w:szCs w:val="24"/>
                <w:highlight w:val="none"/>
              </w:rPr>
            </w:pPr>
            <w:r>
              <w:rPr>
                <w:rFonts w:ascii="宋体" w:hAnsi="宋体" w:cs="宋体"/>
                <w:sz w:val="24"/>
                <w:szCs w:val="24"/>
                <w:highlight w:val="none"/>
              </w:rPr>
              <w:t>本项目最高限价为</w:t>
            </w:r>
            <w:r>
              <w:rPr>
                <w:rFonts w:hint="default" w:ascii="宋体" w:hAnsi="宋体" w:cs="宋体"/>
                <w:sz w:val="24"/>
                <w:szCs w:val="24"/>
                <w:highlight w:val="none"/>
              </w:rPr>
              <w:t>70</w:t>
            </w:r>
            <w:r>
              <w:rPr>
                <w:rFonts w:ascii="宋体" w:hAnsi="宋体" w:cs="宋体"/>
                <w:sz w:val="24"/>
                <w:szCs w:val="24"/>
                <w:highlight w:val="none"/>
              </w:rPr>
              <w:t>万元。</w:t>
            </w:r>
          </w:p>
        </w:tc>
      </w:tr>
    </w:tbl>
    <w:p>
      <w:pPr>
        <w:pStyle w:val="290"/>
        <w:rPr>
          <w:color w:val="auto"/>
          <w:highlight w:val="none"/>
        </w:rPr>
      </w:pPr>
    </w:p>
    <w:p>
      <w:pPr>
        <w:pStyle w:val="290"/>
        <w:rPr>
          <w:color w:val="auto"/>
          <w:highlight w:val="none"/>
        </w:rPr>
      </w:pPr>
    </w:p>
    <w:p>
      <w:pPr>
        <w:pStyle w:val="290"/>
        <w:rPr>
          <w:color w:val="auto"/>
          <w:highlight w:val="none"/>
        </w:rPr>
      </w:pPr>
    </w:p>
    <w:p>
      <w:pPr>
        <w:pStyle w:val="290"/>
        <w:rPr>
          <w:color w:val="auto"/>
          <w:highlight w:val="none"/>
        </w:rPr>
      </w:pPr>
    </w:p>
    <w:p>
      <w:pPr>
        <w:pStyle w:val="290"/>
        <w:rPr>
          <w:color w:val="auto"/>
          <w:highlight w:val="none"/>
        </w:rPr>
      </w:pPr>
    </w:p>
    <w:p>
      <w:pPr>
        <w:pStyle w:val="290"/>
        <w:rPr>
          <w:color w:val="auto"/>
          <w:highlight w:val="none"/>
        </w:rPr>
      </w:pPr>
    </w:p>
    <w:p>
      <w:pPr>
        <w:pStyle w:val="290"/>
        <w:rPr>
          <w:color w:val="auto"/>
          <w:highlight w:val="none"/>
        </w:rPr>
      </w:pPr>
    </w:p>
    <w:p>
      <w:pPr>
        <w:pStyle w:val="290"/>
        <w:rPr>
          <w:color w:val="auto"/>
          <w:highlight w:val="none"/>
        </w:rPr>
      </w:pPr>
    </w:p>
    <w:p>
      <w:pPr>
        <w:pStyle w:val="290"/>
        <w:rPr>
          <w:color w:val="auto"/>
          <w:highlight w:val="none"/>
        </w:rPr>
      </w:pPr>
    </w:p>
    <w:p>
      <w:pPr>
        <w:pStyle w:val="290"/>
        <w:rPr>
          <w:color w:val="auto"/>
          <w:highlight w:val="none"/>
        </w:rPr>
      </w:pPr>
    </w:p>
    <w:p>
      <w:pPr>
        <w:pStyle w:val="290"/>
        <w:rPr>
          <w:color w:val="auto"/>
          <w:highlight w:val="none"/>
        </w:rPr>
      </w:pPr>
    </w:p>
    <w:p>
      <w:pPr>
        <w:pStyle w:val="290"/>
        <w:rPr>
          <w:color w:val="auto"/>
          <w:highlight w:val="none"/>
        </w:rPr>
      </w:pPr>
    </w:p>
    <w:p>
      <w:pPr>
        <w:pStyle w:val="290"/>
        <w:rPr>
          <w:color w:val="auto"/>
          <w:highlight w:val="none"/>
        </w:rPr>
      </w:pPr>
    </w:p>
    <w:p>
      <w:pPr>
        <w:pStyle w:val="38"/>
        <w:rPr>
          <w:highlight w:val="none"/>
        </w:rPr>
      </w:pPr>
    </w:p>
    <w:p>
      <w:pPr>
        <w:rPr>
          <w:rFonts w:hint="eastAsia" w:ascii="宋体" w:hAnsi="宋体"/>
          <w:b/>
          <w:sz w:val="30"/>
          <w:szCs w:val="30"/>
          <w:highlight w:val="none"/>
        </w:rPr>
      </w:pPr>
      <w:r>
        <w:rPr>
          <w:rFonts w:hint="eastAsia" w:ascii="宋体" w:hAnsi="宋体"/>
          <w:b/>
          <w:sz w:val="30"/>
          <w:szCs w:val="30"/>
          <w:highlight w:val="none"/>
        </w:rPr>
        <w:br w:type="page"/>
      </w:r>
    </w:p>
    <w:p>
      <w:pPr>
        <w:spacing w:line="440" w:lineRule="exact"/>
        <w:jc w:val="center"/>
        <w:rPr>
          <w:rFonts w:ascii="宋体" w:hAnsi="宋体"/>
          <w:b/>
          <w:sz w:val="30"/>
          <w:szCs w:val="30"/>
          <w:highlight w:val="none"/>
        </w:rPr>
      </w:pPr>
      <w:r>
        <w:rPr>
          <w:rFonts w:hint="eastAsia" w:ascii="宋体" w:hAnsi="宋体"/>
          <w:b/>
          <w:sz w:val="30"/>
          <w:szCs w:val="30"/>
          <w:highlight w:val="none"/>
        </w:rPr>
        <w:t>第四部分 合同书</w:t>
      </w:r>
    </w:p>
    <w:p>
      <w:pPr>
        <w:spacing w:line="440" w:lineRule="exact"/>
        <w:jc w:val="center"/>
        <w:rPr>
          <w:rFonts w:ascii="宋体" w:hAnsi="宋体"/>
          <w:b/>
          <w:sz w:val="30"/>
          <w:szCs w:val="30"/>
          <w:highlight w:val="none"/>
        </w:rPr>
      </w:pPr>
    </w:p>
    <w:p>
      <w:pPr>
        <w:spacing w:line="360" w:lineRule="auto"/>
        <w:jc w:val="center"/>
        <w:rPr>
          <w:rFonts w:ascii="宋体" w:hAnsi="宋体"/>
          <w:b/>
          <w:bCs/>
          <w:sz w:val="36"/>
          <w:szCs w:val="36"/>
          <w:highlight w:val="none"/>
        </w:rPr>
      </w:pPr>
      <w:r>
        <w:rPr>
          <w:rFonts w:hint="eastAsia" w:ascii="宋体" w:hAnsi="宋体"/>
          <w:b/>
          <w:bCs/>
          <w:sz w:val="36"/>
          <w:szCs w:val="36"/>
          <w:highlight w:val="none"/>
          <w:lang w:eastAsia="zh-CN"/>
        </w:rPr>
        <w:t>新吴区地质灾害风险普查项目</w:t>
      </w:r>
      <w:r>
        <w:rPr>
          <w:rFonts w:hint="eastAsia" w:ascii="宋体" w:hAnsi="宋体"/>
          <w:b/>
          <w:bCs/>
          <w:sz w:val="36"/>
          <w:szCs w:val="36"/>
          <w:highlight w:val="none"/>
        </w:rPr>
        <w:t>合同</w:t>
      </w:r>
    </w:p>
    <w:p>
      <w:pPr>
        <w:spacing w:line="360" w:lineRule="auto"/>
        <w:rPr>
          <w:rFonts w:ascii="宋体" w:hAnsi="宋体"/>
          <w:sz w:val="28"/>
          <w:szCs w:val="28"/>
          <w:highlight w:val="none"/>
        </w:rPr>
      </w:pPr>
    </w:p>
    <w:p>
      <w:pPr>
        <w:spacing w:line="360" w:lineRule="auto"/>
        <w:rPr>
          <w:rFonts w:ascii="宋体" w:hAnsi="宋体"/>
          <w:sz w:val="28"/>
          <w:szCs w:val="28"/>
          <w:highlight w:val="none"/>
        </w:rPr>
      </w:pPr>
    </w:p>
    <w:p>
      <w:pPr>
        <w:spacing w:line="360" w:lineRule="auto"/>
        <w:rPr>
          <w:rFonts w:ascii="宋体" w:hAnsi="宋体"/>
          <w:sz w:val="28"/>
          <w:szCs w:val="28"/>
          <w:highlight w:val="none"/>
        </w:rPr>
      </w:pPr>
    </w:p>
    <w:p>
      <w:pPr>
        <w:spacing w:line="480" w:lineRule="auto"/>
        <w:ind w:firstLine="560" w:firstLineChars="200"/>
        <w:jc w:val="left"/>
        <w:rPr>
          <w:highlight w:val="none"/>
        </w:rPr>
      </w:pPr>
      <w:r>
        <w:rPr>
          <w:rFonts w:hint="eastAsia" w:ascii="宋体" w:hAnsi="宋体"/>
          <w:sz w:val="28"/>
          <w:szCs w:val="28"/>
          <w:highlight w:val="none"/>
        </w:rPr>
        <w:t>项目名称：</w:t>
      </w:r>
      <w:r>
        <w:rPr>
          <w:rFonts w:hint="eastAsia" w:ascii="宋体" w:hAnsi="宋体"/>
          <w:bCs/>
          <w:sz w:val="28"/>
          <w:szCs w:val="28"/>
          <w:highlight w:val="none"/>
          <w:lang w:eastAsia="zh-CN"/>
        </w:rPr>
        <w:t>新吴区地质灾害风险普查项目</w:t>
      </w:r>
    </w:p>
    <w:p>
      <w:pPr>
        <w:spacing w:line="360" w:lineRule="auto"/>
        <w:ind w:firstLine="420" w:firstLineChars="150"/>
        <w:rPr>
          <w:rFonts w:ascii="宋体" w:hAnsi="宋体"/>
          <w:b/>
          <w:sz w:val="32"/>
          <w:szCs w:val="32"/>
          <w:highlight w:val="none"/>
        </w:rPr>
      </w:pPr>
      <w:r>
        <w:rPr>
          <w:rFonts w:hint="eastAsia" w:ascii="宋体" w:hAnsi="宋体"/>
          <w:sz w:val="28"/>
          <w:szCs w:val="28"/>
          <w:highlight w:val="none"/>
        </w:rPr>
        <w:t>采购项目编号：</w:t>
      </w:r>
      <w:r>
        <w:rPr>
          <w:rFonts w:hint="eastAsia" w:ascii="宋体" w:hAnsi="宋体"/>
          <w:sz w:val="28"/>
          <w:szCs w:val="28"/>
          <w:highlight w:val="none"/>
          <w:lang w:eastAsia="zh-CN"/>
        </w:rPr>
        <w:t>WXZJCG2021-074</w:t>
      </w:r>
    </w:p>
    <w:p>
      <w:pPr>
        <w:spacing w:line="360" w:lineRule="auto"/>
        <w:rPr>
          <w:rFonts w:ascii="宋体" w:hAnsi="宋体"/>
          <w:sz w:val="28"/>
          <w:szCs w:val="28"/>
          <w:highlight w:val="none"/>
        </w:rPr>
      </w:pPr>
    </w:p>
    <w:p>
      <w:pPr>
        <w:spacing w:line="360" w:lineRule="auto"/>
        <w:rPr>
          <w:rFonts w:hint="eastAsia" w:ascii="宋体" w:hAnsi="宋体" w:eastAsia="宋体"/>
          <w:sz w:val="28"/>
          <w:szCs w:val="28"/>
          <w:highlight w:val="none"/>
          <w:lang w:eastAsia="zh-CN"/>
        </w:rPr>
      </w:pPr>
      <w:r>
        <w:rPr>
          <w:rFonts w:hint="eastAsia" w:ascii="宋体" w:hAnsi="宋体"/>
          <w:sz w:val="28"/>
          <w:szCs w:val="28"/>
          <w:highlight w:val="none"/>
        </w:rPr>
        <w:t xml:space="preserve">   委托方（甲方）：</w:t>
      </w:r>
      <w:r>
        <w:rPr>
          <w:rFonts w:hint="eastAsia" w:ascii="宋体" w:hAnsi="宋体"/>
          <w:sz w:val="28"/>
          <w:szCs w:val="28"/>
          <w:highlight w:val="none"/>
          <w:lang w:eastAsia="zh-CN"/>
        </w:rPr>
        <w:t>无锡市自然资源和规划局新吴分局</w:t>
      </w:r>
    </w:p>
    <w:p>
      <w:pPr>
        <w:spacing w:line="360" w:lineRule="auto"/>
        <w:rPr>
          <w:rFonts w:ascii="宋体" w:hAnsi="宋体"/>
          <w:sz w:val="28"/>
          <w:szCs w:val="28"/>
          <w:highlight w:val="none"/>
        </w:rPr>
      </w:pPr>
    </w:p>
    <w:p>
      <w:pPr>
        <w:spacing w:line="360" w:lineRule="auto"/>
        <w:rPr>
          <w:rFonts w:ascii="宋体" w:hAnsi="宋体"/>
          <w:sz w:val="28"/>
          <w:szCs w:val="28"/>
          <w:highlight w:val="none"/>
        </w:rPr>
      </w:pPr>
      <w:r>
        <w:rPr>
          <w:rFonts w:hint="eastAsia" w:ascii="宋体" w:hAnsi="宋体"/>
          <w:sz w:val="28"/>
          <w:szCs w:val="28"/>
          <w:highlight w:val="none"/>
        </w:rPr>
        <w:t xml:space="preserve">   受托方（乙方）：                                           </w:t>
      </w:r>
    </w:p>
    <w:p>
      <w:pPr>
        <w:spacing w:line="360" w:lineRule="auto"/>
        <w:rPr>
          <w:rFonts w:ascii="宋体" w:hAnsi="宋体"/>
          <w:sz w:val="28"/>
          <w:szCs w:val="28"/>
          <w:highlight w:val="none"/>
        </w:rPr>
      </w:pPr>
    </w:p>
    <w:p>
      <w:pPr>
        <w:spacing w:line="360" w:lineRule="auto"/>
        <w:rPr>
          <w:rFonts w:ascii="宋体" w:hAnsi="宋体"/>
          <w:sz w:val="28"/>
          <w:szCs w:val="28"/>
          <w:highlight w:val="none"/>
        </w:rPr>
      </w:pPr>
      <w:r>
        <w:rPr>
          <w:rFonts w:hint="eastAsia" w:ascii="宋体" w:hAnsi="宋体"/>
          <w:sz w:val="28"/>
          <w:szCs w:val="28"/>
          <w:highlight w:val="none"/>
        </w:rPr>
        <w:t xml:space="preserve">   签订时间：     年   月   日                             </w:t>
      </w:r>
    </w:p>
    <w:p>
      <w:pPr>
        <w:spacing w:line="360" w:lineRule="auto"/>
        <w:rPr>
          <w:rFonts w:ascii="宋体" w:hAnsi="宋体"/>
          <w:sz w:val="28"/>
          <w:szCs w:val="28"/>
          <w:highlight w:val="none"/>
        </w:rPr>
      </w:pPr>
    </w:p>
    <w:p>
      <w:pPr>
        <w:spacing w:line="360" w:lineRule="auto"/>
        <w:rPr>
          <w:rFonts w:ascii="宋体" w:hAnsi="宋体"/>
          <w:sz w:val="28"/>
          <w:szCs w:val="28"/>
          <w:highlight w:val="none"/>
        </w:rPr>
      </w:pPr>
      <w:r>
        <w:rPr>
          <w:rFonts w:hint="eastAsia" w:ascii="宋体" w:hAnsi="宋体"/>
          <w:sz w:val="28"/>
          <w:szCs w:val="28"/>
          <w:highlight w:val="none"/>
        </w:rPr>
        <w:t xml:space="preserve">   签订地点： 无锡</w:t>
      </w:r>
      <w:r>
        <w:rPr>
          <w:rFonts w:hint="eastAsia" w:ascii="宋体" w:hAnsi="宋体"/>
          <w:sz w:val="28"/>
          <w:szCs w:val="28"/>
          <w:highlight w:val="none"/>
          <w:lang w:val="en-US" w:eastAsia="zh-CN"/>
        </w:rPr>
        <w:t>市</w:t>
      </w:r>
      <w:r>
        <w:rPr>
          <w:rFonts w:hint="eastAsia" w:ascii="宋体" w:hAnsi="宋体"/>
          <w:sz w:val="28"/>
          <w:szCs w:val="28"/>
          <w:highlight w:val="none"/>
        </w:rPr>
        <w:t xml:space="preserve">                             </w:t>
      </w:r>
    </w:p>
    <w:p>
      <w:pPr>
        <w:spacing w:line="360" w:lineRule="auto"/>
        <w:rPr>
          <w:rFonts w:ascii="宋体" w:hAnsi="宋体"/>
          <w:sz w:val="28"/>
          <w:szCs w:val="28"/>
          <w:highlight w:val="none"/>
        </w:rPr>
      </w:pPr>
    </w:p>
    <w:p>
      <w:pPr>
        <w:pStyle w:val="73"/>
        <w:ind w:firstLine="560"/>
        <w:rPr>
          <w:rFonts w:ascii="宋体" w:hAnsi="宋体"/>
          <w:sz w:val="28"/>
          <w:szCs w:val="28"/>
          <w:highlight w:val="none"/>
        </w:rPr>
      </w:pPr>
    </w:p>
    <w:p>
      <w:pPr>
        <w:pStyle w:val="73"/>
        <w:ind w:firstLine="560"/>
        <w:rPr>
          <w:rFonts w:ascii="宋体" w:hAnsi="宋体"/>
          <w:sz w:val="28"/>
          <w:szCs w:val="28"/>
          <w:highlight w:val="none"/>
        </w:rPr>
      </w:pPr>
    </w:p>
    <w:p>
      <w:pPr>
        <w:pStyle w:val="73"/>
        <w:ind w:firstLine="560"/>
        <w:rPr>
          <w:rFonts w:ascii="宋体" w:hAnsi="宋体"/>
          <w:sz w:val="28"/>
          <w:szCs w:val="28"/>
          <w:highlight w:val="none"/>
        </w:rPr>
      </w:pPr>
    </w:p>
    <w:p>
      <w:pPr>
        <w:pStyle w:val="73"/>
        <w:ind w:firstLine="560"/>
        <w:rPr>
          <w:rFonts w:ascii="宋体" w:hAnsi="宋体"/>
          <w:sz w:val="28"/>
          <w:szCs w:val="28"/>
          <w:highlight w:val="none"/>
        </w:rPr>
      </w:pPr>
    </w:p>
    <w:p>
      <w:pPr>
        <w:pStyle w:val="73"/>
        <w:ind w:firstLine="560"/>
        <w:rPr>
          <w:rFonts w:ascii="宋体" w:hAnsi="宋体"/>
          <w:sz w:val="28"/>
          <w:szCs w:val="28"/>
          <w:highlight w:val="none"/>
        </w:rPr>
      </w:pPr>
    </w:p>
    <w:p>
      <w:pPr>
        <w:pStyle w:val="73"/>
        <w:ind w:firstLine="560"/>
        <w:rPr>
          <w:rFonts w:ascii="宋体" w:hAnsi="宋体"/>
          <w:sz w:val="28"/>
          <w:szCs w:val="28"/>
          <w:highlight w:val="none"/>
        </w:rPr>
      </w:pPr>
    </w:p>
    <w:p>
      <w:pPr>
        <w:pStyle w:val="73"/>
        <w:ind w:firstLine="560"/>
        <w:rPr>
          <w:rFonts w:ascii="宋体" w:hAnsi="宋体"/>
          <w:sz w:val="28"/>
          <w:szCs w:val="28"/>
          <w:highlight w:val="none"/>
        </w:rPr>
      </w:pPr>
    </w:p>
    <w:p>
      <w:pPr>
        <w:pStyle w:val="73"/>
        <w:ind w:firstLine="560"/>
        <w:rPr>
          <w:rFonts w:ascii="宋体" w:hAnsi="宋体"/>
          <w:sz w:val="28"/>
          <w:szCs w:val="28"/>
          <w:highlight w:val="none"/>
        </w:rPr>
      </w:pPr>
    </w:p>
    <w:p>
      <w:pPr>
        <w:pStyle w:val="73"/>
        <w:ind w:firstLine="560"/>
        <w:rPr>
          <w:rFonts w:ascii="宋体" w:hAnsi="宋体"/>
          <w:sz w:val="28"/>
          <w:szCs w:val="28"/>
          <w:highlight w:val="none"/>
        </w:rPr>
      </w:pPr>
    </w:p>
    <w:p>
      <w:pPr>
        <w:pStyle w:val="31"/>
        <w:snapToGrid w:val="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甲方（采购人）：无锡市自然资源和规划局新吴分局</w:t>
      </w:r>
    </w:p>
    <w:p>
      <w:pPr>
        <w:pStyle w:val="31"/>
        <w:snapToGrid w:val="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乙方（服务商）： </w:t>
      </w:r>
    </w:p>
    <w:p>
      <w:pPr>
        <w:pStyle w:val="31"/>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经过公开招标采购，确定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为中标单位，甲、乙双方经协商，达成以下条款：</w:t>
      </w:r>
    </w:p>
    <w:p>
      <w:pPr>
        <w:pStyle w:val="31"/>
        <w:snapToGrid w:val="0"/>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第一条：合同价格                                    金额单位：人民币元</w:t>
      </w:r>
    </w:p>
    <w:p>
      <w:pPr>
        <w:numPr>
          <w:ilvl w:val="0"/>
          <w:numId w:val="18"/>
        </w:numPr>
        <w:tabs>
          <w:tab w:val="left" w:pos="540"/>
        </w:tabs>
        <w:autoSpaceDE w:val="0"/>
        <w:autoSpaceDN w:val="0"/>
        <w:adjustRightInd w:val="0"/>
        <w:spacing w:line="450" w:lineRule="exact"/>
        <w:ind w:firstLine="118" w:firstLineChars="49"/>
        <w:rPr>
          <w:rFonts w:hint="eastAsia" w:ascii="宋体" w:hAnsi="宋体" w:eastAsia="宋体" w:cs="宋体"/>
          <w:b/>
          <w:sz w:val="24"/>
          <w:szCs w:val="24"/>
          <w:highlight w:val="none"/>
        </w:rPr>
      </w:pPr>
      <w:r>
        <w:rPr>
          <w:rFonts w:hint="eastAsia" w:ascii="宋体" w:hAnsi="宋体" w:eastAsia="宋体" w:cs="宋体"/>
          <w:b/>
          <w:sz w:val="24"/>
          <w:szCs w:val="24"/>
          <w:highlight w:val="none"/>
        </w:rPr>
        <w:t>价格总额：</w:t>
      </w:r>
    </w:p>
    <w:p>
      <w:pPr>
        <w:spacing w:after="120" w:line="45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本合同总价款为：人民币（大写）：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（小写¥: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pPr>
        <w:numPr>
          <w:ilvl w:val="0"/>
          <w:numId w:val="18"/>
        </w:numPr>
        <w:tabs>
          <w:tab w:val="left" w:pos="540"/>
        </w:tabs>
        <w:autoSpaceDE w:val="0"/>
        <w:autoSpaceDN w:val="0"/>
        <w:adjustRightInd w:val="0"/>
        <w:spacing w:line="450" w:lineRule="exact"/>
        <w:ind w:firstLine="118" w:firstLineChars="49"/>
        <w:rPr>
          <w:rFonts w:hint="eastAsia" w:ascii="宋体" w:hAnsi="宋体" w:eastAsia="宋体" w:cs="宋体"/>
          <w:b/>
          <w:sz w:val="24"/>
          <w:szCs w:val="24"/>
          <w:highlight w:val="none"/>
        </w:rPr>
      </w:pPr>
      <w:r>
        <w:rPr>
          <w:rFonts w:hint="eastAsia" w:ascii="宋体" w:hAnsi="宋体" w:eastAsia="宋体" w:cs="宋体"/>
          <w:b/>
          <w:sz w:val="24"/>
          <w:szCs w:val="24"/>
          <w:highlight w:val="none"/>
        </w:rPr>
        <w:t>价格与支付：</w:t>
      </w:r>
    </w:p>
    <w:p>
      <w:pPr>
        <w:tabs>
          <w:tab w:val="center" w:pos="5131"/>
        </w:tabs>
        <w:spacing w:line="45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本合同价款采用固定</w:t>
      </w:r>
      <w:r>
        <w:rPr>
          <w:rFonts w:hint="eastAsia" w:ascii="宋体" w:hAnsi="宋体" w:eastAsia="宋体" w:cs="宋体"/>
          <w:sz w:val="24"/>
          <w:szCs w:val="24"/>
          <w:highlight w:val="none"/>
        </w:rPr>
        <w:t>总价</w:t>
      </w:r>
      <w:r>
        <w:rPr>
          <w:rFonts w:hint="eastAsia" w:ascii="宋体" w:hAnsi="宋体" w:eastAsia="宋体" w:cs="宋体"/>
          <w:sz w:val="24"/>
          <w:szCs w:val="24"/>
          <w:highlight w:val="none"/>
          <w:lang w:val="zh-CN"/>
        </w:rPr>
        <w:t>方式确定。</w:t>
      </w:r>
    </w:p>
    <w:p>
      <w:pPr>
        <w:tabs>
          <w:tab w:val="center" w:pos="5131"/>
        </w:tabs>
        <w:spacing w:line="45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合同总价为包括完成标的物的所有内容所需的人工费、差旅食宿费、文印费、资料搜集、综合整理、文本编制、图件编制、资料费、管理、保险、利润、税金、政策性文件规定的及合同包含的所有可预见及不可预见的风险、责任等各项应有费用，以及其他辅助费用。</w:t>
      </w:r>
    </w:p>
    <w:p>
      <w:pPr>
        <w:tabs>
          <w:tab w:val="center" w:pos="5131"/>
        </w:tabs>
        <w:spacing w:line="45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2、遇法律法规规定最低工资调整，其中人工费用相应浮动，由乙方自行承担。该项目的作业人员社会保险费用集体交纳部分已包括在</w:t>
      </w:r>
      <w:r>
        <w:rPr>
          <w:rFonts w:hint="eastAsia" w:ascii="宋体" w:hAnsi="宋体" w:eastAsia="宋体" w:cs="宋体"/>
          <w:sz w:val="24"/>
          <w:szCs w:val="24"/>
          <w:highlight w:val="none"/>
        </w:rPr>
        <w:t>中标</w:t>
      </w:r>
      <w:r>
        <w:rPr>
          <w:rFonts w:hint="eastAsia" w:ascii="宋体" w:hAnsi="宋体" w:eastAsia="宋体" w:cs="宋体"/>
          <w:sz w:val="24"/>
          <w:szCs w:val="24"/>
          <w:highlight w:val="none"/>
          <w:lang w:val="zh-CN"/>
        </w:rPr>
        <w:t>价中，需按时交纳。若遇法律法规规定社会保险费用集体交纳部分调整，则费用相应浮动，由乙方自行承担。</w:t>
      </w:r>
    </w:p>
    <w:p>
      <w:pPr>
        <w:tabs>
          <w:tab w:val="left" w:pos="0"/>
        </w:tabs>
        <w:spacing w:line="45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3、甲方支付此项费用外不再承担其它任何费用。</w:t>
      </w:r>
    </w:p>
    <w:p>
      <w:pPr>
        <w:spacing w:line="45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4、付款方式：</w:t>
      </w:r>
      <w:r>
        <w:rPr>
          <w:rFonts w:hint="eastAsia" w:ascii="宋体" w:hAnsi="宋体" w:eastAsia="宋体" w:cs="宋体"/>
          <w:sz w:val="24"/>
          <w:szCs w:val="24"/>
          <w:highlight w:val="none"/>
        </w:rPr>
        <w:t>最终成果通过专家组评审验收并提交正式报告后10日内一次性付清全款。</w:t>
      </w:r>
    </w:p>
    <w:p>
      <w:pPr>
        <w:pStyle w:val="31"/>
        <w:tabs>
          <w:tab w:val="right" w:pos="8306"/>
        </w:tabs>
        <w:snapToGrid w:val="0"/>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第二条：履约期限和质量保证</w:t>
      </w:r>
      <w:r>
        <w:rPr>
          <w:rFonts w:hint="eastAsia" w:ascii="宋体" w:hAnsi="宋体" w:eastAsia="宋体" w:cs="宋体"/>
          <w:b/>
          <w:sz w:val="24"/>
          <w:szCs w:val="24"/>
          <w:highlight w:val="none"/>
        </w:rPr>
        <w:tab/>
      </w:r>
    </w:p>
    <w:p>
      <w:pPr>
        <w:pStyle w:val="31"/>
        <w:numPr>
          <w:ilvl w:val="0"/>
          <w:numId w:val="19"/>
        </w:numPr>
        <w:snapToGrid w:val="0"/>
        <w:spacing w:line="4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履约期限</w:t>
      </w:r>
    </w:p>
    <w:p>
      <w:pPr>
        <w:snapToGrid w:val="0"/>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2022年12月底前完成所有成果及资料整理并通过验收。</w:t>
      </w:r>
    </w:p>
    <w:p>
      <w:pPr>
        <w:pStyle w:val="31"/>
        <w:numPr>
          <w:ilvl w:val="0"/>
          <w:numId w:val="19"/>
        </w:numPr>
        <w:snapToGrid w:val="0"/>
        <w:spacing w:line="4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质量保证</w:t>
      </w:r>
    </w:p>
    <w:p>
      <w:pPr>
        <w:pStyle w:val="31"/>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乙方保证本合同中所供应的数据和资料的真实性；如发生所供服务与合同不符，甲方（使用方）有权拒收并终止合同，由此产生的一切责任和后果由乙方承担。</w:t>
      </w:r>
    </w:p>
    <w:p>
      <w:pPr>
        <w:pStyle w:val="31"/>
        <w:snapToGrid w:val="0"/>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第三条：甲方的权利和义务</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1、项目从招标到完成报告的全部资料及数据成果所有权和使用权均属于甲方。</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2、甲方应支持配合乙方对相关资料的收集。</w:t>
      </w:r>
    </w:p>
    <w:p>
      <w:pPr>
        <w:spacing w:line="460" w:lineRule="exact"/>
        <w:ind w:firstLine="480" w:firstLineChars="200"/>
        <w:rPr>
          <w:rFonts w:hint="eastAsia" w:ascii="宋体" w:hAnsi="宋体" w:eastAsia="宋体" w:cs="宋体"/>
          <w:sz w:val="24"/>
          <w:szCs w:val="24"/>
          <w:highlight w:val="none"/>
        </w:rPr>
      </w:pPr>
      <w:bookmarkStart w:id="83" w:name="_Hlk82683810"/>
      <w:r>
        <w:rPr>
          <w:rFonts w:hint="eastAsia" w:ascii="宋体" w:hAnsi="宋体" w:eastAsia="宋体" w:cs="宋体"/>
          <w:sz w:val="24"/>
          <w:szCs w:val="24"/>
          <w:highlight w:val="none"/>
        </w:rPr>
        <w:t>3、根据合同要求支付项目合同款项。</w:t>
      </w:r>
    </w:p>
    <w:bookmarkEnd w:id="83"/>
    <w:p>
      <w:pPr>
        <w:spacing w:line="4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第四条：乙方的权利和义务</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1、乙方不得以任何理由留存项目成果，否则承担由此产生的一切法律和经济责任。未经甲方同意，任何单位和个人不得转让和使用本项目成果。</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2、资料档案及保密要求：</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（1）乙方应当对每宗作业情况建立完整的电子档案，同时提交纸质成果5份，在合同正常履行完毕后全部移交给甲方保管。</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（2）乙方应当遵守相关保密法律、法规，确保技术资料的信息安全。</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3、乙方须将技术（服务）成果送到指定地点，各项技术参数及成果必须满足甲方的要求。</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4、服务时限要求：按项目具体要求。</w:t>
      </w:r>
    </w:p>
    <w:p>
      <w:pPr>
        <w:pStyle w:val="31"/>
        <w:snapToGrid w:val="0"/>
        <w:spacing w:line="4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第五条：款项支付</w:t>
      </w:r>
    </w:p>
    <w:p>
      <w:pPr>
        <w:pStyle w:val="543"/>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最终成果通过专家组评审验收并提交正式报告后10日内一次性付清全款。</w:t>
      </w:r>
    </w:p>
    <w:p>
      <w:pPr>
        <w:pStyle w:val="31"/>
        <w:snapToGrid w:val="0"/>
        <w:spacing w:line="4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第六条：验收</w:t>
      </w:r>
    </w:p>
    <w:p>
      <w:pPr>
        <w:snapToGrid w:val="0"/>
        <w:spacing w:line="460" w:lineRule="exact"/>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1、中标人提供的产品及服务必须是经合法途径取得的。</w:t>
      </w:r>
    </w:p>
    <w:p>
      <w:pPr>
        <w:snapToGrid w:val="0"/>
        <w:spacing w:line="460" w:lineRule="exact"/>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2、中标人应按现行的国家（省）或行业技术及验收标准和招标文件的规定提供服务，因中标人提供的服务达不到约定的质量标准或导致采购人的项目不能通过考核验收的，中标人承担违约责任。</w:t>
      </w:r>
    </w:p>
    <w:p>
      <w:pPr>
        <w:spacing w:line="460" w:lineRule="exact"/>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3、双方对服务的质量有争议的，由行业主管部门认定，所需费及因此造成的损失由责任方承担，双方均有责任的，双方根据其责任分别承担。</w:t>
      </w:r>
    </w:p>
    <w:p>
      <w:pPr>
        <w:pStyle w:val="31"/>
        <w:snapToGrid w:val="0"/>
        <w:spacing w:line="4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第七条：其他约定</w:t>
      </w:r>
    </w:p>
    <w:p>
      <w:pPr>
        <w:pStyle w:val="31"/>
        <w:snapToGrid w:val="0"/>
        <w:spacing w:line="46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招标文件以及投标文件、询标纪要、“承诺书”是本合同不可分割的组成部分，本合同未尽事宜从其规定。</w:t>
      </w:r>
    </w:p>
    <w:p>
      <w:pPr>
        <w:pStyle w:val="31"/>
        <w:snapToGrid w:val="0"/>
        <w:spacing w:line="46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甲方具有本项目的全部知识产权。乙方如需使用，需经甲方同意。</w:t>
      </w:r>
    </w:p>
    <w:p>
      <w:pPr>
        <w:pStyle w:val="31"/>
        <w:snapToGrid w:val="0"/>
        <w:spacing w:line="46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第八条：违约责任</w:t>
      </w:r>
      <w:r>
        <w:rPr>
          <w:rFonts w:hint="eastAsia" w:ascii="宋体" w:hAnsi="宋体" w:eastAsia="宋体" w:cs="宋体"/>
          <w:sz w:val="24"/>
          <w:szCs w:val="24"/>
          <w:highlight w:val="none"/>
        </w:rPr>
        <w:tab/>
      </w:r>
    </w:p>
    <w:p>
      <w:pPr>
        <w:pStyle w:val="31"/>
        <w:snapToGrid w:val="0"/>
        <w:spacing w:line="4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1、乙方逾期履行合同的，自逾期之日起，向甲方每日偿付合同总价万分之一的滞纳金；乙方逾期60日（非工作日）不能完成的，甲方有权解除合同。</w:t>
      </w:r>
    </w:p>
    <w:p>
      <w:pPr>
        <w:pStyle w:val="31"/>
        <w:snapToGrid w:val="0"/>
        <w:spacing w:line="4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2、甲方逾期支付服务费的，自逾期之日起，向乙方每日偿付合同总价万分之一的滞纳金；甲方无正当理由拒付服务费的，应向乙方偿付合同总价百分之三的违约金。</w:t>
      </w:r>
    </w:p>
    <w:p>
      <w:pPr>
        <w:pStyle w:val="31"/>
        <w:snapToGrid w:val="0"/>
        <w:spacing w:line="4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3、完成本招标工作后一年内被发现有漏查或错查的，乙方应无偿履行清查责任。</w:t>
      </w:r>
    </w:p>
    <w:p>
      <w:pPr>
        <w:pStyle w:val="31"/>
        <w:adjustRightInd w:val="0"/>
        <w:snapToGrid w:val="0"/>
        <w:spacing w:before="0" w:beforeLines="0" w:after="0" w:afterLines="0" w:line="460" w:lineRule="exact"/>
        <w:ind w:firstLine="513" w:firstLineChars="213"/>
        <w:rPr>
          <w:rFonts w:hint="eastAsia" w:ascii="宋体" w:hAnsi="宋体" w:eastAsia="宋体" w:cs="宋体"/>
          <w:b/>
          <w:sz w:val="24"/>
          <w:szCs w:val="24"/>
          <w:highlight w:val="none"/>
        </w:rPr>
      </w:pPr>
      <w:r>
        <w:rPr>
          <w:rFonts w:hint="eastAsia" w:ascii="宋体" w:hAnsi="宋体" w:eastAsia="宋体" w:cs="宋体"/>
          <w:b/>
          <w:sz w:val="24"/>
          <w:szCs w:val="24"/>
          <w:highlight w:val="none"/>
        </w:rPr>
        <w:t>第九条</w:t>
      </w:r>
      <w:r>
        <w:rPr>
          <w:rFonts w:hint="eastAsia" w:ascii="宋体" w:hAnsi="宋体" w:eastAsia="宋体" w:cs="宋体"/>
          <w:b/>
          <w:snapToGrid w:val="0"/>
          <w:kern w:val="0"/>
          <w:sz w:val="24"/>
          <w:szCs w:val="24"/>
          <w:highlight w:val="none"/>
        </w:rPr>
        <w:t>、</w:t>
      </w:r>
      <w:r>
        <w:rPr>
          <w:rFonts w:hint="eastAsia" w:ascii="宋体" w:hAnsi="宋体" w:eastAsia="宋体" w:cs="宋体"/>
          <w:b/>
          <w:sz w:val="24"/>
          <w:szCs w:val="24"/>
          <w:highlight w:val="none"/>
        </w:rPr>
        <w:t>安全责任</w:t>
      </w:r>
    </w:p>
    <w:p>
      <w:pPr>
        <w:spacing w:line="460" w:lineRule="exact"/>
        <w:ind w:right="-235" w:rightChars="-112"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服务期内项目实施过程中的各种意外，其责任由乙方承担，采购人不承担任何责任。</w:t>
      </w:r>
    </w:p>
    <w:p>
      <w:pPr>
        <w:pStyle w:val="31"/>
        <w:adjustRightInd w:val="0"/>
        <w:snapToGrid w:val="0"/>
        <w:spacing w:before="0" w:beforeLines="0" w:after="0" w:afterLines="0" w:line="460" w:lineRule="exact"/>
        <w:rPr>
          <w:rFonts w:hint="eastAsia" w:ascii="宋体" w:hAnsi="宋体" w:eastAsia="宋体" w:cs="宋体"/>
          <w:b/>
          <w:snapToGrid w:val="0"/>
          <w:kern w:val="0"/>
          <w:sz w:val="24"/>
          <w:szCs w:val="24"/>
          <w:highlight w:val="none"/>
        </w:rPr>
      </w:pPr>
      <w:r>
        <w:rPr>
          <w:rFonts w:hint="eastAsia" w:ascii="宋体" w:hAnsi="宋体" w:eastAsia="宋体" w:cs="宋体"/>
          <w:b/>
          <w:sz w:val="24"/>
          <w:szCs w:val="24"/>
          <w:highlight w:val="none"/>
        </w:rPr>
        <w:t>第十条、</w:t>
      </w:r>
      <w:r>
        <w:rPr>
          <w:rFonts w:hint="eastAsia" w:ascii="宋体" w:hAnsi="宋体" w:eastAsia="宋体" w:cs="宋体"/>
          <w:b/>
          <w:snapToGrid w:val="0"/>
          <w:kern w:val="0"/>
          <w:sz w:val="24"/>
          <w:szCs w:val="24"/>
          <w:highlight w:val="none"/>
        </w:rPr>
        <w:t>不可抗力事件处理</w:t>
      </w:r>
    </w:p>
    <w:p>
      <w:pPr>
        <w:pStyle w:val="31"/>
        <w:adjustRightInd w:val="0"/>
        <w:snapToGrid w:val="0"/>
        <w:spacing w:before="0" w:beforeLines="0" w:after="0" w:afterLines="0" w:line="460" w:lineRule="exact"/>
        <w:ind w:firstLine="511" w:firstLineChars="213"/>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 在合同有效期内，任何一方因不可抗力事件导致不能履行合同，则合同履行期可延长，其延长期与不可抗力影响期相同。</w:t>
      </w:r>
    </w:p>
    <w:p>
      <w:pPr>
        <w:pStyle w:val="31"/>
        <w:adjustRightInd w:val="0"/>
        <w:snapToGrid w:val="0"/>
        <w:spacing w:before="0" w:beforeLines="0" w:after="0" w:afterLines="0" w:line="460" w:lineRule="exact"/>
        <w:ind w:firstLine="511" w:firstLineChars="213"/>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 不可抗力事件发生后，应立即通知对方，并寄送有关权威机构出具的证明。</w:t>
      </w:r>
    </w:p>
    <w:p>
      <w:pPr>
        <w:pStyle w:val="31"/>
        <w:adjustRightInd w:val="0"/>
        <w:snapToGrid w:val="0"/>
        <w:spacing w:before="0" w:beforeLines="0" w:after="0" w:afterLines="0" w:line="460" w:lineRule="exact"/>
        <w:ind w:firstLine="511" w:firstLineChars="213"/>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 不可抗力事件延续120天以上，双方应通过友好协商，确定是否继续履行合同。</w:t>
      </w:r>
    </w:p>
    <w:p>
      <w:pPr>
        <w:pStyle w:val="31"/>
        <w:adjustRightInd w:val="0"/>
        <w:snapToGrid w:val="0"/>
        <w:spacing w:before="0" w:beforeLines="0" w:after="0" w:afterLines="0" w:line="460" w:lineRule="exact"/>
        <w:rPr>
          <w:rFonts w:hint="eastAsia" w:ascii="宋体" w:hAnsi="宋体" w:eastAsia="宋体" w:cs="宋体"/>
          <w:b/>
          <w:snapToGrid w:val="0"/>
          <w:kern w:val="0"/>
          <w:sz w:val="24"/>
          <w:szCs w:val="24"/>
          <w:highlight w:val="none"/>
        </w:rPr>
      </w:pPr>
      <w:r>
        <w:rPr>
          <w:rFonts w:hint="eastAsia" w:ascii="宋体" w:hAnsi="宋体" w:eastAsia="宋体" w:cs="宋体"/>
          <w:b/>
          <w:sz w:val="24"/>
          <w:szCs w:val="24"/>
          <w:highlight w:val="none"/>
        </w:rPr>
        <w:t>第十一条</w:t>
      </w:r>
      <w:r>
        <w:rPr>
          <w:rFonts w:hint="eastAsia" w:ascii="宋体" w:hAnsi="宋体" w:eastAsia="宋体" w:cs="宋体"/>
          <w:b/>
          <w:snapToGrid w:val="0"/>
          <w:kern w:val="0"/>
          <w:sz w:val="24"/>
          <w:szCs w:val="24"/>
          <w:highlight w:val="none"/>
        </w:rPr>
        <w:t>、诉讼</w:t>
      </w:r>
    </w:p>
    <w:p>
      <w:pPr>
        <w:pStyle w:val="31"/>
        <w:adjustRightInd w:val="0"/>
        <w:snapToGrid w:val="0"/>
        <w:spacing w:before="0" w:beforeLines="0" w:after="0" w:afterLines="0" w:line="460" w:lineRule="exact"/>
        <w:ind w:firstLine="511" w:firstLineChars="213"/>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双方在执行合同中所发生的一切争议，应通过协商解决。如协商不成，可向甲方所在地法院起诉。</w:t>
      </w:r>
    </w:p>
    <w:p>
      <w:pPr>
        <w:pStyle w:val="31"/>
        <w:adjustRightInd w:val="0"/>
        <w:snapToGrid w:val="0"/>
        <w:spacing w:before="0" w:beforeLines="0" w:after="0" w:afterLines="0" w:line="460" w:lineRule="exact"/>
        <w:rPr>
          <w:rFonts w:hint="eastAsia" w:ascii="宋体" w:hAnsi="宋体" w:eastAsia="宋体" w:cs="宋体"/>
          <w:b/>
          <w:snapToGrid w:val="0"/>
          <w:kern w:val="0"/>
          <w:sz w:val="24"/>
          <w:szCs w:val="24"/>
          <w:highlight w:val="none"/>
        </w:rPr>
      </w:pPr>
      <w:r>
        <w:rPr>
          <w:rFonts w:hint="eastAsia" w:ascii="宋体" w:hAnsi="宋体" w:eastAsia="宋体" w:cs="宋体"/>
          <w:b/>
          <w:sz w:val="24"/>
          <w:szCs w:val="24"/>
          <w:highlight w:val="none"/>
        </w:rPr>
        <w:t>第十二条</w:t>
      </w:r>
      <w:r>
        <w:rPr>
          <w:rFonts w:hint="eastAsia" w:ascii="宋体" w:hAnsi="宋体" w:eastAsia="宋体" w:cs="宋体"/>
          <w:b/>
          <w:snapToGrid w:val="0"/>
          <w:kern w:val="0"/>
          <w:sz w:val="24"/>
          <w:szCs w:val="24"/>
          <w:highlight w:val="none"/>
        </w:rPr>
        <w:t>、合同生效及其它</w:t>
      </w:r>
    </w:p>
    <w:p>
      <w:pPr>
        <w:pStyle w:val="31"/>
        <w:snapToGrid w:val="0"/>
        <w:spacing w:before="0" w:beforeLines="0" w:after="0" w:afterLines="0"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1、本合同经甲方、乙方法定代表人或其委托人签字并加盖双方公章后生效。</w:t>
      </w:r>
    </w:p>
    <w:p>
      <w:pPr>
        <w:pStyle w:val="31"/>
        <w:snapToGrid w:val="0"/>
        <w:spacing w:before="0" w:beforeLines="0" w:after="0" w:afterLines="0"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2、本合同一式六份，甲、乙双方各执三份。</w:t>
      </w:r>
    </w:p>
    <w:p>
      <w:pPr>
        <w:pStyle w:val="31"/>
        <w:adjustRightInd w:val="0"/>
        <w:snapToGrid w:val="0"/>
        <w:spacing w:before="0" w:beforeLines="0" w:after="0" w:afterLines="0" w:line="46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z w:val="24"/>
          <w:szCs w:val="24"/>
          <w:highlight w:val="none"/>
        </w:rPr>
        <w:t>3、与本合同有关标书及记录同本合同具有同等法律效果</w:t>
      </w:r>
      <w:r>
        <w:rPr>
          <w:rFonts w:hint="eastAsia" w:ascii="宋体" w:hAnsi="宋体" w:eastAsia="宋体" w:cs="宋体"/>
          <w:snapToGrid w:val="0"/>
          <w:kern w:val="0"/>
          <w:sz w:val="24"/>
          <w:szCs w:val="24"/>
          <w:highlight w:val="none"/>
        </w:rPr>
        <w:t>。</w:t>
      </w:r>
    </w:p>
    <w:tbl>
      <w:tblPr>
        <w:tblStyle w:val="62"/>
        <w:tblW w:w="0" w:type="auto"/>
        <w:jc w:val="center"/>
        <w:tblLayout w:type="fixed"/>
        <w:tblCellMar>
          <w:top w:w="0" w:type="dxa"/>
          <w:left w:w="108" w:type="dxa"/>
          <w:bottom w:w="0" w:type="dxa"/>
          <w:right w:w="108" w:type="dxa"/>
        </w:tblCellMar>
      </w:tblPr>
      <w:tblGrid>
        <w:gridCol w:w="4928"/>
        <w:gridCol w:w="4394"/>
      </w:tblGrid>
      <w:tr>
        <w:tblPrEx>
          <w:tblCellMar>
            <w:top w:w="0" w:type="dxa"/>
            <w:left w:w="108" w:type="dxa"/>
            <w:bottom w:w="0" w:type="dxa"/>
            <w:right w:w="108" w:type="dxa"/>
          </w:tblCellMar>
        </w:tblPrEx>
        <w:trPr>
          <w:trHeight w:val="567" w:hRule="atLeast"/>
          <w:jc w:val="center"/>
        </w:trPr>
        <w:tc>
          <w:tcPr>
            <w:tcW w:w="4928"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甲方（公章）：</w:t>
            </w:r>
          </w:p>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无锡市自然资源和规划局新吴分局</w:t>
            </w:r>
          </w:p>
        </w:tc>
        <w:tc>
          <w:tcPr>
            <w:tcW w:w="4394"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乙方（公章）：</w:t>
            </w:r>
          </w:p>
        </w:tc>
      </w:tr>
      <w:tr>
        <w:tblPrEx>
          <w:tblCellMar>
            <w:top w:w="0" w:type="dxa"/>
            <w:left w:w="108" w:type="dxa"/>
            <w:bottom w:w="0" w:type="dxa"/>
            <w:right w:w="108" w:type="dxa"/>
          </w:tblCellMar>
        </w:tblPrEx>
        <w:trPr>
          <w:trHeight w:val="567" w:hRule="atLeast"/>
          <w:jc w:val="center"/>
        </w:trPr>
        <w:tc>
          <w:tcPr>
            <w:tcW w:w="4928"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法定代表人或授权委托人：</w:t>
            </w:r>
          </w:p>
          <w:p>
            <w:pPr>
              <w:pStyle w:val="31"/>
              <w:snapToGrid w:val="0"/>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（签字）</w:t>
            </w:r>
          </w:p>
        </w:tc>
        <w:tc>
          <w:tcPr>
            <w:tcW w:w="4394"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法定代表人或授权委托人：</w:t>
            </w:r>
          </w:p>
          <w:p>
            <w:pPr>
              <w:pStyle w:val="31"/>
              <w:snapToGrid w:val="0"/>
              <w:spacing w:line="360" w:lineRule="auto"/>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rPr>
              <w:t>（签字）</w:t>
            </w:r>
          </w:p>
        </w:tc>
      </w:tr>
      <w:tr>
        <w:tblPrEx>
          <w:tblCellMar>
            <w:top w:w="0" w:type="dxa"/>
            <w:left w:w="108" w:type="dxa"/>
            <w:bottom w:w="0" w:type="dxa"/>
            <w:right w:w="108" w:type="dxa"/>
          </w:tblCellMar>
        </w:tblPrEx>
        <w:trPr>
          <w:trHeight w:val="567" w:hRule="atLeast"/>
          <w:jc w:val="center"/>
        </w:trPr>
        <w:tc>
          <w:tcPr>
            <w:tcW w:w="4928"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4394"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r>
      <w:tr>
        <w:tblPrEx>
          <w:tblCellMar>
            <w:top w:w="0" w:type="dxa"/>
            <w:left w:w="108" w:type="dxa"/>
            <w:bottom w:w="0" w:type="dxa"/>
            <w:right w:w="108" w:type="dxa"/>
          </w:tblCellMar>
        </w:tblPrEx>
        <w:trPr>
          <w:trHeight w:val="567" w:hRule="atLeast"/>
          <w:jc w:val="center"/>
        </w:trPr>
        <w:tc>
          <w:tcPr>
            <w:tcW w:w="4928"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邮编：214000  </w:t>
            </w:r>
          </w:p>
        </w:tc>
        <w:tc>
          <w:tcPr>
            <w:tcW w:w="4394"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tc>
      </w:tr>
      <w:tr>
        <w:tblPrEx>
          <w:tblCellMar>
            <w:top w:w="0" w:type="dxa"/>
            <w:left w:w="108" w:type="dxa"/>
            <w:bottom w:w="0" w:type="dxa"/>
            <w:right w:w="108" w:type="dxa"/>
          </w:tblCellMar>
        </w:tblPrEx>
        <w:trPr>
          <w:trHeight w:val="567" w:hRule="atLeast"/>
          <w:jc w:val="center"/>
        </w:trPr>
        <w:tc>
          <w:tcPr>
            <w:tcW w:w="4928"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4394"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CellMar>
            <w:top w:w="0" w:type="dxa"/>
            <w:left w:w="108" w:type="dxa"/>
            <w:bottom w:w="0" w:type="dxa"/>
            <w:right w:w="108" w:type="dxa"/>
          </w:tblCellMar>
        </w:tblPrEx>
        <w:trPr>
          <w:trHeight w:val="567" w:hRule="atLeast"/>
          <w:jc w:val="center"/>
        </w:trPr>
        <w:tc>
          <w:tcPr>
            <w:tcW w:w="4928"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4394"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r>
      <w:tr>
        <w:tblPrEx>
          <w:tblCellMar>
            <w:top w:w="0" w:type="dxa"/>
            <w:left w:w="108" w:type="dxa"/>
            <w:bottom w:w="0" w:type="dxa"/>
            <w:right w:w="108" w:type="dxa"/>
          </w:tblCellMar>
        </w:tblPrEx>
        <w:trPr>
          <w:trHeight w:val="567" w:hRule="atLeast"/>
          <w:jc w:val="center"/>
        </w:trPr>
        <w:tc>
          <w:tcPr>
            <w:tcW w:w="4928"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w:t>
            </w:r>
          </w:p>
        </w:tc>
        <w:tc>
          <w:tcPr>
            <w:tcW w:w="4394"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tblPrEx>
          <w:tblCellMar>
            <w:top w:w="0" w:type="dxa"/>
            <w:left w:w="108" w:type="dxa"/>
            <w:bottom w:w="0" w:type="dxa"/>
            <w:right w:w="108" w:type="dxa"/>
          </w:tblCellMar>
        </w:tblPrEx>
        <w:trPr>
          <w:trHeight w:val="567" w:hRule="atLeast"/>
          <w:jc w:val="center"/>
        </w:trPr>
        <w:tc>
          <w:tcPr>
            <w:tcW w:w="4928"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帐号： </w:t>
            </w:r>
          </w:p>
        </w:tc>
        <w:tc>
          <w:tcPr>
            <w:tcW w:w="4394"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帐号：</w:t>
            </w:r>
          </w:p>
        </w:tc>
      </w:tr>
      <w:tr>
        <w:tblPrEx>
          <w:tblCellMar>
            <w:top w:w="0" w:type="dxa"/>
            <w:left w:w="108" w:type="dxa"/>
            <w:bottom w:w="0" w:type="dxa"/>
            <w:right w:w="108" w:type="dxa"/>
          </w:tblCellMar>
        </w:tblPrEx>
        <w:trPr>
          <w:trHeight w:val="567" w:hRule="atLeast"/>
          <w:jc w:val="center"/>
        </w:trPr>
        <w:tc>
          <w:tcPr>
            <w:tcW w:w="4928"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信用代码： </w:t>
            </w:r>
          </w:p>
        </w:tc>
        <w:tc>
          <w:tcPr>
            <w:tcW w:w="4394"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信用代码：</w:t>
            </w:r>
          </w:p>
        </w:tc>
      </w:tr>
      <w:tr>
        <w:tblPrEx>
          <w:tblCellMar>
            <w:top w:w="0" w:type="dxa"/>
            <w:left w:w="108" w:type="dxa"/>
            <w:bottom w:w="0" w:type="dxa"/>
            <w:right w:w="108" w:type="dxa"/>
          </w:tblCellMar>
        </w:tblPrEx>
        <w:trPr>
          <w:trHeight w:val="567" w:hRule="atLeast"/>
          <w:jc w:val="center"/>
        </w:trPr>
        <w:tc>
          <w:tcPr>
            <w:tcW w:w="4928" w:type="dxa"/>
            <w:noWrap w:val="0"/>
            <w:vAlign w:val="top"/>
          </w:tcPr>
          <w:p>
            <w:pPr>
              <w:pStyle w:val="31"/>
              <w:snapToGrid w:val="0"/>
              <w:spacing w:line="360" w:lineRule="auto"/>
              <w:rPr>
                <w:rFonts w:hint="eastAsia" w:ascii="宋体" w:hAnsi="宋体" w:eastAsia="宋体" w:cs="宋体"/>
                <w:sz w:val="24"/>
                <w:szCs w:val="24"/>
                <w:highlight w:val="none"/>
              </w:rPr>
            </w:pPr>
          </w:p>
        </w:tc>
        <w:tc>
          <w:tcPr>
            <w:tcW w:w="4394" w:type="dxa"/>
            <w:noWrap w:val="0"/>
            <w:vAlign w:val="top"/>
          </w:tcPr>
          <w:p>
            <w:pPr>
              <w:pStyle w:val="31"/>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签约时间：   年  月   日</w:t>
            </w:r>
          </w:p>
        </w:tc>
      </w:tr>
      <w:tr>
        <w:tblPrEx>
          <w:tblCellMar>
            <w:top w:w="0" w:type="dxa"/>
            <w:left w:w="108" w:type="dxa"/>
            <w:bottom w:w="0" w:type="dxa"/>
            <w:right w:w="108" w:type="dxa"/>
          </w:tblCellMar>
        </w:tblPrEx>
        <w:trPr>
          <w:trHeight w:val="567" w:hRule="atLeast"/>
          <w:jc w:val="center"/>
        </w:trPr>
        <w:tc>
          <w:tcPr>
            <w:tcW w:w="4928" w:type="dxa"/>
            <w:noWrap w:val="0"/>
            <w:vAlign w:val="top"/>
          </w:tcPr>
          <w:p>
            <w:pPr>
              <w:pStyle w:val="31"/>
              <w:snapToGrid w:val="0"/>
              <w:spacing w:line="360" w:lineRule="auto"/>
              <w:rPr>
                <w:rFonts w:hint="eastAsia" w:ascii="宋体" w:hAnsi="宋体" w:eastAsia="宋体" w:cs="宋体"/>
                <w:sz w:val="24"/>
                <w:szCs w:val="24"/>
                <w:highlight w:val="none"/>
              </w:rPr>
            </w:pPr>
          </w:p>
        </w:tc>
        <w:tc>
          <w:tcPr>
            <w:tcW w:w="4394" w:type="dxa"/>
            <w:noWrap w:val="0"/>
            <w:vAlign w:val="top"/>
          </w:tcPr>
          <w:p>
            <w:pPr>
              <w:pStyle w:val="31"/>
              <w:snapToGrid w:val="0"/>
              <w:spacing w:line="360" w:lineRule="auto"/>
              <w:rPr>
                <w:rFonts w:hint="eastAsia" w:ascii="宋体" w:hAnsi="宋体" w:eastAsia="宋体" w:cs="宋体"/>
                <w:sz w:val="24"/>
                <w:szCs w:val="24"/>
                <w:highlight w:val="none"/>
              </w:rPr>
            </w:pPr>
          </w:p>
        </w:tc>
      </w:tr>
      <w:tr>
        <w:tblPrEx>
          <w:tblCellMar>
            <w:top w:w="0" w:type="dxa"/>
            <w:left w:w="108" w:type="dxa"/>
            <w:bottom w:w="0" w:type="dxa"/>
            <w:right w:w="108" w:type="dxa"/>
          </w:tblCellMar>
        </w:tblPrEx>
        <w:trPr>
          <w:trHeight w:val="567" w:hRule="atLeast"/>
          <w:jc w:val="center"/>
        </w:trPr>
        <w:tc>
          <w:tcPr>
            <w:tcW w:w="9322" w:type="dxa"/>
            <w:gridSpan w:val="2"/>
            <w:noWrap w:val="0"/>
            <w:vAlign w:val="top"/>
          </w:tcPr>
          <w:p>
            <w:pPr>
              <w:pStyle w:val="31"/>
              <w:snapToGrid w:val="0"/>
              <w:spacing w:line="360" w:lineRule="auto"/>
              <w:rPr>
                <w:rFonts w:hint="eastAsia" w:ascii="宋体" w:hAnsi="宋体" w:eastAsia="宋体" w:cs="宋体"/>
                <w:sz w:val="24"/>
                <w:szCs w:val="24"/>
                <w:highlight w:val="none"/>
              </w:rPr>
            </w:pPr>
            <w:r>
              <w:rPr>
                <w:rFonts w:hint="eastAsia" w:hAnsi="宋体" w:cs="宋体"/>
                <w:sz w:val="24"/>
                <w:szCs w:val="24"/>
                <w:highlight w:val="none"/>
                <w:lang w:val="en-US" w:eastAsia="zh-CN"/>
              </w:rPr>
              <w:t>见证单位：中嘉工程管理咨询（江苏）有限公司</w:t>
            </w:r>
          </w:p>
        </w:tc>
      </w:tr>
    </w:tbl>
    <w:p>
      <w:pPr>
        <w:pStyle w:val="31"/>
        <w:adjustRightInd w:val="0"/>
        <w:snapToGrid w:val="0"/>
        <w:spacing w:before="0" w:beforeLines="0" w:after="0" w:afterLines="0"/>
        <w:ind w:firstLine="447" w:firstLineChars="213"/>
        <w:rPr>
          <w:rFonts w:hAnsi="宋体" w:cs="宋体"/>
          <w:snapToGrid w:val="0"/>
          <w:kern w:val="0"/>
          <w:highlight w:val="none"/>
        </w:rPr>
      </w:pPr>
    </w:p>
    <w:p>
      <w:pPr>
        <w:tabs>
          <w:tab w:val="left" w:pos="0"/>
          <w:tab w:val="left" w:pos="525"/>
          <w:tab w:val="left" w:pos="945"/>
        </w:tabs>
        <w:spacing w:line="360" w:lineRule="auto"/>
        <w:rPr>
          <w:rFonts w:ascii="宋体" w:hAnsi="宋体"/>
          <w:bCs/>
          <w:sz w:val="24"/>
          <w:highlight w:val="none"/>
        </w:rPr>
      </w:pPr>
    </w:p>
    <w:p>
      <w:pPr>
        <w:pStyle w:val="73"/>
        <w:ind w:left="0" w:leftChars="0" w:firstLine="0" w:firstLineChars="0"/>
        <w:rPr>
          <w:rFonts w:ascii="宋体" w:hAnsi="宋体"/>
          <w:bCs/>
          <w:sz w:val="24"/>
          <w:highlight w:val="none"/>
        </w:rPr>
      </w:pPr>
    </w:p>
    <w:p>
      <w:pPr>
        <w:rPr>
          <w:rFonts w:ascii="宋体" w:hAnsi="宋体"/>
          <w:bCs/>
          <w:sz w:val="28"/>
          <w:szCs w:val="28"/>
          <w:highlight w:val="none"/>
        </w:rPr>
      </w:pPr>
      <w:r>
        <w:rPr>
          <w:rFonts w:ascii="宋体" w:hAnsi="宋体"/>
          <w:bCs/>
          <w:sz w:val="28"/>
          <w:szCs w:val="28"/>
          <w:highlight w:val="none"/>
        </w:rPr>
        <w:br w:type="page"/>
      </w:r>
    </w:p>
    <w:p>
      <w:pPr>
        <w:pStyle w:val="4"/>
        <w:rPr>
          <w:highlight w:val="none"/>
        </w:rPr>
      </w:pPr>
    </w:p>
    <w:p>
      <w:pPr>
        <w:numPr>
          <w:ilvl w:val="0"/>
          <w:numId w:val="20"/>
        </w:numPr>
        <w:jc w:val="center"/>
        <w:rPr>
          <w:rFonts w:ascii="宋体" w:hAnsi="宋体"/>
          <w:bCs/>
          <w:sz w:val="36"/>
          <w:szCs w:val="36"/>
          <w:highlight w:val="none"/>
        </w:rPr>
      </w:pPr>
      <w:r>
        <w:rPr>
          <w:rFonts w:hint="eastAsia" w:ascii="宋体" w:hAnsi="宋体"/>
          <w:bCs/>
          <w:sz w:val="36"/>
          <w:szCs w:val="36"/>
          <w:highlight w:val="none"/>
        </w:rPr>
        <w:t>附件</w:t>
      </w:r>
    </w:p>
    <w:p>
      <w:pPr>
        <w:jc w:val="center"/>
        <w:rPr>
          <w:rFonts w:ascii="宋体" w:hAnsi="宋体"/>
          <w:bCs/>
          <w:sz w:val="36"/>
          <w:szCs w:val="36"/>
          <w:highlight w:val="none"/>
        </w:rPr>
      </w:pPr>
    </w:p>
    <w:p>
      <w:pPr>
        <w:jc w:val="center"/>
        <w:rPr>
          <w:rFonts w:ascii="宋体" w:hAnsi="宋体"/>
          <w:bCs/>
          <w:sz w:val="52"/>
          <w:szCs w:val="52"/>
          <w:highlight w:val="none"/>
        </w:rPr>
      </w:pPr>
    </w:p>
    <w:p>
      <w:pPr>
        <w:spacing w:line="360" w:lineRule="auto"/>
        <w:jc w:val="center"/>
        <w:rPr>
          <w:rFonts w:ascii="宋体" w:hAnsi="宋体" w:cs="宋体"/>
          <w:b/>
          <w:sz w:val="48"/>
          <w:highlight w:val="none"/>
        </w:rPr>
      </w:pPr>
      <w:r>
        <w:rPr>
          <w:rFonts w:hint="eastAsia" w:ascii="宋体" w:hAnsi="宋体" w:cs="宋体"/>
          <w:b/>
          <w:sz w:val="48"/>
          <w:highlight w:val="none"/>
        </w:rPr>
        <w:t>项目竞争性磋商</w:t>
      </w:r>
    </w:p>
    <w:p>
      <w:pPr>
        <w:spacing w:line="360" w:lineRule="auto"/>
        <w:jc w:val="center"/>
        <w:rPr>
          <w:rFonts w:ascii="宋体" w:hAnsi="宋体" w:cs="宋体"/>
          <w:b/>
          <w:sz w:val="72"/>
          <w:highlight w:val="none"/>
        </w:rPr>
      </w:pPr>
      <w:r>
        <w:rPr>
          <w:rFonts w:hint="eastAsia" w:ascii="宋体" w:hAnsi="宋体" w:cs="宋体"/>
          <w:b/>
          <w:sz w:val="72"/>
          <w:highlight w:val="none"/>
        </w:rPr>
        <w:t>响应文件</w:t>
      </w:r>
    </w:p>
    <w:p>
      <w:pPr>
        <w:spacing w:line="360" w:lineRule="auto"/>
        <w:jc w:val="center"/>
        <w:rPr>
          <w:rFonts w:ascii="宋体" w:hAnsi="宋体" w:cs="宋体"/>
          <w:b/>
          <w:sz w:val="48"/>
          <w:highlight w:val="none"/>
        </w:rPr>
      </w:pPr>
    </w:p>
    <w:p>
      <w:pPr>
        <w:spacing w:line="360" w:lineRule="auto"/>
        <w:jc w:val="center"/>
        <w:rPr>
          <w:rFonts w:ascii="宋体" w:hAnsi="宋体" w:cs="宋体"/>
          <w:b/>
          <w:sz w:val="48"/>
          <w:highlight w:val="none"/>
        </w:rPr>
      </w:pPr>
    </w:p>
    <w:p>
      <w:pPr>
        <w:spacing w:line="360" w:lineRule="auto"/>
        <w:jc w:val="center"/>
        <w:rPr>
          <w:rFonts w:ascii="宋体" w:hAnsi="宋体" w:cs="宋体"/>
          <w:b/>
          <w:sz w:val="48"/>
          <w:highlight w:val="none"/>
        </w:rPr>
      </w:pPr>
    </w:p>
    <w:p>
      <w:pPr>
        <w:spacing w:line="360" w:lineRule="auto"/>
        <w:jc w:val="center"/>
        <w:rPr>
          <w:rFonts w:ascii="宋体" w:hAnsi="宋体" w:cs="宋体"/>
          <w:b/>
          <w:sz w:val="48"/>
          <w:highlight w:val="none"/>
        </w:rPr>
      </w:pPr>
    </w:p>
    <w:p>
      <w:pPr>
        <w:spacing w:line="360" w:lineRule="auto"/>
        <w:jc w:val="center"/>
        <w:rPr>
          <w:rFonts w:ascii="宋体" w:hAnsi="宋体" w:cs="宋体"/>
          <w:b/>
          <w:sz w:val="48"/>
          <w:highlight w:val="none"/>
        </w:rPr>
      </w:pPr>
    </w:p>
    <w:p>
      <w:pPr>
        <w:spacing w:line="360" w:lineRule="auto"/>
        <w:jc w:val="center"/>
        <w:rPr>
          <w:rFonts w:ascii="宋体" w:hAnsi="宋体" w:cs="宋体"/>
          <w:b/>
          <w:sz w:val="48"/>
          <w:highlight w:val="none"/>
        </w:rPr>
      </w:pPr>
    </w:p>
    <w:p>
      <w:pPr>
        <w:snapToGrid w:val="0"/>
        <w:spacing w:line="360" w:lineRule="auto"/>
        <w:rPr>
          <w:rFonts w:ascii="宋体" w:hAnsi="宋体" w:cs="宋体"/>
          <w:b/>
          <w:sz w:val="28"/>
          <w:highlight w:val="none"/>
          <w:u w:val="single"/>
        </w:rPr>
      </w:pPr>
      <w:r>
        <w:rPr>
          <w:rFonts w:hint="eastAsia" w:ascii="宋体" w:hAnsi="宋体" w:cs="宋体"/>
          <w:b/>
          <w:sz w:val="28"/>
          <w:highlight w:val="none"/>
        </w:rPr>
        <w:t>采购编号：</w:t>
      </w:r>
    </w:p>
    <w:p>
      <w:pPr>
        <w:snapToGrid w:val="0"/>
        <w:spacing w:line="360" w:lineRule="auto"/>
        <w:rPr>
          <w:rFonts w:ascii="宋体" w:hAnsi="宋体" w:cs="宋体"/>
          <w:b/>
          <w:sz w:val="30"/>
          <w:highlight w:val="none"/>
          <w:u w:val="single"/>
        </w:rPr>
      </w:pPr>
      <w:r>
        <w:rPr>
          <w:rFonts w:hint="eastAsia" w:ascii="宋体" w:hAnsi="宋体" w:cs="宋体"/>
          <w:b/>
          <w:sz w:val="28"/>
          <w:highlight w:val="none"/>
        </w:rPr>
        <w:t>项目</w:t>
      </w:r>
      <w:r>
        <w:rPr>
          <w:rFonts w:hint="eastAsia" w:ascii="宋体" w:hAnsi="宋体" w:cs="宋体"/>
          <w:b/>
          <w:sz w:val="30"/>
          <w:highlight w:val="none"/>
        </w:rPr>
        <w:t>名称：</w:t>
      </w:r>
      <w:r>
        <w:rPr>
          <w:rFonts w:hint="eastAsia" w:ascii="宋体" w:hAnsi="宋体" w:cs="宋体"/>
          <w:b/>
          <w:sz w:val="30"/>
          <w:highlight w:val="none"/>
          <w:u w:val="single"/>
        </w:rPr>
        <w:tab/>
      </w:r>
      <w:r>
        <w:rPr>
          <w:rFonts w:hint="eastAsia" w:ascii="宋体" w:hAnsi="宋体" w:cs="宋体"/>
          <w:b/>
          <w:sz w:val="30"/>
          <w:highlight w:val="none"/>
          <w:u w:val="single"/>
        </w:rPr>
        <w:tab/>
      </w:r>
      <w:r>
        <w:rPr>
          <w:rFonts w:hint="eastAsia" w:ascii="宋体" w:hAnsi="宋体" w:cs="宋体"/>
          <w:b/>
          <w:sz w:val="30"/>
          <w:highlight w:val="none"/>
          <w:u w:val="single"/>
        </w:rPr>
        <w:tab/>
      </w:r>
    </w:p>
    <w:p>
      <w:pPr>
        <w:snapToGrid w:val="0"/>
        <w:spacing w:line="360" w:lineRule="auto"/>
        <w:rPr>
          <w:rFonts w:ascii="宋体" w:hAnsi="宋体" w:cs="宋体"/>
          <w:sz w:val="30"/>
          <w:szCs w:val="30"/>
          <w:highlight w:val="none"/>
        </w:rPr>
      </w:pPr>
      <w:r>
        <w:rPr>
          <w:rFonts w:hint="eastAsia" w:ascii="宋体" w:hAnsi="宋体" w:cs="宋体"/>
          <w:b/>
          <w:sz w:val="30"/>
          <w:highlight w:val="none"/>
        </w:rPr>
        <w:t>响应文件内容：</w:t>
      </w:r>
      <w:r>
        <w:rPr>
          <w:rFonts w:hint="eastAsia" w:ascii="宋体" w:hAnsi="宋体" w:cs="宋体"/>
          <w:b/>
          <w:sz w:val="30"/>
          <w:highlight w:val="none"/>
          <w:u w:val="single"/>
        </w:rPr>
        <w:tab/>
      </w:r>
      <w:r>
        <w:rPr>
          <w:rFonts w:hint="eastAsia" w:ascii="宋体" w:hAnsi="宋体" w:cs="宋体"/>
          <w:b/>
          <w:sz w:val="30"/>
          <w:highlight w:val="none"/>
          <w:u w:val="single"/>
        </w:rPr>
        <w:tab/>
      </w:r>
      <w:r>
        <w:rPr>
          <w:rFonts w:hint="eastAsia" w:ascii="宋体" w:hAnsi="宋体" w:cs="宋体"/>
          <w:b/>
          <w:sz w:val="30"/>
          <w:highlight w:val="none"/>
          <w:u w:val="single"/>
        </w:rPr>
        <w:tab/>
      </w:r>
      <w:r>
        <w:rPr>
          <w:rFonts w:hint="eastAsia" w:ascii="宋体" w:hAnsi="宋体" w:cs="宋体"/>
          <w:b/>
          <w:sz w:val="30"/>
          <w:highlight w:val="none"/>
          <w:u w:val="single"/>
        </w:rPr>
        <w:tab/>
      </w:r>
      <w:r>
        <w:rPr>
          <w:rFonts w:hint="eastAsia" w:ascii="宋体" w:hAnsi="宋体" w:cs="宋体"/>
          <w:b/>
          <w:sz w:val="30"/>
          <w:highlight w:val="none"/>
          <w:u w:val="single"/>
        </w:rPr>
        <w:tab/>
      </w:r>
    </w:p>
    <w:p>
      <w:pPr>
        <w:snapToGrid w:val="0"/>
        <w:spacing w:line="360" w:lineRule="auto"/>
        <w:rPr>
          <w:rFonts w:ascii="宋体" w:hAnsi="宋体" w:cs="宋体"/>
          <w:b/>
          <w:sz w:val="30"/>
          <w:szCs w:val="30"/>
          <w:highlight w:val="none"/>
        </w:rPr>
      </w:pPr>
      <w:r>
        <w:rPr>
          <w:rFonts w:hint="eastAsia" w:ascii="宋体" w:hAnsi="宋体" w:cs="宋体"/>
          <w:b/>
          <w:bCs/>
          <w:sz w:val="30"/>
          <w:szCs w:val="30"/>
          <w:highlight w:val="none"/>
        </w:rPr>
        <w:t>年月日时分</w:t>
      </w:r>
      <w:r>
        <w:rPr>
          <w:rFonts w:hint="eastAsia" w:ascii="宋体" w:hAnsi="宋体" w:cs="宋体"/>
          <w:sz w:val="30"/>
          <w:szCs w:val="30"/>
          <w:highlight w:val="none"/>
        </w:rPr>
        <w:t>开标，此时间以前不得开封；</w:t>
      </w:r>
    </w:p>
    <w:p>
      <w:pPr>
        <w:snapToGrid w:val="0"/>
        <w:spacing w:line="360" w:lineRule="auto"/>
        <w:rPr>
          <w:rFonts w:ascii="宋体" w:hAnsi="宋体" w:cs="宋体"/>
          <w:b/>
          <w:sz w:val="30"/>
          <w:highlight w:val="none"/>
        </w:rPr>
      </w:pPr>
    </w:p>
    <w:p>
      <w:pPr>
        <w:snapToGrid w:val="0"/>
        <w:spacing w:line="360" w:lineRule="auto"/>
        <w:rPr>
          <w:rFonts w:ascii="宋体" w:hAnsi="宋体" w:cs="宋体"/>
          <w:b/>
          <w:sz w:val="30"/>
          <w:highlight w:val="none"/>
          <w:u w:val="single"/>
        </w:rPr>
      </w:pPr>
      <w:r>
        <w:rPr>
          <w:rFonts w:hint="eastAsia" w:ascii="宋体" w:hAnsi="宋体" w:cs="宋体"/>
          <w:b/>
          <w:sz w:val="30"/>
          <w:highlight w:val="none"/>
        </w:rPr>
        <w:t>供应商：</w:t>
      </w:r>
      <w:r>
        <w:rPr>
          <w:rFonts w:hint="eastAsia" w:ascii="宋体" w:hAnsi="宋体" w:cs="宋体"/>
          <w:b/>
          <w:sz w:val="30"/>
          <w:highlight w:val="none"/>
          <w:u w:val="single"/>
        </w:rPr>
        <w:tab/>
      </w:r>
      <w:r>
        <w:rPr>
          <w:rFonts w:hint="eastAsia" w:ascii="宋体" w:hAnsi="宋体" w:cs="宋体"/>
          <w:b/>
          <w:sz w:val="30"/>
          <w:highlight w:val="none"/>
          <w:u w:val="single"/>
        </w:rPr>
        <w:t xml:space="preserve">                   （盖公章）</w:t>
      </w:r>
    </w:p>
    <w:p>
      <w:pPr>
        <w:snapToGrid w:val="0"/>
        <w:spacing w:line="360" w:lineRule="auto"/>
        <w:rPr>
          <w:rFonts w:ascii="宋体" w:hAnsi="宋体" w:cs="宋体"/>
          <w:b/>
          <w:sz w:val="30"/>
          <w:highlight w:val="none"/>
        </w:rPr>
      </w:pPr>
      <w:r>
        <w:rPr>
          <w:rFonts w:hint="eastAsia" w:ascii="宋体" w:hAnsi="宋体" w:cs="宋体"/>
          <w:b/>
          <w:sz w:val="30"/>
          <w:highlight w:val="none"/>
        </w:rPr>
        <w:t>法定代表人或</w:t>
      </w:r>
    </w:p>
    <w:p>
      <w:pPr>
        <w:snapToGrid w:val="0"/>
        <w:spacing w:line="360" w:lineRule="auto"/>
        <w:rPr>
          <w:rFonts w:ascii="宋体" w:hAnsi="宋体" w:cs="宋体"/>
          <w:b/>
          <w:sz w:val="30"/>
          <w:highlight w:val="none"/>
          <w:u w:val="single"/>
        </w:rPr>
      </w:pPr>
      <w:r>
        <w:rPr>
          <w:rFonts w:hint="eastAsia" w:ascii="宋体" w:hAnsi="宋体" w:cs="宋体"/>
          <w:b/>
          <w:sz w:val="30"/>
          <w:highlight w:val="none"/>
        </w:rPr>
        <w:t>其委托代理人：</w:t>
      </w:r>
      <w:r>
        <w:rPr>
          <w:rFonts w:hint="eastAsia" w:ascii="宋体" w:hAnsi="宋体" w:cs="宋体"/>
          <w:b/>
          <w:sz w:val="30"/>
          <w:highlight w:val="none"/>
          <w:u w:val="single"/>
        </w:rPr>
        <w:tab/>
      </w:r>
      <w:r>
        <w:rPr>
          <w:rFonts w:hint="eastAsia" w:ascii="宋体" w:hAnsi="宋体" w:cs="宋体"/>
          <w:b/>
          <w:sz w:val="30"/>
          <w:highlight w:val="none"/>
          <w:u w:val="single"/>
        </w:rPr>
        <w:t xml:space="preserve">          （签字或盖章）</w:t>
      </w:r>
    </w:p>
    <w:p>
      <w:pPr>
        <w:snapToGrid w:val="0"/>
        <w:spacing w:line="360" w:lineRule="auto"/>
        <w:rPr>
          <w:rFonts w:ascii="宋体" w:hAnsi="宋体" w:cs="宋体"/>
          <w:b/>
          <w:sz w:val="30"/>
          <w:highlight w:val="none"/>
        </w:rPr>
      </w:pPr>
    </w:p>
    <w:p>
      <w:pPr>
        <w:snapToGrid w:val="0"/>
        <w:spacing w:line="360" w:lineRule="auto"/>
        <w:rPr>
          <w:rFonts w:ascii="宋体" w:hAnsi="宋体" w:cs="宋体"/>
          <w:b/>
          <w:sz w:val="30"/>
          <w:highlight w:val="none"/>
        </w:rPr>
      </w:pPr>
      <w:r>
        <w:rPr>
          <w:rFonts w:hint="eastAsia" w:ascii="宋体" w:hAnsi="宋体" w:cs="宋体"/>
          <w:b/>
          <w:sz w:val="30"/>
          <w:highlight w:val="none"/>
        </w:rPr>
        <w:t>日  期： 年 月日</w:t>
      </w:r>
    </w:p>
    <w:p>
      <w:pPr>
        <w:pageBreakBefore/>
        <w:ind w:firstLine="480" w:firstLineChars="200"/>
        <w:outlineLvl w:val="0"/>
        <w:rPr>
          <w:rFonts w:ascii="宋体" w:hAnsi="宋体"/>
          <w:bCs/>
          <w:sz w:val="24"/>
          <w:szCs w:val="24"/>
          <w:highlight w:val="none"/>
        </w:rPr>
      </w:pPr>
      <w:r>
        <w:rPr>
          <w:rFonts w:hint="eastAsia" w:ascii="宋体" w:hAnsi="宋体"/>
          <w:bCs/>
          <w:sz w:val="24"/>
          <w:szCs w:val="24"/>
          <w:highlight w:val="none"/>
        </w:rPr>
        <w:t>（一）响应函（格式）：</w:t>
      </w:r>
    </w:p>
    <w:p>
      <w:pPr>
        <w:spacing w:line="360" w:lineRule="auto"/>
        <w:jc w:val="center"/>
        <w:rPr>
          <w:rFonts w:ascii="宋体" w:hAnsi="宋体"/>
          <w:bCs/>
          <w:sz w:val="24"/>
          <w:szCs w:val="24"/>
          <w:highlight w:val="none"/>
        </w:rPr>
      </w:pPr>
      <w:r>
        <w:rPr>
          <w:rFonts w:hint="eastAsia" w:ascii="宋体" w:hAnsi="宋体"/>
          <w:bCs/>
          <w:sz w:val="28"/>
          <w:szCs w:val="28"/>
          <w:highlight w:val="none"/>
        </w:rPr>
        <w:t>响应函</w:t>
      </w:r>
    </w:p>
    <w:p>
      <w:pPr>
        <w:widowControl/>
        <w:topLinePunct/>
        <w:spacing w:before="4"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中嘉工程管理咨询（江苏）有限公司</w:t>
      </w:r>
    </w:p>
    <w:p>
      <w:pPr>
        <w:numPr>
          <w:ilvl w:val="0"/>
          <w:numId w:val="21"/>
        </w:numPr>
        <w:topLinePunct/>
        <w:spacing w:line="360" w:lineRule="auto"/>
        <w:ind w:firstLine="480" w:firstLineChars="200"/>
        <w:rPr>
          <w:rFonts w:ascii="宋体" w:hAnsi="宋体"/>
          <w:sz w:val="24"/>
          <w:highlight w:val="none"/>
        </w:rPr>
      </w:pPr>
      <w:r>
        <w:rPr>
          <w:rFonts w:hint="eastAsia" w:ascii="宋体" w:hAnsi="宋体"/>
          <w:sz w:val="24"/>
          <w:highlight w:val="none"/>
        </w:rPr>
        <w:t>根据已收到的采购编号为的</w:t>
      </w:r>
      <w:r>
        <w:rPr>
          <w:rFonts w:hint="eastAsia" w:ascii="宋体" w:hAnsi="宋体"/>
          <w:b/>
          <w:sz w:val="24"/>
          <w:highlight w:val="none"/>
          <w:u w:val="single"/>
        </w:rPr>
        <w:t xml:space="preserve">  （采购项目名称 ） </w:t>
      </w:r>
      <w:r>
        <w:rPr>
          <w:rFonts w:hint="eastAsia" w:ascii="宋体" w:hAnsi="宋体"/>
          <w:sz w:val="24"/>
          <w:highlight w:val="none"/>
        </w:rPr>
        <w:t>的磋商文件，遵照国家法律、法规和规章的有关规定，我方经过踏勘现场和对磋商文件等所有文件的研究后，我方愿以人民币(大写)元（RMB</w:t>
      </w:r>
      <w:r>
        <w:rPr>
          <w:rFonts w:hint="eastAsia" w:ascii="宋体" w:hAnsi="宋体"/>
          <w:sz w:val="24"/>
          <w:highlight w:val="none"/>
          <w:u w:val="single"/>
        </w:rPr>
        <w:t xml:space="preserve">￥      </w:t>
      </w:r>
      <w:r>
        <w:rPr>
          <w:rFonts w:hint="eastAsia" w:ascii="宋体" w:hAnsi="宋体"/>
          <w:sz w:val="24"/>
          <w:highlight w:val="none"/>
        </w:rPr>
        <w:t>元）的投标报价并按上述合同条款承包本项目。</w:t>
      </w:r>
    </w:p>
    <w:p>
      <w:pPr>
        <w:topLinePunct/>
        <w:spacing w:line="360" w:lineRule="auto"/>
        <w:ind w:firstLine="482" w:firstLineChars="200"/>
        <w:rPr>
          <w:highlight w:val="none"/>
        </w:rPr>
      </w:pPr>
      <w:r>
        <w:rPr>
          <w:rFonts w:hint="eastAsia" w:ascii="宋体" w:hAnsi="宋体"/>
          <w:b/>
          <w:sz w:val="24"/>
          <w:highlight w:val="none"/>
        </w:rPr>
        <w:t>我公司出具的项目负责人为</w:t>
      </w:r>
      <w:r>
        <w:rPr>
          <w:rFonts w:hint="eastAsia" w:ascii="宋体" w:hAnsi="宋体"/>
          <w:b/>
          <w:sz w:val="24"/>
          <w:highlight w:val="none"/>
          <w:u w:val="none"/>
        </w:rPr>
        <w:t>：</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 xml:space="preserve">            </w:t>
      </w:r>
      <w:r>
        <w:rPr>
          <w:rFonts w:hint="eastAsia" w:ascii="宋体" w:hAnsi="宋体"/>
          <w:b/>
          <w:sz w:val="24"/>
          <w:highlight w:val="none"/>
        </w:rPr>
        <w:t>。</w:t>
      </w:r>
    </w:p>
    <w:p>
      <w:pPr>
        <w:topLinePunct/>
        <w:spacing w:line="360" w:lineRule="auto"/>
        <w:ind w:firstLine="480" w:firstLineChars="200"/>
        <w:rPr>
          <w:rFonts w:ascii="宋体" w:hAnsi="宋体"/>
          <w:sz w:val="24"/>
          <w:highlight w:val="none"/>
        </w:rPr>
      </w:pPr>
      <w:r>
        <w:rPr>
          <w:rFonts w:hint="eastAsia" w:ascii="宋体" w:hAnsi="宋体"/>
          <w:sz w:val="24"/>
          <w:highlight w:val="none"/>
        </w:rPr>
        <w:t>二、我方已详细审核全部磋商文件，包括修改文件（如有时）及有关附件，并响应磋商文件各条款。</w:t>
      </w:r>
    </w:p>
    <w:p>
      <w:pPr>
        <w:topLinePunct/>
        <w:spacing w:line="360" w:lineRule="auto"/>
        <w:ind w:firstLine="480" w:firstLineChars="200"/>
        <w:rPr>
          <w:rFonts w:ascii="宋体" w:hAnsi="宋体"/>
          <w:sz w:val="24"/>
          <w:highlight w:val="none"/>
        </w:rPr>
      </w:pPr>
      <w:r>
        <w:rPr>
          <w:rFonts w:hint="eastAsia" w:ascii="宋体" w:hAnsi="宋体"/>
          <w:sz w:val="24"/>
          <w:highlight w:val="none"/>
        </w:rPr>
        <w:t>三、我方承认响应函附录是我方响应函的组成部分。</w:t>
      </w:r>
    </w:p>
    <w:p>
      <w:pPr>
        <w:topLinePunct/>
        <w:spacing w:line="360" w:lineRule="auto"/>
        <w:ind w:firstLine="480" w:firstLineChars="200"/>
        <w:rPr>
          <w:rFonts w:ascii="宋体" w:hAnsi="宋体"/>
          <w:sz w:val="24"/>
          <w:highlight w:val="none"/>
        </w:rPr>
      </w:pPr>
      <w:r>
        <w:rPr>
          <w:rFonts w:hint="eastAsia" w:ascii="宋体" w:hAnsi="宋体"/>
          <w:sz w:val="24"/>
          <w:highlight w:val="none"/>
        </w:rPr>
        <w:t>四、一旦我方中标，我方保证按合同协议书中规定时间内完成。</w:t>
      </w:r>
    </w:p>
    <w:p>
      <w:pPr>
        <w:topLinePunct/>
        <w:spacing w:line="360" w:lineRule="auto"/>
        <w:ind w:firstLine="480" w:firstLineChars="200"/>
        <w:rPr>
          <w:rFonts w:ascii="宋体" w:hAnsi="宋体"/>
          <w:sz w:val="24"/>
          <w:highlight w:val="none"/>
        </w:rPr>
      </w:pPr>
      <w:r>
        <w:rPr>
          <w:rFonts w:hint="eastAsia" w:ascii="宋体" w:hAnsi="宋体"/>
          <w:sz w:val="24"/>
          <w:highlight w:val="none"/>
        </w:rPr>
        <w:t>五、除非另外达成协议并生效，你方的成交通知书和本响应文件将成为约束双方的合同文件的组成部分；</w:t>
      </w:r>
    </w:p>
    <w:p>
      <w:pPr>
        <w:spacing w:line="360" w:lineRule="auto"/>
        <w:ind w:firstLine="480" w:firstLineChars="200"/>
        <w:rPr>
          <w:rFonts w:hint="eastAsia" w:ascii="宋体" w:hAnsi="宋体" w:eastAsia="宋体"/>
          <w:b/>
          <w:bCs/>
          <w:sz w:val="24"/>
          <w:highlight w:val="none"/>
          <w:lang w:eastAsia="zh-CN"/>
        </w:rPr>
      </w:pPr>
      <w:r>
        <w:rPr>
          <w:rFonts w:hint="eastAsia" w:ascii="宋体" w:hAnsi="宋体"/>
          <w:sz w:val="24"/>
          <w:highlight w:val="none"/>
        </w:rPr>
        <w:t>六、我方愿意提供</w:t>
      </w:r>
      <w:r>
        <w:rPr>
          <w:rFonts w:hint="eastAsia" w:ascii="宋体" w:hAnsi="宋体"/>
          <w:sz w:val="24"/>
          <w:highlight w:val="none"/>
          <w:lang w:eastAsia="zh-CN"/>
        </w:rPr>
        <w:t>中嘉工程管理咨询（江苏）有限公司</w:t>
      </w:r>
      <w:r>
        <w:rPr>
          <w:rFonts w:hint="eastAsia" w:ascii="宋体" w:hAnsi="宋体"/>
          <w:sz w:val="24"/>
          <w:highlight w:val="none"/>
        </w:rPr>
        <w:t>在磋商文件中要求的文件、资料</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七、我方同意按磋商文件中的规定，本响应文件报价的有效期限为成交通知书发出之日起90天。</w:t>
      </w:r>
    </w:p>
    <w:p>
      <w:pPr>
        <w:spacing w:line="360" w:lineRule="auto"/>
        <w:ind w:firstLine="480" w:firstLineChars="200"/>
        <w:rPr>
          <w:rFonts w:ascii="宋体" w:hAnsi="宋体"/>
          <w:sz w:val="24"/>
          <w:highlight w:val="none"/>
        </w:rPr>
      </w:pPr>
      <w:r>
        <w:rPr>
          <w:rFonts w:hint="eastAsia" w:ascii="宋体" w:hAnsi="宋体"/>
          <w:sz w:val="24"/>
          <w:highlight w:val="none"/>
        </w:rPr>
        <w:t>八、如果我方的响应文件被接受，我方将履行磋商文件中规定的每一项要求，按期、按质、按量，完成交货任务。</w:t>
      </w:r>
    </w:p>
    <w:p>
      <w:pPr>
        <w:spacing w:line="360" w:lineRule="auto"/>
        <w:ind w:firstLine="480" w:firstLineChars="200"/>
        <w:rPr>
          <w:rFonts w:ascii="宋体" w:hAnsi="宋体"/>
          <w:sz w:val="24"/>
          <w:highlight w:val="none"/>
        </w:rPr>
      </w:pPr>
      <w:r>
        <w:rPr>
          <w:rFonts w:hint="eastAsia" w:ascii="宋体" w:hAnsi="宋体"/>
          <w:sz w:val="24"/>
          <w:highlight w:val="none"/>
        </w:rPr>
        <w:t>九、我方认为你们有权决定成交人。</w:t>
      </w:r>
    </w:p>
    <w:p>
      <w:pPr>
        <w:spacing w:line="360" w:lineRule="auto"/>
        <w:ind w:firstLine="480" w:firstLineChars="200"/>
        <w:rPr>
          <w:rFonts w:ascii="宋体" w:hAnsi="宋体"/>
          <w:sz w:val="24"/>
          <w:highlight w:val="none"/>
        </w:rPr>
      </w:pPr>
      <w:r>
        <w:rPr>
          <w:rFonts w:hint="eastAsia" w:ascii="宋体" w:hAnsi="宋体"/>
          <w:sz w:val="24"/>
          <w:highlight w:val="none"/>
        </w:rPr>
        <w:t>十、我方愿意遵守《中华人民共和国政府采购法》，并按《中华人民共和国民法典》和合同条款履行自己的全部责任。在合同履行过程中，双方如有争议，由</w:t>
      </w:r>
      <w:r>
        <w:rPr>
          <w:rFonts w:hint="eastAsia" w:ascii="宋体" w:hAnsi="宋体"/>
          <w:sz w:val="24"/>
          <w:highlight w:val="none"/>
          <w:lang w:eastAsia="zh-CN"/>
        </w:rPr>
        <w:t>中嘉工程管理咨询（江苏）有限公司</w:t>
      </w:r>
      <w:r>
        <w:rPr>
          <w:rFonts w:hint="eastAsia" w:ascii="宋体" w:hAnsi="宋体"/>
          <w:sz w:val="24"/>
          <w:highlight w:val="none"/>
        </w:rPr>
        <w:t>协调解决。如协商不能解决，双方可向无锡仲裁委员会按其仲裁规则申请仲裁，</w:t>
      </w:r>
    </w:p>
    <w:p>
      <w:pPr>
        <w:spacing w:line="360" w:lineRule="auto"/>
        <w:ind w:firstLine="480" w:firstLineChars="200"/>
        <w:rPr>
          <w:rFonts w:ascii="宋体" w:hAnsi="宋体"/>
          <w:sz w:val="24"/>
          <w:highlight w:val="none"/>
        </w:rPr>
      </w:pPr>
      <w:r>
        <w:rPr>
          <w:rFonts w:hint="eastAsia" w:ascii="宋体" w:hAnsi="宋体"/>
          <w:sz w:val="24"/>
          <w:highlight w:val="none"/>
        </w:rPr>
        <w:t>十一、我方认可并保证遵守磋商文件的所有规定，放弃对磋商文件提出质疑的权利。</w:t>
      </w:r>
    </w:p>
    <w:p>
      <w:pPr>
        <w:widowControl/>
        <w:topLinePunct/>
        <w:spacing w:before="4" w:line="360" w:lineRule="auto"/>
        <w:rPr>
          <w:rFonts w:ascii="宋体" w:hAnsi="宋体"/>
          <w:sz w:val="24"/>
          <w:highlight w:val="none"/>
        </w:rPr>
      </w:pPr>
    </w:p>
    <w:p>
      <w:pPr>
        <w:widowControl/>
        <w:topLinePunct/>
        <w:spacing w:before="4" w:line="360" w:lineRule="auto"/>
        <w:rPr>
          <w:rFonts w:ascii="宋体" w:hAnsi="宋体"/>
          <w:sz w:val="24"/>
          <w:highlight w:val="none"/>
        </w:rPr>
      </w:pPr>
      <w:r>
        <w:rPr>
          <w:rFonts w:hint="eastAsia" w:ascii="宋体" w:hAnsi="宋体"/>
          <w:sz w:val="24"/>
          <w:highlight w:val="none"/>
        </w:rPr>
        <w:t>报价供应商：（盖章）</w:t>
      </w:r>
    </w:p>
    <w:p>
      <w:pPr>
        <w:widowControl/>
        <w:topLinePunct/>
        <w:spacing w:before="4" w:line="360" w:lineRule="auto"/>
        <w:rPr>
          <w:rFonts w:ascii="宋体" w:hAnsi="宋体"/>
          <w:sz w:val="24"/>
          <w:highlight w:val="none"/>
        </w:rPr>
      </w:pPr>
      <w:r>
        <w:rPr>
          <w:rFonts w:hint="eastAsia" w:ascii="宋体" w:hAnsi="宋体"/>
          <w:sz w:val="24"/>
          <w:highlight w:val="none"/>
        </w:rPr>
        <w:t>法定代表人或委托代理人：（签字或盖章）</w:t>
      </w:r>
    </w:p>
    <w:p>
      <w:pPr>
        <w:widowControl/>
        <w:topLinePunct/>
        <w:spacing w:before="4" w:line="360" w:lineRule="auto"/>
        <w:rPr>
          <w:rFonts w:ascii="宋体" w:hAnsi="宋体"/>
          <w:sz w:val="24"/>
          <w:highlight w:val="none"/>
        </w:rPr>
      </w:pPr>
      <w:r>
        <w:rPr>
          <w:rFonts w:hint="eastAsia" w:ascii="宋体" w:hAnsi="宋体"/>
          <w:sz w:val="24"/>
          <w:highlight w:val="none"/>
        </w:rPr>
        <w:t>电话：                   传真：</w:t>
      </w:r>
    </w:p>
    <w:p>
      <w:pPr>
        <w:widowControl/>
        <w:topLinePunct/>
        <w:spacing w:before="4" w:line="360" w:lineRule="auto"/>
        <w:rPr>
          <w:rFonts w:ascii="宋体" w:hAnsi="宋体"/>
          <w:sz w:val="24"/>
          <w:highlight w:val="none"/>
        </w:rPr>
      </w:pPr>
      <w:r>
        <w:rPr>
          <w:rFonts w:hint="eastAsia" w:ascii="宋体" w:hAnsi="宋体"/>
          <w:sz w:val="24"/>
          <w:highlight w:val="none"/>
        </w:rPr>
        <w:t>地址：                   邮编：</w:t>
      </w:r>
    </w:p>
    <w:p>
      <w:pPr>
        <w:widowControl/>
        <w:topLinePunct/>
        <w:spacing w:before="4" w:line="360" w:lineRule="auto"/>
        <w:rPr>
          <w:rFonts w:ascii="宋体" w:hAnsi="宋体"/>
          <w:sz w:val="24"/>
          <w:highlight w:val="none"/>
        </w:rPr>
      </w:pPr>
      <w:r>
        <w:rPr>
          <w:rFonts w:hint="eastAsia" w:ascii="宋体" w:hAnsi="宋体"/>
          <w:sz w:val="24"/>
          <w:highlight w:val="none"/>
        </w:rPr>
        <w:t>开户名称：</w:t>
      </w:r>
    </w:p>
    <w:p>
      <w:pPr>
        <w:widowControl/>
        <w:topLinePunct/>
        <w:spacing w:before="4" w:line="360" w:lineRule="auto"/>
        <w:rPr>
          <w:rFonts w:ascii="宋体" w:hAnsi="宋体"/>
          <w:sz w:val="24"/>
          <w:highlight w:val="none"/>
        </w:rPr>
      </w:pPr>
      <w:r>
        <w:rPr>
          <w:rFonts w:hint="eastAsia" w:ascii="宋体" w:hAnsi="宋体"/>
          <w:sz w:val="24"/>
          <w:highlight w:val="none"/>
        </w:rPr>
        <w:t>开户银行：</w:t>
      </w:r>
    </w:p>
    <w:p>
      <w:pPr>
        <w:widowControl/>
        <w:topLinePunct/>
        <w:spacing w:before="4" w:line="360" w:lineRule="auto"/>
        <w:rPr>
          <w:rFonts w:ascii="宋体" w:hAnsi="宋体"/>
          <w:sz w:val="24"/>
          <w:highlight w:val="none"/>
        </w:rPr>
      </w:pPr>
      <w:r>
        <w:rPr>
          <w:rFonts w:hint="eastAsia" w:ascii="宋体" w:hAnsi="宋体"/>
          <w:sz w:val="24"/>
          <w:highlight w:val="none"/>
        </w:rPr>
        <w:t>开户账号：</w:t>
      </w:r>
    </w:p>
    <w:p>
      <w:pPr>
        <w:ind w:firstLine="420" w:firstLineChars="175"/>
        <w:jc w:val="center"/>
        <w:outlineLvl w:val="0"/>
        <w:rPr>
          <w:rFonts w:ascii="黑体" w:hAnsi="宋体" w:eastAsia="黑体"/>
          <w:bCs/>
          <w:sz w:val="30"/>
          <w:szCs w:val="30"/>
          <w:highlight w:val="none"/>
        </w:rPr>
      </w:pPr>
      <w:r>
        <w:rPr>
          <w:rFonts w:ascii="宋体" w:hAnsi="宋体"/>
          <w:sz w:val="24"/>
          <w:highlight w:val="none"/>
        </w:rPr>
        <w:br w:type="page"/>
      </w:r>
      <w:r>
        <w:rPr>
          <w:rFonts w:hint="eastAsia" w:ascii="黑体" w:hAnsi="宋体" w:eastAsia="黑体"/>
          <w:bCs/>
          <w:sz w:val="30"/>
          <w:szCs w:val="30"/>
          <w:highlight w:val="none"/>
        </w:rPr>
        <w:t>开标一览表</w:t>
      </w:r>
    </w:p>
    <w:p>
      <w:pPr>
        <w:adjustRightInd w:val="0"/>
        <w:snapToGrid w:val="0"/>
        <w:spacing w:line="300" w:lineRule="auto"/>
        <w:jc w:val="center"/>
        <w:rPr>
          <w:rFonts w:ascii="宋体" w:hAnsi="宋体"/>
          <w:sz w:val="24"/>
          <w:highlight w:val="none"/>
        </w:rPr>
      </w:pPr>
    </w:p>
    <w:p>
      <w:pPr>
        <w:adjustRightInd w:val="0"/>
        <w:snapToGrid w:val="0"/>
        <w:spacing w:line="300" w:lineRule="auto"/>
        <w:rPr>
          <w:rFonts w:ascii="宋体" w:hAnsi="宋体" w:cs="宋体"/>
          <w:bCs/>
          <w:sz w:val="24"/>
          <w:highlight w:val="none"/>
        </w:rPr>
      </w:pPr>
      <w:r>
        <w:rPr>
          <w:rFonts w:hint="eastAsia" w:ascii="宋体" w:hAnsi="宋体"/>
          <w:sz w:val="24"/>
          <w:highlight w:val="none"/>
        </w:rPr>
        <w:t xml:space="preserve">报价供应商全称（加盖公章）：  </w:t>
      </w:r>
      <w:r>
        <w:rPr>
          <w:rFonts w:hint="eastAsia" w:ascii="宋体" w:hAnsi="宋体" w:cs="宋体"/>
          <w:sz w:val="24"/>
          <w:szCs w:val="28"/>
          <w:highlight w:val="none"/>
        </w:rPr>
        <w:t xml:space="preserve">                                   采购</w:t>
      </w:r>
      <w:r>
        <w:rPr>
          <w:rFonts w:hint="eastAsia" w:ascii="宋体" w:hAnsi="宋体" w:cs="宋体"/>
          <w:bCs/>
          <w:sz w:val="24"/>
          <w:highlight w:val="none"/>
        </w:rPr>
        <w:t>编号：</w:t>
      </w:r>
    </w:p>
    <w:tbl>
      <w:tblPr>
        <w:tblStyle w:val="62"/>
        <w:tblW w:w="9864" w:type="dxa"/>
        <w:tblInd w:w="96" w:type="dxa"/>
        <w:tblLayout w:type="fixed"/>
        <w:tblCellMar>
          <w:top w:w="0" w:type="dxa"/>
          <w:left w:w="108" w:type="dxa"/>
          <w:bottom w:w="0" w:type="dxa"/>
          <w:right w:w="108" w:type="dxa"/>
        </w:tblCellMar>
      </w:tblPr>
      <w:tblGrid>
        <w:gridCol w:w="12"/>
        <w:gridCol w:w="2712"/>
        <w:gridCol w:w="7140"/>
      </w:tblGrid>
      <w:tr>
        <w:tblPrEx>
          <w:tblCellMar>
            <w:top w:w="0" w:type="dxa"/>
            <w:left w:w="108" w:type="dxa"/>
            <w:bottom w:w="0" w:type="dxa"/>
            <w:right w:w="108" w:type="dxa"/>
          </w:tblCellMar>
        </w:tblPrEx>
        <w:trPr>
          <w:trHeight w:val="1134" w:hRule="atLeast"/>
        </w:trPr>
        <w:tc>
          <w:tcPr>
            <w:tcW w:w="27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项目总报价</w:t>
            </w:r>
          </w:p>
          <w:p>
            <w:pPr>
              <w:widowControl/>
              <w:jc w:val="center"/>
              <w:rPr>
                <w:rFonts w:ascii="宋体" w:hAnsi="宋体"/>
                <w:b/>
                <w:bCs/>
                <w:sz w:val="24"/>
                <w:highlight w:val="none"/>
              </w:rPr>
            </w:pPr>
            <w:r>
              <w:rPr>
                <w:rFonts w:hint="eastAsia" w:ascii="宋体" w:hAnsi="宋体" w:cs="宋体"/>
                <w:sz w:val="24"/>
                <w:highlight w:val="none"/>
              </w:rPr>
              <w:t>（人民币）</w:t>
            </w:r>
          </w:p>
        </w:tc>
        <w:tc>
          <w:tcPr>
            <w:tcW w:w="7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highlight w:val="none"/>
              </w:rPr>
            </w:pPr>
            <w:r>
              <w:rPr>
                <w:rFonts w:ascii="宋体" w:hAnsi="宋体" w:cs="宋体"/>
                <w:kern w:val="0"/>
                <w:sz w:val="24"/>
                <w:highlight w:val="none"/>
              </w:rPr>
              <w:t>大写：</w:t>
            </w:r>
            <w:r>
              <w:rPr>
                <w:rFonts w:hint="eastAsia" w:ascii="宋体" w:hAnsi="宋体" w:cs="宋体"/>
                <w:kern w:val="0"/>
                <w:sz w:val="24"/>
                <w:highlight w:val="none"/>
              </w:rPr>
              <w:t>（元）</w:t>
            </w:r>
          </w:p>
          <w:p>
            <w:pPr>
              <w:widowControl/>
              <w:jc w:val="left"/>
              <w:rPr>
                <w:rFonts w:ascii="宋体" w:hAnsi="宋体" w:cs="宋体"/>
                <w:kern w:val="0"/>
                <w:sz w:val="24"/>
                <w:highlight w:val="none"/>
              </w:rPr>
            </w:pPr>
          </w:p>
          <w:p>
            <w:pPr>
              <w:widowControl/>
              <w:jc w:val="left"/>
              <w:rPr>
                <w:rFonts w:ascii="宋体" w:hAnsi="宋体" w:cs="宋体"/>
                <w:kern w:val="0"/>
                <w:sz w:val="24"/>
                <w:highlight w:val="none"/>
              </w:rPr>
            </w:pPr>
            <w:r>
              <w:rPr>
                <w:rFonts w:ascii="宋体" w:hAnsi="宋体" w:cs="宋体"/>
                <w:kern w:val="0"/>
                <w:sz w:val="24"/>
                <w:highlight w:val="none"/>
              </w:rPr>
              <w:t>小写：</w:t>
            </w:r>
            <w:r>
              <w:rPr>
                <w:rFonts w:hint="eastAsia" w:ascii="宋体" w:hAnsi="宋体" w:cs="宋体"/>
                <w:kern w:val="0"/>
                <w:sz w:val="24"/>
                <w:highlight w:val="none"/>
              </w:rPr>
              <w:t>（元）</w:t>
            </w:r>
          </w:p>
        </w:tc>
      </w:tr>
      <w:tr>
        <w:tblPrEx>
          <w:tblCellMar>
            <w:top w:w="0" w:type="dxa"/>
            <w:left w:w="108" w:type="dxa"/>
            <w:bottom w:w="0" w:type="dxa"/>
            <w:right w:w="108" w:type="dxa"/>
          </w:tblCellMar>
        </w:tblPrEx>
        <w:trPr>
          <w:trHeight w:val="1134" w:hRule="atLeast"/>
        </w:trPr>
        <w:tc>
          <w:tcPr>
            <w:tcW w:w="27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sz w:val="24"/>
                <w:highlight w:val="none"/>
              </w:rPr>
            </w:pPr>
            <w:r>
              <w:rPr>
                <w:rFonts w:hint="eastAsia" w:ascii="宋体" w:hAnsi="宋体"/>
                <w:bCs/>
                <w:sz w:val="24"/>
                <w:szCs w:val="22"/>
                <w:highlight w:val="none"/>
              </w:rPr>
              <w:t>服务</w:t>
            </w:r>
            <w:r>
              <w:rPr>
                <w:rFonts w:hint="eastAsia" w:ascii="宋体" w:hAnsi="宋体"/>
                <w:bCs/>
                <w:color w:val="auto"/>
                <w:sz w:val="24"/>
                <w:szCs w:val="22"/>
                <w:highlight w:val="none"/>
              </w:rPr>
              <w:t>期：</w:t>
            </w:r>
          </w:p>
        </w:tc>
        <w:tc>
          <w:tcPr>
            <w:tcW w:w="7140"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ascii="宋体" w:hAnsi="宋体" w:cs="宋体"/>
                <w:kern w:val="0"/>
                <w:sz w:val="24"/>
                <w:highlight w:val="none"/>
              </w:rPr>
            </w:pPr>
            <w:r>
              <w:rPr>
                <w:sz w:val="24"/>
                <w:szCs w:val="24"/>
                <w:highlight w:val="none"/>
              </w:rPr>
              <w:t>截止2022年</w:t>
            </w:r>
            <w:r>
              <w:rPr>
                <w:rFonts w:hint="default"/>
                <w:sz w:val="24"/>
                <w:szCs w:val="24"/>
                <w:highlight w:val="none"/>
              </w:rPr>
              <w:t>12</w:t>
            </w:r>
            <w:r>
              <w:rPr>
                <w:sz w:val="24"/>
                <w:szCs w:val="24"/>
                <w:highlight w:val="none"/>
              </w:rPr>
              <w:t>月底前完成所有成果及资料整理并通过验收</w:t>
            </w:r>
          </w:p>
        </w:tc>
      </w:tr>
      <w:tr>
        <w:tblPrEx>
          <w:tblCellMar>
            <w:top w:w="0" w:type="dxa"/>
            <w:left w:w="108" w:type="dxa"/>
            <w:bottom w:w="0" w:type="dxa"/>
            <w:right w:w="108" w:type="dxa"/>
          </w:tblCellMar>
        </w:tblPrEx>
        <w:trPr>
          <w:trHeight w:val="1134" w:hRule="atLeast"/>
        </w:trPr>
        <w:tc>
          <w:tcPr>
            <w:tcW w:w="27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sz w:val="24"/>
                <w:highlight w:val="none"/>
              </w:rPr>
            </w:pPr>
            <w:r>
              <w:rPr>
                <w:rFonts w:hint="eastAsia" w:ascii="宋体" w:hAnsi="宋体"/>
                <w:bCs/>
                <w:sz w:val="24"/>
                <w:szCs w:val="22"/>
                <w:highlight w:val="none"/>
              </w:rPr>
              <w:t>质量标准</w:t>
            </w:r>
          </w:p>
        </w:tc>
        <w:tc>
          <w:tcPr>
            <w:tcW w:w="71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textAlignment w:val="auto"/>
              <w:rPr>
                <w:rFonts w:ascii="宋体" w:hAnsi="宋体" w:cs="宋体"/>
                <w:kern w:val="0"/>
                <w:sz w:val="24"/>
                <w:highlight w:val="none"/>
              </w:rPr>
            </w:pPr>
            <w:r>
              <w:rPr>
                <w:rFonts w:ascii="宋体" w:hAnsi="宋体"/>
                <w:sz w:val="24"/>
                <w:highlight w:val="none"/>
              </w:rPr>
              <w:t>验收由采购单位组织相关人员进行验收</w:t>
            </w:r>
            <w:r>
              <w:rPr>
                <w:rFonts w:hint="eastAsia" w:ascii="宋体" w:hAnsi="宋体"/>
                <w:sz w:val="24"/>
                <w:highlight w:val="none"/>
                <w:lang w:eastAsia="zh-CN"/>
              </w:rPr>
              <w:t>，</w:t>
            </w:r>
            <w:r>
              <w:rPr>
                <w:rFonts w:hint="eastAsia" w:ascii="宋体" w:hAnsi="宋体"/>
                <w:sz w:val="24"/>
                <w:highlight w:val="none"/>
                <w:lang w:val="en-US" w:eastAsia="zh-CN"/>
              </w:rPr>
              <w:t>需</w:t>
            </w:r>
            <w:r>
              <w:rPr>
                <w:rFonts w:ascii="宋体" w:hAnsi="宋体"/>
                <w:sz w:val="24"/>
                <w:highlight w:val="none"/>
              </w:rPr>
              <w:t>符合我国国家有关技术规范要求和技术标准</w:t>
            </w:r>
            <w:r>
              <w:rPr>
                <w:rFonts w:hint="eastAsia" w:ascii="宋体" w:hAnsi="宋体"/>
                <w:sz w:val="24"/>
                <w:highlight w:val="none"/>
                <w:lang w:eastAsia="zh-CN"/>
              </w:rPr>
              <w:t>；</w:t>
            </w:r>
          </w:p>
        </w:tc>
      </w:tr>
      <w:tr>
        <w:tblPrEx>
          <w:tblCellMar>
            <w:top w:w="0" w:type="dxa"/>
            <w:left w:w="108" w:type="dxa"/>
            <w:bottom w:w="0" w:type="dxa"/>
            <w:right w:w="108" w:type="dxa"/>
          </w:tblCellMar>
        </w:tblPrEx>
        <w:trPr>
          <w:trHeight w:val="1134" w:hRule="atLeast"/>
        </w:trPr>
        <w:tc>
          <w:tcPr>
            <w:tcW w:w="272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center"/>
              <w:textAlignment w:val="auto"/>
              <w:rPr>
                <w:rFonts w:hint="eastAsia" w:ascii="宋体" w:hAnsi="宋体" w:eastAsia="宋体" w:cs="宋体"/>
                <w:kern w:val="2"/>
                <w:sz w:val="24"/>
                <w:highlight w:val="none"/>
                <w:lang w:val="en-US" w:eastAsia="zh-CN" w:bidi="ar-SA"/>
              </w:rPr>
            </w:pPr>
            <w:r>
              <w:rPr>
                <w:rFonts w:ascii="宋体" w:cs="宋体"/>
                <w:sz w:val="24"/>
                <w:highlight w:val="none"/>
              </w:rPr>
              <w:t>质保期</w:t>
            </w:r>
          </w:p>
        </w:tc>
        <w:tc>
          <w:tcPr>
            <w:tcW w:w="71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left"/>
              <w:textAlignment w:val="auto"/>
              <w:rPr>
                <w:rFonts w:ascii="Times New Roman" w:hAnsi="宋体" w:eastAsia="宋体" w:cs="Times New Roman"/>
                <w:kern w:val="2"/>
                <w:sz w:val="21"/>
                <w:highlight w:val="none"/>
                <w:lang w:val="en-US" w:eastAsia="zh-CN" w:bidi="ar-SA"/>
              </w:rPr>
            </w:pPr>
            <w:r>
              <w:rPr>
                <w:rFonts w:ascii="宋体" w:hAnsi="宋体"/>
                <w:sz w:val="24"/>
                <w:highlight w:val="none"/>
              </w:rPr>
              <w:t>一年。自验收合格之日起一年内，如调查成果有任何质量问题，中标供应商应无条件配合采购人进行重新调查并出具报告。</w:t>
            </w:r>
          </w:p>
        </w:tc>
      </w:tr>
      <w:tr>
        <w:tblPrEx>
          <w:tblCellMar>
            <w:top w:w="0" w:type="dxa"/>
            <w:left w:w="108" w:type="dxa"/>
            <w:bottom w:w="0" w:type="dxa"/>
            <w:right w:w="108" w:type="dxa"/>
          </w:tblCellMar>
        </w:tblPrEx>
        <w:trPr>
          <w:trHeight w:val="1134" w:hRule="atLeast"/>
        </w:trPr>
        <w:tc>
          <w:tcPr>
            <w:tcW w:w="27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bCs/>
                <w:sz w:val="24"/>
                <w:szCs w:val="22"/>
                <w:highlight w:val="none"/>
              </w:rPr>
            </w:pPr>
            <w:r>
              <w:rPr>
                <w:rFonts w:hint="eastAsia" w:ascii="宋体" w:hAnsi="宋体"/>
                <w:bCs/>
                <w:sz w:val="24"/>
                <w:highlight w:val="none"/>
              </w:rPr>
              <w:t>项目负责人</w:t>
            </w:r>
          </w:p>
        </w:tc>
        <w:tc>
          <w:tcPr>
            <w:tcW w:w="7140"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sz w:val="24"/>
                <w:highlight w:val="none"/>
              </w:rPr>
            </w:pPr>
          </w:p>
        </w:tc>
      </w:tr>
      <w:tr>
        <w:tblPrEx>
          <w:tblCellMar>
            <w:top w:w="0" w:type="dxa"/>
            <w:left w:w="108" w:type="dxa"/>
            <w:bottom w:w="0" w:type="dxa"/>
            <w:right w:w="108" w:type="dxa"/>
          </w:tblCellMar>
        </w:tblPrEx>
        <w:trPr>
          <w:trHeight w:val="1134" w:hRule="atLeast"/>
        </w:trPr>
        <w:tc>
          <w:tcPr>
            <w:tcW w:w="27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sz w:val="24"/>
                <w:highlight w:val="none"/>
              </w:rPr>
            </w:pPr>
            <w:r>
              <w:rPr>
                <w:rFonts w:hint="eastAsia" w:ascii="宋体" w:hAnsi="宋体"/>
                <w:bCs/>
                <w:sz w:val="24"/>
                <w:highlight w:val="none"/>
              </w:rPr>
              <w:t>投标文件份数</w:t>
            </w:r>
          </w:p>
        </w:tc>
        <w:tc>
          <w:tcPr>
            <w:tcW w:w="71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napToGrid w:val="0"/>
                <w:sz w:val="24"/>
                <w:highlight w:val="none"/>
              </w:rPr>
            </w:pPr>
            <w:r>
              <w:rPr>
                <w:rFonts w:hint="eastAsia" w:ascii="宋体" w:hAnsi="宋体" w:cs="宋体"/>
                <w:bCs/>
                <w:snapToGrid w:val="0"/>
                <w:sz w:val="24"/>
                <w:highlight w:val="none"/>
              </w:rPr>
              <w:t>一正二副</w:t>
            </w:r>
            <w:r>
              <w:rPr>
                <w:rFonts w:hint="eastAsia" w:ascii="宋体" w:hAnsi="宋体" w:cs="宋体"/>
                <w:bCs/>
                <w:snapToGrid w:val="0"/>
                <w:sz w:val="24"/>
                <w:highlight w:val="none"/>
                <w:lang w:eastAsia="zh-CN"/>
              </w:rPr>
              <w:t>、</w:t>
            </w:r>
            <w:r>
              <w:rPr>
                <w:rFonts w:hint="eastAsia" w:ascii="宋体" w:hAnsi="宋体" w:cs="宋体"/>
                <w:bCs/>
                <w:snapToGrid w:val="0"/>
                <w:sz w:val="24"/>
                <w:highlight w:val="none"/>
              </w:rPr>
              <w:t>一份电子光盘（不可擦写光盘）或u盘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cantSplit/>
          <w:trHeight w:val="1370" w:hRule="atLeast"/>
        </w:trPr>
        <w:tc>
          <w:tcPr>
            <w:tcW w:w="9852" w:type="dxa"/>
            <w:gridSpan w:val="2"/>
            <w:noWrap w:val="0"/>
            <w:vAlign w:val="center"/>
          </w:tcPr>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是否属于小微型企业、监狱企业、残疾人福利性单位：</w:t>
            </w:r>
          </w:p>
          <w:p>
            <w:pPr>
              <w:pStyle w:val="2"/>
              <w:spacing w:line="360" w:lineRule="auto"/>
              <w:rPr>
                <w:rFonts w:hint="default" w:eastAsia="华文细黑"/>
                <w:highlight w:val="none"/>
                <w:lang w:val="en-US" w:eastAsia="zh-CN"/>
              </w:rPr>
            </w:pPr>
            <w:r>
              <w:rPr>
                <w:rFonts w:hint="eastAsia" w:ascii="宋体" w:hAnsi="宋体" w:eastAsia="宋体" w:cs="宋体"/>
                <w:color w:val="000000"/>
                <w:sz w:val="24"/>
                <w:szCs w:val="24"/>
                <w:highlight w:val="none"/>
                <w:lang w:val="en-US" w:eastAsia="zh-CN"/>
              </w:rPr>
              <w:t>小型□   微型</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sz w:val="24"/>
                <w:szCs w:val="24"/>
                <w:highlight w:val="none"/>
              </w:rPr>
              <w:t>监狱企业</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残疾人福利性单位</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color w:val="000000"/>
                <w:sz w:val="24"/>
                <w:szCs w:val="24"/>
                <w:highlight w:val="none"/>
                <w:lang w:val="en-US" w:eastAsia="zh-CN"/>
              </w:rPr>
              <w:t xml:space="preserve"> </w:t>
            </w:r>
          </w:p>
        </w:tc>
      </w:tr>
    </w:tbl>
    <w:p>
      <w:pPr>
        <w:spacing w:line="500" w:lineRule="exact"/>
        <w:rPr>
          <w:rFonts w:ascii="宋体" w:hAnsi="宋体"/>
          <w:b/>
          <w:sz w:val="24"/>
          <w:highlight w:val="none"/>
        </w:rPr>
      </w:pPr>
      <w:r>
        <w:rPr>
          <w:rFonts w:hint="eastAsia" w:ascii="宋体" w:hAnsi="宋体"/>
          <w:sz w:val="24"/>
          <w:highlight w:val="none"/>
        </w:rPr>
        <w:t>法定代表人或授权代表签字盖章：                          日期：   年   月   日</w:t>
      </w:r>
    </w:p>
    <w:p>
      <w:pPr>
        <w:spacing w:line="500" w:lineRule="exact"/>
        <w:rPr>
          <w:rFonts w:ascii="宋体" w:hAnsi="宋体"/>
          <w:b/>
          <w:sz w:val="24"/>
          <w:highlight w:val="none"/>
        </w:rPr>
      </w:pPr>
      <w:r>
        <w:rPr>
          <w:rFonts w:hint="eastAsia" w:ascii="宋体" w:hAnsi="宋体"/>
          <w:b/>
          <w:sz w:val="24"/>
          <w:highlight w:val="none"/>
        </w:rPr>
        <w:t>注：开标一览表中的内容应与响应函内容一致，否则评标时一律按开标一览表中内容为准，开标一览表中必须按要求盖章、签字。</w:t>
      </w:r>
    </w:p>
    <w:p>
      <w:pPr>
        <w:spacing w:line="400" w:lineRule="exact"/>
        <w:rPr>
          <w:rFonts w:ascii="宋体" w:hAnsi="宋体"/>
          <w:szCs w:val="21"/>
          <w:highlight w:val="none"/>
        </w:rPr>
      </w:pPr>
    </w:p>
    <w:p>
      <w:pPr>
        <w:spacing w:line="360" w:lineRule="auto"/>
        <w:rPr>
          <w:rFonts w:ascii="宋体" w:hAnsi="宋体" w:cs="宋体"/>
          <w:b/>
          <w:bCs/>
          <w:sz w:val="30"/>
          <w:szCs w:val="30"/>
          <w:highlight w:val="none"/>
        </w:rPr>
      </w:pPr>
      <w:r>
        <w:rPr>
          <w:highlight w:val="none"/>
        </w:rPr>
        <w:br w:type="page"/>
      </w:r>
    </w:p>
    <w:p>
      <w:pPr>
        <w:jc w:val="center"/>
        <w:rPr>
          <w:b/>
          <w:bCs/>
          <w:sz w:val="24"/>
          <w:szCs w:val="24"/>
          <w:highlight w:val="none"/>
        </w:rPr>
      </w:pPr>
      <w:r>
        <w:rPr>
          <w:rFonts w:hint="eastAsia"/>
          <w:b/>
          <w:bCs/>
          <w:sz w:val="24"/>
          <w:szCs w:val="24"/>
          <w:highlight w:val="none"/>
        </w:rPr>
        <w:t>细目报价表</w:t>
      </w:r>
    </w:p>
    <w:p>
      <w:pPr>
        <w:spacing w:line="400" w:lineRule="exact"/>
        <w:rPr>
          <w:rFonts w:ascii="黑体" w:eastAsia="黑体"/>
          <w:bCs/>
          <w:sz w:val="24"/>
          <w:szCs w:val="24"/>
          <w:highlight w:val="none"/>
        </w:rPr>
      </w:pPr>
      <w:r>
        <w:rPr>
          <w:rFonts w:hint="eastAsia" w:ascii="黑体" w:eastAsia="黑体"/>
          <w:bCs/>
          <w:sz w:val="24"/>
          <w:szCs w:val="24"/>
          <w:highlight w:val="none"/>
        </w:rPr>
        <w:t>供应商名称（盖章）                                  政府采购编号：</w:t>
      </w:r>
    </w:p>
    <w:tbl>
      <w:tblPr>
        <w:tblStyle w:val="62"/>
        <w:tblW w:w="10883"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96"/>
        <w:gridCol w:w="1888"/>
        <w:gridCol w:w="1701"/>
        <w:gridCol w:w="992"/>
        <w:gridCol w:w="2568"/>
        <w:gridCol w:w="2617"/>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 w:hRule="atLeast"/>
        </w:trPr>
        <w:tc>
          <w:tcPr>
            <w:tcW w:w="531" w:type="dxa"/>
            <w:tcMar>
              <w:top w:w="15" w:type="dxa"/>
              <w:left w:w="15" w:type="dxa"/>
              <w:bottom w:w="0" w:type="dxa"/>
              <w:right w:w="15" w:type="dxa"/>
            </w:tcMar>
            <w:vAlign w:val="center"/>
          </w:tcPr>
          <w:p>
            <w:pPr>
              <w:spacing w:before="5"/>
              <w:jc w:val="center"/>
              <w:rPr>
                <w:b/>
                <w:sz w:val="24"/>
                <w:szCs w:val="24"/>
                <w:highlight w:val="none"/>
                <w:u w:color="FF0000"/>
              </w:rPr>
            </w:pPr>
            <w:r>
              <w:rPr>
                <w:rFonts w:hint="eastAsia"/>
                <w:b/>
                <w:sz w:val="24"/>
                <w:szCs w:val="24"/>
                <w:highlight w:val="none"/>
                <w:u w:color="FF0000"/>
              </w:rPr>
              <w:t>序号</w:t>
            </w:r>
          </w:p>
        </w:tc>
        <w:tc>
          <w:tcPr>
            <w:tcW w:w="1984" w:type="dxa"/>
            <w:gridSpan w:val="2"/>
            <w:tcMar>
              <w:top w:w="15" w:type="dxa"/>
              <w:left w:w="15" w:type="dxa"/>
              <w:bottom w:w="0" w:type="dxa"/>
              <w:right w:w="15" w:type="dxa"/>
            </w:tcMar>
            <w:vAlign w:val="center"/>
          </w:tcPr>
          <w:p>
            <w:pPr>
              <w:spacing w:before="5"/>
              <w:jc w:val="center"/>
              <w:rPr>
                <w:b/>
                <w:sz w:val="24"/>
                <w:szCs w:val="24"/>
                <w:highlight w:val="none"/>
                <w:u w:color="FF0000"/>
              </w:rPr>
            </w:pPr>
            <w:r>
              <w:rPr>
                <w:rFonts w:hint="eastAsia"/>
                <w:b/>
                <w:sz w:val="24"/>
                <w:szCs w:val="24"/>
                <w:highlight w:val="none"/>
              </w:rPr>
              <w:t>名称</w:t>
            </w:r>
          </w:p>
        </w:tc>
        <w:tc>
          <w:tcPr>
            <w:tcW w:w="1701" w:type="dxa"/>
            <w:tcMar>
              <w:top w:w="15" w:type="dxa"/>
              <w:left w:w="15" w:type="dxa"/>
              <w:bottom w:w="0" w:type="dxa"/>
              <w:right w:w="15" w:type="dxa"/>
            </w:tcMar>
            <w:vAlign w:val="center"/>
          </w:tcPr>
          <w:p>
            <w:pPr>
              <w:spacing w:before="5"/>
              <w:jc w:val="center"/>
              <w:rPr>
                <w:b/>
                <w:sz w:val="24"/>
                <w:szCs w:val="24"/>
                <w:highlight w:val="none"/>
              </w:rPr>
            </w:pPr>
            <w:r>
              <w:rPr>
                <w:rFonts w:hint="eastAsia"/>
                <w:b/>
                <w:sz w:val="24"/>
                <w:szCs w:val="24"/>
                <w:highlight w:val="none"/>
              </w:rPr>
              <w:t>内容</w:t>
            </w:r>
          </w:p>
        </w:tc>
        <w:tc>
          <w:tcPr>
            <w:tcW w:w="992" w:type="dxa"/>
            <w:tcMar>
              <w:top w:w="15" w:type="dxa"/>
              <w:left w:w="15" w:type="dxa"/>
              <w:bottom w:w="0" w:type="dxa"/>
              <w:right w:w="15" w:type="dxa"/>
            </w:tcMar>
            <w:vAlign w:val="center"/>
          </w:tcPr>
          <w:p>
            <w:pPr>
              <w:spacing w:before="5"/>
              <w:jc w:val="center"/>
              <w:rPr>
                <w:b/>
                <w:sz w:val="24"/>
                <w:szCs w:val="24"/>
                <w:highlight w:val="none"/>
              </w:rPr>
            </w:pPr>
            <w:r>
              <w:rPr>
                <w:rFonts w:hint="eastAsia"/>
                <w:b/>
                <w:sz w:val="24"/>
                <w:szCs w:val="24"/>
                <w:highlight w:val="none"/>
              </w:rPr>
              <w:t>数量</w:t>
            </w:r>
          </w:p>
        </w:tc>
        <w:tc>
          <w:tcPr>
            <w:tcW w:w="2568" w:type="dxa"/>
            <w:tcMar>
              <w:top w:w="15" w:type="dxa"/>
              <w:left w:w="15" w:type="dxa"/>
              <w:bottom w:w="0" w:type="dxa"/>
              <w:right w:w="15" w:type="dxa"/>
            </w:tcMar>
            <w:vAlign w:val="center"/>
          </w:tcPr>
          <w:p>
            <w:pPr>
              <w:spacing w:before="5"/>
              <w:jc w:val="center"/>
              <w:rPr>
                <w:b/>
                <w:szCs w:val="21"/>
                <w:highlight w:val="none"/>
              </w:rPr>
            </w:pPr>
            <w:r>
              <w:rPr>
                <w:rFonts w:hint="eastAsia"/>
                <w:b/>
                <w:sz w:val="24"/>
                <w:szCs w:val="24"/>
                <w:highlight w:val="none"/>
              </w:rPr>
              <w:t>单报价</w:t>
            </w:r>
          </w:p>
        </w:tc>
        <w:tc>
          <w:tcPr>
            <w:tcW w:w="2617" w:type="dxa"/>
            <w:vAlign w:val="center"/>
          </w:tcPr>
          <w:p>
            <w:pPr>
              <w:spacing w:before="5"/>
              <w:jc w:val="center"/>
              <w:rPr>
                <w:b/>
                <w:sz w:val="24"/>
                <w:szCs w:val="24"/>
                <w:highlight w:val="none"/>
              </w:rPr>
            </w:pPr>
            <w:r>
              <w:rPr>
                <w:rFonts w:hint="eastAsia"/>
                <w:b/>
                <w:sz w:val="24"/>
                <w:szCs w:val="24"/>
                <w:highlight w:val="none"/>
              </w:rPr>
              <w:t>分项总报价</w:t>
            </w:r>
          </w:p>
        </w:tc>
        <w:tc>
          <w:tcPr>
            <w:tcW w:w="490" w:type="dxa"/>
            <w:vAlign w:val="center"/>
          </w:tcPr>
          <w:p>
            <w:pPr>
              <w:spacing w:before="5"/>
              <w:jc w:val="center"/>
              <w:rPr>
                <w:b/>
                <w:sz w:val="24"/>
                <w:szCs w:val="24"/>
                <w:highlight w:val="none"/>
              </w:rPr>
            </w:pPr>
            <w:r>
              <w:rPr>
                <w:rFonts w:hint="eastAsia"/>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atLeast"/>
        </w:trPr>
        <w:tc>
          <w:tcPr>
            <w:tcW w:w="531" w:type="dxa"/>
            <w:tcMar>
              <w:top w:w="15" w:type="dxa"/>
              <w:left w:w="15" w:type="dxa"/>
              <w:bottom w:w="0" w:type="dxa"/>
              <w:right w:w="15" w:type="dxa"/>
            </w:tcMar>
            <w:vAlign w:val="center"/>
          </w:tcPr>
          <w:p>
            <w:pPr>
              <w:jc w:val="center"/>
              <w:rPr>
                <w:rFonts w:hAnsi="宋体"/>
                <w:sz w:val="24"/>
                <w:szCs w:val="24"/>
                <w:highlight w:val="none"/>
              </w:rPr>
            </w:pPr>
            <w:r>
              <w:rPr>
                <w:rFonts w:hint="eastAsia" w:hAnsi="宋体"/>
                <w:sz w:val="24"/>
                <w:szCs w:val="24"/>
                <w:highlight w:val="none"/>
              </w:rPr>
              <w:t>1</w:t>
            </w:r>
          </w:p>
        </w:tc>
        <w:tc>
          <w:tcPr>
            <w:tcW w:w="1984" w:type="dxa"/>
            <w:gridSpan w:val="2"/>
            <w:tcMar>
              <w:top w:w="15" w:type="dxa"/>
              <w:left w:w="15" w:type="dxa"/>
              <w:bottom w:w="0" w:type="dxa"/>
              <w:right w:w="15" w:type="dxa"/>
            </w:tcMar>
            <w:vAlign w:val="center"/>
          </w:tcPr>
          <w:p>
            <w:pPr>
              <w:spacing w:line="300" w:lineRule="exact"/>
              <w:rPr>
                <w:rFonts w:hAnsi="宋体"/>
                <w:sz w:val="24"/>
                <w:szCs w:val="24"/>
                <w:highlight w:val="none"/>
              </w:rPr>
            </w:pPr>
          </w:p>
        </w:tc>
        <w:tc>
          <w:tcPr>
            <w:tcW w:w="1701" w:type="dxa"/>
            <w:tcMar>
              <w:top w:w="15" w:type="dxa"/>
              <w:left w:w="15" w:type="dxa"/>
              <w:bottom w:w="0" w:type="dxa"/>
              <w:right w:w="15" w:type="dxa"/>
            </w:tcMar>
            <w:vAlign w:val="center"/>
          </w:tcPr>
          <w:p>
            <w:pPr>
              <w:rPr>
                <w:bCs/>
                <w:sz w:val="24"/>
                <w:szCs w:val="24"/>
                <w:highlight w:val="none"/>
              </w:rPr>
            </w:pPr>
          </w:p>
        </w:tc>
        <w:tc>
          <w:tcPr>
            <w:tcW w:w="992" w:type="dxa"/>
            <w:tcMar>
              <w:top w:w="15" w:type="dxa"/>
              <w:left w:w="15" w:type="dxa"/>
              <w:bottom w:w="0" w:type="dxa"/>
              <w:right w:w="15" w:type="dxa"/>
            </w:tcMar>
            <w:vAlign w:val="center"/>
          </w:tcPr>
          <w:p>
            <w:pPr>
              <w:jc w:val="center"/>
              <w:rPr>
                <w:rFonts w:hAnsi="宋体"/>
                <w:sz w:val="24"/>
                <w:szCs w:val="24"/>
                <w:highlight w:val="none"/>
              </w:rPr>
            </w:pPr>
          </w:p>
        </w:tc>
        <w:tc>
          <w:tcPr>
            <w:tcW w:w="2568" w:type="dxa"/>
            <w:tcMar>
              <w:top w:w="15" w:type="dxa"/>
              <w:left w:w="15" w:type="dxa"/>
              <w:bottom w:w="0" w:type="dxa"/>
              <w:right w:w="15" w:type="dxa"/>
            </w:tcMar>
            <w:vAlign w:val="center"/>
          </w:tcPr>
          <w:p>
            <w:pPr>
              <w:spacing w:before="5"/>
              <w:jc w:val="center"/>
              <w:rPr>
                <w:b/>
                <w:sz w:val="24"/>
                <w:szCs w:val="24"/>
                <w:highlight w:val="none"/>
              </w:rPr>
            </w:pPr>
            <w:r>
              <w:rPr>
                <w:rFonts w:hint="eastAsia"/>
                <w:b/>
                <w:sz w:val="24"/>
                <w:szCs w:val="24"/>
                <w:highlight w:val="none"/>
              </w:rPr>
              <w:t>　</w:t>
            </w:r>
          </w:p>
        </w:tc>
        <w:tc>
          <w:tcPr>
            <w:tcW w:w="2617" w:type="dxa"/>
          </w:tcPr>
          <w:p>
            <w:pPr>
              <w:jc w:val="center"/>
              <w:rPr>
                <w:rFonts w:ascii="黑体" w:hAnsi="宋体" w:eastAsia="黑体"/>
                <w:b/>
                <w:bCs/>
                <w:sz w:val="24"/>
                <w:szCs w:val="24"/>
                <w:highlight w:val="none"/>
              </w:rPr>
            </w:pPr>
            <w:r>
              <w:rPr>
                <w:rFonts w:hint="eastAsia" w:ascii="黑体" w:eastAsia="黑体"/>
                <w:b/>
                <w:bCs/>
                <w:sz w:val="24"/>
                <w:szCs w:val="24"/>
                <w:highlight w:val="none"/>
              </w:rPr>
              <w:t>　</w:t>
            </w:r>
          </w:p>
        </w:tc>
        <w:tc>
          <w:tcPr>
            <w:tcW w:w="490" w:type="dxa"/>
            <w:vAlign w:val="center"/>
          </w:tcPr>
          <w:p>
            <w:pPr>
              <w:jc w:val="center"/>
              <w:rPr>
                <w:rFonts w:ascii="黑体" w:hAnsi="宋体" w:eastAsia="黑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atLeast"/>
        </w:trPr>
        <w:tc>
          <w:tcPr>
            <w:tcW w:w="531" w:type="dxa"/>
            <w:tcMar>
              <w:top w:w="15" w:type="dxa"/>
              <w:left w:w="15" w:type="dxa"/>
              <w:bottom w:w="0" w:type="dxa"/>
              <w:right w:w="15" w:type="dxa"/>
            </w:tcMar>
            <w:vAlign w:val="center"/>
          </w:tcPr>
          <w:p>
            <w:pPr>
              <w:jc w:val="center"/>
              <w:rPr>
                <w:rFonts w:hAnsi="宋体"/>
                <w:sz w:val="24"/>
                <w:szCs w:val="24"/>
                <w:highlight w:val="none"/>
              </w:rPr>
            </w:pPr>
            <w:r>
              <w:rPr>
                <w:rFonts w:hint="eastAsia" w:hAnsi="宋体"/>
                <w:sz w:val="24"/>
                <w:szCs w:val="24"/>
                <w:highlight w:val="none"/>
              </w:rPr>
              <w:t>2</w:t>
            </w:r>
          </w:p>
        </w:tc>
        <w:tc>
          <w:tcPr>
            <w:tcW w:w="1984" w:type="dxa"/>
            <w:gridSpan w:val="2"/>
            <w:tcMar>
              <w:top w:w="15" w:type="dxa"/>
              <w:left w:w="15" w:type="dxa"/>
              <w:bottom w:w="0" w:type="dxa"/>
              <w:right w:w="15" w:type="dxa"/>
            </w:tcMar>
            <w:vAlign w:val="center"/>
          </w:tcPr>
          <w:p>
            <w:pPr>
              <w:spacing w:line="300" w:lineRule="exact"/>
              <w:rPr>
                <w:rFonts w:hAnsi="宋体"/>
                <w:sz w:val="24"/>
                <w:szCs w:val="24"/>
                <w:highlight w:val="none"/>
              </w:rPr>
            </w:pPr>
          </w:p>
        </w:tc>
        <w:tc>
          <w:tcPr>
            <w:tcW w:w="1701" w:type="dxa"/>
            <w:tcMar>
              <w:top w:w="15" w:type="dxa"/>
              <w:left w:w="15" w:type="dxa"/>
              <w:bottom w:w="0" w:type="dxa"/>
              <w:right w:w="15" w:type="dxa"/>
            </w:tcMar>
            <w:vAlign w:val="center"/>
          </w:tcPr>
          <w:p>
            <w:pPr>
              <w:rPr>
                <w:bCs/>
                <w:sz w:val="24"/>
                <w:szCs w:val="24"/>
                <w:highlight w:val="none"/>
              </w:rPr>
            </w:pPr>
          </w:p>
        </w:tc>
        <w:tc>
          <w:tcPr>
            <w:tcW w:w="992" w:type="dxa"/>
            <w:tcMar>
              <w:top w:w="15" w:type="dxa"/>
              <w:left w:w="15" w:type="dxa"/>
              <w:bottom w:w="0" w:type="dxa"/>
              <w:right w:w="15" w:type="dxa"/>
            </w:tcMar>
            <w:vAlign w:val="center"/>
          </w:tcPr>
          <w:p>
            <w:pPr>
              <w:jc w:val="center"/>
              <w:rPr>
                <w:rFonts w:hAnsi="宋体"/>
                <w:sz w:val="24"/>
                <w:szCs w:val="24"/>
                <w:highlight w:val="none"/>
              </w:rPr>
            </w:pPr>
          </w:p>
        </w:tc>
        <w:tc>
          <w:tcPr>
            <w:tcW w:w="2568" w:type="dxa"/>
            <w:tcMar>
              <w:top w:w="15" w:type="dxa"/>
              <w:left w:w="15" w:type="dxa"/>
              <w:bottom w:w="0" w:type="dxa"/>
              <w:right w:w="15" w:type="dxa"/>
            </w:tcMar>
            <w:vAlign w:val="center"/>
          </w:tcPr>
          <w:p>
            <w:pPr>
              <w:spacing w:before="5"/>
              <w:jc w:val="center"/>
              <w:rPr>
                <w:b/>
                <w:sz w:val="24"/>
                <w:szCs w:val="24"/>
                <w:highlight w:val="none"/>
              </w:rPr>
            </w:pPr>
          </w:p>
        </w:tc>
        <w:tc>
          <w:tcPr>
            <w:tcW w:w="2617" w:type="dxa"/>
          </w:tcPr>
          <w:p>
            <w:pPr>
              <w:jc w:val="center"/>
              <w:rPr>
                <w:rFonts w:ascii="黑体" w:hAnsi="宋体" w:eastAsia="黑体"/>
                <w:b/>
                <w:bCs/>
                <w:sz w:val="24"/>
                <w:szCs w:val="24"/>
                <w:highlight w:val="none"/>
              </w:rPr>
            </w:pPr>
          </w:p>
        </w:tc>
        <w:tc>
          <w:tcPr>
            <w:tcW w:w="490" w:type="dxa"/>
            <w:vAlign w:val="center"/>
          </w:tcPr>
          <w:p>
            <w:pPr>
              <w:jc w:val="center"/>
              <w:rPr>
                <w:rFonts w:ascii="黑体" w:hAnsi="宋体" w:eastAsia="黑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trPr>
        <w:tc>
          <w:tcPr>
            <w:tcW w:w="531" w:type="dxa"/>
            <w:tcMar>
              <w:top w:w="15" w:type="dxa"/>
              <w:left w:w="15" w:type="dxa"/>
              <w:bottom w:w="0" w:type="dxa"/>
              <w:right w:w="15" w:type="dxa"/>
            </w:tcMar>
            <w:vAlign w:val="center"/>
          </w:tcPr>
          <w:p>
            <w:pPr>
              <w:jc w:val="center"/>
              <w:rPr>
                <w:rFonts w:hAnsi="宋体"/>
                <w:sz w:val="24"/>
                <w:szCs w:val="24"/>
                <w:highlight w:val="none"/>
              </w:rPr>
            </w:pPr>
            <w:r>
              <w:rPr>
                <w:rFonts w:hint="eastAsia" w:hAnsi="宋体"/>
                <w:sz w:val="24"/>
                <w:szCs w:val="24"/>
                <w:highlight w:val="none"/>
              </w:rPr>
              <w:t>3</w:t>
            </w:r>
          </w:p>
        </w:tc>
        <w:tc>
          <w:tcPr>
            <w:tcW w:w="1984" w:type="dxa"/>
            <w:gridSpan w:val="2"/>
            <w:tcMar>
              <w:top w:w="15" w:type="dxa"/>
              <w:left w:w="15" w:type="dxa"/>
              <w:bottom w:w="0" w:type="dxa"/>
              <w:right w:w="15" w:type="dxa"/>
            </w:tcMar>
            <w:vAlign w:val="center"/>
          </w:tcPr>
          <w:p>
            <w:pPr>
              <w:spacing w:line="300" w:lineRule="exact"/>
              <w:rPr>
                <w:rFonts w:hAnsi="宋体"/>
                <w:sz w:val="24"/>
                <w:szCs w:val="24"/>
                <w:highlight w:val="none"/>
              </w:rPr>
            </w:pPr>
          </w:p>
        </w:tc>
        <w:tc>
          <w:tcPr>
            <w:tcW w:w="1701" w:type="dxa"/>
            <w:tcMar>
              <w:top w:w="15" w:type="dxa"/>
              <w:left w:w="15" w:type="dxa"/>
              <w:bottom w:w="0" w:type="dxa"/>
              <w:right w:w="15" w:type="dxa"/>
            </w:tcMar>
            <w:vAlign w:val="center"/>
          </w:tcPr>
          <w:p>
            <w:pPr>
              <w:rPr>
                <w:bCs/>
                <w:sz w:val="24"/>
                <w:szCs w:val="24"/>
                <w:highlight w:val="none"/>
              </w:rPr>
            </w:pPr>
          </w:p>
        </w:tc>
        <w:tc>
          <w:tcPr>
            <w:tcW w:w="992" w:type="dxa"/>
            <w:tcMar>
              <w:top w:w="15" w:type="dxa"/>
              <w:left w:w="15" w:type="dxa"/>
              <w:bottom w:w="0" w:type="dxa"/>
              <w:right w:w="15" w:type="dxa"/>
            </w:tcMar>
            <w:vAlign w:val="center"/>
          </w:tcPr>
          <w:p>
            <w:pPr>
              <w:jc w:val="center"/>
              <w:rPr>
                <w:rFonts w:hAnsi="宋体"/>
                <w:sz w:val="24"/>
                <w:szCs w:val="24"/>
                <w:highlight w:val="none"/>
              </w:rPr>
            </w:pPr>
          </w:p>
        </w:tc>
        <w:tc>
          <w:tcPr>
            <w:tcW w:w="2568" w:type="dxa"/>
            <w:tcMar>
              <w:top w:w="15" w:type="dxa"/>
              <w:left w:w="15" w:type="dxa"/>
              <w:bottom w:w="0" w:type="dxa"/>
              <w:right w:w="15" w:type="dxa"/>
            </w:tcMar>
            <w:vAlign w:val="center"/>
          </w:tcPr>
          <w:p>
            <w:pPr>
              <w:spacing w:before="5"/>
              <w:jc w:val="center"/>
              <w:rPr>
                <w:b/>
                <w:sz w:val="24"/>
                <w:szCs w:val="24"/>
                <w:highlight w:val="none"/>
              </w:rPr>
            </w:pPr>
          </w:p>
        </w:tc>
        <w:tc>
          <w:tcPr>
            <w:tcW w:w="2617" w:type="dxa"/>
          </w:tcPr>
          <w:p>
            <w:pPr>
              <w:jc w:val="center"/>
              <w:rPr>
                <w:rFonts w:ascii="黑体" w:hAnsi="宋体" w:eastAsia="黑体"/>
                <w:b/>
                <w:bCs/>
                <w:sz w:val="24"/>
                <w:szCs w:val="24"/>
                <w:highlight w:val="none"/>
              </w:rPr>
            </w:pPr>
          </w:p>
        </w:tc>
        <w:tc>
          <w:tcPr>
            <w:tcW w:w="490" w:type="dxa"/>
            <w:vAlign w:val="center"/>
          </w:tcPr>
          <w:p>
            <w:pPr>
              <w:jc w:val="center"/>
              <w:rPr>
                <w:rFonts w:ascii="黑体" w:hAnsi="宋体" w:eastAsia="黑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627" w:type="dxa"/>
            <w:gridSpan w:val="2"/>
            <w:vMerge w:val="restart"/>
            <w:tcBorders>
              <w:top w:val="single" w:color="auto" w:sz="4" w:space="0"/>
              <w:left w:val="single" w:color="auto" w:sz="4" w:space="0"/>
              <w:right w:val="single" w:color="auto" w:sz="4" w:space="0"/>
            </w:tcBorders>
            <w:vAlign w:val="center"/>
          </w:tcPr>
          <w:p>
            <w:pPr>
              <w:pStyle w:val="55"/>
              <w:spacing w:line="400" w:lineRule="exact"/>
              <w:ind w:firstLine="120" w:firstLineChars="50"/>
              <w:rPr>
                <w:rFonts w:ascii="宋体" w:hAnsi="宋体"/>
                <w:b/>
                <w:bCs/>
                <w:sz w:val="24"/>
                <w:highlight w:val="none"/>
              </w:rPr>
            </w:pPr>
            <w:r>
              <w:rPr>
                <w:rFonts w:hint="eastAsia" w:ascii="宋体" w:hAnsi="宋体"/>
                <w:b/>
                <w:bCs/>
                <w:sz w:val="24"/>
                <w:highlight w:val="none"/>
              </w:rPr>
              <w:t>服</w:t>
            </w:r>
          </w:p>
          <w:p>
            <w:pPr>
              <w:pStyle w:val="55"/>
              <w:spacing w:line="400" w:lineRule="exact"/>
              <w:ind w:firstLine="120" w:firstLineChars="50"/>
              <w:rPr>
                <w:rFonts w:ascii="宋体" w:hAnsi="宋体"/>
                <w:b/>
                <w:bCs/>
                <w:sz w:val="24"/>
                <w:highlight w:val="none"/>
              </w:rPr>
            </w:pPr>
            <w:r>
              <w:rPr>
                <w:rFonts w:hint="eastAsia" w:ascii="宋体" w:hAnsi="宋体"/>
                <w:b/>
                <w:bCs/>
                <w:sz w:val="24"/>
                <w:highlight w:val="none"/>
              </w:rPr>
              <w:t>务</w:t>
            </w:r>
          </w:p>
          <w:p>
            <w:pPr>
              <w:pStyle w:val="55"/>
              <w:spacing w:line="400" w:lineRule="exact"/>
              <w:ind w:firstLine="120" w:firstLineChars="50"/>
              <w:rPr>
                <w:rFonts w:ascii="宋体" w:hAnsi="宋体"/>
                <w:b/>
                <w:bCs/>
                <w:sz w:val="24"/>
                <w:highlight w:val="none"/>
              </w:rPr>
            </w:pPr>
            <w:r>
              <w:rPr>
                <w:rFonts w:hint="eastAsia" w:ascii="宋体" w:hAnsi="宋体"/>
                <w:b/>
                <w:bCs/>
                <w:sz w:val="24"/>
                <w:highlight w:val="none"/>
              </w:rPr>
              <w:t>承</w:t>
            </w:r>
          </w:p>
          <w:p>
            <w:pPr>
              <w:pStyle w:val="55"/>
              <w:spacing w:line="400" w:lineRule="exact"/>
              <w:ind w:firstLine="120" w:firstLineChars="50"/>
              <w:rPr>
                <w:rFonts w:ascii="宋体" w:hAnsi="宋体"/>
                <w:bCs/>
                <w:sz w:val="24"/>
                <w:highlight w:val="none"/>
              </w:rPr>
            </w:pPr>
            <w:r>
              <w:rPr>
                <w:rFonts w:hint="eastAsia" w:ascii="宋体" w:hAnsi="宋体"/>
                <w:b/>
                <w:bCs/>
                <w:sz w:val="24"/>
                <w:highlight w:val="none"/>
              </w:rPr>
              <w:t>诺</w:t>
            </w:r>
          </w:p>
        </w:tc>
        <w:tc>
          <w:tcPr>
            <w:tcW w:w="10256" w:type="dxa"/>
            <w:gridSpan w:val="6"/>
            <w:tcBorders>
              <w:top w:val="single" w:color="auto" w:sz="4" w:space="0"/>
              <w:left w:val="single" w:color="auto" w:sz="4" w:space="0"/>
              <w:right w:val="single" w:color="auto" w:sz="4" w:space="0"/>
            </w:tcBorders>
          </w:tcPr>
          <w:p>
            <w:pPr>
              <w:numPr>
                <w:ilvl w:val="0"/>
                <w:numId w:val="22"/>
              </w:numPr>
              <w:rPr>
                <w:rFonts w:hAnsi="宋体"/>
                <w:bCs/>
                <w:sz w:val="24"/>
                <w:szCs w:val="24"/>
                <w:highlight w:val="none"/>
              </w:rPr>
            </w:pPr>
            <w:r>
              <w:rPr>
                <w:rFonts w:hint="eastAsia" w:hAnsi="宋体"/>
                <w:bCs/>
                <w:sz w:val="24"/>
                <w:szCs w:val="24"/>
                <w:highlight w:val="none"/>
              </w:rPr>
              <w:t>质量</w:t>
            </w:r>
          </w:p>
          <w:p>
            <w:pPr>
              <w:numPr>
                <w:ilvl w:val="0"/>
                <w:numId w:val="22"/>
              </w:numPr>
              <w:rPr>
                <w:rFonts w:hAnsi="宋体"/>
                <w:bCs/>
                <w:sz w:val="24"/>
                <w:szCs w:val="24"/>
                <w:highlight w:val="none"/>
              </w:rPr>
            </w:pPr>
            <w:r>
              <w:rPr>
                <w:rFonts w:hint="eastAsia" w:hAnsi="宋体"/>
                <w:bCs/>
                <w:sz w:val="24"/>
                <w:szCs w:val="24"/>
                <w:highlight w:val="none"/>
              </w:rPr>
              <w:t>保修</w:t>
            </w:r>
          </w:p>
          <w:p>
            <w:pPr>
              <w:numPr>
                <w:ilvl w:val="0"/>
                <w:numId w:val="22"/>
              </w:numPr>
              <w:rPr>
                <w:rFonts w:hAnsi="宋体"/>
                <w:bCs/>
                <w:sz w:val="24"/>
                <w:szCs w:val="24"/>
                <w:highlight w:val="none"/>
              </w:rPr>
            </w:pPr>
            <w:r>
              <w:rPr>
                <w:rFonts w:hint="eastAsia" w:hAnsi="宋体"/>
                <w:bCs/>
                <w:sz w:val="24"/>
                <w:szCs w:val="24"/>
                <w:highlight w:val="none"/>
              </w:rPr>
              <w:t>其他承诺</w:t>
            </w:r>
          </w:p>
          <w:p>
            <w:pPr>
              <w:rPr>
                <w:rFonts w:hAnsi="宋体"/>
                <w:bCs/>
                <w:sz w:val="24"/>
                <w:szCs w:val="24"/>
                <w:highlight w:val="none"/>
              </w:rPr>
            </w:pPr>
            <w:r>
              <w:rPr>
                <w:rFonts w:hint="eastAsia" w:hAnsi="宋体"/>
                <w:bCs/>
                <w:sz w:val="24"/>
                <w:szCs w:val="24"/>
                <w:highlight w:val="none"/>
              </w:rPr>
              <w:t>（以上是主要承诺，供供应商参考，供应商应在满足磋商文件要求的基础上，根据自己单位的情况作出具体承诺）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trPr>
        <w:tc>
          <w:tcPr>
            <w:tcW w:w="627" w:type="dxa"/>
            <w:gridSpan w:val="2"/>
            <w:vMerge w:val="continue"/>
            <w:tcBorders>
              <w:left w:val="single" w:color="auto" w:sz="4" w:space="0"/>
              <w:bottom w:val="single" w:color="auto" w:sz="4" w:space="0"/>
              <w:right w:val="single" w:color="auto" w:sz="4" w:space="0"/>
            </w:tcBorders>
            <w:vAlign w:val="center"/>
          </w:tcPr>
          <w:p>
            <w:pPr>
              <w:pStyle w:val="55"/>
              <w:spacing w:line="400" w:lineRule="exact"/>
              <w:rPr>
                <w:rFonts w:ascii="宋体" w:hAnsi="宋体"/>
                <w:bCs/>
                <w:sz w:val="24"/>
                <w:highlight w:val="none"/>
              </w:rPr>
            </w:pPr>
          </w:p>
        </w:tc>
        <w:tc>
          <w:tcPr>
            <w:tcW w:w="10256" w:type="dxa"/>
            <w:gridSpan w:val="6"/>
            <w:tcBorders>
              <w:left w:val="single" w:color="auto" w:sz="4" w:space="0"/>
              <w:bottom w:val="single" w:color="auto" w:sz="4" w:space="0"/>
              <w:right w:val="single" w:color="auto" w:sz="4" w:space="0"/>
            </w:tcBorders>
          </w:tcPr>
          <w:p>
            <w:pPr>
              <w:rPr>
                <w:rFonts w:hAnsi="宋体"/>
                <w:bCs/>
                <w:sz w:val="24"/>
                <w:szCs w:val="24"/>
                <w:highlight w:val="none"/>
              </w:rPr>
            </w:pPr>
          </w:p>
        </w:tc>
      </w:tr>
    </w:tbl>
    <w:p>
      <w:pPr>
        <w:spacing w:before="5" w:line="560" w:lineRule="atLeast"/>
        <w:rPr>
          <w:b/>
          <w:bCs/>
          <w:sz w:val="24"/>
          <w:szCs w:val="24"/>
          <w:highlight w:val="none"/>
        </w:rPr>
      </w:pPr>
      <w:r>
        <w:rPr>
          <w:rFonts w:hint="eastAsia"/>
          <w:b/>
          <w:bCs/>
          <w:sz w:val="24"/>
          <w:szCs w:val="24"/>
          <w:highlight w:val="none"/>
        </w:rPr>
        <w:t>法定代表人或法定代表人授权代表签字或盖章：</w:t>
      </w:r>
    </w:p>
    <w:p>
      <w:pPr>
        <w:spacing w:line="400" w:lineRule="exact"/>
        <w:outlineLvl w:val="0"/>
        <w:rPr>
          <w:rFonts w:ascii="宋体" w:hAnsi="宋体"/>
          <w:szCs w:val="21"/>
          <w:highlight w:val="none"/>
        </w:rPr>
      </w:pPr>
    </w:p>
    <w:p>
      <w:pPr>
        <w:spacing w:line="400" w:lineRule="exact"/>
        <w:outlineLvl w:val="0"/>
        <w:rPr>
          <w:rFonts w:ascii="宋体" w:hAnsi="宋体"/>
          <w:szCs w:val="21"/>
          <w:highlight w:val="none"/>
        </w:rPr>
      </w:pPr>
      <w:r>
        <w:rPr>
          <w:rFonts w:hint="eastAsia" w:ascii="宋体" w:hAnsi="宋体"/>
          <w:szCs w:val="21"/>
          <w:highlight w:val="none"/>
        </w:rPr>
        <w:t>注：</w:t>
      </w:r>
    </w:p>
    <w:p>
      <w:pPr>
        <w:spacing w:line="400" w:lineRule="exact"/>
        <w:outlineLvl w:val="0"/>
        <w:rPr>
          <w:rFonts w:ascii="宋体" w:hAnsi="宋体"/>
          <w:szCs w:val="21"/>
          <w:highlight w:val="none"/>
        </w:rPr>
      </w:pPr>
      <w:r>
        <w:rPr>
          <w:rFonts w:hint="eastAsia" w:ascii="宋体" w:hAnsi="宋体"/>
          <w:szCs w:val="21"/>
          <w:highlight w:val="none"/>
        </w:rPr>
        <w:t>（1）报价供应商应当根据“</w:t>
      </w:r>
      <w:r>
        <w:rPr>
          <w:rFonts w:ascii="宋体" w:hAnsi="宋体" w:cs="宋体"/>
          <w:kern w:val="1"/>
          <w:szCs w:val="21"/>
          <w:highlight w:val="none"/>
        </w:rPr>
        <w:t>项目技术要求和有关说明</w:t>
      </w:r>
      <w:r>
        <w:rPr>
          <w:rFonts w:hint="eastAsia" w:ascii="宋体" w:hAnsi="宋体"/>
          <w:szCs w:val="21"/>
          <w:highlight w:val="none"/>
        </w:rPr>
        <w:t>”的内容在上表中详细填写，表格不够可自行延长。</w:t>
      </w:r>
    </w:p>
    <w:p>
      <w:pPr>
        <w:spacing w:line="400" w:lineRule="exact"/>
        <w:outlineLvl w:val="0"/>
        <w:rPr>
          <w:rFonts w:ascii="宋体" w:hAnsi="宋体"/>
          <w:szCs w:val="21"/>
          <w:highlight w:val="none"/>
        </w:rPr>
      </w:pPr>
      <w:r>
        <w:rPr>
          <w:rFonts w:hint="eastAsia" w:ascii="宋体" w:hAnsi="宋体"/>
          <w:szCs w:val="21"/>
          <w:highlight w:val="none"/>
        </w:rPr>
        <w:t>（2）上述表格如有不尽之处，报价供应商必须自行添加相应内容并填写完善。</w:t>
      </w:r>
    </w:p>
    <w:p>
      <w:pPr>
        <w:spacing w:line="400" w:lineRule="exact"/>
        <w:outlineLvl w:val="0"/>
        <w:rPr>
          <w:rFonts w:hint="eastAsia" w:ascii="宋体" w:hAnsi="宋体" w:eastAsia="宋体"/>
          <w:sz w:val="24"/>
          <w:highlight w:val="none"/>
          <w:lang w:eastAsia="zh-CN"/>
        </w:rPr>
      </w:pPr>
      <w:r>
        <w:rPr>
          <w:rFonts w:hint="eastAsia" w:ascii="宋体" w:hAnsi="宋体"/>
          <w:szCs w:val="21"/>
          <w:highlight w:val="none"/>
        </w:rPr>
        <w:t>（3）</w:t>
      </w:r>
      <w:r>
        <w:rPr>
          <w:rFonts w:hint="eastAsia" w:ascii="宋体" w:hAnsi="宋体" w:cs="宋体"/>
          <w:bCs/>
          <w:sz w:val="24"/>
          <w:szCs w:val="24"/>
          <w:highlight w:val="none"/>
        </w:rPr>
        <w:t>属于小、微型企业（或监狱企业、残疾人福利性单位）产品，供应商须提供《中小企业声明函》（货物／服务）（《中小企业声明函》（货物／服务）相应内容须与上表填列内容保持一致）；或提供由省级以上监狱管理局、戒毒管理局（含新疆生产建设兵团）出具的供应商属于监狱企业的证明文件复印件：或提供供应商《残疾人福利性单位声明函》。如未按要求填写和提供有效证明或相关内容表述不清的，不得享受价格扣除。供应商对所报相关数据的真实性负责，</w:t>
      </w:r>
      <w:r>
        <w:rPr>
          <w:rFonts w:hint="eastAsia" w:ascii="宋体" w:hAnsi="宋体" w:cs="宋体"/>
          <w:bCs/>
          <w:sz w:val="24"/>
          <w:szCs w:val="24"/>
          <w:highlight w:val="none"/>
          <w:lang w:val="en-US" w:eastAsia="zh-CN"/>
        </w:rPr>
        <w:t>中嘉工程管理咨询（江苏）有限公司</w:t>
      </w:r>
      <w:r>
        <w:rPr>
          <w:rFonts w:hint="eastAsia" w:ascii="宋体" w:hAnsi="宋体" w:cs="宋体"/>
          <w:bCs/>
          <w:sz w:val="24"/>
          <w:szCs w:val="24"/>
          <w:highlight w:val="none"/>
        </w:rPr>
        <w:t>有权将相关内容进行公示</w:t>
      </w:r>
      <w:r>
        <w:rPr>
          <w:rFonts w:hint="eastAsia" w:ascii="宋体" w:hAnsi="宋体" w:cs="宋体"/>
          <w:bCs/>
          <w:sz w:val="24"/>
          <w:szCs w:val="24"/>
          <w:highlight w:val="none"/>
          <w:lang w:eastAsia="zh-CN"/>
        </w:rPr>
        <w:t>。</w:t>
      </w:r>
    </w:p>
    <w:p>
      <w:pPr>
        <w:spacing w:line="400" w:lineRule="exact"/>
        <w:outlineLvl w:val="0"/>
        <w:rPr>
          <w:rFonts w:ascii="宋体" w:hAnsi="宋体"/>
          <w:szCs w:val="21"/>
          <w:highlight w:val="none"/>
        </w:rPr>
      </w:pPr>
    </w:p>
    <w:p>
      <w:pPr>
        <w:spacing w:line="400" w:lineRule="exact"/>
        <w:outlineLvl w:val="0"/>
        <w:rPr>
          <w:rFonts w:ascii="宋体" w:hAnsi="宋体"/>
          <w:szCs w:val="21"/>
          <w:highlight w:val="none"/>
        </w:rPr>
      </w:pPr>
    </w:p>
    <w:p>
      <w:pPr>
        <w:spacing w:line="400" w:lineRule="exact"/>
        <w:outlineLvl w:val="0"/>
        <w:rPr>
          <w:rFonts w:ascii="宋体" w:hAnsi="宋体"/>
          <w:szCs w:val="21"/>
          <w:highlight w:val="none"/>
        </w:rPr>
      </w:pPr>
    </w:p>
    <w:p>
      <w:pPr>
        <w:spacing w:line="400" w:lineRule="exact"/>
        <w:ind w:firstLine="210" w:firstLineChars="100"/>
        <w:outlineLvl w:val="0"/>
        <w:rPr>
          <w:rFonts w:ascii="宋体" w:hAnsi="宋体" w:cs="宋体"/>
          <w:kern w:val="0"/>
          <w:szCs w:val="21"/>
          <w:highlight w:val="none"/>
          <w:lang w:val="zh-CN"/>
        </w:rPr>
      </w:pPr>
    </w:p>
    <w:p>
      <w:pPr>
        <w:pStyle w:val="38"/>
        <w:rPr>
          <w:rFonts w:ascii="宋体" w:hAnsi="宋体" w:cs="宋体"/>
          <w:kern w:val="0"/>
          <w:szCs w:val="21"/>
          <w:highlight w:val="none"/>
          <w:lang w:val="zh-CN"/>
        </w:rPr>
      </w:pPr>
    </w:p>
    <w:p>
      <w:pPr>
        <w:pStyle w:val="39"/>
        <w:rPr>
          <w:rFonts w:ascii="宋体" w:hAnsi="宋体" w:cs="宋体"/>
          <w:szCs w:val="21"/>
          <w:highlight w:val="none"/>
          <w:lang w:val="zh-CN"/>
        </w:rPr>
      </w:pPr>
    </w:p>
    <w:p>
      <w:pPr>
        <w:rPr>
          <w:highlight w:val="none"/>
          <w:lang w:val="zh-CN"/>
        </w:rPr>
      </w:pPr>
    </w:p>
    <w:p>
      <w:pPr>
        <w:widowControl/>
        <w:shd w:val="clear" w:color="auto" w:fill="FFFFFF"/>
        <w:spacing w:line="360" w:lineRule="auto"/>
        <w:rPr>
          <w:rFonts w:ascii="宋体" w:hAnsi="宋体" w:cs="宋体"/>
          <w:b/>
          <w:sz w:val="30"/>
          <w:szCs w:val="30"/>
          <w:highlight w:val="none"/>
        </w:rPr>
      </w:pPr>
      <w:r>
        <w:rPr>
          <w:rFonts w:ascii="黑体" w:hAnsi="宋体" w:eastAsia="黑体"/>
          <w:bCs/>
          <w:sz w:val="24"/>
          <w:highlight w:val="none"/>
        </w:rPr>
        <w:br w:type="page"/>
      </w:r>
      <w:r>
        <w:rPr>
          <w:rFonts w:hint="eastAsia" w:ascii="宋体" w:hAnsi="宋体" w:cs="宋体"/>
          <w:b/>
          <w:sz w:val="30"/>
          <w:szCs w:val="30"/>
          <w:highlight w:val="none"/>
        </w:rPr>
        <w:t>附：中小企业声明函</w:t>
      </w:r>
    </w:p>
    <w:p>
      <w:pPr>
        <w:autoSpaceDE w:val="0"/>
        <w:autoSpaceDN w:val="0"/>
        <w:adjustRightInd w:val="0"/>
        <w:jc w:val="center"/>
        <w:rPr>
          <w:rFonts w:ascii="华文仿宋" w:hAnsi="华文仿宋" w:eastAsia="华文仿宋" w:cs="仿宋"/>
          <w:b/>
          <w:bCs/>
          <w:kern w:val="0"/>
          <w:sz w:val="32"/>
          <w:szCs w:val="32"/>
          <w:highlight w:val="none"/>
        </w:rPr>
      </w:pPr>
      <w:r>
        <w:rPr>
          <w:rFonts w:hint="eastAsia" w:ascii="华文仿宋" w:hAnsi="华文仿宋" w:eastAsia="华文仿宋" w:cs="仿宋"/>
          <w:b/>
          <w:bCs/>
          <w:kern w:val="0"/>
          <w:sz w:val="32"/>
          <w:szCs w:val="32"/>
          <w:highlight w:val="none"/>
        </w:rPr>
        <w:t>中小企业声明函（工程、服务）</w:t>
      </w:r>
    </w:p>
    <w:p>
      <w:pPr>
        <w:autoSpaceDE w:val="0"/>
        <w:autoSpaceDN w:val="0"/>
        <w:adjustRightInd w:val="0"/>
        <w:spacing w:line="480" w:lineRule="auto"/>
        <w:ind w:firstLine="560" w:firstLineChars="200"/>
        <w:jc w:val="left"/>
        <w:rPr>
          <w:rFonts w:ascii="华文仿宋" w:hAnsi="华文仿宋" w:eastAsia="华文仿宋" w:cs="仿宋"/>
          <w:kern w:val="0"/>
          <w:sz w:val="28"/>
          <w:szCs w:val="28"/>
          <w:highlight w:val="none"/>
        </w:rPr>
      </w:pPr>
      <w:r>
        <w:rPr>
          <w:rFonts w:hint="eastAsia" w:ascii="华文仿宋" w:hAnsi="华文仿宋" w:eastAsia="华文仿宋" w:cs="仿宋"/>
          <w:kern w:val="0"/>
          <w:sz w:val="28"/>
          <w:szCs w:val="28"/>
          <w:highlight w:val="none"/>
        </w:rPr>
        <w:t>本公司（联合体）郑重声明，根据《政府采购促进中小企业发展管理办法》（财库﹝</w:t>
      </w:r>
      <w:r>
        <w:rPr>
          <w:rFonts w:ascii="华文仿宋" w:hAnsi="华文仿宋" w:eastAsia="华文仿宋" w:cs="仿宋"/>
          <w:kern w:val="0"/>
          <w:sz w:val="28"/>
          <w:szCs w:val="28"/>
          <w:highlight w:val="none"/>
        </w:rPr>
        <w:t>2020</w:t>
      </w:r>
      <w:r>
        <w:rPr>
          <w:rFonts w:hint="eastAsia" w:ascii="华文仿宋" w:hAnsi="华文仿宋" w:eastAsia="华文仿宋" w:cs="仿宋"/>
          <w:kern w:val="0"/>
          <w:sz w:val="28"/>
          <w:szCs w:val="28"/>
          <w:highlight w:val="none"/>
        </w:rPr>
        <w:t>﹞</w:t>
      </w:r>
      <w:r>
        <w:rPr>
          <w:rFonts w:ascii="华文仿宋" w:hAnsi="华文仿宋" w:eastAsia="华文仿宋" w:cs="仿宋"/>
          <w:kern w:val="0"/>
          <w:sz w:val="28"/>
          <w:szCs w:val="28"/>
          <w:highlight w:val="none"/>
        </w:rPr>
        <w:t xml:space="preserve">46 </w:t>
      </w:r>
      <w:r>
        <w:rPr>
          <w:rFonts w:hint="eastAsia" w:ascii="华文仿宋" w:hAnsi="华文仿宋" w:eastAsia="华文仿宋" w:cs="仿宋"/>
          <w:kern w:val="0"/>
          <w:sz w:val="28"/>
          <w:szCs w:val="28"/>
          <w:highlight w:val="none"/>
        </w:rPr>
        <w:t>号）的规定，本公司（联合体）参加</w:t>
      </w:r>
      <w:r>
        <w:rPr>
          <w:rFonts w:hint="eastAsia" w:ascii="华文仿宋" w:hAnsi="华文仿宋" w:eastAsia="华文仿宋" w:cs="仿宋"/>
          <w:kern w:val="0"/>
          <w:sz w:val="28"/>
          <w:szCs w:val="28"/>
          <w:highlight w:val="none"/>
          <w:u w:val="single"/>
        </w:rPr>
        <w:t>（</w:t>
      </w:r>
      <w:r>
        <w:rPr>
          <w:rFonts w:hint="eastAsia" w:ascii="华文仿宋" w:hAnsi="华文仿宋" w:eastAsia="华文仿宋" w:cs="仿宋"/>
          <w:i/>
          <w:iCs/>
          <w:kern w:val="0"/>
          <w:sz w:val="28"/>
          <w:szCs w:val="28"/>
          <w:highlight w:val="none"/>
          <w:u w:val="single"/>
        </w:rPr>
        <w:t>单位名称</w:t>
      </w:r>
      <w:r>
        <w:rPr>
          <w:rFonts w:hint="eastAsia" w:ascii="华文仿宋" w:hAnsi="华文仿宋" w:eastAsia="华文仿宋" w:cs="仿宋"/>
          <w:kern w:val="0"/>
          <w:sz w:val="28"/>
          <w:szCs w:val="28"/>
          <w:highlight w:val="none"/>
          <w:u w:val="single"/>
        </w:rPr>
        <w:t>）</w:t>
      </w:r>
      <w:r>
        <w:rPr>
          <w:rFonts w:hint="eastAsia" w:ascii="华文仿宋" w:hAnsi="华文仿宋" w:eastAsia="华文仿宋" w:cs="仿宋"/>
          <w:kern w:val="0"/>
          <w:sz w:val="28"/>
          <w:szCs w:val="28"/>
          <w:highlight w:val="none"/>
        </w:rPr>
        <w:t>的</w:t>
      </w:r>
      <w:r>
        <w:rPr>
          <w:rFonts w:hint="eastAsia" w:ascii="华文仿宋" w:hAnsi="华文仿宋" w:eastAsia="华文仿宋" w:cs="仿宋"/>
          <w:kern w:val="0"/>
          <w:sz w:val="28"/>
          <w:szCs w:val="28"/>
          <w:highlight w:val="none"/>
          <w:u w:val="single"/>
        </w:rPr>
        <w:t>（</w:t>
      </w:r>
      <w:r>
        <w:rPr>
          <w:rFonts w:hint="eastAsia" w:ascii="华文仿宋" w:hAnsi="华文仿宋" w:eastAsia="华文仿宋" w:cs="仿宋"/>
          <w:i/>
          <w:iCs/>
          <w:kern w:val="0"/>
          <w:sz w:val="28"/>
          <w:szCs w:val="28"/>
          <w:highlight w:val="none"/>
          <w:u w:val="single"/>
        </w:rPr>
        <w:t>项目名称</w:t>
      </w:r>
      <w:r>
        <w:rPr>
          <w:rFonts w:hint="eastAsia" w:ascii="华文仿宋" w:hAnsi="华文仿宋" w:eastAsia="华文仿宋" w:cs="仿宋"/>
          <w:kern w:val="0"/>
          <w:sz w:val="28"/>
          <w:szCs w:val="28"/>
          <w:highlight w:val="none"/>
          <w:u w:val="single"/>
        </w:rPr>
        <w:t>）</w:t>
      </w:r>
      <w:r>
        <w:rPr>
          <w:rFonts w:hint="eastAsia" w:ascii="华文仿宋" w:hAnsi="华文仿宋" w:eastAsia="华文仿宋" w:cs="仿宋"/>
          <w:kern w:val="0"/>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autoSpaceDE w:val="0"/>
        <w:autoSpaceDN w:val="0"/>
        <w:adjustRightInd w:val="0"/>
        <w:spacing w:line="480" w:lineRule="auto"/>
        <w:jc w:val="left"/>
        <w:rPr>
          <w:rFonts w:ascii="华文仿宋" w:hAnsi="华文仿宋" w:eastAsia="华文仿宋" w:cs="仿宋"/>
          <w:kern w:val="0"/>
          <w:sz w:val="28"/>
          <w:szCs w:val="28"/>
          <w:highlight w:val="none"/>
        </w:rPr>
      </w:pPr>
      <w:r>
        <w:rPr>
          <w:rFonts w:ascii="华文仿宋" w:hAnsi="华文仿宋" w:eastAsia="华文仿宋" w:cs="仿宋"/>
          <w:kern w:val="0"/>
          <w:sz w:val="28"/>
          <w:szCs w:val="28"/>
          <w:highlight w:val="none"/>
        </w:rPr>
        <w:t xml:space="preserve">1. </w:t>
      </w:r>
      <w:r>
        <w:rPr>
          <w:rFonts w:hint="eastAsia" w:ascii="华文仿宋" w:hAnsi="华文仿宋" w:eastAsia="华文仿宋" w:cs="仿宋"/>
          <w:kern w:val="0"/>
          <w:sz w:val="28"/>
          <w:szCs w:val="28"/>
          <w:highlight w:val="none"/>
          <w:u w:val="single"/>
        </w:rPr>
        <w:t>（</w:t>
      </w:r>
      <w:r>
        <w:rPr>
          <w:rFonts w:hint="eastAsia" w:ascii="华文仿宋" w:hAnsi="华文仿宋" w:eastAsia="华文仿宋" w:cs="仿宋"/>
          <w:i/>
          <w:iCs/>
          <w:kern w:val="0"/>
          <w:sz w:val="28"/>
          <w:szCs w:val="28"/>
          <w:highlight w:val="none"/>
          <w:u w:val="single"/>
        </w:rPr>
        <w:t>标的名称</w:t>
      </w:r>
      <w:r>
        <w:rPr>
          <w:rFonts w:hint="eastAsia" w:ascii="华文仿宋" w:hAnsi="华文仿宋" w:eastAsia="华文仿宋" w:cs="仿宋"/>
          <w:kern w:val="0"/>
          <w:sz w:val="28"/>
          <w:szCs w:val="28"/>
          <w:highlight w:val="none"/>
          <w:u w:val="single"/>
        </w:rPr>
        <w:t>）</w:t>
      </w:r>
      <w:r>
        <w:rPr>
          <w:rFonts w:hint="eastAsia" w:ascii="华文仿宋" w:hAnsi="华文仿宋" w:eastAsia="华文仿宋" w:cs="仿宋"/>
          <w:kern w:val="0"/>
          <w:sz w:val="28"/>
          <w:szCs w:val="28"/>
          <w:highlight w:val="none"/>
        </w:rPr>
        <w:t>，属于</w:t>
      </w:r>
      <w:r>
        <w:rPr>
          <w:rFonts w:hint="eastAsia" w:ascii="华文仿宋" w:hAnsi="华文仿宋" w:eastAsia="华文仿宋" w:cs="仿宋"/>
          <w:kern w:val="0"/>
          <w:sz w:val="28"/>
          <w:szCs w:val="28"/>
          <w:highlight w:val="none"/>
          <w:u w:val="single"/>
        </w:rPr>
        <w:t>（</w:t>
      </w:r>
      <w:r>
        <w:rPr>
          <w:rFonts w:hint="eastAsia" w:ascii="华文仿宋" w:hAnsi="华文仿宋" w:eastAsia="华文仿宋" w:cs="仿宋"/>
          <w:i/>
          <w:iCs/>
          <w:kern w:val="0"/>
          <w:sz w:val="28"/>
          <w:szCs w:val="28"/>
          <w:highlight w:val="none"/>
          <w:u w:val="single"/>
        </w:rPr>
        <w:t>采购文件中明确的所属行业</w:t>
      </w:r>
      <w:r>
        <w:rPr>
          <w:rFonts w:hint="eastAsia" w:ascii="华文仿宋" w:hAnsi="华文仿宋" w:eastAsia="华文仿宋" w:cs="仿宋"/>
          <w:kern w:val="0"/>
          <w:sz w:val="28"/>
          <w:szCs w:val="28"/>
          <w:highlight w:val="none"/>
          <w:u w:val="single"/>
        </w:rPr>
        <w:t>）</w:t>
      </w:r>
      <w:r>
        <w:rPr>
          <w:rFonts w:hint="eastAsia" w:ascii="华文仿宋" w:hAnsi="华文仿宋" w:eastAsia="华文仿宋" w:cs="仿宋"/>
          <w:kern w:val="0"/>
          <w:sz w:val="28"/>
          <w:szCs w:val="28"/>
          <w:highlight w:val="none"/>
        </w:rPr>
        <w:t>；承建（承接）企业为（</w:t>
      </w:r>
      <w:r>
        <w:rPr>
          <w:rFonts w:hint="eastAsia" w:ascii="华文仿宋" w:hAnsi="华文仿宋" w:eastAsia="华文仿宋" w:cs="仿宋"/>
          <w:i/>
          <w:iCs/>
          <w:kern w:val="0"/>
          <w:sz w:val="28"/>
          <w:szCs w:val="28"/>
          <w:highlight w:val="none"/>
          <w:u w:val="single"/>
        </w:rPr>
        <w:t>企业名称</w:t>
      </w:r>
      <w:r>
        <w:rPr>
          <w:rFonts w:hint="eastAsia" w:ascii="华文仿宋" w:hAnsi="华文仿宋" w:eastAsia="华文仿宋" w:cs="仿宋"/>
          <w:kern w:val="0"/>
          <w:sz w:val="28"/>
          <w:szCs w:val="28"/>
          <w:highlight w:val="none"/>
        </w:rPr>
        <w:t>），从业人员人，营业收入为万元，资产总额为万元，属于（</w:t>
      </w:r>
      <w:r>
        <w:rPr>
          <w:rFonts w:hint="eastAsia" w:ascii="华文仿宋" w:hAnsi="华文仿宋" w:eastAsia="华文仿宋" w:cs="仿宋"/>
          <w:i/>
          <w:iCs/>
          <w:kern w:val="0"/>
          <w:sz w:val="28"/>
          <w:szCs w:val="28"/>
          <w:highlight w:val="none"/>
          <w:u w:val="single"/>
        </w:rPr>
        <w:t>中型企业、小型企业、微型企业</w:t>
      </w:r>
      <w:r>
        <w:rPr>
          <w:rFonts w:hint="eastAsia" w:ascii="华文仿宋" w:hAnsi="华文仿宋" w:eastAsia="华文仿宋" w:cs="仿宋"/>
          <w:kern w:val="0"/>
          <w:sz w:val="28"/>
          <w:szCs w:val="28"/>
          <w:highlight w:val="none"/>
        </w:rPr>
        <w:t>）；</w:t>
      </w:r>
    </w:p>
    <w:p>
      <w:pPr>
        <w:autoSpaceDE w:val="0"/>
        <w:autoSpaceDN w:val="0"/>
        <w:adjustRightInd w:val="0"/>
        <w:spacing w:line="480" w:lineRule="auto"/>
        <w:jc w:val="left"/>
        <w:rPr>
          <w:rFonts w:ascii="华文仿宋" w:hAnsi="华文仿宋" w:eastAsia="华文仿宋" w:cs="仿宋"/>
          <w:kern w:val="0"/>
          <w:sz w:val="28"/>
          <w:szCs w:val="28"/>
          <w:highlight w:val="none"/>
        </w:rPr>
      </w:pPr>
      <w:r>
        <w:rPr>
          <w:rFonts w:ascii="华文仿宋" w:hAnsi="华文仿宋" w:eastAsia="华文仿宋" w:cs="仿宋"/>
          <w:kern w:val="0"/>
          <w:sz w:val="28"/>
          <w:szCs w:val="28"/>
          <w:highlight w:val="none"/>
        </w:rPr>
        <w:t>2.</w:t>
      </w:r>
      <w:r>
        <w:rPr>
          <w:rFonts w:hint="eastAsia" w:ascii="华文仿宋" w:hAnsi="华文仿宋" w:eastAsia="华文仿宋" w:cs="仿宋"/>
          <w:i/>
          <w:iCs/>
          <w:kern w:val="0"/>
          <w:sz w:val="28"/>
          <w:szCs w:val="28"/>
          <w:highlight w:val="none"/>
          <w:u w:val="single"/>
        </w:rPr>
        <w:t>（标的名称）</w:t>
      </w:r>
      <w:r>
        <w:rPr>
          <w:rFonts w:hint="eastAsia" w:ascii="华文仿宋" w:hAnsi="华文仿宋" w:eastAsia="华文仿宋" w:cs="仿宋"/>
          <w:kern w:val="0"/>
          <w:sz w:val="28"/>
          <w:szCs w:val="28"/>
          <w:highlight w:val="none"/>
        </w:rPr>
        <w:t>，属于</w:t>
      </w:r>
      <w:r>
        <w:rPr>
          <w:rFonts w:hint="eastAsia" w:ascii="华文仿宋" w:hAnsi="华文仿宋" w:eastAsia="华文仿宋" w:cs="仿宋"/>
          <w:i/>
          <w:iCs/>
          <w:kern w:val="0"/>
          <w:sz w:val="28"/>
          <w:szCs w:val="28"/>
          <w:highlight w:val="none"/>
          <w:u w:val="single"/>
        </w:rPr>
        <w:t>（采购文件中明确的所属行业）</w:t>
      </w:r>
      <w:r>
        <w:rPr>
          <w:rFonts w:hint="eastAsia" w:ascii="华文仿宋" w:hAnsi="华文仿宋" w:eastAsia="华文仿宋" w:cs="仿宋"/>
          <w:kern w:val="0"/>
          <w:sz w:val="28"/>
          <w:szCs w:val="28"/>
          <w:highlight w:val="none"/>
        </w:rPr>
        <w:t>；承建（承接）企业为</w:t>
      </w:r>
      <w:r>
        <w:rPr>
          <w:rFonts w:hint="eastAsia" w:ascii="华文仿宋" w:hAnsi="华文仿宋" w:eastAsia="华文仿宋" w:cs="仿宋"/>
          <w:i/>
          <w:iCs/>
          <w:kern w:val="0"/>
          <w:sz w:val="28"/>
          <w:szCs w:val="28"/>
          <w:highlight w:val="none"/>
          <w:u w:val="single"/>
        </w:rPr>
        <w:t>（企业名称）</w:t>
      </w:r>
      <w:r>
        <w:rPr>
          <w:rFonts w:hint="eastAsia" w:ascii="华文仿宋" w:hAnsi="华文仿宋" w:eastAsia="华文仿宋" w:cs="仿宋"/>
          <w:kern w:val="0"/>
          <w:sz w:val="28"/>
          <w:szCs w:val="28"/>
          <w:highlight w:val="none"/>
        </w:rPr>
        <w:t>，从业人员人，营业收入为万元，资产总额为万元，属于</w:t>
      </w:r>
      <w:r>
        <w:rPr>
          <w:rFonts w:hint="eastAsia" w:ascii="华文仿宋" w:hAnsi="华文仿宋" w:eastAsia="华文仿宋" w:cs="仿宋"/>
          <w:i/>
          <w:iCs/>
          <w:kern w:val="0"/>
          <w:sz w:val="28"/>
          <w:szCs w:val="28"/>
          <w:highlight w:val="none"/>
          <w:u w:val="single"/>
        </w:rPr>
        <w:t>（中型企业、小型企业、微型企业）</w:t>
      </w:r>
      <w:r>
        <w:rPr>
          <w:rFonts w:hint="eastAsia" w:ascii="华文仿宋" w:hAnsi="华文仿宋" w:eastAsia="华文仿宋" w:cs="仿宋"/>
          <w:kern w:val="0"/>
          <w:sz w:val="28"/>
          <w:szCs w:val="28"/>
          <w:highlight w:val="none"/>
        </w:rPr>
        <w:t>；</w:t>
      </w:r>
    </w:p>
    <w:p>
      <w:pPr>
        <w:autoSpaceDE w:val="0"/>
        <w:autoSpaceDN w:val="0"/>
        <w:adjustRightInd w:val="0"/>
        <w:spacing w:line="480" w:lineRule="auto"/>
        <w:jc w:val="left"/>
        <w:rPr>
          <w:rFonts w:ascii="华文仿宋" w:hAnsi="华文仿宋" w:eastAsia="华文仿宋" w:cs="仿宋"/>
          <w:kern w:val="0"/>
          <w:sz w:val="28"/>
          <w:szCs w:val="28"/>
          <w:highlight w:val="none"/>
        </w:rPr>
      </w:pPr>
      <w:r>
        <w:rPr>
          <w:rFonts w:hint="eastAsia" w:ascii="华文仿宋" w:hAnsi="华文仿宋" w:eastAsia="华文仿宋" w:cs="仿宋"/>
          <w:kern w:val="0"/>
          <w:sz w:val="28"/>
          <w:szCs w:val="28"/>
          <w:highlight w:val="none"/>
        </w:rPr>
        <w:t>……</w:t>
      </w:r>
    </w:p>
    <w:p>
      <w:pPr>
        <w:autoSpaceDE w:val="0"/>
        <w:autoSpaceDN w:val="0"/>
        <w:adjustRightInd w:val="0"/>
        <w:spacing w:line="480" w:lineRule="auto"/>
        <w:jc w:val="left"/>
        <w:rPr>
          <w:rFonts w:ascii="华文仿宋" w:hAnsi="华文仿宋" w:eastAsia="华文仿宋" w:cs="仿宋"/>
          <w:kern w:val="0"/>
          <w:sz w:val="28"/>
          <w:szCs w:val="28"/>
          <w:highlight w:val="none"/>
        </w:rPr>
      </w:pPr>
      <w:r>
        <w:rPr>
          <w:rFonts w:hint="eastAsia" w:ascii="华文仿宋" w:hAnsi="华文仿宋" w:eastAsia="华文仿宋" w:cs="仿宋"/>
          <w:kern w:val="0"/>
          <w:sz w:val="28"/>
          <w:szCs w:val="28"/>
          <w:highlight w:val="none"/>
        </w:rPr>
        <w:t>以上企业，不属于大企业的分支机构，不存在控股股东为大企业的情形，也不存在与大企业的负责人为同一人的情形。</w:t>
      </w:r>
    </w:p>
    <w:p>
      <w:pPr>
        <w:autoSpaceDE w:val="0"/>
        <w:autoSpaceDN w:val="0"/>
        <w:adjustRightInd w:val="0"/>
        <w:spacing w:line="480" w:lineRule="auto"/>
        <w:jc w:val="left"/>
        <w:rPr>
          <w:rFonts w:ascii="华文仿宋" w:hAnsi="华文仿宋" w:eastAsia="华文仿宋" w:cs="仿宋"/>
          <w:kern w:val="0"/>
          <w:sz w:val="28"/>
          <w:szCs w:val="28"/>
          <w:highlight w:val="none"/>
        </w:rPr>
      </w:pPr>
      <w:r>
        <w:rPr>
          <w:rFonts w:hint="eastAsia" w:ascii="华文仿宋" w:hAnsi="华文仿宋" w:eastAsia="华文仿宋" w:cs="仿宋"/>
          <w:kern w:val="0"/>
          <w:sz w:val="28"/>
          <w:szCs w:val="28"/>
          <w:highlight w:val="none"/>
        </w:rPr>
        <w:t>本企业对上述声明内容的真实性负责。如有虚假，将依法承担相应责任。</w:t>
      </w:r>
    </w:p>
    <w:p>
      <w:pPr>
        <w:autoSpaceDE w:val="0"/>
        <w:autoSpaceDN w:val="0"/>
        <w:adjustRightInd w:val="0"/>
        <w:spacing w:line="480" w:lineRule="auto"/>
        <w:jc w:val="left"/>
        <w:rPr>
          <w:rFonts w:ascii="华文仿宋" w:hAnsi="华文仿宋" w:eastAsia="华文仿宋" w:cs="仿宋"/>
          <w:kern w:val="0"/>
          <w:sz w:val="28"/>
          <w:szCs w:val="28"/>
          <w:highlight w:val="none"/>
        </w:rPr>
      </w:pPr>
    </w:p>
    <w:p>
      <w:pPr>
        <w:autoSpaceDE w:val="0"/>
        <w:autoSpaceDN w:val="0"/>
        <w:adjustRightInd w:val="0"/>
        <w:spacing w:line="480" w:lineRule="auto"/>
        <w:jc w:val="left"/>
        <w:rPr>
          <w:rFonts w:ascii="华文仿宋" w:hAnsi="华文仿宋" w:eastAsia="华文仿宋" w:cs="仿宋"/>
          <w:kern w:val="0"/>
          <w:sz w:val="28"/>
          <w:szCs w:val="28"/>
          <w:highlight w:val="none"/>
        </w:rPr>
      </w:pPr>
      <w:r>
        <w:rPr>
          <w:rFonts w:hint="eastAsia" w:ascii="华文仿宋" w:hAnsi="华文仿宋" w:eastAsia="华文仿宋" w:cs="仿宋"/>
          <w:kern w:val="0"/>
          <w:sz w:val="28"/>
          <w:szCs w:val="28"/>
          <w:highlight w:val="none"/>
        </w:rPr>
        <w:t>企业名称（盖章）：</w:t>
      </w:r>
    </w:p>
    <w:p>
      <w:pPr>
        <w:autoSpaceDE w:val="0"/>
        <w:autoSpaceDN w:val="0"/>
        <w:adjustRightInd w:val="0"/>
        <w:spacing w:line="480" w:lineRule="auto"/>
        <w:jc w:val="left"/>
        <w:rPr>
          <w:rFonts w:ascii="华文仿宋" w:hAnsi="华文仿宋" w:eastAsia="华文仿宋" w:cs="仿宋"/>
          <w:kern w:val="0"/>
          <w:sz w:val="28"/>
          <w:szCs w:val="28"/>
          <w:highlight w:val="none"/>
        </w:rPr>
      </w:pPr>
      <w:r>
        <w:rPr>
          <w:rFonts w:hint="eastAsia" w:ascii="华文仿宋" w:hAnsi="华文仿宋" w:eastAsia="华文仿宋" w:cs="仿宋"/>
          <w:kern w:val="0"/>
          <w:sz w:val="28"/>
          <w:szCs w:val="28"/>
          <w:highlight w:val="none"/>
        </w:rPr>
        <w:t>日期：</w:t>
      </w:r>
    </w:p>
    <w:p>
      <w:pPr>
        <w:autoSpaceDE w:val="0"/>
        <w:autoSpaceDN w:val="0"/>
        <w:adjustRightInd w:val="0"/>
        <w:spacing w:line="480" w:lineRule="auto"/>
        <w:jc w:val="left"/>
        <w:rPr>
          <w:rFonts w:ascii="华文仿宋" w:hAnsi="华文仿宋" w:eastAsia="华文仿宋" w:cs="宋体"/>
          <w:kern w:val="0"/>
          <w:sz w:val="28"/>
          <w:szCs w:val="28"/>
          <w:highlight w:val="none"/>
        </w:rPr>
      </w:pPr>
    </w:p>
    <w:p>
      <w:pPr>
        <w:spacing w:line="360" w:lineRule="auto"/>
        <w:ind w:firstLine="361" w:firstLineChars="200"/>
        <w:rPr>
          <w:rFonts w:hint="eastAsia" w:ascii="宋体" w:hAnsi="宋体" w:cs="@楷体_GB2312"/>
          <w:b/>
          <w:sz w:val="18"/>
          <w:szCs w:val="18"/>
          <w:highlight w:val="none"/>
        </w:rPr>
      </w:pPr>
      <w:r>
        <w:rPr>
          <w:rFonts w:hint="eastAsia" w:ascii="宋体" w:hAnsi="宋体" w:cs="@楷体_GB2312"/>
          <w:b/>
          <w:sz w:val="18"/>
          <w:szCs w:val="18"/>
          <w:highlight w:val="none"/>
        </w:rPr>
        <w:t>注：</w:t>
      </w:r>
      <w:r>
        <w:rPr>
          <w:rFonts w:hint="eastAsia" w:ascii="宋体" w:hAnsi="宋体" w:cs="@楷体_GB2312"/>
          <w:b/>
          <w:sz w:val="18"/>
          <w:szCs w:val="18"/>
          <w:highlight w:val="none"/>
          <w:lang w:val="en-US" w:eastAsia="zh-CN"/>
        </w:rPr>
        <w:t>1.</w:t>
      </w:r>
      <w:r>
        <w:rPr>
          <w:rFonts w:hint="eastAsia" w:ascii="宋体" w:hAnsi="宋体" w:cs="@楷体_GB2312"/>
          <w:b/>
          <w:sz w:val="18"/>
          <w:szCs w:val="18"/>
          <w:highlight w:val="none"/>
        </w:rPr>
        <w:t>从业人员、营业收入、资产总额填报上一年度数据，无上一年度数据的新成立企业可不填报。</w:t>
      </w:r>
    </w:p>
    <w:p>
      <w:pPr>
        <w:spacing w:line="360" w:lineRule="auto"/>
        <w:ind w:firstLine="361" w:firstLineChars="200"/>
        <w:rPr>
          <w:rFonts w:ascii="黑体" w:hAnsi="宋体" w:eastAsia="黑体"/>
          <w:bCs/>
          <w:sz w:val="24"/>
          <w:szCs w:val="24"/>
          <w:highlight w:val="none"/>
        </w:rPr>
      </w:pPr>
      <w:bookmarkStart w:id="84" w:name="OLE_LINK14"/>
      <w:bookmarkStart w:id="85" w:name="OLE_LINK13"/>
      <w:r>
        <w:rPr>
          <w:rFonts w:hint="eastAsia" w:ascii="宋体" w:hAnsi="宋体" w:cs="@楷体_GB2312"/>
          <w:b/>
          <w:sz w:val="18"/>
          <w:szCs w:val="18"/>
          <w:highlight w:val="none"/>
          <w:lang w:val="en-US" w:eastAsia="zh-CN"/>
        </w:rPr>
        <w:t>2.中</w:t>
      </w:r>
      <w:r>
        <w:rPr>
          <w:rFonts w:hint="eastAsia" w:ascii="宋体" w:hAnsi="宋体" w:cs="@楷体_GB2312"/>
          <w:b/>
          <w:sz w:val="18"/>
          <w:szCs w:val="18"/>
          <w:highlight w:val="none"/>
        </w:rPr>
        <w:t>标、成交供应商的《中小企业声明函》将随中标、成交公告进行公示。供应商按照本办法规定提供声明函内容不实的，属于提供虚假材料谋取中标、成交，依照《中华人民共和国政府采购法》等国家有关规定追究相应责任。</w:t>
      </w:r>
    </w:p>
    <w:p>
      <w:pPr>
        <w:pStyle w:val="73"/>
        <w:ind w:firstLine="400"/>
        <w:rPr>
          <w:highlight w:val="none"/>
        </w:rPr>
      </w:pPr>
    </w:p>
    <w:bookmarkEnd w:id="84"/>
    <w:bookmarkEnd w:id="85"/>
    <w:p>
      <w:pPr>
        <w:spacing w:line="588" w:lineRule="exact"/>
        <w:rPr>
          <w:rFonts w:ascii="仿宋_GB2312" w:eastAsia="仿宋_GB2312"/>
          <w:b/>
          <w:spacing w:val="6"/>
          <w:sz w:val="30"/>
          <w:szCs w:val="30"/>
          <w:highlight w:val="none"/>
        </w:rPr>
      </w:pPr>
      <w:r>
        <w:rPr>
          <w:rFonts w:hint="eastAsia" w:ascii="黑体" w:hAnsi="宋体" w:eastAsia="黑体"/>
          <w:bCs/>
          <w:sz w:val="24"/>
          <w:szCs w:val="24"/>
          <w:highlight w:val="none"/>
        </w:rPr>
        <w:t>附：残疾人福利性单位声明函</w:t>
      </w:r>
    </w:p>
    <w:p>
      <w:pPr>
        <w:jc w:val="center"/>
        <w:rPr>
          <w:rFonts w:ascii="黑体" w:eastAsia="黑体"/>
          <w:bCs/>
          <w:sz w:val="28"/>
          <w:szCs w:val="28"/>
          <w:highlight w:val="none"/>
        </w:rPr>
      </w:pPr>
      <w:r>
        <w:rPr>
          <w:rFonts w:hint="eastAsia" w:ascii="黑体" w:eastAsia="黑体"/>
          <w:bCs/>
          <w:sz w:val="28"/>
          <w:szCs w:val="28"/>
          <w:highlight w:val="none"/>
        </w:rPr>
        <w:t>残疾人福利性单位声明函</w:t>
      </w:r>
    </w:p>
    <w:p>
      <w:pPr>
        <w:jc w:val="center"/>
        <w:rPr>
          <w:rFonts w:ascii="黑体" w:eastAsia="黑体"/>
          <w:bCs/>
          <w:sz w:val="28"/>
          <w:szCs w:val="28"/>
          <w:highlight w:val="none"/>
        </w:rPr>
      </w:pPr>
    </w:p>
    <w:p>
      <w:pPr>
        <w:spacing w:line="580" w:lineRule="exact"/>
        <w:ind w:firstLine="480" w:firstLineChars="200"/>
        <w:rPr>
          <w:rFonts w:ascii="宋体" w:hAnsi="宋体"/>
          <w:bCs/>
          <w:sz w:val="24"/>
          <w:szCs w:val="24"/>
          <w:highlight w:val="none"/>
        </w:rPr>
      </w:pPr>
      <w:r>
        <w:rPr>
          <w:rFonts w:hint="eastAsia" w:ascii="宋体" w:hAnsi="宋体"/>
          <w:bCs/>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sz w:val="24"/>
          <w:szCs w:val="24"/>
          <w:highlight w:val="none"/>
        </w:rPr>
      </w:pPr>
      <w:r>
        <w:rPr>
          <w:rFonts w:hint="eastAsia" w:ascii="宋体" w:hAnsi="宋体"/>
          <w:bCs/>
          <w:sz w:val="24"/>
          <w:szCs w:val="24"/>
          <w:highlight w:val="none"/>
        </w:rPr>
        <w:t>本单位对上述声明的真实性负责。如有虚假，将依法承担相应责任。</w:t>
      </w:r>
    </w:p>
    <w:p>
      <w:pPr>
        <w:spacing w:line="580" w:lineRule="exact"/>
        <w:ind w:firstLine="480" w:firstLineChars="200"/>
        <w:rPr>
          <w:rFonts w:ascii="宋体" w:hAnsi="宋体"/>
          <w:bCs/>
          <w:sz w:val="24"/>
          <w:szCs w:val="24"/>
          <w:highlight w:val="none"/>
        </w:rPr>
      </w:pPr>
    </w:p>
    <w:p>
      <w:pPr>
        <w:spacing w:line="580" w:lineRule="exact"/>
        <w:ind w:firstLine="480" w:firstLineChars="200"/>
        <w:rPr>
          <w:rFonts w:ascii="宋体" w:hAnsi="宋体"/>
          <w:bCs/>
          <w:sz w:val="24"/>
          <w:szCs w:val="24"/>
          <w:highlight w:val="none"/>
        </w:rPr>
      </w:pPr>
    </w:p>
    <w:p>
      <w:pPr>
        <w:spacing w:line="580" w:lineRule="exact"/>
        <w:ind w:firstLine="480" w:firstLineChars="200"/>
        <w:rPr>
          <w:rFonts w:ascii="宋体" w:hAnsi="宋体"/>
          <w:bCs/>
          <w:sz w:val="24"/>
          <w:szCs w:val="24"/>
          <w:highlight w:val="none"/>
        </w:rPr>
      </w:pPr>
      <w:r>
        <w:rPr>
          <w:rFonts w:hint="eastAsia" w:ascii="宋体" w:hAnsi="宋体"/>
          <w:bCs/>
          <w:sz w:val="24"/>
          <w:szCs w:val="24"/>
          <w:highlight w:val="none"/>
        </w:rPr>
        <w:t>单位名称（盖章）：</w:t>
      </w:r>
    </w:p>
    <w:p>
      <w:pPr>
        <w:spacing w:line="580" w:lineRule="exact"/>
        <w:ind w:firstLine="480" w:firstLineChars="200"/>
        <w:rPr>
          <w:rFonts w:ascii="宋体" w:hAnsi="宋体"/>
          <w:bCs/>
          <w:sz w:val="24"/>
          <w:szCs w:val="24"/>
          <w:highlight w:val="none"/>
        </w:rPr>
      </w:pPr>
      <w:r>
        <w:rPr>
          <w:rFonts w:hint="eastAsia" w:ascii="宋体" w:hAnsi="宋体"/>
          <w:bCs/>
          <w:sz w:val="24"/>
          <w:szCs w:val="24"/>
          <w:highlight w:val="none"/>
        </w:rPr>
        <w:t>日  期：</w:t>
      </w:r>
    </w:p>
    <w:p>
      <w:pPr>
        <w:outlineLvl w:val="0"/>
        <w:rPr>
          <w:rFonts w:ascii="宋体" w:hAnsi="宋体"/>
          <w:sz w:val="24"/>
          <w:highlight w:val="none"/>
        </w:rPr>
      </w:pPr>
    </w:p>
    <w:p>
      <w:pPr>
        <w:outlineLvl w:val="0"/>
        <w:rPr>
          <w:rFonts w:ascii="宋体" w:hAnsi="宋体"/>
          <w:sz w:val="24"/>
          <w:highlight w:val="none"/>
        </w:rPr>
      </w:pPr>
    </w:p>
    <w:p>
      <w:pPr>
        <w:outlineLvl w:val="0"/>
        <w:rPr>
          <w:rFonts w:ascii="宋体" w:hAnsi="宋体"/>
          <w:sz w:val="24"/>
          <w:highlight w:val="none"/>
        </w:rPr>
      </w:pPr>
    </w:p>
    <w:p>
      <w:pPr>
        <w:outlineLvl w:val="0"/>
        <w:rPr>
          <w:rFonts w:ascii="宋体" w:hAnsi="宋体"/>
          <w:sz w:val="24"/>
          <w:highlight w:val="none"/>
        </w:rPr>
      </w:pPr>
    </w:p>
    <w:p>
      <w:pPr>
        <w:outlineLvl w:val="0"/>
        <w:rPr>
          <w:rFonts w:ascii="宋体" w:hAnsi="宋体"/>
          <w:sz w:val="24"/>
          <w:highlight w:val="none"/>
        </w:rPr>
      </w:pPr>
    </w:p>
    <w:p>
      <w:pPr>
        <w:outlineLvl w:val="0"/>
        <w:rPr>
          <w:rFonts w:ascii="宋体" w:hAnsi="宋体"/>
          <w:sz w:val="24"/>
          <w:highlight w:val="none"/>
        </w:rPr>
      </w:pPr>
    </w:p>
    <w:p>
      <w:pPr>
        <w:outlineLvl w:val="0"/>
        <w:rPr>
          <w:rFonts w:ascii="宋体" w:hAnsi="宋体"/>
          <w:sz w:val="24"/>
          <w:highlight w:val="none"/>
        </w:rPr>
      </w:pPr>
    </w:p>
    <w:p>
      <w:pPr>
        <w:outlineLvl w:val="0"/>
        <w:rPr>
          <w:rFonts w:ascii="宋体" w:hAnsi="宋体" w:cs="宋体"/>
          <w:b/>
          <w:sz w:val="30"/>
          <w:szCs w:val="30"/>
          <w:highlight w:val="none"/>
        </w:rPr>
      </w:pPr>
      <w:r>
        <w:rPr>
          <w:rFonts w:ascii="宋体" w:hAnsi="宋体"/>
          <w:sz w:val="24"/>
          <w:highlight w:val="none"/>
        </w:rPr>
        <w:br w:type="page"/>
      </w:r>
      <w:r>
        <w:rPr>
          <w:rFonts w:hint="eastAsia" w:ascii="宋体" w:hAnsi="宋体" w:cs="宋体"/>
          <w:b/>
          <w:sz w:val="30"/>
          <w:szCs w:val="30"/>
          <w:highlight w:val="none"/>
        </w:rPr>
        <w:t xml:space="preserve">（二）（报价供应商）关于资格的声明函（格式）：  </w:t>
      </w:r>
    </w:p>
    <w:p>
      <w:pPr>
        <w:spacing w:line="360" w:lineRule="auto"/>
        <w:rPr>
          <w:rFonts w:ascii="宋体" w:hAnsi="宋体" w:cs="宋体"/>
          <w:b/>
          <w:sz w:val="30"/>
          <w:szCs w:val="30"/>
          <w:highlight w:val="none"/>
        </w:rPr>
      </w:pP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rPr>
        <w:t>关于资格的声明函</w:t>
      </w:r>
    </w:p>
    <w:p>
      <w:pPr>
        <w:topLinePunct/>
        <w:snapToGrid w:val="0"/>
        <w:spacing w:line="360" w:lineRule="auto"/>
        <w:jc w:val="center"/>
        <w:rPr>
          <w:rFonts w:ascii="宋体" w:hAnsi="宋体"/>
          <w:sz w:val="24"/>
          <w:highlight w:val="none"/>
        </w:rPr>
      </w:pPr>
    </w:p>
    <w:p>
      <w:pPr>
        <w:topLinePunct/>
        <w:snapToGrid w:val="0"/>
        <w:spacing w:line="360" w:lineRule="auto"/>
        <w:jc w:val="center"/>
        <w:rPr>
          <w:rFonts w:ascii="宋体" w:hAnsi="宋体"/>
          <w:sz w:val="24"/>
          <w:highlight w:val="none"/>
        </w:rPr>
      </w:pPr>
      <w:r>
        <w:rPr>
          <w:rFonts w:hint="eastAsia" w:ascii="宋体" w:hAnsi="宋体"/>
          <w:sz w:val="24"/>
          <w:highlight w:val="none"/>
        </w:rPr>
        <w:t>采购编号：</w:t>
      </w:r>
    </w:p>
    <w:p>
      <w:pPr>
        <w:topLinePunct/>
        <w:snapToGrid w:val="0"/>
        <w:spacing w:line="360" w:lineRule="auto"/>
        <w:jc w:val="center"/>
        <w:rPr>
          <w:rFonts w:ascii="宋体" w:hAnsi="宋体"/>
          <w:sz w:val="24"/>
          <w:highlight w:val="none"/>
        </w:rPr>
      </w:pPr>
      <w:r>
        <w:rPr>
          <w:rFonts w:hint="eastAsia" w:ascii="宋体" w:hAnsi="宋体"/>
          <w:sz w:val="24"/>
          <w:highlight w:val="none"/>
        </w:rPr>
        <w:t xml:space="preserve"> 日期：</w:t>
      </w:r>
    </w:p>
    <w:p>
      <w:pPr>
        <w:spacing w:line="360" w:lineRule="auto"/>
        <w:jc w:val="center"/>
        <w:rPr>
          <w:rFonts w:ascii="宋体" w:hAnsi="宋体"/>
          <w:sz w:val="24"/>
          <w:highlight w:val="none"/>
        </w:rPr>
      </w:pPr>
    </w:p>
    <w:p>
      <w:pPr>
        <w:topLinePunct/>
        <w:snapToGrid w:val="0"/>
        <w:spacing w:line="360" w:lineRule="auto"/>
        <w:rPr>
          <w:rFonts w:ascii="宋体" w:hAnsi="宋体"/>
          <w:sz w:val="24"/>
          <w:highlight w:val="none"/>
          <w:u w:val="single"/>
        </w:rPr>
      </w:pPr>
      <w:r>
        <w:rPr>
          <w:rFonts w:hint="eastAsia" w:ascii="宋体" w:hAnsi="宋体"/>
          <w:sz w:val="24"/>
          <w:highlight w:val="none"/>
          <w:u w:val="single"/>
        </w:rPr>
        <w:t xml:space="preserve">   </w:t>
      </w:r>
      <w:r>
        <w:rPr>
          <w:rFonts w:hint="eastAsia" w:ascii="宋体" w:hAnsi="宋体"/>
          <w:sz w:val="24"/>
          <w:highlight w:val="none"/>
          <w:u w:val="single"/>
          <w:lang w:eastAsia="zh-CN"/>
        </w:rPr>
        <w:t>中嘉工程管理咨询（江苏）有限公司</w:t>
      </w:r>
      <w:r>
        <w:rPr>
          <w:rFonts w:hint="eastAsia" w:ascii="宋体" w:hAnsi="宋体"/>
          <w:sz w:val="24"/>
          <w:highlight w:val="none"/>
          <w:u w:val="single"/>
        </w:rPr>
        <w:t xml:space="preserve">：  </w:t>
      </w:r>
    </w:p>
    <w:p>
      <w:pPr>
        <w:adjustRightInd w:val="0"/>
        <w:spacing w:line="360" w:lineRule="auto"/>
        <w:ind w:left="420" w:right="34"/>
        <w:jc w:val="left"/>
        <w:textAlignment w:val="baseline"/>
        <w:rPr>
          <w:rFonts w:ascii="宋体" w:hAnsi="宋体"/>
          <w:kern w:val="0"/>
          <w:sz w:val="24"/>
          <w:highlight w:val="none"/>
          <w:u w:val="single"/>
        </w:rPr>
      </w:pPr>
      <w:r>
        <w:rPr>
          <w:rFonts w:hint="eastAsia" w:ascii="宋体" w:hAnsi="宋体"/>
          <w:kern w:val="0"/>
          <w:sz w:val="24"/>
          <w:highlight w:val="none"/>
        </w:rPr>
        <w:t>我公司参加政府采购活动，前三年内在经营活动中没有重大违法记录。</w:t>
      </w:r>
    </w:p>
    <w:p>
      <w:pPr>
        <w:adjustRightInd w:val="0"/>
        <w:spacing w:line="360" w:lineRule="auto"/>
        <w:ind w:right="34" w:firstLine="403"/>
        <w:jc w:val="left"/>
        <w:textAlignment w:val="baseline"/>
        <w:rPr>
          <w:rFonts w:ascii="宋体" w:hAnsi="宋体"/>
          <w:kern w:val="0"/>
          <w:sz w:val="24"/>
          <w:highlight w:val="none"/>
        </w:rPr>
      </w:pPr>
      <w:r>
        <w:rPr>
          <w:rFonts w:hint="eastAsia" w:ascii="宋体" w:hAnsi="宋体"/>
          <w:kern w:val="0"/>
          <w:sz w:val="24"/>
          <w:highlight w:val="none"/>
        </w:rPr>
        <w:t>我公司（单位）愿针对本项目（采购编号：　　　　）进行报价，响应文件中所有关于报价资格的文件、证明、陈述均是真实的、准确的。若有违背，我公司（单位）        愿意承担由此而产生的一切后果。</w:t>
      </w:r>
    </w:p>
    <w:p>
      <w:pPr>
        <w:adjustRightInd w:val="0"/>
        <w:spacing w:line="360" w:lineRule="auto"/>
        <w:ind w:right="34" w:firstLine="403"/>
        <w:jc w:val="left"/>
        <w:textAlignment w:val="baseline"/>
        <w:rPr>
          <w:rFonts w:ascii="宋体" w:hAnsi="宋体"/>
          <w:kern w:val="0"/>
          <w:sz w:val="24"/>
          <w:highlight w:val="none"/>
        </w:rPr>
      </w:pPr>
    </w:p>
    <w:p>
      <w:pPr>
        <w:adjustRightInd w:val="0"/>
        <w:spacing w:line="360" w:lineRule="auto"/>
        <w:ind w:right="34" w:firstLine="403"/>
        <w:jc w:val="left"/>
        <w:textAlignment w:val="baseline"/>
        <w:rPr>
          <w:rFonts w:ascii="宋体" w:hAnsi="宋体"/>
          <w:kern w:val="0"/>
          <w:highlight w:val="none"/>
        </w:rPr>
      </w:pPr>
    </w:p>
    <w:p>
      <w:pPr>
        <w:adjustRightInd w:val="0"/>
        <w:spacing w:line="360" w:lineRule="auto"/>
        <w:ind w:right="34" w:firstLine="403"/>
        <w:jc w:val="left"/>
        <w:textAlignment w:val="baseline"/>
        <w:rPr>
          <w:rFonts w:ascii="宋体" w:hAnsi="宋体"/>
          <w:kern w:val="0"/>
          <w:highlight w:val="none"/>
        </w:rPr>
      </w:pPr>
    </w:p>
    <w:p>
      <w:pPr>
        <w:spacing w:line="360" w:lineRule="auto"/>
        <w:ind w:firstLine="480" w:firstLineChars="200"/>
        <w:jc w:val="center"/>
        <w:rPr>
          <w:rFonts w:ascii="宋体" w:hAnsi="宋体"/>
          <w:sz w:val="24"/>
          <w:highlight w:val="none"/>
        </w:rPr>
      </w:pPr>
      <w:r>
        <w:rPr>
          <w:rFonts w:hint="eastAsia" w:ascii="宋体" w:hAnsi="宋体"/>
          <w:sz w:val="24"/>
          <w:highlight w:val="none"/>
        </w:rPr>
        <w:t>报价供应商（盖章）：</w:t>
      </w:r>
    </w:p>
    <w:p>
      <w:pPr>
        <w:adjustRightInd w:val="0"/>
        <w:spacing w:line="360" w:lineRule="auto"/>
        <w:ind w:right="34" w:firstLine="403"/>
        <w:jc w:val="left"/>
        <w:textAlignment w:val="baseline"/>
        <w:rPr>
          <w:rFonts w:ascii="宋体" w:hAnsi="宋体"/>
          <w:kern w:val="0"/>
          <w:highlight w:val="none"/>
        </w:rPr>
      </w:pPr>
      <w:r>
        <w:rPr>
          <w:rFonts w:hint="eastAsia" w:ascii="宋体" w:hAnsi="宋体"/>
          <w:kern w:val="0"/>
          <w:sz w:val="24"/>
          <w:highlight w:val="none"/>
        </w:rPr>
        <w:t>　　　　　　　　　　　法定代表人或法定代表人授权代表签字或盖章：</w:t>
      </w:r>
    </w:p>
    <w:p>
      <w:pPr>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rPr>
          <w:rFonts w:ascii="宋体" w:hAnsi="宋体"/>
          <w:b/>
          <w:sz w:val="24"/>
          <w:highlight w:val="none"/>
        </w:rPr>
      </w:pPr>
    </w:p>
    <w:p>
      <w:pPr>
        <w:outlineLvl w:val="0"/>
        <w:rPr>
          <w:rFonts w:ascii="宋体" w:hAnsi="宋体" w:cs="宋体"/>
          <w:b/>
          <w:sz w:val="30"/>
          <w:szCs w:val="30"/>
          <w:highlight w:val="none"/>
        </w:rPr>
      </w:pPr>
    </w:p>
    <w:p>
      <w:pPr>
        <w:outlineLvl w:val="0"/>
        <w:rPr>
          <w:rFonts w:ascii="宋体" w:hAnsi="宋体" w:cs="宋体"/>
          <w:b/>
          <w:sz w:val="30"/>
          <w:szCs w:val="30"/>
          <w:highlight w:val="none"/>
        </w:rPr>
      </w:pPr>
    </w:p>
    <w:p>
      <w:pPr>
        <w:outlineLvl w:val="0"/>
        <w:rPr>
          <w:rFonts w:ascii="宋体" w:hAnsi="宋体" w:cs="宋体"/>
          <w:b/>
          <w:sz w:val="30"/>
          <w:szCs w:val="30"/>
          <w:highlight w:val="none"/>
        </w:rPr>
      </w:pPr>
    </w:p>
    <w:p>
      <w:pPr>
        <w:outlineLvl w:val="0"/>
        <w:rPr>
          <w:rFonts w:ascii="宋体" w:hAnsi="宋体" w:cs="宋体"/>
          <w:b/>
          <w:sz w:val="30"/>
          <w:szCs w:val="30"/>
          <w:highlight w:val="none"/>
        </w:rPr>
      </w:pPr>
      <w:r>
        <w:rPr>
          <w:rFonts w:hint="eastAsia" w:ascii="宋体" w:hAnsi="宋体" w:cs="宋体"/>
          <w:b/>
          <w:sz w:val="30"/>
          <w:szCs w:val="30"/>
          <w:highlight w:val="none"/>
        </w:rPr>
        <w:t>（三）（报价供应商）法定代表人授权委托书（格式）：</w:t>
      </w:r>
    </w:p>
    <w:p>
      <w:pPr>
        <w:jc w:val="center"/>
        <w:outlineLvl w:val="0"/>
        <w:rPr>
          <w:rFonts w:ascii="宋体" w:hAnsi="宋体" w:cs="宋体"/>
          <w:b/>
          <w:sz w:val="30"/>
          <w:szCs w:val="30"/>
          <w:highlight w:val="none"/>
        </w:rPr>
      </w:pPr>
    </w:p>
    <w:p>
      <w:pPr>
        <w:jc w:val="center"/>
        <w:outlineLvl w:val="0"/>
        <w:rPr>
          <w:rFonts w:ascii="宋体" w:hAnsi="宋体" w:cs="宋体"/>
          <w:b/>
          <w:sz w:val="30"/>
          <w:szCs w:val="30"/>
          <w:highlight w:val="none"/>
        </w:rPr>
      </w:pPr>
      <w:r>
        <w:rPr>
          <w:rFonts w:hint="eastAsia" w:ascii="宋体" w:hAnsi="宋体" w:cs="宋体"/>
          <w:b/>
          <w:sz w:val="30"/>
          <w:szCs w:val="30"/>
          <w:highlight w:val="none"/>
        </w:rPr>
        <w:t>法定代表人授权委托书</w:t>
      </w:r>
    </w:p>
    <w:p>
      <w:pPr>
        <w:spacing w:line="480" w:lineRule="auto"/>
        <w:jc w:val="center"/>
        <w:rPr>
          <w:rFonts w:ascii="宋体" w:hAnsi="宋体"/>
          <w:bCs/>
          <w:sz w:val="24"/>
          <w:highlight w:val="none"/>
        </w:rPr>
      </w:pPr>
      <w:r>
        <w:rPr>
          <w:rFonts w:hint="eastAsia" w:ascii="宋体" w:hAnsi="宋体"/>
          <w:bCs/>
          <w:sz w:val="24"/>
          <w:highlight w:val="none"/>
        </w:rPr>
        <w:t>政府采购编号：</w:t>
      </w:r>
    </w:p>
    <w:p>
      <w:pPr>
        <w:spacing w:line="480" w:lineRule="auto"/>
        <w:jc w:val="center"/>
        <w:rPr>
          <w:rFonts w:ascii="宋体" w:hAnsi="宋体"/>
          <w:bCs/>
          <w:sz w:val="24"/>
          <w:highlight w:val="none"/>
        </w:rPr>
      </w:pPr>
      <w:r>
        <w:rPr>
          <w:rFonts w:hint="eastAsia" w:ascii="宋体" w:hAnsi="宋体"/>
          <w:bCs/>
          <w:sz w:val="24"/>
          <w:highlight w:val="none"/>
        </w:rPr>
        <w:t>日期：</w:t>
      </w:r>
    </w:p>
    <w:p>
      <w:pPr>
        <w:spacing w:line="480" w:lineRule="auto"/>
        <w:rPr>
          <w:rFonts w:ascii="宋体" w:hAnsi="宋体"/>
          <w:bCs/>
          <w:sz w:val="24"/>
          <w:highlight w:val="none"/>
        </w:rPr>
      </w:pPr>
      <w:r>
        <w:rPr>
          <w:rFonts w:hint="eastAsia" w:ascii="宋体" w:hAnsi="宋体"/>
          <w:bCs/>
          <w:sz w:val="24"/>
          <w:highlight w:val="none"/>
          <w:lang w:eastAsia="zh-CN"/>
        </w:rPr>
        <w:t>中嘉工程管理咨询（江苏）有限公司</w:t>
      </w:r>
      <w:r>
        <w:rPr>
          <w:rFonts w:hint="eastAsia" w:ascii="宋体" w:hAnsi="宋体"/>
          <w:bCs/>
          <w:sz w:val="24"/>
          <w:highlight w:val="none"/>
        </w:rPr>
        <w:t>：</w:t>
      </w:r>
    </w:p>
    <w:p>
      <w:pPr>
        <w:spacing w:line="480" w:lineRule="auto"/>
        <w:rPr>
          <w:rFonts w:ascii="宋体" w:hAnsi="宋体"/>
          <w:bCs/>
          <w:sz w:val="24"/>
          <w:highlight w:val="none"/>
        </w:rPr>
      </w:pPr>
      <w:r>
        <w:rPr>
          <w:rFonts w:hint="eastAsia" w:ascii="宋体" w:hAnsi="宋体"/>
          <w:bCs/>
          <w:sz w:val="24"/>
          <w:highlight w:val="none"/>
        </w:rPr>
        <w:t xml:space="preserve"> 系中华人民共和国合法企业，特授权代表我公司（单位）全权办理针对本项目（编号</w:t>
      </w:r>
      <w:r>
        <w:rPr>
          <w:rFonts w:hint="eastAsia" w:ascii="黑体" w:eastAsia="黑体"/>
          <w:bCs/>
          <w:sz w:val="24"/>
          <w:highlight w:val="none"/>
        </w:rPr>
        <w:t xml:space="preserve"> ）</w:t>
      </w:r>
      <w:r>
        <w:rPr>
          <w:rFonts w:hint="eastAsia" w:ascii="宋体" w:hAnsi="宋体"/>
          <w:bCs/>
          <w:sz w:val="24"/>
          <w:highlight w:val="none"/>
        </w:rPr>
        <w:t>的投标，参与开标、评标、签约等具体工作，并签署全部有关的文件、协议及合同。</w:t>
      </w:r>
    </w:p>
    <w:p>
      <w:pPr>
        <w:spacing w:line="480" w:lineRule="auto"/>
        <w:ind w:firstLine="525"/>
        <w:rPr>
          <w:rFonts w:ascii="宋体" w:hAnsi="宋体"/>
          <w:bCs/>
          <w:sz w:val="24"/>
          <w:highlight w:val="none"/>
        </w:rPr>
      </w:pPr>
      <w:r>
        <w:rPr>
          <w:rFonts w:hint="eastAsia" w:ascii="宋体" w:hAnsi="宋体"/>
          <w:bCs/>
          <w:sz w:val="24"/>
          <w:highlight w:val="none"/>
        </w:rPr>
        <w:t>我公司（单位）对被授权人的签名负全部责任。</w:t>
      </w:r>
    </w:p>
    <w:p>
      <w:pPr>
        <w:spacing w:line="480" w:lineRule="auto"/>
        <w:ind w:firstLine="523" w:firstLineChars="218"/>
        <w:rPr>
          <w:rFonts w:ascii="宋体" w:hAnsi="宋体"/>
          <w:bCs/>
          <w:sz w:val="24"/>
          <w:highlight w:val="none"/>
        </w:rPr>
      </w:pPr>
      <w:r>
        <w:rPr>
          <w:rFonts w:hint="eastAsia" w:ascii="宋体" w:hAnsi="宋体"/>
          <w:bCs/>
          <w:sz w:val="24"/>
          <w:highlight w:val="none"/>
        </w:rPr>
        <w:t>在撤销授权的书面通知送达你处以前，本授权书一直有效，被授权人签署的所有文件（在授权书有效期内签署的）不因授权的撤销而失效。</w:t>
      </w:r>
    </w:p>
    <w:p>
      <w:pPr>
        <w:spacing w:line="480" w:lineRule="auto"/>
        <w:ind w:firstLine="525"/>
        <w:rPr>
          <w:rFonts w:ascii="宋体" w:hAnsi="宋体"/>
          <w:bCs/>
          <w:sz w:val="24"/>
          <w:highlight w:val="none"/>
        </w:rPr>
      </w:pPr>
      <w:r>
        <w:rPr>
          <w:rFonts w:hint="eastAsia" w:ascii="宋体" w:hAnsi="宋体"/>
          <w:bCs/>
          <w:sz w:val="24"/>
          <w:highlight w:val="none"/>
        </w:rPr>
        <w:t>被授权人情况：</w:t>
      </w:r>
    </w:p>
    <w:p>
      <w:pPr>
        <w:spacing w:line="480" w:lineRule="auto"/>
        <w:ind w:firstLine="525"/>
        <w:rPr>
          <w:rFonts w:ascii="宋体" w:hAnsi="宋体"/>
          <w:bCs/>
          <w:sz w:val="24"/>
          <w:highlight w:val="none"/>
        </w:rPr>
      </w:pPr>
      <w:r>
        <w:rPr>
          <w:rFonts w:hint="eastAsia" w:ascii="宋体" w:hAnsi="宋体"/>
          <w:bCs/>
          <w:sz w:val="24"/>
          <w:highlight w:val="none"/>
        </w:rPr>
        <w:t xml:space="preserve">姓名：         性别：       </w:t>
      </w:r>
    </w:p>
    <w:p>
      <w:pPr>
        <w:spacing w:line="480" w:lineRule="auto"/>
        <w:ind w:firstLine="525"/>
        <w:rPr>
          <w:rFonts w:ascii="宋体" w:hAnsi="宋体"/>
          <w:bCs/>
          <w:sz w:val="24"/>
          <w:highlight w:val="none"/>
        </w:rPr>
      </w:pPr>
      <w:r>
        <w:rPr>
          <w:rFonts w:hint="eastAsia" w:ascii="宋体" w:hAnsi="宋体"/>
          <w:bCs/>
          <w:sz w:val="24"/>
          <w:highlight w:val="none"/>
        </w:rPr>
        <w:t>身份证件号码：                电话：</w:t>
      </w:r>
    </w:p>
    <w:p>
      <w:pPr>
        <w:spacing w:line="480" w:lineRule="auto"/>
        <w:ind w:firstLine="525"/>
        <w:rPr>
          <w:rFonts w:ascii="宋体" w:hAnsi="宋体"/>
          <w:bCs/>
          <w:sz w:val="24"/>
          <w:highlight w:val="none"/>
        </w:rPr>
      </w:pPr>
      <w:r>
        <w:rPr>
          <w:rFonts w:hint="eastAsia" w:ascii="宋体" w:hAnsi="宋体"/>
          <w:bCs/>
          <w:sz w:val="24"/>
          <w:highlight w:val="none"/>
        </w:rPr>
        <w:t>通讯地址：</w:t>
      </w:r>
    </w:p>
    <w:p>
      <w:pPr>
        <w:spacing w:line="480" w:lineRule="auto"/>
        <w:ind w:firstLine="525"/>
        <w:rPr>
          <w:rFonts w:ascii="宋体" w:hAnsi="宋体"/>
          <w:bCs/>
          <w:sz w:val="24"/>
          <w:highlight w:val="none"/>
        </w:rPr>
      </w:pPr>
      <w:r>
        <w:rPr>
          <w:rFonts w:hint="eastAsia" w:ascii="宋体" w:hAnsi="宋体"/>
          <w:bCs/>
          <w:sz w:val="24"/>
          <w:highlight w:val="none"/>
        </w:rPr>
        <w:t>被授权人签名：                单位名称（盖章）：</w:t>
      </w:r>
    </w:p>
    <w:p>
      <w:pPr>
        <w:spacing w:line="480" w:lineRule="auto"/>
        <w:ind w:firstLine="420"/>
        <w:rPr>
          <w:rFonts w:ascii="宋体" w:hAnsi="宋体"/>
          <w:bCs/>
          <w:sz w:val="24"/>
          <w:highlight w:val="none"/>
        </w:rPr>
      </w:pPr>
      <w:r>
        <w:rPr>
          <w:rFonts w:hint="eastAsia" w:ascii="宋体" w:hAnsi="宋体"/>
          <w:bCs/>
          <w:sz w:val="24"/>
          <w:highlight w:val="none"/>
        </w:rPr>
        <w:t xml:space="preserve">                       法定代表人（签字或盖章）：</w:t>
      </w:r>
    </w:p>
    <w:p>
      <w:pPr>
        <w:spacing w:line="480" w:lineRule="auto"/>
        <w:ind w:firstLine="420"/>
        <w:rPr>
          <w:rFonts w:ascii="宋体" w:hAnsi="宋体"/>
          <w:bCs/>
          <w:sz w:val="24"/>
          <w:highlight w:val="none"/>
        </w:rPr>
      </w:pPr>
      <w:r>
        <w:rPr>
          <w:rFonts w:ascii="宋体" w:hAnsi="宋体"/>
          <w:bCs/>
          <w:sz w:val="24"/>
          <w:highlight w:val="none"/>
        </w:rPr>
        <w:pict>
          <v:shape id="Text Box 3" o:spid="_x0000_s1028" o:spt="202" type="#_x0000_t202" style="position:absolute;left:0pt;margin-left:257.25pt;margin-top:11.9pt;height:124.8pt;width:225.75pt;z-index:251659264;mso-width-relative:page;mso-height-relative:page;" coordsize="21600,21600" o:gfxdata="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wjBbdkAAAAKAQAADwAA&#10;AAAAAAABACAAAAAiAAAAZHJzL2Rvd25yZXYueG1sUEsBAhQAFAAAAAgAh07iQIphtP0VAgAAOQQA&#10;AA4AAAAAAAAAAQAgAAAAKAEAAGRycy9lMm9Eb2MueG1sUEsFBgAAAAAGAAYAWQEAAK8FAAAAAA==&#10;">
            <v:path/>
            <v:fill focussize="0,0"/>
            <v:stroke joinstyle="miter"/>
            <v:imagedata o:title=""/>
            <o:lock v:ext="edit"/>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授权代表身份证复印件</w:t>
                  </w:r>
                </w:p>
                <w:p>
                  <w:pPr>
                    <w:jc w:val="center"/>
                    <w:rPr>
                      <w:rFonts w:ascii="黑体" w:eastAsia="黑体"/>
                      <w:sz w:val="32"/>
                      <w:szCs w:val="32"/>
                    </w:rPr>
                  </w:pPr>
                  <w:r>
                    <w:rPr>
                      <w:rFonts w:hint="eastAsia" w:ascii="黑体" w:eastAsia="黑体"/>
                      <w:sz w:val="32"/>
                      <w:szCs w:val="32"/>
                    </w:rPr>
                    <w:t>正反面</w:t>
                  </w:r>
                </w:p>
              </w:txbxContent>
            </v:textbox>
          </v:shape>
        </w:pict>
      </w:r>
      <w:r>
        <w:rPr>
          <w:rFonts w:ascii="宋体" w:hAnsi="宋体"/>
          <w:bCs/>
          <w:sz w:val="24"/>
          <w:highlight w:val="none"/>
        </w:rPr>
        <w:pict>
          <v:shape id="Text Box 4" o:spid="_x0000_s1027" o:spt="202" type="#_x0000_t202" style="position:absolute;left:0pt;margin-left:0pt;margin-top:11.9pt;height:124.8pt;width:225.75pt;z-index:251660288;mso-width-relative:page;mso-height-relative:page;" coordsize="21600,21600" o:gfxdata="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PBGBNcAAAAHAQAADwAAAAAA&#10;AAABACAAAAAiAAAAZHJzL2Rvd25yZXYueG1sUEsBAhQAFAAAAAgAh07iQMxXneUUAgAAOQQAAA4A&#10;AAAAAAAAAQAgAAAAJgEAAGRycy9lMm9Eb2MueG1sUEsFBgAAAAAGAAYAWQEAAKwFAAAAAA==&#10;">
            <v:path/>
            <v:fill focussize="0,0"/>
            <v:stroke joinstyle="miter"/>
            <v:imagedata o:title=""/>
            <o:lock v:ext="edit"/>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法定代表人身份证复印件</w:t>
                  </w:r>
                </w:p>
                <w:p>
                  <w:pPr>
                    <w:jc w:val="center"/>
                    <w:rPr>
                      <w:rFonts w:ascii="黑体" w:eastAsia="黑体"/>
                      <w:sz w:val="32"/>
                      <w:szCs w:val="32"/>
                    </w:rPr>
                  </w:pPr>
                  <w:r>
                    <w:rPr>
                      <w:rFonts w:hint="eastAsia" w:ascii="黑体" w:eastAsia="黑体"/>
                      <w:sz w:val="32"/>
                      <w:szCs w:val="32"/>
                    </w:rPr>
                    <w:t>正反面</w:t>
                  </w:r>
                </w:p>
              </w:txbxContent>
            </v:textbox>
          </v:shape>
        </w:pict>
      </w:r>
    </w:p>
    <w:p>
      <w:pPr>
        <w:spacing w:line="360" w:lineRule="auto"/>
        <w:ind w:firstLine="420"/>
        <w:rPr>
          <w:rFonts w:ascii="楷体_GB2312" w:eastAsia="楷体_GB2312"/>
          <w:bCs/>
          <w:sz w:val="30"/>
          <w:highlight w:val="none"/>
        </w:rPr>
      </w:pPr>
    </w:p>
    <w:p>
      <w:pPr>
        <w:spacing w:line="360" w:lineRule="auto"/>
        <w:rPr>
          <w:rFonts w:ascii="黑体" w:eastAsia="黑体"/>
          <w:bCs/>
          <w:sz w:val="36"/>
          <w:highlight w:val="none"/>
        </w:rPr>
      </w:pPr>
    </w:p>
    <w:p>
      <w:pPr>
        <w:widowControl/>
        <w:topLinePunct/>
        <w:spacing w:before="4" w:line="360" w:lineRule="auto"/>
        <w:jc w:val="left"/>
        <w:rPr>
          <w:rFonts w:ascii="黑体" w:eastAsia="黑体"/>
          <w:b/>
          <w:sz w:val="30"/>
          <w:szCs w:val="30"/>
          <w:highlight w:val="none"/>
        </w:rPr>
      </w:pPr>
      <w:r>
        <w:rPr>
          <w:rFonts w:ascii="宋体" w:hAnsi="宋体"/>
          <w:b/>
          <w:sz w:val="30"/>
          <w:szCs w:val="30"/>
          <w:highlight w:val="none"/>
        </w:rPr>
        <w:br w:type="page"/>
      </w:r>
      <w:r>
        <w:rPr>
          <w:rFonts w:hint="eastAsia" w:ascii="宋体" w:hAnsi="宋体"/>
          <w:b/>
          <w:sz w:val="30"/>
          <w:szCs w:val="30"/>
          <w:highlight w:val="none"/>
        </w:rPr>
        <w:t>（四）承诺书（格式）</w:t>
      </w:r>
    </w:p>
    <w:p>
      <w:pPr>
        <w:pStyle w:val="6"/>
        <w:rPr>
          <w:rFonts w:ascii="宋体" w:hAnsi="宋体" w:eastAsia="宋体"/>
          <w:bCs w:val="0"/>
          <w:sz w:val="32"/>
          <w:szCs w:val="32"/>
          <w:highlight w:val="none"/>
        </w:rPr>
      </w:pPr>
      <w:r>
        <w:rPr>
          <w:rFonts w:hint="eastAsia" w:ascii="宋体" w:hAnsi="宋体" w:eastAsia="宋体"/>
          <w:bCs w:val="0"/>
          <w:sz w:val="32"/>
          <w:szCs w:val="32"/>
          <w:highlight w:val="none"/>
        </w:rPr>
        <w:t>承诺书(格式)</w:t>
      </w:r>
    </w:p>
    <w:p>
      <w:pPr>
        <w:spacing w:line="360" w:lineRule="auto"/>
        <w:rPr>
          <w:rFonts w:ascii="宋体" w:hAnsi="宋体"/>
          <w:sz w:val="24"/>
          <w:highlight w:val="none"/>
        </w:rPr>
      </w:pPr>
      <w:r>
        <w:rPr>
          <w:rFonts w:hint="eastAsia" w:ascii="宋体" w:hAnsi="宋体"/>
          <w:sz w:val="24"/>
          <w:highlight w:val="none"/>
        </w:rPr>
        <w:t>致：</w:t>
      </w:r>
      <w:r>
        <w:rPr>
          <w:rFonts w:hint="eastAsia" w:ascii="宋体" w:hAnsi="宋体"/>
          <w:sz w:val="24"/>
          <w:highlight w:val="none"/>
          <w:u w:val="single"/>
        </w:rPr>
        <w:t xml:space="preserve">    （采购人名称）           </w:t>
      </w:r>
    </w:p>
    <w:p>
      <w:pPr>
        <w:spacing w:line="360" w:lineRule="auto"/>
        <w:ind w:firstLine="480" w:firstLineChars="200"/>
        <w:rPr>
          <w:rFonts w:ascii="宋体" w:hAnsi="宋体"/>
          <w:sz w:val="24"/>
          <w:highlight w:val="none"/>
        </w:rPr>
      </w:pPr>
    </w:p>
    <w:p>
      <w:pPr>
        <w:tabs>
          <w:tab w:val="left" w:pos="945"/>
        </w:tabs>
        <w:spacing w:line="360" w:lineRule="auto"/>
        <w:ind w:firstLine="465"/>
        <w:rPr>
          <w:rFonts w:ascii="宋体" w:hAnsi="宋体"/>
          <w:b/>
          <w:bCs/>
          <w:sz w:val="24"/>
          <w:highlight w:val="none"/>
        </w:rPr>
      </w:pPr>
      <w:r>
        <w:rPr>
          <w:rFonts w:hint="eastAsia" w:ascii="宋体" w:hAnsi="宋体" w:cs="宋体"/>
          <w:sz w:val="24"/>
          <w:highlight w:val="none"/>
        </w:rPr>
        <w:t>1、</w:t>
      </w:r>
      <w:r>
        <w:rPr>
          <w:rFonts w:hint="eastAsia" w:ascii="宋体" w:hAnsi="宋体"/>
          <w:sz w:val="24"/>
          <w:highlight w:val="none"/>
        </w:rPr>
        <w:t>本公司（单位）参加本次政府采购活动前三年内，在经营活动中没有重大违法记录；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sz w:val="24"/>
          <w:highlight w:val="none"/>
        </w:rPr>
        <w:t>本公司（单位）</w:t>
      </w:r>
      <w:r>
        <w:rPr>
          <w:rFonts w:hint="eastAsia" w:ascii="宋体" w:hAnsi="宋体"/>
          <w:bCs/>
          <w:sz w:val="24"/>
          <w:highlight w:val="none"/>
        </w:rPr>
        <w:t>具备履行合同所必需的设备和专业技术能力；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w:t>
      </w:r>
    </w:p>
    <w:p>
      <w:pPr>
        <w:tabs>
          <w:tab w:val="left" w:pos="945"/>
        </w:tabs>
        <w:spacing w:line="360" w:lineRule="auto"/>
        <w:ind w:firstLine="465"/>
        <w:rPr>
          <w:rFonts w:ascii="宋体" w:hAnsi="宋体" w:cs="宋体"/>
          <w:sz w:val="24"/>
          <w:highlight w:val="none"/>
        </w:rPr>
      </w:pPr>
      <w:r>
        <w:rPr>
          <w:rFonts w:hint="eastAsia" w:ascii="宋体" w:hAnsi="宋体" w:cs="宋体"/>
          <w:sz w:val="24"/>
          <w:highlight w:val="none"/>
        </w:rPr>
        <w:t>4、</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w:t>
      </w:r>
    </w:p>
    <w:p>
      <w:pPr>
        <w:spacing w:line="360" w:lineRule="auto"/>
        <w:ind w:firstLine="960" w:firstLineChars="400"/>
        <w:rPr>
          <w:rFonts w:ascii="宋体" w:hAnsi="宋体"/>
          <w:bCs/>
          <w:sz w:val="24"/>
          <w:highlight w:val="none"/>
        </w:rPr>
      </w:pPr>
      <w:r>
        <w:rPr>
          <w:rFonts w:ascii="宋体" w:hAnsi="宋体"/>
          <w:bCs/>
          <w:sz w:val="24"/>
          <w:highlight w:val="none"/>
        </w:rPr>
        <w:t>…………………</w:t>
      </w:r>
    </w:p>
    <w:p>
      <w:pPr>
        <w:spacing w:line="360" w:lineRule="auto"/>
        <w:ind w:firstLine="960" w:firstLineChars="400"/>
        <w:rPr>
          <w:rFonts w:ascii="宋体" w:hAnsi="宋体"/>
          <w:bCs/>
          <w:sz w:val="24"/>
          <w:highlight w:val="none"/>
        </w:rPr>
      </w:pPr>
      <w:r>
        <w:rPr>
          <w:rFonts w:hint="eastAsia" w:ascii="宋体" w:hAnsi="宋体"/>
          <w:bCs/>
          <w:sz w:val="24"/>
          <w:highlight w:val="none"/>
        </w:rPr>
        <w:t>如违背上述承诺，本公司</w:t>
      </w:r>
      <w:r>
        <w:rPr>
          <w:rFonts w:hint="eastAsia" w:ascii="宋体" w:hAnsi="宋体"/>
          <w:sz w:val="24"/>
          <w:highlight w:val="none"/>
        </w:rPr>
        <w:t>（单位）</w:t>
      </w:r>
      <w:r>
        <w:rPr>
          <w:rFonts w:hint="eastAsia" w:ascii="宋体" w:hAnsi="宋体"/>
          <w:bCs/>
          <w:sz w:val="24"/>
          <w:highlight w:val="none"/>
        </w:rPr>
        <w:t>将承担一切法律责任。</w:t>
      </w:r>
    </w:p>
    <w:p>
      <w:pPr>
        <w:spacing w:line="360" w:lineRule="auto"/>
        <w:rPr>
          <w:rFonts w:ascii="宋体" w:hAnsi="宋体"/>
          <w:bCs/>
          <w:sz w:val="24"/>
          <w:highlight w:val="none"/>
        </w:rPr>
      </w:pPr>
    </w:p>
    <w:p>
      <w:pPr>
        <w:spacing w:line="360" w:lineRule="auto"/>
        <w:ind w:firstLine="3720" w:firstLineChars="1550"/>
        <w:rPr>
          <w:rFonts w:ascii="宋体" w:hAnsi="宋体"/>
          <w:bCs/>
          <w:sz w:val="24"/>
          <w:highlight w:val="none"/>
        </w:rPr>
      </w:pPr>
      <w:r>
        <w:rPr>
          <w:rFonts w:hint="eastAsia" w:ascii="宋体" w:hAnsi="宋体"/>
          <w:sz w:val="24"/>
          <w:highlight w:val="none"/>
        </w:rPr>
        <w:t>报价供应商</w:t>
      </w:r>
      <w:r>
        <w:rPr>
          <w:rFonts w:hint="eastAsia" w:ascii="宋体" w:hAnsi="宋体"/>
          <w:bCs/>
          <w:sz w:val="24"/>
          <w:highlight w:val="none"/>
        </w:rPr>
        <w:t>（盖章）：</w:t>
      </w:r>
    </w:p>
    <w:p>
      <w:pPr>
        <w:spacing w:line="360" w:lineRule="auto"/>
        <w:ind w:firstLine="480" w:firstLineChars="200"/>
        <w:rPr>
          <w:rFonts w:ascii="宋体" w:hAnsi="宋体"/>
          <w:bCs/>
          <w:sz w:val="24"/>
          <w:highlight w:val="none"/>
        </w:rPr>
      </w:pPr>
      <w:r>
        <w:rPr>
          <w:rFonts w:hint="eastAsia" w:ascii="宋体" w:hAnsi="宋体"/>
          <w:bCs/>
          <w:sz w:val="24"/>
          <w:highlight w:val="none"/>
        </w:rPr>
        <w:t>法定代表人或法定代表人授权代表签字或盖章：</w:t>
      </w:r>
    </w:p>
    <w:p>
      <w:pPr>
        <w:spacing w:line="360" w:lineRule="auto"/>
        <w:ind w:firstLine="480" w:firstLineChars="200"/>
        <w:rPr>
          <w:rFonts w:ascii="宋体" w:hAnsi="宋体"/>
          <w:bCs/>
          <w:sz w:val="24"/>
          <w:highlight w:val="none"/>
        </w:rPr>
      </w:pPr>
    </w:p>
    <w:p>
      <w:pPr>
        <w:spacing w:line="360" w:lineRule="auto"/>
        <w:ind w:firstLine="480" w:firstLineChars="200"/>
        <w:rPr>
          <w:rFonts w:ascii="宋体" w:hAnsi="宋体"/>
          <w:bCs/>
          <w:sz w:val="24"/>
          <w:highlight w:val="none"/>
        </w:rPr>
      </w:pPr>
      <w:r>
        <w:rPr>
          <w:rFonts w:hint="eastAsia" w:ascii="宋体" w:hAnsi="宋体"/>
          <w:bCs/>
          <w:sz w:val="24"/>
          <w:highlight w:val="none"/>
        </w:rPr>
        <w:t>注：以上内容由报价单位自行完善。</w:t>
      </w:r>
    </w:p>
    <w:p>
      <w:pPr>
        <w:spacing w:before="240" w:line="360" w:lineRule="auto"/>
        <w:ind w:firstLine="480"/>
        <w:rPr>
          <w:rFonts w:ascii="宋体" w:hAnsi="宋体"/>
          <w:sz w:val="24"/>
          <w:highlight w:val="none"/>
        </w:rPr>
      </w:pPr>
    </w:p>
    <w:p>
      <w:pPr>
        <w:spacing w:before="240" w:line="360" w:lineRule="auto"/>
        <w:ind w:firstLine="480"/>
        <w:rPr>
          <w:rFonts w:ascii="宋体" w:hAnsi="宋体"/>
          <w:sz w:val="24"/>
          <w:highlight w:val="none"/>
        </w:rPr>
      </w:pPr>
    </w:p>
    <w:p>
      <w:pPr>
        <w:spacing w:before="240" w:line="360" w:lineRule="auto"/>
        <w:ind w:firstLine="480"/>
        <w:rPr>
          <w:rFonts w:ascii="宋体" w:hAnsi="宋体"/>
          <w:sz w:val="24"/>
          <w:highlight w:val="none"/>
        </w:rPr>
      </w:pPr>
    </w:p>
    <w:p>
      <w:pPr>
        <w:spacing w:before="240" w:line="360" w:lineRule="auto"/>
        <w:ind w:right="480" w:firstLine="2760" w:firstLineChars="1150"/>
        <w:jc w:val="right"/>
        <w:rPr>
          <w:rFonts w:ascii="宋体" w:hAnsi="宋体"/>
          <w:sz w:val="24"/>
          <w:highlight w:val="none"/>
        </w:rPr>
      </w:pPr>
      <w:r>
        <w:rPr>
          <w:rFonts w:hint="eastAsia" w:ascii="宋体" w:hAnsi="宋体"/>
          <w:sz w:val="24"/>
          <w:highlight w:val="none"/>
        </w:rPr>
        <w:t>报价供应商：（公章）</w:t>
      </w:r>
    </w:p>
    <w:p>
      <w:pPr>
        <w:wordWrap w:val="0"/>
        <w:spacing w:before="240" w:line="360" w:lineRule="auto"/>
        <w:ind w:firstLine="480"/>
        <w:jc w:val="right"/>
        <w:rPr>
          <w:sz w:val="24"/>
          <w:highlight w:val="none"/>
        </w:rPr>
      </w:pPr>
      <w:r>
        <w:rPr>
          <w:rFonts w:ascii="宋体" w:hAnsi="宋体"/>
          <w:sz w:val="24"/>
          <w:highlight w:val="none"/>
        </w:rPr>
        <w:t>法定代表人</w:t>
      </w:r>
      <w:r>
        <w:rPr>
          <w:rFonts w:hint="eastAsia" w:ascii="宋体" w:hAnsi="宋体"/>
          <w:sz w:val="24"/>
          <w:highlight w:val="none"/>
        </w:rPr>
        <w:t>或其授权代理人</w:t>
      </w:r>
      <w:r>
        <w:rPr>
          <w:rFonts w:ascii="宋体" w:hAnsi="宋体"/>
          <w:sz w:val="24"/>
          <w:highlight w:val="none"/>
        </w:rPr>
        <w:t>：   （签字</w:t>
      </w:r>
      <w:r>
        <w:rPr>
          <w:rFonts w:hint="eastAsia" w:ascii="宋体" w:hAnsi="宋体"/>
          <w:sz w:val="24"/>
          <w:highlight w:val="none"/>
        </w:rPr>
        <w:t>和盖章</w:t>
      </w:r>
      <w:r>
        <w:rPr>
          <w:rFonts w:ascii="宋体" w:hAnsi="宋体"/>
          <w:sz w:val="24"/>
          <w:highlight w:val="none"/>
        </w:rPr>
        <w:t>）</w:t>
      </w:r>
    </w:p>
    <w:p>
      <w:pPr>
        <w:spacing w:before="240" w:line="360" w:lineRule="auto"/>
        <w:ind w:right="480" w:firstLine="480"/>
        <w:jc w:val="center"/>
        <w:rPr>
          <w:rFonts w:ascii="宋体" w:hAnsi="宋体"/>
          <w:sz w:val="24"/>
          <w:highlight w:val="none"/>
        </w:rPr>
      </w:pPr>
      <w:r>
        <w:rPr>
          <w:rFonts w:hint="eastAsia" w:ascii="宋体" w:hAnsi="宋体"/>
          <w:sz w:val="24"/>
          <w:highlight w:val="none"/>
        </w:rPr>
        <w:t xml:space="preserve">                                              年    月    日</w:t>
      </w:r>
      <w:r>
        <w:rPr>
          <w:rFonts w:ascii="宋体" w:hAnsi="宋体"/>
          <w:sz w:val="24"/>
          <w:highlight w:val="none"/>
        </w:rPr>
        <w:t xml:space="preserve">   </w:t>
      </w:r>
    </w:p>
    <w:p>
      <w:pPr>
        <w:pStyle w:val="6"/>
        <w:rPr>
          <w:rFonts w:ascii="宋体" w:hAnsi="宋体" w:eastAsia="宋体"/>
          <w:bCs w:val="0"/>
          <w:sz w:val="32"/>
          <w:szCs w:val="32"/>
          <w:highlight w:val="none"/>
        </w:rPr>
      </w:pPr>
      <w:r>
        <w:rPr>
          <w:rFonts w:ascii="宋体" w:hAnsi="宋体" w:eastAsia="宋体"/>
          <w:b w:val="0"/>
          <w:bCs w:val="0"/>
          <w:sz w:val="24"/>
          <w:szCs w:val="24"/>
          <w:highlight w:val="none"/>
        </w:rPr>
        <w:br w:type="page"/>
      </w:r>
    </w:p>
    <w:p>
      <w:pPr>
        <w:widowControl/>
        <w:topLinePunct/>
        <w:spacing w:before="4" w:line="360" w:lineRule="auto"/>
        <w:jc w:val="left"/>
        <w:rPr>
          <w:rFonts w:ascii="宋体" w:hAnsi="宋体"/>
          <w:b/>
          <w:sz w:val="30"/>
          <w:szCs w:val="30"/>
          <w:highlight w:val="none"/>
        </w:rPr>
      </w:pPr>
      <w:r>
        <w:rPr>
          <w:rFonts w:hint="eastAsia" w:ascii="宋体" w:hAnsi="宋体"/>
          <w:b/>
          <w:sz w:val="30"/>
          <w:szCs w:val="30"/>
          <w:highlight w:val="none"/>
        </w:rPr>
        <w:t>（五）项目管理机构配备情况：</w:t>
      </w:r>
    </w:p>
    <w:tbl>
      <w:tblPr>
        <w:tblStyle w:val="62"/>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050"/>
        <w:gridCol w:w="945"/>
        <w:gridCol w:w="1050"/>
        <w:gridCol w:w="1896"/>
        <w:gridCol w:w="1275"/>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63" w:type="dxa"/>
            <w:vAlign w:val="center"/>
          </w:tcPr>
          <w:p>
            <w:pPr>
              <w:spacing w:line="320" w:lineRule="exact"/>
              <w:jc w:val="center"/>
              <w:rPr>
                <w:bCs/>
                <w:sz w:val="24"/>
                <w:highlight w:val="none"/>
              </w:rPr>
            </w:pPr>
            <w:r>
              <w:rPr>
                <w:rFonts w:hint="eastAsia"/>
                <w:bCs/>
                <w:sz w:val="24"/>
                <w:highlight w:val="none"/>
              </w:rPr>
              <w:t>项目组人员配备</w:t>
            </w:r>
          </w:p>
        </w:tc>
        <w:tc>
          <w:tcPr>
            <w:tcW w:w="8085" w:type="dxa"/>
            <w:gridSpan w:val="6"/>
            <w:vAlign w:val="center"/>
          </w:tcPr>
          <w:p>
            <w:pPr>
              <w:spacing w:line="320" w:lineRule="exact"/>
              <w:jc w:val="center"/>
              <w:rPr>
                <w:bCs/>
                <w:sz w:val="24"/>
                <w:highlight w:val="none"/>
              </w:rPr>
            </w:pPr>
            <w:r>
              <w:rPr>
                <w:rFonts w:hint="eastAsia"/>
                <w:bCs/>
                <w:sz w:val="24"/>
                <w:highlight w:val="none"/>
              </w:rPr>
              <w:t>按服务内容劳动力投入情况填写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vAlign w:val="center"/>
          </w:tcPr>
          <w:p>
            <w:pPr>
              <w:spacing w:line="320" w:lineRule="exact"/>
              <w:jc w:val="center"/>
              <w:rPr>
                <w:bCs/>
                <w:sz w:val="24"/>
                <w:highlight w:val="none"/>
              </w:rPr>
            </w:pPr>
            <w:r>
              <w:rPr>
                <w:rFonts w:hint="eastAsia"/>
                <w:bCs/>
                <w:sz w:val="24"/>
                <w:highlight w:val="none"/>
              </w:rPr>
              <w:t>姓名</w:t>
            </w:r>
          </w:p>
        </w:tc>
        <w:tc>
          <w:tcPr>
            <w:tcW w:w="1050" w:type="dxa"/>
            <w:vAlign w:val="center"/>
          </w:tcPr>
          <w:p>
            <w:pPr>
              <w:spacing w:line="320" w:lineRule="exact"/>
              <w:jc w:val="center"/>
              <w:rPr>
                <w:bCs/>
                <w:sz w:val="24"/>
                <w:highlight w:val="none"/>
              </w:rPr>
            </w:pPr>
            <w:r>
              <w:rPr>
                <w:rFonts w:hint="eastAsia"/>
                <w:bCs/>
                <w:sz w:val="24"/>
                <w:highlight w:val="none"/>
              </w:rPr>
              <w:t>岗位</w:t>
            </w:r>
          </w:p>
        </w:tc>
        <w:tc>
          <w:tcPr>
            <w:tcW w:w="945" w:type="dxa"/>
            <w:vAlign w:val="center"/>
          </w:tcPr>
          <w:p>
            <w:pPr>
              <w:spacing w:line="320" w:lineRule="exact"/>
              <w:jc w:val="center"/>
              <w:rPr>
                <w:bCs/>
                <w:sz w:val="24"/>
                <w:highlight w:val="none"/>
              </w:rPr>
            </w:pPr>
            <w:r>
              <w:rPr>
                <w:rFonts w:hint="eastAsia"/>
                <w:bCs/>
                <w:sz w:val="24"/>
                <w:highlight w:val="none"/>
              </w:rPr>
              <w:t>学历</w:t>
            </w:r>
          </w:p>
        </w:tc>
        <w:tc>
          <w:tcPr>
            <w:tcW w:w="1050" w:type="dxa"/>
            <w:vAlign w:val="center"/>
          </w:tcPr>
          <w:p>
            <w:pPr>
              <w:spacing w:line="320" w:lineRule="exact"/>
              <w:jc w:val="center"/>
              <w:rPr>
                <w:bCs/>
                <w:sz w:val="24"/>
                <w:highlight w:val="none"/>
              </w:rPr>
            </w:pPr>
            <w:r>
              <w:rPr>
                <w:rFonts w:hint="eastAsia"/>
                <w:bCs/>
                <w:sz w:val="24"/>
                <w:highlight w:val="none"/>
              </w:rPr>
              <w:t>职称</w:t>
            </w:r>
          </w:p>
        </w:tc>
        <w:tc>
          <w:tcPr>
            <w:tcW w:w="1896" w:type="dxa"/>
            <w:vAlign w:val="center"/>
          </w:tcPr>
          <w:p>
            <w:pPr>
              <w:spacing w:line="320" w:lineRule="exact"/>
              <w:jc w:val="center"/>
              <w:rPr>
                <w:bCs/>
                <w:sz w:val="24"/>
                <w:highlight w:val="none"/>
              </w:rPr>
            </w:pPr>
            <w:r>
              <w:rPr>
                <w:rFonts w:hint="eastAsia"/>
                <w:bCs/>
                <w:sz w:val="24"/>
                <w:highlight w:val="none"/>
              </w:rPr>
              <w:t>专业技术证书</w:t>
            </w:r>
          </w:p>
        </w:tc>
        <w:tc>
          <w:tcPr>
            <w:tcW w:w="1275" w:type="dxa"/>
            <w:vAlign w:val="center"/>
          </w:tcPr>
          <w:p>
            <w:pPr>
              <w:spacing w:line="320" w:lineRule="exact"/>
              <w:jc w:val="center"/>
              <w:rPr>
                <w:bCs/>
                <w:sz w:val="24"/>
                <w:highlight w:val="none"/>
              </w:rPr>
            </w:pPr>
            <w:r>
              <w:rPr>
                <w:rFonts w:hint="eastAsia"/>
                <w:bCs/>
                <w:sz w:val="24"/>
                <w:highlight w:val="none"/>
              </w:rPr>
              <w:t>工作年限</w:t>
            </w:r>
          </w:p>
        </w:tc>
        <w:tc>
          <w:tcPr>
            <w:tcW w:w="1869" w:type="dxa"/>
            <w:vAlign w:val="center"/>
          </w:tcPr>
          <w:p>
            <w:pPr>
              <w:spacing w:line="320" w:lineRule="exact"/>
              <w:jc w:val="center"/>
              <w:rPr>
                <w:bCs/>
                <w:sz w:val="24"/>
                <w:highlight w:val="none"/>
              </w:rPr>
            </w:pPr>
            <w:r>
              <w:rPr>
                <w:rFonts w:hint="eastAsia"/>
                <w:bCs/>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3"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945" w:type="dxa"/>
            <w:vAlign w:val="center"/>
          </w:tcPr>
          <w:p>
            <w:pPr>
              <w:spacing w:before="120" w:line="400" w:lineRule="exact"/>
              <w:jc w:val="center"/>
              <w:rPr>
                <w:bCs/>
                <w:sz w:val="24"/>
                <w:highlight w:val="none"/>
              </w:rPr>
            </w:pPr>
          </w:p>
        </w:tc>
        <w:tc>
          <w:tcPr>
            <w:tcW w:w="1050" w:type="dxa"/>
            <w:vAlign w:val="center"/>
          </w:tcPr>
          <w:p>
            <w:pPr>
              <w:spacing w:before="120" w:line="400" w:lineRule="exact"/>
              <w:jc w:val="center"/>
              <w:rPr>
                <w:bCs/>
                <w:sz w:val="24"/>
                <w:highlight w:val="none"/>
              </w:rPr>
            </w:pPr>
          </w:p>
        </w:tc>
        <w:tc>
          <w:tcPr>
            <w:tcW w:w="1896" w:type="dxa"/>
            <w:vAlign w:val="center"/>
          </w:tcPr>
          <w:p>
            <w:pPr>
              <w:spacing w:before="120" w:line="400" w:lineRule="exact"/>
              <w:jc w:val="center"/>
              <w:rPr>
                <w:bCs/>
                <w:sz w:val="24"/>
                <w:highlight w:val="none"/>
              </w:rPr>
            </w:pPr>
          </w:p>
        </w:tc>
        <w:tc>
          <w:tcPr>
            <w:tcW w:w="1275" w:type="dxa"/>
            <w:vAlign w:val="center"/>
          </w:tcPr>
          <w:p>
            <w:pPr>
              <w:spacing w:before="120" w:line="400" w:lineRule="exact"/>
              <w:jc w:val="center"/>
              <w:rPr>
                <w:bCs/>
                <w:sz w:val="24"/>
                <w:highlight w:val="none"/>
              </w:rPr>
            </w:pPr>
          </w:p>
        </w:tc>
        <w:tc>
          <w:tcPr>
            <w:tcW w:w="1869" w:type="dxa"/>
            <w:vAlign w:val="center"/>
          </w:tcPr>
          <w:p>
            <w:pPr>
              <w:spacing w:before="120" w:line="400" w:lineRule="exact"/>
              <w:jc w:val="center"/>
              <w:rPr>
                <w:bCs/>
                <w:sz w:val="24"/>
                <w:highlight w:val="none"/>
              </w:rPr>
            </w:pPr>
          </w:p>
        </w:tc>
      </w:tr>
    </w:tbl>
    <w:p>
      <w:pPr>
        <w:outlineLvl w:val="0"/>
        <w:rPr>
          <w:rFonts w:ascii="黑体" w:hAnsi="宋体" w:eastAsia="黑体"/>
          <w:bCs/>
          <w:sz w:val="24"/>
          <w:highlight w:val="none"/>
        </w:rPr>
      </w:pPr>
    </w:p>
    <w:p>
      <w:pPr>
        <w:pStyle w:val="73"/>
        <w:ind w:firstLine="480"/>
        <w:rPr>
          <w:rFonts w:ascii="黑体" w:hAnsi="宋体" w:eastAsia="黑体"/>
          <w:bCs/>
          <w:sz w:val="24"/>
          <w:highlight w:val="none"/>
        </w:rPr>
      </w:pPr>
    </w:p>
    <w:p>
      <w:pPr>
        <w:pStyle w:val="73"/>
        <w:ind w:firstLine="480"/>
        <w:rPr>
          <w:rFonts w:ascii="黑体" w:hAnsi="宋体" w:eastAsia="黑体"/>
          <w:bCs/>
          <w:sz w:val="24"/>
          <w:highlight w:val="none"/>
        </w:rPr>
      </w:pPr>
    </w:p>
    <w:p>
      <w:pPr>
        <w:pStyle w:val="73"/>
        <w:ind w:firstLine="480"/>
        <w:rPr>
          <w:rFonts w:ascii="黑体" w:hAnsi="宋体" w:eastAsia="黑体"/>
          <w:bCs/>
          <w:sz w:val="24"/>
          <w:highlight w:val="none"/>
        </w:rPr>
      </w:pPr>
    </w:p>
    <w:p>
      <w:pPr>
        <w:pStyle w:val="73"/>
        <w:ind w:firstLine="480"/>
        <w:rPr>
          <w:rFonts w:ascii="黑体" w:hAnsi="宋体" w:eastAsia="黑体"/>
          <w:bCs/>
          <w:sz w:val="24"/>
          <w:highlight w:val="none"/>
        </w:rPr>
      </w:pPr>
    </w:p>
    <w:p>
      <w:pPr>
        <w:pStyle w:val="73"/>
        <w:ind w:firstLine="480"/>
        <w:rPr>
          <w:rFonts w:ascii="黑体" w:hAnsi="宋体" w:eastAsia="黑体"/>
          <w:bCs/>
          <w:sz w:val="24"/>
          <w:highlight w:val="none"/>
        </w:rPr>
      </w:pPr>
    </w:p>
    <w:p>
      <w:pPr>
        <w:pStyle w:val="73"/>
        <w:ind w:firstLine="480"/>
        <w:rPr>
          <w:rFonts w:ascii="黑体" w:hAnsi="宋体" w:eastAsia="黑体"/>
          <w:bCs/>
          <w:sz w:val="24"/>
          <w:highlight w:val="none"/>
        </w:rPr>
      </w:pPr>
    </w:p>
    <w:p>
      <w:pPr>
        <w:pStyle w:val="73"/>
        <w:ind w:firstLine="480"/>
        <w:rPr>
          <w:rFonts w:ascii="黑体" w:hAnsi="宋体" w:eastAsia="黑体"/>
          <w:bCs/>
          <w:sz w:val="24"/>
          <w:highlight w:val="none"/>
        </w:rPr>
      </w:pPr>
    </w:p>
    <w:p>
      <w:pPr>
        <w:pStyle w:val="73"/>
        <w:ind w:firstLine="480"/>
        <w:rPr>
          <w:rFonts w:ascii="黑体" w:hAnsi="宋体" w:eastAsia="黑体"/>
          <w:bCs/>
          <w:sz w:val="24"/>
          <w:highlight w:val="none"/>
        </w:rPr>
      </w:pPr>
    </w:p>
    <w:p>
      <w:pPr>
        <w:pStyle w:val="73"/>
        <w:ind w:firstLine="480"/>
        <w:rPr>
          <w:rFonts w:ascii="黑体" w:hAnsi="宋体" w:eastAsia="黑体"/>
          <w:bCs/>
          <w:sz w:val="24"/>
          <w:highlight w:val="none"/>
        </w:rPr>
      </w:pPr>
    </w:p>
    <w:p>
      <w:pPr>
        <w:pStyle w:val="73"/>
        <w:ind w:firstLine="480"/>
        <w:rPr>
          <w:rFonts w:ascii="黑体" w:hAnsi="宋体" w:eastAsia="黑体"/>
          <w:bCs/>
          <w:sz w:val="24"/>
          <w:highlight w:val="none"/>
        </w:rPr>
      </w:pPr>
    </w:p>
    <w:p>
      <w:pPr>
        <w:pStyle w:val="73"/>
        <w:ind w:firstLine="480"/>
        <w:rPr>
          <w:rFonts w:ascii="黑体" w:hAnsi="宋体" w:eastAsia="黑体"/>
          <w:bCs/>
          <w:sz w:val="24"/>
          <w:highlight w:val="none"/>
        </w:rPr>
      </w:pPr>
    </w:p>
    <w:p>
      <w:pPr>
        <w:pStyle w:val="31"/>
        <w:spacing w:line="360" w:lineRule="auto"/>
        <w:ind w:right="34"/>
        <w:rPr>
          <w:rFonts w:hAnsi="宋体" w:cs="宋体"/>
          <w:highlight w:val="none"/>
        </w:rPr>
      </w:pPr>
    </w:p>
    <w:p>
      <w:pPr>
        <w:widowControl/>
        <w:topLinePunct/>
        <w:spacing w:before="4" w:line="360" w:lineRule="auto"/>
        <w:jc w:val="left"/>
        <w:rPr>
          <w:rFonts w:ascii="宋体" w:hAnsi="宋体"/>
          <w:b/>
          <w:sz w:val="30"/>
          <w:szCs w:val="30"/>
          <w:highlight w:val="none"/>
        </w:rPr>
      </w:pPr>
      <w:r>
        <w:rPr>
          <w:rFonts w:hint="eastAsia" w:ascii="宋体" w:hAnsi="宋体"/>
          <w:b/>
          <w:sz w:val="30"/>
          <w:szCs w:val="30"/>
          <w:highlight w:val="none"/>
        </w:rPr>
        <w:t>（六）投标偏离表（格式）</w:t>
      </w:r>
    </w:p>
    <w:p>
      <w:pPr>
        <w:ind w:firstLine="490" w:firstLineChars="175"/>
        <w:jc w:val="center"/>
        <w:outlineLvl w:val="0"/>
        <w:rPr>
          <w:rFonts w:ascii="黑体" w:eastAsia="黑体"/>
          <w:bCs/>
          <w:sz w:val="28"/>
          <w:szCs w:val="28"/>
          <w:highlight w:val="none"/>
        </w:rPr>
      </w:pPr>
      <w:r>
        <w:rPr>
          <w:rFonts w:hint="eastAsia" w:ascii="黑体" w:eastAsia="黑体"/>
          <w:bCs/>
          <w:sz w:val="28"/>
          <w:szCs w:val="28"/>
          <w:highlight w:val="none"/>
        </w:rPr>
        <w:t>投标偏离表</w:t>
      </w:r>
    </w:p>
    <w:p>
      <w:pPr>
        <w:spacing w:line="400" w:lineRule="exact"/>
        <w:jc w:val="center"/>
        <w:outlineLvl w:val="0"/>
        <w:rPr>
          <w:rFonts w:ascii="黑体" w:eastAsia="黑体"/>
          <w:bCs/>
          <w:sz w:val="28"/>
          <w:szCs w:val="28"/>
          <w:highlight w:val="none"/>
        </w:rPr>
      </w:pPr>
    </w:p>
    <w:p>
      <w:pPr>
        <w:spacing w:line="400" w:lineRule="exact"/>
        <w:rPr>
          <w:rFonts w:ascii="黑体" w:eastAsia="黑体"/>
          <w:bCs/>
          <w:sz w:val="24"/>
          <w:highlight w:val="none"/>
        </w:rPr>
      </w:pPr>
      <w:r>
        <w:rPr>
          <w:rFonts w:hint="eastAsia" w:ascii="黑体" w:eastAsia="黑体"/>
          <w:bCs/>
          <w:sz w:val="24"/>
          <w:highlight w:val="none"/>
        </w:rPr>
        <w:t>报价</w:t>
      </w:r>
      <w:r>
        <w:rPr>
          <w:rFonts w:hint="eastAsia" w:ascii="黑体" w:eastAsia="黑体"/>
          <w:bCs/>
          <w:sz w:val="24"/>
          <w:highlight w:val="none"/>
          <w:lang w:val="en-US" w:eastAsia="zh-CN"/>
        </w:rPr>
        <w:t>人</w:t>
      </w:r>
      <w:r>
        <w:rPr>
          <w:rFonts w:hint="eastAsia" w:ascii="黑体" w:eastAsia="黑体"/>
          <w:bCs/>
          <w:sz w:val="24"/>
          <w:highlight w:val="none"/>
        </w:rPr>
        <w:t>名称（盖章）                    政府采购编号：</w:t>
      </w:r>
    </w:p>
    <w:tbl>
      <w:tblPr>
        <w:tblStyle w:val="62"/>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
                <w:bCs/>
                <w:sz w:val="24"/>
                <w:highlight w:val="none"/>
              </w:rPr>
            </w:pPr>
            <w:r>
              <w:rPr>
                <w:rFonts w:hint="eastAsia" w:ascii="宋体" w:hAnsi="宋体"/>
                <w:b/>
                <w:bCs/>
                <w:sz w:val="24"/>
                <w:highlight w:val="none"/>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highlight w:val="none"/>
              </w:rPr>
            </w:pPr>
            <w:r>
              <w:rPr>
                <w:rFonts w:hint="eastAsia" w:ascii="宋体" w:hAnsi="宋体"/>
                <w:b/>
                <w:bCs/>
                <w:sz w:val="24"/>
                <w:highlight w:val="none"/>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highlight w:val="none"/>
              </w:rPr>
            </w:pPr>
            <w:r>
              <w:rPr>
                <w:rFonts w:hint="eastAsia" w:ascii="宋体" w:hAnsi="宋体"/>
                <w:b/>
                <w:bCs/>
                <w:sz w:val="24"/>
                <w:highlight w:val="none"/>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highlight w:val="none"/>
              </w:rPr>
            </w:pPr>
            <w:r>
              <w:rPr>
                <w:rFonts w:hint="eastAsia" w:ascii="宋体" w:hAnsi="宋体"/>
                <w:b/>
                <w:bCs/>
                <w:sz w:val="24"/>
                <w:highlight w:val="none"/>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835" w:type="dxa"/>
            <w:tcBorders>
              <w:top w:val="single" w:color="auto" w:sz="4" w:space="0"/>
              <w:left w:val="single" w:color="auto" w:sz="4" w:space="0"/>
              <w:right w:val="single" w:color="auto" w:sz="4" w:space="0"/>
            </w:tcBorders>
            <w:vAlign w:val="center"/>
          </w:tcPr>
          <w:p>
            <w:pPr>
              <w:jc w:val="center"/>
              <w:rPr>
                <w:rFonts w:ascii="宋体" w:hAnsi="宋体"/>
                <w:bCs/>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p>
        </w:tc>
      </w:tr>
    </w:tbl>
    <w:p>
      <w:pPr>
        <w:rPr>
          <w:b/>
          <w:bCs/>
          <w:sz w:val="24"/>
          <w:highlight w:val="none"/>
        </w:rPr>
      </w:pPr>
    </w:p>
    <w:p>
      <w:pPr>
        <w:rPr>
          <w:rFonts w:ascii="宋体" w:hAnsi="宋体"/>
          <w:b/>
          <w:sz w:val="24"/>
          <w:highlight w:val="none"/>
        </w:rPr>
      </w:pPr>
      <w:r>
        <w:rPr>
          <w:rFonts w:hint="eastAsia"/>
          <w:b/>
          <w:bCs/>
          <w:sz w:val="24"/>
          <w:highlight w:val="none"/>
        </w:rPr>
        <w:t>法定代表人或法定代表人授权代表签字或盖章：</w:t>
      </w:r>
    </w:p>
    <w:p>
      <w:pPr>
        <w:rPr>
          <w:rFonts w:ascii="宋体" w:hAnsi="宋体"/>
          <w:bCs/>
          <w:sz w:val="30"/>
          <w:highlight w:val="none"/>
        </w:rPr>
      </w:pPr>
    </w:p>
    <w:p>
      <w:pPr>
        <w:outlineLvl w:val="0"/>
        <w:rPr>
          <w:rFonts w:ascii="宋体" w:hAnsi="宋体"/>
          <w:bCs/>
          <w:sz w:val="28"/>
          <w:szCs w:val="28"/>
          <w:highlight w:val="none"/>
        </w:rPr>
      </w:pPr>
      <w:r>
        <w:rPr>
          <w:rFonts w:hint="eastAsia" w:ascii="宋体" w:hAnsi="宋体"/>
          <w:bCs/>
          <w:sz w:val="28"/>
          <w:szCs w:val="28"/>
          <w:highlight w:val="none"/>
        </w:rPr>
        <w:t>注：上表如需要自行延长。</w:t>
      </w:r>
    </w:p>
    <w:p>
      <w:pPr>
        <w:spacing w:line="480" w:lineRule="auto"/>
        <w:rPr>
          <w:rFonts w:ascii="宋体" w:hAnsi="宋体"/>
          <w:bCs/>
          <w:sz w:val="24"/>
          <w:szCs w:val="24"/>
          <w:highlight w:val="none"/>
        </w:rPr>
      </w:pPr>
    </w:p>
    <w:p>
      <w:pPr>
        <w:spacing w:line="480" w:lineRule="auto"/>
        <w:rPr>
          <w:rFonts w:ascii="宋体" w:hAnsi="宋体"/>
          <w:bCs/>
          <w:sz w:val="24"/>
          <w:szCs w:val="24"/>
          <w:highlight w:val="none"/>
        </w:rPr>
      </w:pPr>
    </w:p>
    <w:p>
      <w:pPr>
        <w:spacing w:line="480" w:lineRule="auto"/>
        <w:rPr>
          <w:rFonts w:ascii="宋体" w:hAnsi="宋体"/>
          <w:bCs/>
          <w:sz w:val="24"/>
          <w:szCs w:val="24"/>
          <w:highlight w:val="none"/>
        </w:rPr>
      </w:pPr>
    </w:p>
    <w:p>
      <w:pPr>
        <w:spacing w:line="480" w:lineRule="auto"/>
        <w:rPr>
          <w:rFonts w:ascii="宋体" w:hAnsi="宋体"/>
          <w:bCs/>
          <w:sz w:val="24"/>
          <w:szCs w:val="24"/>
          <w:highlight w:val="none"/>
        </w:rPr>
      </w:pPr>
    </w:p>
    <w:p>
      <w:pPr>
        <w:pStyle w:val="73"/>
        <w:ind w:firstLine="480"/>
        <w:rPr>
          <w:rFonts w:ascii="宋体" w:hAnsi="宋体"/>
          <w:bCs/>
          <w:sz w:val="24"/>
          <w:szCs w:val="24"/>
          <w:highlight w:val="none"/>
        </w:rPr>
      </w:pPr>
    </w:p>
    <w:p>
      <w:pPr>
        <w:pStyle w:val="73"/>
        <w:ind w:firstLine="480"/>
        <w:rPr>
          <w:rFonts w:ascii="宋体" w:hAnsi="宋体"/>
          <w:bCs/>
          <w:sz w:val="24"/>
          <w:szCs w:val="24"/>
          <w:highlight w:val="none"/>
        </w:rPr>
      </w:pPr>
    </w:p>
    <w:p>
      <w:pPr>
        <w:pStyle w:val="73"/>
        <w:ind w:firstLine="480"/>
        <w:rPr>
          <w:rFonts w:ascii="宋体" w:hAnsi="宋体"/>
          <w:bCs/>
          <w:sz w:val="24"/>
          <w:szCs w:val="24"/>
          <w:highlight w:val="none"/>
        </w:rPr>
      </w:pPr>
    </w:p>
    <w:p>
      <w:pPr>
        <w:pStyle w:val="73"/>
        <w:ind w:firstLine="480"/>
        <w:rPr>
          <w:rFonts w:ascii="宋体" w:hAnsi="宋体"/>
          <w:bCs/>
          <w:sz w:val="24"/>
          <w:szCs w:val="24"/>
          <w:highlight w:val="none"/>
        </w:rPr>
      </w:pPr>
    </w:p>
    <w:p>
      <w:pPr>
        <w:pStyle w:val="73"/>
        <w:ind w:firstLine="480"/>
        <w:rPr>
          <w:rFonts w:ascii="宋体" w:hAnsi="宋体"/>
          <w:bCs/>
          <w:sz w:val="24"/>
          <w:szCs w:val="24"/>
          <w:highlight w:val="none"/>
        </w:rPr>
      </w:pPr>
    </w:p>
    <w:p>
      <w:pPr>
        <w:spacing w:line="480" w:lineRule="auto"/>
        <w:rPr>
          <w:rFonts w:ascii="宋体" w:hAnsi="宋体"/>
          <w:bCs/>
          <w:sz w:val="24"/>
          <w:szCs w:val="24"/>
          <w:highlight w:val="none"/>
        </w:rPr>
      </w:pPr>
    </w:p>
    <w:p>
      <w:pPr>
        <w:widowControl/>
        <w:topLinePunct/>
        <w:spacing w:before="4" w:line="360" w:lineRule="auto"/>
        <w:jc w:val="left"/>
        <w:rPr>
          <w:rFonts w:ascii="黑体" w:hAnsi="宋体" w:eastAsia="黑体"/>
          <w:sz w:val="24"/>
          <w:highlight w:val="none"/>
        </w:rPr>
      </w:pPr>
      <w:r>
        <w:rPr>
          <w:rFonts w:hint="eastAsia" w:ascii="宋体" w:hAnsi="宋体"/>
          <w:b/>
          <w:sz w:val="30"/>
          <w:szCs w:val="30"/>
          <w:highlight w:val="none"/>
        </w:rPr>
        <w:t>（七）技术文件（格式）：格式自拟</w:t>
      </w:r>
    </w:p>
    <w:p>
      <w:pPr>
        <w:outlineLvl w:val="0"/>
        <w:rPr>
          <w:rFonts w:ascii="宋体" w:hAnsi="宋体"/>
          <w:bCs/>
          <w:sz w:val="24"/>
          <w:szCs w:val="24"/>
          <w:highlight w:val="none"/>
        </w:rPr>
      </w:pPr>
    </w:p>
    <w:sectPr>
      <w:headerReference r:id="rId9" w:type="first"/>
      <w:footerReference r:id="rId12" w:type="first"/>
      <w:headerReference r:id="rId8" w:type="default"/>
      <w:footerReference r:id="rId10" w:type="default"/>
      <w:footerReference r:id="rId11" w:type="even"/>
      <w:pgSz w:w="11906" w:h="16838"/>
      <w:pgMar w:top="567" w:right="851" w:bottom="567" w:left="1134" w:header="624"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文鼎CS中宋">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hint="eastAsia"/>
      </w:rPr>
    </w:pPr>
    <w:r>
      <w:rPr>
        <w:rFonts w:hint="eastAsia"/>
      </w:rPr>
      <w:t>1</w:t>
    </w:r>
  </w:p>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6"/>
      </w:rPr>
    </w:pPr>
    <w:r>
      <w:fldChar w:fldCharType="begin"/>
    </w:r>
    <w:r>
      <w:rPr>
        <w:rStyle w:val="66"/>
      </w:rPr>
      <w:instrText xml:space="preserve">PAGE  </w:instrText>
    </w:r>
    <w:r>
      <w:fldChar w:fldCharType="separate"/>
    </w:r>
    <w:r>
      <w:fldChar w:fldCharType="end"/>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36</w:t>
    </w:r>
    <w:r>
      <w:fldChar w:fldCharType="end"/>
    </w:r>
  </w:p>
  <w:p>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6"/>
      </w:rPr>
    </w:pPr>
    <w:r>
      <w:fldChar w:fldCharType="begin"/>
    </w:r>
    <w:r>
      <w:rPr>
        <w:rStyle w:val="66"/>
      </w:rPr>
      <w:instrText xml:space="preserve">PAGE  </w:instrText>
    </w:r>
    <w:r>
      <w:fldChar w:fldCharType="end"/>
    </w:r>
  </w:p>
  <w:p>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t>30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ascii="宋体" w:hAnsi="宋体"/>
        <w:sz w:val="21"/>
        <w:szCs w:val="21"/>
        <w:lang w:eastAsia="zh-CN"/>
      </w:rPr>
      <w:t>WXZJCG2021-074</w:t>
    </w:r>
    <w:r>
      <w:rPr>
        <w:rFonts w:hint="eastAsia"/>
      </w:rPr>
      <w:t xml:space="preserve">                                                             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hint="default" w:eastAsia="宋体"/>
        <w:lang w:val="en-US" w:eastAsia="zh-CN"/>
      </w:rPr>
    </w:pPr>
    <w:r>
      <w:rPr>
        <w:rFonts w:hint="eastAsia" w:ascii="宋体" w:hAnsi="宋体"/>
        <w:sz w:val="21"/>
        <w:szCs w:val="21"/>
        <w:lang w:eastAsia="zh-CN"/>
      </w:rPr>
      <w:t>WXZJCG2021-074</w:t>
    </w:r>
    <w:r>
      <w:rPr>
        <w:rFonts w:hint="eastAsia"/>
      </w:rPr>
      <w:t xml:space="preserve">                                                             </w:t>
    </w:r>
    <w:r>
      <w:rPr>
        <w:rFonts w:hint="eastAsia"/>
        <w:lang w:val="en-US" w:eastAsia="zh-CN"/>
      </w:rPr>
      <w:t>竞争性磋商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24DF5"/>
    <w:multiLevelType w:val="singleLevel"/>
    <w:tmpl w:val="AB524DF5"/>
    <w:lvl w:ilvl="0" w:tentative="0">
      <w:start w:val="1"/>
      <w:numFmt w:val="chineseCounting"/>
      <w:suff w:val="nothing"/>
      <w:lvlText w:val="（%1）"/>
      <w:lvlJc w:val="left"/>
      <w:rPr>
        <w:rFonts w:hint="eastAsia"/>
      </w:rPr>
    </w:lvl>
  </w:abstractNum>
  <w:abstractNum w:abstractNumId="1">
    <w:nsid w:val="B13FEB4F"/>
    <w:multiLevelType w:val="singleLevel"/>
    <w:tmpl w:val="B13FEB4F"/>
    <w:lvl w:ilvl="0" w:tentative="0">
      <w:start w:val="2"/>
      <w:numFmt w:val="decimal"/>
      <w:suff w:val="nothing"/>
      <w:lvlText w:val="（%1）"/>
      <w:lvlJc w:val="left"/>
    </w:lvl>
  </w:abstractNum>
  <w:abstractNum w:abstractNumId="2">
    <w:nsid w:val="CE5D15BC"/>
    <w:multiLevelType w:val="singleLevel"/>
    <w:tmpl w:val="CE5D15BC"/>
    <w:lvl w:ilvl="0" w:tentative="0">
      <w:start w:val="3"/>
      <w:numFmt w:val="chineseCounting"/>
      <w:suff w:val="nothing"/>
      <w:lvlText w:val="%1．"/>
      <w:lvlJc w:val="left"/>
      <w:rPr>
        <w:rFonts w:hint="eastAsia"/>
      </w:rPr>
    </w:lvl>
  </w:abstractNum>
  <w:abstractNum w:abstractNumId="3">
    <w:nsid w:val="EB1737D0"/>
    <w:multiLevelType w:val="singleLevel"/>
    <w:tmpl w:val="EB1737D0"/>
    <w:lvl w:ilvl="0" w:tentative="0">
      <w:start w:val="1"/>
      <w:numFmt w:val="decimal"/>
      <w:suff w:val="nothing"/>
      <w:lvlText w:val="%1、"/>
      <w:lvlJc w:val="left"/>
    </w:lvl>
  </w:abstractNum>
  <w:abstractNum w:abstractNumId="4">
    <w:nsid w:val="00000011"/>
    <w:multiLevelType w:val="multilevel"/>
    <w:tmpl w:val="00000011"/>
    <w:lvl w:ilvl="0" w:tentative="0">
      <w:start w:val="1"/>
      <w:numFmt w:val="decimal"/>
      <w:pStyle w:val="284"/>
      <w:lvlText w:val="%1."/>
      <w:lvlJc w:val="left"/>
      <w:pPr>
        <w:tabs>
          <w:tab w:val="left" w:pos="900"/>
        </w:tabs>
        <w:ind w:left="900" w:hanging="420"/>
      </w:pPr>
      <w:rPr>
        <w:rFonts w:hint="default" w:ascii="Times New Roman"/>
        <w:u w:val="none"/>
      </w:rPr>
    </w:lvl>
    <w:lvl w:ilvl="1" w:tentative="0">
      <w:start w:val="1"/>
      <w:numFmt w:val="lowerLetter"/>
      <w:lvlText w:val="%2)"/>
      <w:lvlJc w:val="left"/>
      <w:pPr>
        <w:tabs>
          <w:tab w:val="left" w:pos="1320"/>
        </w:tabs>
        <w:ind w:left="1320" w:hanging="420"/>
      </w:pPr>
      <w:rPr>
        <w:rFonts w:hint="default" w:ascii="Times New Roman"/>
        <w:u w:val="none"/>
      </w:rPr>
    </w:lvl>
    <w:lvl w:ilvl="2" w:tentative="0">
      <w:start w:val="1"/>
      <w:numFmt w:val="lowerRoman"/>
      <w:lvlText w:val="%3."/>
      <w:lvlJc w:val="right"/>
      <w:pPr>
        <w:tabs>
          <w:tab w:val="left" w:pos="1740"/>
        </w:tabs>
        <w:ind w:left="1740" w:hanging="420"/>
      </w:pPr>
      <w:rPr>
        <w:rFonts w:hint="default" w:ascii="Times New Roman"/>
        <w:u w:val="none"/>
      </w:rPr>
    </w:lvl>
    <w:lvl w:ilvl="3" w:tentative="0">
      <w:start w:val="1"/>
      <w:numFmt w:val="decimal"/>
      <w:lvlText w:val="%4."/>
      <w:lvlJc w:val="left"/>
      <w:pPr>
        <w:tabs>
          <w:tab w:val="left" w:pos="2160"/>
        </w:tabs>
        <w:ind w:left="2160" w:hanging="420"/>
      </w:pPr>
      <w:rPr>
        <w:rFonts w:hint="default" w:ascii="Times New Roman"/>
        <w:u w:val="none"/>
      </w:rPr>
    </w:lvl>
    <w:lvl w:ilvl="4" w:tentative="0">
      <w:start w:val="1"/>
      <w:numFmt w:val="lowerLetter"/>
      <w:lvlText w:val="%5)"/>
      <w:lvlJc w:val="left"/>
      <w:pPr>
        <w:tabs>
          <w:tab w:val="left" w:pos="2580"/>
        </w:tabs>
        <w:ind w:left="2580" w:hanging="420"/>
      </w:pPr>
      <w:rPr>
        <w:rFonts w:hint="default" w:ascii="Times New Roman"/>
        <w:u w:val="none"/>
      </w:rPr>
    </w:lvl>
    <w:lvl w:ilvl="5" w:tentative="0">
      <w:start w:val="1"/>
      <w:numFmt w:val="lowerRoman"/>
      <w:lvlText w:val="%6."/>
      <w:lvlJc w:val="right"/>
      <w:pPr>
        <w:tabs>
          <w:tab w:val="left" w:pos="3000"/>
        </w:tabs>
        <w:ind w:left="3000" w:hanging="420"/>
      </w:pPr>
      <w:rPr>
        <w:rFonts w:hint="default" w:ascii="Times New Roman"/>
        <w:u w:val="none"/>
      </w:rPr>
    </w:lvl>
    <w:lvl w:ilvl="6" w:tentative="0">
      <w:start w:val="1"/>
      <w:numFmt w:val="decimal"/>
      <w:lvlText w:val="%7."/>
      <w:lvlJc w:val="left"/>
      <w:pPr>
        <w:tabs>
          <w:tab w:val="left" w:pos="3420"/>
        </w:tabs>
        <w:ind w:left="3420" w:hanging="420"/>
      </w:pPr>
      <w:rPr>
        <w:rFonts w:hint="default" w:ascii="Times New Roman"/>
        <w:u w:val="none"/>
      </w:rPr>
    </w:lvl>
    <w:lvl w:ilvl="7" w:tentative="0">
      <w:start w:val="1"/>
      <w:numFmt w:val="lowerLetter"/>
      <w:lvlText w:val="%8)"/>
      <w:lvlJc w:val="left"/>
      <w:pPr>
        <w:tabs>
          <w:tab w:val="left" w:pos="3840"/>
        </w:tabs>
        <w:ind w:left="3840" w:hanging="420"/>
      </w:pPr>
      <w:rPr>
        <w:rFonts w:hint="default" w:ascii="Times New Roman"/>
        <w:u w:val="none"/>
      </w:rPr>
    </w:lvl>
    <w:lvl w:ilvl="8" w:tentative="0">
      <w:start w:val="1"/>
      <w:numFmt w:val="lowerRoman"/>
      <w:lvlText w:val="%9."/>
      <w:lvlJc w:val="right"/>
      <w:pPr>
        <w:tabs>
          <w:tab w:val="left" w:pos="4260"/>
        </w:tabs>
        <w:ind w:left="4260" w:hanging="420"/>
      </w:pPr>
      <w:rPr>
        <w:rFonts w:hint="default" w:ascii="Times New Roman"/>
        <w:u w:val="none"/>
      </w:rPr>
    </w:lvl>
  </w:abstractNum>
  <w:abstractNum w:abstractNumId="5">
    <w:nsid w:val="00000013"/>
    <w:multiLevelType w:val="singleLevel"/>
    <w:tmpl w:val="00000013"/>
    <w:lvl w:ilvl="0" w:tentative="0">
      <w:start w:val="1"/>
      <w:numFmt w:val="decimal"/>
      <w:lvlText w:val="%1."/>
      <w:lvlJc w:val="left"/>
      <w:pPr>
        <w:tabs>
          <w:tab w:val="left" w:pos="210"/>
        </w:tabs>
        <w:ind w:left="210" w:hanging="210"/>
      </w:pPr>
      <w:rPr>
        <w:rFonts w:hint="default" w:ascii="Times New Roman"/>
      </w:rPr>
    </w:lvl>
  </w:abstractNum>
  <w:abstractNum w:abstractNumId="6">
    <w:nsid w:val="049DAA76"/>
    <w:multiLevelType w:val="singleLevel"/>
    <w:tmpl w:val="049DAA76"/>
    <w:lvl w:ilvl="0" w:tentative="0">
      <w:start w:val="1"/>
      <w:numFmt w:val="decimal"/>
      <w:suff w:val="nothing"/>
      <w:lvlText w:val="%1、"/>
      <w:lvlJc w:val="left"/>
    </w:lvl>
  </w:abstractNum>
  <w:abstractNum w:abstractNumId="7">
    <w:nsid w:val="085007CF"/>
    <w:multiLevelType w:val="multilevel"/>
    <w:tmpl w:val="085007CF"/>
    <w:lvl w:ilvl="0" w:tentative="0">
      <w:start w:val="1"/>
      <w:numFmt w:val="decimal"/>
      <w:pStyle w:val="323"/>
      <w:lvlText w:val="%1."/>
      <w:lvlJc w:val="left"/>
      <w:pPr>
        <w:tabs>
          <w:tab w:val="left" w:pos="630"/>
        </w:tabs>
        <w:ind w:left="630" w:hanging="420"/>
      </w:pPr>
    </w:lvl>
    <w:lvl w:ilvl="1" w:tentative="0">
      <w:start w:val="1"/>
      <w:numFmt w:val="decimalEnclosedCircle"/>
      <w:lvlText w:val="%2"/>
      <w:lvlJc w:val="left"/>
      <w:pPr>
        <w:tabs>
          <w:tab w:val="left" w:pos="990"/>
        </w:tabs>
        <w:ind w:left="990" w:hanging="360"/>
      </w:pPr>
      <w:rPr>
        <w:rFonts w:hint="default"/>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8">
    <w:nsid w:val="18D02AF5"/>
    <w:multiLevelType w:val="singleLevel"/>
    <w:tmpl w:val="18D02AF5"/>
    <w:lvl w:ilvl="0" w:tentative="0">
      <w:start w:val="1"/>
      <w:numFmt w:val="decimal"/>
      <w:pStyle w:val="319"/>
      <w:lvlText w:val="（%1）"/>
      <w:lvlJc w:val="left"/>
      <w:pPr>
        <w:tabs>
          <w:tab w:val="left" w:pos="5115"/>
        </w:tabs>
        <w:ind w:left="5115" w:hanging="720"/>
      </w:pPr>
      <w:rPr>
        <w:rFonts w:hint="eastAsia"/>
        <w:b w:val="0"/>
        <w:color w:val="000000"/>
      </w:rPr>
    </w:lvl>
  </w:abstractNum>
  <w:abstractNum w:abstractNumId="9">
    <w:nsid w:val="2DBAC8D5"/>
    <w:multiLevelType w:val="singleLevel"/>
    <w:tmpl w:val="2DBAC8D5"/>
    <w:lvl w:ilvl="0" w:tentative="0">
      <w:start w:val="6"/>
      <w:numFmt w:val="chineseCounting"/>
      <w:suff w:val="space"/>
      <w:lvlText w:val="（%1）"/>
      <w:lvlJc w:val="left"/>
      <w:rPr>
        <w:rFonts w:hint="eastAsia"/>
      </w:rPr>
    </w:lvl>
  </w:abstractNum>
  <w:abstractNum w:abstractNumId="10">
    <w:nsid w:val="41DC48F5"/>
    <w:multiLevelType w:val="multilevel"/>
    <w:tmpl w:val="41DC48F5"/>
    <w:lvl w:ilvl="0" w:tentative="0">
      <w:start w:val="1"/>
      <w:numFmt w:val="decimal"/>
      <w:pStyle w:val="385"/>
      <w:lvlText w:val="%1．"/>
      <w:lvlJc w:val="left"/>
      <w:pPr>
        <w:tabs>
          <w:tab w:val="left" w:pos="898"/>
        </w:tabs>
        <w:ind w:left="898" w:hanging="720"/>
      </w:pPr>
      <w:rPr>
        <w:rFonts w:hint="eastAsia"/>
      </w:rPr>
    </w:lvl>
    <w:lvl w:ilvl="1" w:tentative="0">
      <w:start w:val="3"/>
      <w:numFmt w:val="decimal"/>
      <w:lvlText w:val="%2."/>
      <w:lvlJc w:val="left"/>
      <w:pPr>
        <w:tabs>
          <w:tab w:val="left" w:pos="958"/>
        </w:tabs>
        <w:ind w:left="958" w:hanging="360"/>
      </w:pPr>
      <w:rPr>
        <w:rFonts w:hint="default"/>
      </w:rPr>
    </w:lvl>
    <w:lvl w:ilvl="2" w:tentative="0">
      <w:start w:val="1"/>
      <w:numFmt w:val="decimalEnclosedCircle"/>
      <w:lvlText w:val="%3"/>
      <w:lvlJc w:val="left"/>
      <w:pPr>
        <w:tabs>
          <w:tab w:val="left" w:pos="1378"/>
        </w:tabs>
        <w:ind w:left="1378" w:hanging="360"/>
      </w:pPr>
      <w:rPr>
        <w:rFonts w:hint="default"/>
        <w:color w:val="auto"/>
      </w:r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11">
    <w:nsid w:val="43DDE582"/>
    <w:multiLevelType w:val="singleLevel"/>
    <w:tmpl w:val="43DDE582"/>
    <w:lvl w:ilvl="0" w:tentative="0">
      <w:start w:val="3"/>
      <w:numFmt w:val="decimal"/>
      <w:suff w:val="nothing"/>
      <w:lvlText w:val="（%1）"/>
      <w:lvlJc w:val="left"/>
    </w:lvl>
  </w:abstractNum>
  <w:abstractNum w:abstractNumId="12">
    <w:nsid w:val="477F1D9D"/>
    <w:multiLevelType w:val="multilevel"/>
    <w:tmpl w:val="477F1D9D"/>
    <w:lvl w:ilvl="0" w:tentative="0">
      <w:start w:val="1"/>
      <w:numFmt w:val="decimal"/>
      <w:pStyle w:val="35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F02533F"/>
    <w:multiLevelType w:val="multilevel"/>
    <w:tmpl w:val="4F02533F"/>
    <w:lvl w:ilvl="0" w:tentative="0">
      <w:start w:val="1"/>
      <w:numFmt w:val="decimal"/>
      <w:pStyle w:val="331"/>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510B6456"/>
    <w:multiLevelType w:val="singleLevel"/>
    <w:tmpl w:val="510B6456"/>
    <w:lvl w:ilvl="0" w:tentative="0">
      <w:start w:val="1"/>
      <w:numFmt w:val="decimal"/>
      <w:pStyle w:val="261"/>
      <w:lvlText w:val="%1．"/>
      <w:lvlJc w:val="left"/>
      <w:pPr>
        <w:tabs>
          <w:tab w:val="left" w:pos="552"/>
        </w:tabs>
        <w:ind w:left="552" w:hanging="420"/>
      </w:pPr>
      <w:rPr>
        <w:rFonts w:hint="eastAsia"/>
      </w:rPr>
    </w:lvl>
  </w:abstractNum>
  <w:abstractNum w:abstractNumId="15">
    <w:nsid w:val="5501BF78"/>
    <w:multiLevelType w:val="singleLevel"/>
    <w:tmpl w:val="5501BF78"/>
    <w:lvl w:ilvl="0" w:tentative="0">
      <w:start w:val="1"/>
      <w:numFmt w:val="chineseCounting"/>
      <w:suff w:val="nothing"/>
      <w:lvlText w:val="%1、"/>
      <w:lvlJc w:val="left"/>
      <w:rPr>
        <w:rFonts w:hint="eastAsia"/>
      </w:rPr>
    </w:lvl>
  </w:abstractNum>
  <w:abstractNum w:abstractNumId="16">
    <w:nsid w:val="5A408A6D"/>
    <w:multiLevelType w:val="singleLevel"/>
    <w:tmpl w:val="5A408A6D"/>
    <w:lvl w:ilvl="0" w:tentative="0">
      <w:start w:val="6"/>
      <w:numFmt w:val="chineseCounting"/>
      <w:suff w:val="space"/>
      <w:lvlText w:val="%1."/>
      <w:lvlJc w:val="left"/>
    </w:lvl>
  </w:abstractNum>
  <w:abstractNum w:abstractNumId="17">
    <w:nsid w:val="630C1BC3"/>
    <w:multiLevelType w:val="multilevel"/>
    <w:tmpl w:val="630C1BC3"/>
    <w:lvl w:ilvl="0" w:tentative="0">
      <w:start w:val="1"/>
      <w:numFmt w:val="decimal"/>
      <w:pStyle w:val="249"/>
      <w:lvlText w:val="%1."/>
      <w:lvlJc w:val="left"/>
      <w:pPr>
        <w:tabs>
          <w:tab w:val="left" w:pos="510"/>
        </w:tabs>
        <w:ind w:left="510" w:hanging="360"/>
      </w:pPr>
      <w:rPr>
        <w:rFonts w:hint="eastAsia"/>
      </w:rPr>
    </w:lvl>
    <w:lvl w:ilvl="1" w:tentative="0">
      <w:start w:val="1"/>
      <w:numFmt w:val="decimal"/>
      <w:pStyle w:val="463"/>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pStyle w:val="459"/>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1129"/>
        </w:tabs>
        <w:ind w:left="1129" w:hanging="420"/>
      </w:pPr>
      <w:rPr>
        <w:rFonts w:hint="eastAsia"/>
        <w:b/>
      </w:r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8">
    <w:nsid w:val="691E62C6"/>
    <w:multiLevelType w:val="multilevel"/>
    <w:tmpl w:val="691E62C6"/>
    <w:lvl w:ilvl="0" w:tentative="0">
      <w:start w:val="2"/>
      <w:numFmt w:val="japaneseCounting"/>
      <w:pStyle w:val="292"/>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356"/>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9">
    <w:nsid w:val="71D54D18"/>
    <w:multiLevelType w:val="multilevel"/>
    <w:tmpl w:val="71D54D18"/>
    <w:lvl w:ilvl="0" w:tentative="0">
      <w:start w:val="1"/>
      <w:numFmt w:val="upperLetter"/>
      <w:pStyle w:val="4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6E2B315"/>
    <w:multiLevelType w:val="singleLevel"/>
    <w:tmpl w:val="76E2B315"/>
    <w:lvl w:ilvl="0" w:tentative="0">
      <w:start w:val="1"/>
      <w:numFmt w:val="chineseCounting"/>
      <w:suff w:val="nothing"/>
      <w:lvlText w:val="%1、"/>
      <w:lvlJc w:val="left"/>
      <w:rPr>
        <w:rFonts w:hint="eastAsia"/>
      </w:rPr>
    </w:lvl>
  </w:abstractNum>
  <w:abstractNum w:abstractNumId="21">
    <w:nsid w:val="7A4340BD"/>
    <w:multiLevelType w:val="multilevel"/>
    <w:tmpl w:val="7A4340BD"/>
    <w:lvl w:ilvl="0" w:tentative="0">
      <w:start w:val="1"/>
      <w:numFmt w:val="japaneseCounting"/>
      <w:pStyle w:val="27"/>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color w:val="auto"/>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1"/>
  </w:num>
  <w:num w:numId="2">
    <w:abstractNumId w:val="19"/>
  </w:num>
  <w:num w:numId="3">
    <w:abstractNumId w:val="17"/>
  </w:num>
  <w:num w:numId="4">
    <w:abstractNumId w:val="14"/>
  </w:num>
  <w:num w:numId="5">
    <w:abstractNumId w:val="4"/>
  </w:num>
  <w:num w:numId="6">
    <w:abstractNumId w:val="18"/>
  </w:num>
  <w:num w:numId="7">
    <w:abstractNumId w:val="8"/>
  </w:num>
  <w:num w:numId="8">
    <w:abstractNumId w:val="7"/>
  </w:num>
  <w:num w:numId="9">
    <w:abstractNumId w:val="13"/>
  </w:num>
  <w:num w:numId="10">
    <w:abstractNumId w:val="12"/>
  </w:num>
  <w:num w:numId="11">
    <w:abstractNumId w:val="10"/>
  </w:num>
  <w:num w:numId="12">
    <w:abstractNumId w:val="9"/>
  </w:num>
  <w:num w:numId="13">
    <w:abstractNumId w:val="1"/>
  </w:num>
  <w:num w:numId="14">
    <w:abstractNumId w:val="11"/>
  </w:num>
  <w:num w:numId="15">
    <w:abstractNumId w:val="2"/>
  </w:num>
  <w:num w:numId="16">
    <w:abstractNumId w:val="6"/>
  </w:num>
  <w:num w:numId="17">
    <w:abstractNumId w:val="3"/>
  </w:num>
  <w:num w:numId="18">
    <w:abstractNumId w:val="20"/>
  </w:num>
  <w:num w:numId="19">
    <w:abstractNumId w:val="0"/>
  </w:num>
  <w:num w:numId="20">
    <w:abstractNumId w:val="16"/>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4"/>
  <w:drawingGridHorizontalSpacing w:val="105"/>
  <w:drawingGridVerticalSpacing w:val="156"/>
  <w:noPunctuationKerning w:val="1"/>
  <w:characterSpacingControl w:val="compressPunctuation"/>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000246"/>
    <w:rsid w:val="000014C2"/>
    <w:rsid w:val="000014DA"/>
    <w:rsid w:val="00001895"/>
    <w:rsid w:val="00001D91"/>
    <w:rsid w:val="000056BC"/>
    <w:rsid w:val="0000630B"/>
    <w:rsid w:val="000065EF"/>
    <w:rsid w:val="00006794"/>
    <w:rsid w:val="00006934"/>
    <w:rsid w:val="000071F0"/>
    <w:rsid w:val="0001078F"/>
    <w:rsid w:val="0001100D"/>
    <w:rsid w:val="0001120F"/>
    <w:rsid w:val="00011AF9"/>
    <w:rsid w:val="00012020"/>
    <w:rsid w:val="00012491"/>
    <w:rsid w:val="00012D2F"/>
    <w:rsid w:val="0001548A"/>
    <w:rsid w:val="00017331"/>
    <w:rsid w:val="00017AA6"/>
    <w:rsid w:val="00017B11"/>
    <w:rsid w:val="0002061B"/>
    <w:rsid w:val="00021216"/>
    <w:rsid w:val="000219B2"/>
    <w:rsid w:val="00022EDC"/>
    <w:rsid w:val="0002482E"/>
    <w:rsid w:val="00025048"/>
    <w:rsid w:val="00030174"/>
    <w:rsid w:val="00030D52"/>
    <w:rsid w:val="00031867"/>
    <w:rsid w:val="00031E18"/>
    <w:rsid w:val="00031F8B"/>
    <w:rsid w:val="0003286F"/>
    <w:rsid w:val="000329F7"/>
    <w:rsid w:val="0003469E"/>
    <w:rsid w:val="00034987"/>
    <w:rsid w:val="00034AF2"/>
    <w:rsid w:val="00035295"/>
    <w:rsid w:val="000355C6"/>
    <w:rsid w:val="00035F96"/>
    <w:rsid w:val="000408CF"/>
    <w:rsid w:val="0004115C"/>
    <w:rsid w:val="000433BF"/>
    <w:rsid w:val="00043493"/>
    <w:rsid w:val="0004445F"/>
    <w:rsid w:val="00044601"/>
    <w:rsid w:val="00044E6B"/>
    <w:rsid w:val="00044E87"/>
    <w:rsid w:val="00044F01"/>
    <w:rsid w:val="00044F9A"/>
    <w:rsid w:val="000478D6"/>
    <w:rsid w:val="000501C8"/>
    <w:rsid w:val="0005136C"/>
    <w:rsid w:val="00052B7A"/>
    <w:rsid w:val="00053B23"/>
    <w:rsid w:val="000548A4"/>
    <w:rsid w:val="00056196"/>
    <w:rsid w:val="00056756"/>
    <w:rsid w:val="00060084"/>
    <w:rsid w:val="000608B0"/>
    <w:rsid w:val="000643EF"/>
    <w:rsid w:val="00064CC2"/>
    <w:rsid w:val="00066A3F"/>
    <w:rsid w:val="0007029D"/>
    <w:rsid w:val="0007099D"/>
    <w:rsid w:val="00071496"/>
    <w:rsid w:val="00072ABD"/>
    <w:rsid w:val="000759A3"/>
    <w:rsid w:val="000763A3"/>
    <w:rsid w:val="00076DF9"/>
    <w:rsid w:val="00077478"/>
    <w:rsid w:val="00077694"/>
    <w:rsid w:val="00081773"/>
    <w:rsid w:val="00082263"/>
    <w:rsid w:val="000825D5"/>
    <w:rsid w:val="00082FEF"/>
    <w:rsid w:val="00084BB7"/>
    <w:rsid w:val="0008519B"/>
    <w:rsid w:val="000856A8"/>
    <w:rsid w:val="00085FF9"/>
    <w:rsid w:val="00086464"/>
    <w:rsid w:val="000865C4"/>
    <w:rsid w:val="00086FA5"/>
    <w:rsid w:val="00087E31"/>
    <w:rsid w:val="00090921"/>
    <w:rsid w:val="00091F59"/>
    <w:rsid w:val="00096F6E"/>
    <w:rsid w:val="000976F8"/>
    <w:rsid w:val="000A0558"/>
    <w:rsid w:val="000A4837"/>
    <w:rsid w:val="000A54CD"/>
    <w:rsid w:val="000A6345"/>
    <w:rsid w:val="000A720C"/>
    <w:rsid w:val="000B1DF3"/>
    <w:rsid w:val="000B2AC7"/>
    <w:rsid w:val="000B3C3A"/>
    <w:rsid w:val="000B43AD"/>
    <w:rsid w:val="000B7048"/>
    <w:rsid w:val="000B7523"/>
    <w:rsid w:val="000C074F"/>
    <w:rsid w:val="000C1AD6"/>
    <w:rsid w:val="000C29FD"/>
    <w:rsid w:val="000C30B7"/>
    <w:rsid w:val="000C5DDD"/>
    <w:rsid w:val="000C7ED2"/>
    <w:rsid w:val="000D15A8"/>
    <w:rsid w:val="000D1864"/>
    <w:rsid w:val="000D20D7"/>
    <w:rsid w:val="000D2D62"/>
    <w:rsid w:val="000D2FE0"/>
    <w:rsid w:val="000D3A01"/>
    <w:rsid w:val="000D3C7B"/>
    <w:rsid w:val="000D710D"/>
    <w:rsid w:val="000D7732"/>
    <w:rsid w:val="000E0166"/>
    <w:rsid w:val="000E0328"/>
    <w:rsid w:val="000E273E"/>
    <w:rsid w:val="000E57EB"/>
    <w:rsid w:val="000E68DC"/>
    <w:rsid w:val="000E6D14"/>
    <w:rsid w:val="000E769B"/>
    <w:rsid w:val="000E7D8B"/>
    <w:rsid w:val="000F16DF"/>
    <w:rsid w:val="000F426D"/>
    <w:rsid w:val="000F45CC"/>
    <w:rsid w:val="000F5283"/>
    <w:rsid w:val="00100435"/>
    <w:rsid w:val="001010A7"/>
    <w:rsid w:val="0010141E"/>
    <w:rsid w:val="0010279C"/>
    <w:rsid w:val="00102AEA"/>
    <w:rsid w:val="00103597"/>
    <w:rsid w:val="001054F2"/>
    <w:rsid w:val="0010568B"/>
    <w:rsid w:val="0010587C"/>
    <w:rsid w:val="00105E8B"/>
    <w:rsid w:val="00105EAB"/>
    <w:rsid w:val="001066B8"/>
    <w:rsid w:val="00107468"/>
    <w:rsid w:val="00107877"/>
    <w:rsid w:val="00107C4D"/>
    <w:rsid w:val="00110500"/>
    <w:rsid w:val="00110A4F"/>
    <w:rsid w:val="00110CB5"/>
    <w:rsid w:val="00112371"/>
    <w:rsid w:val="0011265F"/>
    <w:rsid w:val="00115274"/>
    <w:rsid w:val="001157CA"/>
    <w:rsid w:val="00115ACD"/>
    <w:rsid w:val="00115D18"/>
    <w:rsid w:val="00116E1A"/>
    <w:rsid w:val="001208F9"/>
    <w:rsid w:val="001210AF"/>
    <w:rsid w:val="0012174B"/>
    <w:rsid w:val="001230A5"/>
    <w:rsid w:val="00124001"/>
    <w:rsid w:val="001248E0"/>
    <w:rsid w:val="0013149A"/>
    <w:rsid w:val="00132CBB"/>
    <w:rsid w:val="00132D94"/>
    <w:rsid w:val="00134B79"/>
    <w:rsid w:val="001359CF"/>
    <w:rsid w:val="00136097"/>
    <w:rsid w:val="00140BF2"/>
    <w:rsid w:val="001415E2"/>
    <w:rsid w:val="00142449"/>
    <w:rsid w:val="00144012"/>
    <w:rsid w:val="0014471F"/>
    <w:rsid w:val="0014624B"/>
    <w:rsid w:val="00146995"/>
    <w:rsid w:val="001502C7"/>
    <w:rsid w:val="00150A69"/>
    <w:rsid w:val="00150FF5"/>
    <w:rsid w:val="0015196B"/>
    <w:rsid w:val="001523E3"/>
    <w:rsid w:val="00153F29"/>
    <w:rsid w:val="00154539"/>
    <w:rsid w:val="00154CC4"/>
    <w:rsid w:val="001560CD"/>
    <w:rsid w:val="00157803"/>
    <w:rsid w:val="00157E96"/>
    <w:rsid w:val="00160DA1"/>
    <w:rsid w:val="001613F9"/>
    <w:rsid w:val="0016243C"/>
    <w:rsid w:val="0016340B"/>
    <w:rsid w:val="0016356D"/>
    <w:rsid w:val="0016484D"/>
    <w:rsid w:val="0016602F"/>
    <w:rsid w:val="001660E1"/>
    <w:rsid w:val="0016662B"/>
    <w:rsid w:val="00166CBC"/>
    <w:rsid w:val="001673F6"/>
    <w:rsid w:val="00170996"/>
    <w:rsid w:val="001713BF"/>
    <w:rsid w:val="0017221A"/>
    <w:rsid w:val="0017270C"/>
    <w:rsid w:val="00172A27"/>
    <w:rsid w:val="0017312D"/>
    <w:rsid w:val="0017596C"/>
    <w:rsid w:val="00175BFC"/>
    <w:rsid w:val="001763FE"/>
    <w:rsid w:val="001777FF"/>
    <w:rsid w:val="00180CAF"/>
    <w:rsid w:val="00181224"/>
    <w:rsid w:val="001815DB"/>
    <w:rsid w:val="00181B67"/>
    <w:rsid w:val="00182354"/>
    <w:rsid w:val="00182440"/>
    <w:rsid w:val="00182C5C"/>
    <w:rsid w:val="00182EA3"/>
    <w:rsid w:val="0018306A"/>
    <w:rsid w:val="001832CD"/>
    <w:rsid w:val="00183AC1"/>
    <w:rsid w:val="001845F0"/>
    <w:rsid w:val="00186390"/>
    <w:rsid w:val="001908B5"/>
    <w:rsid w:val="00191416"/>
    <w:rsid w:val="00191BA6"/>
    <w:rsid w:val="0019321B"/>
    <w:rsid w:val="001948E5"/>
    <w:rsid w:val="00194EA9"/>
    <w:rsid w:val="001951EA"/>
    <w:rsid w:val="00196529"/>
    <w:rsid w:val="00196546"/>
    <w:rsid w:val="00196FFC"/>
    <w:rsid w:val="001976F6"/>
    <w:rsid w:val="001A16F2"/>
    <w:rsid w:val="001A17D5"/>
    <w:rsid w:val="001A1F5E"/>
    <w:rsid w:val="001A3575"/>
    <w:rsid w:val="001A3AE9"/>
    <w:rsid w:val="001A3ECC"/>
    <w:rsid w:val="001A452D"/>
    <w:rsid w:val="001A47EB"/>
    <w:rsid w:val="001A5089"/>
    <w:rsid w:val="001A560F"/>
    <w:rsid w:val="001A5F64"/>
    <w:rsid w:val="001A7BDA"/>
    <w:rsid w:val="001B02F4"/>
    <w:rsid w:val="001B19A9"/>
    <w:rsid w:val="001B2BFD"/>
    <w:rsid w:val="001B2D81"/>
    <w:rsid w:val="001B2DB5"/>
    <w:rsid w:val="001B3378"/>
    <w:rsid w:val="001B378E"/>
    <w:rsid w:val="001B3FB8"/>
    <w:rsid w:val="001B50DB"/>
    <w:rsid w:val="001B521B"/>
    <w:rsid w:val="001B794E"/>
    <w:rsid w:val="001B7B0B"/>
    <w:rsid w:val="001C0910"/>
    <w:rsid w:val="001C1009"/>
    <w:rsid w:val="001C2C69"/>
    <w:rsid w:val="001C3B20"/>
    <w:rsid w:val="001C3ECA"/>
    <w:rsid w:val="001C4C0C"/>
    <w:rsid w:val="001C5234"/>
    <w:rsid w:val="001C77A9"/>
    <w:rsid w:val="001C77DE"/>
    <w:rsid w:val="001D0B41"/>
    <w:rsid w:val="001D2B89"/>
    <w:rsid w:val="001D3A01"/>
    <w:rsid w:val="001D3FC1"/>
    <w:rsid w:val="001D4EA7"/>
    <w:rsid w:val="001D68B4"/>
    <w:rsid w:val="001D6C06"/>
    <w:rsid w:val="001D75CF"/>
    <w:rsid w:val="001E0125"/>
    <w:rsid w:val="001E154F"/>
    <w:rsid w:val="001E33CA"/>
    <w:rsid w:val="001E3AC2"/>
    <w:rsid w:val="001E3C79"/>
    <w:rsid w:val="001E527E"/>
    <w:rsid w:val="001E7456"/>
    <w:rsid w:val="001E773C"/>
    <w:rsid w:val="001E7F04"/>
    <w:rsid w:val="001F11D1"/>
    <w:rsid w:val="001F133B"/>
    <w:rsid w:val="001F1DDE"/>
    <w:rsid w:val="001F25F7"/>
    <w:rsid w:val="001F31E1"/>
    <w:rsid w:val="0020143F"/>
    <w:rsid w:val="00202489"/>
    <w:rsid w:val="00203885"/>
    <w:rsid w:val="00205827"/>
    <w:rsid w:val="0020594E"/>
    <w:rsid w:val="0020609C"/>
    <w:rsid w:val="00207130"/>
    <w:rsid w:val="00212598"/>
    <w:rsid w:val="0021273C"/>
    <w:rsid w:val="00213322"/>
    <w:rsid w:val="00215D07"/>
    <w:rsid w:val="00215F12"/>
    <w:rsid w:val="0021698B"/>
    <w:rsid w:val="002171CA"/>
    <w:rsid w:val="002207BB"/>
    <w:rsid w:val="00222DDA"/>
    <w:rsid w:val="00223B2A"/>
    <w:rsid w:val="00224B27"/>
    <w:rsid w:val="00226038"/>
    <w:rsid w:val="0022650D"/>
    <w:rsid w:val="00226A70"/>
    <w:rsid w:val="00226E06"/>
    <w:rsid w:val="002271AF"/>
    <w:rsid w:val="00227A8D"/>
    <w:rsid w:val="00227AAD"/>
    <w:rsid w:val="00230148"/>
    <w:rsid w:val="00231E86"/>
    <w:rsid w:val="002348B8"/>
    <w:rsid w:val="002349E8"/>
    <w:rsid w:val="0023659E"/>
    <w:rsid w:val="002371A1"/>
    <w:rsid w:val="00237212"/>
    <w:rsid w:val="0024070E"/>
    <w:rsid w:val="00241A24"/>
    <w:rsid w:val="002422C2"/>
    <w:rsid w:val="00242D22"/>
    <w:rsid w:val="00243183"/>
    <w:rsid w:val="002440C5"/>
    <w:rsid w:val="00250590"/>
    <w:rsid w:val="00251A93"/>
    <w:rsid w:val="00251A9C"/>
    <w:rsid w:val="00251EA8"/>
    <w:rsid w:val="002529C9"/>
    <w:rsid w:val="00252E5E"/>
    <w:rsid w:val="0025328C"/>
    <w:rsid w:val="00253F22"/>
    <w:rsid w:val="00254319"/>
    <w:rsid w:val="00254384"/>
    <w:rsid w:val="00254844"/>
    <w:rsid w:val="00255879"/>
    <w:rsid w:val="0025660D"/>
    <w:rsid w:val="00262F22"/>
    <w:rsid w:val="00264143"/>
    <w:rsid w:val="00264228"/>
    <w:rsid w:val="00264318"/>
    <w:rsid w:val="00265B41"/>
    <w:rsid w:val="00266413"/>
    <w:rsid w:val="00266756"/>
    <w:rsid w:val="00267604"/>
    <w:rsid w:val="00267ADA"/>
    <w:rsid w:val="002724CB"/>
    <w:rsid w:val="0027257A"/>
    <w:rsid w:val="00273E72"/>
    <w:rsid w:val="002742EE"/>
    <w:rsid w:val="00275BBB"/>
    <w:rsid w:val="00275E3C"/>
    <w:rsid w:val="00276963"/>
    <w:rsid w:val="00276AB8"/>
    <w:rsid w:val="00277198"/>
    <w:rsid w:val="00277F9B"/>
    <w:rsid w:val="00277FA8"/>
    <w:rsid w:val="00280064"/>
    <w:rsid w:val="00280BD9"/>
    <w:rsid w:val="00282CE9"/>
    <w:rsid w:val="0028404B"/>
    <w:rsid w:val="0028449A"/>
    <w:rsid w:val="0028480A"/>
    <w:rsid w:val="00284B29"/>
    <w:rsid w:val="00284E72"/>
    <w:rsid w:val="002857EC"/>
    <w:rsid w:val="00286DC7"/>
    <w:rsid w:val="00286ED3"/>
    <w:rsid w:val="00287F47"/>
    <w:rsid w:val="00290BA9"/>
    <w:rsid w:val="0029258A"/>
    <w:rsid w:val="002943CC"/>
    <w:rsid w:val="002949B9"/>
    <w:rsid w:val="0029586F"/>
    <w:rsid w:val="00296386"/>
    <w:rsid w:val="002964E4"/>
    <w:rsid w:val="002A02BF"/>
    <w:rsid w:val="002A32B9"/>
    <w:rsid w:val="002A392C"/>
    <w:rsid w:val="002A4751"/>
    <w:rsid w:val="002A4BF5"/>
    <w:rsid w:val="002A4E00"/>
    <w:rsid w:val="002A5832"/>
    <w:rsid w:val="002A6E33"/>
    <w:rsid w:val="002B0A21"/>
    <w:rsid w:val="002B1A30"/>
    <w:rsid w:val="002B1F38"/>
    <w:rsid w:val="002B245F"/>
    <w:rsid w:val="002B2828"/>
    <w:rsid w:val="002B31D9"/>
    <w:rsid w:val="002B3204"/>
    <w:rsid w:val="002B5169"/>
    <w:rsid w:val="002B5909"/>
    <w:rsid w:val="002B5C6C"/>
    <w:rsid w:val="002B6AC8"/>
    <w:rsid w:val="002B7C1F"/>
    <w:rsid w:val="002C07CF"/>
    <w:rsid w:val="002C08CB"/>
    <w:rsid w:val="002C0C6B"/>
    <w:rsid w:val="002C19AF"/>
    <w:rsid w:val="002C1B08"/>
    <w:rsid w:val="002C2F5C"/>
    <w:rsid w:val="002C35FA"/>
    <w:rsid w:val="002C4520"/>
    <w:rsid w:val="002C46CB"/>
    <w:rsid w:val="002C4772"/>
    <w:rsid w:val="002C6EC9"/>
    <w:rsid w:val="002C75D2"/>
    <w:rsid w:val="002C7C4C"/>
    <w:rsid w:val="002C7DBE"/>
    <w:rsid w:val="002D0218"/>
    <w:rsid w:val="002D0923"/>
    <w:rsid w:val="002D20FC"/>
    <w:rsid w:val="002D39F7"/>
    <w:rsid w:val="002D4374"/>
    <w:rsid w:val="002D514E"/>
    <w:rsid w:val="002D54A9"/>
    <w:rsid w:val="002D6224"/>
    <w:rsid w:val="002D63B2"/>
    <w:rsid w:val="002D7DD3"/>
    <w:rsid w:val="002E02D7"/>
    <w:rsid w:val="002E0998"/>
    <w:rsid w:val="002E13D9"/>
    <w:rsid w:val="002E15CE"/>
    <w:rsid w:val="002E1FD7"/>
    <w:rsid w:val="002E2E31"/>
    <w:rsid w:val="002E37D8"/>
    <w:rsid w:val="002E3B4A"/>
    <w:rsid w:val="002F0162"/>
    <w:rsid w:val="002F0DF6"/>
    <w:rsid w:val="002F106A"/>
    <w:rsid w:val="002F1E16"/>
    <w:rsid w:val="002F1F0C"/>
    <w:rsid w:val="002F2919"/>
    <w:rsid w:val="002F2C5B"/>
    <w:rsid w:val="002F2CDB"/>
    <w:rsid w:val="002F36F2"/>
    <w:rsid w:val="002F3CFA"/>
    <w:rsid w:val="002F47AB"/>
    <w:rsid w:val="002F6004"/>
    <w:rsid w:val="002F6D1C"/>
    <w:rsid w:val="002F6FCF"/>
    <w:rsid w:val="002F737D"/>
    <w:rsid w:val="002F76A5"/>
    <w:rsid w:val="00301905"/>
    <w:rsid w:val="00301A3A"/>
    <w:rsid w:val="00301AA5"/>
    <w:rsid w:val="00302BAC"/>
    <w:rsid w:val="003048CF"/>
    <w:rsid w:val="00304CA6"/>
    <w:rsid w:val="00305499"/>
    <w:rsid w:val="0030556D"/>
    <w:rsid w:val="00305A8F"/>
    <w:rsid w:val="00306291"/>
    <w:rsid w:val="003112FD"/>
    <w:rsid w:val="003113B7"/>
    <w:rsid w:val="00316352"/>
    <w:rsid w:val="0031676D"/>
    <w:rsid w:val="0031680F"/>
    <w:rsid w:val="003179A7"/>
    <w:rsid w:val="00321325"/>
    <w:rsid w:val="0032219A"/>
    <w:rsid w:val="003228FB"/>
    <w:rsid w:val="00322B44"/>
    <w:rsid w:val="00322DC5"/>
    <w:rsid w:val="00325503"/>
    <w:rsid w:val="003255AE"/>
    <w:rsid w:val="00325773"/>
    <w:rsid w:val="00325930"/>
    <w:rsid w:val="00325FF6"/>
    <w:rsid w:val="00326028"/>
    <w:rsid w:val="00327BFB"/>
    <w:rsid w:val="0033082F"/>
    <w:rsid w:val="00330A28"/>
    <w:rsid w:val="00330A73"/>
    <w:rsid w:val="00332574"/>
    <w:rsid w:val="00333562"/>
    <w:rsid w:val="00333E01"/>
    <w:rsid w:val="00334022"/>
    <w:rsid w:val="00334878"/>
    <w:rsid w:val="00334CD5"/>
    <w:rsid w:val="003357AA"/>
    <w:rsid w:val="00335C64"/>
    <w:rsid w:val="003400E8"/>
    <w:rsid w:val="0034072C"/>
    <w:rsid w:val="00341D78"/>
    <w:rsid w:val="00341F2A"/>
    <w:rsid w:val="003429AF"/>
    <w:rsid w:val="00342F27"/>
    <w:rsid w:val="00343267"/>
    <w:rsid w:val="00343640"/>
    <w:rsid w:val="0034382F"/>
    <w:rsid w:val="00343EB2"/>
    <w:rsid w:val="00344C87"/>
    <w:rsid w:val="00344EF7"/>
    <w:rsid w:val="00344FD0"/>
    <w:rsid w:val="00345BB6"/>
    <w:rsid w:val="00346B8F"/>
    <w:rsid w:val="0034780A"/>
    <w:rsid w:val="00347C17"/>
    <w:rsid w:val="0035066A"/>
    <w:rsid w:val="00353232"/>
    <w:rsid w:val="00353EE2"/>
    <w:rsid w:val="0035434B"/>
    <w:rsid w:val="00356D7D"/>
    <w:rsid w:val="003626D0"/>
    <w:rsid w:val="00365BEF"/>
    <w:rsid w:val="00367F0F"/>
    <w:rsid w:val="00370357"/>
    <w:rsid w:val="00370F74"/>
    <w:rsid w:val="00371465"/>
    <w:rsid w:val="0037406E"/>
    <w:rsid w:val="00374AF1"/>
    <w:rsid w:val="003755A7"/>
    <w:rsid w:val="003778C2"/>
    <w:rsid w:val="00377A00"/>
    <w:rsid w:val="00377B03"/>
    <w:rsid w:val="00383325"/>
    <w:rsid w:val="00383CA9"/>
    <w:rsid w:val="00384634"/>
    <w:rsid w:val="00384D4F"/>
    <w:rsid w:val="00385682"/>
    <w:rsid w:val="00385713"/>
    <w:rsid w:val="0038583E"/>
    <w:rsid w:val="0038680F"/>
    <w:rsid w:val="00386CF8"/>
    <w:rsid w:val="00387121"/>
    <w:rsid w:val="003871BD"/>
    <w:rsid w:val="0038781C"/>
    <w:rsid w:val="00387D87"/>
    <w:rsid w:val="003904D8"/>
    <w:rsid w:val="003912F4"/>
    <w:rsid w:val="00392EE8"/>
    <w:rsid w:val="0039567B"/>
    <w:rsid w:val="003963E7"/>
    <w:rsid w:val="00397A69"/>
    <w:rsid w:val="003A00C5"/>
    <w:rsid w:val="003A1A16"/>
    <w:rsid w:val="003A1D69"/>
    <w:rsid w:val="003A1E1A"/>
    <w:rsid w:val="003A2724"/>
    <w:rsid w:val="003A36CB"/>
    <w:rsid w:val="003A56EE"/>
    <w:rsid w:val="003A5DF3"/>
    <w:rsid w:val="003A7038"/>
    <w:rsid w:val="003A722F"/>
    <w:rsid w:val="003B0254"/>
    <w:rsid w:val="003B0A78"/>
    <w:rsid w:val="003B21B4"/>
    <w:rsid w:val="003B2682"/>
    <w:rsid w:val="003B2730"/>
    <w:rsid w:val="003B2AF1"/>
    <w:rsid w:val="003B5AEB"/>
    <w:rsid w:val="003C00DF"/>
    <w:rsid w:val="003C0D78"/>
    <w:rsid w:val="003C1BF8"/>
    <w:rsid w:val="003C2000"/>
    <w:rsid w:val="003C2631"/>
    <w:rsid w:val="003C46B5"/>
    <w:rsid w:val="003C4C44"/>
    <w:rsid w:val="003C6943"/>
    <w:rsid w:val="003C6D60"/>
    <w:rsid w:val="003C7495"/>
    <w:rsid w:val="003C75E3"/>
    <w:rsid w:val="003C78AA"/>
    <w:rsid w:val="003D013C"/>
    <w:rsid w:val="003D15FF"/>
    <w:rsid w:val="003D30E5"/>
    <w:rsid w:val="003D382D"/>
    <w:rsid w:val="003D39D9"/>
    <w:rsid w:val="003D3D26"/>
    <w:rsid w:val="003D4358"/>
    <w:rsid w:val="003D5894"/>
    <w:rsid w:val="003D6E16"/>
    <w:rsid w:val="003E0460"/>
    <w:rsid w:val="003E0A7E"/>
    <w:rsid w:val="003E0FEE"/>
    <w:rsid w:val="003E135D"/>
    <w:rsid w:val="003E1AC0"/>
    <w:rsid w:val="003E2274"/>
    <w:rsid w:val="003E2645"/>
    <w:rsid w:val="003E2EFF"/>
    <w:rsid w:val="003E3CAD"/>
    <w:rsid w:val="003E3DE0"/>
    <w:rsid w:val="003E4DCE"/>
    <w:rsid w:val="003E6469"/>
    <w:rsid w:val="003E7D21"/>
    <w:rsid w:val="003E7E35"/>
    <w:rsid w:val="003F0265"/>
    <w:rsid w:val="003F0394"/>
    <w:rsid w:val="003F18A7"/>
    <w:rsid w:val="003F2583"/>
    <w:rsid w:val="003F2A92"/>
    <w:rsid w:val="003F379F"/>
    <w:rsid w:val="003F412C"/>
    <w:rsid w:val="003F47A8"/>
    <w:rsid w:val="003F5ECE"/>
    <w:rsid w:val="003F6F53"/>
    <w:rsid w:val="003F7187"/>
    <w:rsid w:val="004036EE"/>
    <w:rsid w:val="00403C92"/>
    <w:rsid w:val="00403D40"/>
    <w:rsid w:val="00404CA1"/>
    <w:rsid w:val="004076F7"/>
    <w:rsid w:val="00407754"/>
    <w:rsid w:val="004108B9"/>
    <w:rsid w:val="00411388"/>
    <w:rsid w:val="00411679"/>
    <w:rsid w:val="00412433"/>
    <w:rsid w:val="0041283B"/>
    <w:rsid w:val="00412B65"/>
    <w:rsid w:val="004137DC"/>
    <w:rsid w:val="004141A4"/>
    <w:rsid w:val="004151CD"/>
    <w:rsid w:val="004152E4"/>
    <w:rsid w:val="00415603"/>
    <w:rsid w:val="00415635"/>
    <w:rsid w:val="00415C12"/>
    <w:rsid w:val="00415DB4"/>
    <w:rsid w:val="004161AC"/>
    <w:rsid w:val="00416396"/>
    <w:rsid w:val="00416E3A"/>
    <w:rsid w:val="0041721B"/>
    <w:rsid w:val="00417412"/>
    <w:rsid w:val="00420C8A"/>
    <w:rsid w:val="00421022"/>
    <w:rsid w:val="00421E06"/>
    <w:rsid w:val="00421E75"/>
    <w:rsid w:val="00422670"/>
    <w:rsid w:val="004235E1"/>
    <w:rsid w:val="004239E3"/>
    <w:rsid w:val="00423F43"/>
    <w:rsid w:val="004245E2"/>
    <w:rsid w:val="00424C13"/>
    <w:rsid w:val="0042575B"/>
    <w:rsid w:val="00425880"/>
    <w:rsid w:val="00425AF2"/>
    <w:rsid w:val="004260E1"/>
    <w:rsid w:val="00430F2F"/>
    <w:rsid w:val="00431A41"/>
    <w:rsid w:val="00432284"/>
    <w:rsid w:val="00432CE6"/>
    <w:rsid w:val="00433985"/>
    <w:rsid w:val="004339C9"/>
    <w:rsid w:val="00435D96"/>
    <w:rsid w:val="00436CAB"/>
    <w:rsid w:val="004376F5"/>
    <w:rsid w:val="00440015"/>
    <w:rsid w:val="0044045C"/>
    <w:rsid w:val="0044067A"/>
    <w:rsid w:val="00441DFD"/>
    <w:rsid w:val="00441F79"/>
    <w:rsid w:val="00442B37"/>
    <w:rsid w:val="00443DB0"/>
    <w:rsid w:val="0044493A"/>
    <w:rsid w:val="004455D7"/>
    <w:rsid w:val="004455E9"/>
    <w:rsid w:val="0044616B"/>
    <w:rsid w:val="00447016"/>
    <w:rsid w:val="004510C7"/>
    <w:rsid w:val="00452642"/>
    <w:rsid w:val="00452ED0"/>
    <w:rsid w:val="00453129"/>
    <w:rsid w:val="004535D0"/>
    <w:rsid w:val="0045689B"/>
    <w:rsid w:val="00456CE4"/>
    <w:rsid w:val="00457863"/>
    <w:rsid w:val="00461E85"/>
    <w:rsid w:val="004628FF"/>
    <w:rsid w:val="004654D5"/>
    <w:rsid w:val="00470314"/>
    <w:rsid w:val="004710FA"/>
    <w:rsid w:val="00471BEE"/>
    <w:rsid w:val="00472AA5"/>
    <w:rsid w:val="004746F7"/>
    <w:rsid w:val="00474EDA"/>
    <w:rsid w:val="00475EFE"/>
    <w:rsid w:val="00476A6D"/>
    <w:rsid w:val="0047780E"/>
    <w:rsid w:val="00477911"/>
    <w:rsid w:val="00477B63"/>
    <w:rsid w:val="00477DD4"/>
    <w:rsid w:val="00480F7A"/>
    <w:rsid w:val="004816FF"/>
    <w:rsid w:val="00481C72"/>
    <w:rsid w:val="00482712"/>
    <w:rsid w:val="00483B7A"/>
    <w:rsid w:val="00484656"/>
    <w:rsid w:val="00484A5C"/>
    <w:rsid w:val="00484B4F"/>
    <w:rsid w:val="004878B4"/>
    <w:rsid w:val="00487FD0"/>
    <w:rsid w:val="004906E9"/>
    <w:rsid w:val="0049085C"/>
    <w:rsid w:val="004908A6"/>
    <w:rsid w:val="004920AF"/>
    <w:rsid w:val="00492989"/>
    <w:rsid w:val="004933A1"/>
    <w:rsid w:val="00493549"/>
    <w:rsid w:val="00493A67"/>
    <w:rsid w:val="00494325"/>
    <w:rsid w:val="0049616F"/>
    <w:rsid w:val="00496217"/>
    <w:rsid w:val="0049688E"/>
    <w:rsid w:val="004A0BFE"/>
    <w:rsid w:val="004A13C4"/>
    <w:rsid w:val="004A2719"/>
    <w:rsid w:val="004A3B89"/>
    <w:rsid w:val="004A4606"/>
    <w:rsid w:val="004A7201"/>
    <w:rsid w:val="004B0EE0"/>
    <w:rsid w:val="004B17D0"/>
    <w:rsid w:val="004B2821"/>
    <w:rsid w:val="004B321A"/>
    <w:rsid w:val="004B3382"/>
    <w:rsid w:val="004B368F"/>
    <w:rsid w:val="004B3A3C"/>
    <w:rsid w:val="004B3E6F"/>
    <w:rsid w:val="004C00C4"/>
    <w:rsid w:val="004C1F01"/>
    <w:rsid w:val="004C3C72"/>
    <w:rsid w:val="004C3EF3"/>
    <w:rsid w:val="004C5389"/>
    <w:rsid w:val="004C53EF"/>
    <w:rsid w:val="004C61C8"/>
    <w:rsid w:val="004C6AD9"/>
    <w:rsid w:val="004C76FD"/>
    <w:rsid w:val="004C7CF0"/>
    <w:rsid w:val="004D0D61"/>
    <w:rsid w:val="004D1ABB"/>
    <w:rsid w:val="004D367E"/>
    <w:rsid w:val="004D4036"/>
    <w:rsid w:val="004D405F"/>
    <w:rsid w:val="004D436F"/>
    <w:rsid w:val="004D47D9"/>
    <w:rsid w:val="004D497A"/>
    <w:rsid w:val="004D6130"/>
    <w:rsid w:val="004D68F4"/>
    <w:rsid w:val="004D7089"/>
    <w:rsid w:val="004E0140"/>
    <w:rsid w:val="004E1B36"/>
    <w:rsid w:val="004E2A41"/>
    <w:rsid w:val="004E3B28"/>
    <w:rsid w:val="004E4FDC"/>
    <w:rsid w:val="004E6A35"/>
    <w:rsid w:val="004E757F"/>
    <w:rsid w:val="004E7735"/>
    <w:rsid w:val="004F24E1"/>
    <w:rsid w:val="004F2751"/>
    <w:rsid w:val="004F2845"/>
    <w:rsid w:val="004F4219"/>
    <w:rsid w:val="004F493C"/>
    <w:rsid w:val="004F7E7C"/>
    <w:rsid w:val="0050310E"/>
    <w:rsid w:val="005035A3"/>
    <w:rsid w:val="005043BE"/>
    <w:rsid w:val="00504782"/>
    <w:rsid w:val="005049C3"/>
    <w:rsid w:val="005057C3"/>
    <w:rsid w:val="005061E6"/>
    <w:rsid w:val="00506618"/>
    <w:rsid w:val="00506F49"/>
    <w:rsid w:val="00510AA0"/>
    <w:rsid w:val="00510D9B"/>
    <w:rsid w:val="00511007"/>
    <w:rsid w:val="005111A3"/>
    <w:rsid w:val="005112B1"/>
    <w:rsid w:val="0051210C"/>
    <w:rsid w:val="00512214"/>
    <w:rsid w:val="00512B5D"/>
    <w:rsid w:val="00513506"/>
    <w:rsid w:val="00513630"/>
    <w:rsid w:val="00513825"/>
    <w:rsid w:val="005141E4"/>
    <w:rsid w:val="0051660F"/>
    <w:rsid w:val="00516DA3"/>
    <w:rsid w:val="005171F7"/>
    <w:rsid w:val="005173C5"/>
    <w:rsid w:val="00517579"/>
    <w:rsid w:val="005232CE"/>
    <w:rsid w:val="005236D3"/>
    <w:rsid w:val="00523CA3"/>
    <w:rsid w:val="00526CAD"/>
    <w:rsid w:val="005276FF"/>
    <w:rsid w:val="00527D60"/>
    <w:rsid w:val="005307C0"/>
    <w:rsid w:val="00530C28"/>
    <w:rsid w:val="00532FFF"/>
    <w:rsid w:val="005333D8"/>
    <w:rsid w:val="00534673"/>
    <w:rsid w:val="00535374"/>
    <w:rsid w:val="00535A4C"/>
    <w:rsid w:val="00536330"/>
    <w:rsid w:val="00536EA5"/>
    <w:rsid w:val="00540043"/>
    <w:rsid w:val="00541533"/>
    <w:rsid w:val="00542B25"/>
    <w:rsid w:val="005437FF"/>
    <w:rsid w:val="00546579"/>
    <w:rsid w:val="00546A7D"/>
    <w:rsid w:val="0054759A"/>
    <w:rsid w:val="0055172E"/>
    <w:rsid w:val="005526F5"/>
    <w:rsid w:val="00553F84"/>
    <w:rsid w:val="005541E3"/>
    <w:rsid w:val="0055422E"/>
    <w:rsid w:val="00554DCC"/>
    <w:rsid w:val="005553F5"/>
    <w:rsid w:val="005557BF"/>
    <w:rsid w:val="00556E6A"/>
    <w:rsid w:val="0055733C"/>
    <w:rsid w:val="00557EEA"/>
    <w:rsid w:val="005600E2"/>
    <w:rsid w:val="00560767"/>
    <w:rsid w:val="005644CA"/>
    <w:rsid w:val="005648A1"/>
    <w:rsid w:val="00566461"/>
    <w:rsid w:val="00566BF6"/>
    <w:rsid w:val="00567001"/>
    <w:rsid w:val="005678D2"/>
    <w:rsid w:val="00567D6B"/>
    <w:rsid w:val="00567ECE"/>
    <w:rsid w:val="00567F6A"/>
    <w:rsid w:val="00570E7F"/>
    <w:rsid w:val="00572B17"/>
    <w:rsid w:val="00573CD9"/>
    <w:rsid w:val="00574FEE"/>
    <w:rsid w:val="005809C9"/>
    <w:rsid w:val="00580CE8"/>
    <w:rsid w:val="00581521"/>
    <w:rsid w:val="00582BA1"/>
    <w:rsid w:val="00586435"/>
    <w:rsid w:val="00587155"/>
    <w:rsid w:val="00591297"/>
    <w:rsid w:val="0059152A"/>
    <w:rsid w:val="00592F4A"/>
    <w:rsid w:val="005956C4"/>
    <w:rsid w:val="00597516"/>
    <w:rsid w:val="005976EA"/>
    <w:rsid w:val="00597DCA"/>
    <w:rsid w:val="005A07CD"/>
    <w:rsid w:val="005A272A"/>
    <w:rsid w:val="005A2874"/>
    <w:rsid w:val="005A4401"/>
    <w:rsid w:val="005A7C97"/>
    <w:rsid w:val="005B0CA6"/>
    <w:rsid w:val="005B1209"/>
    <w:rsid w:val="005B1E8F"/>
    <w:rsid w:val="005B2FF8"/>
    <w:rsid w:val="005B31C5"/>
    <w:rsid w:val="005B35F5"/>
    <w:rsid w:val="005B3C0C"/>
    <w:rsid w:val="005B3D8C"/>
    <w:rsid w:val="005B42D4"/>
    <w:rsid w:val="005B448A"/>
    <w:rsid w:val="005B5D2C"/>
    <w:rsid w:val="005B6265"/>
    <w:rsid w:val="005B65B7"/>
    <w:rsid w:val="005C100E"/>
    <w:rsid w:val="005C2A50"/>
    <w:rsid w:val="005C36B0"/>
    <w:rsid w:val="005C4183"/>
    <w:rsid w:val="005C4746"/>
    <w:rsid w:val="005D0E57"/>
    <w:rsid w:val="005D12C8"/>
    <w:rsid w:val="005D1F73"/>
    <w:rsid w:val="005D2476"/>
    <w:rsid w:val="005D3182"/>
    <w:rsid w:val="005D5752"/>
    <w:rsid w:val="005D71DA"/>
    <w:rsid w:val="005D76F1"/>
    <w:rsid w:val="005D7BCA"/>
    <w:rsid w:val="005E050C"/>
    <w:rsid w:val="005E28E7"/>
    <w:rsid w:val="005E39DA"/>
    <w:rsid w:val="005E552C"/>
    <w:rsid w:val="005E5610"/>
    <w:rsid w:val="005E5B7A"/>
    <w:rsid w:val="005E5C7B"/>
    <w:rsid w:val="005E5EE3"/>
    <w:rsid w:val="005E637D"/>
    <w:rsid w:val="005E690D"/>
    <w:rsid w:val="005E6AAC"/>
    <w:rsid w:val="005E712F"/>
    <w:rsid w:val="005E7C09"/>
    <w:rsid w:val="005F2CB1"/>
    <w:rsid w:val="005F327F"/>
    <w:rsid w:val="005F4D33"/>
    <w:rsid w:val="005F5166"/>
    <w:rsid w:val="005F7110"/>
    <w:rsid w:val="005F753A"/>
    <w:rsid w:val="00601002"/>
    <w:rsid w:val="006013D2"/>
    <w:rsid w:val="00602502"/>
    <w:rsid w:val="00603121"/>
    <w:rsid w:val="0060315E"/>
    <w:rsid w:val="0060355D"/>
    <w:rsid w:val="00606242"/>
    <w:rsid w:val="00606ADC"/>
    <w:rsid w:val="0061137D"/>
    <w:rsid w:val="00611684"/>
    <w:rsid w:val="00611F7A"/>
    <w:rsid w:val="00611FEC"/>
    <w:rsid w:val="00614AC4"/>
    <w:rsid w:val="00616A47"/>
    <w:rsid w:val="006173B6"/>
    <w:rsid w:val="00617C4E"/>
    <w:rsid w:val="00617F93"/>
    <w:rsid w:val="00620079"/>
    <w:rsid w:val="0062081D"/>
    <w:rsid w:val="006247EF"/>
    <w:rsid w:val="00630A25"/>
    <w:rsid w:val="00630AFB"/>
    <w:rsid w:val="00633DBD"/>
    <w:rsid w:val="00634733"/>
    <w:rsid w:val="00634F47"/>
    <w:rsid w:val="00635B15"/>
    <w:rsid w:val="00637024"/>
    <w:rsid w:val="00641E0D"/>
    <w:rsid w:val="0064428C"/>
    <w:rsid w:val="00644BC9"/>
    <w:rsid w:val="00645FE2"/>
    <w:rsid w:val="00647F86"/>
    <w:rsid w:val="00647F9D"/>
    <w:rsid w:val="00650094"/>
    <w:rsid w:val="0065021D"/>
    <w:rsid w:val="00650FD5"/>
    <w:rsid w:val="006512FF"/>
    <w:rsid w:val="0065185C"/>
    <w:rsid w:val="00651E00"/>
    <w:rsid w:val="00652592"/>
    <w:rsid w:val="0065357B"/>
    <w:rsid w:val="006539B0"/>
    <w:rsid w:val="00654264"/>
    <w:rsid w:val="0065489D"/>
    <w:rsid w:val="00654BE3"/>
    <w:rsid w:val="00655545"/>
    <w:rsid w:val="0065623F"/>
    <w:rsid w:val="00660842"/>
    <w:rsid w:val="006609C3"/>
    <w:rsid w:val="006609C4"/>
    <w:rsid w:val="00661105"/>
    <w:rsid w:val="00662505"/>
    <w:rsid w:val="0066311F"/>
    <w:rsid w:val="00663E84"/>
    <w:rsid w:val="00664E0F"/>
    <w:rsid w:val="0066576B"/>
    <w:rsid w:val="00665E70"/>
    <w:rsid w:val="00666D69"/>
    <w:rsid w:val="00667180"/>
    <w:rsid w:val="00667FE0"/>
    <w:rsid w:val="00670218"/>
    <w:rsid w:val="0067023F"/>
    <w:rsid w:val="00671075"/>
    <w:rsid w:val="006717D5"/>
    <w:rsid w:val="0067254F"/>
    <w:rsid w:val="0067310C"/>
    <w:rsid w:val="00673E20"/>
    <w:rsid w:val="006753C3"/>
    <w:rsid w:val="00675D76"/>
    <w:rsid w:val="0067634F"/>
    <w:rsid w:val="006766EE"/>
    <w:rsid w:val="006767DC"/>
    <w:rsid w:val="00676D5D"/>
    <w:rsid w:val="0067784B"/>
    <w:rsid w:val="006807AF"/>
    <w:rsid w:val="00680FEF"/>
    <w:rsid w:val="0068192F"/>
    <w:rsid w:val="00681B7F"/>
    <w:rsid w:val="006830EA"/>
    <w:rsid w:val="00683794"/>
    <w:rsid w:val="00684B5E"/>
    <w:rsid w:val="00684F94"/>
    <w:rsid w:val="00685444"/>
    <w:rsid w:val="00685779"/>
    <w:rsid w:val="006860AA"/>
    <w:rsid w:val="006862E4"/>
    <w:rsid w:val="00686C85"/>
    <w:rsid w:val="006875CD"/>
    <w:rsid w:val="006902E0"/>
    <w:rsid w:val="00691D3D"/>
    <w:rsid w:val="00694062"/>
    <w:rsid w:val="0069452C"/>
    <w:rsid w:val="006947B6"/>
    <w:rsid w:val="006947E1"/>
    <w:rsid w:val="00695D41"/>
    <w:rsid w:val="006964A4"/>
    <w:rsid w:val="0069747C"/>
    <w:rsid w:val="0069775A"/>
    <w:rsid w:val="006A14A6"/>
    <w:rsid w:val="006A2943"/>
    <w:rsid w:val="006A2FED"/>
    <w:rsid w:val="006A6D2B"/>
    <w:rsid w:val="006A6D6A"/>
    <w:rsid w:val="006A75B3"/>
    <w:rsid w:val="006B046A"/>
    <w:rsid w:val="006B19CA"/>
    <w:rsid w:val="006B28EC"/>
    <w:rsid w:val="006B4082"/>
    <w:rsid w:val="006B4E2B"/>
    <w:rsid w:val="006B53C7"/>
    <w:rsid w:val="006B6A97"/>
    <w:rsid w:val="006B6D9F"/>
    <w:rsid w:val="006C0233"/>
    <w:rsid w:val="006C0839"/>
    <w:rsid w:val="006C0F43"/>
    <w:rsid w:val="006C106C"/>
    <w:rsid w:val="006C26B5"/>
    <w:rsid w:val="006C332E"/>
    <w:rsid w:val="006C3B78"/>
    <w:rsid w:val="006D1843"/>
    <w:rsid w:val="006D24C0"/>
    <w:rsid w:val="006D306C"/>
    <w:rsid w:val="006D4A6C"/>
    <w:rsid w:val="006D61C4"/>
    <w:rsid w:val="006D65DA"/>
    <w:rsid w:val="006D72FF"/>
    <w:rsid w:val="006D730F"/>
    <w:rsid w:val="006D7725"/>
    <w:rsid w:val="006D7BF6"/>
    <w:rsid w:val="006E022C"/>
    <w:rsid w:val="006E0334"/>
    <w:rsid w:val="006E03DA"/>
    <w:rsid w:val="006E0588"/>
    <w:rsid w:val="006E1527"/>
    <w:rsid w:val="006E2744"/>
    <w:rsid w:val="006E4153"/>
    <w:rsid w:val="006E5C81"/>
    <w:rsid w:val="006E644A"/>
    <w:rsid w:val="006E66CF"/>
    <w:rsid w:val="006E7D97"/>
    <w:rsid w:val="006F0495"/>
    <w:rsid w:val="006F07C4"/>
    <w:rsid w:val="006F0B32"/>
    <w:rsid w:val="006F12D2"/>
    <w:rsid w:val="006F1B1F"/>
    <w:rsid w:val="006F232F"/>
    <w:rsid w:val="006F3373"/>
    <w:rsid w:val="006F47CA"/>
    <w:rsid w:val="006F51B0"/>
    <w:rsid w:val="006F5E2D"/>
    <w:rsid w:val="006F6B31"/>
    <w:rsid w:val="006F6B95"/>
    <w:rsid w:val="0070047F"/>
    <w:rsid w:val="007008CE"/>
    <w:rsid w:val="00701B1E"/>
    <w:rsid w:val="00701B45"/>
    <w:rsid w:val="00701C05"/>
    <w:rsid w:val="00701D28"/>
    <w:rsid w:val="0070447E"/>
    <w:rsid w:val="00704681"/>
    <w:rsid w:val="00704AE7"/>
    <w:rsid w:val="007053A8"/>
    <w:rsid w:val="007057F5"/>
    <w:rsid w:val="00705FD4"/>
    <w:rsid w:val="0070616A"/>
    <w:rsid w:val="00707572"/>
    <w:rsid w:val="00711518"/>
    <w:rsid w:val="0071582A"/>
    <w:rsid w:val="007159CD"/>
    <w:rsid w:val="00715EA7"/>
    <w:rsid w:val="00716D7E"/>
    <w:rsid w:val="0071711A"/>
    <w:rsid w:val="00717205"/>
    <w:rsid w:val="00717427"/>
    <w:rsid w:val="00717882"/>
    <w:rsid w:val="00721362"/>
    <w:rsid w:val="00724718"/>
    <w:rsid w:val="00725FD4"/>
    <w:rsid w:val="0072648B"/>
    <w:rsid w:val="0072663B"/>
    <w:rsid w:val="00731D56"/>
    <w:rsid w:val="00732E3E"/>
    <w:rsid w:val="007358F5"/>
    <w:rsid w:val="00735BDC"/>
    <w:rsid w:val="00736424"/>
    <w:rsid w:val="0073748A"/>
    <w:rsid w:val="00740BFF"/>
    <w:rsid w:val="00742C45"/>
    <w:rsid w:val="007431B9"/>
    <w:rsid w:val="00744616"/>
    <w:rsid w:val="00745CAB"/>
    <w:rsid w:val="00747DB3"/>
    <w:rsid w:val="00747E0A"/>
    <w:rsid w:val="00750395"/>
    <w:rsid w:val="007503C7"/>
    <w:rsid w:val="0075092F"/>
    <w:rsid w:val="00751D0F"/>
    <w:rsid w:val="00752880"/>
    <w:rsid w:val="00752B9B"/>
    <w:rsid w:val="00752C64"/>
    <w:rsid w:val="00753A03"/>
    <w:rsid w:val="00754DD3"/>
    <w:rsid w:val="00756228"/>
    <w:rsid w:val="00757F74"/>
    <w:rsid w:val="00761F57"/>
    <w:rsid w:val="00762188"/>
    <w:rsid w:val="0076284C"/>
    <w:rsid w:val="00763306"/>
    <w:rsid w:val="0076352E"/>
    <w:rsid w:val="00764F5D"/>
    <w:rsid w:val="00765417"/>
    <w:rsid w:val="007663E1"/>
    <w:rsid w:val="007666B6"/>
    <w:rsid w:val="007666E5"/>
    <w:rsid w:val="00770A95"/>
    <w:rsid w:val="0077153E"/>
    <w:rsid w:val="007716EF"/>
    <w:rsid w:val="00771C3E"/>
    <w:rsid w:val="007724CA"/>
    <w:rsid w:val="007726AD"/>
    <w:rsid w:val="00772E7C"/>
    <w:rsid w:val="00773007"/>
    <w:rsid w:val="0077405B"/>
    <w:rsid w:val="00774ACA"/>
    <w:rsid w:val="00777D0E"/>
    <w:rsid w:val="00777D12"/>
    <w:rsid w:val="00780BF0"/>
    <w:rsid w:val="00782A22"/>
    <w:rsid w:val="00783076"/>
    <w:rsid w:val="00783104"/>
    <w:rsid w:val="007834A4"/>
    <w:rsid w:val="00783AB3"/>
    <w:rsid w:val="00784015"/>
    <w:rsid w:val="007849B9"/>
    <w:rsid w:val="00784A71"/>
    <w:rsid w:val="00784C50"/>
    <w:rsid w:val="007862CF"/>
    <w:rsid w:val="00786A61"/>
    <w:rsid w:val="007873F4"/>
    <w:rsid w:val="00790589"/>
    <w:rsid w:val="00791757"/>
    <w:rsid w:val="00794070"/>
    <w:rsid w:val="00794D6E"/>
    <w:rsid w:val="00795073"/>
    <w:rsid w:val="007955F5"/>
    <w:rsid w:val="00795B1A"/>
    <w:rsid w:val="007961FE"/>
    <w:rsid w:val="007965A8"/>
    <w:rsid w:val="00796E30"/>
    <w:rsid w:val="007A10AF"/>
    <w:rsid w:val="007A1E75"/>
    <w:rsid w:val="007A2AF5"/>
    <w:rsid w:val="007A3325"/>
    <w:rsid w:val="007A4395"/>
    <w:rsid w:val="007A4B11"/>
    <w:rsid w:val="007A6700"/>
    <w:rsid w:val="007A6A8D"/>
    <w:rsid w:val="007A6F20"/>
    <w:rsid w:val="007B0391"/>
    <w:rsid w:val="007B0589"/>
    <w:rsid w:val="007B1A7C"/>
    <w:rsid w:val="007B23BA"/>
    <w:rsid w:val="007B2AC7"/>
    <w:rsid w:val="007B3C53"/>
    <w:rsid w:val="007B4535"/>
    <w:rsid w:val="007B621B"/>
    <w:rsid w:val="007B69B2"/>
    <w:rsid w:val="007C077D"/>
    <w:rsid w:val="007C0A81"/>
    <w:rsid w:val="007C1FF6"/>
    <w:rsid w:val="007C2D9E"/>
    <w:rsid w:val="007C3C0E"/>
    <w:rsid w:val="007C4B28"/>
    <w:rsid w:val="007C5C18"/>
    <w:rsid w:val="007C6854"/>
    <w:rsid w:val="007C7098"/>
    <w:rsid w:val="007C7A51"/>
    <w:rsid w:val="007D14D2"/>
    <w:rsid w:val="007D55E7"/>
    <w:rsid w:val="007D6299"/>
    <w:rsid w:val="007D7EB4"/>
    <w:rsid w:val="007E2288"/>
    <w:rsid w:val="007E3B09"/>
    <w:rsid w:val="007E6C57"/>
    <w:rsid w:val="007E6D7D"/>
    <w:rsid w:val="007E6F3A"/>
    <w:rsid w:val="007E7204"/>
    <w:rsid w:val="007E75B0"/>
    <w:rsid w:val="007E79C1"/>
    <w:rsid w:val="007E79FD"/>
    <w:rsid w:val="007F2B97"/>
    <w:rsid w:val="007F35B7"/>
    <w:rsid w:val="007F52C5"/>
    <w:rsid w:val="007F5BA9"/>
    <w:rsid w:val="007F5C77"/>
    <w:rsid w:val="007F6EEA"/>
    <w:rsid w:val="00800637"/>
    <w:rsid w:val="00801FD5"/>
    <w:rsid w:val="0080345A"/>
    <w:rsid w:val="00803BEF"/>
    <w:rsid w:val="008049C6"/>
    <w:rsid w:val="00805BB2"/>
    <w:rsid w:val="00810966"/>
    <w:rsid w:val="00811E9E"/>
    <w:rsid w:val="008129BA"/>
    <w:rsid w:val="00813DFD"/>
    <w:rsid w:val="00814559"/>
    <w:rsid w:val="00815626"/>
    <w:rsid w:val="00816169"/>
    <w:rsid w:val="00816C0C"/>
    <w:rsid w:val="0081767A"/>
    <w:rsid w:val="008203E3"/>
    <w:rsid w:val="00822FF0"/>
    <w:rsid w:val="00823CD2"/>
    <w:rsid w:val="00824263"/>
    <w:rsid w:val="0082439C"/>
    <w:rsid w:val="008248D5"/>
    <w:rsid w:val="008258E4"/>
    <w:rsid w:val="00825D80"/>
    <w:rsid w:val="00827838"/>
    <w:rsid w:val="00831163"/>
    <w:rsid w:val="0083141E"/>
    <w:rsid w:val="00831755"/>
    <w:rsid w:val="00832C91"/>
    <w:rsid w:val="008332BB"/>
    <w:rsid w:val="008335B1"/>
    <w:rsid w:val="00833707"/>
    <w:rsid w:val="00835BAE"/>
    <w:rsid w:val="00835FDA"/>
    <w:rsid w:val="00836DA2"/>
    <w:rsid w:val="00836EFF"/>
    <w:rsid w:val="00836F09"/>
    <w:rsid w:val="00840CA0"/>
    <w:rsid w:val="0084163E"/>
    <w:rsid w:val="00843641"/>
    <w:rsid w:val="00844710"/>
    <w:rsid w:val="00844A7E"/>
    <w:rsid w:val="00845CA8"/>
    <w:rsid w:val="00845CBB"/>
    <w:rsid w:val="008466C0"/>
    <w:rsid w:val="00846EDE"/>
    <w:rsid w:val="00850060"/>
    <w:rsid w:val="00850CE4"/>
    <w:rsid w:val="00850E7E"/>
    <w:rsid w:val="00851A5F"/>
    <w:rsid w:val="00851D57"/>
    <w:rsid w:val="0085216D"/>
    <w:rsid w:val="00852303"/>
    <w:rsid w:val="00853527"/>
    <w:rsid w:val="00854DB1"/>
    <w:rsid w:val="008626D0"/>
    <w:rsid w:val="008639C9"/>
    <w:rsid w:val="0086422F"/>
    <w:rsid w:val="0086471B"/>
    <w:rsid w:val="00864E92"/>
    <w:rsid w:val="00865575"/>
    <w:rsid w:val="008663A8"/>
    <w:rsid w:val="008677D9"/>
    <w:rsid w:val="00871210"/>
    <w:rsid w:val="008719AA"/>
    <w:rsid w:val="00871A7A"/>
    <w:rsid w:val="008735DE"/>
    <w:rsid w:val="0087369F"/>
    <w:rsid w:val="00873FF0"/>
    <w:rsid w:val="008774BA"/>
    <w:rsid w:val="00877D0C"/>
    <w:rsid w:val="008805D9"/>
    <w:rsid w:val="00884871"/>
    <w:rsid w:val="00884BAD"/>
    <w:rsid w:val="00885057"/>
    <w:rsid w:val="00885F27"/>
    <w:rsid w:val="00886784"/>
    <w:rsid w:val="00886812"/>
    <w:rsid w:val="00890432"/>
    <w:rsid w:val="008928BE"/>
    <w:rsid w:val="008930E9"/>
    <w:rsid w:val="008936D7"/>
    <w:rsid w:val="008968FF"/>
    <w:rsid w:val="008A00A4"/>
    <w:rsid w:val="008A3CA1"/>
    <w:rsid w:val="008A4233"/>
    <w:rsid w:val="008A6A82"/>
    <w:rsid w:val="008A6EC9"/>
    <w:rsid w:val="008A7AEB"/>
    <w:rsid w:val="008B0A66"/>
    <w:rsid w:val="008B1295"/>
    <w:rsid w:val="008B29D0"/>
    <w:rsid w:val="008B38BC"/>
    <w:rsid w:val="008B3D6D"/>
    <w:rsid w:val="008B58B6"/>
    <w:rsid w:val="008B6254"/>
    <w:rsid w:val="008B6320"/>
    <w:rsid w:val="008B7558"/>
    <w:rsid w:val="008B76F1"/>
    <w:rsid w:val="008B7ECD"/>
    <w:rsid w:val="008C0F12"/>
    <w:rsid w:val="008C175F"/>
    <w:rsid w:val="008C17D6"/>
    <w:rsid w:val="008C3098"/>
    <w:rsid w:val="008C3C46"/>
    <w:rsid w:val="008C4039"/>
    <w:rsid w:val="008C55E6"/>
    <w:rsid w:val="008C7C64"/>
    <w:rsid w:val="008C7FB5"/>
    <w:rsid w:val="008D0610"/>
    <w:rsid w:val="008D1078"/>
    <w:rsid w:val="008D1A47"/>
    <w:rsid w:val="008D1DCA"/>
    <w:rsid w:val="008D2F40"/>
    <w:rsid w:val="008D353E"/>
    <w:rsid w:val="008D3C06"/>
    <w:rsid w:val="008D3F88"/>
    <w:rsid w:val="008D4698"/>
    <w:rsid w:val="008D5206"/>
    <w:rsid w:val="008D5580"/>
    <w:rsid w:val="008D7BC2"/>
    <w:rsid w:val="008E04B4"/>
    <w:rsid w:val="008E139B"/>
    <w:rsid w:val="008E33DB"/>
    <w:rsid w:val="008E4311"/>
    <w:rsid w:val="008E668C"/>
    <w:rsid w:val="008E76A5"/>
    <w:rsid w:val="008F015E"/>
    <w:rsid w:val="008F08B7"/>
    <w:rsid w:val="008F0CEC"/>
    <w:rsid w:val="008F1585"/>
    <w:rsid w:val="008F1DF3"/>
    <w:rsid w:val="008F1FC2"/>
    <w:rsid w:val="008F2170"/>
    <w:rsid w:val="008F22F0"/>
    <w:rsid w:val="008F3E20"/>
    <w:rsid w:val="008F50E9"/>
    <w:rsid w:val="008F5FF5"/>
    <w:rsid w:val="008F77C6"/>
    <w:rsid w:val="008F7E13"/>
    <w:rsid w:val="009000C4"/>
    <w:rsid w:val="00900DAA"/>
    <w:rsid w:val="009020DA"/>
    <w:rsid w:val="0090338F"/>
    <w:rsid w:val="00903CAE"/>
    <w:rsid w:val="00903E7D"/>
    <w:rsid w:val="00905737"/>
    <w:rsid w:val="009068DF"/>
    <w:rsid w:val="00907931"/>
    <w:rsid w:val="00907C5E"/>
    <w:rsid w:val="00907D52"/>
    <w:rsid w:val="00910B9B"/>
    <w:rsid w:val="00911B98"/>
    <w:rsid w:val="00912127"/>
    <w:rsid w:val="00913AAB"/>
    <w:rsid w:val="00914E73"/>
    <w:rsid w:val="00914F0B"/>
    <w:rsid w:val="00914F5C"/>
    <w:rsid w:val="0091515C"/>
    <w:rsid w:val="0091553C"/>
    <w:rsid w:val="00916922"/>
    <w:rsid w:val="00916E5F"/>
    <w:rsid w:val="0091735D"/>
    <w:rsid w:val="0092228C"/>
    <w:rsid w:val="0092312A"/>
    <w:rsid w:val="00923531"/>
    <w:rsid w:val="0092450B"/>
    <w:rsid w:val="00924E09"/>
    <w:rsid w:val="009256BE"/>
    <w:rsid w:val="00926776"/>
    <w:rsid w:val="009275AF"/>
    <w:rsid w:val="00932E86"/>
    <w:rsid w:val="00933073"/>
    <w:rsid w:val="00936440"/>
    <w:rsid w:val="0093657E"/>
    <w:rsid w:val="009366E5"/>
    <w:rsid w:val="00936974"/>
    <w:rsid w:val="0093768F"/>
    <w:rsid w:val="009404D6"/>
    <w:rsid w:val="00941A79"/>
    <w:rsid w:val="00942766"/>
    <w:rsid w:val="009427C1"/>
    <w:rsid w:val="0094331B"/>
    <w:rsid w:val="00943640"/>
    <w:rsid w:val="009436D4"/>
    <w:rsid w:val="0094434D"/>
    <w:rsid w:val="00946A0A"/>
    <w:rsid w:val="00950C62"/>
    <w:rsid w:val="0095146E"/>
    <w:rsid w:val="009519FC"/>
    <w:rsid w:val="00953453"/>
    <w:rsid w:val="009551E6"/>
    <w:rsid w:val="00956968"/>
    <w:rsid w:val="00956ACD"/>
    <w:rsid w:val="00956F47"/>
    <w:rsid w:val="009576EE"/>
    <w:rsid w:val="00960530"/>
    <w:rsid w:val="00960923"/>
    <w:rsid w:val="00960C14"/>
    <w:rsid w:val="00962481"/>
    <w:rsid w:val="0096450B"/>
    <w:rsid w:val="00964610"/>
    <w:rsid w:val="00966FA1"/>
    <w:rsid w:val="00967FAF"/>
    <w:rsid w:val="00970431"/>
    <w:rsid w:val="00970986"/>
    <w:rsid w:val="0097527A"/>
    <w:rsid w:val="00975A16"/>
    <w:rsid w:val="0097604D"/>
    <w:rsid w:val="00976689"/>
    <w:rsid w:val="00977210"/>
    <w:rsid w:val="00980AA7"/>
    <w:rsid w:val="00980DC9"/>
    <w:rsid w:val="009842B2"/>
    <w:rsid w:val="00984AC1"/>
    <w:rsid w:val="009852B2"/>
    <w:rsid w:val="0098670D"/>
    <w:rsid w:val="00986872"/>
    <w:rsid w:val="00986998"/>
    <w:rsid w:val="00987C3D"/>
    <w:rsid w:val="00993756"/>
    <w:rsid w:val="00994F0E"/>
    <w:rsid w:val="009956C3"/>
    <w:rsid w:val="009956F5"/>
    <w:rsid w:val="00995CF5"/>
    <w:rsid w:val="0099648E"/>
    <w:rsid w:val="00996F30"/>
    <w:rsid w:val="00997B6F"/>
    <w:rsid w:val="009A1243"/>
    <w:rsid w:val="009A1364"/>
    <w:rsid w:val="009A282A"/>
    <w:rsid w:val="009A36AF"/>
    <w:rsid w:val="009A4114"/>
    <w:rsid w:val="009A57CC"/>
    <w:rsid w:val="009A5A28"/>
    <w:rsid w:val="009A5B3F"/>
    <w:rsid w:val="009A6E8A"/>
    <w:rsid w:val="009A6F53"/>
    <w:rsid w:val="009A7095"/>
    <w:rsid w:val="009B02D0"/>
    <w:rsid w:val="009B0444"/>
    <w:rsid w:val="009B17B9"/>
    <w:rsid w:val="009B3214"/>
    <w:rsid w:val="009B3987"/>
    <w:rsid w:val="009B3C71"/>
    <w:rsid w:val="009C035B"/>
    <w:rsid w:val="009C0A3C"/>
    <w:rsid w:val="009C1BCF"/>
    <w:rsid w:val="009C1D08"/>
    <w:rsid w:val="009C407D"/>
    <w:rsid w:val="009C54D4"/>
    <w:rsid w:val="009C5989"/>
    <w:rsid w:val="009C5A46"/>
    <w:rsid w:val="009C6097"/>
    <w:rsid w:val="009C60AE"/>
    <w:rsid w:val="009D037A"/>
    <w:rsid w:val="009D0FCB"/>
    <w:rsid w:val="009D1470"/>
    <w:rsid w:val="009D1D46"/>
    <w:rsid w:val="009D2B99"/>
    <w:rsid w:val="009D5374"/>
    <w:rsid w:val="009D559A"/>
    <w:rsid w:val="009D5C14"/>
    <w:rsid w:val="009D64F0"/>
    <w:rsid w:val="009D69C0"/>
    <w:rsid w:val="009D77CB"/>
    <w:rsid w:val="009E0638"/>
    <w:rsid w:val="009E0E0A"/>
    <w:rsid w:val="009E117E"/>
    <w:rsid w:val="009E36CB"/>
    <w:rsid w:val="009E3A43"/>
    <w:rsid w:val="009E3F54"/>
    <w:rsid w:val="009E456D"/>
    <w:rsid w:val="009E4AD0"/>
    <w:rsid w:val="009E5E25"/>
    <w:rsid w:val="009E6202"/>
    <w:rsid w:val="009E6AEC"/>
    <w:rsid w:val="009E7ED5"/>
    <w:rsid w:val="009F08A4"/>
    <w:rsid w:val="009F0C32"/>
    <w:rsid w:val="009F313C"/>
    <w:rsid w:val="009F5DCE"/>
    <w:rsid w:val="00A00686"/>
    <w:rsid w:val="00A01B2B"/>
    <w:rsid w:val="00A04278"/>
    <w:rsid w:val="00A04AA0"/>
    <w:rsid w:val="00A058EF"/>
    <w:rsid w:val="00A0620E"/>
    <w:rsid w:val="00A109F6"/>
    <w:rsid w:val="00A1346E"/>
    <w:rsid w:val="00A143D1"/>
    <w:rsid w:val="00A14421"/>
    <w:rsid w:val="00A160C5"/>
    <w:rsid w:val="00A167D4"/>
    <w:rsid w:val="00A17180"/>
    <w:rsid w:val="00A173DC"/>
    <w:rsid w:val="00A20CEF"/>
    <w:rsid w:val="00A20E5A"/>
    <w:rsid w:val="00A2172A"/>
    <w:rsid w:val="00A21E2E"/>
    <w:rsid w:val="00A22318"/>
    <w:rsid w:val="00A233F7"/>
    <w:rsid w:val="00A23A27"/>
    <w:rsid w:val="00A241AA"/>
    <w:rsid w:val="00A2470C"/>
    <w:rsid w:val="00A24807"/>
    <w:rsid w:val="00A301BD"/>
    <w:rsid w:val="00A31F07"/>
    <w:rsid w:val="00A3256C"/>
    <w:rsid w:val="00A33962"/>
    <w:rsid w:val="00A33F98"/>
    <w:rsid w:val="00A34367"/>
    <w:rsid w:val="00A35049"/>
    <w:rsid w:val="00A35879"/>
    <w:rsid w:val="00A36019"/>
    <w:rsid w:val="00A36A5C"/>
    <w:rsid w:val="00A37FAE"/>
    <w:rsid w:val="00A4200E"/>
    <w:rsid w:val="00A42260"/>
    <w:rsid w:val="00A46E5E"/>
    <w:rsid w:val="00A51A79"/>
    <w:rsid w:val="00A52805"/>
    <w:rsid w:val="00A533AA"/>
    <w:rsid w:val="00A543F8"/>
    <w:rsid w:val="00A561A2"/>
    <w:rsid w:val="00A57450"/>
    <w:rsid w:val="00A606DB"/>
    <w:rsid w:val="00A62B87"/>
    <w:rsid w:val="00A62E10"/>
    <w:rsid w:val="00A63D57"/>
    <w:rsid w:val="00A643F3"/>
    <w:rsid w:val="00A644EB"/>
    <w:rsid w:val="00A6483C"/>
    <w:rsid w:val="00A64978"/>
    <w:rsid w:val="00A64BD4"/>
    <w:rsid w:val="00A652D4"/>
    <w:rsid w:val="00A65740"/>
    <w:rsid w:val="00A6624A"/>
    <w:rsid w:val="00A67B9E"/>
    <w:rsid w:val="00A7033A"/>
    <w:rsid w:val="00A7046D"/>
    <w:rsid w:val="00A70998"/>
    <w:rsid w:val="00A717CE"/>
    <w:rsid w:val="00A7356D"/>
    <w:rsid w:val="00A73A47"/>
    <w:rsid w:val="00A741DC"/>
    <w:rsid w:val="00A74381"/>
    <w:rsid w:val="00A7466F"/>
    <w:rsid w:val="00A74FE6"/>
    <w:rsid w:val="00A75958"/>
    <w:rsid w:val="00A76099"/>
    <w:rsid w:val="00A775B3"/>
    <w:rsid w:val="00A77B15"/>
    <w:rsid w:val="00A77B78"/>
    <w:rsid w:val="00A82D2C"/>
    <w:rsid w:val="00A84D58"/>
    <w:rsid w:val="00A85A9C"/>
    <w:rsid w:val="00A86781"/>
    <w:rsid w:val="00A86CE9"/>
    <w:rsid w:val="00A87127"/>
    <w:rsid w:val="00A87379"/>
    <w:rsid w:val="00A87707"/>
    <w:rsid w:val="00A91649"/>
    <w:rsid w:val="00A918CC"/>
    <w:rsid w:val="00A91A81"/>
    <w:rsid w:val="00A923BE"/>
    <w:rsid w:val="00A925A5"/>
    <w:rsid w:val="00A954FD"/>
    <w:rsid w:val="00A95582"/>
    <w:rsid w:val="00A95729"/>
    <w:rsid w:val="00A959C9"/>
    <w:rsid w:val="00A9694C"/>
    <w:rsid w:val="00A977DC"/>
    <w:rsid w:val="00AA002C"/>
    <w:rsid w:val="00AA085A"/>
    <w:rsid w:val="00AA0CD9"/>
    <w:rsid w:val="00AA0F44"/>
    <w:rsid w:val="00AA0FEE"/>
    <w:rsid w:val="00AA16B5"/>
    <w:rsid w:val="00AA1F8A"/>
    <w:rsid w:val="00AA3526"/>
    <w:rsid w:val="00AA3984"/>
    <w:rsid w:val="00AA3C9A"/>
    <w:rsid w:val="00AA4968"/>
    <w:rsid w:val="00AA6825"/>
    <w:rsid w:val="00AA6E3D"/>
    <w:rsid w:val="00AA7DB5"/>
    <w:rsid w:val="00AB0108"/>
    <w:rsid w:val="00AB0C64"/>
    <w:rsid w:val="00AB10F5"/>
    <w:rsid w:val="00AB21C0"/>
    <w:rsid w:val="00AB22E7"/>
    <w:rsid w:val="00AB3831"/>
    <w:rsid w:val="00AB3E0F"/>
    <w:rsid w:val="00AB50BF"/>
    <w:rsid w:val="00AB6011"/>
    <w:rsid w:val="00AB667D"/>
    <w:rsid w:val="00AB74D2"/>
    <w:rsid w:val="00AC0F49"/>
    <w:rsid w:val="00AC1902"/>
    <w:rsid w:val="00AC1D8E"/>
    <w:rsid w:val="00AC3004"/>
    <w:rsid w:val="00AC3810"/>
    <w:rsid w:val="00AC4F9C"/>
    <w:rsid w:val="00AC58BA"/>
    <w:rsid w:val="00AD1896"/>
    <w:rsid w:val="00AD1F40"/>
    <w:rsid w:val="00AD3137"/>
    <w:rsid w:val="00AD3153"/>
    <w:rsid w:val="00AD3EDC"/>
    <w:rsid w:val="00AD4CDE"/>
    <w:rsid w:val="00AD53EF"/>
    <w:rsid w:val="00AD5DE4"/>
    <w:rsid w:val="00AD63AB"/>
    <w:rsid w:val="00AD6455"/>
    <w:rsid w:val="00AD6978"/>
    <w:rsid w:val="00AD6CF2"/>
    <w:rsid w:val="00AD7B9E"/>
    <w:rsid w:val="00AE05A3"/>
    <w:rsid w:val="00AE33BD"/>
    <w:rsid w:val="00AE3BD0"/>
    <w:rsid w:val="00AE4A60"/>
    <w:rsid w:val="00AE4D81"/>
    <w:rsid w:val="00AE51B3"/>
    <w:rsid w:val="00AE58CF"/>
    <w:rsid w:val="00AE6BAD"/>
    <w:rsid w:val="00AF0338"/>
    <w:rsid w:val="00AF03C0"/>
    <w:rsid w:val="00AF090A"/>
    <w:rsid w:val="00AF1F64"/>
    <w:rsid w:val="00AF29FF"/>
    <w:rsid w:val="00AF36D6"/>
    <w:rsid w:val="00AF3FBB"/>
    <w:rsid w:val="00AF55C1"/>
    <w:rsid w:val="00AF7F42"/>
    <w:rsid w:val="00B0061E"/>
    <w:rsid w:val="00B01F34"/>
    <w:rsid w:val="00B025B4"/>
    <w:rsid w:val="00B0291B"/>
    <w:rsid w:val="00B031E1"/>
    <w:rsid w:val="00B0381C"/>
    <w:rsid w:val="00B039BE"/>
    <w:rsid w:val="00B040D5"/>
    <w:rsid w:val="00B04606"/>
    <w:rsid w:val="00B047CF"/>
    <w:rsid w:val="00B059C6"/>
    <w:rsid w:val="00B06927"/>
    <w:rsid w:val="00B078EF"/>
    <w:rsid w:val="00B10A7E"/>
    <w:rsid w:val="00B10D04"/>
    <w:rsid w:val="00B10F01"/>
    <w:rsid w:val="00B11075"/>
    <w:rsid w:val="00B123BD"/>
    <w:rsid w:val="00B12686"/>
    <w:rsid w:val="00B13B8E"/>
    <w:rsid w:val="00B13ED6"/>
    <w:rsid w:val="00B15D2B"/>
    <w:rsid w:val="00B162BA"/>
    <w:rsid w:val="00B16780"/>
    <w:rsid w:val="00B16C1F"/>
    <w:rsid w:val="00B17832"/>
    <w:rsid w:val="00B178F8"/>
    <w:rsid w:val="00B17AE7"/>
    <w:rsid w:val="00B211CB"/>
    <w:rsid w:val="00B21DFF"/>
    <w:rsid w:val="00B22269"/>
    <w:rsid w:val="00B225F0"/>
    <w:rsid w:val="00B22AA1"/>
    <w:rsid w:val="00B2316C"/>
    <w:rsid w:val="00B2318E"/>
    <w:rsid w:val="00B231F1"/>
    <w:rsid w:val="00B23CF6"/>
    <w:rsid w:val="00B242FA"/>
    <w:rsid w:val="00B25B37"/>
    <w:rsid w:val="00B2637B"/>
    <w:rsid w:val="00B303C9"/>
    <w:rsid w:val="00B305D4"/>
    <w:rsid w:val="00B3107B"/>
    <w:rsid w:val="00B32CC4"/>
    <w:rsid w:val="00B32DE1"/>
    <w:rsid w:val="00B3404D"/>
    <w:rsid w:val="00B347C4"/>
    <w:rsid w:val="00B3560E"/>
    <w:rsid w:val="00B367AB"/>
    <w:rsid w:val="00B37200"/>
    <w:rsid w:val="00B37417"/>
    <w:rsid w:val="00B378A7"/>
    <w:rsid w:val="00B41A2B"/>
    <w:rsid w:val="00B41EBC"/>
    <w:rsid w:val="00B4210F"/>
    <w:rsid w:val="00B441D4"/>
    <w:rsid w:val="00B44E72"/>
    <w:rsid w:val="00B45360"/>
    <w:rsid w:val="00B45381"/>
    <w:rsid w:val="00B457B8"/>
    <w:rsid w:val="00B45907"/>
    <w:rsid w:val="00B4613B"/>
    <w:rsid w:val="00B47011"/>
    <w:rsid w:val="00B476C1"/>
    <w:rsid w:val="00B52047"/>
    <w:rsid w:val="00B53740"/>
    <w:rsid w:val="00B55B71"/>
    <w:rsid w:val="00B56428"/>
    <w:rsid w:val="00B573FC"/>
    <w:rsid w:val="00B578BF"/>
    <w:rsid w:val="00B61476"/>
    <w:rsid w:val="00B619B1"/>
    <w:rsid w:val="00B623DE"/>
    <w:rsid w:val="00B6242B"/>
    <w:rsid w:val="00B65228"/>
    <w:rsid w:val="00B661A0"/>
    <w:rsid w:val="00B667F6"/>
    <w:rsid w:val="00B66846"/>
    <w:rsid w:val="00B677C0"/>
    <w:rsid w:val="00B67D69"/>
    <w:rsid w:val="00B67F11"/>
    <w:rsid w:val="00B709DC"/>
    <w:rsid w:val="00B70E7C"/>
    <w:rsid w:val="00B70F66"/>
    <w:rsid w:val="00B70FF7"/>
    <w:rsid w:val="00B734C3"/>
    <w:rsid w:val="00B73818"/>
    <w:rsid w:val="00B73AC5"/>
    <w:rsid w:val="00B7441E"/>
    <w:rsid w:val="00B74B72"/>
    <w:rsid w:val="00B74FC4"/>
    <w:rsid w:val="00B7555B"/>
    <w:rsid w:val="00B8072F"/>
    <w:rsid w:val="00B81518"/>
    <w:rsid w:val="00B81957"/>
    <w:rsid w:val="00B81C96"/>
    <w:rsid w:val="00B83A16"/>
    <w:rsid w:val="00B84CE3"/>
    <w:rsid w:val="00B855C6"/>
    <w:rsid w:val="00B8566B"/>
    <w:rsid w:val="00B860B7"/>
    <w:rsid w:val="00B864B7"/>
    <w:rsid w:val="00B901B7"/>
    <w:rsid w:val="00B9115F"/>
    <w:rsid w:val="00B9261C"/>
    <w:rsid w:val="00B92AAB"/>
    <w:rsid w:val="00B92E8B"/>
    <w:rsid w:val="00B93B0E"/>
    <w:rsid w:val="00B940AB"/>
    <w:rsid w:val="00B94EB2"/>
    <w:rsid w:val="00B96C75"/>
    <w:rsid w:val="00BA00E9"/>
    <w:rsid w:val="00BA10F6"/>
    <w:rsid w:val="00BA1835"/>
    <w:rsid w:val="00BA2520"/>
    <w:rsid w:val="00BA2B99"/>
    <w:rsid w:val="00BA3F68"/>
    <w:rsid w:val="00BA5535"/>
    <w:rsid w:val="00BA5737"/>
    <w:rsid w:val="00BA5DE6"/>
    <w:rsid w:val="00BA693B"/>
    <w:rsid w:val="00BA6EE8"/>
    <w:rsid w:val="00BA705B"/>
    <w:rsid w:val="00BA7F6F"/>
    <w:rsid w:val="00BB057C"/>
    <w:rsid w:val="00BB0CBA"/>
    <w:rsid w:val="00BB0FA7"/>
    <w:rsid w:val="00BB2819"/>
    <w:rsid w:val="00BB2A79"/>
    <w:rsid w:val="00BB407A"/>
    <w:rsid w:val="00BB4BE6"/>
    <w:rsid w:val="00BB5111"/>
    <w:rsid w:val="00BB5414"/>
    <w:rsid w:val="00BB5AFF"/>
    <w:rsid w:val="00BB5C97"/>
    <w:rsid w:val="00BB6DD7"/>
    <w:rsid w:val="00BC0493"/>
    <w:rsid w:val="00BC0542"/>
    <w:rsid w:val="00BC0B0A"/>
    <w:rsid w:val="00BC1BF6"/>
    <w:rsid w:val="00BC241C"/>
    <w:rsid w:val="00BC2958"/>
    <w:rsid w:val="00BC295F"/>
    <w:rsid w:val="00BC372F"/>
    <w:rsid w:val="00BC3F4C"/>
    <w:rsid w:val="00BC45AD"/>
    <w:rsid w:val="00BC48BF"/>
    <w:rsid w:val="00BC63B9"/>
    <w:rsid w:val="00BC64BC"/>
    <w:rsid w:val="00BC685E"/>
    <w:rsid w:val="00BD0072"/>
    <w:rsid w:val="00BD1096"/>
    <w:rsid w:val="00BD1C71"/>
    <w:rsid w:val="00BD4A94"/>
    <w:rsid w:val="00BD4C68"/>
    <w:rsid w:val="00BD4D64"/>
    <w:rsid w:val="00BD639A"/>
    <w:rsid w:val="00BE093A"/>
    <w:rsid w:val="00BE1865"/>
    <w:rsid w:val="00BE1FAF"/>
    <w:rsid w:val="00BE22C2"/>
    <w:rsid w:val="00BE2CAE"/>
    <w:rsid w:val="00BE304C"/>
    <w:rsid w:val="00BE4502"/>
    <w:rsid w:val="00BE4CC9"/>
    <w:rsid w:val="00BE56C4"/>
    <w:rsid w:val="00BE65DC"/>
    <w:rsid w:val="00BE7451"/>
    <w:rsid w:val="00BF14E0"/>
    <w:rsid w:val="00BF22B7"/>
    <w:rsid w:val="00BF5703"/>
    <w:rsid w:val="00BF5803"/>
    <w:rsid w:val="00BF5D01"/>
    <w:rsid w:val="00BF651D"/>
    <w:rsid w:val="00BF6BD5"/>
    <w:rsid w:val="00BF6E0D"/>
    <w:rsid w:val="00BF6FE2"/>
    <w:rsid w:val="00BF70EB"/>
    <w:rsid w:val="00BF7755"/>
    <w:rsid w:val="00C0070A"/>
    <w:rsid w:val="00C0226C"/>
    <w:rsid w:val="00C02BDB"/>
    <w:rsid w:val="00C033DB"/>
    <w:rsid w:val="00C03E47"/>
    <w:rsid w:val="00C041D6"/>
    <w:rsid w:val="00C047C7"/>
    <w:rsid w:val="00C04938"/>
    <w:rsid w:val="00C04D10"/>
    <w:rsid w:val="00C04DFC"/>
    <w:rsid w:val="00C06123"/>
    <w:rsid w:val="00C1535C"/>
    <w:rsid w:val="00C16102"/>
    <w:rsid w:val="00C162A5"/>
    <w:rsid w:val="00C1648C"/>
    <w:rsid w:val="00C17472"/>
    <w:rsid w:val="00C17E72"/>
    <w:rsid w:val="00C21148"/>
    <w:rsid w:val="00C23A83"/>
    <w:rsid w:val="00C241B1"/>
    <w:rsid w:val="00C25BD7"/>
    <w:rsid w:val="00C27A32"/>
    <w:rsid w:val="00C30B61"/>
    <w:rsid w:val="00C31568"/>
    <w:rsid w:val="00C31875"/>
    <w:rsid w:val="00C33DBF"/>
    <w:rsid w:val="00C33F83"/>
    <w:rsid w:val="00C3541F"/>
    <w:rsid w:val="00C357AA"/>
    <w:rsid w:val="00C3686A"/>
    <w:rsid w:val="00C40178"/>
    <w:rsid w:val="00C4210D"/>
    <w:rsid w:val="00C42213"/>
    <w:rsid w:val="00C433D0"/>
    <w:rsid w:val="00C44136"/>
    <w:rsid w:val="00C47129"/>
    <w:rsid w:val="00C47630"/>
    <w:rsid w:val="00C47708"/>
    <w:rsid w:val="00C47EF1"/>
    <w:rsid w:val="00C518BD"/>
    <w:rsid w:val="00C51CAD"/>
    <w:rsid w:val="00C52EC7"/>
    <w:rsid w:val="00C55309"/>
    <w:rsid w:val="00C5588F"/>
    <w:rsid w:val="00C5636A"/>
    <w:rsid w:val="00C568AE"/>
    <w:rsid w:val="00C57536"/>
    <w:rsid w:val="00C578F8"/>
    <w:rsid w:val="00C60503"/>
    <w:rsid w:val="00C60B7F"/>
    <w:rsid w:val="00C60E14"/>
    <w:rsid w:val="00C64131"/>
    <w:rsid w:val="00C645EB"/>
    <w:rsid w:val="00C64F96"/>
    <w:rsid w:val="00C660C2"/>
    <w:rsid w:val="00C66B50"/>
    <w:rsid w:val="00C67507"/>
    <w:rsid w:val="00C7221F"/>
    <w:rsid w:val="00C7227C"/>
    <w:rsid w:val="00C72B99"/>
    <w:rsid w:val="00C76DB3"/>
    <w:rsid w:val="00C77EAD"/>
    <w:rsid w:val="00C80094"/>
    <w:rsid w:val="00C8139E"/>
    <w:rsid w:val="00C816AD"/>
    <w:rsid w:val="00C8275C"/>
    <w:rsid w:val="00C82830"/>
    <w:rsid w:val="00C83748"/>
    <w:rsid w:val="00C845F9"/>
    <w:rsid w:val="00C84B8A"/>
    <w:rsid w:val="00C8548F"/>
    <w:rsid w:val="00C90BB5"/>
    <w:rsid w:val="00C9231F"/>
    <w:rsid w:val="00C92AFC"/>
    <w:rsid w:val="00C93190"/>
    <w:rsid w:val="00C93D91"/>
    <w:rsid w:val="00C952E3"/>
    <w:rsid w:val="00C95C17"/>
    <w:rsid w:val="00CA0A8A"/>
    <w:rsid w:val="00CA115B"/>
    <w:rsid w:val="00CA1429"/>
    <w:rsid w:val="00CA1E81"/>
    <w:rsid w:val="00CA2BEA"/>
    <w:rsid w:val="00CA312B"/>
    <w:rsid w:val="00CA6488"/>
    <w:rsid w:val="00CA6508"/>
    <w:rsid w:val="00CA6A38"/>
    <w:rsid w:val="00CA6AF2"/>
    <w:rsid w:val="00CB1428"/>
    <w:rsid w:val="00CB14EC"/>
    <w:rsid w:val="00CB15EA"/>
    <w:rsid w:val="00CB2FC3"/>
    <w:rsid w:val="00CB35EB"/>
    <w:rsid w:val="00CB42BD"/>
    <w:rsid w:val="00CB5366"/>
    <w:rsid w:val="00CB5C8B"/>
    <w:rsid w:val="00CC0142"/>
    <w:rsid w:val="00CC1053"/>
    <w:rsid w:val="00CC1705"/>
    <w:rsid w:val="00CC2911"/>
    <w:rsid w:val="00CC60CE"/>
    <w:rsid w:val="00CC6621"/>
    <w:rsid w:val="00CC6ADE"/>
    <w:rsid w:val="00CC7D6F"/>
    <w:rsid w:val="00CD1511"/>
    <w:rsid w:val="00CD4FE9"/>
    <w:rsid w:val="00CD5275"/>
    <w:rsid w:val="00CD53B9"/>
    <w:rsid w:val="00CD5509"/>
    <w:rsid w:val="00CE0A13"/>
    <w:rsid w:val="00CE1B96"/>
    <w:rsid w:val="00CE1C65"/>
    <w:rsid w:val="00CE2BFB"/>
    <w:rsid w:val="00CE4739"/>
    <w:rsid w:val="00CE4977"/>
    <w:rsid w:val="00CE6129"/>
    <w:rsid w:val="00CE67A4"/>
    <w:rsid w:val="00CF0250"/>
    <w:rsid w:val="00CF2CC8"/>
    <w:rsid w:val="00CF477D"/>
    <w:rsid w:val="00CF4901"/>
    <w:rsid w:val="00CF4A7B"/>
    <w:rsid w:val="00CF52FD"/>
    <w:rsid w:val="00CF54C2"/>
    <w:rsid w:val="00CF61C3"/>
    <w:rsid w:val="00D0003E"/>
    <w:rsid w:val="00D0034D"/>
    <w:rsid w:val="00D004A7"/>
    <w:rsid w:val="00D0139E"/>
    <w:rsid w:val="00D01579"/>
    <w:rsid w:val="00D01782"/>
    <w:rsid w:val="00D0287C"/>
    <w:rsid w:val="00D02F22"/>
    <w:rsid w:val="00D04E2E"/>
    <w:rsid w:val="00D0617B"/>
    <w:rsid w:val="00D077CD"/>
    <w:rsid w:val="00D07E3B"/>
    <w:rsid w:val="00D1024B"/>
    <w:rsid w:val="00D103E8"/>
    <w:rsid w:val="00D10502"/>
    <w:rsid w:val="00D10DD6"/>
    <w:rsid w:val="00D10E14"/>
    <w:rsid w:val="00D135F2"/>
    <w:rsid w:val="00D14D53"/>
    <w:rsid w:val="00D16EA0"/>
    <w:rsid w:val="00D17AC3"/>
    <w:rsid w:val="00D17D11"/>
    <w:rsid w:val="00D17DD6"/>
    <w:rsid w:val="00D207BE"/>
    <w:rsid w:val="00D20DD3"/>
    <w:rsid w:val="00D214D5"/>
    <w:rsid w:val="00D21CA2"/>
    <w:rsid w:val="00D2208A"/>
    <w:rsid w:val="00D23E3F"/>
    <w:rsid w:val="00D248A8"/>
    <w:rsid w:val="00D24E8A"/>
    <w:rsid w:val="00D255C6"/>
    <w:rsid w:val="00D31515"/>
    <w:rsid w:val="00D31830"/>
    <w:rsid w:val="00D31D69"/>
    <w:rsid w:val="00D32FF6"/>
    <w:rsid w:val="00D3359C"/>
    <w:rsid w:val="00D34406"/>
    <w:rsid w:val="00D36E37"/>
    <w:rsid w:val="00D3784B"/>
    <w:rsid w:val="00D379FF"/>
    <w:rsid w:val="00D37BAF"/>
    <w:rsid w:val="00D40BCE"/>
    <w:rsid w:val="00D41AD9"/>
    <w:rsid w:val="00D42125"/>
    <w:rsid w:val="00D43BBE"/>
    <w:rsid w:val="00D45DCD"/>
    <w:rsid w:val="00D503D4"/>
    <w:rsid w:val="00D51408"/>
    <w:rsid w:val="00D5166B"/>
    <w:rsid w:val="00D52358"/>
    <w:rsid w:val="00D524F6"/>
    <w:rsid w:val="00D57645"/>
    <w:rsid w:val="00D57FA3"/>
    <w:rsid w:val="00D61241"/>
    <w:rsid w:val="00D622F5"/>
    <w:rsid w:val="00D62915"/>
    <w:rsid w:val="00D65BDB"/>
    <w:rsid w:val="00D6658C"/>
    <w:rsid w:val="00D667AA"/>
    <w:rsid w:val="00D67CE3"/>
    <w:rsid w:val="00D67EDB"/>
    <w:rsid w:val="00D707DB"/>
    <w:rsid w:val="00D715CE"/>
    <w:rsid w:val="00D720AA"/>
    <w:rsid w:val="00D73B6E"/>
    <w:rsid w:val="00D74ABC"/>
    <w:rsid w:val="00D75338"/>
    <w:rsid w:val="00D7543C"/>
    <w:rsid w:val="00D76947"/>
    <w:rsid w:val="00D76C2E"/>
    <w:rsid w:val="00D7757F"/>
    <w:rsid w:val="00D77751"/>
    <w:rsid w:val="00D8090E"/>
    <w:rsid w:val="00D80E1B"/>
    <w:rsid w:val="00D819E3"/>
    <w:rsid w:val="00D82347"/>
    <w:rsid w:val="00D83B99"/>
    <w:rsid w:val="00D83C17"/>
    <w:rsid w:val="00D840CF"/>
    <w:rsid w:val="00D84B61"/>
    <w:rsid w:val="00D8524F"/>
    <w:rsid w:val="00D85B6B"/>
    <w:rsid w:val="00D85E31"/>
    <w:rsid w:val="00D866B5"/>
    <w:rsid w:val="00D86A48"/>
    <w:rsid w:val="00D87CDF"/>
    <w:rsid w:val="00D9030B"/>
    <w:rsid w:val="00D95250"/>
    <w:rsid w:val="00D9542E"/>
    <w:rsid w:val="00D95D41"/>
    <w:rsid w:val="00D9749B"/>
    <w:rsid w:val="00D97B09"/>
    <w:rsid w:val="00DA0EEC"/>
    <w:rsid w:val="00DA12C1"/>
    <w:rsid w:val="00DA1C6B"/>
    <w:rsid w:val="00DA26E8"/>
    <w:rsid w:val="00DA2BA8"/>
    <w:rsid w:val="00DA2F5A"/>
    <w:rsid w:val="00DA361C"/>
    <w:rsid w:val="00DA3AB9"/>
    <w:rsid w:val="00DA4CE7"/>
    <w:rsid w:val="00DA4F43"/>
    <w:rsid w:val="00DA5B9B"/>
    <w:rsid w:val="00DB0288"/>
    <w:rsid w:val="00DB078F"/>
    <w:rsid w:val="00DB13B6"/>
    <w:rsid w:val="00DB2333"/>
    <w:rsid w:val="00DB4D64"/>
    <w:rsid w:val="00DB7236"/>
    <w:rsid w:val="00DB747E"/>
    <w:rsid w:val="00DB7DE8"/>
    <w:rsid w:val="00DC0333"/>
    <w:rsid w:val="00DC07B4"/>
    <w:rsid w:val="00DC0B23"/>
    <w:rsid w:val="00DC20AA"/>
    <w:rsid w:val="00DC25CC"/>
    <w:rsid w:val="00DC55D3"/>
    <w:rsid w:val="00DC61A3"/>
    <w:rsid w:val="00DD1909"/>
    <w:rsid w:val="00DD1CB3"/>
    <w:rsid w:val="00DD1FCB"/>
    <w:rsid w:val="00DD401A"/>
    <w:rsid w:val="00DD688F"/>
    <w:rsid w:val="00DD6CA5"/>
    <w:rsid w:val="00DD6FD1"/>
    <w:rsid w:val="00DD7924"/>
    <w:rsid w:val="00DE26A8"/>
    <w:rsid w:val="00DE3B0F"/>
    <w:rsid w:val="00DE4A54"/>
    <w:rsid w:val="00DE5DF0"/>
    <w:rsid w:val="00DE6982"/>
    <w:rsid w:val="00DE745C"/>
    <w:rsid w:val="00DF12C4"/>
    <w:rsid w:val="00DF13B5"/>
    <w:rsid w:val="00DF20B2"/>
    <w:rsid w:val="00DF2982"/>
    <w:rsid w:val="00DF3047"/>
    <w:rsid w:val="00DF3CC7"/>
    <w:rsid w:val="00DF4CF0"/>
    <w:rsid w:val="00DF55A0"/>
    <w:rsid w:val="00DF67EE"/>
    <w:rsid w:val="00DF6BD3"/>
    <w:rsid w:val="00E02721"/>
    <w:rsid w:val="00E03001"/>
    <w:rsid w:val="00E03282"/>
    <w:rsid w:val="00E06CB7"/>
    <w:rsid w:val="00E11B89"/>
    <w:rsid w:val="00E11E78"/>
    <w:rsid w:val="00E1236F"/>
    <w:rsid w:val="00E14CC7"/>
    <w:rsid w:val="00E158BB"/>
    <w:rsid w:val="00E200C8"/>
    <w:rsid w:val="00E2036B"/>
    <w:rsid w:val="00E20513"/>
    <w:rsid w:val="00E205D4"/>
    <w:rsid w:val="00E2215E"/>
    <w:rsid w:val="00E241C0"/>
    <w:rsid w:val="00E2527B"/>
    <w:rsid w:val="00E2644B"/>
    <w:rsid w:val="00E32AC0"/>
    <w:rsid w:val="00E33BFB"/>
    <w:rsid w:val="00E33F3D"/>
    <w:rsid w:val="00E349B4"/>
    <w:rsid w:val="00E351C2"/>
    <w:rsid w:val="00E352D9"/>
    <w:rsid w:val="00E357AD"/>
    <w:rsid w:val="00E36BD3"/>
    <w:rsid w:val="00E37FA5"/>
    <w:rsid w:val="00E400E0"/>
    <w:rsid w:val="00E413C8"/>
    <w:rsid w:val="00E420AF"/>
    <w:rsid w:val="00E4384A"/>
    <w:rsid w:val="00E43998"/>
    <w:rsid w:val="00E44D9D"/>
    <w:rsid w:val="00E4685D"/>
    <w:rsid w:val="00E502C6"/>
    <w:rsid w:val="00E50A4E"/>
    <w:rsid w:val="00E50D5C"/>
    <w:rsid w:val="00E50DE2"/>
    <w:rsid w:val="00E5168C"/>
    <w:rsid w:val="00E519BF"/>
    <w:rsid w:val="00E53C90"/>
    <w:rsid w:val="00E543A6"/>
    <w:rsid w:val="00E54BE4"/>
    <w:rsid w:val="00E57689"/>
    <w:rsid w:val="00E57F4D"/>
    <w:rsid w:val="00E61581"/>
    <w:rsid w:val="00E61D7D"/>
    <w:rsid w:val="00E62F50"/>
    <w:rsid w:val="00E632E5"/>
    <w:rsid w:val="00E63EB2"/>
    <w:rsid w:val="00E665F7"/>
    <w:rsid w:val="00E668E3"/>
    <w:rsid w:val="00E67445"/>
    <w:rsid w:val="00E67A90"/>
    <w:rsid w:val="00E70EEF"/>
    <w:rsid w:val="00E71C23"/>
    <w:rsid w:val="00E72212"/>
    <w:rsid w:val="00E723C9"/>
    <w:rsid w:val="00E72EF1"/>
    <w:rsid w:val="00E736A5"/>
    <w:rsid w:val="00E73BEA"/>
    <w:rsid w:val="00E75A54"/>
    <w:rsid w:val="00E76F49"/>
    <w:rsid w:val="00E77B62"/>
    <w:rsid w:val="00E80691"/>
    <w:rsid w:val="00E834FA"/>
    <w:rsid w:val="00E839F5"/>
    <w:rsid w:val="00E84FB8"/>
    <w:rsid w:val="00E864A0"/>
    <w:rsid w:val="00E87A8D"/>
    <w:rsid w:val="00E900E7"/>
    <w:rsid w:val="00E91021"/>
    <w:rsid w:val="00E91FC3"/>
    <w:rsid w:val="00E92089"/>
    <w:rsid w:val="00E93248"/>
    <w:rsid w:val="00E95036"/>
    <w:rsid w:val="00E9685C"/>
    <w:rsid w:val="00E96D7C"/>
    <w:rsid w:val="00E97ED2"/>
    <w:rsid w:val="00EA12CB"/>
    <w:rsid w:val="00EA1F5F"/>
    <w:rsid w:val="00EA201B"/>
    <w:rsid w:val="00EA4F66"/>
    <w:rsid w:val="00EA5259"/>
    <w:rsid w:val="00EA569C"/>
    <w:rsid w:val="00EA5BEA"/>
    <w:rsid w:val="00EA5C60"/>
    <w:rsid w:val="00EA7DB1"/>
    <w:rsid w:val="00EA7E91"/>
    <w:rsid w:val="00EB18C1"/>
    <w:rsid w:val="00EB4466"/>
    <w:rsid w:val="00EB4541"/>
    <w:rsid w:val="00EB46C1"/>
    <w:rsid w:val="00EB74DD"/>
    <w:rsid w:val="00EC0791"/>
    <w:rsid w:val="00EC0FF5"/>
    <w:rsid w:val="00EC182B"/>
    <w:rsid w:val="00EC1C25"/>
    <w:rsid w:val="00EC1E19"/>
    <w:rsid w:val="00EC2B9F"/>
    <w:rsid w:val="00EC3F62"/>
    <w:rsid w:val="00EC466D"/>
    <w:rsid w:val="00EC6591"/>
    <w:rsid w:val="00EC67CA"/>
    <w:rsid w:val="00EC7299"/>
    <w:rsid w:val="00ED0997"/>
    <w:rsid w:val="00ED1BFE"/>
    <w:rsid w:val="00ED1CA5"/>
    <w:rsid w:val="00ED2F1B"/>
    <w:rsid w:val="00ED6F1C"/>
    <w:rsid w:val="00ED7314"/>
    <w:rsid w:val="00EE1497"/>
    <w:rsid w:val="00EE1882"/>
    <w:rsid w:val="00EE276A"/>
    <w:rsid w:val="00EE287E"/>
    <w:rsid w:val="00EE2FF7"/>
    <w:rsid w:val="00EE47B1"/>
    <w:rsid w:val="00EE49F2"/>
    <w:rsid w:val="00EE4EF5"/>
    <w:rsid w:val="00EE5591"/>
    <w:rsid w:val="00EE56A2"/>
    <w:rsid w:val="00EE5884"/>
    <w:rsid w:val="00EE7CC2"/>
    <w:rsid w:val="00EF1FDC"/>
    <w:rsid w:val="00EF2E4B"/>
    <w:rsid w:val="00EF39CB"/>
    <w:rsid w:val="00EF4131"/>
    <w:rsid w:val="00EF4733"/>
    <w:rsid w:val="00EF5C38"/>
    <w:rsid w:val="00EF5E54"/>
    <w:rsid w:val="00EF6A01"/>
    <w:rsid w:val="00EF6A3D"/>
    <w:rsid w:val="00EF78EA"/>
    <w:rsid w:val="00EF7D07"/>
    <w:rsid w:val="00F017F8"/>
    <w:rsid w:val="00F02B82"/>
    <w:rsid w:val="00F03D1C"/>
    <w:rsid w:val="00F040BE"/>
    <w:rsid w:val="00F06B1B"/>
    <w:rsid w:val="00F11BB4"/>
    <w:rsid w:val="00F141CD"/>
    <w:rsid w:val="00F144DE"/>
    <w:rsid w:val="00F1487F"/>
    <w:rsid w:val="00F14A67"/>
    <w:rsid w:val="00F14C56"/>
    <w:rsid w:val="00F16ADA"/>
    <w:rsid w:val="00F1782B"/>
    <w:rsid w:val="00F211A1"/>
    <w:rsid w:val="00F227C6"/>
    <w:rsid w:val="00F232BA"/>
    <w:rsid w:val="00F23B4E"/>
    <w:rsid w:val="00F24C29"/>
    <w:rsid w:val="00F24C5A"/>
    <w:rsid w:val="00F2510E"/>
    <w:rsid w:val="00F25E45"/>
    <w:rsid w:val="00F265FB"/>
    <w:rsid w:val="00F26AD2"/>
    <w:rsid w:val="00F27490"/>
    <w:rsid w:val="00F308BF"/>
    <w:rsid w:val="00F31072"/>
    <w:rsid w:val="00F31E62"/>
    <w:rsid w:val="00F32AA0"/>
    <w:rsid w:val="00F34148"/>
    <w:rsid w:val="00F35E03"/>
    <w:rsid w:val="00F369AF"/>
    <w:rsid w:val="00F37352"/>
    <w:rsid w:val="00F41E30"/>
    <w:rsid w:val="00F425D4"/>
    <w:rsid w:val="00F44CC7"/>
    <w:rsid w:val="00F4685A"/>
    <w:rsid w:val="00F46A13"/>
    <w:rsid w:val="00F46CCA"/>
    <w:rsid w:val="00F46EBB"/>
    <w:rsid w:val="00F508E7"/>
    <w:rsid w:val="00F51380"/>
    <w:rsid w:val="00F51B06"/>
    <w:rsid w:val="00F51C14"/>
    <w:rsid w:val="00F53B3A"/>
    <w:rsid w:val="00F54C37"/>
    <w:rsid w:val="00F57AAF"/>
    <w:rsid w:val="00F57E47"/>
    <w:rsid w:val="00F60071"/>
    <w:rsid w:val="00F606B9"/>
    <w:rsid w:val="00F608A5"/>
    <w:rsid w:val="00F61C17"/>
    <w:rsid w:val="00F62D0C"/>
    <w:rsid w:val="00F64407"/>
    <w:rsid w:val="00F64525"/>
    <w:rsid w:val="00F646F7"/>
    <w:rsid w:val="00F65072"/>
    <w:rsid w:val="00F65DD0"/>
    <w:rsid w:val="00F668F4"/>
    <w:rsid w:val="00F67582"/>
    <w:rsid w:val="00F70CBA"/>
    <w:rsid w:val="00F71732"/>
    <w:rsid w:val="00F73D26"/>
    <w:rsid w:val="00F77C47"/>
    <w:rsid w:val="00F80FB7"/>
    <w:rsid w:val="00F821F9"/>
    <w:rsid w:val="00F82523"/>
    <w:rsid w:val="00F83AB3"/>
    <w:rsid w:val="00F83E1D"/>
    <w:rsid w:val="00F85A0C"/>
    <w:rsid w:val="00F872FB"/>
    <w:rsid w:val="00F903E9"/>
    <w:rsid w:val="00F91966"/>
    <w:rsid w:val="00F94F10"/>
    <w:rsid w:val="00F94F91"/>
    <w:rsid w:val="00F95C45"/>
    <w:rsid w:val="00F95D66"/>
    <w:rsid w:val="00F962F5"/>
    <w:rsid w:val="00F9678D"/>
    <w:rsid w:val="00F967F0"/>
    <w:rsid w:val="00FA1C28"/>
    <w:rsid w:val="00FA210C"/>
    <w:rsid w:val="00FA223F"/>
    <w:rsid w:val="00FA3555"/>
    <w:rsid w:val="00FA4D8D"/>
    <w:rsid w:val="00FA5E1F"/>
    <w:rsid w:val="00FA62A6"/>
    <w:rsid w:val="00FA6F8F"/>
    <w:rsid w:val="00FA73AB"/>
    <w:rsid w:val="00FA7840"/>
    <w:rsid w:val="00FB04A3"/>
    <w:rsid w:val="00FB241B"/>
    <w:rsid w:val="00FB38CF"/>
    <w:rsid w:val="00FB5A85"/>
    <w:rsid w:val="00FB5DE1"/>
    <w:rsid w:val="00FB637B"/>
    <w:rsid w:val="00FB63C5"/>
    <w:rsid w:val="00FB6836"/>
    <w:rsid w:val="00FB736B"/>
    <w:rsid w:val="00FC7127"/>
    <w:rsid w:val="00FC7B0A"/>
    <w:rsid w:val="00FC7F17"/>
    <w:rsid w:val="00FD0EFE"/>
    <w:rsid w:val="00FD1578"/>
    <w:rsid w:val="00FD26FD"/>
    <w:rsid w:val="00FD277E"/>
    <w:rsid w:val="00FD298A"/>
    <w:rsid w:val="00FD2D27"/>
    <w:rsid w:val="00FD2D44"/>
    <w:rsid w:val="00FD3016"/>
    <w:rsid w:val="00FD4551"/>
    <w:rsid w:val="00FD4A28"/>
    <w:rsid w:val="00FD5360"/>
    <w:rsid w:val="00FE0561"/>
    <w:rsid w:val="00FE1929"/>
    <w:rsid w:val="00FE1C69"/>
    <w:rsid w:val="00FE257D"/>
    <w:rsid w:val="00FE2CEF"/>
    <w:rsid w:val="00FE3DA2"/>
    <w:rsid w:val="00FE3FA2"/>
    <w:rsid w:val="00FF04C6"/>
    <w:rsid w:val="00FF0B5E"/>
    <w:rsid w:val="00FF19B2"/>
    <w:rsid w:val="00FF1AA1"/>
    <w:rsid w:val="00FF211A"/>
    <w:rsid w:val="00FF30BC"/>
    <w:rsid w:val="00FF3754"/>
    <w:rsid w:val="00FF4E9E"/>
    <w:rsid w:val="00FF6046"/>
    <w:rsid w:val="00FF62D1"/>
    <w:rsid w:val="00FF6441"/>
    <w:rsid w:val="00FF6FAE"/>
    <w:rsid w:val="00FF7355"/>
    <w:rsid w:val="010443AC"/>
    <w:rsid w:val="02274B7B"/>
    <w:rsid w:val="02AA61A4"/>
    <w:rsid w:val="02E47E8B"/>
    <w:rsid w:val="032726DF"/>
    <w:rsid w:val="041C5975"/>
    <w:rsid w:val="044A5663"/>
    <w:rsid w:val="045863DF"/>
    <w:rsid w:val="04A220F8"/>
    <w:rsid w:val="04AC3B20"/>
    <w:rsid w:val="04B95D04"/>
    <w:rsid w:val="04C56E22"/>
    <w:rsid w:val="051017D2"/>
    <w:rsid w:val="05B2572C"/>
    <w:rsid w:val="06377CF6"/>
    <w:rsid w:val="067A07C9"/>
    <w:rsid w:val="06CC0E8B"/>
    <w:rsid w:val="06E20ABD"/>
    <w:rsid w:val="072C22BE"/>
    <w:rsid w:val="076043D3"/>
    <w:rsid w:val="076505B8"/>
    <w:rsid w:val="0797398D"/>
    <w:rsid w:val="081568BC"/>
    <w:rsid w:val="0856075F"/>
    <w:rsid w:val="08565010"/>
    <w:rsid w:val="088D46F9"/>
    <w:rsid w:val="08CA1AD4"/>
    <w:rsid w:val="08E613EE"/>
    <w:rsid w:val="08ED2919"/>
    <w:rsid w:val="098D046D"/>
    <w:rsid w:val="09E76140"/>
    <w:rsid w:val="09EC4F2F"/>
    <w:rsid w:val="0A124EE7"/>
    <w:rsid w:val="0A2071B5"/>
    <w:rsid w:val="0A6979F8"/>
    <w:rsid w:val="0A6B34E9"/>
    <w:rsid w:val="0AD34698"/>
    <w:rsid w:val="0B140F8B"/>
    <w:rsid w:val="0B3C511D"/>
    <w:rsid w:val="0B580DEA"/>
    <w:rsid w:val="0B6752C7"/>
    <w:rsid w:val="0B717B50"/>
    <w:rsid w:val="0C1873F6"/>
    <w:rsid w:val="0C3A7076"/>
    <w:rsid w:val="0C497A9F"/>
    <w:rsid w:val="0C5B3531"/>
    <w:rsid w:val="0C851899"/>
    <w:rsid w:val="0CA814D5"/>
    <w:rsid w:val="0CB05163"/>
    <w:rsid w:val="0CF61C76"/>
    <w:rsid w:val="0D436D81"/>
    <w:rsid w:val="0DC23586"/>
    <w:rsid w:val="0DCD07CD"/>
    <w:rsid w:val="0DF9434D"/>
    <w:rsid w:val="0E10155B"/>
    <w:rsid w:val="0E183015"/>
    <w:rsid w:val="0E3124E9"/>
    <w:rsid w:val="0E556EC9"/>
    <w:rsid w:val="0E8F4463"/>
    <w:rsid w:val="0E95222A"/>
    <w:rsid w:val="0EBF0455"/>
    <w:rsid w:val="0EBF4759"/>
    <w:rsid w:val="0F1209C3"/>
    <w:rsid w:val="0F365C18"/>
    <w:rsid w:val="0F4D43EF"/>
    <w:rsid w:val="0F623236"/>
    <w:rsid w:val="0F773C84"/>
    <w:rsid w:val="0F8004A8"/>
    <w:rsid w:val="0F8E6E25"/>
    <w:rsid w:val="101525BF"/>
    <w:rsid w:val="10366CFC"/>
    <w:rsid w:val="10601CF4"/>
    <w:rsid w:val="10F01D57"/>
    <w:rsid w:val="10F974D0"/>
    <w:rsid w:val="11267A27"/>
    <w:rsid w:val="116B3C0F"/>
    <w:rsid w:val="11E16E81"/>
    <w:rsid w:val="12020FD1"/>
    <w:rsid w:val="12D26DAD"/>
    <w:rsid w:val="12EF2DEC"/>
    <w:rsid w:val="13265EB7"/>
    <w:rsid w:val="13773E7A"/>
    <w:rsid w:val="13827541"/>
    <w:rsid w:val="14394AEF"/>
    <w:rsid w:val="14620B26"/>
    <w:rsid w:val="1486500B"/>
    <w:rsid w:val="14DD10E1"/>
    <w:rsid w:val="15031055"/>
    <w:rsid w:val="157E0ECE"/>
    <w:rsid w:val="157E1A72"/>
    <w:rsid w:val="15AD6788"/>
    <w:rsid w:val="160135A2"/>
    <w:rsid w:val="163738A4"/>
    <w:rsid w:val="165A16C2"/>
    <w:rsid w:val="167407DE"/>
    <w:rsid w:val="1675246F"/>
    <w:rsid w:val="16787987"/>
    <w:rsid w:val="16A566D2"/>
    <w:rsid w:val="16AC188C"/>
    <w:rsid w:val="16B17C87"/>
    <w:rsid w:val="16FE401C"/>
    <w:rsid w:val="17767109"/>
    <w:rsid w:val="179732CB"/>
    <w:rsid w:val="17C66535"/>
    <w:rsid w:val="17EB4F0E"/>
    <w:rsid w:val="180F54C7"/>
    <w:rsid w:val="18161610"/>
    <w:rsid w:val="183D0B72"/>
    <w:rsid w:val="190B0D39"/>
    <w:rsid w:val="19485F1F"/>
    <w:rsid w:val="19950380"/>
    <w:rsid w:val="199F6306"/>
    <w:rsid w:val="19A21FA9"/>
    <w:rsid w:val="19AC440C"/>
    <w:rsid w:val="19C803C4"/>
    <w:rsid w:val="19CF2A03"/>
    <w:rsid w:val="19D85C16"/>
    <w:rsid w:val="19EF0548"/>
    <w:rsid w:val="1A18178F"/>
    <w:rsid w:val="1A3A204C"/>
    <w:rsid w:val="1B31230D"/>
    <w:rsid w:val="1B3E4362"/>
    <w:rsid w:val="1BB35D0C"/>
    <w:rsid w:val="1C024AA8"/>
    <w:rsid w:val="1C8439EA"/>
    <w:rsid w:val="1C9345D6"/>
    <w:rsid w:val="1CAA509A"/>
    <w:rsid w:val="1CC93102"/>
    <w:rsid w:val="1D7A079E"/>
    <w:rsid w:val="1D916DF5"/>
    <w:rsid w:val="1D9B7C63"/>
    <w:rsid w:val="1DA33DD3"/>
    <w:rsid w:val="1DB42026"/>
    <w:rsid w:val="1DD51520"/>
    <w:rsid w:val="1DFD459D"/>
    <w:rsid w:val="1E141D6D"/>
    <w:rsid w:val="1E392055"/>
    <w:rsid w:val="1F354586"/>
    <w:rsid w:val="1F9C69F7"/>
    <w:rsid w:val="20017C0B"/>
    <w:rsid w:val="20102672"/>
    <w:rsid w:val="208A41AA"/>
    <w:rsid w:val="20C24793"/>
    <w:rsid w:val="20E54BC5"/>
    <w:rsid w:val="20E63A8E"/>
    <w:rsid w:val="20EE19E7"/>
    <w:rsid w:val="20F90B29"/>
    <w:rsid w:val="212422BA"/>
    <w:rsid w:val="214D30E1"/>
    <w:rsid w:val="216C2C8D"/>
    <w:rsid w:val="217769EF"/>
    <w:rsid w:val="21843B30"/>
    <w:rsid w:val="21C15D7F"/>
    <w:rsid w:val="21D91DBA"/>
    <w:rsid w:val="224C0373"/>
    <w:rsid w:val="22925D68"/>
    <w:rsid w:val="22B75111"/>
    <w:rsid w:val="22CA5CB0"/>
    <w:rsid w:val="232F5767"/>
    <w:rsid w:val="232F5995"/>
    <w:rsid w:val="233F0FCE"/>
    <w:rsid w:val="237A2EE4"/>
    <w:rsid w:val="23821B4D"/>
    <w:rsid w:val="238B0F39"/>
    <w:rsid w:val="238B281A"/>
    <w:rsid w:val="23BB3FD7"/>
    <w:rsid w:val="23C3534D"/>
    <w:rsid w:val="23F30867"/>
    <w:rsid w:val="23F864E8"/>
    <w:rsid w:val="240D16C3"/>
    <w:rsid w:val="24297A14"/>
    <w:rsid w:val="245E0583"/>
    <w:rsid w:val="24A97DD1"/>
    <w:rsid w:val="25286714"/>
    <w:rsid w:val="25966203"/>
    <w:rsid w:val="262D6802"/>
    <w:rsid w:val="26D22BDA"/>
    <w:rsid w:val="26F02328"/>
    <w:rsid w:val="2705341A"/>
    <w:rsid w:val="27112946"/>
    <w:rsid w:val="27340553"/>
    <w:rsid w:val="273518B5"/>
    <w:rsid w:val="274139C4"/>
    <w:rsid w:val="274A210A"/>
    <w:rsid w:val="279C2749"/>
    <w:rsid w:val="27AF298D"/>
    <w:rsid w:val="27B05637"/>
    <w:rsid w:val="27BA5944"/>
    <w:rsid w:val="27C71E50"/>
    <w:rsid w:val="27D85222"/>
    <w:rsid w:val="283C25B3"/>
    <w:rsid w:val="287F5498"/>
    <w:rsid w:val="28D65E1B"/>
    <w:rsid w:val="28F663D3"/>
    <w:rsid w:val="28FB2A12"/>
    <w:rsid w:val="2914355B"/>
    <w:rsid w:val="2965707D"/>
    <w:rsid w:val="296C71B3"/>
    <w:rsid w:val="2A0971A3"/>
    <w:rsid w:val="2A0E3AB8"/>
    <w:rsid w:val="2A6E35FD"/>
    <w:rsid w:val="2A73253A"/>
    <w:rsid w:val="2AC363C7"/>
    <w:rsid w:val="2AE23732"/>
    <w:rsid w:val="2B3E3AF7"/>
    <w:rsid w:val="2B507173"/>
    <w:rsid w:val="2BFC5FD1"/>
    <w:rsid w:val="2C003534"/>
    <w:rsid w:val="2C0E735F"/>
    <w:rsid w:val="2CDB04F7"/>
    <w:rsid w:val="2D4B2CDC"/>
    <w:rsid w:val="2D615C3E"/>
    <w:rsid w:val="2D9C22BB"/>
    <w:rsid w:val="2DC33DEF"/>
    <w:rsid w:val="2E274D00"/>
    <w:rsid w:val="2E663011"/>
    <w:rsid w:val="2E6901F1"/>
    <w:rsid w:val="2E7A12BC"/>
    <w:rsid w:val="2EA31A72"/>
    <w:rsid w:val="2EAA2860"/>
    <w:rsid w:val="2EAA41DE"/>
    <w:rsid w:val="2F182830"/>
    <w:rsid w:val="2F1B4B2C"/>
    <w:rsid w:val="2F412F58"/>
    <w:rsid w:val="2F714E6E"/>
    <w:rsid w:val="2FBD4CD0"/>
    <w:rsid w:val="2FD0227E"/>
    <w:rsid w:val="3020785A"/>
    <w:rsid w:val="302C4083"/>
    <w:rsid w:val="306D04EA"/>
    <w:rsid w:val="307C7366"/>
    <w:rsid w:val="30921E96"/>
    <w:rsid w:val="30B74805"/>
    <w:rsid w:val="30C46F5C"/>
    <w:rsid w:val="311B72AA"/>
    <w:rsid w:val="313613A0"/>
    <w:rsid w:val="31364496"/>
    <w:rsid w:val="318437DF"/>
    <w:rsid w:val="31B34EA4"/>
    <w:rsid w:val="32030C57"/>
    <w:rsid w:val="32375D44"/>
    <w:rsid w:val="32631DF4"/>
    <w:rsid w:val="32994C8F"/>
    <w:rsid w:val="32BF3411"/>
    <w:rsid w:val="32E43F9F"/>
    <w:rsid w:val="33075104"/>
    <w:rsid w:val="330E6036"/>
    <w:rsid w:val="33A07782"/>
    <w:rsid w:val="34246698"/>
    <w:rsid w:val="34494F5D"/>
    <w:rsid w:val="349C5B38"/>
    <w:rsid w:val="34B348C0"/>
    <w:rsid w:val="34DC62CC"/>
    <w:rsid w:val="34EB216E"/>
    <w:rsid w:val="34F9649F"/>
    <w:rsid w:val="356D7A1E"/>
    <w:rsid w:val="35DC5083"/>
    <w:rsid w:val="36931098"/>
    <w:rsid w:val="36AF0B57"/>
    <w:rsid w:val="36EF74C6"/>
    <w:rsid w:val="370810DC"/>
    <w:rsid w:val="37694F78"/>
    <w:rsid w:val="378E0D7F"/>
    <w:rsid w:val="37A84782"/>
    <w:rsid w:val="37E27855"/>
    <w:rsid w:val="37F61B8F"/>
    <w:rsid w:val="38100051"/>
    <w:rsid w:val="381A2488"/>
    <w:rsid w:val="38580144"/>
    <w:rsid w:val="3896134A"/>
    <w:rsid w:val="38C463A8"/>
    <w:rsid w:val="39A03716"/>
    <w:rsid w:val="39E0404D"/>
    <w:rsid w:val="39F90851"/>
    <w:rsid w:val="3A1741AF"/>
    <w:rsid w:val="3A1B3D33"/>
    <w:rsid w:val="3A334C55"/>
    <w:rsid w:val="3A383A86"/>
    <w:rsid w:val="3A393353"/>
    <w:rsid w:val="3AAA6CEC"/>
    <w:rsid w:val="3AAB13A9"/>
    <w:rsid w:val="3AEB46D7"/>
    <w:rsid w:val="3AF568E0"/>
    <w:rsid w:val="3B1E35F8"/>
    <w:rsid w:val="3B36685A"/>
    <w:rsid w:val="3C0B56F9"/>
    <w:rsid w:val="3C1248A0"/>
    <w:rsid w:val="3C32354A"/>
    <w:rsid w:val="3C3657CE"/>
    <w:rsid w:val="3C3E461C"/>
    <w:rsid w:val="3C4E6F10"/>
    <w:rsid w:val="3C6E389A"/>
    <w:rsid w:val="3C741B87"/>
    <w:rsid w:val="3CAA4CBC"/>
    <w:rsid w:val="3CE93F78"/>
    <w:rsid w:val="3CFA1996"/>
    <w:rsid w:val="3D3D6E0D"/>
    <w:rsid w:val="3D5F5643"/>
    <w:rsid w:val="3D93050B"/>
    <w:rsid w:val="3DD66EC6"/>
    <w:rsid w:val="3DDF3E59"/>
    <w:rsid w:val="3E316B6E"/>
    <w:rsid w:val="3E332BB1"/>
    <w:rsid w:val="3E527437"/>
    <w:rsid w:val="3E550CE1"/>
    <w:rsid w:val="3E594FAE"/>
    <w:rsid w:val="3EB516E7"/>
    <w:rsid w:val="3EF36650"/>
    <w:rsid w:val="3F014616"/>
    <w:rsid w:val="3F075A12"/>
    <w:rsid w:val="3FB34C7E"/>
    <w:rsid w:val="3FF00A51"/>
    <w:rsid w:val="3FF97020"/>
    <w:rsid w:val="401B0875"/>
    <w:rsid w:val="403433F9"/>
    <w:rsid w:val="407273CD"/>
    <w:rsid w:val="40BA622D"/>
    <w:rsid w:val="40ED5AC0"/>
    <w:rsid w:val="40F3421C"/>
    <w:rsid w:val="417D2C45"/>
    <w:rsid w:val="41FD0F18"/>
    <w:rsid w:val="42000E41"/>
    <w:rsid w:val="421819DA"/>
    <w:rsid w:val="426F6BD5"/>
    <w:rsid w:val="42715740"/>
    <w:rsid w:val="42AC3901"/>
    <w:rsid w:val="42C85848"/>
    <w:rsid w:val="42CF6521"/>
    <w:rsid w:val="42D84F24"/>
    <w:rsid w:val="42E061A6"/>
    <w:rsid w:val="42F849CF"/>
    <w:rsid w:val="42FD2C50"/>
    <w:rsid w:val="43237EAF"/>
    <w:rsid w:val="435D4C1C"/>
    <w:rsid w:val="4400168C"/>
    <w:rsid w:val="44117529"/>
    <w:rsid w:val="4454750C"/>
    <w:rsid w:val="44677691"/>
    <w:rsid w:val="446A405C"/>
    <w:rsid w:val="44A92FEE"/>
    <w:rsid w:val="451F28F5"/>
    <w:rsid w:val="454B1706"/>
    <w:rsid w:val="45D23E87"/>
    <w:rsid w:val="45EA679F"/>
    <w:rsid w:val="45F751F0"/>
    <w:rsid w:val="45F804B8"/>
    <w:rsid w:val="46323BB5"/>
    <w:rsid w:val="46331CD5"/>
    <w:rsid w:val="46685DDD"/>
    <w:rsid w:val="46C32970"/>
    <w:rsid w:val="46D44E70"/>
    <w:rsid w:val="4739265D"/>
    <w:rsid w:val="486A69E8"/>
    <w:rsid w:val="48777038"/>
    <w:rsid w:val="488B75F3"/>
    <w:rsid w:val="48B14FF7"/>
    <w:rsid w:val="48F21E5D"/>
    <w:rsid w:val="491D750E"/>
    <w:rsid w:val="494334FD"/>
    <w:rsid w:val="496231A8"/>
    <w:rsid w:val="49C56617"/>
    <w:rsid w:val="4A422BFE"/>
    <w:rsid w:val="4A72464D"/>
    <w:rsid w:val="4A7D7620"/>
    <w:rsid w:val="4AA06A5F"/>
    <w:rsid w:val="4ABE585A"/>
    <w:rsid w:val="4AF71A34"/>
    <w:rsid w:val="4AFB5AF3"/>
    <w:rsid w:val="4B645FDE"/>
    <w:rsid w:val="4B8C6315"/>
    <w:rsid w:val="4B90206E"/>
    <w:rsid w:val="4C2C56A8"/>
    <w:rsid w:val="4C3105A9"/>
    <w:rsid w:val="4C5B6DCF"/>
    <w:rsid w:val="4C8A73E0"/>
    <w:rsid w:val="4C965DFA"/>
    <w:rsid w:val="4C9B73CF"/>
    <w:rsid w:val="4CAB7C98"/>
    <w:rsid w:val="4D08493E"/>
    <w:rsid w:val="4D2C47FE"/>
    <w:rsid w:val="4D774F33"/>
    <w:rsid w:val="4D7C2890"/>
    <w:rsid w:val="4DAD5746"/>
    <w:rsid w:val="4DBE61E1"/>
    <w:rsid w:val="4DC428FA"/>
    <w:rsid w:val="4DCE4D45"/>
    <w:rsid w:val="4E41133D"/>
    <w:rsid w:val="4E471BC1"/>
    <w:rsid w:val="4E4C6C37"/>
    <w:rsid w:val="4E552BC6"/>
    <w:rsid w:val="4E5B2F8B"/>
    <w:rsid w:val="4ED33609"/>
    <w:rsid w:val="4F71235D"/>
    <w:rsid w:val="4F9D6368"/>
    <w:rsid w:val="4FD44EA5"/>
    <w:rsid w:val="4FF01801"/>
    <w:rsid w:val="50073CA7"/>
    <w:rsid w:val="50814DF1"/>
    <w:rsid w:val="508E706D"/>
    <w:rsid w:val="509C2D26"/>
    <w:rsid w:val="50AE19A5"/>
    <w:rsid w:val="50B574C3"/>
    <w:rsid w:val="51194253"/>
    <w:rsid w:val="511B3F95"/>
    <w:rsid w:val="51490104"/>
    <w:rsid w:val="514B5817"/>
    <w:rsid w:val="51534DA1"/>
    <w:rsid w:val="515724FB"/>
    <w:rsid w:val="515C0A17"/>
    <w:rsid w:val="51681AC8"/>
    <w:rsid w:val="519A31F0"/>
    <w:rsid w:val="51D733FC"/>
    <w:rsid w:val="51E228FB"/>
    <w:rsid w:val="51F13230"/>
    <w:rsid w:val="520C4093"/>
    <w:rsid w:val="525154B3"/>
    <w:rsid w:val="526203F5"/>
    <w:rsid w:val="527911CC"/>
    <w:rsid w:val="52812588"/>
    <w:rsid w:val="52B818F0"/>
    <w:rsid w:val="52BD2B3B"/>
    <w:rsid w:val="535D287D"/>
    <w:rsid w:val="53663062"/>
    <w:rsid w:val="53680301"/>
    <w:rsid w:val="53963405"/>
    <w:rsid w:val="53D055C8"/>
    <w:rsid w:val="53D674BA"/>
    <w:rsid w:val="53DC41A4"/>
    <w:rsid w:val="54827977"/>
    <w:rsid w:val="54EF7111"/>
    <w:rsid w:val="552D20EE"/>
    <w:rsid w:val="5592211C"/>
    <w:rsid w:val="55B31EB6"/>
    <w:rsid w:val="55E1560C"/>
    <w:rsid w:val="561E2F0A"/>
    <w:rsid w:val="565D53B4"/>
    <w:rsid w:val="567E5D63"/>
    <w:rsid w:val="56867EED"/>
    <w:rsid w:val="56986995"/>
    <w:rsid w:val="56D9007B"/>
    <w:rsid w:val="56ED25BC"/>
    <w:rsid w:val="56FE6103"/>
    <w:rsid w:val="5715128D"/>
    <w:rsid w:val="57271CD8"/>
    <w:rsid w:val="57337D7A"/>
    <w:rsid w:val="57613F00"/>
    <w:rsid w:val="5780268F"/>
    <w:rsid w:val="582C5DB8"/>
    <w:rsid w:val="584B15E7"/>
    <w:rsid w:val="58561678"/>
    <w:rsid w:val="585C6D5F"/>
    <w:rsid w:val="585F3E48"/>
    <w:rsid w:val="58B270B0"/>
    <w:rsid w:val="591D7535"/>
    <w:rsid w:val="592E7F0F"/>
    <w:rsid w:val="593241D6"/>
    <w:rsid w:val="593644B7"/>
    <w:rsid w:val="595743BE"/>
    <w:rsid w:val="59685E23"/>
    <w:rsid w:val="59D8169A"/>
    <w:rsid w:val="5A323094"/>
    <w:rsid w:val="5AFC02D6"/>
    <w:rsid w:val="5B1D478C"/>
    <w:rsid w:val="5B2008A9"/>
    <w:rsid w:val="5B383F02"/>
    <w:rsid w:val="5B545029"/>
    <w:rsid w:val="5B6F1199"/>
    <w:rsid w:val="5B7F4100"/>
    <w:rsid w:val="5BA976EF"/>
    <w:rsid w:val="5BC30545"/>
    <w:rsid w:val="5BC453B1"/>
    <w:rsid w:val="5BC7074E"/>
    <w:rsid w:val="5C3C4819"/>
    <w:rsid w:val="5C8E43BF"/>
    <w:rsid w:val="5CF96168"/>
    <w:rsid w:val="5D157835"/>
    <w:rsid w:val="5D3E6A95"/>
    <w:rsid w:val="5D5A3EF0"/>
    <w:rsid w:val="5D7C7342"/>
    <w:rsid w:val="5D9369E3"/>
    <w:rsid w:val="5D9A28A7"/>
    <w:rsid w:val="5DA47DED"/>
    <w:rsid w:val="5E0631E8"/>
    <w:rsid w:val="5E105DBE"/>
    <w:rsid w:val="5F4229C5"/>
    <w:rsid w:val="5F510D4A"/>
    <w:rsid w:val="5F8018E3"/>
    <w:rsid w:val="5FAD126E"/>
    <w:rsid w:val="5FB256E4"/>
    <w:rsid w:val="5FDD3D7F"/>
    <w:rsid w:val="60005D8B"/>
    <w:rsid w:val="60181092"/>
    <w:rsid w:val="60963F8A"/>
    <w:rsid w:val="60974E92"/>
    <w:rsid w:val="60B175F6"/>
    <w:rsid w:val="60E04D43"/>
    <w:rsid w:val="60E26E9C"/>
    <w:rsid w:val="614379F0"/>
    <w:rsid w:val="616055CD"/>
    <w:rsid w:val="61CE0171"/>
    <w:rsid w:val="61F97DB2"/>
    <w:rsid w:val="620242CF"/>
    <w:rsid w:val="622A1D16"/>
    <w:rsid w:val="62754FDB"/>
    <w:rsid w:val="628C6C9E"/>
    <w:rsid w:val="62B620A5"/>
    <w:rsid w:val="62BC5A10"/>
    <w:rsid w:val="63486280"/>
    <w:rsid w:val="635824A0"/>
    <w:rsid w:val="63F304A5"/>
    <w:rsid w:val="64351251"/>
    <w:rsid w:val="64AA02DD"/>
    <w:rsid w:val="64AC7AD7"/>
    <w:rsid w:val="64B52A8F"/>
    <w:rsid w:val="64B52E47"/>
    <w:rsid w:val="6542465A"/>
    <w:rsid w:val="655B5F24"/>
    <w:rsid w:val="65634D95"/>
    <w:rsid w:val="65B814CB"/>
    <w:rsid w:val="66330E5E"/>
    <w:rsid w:val="666425DD"/>
    <w:rsid w:val="666E039B"/>
    <w:rsid w:val="66F13432"/>
    <w:rsid w:val="67111D16"/>
    <w:rsid w:val="677A266D"/>
    <w:rsid w:val="67A510B3"/>
    <w:rsid w:val="67C960FB"/>
    <w:rsid w:val="67FC646C"/>
    <w:rsid w:val="68837BC1"/>
    <w:rsid w:val="689C037C"/>
    <w:rsid w:val="689D076E"/>
    <w:rsid w:val="68D232D1"/>
    <w:rsid w:val="691B768D"/>
    <w:rsid w:val="69212A0A"/>
    <w:rsid w:val="693160A4"/>
    <w:rsid w:val="695C4077"/>
    <w:rsid w:val="696A3C79"/>
    <w:rsid w:val="69847A95"/>
    <w:rsid w:val="698C7E40"/>
    <w:rsid w:val="69A65F8F"/>
    <w:rsid w:val="69B140D5"/>
    <w:rsid w:val="69DD56CE"/>
    <w:rsid w:val="6A47551E"/>
    <w:rsid w:val="6A500358"/>
    <w:rsid w:val="6A5A169F"/>
    <w:rsid w:val="6A641E63"/>
    <w:rsid w:val="6AB753EA"/>
    <w:rsid w:val="6AEB17F2"/>
    <w:rsid w:val="6B624EB8"/>
    <w:rsid w:val="6BCC79D3"/>
    <w:rsid w:val="6BE600E9"/>
    <w:rsid w:val="6BED709B"/>
    <w:rsid w:val="6BF602A6"/>
    <w:rsid w:val="6BFC0A26"/>
    <w:rsid w:val="6C1067E1"/>
    <w:rsid w:val="6C144E7C"/>
    <w:rsid w:val="6C217CC7"/>
    <w:rsid w:val="6C26451C"/>
    <w:rsid w:val="6C281B13"/>
    <w:rsid w:val="6C57763F"/>
    <w:rsid w:val="6CDA66B3"/>
    <w:rsid w:val="6D095771"/>
    <w:rsid w:val="6D1A686E"/>
    <w:rsid w:val="6D521B65"/>
    <w:rsid w:val="6DB93C85"/>
    <w:rsid w:val="6DD80750"/>
    <w:rsid w:val="6DEF0C8F"/>
    <w:rsid w:val="6E2B3258"/>
    <w:rsid w:val="6E924258"/>
    <w:rsid w:val="6EAA7386"/>
    <w:rsid w:val="6F0C3BF8"/>
    <w:rsid w:val="6F4D1E0F"/>
    <w:rsid w:val="6FFA3865"/>
    <w:rsid w:val="70DF14BF"/>
    <w:rsid w:val="710D248D"/>
    <w:rsid w:val="71187369"/>
    <w:rsid w:val="71457F7D"/>
    <w:rsid w:val="716E133A"/>
    <w:rsid w:val="71962BC5"/>
    <w:rsid w:val="719701A1"/>
    <w:rsid w:val="71B856DC"/>
    <w:rsid w:val="71BA4C24"/>
    <w:rsid w:val="725E265C"/>
    <w:rsid w:val="72AF10E2"/>
    <w:rsid w:val="72B165CB"/>
    <w:rsid w:val="72D53D88"/>
    <w:rsid w:val="73000F73"/>
    <w:rsid w:val="730C475C"/>
    <w:rsid w:val="73286C23"/>
    <w:rsid w:val="73386CAB"/>
    <w:rsid w:val="73922E98"/>
    <w:rsid w:val="745619F4"/>
    <w:rsid w:val="747439C0"/>
    <w:rsid w:val="7481685F"/>
    <w:rsid w:val="74F738A8"/>
    <w:rsid w:val="75620FBE"/>
    <w:rsid w:val="758E0EAB"/>
    <w:rsid w:val="75994CF9"/>
    <w:rsid w:val="75E52B7B"/>
    <w:rsid w:val="762F73C4"/>
    <w:rsid w:val="76612099"/>
    <w:rsid w:val="7671752C"/>
    <w:rsid w:val="768C047A"/>
    <w:rsid w:val="76C05585"/>
    <w:rsid w:val="77112757"/>
    <w:rsid w:val="771170A7"/>
    <w:rsid w:val="777804F3"/>
    <w:rsid w:val="77A646D9"/>
    <w:rsid w:val="77A85A1F"/>
    <w:rsid w:val="77BD5D26"/>
    <w:rsid w:val="780275B0"/>
    <w:rsid w:val="78BE3EC5"/>
    <w:rsid w:val="78D24F81"/>
    <w:rsid w:val="78EE3B18"/>
    <w:rsid w:val="790771C6"/>
    <w:rsid w:val="794D53D4"/>
    <w:rsid w:val="7962509F"/>
    <w:rsid w:val="7967327A"/>
    <w:rsid w:val="79955CCB"/>
    <w:rsid w:val="79BC2FC9"/>
    <w:rsid w:val="79F02574"/>
    <w:rsid w:val="7A0D491D"/>
    <w:rsid w:val="7A483C99"/>
    <w:rsid w:val="7A6A0E49"/>
    <w:rsid w:val="7A6A22B7"/>
    <w:rsid w:val="7A9837DB"/>
    <w:rsid w:val="7A984645"/>
    <w:rsid w:val="7AEA0210"/>
    <w:rsid w:val="7B037BFA"/>
    <w:rsid w:val="7B354132"/>
    <w:rsid w:val="7B9C3FFA"/>
    <w:rsid w:val="7BAF5D2A"/>
    <w:rsid w:val="7BB42856"/>
    <w:rsid w:val="7BD33F09"/>
    <w:rsid w:val="7C9D5A4E"/>
    <w:rsid w:val="7CFC28ED"/>
    <w:rsid w:val="7D0F64F4"/>
    <w:rsid w:val="7D925D0F"/>
    <w:rsid w:val="7DB17ABD"/>
    <w:rsid w:val="7DBA5E93"/>
    <w:rsid w:val="7DF73C5D"/>
    <w:rsid w:val="7E080F14"/>
    <w:rsid w:val="7E0D60C0"/>
    <w:rsid w:val="7E47263C"/>
    <w:rsid w:val="7E5032C5"/>
    <w:rsid w:val="7E607DF8"/>
    <w:rsid w:val="7EB75F27"/>
    <w:rsid w:val="7ECB7121"/>
    <w:rsid w:val="7EE87A96"/>
    <w:rsid w:val="7F3B06AF"/>
    <w:rsid w:val="7F77019B"/>
    <w:rsid w:val="7F7B5492"/>
    <w:rsid w:val="7F870DB8"/>
    <w:rsid w:val="7FE06226"/>
    <w:rsid w:val="7FF9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88"/>
    <w:qFormat/>
    <w:uiPriority w:val="0"/>
    <w:pPr>
      <w:keepNext/>
      <w:jc w:val="center"/>
      <w:outlineLvl w:val="0"/>
    </w:pPr>
    <w:rPr>
      <w:rFonts w:ascii="楷体_GB2312" w:hAnsi="Calibri" w:eastAsia="楷体_GB2312"/>
      <w:b/>
      <w:sz w:val="28"/>
    </w:rPr>
  </w:style>
  <w:style w:type="paragraph" w:styleId="5">
    <w:name w:val="heading 2"/>
    <w:basedOn w:val="1"/>
    <w:next w:val="1"/>
    <w:link w:val="109"/>
    <w:qFormat/>
    <w:uiPriority w:val="9"/>
    <w:pPr>
      <w:keepNext/>
      <w:jc w:val="center"/>
      <w:outlineLvl w:val="1"/>
    </w:pPr>
    <w:rPr>
      <w:rFonts w:ascii="楷体_GB2312" w:hAnsi="Calibri" w:eastAsia="楷体_GB2312"/>
      <w:b/>
      <w:bCs/>
      <w:sz w:val="18"/>
    </w:rPr>
  </w:style>
  <w:style w:type="paragraph" w:styleId="6">
    <w:name w:val="heading 3"/>
    <w:basedOn w:val="1"/>
    <w:next w:val="1"/>
    <w:link w:val="145"/>
    <w:qFormat/>
    <w:uiPriority w:val="0"/>
    <w:pPr>
      <w:keepNext/>
      <w:jc w:val="center"/>
      <w:outlineLvl w:val="2"/>
    </w:pPr>
    <w:rPr>
      <w:rFonts w:ascii="Calibri" w:hAnsi="Calibri" w:eastAsia="楷体_GB2312"/>
      <w:b/>
      <w:bCs/>
      <w:sz w:val="15"/>
    </w:rPr>
  </w:style>
  <w:style w:type="paragraph" w:styleId="7">
    <w:name w:val="heading 4"/>
    <w:basedOn w:val="1"/>
    <w:next w:val="1"/>
    <w:link w:val="119"/>
    <w:qFormat/>
    <w:uiPriority w:val="0"/>
    <w:pPr>
      <w:keepNext/>
      <w:jc w:val="center"/>
      <w:outlineLvl w:val="3"/>
    </w:pPr>
    <w:rPr>
      <w:rFonts w:ascii="Calibri" w:hAnsi="Calibri" w:eastAsia="楷体_GB2312"/>
      <w:b/>
      <w:bCs/>
      <w:sz w:val="13"/>
    </w:rPr>
  </w:style>
  <w:style w:type="paragraph" w:styleId="8">
    <w:name w:val="heading 5"/>
    <w:basedOn w:val="1"/>
    <w:next w:val="1"/>
    <w:link w:val="198"/>
    <w:qFormat/>
    <w:uiPriority w:val="0"/>
    <w:pPr>
      <w:keepNext/>
      <w:tabs>
        <w:tab w:val="left" w:pos="360"/>
      </w:tabs>
      <w:ind w:left="360" w:hanging="360"/>
      <w:outlineLvl w:val="4"/>
    </w:pPr>
    <w:rPr>
      <w:rFonts w:ascii="楷体_GB2312" w:hAnsi="Calibri" w:eastAsia="楷体_GB2312"/>
      <w:bCs/>
      <w:sz w:val="28"/>
    </w:rPr>
  </w:style>
  <w:style w:type="paragraph" w:styleId="9">
    <w:name w:val="heading 6"/>
    <w:basedOn w:val="1"/>
    <w:next w:val="1"/>
    <w:link w:val="224"/>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sz w:val="24"/>
      <w:szCs w:val="24"/>
    </w:rPr>
  </w:style>
  <w:style w:type="paragraph" w:styleId="10">
    <w:name w:val="heading 7"/>
    <w:basedOn w:val="1"/>
    <w:next w:val="1"/>
    <w:link w:val="138"/>
    <w:qFormat/>
    <w:uiPriority w:val="0"/>
    <w:pPr>
      <w:keepNext/>
      <w:keepLines/>
      <w:tabs>
        <w:tab w:val="left" w:pos="1296"/>
      </w:tabs>
      <w:adjustRightInd w:val="0"/>
      <w:spacing w:before="240" w:after="64" w:line="320" w:lineRule="atLeast"/>
      <w:ind w:left="1296" w:hanging="1296"/>
      <w:textAlignment w:val="baseline"/>
      <w:outlineLvl w:val="6"/>
    </w:pPr>
    <w:rPr>
      <w:rFonts w:ascii="Calibri" w:hAnsi="Calibri"/>
      <w:b/>
      <w:sz w:val="24"/>
      <w:szCs w:val="24"/>
    </w:rPr>
  </w:style>
  <w:style w:type="paragraph" w:styleId="11">
    <w:name w:val="heading 8"/>
    <w:basedOn w:val="1"/>
    <w:next w:val="1"/>
    <w:link w:val="139"/>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2">
    <w:name w:val="heading 9"/>
    <w:basedOn w:val="1"/>
    <w:next w:val="1"/>
    <w:link w:val="84"/>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4"/>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85"/>
    <w:qFormat/>
    <w:uiPriority w:val="0"/>
    <w:pPr>
      <w:spacing w:after="120"/>
      <w:ind w:left="420" w:leftChars="200" w:firstLine="420" w:firstLineChars="200"/>
    </w:pPr>
    <w:rPr>
      <w:rFonts w:ascii="仿宋_GB2312" w:eastAsia="仿宋_GB2312"/>
      <w:b w:val="0"/>
      <w:kern w:val="0"/>
      <w:sz w:val="28"/>
    </w:rPr>
  </w:style>
  <w:style w:type="paragraph" w:styleId="3">
    <w:name w:val="Body Text Indent"/>
    <w:basedOn w:val="1"/>
    <w:link w:val="79"/>
    <w:qFormat/>
    <w:uiPriority w:val="0"/>
    <w:pPr>
      <w:ind w:firstLine="576"/>
    </w:pPr>
    <w:rPr>
      <w:rFonts w:ascii="Calibri" w:hAnsi="Calibri"/>
      <w:b/>
      <w:sz w:val="30"/>
    </w:rPr>
  </w:style>
  <w:style w:type="paragraph" w:styleId="13">
    <w:name w:val="toc 7"/>
    <w:basedOn w:val="1"/>
    <w:next w:val="1"/>
    <w:qFormat/>
    <w:uiPriority w:val="39"/>
    <w:pPr>
      <w:adjustRightInd w:val="0"/>
      <w:spacing w:line="288" w:lineRule="auto"/>
      <w:ind w:left="1260" w:firstLine="420"/>
      <w:jc w:val="left"/>
      <w:textAlignment w:val="baseline"/>
    </w:pPr>
    <w:rPr>
      <w:sz w:val="18"/>
      <w:szCs w:val="18"/>
    </w:rPr>
  </w:style>
  <w:style w:type="paragraph" w:styleId="14">
    <w:name w:val="index 8"/>
    <w:basedOn w:val="1"/>
    <w:next w:val="1"/>
    <w:qFormat/>
    <w:uiPriority w:val="0"/>
    <w:pPr>
      <w:ind w:left="1400" w:leftChars="1400"/>
    </w:pPr>
  </w:style>
  <w:style w:type="paragraph" w:styleId="15">
    <w:name w:val="Normal Indent"/>
    <w:basedOn w:val="1"/>
    <w:link w:val="110"/>
    <w:qFormat/>
    <w:uiPriority w:val="0"/>
    <w:pPr>
      <w:ind w:firstLine="420"/>
    </w:pPr>
    <w:rPr>
      <w:rFonts w:ascii="Calibri" w:hAnsi="Calibri"/>
    </w:rPr>
  </w:style>
  <w:style w:type="paragraph" w:styleId="16">
    <w:name w:val="caption"/>
    <w:basedOn w:val="1"/>
    <w:next w:val="1"/>
    <w:qFormat/>
    <w:uiPriority w:val="0"/>
    <w:rPr>
      <w:rFonts w:ascii="Arial" w:hAnsi="Arial" w:eastAsia="黑体" w:cs="Arial"/>
      <w:sz w:val="20"/>
    </w:rPr>
  </w:style>
  <w:style w:type="paragraph" w:styleId="17">
    <w:name w:val="index 5"/>
    <w:basedOn w:val="1"/>
    <w:next w:val="1"/>
    <w:qFormat/>
    <w:uiPriority w:val="0"/>
    <w:pPr>
      <w:ind w:left="800" w:leftChars="800"/>
    </w:pPr>
  </w:style>
  <w:style w:type="paragraph" w:styleId="18">
    <w:name w:val="Document Map"/>
    <w:basedOn w:val="1"/>
    <w:link w:val="193"/>
    <w:qFormat/>
    <w:uiPriority w:val="0"/>
    <w:pPr>
      <w:shd w:val="clear" w:color="auto" w:fill="000080"/>
    </w:pPr>
    <w:rPr>
      <w:rFonts w:ascii="Calibri" w:hAnsi="Calibri"/>
    </w:rPr>
  </w:style>
  <w:style w:type="paragraph" w:styleId="19">
    <w:name w:val="annotation text"/>
    <w:basedOn w:val="1"/>
    <w:link w:val="190"/>
    <w:qFormat/>
    <w:uiPriority w:val="0"/>
    <w:pPr>
      <w:jc w:val="left"/>
    </w:pPr>
    <w:rPr>
      <w:rFonts w:ascii="Calibri" w:hAnsi="Calibri"/>
    </w:rPr>
  </w:style>
  <w:style w:type="paragraph" w:styleId="20">
    <w:name w:val="index 6"/>
    <w:basedOn w:val="1"/>
    <w:next w:val="1"/>
    <w:qFormat/>
    <w:uiPriority w:val="0"/>
    <w:pPr>
      <w:ind w:left="1000" w:leftChars="1000"/>
    </w:pPr>
  </w:style>
  <w:style w:type="paragraph" w:styleId="21">
    <w:name w:val="Salutation"/>
    <w:basedOn w:val="1"/>
    <w:next w:val="1"/>
    <w:link w:val="218"/>
    <w:qFormat/>
    <w:uiPriority w:val="0"/>
    <w:pPr>
      <w:adjustRightInd w:val="0"/>
      <w:spacing w:after="20" w:line="288" w:lineRule="auto"/>
      <w:ind w:firstLine="420"/>
      <w:textAlignment w:val="baseline"/>
    </w:pPr>
    <w:rPr>
      <w:rFonts w:ascii="Calibri" w:hAnsi="Calibri"/>
      <w:sz w:val="28"/>
      <w:szCs w:val="24"/>
    </w:rPr>
  </w:style>
  <w:style w:type="paragraph" w:styleId="22">
    <w:name w:val="Body Text 3"/>
    <w:basedOn w:val="1"/>
    <w:link w:val="213"/>
    <w:qFormat/>
    <w:uiPriority w:val="0"/>
    <w:pPr>
      <w:adjustRightInd w:val="0"/>
      <w:spacing w:after="20" w:line="288" w:lineRule="auto"/>
      <w:jc w:val="center"/>
      <w:textAlignment w:val="baseline"/>
    </w:pPr>
    <w:rPr>
      <w:rFonts w:ascii="Calibri" w:hAnsi="Calibri"/>
      <w:b/>
      <w:bCs/>
      <w:sz w:val="24"/>
      <w:szCs w:val="24"/>
    </w:rPr>
  </w:style>
  <w:style w:type="paragraph" w:styleId="23">
    <w:name w:val="Closing"/>
    <w:basedOn w:val="1"/>
    <w:link w:val="113"/>
    <w:qFormat/>
    <w:uiPriority w:val="0"/>
    <w:pPr>
      <w:adjustRightInd w:val="0"/>
      <w:spacing w:after="20" w:line="288" w:lineRule="auto"/>
      <w:ind w:left="100" w:leftChars="2100" w:firstLine="420"/>
      <w:textAlignment w:val="baseline"/>
    </w:pPr>
    <w:rPr>
      <w:rFonts w:ascii="Calibri" w:hAnsi="Calibri"/>
      <w:sz w:val="28"/>
      <w:szCs w:val="24"/>
    </w:rPr>
  </w:style>
  <w:style w:type="paragraph" w:styleId="24">
    <w:name w:val="List Bullet 3"/>
    <w:basedOn w:val="1"/>
    <w:qFormat/>
    <w:uiPriority w:val="0"/>
    <w:pPr>
      <w:tabs>
        <w:tab w:val="left" w:pos="425"/>
        <w:tab w:val="left" w:pos="630"/>
        <w:tab w:val="left" w:pos="1620"/>
      </w:tabs>
      <w:ind w:left="630" w:hanging="420"/>
    </w:pPr>
    <w:rPr>
      <w:szCs w:val="24"/>
    </w:rPr>
  </w:style>
  <w:style w:type="paragraph" w:styleId="25">
    <w:name w:val="Body Text"/>
    <w:basedOn w:val="1"/>
    <w:next w:val="1"/>
    <w:link w:val="85"/>
    <w:qFormat/>
    <w:uiPriority w:val="0"/>
    <w:rPr>
      <w:rFonts w:ascii="华文中宋" w:hAnsi="Calibri" w:eastAsia="华文中宋"/>
      <w:bCs/>
      <w:sz w:val="28"/>
    </w:rPr>
  </w:style>
  <w:style w:type="paragraph" w:styleId="26">
    <w:name w:val="Block Text"/>
    <w:basedOn w:val="1"/>
    <w:qFormat/>
    <w:uiPriority w:val="0"/>
    <w:pPr>
      <w:adjustRightInd w:val="0"/>
      <w:ind w:left="420" w:right="33"/>
      <w:jc w:val="left"/>
      <w:textAlignment w:val="baseline"/>
    </w:pPr>
    <w:rPr>
      <w:kern w:val="0"/>
      <w:sz w:val="24"/>
    </w:rPr>
  </w:style>
  <w:style w:type="paragraph" w:styleId="27">
    <w:name w:val="List Bullet 2"/>
    <w:basedOn w:val="1"/>
    <w:qFormat/>
    <w:uiPriority w:val="0"/>
    <w:pPr>
      <w:numPr>
        <w:ilvl w:val="0"/>
        <w:numId w:val="1"/>
      </w:numPr>
      <w:tabs>
        <w:tab w:val="left" w:pos="780"/>
        <w:tab w:val="left" w:pos="900"/>
      </w:tabs>
      <w:ind w:left="780"/>
    </w:pPr>
    <w:rPr>
      <w:szCs w:val="24"/>
    </w:rPr>
  </w:style>
  <w:style w:type="paragraph" w:styleId="28">
    <w:name w:val="index 4"/>
    <w:basedOn w:val="1"/>
    <w:next w:val="1"/>
    <w:qFormat/>
    <w:uiPriority w:val="0"/>
    <w:pPr>
      <w:ind w:left="600" w:leftChars="600"/>
    </w:pPr>
  </w:style>
  <w:style w:type="paragraph" w:styleId="29">
    <w:name w:val="toc 5"/>
    <w:basedOn w:val="1"/>
    <w:next w:val="1"/>
    <w:qFormat/>
    <w:uiPriority w:val="39"/>
    <w:pPr>
      <w:adjustRightInd w:val="0"/>
      <w:spacing w:line="288" w:lineRule="auto"/>
      <w:ind w:left="840" w:firstLine="420"/>
      <w:jc w:val="left"/>
      <w:textAlignment w:val="baseline"/>
    </w:pPr>
    <w:rPr>
      <w:sz w:val="18"/>
      <w:szCs w:val="18"/>
    </w:rPr>
  </w:style>
  <w:style w:type="paragraph" w:styleId="30">
    <w:name w:val="toc 3"/>
    <w:basedOn w:val="1"/>
    <w:next w:val="1"/>
    <w:qFormat/>
    <w:uiPriority w:val="39"/>
    <w:pPr>
      <w:adjustRightInd w:val="0"/>
      <w:spacing w:line="288" w:lineRule="auto"/>
      <w:ind w:left="420" w:firstLine="420"/>
      <w:jc w:val="left"/>
      <w:textAlignment w:val="baseline"/>
    </w:pPr>
    <w:rPr>
      <w:iCs/>
      <w:sz w:val="20"/>
    </w:rPr>
  </w:style>
  <w:style w:type="paragraph" w:styleId="31">
    <w:name w:val="Plain Text"/>
    <w:basedOn w:val="1"/>
    <w:next w:val="1"/>
    <w:link w:val="210"/>
    <w:qFormat/>
    <w:uiPriority w:val="0"/>
    <w:rPr>
      <w:rFonts w:ascii="宋体" w:hAnsi="Courier New"/>
      <w:szCs w:val="21"/>
    </w:rPr>
  </w:style>
  <w:style w:type="paragraph" w:styleId="32">
    <w:name w:val="List Bullet 5"/>
    <w:basedOn w:val="1"/>
    <w:qFormat/>
    <w:uiPriority w:val="0"/>
    <w:pPr>
      <w:widowControl/>
      <w:tabs>
        <w:tab w:val="left" w:pos="552"/>
        <w:tab w:val="left" w:pos="2040"/>
      </w:tabs>
      <w:spacing w:line="360" w:lineRule="exact"/>
      <w:ind w:left="552" w:hanging="420"/>
    </w:pPr>
    <w:rPr>
      <w:rFonts w:eastAsia="楷体_GB2312"/>
      <w:sz w:val="24"/>
    </w:rPr>
  </w:style>
  <w:style w:type="paragraph" w:styleId="33">
    <w:name w:val="toc 8"/>
    <w:basedOn w:val="1"/>
    <w:next w:val="1"/>
    <w:qFormat/>
    <w:uiPriority w:val="39"/>
    <w:pPr>
      <w:adjustRightInd w:val="0"/>
      <w:spacing w:line="288" w:lineRule="auto"/>
      <w:ind w:left="1470" w:firstLine="420"/>
      <w:jc w:val="left"/>
      <w:textAlignment w:val="baseline"/>
    </w:pPr>
    <w:rPr>
      <w:sz w:val="18"/>
      <w:szCs w:val="18"/>
    </w:rPr>
  </w:style>
  <w:style w:type="paragraph" w:styleId="34">
    <w:name w:val="index 3"/>
    <w:basedOn w:val="1"/>
    <w:next w:val="1"/>
    <w:qFormat/>
    <w:uiPriority w:val="0"/>
    <w:pPr>
      <w:ind w:left="400" w:leftChars="400"/>
    </w:pPr>
  </w:style>
  <w:style w:type="paragraph" w:styleId="35">
    <w:name w:val="Date"/>
    <w:basedOn w:val="1"/>
    <w:next w:val="1"/>
    <w:link w:val="136"/>
    <w:qFormat/>
    <w:uiPriority w:val="0"/>
    <w:rPr>
      <w:rFonts w:ascii="Calibri" w:hAnsi="Calibri" w:eastAsia="黑体"/>
      <w:b/>
      <w:sz w:val="36"/>
    </w:rPr>
  </w:style>
  <w:style w:type="paragraph" w:styleId="36">
    <w:name w:val="Body Text Indent 2"/>
    <w:basedOn w:val="1"/>
    <w:link w:val="208"/>
    <w:qFormat/>
    <w:uiPriority w:val="0"/>
    <w:pPr>
      <w:ind w:left="900"/>
    </w:pPr>
    <w:rPr>
      <w:rFonts w:ascii="楷体_GB2312" w:hAnsi="Calibri" w:eastAsia="楷体_GB2312"/>
      <w:b/>
      <w:sz w:val="28"/>
    </w:rPr>
  </w:style>
  <w:style w:type="paragraph" w:styleId="37">
    <w:name w:val="Balloon Text"/>
    <w:basedOn w:val="1"/>
    <w:link w:val="221"/>
    <w:qFormat/>
    <w:uiPriority w:val="0"/>
    <w:rPr>
      <w:rFonts w:ascii="Calibri" w:hAnsi="Calibri"/>
      <w:sz w:val="18"/>
      <w:szCs w:val="18"/>
    </w:rPr>
  </w:style>
  <w:style w:type="paragraph" w:styleId="38">
    <w:name w:val="footer"/>
    <w:basedOn w:val="1"/>
    <w:next w:val="39"/>
    <w:link w:val="216"/>
    <w:qFormat/>
    <w:uiPriority w:val="99"/>
    <w:pPr>
      <w:tabs>
        <w:tab w:val="center" w:pos="4153"/>
        <w:tab w:val="right" w:pos="8306"/>
      </w:tabs>
      <w:snapToGrid w:val="0"/>
      <w:jc w:val="left"/>
    </w:pPr>
    <w:rPr>
      <w:rFonts w:ascii="Calibri" w:hAnsi="Calibri"/>
      <w:sz w:val="18"/>
    </w:rPr>
  </w:style>
  <w:style w:type="paragraph" w:customStyle="1" w:styleId="39">
    <w:name w:val="TOC Heading1"/>
    <w:next w:val="1"/>
    <w:qFormat/>
    <w:uiPriority w:val="0"/>
    <w:pPr>
      <w:wordWrap w:val="0"/>
    </w:pPr>
    <w:rPr>
      <w:rFonts w:ascii="Times New Roman" w:hAnsi="Times New Roman" w:eastAsia="宋体" w:cs="Times New Roman"/>
      <w:sz w:val="32"/>
      <w:szCs w:val="22"/>
      <w:lang w:val="en-US" w:eastAsia="zh-CN" w:bidi="ar-SA"/>
    </w:rPr>
  </w:style>
  <w:style w:type="paragraph" w:styleId="40">
    <w:name w:val="header"/>
    <w:basedOn w:val="1"/>
    <w:link w:val="107"/>
    <w:qFormat/>
    <w:uiPriority w:val="99"/>
    <w:pPr>
      <w:pBdr>
        <w:bottom w:val="single" w:color="auto" w:sz="6" w:space="1"/>
      </w:pBdr>
      <w:tabs>
        <w:tab w:val="center" w:pos="4153"/>
        <w:tab w:val="right" w:pos="8306"/>
      </w:tabs>
      <w:snapToGrid w:val="0"/>
      <w:jc w:val="center"/>
    </w:pPr>
    <w:rPr>
      <w:rFonts w:ascii="Calibri" w:hAnsi="Calibri"/>
      <w:sz w:val="18"/>
    </w:rPr>
  </w:style>
  <w:style w:type="paragraph" w:styleId="41">
    <w:name w:val="toc 1"/>
    <w:basedOn w:val="1"/>
    <w:next w:val="1"/>
    <w:qFormat/>
    <w:uiPriority w:val="39"/>
    <w:pPr>
      <w:tabs>
        <w:tab w:val="right" w:leader="dot" w:pos="8296"/>
      </w:tabs>
      <w:adjustRightInd w:val="0"/>
      <w:spacing w:before="120" w:after="120" w:line="288" w:lineRule="auto"/>
      <w:textAlignment w:val="baseline"/>
    </w:pPr>
    <w:rPr>
      <w:rFonts w:ascii="黑体" w:hAnsi="宋体" w:eastAsia="黑体"/>
      <w:caps/>
      <w:sz w:val="30"/>
      <w:szCs w:val="30"/>
    </w:rPr>
  </w:style>
  <w:style w:type="paragraph" w:styleId="42">
    <w:name w:val="toc 4"/>
    <w:basedOn w:val="1"/>
    <w:next w:val="1"/>
    <w:qFormat/>
    <w:uiPriority w:val="39"/>
    <w:pPr>
      <w:adjustRightInd w:val="0"/>
      <w:spacing w:line="288" w:lineRule="auto"/>
      <w:ind w:left="630" w:firstLine="420"/>
      <w:jc w:val="left"/>
      <w:textAlignment w:val="baseline"/>
    </w:pPr>
    <w:rPr>
      <w:sz w:val="18"/>
      <w:szCs w:val="18"/>
    </w:rPr>
  </w:style>
  <w:style w:type="paragraph" w:styleId="43">
    <w:name w:val="index heading"/>
    <w:basedOn w:val="1"/>
    <w:next w:val="44"/>
    <w:semiHidden/>
    <w:qFormat/>
    <w:uiPriority w:val="0"/>
    <w:rPr>
      <w:rFonts w:eastAsia="楷体_GB2312"/>
      <w:sz w:val="26"/>
    </w:rPr>
  </w:style>
  <w:style w:type="paragraph" w:styleId="44">
    <w:name w:val="index 1"/>
    <w:basedOn w:val="1"/>
    <w:next w:val="1"/>
    <w:qFormat/>
    <w:uiPriority w:val="0"/>
  </w:style>
  <w:style w:type="paragraph" w:styleId="45">
    <w:name w:val="Subtitle"/>
    <w:basedOn w:val="1"/>
    <w:next w:val="1"/>
    <w:link w:val="112"/>
    <w:qFormat/>
    <w:uiPriority w:val="0"/>
    <w:pPr>
      <w:spacing w:before="240" w:after="60" w:line="312" w:lineRule="auto"/>
      <w:jc w:val="center"/>
      <w:outlineLvl w:val="1"/>
    </w:pPr>
    <w:rPr>
      <w:rFonts w:ascii="幼圆" w:hAnsi="幼圆" w:eastAsia="Times New Roman"/>
      <w:b/>
      <w:bCs/>
      <w:kern w:val="28"/>
      <w:sz w:val="32"/>
      <w:szCs w:val="32"/>
    </w:rPr>
  </w:style>
  <w:style w:type="paragraph" w:styleId="46">
    <w:name w:val="List"/>
    <w:basedOn w:val="1"/>
    <w:qFormat/>
    <w:uiPriority w:val="0"/>
    <w:pPr>
      <w:numPr>
        <w:ilvl w:val="0"/>
        <w:numId w:val="2"/>
      </w:numPr>
      <w:tabs>
        <w:tab w:val="left" w:pos="420"/>
      </w:tabs>
      <w:autoSpaceDE w:val="0"/>
      <w:autoSpaceDN w:val="0"/>
      <w:adjustRightInd w:val="0"/>
      <w:spacing w:after="20" w:line="288" w:lineRule="auto"/>
      <w:textAlignment w:val="baseline"/>
    </w:pPr>
    <w:rPr>
      <w:kern w:val="0"/>
      <w:lang w:val="en-GB"/>
    </w:rPr>
  </w:style>
  <w:style w:type="paragraph" w:styleId="47">
    <w:name w:val="footnote text"/>
    <w:basedOn w:val="1"/>
    <w:link w:val="228"/>
    <w:qFormat/>
    <w:uiPriority w:val="0"/>
    <w:pPr>
      <w:adjustRightInd w:val="0"/>
      <w:spacing w:after="60" w:line="360" w:lineRule="exact"/>
      <w:ind w:firstLine="425"/>
      <w:jc w:val="left"/>
      <w:textAlignment w:val="baseline"/>
    </w:pPr>
    <w:rPr>
      <w:rFonts w:ascii="Calibri" w:hAnsi="Calibri"/>
      <w:kern w:val="0"/>
      <w:sz w:val="18"/>
      <w:szCs w:val="18"/>
    </w:rPr>
  </w:style>
  <w:style w:type="paragraph" w:styleId="48">
    <w:name w:val="toc 6"/>
    <w:basedOn w:val="1"/>
    <w:next w:val="1"/>
    <w:qFormat/>
    <w:uiPriority w:val="39"/>
    <w:pPr>
      <w:adjustRightInd w:val="0"/>
      <w:spacing w:line="288" w:lineRule="auto"/>
      <w:ind w:left="1050" w:firstLine="420"/>
      <w:jc w:val="left"/>
      <w:textAlignment w:val="baseline"/>
    </w:pPr>
    <w:rPr>
      <w:sz w:val="18"/>
      <w:szCs w:val="18"/>
    </w:rPr>
  </w:style>
  <w:style w:type="paragraph" w:styleId="49">
    <w:name w:val="Body Text Indent 3"/>
    <w:basedOn w:val="1"/>
    <w:link w:val="98"/>
    <w:qFormat/>
    <w:uiPriority w:val="0"/>
    <w:pPr>
      <w:ind w:left="359" w:leftChars="171" w:firstLine="359" w:firstLineChars="171"/>
    </w:pPr>
    <w:rPr>
      <w:rFonts w:ascii="Calibri" w:hAnsi="Calibri"/>
    </w:rPr>
  </w:style>
  <w:style w:type="paragraph" w:styleId="50">
    <w:name w:val="index 7"/>
    <w:basedOn w:val="1"/>
    <w:next w:val="1"/>
    <w:qFormat/>
    <w:uiPriority w:val="0"/>
    <w:pPr>
      <w:ind w:left="1200" w:leftChars="1200"/>
    </w:pPr>
  </w:style>
  <w:style w:type="paragraph" w:styleId="51">
    <w:name w:val="index 9"/>
    <w:basedOn w:val="1"/>
    <w:next w:val="1"/>
    <w:qFormat/>
    <w:uiPriority w:val="0"/>
    <w:pPr>
      <w:ind w:left="1600" w:leftChars="1600"/>
    </w:pPr>
  </w:style>
  <w:style w:type="paragraph" w:styleId="52">
    <w:name w:val="table of figures"/>
    <w:basedOn w:val="1"/>
    <w:next w:val="1"/>
    <w:semiHidden/>
    <w:qFormat/>
    <w:uiPriority w:val="0"/>
    <w:pPr>
      <w:adjustRightInd w:val="0"/>
      <w:ind w:left="420" w:hanging="420"/>
      <w:jc w:val="left"/>
      <w:textAlignment w:val="baseline"/>
    </w:pPr>
    <w:rPr>
      <w:rFonts w:eastAsia="楷体_GB2312"/>
      <w:smallCaps/>
      <w:sz w:val="24"/>
    </w:rPr>
  </w:style>
  <w:style w:type="paragraph" w:styleId="53">
    <w:name w:val="toc 2"/>
    <w:basedOn w:val="1"/>
    <w:next w:val="1"/>
    <w:qFormat/>
    <w:uiPriority w:val="39"/>
    <w:pPr>
      <w:adjustRightInd w:val="0"/>
      <w:spacing w:line="288" w:lineRule="auto"/>
      <w:ind w:left="210" w:firstLine="420"/>
      <w:jc w:val="left"/>
      <w:textAlignment w:val="baseline"/>
    </w:pPr>
    <w:rPr>
      <w:smallCaps/>
      <w:sz w:val="20"/>
    </w:rPr>
  </w:style>
  <w:style w:type="paragraph" w:styleId="54">
    <w:name w:val="toc 9"/>
    <w:basedOn w:val="1"/>
    <w:next w:val="1"/>
    <w:qFormat/>
    <w:uiPriority w:val="39"/>
    <w:pPr>
      <w:adjustRightInd w:val="0"/>
      <w:spacing w:line="288" w:lineRule="auto"/>
      <w:ind w:left="1680" w:firstLine="420"/>
      <w:jc w:val="left"/>
      <w:textAlignment w:val="baseline"/>
    </w:pPr>
    <w:rPr>
      <w:sz w:val="18"/>
      <w:szCs w:val="18"/>
    </w:rPr>
  </w:style>
  <w:style w:type="paragraph" w:styleId="55">
    <w:name w:val="Body Text 2"/>
    <w:basedOn w:val="1"/>
    <w:link w:val="162"/>
    <w:qFormat/>
    <w:uiPriority w:val="0"/>
    <w:pPr>
      <w:spacing w:after="120" w:line="480" w:lineRule="auto"/>
    </w:pPr>
    <w:rPr>
      <w:rFonts w:ascii="Calibri" w:hAnsi="Calibri"/>
    </w:rPr>
  </w:style>
  <w:style w:type="paragraph" w:styleId="5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20" w:line="288" w:lineRule="auto"/>
      <w:ind w:firstLine="420"/>
      <w:jc w:val="left"/>
      <w:textAlignment w:val="baseline"/>
    </w:pPr>
    <w:rPr>
      <w:rFonts w:ascii="黑体" w:hAnsi="Courier New" w:eastAsia="黑体"/>
      <w:kern w:val="0"/>
      <w:sz w:val="20"/>
    </w:rPr>
  </w:style>
  <w:style w:type="paragraph" w:styleId="57">
    <w:name w:val="Normal (Web)"/>
    <w:basedOn w:val="1"/>
    <w:link w:val="196"/>
    <w:qFormat/>
    <w:uiPriority w:val="0"/>
    <w:pPr>
      <w:spacing w:before="100" w:beforeAutospacing="1" w:after="100" w:afterAutospacing="1"/>
      <w:jc w:val="left"/>
    </w:pPr>
    <w:rPr>
      <w:rFonts w:ascii="Calibri" w:hAnsi="Calibri"/>
      <w:kern w:val="0"/>
      <w:sz w:val="24"/>
    </w:rPr>
  </w:style>
  <w:style w:type="paragraph" w:styleId="58">
    <w:name w:val="index 2"/>
    <w:basedOn w:val="1"/>
    <w:next w:val="1"/>
    <w:qFormat/>
    <w:uiPriority w:val="0"/>
    <w:pPr>
      <w:ind w:left="200" w:leftChars="200"/>
    </w:pPr>
  </w:style>
  <w:style w:type="paragraph" w:styleId="59">
    <w:name w:val="Title"/>
    <w:basedOn w:val="1"/>
    <w:link w:val="197"/>
    <w:qFormat/>
    <w:uiPriority w:val="0"/>
    <w:pPr>
      <w:adjustRightInd w:val="0"/>
      <w:spacing w:before="240" w:after="60" w:line="288" w:lineRule="auto"/>
      <w:ind w:firstLine="420"/>
      <w:jc w:val="center"/>
      <w:textAlignment w:val="baseline"/>
      <w:outlineLvl w:val="0"/>
    </w:pPr>
    <w:rPr>
      <w:rFonts w:ascii="Arial" w:hAnsi="Arial"/>
      <w:b/>
      <w:bCs/>
      <w:sz w:val="32"/>
      <w:szCs w:val="32"/>
    </w:rPr>
  </w:style>
  <w:style w:type="paragraph" w:styleId="60">
    <w:name w:val="annotation subject"/>
    <w:basedOn w:val="19"/>
    <w:next w:val="19"/>
    <w:link w:val="172"/>
    <w:qFormat/>
    <w:uiPriority w:val="0"/>
    <w:rPr>
      <w:b/>
      <w:bCs/>
      <w:szCs w:val="24"/>
    </w:rPr>
  </w:style>
  <w:style w:type="paragraph" w:styleId="61">
    <w:name w:val="Body Text First Indent"/>
    <w:basedOn w:val="25"/>
    <w:qFormat/>
    <w:uiPriority w:val="0"/>
    <w:pPr>
      <w:autoSpaceDE/>
      <w:autoSpaceDN/>
      <w:adjustRightInd/>
      <w:spacing w:after="120" w:afterLines="0" w:line="440" w:lineRule="exact"/>
      <w:ind w:firstLine="420" w:firstLineChars="100"/>
    </w:pPr>
    <w:rPr>
      <w:rFonts w:ascii="宋体" w:eastAsia="宋体"/>
      <w:kern w:val="2"/>
      <w:sz w:val="24"/>
      <w:szCs w:val="28"/>
    </w:rPr>
  </w:style>
  <w:style w:type="table" w:styleId="63">
    <w:name w:val="Table Grid"/>
    <w:basedOn w:val="6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0"/>
    <w:rPr>
      <w:b/>
      <w:bCs/>
    </w:rPr>
  </w:style>
  <w:style w:type="character" w:styleId="66">
    <w:name w:val="page number"/>
    <w:basedOn w:val="64"/>
    <w:qFormat/>
    <w:uiPriority w:val="0"/>
  </w:style>
  <w:style w:type="character" w:styleId="67">
    <w:name w:val="FollowedHyperlink"/>
    <w:qFormat/>
    <w:uiPriority w:val="99"/>
    <w:rPr>
      <w:color w:val="auto"/>
      <w:u w:val="none"/>
    </w:rPr>
  </w:style>
  <w:style w:type="character" w:styleId="68">
    <w:name w:val="Emphasis"/>
    <w:basedOn w:val="64"/>
    <w:qFormat/>
    <w:uiPriority w:val="0"/>
  </w:style>
  <w:style w:type="character" w:styleId="69">
    <w:name w:val="HTML Typewriter"/>
    <w:qFormat/>
    <w:uiPriority w:val="0"/>
    <w:rPr>
      <w:rFonts w:ascii="宋体" w:hAnsi="宋体" w:eastAsia="宋体" w:cs="宋体"/>
      <w:sz w:val="24"/>
      <w:szCs w:val="24"/>
    </w:rPr>
  </w:style>
  <w:style w:type="character" w:styleId="70">
    <w:name w:val="Hyperlink"/>
    <w:qFormat/>
    <w:uiPriority w:val="99"/>
    <w:rPr>
      <w:color w:val="auto"/>
      <w:u w:val="none"/>
    </w:rPr>
  </w:style>
  <w:style w:type="character" w:styleId="71">
    <w:name w:val="annotation reference"/>
    <w:qFormat/>
    <w:uiPriority w:val="0"/>
    <w:rPr>
      <w:sz w:val="21"/>
      <w:szCs w:val="21"/>
    </w:rPr>
  </w:style>
  <w:style w:type="character" w:styleId="72">
    <w:name w:val="footnote reference"/>
    <w:qFormat/>
    <w:uiPriority w:val="0"/>
    <w:rPr>
      <w:rFonts w:ascii="宋体" w:hAnsi="宋体" w:eastAsia="宋体"/>
      <w:vertAlign w:val="superscript"/>
    </w:rPr>
  </w:style>
  <w:style w:type="paragraph" w:customStyle="1" w:styleId="73">
    <w:name w:val="列出段落1"/>
    <w:qFormat/>
    <w:uiPriority w:val="0"/>
    <w:pPr>
      <w:ind w:firstLine="420" w:firstLineChars="200"/>
    </w:pPr>
    <w:rPr>
      <w:rFonts w:ascii="Times New Roman" w:hAnsi="Times New Roman" w:eastAsia="宋体" w:cs="Times New Roman"/>
      <w:lang w:val="en-US" w:eastAsia="zh-CN" w:bidi="ar-SA"/>
    </w:rPr>
  </w:style>
  <w:style w:type="character" w:customStyle="1" w:styleId="74">
    <w:name w:val="CITE"/>
    <w:qFormat/>
    <w:uiPriority w:val="0"/>
    <w:rPr>
      <w:i/>
    </w:rPr>
  </w:style>
  <w:style w:type="character" w:customStyle="1" w:styleId="75">
    <w:name w:val="Char Char35"/>
    <w:qFormat/>
    <w:uiPriority w:val="0"/>
    <w:rPr>
      <w:rFonts w:ascii="黑体" w:eastAsia="黑体"/>
      <w:b/>
      <w:bCs/>
      <w:kern w:val="44"/>
      <w:sz w:val="44"/>
      <w:szCs w:val="44"/>
    </w:rPr>
  </w:style>
  <w:style w:type="character" w:customStyle="1" w:styleId="76">
    <w:name w:val="Char Char26"/>
    <w:qFormat/>
    <w:uiPriority w:val="0"/>
    <w:rPr>
      <w:rFonts w:ascii="仿宋_GB2312" w:eastAsia="仿宋_GB2312"/>
      <w:sz w:val="28"/>
    </w:rPr>
  </w:style>
  <w:style w:type="character" w:customStyle="1" w:styleId="77">
    <w:name w:val="文档结构图 Char1"/>
    <w:qFormat/>
    <w:uiPriority w:val="0"/>
    <w:rPr>
      <w:rFonts w:ascii="华文细黑"/>
      <w:kern w:val="2"/>
      <w:sz w:val="18"/>
      <w:szCs w:val="18"/>
    </w:rPr>
  </w:style>
  <w:style w:type="character" w:customStyle="1" w:styleId="78">
    <w:name w:val="正文首行缩进 2 Char1"/>
    <w:qFormat/>
    <w:uiPriority w:val="0"/>
    <w:rPr>
      <w:b/>
      <w:kern w:val="2"/>
      <w:sz w:val="30"/>
    </w:rPr>
  </w:style>
  <w:style w:type="character" w:customStyle="1" w:styleId="79">
    <w:name w:val="正文文本缩进 Char2"/>
    <w:link w:val="3"/>
    <w:qFormat/>
    <w:uiPriority w:val="0"/>
    <w:rPr>
      <w:b/>
      <w:kern w:val="2"/>
      <w:sz w:val="30"/>
    </w:rPr>
  </w:style>
  <w:style w:type="character" w:customStyle="1" w:styleId="80">
    <w:name w:val="标题4 Char Char"/>
    <w:link w:val="81"/>
    <w:qFormat/>
    <w:uiPriority w:val="0"/>
    <w:rPr>
      <w:rFonts w:ascii="Arial" w:hAnsi="Arial"/>
      <w:b/>
      <w:bCs/>
      <w:sz w:val="24"/>
      <w:szCs w:val="32"/>
    </w:rPr>
  </w:style>
  <w:style w:type="paragraph" w:customStyle="1" w:styleId="81">
    <w:name w:val="标题4"/>
    <w:basedOn w:val="5"/>
    <w:next w:val="28"/>
    <w:link w:val="80"/>
    <w:qFormat/>
    <w:uiPriority w:val="0"/>
    <w:pPr>
      <w:keepLines/>
      <w:spacing w:before="260" w:after="260" w:line="413" w:lineRule="auto"/>
      <w:jc w:val="both"/>
    </w:pPr>
    <w:rPr>
      <w:rFonts w:ascii="Arial" w:hAnsi="Arial" w:eastAsia="宋体"/>
      <w:kern w:val="0"/>
      <w:sz w:val="24"/>
      <w:szCs w:val="32"/>
    </w:rPr>
  </w:style>
  <w:style w:type="character" w:customStyle="1" w:styleId="82">
    <w:name w:val="Char Char14"/>
    <w:qFormat/>
    <w:uiPriority w:val="0"/>
    <w:rPr>
      <w:rFonts w:ascii="仿宋_GB2312" w:eastAsia="仿宋_GB2312"/>
      <w:sz w:val="28"/>
    </w:rPr>
  </w:style>
  <w:style w:type="character" w:customStyle="1" w:styleId="83">
    <w:name w:val="Char Char20"/>
    <w:qFormat/>
    <w:uiPriority w:val="0"/>
    <w:rPr>
      <w:rFonts w:ascii="宋体" w:hAnsi="宋体"/>
      <w:sz w:val="24"/>
      <w:szCs w:val="24"/>
    </w:rPr>
  </w:style>
  <w:style w:type="character" w:customStyle="1" w:styleId="84">
    <w:name w:val="标题 9 Char"/>
    <w:link w:val="12"/>
    <w:qFormat/>
    <w:uiPriority w:val="0"/>
    <w:rPr>
      <w:rFonts w:ascii="Arial" w:hAnsi="Arial" w:eastAsia="黑体"/>
      <w:kern w:val="2"/>
      <w:sz w:val="21"/>
      <w:szCs w:val="24"/>
    </w:rPr>
  </w:style>
  <w:style w:type="character" w:customStyle="1" w:styleId="85">
    <w:name w:val="正文文本 Char"/>
    <w:link w:val="25"/>
    <w:qFormat/>
    <w:uiPriority w:val="0"/>
    <w:rPr>
      <w:rFonts w:ascii="华文中宋" w:eastAsia="华文中宋"/>
      <w:bCs/>
      <w:kern w:val="2"/>
      <w:sz w:val="28"/>
    </w:rPr>
  </w:style>
  <w:style w:type="character" w:customStyle="1" w:styleId="86">
    <w:name w:val="HTML 预设格式 Char"/>
    <w:link w:val="56"/>
    <w:qFormat/>
    <w:uiPriority w:val="0"/>
    <w:rPr>
      <w:rFonts w:ascii="黑体" w:hAnsi="Courier New" w:eastAsia="黑体"/>
    </w:rPr>
  </w:style>
  <w:style w:type="character" w:customStyle="1" w:styleId="87">
    <w:name w:val="Para head"/>
    <w:qFormat/>
    <w:uiPriority w:val="0"/>
    <w:rPr>
      <w:rFonts w:ascii="Arial" w:hAnsi="Arial" w:eastAsia="Times New Roman"/>
      <w:sz w:val="20"/>
    </w:rPr>
  </w:style>
  <w:style w:type="character" w:customStyle="1" w:styleId="88">
    <w:name w:val="Char Char9"/>
    <w:qFormat/>
    <w:uiPriority w:val="0"/>
    <w:rPr>
      <w:kern w:val="2"/>
      <w:sz w:val="30"/>
      <w:szCs w:val="24"/>
    </w:rPr>
  </w:style>
  <w:style w:type="character" w:customStyle="1" w:styleId="89">
    <w:name w:val="引用 Char2"/>
    <w:qFormat/>
    <w:uiPriority w:val="29"/>
    <w:rPr>
      <w:rFonts w:ascii="Times New Roman" w:hAnsi="Times New Roman" w:eastAsia="宋体" w:cs="Times New Roman"/>
      <w:i/>
      <w:iCs/>
      <w:color w:val="000000"/>
      <w:szCs w:val="24"/>
    </w:rPr>
  </w:style>
  <w:style w:type="character" w:customStyle="1" w:styleId="90">
    <w:name w:val="Char Char24"/>
    <w:qFormat/>
    <w:uiPriority w:val="0"/>
    <w:rPr>
      <w:kern w:val="2"/>
      <w:sz w:val="18"/>
      <w:szCs w:val="18"/>
    </w:rPr>
  </w:style>
  <w:style w:type="character" w:customStyle="1" w:styleId="91">
    <w:name w:val="批注框文本 字符"/>
    <w:qFormat/>
    <w:uiPriority w:val="0"/>
    <w:rPr>
      <w:rFonts w:ascii="宋体" w:hAnsi="Times New Roman"/>
      <w:sz w:val="18"/>
      <w:szCs w:val="18"/>
    </w:rPr>
  </w:style>
  <w:style w:type="character" w:customStyle="1" w:styleId="92">
    <w:name w:val="批注文字 字符"/>
    <w:qFormat/>
    <w:uiPriority w:val="0"/>
    <w:rPr>
      <w:kern w:val="2"/>
      <w:sz w:val="21"/>
      <w:szCs w:val="22"/>
    </w:rPr>
  </w:style>
  <w:style w:type="character" w:customStyle="1" w:styleId="93">
    <w:name w:val="列出段落 Char"/>
    <w:link w:val="94"/>
    <w:qFormat/>
    <w:uiPriority w:val="34"/>
    <w:rPr>
      <w:rFonts w:ascii="Calibri" w:hAnsi="Calibri"/>
      <w:kern w:val="2"/>
      <w:sz w:val="21"/>
      <w:szCs w:val="22"/>
    </w:rPr>
  </w:style>
  <w:style w:type="paragraph" w:styleId="94">
    <w:name w:val="List Paragraph"/>
    <w:basedOn w:val="1"/>
    <w:link w:val="93"/>
    <w:qFormat/>
    <w:uiPriority w:val="34"/>
    <w:pPr>
      <w:ind w:firstLine="420" w:firstLineChars="200"/>
    </w:pPr>
    <w:rPr>
      <w:rFonts w:ascii="Calibri" w:hAnsi="Calibri"/>
      <w:szCs w:val="22"/>
    </w:rPr>
  </w:style>
  <w:style w:type="character" w:customStyle="1" w:styleId="95">
    <w:name w:val="正文文本 3 Char1"/>
    <w:qFormat/>
    <w:uiPriority w:val="0"/>
    <w:rPr>
      <w:kern w:val="2"/>
      <w:sz w:val="16"/>
      <w:szCs w:val="16"/>
    </w:rPr>
  </w:style>
  <w:style w:type="character" w:customStyle="1" w:styleId="96">
    <w:name w:val="正文文本缩进 Char"/>
    <w:qFormat/>
    <w:uiPriority w:val="0"/>
    <w:rPr>
      <w:rFonts w:ascii="仿宋_GB2312" w:eastAsia="仿宋_GB2312"/>
      <w:sz w:val="28"/>
      <w:lang w:val="en-US" w:eastAsia="zh-CN" w:bidi="ar-SA"/>
    </w:rPr>
  </w:style>
  <w:style w:type="character" w:customStyle="1" w:styleId="97">
    <w:name w:val="不明显参考1"/>
    <w:qFormat/>
    <w:uiPriority w:val="0"/>
    <w:rPr>
      <w:smallCaps/>
      <w:color w:val="C0504D"/>
      <w:u w:val="single"/>
    </w:rPr>
  </w:style>
  <w:style w:type="character" w:customStyle="1" w:styleId="98">
    <w:name w:val="正文文本缩进 3 Char"/>
    <w:link w:val="49"/>
    <w:qFormat/>
    <w:uiPriority w:val="0"/>
    <w:rPr>
      <w:kern w:val="2"/>
      <w:sz w:val="21"/>
    </w:rPr>
  </w:style>
  <w:style w:type="character" w:customStyle="1" w:styleId="99">
    <w:name w:val="正文文本缩进 Char1"/>
    <w:qFormat/>
    <w:uiPriority w:val="99"/>
    <w:rPr>
      <w:rFonts w:ascii="仿宋_GB2312" w:eastAsia="仿宋_GB2312"/>
      <w:sz w:val="28"/>
    </w:rPr>
  </w:style>
  <w:style w:type="character" w:customStyle="1" w:styleId="100">
    <w:name w:val="副标题 Char3"/>
    <w:qFormat/>
    <w:uiPriority w:val="0"/>
    <w:rPr>
      <w:rFonts w:ascii="Cambria" w:hAnsi="Cambria" w:cs="Times New Roman"/>
      <w:b/>
      <w:bCs/>
      <w:kern w:val="28"/>
      <w:sz w:val="32"/>
      <w:szCs w:val="32"/>
    </w:rPr>
  </w:style>
  <w:style w:type="character" w:customStyle="1" w:styleId="101">
    <w:name w:val="引用 Char1"/>
    <w:qFormat/>
    <w:uiPriority w:val="29"/>
    <w:rPr>
      <w:i/>
      <w:iCs/>
      <w:color w:val="000000"/>
      <w:kern w:val="2"/>
      <w:sz w:val="21"/>
      <w:szCs w:val="24"/>
    </w:rPr>
  </w:style>
  <w:style w:type="character" w:customStyle="1" w:styleId="102">
    <w:name w:val="Char Char23"/>
    <w:qFormat/>
    <w:uiPriority w:val="0"/>
    <w:rPr>
      <w:b/>
      <w:bCs/>
      <w:kern w:val="2"/>
      <w:sz w:val="24"/>
      <w:szCs w:val="24"/>
    </w:rPr>
  </w:style>
  <w:style w:type="character" w:customStyle="1" w:styleId="103">
    <w:name w:val="HTML Markup"/>
    <w:qFormat/>
    <w:uiPriority w:val="0"/>
    <w:rPr>
      <w:vanish/>
      <w:color w:val="FF0000"/>
    </w:rPr>
  </w:style>
  <w:style w:type="character" w:customStyle="1" w:styleId="104">
    <w:name w:val="标题 3 字符"/>
    <w:qFormat/>
    <w:uiPriority w:val="0"/>
    <w:rPr>
      <w:b/>
      <w:bCs/>
      <w:kern w:val="2"/>
      <w:sz w:val="32"/>
      <w:szCs w:val="32"/>
    </w:rPr>
  </w:style>
  <w:style w:type="character" w:customStyle="1" w:styleId="105">
    <w:name w:val="Typewriter"/>
    <w:qFormat/>
    <w:uiPriority w:val="0"/>
    <w:rPr>
      <w:rFonts w:ascii="华文细黑" w:hAnsi="华文细黑"/>
      <w:sz w:val="20"/>
    </w:rPr>
  </w:style>
  <w:style w:type="character" w:customStyle="1" w:styleId="106">
    <w:name w:val="样式 标题 3 + (中文) 黑体 小四 非加粗 段前: 7.8 磅 段后: 0 磅 行距: 固定值 20 磅 Char"/>
    <w:qFormat/>
    <w:uiPriority w:val="0"/>
    <w:rPr>
      <w:rFonts w:ascii="幼圆" w:hAnsi="华文细黑" w:eastAsia="幼圆" w:cs="华文细黑"/>
      <w:b/>
      <w:bCs/>
      <w:kern w:val="2"/>
      <w:sz w:val="24"/>
      <w:lang w:val="en-US" w:eastAsia="zh-CN" w:bidi="ar-SA"/>
    </w:rPr>
  </w:style>
  <w:style w:type="character" w:customStyle="1" w:styleId="107">
    <w:name w:val="页眉 Char1"/>
    <w:link w:val="40"/>
    <w:qFormat/>
    <w:uiPriority w:val="99"/>
    <w:rPr>
      <w:kern w:val="2"/>
      <w:sz w:val="18"/>
    </w:rPr>
  </w:style>
  <w:style w:type="character" w:customStyle="1" w:styleId="108">
    <w:name w:val="Char Char6"/>
    <w:qFormat/>
    <w:uiPriority w:val="0"/>
    <w:rPr>
      <w:kern w:val="2"/>
      <w:sz w:val="21"/>
      <w:szCs w:val="24"/>
    </w:rPr>
  </w:style>
  <w:style w:type="character" w:customStyle="1" w:styleId="109">
    <w:name w:val="标题 2 Char"/>
    <w:link w:val="5"/>
    <w:qFormat/>
    <w:uiPriority w:val="9"/>
    <w:rPr>
      <w:rFonts w:ascii="楷体_GB2312" w:eastAsia="楷体_GB2312"/>
      <w:b/>
      <w:bCs/>
      <w:kern w:val="2"/>
      <w:sz w:val="18"/>
    </w:rPr>
  </w:style>
  <w:style w:type="character" w:customStyle="1" w:styleId="110">
    <w:name w:val="正文缩进 Char"/>
    <w:link w:val="15"/>
    <w:qFormat/>
    <w:uiPriority w:val="0"/>
    <w:rPr>
      <w:kern w:val="2"/>
      <w:sz w:val="21"/>
    </w:rPr>
  </w:style>
  <w:style w:type="character" w:customStyle="1" w:styleId="111">
    <w:name w:val="引用 字符"/>
    <w:qFormat/>
    <w:uiPriority w:val="0"/>
    <w:rPr>
      <w:i/>
      <w:iCs/>
      <w:color w:val="000000"/>
      <w:kern w:val="2"/>
      <w:sz w:val="21"/>
      <w:szCs w:val="22"/>
    </w:rPr>
  </w:style>
  <w:style w:type="character" w:customStyle="1" w:styleId="112">
    <w:name w:val="副标题 Char"/>
    <w:link w:val="45"/>
    <w:qFormat/>
    <w:uiPriority w:val="0"/>
    <w:rPr>
      <w:rFonts w:ascii="幼圆" w:hAnsi="幼圆" w:eastAsia="Times New Roman"/>
      <w:b/>
      <w:bCs/>
      <w:kern w:val="28"/>
      <w:sz w:val="32"/>
      <w:szCs w:val="32"/>
      <w:lang w:val="en-US" w:eastAsia="zh-CN"/>
    </w:rPr>
  </w:style>
  <w:style w:type="character" w:customStyle="1" w:styleId="113">
    <w:name w:val="结束语 Char"/>
    <w:link w:val="23"/>
    <w:qFormat/>
    <w:uiPriority w:val="0"/>
    <w:rPr>
      <w:kern w:val="2"/>
      <w:sz w:val="28"/>
      <w:szCs w:val="24"/>
    </w:rPr>
  </w:style>
  <w:style w:type="character" w:customStyle="1" w:styleId="114">
    <w:name w:val="书籍标题1"/>
    <w:qFormat/>
    <w:uiPriority w:val="0"/>
    <w:rPr>
      <w:b/>
      <w:bCs/>
      <w:smallCaps/>
      <w:spacing w:val="5"/>
    </w:rPr>
  </w:style>
  <w:style w:type="character" w:customStyle="1" w:styleId="115">
    <w:name w:val="副标题 字符"/>
    <w:qFormat/>
    <w:uiPriority w:val="0"/>
    <w:rPr>
      <w:rFonts w:ascii="Cambria" w:hAnsi="Cambria" w:cs="Times New Roman"/>
      <w:b/>
      <w:bCs/>
      <w:kern w:val="28"/>
      <w:sz w:val="32"/>
      <w:szCs w:val="32"/>
    </w:rPr>
  </w:style>
  <w:style w:type="character" w:customStyle="1" w:styleId="116">
    <w:name w:val="Char Char1"/>
    <w:qFormat/>
    <w:uiPriority w:val="0"/>
    <w:rPr>
      <w:rFonts w:ascii="幼圆" w:hAnsi="Tahoma" w:eastAsia="幼圆" w:cs="Tahoma"/>
      <w:b/>
      <w:bCs/>
      <w:kern w:val="2"/>
      <w:sz w:val="32"/>
      <w:szCs w:val="32"/>
      <w:lang w:val="en-US" w:eastAsia="zh-CN" w:bidi="ar-SA"/>
    </w:rPr>
  </w:style>
  <w:style w:type="character" w:customStyle="1" w:styleId="117">
    <w:name w:val="批注主题 字符"/>
    <w:qFormat/>
    <w:uiPriority w:val="0"/>
    <w:rPr>
      <w:rFonts w:ascii="宋体" w:hAnsi="Times New Roman"/>
      <w:b/>
      <w:bCs/>
      <w:sz w:val="28"/>
    </w:rPr>
  </w:style>
  <w:style w:type="character" w:customStyle="1" w:styleId="118">
    <w:name w:val="标题 7 字符"/>
    <w:qFormat/>
    <w:uiPriority w:val="0"/>
    <w:rPr>
      <w:b/>
      <w:bCs/>
      <w:kern w:val="2"/>
      <w:sz w:val="24"/>
      <w:szCs w:val="24"/>
    </w:rPr>
  </w:style>
  <w:style w:type="character" w:customStyle="1" w:styleId="119">
    <w:name w:val="标题 4 Char"/>
    <w:link w:val="7"/>
    <w:qFormat/>
    <w:uiPriority w:val="0"/>
    <w:rPr>
      <w:rFonts w:eastAsia="楷体_GB2312"/>
      <w:b/>
      <w:bCs/>
      <w:kern w:val="2"/>
      <w:sz w:val="13"/>
    </w:rPr>
  </w:style>
  <w:style w:type="character" w:customStyle="1" w:styleId="120">
    <w:name w:val="Char Char21"/>
    <w:qFormat/>
    <w:uiPriority w:val="0"/>
    <w:rPr>
      <w:rFonts w:ascii="Arial" w:hAnsi="Arial" w:cs="Arial"/>
      <w:b/>
      <w:bCs/>
      <w:kern w:val="2"/>
      <w:sz w:val="32"/>
      <w:szCs w:val="32"/>
    </w:rPr>
  </w:style>
  <w:style w:type="character" w:customStyle="1" w:styleId="121">
    <w:name w:val="表格正文 Char"/>
    <w:link w:val="122"/>
    <w:qFormat/>
    <w:uiPriority w:val="0"/>
    <w:rPr>
      <w:kern w:val="2"/>
      <w:sz w:val="21"/>
      <w:szCs w:val="24"/>
    </w:rPr>
  </w:style>
  <w:style w:type="paragraph" w:customStyle="1" w:styleId="122">
    <w:name w:val="表格正文"/>
    <w:basedOn w:val="1"/>
    <w:link w:val="121"/>
    <w:qFormat/>
    <w:uiPriority w:val="0"/>
    <w:rPr>
      <w:rFonts w:ascii="Calibri" w:hAnsi="Calibri"/>
      <w:szCs w:val="24"/>
    </w:rPr>
  </w:style>
  <w:style w:type="character" w:customStyle="1" w:styleId="123">
    <w:name w:val="Char Char"/>
    <w:qFormat/>
    <w:uiPriority w:val="0"/>
    <w:rPr>
      <w:rFonts w:eastAsia="宋体"/>
      <w:b/>
      <w:bCs/>
      <w:sz w:val="32"/>
      <w:szCs w:val="44"/>
      <w:lang w:val="en-US" w:eastAsia="zh-CN" w:bidi="ar-SA"/>
    </w:rPr>
  </w:style>
  <w:style w:type="character" w:customStyle="1" w:styleId="124">
    <w:name w:val="正文文本 字符"/>
    <w:qFormat/>
    <w:uiPriority w:val="0"/>
    <w:rPr>
      <w:rFonts w:ascii="Times New Roman" w:hAnsi="Times New Roman"/>
    </w:rPr>
  </w:style>
  <w:style w:type="character" w:customStyle="1" w:styleId="125">
    <w:name w:val="引用 Char"/>
    <w:link w:val="126"/>
    <w:qFormat/>
    <w:uiPriority w:val="0"/>
    <w:rPr>
      <w:i/>
      <w:iCs/>
      <w:color w:val="000000"/>
      <w:kern w:val="2"/>
      <w:sz w:val="21"/>
      <w:szCs w:val="22"/>
    </w:rPr>
  </w:style>
  <w:style w:type="paragraph" w:styleId="126">
    <w:name w:val="Quote"/>
    <w:basedOn w:val="1"/>
    <w:next w:val="1"/>
    <w:link w:val="125"/>
    <w:qFormat/>
    <w:uiPriority w:val="0"/>
    <w:rPr>
      <w:rFonts w:ascii="Calibri" w:hAnsi="Calibri"/>
      <w:i/>
      <w:iCs/>
      <w:color w:val="000000"/>
      <w:szCs w:val="22"/>
    </w:rPr>
  </w:style>
  <w:style w:type="character" w:customStyle="1" w:styleId="127">
    <w:name w:val="Char Char Char"/>
    <w:qFormat/>
    <w:uiPriority w:val="0"/>
    <w:rPr>
      <w:rFonts w:ascii="宋体" w:hAnsi="宋体" w:eastAsia="宋体"/>
      <w:b/>
      <w:sz w:val="24"/>
      <w:lang w:val="en-US" w:eastAsia="zh-CN" w:bidi="ar-SA"/>
    </w:rPr>
  </w:style>
  <w:style w:type="character" w:customStyle="1" w:styleId="128">
    <w:name w:val="Char Char10"/>
    <w:qFormat/>
    <w:uiPriority w:val="0"/>
    <w:rPr>
      <w:rFonts w:ascii="黑体" w:hAnsi="Courier New" w:eastAsia="黑体"/>
    </w:rPr>
  </w:style>
  <w:style w:type="character" w:customStyle="1" w:styleId="129">
    <w:name w:val="textcontents"/>
    <w:qFormat/>
    <w:uiPriority w:val="0"/>
    <w:rPr>
      <w:rFonts w:cs="Cambria"/>
    </w:rPr>
  </w:style>
  <w:style w:type="character" w:customStyle="1" w:styleId="130">
    <w:name w:val="明显强调1"/>
    <w:qFormat/>
    <w:uiPriority w:val="0"/>
    <w:rPr>
      <w:b/>
      <w:bCs/>
      <w:i/>
      <w:iCs/>
      <w:color w:val="4F81BD"/>
    </w:rPr>
  </w:style>
  <w:style w:type="character" w:customStyle="1" w:styleId="131">
    <w:name w:val="标题 Char1"/>
    <w:qFormat/>
    <w:uiPriority w:val="10"/>
    <w:rPr>
      <w:rFonts w:ascii="Cambria" w:hAnsi="Cambria" w:eastAsia="宋体" w:cs="Times New Roman"/>
      <w:b/>
      <w:bCs/>
      <w:sz w:val="32"/>
      <w:szCs w:val="32"/>
    </w:rPr>
  </w:style>
  <w:style w:type="character" w:customStyle="1" w:styleId="132">
    <w:name w:val="标题 5 字符"/>
    <w:qFormat/>
    <w:uiPriority w:val="0"/>
    <w:rPr>
      <w:b/>
      <w:bCs/>
      <w:kern w:val="2"/>
      <w:sz w:val="28"/>
      <w:szCs w:val="28"/>
    </w:rPr>
  </w:style>
  <w:style w:type="character" w:customStyle="1" w:styleId="133">
    <w:name w:val="明显引用 Char1"/>
    <w:qFormat/>
    <w:uiPriority w:val="30"/>
    <w:rPr>
      <w:b/>
      <w:bCs/>
      <w:i/>
      <w:iCs/>
      <w:color w:val="4F81BD"/>
      <w:kern w:val="2"/>
      <w:sz w:val="21"/>
      <w:szCs w:val="24"/>
    </w:rPr>
  </w:style>
  <w:style w:type="character" w:customStyle="1" w:styleId="134">
    <w:name w:val="批注文字 Char"/>
    <w:qFormat/>
    <w:uiPriority w:val="0"/>
    <w:rPr>
      <w:kern w:val="2"/>
      <w:sz w:val="21"/>
      <w:szCs w:val="24"/>
    </w:rPr>
  </w:style>
  <w:style w:type="character" w:customStyle="1" w:styleId="135">
    <w:name w:val="Char Char30"/>
    <w:qFormat/>
    <w:uiPriority w:val="0"/>
    <w:rPr>
      <w:b/>
      <w:kern w:val="2"/>
      <w:sz w:val="24"/>
      <w:szCs w:val="24"/>
    </w:rPr>
  </w:style>
  <w:style w:type="character" w:customStyle="1" w:styleId="136">
    <w:name w:val="日期 Char"/>
    <w:link w:val="35"/>
    <w:qFormat/>
    <w:uiPriority w:val="0"/>
    <w:rPr>
      <w:rFonts w:eastAsia="黑体"/>
      <w:b/>
      <w:kern w:val="2"/>
      <w:sz w:val="36"/>
    </w:rPr>
  </w:style>
  <w:style w:type="character" w:customStyle="1" w:styleId="137">
    <w:name w:val="明显参考1"/>
    <w:qFormat/>
    <w:uiPriority w:val="0"/>
    <w:rPr>
      <w:b/>
      <w:bCs/>
      <w:smallCaps/>
      <w:color w:val="C0504D"/>
      <w:spacing w:val="5"/>
      <w:u w:val="single"/>
    </w:rPr>
  </w:style>
  <w:style w:type="character" w:customStyle="1" w:styleId="138">
    <w:name w:val="标题 7 Char"/>
    <w:link w:val="10"/>
    <w:qFormat/>
    <w:uiPriority w:val="0"/>
    <w:rPr>
      <w:b/>
      <w:kern w:val="2"/>
      <w:sz w:val="24"/>
      <w:szCs w:val="24"/>
    </w:rPr>
  </w:style>
  <w:style w:type="character" w:customStyle="1" w:styleId="139">
    <w:name w:val="标题 8 Char"/>
    <w:link w:val="11"/>
    <w:qFormat/>
    <w:uiPriority w:val="0"/>
    <w:rPr>
      <w:rFonts w:ascii="Arial" w:hAnsi="Arial" w:eastAsia="黑体"/>
      <w:kern w:val="2"/>
      <w:sz w:val="24"/>
      <w:szCs w:val="24"/>
    </w:rPr>
  </w:style>
  <w:style w:type="character" w:customStyle="1" w:styleId="140">
    <w:name w:val="副标题 Char2"/>
    <w:qFormat/>
    <w:uiPriority w:val="11"/>
    <w:rPr>
      <w:rFonts w:ascii="Cambria" w:hAnsi="Cambria" w:eastAsia="宋体" w:cs="Times New Roman"/>
      <w:b/>
      <w:bCs/>
      <w:kern w:val="28"/>
      <w:sz w:val="32"/>
      <w:szCs w:val="32"/>
    </w:rPr>
  </w:style>
  <w:style w:type="character" w:customStyle="1" w:styleId="141">
    <w:name w:val="明显引用 Char3"/>
    <w:qFormat/>
    <w:uiPriority w:val="99"/>
    <w:rPr>
      <w:b/>
      <w:bCs/>
      <w:i/>
      <w:iCs/>
      <w:color w:val="4F81BD"/>
      <w:kern w:val="2"/>
      <w:sz w:val="21"/>
    </w:rPr>
  </w:style>
  <w:style w:type="character" w:customStyle="1" w:styleId="142">
    <w:name w:val="副标题 Char1"/>
    <w:qFormat/>
    <w:uiPriority w:val="11"/>
    <w:rPr>
      <w:rFonts w:ascii="幼圆" w:hAnsi="幼圆" w:cs="Cambria"/>
      <w:b/>
      <w:bCs/>
      <w:kern w:val="28"/>
      <w:sz w:val="32"/>
      <w:szCs w:val="32"/>
    </w:rPr>
  </w:style>
  <w:style w:type="character" w:customStyle="1" w:styleId="143">
    <w:name w:val="页眉 字符"/>
    <w:qFormat/>
    <w:uiPriority w:val="0"/>
    <w:rPr>
      <w:kern w:val="2"/>
      <w:sz w:val="18"/>
      <w:szCs w:val="18"/>
    </w:rPr>
  </w:style>
  <w:style w:type="character" w:customStyle="1" w:styleId="144">
    <w:name w:val="标题 6 字符"/>
    <w:qFormat/>
    <w:uiPriority w:val="0"/>
    <w:rPr>
      <w:rFonts w:ascii="Cambria" w:hAnsi="Cambria" w:eastAsia="宋体" w:cs="Times New Roman"/>
      <w:b/>
      <w:bCs/>
      <w:kern w:val="2"/>
      <w:sz w:val="24"/>
      <w:szCs w:val="24"/>
    </w:rPr>
  </w:style>
  <w:style w:type="character" w:customStyle="1" w:styleId="145">
    <w:name w:val="标题 3 Char"/>
    <w:link w:val="6"/>
    <w:qFormat/>
    <w:uiPriority w:val="0"/>
    <w:rPr>
      <w:rFonts w:eastAsia="楷体_GB2312"/>
      <w:b/>
      <w:bCs/>
      <w:kern w:val="2"/>
      <w:sz w:val="15"/>
    </w:rPr>
  </w:style>
  <w:style w:type="character" w:customStyle="1" w:styleId="146">
    <w:name w:val="Char Char7"/>
    <w:qFormat/>
    <w:uiPriority w:val="0"/>
    <w:rPr>
      <w:rFonts w:ascii="幼圆" w:hAnsi="幼圆" w:eastAsia="Times New Roman"/>
      <w:b/>
      <w:bCs/>
      <w:kern w:val="28"/>
      <w:sz w:val="32"/>
      <w:szCs w:val="32"/>
      <w:lang w:val="en-US" w:eastAsia="zh-CN"/>
    </w:rPr>
  </w:style>
  <w:style w:type="character" w:customStyle="1" w:styleId="147">
    <w:name w:val="正文文本 Char1"/>
    <w:qFormat/>
    <w:uiPriority w:val="0"/>
    <w:rPr>
      <w:kern w:val="2"/>
      <w:sz w:val="21"/>
      <w:szCs w:val="22"/>
    </w:rPr>
  </w:style>
  <w:style w:type="character" w:customStyle="1" w:styleId="148">
    <w:name w:val="Char Char8"/>
    <w:qFormat/>
    <w:uiPriority w:val="0"/>
    <w:rPr>
      <w:kern w:val="2"/>
      <w:sz w:val="28"/>
      <w:szCs w:val="24"/>
    </w:rPr>
  </w:style>
  <w:style w:type="character" w:customStyle="1" w:styleId="149">
    <w:name w:val="标题 Char3"/>
    <w:qFormat/>
    <w:uiPriority w:val="10"/>
    <w:rPr>
      <w:rFonts w:ascii="Cambria" w:hAnsi="Cambria" w:cs="Times New Roman"/>
      <w:b/>
      <w:bCs/>
      <w:kern w:val="2"/>
      <w:sz w:val="32"/>
      <w:szCs w:val="32"/>
    </w:rPr>
  </w:style>
  <w:style w:type="character" w:customStyle="1" w:styleId="150">
    <w:name w:val="Char Char27"/>
    <w:qFormat/>
    <w:uiPriority w:val="0"/>
    <w:rPr>
      <w:rFonts w:ascii="楷体_GB2312" w:eastAsia="楷体_GB2312"/>
      <w:kern w:val="2"/>
      <w:sz w:val="24"/>
      <w:szCs w:val="24"/>
    </w:rPr>
  </w:style>
  <w:style w:type="character" w:customStyle="1" w:styleId="151">
    <w:name w:val="正文文本缩进 Char3"/>
    <w:qFormat/>
    <w:uiPriority w:val="0"/>
    <w:rPr>
      <w:b/>
      <w:kern w:val="2"/>
      <w:sz w:val="30"/>
    </w:rPr>
  </w:style>
  <w:style w:type="character" w:customStyle="1" w:styleId="152">
    <w:name w:val="Char Char13"/>
    <w:qFormat/>
    <w:uiPriority w:val="0"/>
    <w:rPr>
      <w:kern w:val="2"/>
      <w:sz w:val="28"/>
      <w:szCs w:val="24"/>
    </w:rPr>
  </w:style>
  <w:style w:type="character" w:customStyle="1" w:styleId="153">
    <w:name w:val="Comment"/>
    <w:qFormat/>
    <w:uiPriority w:val="0"/>
    <w:rPr>
      <w:vanish/>
    </w:rPr>
  </w:style>
  <w:style w:type="character" w:customStyle="1" w:styleId="154">
    <w:name w:val="Char Char32"/>
    <w:qFormat/>
    <w:uiPriority w:val="0"/>
    <w:rPr>
      <w:rFonts w:ascii="黑体" w:eastAsia="黑体"/>
      <w:b/>
      <w:bCs/>
      <w:kern w:val="2"/>
      <w:sz w:val="28"/>
      <w:szCs w:val="28"/>
    </w:rPr>
  </w:style>
  <w:style w:type="character" w:customStyle="1" w:styleId="155">
    <w:name w:val="Char Char17"/>
    <w:qFormat/>
    <w:uiPriority w:val="0"/>
    <w:rPr>
      <w:kern w:val="2"/>
      <w:sz w:val="18"/>
      <w:szCs w:val="18"/>
    </w:rPr>
  </w:style>
  <w:style w:type="character" w:customStyle="1" w:styleId="156">
    <w:name w:val="批注文字 Char Char"/>
    <w:qFormat/>
    <w:uiPriority w:val="0"/>
    <w:rPr>
      <w:rFonts w:ascii="华文细黑" w:hAnsi="Cambria" w:eastAsia="华文细黑" w:cs="Cambria"/>
      <w:sz w:val="28"/>
      <w:szCs w:val="20"/>
    </w:rPr>
  </w:style>
  <w:style w:type="character" w:customStyle="1" w:styleId="157">
    <w:name w:val="Char Char12"/>
    <w:qFormat/>
    <w:uiPriority w:val="0"/>
    <w:rPr>
      <w:rFonts w:eastAsia="宋体"/>
      <w:kern w:val="2"/>
      <w:sz w:val="18"/>
      <w:szCs w:val="18"/>
      <w:lang w:val="en-US" w:eastAsia="zh-CN" w:bidi="ar-SA"/>
    </w:rPr>
  </w:style>
  <w:style w:type="character" w:customStyle="1" w:styleId="158">
    <w:name w:val="脚注文本 Char1"/>
    <w:qFormat/>
    <w:uiPriority w:val="99"/>
    <w:rPr>
      <w:kern w:val="2"/>
      <w:sz w:val="18"/>
      <w:szCs w:val="18"/>
    </w:rPr>
  </w:style>
  <w:style w:type="character" w:customStyle="1" w:styleId="159">
    <w:name w:val="Definition"/>
    <w:qFormat/>
    <w:uiPriority w:val="0"/>
    <w:rPr>
      <w:i/>
    </w:rPr>
  </w:style>
  <w:style w:type="character" w:customStyle="1" w:styleId="160">
    <w:name w:val="明显引用 Char"/>
    <w:link w:val="161"/>
    <w:qFormat/>
    <w:uiPriority w:val="0"/>
    <w:rPr>
      <w:b/>
      <w:bCs/>
      <w:i/>
      <w:iCs/>
      <w:color w:val="4F81BD"/>
      <w:kern w:val="2"/>
      <w:sz w:val="21"/>
      <w:szCs w:val="22"/>
    </w:rPr>
  </w:style>
  <w:style w:type="paragraph" w:styleId="161">
    <w:name w:val="Intense Quote"/>
    <w:basedOn w:val="1"/>
    <w:next w:val="1"/>
    <w:link w:val="160"/>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62">
    <w:name w:val="正文文本 2 Char"/>
    <w:link w:val="55"/>
    <w:qFormat/>
    <w:uiPriority w:val="0"/>
    <w:rPr>
      <w:kern w:val="2"/>
      <w:sz w:val="21"/>
    </w:rPr>
  </w:style>
  <w:style w:type="character" w:customStyle="1" w:styleId="163">
    <w:name w:val="明显引用 字符"/>
    <w:qFormat/>
    <w:uiPriority w:val="0"/>
    <w:rPr>
      <w:b/>
      <w:bCs/>
      <w:i/>
      <w:iCs/>
      <w:color w:val="4F81BD"/>
      <w:kern w:val="2"/>
      <w:sz w:val="21"/>
      <w:szCs w:val="22"/>
    </w:rPr>
  </w:style>
  <w:style w:type="character" w:customStyle="1" w:styleId="164">
    <w:name w:val="标题 Char2"/>
    <w:qFormat/>
    <w:uiPriority w:val="0"/>
    <w:rPr>
      <w:rFonts w:ascii="Cambria" w:hAnsi="Cambria" w:eastAsia="宋体" w:cs="Times New Roman"/>
      <w:b/>
      <w:bCs/>
      <w:sz w:val="32"/>
      <w:szCs w:val="32"/>
    </w:rPr>
  </w:style>
  <w:style w:type="character" w:customStyle="1" w:styleId="165">
    <w:name w:val="页脚 字符"/>
    <w:qFormat/>
    <w:uiPriority w:val="0"/>
    <w:rPr>
      <w:kern w:val="2"/>
      <w:sz w:val="18"/>
      <w:szCs w:val="18"/>
    </w:rPr>
  </w:style>
  <w:style w:type="character" w:customStyle="1" w:styleId="166">
    <w:name w:val="Char Char31"/>
    <w:qFormat/>
    <w:uiPriority w:val="0"/>
    <w:rPr>
      <w:rFonts w:ascii="Arial" w:hAnsi="Arial" w:eastAsia="黑体"/>
      <w:b/>
      <w:kern w:val="2"/>
      <w:sz w:val="24"/>
      <w:szCs w:val="24"/>
    </w:rPr>
  </w:style>
  <w:style w:type="character" w:customStyle="1" w:styleId="167">
    <w:name w:val="普通(网站) Char Char"/>
    <w:qFormat/>
    <w:uiPriority w:val="0"/>
    <w:rPr>
      <w:rFonts w:ascii="宋体" w:hAnsi="宋体"/>
      <w:sz w:val="24"/>
      <w:szCs w:val="24"/>
    </w:rPr>
  </w:style>
  <w:style w:type="character" w:customStyle="1" w:styleId="168">
    <w:name w:val="CODE"/>
    <w:qFormat/>
    <w:uiPriority w:val="0"/>
    <w:rPr>
      <w:rFonts w:ascii="华文细黑" w:hAnsi="华文细黑"/>
      <w:sz w:val="20"/>
    </w:rPr>
  </w:style>
  <w:style w:type="character" w:customStyle="1" w:styleId="169">
    <w:name w:val="l15 Char"/>
    <w:link w:val="170"/>
    <w:qFormat/>
    <w:uiPriority w:val="0"/>
    <w:rPr>
      <w:color w:val="000000"/>
      <w:sz w:val="23"/>
      <w:szCs w:val="23"/>
    </w:rPr>
  </w:style>
  <w:style w:type="paragraph" w:customStyle="1" w:styleId="170">
    <w:name w:val="l15"/>
    <w:basedOn w:val="1"/>
    <w:link w:val="169"/>
    <w:qFormat/>
    <w:uiPriority w:val="0"/>
    <w:pPr>
      <w:widowControl/>
      <w:spacing w:before="100" w:beforeAutospacing="1" w:after="100" w:afterAutospacing="1" w:line="300" w:lineRule="atLeast"/>
      <w:jc w:val="left"/>
    </w:pPr>
    <w:rPr>
      <w:rFonts w:ascii="Calibri" w:hAnsi="Calibri"/>
      <w:color w:val="000000"/>
      <w:kern w:val="0"/>
      <w:sz w:val="23"/>
      <w:szCs w:val="23"/>
    </w:rPr>
  </w:style>
  <w:style w:type="character" w:customStyle="1" w:styleId="171">
    <w:name w:val="Char Char4"/>
    <w:qFormat/>
    <w:uiPriority w:val="0"/>
    <w:rPr>
      <w:rFonts w:ascii="华文细黑" w:hAnsi="华文细黑" w:eastAsia="幼圆" w:cs="Tahoma"/>
      <w:b/>
      <w:kern w:val="2"/>
      <w:sz w:val="28"/>
      <w:szCs w:val="32"/>
      <w:lang w:val="en-US" w:eastAsia="zh-CN" w:bidi="ar-SA"/>
    </w:rPr>
  </w:style>
  <w:style w:type="character" w:customStyle="1" w:styleId="172">
    <w:name w:val="批注主题 Char"/>
    <w:link w:val="60"/>
    <w:qFormat/>
    <w:uiPriority w:val="0"/>
    <w:rPr>
      <w:b/>
      <w:bCs/>
      <w:kern w:val="2"/>
      <w:sz w:val="21"/>
      <w:szCs w:val="24"/>
    </w:rPr>
  </w:style>
  <w:style w:type="character" w:customStyle="1" w:styleId="173">
    <w:name w:val="font01"/>
    <w:qFormat/>
    <w:uiPriority w:val="0"/>
    <w:rPr>
      <w:rFonts w:hint="eastAsia" w:ascii="宋体" w:hAnsi="宋体" w:eastAsia="宋体" w:cs="宋体"/>
      <w:color w:val="000000"/>
      <w:sz w:val="21"/>
      <w:szCs w:val="21"/>
      <w:u w:val="none"/>
    </w:rPr>
  </w:style>
  <w:style w:type="character" w:customStyle="1" w:styleId="174">
    <w:name w:val="日期 Char1"/>
    <w:qFormat/>
    <w:uiPriority w:val="0"/>
    <w:rPr>
      <w:kern w:val="2"/>
      <w:sz w:val="21"/>
      <w:szCs w:val="22"/>
    </w:rPr>
  </w:style>
  <w:style w:type="character" w:customStyle="1" w:styleId="175">
    <w:name w:val="标题 1 字符"/>
    <w:qFormat/>
    <w:uiPriority w:val="0"/>
    <w:rPr>
      <w:b/>
      <w:bCs/>
      <w:kern w:val="44"/>
      <w:sz w:val="44"/>
      <w:szCs w:val="44"/>
    </w:rPr>
  </w:style>
  <w:style w:type="character" w:customStyle="1" w:styleId="176">
    <w:name w:val="正文首行缩进两字 Char"/>
    <w:link w:val="177"/>
    <w:qFormat/>
    <w:uiPriority w:val="0"/>
    <w:rPr>
      <w:rFonts w:ascii="Times New Roman" w:hAnsi="Times New Roman"/>
      <w:sz w:val="24"/>
      <w:szCs w:val="24"/>
      <w:lang w:val="en-US" w:eastAsia="zh-CN" w:bidi="ar-SA"/>
    </w:rPr>
  </w:style>
  <w:style w:type="paragraph" w:customStyle="1" w:styleId="177">
    <w:name w:val="正文首行缩进两字"/>
    <w:link w:val="176"/>
    <w:qFormat/>
    <w:uiPriority w:val="0"/>
    <w:pPr>
      <w:spacing w:afterLines="50" w:line="300" w:lineRule="auto"/>
      <w:ind w:left="240" w:leftChars="100" w:right="240" w:rightChars="100" w:firstLine="480" w:firstLineChars="200"/>
    </w:pPr>
    <w:rPr>
      <w:rFonts w:ascii="Times New Roman" w:hAnsi="Times New Roman" w:eastAsia="宋体" w:cs="Times New Roman"/>
      <w:sz w:val="24"/>
      <w:szCs w:val="24"/>
      <w:lang w:val="en-US" w:eastAsia="zh-CN" w:bidi="ar-SA"/>
    </w:rPr>
  </w:style>
  <w:style w:type="character" w:customStyle="1" w:styleId="178">
    <w:name w:val="Char Char19"/>
    <w:qFormat/>
    <w:uiPriority w:val="0"/>
    <w:rPr>
      <w:rFonts w:ascii="仿宋_GB2312" w:eastAsia="仿宋_GB2312"/>
      <w:sz w:val="28"/>
    </w:rPr>
  </w:style>
  <w:style w:type="character" w:customStyle="1" w:styleId="179">
    <w:name w:val="标题5 Char Char"/>
    <w:link w:val="180"/>
    <w:qFormat/>
    <w:uiPriority w:val="0"/>
    <w:rPr>
      <w:rFonts w:ascii="Tahoma" w:hAnsi="Tahoma"/>
      <w:b/>
      <w:bCs/>
      <w:sz w:val="24"/>
      <w:szCs w:val="32"/>
    </w:rPr>
  </w:style>
  <w:style w:type="paragraph" w:customStyle="1" w:styleId="180">
    <w:name w:val="标题5"/>
    <w:basedOn w:val="6"/>
    <w:link w:val="179"/>
    <w:qFormat/>
    <w:uiPriority w:val="0"/>
    <w:pPr>
      <w:keepLines/>
      <w:spacing w:before="260" w:after="260" w:line="413" w:lineRule="auto"/>
      <w:jc w:val="both"/>
    </w:pPr>
    <w:rPr>
      <w:rFonts w:ascii="Tahoma" w:hAnsi="Tahoma" w:eastAsia="宋体"/>
      <w:kern w:val="0"/>
      <w:sz w:val="24"/>
      <w:szCs w:val="32"/>
    </w:rPr>
  </w:style>
  <w:style w:type="character" w:customStyle="1" w:styleId="181">
    <w:name w:val="日期 字符"/>
    <w:qFormat/>
    <w:uiPriority w:val="0"/>
    <w:rPr>
      <w:rFonts w:ascii="宋体" w:hAnsi="Times New Roman"/>
      <w:sz w:val="28"/>
    </w:rPr>
  </w:style>
  <w:style w:type="character" w:customStyle="1" w:styleId="182">
    <w:name w:val="Char Char25"/>
    <w:qFormat/>
    <w:uiPriority w:val="0"/>
    <w:rPr>
      <w:sz w:val="18"/>
      <w:szCs w:val="18"/>
    </w:rPr>
  </w:style>
  <w:style w:type="character" w:customStyle="1" w:styleId="183">
    <w:name w:val="Char Char15"/>
    <w:qFormat/>
    <w:uiPriority w:val="0"/>
    <w:rPr>
      <w:rFonts w:ascii="仿宋_GB2312" w:eastAsia="仿宋_GB2312"/>
      <w:sz w:val="32"/>
    </w:rPr>
  </w:style>
  <w:style w:type="character" w:customStyle="1" w:styleId="184">
    <w:name w:val="称呼 Char1"/>
    <w:qFormat/>
    <w:uiPriority w:val="0"/>
    <w:rPr>
      <w:kern w:val="2"/>
      <w:sz w:val="21"/>
    </w:rPr>
  </w:style>
  <w:style w:type="character" w:customStyle="1" w:styleId="185">
    <w:name w:val="正文首行缩进 2 Char"/>
    <w:link w:val="2"/>
    <w:qFormat/>
    <w:uiPriority w:val="0"/>
    <w:rPr>
      <w:rFonts w:ascii="仿宋_GB2312" w:eastAsia="仿宋_GB2312"/>
      <w:sz w:val="28"/>
    </w:rPr>
  </w:style>
  <w:style w:type="character" w:customStyle="1" w:styleId="186">
    <w:name w:val="Char Char34"/>
    <w:qFormat/>
    <w:uiPriority w:val="0"/>
    <w:rPr>
      <w:rFonts w:ascii="Arial" w:hAnsi="Arial" w:eastAsia="黑体"/>
      <w:b/>
      <w:bCs/>
      <w:kern w:val="2"/>
      <w:sz w:val="32"/>
      <w:szCs w:val="32"/>
    </w:rPr>
  </w:style>
  <w:style w:type="character" w:customStyle="1" w:styleId="187">
    <w:name w:val="Char Char16"/>
    <w:qFormat/>
    <w:uiPriority w:val="0"/>
    <w:rPr>
      <w:b/>
      <w:bCs/>
      <w:kern w:val="2"/>
      <w:sz w:val="21"/>
      <w:szCs w:val="24"/>
    </w:rPr>
  </w:style>
  <w:style w:type="character" w:customStyle="1" w:styleId="188">
    <w:name w:val="标题 1 Char"/>
    <w:link w:val="4"/>
    <w:qFormat/>
    <w:uiPriority w:val="0"/>
    <w:rPr>
      <w:rFonts w:ascii="楷体_GB2312" w:eastAsia="楷体_GB2312"/>
      <w:b/>
      <w:kern w:val="2"/>
      <w:sz w:val="28"/>
    </w:rPr>
  </w:style>
  <w:style w:type="character" w:customStyle="1" w:styleId="189">
    <w:name w:val="批注主题 Char2"/>
    <w:qFormat/>
    <w:uiPriority w:val="0"/>
    <w:rPr>
      <w:kern w:val="2"/>
      <w:sz w:val="21"/>
    </w:rPr>
  </w:style>
  <w:style w:type="character" w:customStyle="1" w:styleId="190">
    <w:name w:val="批注文字 Char1"/>
    <w:link w:val="19"/>
    <w:qFormat/>
    <w:uiPriority w:val="0"/>
    <w:rPr>
      <w:kern w:val="2"/>
      <w:sz w:val="21"/>
    </w:rPr>
  </w:style>
  <w:style w:type="character" w:customStyle="1" w:styleId="191">
    <w:name w:val="批注框文本 Char1"/>
    <w:qFormat/>
    <w:uiPriority w:val="0"/>
    <w:rPr>
      <w:kern w:val="2"/>
      <w:sz w:val="18"/>
      <w:szCs w:val="18"/>
    </w:rPr>
  </w:style>
  <w:style w:type="character" w:customStyle="1" w:styleId="192">
    <w:name w:val="Char Char3"/>
    <w:qFormat/>
    <w:uiPriority w:val="0"/>
    <w:rPr>
      <w:rFonts w:ascii="幼圆" w:hAnsi="华文细黑" w:eastAsia="幼圆" w:cs="Tahoma"/>
      <w:b/>
      <w:bCs/>
      <w:kern w:val="2"/>
      <w:sz w:val="24"/>
      <w:szCs w:val="24"/>
      <w:lang w:val="en-US" w:eastAsia="zh-CN" w:bidi="ar-SA"/>
    </w:rPr>
  </w:style>
  <w:style w:type="character" w:customStyle="1" w:styleId="193">
    <w:name w:val="文档结构图 Char2"/>
    <w:link w:val="18"/>
    <w:qFormat/>
    <w:uiPriority w:val="0"/>
    <w:rPr>
      <w:kern w:val="2"/>
      <w:sz w:val="21"/>
      <w:shd w:val="clear" w:color="auto" w:fill="000080"/>
    </w:rPr>
  </w:style>
  <w:style w:type="character" w:customStyle="1" w:styleId="194">
    <w:name w:val="Char Char Char Char Char Char Char Char Char Char"/>
    <w:qFormat/>
    <w:uiPriority w:val="0"/>
    <w:rPr>
      <w:rFonts w:eastAsia="宋体"/>
      <w:b/>
      <w:bCs/>
      <w:sz w:val="32"/>
      <w:szCs w:val="44"/>
      <w:lang w:val="en-US" w:eastAsia="zh-CN" w:bidi="ar-SA"/>
    </w:rPr>
  </w:style>
  <w:style w:type="character" w:customStyle="1" w:styleId="195">
    <w:name w:val="Variable"/>
    <w:qFormat/>
    <w:uiPriority w:val="0"/>
    <w:rPr>
      <w:i/>
    </w:rPr>
  </w:style>
  <w:style w:type="character" w:customStyle="1" w:styleId="196">
    <w:name w:val="普通(网站) Char"/>
    <w:link w:val="57"/>
    <w:qFormat/>
    <w:uiPriority w:val="0"/>
    <w:rPr>
      <w:sz w:val="24"/>
    </w:rPr>
  </w:style>
  <w:style w:type="character" w:customStyle="1" w:styleId="197">
    <w:name w:val="标题 Char"/>
    <w:link w:val="59"/>
    <w:qFormat/>
    <w:uiPriority w:val="0"/>
    <w:rPr>
      <w:rFonts w:ascii="Arial" w:hAnsi="Arial" w:cs="Arial"/>
      <w:b/>
      <w:bCs/>
      <w:kern w:val="2"/>
      <w:sz w:val="32"/>
      <w:szCs w:val="32"/>
    </w:rPr>
  </w:style>
  <w:style w:type="character" w:customStyle="1" w:styleId="198">
    <w:name w:val="标题 5 Char"/>
    <w:link w:val="8"/>
    <w:qFormat/>
    <w:uiPriority w:val="0"/>
    <w:rPr>
      <w:rFonts w:ascii="楷体_GB2312" w:eastAsia="楷体_GB2312"/>
      <w:bCs/>
      <w:kern w:val="2"/>
      <w:sz w:val="28"/>
    </w:rPr>
  </w:style>
  <w:style w:type="character" w:customStyle="1" w:styleId="199">
    <w:name w:val="Char Char210"/>
    <w:qFormat/>
    <w:uiPriority w:val="0"/>
    <w:rPr>
      <w:rFonts w:eastAsia="华文细黑"/>
      <w:b/>
      <w:bCs/>
      <w:kern w:val="2"/>
      <w:sz w:val="21"/>
      <w:szCs w:val="24"/>
      <w:lang w:val="en-US" w:eastAsia="zh-CN" w:bidi="ar-SA"/>
    </w:rPr>
  </w:style>
  <w:style w:type="character" w:customStyle="1" w:styleId="200">
    <w:name w:val="批注主题 Char1"/>
    <w:qFormat/>
    <w:uiPriority w:val="0"/>
    <w:rPr>
      <w:rFonts w:eastAsia="宋体"/>
      <w:b/>
      <w:bCs/>
      <w:kern w:val="2"/>
      <w:sz w:val="21"/>
      <w:szCs w:val="24"/>
      <w:lang w:val="en-US" w:eastAsia="zh-CN" w:bidi="ar-SA"/>
    </w:rPr>
  </w:style>
  <w:style w:type="character" w:customStyle="1" w:styleId="201">
    <w:name w:val="页眉 Char"/>
    <w:qFormat/>
    <w:uiPriority w:val="99"/>
    <w:rPr>
      <w:kern w:val="2"/>
      <w:sz w:val="18"/>
      <w:szCs w:val="18"/>
    </w:rPr>
  </w:style>
  <w:style w:type="character" w:customStyle="1" w:styleId="202">
    <w:name w:val="Char Char5"/>
    <w:qFormat/>
    <w:uiPriority w:val="0"/>
    <w:rPr>
      <w:rFonts w:ascii="黑体" w:eastAsia="黑体"/>
      <w:b/>
      <w:bCs/>
      <w:kern w:val="2"/>
      <w:sz w:val="28"/>
      <w:szCs w:val="28"/>
    </w:rPr>
  </w:style>
  <w:style w:type="character" w:customStyle="1" w:styleId="203">
    <w:name w:val="Char Char22"/>
    <w:qFormat/>
    <w:uiPriority w:val="0"/>
  </w:style>
  <w:style w:type="character" w:customStyle="1" w:styleId="204">
    <w:name w:val="font21"/>
    <w:qFormat/>
    <w:uiPriority w:val="0"/>
    <w:rPr>
      <w:rFonts w:hint="eastAsia" w:ascii="宋体" w:hAnsi="宋体" w:eastAsia="宋体" w:cs="宋体"/>
      <w:color w:val="000000"/>
      <w:sz w:val="21"/>
      <w:szCs w:val="21"/>
      <w:u w:val="none"/>
    </w:rPr>
  </w:style>
  <w:style w:type="character" w:customStyle="1" w:styleId="205">
    <w:name w:val="明显引用 Char2"/>
    <w:qFormat/>
    <w:uiPriority w:val="30"/>
    <w:rPr>
      <w:rFonts w:ascii="Times New Roman" w:hAnsi="Times New Roman" w:eastAsia="宋体" w:cs="Times New Roman"/>
      <w:b/>
      <w:bCs/>
      <w:i/>
      <w:iCs/>
      <w:color w:val="4F81BD"/>
      <w:szCs w:val="24"/>
    </w:rPr>
  </w:style>
  <w:style w:type="character" w:customStyle="1" w:styleId="206">
    <w:name w:val="表格正文 Char Char"/>
    <w:qFormat/>
    <w:uiPriority w:val="0"/>
    <w:rPr>
      <w:kern w:val="2"/>
      <w:sz w:val="21"/>
      <w:szCs w:val="24"/>
    </w:rPr>
  </w:style>
  <w:style w:type="character" w:customStyle="1" w:styleId="207">
    <w:name w:val="Char Char29"/>
    <w:qFormat/>
    <w:uiPriority w:val="0"/>
    <w:rPr>
      <w:rFonts w:ascii="Arial" w:hAnsi="Arial" w:eastAsia="黑体"/>
      <w:kern w:val="2"/>
      <w:sz w:val="24"/>
      <w:szCs w:val="24"/>
    </w:rPr>
  </w:style>
  <w:style w:type="character" w:customStyle="1" w:styleId="208">
    <w:name w:val="正文文本缩进 2 Char"/>
    <w:link w:val="36"/>
    <w:qFormat/>
    <w:uiPriority w:val="0"/>
    <w:rPr>
      <w:rFonts w:ascii="楷体_GB2312" w:eastAsia="楷体_GB2312"/>
      <w:b/>
      <w:kern w:val="2"/>
      <w:sz w:val="28"/>
    </w:rPr>
  </w:style>
  <w:style w:type="character" w:customStyle="1" w:styleId="209">
    <w:name w:val="文档结构图 Char"/>
    <w:qFormat/>
    <w:uiPriority w:val="0"/>
    <w:rPr>
      <w:rFonts w:ascii="宋体"/>
      <w:kern w:val="2"/>
      <w:sz w:val="18"/>
      <w:szCs w:val="18"/>
    </w:rPr>
  </w:style>
  <w:style w:type="character" w:customStyle="1" w:styleId="210">
    <w:name w:val="纯文本 Char"/>
    <w:link w:val="31"/>
    <w:qFormat/>
    <w:uiPriority w:val="0"/>
    <w:rPr>
      <w:rFonts w:ascii="宋体" w:hAnsi="Courier New"/>
      <w:kern w:val="2"/>
      <w:sz w:val="21"/>
      <w:szCs w:val="21"/>
    </w:rPr>
  </w:style>
  <w:style w:type="character" w:customStyle="1" w:styleId="211">
    <w:name w:val="Char Char18"/>
    <w:qFormat/>
    <w:uiPriority w:val="0"/>
    <w:rPr>
      <w:rFonts w:ascii="宋体" w:hAnsi="Courier New"/>
      <w:kern w:val="2"/>
      <w:sz w:val="21"/>
      <w:szCs w:val="21"/>
    </w:rPr>
  </w:style>
  <w:style w:type="character" w:customStyle="1" w:styleId="212">
    <w:name w:val="Char Char33"/>
    <w:qFormat/>
    <w:uiPriority w:val="0"/>
    <w:rPr>
      <w:rFonts w:ascii="黑体" w:eastAsia="黑体"/>
      <w:b/>
      <w:bCs/>
      <w:kern w:val="2"/>
      <w:sz w:val="32"/>
      <w:szCs w:val="32"/>
      <w:lang w:val="en-US" w:eastAsia="zh-CN" w:bidi="ar-SA"/>
    </w:rPr>
  </w:style>
  <w:style w:type="character" w:customStyle="1" w:styleId="213">
    <w:name w:val="正文文本 3 Char"/>
    <w:link w:val="22"/>
    <w:qFormat/>
    <w:uiPriority w:val="0"/>
    <w:rPr>
      <w:b/>
      <w:bCs/>
      <w:kern w:val="2"/>
      <w:sz w:val="24"/>
      <w:szCs w:val="24"/>
    </w:rPr>
  </w:style>
  <w:style w:type="character" w:customStyle="1" w:styleId="214">
    <w:name w:val="Keyboard"/>
    <w:qFormat/>
    <w:uiPriority w:val="0"/>
    <w:rPr>
      <w:rFonts w:ascii="华文细黑" w:hAnsi="华文细黑"/>
      <w:b/>
      <w:sz w:val="20"/>
    </w:rPr>
  </w:style>
  <w:style w:type="character" w:customStyle="1" w:styleId="215">
    <w:name w:val="不明显强调1"/>
    <w:qFormat/>
    <w:uiPriority w:val="0"/>
    <w:rPr>
      <w:i/>
      <w:iCs/>
      <w:color w:val="808080"/>
    </w:rPr>
  </w:style>
  <w:style w:type="character" w:customStyle="1" w:styleId="216">
    <w:name w:val="页脚 Char"/>
    <w:link w:val="38"/>
    <w:qFormat/>
    <w:uiPriority w:val="99"/>
    <w:rPr>
      <w:kern w:val="2"/>
      <w:sz w:val="18"/>
    </w:rPr>
  </w:style>
  <w:style w:type="character" w:customStyle="1" w:styleId="217">
    <w:name w:val="HTML 预设格式 Char1"/>
    <w:qFormat/>
    <w:uiPriority w:val="0"/>
    <w:rPr>
      <w:rFonts w:ascii="Courier New" w:hAnsi="Courier New" w:cs="Courier New"/>
      <w:kern w:val="2"/>
    </w:rPr>
  </w:style>
  <w:style w:type="character" w:customStyle="1" w:styleId="218">
    <w:name w:val="称呼 Char"/>
    <w:link w:val="21"/>
    <w:qFormat/>
    <w:uiPriority w:val="0"/>
    <w:rPr>
      <w:kern w:val="2"/>
      <w:sz w:val="28"/>
      <w:szCs w:val="24"/>
    </w:rPr>
  </w:style>
  <w:style w:type="character" w:customStyle="1" w:styleId="219">
    <w:name w:val="标题 8 字符"/>
    <w:qFormat/>
    <w:uiPriority w:val="0"/>
    <w:rPr>
      <w:rFonts w:ascii="Cambria" w:hAnsi="Cambria" w:eastAsia="宋体" w:cs="Times New Roman"/>
      <w:kern w:val="2"/>
      <w:sz w:val="24"/>
      <w:szCs w:val="24"/>
    </w:rPr>
  </w:style>
  <w:style w:type="character" w:customStyle="1" w:styleId="220">
    <w:name w:val="Char Char11"/>
    <w:qFormat/>
    <w:uiPriority w:val="0"/>
    <w:rPr>
      <w:rFonts w:ascii="楷体_GB2312" w:eastAsia="楷体_GB2312"/>
      <w:b/>
      <w:kern w:val="2"/>
      <w:sz w:val="28"/>
      <w:szCs w:val="24"/>
    </w:rPr>
  </w:style>
  <w:style w:type="character" w:customStyle="1" w:styleId="221">
    <w:name w:val="批注框文本 Char"/>
    <w:link w:val="37"/>
    <w:qFormat/>
    <w:uiPriority w:val="0"/>
    <w:rPr>
      <w:kern w:val="2"/>
      <w:sz w:val="18"/>
      <w:szCs w:val="18"/>
    </w:rPr>
  </w:style>
  <w:style w:type="character" w:customStyle="1" w:styleId="222">
    <w:name w:val="标题 2 字符"/>
    <w:qFormat/>
    <w:uiPriority w:val="0"/>
    <w:rPr>
      <w:rFonts w:ascii="Cambria" w:hAnsi="Cambria" w:eastAsia="宋体" w:cs="Times New Roman"/>
      <w:b/>
      <w:bCs/>
      <w:kern w:val="2"/>
      <w:sz w:val="32"/>
      <w:szCs w:val="32"/>
    </w:rPr>
  </w:style>
  <w:style w:type="character" w:customStyle="1" w:styleId="223">
    <w:name w:val="标题 字符"/>
    <w:qFormat/>
    <w:uiPriority w:val="0"/>
    <w:rPr>
      <w:rFonts w:ascii="Cambria" w:hAnsi="Cambria" w:cs="Times New Roman"/>
      <w:b/>
      <w:bCs/>
      <w:kern w:val="2"/>
      <w:sz w:val="32"/>
      <w:szCs w:val="32"/>
    </w:rPr>
  </w:style>
  <w:style w:type="character" w:customStyle="1" w:styleId="224">
    <w:name w:val="标题 6 Char"/>
    <w:link w:val="9"/>
    <w:qFormat/>
    <w:uiPriority w:val="0"/>
    <w:rPr>
      <w:rFonts w:ascii="Arial" w:hAnsi="Arial" w:eastAsia="黑体"/>
      <w:b/>
      <w:kern w:val="2"/>
      <w:sz w:val="24"/>
      <w:szCs w:val="24"/>
    </w:rPr>
  </w:style>
  <w:style w:type="character" w:customStyle="1" w:styleId="225">
    <w:name w:val="Sample"/>
    <w:qFormat/>
    <w:uiPriority w:val="0"/>
    <w:rPr>
      <w:rFonts w:ascii="华文细黑" w:hAnsi="华文细黑"/>
    </w:rPr>
  </w:style>
  <w:style w:type="character" w:customStyle="1" w:styleId="226">
    <w:name w:val="标题 31"/>
    <w:qFormat/>
    <w:uiPriority w:val="0"/>
    <w:rPr>
      <w:rFonts w:hint="eastAsia" w:ascii="黑体" w:hAnsi="ˎ̥" w:eastAsia="黑体"/>
      <w:sz w:val="28"/>
    </w:rPr>
  </w:style>
  <w:style w:type="character" w:customStyle="1" w:styleId="227">
    <w:name w:val="case31"/>
    <w:qFormat/>
    <w:uiPriority w:val="0"/>
    <w:rPr>
      <w:rFonts w:hint="default"/>
      <w:sz w:val="21"/>
      <w:szCs w:val="21"/>
    </w:rPr>
  </w:style>
  <w:style w:type="character" w:customStyle="1" w:styleId="228">
    <w:name w:val="脚注文本 Char"/>
    <w:link w:val="47"/>
    <w:qFormat/>
    <w:uiPriority w:val="0"/>
    <w:rPr>
      <w:sz w:val="18"/>
      <w:szCs w:val="18"/>
    </w:rPr>
  </w:style>
  <w:style w:type="character" w:customStyle="1" w:styleId="229">
    <w:name w:val="text_list1"/>
    <w:qFormat/>
    <w:uiPriority w:val="0"/>
    <w:rPr>
      <w:rFonts w:hint="default" w:ascii="Arial" w:hAnsi="Arial" w:cs="Arial"/>
      <w:color w:val="000000"/>
      <w:spacing w:val="272"/>
      <w:sz w:val="16"/>
      <w:szCs w:val="16"/>
    </w:rPr>
  </w:style>
  <w:style w:type="character" w:customStyle="1" w:styleId="230">
    <w:name w:val="Char Char28"/>
    <w:qFormat/>
    <w:uiPriority w:val="0"/>
    <w:rPr>
      <w:rFonts w:ascii="Arial" w:hAnsi="Arial" w:eastAsia="黑体"/>
      <w:kern w:val="2"/>
      <w:sz w:val="21"/>
      <w:szCs w:val="24"/>
    </w:rPr>
  </w:style>
  <w:style w:type="character" w:customStyle="1" w:styleId="231">
    <w:name w:val="font31"/>
    <w:qFormat/>
    <w:uiPriority w:val="0"/>
    <w:rPr>
      <w:rFonts w:hint="eastAsia" w:ascii="宋体" w:hAnsi="宋体" w:eastAsia="宋体" w:cs="宋体"/>
      <w:b/>
      <w:color w:val="000000"/>
      <w:sz w:val="24"/>
      <w:szCs w:val="24"/>
      <w:u w:val="none"/>
    </w:rPr>
  </w:style>
  <w:style w:type="character" w:customStyle="1" w:styleId="232">
    <w:name w:val="Char Char2"/>
    <w:qFormat/>
    <w:uiPriority w:val="0"/>
    <w:rPr>
      <w:rFonts w:eastAsia="华文细黑"/>
      <w:kern w:val="2"/>
      <w:sz w:val="21"/>
      <w:szCs w:val="24"/>
      <w:lang w:val="en-US" w:eastAsia="zh-CN" w:bidi="ar-SA"/>
    </w:rPr>
  </w:style>
  <w:style w:type="character" w:customStyle="1" w:styleId="233">
    <w:name w:val="引用 Char3"/>
    <w:qFormat/>
    <w:uiPriority w:val="99"/>
    <w:rPr>
      <w:i/>
      <w:iCs/>
      <w:color w:val="000000"/>
      <w:kern w:val="2"/>
      <w:sz w:val="21"/>
    </w:rPr>
  </w:style>
  <w:style w:type="character" w:customStyle="1" w:styleId="234">
    <w:name w:val="标题 9 字符"/>
    <w:qFormat/>
    <w:uiPriority w:val="0"/>
    <w:rPr>
      <w:rFonts w:ascii="Cambria" w:hAnsi="Cambria" w:eastAsia="宋体" w:cs="Times New Roman"/>
      <w:kern w:val="2"/>
      <w:sz w:val="21"/>
      <w:szCs w:val="21"/>
    </w:rPr>
  </w:style>
  <w:style w:type="character" w:customStyle="1" w:styleId="235">
    <w:name w:val="结束语 Char1"/>
    <w:qFormat/>
    <w:uiPriority w:val="0"/>
    <w:rPr>
      <w:kern w:val="2"/>
      <w:sz w:val="21"/>
    </w:rPr>
  </w:style>
  <w:style w:type="character" w:customStyle="1" w:styleId="236">
    <w:name w:val="itm1"/>
    <w:qFormat/>
    <w:uiPriority w:val="0"/>
    <w:rPr>
      <w:rFonts w:hint="eastAsia" w:ascii="宋体" w:hAnsi="宋体" w:eastAsia="宋体"/>
      <w:sz w:val="21"/>
      <w:szCs w:val="21"/>
    </w:rPr>
  </w:style>
  <w:style w:type="paragraph" w:customStyle="1" w:styleId="2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8">
    <w:name w:val="Char Char Char Char Char Char Char Char Char Char Char Char Char Char Char Char"/>
    <w:basedOn w:val="1"/>
    <w:qFormat/>
    <w:uiPriority w:val="0"/>
    <w:pPr>
      <w:tabs>
        <w:tab w:val="left" w:pos="360"/>
      </w:tabs>
    </w:pPr>
    <w:rPr>
      <w:sz w:val="24"/>
      <w:szCs w:val="24"/>
    </w:rPr>
  </w:style>
  <w:style w:type="paragraph" w:customStyle="1" w:styleId="239">
    <w:name w:val="Char"/>
    <w:basedOn w:val="1"/>
    <w:qFormat/>
    <w:uiPriority w:val="0"/>
    <w:pPr>
      <w:spacing w:line="240" w:lineRule="atLeast"/>
      <w:ind w:left="420" w:firstLine="420"/>
    </w:pPr>
    <w:rPr>
      <w:kern w:val="0"/>
      <w:szCs w:val="21"/>
    </w:rPr>
  </w:style>
  <w:style w:type="paragraph" w:customStyle="1" w:styleId="240">
    <w:name w:val="表格"/>
    <w:basedOn w:val="1"/>
    <w:qFormat/>
    <w:uiPriority w:val="0"/>
    <w:pPr>
      <w:jc w:val="center"/>
    </w:pPr>
    <w:rPr>
      <w:szCs w:val="21"/>
    </w:rPr>
  </w:style>
  <w:style w:type="paragraph" w:customStyle="1" w:styleId="241">
    <w:name w:val="Default Paragraph Font Para Char"/>
    <w:basedOn w:val="1"/>
    <w:qFormat/>
    <w:uiPriority w:val="0"/>
    <w:pPr>
      <w:widowControl/>
      <w:spacing w:after="160" w:line="240" w:lineRule="exact"/>
      <w:jc w:val="left"/>
    </w:pPr>
    <w:rPr>
      <w:szCs w:val="24"/>
    </w:rPr>
  </w:style>
  <w:style w:type="paragraph" w:customStyle="1" w:styleId="2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243">
    <w:name w:val="普通文字"/>
    <w:basedOn w:val="1"/>
    <w:next w:val="1"/>
    <w:qFormat/>
    <w:uiPriority w:val="0"/>
    <w:rPr>
      <w:rFonts w:ascii="宋体"/>
      <w:kern w:val="0"/>
      <w:sz w:val="24"/>
      <w:u w:color="000000"/>
    </w:rPr>
  </w:style>
  <w:style w:type="paragraph" w:customStyle="1" w:styleId="244">
    <w:name w:val="正文1)"/>
    <w:basedOn w:val="1"/>
    <w:qFormat/>
    <w:uiPriority w:val="0"/>
    <w:pPr>
      <w:tabs>
        <w:tab w:val="left" w:pos="-120"/>
        <w:tab w:val="left" w:pos="0"/>
        <w:tab w:val="left" w:pos="120"/>
        <w:tab w:val="left" w:pos="425"/>
      </w:tabs>
      <w:adjustRightInd w:val="0"/>
      <w:spacing w:after="20" w:line="360" w:lineRule="auto"/>
      <w:ind w:left="425" w:hanging="425"/>
      <w:jc w:val="left"/>
      <w:textAlignment w:val="baseline"/>
    </w:pPr>
    <w:rPr>
      <w:rFonts w:ascii="宋体" w:hAnsi="Arial"/>
      <w:smallCaps/>
      <w:spacing w:val="-20"/>
      <w:sz w:val="24"/>
    </w:rPr>
  </w:style>
  <w:style w:type="paragraph" w:customStyle="1" w:styleId="24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46">
    <w:name w:val="样式 标题 1 + 黑体 三号 非加粗 居中 段前: 6 磅 段后: 6 磅 行距: 固定值 20 磅"/>
    <w:basedOn w:val="4"/>
    <w:qFormat/>
    <w:uiPriority w:val="0"/>
    <w:pPr>
      <w:keepLines/>
      <w:tabs>
        <w:tab w:val="left" w:pos="1800"/>
      </w:tabs>
      <w:spacing w:before="120" w:after="120" w:line="400" w:lineRule="exact"/>
    </w:pPr>
    <w:rPr>
      <w:rFonts w:ascii="幼圆" w:hAnsi="幼圆" w:eastAsia="幼圆" w:cs="华文细黑"/>
      <w:b w:val="0"/>
      <w:sz w:val="32"/>
    </w:rPr>
  </w:style>
  <w:style w:type="paragraph" w:customStyle="1" w:styleId="247">
    <w:name w:val="Definition Term"/>
    <w:basedOn w:val="1"/>
    <w:next w:val="248"/>
    <w:qFormat/>
    <w:uiPriority w:val="0"/>
    <w:pPr>
      <w:autoSpaceDE w:val="0"/>
      <w:autoSpaceDN w:val="0"/>
      <w:adjustRightInd w:val="0"/>
      <w:jc w:val="left"/>
    </w:pPr>
    <w:rPr>
      <w:kern w:val="0"/>
      <w:sz w:val="24"/>
    </w:rPr>
  </w:style>
  <w:style w:type="paragraph" w:customStyle="1" w:styleId="248">
    <w:name w:val="Definition List"/>
    <w:basedOn w:val="1"/>
    <w:next w:val="247"/>
    <w:qFormat/>
    <w:uiPriority w:val="0"/>
    <w:pPr>
      <w:autoSpaceDE w:val="0"/>
      <w:autoSpaceDN w:val="0"/>
      <w:adjustRightInd w:val="0"/>
      <w:ind w:left="360"/>
      <w:jc w:val="left"/>
    </w:pPr>
    <w:rPr>
      <w:kern w:val="0"/>
      <w:sz w:val="24"/>
    </w:rPr>
  </w:style>
  <w:style w:type="paragraph" w:customStyle="1" w:styleId="249">
    <w:name w:val="Char Char Char Char"/>
    <w:basedOn w:val="1"/>
    <w:qFormat/>
    <w:uiPriority w:val="0"/>
    <w:pPr>
      <w:widowControl/>
      <w:numPr>
        <w:ilvl w:val="0"/>
        <w:numId w:val="3"/>
      </w:numPr>
      <w:tabs>
        <w:tab w:val="left" w:pos="1095"/>
      </w:tabs>
      <w:spacing w:after="120" w:line="360" w:lineRule="auto"/>
      <w:ind w:left="560" w:firstLine="480" w:firstLineChars="200"/>
      <w:jc w:val="left"/>
    </w:pPr>
    <w:rPr>
      <w:rFonts w:ascii="Verdana" w:hAnsi="Verdana"/>
      <w:kern w:val="0"/>
      <w:sz w:val="24"/>
      <w:szCs w:val="24"/>
    </w:rPr>
  </w:style>
  <w:style w:type="paragraph" w:customStyle="1" w:styleId="250">
    <w:name w:val="Javis"/>
    <w:basedOn w:val="1"/>
    <w:qFormat/>
    <w:uiPriority w:val="0"/>
    <w:pPr>
      <w:ind w:right="210" w:rightChars="100"/>
    </w:pPr>
    <w:rPr>
      <w:rFonts w:cs="宋体"/>
      <w:sz w:val="24"/>
    </w:rPr>
  </w:style>
  <w:style w:type="paragraph" w:customStyle="1" w:styleId="25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2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253">
    <w:name w:val="名词解释"/>
    <w:basedOn w:val="1"/>
    <w:qFormat/>
    <w:uiPriority w:val="0"/>
    <w:pPr>
      <w:adjustRightInd w:val="0"/>
      <w:spacing w:after="20" w:line="288" w:lineRule="auto"/>
      <w:ind w:left="2325" w:hanging="2325"/>
      <w:textAlignment w:val="baseline"/>
    </w:pPr>
    <w:rPr>
      <w:kern w:val="0"/>
    </w:rPr>
  </w:style>
  <w:style w:type="paragraph" w:customStyle="1" w:styleId="254">
    <w:name w:val="程序代码"/>
    <w:basedOn w:val="1"/>
    <w:qFormat/>
    <w:uiPriority w:val="0"/>
    <w:pPr>
      <w:adjustRightInd w:val="0"/>
      <w:spacing w:after="20" w:line="288" w:lineRule="auto"/>
      <w:ind w:left="839" w:firstLine="420"/>
      <w:textAlignment w:val="baseline"/>
    </w:pPr>
    <w:rPr>
      <w:rFonts w:eastAsia="仿宋_GB2312"/>
      <w:szCs w:val="24"/>
    </w:rPr>
  </w:style>
  <w:style w:type="paragraph" w:customStyle="1" w:styleId="255">
    <w:name w:val="空半行"/>
    <w:basedOn w:val="1"/>
    <w:qFormat/>
    <w:uiPriority w:val="0"/>
    <w:pPr>
      <w:adjustRightInd w:val="0"/>
      <w:spacing w:line="120" w:lineRule="exact"/>
      <w:textAlignment w:val="baseline"/>
    </w:pPr>
    <w:rPr>
      <w:rFonts w:ascii="Cambria" w:hAnsi="Cambria" w:eastAsia="Tahoma" w:cs="Cambria"/>
      <w:color w:val="FFFFFF"/>
      <w:kern w:val="0"/>
      <w:sz w:val="30"/>
    </w:rPr>
  </w:style>
  <w:style w:type="paragraph" w:customStyle="1" w:styleId="256">
    <w:name w:val="font8"/>
    <w:basedOn w:val="1"/>
    <w:qFormat/>
    <w:uiPriority w:val="0"/>
    <w:pPr>
      <w:widowControl/>
      <w:spacing w:before="100" w:beforeAutospacing="1" w:after="100" w:afterAutospacing="1"/>
      <w:jc w:val="left"/>
    </w:pPr>
    <w:rPr>
      <w:rFonts w:hint="eastAsia" w:ascii="宋体" w:hAnsi="宋体"/>
      <w:b/>
      <w:bCs/>
      <w:i/>
      <w:iCs/>
      <w:kern w:val="0"/>
      <w:sz w:val="20"/>
    </w:rPr>
  </w:style>
  <w:style w:type="paragraph" w:customStyle="1" w:styleId="257">
    <w:name w:val="List Paragraph1"/>
    <w:qFormat/>
    <w:uiPriority w:val="34"/>
    <w:pPr>
      <w:ind w:firstLine="420" w:firstLineChars="200"/>
    </w:pPr>
    <w:rPr>
      <w:rFonts w:ascii="Times New Roman" w:hAnsi="Times New Roman" w:eastAsia="宋体" w:cs="Times New Roman"/>
      <w:lang w:val="en-US" w:eastAsia="zh-CN" w:bidi="ar-SA"/>
    </w:rPr>
  </w:style>
  <w:style w:type="paragraph" w:customStyle="1" w:styleId="25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259">
    <w:name w:val="1"/>
    <w:basedOn w:val="1"/>
    <w:qFormat/>
    <w:uiPriority w:val="0"/>
    <w:pPr>
      <w:spacing w:line="360" w:lineRule="auto"/>
      <w:ind w:firstLine="200" w:firstLineChars="200"/>
    </w:pPr>
    <w:rPr>
      <w:rFonts w:ascii="华文细黑" w:hAnsi="华文细黑" w:eastAsia="华文细黑" w:cs="华文细黑"/>
      <w:sz w:val="24"/>
      <w:szCs w:val="24"/>
    </w:rPr>
  </w:style>
  <w:style w:type="paragraph" w:customStyle="1" w:styleId="260">
    <w:name w:val="Char Char Char Char Char Char"/>
    <w:basedOn w:val="1"/>
    <w:qFormat/>
    <w:uiPriority w:val="0"/>
    <w:pPr>
      <w:widowControl/>
      <w:spacing w:after="160" w:line="240" w:lineRule="exact"/>
      <w:jc w:val="left"/>
    </w:pPr>
    <w:rPr>
      <w:rFonts w:ascii="黑体" w:hAnsi="Verdana" w:eastAsia="黑体"/>
      <w:kern w:val="0"/>
      <w:sz w:val="32"/>
      <w:szCs w:val="32"/>
    </w:rPr>
  </w:style>
  <w:style w:type="paragraph" w:customStyle="1" w:styleId="261">
    <w:name w:val="默认段落字体 Para Char"/>
    <w:basedOn w:val="1"/>
    <w:qFormat/>
    <w:uiPriority w:val="0"/>
    <w:pPr>
      <w:numPr>
        <w:ilvl w:val="0"/>
        <w:numId w:val="4"/>
      </w:numPr>
    </w:pPr>
    <w:rPr>
      <w:sz w:val="24"/>
      <w:szCs w:val="24"/>
    </w:rPr>
  </w:style>
  <w:style w:type="paragraph" w:customStyle="1" w:styleId="262">
    <w:name w:val="yyn"/>
    <w:basedOn w:val="1"/>
    <w:qFormat/>
    <w:uiPriority w:val="0"/>
    <w:pPr>
      <w:keepNext/>
      <w:widowControl/>
      <w:overflowPunct w:val="0"/>
      <w:autoSpaceDE w:val="0"/>
      <w:autoSpaceDN w:val="0"/>
      <w:adjustRightInd w:val="0"/>
      <w:spacing w:line="360" w:lineRule="auto"/>
      <w:ind w:right="562" w:firstLine="576"/>
      <w:textAlignment w:val="baseline"/>
    </w:pPr>
    <w:rPr>
      <w:rFonts w:ascii="宋体"/>
      <w:kern w:val="16"/>
      <w:sz w:val="28"/>
    </w:rPr>
  </w:style>
  <w:style w:type="paragraph" w:customStyle="1" w:styleId="263">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64">
    <w:name w:val="Char Char Char1 Char Char Char"/>
    <w:basedOn w:val="1"/>
    <w:qFormat/>
    <w:uiPriority w:val="0"/>
    <w:pPr>
      <w:ind w:firstLine="200" w:firstLineChars="200"/>
    </w:pPr>
    <w:rPr>
      <w:rFonts w:ascii="Tahoma" w:hAnsi="Tahoma"/>
      <w:sz w:val="24"/>
    </w:rPr>
  </w:style>
  <w:style w:type="paragraph" w:customStyle="1" w:styleId="265">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67">
    <w:name w:val="图形"/>
    <w:basedOn w:val="1"/>
    <w:qFormat/>
    <w:uiPriority w:val="0"/>
    <w:pPr>
      <w:adjustRightInd w:val="0"/>
      <w:spacing w:after="20" w:line="288" w:lineRule="auto"/>
      <w:ind w:firstLine="420"/>
      <w:jc w:val="center"/>
      <w:textAlignment w:val="baseline"/>
    </w:pPr>
    <w:rPr>
      <w:szCs w:val="24"/>
    </w:rPr>
  </w:style>
  <w:style w:type="paragraph" w:customStyle="1" w:styleId="2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9">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70">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7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272">
    <w:name w:val="表格文字"/>
    <w:basedOn w:val="1"/>
    <w:qFormat/>
    <w:uiPriority w:val="0"/>
    <w:pPr>
      <w:adjustRightInd w:val="0"/>
      <w:spacing w:line="288" w:lineRule="auto"/>
      <w:jc w:val="left"/>
      <w:textAlignment w:val="baseline"/>
    </w:pPr>
    <w:rPr>
      <w:kern w:val="0"/>
    </w:rPr>
  </w:style>
  <w:style w:type="paragraph" w:customStyle="1" w:styleId="27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274">
    <w:name w:val="Char Char1 Char Char Char Char"/>
    <w:basedOn w:val="18"/>
    <w:qFormat/>
    <w:uiPriority w:val="0"/>
    <w:pPr>
      <w:adjustRightInd w:val="0"/>
      <w:spacing w:line="436" w:lineRule="exact"/>
      <w:ind w:left="357"/>
      <w:jc w:val="left"/>
      <w:outlineLvl w:val="3"/>
    </w:pPr>
    <w:rPr>
      <w:rFonts w:ascii="Tahoma" w:hAnsi="Tahoma"/>
      <w:b/>
      <w:sz w:val="24"/>
      <w:szCs w:val="24"/>
    </w:rPr>
  </w:style>
  <w:style w:type="paragraph" w:customStyle="1" w:styleId="275">
    <w:name w:val="font11"/>
    <w:basedOn w:val="1"/>
    <w:qFormat/>
    <w:uiPriority w:val="0"/>
    <w:pPr>
      <w:widowControl/>
      <w:spacing w:before="100" w:beforeAutospacing="1" w:after="100" w:afterAutospacing="1"/>
      <w:jc w:val="left"/>
    </w:pPr>
    <w:rPr>
      <w:b/>
      <w:bCs/>
      <w:kern w:val="0"/>
      <w:sz w:val="18"/>
      <w:szCs w:val="18"/>
    </w:rPr>
  </w:style>
  <w:style w:type="paragraph" w:customStyle="1" w:styleId="276">
    <w:name w:val="菲页1"/>
    <w:basedOn w:val="5"/>
    <w:qFormat/>
    <w:uiPriority w:val="0"/>
    <w:pPr>
      <w:keepLines/>
      <w:widowControl/>
      <w:tabs>
        <w:tab w:val="left" w:pos="567"/>
      </w:tabs>
      <w:spacing w:before="260" w:after="260" w:line="416" w:lineRule="auto"/>
    </w:pPr>
    <w:rPr>
      <w:rFonts w:ascii="黑体" w:hAnsi="宋体" w:eastAsia="黑体"/>
      <w:b w:val="0"/>
      <w:bCs w:val="0"/>
      <w:kern w:val="0"/>
      <w:sz w:val="52"/>
    </w:rPr>
  </w:style>
  <w:style w:type="paragraph" w:customStyle="1" w:styleId="277">
    <w:name w:val="font0"/>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8">
    <w:name w:val="表格标题"/>
    <w:basedOn w:val="1"/>
    <w:qFormat/>
    <w:uiPriority w:val="0"/>
    <w:pPr>
      <w:adjustRightInd w:val="0"/>
      <w:spacing w:before="120" w:line="400" w:lineRule="exact"/>
      <w:jc w:val="center"/>
      <w:textAlignment w:val="baseline"/>
    </w:pPr>
    <w:rPr>
      <w:rFonts w:eastAsia="文鼎CS中宋"/>
      <w:spacing w:val="8"/>
      <w:kern w:val="0"/>
      <w:sz w:val="24"/>
    </w:rPr>
  </w:style>
  <w:style w:type="paragraph" w:customStyle="1" w:styleId="2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280">
    <w:name w:val="Char11"/>
    <w:basedOn w:val="1"/>
    <w:qFormat/>
    <w:uiPriority w:val="0"/>
    <w:rPr>
      <w:rFonts w:ascii="仿宋_GB2312" w:eastAsia="仿宋_GB2312"/>
      <w:b/>
      <w:sz w:val="32"/>
      <w:szCs w:val="32"/>
    </w:rPr>
  </w:style>
  <w:style w:type="paragraph" w:customStyle="1" w:styleId="2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282">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4">
    <w:name w:val="题注4"/>
    <w:basedOn w:val="1"/>
    <w:next w:val="16"/>
    <w:qFormat/>
    <w:uiPriority w:val="0"/>
    <w:pPr>
      <w:framePr w:hSpace="180" w:wrap="around" w:vAnchor="text" w:hAnchor="margin" w:y="514"/>
      <w:numPr>
        <w:ilvl w:val="0"/>
        <w:numId w:val="5"/>
      </w:numPr>
      <w:ind w:left="0" w:firstLine="0"/>
      <w:jc w:val="center"/>
    </w:pPr>
    <w:rPr>
      <w:b/>
      <w:color w:val="000000"/>
      <w:szCs w:val="21"/>
      <w:lang w:val="en-GB"/>
    </w:rPr>
  </w:style>
  <w:style w:type="paragraph" w:customStyle="1" w:styleId="285">
    <w:name w:val="菲页2"/>
    <w:basedOn w:val="6"/>
    <w:qFormat/>
    <w:uiPriority w:val="0"/>
    <w:pPr>
      <w:keepLines/>
      <w:widowControl/>
      <w:spacing w:before="120" w:after="120" w:line="360" w:lineRule="auto"/>
      <w:ind w:left="720" w:hanging="720"/>
    </w:pPr>
    <w:rPr>
      <w:rFonts w:ascii="黑体" w:hAnsi="宋体" w:eastAsia="黑体"/>
      <w:b w:val="0"/>
      <w:bCs w:val="0"/>
      <w:kern w:val="0"/>
      <w:sz w:val="44"/>
    </w:rPr>
  </w:style>
  <w:style w:type="paragraph" w:customStyle="1" w:styleId="286">
    <w:name w:val="函数注释1"/>
    <w:basedOn w:val="1"/>
    <w:qFormat/>
    <w:uiPriority w:val="0"/>
    <w:pPr>
      <w:adjustRightInd w:val="0"/>
      <w:spacing w:after="20" w:line="320" w:lineRule="exact"/>
      <w:ind w:left="1678" w:right="210" w:hanging="1049"/>
      <w:jc w:val="left"/>
      <w:textAlignment w:val="baseline"/>
    </w:pPr>
    <w:rPr>
      <w:kern w:val="0"/>
    </w:rPr>
  </w:style>
  <w:style w:type="paragraph" w:customStyle="1" w:styleId="287">
    <w:name w:val="目录"/>
    <w:basedOn w:val="1"/>
    <w:next w:val="1"/>
    <w:qFormat/>
    <w:uiPriority w:val="0"/>
    <w:pPr>
      <w:adjustRightInd w:val="0"/>
      <w:spacing w:before="360" w:after="360" w:line="360" w:lineRule="auto"/>
      <w:ind w:firstLine="420"/>
      <w:jc w:val="center"/>
      <w:textAlignment w:val="baseline"/>
    </w:pPr>
    <w:rPr>
      <w:b/>
      <w:spacing w:val="200"/>
      <w:sz w:val="36"/>
    </w:rPr>
  </w:style>
  <w:style w:type="paragraph" w:customStyle="1" w:styleId="288">
    <w:name w:val="名词解释11"/>
    <w:basedOn w:val="253"/>
    <w:qFormat/>
    <w:uiPriority w:val="0"/>
    <w:pPr>
      <w:spacing w:after="0"/>
      <w:ind w:firstLine="0"/>
    </w:pPr>
  </w:style>
  <w:style w:type="paragraph" w:customStyle="1" w:styleId="289">
    <w:name w:val="Char Char Char Char Char Char1"/>
    <w:basedOn w:val="1"/>
    <w:qFormat/>
    <w:uiPriority w:val="0"/>
    <w:pPr>
      <w:widowControl/>
      <w:spacing w:after="160" w:line="240" w:lineRule="exact"/>
      <w:jc w:val="left"/>
    </w:pPr>
    <w:rPr>
      <w:rFonts w:ascii="黑体" w:hAnsi="Verdana" w:eastAsia="黑体"/>
      <w:kern w:val="0"/>
      <w:sz w:val="32"/>
      <w:szCs w:val="32"/>
    </w:rPr>
  </w:style>
  <w:style w:type="paragraph" w:customStyle="1" w:styleId="29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1">
    <w:name w:val="Char2"/>
    <w:basedOn w:val="1"/>
    <w:qFormat/>
    <w:uiPriority w:val="0"/>
    <w:rPr>
      <w:rFonts w:ascii="仿宋_GB2312" w:eastAsia="仿宋_GB2312"/>
      <w:b/>
      <w:sz w:val="32"/>
      <w:szCs w:val="32"/>
    </w:rPr>
  </w:style>
  <w:style w:type="paragraph" w:customStyle="1" w:styleId="292">
    <w:name w:val="菲页(卷)"/>
    <w:basedOn w:val="4"/>
    <w:next w:val="293"/>
    <w:qFormat/>
    <w:uiPriority w:val="0"/>
    <w:pPr>
      <w:widowControl/>
      <w:numPr>
        <w:ilvl w:val="0"/>
        <w:numId w:val="6"/>
      </w:numPr>
      <w:tabs>
        <w:tab w:val="left" w:pos="1800"/>
      </w:tabs>
      <w:ind w:left="432" w:hanging="432"/>
      <w:outlineLvl w:val="1"/>
    </w:pPr>
    <w:rPr>
      <w:rFonts w:ascii="黑体" w:eastAsia="黑体"/>
      <w:b w:val="0"/>
      <w:kern w:val="0"/>
      <w:sz w:val="52"/>
    </w:rPr>
  </w:style>
  <w:style w:type="paragraph" w:customStyle="1" w:styleId="29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4">
    <w:name w:val="Address"/>
    <w:basedOn w:val="1"/>
    <w:next w:val="1"/>
    <w:qFormat/>
    <w:uiPriority w:val="0"/>
    <w:pPr>
      <w:autoSpaceDE w:val="0"/>
      <w:autoSpaceDN w:val="0"/>
      <w:adjustRightInd w:val="0"/>
      <w:jc w:val="left"/>
    </w:pPr>
    <w:rPr>
      <w:i/>
      <w:kern w:val="0"/>
      <w:sz w:val="24"/>
    </w:rPr>
  </w:style>
  <w:style w:type="paragraph" w:customStyle="1" w:styleId="295">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296">
    <w:name w:val="p0"/>
    <w:basedOn w:val="1"/>
    <w:qFormat/>
    <w:uiPriority w:val="0"/>
    <w:pPr>
      <w:widowControl/>
    </w:pPr>
    <w:rPr>
      <w:kern w:val="0"/>
      <w:szCs w:val="21"/>
    </w:rPr>
  </w:style>
  <w:style w:type="paragraph" w:customStyle="1" w:styleId="29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98">
    <w:name w:val="正文(缩进)"/>
    <w:basedOn w:val="1"/>
    <w:qFormat/>
    <w:uiPriority w:val="0"/>
    <w:pPr>
      <w:widowControl/>
      <w:spacing w:line="360" w:lineRule="auto"/>
      <w:ind w:firstLine="200" w:firstLineChars="200"/>
    </w:pPr>
    <w:rPr>
      <w:rFonts w:eastAsia="仿宋_GB2312"/>
      <w:sz w:val="24"/>
    </w:rPr>
  </w:style>
  <w:style w:type="paragraph" w:customStyle="1" w:styleId="299">
    <w:name w:val="标准文字"/>
    <w:basedOn w:val="1"/>
    <w:qFormat/>
    <w:uiPriority w:val="0"/>
    <w:pPr>
      <w:adjustRightInd w:val="0"/>
      <w:spacing w:after="20" w:line="360" w:lineRule="auto"/>
      <w:ind w:firstLine="420"/>
      <w:textAlignment w:val="baseline"/>
    </w:pPr>
    <w:rPr>
      <w:szCs w:val="24"/>
    </w:rPr>
  </w:style>
  <w:style w:type="paragraph" w:customStyle="1" w:styleId="30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301">
    <w:name w:val="回信地址"/>
    <w:basedOn w:val="1"/>
    <w:qFormat/>
    <w:uiPriority w:val="0"/>
    <w:pPr>
      <w:keepLines/>
      <w:framePr w:w="2635" w:h="1138" w:wrap="notBeside" w:vAnchor="page" w:hAnchor="margin" w:xAlign="right" w:y="678" w:anchorLock="1"/>
      <w:widowControl/>
      <w:adjustRightInd w:val="0"/>
      <w:spacing w:after="20" w:line="200" w:lineRule="atLeast"/>
      <w:ind w:right="-120" w:firstLine="420"/>
      <w:jc w:val="left"/>
      <w:textAlignment w:val="baseline"/>
    </w:pPr>
    <w:rPr>
      <w:kern w:val="0"/>
      <w:sz w:val="16"/>
    </w:rPr>
  </w:style>
  <w:style w:type="paragraph" w:customStyle="1" w:styleId="302">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3">
    <w:name w:val="H6"/>
    <w:basedOn w:val="1"/>
    <w:next w:val="1"/>
    <w:qFormat/>
    <w:uiPriority w:val="0"/>
    <w:pPr>
      <w:keepNext/>
      <w:autoSpaceDE w:val="0"/>
      <w:autoSpaceDN w:val="0"/>
      <w:adjustRightInd w:val="0"/>
      <w:spacing w:before="100" w:after="100"/>
      <w:jc w:val="left"/>
      <w:outlineLvl w:val="6"/>
    </w:pPr>
    <w:rPr>
      <w:b/>
      <w:kern w:val="0"/>
      <w:sz w:val="16"/>
    </w:rPr>
  </w:style>
  <w:style w:type="paragraph" w:customStyle="1" w:styleId="304">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305">
    <w:name w:val="flNote"/>
    <w:basedOn w:val="1"/>
    <w:qFormat/>
    <w:uiPriority w:val="0"/>
    <w:pPr>
      <w:adjustRightInd w:val="0"/>
      <w:spacing w:before="320" w:after="160" w:line="360" w:lineRule="atLeast"/>
      <w:jc w:val="center"/>
      <w:textAlignment w:val="baseline"/>
    </w:pPr>
    <w:rPr>
      <w:rFonts w:ascii="Tahoma" w:hAnsi="Cambria" w:eastAsia="幼圆" w:cs="Cambria"/>
      <w:kern w:val="0"/>
      <w:sz w:val="30"/>
    </w:rPr>
  </w:style>
  <w:style w:type="paragraph" w:customStyle="1" w:styleId="306">
    <w:name w:val="Char Char Char Char1"/>
    <w:basedOn w:val="18"/>
    <w:qFormat/>
    <w:uiPriority w:val="0"/>
    <w:pPr>
      <w:adjustRightInd w:val="0"/>
      <w:snapToGrid w:val="0"/>
      <w:spacing w:line="360" w:lineRule="auto"/>
    </w:pPr>
    <w:rPr>
      <w:rFonts w:ascii="Tahoma" w:hAnsi="Tahoma"/>
      <w:sz w:val="24"/>
      <w:szCs w:val="24"/>
    </w:rPr>
  </w:style>
  <w:style w:type="paragraph" w:customStyle="1" w:styleId="307">
    <w:name w:val="重点"/>
    <w:basedOn w:val="1"/>
    <w:qFormat/>
    <w:uiPriority w:val="0"/>
    <w:pPr>
      <w:shd w:val="pct10" w:color="auto" w:fill="auto"/>
      <w:adjustRightInd w:val="0"/>
      <w:spacing w:after="20" w:line="288" w:lineRule="auto"/>
      <w:ind w:firstLine="420"/>
      <w:textAlignment w:val="baseline"/>
    </w:pPr>
    <w:rPr>
      <w:rFonts w:eastAsia="黑体"/>
      <w:b/>
      <w:szCs w:val="24"/>
    </w:rPr>
  </w:style>
  <w:style w:type="paragraph" w:customStyle="1" w:styleId="308">
    <w:name w:val="列表2"/>
    <w:basedOn w:val="1"/>
    <w:qFormat/>
    <w:uiPriority w:val="0"/>
    <w:pPr>
      <w:tabs>
        <w:tab w:val="left" w:pos="1470"/>
      </w:tabs>
      <w:adjustRightInd w:val="0"/>
      <w:spacing w:after="20" w:line="288" w:lineRule="auto"/>
      <w:ind w:left="1469" w:hanging="420"/>
      <w:textAlignment w:val="baseline"/>
    </w:pPr>
    <w:rPr>
      <w:szCs w:val="24"/>
    </w:rPr>
  </w:style>
  <w:style w:type="paragraph" w:customStyle="1" w:styleId="309">
    <w:name w:val="xl71"/>
    <w:basedOn w:val="1"/>
    <w:qFormat/>
    <w:uiPriority w:val="0"/>
    <w:pPr>
      <w:widowControl/>
      <w:spacing w:before="100" w:beforeAutospacing="1" w:after="100" w:afterAutospacing="1"/>
      <w:jc w:val="center"/>
    </w:pPr>
    <w:rPr>
      <w:rFonts w:ascii="微软雅黑" w:hAnsi="微软雅黑" w:eastAsia="微软雅黑" w:cs="宋体"/>
      <w:kern w:val="0"/>
      <w:sz w:val="13"/>
      <w:szCs w:val="13"/>
    </w:rPr>
  </w:style>
  <w:style w:type="paragraph" w:customStyle="1" w:styleId="310">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11">
    <w:name w:val="标题0"/>
    <w:basedOn w:val="59"/>
    <w:next w:val="59"/>
    <w:qFormat/>
    <w:uiPriority w:val="0"/>
    <w:rPr>
      <w:sz w:val="52"/>
    </w:rPr>
  </w:style>
  <w:style w:type="paragraph" w:customStyle="1" w:styleId="31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14">
    <w:name w:val="font7"/>
    <w:basedOn w:val="1"/>
    <w:qFormat/>
    <w:uiPriority w:val="0"/>
    <w:pPr>
      <w:widowControl/>
      <w:spacing w:before="100" w:beforeAutospacing="1" w:after="100" w:afterAutospacing="1"/>
      <w:jc w:val="left"/>
    </w:pPr>
    <w:rPr>
      <w:b/>
      <w:bCs/>
      <w:i/>
      <w:iCs/>
      <w:kern w:val="0"/>
      <w:sz w:val="20"/>
    </w:rPr>
  </w:style>
  <w:style w:type="paragraph" w:customStyle="1" w:styleId="315">
    <w:name w:val="项目符号1"/>
    <w:basedOn w:val="1"/>
    <w:qFormat/>
    <w:uiPriority w:val="0"/>
    <w:pPr>
      <w:ind w:firstLine="400"/>
    </w:pPr>
  </w:style>
  <w:style w:type="paragraph" w:customStyle="1" w:styleId="316">
    <w:name w:val="_Style 5"/>
    <w:basedOn w:val="4"/>
    <w:next w:val="1"/>
    <w:qFormat/>
    <w:uiPriority w:val="0"/>
    <w:pPr>
      <w:jc w:val="both"/>
      <w:outlineLvl w:val="9"/>
    </w:pPr>
    <w:rPr>
      <w:rFonts w:ascii="Cambria" w:hAnsi="Cambria" w:eastAsia="华文细黑" w:cs="Cambria"/>
    </w:rPr>
  </w:style>
  <w:style w:type="paragraph" w:customStyle="1" w:styleId="317">
    <w:name w:val="标准式样"/>
    <w:basedOn w:val="53"/>
    <w:qFormat/>
    <w:uiPriority w:val="0"/>
  </w:style>
  <w:style w:type="paragraph" w:customStyle="1" w:styleId="318">
    <w:name w:val="Char Char Char Char Char Char Char Char Char Char11"/>
    <w:basedOn w:val="1"/>
    <w:qFormat/>
    <w:uiPriority w:val="0"/>
    <w:pPr>
      <w:tabs>
        <w:tab w:val="left" w:pos="1200"/>
        <w:tab w:val="left" w:pos="1800"/>
      </w:tabs>
      <w:ind w:left="1200" w:hanging="720"/>
    </w:pPr>
    <w:rPr>
      <w:sz w:val="24"/>
      <w:szCs w:val="24"/>
    </w:rPr>
  </w:style>
  <w:style w:type="paragraph" w:customStyle="1" w:styleId="319">
    <w:name w:val="默认段落字体 Para Char Char Char1 Char"/>
    <w:basedOn w:val="1"/>
    <w:qFormat/>
    <w:uiPriority w:val="0"/>
    <w:pPr>
      <w:numPr>
        <w:ilvl w:val="0"/>
        <w:numId w:val="7"/>
      </w:numPr>
      <w:spacing w:line="360" w:lineRule="auto"/>
      <w:ind w:left="420" w:firstLine="420"/>
    </w:pPr>
    <w:rPr>
      <w:kern w:val="0"/>
      <w:sz w:val="24"/>
      <w:szCs w:val="21"/>
    </w:rPr>
  </w:style>
  <w:style w:type="paragraph" w:customStyle="1" w:styleId="320">
    <w:name w:val="xl69"/>
    <w:basedOn w:val="1"/>
    <w:qFormat/>
    <w:uiPriority w:val="0"/>
    <w:pPr>
      <w:widowControl/>
      <w:spacing w:before="100" w:beforeAutospacing="1" w:after="100" w:afterAutospacing="1"/>
      <w:jc w:val="center"/>
    </w:pPr>
    <w:rPr>
      <w:rFonts w:ascii="微软雅黑" w:hAnsi="微软雅黑" w:eastAsia="微软雅黑" w:cs="宋体"/>
      <w:kern w:val="0"/>
      <w:sz w:val="13"/>
      <w:szCs w:val="13"/>
    </w:rPr>
  </w:style>
  <w:style w:type="paragraph" w:customStyle="1" w:styleId="3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322">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3">
    <w:name w:val="简介正文"/>
    <w:basedOn w:val="1"/>
    <w:qFormat/>
    <w:uiPriority w:val="0"/>
    <w:pPr>
      <w:numPr>
        <w:ilvl w:val="0"/>
        <w:numId w:val="8"/>
      </w:numPr>
      <w:adjustRightInd w:val="0"/>
      <w:spacing w:after="20" w:line="520" w:lineRule="exact"/>
      <w:ind w:left="1701" w:hanging="1701"/>
      <w:textAlignment w:val="baseline"/>
    </w:pPr>
    <w:rPr>
      <w:sz w:val="24"/>
    </w:rPr>
  </w:style>
  <w:style w:type="paragraph" w:customStyle="1" w:styleId="324">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5">
    <w:name w:val="样式 标题 2 + Times New Roman 四号 非加粗 段前: 5 磅 段后: 0 磅 行距: 固定值 20..."/>
    <w:basedOn w:val="5"/>
    <w:qFormat/>
    <w:uiPriority w:val="0"/>
    <w:pPr>
      <w:keepLines/>
      <w:tabs>
        <w:tab w:val="left" w:pos="567"/>
      </w:tabs>
      <w:spacing w:before="100" w:line="400" w:lineRule="exact"/>
      <w:jc w:val="both"/>
    </w:pPr>
    <w:rPr>
      <w:rFonts w:ascii="Cambria" w:hAnsi="Cambria" w:eastAsia="幼圆" w:cs="华文细黑"/>
      <w:b w:val="0"/>
      <w:bCs w:val="0"/>
      <w:color w:val="FF0000"/>
      <w:sz w:val="30"/>
    </w:rPr>
  </w:style>
  <w:style w:type="paragraph" w:customStyle="1" w:styleId="326">
    <w:name w:val="正文2"/>
    <w:basedOn w:val="1"/>
    <w:qFormat/>
    <w:uiPriority w:val="0"/>
    <w:pPr>
      <w:widowControl/>
      <w:spacing w:after="160" w:line="360" w:lineRule="auto"/>
      <w:ind w:firstLine="200" w:firstLineChars="200"/>
      <w:jc w:val="left"/>
    </w:pPr>
    <w:rPr>
      <w:rFonts w:ascii="Verdana" w:hAnsi="Verdana" w:eastAsia="黑体"/>
      <w:kern w:val="0"/>
      <w:lang w:eastAsia="en-US"/>
    </w:rPr>
  </w:style>
  <w:style w:type="paragraph" w:customStyle="1" w:styleId="327">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328">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32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30">
    <w:name w:val="xl72"/>
    <w:basedOn w:val="1"/>
    <w:qFormat/>
    <w:uiPriority w:val="0"/>
    <w:pPr>
      <w:widowControl/>
      <w:pBdr>
        <w:top w:val="single" w:color="auto" w:sz="4" w:space="0"/>
        <w:bottom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31">
    <w:name w:val="项目编号3"/>
    <w:basedOn w:val="1"/>
    <w:next w:val="1"/>
    <w:qFormat/>
    <w:uiPriority w:val="0"/>
    <w:pPr>
      <w:numPr>
        <w:ilvl w:val="0"/>
        <w:numId w:val="9"/>
      </w:numPr>
      <w:tabs>
        <w:tab w:val="left" w:pos="810"/>
      </w:tabs>
      <w:spacing w:line="360" w:lineRule="auto"/>
      <w:ind w:left="0" w:firstLine="200" w:firstLineChars="200"/>
      <w:jc w:val="left"/>
    </w:pPr>
    <w:rPr>
      <w:rFonts w:ascii="宋体"/>
      <w:sz w:val="24"/>
      <w:szCs w:val="24"/>
    </w:rPr>
  </w:style>
  <w:style w:type="paragraph" w:customStyle="1" w:styleId="33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3">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3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35">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6">
    <w:name w:val="样式 段前: 0.5 行 段后: 0.5 行"/>
    <w:basedOn w:val="1"/>
    <w:qFormat/>
    <w:uiPriority w:val="0"/>
    <w:pPr>
      <w:spacing w:before="100" w:beforeAutospacing="1" w:after="100" w:afterAutospacing="1"/>
      <w:ind w:firstLine="200" w:firstLineChars="200"/>
    </w:pPr>
    <w:rPr>
      <w:rFonts w:cs="宋体"/>
    </w:rPr>
  </w:style>
  <w:style w:type="paragraph" w:customStyle="1" w:styleId="3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33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33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函数注释2"/>
    <w:basedOn w:val="1"/>
    <w:qFormat/>
    <w:uiPriority w:val="0"/>
    <w:pPr>
      <w:adjustRightInd w:val="0"/>
      <w:spacing w:after="20" w:line="288" w:lineRule="auto"/>
      <w:ind w:left="1680" w:firstLine="420"/>
      <w:textAlignment w:val="baseline"/>
    </w:pPr>
    <w:rPr>
      <w:szCs w:val="24"/>
    </w:rPr>
  </w:style>
  <w:style w:type="paragraph" w:customStyle="1" w:styleId="3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42">
    <w:name w:val="产品型号"/>
    <w:basedOn w:val="1"/>
    <w:qFormat/>
    <w:uiPriority w:val="0"/>
    <w:pPr>
      <w:tabs>
        <w:tab w:val="left" w:pos="425"/>
        <w:tab w:val="left" w:pos="850"/>
        <w:tab w:val="left" w:pos="1275"/>
        <w:tab w:val="left" w:pos="1887"/>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wordWrap w:val="0"/>
      <w:adjustRightInd w:val="0"/>
      <w:spacing w:beforeLines="50" w:after="20" w:line="0" w:lineRule="atLeast"/>
      <w:ind w:firstLine="420"/>
      <w:jc w:val="center"/>
      <w:textAlignment w:val="baseline"/>
    </w:pPr>
    <w:rPr>
      <w:rFonts w:ascii="宋体" w:hAnsi="宋体"/>
      <w:b/>
      <w:sz w:val="30"/>
    </w:rPr>
  </w:style>
  <w:style w:type="paragraph" w:customStyle="1" w:styleId="343">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44">
    <w:name w:val="表中"/>
    <w:basedOn w:val="1"/>
    <w:qFormat/>
    <w:uiPriority w:val="0"/>
    <w:pPr>
      <w:adjustRightInd w:val="0"/>
      <w:spacing w:line="360" w:lineRule="atLeast"/>
      <w:jc w:val="center"/>
      <w:textAlignment w:val="baseline"/>
    </w:pPr>
    <w:rPr>
      <w:kern w:val="0"/>
    </w:rPr>
  </w:style>
  <w:style w:type="paragraph" w:customStyle="1" w:styleId="345">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4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3"/>
      <w:szCs w:val="13"/>
    </w:rPr>
  </w:style>
  <w:style w:type="paragraph" w:customStyle="1" w:styleId="347">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styleId="348">
    <w:name w:val="No Spacing"/>
    <w:qFormat/>
    <w:uiPriority w:val="0"/>
    <w:pPr>
      <w:widowControl w:val="0"/>
      <w:jc w:val="both"/>
    </w:pPr>
    <w:rPr>
      <w:rFonts w:ascii="仿宋_GB2312" w:hAnsi="仿宋_GB2312" w:eastAsia="华文细黑" w:cs="Cambria"/>
      <w:kern w:val="2"/>
      <w:sz w:val="21"/>
      <w:szCs w:val="22"/>
      <w:lang w:val="en-US" w:eastAsia="zh-CN" w:bidi="ar-SA"/>
    </w:rPr>
  </w:style>
  <w:style w:type="paragraph" w:customStyle="1" w:styleId="349">
    <w:name w:val="font12"/>
    <w:basedOn w:val="1"/>
    <w:qFormat/>
    <w:uiPriority w:val="0"/>
    <w:pPr>
      <w:widowControl/>
      <w:spacing w:before="100" w:beforeAutospacing="1" w:after="100" w:afterAutospacing="1"/>
      <w:jc w:val="left"/>
    </w:pPr>
    <w:rPr>
      <w:rFonts w:hint="eastAsia" w:ascii="宋体" w:hAnsi="宋体"/>
      <w:kern w:val="0"/>
      <w:sz w:val="36"/>
      <w:szCs w:val="36"/>
    </w:rPr>
  </w:style>
  <w:style w:type="paragraph" w:customStyle="1" w:styleId="350">
    <w:name w:val="样式 标题 3 + (中文) 黑体 小四 非加粗 段前: 7.8 磅 段后: 0 磅 行距: 固定值 20 磅"/>
    <w:basedOn w:val="6"/>
    <w:qFormat/>
    <w:uiPriority w:val="0"/>
    <w:pPr>
      <w:keepLines/>
      <w:tabs>
        <w:tab w:val="left" w:pos="7200"/>
      </w:tabs>
      <w:spacing w:line="400" w:lineRule="exact"/>
      <w:jc w:val="left"/>
    </w:pPr>
    <w:rPr>
      <w:rFonts w:ascii="华文细黑" w:hAnsi="华文细黑" w:eastAsia="幼圆" w:cs="华文细黑"/>
      <w:bCs w:val="0"/>
      <w:sz w:val="30"/>
    </w:rPr>
  </w:style>
  <w:style w:type="paragraph" w:customStyle="1" w:styleId="351">
    <w:name w:val="样式2"/>
    <w:basedOn w:val="4"/>
    <w:qFormat/>
    <w:uiPriority w:val="0"/>
    <w:pPr>
      <w:keepLines/>
      <w:numPr>
        <w:ilvl w:val="0"/>
        <w:numId w:val="10"/>
      </w:numPr>
      <w:tabs>
        <w:tab w:val="left" w:pos="425"/>
        <w:tab w:val="left" w:pos="1800"/>
        <w:tab w:val="clear" w:pos="420"/>
      </w:tabs>
      <w:spacing w:before="340" w:after="330" w:line="578" w:lineRule="auto"/>
      <w:ind w:left="425" w:hanging="425"/>
      <w:jc w:val="both"/>
    </w:pPr>
    <w:rPr>
      <w:rFonts w:ascii="Times New Roman" w:eastAsia="黑体"/>
      <w:bCs/>
      <w:kern w:val="44"/>
      <w:sz w:val="32"/>
      <w:szCs w:val="44"/>
    </w:rPr>
  </w:style>
  <w:style w:type="paragraph" w:customStyle="1" w:styleId="352">
    <w:name w:val="页眉1"/>
    <w:basedOn w:val="1"/>
    <w:qFormat/>
    <w:uiPriority w:val="0"/>
    <w:pPr>
      <w:pBdr>
        <w:bottom w:val="double" w:color="auto" w:sz="6" w:space="1"/>
      </w:pBdr>
      <w:tabs>
        <w:tab w:val="center" w:pos="4153"/>
        <w:tab w:val="right" w:pos="8306"/>
      </w:tabs>
      <w:adjustRightInd w:val="0"/>
      <w:spacing w:after="20" w:line="240" w:lineRule="atLeast"/>
      <w:ind w:right="57" w:firstLine="420"/>
      <w:jc w:val="right"/>
      <w:textAlignment w:val="baseline"/>
    </w:pPr>
    <w:rPr>
      <w:rFonts w:eastAsia="仿宋_GB2312"/>
      <w:kern w:val="0"/>
      <w:sz w:val="18"/>
    </w:rPr>
  </w:style>
  <w:style w:type="paragraph" w:customStyle="1" w:styleId="353">
    <w:name w:val="Char Char Char1 Char Char Char1"/>
    <w:basedOn w:val="1"/>
    <w:qFormat/>
    <w:uiPriority w:val="0"/>
    <w:pPr>
      <w:ind w:firstLine="200" w:firstLineChars="200"/>
    </w:pPr>
    <w:rPr>
      <w:rFonts w:ascii="Tahoma" w:hAnsi="Tahoma"/>
      <w:sz w:val="24"/>
    </w:rPr>
  </w:style>
  <w:style w:type="paragraph" w:customStyle="1" w:styleId="354">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355">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56">
    <w:name w:val="样式一"/>
    <w:basedOn w:val="1"/>
    <w:qFormat/>
    <w:uiPriority w:val="0"/>
    <w:pPr>
      <w:numPr>
        <w:ilvl w:val="2"/>
        <w:numId w:val="6"/>
      </w:numPr>
      <w:tabs>
        <w:tab w:val="left" w:pos="1080"/>
      </w:tabs>
      <w:autoSpaceDE w:val="0"/>
      <w:autoSpaceDN w:val="0"/>
      <w:adjustRightInd w:val="0"/>
      <w:spacing w:before="100" w:after="100" w:line="360" w:lineRule="exact"/>
      <w:textAlignment w:val="baseline"/>
    </w:pPr>
    <w:rPr>
      <w:rFonts w:ascii="宋体" w:hAnsi="宋体" w:eastAsia="黑体"/>
      <w:kern w:val="0"/>
      <w:sz w:val="24"/>
      <w:lang w:val="en-GB"/>
    </w:rPr>
  </w:style>
  <w:style w:type="paragraph" w:customStyle="1" w:styleId="3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b/>
      <w:bCs/>
      <w:kern w:val="0"/>
      <w:sz w:val="24"/>
      <w:szCs w:val="24"/>
    </w:rPr>
  </w:style>
  <w:style w:type="paragraph" w:customStyle="1" w:styleId="3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5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60">
    <w:name w:val="列表_名词"/>
    <w:basedOn w:val="288"/>
    <w:qFormat/>
    <w:uiPriority w:val="0"/>
    <w:pPr>
      <w:tabs>
        <w:tab w:val="left" w:pos="2745"/>
      </w:tabs>
      <w:ind w:left="2745" w:hanging="420"/>
    </w:pPr>
  </w:style>
  <w:style w:type="paragraph" w:customStyle="1" w:styleId="361">
    <w:name w:val="Char Char Char Char Char Char Char Char Char Char1"/>
    <w:basedOn w:val="1"/>
    <w:qFormat/>
    <w:uiPriority w:val="0"/>
    <w:pPr>
      <w:tabs>
        <w:tab w:val="left" w:pos="425"/>
      </w:tabs>
      <w:ind w:left="425" w:hanging="425"/>
    </w:pPr>
    <w:rPr>
      <w:sz w:val="28"/>
    </w:rPr>
  </w:style>
  <w:style w:type="paragraph" w:customStyle="1" w:styleId="3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3">
    <w:name w:val="Char Char Char Char Char Char Char Char Char Char Char Char Char Char Char Char1"/>
    <w:basedOn w:val="1"/>
    <w:qFormat/>
    <w:uiPriority w:val="0"/>
    <w:pPr>
      <w:tabs>
        <w:tab w:val="left" w:pos="360"/>
      </w:tabs>
    </w:pPr>
    <w:rPr>
      <w:sz w:val="24"/>
      <w:szCs w:val="24"/>
    </w:rPr>
  </w:style>
  <w:style w:type="paragraph" w:customStyle="1" w:styleId="364">
    <w:name w:val="样式 纯文本 + 楷体_GB2312 小四 行距: 固定值 20 磅1"/>
    <w:basedOn w:val="31"/>
    <w:qFormat/>
    <w:uiPriority w:val="0"/>
    <w:pPr>
      <w:spacing w:line="400" w:lineRule="exact"/>
      <w:ind w:firstLine="200" w:firstLineChars="200"/>
    </w:pPr>
    <w:rPr>
      <w:rFonts w:ascii="楷体_GB2312" w:eastAsia="楷体_GB2312"/>
      <w:sz w:val="24"/>
      <w:szCs w:val="20"/>
    </w:rPr>
  </w:style>
  <w:style w:type="paragraph" w:customStyle="1" w:styleId="36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66">
    <w:name w:val="xl22"/>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olor w:val="000000"/>
      <w:kern w:val="0"/>
      <w:sz w:val="24"/>
      <w:szCs w:val="24"/>
    </w:rPr>
  </w:style>
  <w:style w:type="paragraph" w:customStyle="1" w:styleId="36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6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69">
    <w:name w:val="font10"/>
    <w:basedOn w:val="1"/>
    <w:qFormat/>
    <w:uiPriority w:val="0"/>
    <w:pPr>
      <w:widowControl/>
      <w:spacing w:before="100" w:beforeAutospacing="1" w:after="100" w:afterAutospacing="1"/>
      <w:jc w:val="left"/>
    </w:pPr>
    <w:rPr>
      <w:rFonts w:hint="eastAsia" w:ascii="楷体_GB2312" w:hAnsi="宋体" w:eastAsia="楷体_GB2312"/>
      <w:b/>
      <w:bCs/>
      <w:kern w:val="0"/>
      <w:sz w:val="18"/>
      <w:szCs w:val="18"/>
    </w:rPr>
  </w:style>
  <w:style w:type="paragraph" w:customStyle="1" w:styleId="370">
    <w:name w:val="TOC 标题1"/>
    <w:basedOn w:val="4"/>
    <w:next w:val="1"/>
    <w:qFormat/>
    <w:uiPriority w:val="0"/>
    <w:pPr>
      <w:keepLines/>
      <w:tabs>
        <w:tab w:val="left" w:pos="1800"/>
      </w:tabs>
      <w:spacing w:before="340" w:after="330" w:line="578" w:lineRule="auto"/>
      <w:jc w:val="both"/>
      <w:outlineLvl w:val="9"/>
    </w:pPr>
    <w:rPr>
      <w:rFonts w:ascii="Cambria" w:hAnsi="Cambria" w:eastAsia="华文细黑" w:cs="Cambria"/>
      <w:bCs/>
      <w:kern w:val="44"/>
      <w:sz w:val="44"/>
      <w:szCs w:val="44"/>
    </w:rPr>
  </w:style>
  <w:style w:type="paragraph" w:customStyle="1" w:styleId="371">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3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373">
    <w:name w:val="font14"/>
    <w:basedOn w:val="1"/>
    <w:qFormat/>
    <w:uiPriority w:val="0"/>
    <w:pPr>
      <w:widowControl/>
      <w:spacing w:before="100" w:beforeAutospacing="1" w:after="100" w:afterAutospacing="1"/>
      <w:jc w:val="left"/>
    </w:pPr>
    <w:rPr>
      <w:kern w:val="0"/>
      <w:sz w:val="36"/>
      <w:szCs w:val="36"/>
    </w:rPr>
  </w:style>
  <w:style w:type="paragraph" w:customStyle="1" w:styleId="374">
    <w:name w:val="font9"/>
    <w:basedOn w:val="1"/>
    <w:qFormat/>
    <w:uiPriority w:val="0"/>
    <w:pPr>
      <w:widowControl/>
      <w:spacing w:before="100" w:beforeAutospacing="1" w:after="100" w:afterAutospacing="1"/>
      <w:jc w:val="left"/>
    </w:pPr>
    <w:rPr>
      <w:b/>
      <w:bCs/>
      <w:kern w:val="0"/>
      <w:sz w:val="20"/>
    </w:rPr>
  </w:style>
  <w:style w:type="paragraph" w:customStyle="1" w:styleId="375">
    <w:name w:val="xl23"/>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olor w:val="000000"/>
      <w:kern w:val="0"/>
      <w:sz w:val="24"/>
      <w:szCs w:val="24"/>
    </w:rPr>
  </w:style>
  <w:style w:type="paragraph" w:customStyle="1" w:styleId="37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37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378">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379">
    <w:name w:val="修订1"/>
    <w:qFormat/>
    <w:uiPriority w:val="0"/>
    <w:rPr>
      <w:rFonts w:ascii="Times New Roman" w:hAnsi="Times New Roman" w:eastAsia="宋体" w:cs="Times New Roman"/>
      <w:kern w:val="2"/>
      <w:sz w:val="21"/>
      <w:lang w:val="en-US" w:eastAsia="zh-CN" w:bidi="ar-SA"/>
    </w:rPr>
  </w:style>
  <w:style w:type="paragraph" w:customStyle="1" w:styleId="3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1">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82">
    <w:name w:val="默认段落字体 Para Char Char Char"/>
    <w:basedOn w:val="1"/>
    <w:qFormat/>
    <w:uiPriority w:val="0"/>
    <w:rPr>
      <w:szCs w:val="24"/>
    </w:rPr>
  </w:style>
  <w:style w:type="paragraph" w:customStyle="1" w:styleId="383">
    <w:name w:val="font13"/>
    <w:basedOn w:val="1"/>
    <w:qFormat/>
    <w:uiPriority w:val="0"/>
    <w:pPr>
      <w:widowControl/>
      <w:spacing w:before="100" w:beforeAutospacing="1" w:after="100" w:afterAutospacing="1"/>
      <w:jc w:val="left"/>
    </w:pPr>
    <w:rPr>
      <w:i/>
      <w:iCs/>
      <w:kern w:val="0"/>
      <w:sz w:val="36"/>
      <w:szCs w:val="36"/>
    </w:rPr>
  </w:style>
  <w:style w:type="paragraph" w:customStyle="1" w:styleId="384">
    <w:name w:val="默认段落字体 Para Char Char Char Char Char Char Char"/>
    <w:basedOn w:val="1"/>
    <w:qFormat/>
    <w:uiPriority w:val="0"/>
    <w:rPr>
      <w:rFonts w:eastAsia="华文细黑" w:cs="Cambria"/>
      <w:sz w:val="24"/>
    </w:rPr>
  </w:style>
  <w:style w:type="paragraph" w:customStyle="1" w:styleId="385">
    <w:name w:val="项目编号1"/>
    <w:basedOn w:val="1"/>
    <w:next w:val="1"/>
    <w:qFormat/>
    <w:uiPriority w:val="0"/>
    <w:pPr>
      <w:numPr>
        <w:ilvl w:val="0"/>
        <w:numId w:val="11"/>
      </w:numPr>
      <w:tabs>
        <w:tab w:val="left" w:pos="2460"/>
      </w:tabs>
      <w:spacing w:line="360" w:lineRule="auto"/>
      <w:jc w:val="left"/>
    </w:pPr>
    <w:rPr>
      <w:rFonts w:ascii="宋体"/>
      <w:sz w:val="24"/>
      <w:szCs w:val="24"/>
    </w:rPr>
  </w:style>
  <w:style w:type="paragraph" w:customStyle="1" w:styleId="386">
    <w:name w:val="并列项-点"/>
    <w:basedOn w:val="1"/>
    <w:qFormat/>
    <w:uiPriority w:val="0"/>
    <w:pPr>
      <w:widowControl/>
      <w:tabs>
        <w:tab w:val="left" w:pos="851"/>
        <w:tab w:val="left" w:pos="927"/>
      </w:tabs>
      <w:adjustRightInd w:val="0"/>
      <w:snapToGrid w:val="0"/>
      <w:spacing w:before="120" w:line="360" w:lineRule="auto"/>
      <w:ind w:left="851" w:hanging="284"/>
      <w:textAlignment w:val="baseline"/>
    </w:pPr>
    <w:rPr>
      <w:kern w:val="0"/>
      <w:sz w:val="24"/>
    </w:rPr>
  </w:style>
  <w:style w:type="paragraph" w:customStyle="1" w:styleId="387">
    <w:name w:val="目录文字"/>
    <w:basedOn w:val="1"/>
    <w:qFormat/>
    <w:uiPriority w:val="0"/>
    <w:pPr>
      <w:widowControl/>
      <w:spacing w:line="480" w:lineRule="auto"/>
      <w:jc w:val="left"/>
    </w:pPr>
    <w:rPr>
      <w:rFonts w:ascii="宋体" w:hAnsi="宋体"/>
      <w:kern w:val="0"/>
      <w:sz w:val="24"/>
    </w:rPr>
  </w:style>
  <w:style w:type="paragraph" w:customStyle="1" w:styleId="388">
    <w:name w:val="样式1"/>
    <w:basedOn w:val="1"/>
    <w:qFormat/>
    <w:uiPriority w:val="0"/>
    <w:pPr>
      <w:spacing w:before="120" w:after="120" w:line="300" w:lineRule="auto"/>
    </w:pPr>
    <w:rPr>
      <w:rFonts w:ascii="宋体" w:hAnsi="宋体"/>
      <w:b/>
      <w:sz w:val="24"/>
    </w:rPr>
  </w:style>
  <w:style w:type="paragraph" w:customStyle="1" w:styleId="389">
    <w:name w:val="样式 (西文) 仿宋_GB2312 居中 行距: 1.5 倍行距"/>
    <w:basedOn w:val="1"/>
    <w:qFormat/>
    <w:uiPriority w:val="0"/>
    <w:pPr>
      <w:spacing w:line="360" w:lineRule="auto"/>
      <w:jc w:val="center"/>
    </w:pPr>
    <w:rPr>
      <w:rFonts w:ascii="华文细黑" w:hAnsi="华文细黑" w:eastAsia="华文细黑" w:cs="华文细黑"/>
      <w:kern w:val="0"/>
    </w:rPr>
  </w:style>
  <w:style w:type="paragraph" w:customStyle="1" w:styleId="390">
    <w:name w:val="font6"/>
    <w:basedOn w:val="1"/>
    <w:qFormat/>
    <w:uiPriority w:val="0"/>
    <w:pPr>
      <w:widowControl/>
      <w:spacing w:before="100" w:beforeAutospacing="1" w:after="100" w:afterAutospacing="1"/>
      <w:jc w:val="left"/>
    </w:pPr>
    <w:rPr>
      <w:rFonts w:hint="eastAsia" w:ascii="宋体" w:hAnsi="宋体"/>
      <w:b/>
      <w:bCs/>
      <w:kern w:val="0"/>
      <w:sz w:val="20"/>
    </w:rPr>
  </w:style>
  <w:style w:type="character" w:customStyle="1" w:styleId="391">
    <w:name w:val="Char Char271"/>
    <w:qFormat/>
    <w:uiPriority w:val="0"/>
    <w:rPr>
      <w:rFonts w:ascii="楷体_GB2312" w:eastAsia="楷体_GB2312"/>
      <w:kern w:val="2"/>
      <w:sz w:val="24"/>
      <w:szCs w:val="24"/>
    </w:rPr>
  </w:style>
  <w:style w:type="character" w:customStyle="1" w:styleId="392">
    <w:name w:val="Char Char231"/>
    <w:qFormat/>
    <w:uiPriority w:val="0"/>
    <w:rPr>
      <w:b/>
      <w:bCs/>
      <w:kern w:val="2"/>
      <w:sz w:val="24"/>
      <w:szCs w:val="24"/>
    </w:rPr>
  </w:style>
  <w:style w:type="character" w:customStyle="1" w:styleId="393">
    <w:name w:val="Char Char61"/>
    <w:qFormat/>
    <w:uiPriority w:val="0"/>
    <w:rPr>
      <w:kern w:val="2"/>
      <w:sz w:val="21"/>
      <w:szCs w:val="24"/>
    </w:rPr>
  </w:style>
  <w:style w:type="character" w:customStyle="1" w:styleId="394">
    <w:name w:val="Char Char251"/>
    <w:qFormat/>
    <w:uiPriority w:val="0"/>
    <w:rPr>
      <w:sz w:val="18"/>
      <w:szCs w:val="18"/>
    </w:rPr>
  </w:style>
  <w:style w:type="character" w:customStyle="1" w:styleId="395">
    <w:name w:val="Char Char311"/>
    <w:qFormat/>
    <w:uiPriority w:val="0"/>
    <w:rPr>
      <w:rFonts w:ascii="Arial" w:hAnsi="Arial" w:eastAsia="黑体"/>
      <w:b/>
      <w:kern w:val="2"/>
      <w:sz w:val="24"/>
      <w:szCs w:val="24"/>
    </w:rPr>
  </w:style>
  <w:style w:type="character" w:customStyle="1" w:styleId="396">
    <w:name w:val="Char Char161"/>
    <w:qFormat/>
    <w:uiPriority w:val="0"/>
    <w:rPr>
      <w:b/>
      <w:bCs/>
      <w:kern w:val="2"/>
      <w:sz w:val="21"/>
      <w:szCs w:val="24"/>
    </w:rPr>
  </w:style>
  <w:style w:type="character" w:customStyle="1" w:styleId="397">
    <w:name w:val="不明显强调2"/>
    <w:qFormat/>
    <w:uiPriority w:val="0"/>
    <w:rPr>
      <w:i/>
      <w:iCs/>
      <w:color w:val="808080"/>
    </w:rPr>
  </w:style>
  <w:style w:type="character" w:customStyle="1" w:styleId="398">
    <w:name w:val="Char Char351"/>
    <w:qFormat/>
    <w:uiPriority w:val="0"/>
    <w:rPr>
      <w:rFonts w:ascii="黑体" w:eastAsia="黑体"/>
      <w:b/>
      <w:bCs/>
      <w:kern w:val="44"/>
      <w:sz w:val="44"/>
      <w:szCs w:val="44"/>
    </w:rPr>
  </w:style>
  <w:style w:type="character" w:customStyle="1" w:styleId="399">
    <w:name w:val="Char Char261"/>
    <w:qFormat/>
    <w:uiPriority w:val="0"/>
    <w:rPr>
      <w:rFonts w:ascii="仿宋_GB2312" w:eastAsia="仿宋_GB2312"/>
      <w:sz w:val="28"/>
    </w:rPr>
  </w:style>
  <w:style w:type="character" w:customStyle="1" w:styleId="400">
    <w:name w:val="Char Char221"/>
    <w:qFormat/>
    <w:uiPriority w:val="0"/>
  </w:style>
  <w:style w:type="character" w:customStyle="1" w:styleId="401">
    <w:name w:val="Char Char131"/>
    <w:qFormat/>
    <w:uiPriority w:val="0"/>
    <w:rPr>
      <w:kern w:val="2"/>
      <w:sz w:val="28"/>
      <w:szCs w:val="24"/>
    </w:rPr>
  </w:style>
  <w:style w:type="character" w:customStyle="1" w:styleId="402">
    <w:name w:val="Char Char101"/>
    <w:qFormat/>
    <w:uiPriority w:val="0"/>
    <w:rPr>
      <w:rFonts w:ascii="黑体" w:hAnsi="Courier New" w:eastAsia="黑体"/>
    </w:rPr>
  </w:style>
  <w:style w:type="character" w:customStyle="1" w:styleId="403">
    <w:name w:val="Char Char71"/>
    <w:qFormat/>
    <w:uiPriority w:val="0"/>
    <w:rPr>
      <w:rFonts w:ascii="幼圆" w:hAnsi="幼圆" w:eastAsia="Times New Roman"/>
      <w:b/>
      <w:bCs/>
      <w:kern w:val="28"/>
      <w:sz w:val="32"/>
      <w:szCs w:val="32"/>
      <w:lang w:val="en-US" w:eastAsia="zh-CN"/>
    </w:rPr>
  </w:style>
  <w:style w:type="character" w:customStyle="1" w:styleId="404">
    <w:name w:val="Char Char Char1"/>
    <w:qFormat/>
    <w:uiPriority w:val="0"/>
    <w:rPr>
      <w:rFonts w:ascii="宋体" w:hAnsi="宋体" w:eastAsia="宋体"/>
      <w:b/>
      <w:sz w:val="24"/>
      <w:lang w:val="en-US" w:eastAsia="zh-CN" w:bidi="ar-SA"/>
    </w:rPr>
  </w:style>
  <w:style w:type="character" w:customStyle="1" w:styleId="405">
    <w:name w:val="Char Char141"/>
    <w:qFormat/>
    <w:uiPriority w:val="0"/>
    <w:rPr>
      <w:rFonts w:ascii="仿宋_GB2312" w:eastAsia="仿宋_GB2312"/>
      <w:sz w:val="28"/>
    </w:rPr>
  </w:style>
  <w:style w:type="character" w:customStyle="1" w:styleId="406">
    <w:name w:val="Char Char111"/>
    <w:qFormat/>
    <w:uiPriority w:val="0"/>
    <w:rPr>
      <w:rFonts w:ascii="楷体_GB2312" w:eastAsia="楷体_GB2312"/>
      <w:b/>
      <w:kern w:val="2"/>
      <w:sz w:val="28"/>
      <w:szCs w:val="24"/>
    </w:rPr>
  </w:style>
  <w:style w:type="character" w:customStyle="1" w:styleId="407">
    <w:name w:val="Char Char91"/>
    <w:qFormat/>
    <w:uiPriority w:val="0"/>
    <w:rPr>
      <w:kern w:val="2"/>
      <w:sz w:val="30"/>
      <w:szCs w:val="24"/>
    </w:rPr>
  </w:style>
  <w:style w:type="character" w:customStyle="1" w:styleId="408">
    <w:name w:val="Char Char201"/>
    <w:qFormat/>
    <w:uiPriority w:val="0"/>
    <w:rPr>
      <w:rFonts w:ascii="宋体" w:hAnsi="宋体"/>
      <w:sz w:val="24"/>
      <w:szCs w:val="24"/>
    </w:rPr>
  </w:style>
  <w:style w:type="character" w:customStyle="1" w:styleId="409">
    <w:name w:val="Char Char321"/>
    <w:qFormat/>
    <w:uiPriority w:val="0"/>
    <w:rPr>
      <w:rFonts w:ascii="黑体" w:eastAsia="黑体"/>
      <w:b/>
      <w:bCs/>
      <w:kern w:val="2"/>
      <w:sz w:val="28"/>
      <w:szCs w:val="28"/>
    </w:rPr>
  </w:style>
  <w:style w:type="character" w:customStyle="1" w:styleId="410">
    <w:name w:val="Char Char41"/>
    <w:qFormat/>
    <w:uiPriority w:val="0"/>
    <w:rPr>
      <w:rFonts w:ascii="华文细黑" w:hAnsi="华文细黑" w:eastAsia="幼圆" w:cs="Tahoma"/>
      <w:b/>
      <w:kern w:val="2"/>
      <w:sz w:val="28"/>
      <w:szCs w:val="32"/>
      <w:lang w:val="en-US" w:eastAsia="zh-CN" w:bidi="ar-SA"/>
    </w:rPr>
  </w:style>
  <w:style w:type="character" w:customStyle="1" w:styleId="411">
    <w:name w:val="Char Char36"/>
    <w:qFormat/>
    <w:uiPriority w:val="0"/>
    <w:rPr>
      <w:rFonts w:ascii="幼圆" w:hAnsi="华文细黑" w:eastAsia="幼圆" w:cs="Tahoma"/>
      <w:b/>
      <w:bCs/>
      <w:kern w:val="2"/>
      <w:sz w:val="24"/>
      <w:szCs w:val="24"/>
      <w:lang w:val="en-US" w:eastAsia="zh-CN" w:bidi="ar-SA"/>
    </w:rPr>
  </w:style>
  <w:style w:type="character" w:customStyle="1" w:styleId="412">
    <w:name w:val="Char Char121"/>
    <w:qFormat/>
    <w:uiPriority w:val="0"/>
    <w:rPr>
      <w:rFonts w:eastAsia="宋体"/>
      <w:kern w:val="2"/>
      <w:sz w:val="18"/>
      <w:szCs w:val="18"/>
      <w:lang w:val="en-US" w:eastAsia="zh-CN" w:bidi="ar-SA"/>
    </w:rPr>
  </w:style>
  <w:style w:type="character" w:customStyle="1" w:styleId="413">
    <w:name w:val="Char Char341"/>
    <w:qFormat/>
    <w:uiPriority w:val="0"/>
    <w:rPr>
      <w:rFonts w:ascii="Arial" w:hAnsi="Arial" w:eastAsia="黑体"/>
      <w:b/>
      <w:bCs/>
      <w:kern w:val="2"/>
      <w:sz w:val="32"/>
      <w:szCs w:val="32"/>
    </w:rPr>
  </w:style>
  <w:style w:type="character" w:customStyle="1" w:styleId="414">
    <w:name w:val="Char Char331"/>
    <w:qFormat/>
    <w:uiPriority w:val="0"/>
    <w:rPr>
      <w:rFonts w:ascii="黑体" w:eastAsia="黑体"/>
      <w:b/>
      <w:bCs/>
      <w:kern w:val="2"/>
      <w:sz w:val="32"/>
      <w:szCs w:val="32"/>
      <w:lang w:val="en-US" w:eastAsia="zh-CN" w:bidi="ar-SA"/>
    </w:rPr>
  </w:style>
  <w:style w:type="character" w:customStyle="1" w:styleId="415">
    <w:name w:val="明显强调2"/>
    <w:qFormat/>
    <w:uiPriority w:val="0"/>
    <w:rPr>
      <w:b/>
      <w:bCs/>
      <w:i/>
      <w:iCs/>
      <w:color w:val="4F81BD"/>
    </w:rPr>
  </w:style>
  <w:style w:type="character" w:customStyle="1" w:styleId="416">
    <w:name w:val="Char Char81"/>
    <w:qFormat/>
    <w:uiPriority w:val="0"/>
    <w:rPr>
      <w:kern w:val="2"/>
      <w:sz w:val="28"/>
      <w:szCs w:val="24"/>
    </w:rPr>
  </w:style>
  <w:style w:type="character" w:customStyle="1" w:styleId="417">
    <w:name w:val="明显参考2"/>
    <w:qFormat/>
    <w:uiPriority w:val="0"/>
    <w:rPr>
      <w:b/>
      <w:bCs/>
      <w:smallCaps/>
      <w:color w:val="C0504D"/>
      <w:spacing w:val="5"/>
      <w:u w:val="single"/>
    </w:rPr>
  </w:style>
  <w:style w:type="character" w:customStyle="1" w:styleId="418">
    <w:name w:val="不明显参考2"/>
    <w:qFormat/>
    <w:uiPriority w:val="0"/>
    <w:rPr>
      <w:smallCaps/>
      <w:color w:val="C0504D"/>
      <w:u w:val="single"/>
    </w:rPr>
  </w:style>
  <w:style w:type="character" w:customStyle="1" w:styleId="419">
    <w:name w:val="Char Char37"/>
    <w:qFormat/>
    <w:uiPriority w:val="0"/>
    <w:rPr>
      <w:rFonts w:eastAsia="华文细黑"/>
      <w:b/>
      <w:bCs/>
      <w:kern w:val="2"/>
      <w:sz w:val="21"/>
      <w:szCs w:val="24"/>
      <w:lang w:val="en-US" w:eastAsia="zh-CN" w:bidi="ar-SA"/>
    </w:rPr>
  </w:style>
  <w:style w:type="character" w:customStyle="1" w:styleId="420">
    <w:name w:val="Char Char181"/>
    <w:qFormat/>
    <w:uiPriority w:val="0"/>
    <w:rPr>
      <w:rFonts w:ascii="宋体" w:hAnsi="Courier New"/>
      <w:kern w:val="2"/>
      <w:sz w:val="21"/>
      <w:szCs w:val="21"/>
    </w:rPr>
  </w:style>
  <w:style w:type="character" w:customStyle="1" w:styleId="421">
    <w:name w:val="Char Char301"/>
    <w:qFormat/>
    <w:uiPriority w:val="0"/>
    <w:rPr>
      <w:b/>
      <w:kern w:val="2"/>
      <w:sz w:val="24"/>
      <w:szCs w:val="24"/>
    </w:rPr>
  </w:style>
  <w:style w:type="character" w:customStyle="1" w:styleId="422">
    <w:name w:val="Char Char191"/>
    <w:qFormat/>
    <w:uiPriority w:val="0"/>
    <w:rPr>
      <w:rFonts w:ascii="仿宋_GB2312" w:eastAsia="仿宋_GB2312"/>
      <w:sz w:val="28"/>
    </w:rPr>
  </w:style>
  <w:style w:type="character" w:customStyle="1" w:styleId="423">
    <w:name w:val="Char Char110"/>
    <w:qFormat/>
    <w:uiPriority w:val="0"/>
    <w:rPr>
      <w:rFonts w:ascii="幼圆" w:hAnsi="Tahoma" w:eastAsia="幼圆" w:cs="Tahoma"/>
      <w:b/>
      <w:bCs/>
      <w:kern w:val="2"/>
      <w:sz w:val="32"/>
      <w:szCs w:val="32"/>
      <w:lang w:val="en-US" w:eastAsia="zh-CN" w:bidi="ar-SA"/>
    </w:rPr>
  </w:style>
  <w:style w:type="character" w:customStyle="1" w:styleId="424">
    <w:name w:val="Char Char171"/>
    <w:qFormat/>
    <w:uiPriority w:val="0"/>
    <w:rPr>
      <w:kern w:val="2"/>
      <w:sz w:val="18"/>
      <w:szCs w:val="18"/>
    </w:rPr>
  </w:style>
  <w:style w:type="character" w:customStyle="1" w:styleId="425">
    <w:name w:val="Char Char211"/>
    <w:qFormat/>
    <w:uiPriority w:val="0"/>
    <w:rPr>
      <w:rFonts w:ascii="Arial" w:hAnsi="Arial" w:cs="Arial"/>
      <w:b/>
      <w:bCs/>
      <w:kern w:val="2"/>
      <w:sz w:val="32"/>
      <w:szCs w:val="32"/>
    </w:rPr>
  </w:style>
  <w:style w:type="character" w:customStyle="1" w:styleId="426">
    <w:name w:val="Char Char281"/>
    <w:qFormat/>
    <w:uiPriority w:val="0"/>
    <w:rPr>
      <w:rFonts w:ascii="Arial" w:hAnsi="Arial" w:eastAsia="黑体"/>
      <w:kern w:val="2"/>
      <w:sz w:val="21"/>
      <w:szCs w:val="24"/>
    </w:rPr>
  </w:style>
  <w:style w:type="character" w:customStyle="1" w:styleId="427">
    <w:name w:val="Char Char291"/>
    <w:qFormat/>
    <w:uiPriority w:val="0"/>
    <w:rPr>
      <w:rFonts w:ascii="Arial" w:hAnsi="Arial" w:eastAsia="黑体"/>
      <w:kern w:val="2"/>
      <w:sz w:val="24"/>
      <w:szCs w:val="24"/>
    </w:rPr>
  </w:style>
  <w:style w:type="character" w:customStyle="1" w:styleId="428">
    <w:name w:val="Char Char212"/>
    <w:semiHidden/>
    <w:qFormat/>
    <w:uiPriority w:val="0"/>
    <w:rPr>
      <w:rFonts w:eastAsia="华文细黑"/>
      <w:kern w:val="2"/>
      <w:sz w:val="21"/>
      <w:szCs w:val="24"/>
      <w:lang w:val="en-US" w:eastAsia="zh-CN" w:bidi="ar-SA"/>
    </w:rPr>
  </w:style>
  <w:style w:type="character" w:customStyle="1" w:styleId="429">
    <w:name w:val="Char Char51"/>
    <w:qFormat/>
    <w:uiPriority w:val="0"/>
    <w:rPr>
      <w:rFonts w:ascii="黑体" w:eastAsia="黑体"/>
      <w:b/>
      <w:bCs/>
      <w:kern w:val="2"/>
      <w:sz w:val="28"/>
      <w:szCs w:val="28"/>
    </w:rPr>
  </w:style>
  <w:style w:type="character" w:customStyle="1" w:styleId="430">
    <w:name w:val="Char Char241"/>
    <w:qFormat/>
    <w:uiPriority w:val="0"/>
    <w:rPr>
      <w:kern w:val="2"/>
      <w:sz w:val="18"/>
      <w:szCs w:val="18"/>
    </w:rPr>
  </w:style>
  <w:style w:type="character" w:customStyle="1" w:styleId="431">
    <w:name w:val="Char Char151"/>
    <w:qFormat/>
    <w:uiPriority w:val="0"/>
    <w:rPr>
      <w:rFonts w:ascii="仿宋_GB2312" w:eastAsia="仿宋_GB2312"/>
      <w:sz w:val="32"/>
    </w:rPr>
  </w:style>
  <w:style w:type="character" w:customStyle="1" w:styleId="432">
    <w:name w:val="书籍标题2"/>
    <w:qFormat/>
    <w:uiPriority w:val="0"/>
    <w:rPr>
      <w:b/>
      <w:bCs/>
      <w:smallCaps/>
      <w:spacing w:val="5"/>
    </w:rPr>
  </w:style>
  <w:style w:type="paragraph" w:customStyle="1" w:styleId="433">
    <w:name w:val="Char Char Char Char Char Char Char Char Char Char12"/>
    <w:basedOn w:val="1"/>
    <w:qFormat/>
    <w:uiPriority w:val="0"/>
    <w:pPr>
      <w:tabs>
        <w:tab w:val="left" w:pos="425"/>
      </w:tabs>
      <w:ind w:left="425" w:hanging="425"/>
    </w:pPr>
    <w:rPr>
      <w:sz w:val="28"/>
    </w:rPr>
  </w:style>
  <w:style w:type="paragraph" w:customStyle="1" w:styleId="434">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35">
    <w:name w:val="Char Char Char Char Char Char2"/>
    <w:basedOn w:val="1"/>
    <w:qFormat/>
    <w:uiPriority w:val="0"/>
    <w:pPr>
      <w:widowControl/>
      <w:spacing w:after="160" w:line="240" w:lineRule="exact"/>
      <w:jc w:val="left"/>
    </w:pPr>
    <w:rPr>
      <w:rFonts w:ascii="黑体" w:hAnsi="Verdana" w:eastAsia="黑体"/>
      <w:kern w:val="0"/>
      <w:sz w:val="32"/>
      <w:szCs w:val="32"/>
    </w:rPr>
  </w:style>
  <w:style w:type="paragraph" w:customStyle="1" w:styleId="436">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37">
    <w:name w:val="Char Char Char1 Char Char Char2"/>
    <w:basedOn w:val="1"/>
    <w:qFormat/>
    <w:uiPriority w:val="0"/>
    <w:pPr>
      <w:ind w:firstLine="200" w:firstLineChars="200"/>
    </w:pPr>
    <w:rPr>
      <w:rFonts w:ascii="Tahoma" w:hAnsi="Tahoma"/>
      <w:sz w:val="24"/>
    </w:rPr>
  </w:style>
  <w:style w:type="paragraph" w:customStyle="1" w:styleId="438">
    <w:name w:val="Char Char Char Char2"/>
    <w:basedOn w:val="1"/>
    <w:qFormat/>
    <w:uiPriority w:val="0"/>
    <w:pPr>
      <w:widowControl/>
      <w:tabs>
        <w:tab w:val="left" w:pos="510"/>
        <w:tab w:val="left" w:pos="1095"/>
      </w:tabs>
      <w:spacing w:after="120" w:line="360" w:lineRule="auto"/>
      <w:ind w:left="560" w:firstLine="480" w:firstLineChars="200"/>
      <w:jc w:val="left"/>
    </w:pPr>
    <w:rPr>
      <w:rFonts w:ascii="Verdana" w:hAnsi="Verdana"/>
      <w:kern w:val="0"/>
      <w:sz w:val="24"/>
      <w:szCs w:val="24"/>
    </w:rPr>
  </w:style>
  <w:style w:type="paragraph" w:customStyle="1" w:styleId="439">
    <w:name w:val="Char Char Char Char Char Char Char Char Char Char Char Char Char Char Char Char2"/>
    <w:basedOn w:val="1"/>
    <w:qFormat/>
    <w:uiPriority w:val="0"/>
    <w:pPr>
      <w:tabs>
        <w:tab w:val="left" w:pos="360"/>
      </w:tabs>
    </w:pPr>
    <w:rPr>
      <w:sz w:val="24"/>
      <w:szCs w:val="24"/>
    </w:rPr>
  </w:style>
  <w:style w:type="paragraph" w:customStyle="1" w:styleId="440">
    <w:name w:val="Char Char1 Char Char Char Char1"/>
    <w:basedOn w:val="18"/>
    <w:qFormat/>
    <w:uiPriority w:val="0"/>
    <w:pPr>
      <w:adjustRightInd w:val="0"/>
      <w:spacing w:line="436" w:lineRule="exact"/>
      <w:ind w:left="357"/>
      <w:jc w:val="left"/>
      <w:outlineLvl w:val="3"/>
    </w:pPr>
    <w:rPr>
      <w:rFonts w:ascii="Tahoma" w:hAnsi="Tahoma"/>
      <w:b/>
      <w:sz w:val="24"/>
      <w:szCs w:val="24"/>
    </w:rPr>
  </w:style>
  <w:style w:type="paragraph" w:customStyle="1" w:styleId="441">
    <w:name w:val="Char Char Char Char Char Char Char Char Char Char2"/>
    <w:basedOn w:val="1"/>
    <w:qFormat/>
    <w:uiPriority w:val="0"/>
    <w:pPr>
      <w:tabs>
        <w:tab w:val="left" w:pos="1200"/>
        <w:tab w:val="left" w:pos="1800"/>
      </w:tabs>
    </w:pPr>
    <w:rPr>
      <w:sz w:val="24"/>
      <w:szCs w:val="24"/>
    </w:rPr>
  </w:style>
  <w:style w:type="paragraph" w:customStyle="1" w:styleId="442">
    <w:name w:val="Char3"/>
    <w:basedOn w:val="1"/>
    <w:qFormat/>
    <w:uiPriority w:val="0"/>
    <w:rPr>
      <w:rFonts w:ascii="仿宋_GB2312" w:eastAsia="仿宋_GB2312"/>
      <w:b/>
      <w:sz w:val="32"/>
      <w:szCs w:val="32"/>
    </w:rPr>
  </w:style>
  <w:style w:type="paragraph" w:customStyle="1" w:styleId="443">
    <w:name w:val="Char Char Char Char Char Char Char2"/>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TOC 标题2"/>
    <w:basedOn w:val="4"/>
    <w:next w:val="1"/>
    <w:qFormat/>
    <w:uiPriority w:val="0"/>
    <w:pPr>
      <w:keepLines/>
      <w:tabs>
        <w:tab w:val="left" w:pos="1800"/>
      </w:tabs>
      <w:spacing w:before="340" w:after="330" w:line="578" w:lineRule="auto"/>
      <w:jc w:val="both"/>
      <w:outlineLvl w:val="9"/>
    </w:pPr>
    <w:rPr>
      <w:rFonts w:ascii="Cambria" w:hAnsi="Cambria" w:eastAsia="华文细黑" w:cs="Cambria"/>
      <w:bCs/>
      <w:kern w:val="44"/>
      <w:sz w:val="44"/>
      <w:szCs w:val="44"/>
    </w:rPr>
  </w:style>
  <w:style w:type="character" w:customStyle="1" w:styleId="446">
    <w:name w:val="color_12"/>
    <w:qFormat/>
    <w:uiPriority w:val="0"/>
    <w:rPr>
      <w:rFonts w:ascii="Tahoma" w:hAnsi="Tahoma"/>
      <w:color w:val="FF0000"/>
      <w:szCs w:val="24"/>
    </w:rPr>
  </w:style>
  <w:style w:type="character" w:customStyle="1" w:styleId="447">
    <w:name w:val="文档-正文 Char"/>
    <w:link w:val="448"/>
    <w:qFormat/>
    <w:uiPriority w:val="0"/>
    <w:rPr>
      <w:rFonts w:ascii="Arial" w:hAnsi="Arial" w:cs="Arial"/>
      <w:sz w:val="24"/>
      <w:szCs w:val="24"/>
    </w:rPr>
  </w:style>
  <w:style w:type="paragraph" w:customStyle="1" w:styleId="448">
    <w:name w:val="文档-正文"/>
    <w:basedOn w:val="1"/>
    <w:link w:val="447"/>
    <w:qFormat/>
    <w:uiPriority w:val="0"/>
    <w:pPr>
      <w:widowControl/>
      <w:spacing w:line="360" w:lineRule="auto"/>
      <w:ind w:firstLine="200" w:firstLineChars="200"/>
      <w:jc w:val="left"/>
    </w:pPr>
    <w:rPr>
      <w:rFonts w:ascii="Arial" w:hAnsi="Arial"/>
      <w:kern w:val="0"/>
      <w:sz w:val="24"/>
      <w:szCs w:val="24"/>
    </w:rPr>
  </w:style>
  <w:style w:type="character" w:customStyle="1" w:styleId="449">
    <w:name w:val="numtype"/>
    <w:qFormat/>
    <w:uiPriority w:val="0"/>
    <w:rPr>
      <w:rFonts w:ascii="Tahoma" w:hAnsi="Tahoma"/>
      <w:szCs w:val="24"/>
    </w:rPr>
  </w:style>
  <w:style w:type="character" w:customStyle="1" w:styleId="450">
    <w:name w:val="color_13"/>
    <w:qFormat/>
    <w:uiPriority w:val="0"/>
    <w:rPr>
      <w:rFonts w:ascii="Tahoma" w:hAnsi="Tahoma"/>
      <w:b/>
      <w:color w:val="444444"/>
      <w:szCs w:val="24"/>
    </w:rPr>
  </w:style>
  <w:style w:type="character" w:customStyle="1" w:styleId="451">
    <w:name w:val="login"/>
    <w:qFormat/>
    <w:uiPriority w:val="0"/>
    <w:rPr>
      <w:rFonts w:ascii="Tahoma" w:hAnsi="Tahoma"/>
      <w:color w:val="000000"/>
      <w:sz w:val="21"/>
      <w:szCs w:val="21"/>
    </w:rPr>
  </w:style>
  <w:style w:type="character" w:customStyle="1" w:styleId="452">
    <w:name w:val="apple-converted-space"/>
    <w:qFormat/>
    <w:uiPriority w:val="0"/>
    <w:rPr>
      <w:rFonts w:ascii="Tahoma" w:hAnsi="Tahoma"/>
      <w:szCs w:val="24"/>
    </w:rPr>
  </w:style>
  <w:style w:type="character" w:customStyle="1" w:styleId="453">
    <w:name w:val="color_2"/>
    <w:qFormat/>
    <w:uiPriority w:val="0"/>
    <w:rPr>
      <w:rFonts w:ascii="Tahoma" w:hAnsi="Tahoma"/>
      <w:b/>
      <w:color w:val="666666"/>
      <w:szCs w:val="24"/>
    </w:rPr>
  </w:style>
  <w:style w:type="paragraph" w:customStyle="1" w:styleId="454">
    <w:name w:val="2 Char Char Char Char Char Char Char"/>
    <w:basedOn w:val="1"/>
    <w:qFormat/>
    <w:uiPriority w:val="0"/>
    <w:rPr>
      <w:rFonts w:ascii="Tahoma" w:hAnsi="Tahoma"/>
      <w:sz w:val="24"/>
    </w:rPr>
  </w:style>
  <w:style w:type="paragraph" w:customStyle="1" w:styleId="455">
    <w:name w:val="z-窗体顶端1"/>
    <w:basedOn w:val="1"/>
    <w:next w:val="1"/>
    <w:link w:val="456"/>
    <w:qFormat/>
    <w:uiPriority w:val="0"/>
    <w:pPr>
      <w:pBdr>
        <w:bottom w:val="single" w:color="auto" w:sz="6" w:space="1"/>
      </w:pBdr>
      <w:jc w:val="center"/>
    </w:pPr>
    <w:rPr>
      <w:rFonts w:ascii="Arial" w:hAnsi="Calibri"/>
      <w:vanish/>
      <w:sz w:val="16"/>
    </w:rPr>
  </w:style>
  <w:style w:type="character" w:customStyle="1" w:styleId="456">
    <w:name w:val="z-窗体顶端 Char"/>
    <w:link w:val="455"/>
    <w:qFormat/>
    <w:uiPriority w:val="0"/>
    <w:rPr>
      <w:rFonts w:ascii="Arial"/>
      <w:vanish/>
      <w:kern w:val="2"/>
      <w:sz w:val="16"/>
    </w:rPr>
  </w:style>
  <w:style w:type="paragraph" w:customStyle="1" w:styleId="457">
    <w:name w:val="纯文本1"/>
    <w:basedOn w:val="1"/>
    <w:qFormat/>
    <w:uiPriority w:val="0"/>
    <w:pPr>
      <w:adjustRightInd w:val="0"/>
      <w:textAlignment w:val="baseline"/>
    </w:pPr>
    <w:rPr>
      <w:rFonts w:ascii="宋体" w:hAnsi="Courier New" w:eastAsia="楷体_GB2312"/>
      <w:sz w:val="26"/>
    </w:rPr>
  </w:style>
  <w:style w:type="paragraph" w:customStyle="1" w:styleId="458">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459">
    <w:name w:val="文档-标题3"/>
    <w:basedOn w:val="1"/>
    <w:next w:val="1"/>
    <w:qFormat/>
    <w:uiPriority w:val="0"/>
    <w:pPr>
      <w:keepNext/>
      <w:keepLines/>
      <w:numPr>
        <w:ilvl w:val="3"/>
        <w:numId w:val="3"/>
      </w:numPr>
      <w:spacing w:before="260" w:after="260" w:line="416" w:lineRule="auto"/>
      <w:jc w:val="left"/>
      <w:outlineLvl w:val="2"/>
    </w:pPr>
    <w:rPr>
      <w:rFonts w:ascii="Calibri" w:hAnsi="Calibri"/>
      <w:b/>
      <w:bCs/>
      <w:color w:val="7030A0"/>
      <w:sz w:val="32"/>
      <w:szCs w:val="32"/>
    </w:rPr>
  </w:style>
  <w:style w:type="paragraph" w:customStyle="1" w:styleId="460">
    <w:name w:val="Char4"/>
    <w:basedOn w:val="1"/>
    <w:qFormat/>
    <w:uiPriority w:val="0"/>
    <w:pPr>
      <w:tabs>
        <w:tab w:val="left" w:pos="360"/>
        <w:tab w:val="left" w:pos="552"/>
      </w:tabs>
      <w:ind w:left="360" w:hanging="360"/>
    </w:pPr>
    <w:rPr>
      <w:sz w:val="24"/>
      <w:szCs w:val="24"/>
    </w:rPr>
  </w:style>
  <w:style w:type="paragraph" w:customStyle="1" w:styleId="461">
    <w:name w:val="z-窗体底端1"/>
    <w:basedOn w:val="1"/>
    <w:next w:val="1"/>
    <w:link w:val="462"/>
    <w:qFormat/>
    <w:uiPriority w:val="0"/>
    <w:pPr>
      <w:pBdr>
        <w:top w:val="single" w:color="auto" w:sz="6" w:space="1"/>
      </w:pBdr>
      <w:jc w:val="center"/>
    </w:pPr>
    <w:rPr>
      <w:rFonts w:ascii="Arial" w:hAnsi="Calibri"/>
      <w:vanish/>
      <w:sz w:val="16"/>
    </w:rPr>
  </w:style>
  <w:style w:type="character" w:customStyle="1" w:styleId="462">
    <w:name w:val="z-窗体底端 Char"/>
    <w:link w:val="461"/>
    <w:qFormat/>
    <w:uiPriority w:val="0"/>
    <w:rPr>
      <w:rFonts w:ascii="Arial"/>
      <w:vanish/>
      <w:kern w:val="2"/>
      <w:sz w:val="16"/>
    </w:rPr>
  </w:style>
  <w:style w:type="paragraph" w:customStyle="1" w:styleId="463">
    <w:name w:val="文档-标题2"/>
    <w:basedOn w:val="1"/>
    <w:next w:val="1"/>
    <w:qFormat/>
    <w:uiPriority w:val="0"/>
    <w:pPr>
      <w:keepNext/>
      <w:keepLines/>
      <w:numPr>
        <w:ilvl w:val="1"/>
        <w:numId w:val="3"/>
      </w:numPr>
      <w:spacing w:before="260" w:after="260" w:line="416" w:lineRule="auto"/>
      <w:jc w:val="left"/>
      <w:outlineLvl w:val="1"/>
    </w:pPr>
    <w:rPr>
      <w:rFonts w:ascii="Cambria" w:hAnsi="Cambria"/>
      <w:b/>
      <w:bCs/>
      <w:color w:val="7030A0"/>
      <w:sz w:val="32"/>
      <w:szCs w:val="32"/>
    </w:rPr>
  </w:style>
  <w:style w:type="paragraph" w:customStyle="1" w:styleId="464">
    <w:name w:val="行文"/>
    <w:basedOn w:val="1"/>
    <w:qFormat/>
    <w:uiPriority w:val="0"/>
    <w:pPr>
      <w:spacing w:line="480" w:lineRule="exact"/>
      <w:ind w:firstLine="624"/>
    </w:pPr>
    <w:rPr>
      <w:rFonts w:eastAsia="仿宋_GB2312"/>
      <w:sz w:val="30"/>
    </w:rPr>
  </w:style>
  <w:style w:type="paragraph" w:customStyle="1" w:styleId="465">
    <w:name w:val="列出段落2"/>
    <w:basedOn w:val="1"/>
    <w:qFormat/>
    <w:uiPriority w:val="34"/>
    <w:pPr>
      <w:ind w:firstLine="420" w:firstLineChars="200"/>
    </w:pPr>
  </w:style>
  <w:style w:type="paragraph" w:customStyle="1" w:styleId="466">
    <w:name w:val="Char Char Char Char11"/>
    <w:basedOn w:val="1"/>
    <w:qFormat/>
    <w:uiPriority w:val="0"/>
  </w:style>
  <w:style w:type="character" w:customStyle="1" w:styleId="467">
    <w:name w:val="不明显参考3"/>
    <w:qFormat/>
    <w:uiPriority w:val="0"/>
    <w:rPr>
      <w:smallCaps/>
      <w:color w:val="C0504D"/>
      <w:u w:val="single"/>
    </w:rPr>
  </w:style>
  <w:style w:type="character" w:customStyle="1" w:styleId="468">
    <w:name w:val="标题 1 Char1"/>
    <w:qFormat/>
    <w:uiPriority w:val="0"/>
    <w:rPr>
      <w:rFonts w:ascii="楷体_GB2312" w:eastAsia="楷体_GB2312"/>
      <w:b/>
      <w:kern w:val="2"/>
      <w:sz w:val="28"/>
    </w:rPr>
  </w:style>
  <w:style w:type="character" w:customStyle="1" w:styleId="469">
    <w:name w:val="标题 4 Char1"/>
    <w:qFormat/>
    <w:uiPriority w:val="0"/>
    <w:rPr>
      <w:rFonts w:eastAsia="楷体_GB2312"/>
      <w:b/>
      <w:bCs/>
      <w:kern w:val="2"/>
      <w:sz w:val="13"/>
    </w:rPr>
  </w:style>
  <w:style w:type="character" w:customStyle="1" w:styleId="470">
    <w:name w:val="批注框文本 Char2"/>
    <w:qFormat/>
    <w:uiPriority w:val="0"/>
    <w:rPr>
      <w:kern w:val="2"/>
      <w:sz w:val="18"/>
      <w:szCs w:val="18"/>
    </w:rPr>
  </w:style>
  <w:style w:type="character" w:customStyle="1" w:styleId="471">
    <w:name w:val="标题 2 Char1"/>
    <w:qFormat/>
    <w:uiPriority w:val="0"/>
    <w:rPr>
      <w:rFonts w:ascii="楷体_GB2312" w:eastAsia="楷体_GB2312"/>
      <w:b/>
      <w:bCs/>
      <w:kern w:val="2"/>
      <w:sz w:val="18"/>
    </w:rPr>
  </w:style>
  <w:style w:type="character" w:customStyle="1" w:styleId="472">
    <w:name w:val="标题 9 Char1"/>
    <w:qFormat/>
    <w:uiPriority w:val="0"/>
    <w:rPr>
      <w:rFonts w:ascii="Tahoma" w:hAnsi="Tahoma" w:eastAsia="幼圆"/>
      <w:sz w:val="21"/>
      <w:szCs w:val="21"/>
    </w:rPr>
  </w:style>
  <w:style w:type="character" w:customStyle="1" w:styleId="473">
    <w:name w:val="正文文本 Char2"/>
    <w:qFormat/>
    <w:uiPriority w:val="0"/>
    <w:rPr>
      <w:rFonts w:ascii="华文中宋" w:eastAsia="华文中宋"/>
      <w:bCs/>
      <w:kern w:val="2"/>
      <w:sz w:val="28"/>
    </w:rPr>
  </w:style>
  <w:style w:type="character" w:customStyle="1" w:styleId="474">
    <w:name w:val="书籍标题3"/>
    <w:qFormat/>
    <w:uiPriority w:val="0"/>
    <w:rPr>
      <w:b/>
      <w:bCs/>
      <w:smallCaps/>
      <w:spacing w:val="5"/>
    </w:rPr>
  </w:style>
  <w:style w:type="character" w:customStyle="1" w:styleId="475">
    <w:name w:val="日期 Char2"/>
    <w:qFormat/>
    <w:uiPriority w:val="0"/>
    <w:rPr>
      <w:rFonts w:eastAsia="黑体"/>
      <w:b/>
      <w:kern w:val="2"/>
      <w:sz w:val="36"/>
    </w:rPr>
  </w:style>
  <w:style w:type="character" w:customStyle="1" w:styleId="476">
    <w:name w:val="标题 6 Char1"/>
    <w:qFormat/>
    <w:uiPriority w:val="0"/>
    <w:rPr>
      <w:rFonts w:ascii="Tahoma" w:hAnsi="Tahoma" w:eastAsia="幼圆"/>
      <w:b/>
      <w:bCs/>
      <w:sz w:val="24"/>
      <w:szCs w:val="24"/>
    </w:rPr>
  </w:style>
  <w:style w:type="character" w:customStyle="1" w:styleId="477">
    <w:name w:val="标题 7 Char1"/>
    <w:qFormat/>
    <w:uiPriority w:val="0"/>
    <w:rPr>
      <w:b/>
      <w:bCs/>
      <w:sz w:val="24"/>
      <w:szCs w:val="24"/>
    </w:rPr>
  </w:style>
  <w:style w:type="character" w:customStyle="1" w:styleId="478">
    <w:name w:val="页脚 Char1"/>
    <w:qFormat/>
    <w:uiPriority w:val="0"/>
    <w:rPr>
      <w:kern w:val="2"/>
      <w:sz w:val="18"/>
      <w:szCs w:val="18"/>
    </w:rPr>
  </w:style>
  <w:style w:type="character" w:customStyle="1" w:styleId="479">
    <w:name w:val="Char Char112"/>
    <w:qFormat/>
    <w:uiPriority w:val="0"/>
    <w:rPr>
      <w:rFonts w:ascii="幼圆" w:hAnsi="Tahoma" w:eastAsia="幼圆" w:cs="Tahoma"/>
      <w:b/>
      <w:bCs/>
      <w:kern w:val="2"/>
      <w:sz w:val="32"/>
      <w:szCs w:val="32"/>
      <w:lang w:val="en-US" w:eastAsia="zh-CN" w:bidi="ar-SA"/>
    </w:rPr>
  </w:style>
  <w:style w:type="character" w:customStyle="1" w:styleId="480">
    <w:name w:val="Char Char42"/>
    <w:qFormat/>
    <w:uiPriority w:val="0"/>
    <w:rPr>
      <w:rFonts w:ascii="华文细黑" w:hAnsi="华文细黑" w:eastAsia="幼圆" w:cs="Tahoma"/>
      <w:b/>
      <w:kern w:val="2"/>
      <w:sz w:val="28"/>
      <w:szCs w:val="32"/>
      <w:lang w:val="en-US" w:eastAsia="zh-CN" w:bidi="ar-SA"/>
    </w:rPr>
  </w:style>
  <w:style w:type="character" w:customStyle="1" w:styleId="481">
    <w:name w:val="标题 5 Char1"/>
    <w:qFormat/>
    <w:uiPriority w:val="0"/>
    <w:rPr>
      <w:rFonts w:ascii="楷体_GB2312" w:eastAsia="楷体_GB2312"/>
      <w:bCs/>
      <w:kern w:val="2"/>
      <w:sz w:val="28"/>
    </w:rPr>
  </w:style>
  <w:style w:type="character" w:customStyle="1" w:styleId="482">
    <w:name w:val="样式 Char"/>
    <w:link w:val="483"/>
    <w:qFormat/>
    <w:locked/>
    <w:uiPriority w:val="0"/>
    <w:rPr>
      <w:rFonts w:ascii="宋体" w:hAnsi="宋体"/>
      <w:sz w:val="24"/>
      <w:szCs w:val="24"/>
      <w:lang w:val="en-US" w:eastAsia="zh-CN" w:bidi="ar-SA"/>
    </w:rPr>
  </w:style>
  <w:style w:type="paragraph" w:customStyle="1" w:styleId="483">
    <w:name w:val="样式"/>
    <w:link w:val="482"/>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484">
    <w:name w:val="标题 3 Char1"/>
    <w:qFormat/>
    <w:uiPriority w:val="0"/>
    <w:rPr>
      <w:rFonts w:eastAsia="楷体_GB2312"/>
      <w:b/>
      <w:bCs/>
      <w:kern w:val="2"/>
      <w:sz w:val="15"/>
    </w:rPr>
  </w:style>
  <w:style w:type="character" w:customStyle="1" w:styleId="485">
    <w:name w:val="纯文本 Char1"/>
    <w:qFormat/>
    <w:uiPriority w:val="0"/>
    <w:rPr>
      <w:rFonts w:ascii="宋体" w:hAnsi="Courier New" w:eastAsia="楷体_GB2312"/>
      <w:kern w:val="2"/>
      <w:sz w:val="26"/>
    </w:rPr>
  </w:style>
  <w:style w:type="character" w:customStyle="1" w:styleId="486">
    <w:name w:val="不明显强调3"/>
    <w:qFormat/>
    <w:uiPriority w:val="0"/>
    <w:rPr>
      <w:i/>
      <w:iCs/>
      <w:color w:val="808080"/>
    </w:rPr>
  </w:style>
  <w:style w:type="character" w:customStyle="1" w:styleId="487">
    <w:name w:val="Char Char38"/>
    <w:qFormat/>
    <w:uiPriority w:val="0"/>
    <w:rPr>
      <w:rFonts w:ascii="幼圆" w:hAnsi="华文细黑" w:eastAsia="幼圆" w:cs="Tahoma"/>
      <w:b/>
      <w:bCs/>
      <w:kern w:val="2"/>
      <w:sz w:val="24"/>
      <w:szCs w:val="24"/>
      <w:lang w:val="en-US" w:eastAsia="zh-CN" w:bidi="ar-SA"/>
    </w:rPr>
  </w:style>
  <w:style w:type="character" w:customStyle="1" w:styleId="488">
    <w:name w:val="标题 8 Char1"/>
    <w:qFormat/>
    <w:uiPriority w:val="0"/>
    <w:rPr>
      <w:rFonts w:ascii="Tahoma" w:hAnsi="Tahoma" w:eastAsia="幼圆"/>
      <w:sz w:val="24"/>
      <w:szCs w:val="24"/>
    </w:rPr>
  </w:style>
  <w:style w:type="character" w:customStyle="1" w:styleId="489">
    <w:name w:val="明显参考3"/>
    <w:qFormat/>
    <w:uiPriority w:val="0"/>
    <w:rPr>
      <w:b/>
      <w:bCs/>
      <w:smallCaps/>
      <w:color w:val="C0504D"/>
      <w:spacing w:val="5"/>
      <w:u w:val="single"/>
    </w:rPr>
  </w:style>
  <w:style w:type="character" w:customStyle="1" w:styleId="490">
    <w:name w:val="明显强调3"/>
    <w:qFormat/>
    <w:uiPriority w:val="0"/>
    <w:rPr>
      <w:b/>
      <w:bCs/>
      <w:i/>
      <w:iCs/>
      <w:color w:val="4F81BD"/>
    </w:rPr>
  </w:style>
  <w:style w:type="character" w:customStyle="1" w:styleId="491">
    <w:name w:val="Char Char39"/>
    <w:qFormat/>
    <w:uiPriority w:val="0"/>
    <w:rPr>
      <w:rFonts w:eastAsia="华文细黑"/>
      <w:b/>
      <w:bCs/>
      <w:kern w:val="2"/>
      <w:sz w:val="21"/>
      <w:szCs w:val="24"/>
      <w:lang w:val="en-US" w:eastAsia="zh-CN" w:bidi="ar-SA"/>
    </w:rPr>
  </w:style>
  <w:style w:type="character" w:customStyle="1" w:styleId="492">
    <w:name w:val="Char Char213"/>
    <w:semiHidden/>
    <w:qFormat/>
    <w:uiPriority w:val="0"/>
    <w:rPr>
      <w:rFonts w:eastAsia="华文细黑"/>
      <w:kern w:val="2"/>
      <w:sz w:val="21"/>
      <w:szCs w:val="24"/>
      <w:lang w:val="en-US" w:eastAsia="zh-CN" w:bidi="ar-SA"/>
    </w:rPr>
  </w:style>
  <w:style w:type="paragraph" w:customStyle="1" w:styleId="493">
    <w:name w:val="H3"/>
    <w:basedOn w:val="1"/>
    <w:next w:val="1"/>
    <w:qFormat/>
    <w:uiPriority w:val="0"/>
    <w:pPr>
      <w:keepNext/>
      <w:autoSpaceDE w:val="0"/>
      <w:autoSpaceDN w:val="0"/>
      <w:adjustRightInd w:val="0"/>
      <w:spacing w:before="100" w:after="100"/>
      <w:jc w:val="left"/>
      <w:outlineLvl w:val="3"/>
    </w:pPr>
    <w:rPr>
      <w:b/>
      <w:kern w:val="0"/>
      <w:sz w:val="28"/>
    </w:rPr>
  </w:style>
  <w:style w:type="paragraph" w:customStyle="1" w:styleId="494">
    <w:name w:val="H4"/>
    <w:basedOn w:val="1"/>
    <w:next w:val="1"/>
    <w:qFormat/>
    <w:uiPriority w:val="0"/>
    <w:pPr>
      <w:keepNext/>
      <w:autoSpaceDE w:val="0"/>
      <w:autoSpaceDN w:val="0"/>
      <w:adjustRightInd w:val="0"/>
      <w:spacing w:before="100" w:after="100"/>
      <w:jc w:val="left"/>
      <w:outlineLvl w:val="4"/>
    </w:pPr>
    <w:rPr>
      <w:b/>
      <w:kern w:val="0"/>
      <w:sz w:val="24"/>
    </w:rPr>
  </w:style>
  <w:style w:type="paragraph" w:customStyle="1" w:styleId="495">
    <w:name w:val="修订3"/>
    <w:qFormat/>
    <w:uiPriority w:val="0"/>
    <w:rPr>
      <w:rFonts w:ascii="Times New Roman" w:hAnsi="Times New Roman" w:eastAsia="宋体" w:cs="Times New Roman"/>
      <w:kern w:val="2"/>
      <w:sz w:val="21"/>
      <w:szCs w:val="24"/>
      <w:lang w:val="en-US" w:eastAsia="zh-CN" w:bidi="ar-SA"/>
    </w:rPr>
  </w:style>
  <w:style w:type="paragraph" w:customStyle="1" w:styleId="496">
    <w:name w:val="Table Paragraph"/>
    <w:basedOn w:val="1"/>
    <w:qFormat/>
    <w:uiPriority w:val="1"/>
    <w:rPr>
      <w:szCs w:val="24"/>
    </w:rPr>
  </w:style>
  <w:style w:type="paragraph" w:customStyle="1" w:styleId="497">
    <w:name w:val="H1"/>
    <w:basedOn w:val="1"/>
    <w:next w:val="1"/>
    <w:qFormat/>
    <w:uiPriority w:val="0"/>
    <w:pPr>
      <w:keepNext/>
      <w:autoSpaceDE w:val="0"/>
      <w:autoSpaceDN w:val="0"/>
      <w:adjustRightInd w:val="0"/>
      <w:spacing w:before="100" w:after="100"/>
      <w:jc w:val="left"/>
      <w:outlineLvl w:val="1"/>
    </w:pPr>
    <w:rPr>
      <w:b/>
      <w:kern w:val="36"/>
      <w:sz w:val="48"/>
    </w:rPr>
  </w:style>
  <w:style w:type="paragraph" w:customStyle="1" w:styleId="498">
    <w:name w:val="H2"/>
    <w:basedOn w:val="1"/>
    <w:next w:val="1"/>
    <w:qFormat/>
    <w:uiPriority w:val="0"/>
    <w:pPr>
      <w:keepNext/>
      <w:autoSpaceDE w:val="0"/>
      <w:autoSpaceDN w:val="0"/>
      <w:adjustRightInd w:val="0"/>
      <w:spacing w:before="100" w:after="100"/>
      <w:jc w:val="left"/>
      <w:outlineLvl w:val="2"/>
    </w:pPr>
    <w:rPr>
      <w:b/>
      <w:kern w:val="0"/>
      <w:sz w:val="36"/>
    </w:rPr>
  </w:style>
  <w:style w:type="paragraph" w:customStyle="1" w:styleId="499">
    <w:name w:val="H5"/>
    <w:basedOn w:val="1"/>
    <w:next w:val="1"/>
    <w:qFormat/>
    <w:uiPriority w:val="0"/>
    <w:pPr>
      <w:keepNext/>
      <w:autoSpaceDE w:val="0"/>
      <w:autoSpaceDN w:val="0"/>
      <w:adjustRightInd w:val="0"/>
      <w:spacing w:before="100" w:after="100"/>
      <w:jc w:val="left"/>
      <w:outlineLvl w:val="5"/>
    </w:pPr>
    <w:rPr>
      <w:b/>
      <w:kern w:val="0"/>
      <w:sz w:val="20"/>
    </w:rPr>
  </w:style>
  <w:style w:type="paragraph" w:customStyle="1" w:styleId="500">
    <w:name w:val="TOC 标题3"/>
    <w:basedOn w:val="4"/>
    <w:next w:val="1"/>
    <w:qFormat/>
    <w:uiPriority w:val="0"/>
    <w:pPr>
      <w:keepLines/>
      <w:spacing w:before="340" w:after="330" w:line="578" w:lineRule="auto"/>
      <w:jc w:val="both"/>
      <w:outlineLvl w:val="9"/>
    </w:pPr>
    <w:rPr>
      <w:rFonts w:ascii="Cambria" w:hAnsi="Cambria" w:eastAsia="华文细黑" w:cs="Cambria"/>
      <w:bCs/>
      <w:kern w:val="44"/>
      <w:sz w:val="44"/>
      <w:szCs w:val="44"/>
    </w:rPr>
  </w:style>
  <w:style w:type="paragraph" w:customStyle="1" w:styleId="50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文本_0"/>
    <w:basedOn w:val="501"/>
    <w:qFormat/>
    <w:uiPriority w:val="0"/>
    <w:pPr>
      <w:adjustRightInd w:val="0"/>
      <w:spacing w:after="60" w:line="360" w:lineRule="atLeast"/>
      <w:ind w:left="72" w:leftChars="30" w:right="30" w:rightChars="30"/>
      <w:jc w:val="center"/>
    </w:pPr>
    <w:rPr>
      <w:rFonts w:ascii="Times New Roman" w:hAnsi="Times New Roman"/>
      <w:kern w:val="0"/>
      <w:sz w:val="20"/>
      <w:szCs w:val="20"/>
    </w:rPr>
  </w:style>
  <w:style w:type="paragraph" w:customStyle="1" w:styleId="503">
    <w:name w:val="标题 1_0"/>
    <w:basedOn w:val="501"/>
    <w:next w:val="501"/>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504">
    <w:name w:val="标题 4_0"/>
    <w:basedOn w:val="501"/>
    <w:next w:val="501"/>
    <w:qFormat/>
    <w:uiPriority w:val="0"/>
    <w:pPr>
      <w:keepNext/>
      <w:keepLines/>
      <w:spacing w:before="280" w:after="290" w:line="372" w:lineRule="auto"/>
      <w:outlineLvl w:val="3"/>
    </w:pPr>
    <w:rPr>
      <w:rFonts w:ascii="Cambria" w:hAnsi="Cambria"/>
      <w:b/>
      <w:bCs/>
      <w:sz w:val="28"/>
      <w:szCs w:val="28"/>
    </w:rPr>
  </w:style>
  <w:style w:type="paragraph" w:customStyle="1" w:styleId="505">
    <w:name w:val="标题 3_0"/>
    <w:basedOn w:val="501"/>
    <w:next w:val="501"/>
    <w:qFormat/>
    <w:uiPriority w:val="0"/>
    <w:pPr>
      <w:keepNext/>
      <w:keepLines/>
      <w:spacing w:before="260" w:after="260" w:line="412" w:lineRule="auto"/>
      <w:outlineLvl w:val="2"/>
    </w:pPr>
    <w:rPr>
      <w:rFonts w:ascii="Times New Roman" w:hAnsi="Times New Roman"/>
      <w:b/>
      <w:bCs/>
      <w:sz w:val="32"/>
      <w:szCs w:val="32"/>
    </w:rPr>
  </w:style>
  <w:style w:type="paragraph" w:customStyle="1" w:styleId="506">
    <w:name w:val="_Style 37"/>
    <w:basedOn w:val="1"/>
    <w:next w:val="1"/>
    <w:qFormat/>
    <w:uiPriority w:val="0"/>
    <w:rPr>
      <w:rFonts w:ascii="Calibri" w:hAnsi="Calibri"/>
      <w:szCs w:val="24"/>
    </w:rPr>
  </w:style>
  <w:style w:type="paragraph" w:customStyle="1" w:styleId="507">
    <w:name w:val="正文_1"/>
    <w:qFormat/>
    <w:uiPriority w:val="0"/>
    <w:rPr>
      <w:rFonts w:ascii="Calibri" w:hAnsi="Calibri" w:eastAsia="宋体" w:cs="Times New Roman"/>
      <w:sz w:val="21"/>
      <w:szCs w:val="22"/>
      <w:lang w:val="en-US" w:eastAsia="zh-CN" w:bidi="ar-SA"/>
    </w:rPr>
  </w:style>
  <w:style w:type="paragraph" w:customStyle="1" w:styleId="508">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9">
    <w:name w:val="正文缩进_0"/>
    <w:basedOn w:val="507"/>
    <w:qFormat/>
    <w:uiPriority w:val="0"/>
    <w:pPr>
      <w:widowControl w:val="0"/>
      <w:ind w:firstLine="420"/>
      <w:jc w:val="both"/>
    </w:pPr>
    <w:rPr>
      <w:kern w:val="2"/>
      <w:u w:val="single"/>
    </w:rPr>
  </w:style>
  <w:style w:type="paragraph" w:customStyle="1" w:styleId="510">
    <w:name w:val="TOC 标题_0"/>
    <w:basedOn w:val="503"/>
    <w:next w:val="501"/>
    <w:qFormat/>
    <w:uiPriority w:val="0"/>
    <w:pPr>
      <w:outlineLvl w:val="9"/>
    </w:pPr>
    <w:rPr>
      <w:rFonts w:ascii="Calibri" w:hAnsi="Calibri"/>
    </w:rPr>
  </w:style>
  <w:style w:type="paragraph" w:customStyle="1" w:styleId="51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2">
    <w:name w:val="2-2ji"/>
    <w:basedOn w:val="5"/>
    <w:qFormat/>
    <w:uiPriority w:val="0"/>
    <w:pPr>
      <w:keepLines/>
      <w:spacing w:line="360" w:lineRule="auto"/>
    </w:pPr>
    <w:rPr>
      <w:rFonts w:ascii="宋体" w:hAnsi="宋体" w:eastAsia="宋体"/>
      <w:sz w:val="36"/>
      <w:szCs w:val="24"/>
      <w:lang w:val="zh-CN"/>
    </w:rPr>
  </w:style>
  <w:style w:type="character" w:customStyle="1" w:styleId="513">
    <w:name w:val="Balloon Text Char"/>
    <w:qFormat/>
    <w:uiPriority w:val="0"/>
    <w:rPr>
      <w:sz w:val="18"/>
      <w:lang w:bidi="ar-SA"/>
    </w:rPr>
  </w:style>
  <w:style w:type="character" w:customStyle="1" w:styleId="514">
    <w:name w:val="Document Map Char"/>
    <w:qFormat/>
    <w:uiPriority w:val="0"/>
    <w:rPr>
      <w:rFonts w:hint="eastAsia" w:ascii="宋体" w:hAnsi="宋体" w:eastAsia="宋体"/>
      <w:kern w:val="2"/>
      <w:sz w:val="21"/>
      <w:szCs w:val="24"/>
      <w:lang w:val="en-US" w:eastAsia="zh-CN" w:bidi="ar-SA"/>
    </w:rPr>
  </w:style>
  <w:style w:type="character" w:customStyle="1" w:styleId="515">
    <w:name w:val="Heading 1 Char"/>
    <w:qFormat/>
    <w:uiPriority w:val="0"/>
    <w:rPr>
      <w:rFonts w:hint="eastAsia" w:ascii="宋体" w:hAnsi="宋体" w:eastAsia="宋体"/>
      <w:b/>
      <w:bCs/>
      <w:kern w:val="44"/>
      <w:sz w:val="32"/>
      <w:szCs w:val="44"/>
      <w:lang w:val="en-US" w:eastAsia="zh-CN" w:bidi="ar-SA"/>
    </w:rPr>
  </w:style>
  <w:style w:type="character" w:customStyle="1" w:styleId="516">
    <w:name w:val="Comment Subject Char"/>
    <w:qFormat/>
    <w:uiPriority w:val="0"/>
    <w:rPr>
      <w:b/>
      <w:sz w:val="24"/>
      <w:lang w:bidi="ar-SA"/>
    </w:rPr>
  </w:style>
  <w:style w:type="character" w:customStyle="1" w:styleId="517">
    <w:name w:val="Date Char"/>
    <w:qFormat/>
    <w:uiPriority w:val="0"/>
    <w:rPr>
      <w:rFonts w:hint="eastAsia" w:ascii="宋体" w:hAnsi="宋体" w:eastAsia="宋体"/>
      <w:kern w:val="2"/>
      <w:sz w:val="21"/>
      <w:szCs w:val="24"/>
      <w:lang w:val="en-US" w:eastAsia="zh-CN" w:bidi="ar-SA"/>
    </w:rPr>
  </w:style>
  <w:style w:type="character" w:customStyle="1" w:styleId="518">
    <w:name w:val="Heading 2 Char"/>
    <w:qFormat/>
    <w:uiPriority w:val="0"/>
    <w:rPr>
      <w:rFonts w:hint="default" w:ascii="Arial" w:hAnsi="Arial" w:eastAsia="黑体" w:cs="Arial"/>
      <w:b/>
      <w:bCs/>
      <w:kern w:val="2"/>
      <w:sz w:val="32"/>
      <w:szCs w:val="32"/>
      <w:lang w:val="en-US" w:eastAsia="zh-CN" w:bidi="ar-SA"/>
    </w:rPr>
  </w:style>
  <w:style w:type="character" w:customStyle="1" w:styleId="519">
    <w:name w:val="Heading 3 Char1"/>
    <w:qFormat/>
    <w:uiPriority w:val="0"/>
    <w:rPr>
      <w:rFonts w:hint="eastAsia" w:ascii="宋体" w:hAnsi="宋体" w:eastAsia="宋体"/>
      <w:b/>
      <w:bCs/>
      <w:kern w:val="2"/>
      <w:sz w:val="24"/>
      <w:szCs w:val="32"/>
      <w:lang w:val="en-US" w:eastAsia="zh-CN" w:bidi="ar-SA"/>
    </w:rPr>
  </w:style>
  <w:style w:type="character" w:customStyle="1" w:styleId="520">
    <w:name w:val="Heading 4 Char"/>
    <w:qFormat/>
    <w:uiPriority w:val="0"/>
    <w:rPr>
      <w:rFonts w:hint="default" w:ascii="Arial" w:hAnsi="Arial" w:eastAsia="宋体" w:cs="Arial"/>
      <w:b/>
      <w:bCs/>
      <w:kern w:val="2"/>
      <w:sz w:val="21"/>
      <w:szCs w:val="28"/>
      <w:lang w:val="en-US" w:eastAsia="zh-CN" w:bidi="ar-SA"/>
    </w:rPr>
  </w:style>
  <w:style w:type="character" w:customStyle="1" w:styleId="521">
    <w:name w:val="Footer Char"/>
    <w:qFormat/>
    <w:uiPriority w:val="0"/>
    <w:rPr>
      <w:rFonts w:hint="eastAsia" w:ascii="宋体" w:hAnsi="宋体" w:eastAsia="宋体"/>
      <w:kern w:val="2"/>
      <w:sz w:val="18"/>
      <w:szCs w:val="18"/>
      <w:lang w:val="en-US" w:eastAsia="zh-CN" w:bidi="ar-SA"/>
    </w:rPr>
  </w:style>
  <w:style w:type="character" w:customStyle="1" w:styleId="522">
    <w:name w:val="Body Text Indent 2 Char"/>
    <w:qFormat/>
    <w:uiPriority w:val="0"/>
    <w:rPr>
      <w:rFonts w:hint="eastAsia" w:ascii="宋体" w:hAnsi="宋体" w:eastAsia="宋体"/>
      <w:kern w:val="2"/>
      <w:sz w:val="21"/>
      <w:szCs w:val="24"/>
      <w:lang w:val="en-US" w:eastAsia="zh-CN" w:bidi="ar-SA"/>
    </w:rPr>
  </w:style>
  <w:style w:type="character" w:customStyle="1" w:styleId="523">
    <w:name w:val="Plain Text Char"/>
    <w:qFormat/>
    <w:uiPriority w:val="0"/>
    <w:rPr>
      <w:rFonts w:hint="eastAsia" w:ascii="宋体" w:hAnsi="Courier New" w:eastAsia="宋体"/>
      <w:sz w:val="24"/>
      <w:lang w:bidi="ar-SA"/>
    </w:rPr>
  </w:style>
  <w:style w:type="character" w:customStyle="1" w:styleId="524">
    <w:name w:val="超链接_0"/>
    <w:qFormat/>
    <w:uiPriority w:val="99"/>
    <w:rPr>
      <w:rFonts w:hint="default" w:ascii="Calibri" w:hAnsi="Calibri" w:cs="Times New Roman"/>
      <w:color w:val="0000FF"/>
      <w:u w:val="single"/>
    </w:rPr>
  </w:style>
  <w:style w:type="character" w:customStyle="1" w:styleId="525">
    <w:name w:val="Footnote Text Char"/>
    <w:qFormat/>
    <w:uiPriority w:val="0"/>
    <w:rPr>
      <w:rFonts w:hint="eastAsia" w:ascii="宋体" w:hAnsi="宋体" w:eastAsia="宋体"/>
      <w:sz w:val="18"/>
      <w:lang w:val="en-US" w:eastAsia="zh-CN" w:bidi="ar-SA"/>
    </w:rPr>
  </w:style>
  <w:style w:type="character" w:customStyle="1" w:styleId="526">
    <w:name w:val="Comment Text Char1"/>
    <w:qFormat/>
    <w:uiPriority w:val="0"/>
    <w:rPr>
      <w:sz w:val="24"/>
      <w:lang w:bidi="ar-SA"/>
    </w:rPr>
  </w:style>
  <w:style w:type="character" w:customStyle="1" w:styleId="527">
    <w:name w:val="Comment Text Char"/>
    <w:qFormat/>
    <w:uiPriority w:val="0"/>
    <w:rPr>
      <w:rFonts w:hint="default" w:ascii="Times New Roman" w:hAnsi="Times New Roman" w:cs="Times New Roman"/>
      <w:sz w:val="24"/>
      <w:szCs w:val="24"/>
    </w:rPr>
  </w:style>
  <w:style w:type="character" w:customStyle="1" w:styleId="528">
    <w:name w:val="批注文字 Char2"/>
    <w:qFormat/>
    <w:uiPriority w:val="0"/>
    <w:rPr>
      <w:rFonts w:hint="eastAsia" w:ascii="宋体" w:hAnsi="宋体" w:eastAsia="宋体"/>
      <w:kern w:val="2"/>
      <w:sz w:val="21"/>
      <w:szCs w:val="24"/>
      <w:lang w:val="en-US" w:eastAsia="zh-CN" w:bidi="ar-SA"/>
    </w:rPr>
  </w:style>
  <w:style w:type="character" w:customStyle="1" w:styleId="529">
    <w:name w:val="Title Char"/>
    <w:qFormat/>
    <w:uiPriority w:val="0"/>
    <w:rPr>
      <w:rFonts w:hint="default" w:ascii="Cambria" w:hAnsi="Cambria"/>
      <w:b/>
      <w:sz w:val="32"/>
      <w:lang w:bidi="ar-SA"/>
    </w:rPr>
  </w:style>
  <w:style w:type="character" w:customStyle="1" w:styleId="530">
    <w:name w:val="Header Char"/>
    <w:qFormat/>
    <w:uiPriority w:val="0"/>
    <w:rPr>
      <w:rFonts w:hint="eastAsia" w:ascii="宋体" w:hAnsi="宋体" w:eastAsia="宋体"/>
      <w:kern w:val="2"/>
      <w:sz w:val="18"/>
      <w:szCs w:val="18"/>
      <w:lang w:val="en-US" w:eastAsia="zh-CN" w:bidi="ar-SA"/>
    </w:rPr>
  </w:style>
  <w:style w:type="character" w:customStyle="1" w:styleId="531">
    <w:name w:val="Heading 5 Char"/>
    <w:qFormat/>
    <w:uiPriority w:val="0"/>
    <w:rPr>
      <w:rFonts w:hint="eastAsia" w:ascii="宋体" w:hAnsi="宋体" w:eastAsia="宋体"/>
      <w:b/>
      <w:bCs/>
      <w:kern w:val="2"/>
      <w:sz w:val="28"/>
      <w:szCs w:val="28"/>
      <w:lang w:val="en-US" w:eastAsia="zh-CN" w:bidi="ar-SA"/>
    </w:rPr>
  </w:style>
  <w:style w:type="character" w:customStyle="1" w:styleId="532">
    <w:name w:val="Body Text Indent Char"/>
    <w:qFormat/>
    <w:uiPriority w:val="0"/>
    <w:rPr>
      <w:rFonts w:hint="eastAsia" w:ascii="宋体" w:hAnsi="宋体" w:eastAsia="宋体"/>
      <w:kern w:val="2"/>
      <w:sz w:val="21"/>
      <w:lang w:val="en-US" w:eastAsia="zh-CN" w:bidi="ar-SA"/>
    </w:rPr>
  </w:style>
  <w:style w:type="character" w:customStyle="1" w:styleId="533">
    <w:name w:val="Heading 3 Char"/>
    <w:qFormat/>
    <w:uiPriority w:val="0"/>
    <w:rPr>
      <w:rFonts w:hint="default" w:ascii="Times New Roman" w:hAnsi="Times New Roman" w:cs="Times New Roman"/>
      <w:b/>
      <w:bCs/>
      <w:kern w:val="2"/>
      <w:sz w:val="32"/>
      <w:szCs w:val="32"/>
    </w:rPr>
  </w:style>
  <w:style w:type="character" w:customStyle="1" w:styleId="534">
    <w:name w:val="正文文本缩进 2 Char1"/>
    <w:semiHidden/>
    <w:qFormat/>
    <w:uiPriority w:val="99"/>
    <w:rPr>
      <w:kern w:val="2"/>
      <w:sz w:val="21"/>
      <w:szCs w:val="24"/>
    </w:rPr>
  </w:style>
  <w:style w:type="character" w:customStyle="1" w:styleId="535">
    <w:name w:val="批注文字 Char3"/>
    <w:semiHidden/>
    <w:qFormat/>
    <w:locked/>
    <w:uiPriority w:val="0"/>
    <w:rPr>
      <w:rFonts w:ascii="Calibri" w:hAnsi="Calibri" w:eastAsia="宋体" w:cs="Times New Roman"/>
      <w:szCs w:val="24"/>
    </w:rPr>
  </w:style>
  <w:style w:type="character" w:customStyle="1" w:styleId="536">
    <w:name w:val="纯文本 Char2"/>
    <w:semiHidden/>
    <w:qFormat/>
    <w:uiPriority w:val="99"/>
    <w:rPr>
      <w:rFonts w:hint="eastAsia" w:ascii="宋体" w:hAnsi="Courier New" w:eastAsia="宋体" w:cs="Courier New"/>
      <w:kern w:val="2"/>
      <w:sz w:val="21"/>
      <w:szCs w:val="21"/>
    </w:rPr>
  </w:style>
  <w:style w:type="paragraph" w:customStyle="1" w:styleId="537">
    <w:name w:val="标题_0"/>
    <w:basedOn w:val="507"/>
    <w:qFormat/>
    <w:uiPriority w:val="0"/>
    <w:pPr>
      <w:spacing w:before="120" w:after="120" w:line="360" w:lineRule="auto"/>
      <w:jc w:val="center"/>
      <w:outlineLvl w:val="0"/>
    </w:pPr>
    <w:rPr>
      <w:rFonts w:ascii="黑体" w:hAnsi="Arial" w:eastAsia="黑体"/>
      <w:b/>
      <w:bCs/>
      <w:kern w:val="2"/>
      <w:sz w:val="32"/>
      <w:szCs w:val="32"/>
    </w:rPr>
  </w:style>
  <w:style w:type="character" w:customStyle="1" w:styleId="538">
    <w:name w:val="bds_nopic"/>
    <w:basedOn w:val="64"/>
    <w:qFormat/>
    <w:uiPriority w:val="0"/>
  </w:style>
  <w:style w:type="character" w:customStyle="1" w:styleId="539">
    <w:name w:val="bds_nopic1"/>
    <w:basedOn w:val="64"/>
    <w:qFormat/>
    <w:uiPriority w:val="0"/>
  </w:style>
  <w:style w:type="character" w:customStyle="1" w:styleId="540">
    <w:name w:val="bds_nopic2"/>
    <w:basedOn w:val="64"/>
    <w:qFormat/>
    <w:uiPriority w:val="0"/>
  </w:style>
  <w:style w:type="character" w:customStyle="1" w:styleId="541">
    <w:name w:val="bds_more"/>
    <w:basedOn w:val="64"/>
    <w:qFormat/>
    <w:uiPriority w:val="0"/>
    <w:rPr>
      <w:rFonts w:hint="eastAsia" w:ascii="宋体" w:hAnsi="宋体" w:eastAsia="宋体" w:cs="宋体"/>
    </w:rPr>
  </w:style>
  <w:style w:type="paragraph" w:customStyle="1" w:styleId="542">
    <w:name w:val="Body text|1"/>
    <w:basedOn w:val="1"/>
    <w:qFormat/>
    <w:uiPriority w:val="0"/>
    <w:pPr>
      <w:spacing w:line="449" w:lineRule="auto"/>
      <w:ind w:firstLine="400"/>
      <w:jc w:val="left"/>
    </w:pPr>
    <w:rPr>
      <w:rFonts w:ascii="宋体" w:hAnsi="宋体" w:cs="宋体"/>
      <w:kern w:val="0"/>
      <w:sz w:val="28"/>
      <w:szCs w:val="28"/>
      <w:lang w:val="zh-TW" w:eastAsia="zh-TW" w:bidi="zh-TW"/>
    </w:rPr>
  </w:style>
  <w:style w:type="paragraph" w:customStyle="1" w:styleId="543">
    <w:name w:val="CM26"/>
    <w:basedOn w:val="1"/>
    <w:next w:val="1"/>
    <w:qFormat/>
    <w:uiPriority w:val="99"/>
    <w:pPr>
      <w:autoSpaceDE w:val="0"/>
      <w:autoSpaceDN w:val="0"/>
      <w:adjustRightInd w:val="0"/>
      <w:spacing w:line="400" w:lineRule="atLeast"/>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8CAED-3786-46F0-A798-5D16D5E1B4A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3714</Words>
  <Characters>21170</Characters>
  <Lines>176</Lines>
  <Paragraphs>49</Paragraphs>
  <TotalTime>38</TotalTime>
  <ScaleCrop>false</ScaleCrop>
  <LinksUpToDate>false</LinksUpToDate>
  <CharactersWithSpaces>24835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2020-04-16T01:58:00Z</dcterms:created>
  <dc:creator>zjt</dc:creator>
  <cp:lastModifiedBy>高冷橙子</cp:lastModifiedBy>
  <cp:lastPrinted>2019-06-11T04:50:00Z</cp:lastPrinted>
  <dcterms:modified xsi:type="dcterms:W3CDTF">2021-12-09T03:03:36Z</dcterms:modified>
  <dc:title>投标邀请函</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B6A82DC9476C49FB889D0B0B251120DD</vt:lpwstr>
  </property>
</Properties>
</file>