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ascii="宋体" w:hAnsi="宋体" w:eastAsia="宋体" w:cs="宋体"/>
          <w:color w:val="auto"/>
        </w:rPr>
      </w:pPr>
    </w:p>
    <w:p>
      <w:pPr>
        <w:jc w:val="center"/>
        <w:rPr>
          <w:rFonts w:hAnsi="宋体" w:cs="宋体"/>
          <w:bCs/>
          <w:color w:val="auto"/>
          <w:spacing w:val="20"/>
          <w:sz w:val="72"/>
          <w:szCs w:val="72"/>
        </w:rPr>
      </w:pPr>
      <w:r>
        <w:rPr>
          <w:rFonts w:hint="eastAsia" w:hAnsi="宋体" w:cs="宋体"/>
          <w:bCs/>
          <w:color w:val="auto"/>
          <w:spacing w:val="20"/>
          <w:sz w:val="72"/>
          <w:szCs w:val="72"/>
        </w:rPr>
        <w:t>无 锡 市 政 府 采 购</w:t>
      </w:r>
    </w:p>
    <w:p>
      <w:pPr>
        <w:rPr>
          <w:rFonts w:hAnsi="宋体" w:cs="宋体"/>
          <w:bCs/>
          <w:color w:val="auto"/>
          <w:sz w:val="30"/>
        </w:rPr>
      </w:pPr>
    </w:p>
    <w:p>
      <w:pPr>
        <w:rPr>
          <w:rFonts w:hAnsi="宋体" w:cs="宋体"/>
          <w:bCs/>
          <w:color w:val="auto"/>
          <w:spacing w:val="20"/>
          <w:sz w:val="52"/>
          <w:szCs w:val="52"/>
        </w:rPr>
      </w:pPr>
    </w:p>
    <w:p>
      <w:pPr>
        <w:jc w:val="center"/>
        <w:rPr>
          <w:rFonts w:hAnsi="宋体" w:cs="宋体"/>
          <w:bCs/>
          <w:color w:val="auto"/>
          <w:spacing w:val="20"/>
          <w:sz w:val="72"/>
          <w:szCs w:val="72"/>
        </w:rPr>
      </w:pPr>
      <w:r>
        <w:rPr>
          <w:rFonts w:hint="eastAsia" w:hAnsi="宋体" w:cs="宋体"/>
          <w:bCs/>
          <w:color w:val="auto"/>
          <w:spacing w:val="20"/>
          <w:sz w:val="72"/>
          <w:szCs w:val="72"/>
        </w:rPr>
        <w:t>竞争性磋商</w:t>
      </w:r>
    </w:p>
    <w:p>
      <w:pPr>
        <w:pStyle w:val="2"/>
        <w:numPr>
          <w:ilvl w:val="0"/>
          <w:numId w:val="0"/>
        </w:numPr>
        <w:rPr>
          <w:color w:val="auto"/>
        </w:rPr>
      </w:pPr>
    </w:p>
    <w:p>
      <w:pPr>
        <w:jc w:val="center"/>
        <w:rPr>
          <w:rFonts w:hAnsi="宋体" w:cs="宋体"/>
          <w:bCs/>
          <w:color w:val="auto"/>
          <w:spacing w:val="20"/>
          <w:sz w:val="72"/>
          <w:szCs w:val="72"/>
        </w:rPr>
      </w:pPr>
      <w:r>
        <w:rPr>
          <w:rFonts w:hint="eastAsia" w:hAnsi="宋体" w:cs="宋体"/>
          <w:bCs/>
          <w:color w:val="auto"/>
          <w:spacing w:val="20"/>
          <w:sz w:val="72"/>
          <w:szCs w:val="72"/>
        </w:rPr>
        <w:t>文  件</w:t>
      </w:r>
    </w:p>
    <w:p>
      <w:pPr>
        <w:snapToGrid w:val="0"/>
        <w:spacing w:line="480" w:lineRule="auto"/>
        <w:rPr>
          <w:rFonts w:hAnsi="宋体" w:cs="宋体"/>
          <w:bCs/>
          <w:color w:val="auto"/>
          <w:sz w:val="30"/>
          <w:szCs w:val="30"/>
        </w:rPr>
      </w:pPr>
    </w:p>
    <w:p>
      <w:pPr>
        <w:pStyle w:val="2"/>
        <w:numPr>
          <w:ilvl w:val="0"/>
          <w:numId w:val="0"/>
        </w:numPr>
        <w:rPr>
          <w:rFonts w:ascii="宋体" w:hAnsi="宋体" w:eastAsia="宋体" w:cs="宋体"/>
          <w:color w:val="auto"/>
        </w:rPr>
      </w:pPr>
    </w:p>
    <w:p>
      <w:pPr>
        <w:snapToGrid w:val="0"/>
        <w:spacing w:line="560" w:lineRule="exact"/>
        <w:rPr>
          <w:rFonts w:hAnsi="宋体" w:cs="宋体"/>
          <w:bCs/>
          <w:color w:val="auto"/>
          <w:sz w:val="30"/>
          <w:szCs w:val="30"/>
        </w:rPr>
      </w:pPr>
      <w:r>
        <w:rPr>
          <w:rFonts w:hint="eastAsia" w:hAnsi="宋体" w:cs="宋体"/>
          <w:bCs/>
          <w:color w:val="auto"/>
          <w:sz w:val="30"/>
          <w:szCs w:val="30"/>
        </w:rPr>
        <w:t>政府采购编号：JYFZCGWX2022-006</w:t>
      </w:r>
    </w:p>
    <w:p>
      <w:pPr>
        <w:snapToGrid w:val="0"/>
        <w:spacing w:line="560" w:lineRule="exact"/>
        <w:ind w:left="1950" w:hanging="1950" w:hangingChars="650"/>
        <w:rPr>
          <w:rFonts w:hAnsi="宋体" w:cs="宋体"/>
          <w:bCs/>
          <w:color w:val="auto"/>
          <w:sz w:val="30"/>
          <w:szCs w:val="30"/>
        </w:rPr>
      </w:pPr>
      <w:r>
        <w:rPr>
          <w:rFonts w:hint="eastAsia" w:hAnsi="宋体" w:cs="宋体"/>
          <w:bCs/>
          <w:color w:val="auto"/>
          <w:sz w:val="30"/>
          <w:szCs w:val="30"/>
        </w:rPr>
        <w:t>采购项目名称：无锡市精神卫生中心精神科病房楼供应室、制剂室、实验区配套工程</w:t>
      </w:r>
    </w:p>
    <w:p>
      <w:pPr>
        <w:snapToGrid w:val="0"/>
        <w:spacing w:line="560" w:lineRule="exact"/>
        <w:rPr>
          <w:rFonts w:hAnsi="宋体" w:cs="宋体"/>
          <w:bCs/>
          <w:color w:val="auto"/>
          <w:sz w:val="30"/>
          <w:szCs w:val="30"/>
        </w:rPr>
      </w:pPr>
      <w:r>
        <w:rPr>
          <w:rFonts w:hint="eastAsia" w:hAnsi="宋体" w:cs="宋体"/>
          <w:bCs/>
          <w:color w:val="auto"/>
          <w:sz w:val="30"/>
          <w:szCs w:val="30"/>
        </w:rPr>
        <w:t>采   购   人： 无锡市精神卫生中心</w:t>
      </w:r>
    </w:p>
    <w:p>
      <w:pPr>
        <w:snapToGrid w:val="0"/>
        <w:spacing w:line="560" w:lineRule="exact"/>
        <w:rPr>
          <w:rFonts w:hAnsi="宋体" w:cs="宋体"/>
          <w:bCs/>
          <w:color w:val="auto"/>
          <w:sz w:val="32"/>
        </w:rPr>
      </w:pPr>
      <w:r>
        <w:rPr>
          <w:rFonts w:hint="eastAsia" w:hAnsi="宋体" w:cs="宋体"/>
          <w:bCs/>
          <w:color w:val="auto"/>
          <w:sz w:val="30"/>
          <w:szCs w:val="30"/>
        </w:rPr>
        <w:t>采购代理机构：江阴方正建设工程造价事务所有限公司</w:t>
      </w:r>
    </w:p>
    <w:p>
      <w:pPr>
        <w:spacing w:line="560" w:lineRule="exact"/>
        <w:jc w:val="center"/>
        <w:rPr>
          <w:rFonts w:hAnsi="宋体" w:cs="宋体"/>
          <w:bCs/>
          <w:color w:val="auto"/>
          <w:sz w:val="36"/>
          <w:szCs w:val="36"/>
        </w:rPr>
      </w:pPr>
    </w:p>
    <w:p>
      <w:pPr>
        <w:spacing w:line="560" w:lineRule="exact"/>
        <w:jc w:val="center"/>
        <w:rPr>
          <w:rStyle w:val="74"/>
          <w:rFonts w:ascii="宋体" w:hAnsi="宋体" w:cs="宋体"/>
          <w:bCs/>
          <w:color w:val="auto"/>
          <w:sz w:val="36"/>
          <w:szCs w:val="36"/>
        </w:rPr>
      </w:pPr>
      <w:r>
        <w:rPr>
          <w:rFonts w:hint="eastAsia" w:hAnsi="宋体" w:cs="宋体"/>
          <w:bCs/>
          <w:color w:val="auto"/>
          <w:sz w:val="36"/>
          <w:szCs w:val="36"/>
        </w:rPr>
        <w:t>2022年3月</w:t>
      </w:r>
    </w:p>
    <w:p>
      <w:pPr>
        <w:jc w:val="center"/>
        <w:rPr>
          <w:rStyle w:val="74"/>
          <w:rFonts w:ascii="宋体" w:hAnsi="宋体" w:cs="宋体"/>
          <w:bCs/>
          <w:color w:val="auto"/>
          <w:sz w:val="48"/>
        </w:rPr>
        <w:sectPr>
          <w:headerReference r:id="rId5" w:type="first"/>
          <w:footerReference r:id="rId8" w:type="first"/>
          <w:headerReference r:id="rId3" w:type="default"/>
          <w:footerReference r:id="rId6" w:type="default"/>
          <w:headerReference r:id="rId4" w:type="even"/>
          <w:footerReference r:id="rId7" w:type="even"/>
          <w:pgSz w:w="11906" w:h="16838"/>
          <w:pgMar w:top="1418" w:right="1554" w:bottom="1418" w:left="1531" w:header="851" w:footer="992" w:gutter="0"/>
          <w:pgNumType w:start="1"/>
          <w:cols w:space="720" w:num="1"/>
          <w:titlePg/>
          <w:docGrid w:type="lines" w:linePitch="312" w:charSpace="0"/>
        </w:sectPr>
      </w:pPr>
    </w:p>
    <w:p>
      <w:pPr>
        <w:jc w:val="center"/>
        <w:rPr>
          <w:rStyle w:val="74"/>
          <w:rFonts w:ascii="宋体" w:hAnsi="宋体" w:cs="宋体"/>
          <w:bCs/>
          <w:color w:val="auto"/>
          <w:sz w:val="48"/>
        </w:rPr>
      </w:pPr>
    </w:p>
    <w:p>
      <w:pPr>
        <w:jc w:val="center"/>
        <w:rPr>
          <w:rStyle w:val="74"/>
          <w:rFonts w:ascii="宋体" w:hAnsi="宋体" w:cs="宋体"/>
          <w:bCs/>
          <w:color w:val="auto"/>
          <w:sz w:val="48"/>
        </w:rPr>
      </w:pPr>
      <w:r>
        <w:rPr>
          <w:rStyle w:val="74"/>
          <w:rFonts w:hint="eastAsia" w:ascii="宋体" w:hAnsi="宋体" w:cs="宋体"/>
          <w:bCs/>
          <w:color w:val="auto"/>
          <w:sz w:val="48"/>
        </w:rPr>
        <w:t>目   录</w:t>
      </w:r>
    </w:p>
    <w:p>
      <w:pPr>
        <w:jc w:val="center"/>
        <w:rPr>
          <w:rFonts w:hAnsi="宋体" w:cs="宋体"/>
          <w:bCs/>
          <w:color w:val="auto"/>
          <w:sz w:val="30"/>
        </w:rPr>
      </w:pPr>
    </w:p>
    <w:p>
      <w:pPr>
        <w:spacing w:line="720" w:lineRule="auto"/>
        <w:ind w:firstLine="630" w:firstLineChars="210"/>
        <w:rPr>
          <w:rFonts w:hAnsi="宋体" w:cs="宋体"/>
          <w:bCs/>
          <w:color w:val="auto"/>
          <w:sz w:val="30"/>
          <w:szCs w:val="30"/>
        </w:rPr>
      </w:pPr>
      <w:r>
        <w:rPr>
          <w:rFonts w:hint="eastAsia" w:hAnsi="宋体" w:cs="宋体"/>
          <w:bCs/>
          <w:color w:val="auto"/>
          <w:sz w:val="30"/>
          <w:szCs w:val="30"/>
        </w:rPr>
        <w:t>一．磋商须知前附表</w:t>
      </w:r>
    </w:p>
    <w:p>
      <w:pPr>
        <w:spacing w:line="720" w:lineRule="auto"/>
        <w:ind w:firstLine="630" w:firstLineChars="210"/>
        <w:rPr>
          <w:rFonts w:hAnsi="宋体" w:cs="宋体"/>
          <w:bCs/>
          <w:color w:val="auto"/>
          <w:sz w:val="30"/>
          <w:szCs w:val="30"/>
        </w:rPr>
      </w:pPr>
      <w:r>
        <w:rPr>
          <w:rFonts w:hint="eastAsia" w:hAnsi="宋体" w:cs="宋体"/>
          <w:bCs/>
          <w:color w:val="auto"/>
          <w:sz w:val="30"/>
          <w:szCs w:val="30"/>
        </w:rPr>
        <w:t>二．供应商须知</w:t>
      </w:r>
    </w:p>
    <w:p>
      <w:pPr>
        <w:spacing w:line="720" w:lineRule="auto"/>
        <w:ind w:firstLine="630" w:firstLineChars="210"/>
        <w:rPr>
          <w:rFonts w:hAnsi="宋体" w:cs="宋体"/>
          <w:bCs/>
          <w:color w:val="auto"/>
          <w:sz w:val="30"/>
          <w:szCs w:val="30"/>
        </w:rPr>
      </w:pPr>
      <w:r>
        <w:rPr>
          <w:rFonts w:hint="eastAsia" w:hAnsi="宋体" w:cs="宋体"/>
          <w:bCs/>
          <w:color w:val="auto"/>
          <w:sz w:val="30"/>
          <w:szCs w:val="30"/>
        </w:rPr>
        <w:t>三．采购需求</w:t>
      </w:r>
    </w:p>
    <w:p>
      <w:pPr>
        <w:spacing w:line="720" w:lineRule="auto"/>
        <w:ind w:firstLine="630" w:firstLineChars="210"/>
        <w:rPr>
          <w:rFonts w:hAnsi="宋体" w:cs="宋体"/>
          <w:bCs/>
          <w:color w:val="auto"/>
          <w:sz w:val="30"/>
          <w:szCs w:val="30"/>
        </w:rPr>
      </w:pPr>
      <w:r>
        <w:rPr>
          <w:rFonts w:hint="eastAsia" w:hAnsi="宋体" w:cs="宋体"/>
          <w:bCs/>
          <w:color w:val="auto"/>
          <w:sz w:val="30"/>
          <w:szCs w:val="30"/>
        </w:rPr>
        <w:t>四. 合同书（格式文本）</w:t>
      </w:r>
    </w:p>
    <w:p>
      <w:pPr>
        <w:spacing w:line="720" w:lineRule="auto"/>
        <w:ind w:firstLine="630" w:firstLineChars="210"/>
        <w:rPr>
          <w:rFonts w:hAnsi="宋体" w:cs="宋体"/>
          <w:bCs/>
          <w:color w:val="auto"/>
          <w:sz w:val="28"/>
          <w:szCs w:val="28"/>
        </w:rPr>
      </w:pPr>
      <w:r>
        <w:rPr>
          <w:rFonts w:hint="eastAsia" w:hAnsi="宋体" w:cs="宋体"/>
          <w:bCs/>
          <w:color w:val="auto"/>
          <w:sz w:val="30"/>
          <w:szCs w:val="30"/>
        </w:rPr>
        <w:t>五. 附件（响应文件格式）</w:t>
      </w:r>
    </w:p>
    <w:p>
      <w:pPr>
        <w:widowControl/>
        <w:topLinePunct/>
        <w:snapToGrid w:val="0"/>
        <w:spacing w:line="360" w:lineRule="auto"/>
        <w:rPr>
          <w:rFonts w:hAnsi="宋体" w:cs="宋体"/>
          <w:b/>
          <w:color w:val="auto"/>
          <w:sz w:val="24"/>
        </w:rPr>
      </w:pPr>
    </w:p>
    <w:p>
      <w:pPr>
        <w:widowControl/>
        <w:topLinePunct/>
        <w:snapToGrid w:val="0"/>
        <w:spacing w:line="360" w:lineRule="auto"/>
        <w:rPr>
          <w:rFonts w:hAnsi="宋体" w:cs="宋体"/>
          <w:b/>
          <w:color w:val="auto"/>
          <w:sz w:val="24"/>
        </w:rPr>
      </w:pPr>
    </w:p>
    <w:p>
      <w:pPr>
        <w:widowControl/>
        <w:topLinePunct/>
        <w:snapToGrid w:val="0"/>
        <w:spacing w:line="360" w:lineRule="auto"/>
        <w:rPr>
          <w:rFonts w:hAnsi="宋体" w:cs="宋体"/>
          <w:b/>
          <w:color w:val="auto"/>
          <w:sz w:val="24"/>
        </w:rPr>
      </w:pPr>
    </w:p>
    <w:p>
      <w:pPr>
        <w:widowControl/>
        <w:topLinePunct/>
        <w:snapToGrid w:val="0"/>
        <w:spacing w:line="360" w:lineRule="auto"/>
        <w:rPr>
          <w:rFonts w:hAnsi="宋体" w:cs="宋体"/>
          <w:b/>
          <w:color w:val="auto"/>
          <w:sz w:val="24"/>
        </w:rPr>
      </w:pPr>
    </w:p>
    <w:p>
      <w:pPr>
        <w:widowControl/>
        <w:topLinePunct/>
        <w:snapToGrid w:val="0"/>
        <w:spacing w:line="360" w:lineRule="auto"/>
        <w:rPr>
          <w:rFonts w:hAnsi="宋体" w:cs="宋体"/>
          <w:b/>
          <w:color w:val="auto"/>
          <w:sz w:val="24"/>
        </w:rPr>
      </w:pPr>
    </w:p>
    <w:p>
      <w:pPr>
        <w:widowControl/>
        <w:topLinePunct/>
        <w:spacing w:before="470"/>
        <w:rPr>
          <w:rFonts w:hAnsi="宋体" w:cs="宋体"/>
          <w:b/>
          <w:color w:val="auto"/>
          <w:sz w:val="24"/>
        </w:rPr>
      </w:pPr>
    </w:p>
    <w:p>
      <w:pPr>
        <w:adjustRightInd w:val="0"/>
        <w:snapToGrid w:val="0"/>
        <w:spacing w:line="360" w:lineRule="auto"/>
        <w:jc w:val="center"/>
        <w:rPr>
          <w:rFonts w:hAnsi="宋体" w:cs="宋体"/>
          <w:b/>
          <w:bCs/>
          <w:color w:val="auto"/>
          <w:sz w:val="32"/>
          <w:szCs w:val="32"/>
        </w:rPr>
      </w:pPr>
      <w:r>
        <w:rPr>
          <w:rFonts w:hint="eastAsia" w:hAnsi="宋体" w:cs="宋体"/>
          <w:b/>
          <w:color w:val="auto"/>
          <w:sz w:val="24"/>
        </w:rPr>
        <w:br w:type="page"/>
      </w:r>
      <w:r>
        <w:rPr>
          <w:rFonts w:hint="eastAsia" w:hAnsi="宋体" w:cs="宋体"/>
          <w:b/>
          <w:bCs/>
          <w:color w:val="auto"/>
          <w:sz w:val="32"/>
          <w:szCs w:val="32"/>
        </w:rPr>
        <w:t>一．磋商须知前附表</w:t>
      </w:r>
    </w:p>
    <w:p>
      <w:pPr>
        <w:spacing w:line="360" w:lineRule="auto"/>
        <w:ind w:firstLine="480" w:firstLineChars="200"/>
        <w:rPr>
          <w:rFonts w:hAnsi="宋体" w:cs="宋体"/>
          <w:bCs/>
          <w:color w:val="auto"/>
          <w:sz w:val="24"/>
          <w:szCs w:val="22"/>
        </w:rPr>
      </w:pPr>
      <w:r>
        <w:rPr>
          <w:rFonts w:hint="eastAsia" w:hAnsi="宋体" w:cs="宋体"/>
          <w:bCs/>
          <w:color w:val="auto"/>
          <w:sz w:val="24"/>
        </w:rPr>
        <w:t>江阴方正建设工程造价事务所有限公司受无锡市精神卫生中心的</w:t>
      </w:r>
      <w:r>
        <w:rPr>
          <w:rFonts w:hint="eastAsia" w:hAnsi="宋体" w:cs="宋体"/>
          <w:bCs/>
          <w:color w:val="auto"/>
          <w:sz w:val="24"/>
          <w:szCs w:val="22"/>
        </w:rPr>
        <w:t>委托，就其</w:t>
      </w:r>
      <w:r>
        <w:rPr>
          <w:rFonts w:hint="eastAsia" w:hAnsi="宋体" w:cs="宋体"/>
          <w:bCs/>
          <w:color w:val="auto"/>
          <w:sz w:val="24"/>
        </w:rPr>
        <w:t>无锡市精神卫生中心精神科病房楼供应室、制剂室、实验区配套工程</w:t>
      </w:r>
      <w:r>
        <w:rPr>
          <w:rFonts w:hint="eastAsia" w:hAnsi="宋体" w:cs="宋体"/>
          <w:bCs/>
          <w:color w:val="auto"/>
          <w:sz w:val="24"/>
          <w:szCs w:val="22"/>
        </w:rPr>
        <w:t>进行竞争性磋商，欢迎你单位参加报价并提请注意下列附表中的相关事项：</w:t>
      </w:r>
    </w:p>
    <w:tbl>
      <w:tblPr>
        <w:tblStyle w:val="6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序号</w:t>
            </w:r>
          </w:p>
        </w:tc>
        <w:tc>
          <w:tcPr>
            <w:tcW w:w="4626"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w:t>
            </w:r>
          </w:p>
        </w:tc>
        <w:tc>
          <w:tcPr>
            <w:tcW w:w="4626" w:type="pct"/>
            <w:noWrap/>
            <w:vAlign w:val="center"/>
          </w:tcPr>
          <w:p>
            <w:pPr>
              <w:snapToGrid w:val="0"/>
              <w:spacing w:line="440" w:lineRule="exact"/>
              <w:ind w:left="1680" w:hanging="1680" w:hangingChars="700"/>
              <w:rPr>
                <w:rFonts w:hAnsi="宋体" w:cs="宋体"/>
                <w:bCs/>
                <w:color w:val="auto"/>
                <w:sz w:val="24"/>
                <w:szCs w:val="22"/>
              </w:rPr>
            </w:pPr>
            <w:r>
              <w:rPr>
                <w:rFonts w:hint="eastAsia" w:hAnsi="宋体" w:cs="宋体"/>
                <w:bCs/>
                <w:color w:val="auto"/>
                <w:sz w:val="24"/>
              </w:rPr>
              <w:t>采购项目名称：</w:t>
            </w:r>
            <w:r>
              <w:rPr>
                <w:rFonts w:hint="eastAsia" w:hAnsi="宋体" w:cs="宋体"/>
                <w:bCs/>
                <w:color w:val="auto"/>
                <w:sz w:val="24"/>
                <w:szCs w:val="22"/>
              </w:rPr>
              <w:t>无锡市精神卫生中心精神科病房楼供应室、制剂室、实验区配套工程</w:t>
            </w:r>
          </w:p>
          <w:p>
            <w:pPr>
              <w:snapToGrid w:val="0"/>
              <w:spacing w:line="440" w:lineRule="exact"/>
              <w:ind w:left="1680" w:hanging="1680" w:hangingChars="700"/>
              <w:rPr>
                <w:rFonts w:hAnsi="宋体" w:cs="宋体"/>
                <w:bCs/>
                <w:color w:val="auto"/>
                <w:sz w:val="24"/>
                <w:szCs w:val="22"/>
              </w:rPr>
            </w:pPr>
            <w:r>
              <w:rPr>
                <w:rFonts w:hint="eastAsia" w:hAnsi="宋体" w:cs="宋体"/>
                <w:bCs/>
                <w:color w:val="auto"/>
                <w:sz w:val="24"/>
                <w:szCs w:val="22"/>
              </w:rPr>
              <w:t>采购项目编号：JYFZCGWX2022-006</w:t>
            </w:r>
          </w:p>
          <w:p>
            <w:pPr>
              <w:snapToGrid w:val="0"/>
              <w:spacing w:line="440" w:lineRule="exact"/>
              <w:rPr>
                <w:rFonts w:hAnsi="宋体" w:cs="宋体"/>
                <w:bCs/>
                <w:color w:val="auto"/>
                <w:sz w:val="24"/>
              </w:rPr>
            </w:pPr>
            <w:r>
              <w:rPr>
                <w:rFonts w:hint="eastAsia" w:hAnsi="宋体" w:cs="宋体"/>
                <w:bCs/>
                <w:color w:val="auto"/>
                <w:sz w:val="24"/>
              </w:rPr>
              <w:t>采 购 人：</w:t>
            </w:r>
            <w:r>
              <w:rPr>
                <w:rFonts w:hint="eastAsia" w:hAnsi="宋体" w:cs="宋体"/>
                <w:bCs/>
                <w:color w:val="auto"/>
                <w:sz w:val="24"/>
                <w:szCs w:val="22"/>
              </w:rPr>
              <w:t>无锡市精神卫生中心</w:t>
            </w:r>
          </w:p>
          <w:p>
            <w:pPr>
              <w:snapToGrid w:val="0"/>
              <w:spacing w:line="440" w:lineRule="exact"/>
              <w:rPr>
                <w:rFonts w:hAnsi="宋体" w:cs="宋体"/>
                <w:bCs/>
                <w:color w:val="auto"/>
                <w:sz w:val="24"/>
              </w:rPr>
            </w:pPr>
            <w:r>
              <w:rPr>
                <w:rFonts w:hint="eastAsia" w:hAnsi="宋体" w:cs="宋体"/>
                <w:bCs/>
                <w:color w:val="auto"/>
                <w:sz w:val="24"/>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2</w:t>
            </w:r>
          </w:p>
        </w:tc>
        <w:tc>
          <w:tcPr>
            <w:tcW w:w="4626" w:type="pct"/>
            <w:noWrap/>
            <w:vAlign w:val="center"/>
          </w:tcPr>
          <w:p>
            <w:pPr>
              <w:widowControl/>
              <w:topLinePunct/>
              <w:spacing w:line="360" w:lineRule="auto"/>
              <w:rPr>
                <w:rFonts w:hAnsi="宋体" w:cs="宋体"/>
                <w:b/>
                <w:color w:val="auto"/>
                <w:sz w:val="24"/>
              </w:rPr>
            </w:pPr>
            <w:r>
              <w:rPr>
                <w:rFonts w:hint="eastAsia" w:hAnsi="宋体"/>
                <w:color w:val="auto"/>
                <w:sz w:val="24"/>
              </w:rPr>
              <w:t>采购人：无锡市精神卫生中心</w:t>
            </w:r>
          </w:p>
          <w:p>
            <w:pPr>
              <w:widowControl/>
              <w:topLinePunct/>
              <w:spacing w:line="360" w:lineRule="auto"/>
              <w:rPr>
                <w:rFonts w:hAnsi="宋体"/>
                <w:color w:val="auto"/>
                <w:sz w:val="24"/>
              </w:rPr>
            </w:pPr>
            <w:r>
              <w:rPr>
                <w:rFonts w:hint="eastAsia" w:hAnsi="宋体"/>
                <w:color w:val="auto"/>
                <w:sz w:val="24"/>
              </w:rPr>
              <w:t xml:space="preserve">采购人地址：无锡市滨湖区钱荣路156号 </w:t>
            </w:r>
          </w:p>
          <w:p>
            <w:pPr>
              <w:snapToGrid w:val="0"/>
              <w:spacing w:line="440" w:lineRule="exact"/>
              <w:rPr>
                <w:rFonts w:hAnsi="宋体" w:cs="宋体"/>
                <w:bCs/>
                <w:color w:val="auto"/>
                <w:sz w:val="24"/>
              </w:rPr>
            </w:pPr>
            <w:r>
              <w:rPr>
                <w:rFonts w:hint="eastAsia" w:hAnsi="宋体" w:cs="宋体"/>
                <w:bCs/>
                <w:color w:val="auto"/>
                <w:sz w:val="24"/>
              </w:rPr>
              <w:t>采购代理机构：江阴方正建设工程造价事务所有限公司</w:t>
            </w:r>
          </w:p>
          <w:p>
            <w:pPr>
              <w:snapToGrid w:val="0"/>
              <w:spacing w:line="440" w:lineRule="exact"/>
              <w:rPr>
                <w:rFonts w:hAnsi="宋体" w:cs="宋体"/>
                <w:bCs/>
                <w:color w:val="auto"/>
                <w:sz w:val="24"/>
              </w:rPr>
            </w:pPr>
            <w:r>
              <w:rPr>
                <w:rFonts w:hint="eastAsia" w:hAnsi="宋体" w:cs="宋体"/>
                <w:bCs/>
                <w:color w:val="auto"/>
                <w:sz w:val="24"/>
              </w:rPr>
              <w:t>地址：无锡市锡沪路123号嘉柏大厦4楼401室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3</w:t>
            </w:r>
          </w:p>
        </w:tc>
        <w:tc>
          <w:tcPr>
            <w:tcW w:w="4626" w:type="pct"/>
            <w:noWrap/>
            <w:vAlign w:val="center"/>
          </w:tcPr>
          <w:p>
            <w:pPr>
              <w:snapToGrid w:val="0"/>
              <w:spacing w:line="440" w:lineRule="exact"/>
              <w:rPr>
                <w:rFonts w:hAnsi="宋体" w:cs="宋体"/>
                <w:color w:val="auto"/>
                <w:sz w:val="24"/>
                <w:szCs w:val="24"/>
              </w:rPr>
            </w:pPr>
            <w:r>
              <w:rPr>
                <w:rFonts w:hint="eastAsia" w:hAnsi="宋体" w:cs="宋体"/>
                <w:color w:val="auto"/>
                <w:sz w:val="24"/>
                <w:szCs w:val="24"/>
              </w:rPr>
              <w:t>采购项目概况、要求：</w:t>
            </w:r>
          </w:p>
          <w:p>
            <w:pPr>
              <w:snapToGrid w:val="0"/>
              <w:spacing w:line="440" w:lineRule="exact"/>
              <w:ind w:left="-102" w:leftChars="-30"/>
              <w:rPr>
                <w:rFonts w:hAnsi="宋体" w:cs="宋体"/>
                <w:bCs/>
                <w:color w:val="auto"/>
                <w:sz w:val="24"/>
                <w:szCs w:val="22"/>
              </w:rPr>
            </w:pPr>
            <w:r>
              <w:rPr>
                <w:rFonts w:hint="eastAsia" w:hAnsi="宋体" w:cs="宋体"/>
                <w:color w:val="auto"/>
                <w:sz w:val="24"/>
                <w:szCs w:val="24"/>
              </w:rPr>
              <w:t>（1）项目概况：</w:t>
            </w:r>
            <w:r>
              <w:rPr>
                <w:rFonts w:hint="eastAsia" w:hAnsi="宋体" w:cs="宋体"/>
                <w:bCs/>
                <w:color w:val="auto"/>
                <w:sz w:val="24"/>
                <w:szCs w:val="22"/>
              </w:rPr>
              <w:t>无锡市精神卫生中心精神科病房楼供应室、制剂室、实验区配套工程</w:t>
            </w:r>
            <w:r>
              <w:rPr>
                <w:rFonts w:hint="eastAsia" w:hAnsi="宋体" w:cs="宋体"/>
                <w:color w:val="auto"/>
                <w:sz w:val="24"/>
                <w:szCs w:val="24"/>
              </w:rPr>
              <w:t>，包括室内维护结构及配套基本装备、空气处理设备及配套（净化空调系统）、配电及自动控制系统（包括不限于照明系统、电气动力系统及综合布线系统、监控系统等系统）、配套室内给排水系统、机制设备等材料的供应和安装、调试、验收、培训、售后服务等内容。具体</w:t>
            </w:r>
            <w:r>
              <w:rPr>
                <w:rFonts w:hint="eastAsia" w:asciiTheme="minorEastAsia" w:hAnsiTheme="minorEastAsia" w:eastAsiaTheme="minorEastAsia"/>
                <w:color w:val="auto"/>
                <w:sz w:val="24"/>
                <w:szCs w:val="24"/>
              </w:rPr>
              <w:t>要求详见“三、采购需求”。</w:t>
            </w:r>
          </w:p>
          <w:p>
            <w:pPr>
              <w:snapToGrid w:val="0"/>
              <w:spacing w:line="440" w:lineRule="exact"/>
              <w:rPr>
                <w:rFonts w:hAnsi="宋体" w:cs="宋体"/>
                <w:color w:val="auto"/>
                <w:sz w:val="24"/>
                <w:szCs w:val="24"/>
              </w:rPr>
            </w:pPr>
            <w:r>
              <w:rPr>
                <w:rFonts w:hint="eastAsia" w:hAnsi="宋体" w:cs="宋体"/>
                <w:color w:val="auto"/>
                <w:sz w:val="24"/>
                <w:szCs w:val="24"/>
              </w:rPr>
              <w:t>（2）预算金额：</w:t>
            </w:r>
            <w:r>
              <w:rPr>
                <w:rFonts w:hint="eastAsia" w:hAnsi="宋体"/>
                <w:b/>
                <w:color w:val="auto"/>
                <w:sz w:val="24"/>
              </w:rPr>
              <w:t>1332.505237</w:t>
            </w:r>
            <w:r>
              <w:rPr>
                <w:rFonts w:hint="eastAsia" w:hAnsi="宋体" w:cs="宋体"/>
                <w:color w:val="auto"/>
                <w:sz w:val="24"/>
                <w:szCs w:val="24"/>
              </w:rPr>
              <w:t>万元。</w:t>
            </w:r>
          </w:p>
          <w:p>
            <w:pPr>
              <w:snapToGrid w:val="0"/>
              <w:spacing w:line="440" w:lineRule="exact"/>
              <w:rPr>
                <w:rFonts w:hAnsi="宋体" w:cs="宋体"/>
                <w:color w:val="auto"/>
                <w:sz w:val="24"/>
                <w:szCs w:val="24"/>
              </w:rPr>
            </w:pPr>
            <w:r>
              <w:rPr>
                <w:rFonts w:hint="eastAsia" w:hAnsi="宋体" w:cs="宋体"/>
                <w:color w:val="auto"/>
                <w:sz w:val="24"/>
                <w:szCs w:val="24"/>
              </w:rPr>
              <w:t>（3）最高限价：</w:t>
            </w:r>
            <w:r>
              <w:rPr>
                <w:rFonts w:hint="eastAsia" w:hAnsi="宋体"/>
                <w:b/>
                <w:color w:val="auto"/>
                <w:sz w:val="24"/>
              </w:rPr>
              <w:t>1332.505237</w:t>
            </w:r>
            <w:r>
              <w:rPr>
                <w:rFonts w:hint="eastAsia" w:hAnsi="宋体" w:cs="宋体"/>
                <w:color w:val="auto"/>
                <w:sz w:val="24"/>
                <w:szCs w:val="24"/>
              </w:rPr>
              <w:t>万元。</w:t>
            </w:r>
          </w:p>
          <w:p>
            <w:pPr>
              <w:snapToGrid w:val="0"/>
              <w:spacing w:line="440" w:lineRule="exact"/>
              <w:rPr>
                <w:rFonts w:hAnsi="宋体" w:cs="宋体"/>
                <w:color w:val="auto"/>
                <w:sz w:val="24"/>
                <w:szCs w:val="24"/>
              </w:rPr>
            </w:pPr>
            <w:r>
              <w:rPr>
                <w:rFonts w:hint="eastAsia" w:hAnsi="宋体" w:cs="宋体"/>
                <w:color w:val="auto"/>
                <w:sz w:val="24"/>
                <w:szCs w:val="24"/>
              </w:rPr>
              <w:t>（4）工期：90日历天，具体开工时间以甲方开工令为准。</w:t>
            </w:r>
          </w:p>
          <w:p>
            <w:pPr>
              <w:snapToGrid w:val="0"/>
              <w:spacing w:line="440" w:lineRule="exact"/>
              <w:rPr>
                <w:rFonts w:hAnsi="宋体" w:cs="宋体"/>
                <w:color w:val="auto"/>
                <w:sz w:val="24"/>
                <w:szCs w:val="24"/>
              </w:rPr>
            </w:pPr>
            <w:r>
              <w:rPr>
                <w:rFonts w:hint="eastAsia" w:hAnsi="宋体" w:cs="宋体"/>
                <w:color w:val="auto"/>
                <w:sz w:val="24"/>
                <w:szCs w:val="24"/>
              </w:rPr>
              <w:t>（5）误期违约金：按照合同价的万分之五元/天支付违约金，不设上限。</w:t>
            </w:r>
          </w:p>
          <w:p>
            <w:pPr>
              <w:snapToGrid w:val="0"/>
              <w:spacing w:line="440" w:lineRule="exact"/>
              <w:rPr>
                <w:rFonts w:hAnsi="宋体" w:cs="宋体"/>
                <w:color w:val="auto"/>
                <w:sz w:val="24"/>
                <w:szCs w:val="24"/>
              </w:rPr>
            </w:pPr>
            <w:r>
              <w:rPr>
                <w:rFonts w:hint="eastAsia" w:hAnsi="宋体" w:cs="宋体"/>
                <w:color w:val="auto"/>
                <w:sz w:val="24"/>
                <w:szCs w:val="24"/>
              </w:rPr>
              <w:t>（6）质量要求：</w:t>
            </w:r>
            <w:r>
              <w:rPr>
                <w:rFonts w:hint="eastAsia" w:hAnsi="宋体" w:cs="宋体"/>
                <w:color w:val="auto"/>
                <w:sz w:val="24"/>
                <w:szCs w:val="22"/>
              </w:rPr>
              <w:t>一次性通过验收，100%合格</w:t>
            </w:r>
            <w:r>
              <w:rPr>
                <w:rFonts w:hint="eastAsia" w:hAnsi="宋体" w:cs="宋体"/>
                <w:color w:val="auto"/>
                <w:sz w:val="24"/>
                <w:szCs w:val="24"/>
              </w:rPr>
              <w:t>。</w:t>
            </w:r>
          </w:p>
          <w:p>
            <w:pPr>
              <w:snapToGrid w:val="0"/>
              <w:spacing w:line="440" w:lineRule="exact"/>
              <w:rPr>
                <w:rFonts w:hAnsi="宋体" w:cs="宋体"/>
                <w:color w:val="auto"/>
                <w:sz w:val="24"/>
                <w:szCs w:val="24"/>
              </w:rPr>
            </w:pPr>
            <w:r>
              <w:rPr>
                <w:rFonts w:hint="eastAsia" w:hAnsi="宋体" w:cs="宋体"/>
                <w:color w:val="auto"/>
                <w:sz w:val="24"/>
                <w:szCs w:val="24"/>
              </w:rPr>
              <w:t>（7）质量违约金：合同价的5%。</w:t>
            </w:r>
          </w:p>
          <w:p>
            <w:pPr>
              <w:snapToGrid w:val="0"/>
              <w:spacing w:line="440" w:lineRule="exact"/>
              <w:rPr>
                <w:rFonts w:hAnsi="宋体" w:cs="宋体"/>
                <w:color w:val="auto"/>
                <w:sz w:val="24"/>
                <w:szCs w:val="24"/>
              </w:rPr>
            </w:pPr>
            <w:r>
              <w:rPr>
                <w:rFonts w:hint="eastAsia" w:hAnsi="宋体" w:cs="宋体"/>
                <w:color w:val="auto"/>
                <w:sz w:val="24"/>
                <w:szCs w:val="24"/>
              </w:rPr>
              <w:t>（8）免费质保期：2年（自工程竣工验收后）</w:t>
            </w:r>
          </w:p>
          <w:p>
            <w:pPr>
              <w:snapToGrid w:val="0"/>
              <w:spacing w:line="440" w:lineRule="exact"/>
              <w:rPr>
                <w:rFonts w:hAnsi="宋体" w:cs="宋体"/>
                <w:color w:val="auto"/>
                <w:sz w:val="24"/>
                <w:szCs w:val="24"/>
              </w:rPr>
            </w:pPr>
            <w:r>
              <w:rPr>
                <w:rFonts w:hint="eastAsia" w:hAnsi="宋体" w:cs="宋体"/>
                <w:color w:val="auto"/>
                <w:sz w:val="24"/>
                <w:szCs w:val="24"/>
              </w:rPr>
              <w:t>（9）</w:t>
            </w:r>
            <w:r>
              <w:rPr>
                <w:rFonts w:hint="eastAsia" w:cs="宋体" w:asciiTheme="minorEastAsia" w:hAnsiTheme="minorEastAsia" w:eastAsiaTheme="minorEastAsia"/>
                <w:bCs/>
                <w:color w:val="auto"/>
                <w:sz w:val="24"/>
              </w:rPr>
              <w:t>现场踏勘：</w:t>
            </w:r>
            <w:r>
              <w:rPr>
                <w:rFonts w:hint="eastAsia" w:cs="宋体" w:asciiTheme="minorEastAsia" w:hAnsiTheme="minorEastAsia" w:eastAsiaTheme="minorEastAsia"/>
                <w:color w:val="auto"/>
                <w:sz w:val="24"/>
              </w:rPr>
              <w:t>不组织。</w:t>
            </w:r>
          </w:p>
          <w:p>
            <w:pPr>
              <w:snapToGrid w:val="0"/>
              <w:spacing w:line="440" w:lineRule="exact"/>
              <w:rPr>
                <w:rFonts w:hAnsi="宋体" w:cs="宋体"/>
                <w:color w:val="auto"/>
                <w:sz w:val="24"/>
                <w:szCs w:val="24"/>
              </w:rPr>
            </w:pPr>
            <w:r>
              <w:rPr>
                <w:rFonts w:hint="eastAsia" w:hAnsi="宋体" w:cs="宋体"/>
                <w:color w:val="auto"/>
                <w:sz w:val="24"/>
                <w:szCs w:val="24"/>
              </w:rPr>
              <w:t>（10）</w:t>
            </w:r>
            <w:r>
              <w:rPr>
                <w:rFonts w:hint="eastAsia" w:hAnsi="宋体" w:cs="宋体"/>
                <w:color w:val="auto"/>
                <w:sz w:val="24"/>
              </w:rPr>
              <w:t>本项目是否专门面向中小企业：否</w:t>
            </w:r>
            <w:r>
              <w:rPr>
                <w:rFonts w:hint="eastAsia" w:hAnsi="宋体" w:cs="宋体"/>
                <w:color w:val="auto"/>
                <w:sz w:val="24"/>
                <w:szCs w:val="24"/>
              </w:rPr>
              <w:t>。</w:t>
            </w:r>
          </w:p>
          <w:p>
            <w:pPr>
              <w:snapToGrid w:val="0"/>
              <w:spacing w:line="440" w:lineRule="exact"/>
              <w:rPr>
                <w:rFonts w:hAnsi="宋体" w:cs="宋体"/>
                <w:color w:val="auto"/>
                <w:sz w:val="24"/>
                <w:szCs w:val="24"/>
              </w:rPr>
            </w:pPr>
            <w:r>
              <w:rPr>
                <w:rFonts w:hint="eastAsia" w:hAnsi="宋体" w:cs="宋体"/>
                <w:color w:val="auto"/>
                <w:sz w:val="24"/>
                <w:szCs w:val="24"/>
              </w:rPr>
              <w:t>（11）本项目标的所属行业：建筑业。</w:t>
            </w:r>
          </w:p>
          <w:p>
            <w:pPr>
              <w:snapToGrid w:val="0"/>
              <w:spacing w:line="440" w:lineRule="exact"/>
              <w:rPr>
                <w:rFonts w:hAnsi="宋体" w:cs="宋体"/>
                <w:color w:val="auto"/>
                <w:sz w:val="24"/>
                <w:szCs w:val="24"/>
              </w:rPr>
            </w:pPr>
            <w:r>
              <w:rPr>
                <w:rFonts w:hint="eastAsia" w:hAnsi="宋体" w:cs="宋体"/>
                <w:color w:val="auto"/>
                <w:sz w:val="24"/>
              </w:rPr>
              <w:t>备注：本项目标的所属行业为建筑业，根据《关于印发中小企业划型标准规定的通知》工信部联企业〔2011〕300号规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4</w:t>
            </w:r>
          </w:p>
        </w:tc>
        <w:tc>
          <w:tcPr>
            <w:tcW w:w="4626" w:type="pct"/>
            <w:noWrap/>
            <w:vAlign w:val="center"/>
          </w:tcPr>
          <w:p>
            <w:pPr>
              <w:pStyle w:val="102"/>
              <w:adjustRightInd w:val="0"/>
              <w:snapToGrid w:val="0"/>
              <w:spacing w:line="360" w:lineRule="auto"/>
              <w:rPr>
                <w:rFonts w:hAnsi="宋体" w:cs="宋体"/>
                <w:color w:val="auto"/>
              </w:rPr>
            </w:pPr>
            <w:r>
              <w:rPr>
                <w:rFonts w:hint="eastAsia" w:hAnsi="宋体" w:cs="宋体"/>
                <w:color w:val="auto"/>
              </w:rPr>
              <w:t>投标供应商参加本次政府采购活动除应当具备《中华人民共和国政府采购法》第二十二条规定的条件外，还必须具备以下条件：</w:t>
            </w:r>
          </w:p>
          <w:p>
            <w:pPr>
              <w:adjustRightInd w:val="0"/>
              <w:snapToGrid w:val="0"/>
              <w:spacing w:line="360" w:lineRule="auto"/>
              <w:rPr>
                <w:rFonts w:hAnsi="宋体" w:cs="宋体"/>
                <w:color w:val="auto"/>
                <w:sz w:val="24"/>
                <w:szCs w:val="24"/>
              </w:rPr>
            </w:pPr>
            <w:r>
              <w:rPr>
                <w:rFonts w:hint="eastAsia" w:hAnsi="宋体" w:cs="宋体"/>
                <w:color w:val="auto"/>
                <w:sz w:val="24"/>
                <w:szCs w:val="24"/>
              </w:rPr>
              <w:t>（1）</w:t>
            </w:r>
            <w:r>
              <w:rPr>
                <w:rFonts w:hint="eastAsia" w:asciiTheme="minorEastAsia" w:hAnsiTheme="minorEastAsia" w:eastAsiaTheme="minorEastAsia"/>
                <w:color w:val="auto"/>
                <w:sz w:val="24"/>
                <w:szCs w:val="24"/>
              </w:rPr>
              <w:t>投标供应商应为中国大陆境内合法注册的独立企（事）业法人单位或其他组织；</w:t>
            </w:r>
          </w:p>
          <w:p>
            <w:pPr>
              <w:adjustRightInd w:val="0"/>
              <w:snapToGrid w:val="0"/>
              <w:spacing w:line="360" w:lineRule="auto"/>
              <w:rPr>
                <w:rFonts w:hAnsi="宋体" w:cs="宋体"/>
                <w:color w:val="auto"/>
                <w:sz w:val="24"/>
                <w:szCs w:val="24"/>
              </w:rPr>
            </w:pPr>
            <w:r>
              <w:rPr>
                <w:rFonts w:hint="eastAsia" w:hAnsi="宋体" w:cs="宋体"/>
                <w:color w:val="auto"/>
                <w:sz w:val="24"/>
                <w:szCs w:val="24"/>
              </w:rPr>
              <w:t>（2）</w:t>
            </w:r>
            <w:r>
              <w:rPr>
                <w:rFonts w:hint="eastAsia" w:hAnsi="宋体"/>
                <w:color w:val="auto"/>
                <w:sz w:val="24"/>
              </w:rPr>
              <w:t>投标供应商具备</w:t>
            </w:r>
            <w:r>
              <w:rPr>
                <w:rFonts w:hint="eastAsia" w:hAnsi="宋体" w:cs="Arial"/>
                <w:color w:val="auto"/>
                <w:sz w:val="24"/>
              </w:rPr>
              <w:t>建筑装修装饰工程专业承包二级资质及</w:t>
            </w:r>
            <w:r>
              <w:rPr>
                <w:rFonts w:hAnsi="宋体" w:cs="Arial"/>
                <w:color w:val="auto"/>
                <w:sz w:val="24"/>
              </w:rPr>
              <w:t>以</w:t>
            </w:r>
            <w:r>
              <w:rPr>
                <w:rFonts w:hint="eastAsia" w:hAnsi="宋体" w:cs="Arial"/>
                <w:color w:val="auto"/>
                <w:sz w:val="24"/>
              </w:rPr>
              <w:t>上且具备有效的安全生</w:t>
            </w:r>
            <w:r>
              <w:rPr>
                <w:rFonts w:hint="eastAsia" w:hAnsi="宋体" w:cs="宋体"/>
                <w:color w:val="auto"/>
                <w:sz w:val="24"/>
                <w:szCs w:val="24"/>
              </w:rPr>
              <w:t>产许可证；</w:t>
            </w:r>
          </w:p>
          <w:p>
            <w:pPr>
              <w:adjustRightInd w:val="0"/>
              <w:snapToGrid w:val="0"/>
              <w:spacing w:line="360" w:lineRule="auto"/>
              <w:rPr>
                <w:rFonts w:hAnsi="宋体" w:cs="宋体"/>
                <w:color w:val="auto"/>
                <w:sz w:val="24"/>
                <w:szCs w:val="24"/>
              </w:rPr>
            </w:pPr>
            <w:r>
              <w:rPr>
                <w:rFonts w:hint="eastAsia" w:hAnsi="宋体" w:cs="宋体"/>
                <w:color w:val="auto"/>
                <w:sz w:val="24"/>
                <w:szCs w:val="24"/>
              </w:rPr>
              <w:t>（3）投标供应商具备有效期内的安全生产许可证；</w:t>
            </w:r>
          </w:p>
          <w:p>
            <w:pPr>
              <w:adjustRightInd w:val="0"/>
              <w:snapToGrid w:val="0"/>
              <w:spacing w:line="360" w:lineRule="auto"/>
              <w:rPr>
                <w:rFonts w:hAnsi="宋体" w:cs="宋体"/>
                <w:color w:val="auto"/>
                <w:sz w:val="24"/>
                <w:szCs w:val="24"/>
              </w:rPr>
            </w:pPr>
            <w:r>
              <w:rPr>
                <w:rFonts w:hint="eastAsia" w:hAnsi="宋体" w:cs="宋体"/>
                <w:color w:val="auto"/>
                <w:sz w:val="24"/>
                <w:szCs w:val="24"/>
              </w:rPr>
              <w:t>（4）项目负责人具备二级及以上注册建造师（房屋建筑工程专业）和有效期内的《建筑施工企业项目负责人安全生产考核合格证书》（B证）；</w:t>
            </w:r>
          </w:p>
          <w:p>
            <w:pPr>
              <w:adjustRightInd w:val="0"/>
              <w:snapToGrid w:val="0"/>
              <w:spacing w:line="360" w:lineRule="auto"/>
              <w:rPr>
                <w:rFonts w:hAnsi="宋体" w:cs="宋体"/>
                <w:color w:val="auto"/>
                <w:sz w:val="24"/>
                <w:szCs w:val="24"/>
              </w:rPr>
            </w:pPr>
            <w:r>
              <w:rPr>
                <w:rFonts w:hint="eastAsia" w:hAnsi="宋体" w:cs="宋体"/>
                <w:color w:val="auto"/>
                <w:sz w:val="24"/>
                <w:szCs w:val="24"/>
              </w:rPr>
              <w:t>（5）</w:t>
            </w:r>
            <w:r>
              <w:rPr>
                <w:rFonts w:hint="eastAsia" w:asciiTheme="minorEastAsia" w:hAnsiTheme="minorEastAsia" w:eastAsiaTheme="minorEastAsia"/>
                <w:color w:val="auto"/>
                <w:sz w:val="24"/>
                <w:szCs w:val="24"/>
              </w:rPr>
              <w:t>授权代表及项目负责人</w:t>
            </w:r>
            <w:r>
              <w:rPr>
                <w:rFonts w:hint="eastAsia" w:asciiTheme="minorEastAsia" w:hAnsiTheme="minorEastAsia" w:eastAsiaTheme="minorEastAsia"/>
                <w:bCs/>
                <w:color w:val="auto"/>
                <w:sz w:val="24"/>
                <w:szCs w:val="24"/>
              </w:rPr>
              <w:t>应为投标供应商本单位在职员工，</w:t>
            </w:r>
            <w:r>
              <w:rPr>
                <w:rFonts w:hint="eastAsia" w:asciiTheme="minorEastAsia" w:hAnsiTheme="minorEastAsia" w:eastAsiaTheme="minorEastAsia"/>
                <w:color w:val="auto"/>
                <w:sz w:val="24"/>
                <w:szCs w:val="24"/>
              </w:rPr>
              <w:t>提供与企业签订的劳动合同和由法定的社保收缴部门出具的2021年9月-2022年2月的投标供应商依法为其缴纳社会保险证明（社会保险证明须提交原件或含有县</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区</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级及以上社保部门电子签章或带二维码验证的打印件）（如投标人成立时间迟于要求的开始月份，则时间要求为投标人成立时间至截止时间）</w:t>
            </w:r>
            <w:r>
              <w:rPr>
                <w:rFonts w:hint="eastAsia" w:hAnsi="宋体" w:cs="宋体"/>
                <w:color w:val="auto"/>
                <w:sz w:val="24"/>
                <w:szCs w:val="24"/>
              </w:rPr>
              <w:t>；</w:t>
            </w:r>
          </w:p>
          <w:p>
            <w:pPr>
              <w:widowControl/>
              <w:shd w:val="clear" w:color="auto" w:fill="FFFFFF"/>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hint="eastAsia" w:hAnsi="宋体"/>
                <w:color w:val="auto"/>
                <w:sz w:val="24"/>
                <w:szCs w:val="24"/>
              </w:rPr>
              <w:t>项目负责人没有担任任何在建建设工程项目</w:t>
            </w:r>
            <w:r>
              <w:rPr>
                <w:rFonts w:hint="eastAsia" w:asciiTheme="minorEastAsia" w:hAnsiTheme="minorEastAsia" w:eastAsiaTheme="minorEastAsia"/>
                <w:color w:val="auto"/>
                <w:sz w:val="24"/>
                <w:szCs w:val="24"/>
              </w:rPr>
              <w:t>；</w:t>
            </w:r>
          </w:p>
          <w:p>
            <w:pPr>
              <w:adjustRightInd w:val="0"/>
              <w:snapToGrid w:val="0"/>
              <w:spacing w:line="360" w:lineRule="auto"/>
              <w:rPr>
                <w:rFonts w:hAnsi="宋体" w:cs="宋体"/>
                <w:color w:val="auto"/>
                <w:sz w:val="24"/>
                <w:szCs w:val="24"/>
              </w:rPr>
            </w:pPr>
            <w:r>
              <w:rPr>
                <w:rFonts w:hint="eastAsia" w:hAnsi="宋体" w:cs="宋体"/>
                <w:color w:val="auto"/>
                <w:sz w:val="24"/>
                <w:szCs w:val="24"/>
              </w:rPr>
              <w:t>（7）</w:t>
            </w:r>
            <w:r>
              <w:rPr>
                <w:rFonts w:hint="eastAsia" w:hAnsi="宋体"/>
                <w:color w:val="auto"/>
                <w:sz w:val="24"/>
              </w:rPr>
              <w:t>未被“信用中国”网站（www.creditchina.gov.cn）、“信用江苏”网站（credit.jiangsu.gov.cn）、中国政府采购网(www.ccgp.gov.cn)列入失信被执行人、重大税收违法案件当事人名单、政府采购严重违法失信行为记录名单</w:t>
            </w:r>
            <w:r>
              <w:rPr>
                <w:rFonts w:hint="eastAsia" w:hAnsi="宋体" w:cs="宋体"/>
                <w:color w:val="auto"/>
                <w:sz w:val="24"/>
                <w:szCs w:val="24"/>
              </w:rPr>
              <w:t>；</w:t>
            </w:r>
          </w:p>
          <w:p>
            <w:pPr>
              <w:adjustRightInd w:val="0"/>
              <w:snapToGrid w:val="0"/>
              <w:spacing w:line="360" w:lineRule="auto"/>
              <w:rPr>
                <w:rFonts w:hAnsi="宋体" w:cs="宋体"/>
                <w:bCs/>
                <w:color w:val="auto"/>
              </w:rPr>
            </w:pPr>
            <w:r>
              <w:rPr>
                <w:rFonts w:hint="eastAsia" w:hAnsi="宋体" w:cs="宋体"/>
                <w:color w:val="auto"/>
                <w:sz w:val="24"/>
                <w:szCs w:val="24"/>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5</w:t>
            </w:r>
          </w:p>
        </w:tc>
        <w:tc>
          <w:tcPr>
            <w:tcW w:w="4626" w:type="pct"/>
            <w:noWrap/>
            <w:vAlign w:val="center"/>
          </w:tcPr>
          <w:p>
            <w:pPr>
              <w:adjustRightInd w:val="0"/>
              <w:snapToGrid w:val="0"/>
              <w:spacing w:line="360" w:lineRule="auto"/>
              <w:rPr>
                <w:rFonts w:asciiTheme="minorEastAsia" w:hAnsiTheme="minorEastAsia" w:eastAsiaTheme="minorEastAsia"/>
                <w:bCs/>
                <w:color w:val="auto"/>
                <w:sz w:val="24"/>
                <w:szCs w:val="24"/>
              </w:rPr>
            </w:pPr>
            <w:r>
              <w:rPr>
                <w:rFonts w:hint="eastAsia" w:cs="宋体" w:asciiTheme="minorEastAsia" w:hAnsiTheme="minorEastAsia" w:eastAsiaTheme="minorEastAsia"/>
                <w:color w:val="auto"/>
                <w:sz w:val="24"/>
              </w:rPr>
              <w:t>磋商文件提供时间：2022年03月23日至2022年03月30日（法定假日除外）</w:t>
            </w:r>
            <w:r>
              <w:rPr>
                <w:rFonts w:hint="eastAsia" w:asciiTheme="minorEastAsia" w:hAnsiTheme="minorEastAsia" w:eastAsiaTheme="minorEastAsia"/>
                <w:bCs/>
                <w:color w:val="auto"/>
                <w:sz w:val="24"/>
                <w:szCs w:val="24"/>
              </w:rPr>
              <w:t>，每天9:00~11:</w:t>
            </w:r>
            <w:r>
              <w:rPr>
                <w:rFonts w:asciiTheme="minorEastAsia" w:hAnsiTheme="minorEastAsia" w:eastAsiaTheme="minorEastAsia"/>
                <w:bCs/>
                <w:color w:val="auto"/>
                <w:sz w:val="24"/>
                <w:szCs w:val="24"/>
              </w:rPr>
              <w:t>3</w:t>
            </w:r>
            <w:r>
              <w:rPr>
                <w:rFonts w:hint="eastAsia" w:asciiTheme="minorEastAsia" w:hAnsiTheme="minorEastAsia" w:eastAsiaTheme="minorEastAsia"/>
                <w:bCs/>
                <w:color w:val="auto"/>
                <w:sz w:val="24"/>
                <w:szCs w:val="24"/>
              </w:rPr>
              <w:t>0,13:30~16:00。售价：捌佰元/份，现金支付，</w:t>
            </w:r>
            <w:r>
              <w:rPr>
                <w:rFonts w:hint="eastAsia" w:cs="宋体" w:asciiTheme="minorEastAsia" w:hAnsiTheme="minorEastAsia" w:eastAsiaTheme="minorEastAsia"/>
                <w:color w:val="auto"/>
                <w:sz w:val="24"/>
              </w:rPr>
              <w:t>磋商文件</w:t>
            </w:r>
            <w:r>
              <w:rPr>
                <w:rFonts w:hint="eastAsia" w:asciiTheme="minorEastAsia" w:hAnsiTheme="minorEastAsia" w:eastAsiaTheme="minorEastAsia"/>
                <w:bCs/>
                <w:color w:val="auto"/>
                <w:sz w:val="24"/>
                <w:szCs w:val="24"/>
              </w:rPr>
              <w:t>售后不退。</w:t>
            </w:r>
          </w:p>
          <w:p>
            <w:pPr>
              <w:adjustRightInd w:val="0"/>
              <w:snapToGrid w:val="0"/>
              <w:spacing w:line="360" w:lineRule="auto"/>
              <w:ind w:left="24" w:leftChars="7"/>
              <w:rPr>
                <w:rFonts w:asciiTheme="minorEastAsia" w:hAnsiTheme="minorEastAsia" w:eastAsiaTheme="minorEastAsia"/>
                <w:color w:val="auto"/>
                <w:sz w:val="24"/>
              </w:rPr>
            </w:pPr>
            <w:r>
              <w:rPr>
                <w:rFonts w:hint="eastAsia" w:asciiTheme="minorEastAsia" w:hAnsiTheme="minorEastAsia" w:eastAsiaTheme="minorEastAsia"/>
                <w:bCs/>
                <w:color w:val="auto"/>
                <w:sz w:val="24"/>
                <w:szCs w:val="24"/>
              </w:rPr>
              <w:t>磋商文件提供地点：</w:t>
            </w:r>
            <w:r>
              <w:rPr>
                <w:rFonts w:hint="eastAsia" w:asciiTheme="minorEastAsia" w:hAnsiTheme="minorEastAsia" w:eastAsiaTheme="minorEastAsia"/>
                <w:color w:val="auto"/>
                <w:sz w:val="24"/>
              </w:rPr>
              <w:t>江阴方正建设工程造价事务所有限公司(</w:t>
            </w:r>
            <w:r>
              <w:rPr>
                <w:rFonts w:hint="eastAsia" w:cs="宋体" w:asciiTheme="minorEastAsia" w:hAnsiTheme="minorEastAsia" w:eastAsiaTheme="minorEastAsia"/>
                <w:color w:val="auto"/>
                <w:sz w:val="24"/>
                <w:szCs w:val="22"/>
              </w:rPr>
              <w:t>无锡市锡沪路123号嘉柏大厦4楼401室</w:t>
            </w:r>
            <w:r>
              <w:rPr>
                <w:rFonts w:hint="eastAsia" w:asciiTheme="minorEastAsia" w:hAnsiTheme="minorEastAsia" w:eastAsiaTheme="minorEastAsia"/>
                <w:color w:val="auto"/>
                <w:sz w:val="24"/>
              </w:rPr>
              <w:t>)</w:t>
            </w:r>
          </w:p>
          <w:p>
            <w:pPr>
              <w:wordWrap w:val="0"/>
              <w:topLinePunct/>
              <w:spacing w:line="360" w:lineRule="auto"/>
              <w:jc w:val="left"/>
              <w:rPr>
                <w:rFonts w:hAnsi="宋体"/>
                <w:bCs/>
                <w:color w:val="auto"/>
                <w:sz w:val="24"/>
                <w:szCs w:val="24"/>
              </w:rPr>
            </w:pPr>
            <w:r>
              <w:rPr>
                <w:rFonts w:hint="eastAsia" w:hAnsi="宋体"/>
                <w:bCs/>
                <w:color w:val="auto"/>
                <w:sz w:val="24"/>
                <w:szCs w:val="24"/>
              </w:rPr>
              <w:t>电话：0510-88202272</w:t>
            </w:r>
          </w:p>
          <w:p>
            <w:pPr>
              <w:wordWrap w:val="0"/>
              <w:topLinePunct/>
              <w:spacing w:line="360" w:lineRule="auto"/>
              <w:jc w:val="left"/>
              <w:rPr>
                <w:rFonts w:hAnsi="宋体"/>
                <w:bCs/>
                <w:color w:val="auto"/>
                <w:sz w:val="24"/>
                <w:szCs w:val="24"/>
              </w:rPr>
            </w:pPr>
            <w:r>
              <w:rPr>
                <w:rFonts w:hint="eastAsia" w:hAnsi="宋体"/>
                <w:bCs/>
                <w:color w:val="auto"/>
                <w:sz w:val="24"/>
                <w:szCs w:val="24"/>
              </w:rPr>
              <w:t>联系人：史雪锋、卢红</w:t>
            </w:r>
          </w:p>
          <w:p>
            <w:pPr>
              <w:wordWrap w:val="0"/>
              <w:topLinePunct/>
              <w:spacing w:line="360" w:lineRule="auto"/>
              <w:jc w:val="left"/>
              <w:rPr>
                <w:rFonts w:hAnsi="宋体"/>
                <w:bCs/>
                <w:color w:val="auto"/>
                <w:sz w:val="24"/>
                <w:szCs w:val="24"/>
              </w:rPr>
            </w:pPr>
            <w:r>
              <w:rPr>
                <w:rFonts w:cs="宋体" w:asciiTheme="minorEastAsia" w:hAnsiTheme="minorEastAsia" w:eastAsiaTheme="minorEastAsia"/>
                <w:color w:val="auto"/>
                <w:kern w:val="1"/>
                <w:sz w:val="24"/>
                <w:shd w:val="clear" w:color="auto" w:fill="FFFFFF"/>
              </w:rPr>
              <w:t>磋商文件</w:t>
            </w:r>
            <w:r>
              <w:rPr>
                <w:rFonts w:hint="eastAsia" w:cs="宋体" w:asciiTheme="minorEastAsia" w:hAnsiTheme="minorEastAsia" w:eastAsiaTheme="minorEastAsia"/>
                <w:color w:val="auto"/>
                <w:kern w:val="1"/>
                <w:sz w:val="24"/>
                <w:shd w:val="clear" w:color="auto" w:fill="FFFFFF"/>
              </w:rPr>
              <w:t>提供</w:t>
            </w:r>
            <w:r>
              <w:rPr>
                <w:rFonts w:cs="宋体" w:asciiTheme="minorEastAsia" w:hAnsiTheme="minorEastAsia" w:eastAsiaTheme="minorEastAsia"/>
                <w:color w:val="auto"/>
                <w:kern w:val="1"/>
                <w:sz w:val="24"/>
                <w:shd w:val="clear" w:color="auto" w:fill="FFFFFF"/>
              </w:rPr>
              <w:t>方式：电子文档介质。</w:t>
            </w:r>
          </w:p>
          <w:p>
            <w:pPr>
              <w:adjustRightInd w:val="0"/>
              <w:snapToGrid w:val="0"/>
              <w:spacing w:line="360" w:lineRule="auto"/>
              <w:ind w:left="24" w:leftChars="7"/>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rPr>
              <w:t>投标供应商应承担其编制投标文件以及递交投标文件所涉及的一切费用。无论投标结果如何，采购人对上述费用不负任何责任。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6</w:t>
            </w:r>
          </w:p>
        </w:tc>
        <w:tc>
          <w:tcPr>
            <w:tcW w:w="4626" w:type="pct"/>
            <w:noWrap/>
            <w:vAlign w:val="center"/>
          </w:tcPr>
          <w:p>
            <w:pPr>
              <w:wordWrap w:val="0"/>
              <w:topLinePunct/>
              <w:spacing w:line="360" w:lineRule="auto"/>
              <w:jc w:val="left"/>
              <w:rPr>
                <w:rFonts w:hAnsi="宋体"/>
                <w:color w:val="auto"/>
                <w:sz w:val="24"/>
                <w:szCs w:val="24"/>
              </w:rPr>
            </w:pPr>
            <w:r>
              <w:rPr>
                <w:rFonts w:hint="eastAsia" w:hAnsi="宋体"/>
                <w:color w:val="auto"/>
                <w:sz w:val="24"/>
              </w:rPr>
              <w:t>报价供应商</w:t>
            </w:r>
            <w:r>
              <w:rPr>
                <w:rFonts w:hint="eastAsia" w:hAnsi="宋体"/>
                <w:color w:val="auto"/>
                <w:sz w:val="24"/>
                <w:szCs w:val="24"/>
              </w:rPr>
              <w:t>提疑截止时间：2022年03月31日10：00，以书面形式和电子邮件形式发送给采购代理机构。</w:t>
            </w:r>
          </w:p>
          <w:p>
            <w:pPr>
              <w:wordWrap w:val="0"/>
              <w:topLinePunct/>
              <w:spacing w:line="360" w:lineRule="auto"/>
              <w:jc w:val="left"/>
              <w:rPr>
                <w:rFonts w:hAnsi="宋体"/>
                <w:color w:val="auto"/>
                <w:sz w:val="24"/>
                <w:szCs w:val="24"/>
              </w:rPr>
            </w:pPr>
            <w:r>
              <w:rPr>
                <w:rFonts w:hint="eastAsia" w:hAnsi="宋体"/>
                <w:color w:val="auto"/>
                <w:sz w:val="24"/>
              </w:rPr>
              <w:t>采购人对磋商文件澄清修改</w:t>
            </w:r>
            <w:r>
              <w:rPr>
                <w:rFonts w:hint="eastAsia" w:hAnsi="宋体"/>
                <w:color w:val="auto"/>
                <w:sz w:val="24"/>
                <w:szCs w:val="24"/>
              </w:rPr>
              <w:t>：2022年03月31日17:00前，以书面（或电子邮件）形式发送给各潜在报价供应商。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7</w:t>
            </w:r>
          </w:p>
        </w:tc>
        <w:tc>
          <w:tcPr>
            <w:tcW w:w="4626" w:type="pct"/>
            <w:noWrap/>
            <w:vAlign w:val="center"/>
          </w:tcPr>
          <w:p>
            <w:pPr>
              <w:wordWrap w:val="0"/>
              <w:topLinePunct/>
              <w:spacing w:line="360" w:lineRule="auto"/>
              <w:jc w:val="left"/>
              <w:rPr>
                <w:rFonts w:hAnsi="宋体"/>
                <w:b/>
                <w:color w:val="auto"/>
                <w:sz w:val="24"/>
              </w:rPr>
            </w:pPr>
            <w:r>
              <w:rPr>
                <w:rFonts w:hint="eastAsia" w:hAnsi="宋体"/>
                <w:color w:val="auto"/>
                <w:sz w:val="24"/>
              </w:rPr>
              <w:t>本项目无需缴纳磋商保证金</w:t>
            </w:r>
            <w:r>
              <w:rPr>
                <w:rFonts w:hint="eastAsia" w:hAnsi="宋体" w:cs="宋体"/>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8</w:t>
            </w:r>
          </w:p>
        </w:tc>
        <w:tc>
          <w:tcPr>
            <w:tcW w:w="4626" w:type="pct"/>
            <w:noWrap/>
            <w:vAlign w:val="center"/>
          </w:tcPr>
          <w:p>
            <w:pPr>
              <w:snapToGrid w:val="0"/>
              <w:spacing w:line="440" w:lineRule="exact"/>
              <w:rPr>
                <w:rFonts w:hAnsi="宋体" w:cs="宋体"/>
                <w:bCs/>
                <w:color w:val="auto"/>
                <w:sz w:val="24"/>
              </w:rPr>
            </w:pPr>
            <w:r>
              <w:rPr>
                <w:rFonts w:hint="eastAsia" w:hAnsi="宋体" w:cs="宋体"/>
                <w:bCs/>
                <w:color w:val="auto"/>
                <w:sz w:val="24"/>
              </w:rPr>
              <w:t>报价有效期：</w:t>
            </w:r>
            <w:r>
              <w:rPr>
                <w:rFonts w:hint="eastAsia" w:cs="宋体" w:asciiTheme="minorEastAsia" w:hAnsiTheme="minorEastAsia" w:eastAsiaTheme="minorEastAsia"/>
                <w:color w:val="auto"/>
                <w:sz w:val="24"/>
              </w:rPr>
              <w:t>磋商截止时间</w:t>
            </w:r>
            <w:r>
              <w:rPr>
                <w:rFonts w:hint="eastAsia" w:asciiTheme="minorEastAsia" w:hAnsiTheme="minorEastAsia" w:eastAsiaTheme="minorEastAsia"/>
                <w:color w:val="auto"/>
                <w:sz w:val="24"/>
              </w:rPr>
              <w:t>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9</w:t>
            </w:r>
          </w:p>
        </w:tc>
        <w:tc>
          <w:tcPr>
            <w:tcW w:w="4626" w:type="pct"/>
            <w:noWrap/>
            <w:vAlign w:val="center"/>
          </w:tcPr>
          <w:p>
            <w:pPr>
              <w:snapToGrid w:val="0"/>
              <w:spacing w:line="440" w:lineRule="exact"/>
              <w:rPr>
                <w:rFonts w:hAnsi="宋体" w:cs="宋体"/>
                <w:bCs/>
                <w:color w:val="auto"/>
                <w:sz w:val="24"/>
              </w:rPr>
            </w:pPr>
            <w:r>
              <w:rPr>
                <w:rFonts w:hint="eastAsia" w:hAnsi="宋体" w:cs="宋体"/>
                <w:bCs/>
                <w:color w:val="auto"/>
                <w:sz w:val="24"/>
              </w:rPr>
              <w:t>响应文件开始接收时间：</w:t>
            </w:r>
            <w:r>
              <w:rPr>
                <w:rFonts w:hint="eastAsia" w:hAnsi="宋体" w:cs="宋体"/>
                <w:color w:val="auto"/>
                <w:sz w:val="24"/>
              </w:rPr>
              <w:t>2022年04月11日下</w:t>
            </w:r>
            <w:r>
              <w:rPr>
                <w:rFonts w:hint="eastAsia" w:hAnsi="宋体" w:cs="宋体"/>
                <w:bCs/>
                <w:color w:val="auto"/>
                <w:sz w:val="24"/>
              </w:rPr>
              <w:t>午13：00始</w:t>
            </w:r>
          </w:p>
          <w:p>
            <w:pPr>
              <w:snapToGrid w:val="0"/>
              <w:spacing w:line="440" w:lineRule="exact"/>
              <w:rPr>
                <w:rFonts w:hAnsi="宋体" w:cs="宋体"/>
                <w:bCs/>
                <w:color w:val="auto"/>
                <w:sz w:val="24"/>
              </w:rPr>
            </w:pPr>
            <w:r>
              <w:rPr>
                <w:rFonts w:hint="eastAsia" w:hAnsi="宋体" w:cs="宋体"/>
                <w:bCs/>
                <w:color w:val="auto"/>
                <w:sz w:val="24"/>
              </w:rPr>
              <w:t>响应文件接收截止时间：</w:t>
            </w:r>
            <w:r>
              <w:rPr>
                <w:rFonts w:hint="eastAsia" w:hAnsi="宋体" w:cs="宋体"/>
                <w:color w:val="auto"/>
                <w:sz w:val="24"/>
              </w:rPr>
              <w:t>2022年04月11日下</w:t>
            </w:r>
            <w:r>
              <w:rPr>
                <w:rFonts w:hint="eastAsia" w:hAnsi="宋体" w:cs="宋体"/>
                <w:bCs/>
                <w:color w:val="auto"/>
                <w:sz w:val="24"/>
              </w:rPr>
              <w:t>午13：30止，</w:t>
            </w:r>
            <w:r>
              <w:rPr>
                <w:rFonts w:hint="eastAsia" w:hAnsi="宋体" w:cs="宋体"/>
                <w:color w:val="auto"/>
                <w:sz w:val="24"/>
              </w:rPr>
              <w:t>截止期后的响应文件恕不接受。</w:t>
            </w:r>
          </w:p>
          <w:p>
            <w:pPr>
              <w:snapToGrid w:val="0"/>
              <w:spacing w:line="440" w:lineRule="exact"/>
              <w:rPr>
                <w:rFonts w:hAnsi="宋体" w:cs="宋体"/>
                <w:bCs/>
                <w:color w:val="auto"/>
                <w:sz w:val="24"/>
              </w:rPr>
            </w:pPr>
            <w:r>
              <w:rPr>
                <w:rFonts w:hint="eastAsia" w:hAnsi="宋体" w:cs="宋体"/>
                <w:bCs/>
                <w:color w:val="auto"/>
                <w:sz w:val="24"/>
              </w:rPr>
              <w:t>响应文件接收地点：</w:t>
            </w:r>
            <w:r>
              <w:rPr>
                <w:rFonts w:hint="eastAsia" w:hAnsi="宋体" w:cs="宋体"/>
                <w:color w:val="auto"/>
                <w:sz w:val="24"/>
                <w:szCs w:val="24"/>
              </w:rPr>
              <w:t>江阴方正建设工程造价事务所有限公司（无锡市锡沪路123号嘉柏大厦4楼401室）</w:t>
            </w:r>
          </w:p>
          <w:p>
            <w:pPr>
              <w:snapToGrid w:val="0"/>
              <w:spacing w:line="440" w:lineRule="exact"/>
              <w:rPr>
                <w:rFonts w:hAnsi="宋体" w:cs="宋体"/>
                <w:bCs/>
                <w:color w:val="auto"/>
                <w:sz w:val="24"/>
              </w:rPr>
            </w:pPr>
            <w:r>
              <w:rPr>
                <w:rFonts w:hint="eastAsia" w:hAnsi="宋体" w:cs="宋体"/>
                <w:b/>
                <w:color w:val="auto"/>
                <w:sz w:val="24"/>
                <w:szCs w:val="22"/>
              </w:rPr>
              <w:t>注：响应</w:t>
            </w:r>
            <w:r>
              <w:rPr>
                <w:rFonts w:hint="eastAsia" w:hAnsi="宋体" w:cs="宋体"/>
                <w:b/>
                <w:color w:val="auto"/>
                <w:sz w:val="24"/>
              </w:rPr>
              <w:t>文件接收截止时间视疫情发展情况而定，如需调整，另行通知。请各投标供应商在提交</w:t>
            </w:r>
            <w:r>
              <w:rPr>
                <w:rFonts w:hint="eastAsia" w:hAnsi="宋体" w:cs="宋体"/>
                <w:b/>
                <w:color w:val="auto"/>
                <w:sz w:val="24"/>
                <w:szCs w:val="22"/>
              </w:rPr>
              <w:t>响应</w:t>
            </w:r>
            <w:r>
              <w:rPr>
                <w:rFonts w:hint="eastAsia" w:hAnsi="宋体" w:cs="宋体"/>
                <w:b/>
                <w:color w:val="auto"/>
                <w:sz w:val="24"/>
              </w:rPr>
              <w:t>文件截止时间前关注原磋商公告媒体上发布的相关更正公告</w:t>
            </w:r>
            <w:r>
              <w:rPr>
                <w:rFonts w:hint="eastAsia" w:hAnsi="宋体" w:cs="宋体"/>
                <w:b/>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10</w:t>
            </w:r>
          </w:p>
        </w:tc>
        <w:tc>
          <w:tcPr>
            <w:tcW w:w="4626" w:type="pct"/>
            <w:noWrap/>
            <w:vAlign w:val="center"/>
          </w:tcPr>
          <w:p>
            <w:pPr>
              <w:snapToGrid w:val="0"/>
              <w:spacing w:line="440" w:lineRule="exact"/>
              <w:rPr>
                <w:rFonts w:hAnsi="宋体" w:cs="宋体"/>
                <w:bCs/>
                <w:color w:val="auto"/>
                <w:sz w:val="24"/>
              </w:rPr>
            </w:pPr>
            <w:r>
              <w:rPr>
                <w:rFonts w:hint="eastAsia" w:hAnsi="宋体" w:cs="宋体"/>
                <w:bCs/>
                <w:color w:val="auto"/>
                <w:sz w:val="24"/>
              </w:rPr>
              <w:t>磋商开始时间：</w:t>
            </w:r>
            <w:r>
              <w:rPr>
                <w:rFonts w:hint="eastAsia" w:hAnsi="宋体" w:cs="宋体"/>
                <w:color w:val="auto"/>
                <w:sz w:val="24"/>
              </w:rPr>
              <w:t>2022年04月11日下</w:t>
            </w:r>
            <w:r>
              <w:rPr>
                <w:rFonts w:hint="eastAsia" w:hAnsi="宋体" w:cs="宋体"/>
                <w:bCs/>
                <w:color w:val="auto"/>
                <w:sz w:val="24"/>
              </w:rPr>
              <w:t>午13：30</w:t>
            </w:r>
          </w:p>
          <w:p>
            <w:pPr>
              <w:snapToGrid w:val="0"/>
              <w:spacing w:line="440" w:lineRule="exact"/>
              <w:rPr>
                <w:rFonts w:hAnsi="宋体" w:cs="宋体"/>
                <w:bCs/>
                <w:color w:val="auto"/>
                <w:sz w:val="24"/>
              </w:rPr>
            </w:pPr>
            <w:r>
              <w:rPr>
                <w:rFonts w:hint="eastAsia" w:hAnsi="宋体" w:cs="宋体"/>
                <w:bCs/>
                <w:color w:val="auto"/>
                <w:sz w:val="24"/>
              </w:rPr>
              <w:t>磋商地点：</w:t>
            </w:r>
            <w:r>
              <w:rPr>
                <w:rFonts w:hint="eastAsia" w:hAnsi="宋体" w:cs="宋体"/>
                <w:color w:val="auto"/>
                <w:sz w:val="24"/>
                <w:szCs w:val="24"/>
              </w:rPr>
              <w:t>江阴方正建设工程造价事务所有限公司（无锡市锡沪路123号嘉柏大厦4楼401室）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11</w:t>
            </w:r>
          </w:p>
        </w:tc>
        <w:tc>
          <w:tcPr>
            <w:tcW w:w="4626" w:type="pct"/>
            <w:noWrap/>
            <w:vAlign w:val="center"/>
          </w:tcPr>
          <w:p>
            <w:pPr>
              <w:snapToGrid w:val="0"/>
              <w:spacing w:line="440" w:lineRule="exact"/>
              <w:rPr>
                <w:rFonts w:hAnsi="宋体" w:cs="宋体"/>
                <w:bCs/>
                <w:color w:val="auto"/>
                <w:sz w:val="24"/>
              </w:rPr>
            </w:pPr>
            <w:r>
              <w:rPr>
                <w:rFonts w:hint="eastAsia" w:hAnsi="宋体" w:cs="宋体"/>
                <w:bCs/>
                <w:color w:val="auto"/>
                <w:sz w:val="24"/>
              </w:rPr>
              <w:t>成交供应商确定时间：</w:t>
            </w:r>
            <w:r>
              <w:rPr>
                <w:rFonts w:hint="eastAsia" w:hAnsi="宋体" w:cs="宋体"/>
                <w:color w:val="auto"/>
                <w:sz w:val="24"/>
              </w:rPr>
              <w:t>2022年04月11日</w:t>
            </w:r>
            <w:r>
              <w:rPr>
                <w:rFonts w:hint="eastAsia" w:hAnsi="宋体" w:cs="宋体"/>
                <w:bCs/>
                <w:color w:val="auto"/>
                <w:sz w:val="24"/>
              </w:rPr>
              <w:t>评审结束</w:t>
            </w:r>
          </w:p>
          <w:p>
            <w:pPr>
              <w:snapToGrid w:val="0"/>
              <w:spacing w:line="440" w:lineRule="exact"/>
              <w:rPr>
                <w:rFonts w:hAnsi="宋体" w:cs="宋体"/>
                <w:bCs/>
                <w:color w:val="auto"/>
                <w:sz w:val="24"/>
              </w:rPr>
            </w:pPr>
            <w:r>
              <w:rPr>
                <w:rFonts w:hint="eastAsia" w:hAnsi="宋体" w:cs="宋体"/>
                <w:bCs/>
                <w:color w:val="auto"/>
                <w:sz w:val="24"/>
              </w:rPr>
              <w:t>成交供应商确定地点：</w:t>
            </w:r>
            <w:r>
              <w:rPr>
                <w:rFonts w:hint="eastAsia" w:hAnsi="宋体" w:cs="宋体"/>
                <w:color w:val="auto"/>
                <w:sz w:val="24"/>
                <w:szCs w:val="24"/>
              </w:rPr>
              <w:t>江阴方正建设工程造价事务所有限公司（无锡市锡沪路123号嘉柏大厦4楼401室）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12</w:t>
            </w:r>
          </w:p>
        </w:tc>
        <w:tc>
          <w:tcPr>
            <w:tcW w:w="4626" w:type="pct"/>
            <w:noWrap/>
            <w:vAlign w:val="center"/>
          </w:tcPr>
          <w:p>
            <w:pPr>
              <w:adjustRightInd w:val="0"/>
              <w:snapToGrid w:val="0"/>
              <w:spacing w:line="440" w:lineRule="exact"/>
              <w:rPr>
                <w:rFonts w:hAnsi="宋体" w:cs="宋体"/>
                <w:bCs/>
                <w:color w:val="auto"/>
                <w:sz w:val="24"/>
              </w:rPr>
            </w:pPr>
            <w:r>
              <w:rPr>
                <w:rFonts w:hint="eastAsia" w:hAnsi="宋体" w:cs="宋体"/>
                <w:bCs/>
                <w:color w:val="auto"/>
                <w:sz w:val="24"/>
              </w:rPr>
              <w:t>响应文件份数：</w:t>
            </w:r>
            <w:r>
              <w:rPr>
                <w:rFonts w:hint="eastAsia" w:hAnsi="宋体"/>
                <w:color w:val="auto"/>
                <w:sz w:val="24"/>
              </w:rPr>
              <w:t>明标一正两副，暗标一正五副</w:t>
            </w:r>
            <w:r>
              <w:rPr>
                <w:rFonts w:hint="eastAsia" w:hAnsi="宋体" w:cs="宋体"/>
                <w:bCs/>
                <w:color w:val="auto"/>
                <w:sz w:val="24"/>
              </w:rPr>
              <w:t>，</w:t>
            </w:r>
            <w:r>
              <w:rPr>
                <w:rFonts w:hint="eastAsia" w:hAnsi="宋体"/>
                <w:color w:val="auto"/>
                <w:sz w:val="24"/>
              </w:rPr>
              <w:t>另需提供电子标书一份（U盘）。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13</w:t>
            </w:r>
          </w:p>
        </w:tc>
        <w:tc>
          <w:tcPr>
            <w:tcW w:w="4626" w:type="pct"/>
            <w:noWrap/>
            <w:vAlign w:val="center"/>
          </w:tcPr>
          <w:p>
            <w:pPr>
              <w:wordWrap w:val="0"/>
              <w:topLinePunct/>
              <w:spacing w:line="360" w:lineRule="auto"/>
              <w:jc w:val="left"/>
              <w:rPr>
                <w:rFonts w:hAnsi="宋体"/>
                <w:b/>
                <w:color w:val="auto"/>
                <w:sz w:val="24"/>
              </w:rPr>
            </w:pPr>
            <w:r>
              <w:rPr>
                <w:rFonts w:hint="eastAsia" w:hAnsi="宋体"/>
                <w:b/>
                <w:color w:val="auto"/>
                <w:sz w:val="24"/>
              </w:rPr>
              <w:t>本项目最高限价（人民币）：1332.505237万元；</w:t>
            </w:r>
          </w:p>
          <w:p>
            <w:pPr>
              <w:adjustRightInd w:val="0"/>
              <w:snapToGrid w:val="0"/>
              <w:spacing w:line="440" w:lineRule="exact"/>
              <w:rPr>
                <w:rFonts w:hAnsi="宋体" w:cs="宋体"/>
                <w:bCs/>
                <w:color w:val="auto"/>
                <w:sz w:val="24"/>
              </w:rPr>
            </w:pPr>
            <w:r>
              <w:rPr>
                <w:rFonts w:hint="eastAsia" w:hAnsi="宋体"/>
                <w:b/>
                <w:color w:val="auto"/>
                <w:sz w:val="24"/>
              </w:rPr>
              <w:t>超过最高限价的按无效响应文件处理。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14</w:t>
            </w:r>
          </w:p>
        </w:tc>
        <w:tc>
          <w:tcPr>
            <w:tcW w:w="4626" w:type="pct"/>
            <w:noWrap/>
            <w:vAlign w:val="center"/>
          </w:tcPr>
          <w:p>
            <w:pPr>
              <w:wordWrap w:val="0"/>
              <w:topLinePunct/>
              <w:spacing w:line="360" w:lineRule="auto"/>
              <w:jc w:val="left"/>
              <w:rPr>
                <w:rFonts w:hAnsi="宋体"/>
                <w:b/>
                <w:color w:val="auto"/>
                <w:sz w:val="24"/>
              </w:rPr>
            </w:pPr>
            <w:r>
              <w:rPr>
                <w:rFonts w:hint="eastAsia" w:hAnsi="宋体"/>
                <w:color w:val="auto"/>
                <w:sz w:val="24"/>
              </w:rPr>
              <w:t>供应商履约保证金：合同金额的10%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15</w:t>
            </w:r>
          </w:p>
        </w:tc>
        <w:tc>
          <w:tcPr>
            <w:tcW w:w="4626" w:type="pct"/>
            <w:noWrap/>
            <w:vAlign w:val="center"/>
          </w:tcPr>
          <w:p>
            <w:pPr>
              <w:snapToGrid w:val="0"/>
              <w:spacing w:line="440" w:lineRule="exact"/>
              <w:rPr>
                <w:rFonts w:hAnsi="宋体" w:cs="宋体"/>
                <w:bCs/>
                <w:color w:val="auto"/>
                <w:sz w:val="24"/>
                <w:szCs w:val="22"/>
              </w:rPr>
            </w:pPr>
            <w:r>
              <w:rPr>
                <w:rFonts w:hint="eastAsia" w:hAnsi="宋体" w:cs="宋体"/>
                <w:bCs/>
                <w:color w:val="auto"/>
                <w:sz w:val="24"/>
                <w:szCs w:val="22"/>
              </w:rPr>
              <w:t>有关本次采购活动程序方面的问题，可来人、来函（传真）或电话联系。</w:t>
            </w:r>
          </w:p>
          <w:p>
            <w:pPr>
              <w:snapToGrid w:val="0"/>
              <w:spacing w:line="440" w:lineRule="exact"/>
              <w:rPr>
                <w:rFonts w:hAnsi="宋体" w:cs="宋体"/>
                <w:bCs/>
                <w:color w:val="auto"/>
                <w:sz w:val="24"/>
                <w:szCs w:val="22"/>
              </w:rPr>
            </w:pPr>
            <w:r>
              <w:rPr>
                <w:rFonts w:hint="eastAsia" w:hAnsi="宋体" w:cs="宋体"/>
                <w:bCs/>
                <w:color w:val="auto"/>
                <w:sz w:val="24"/>
                <w:szCs w:val="22"/>
              </w:rPr>
              <w:t xml:space="preserve">采购人：无锡市精神卫生中心 </w:t>
            </w:r>
          </w:p>
          <w:p>
            <w:pPr>
              <w:snapToGrid w:val="0"/>
              <w:spacing w:line="440" w:lineRule="exact"/>
              <w:rPr>
                <w:rFonts w:hAnsi="宋体" w:cs="宋体"/>
                <w:bCs/>
                <w:color w:val="auto"/>
                <w:sz w:val="24"/>
                <w:szCs w:val="22"/>
              </w:rPr>
            </w:pPr>
            <w:r>
              <w:rPr>
                <w:rFonts w:hint="eastAsia" w:hAnsi="宋体" w:cs="宋体"/>
                <w:bCs/>
                <w:color w:val="auto"/>
                <w:sz w:val="24"/>
                <w:szCs w:val="22"/>
              </w:rPr>
              <w:t>联系人：梁医生</w:t>
            </w:r>
          </w:p>
          <w:p>
            <w:pPr>
              <w:tabs>
                <w:tab w:val="left" w:pos="5236"/>
              </w:tabs>
              <w:snapToGrid w:val="0"/>
              <w:spacing w:line="440" w:lineRule="exact"/>
              <w:rPr>
                <w:rFonts w:hAnsi="宋体" w:cs="宋体"/>
                <w:bCs/>
                <w:color w:val="auto"/>
                <w:sz w:val="24"/>
                <w:szCs w:val="22"/>
              </w:rPr>
            </w:pPr>
            <w:r>
              <w:rPr>
                <w:rFonts w:hint="eastAsia" w:hAnsi="宋体" w:cs="宋体"/>
                <w:bCs/>
                <w:color w:val="auto"/>
                <w:sz w:val="24"/>
                <w:szCs w:val="22"/>
              </w:rPr>
              <w:t>联系电话：0510-83219630</w:t>
            </w:r>
            <w:r>
              <w:rPr>
                <w:rFonts w:hint="eastAsia" w:hAnsi="宋体" w:cs="宋体"/>
                <w:bCs/>
                <w:color w:val="auto"/>
                <w:sz w:val="24"/>
                <w:szCs w:val="22"/>
              </w:rPr>
              <w:tab/>
            </w:r>
          </w:p>
          <w:p>
            <w:pPr>
              <w:widowControl/>
              <w:wordWrap w:val="0"/>
              <w:topLinePunct/>
              <w:spacing w:line="360" w:lineRule="auto"/>
              <w:jc w:val="left"/>
              <w:rPr>
                <w:rFonts w:hAnsi="宋体" w:cs="宋体"/>
                <w:bCs/>
                <w:color w:val="auto"/>
                <w:sz w:val="24"/>
                <w:szCs w:val="22"/>
              </w:rPr>
            </w:pPr>
            <w:r>
              <w:rPr>
                <w:rFonts w:hint="eastAsia" w:hAnsi="宋体"/>
                <w:color w:val="auto"/>
                <w:sz w:val="24"/>
                <w:szCs w:val="22"/>
              </w:rPr>
              <w:t>联系地址：</w:t>
            </w:r>
            <w:r>
              <w:rPr>
                <w:rFonts w:hint="eastAsia" w:hAnsi="宋体"/>
                <w:color w:val="auto"/>
                <w:sz w:val="24"/>
              </w:rPr>
              <w:t>无锡市滨湖区钱荣路156号</w:t>
            </w:r>
          </w:p>
          <w:p>
            <w:pPr>
              <w:snapToGrid w:val="0"/>
              <w:spacing w:line="440" w:lineRule="exact"/>
              <w:rPr>
                <w:rFonts w:hAnsi="宋体" w:cs="宋体"/>
                <w:bCs/>
                <w:color w:val="auto"/>
                <w:sz w:val="24"/>
                <w:szCs w:val="22"/>
              </w:rPr>
            </w:pPr>
            <w:r>
              <w:rPr>
                <w:rFonts w:hint="eastAsia" w:hAnsi="宋体" w:cs="宋体"/>
                <w:bCs/>
                <w:color w:val="auto"/>
                <w:sz w:val="24"/>
                <w:szCs w:val="22"/>
              </w:rPr>
              <w:t>采购代理机构：江阴方正建设工程造价事务所有限公司</w:t>
            </w:r>
          </w:p>
          <w:p>
            <w:pPr>
              <w:snapToGrid w:val="0"/>
              <w:spacing w:line="440" w:lineRule="exact"/>
              <w:rPr>
                <w:rFonts w:hAnsi="宋体" w:cs="宋体"/>
                <w:bCs/>
                <w:color w:val="auto"/>
                <w:sz w:val="24"/>
                <w:szCs w:val="22"/>
              </w:rPr>
            </w:pPr>
            <w:r>
              <w:rPr>
                <w:rFonts w:hint="eastAsia" w:hAnsi="宋体" w:cs="宋体"/>
                <w:bCs/>
                <w:color w:val="auto"/>
                <w:sz w:val="24"/>
                <w:szCs w:val="22"/>
              </w:rPr>
              <w:t>联系人：卢红、史雪锋</w:t>
            </w:r>
          </w:p>
          <w:p>
            <w:pPr>
              <w:snapToGrid w:val="0"/>
              <w:spacing w:line="440" w:lineRule="exact"/>
              <w:rPr>
                <w:rFonts w:hAnsi="宋体" w:cs="宋体"/>
                <w:bCs/>
                <w:color w:val="auto"/>
                <w:sz w:val="24"/>
                <w:szCs w:val="22"/>
              </w:rPr>
            </w:pPr>
            <w:r>
              <w:rPr>
                <w:rFonts w:hint="eastAsia" w:hAnsi="宋体" w:cs="宋体"/>
                <w:bCs/>
                <w:color w:val="auto"/>
                <w:sz w:val="24"/>
                <w:szCs w:val="22"/>
              </w:rPr>
              <w:t>联系电话、传真：0510-88202272、13771502217</w:t>
            </w:r>
          </w:p>
          <w:p>
            <w:pPr>
              <w:snapToGrid w:val="0"/>
              <w:spacing w:line="440" w:lineRule="exact"/>
              <w:rPr>
                <w:rFonts w:hAnsi="宋体" w:cs="宋体"/>
                <w:bCs/>
                <w:color w:val="auto"/>
                <w:sz w:val="24"/>
                <w:szCs w:val="22"/>
              </w:rPr>
            </w:pPr>
            <w:r>
              <w:rPr>
                <w:rFonts w:hint="eastAsia" w:hAnsi="宋体" w:cs="宋体"/>
                <w:bCs/>
                <w:color w:val="auto"/>
                <w:sz w:val="24"/>
                <w:szCs w:val="22"/>
              </w:rPr>
              <w:t>联系地址：无锡市锡沪路123号嘉柏大厦4楼401室</w:t>
            </w:r>
          </w:p>
          <w:p>
            <w:pPr>
              <w:snapToGrid w:val="0"/>
              <w:spacing w:line="440" w:lineRule="exact"/>
              <w:rPr>
                <w:rFonts w:hAnsi="宋体" w:cs="宋体"/>
                <w:bCs/>
                <w:color w:val="auto"/>
                <w:sz w:val="24"/>
              </w:rPr>
            </w:pPr>
            <w:r>
              <w:rPr>
                <w:rFonts w:hint="eastAsia" w:hAnsi="宋体" w:cs="宋体"/>
                <w:bCs/>
                <w:color w:val="auto"/>
                <w:sz w:val="24"/>
                <w:szCs w:val="22"/>
              </w:rPr>
              <w:t>邮政编码：214000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4" w:type="pct"/>
            <w:noWrap/>
            <w:vAlign w:val="center"/>
          </w:tcPr>
          <w:p>
            <w:pPr>
              <w:snapToGrid w:val="0"/>
              <w:spacing w:line="440" w:lineRule="exact"/>
              <w:jc w:val="center"/>
              <w:rPr>
                <w:rFonts w:hAnsi="宋体" w:cs="宋体"/>
                <w:bCs/>
                <w:color w:val="auto"/>
                <w:sz w:val="24"/>
              </w:rPr>
            </w:pPr>
            <w:r>
              <w:rPr>
                <w:rFonts w:hint="eastAsia" w:hAnsi="宋体" w:cs="宋体"/>
                <w:bCs/>
                <w:color w:val="auto"/>
                <w:sz w:val="24"/>
              </w:rPr>
              <w:t>16</w:t>
            </w:r>
          </w:p>
        </w:tc>
        <w:tc>
          <w:tcPr>
            <w:tcW w:w="4626" w:type="pct"/>
            <w:noWrap/>
            <w:vAlign w:val="center"/>
          </w:tcPr>
          <w:p>
            <w:pPr>
              <w:snapToGrid w:val="0"/>
              <w:spacing w:line="440" w:lineRule="exact"/>
              <w:rPr>
                <w:rFonts w:hAnsi="宋体" w:cs="宋体"/>
                <w:b/>
                <w:color w:val="auto"/>
                <w:sz w:val="24"/>
                <w:szCs w:val="22"/>
                <w:shd w:val="clear" w:color="auto" w:fill="FFFFFF"/>
              </w:rPr>
            </w:pPr>
            <w:r>
              <w:rPr>
                <w:rFonts w:hint="eastAsia" w:hAnsi="宋体" w:cs="宋体"/>
                <w:b/>
                <w:color w:val="auto"/>
                <w:sz w:val="24"/>
                <w:szCs w:val="22"/>
                <w:shd w:val="clear" w:color="auto" w:fill="FFFFFF"/>
              </w:rPr>
              <w:t>疫情防控期间注意事项：</w:t>
            </w:r>
          </w:p>
          <w:p>
            <w:pPr>
              <w:snapToGrid w:val="0"/>
              <w:spacing w:line="440" w:lineRule="exact"/>
              <w:ind w:firstLine="480" w:firstLineChars="200"/>
              <w:rPr>
                <w:rFonts w:hAnsi="宋体" w:cs="宋体"/>
                <w:b/>
                <w:color w:val="auto"/>
                <w:sz w:val="24"/>
                <w:szCs w:val="22"/>
              </w:rPr>
            </w:pPr>
            <w:r>
              <w:rPr>
                <w:rFonts w:hint="eastAsia" w:hAnsi="宋体"/>
                <w:color w:val="auto"/>
                <w:sz w:val="24"/>
                <w:szCs w:val="22"/>
              </w:rPr>
              <w:t>（1）为进一步从严从紧从实抓好疫情防控工作，坚决阻断新冠肺炎疫情传播通道，保障政府采购活动安全开展。凡参与政府采购投标（报价）的相关人员，应在进入开标前完成以下程序：</w:t>
            </w:r>
            <w:r>
              <w:rPr>
                <w:rFonts w:hint="eastAsia" w:hAnsi="宋体"/>
                <w:color w:val="auto"/>
                <w:sz w:val="24"/>
                <w:szCs w:val="22"/>
              </w:rPr>
              <w:br w:type="textWrapping"/>
            </w:r>
            <w:r>
              <w:rPr>
                <w:rFonts w:hint="eastAsia" w:hAnsi="宋体"/>
                <w:color w:val="auto"/>
                <w:sz w:val="24"/>
                <w:szCs w:val="22"/>
              </w:rPr>
              <w:t>　　1）根据疫情防控要求，为减少人群聚集，报价供应商代表人数为1人进入开标现场。</w:t>
            </w:r>
            <w:r>
              <w:rPr>
                <w:rFonts w:hint="eastAsia" w:hAnsi="宋体"/>
                <w:color w:val="auto"/>
                <w:sz w:val="24"/>
                <w:szCs w:val="22"/>
              </w:rPr>
              <w:br w:type="textWrapping"/>
            </w:r>
            <w:r>
              <w:rPr>
                <w:rFonts w:hint="eastAsia" w:hAnsi="宋体"/>
                <w:color w:val="auto"/>
                <w:sz w:val="24"/>
                <w:szCs w:val="22"/>
              </w:rPr>
              <w:t>　　2）参加政府采购活动人员，严禁有中高风险地区所在设区市旅居史、与确诊病例行程轨迹有交叉史相关人员进入采购活动现场。对故意隐瞒的，将报送公安机关，根据《治安管理处罚法》《传染病防治法》等相关规定给予处罚，构成犯罪的将依法追究刑事责任。</w:t>
            </w:r>
            <w:r>
              <w:rPr>
                <w:rFonts w:hint="eastAsia" w:hAnsi="宋体"/>
                <w:color w:val="auto"/>
                <w:sz w:val="24"/>
                <w:szCs w:val="22"/>
              </w:rPr>
              <w:br w:type="textWrapping"/>
            </w:r>
            <w:r>
              <w:rPr>
                <w:rFonts w:hint="eastAsia" w:hAnsi="宋体"/>
                <w:color w:val="auto"/>
                <w:sz w:val="24"/>
                <w:szCs w:val="22"/>
              </w:rPr>
              <w:t>　　3）凡进入活动现场的人员必须戴口罩并出示“苏康码”与“行程码”（实时查验图，截图无效），采取“测温+扫码”进，“扫码”出。“苏康码”、“行程码”为绿码，可进场； “苏康码”、“行程码”为绿码，但行程中有涉及中高风险地区的（加*标注地区），应持48小时核酸阴性证明进场;“苏康码”验证结果为黄色或红色、体温≥37.3°C,严禁进场并上报所在社区与同级财政部门。</w:t>
            </w:r>
            <w:r>
              <w:rPr>
                <w:rFonts w:hint="eastAsia" w:hAnsi="宋体"/>
                <w:color w:val="auto"/>
                <w:sz w:val="24"/>
                <w:szCs w:val="22"/>
              </w:rPr>
              <w:br w:type="textWrapping"/>
            </w:r>
            <w:r>
              <w:rPr>
                <w:rFonts w:hint="eastAsia" w:hAnsi="宋体"/>
                <w:color w:val="auto"/>
                <w:sz w:val="24"/>
                <w:szCs w:val="22"/>
              </w:rPr>
              <w:t>  4）进入采购活动现场的人员领取并填写工作人员发放的《个人健康申明》，凭签署完毕的《个人健康申明》进行投标（报价）及评审活动。</w:t>
            </w:r>
            <w:r>
              <w:rPr>
                <w:rFonts w:hint="eastAsia" w:hAnsi="宋体"/>
                <w:color w:val="auto"/>
                <w:sz w:val="24"/>
                <w:szCs w:val="22"/>
              </w:rPr>
              <w:br w:type="textWrapping"/>
            </w:r>
            <w:r>
              <w:rPr>
                <w:rFonts w:hint="eastAsia" w:hAnsi="宋体"/>
                <w:color w:val="auto"/>
                <w:sz w:val="24"/>
                <w:szCs w:val="22"/>
              </w:rPr>
              <w:t>　　5）投标（报价）人应考虑完成上述程序所需时间，不能在投标（报价）截止时间前投标所造成的风险及损失，由投标（报价）人自行承担。新冠肺炎疫情防控政策如有变化的，以最新通知为准。</w:t>
            </w:r>
            <w:r>
              <w:rPr>
                <w:rFonts w:hint="eastAsia" w:hAnsi="宋体"/>
                <w:color w:val="auto"/>
                <w:sz w:val="24"/>
                <w:szCs w:val="22"/>
              </w:rPr>
              <w:br w:type="textWrapping"/>
            </w:r>
            <w:r>
              <w:rPr>
                <w:rFonts w:hint="eastAsia" w:hAnsi="宋体"/>
                <w:color w:val="auto"/>
                <w:sz w:val="24"/>
                <w:szCs w:val="22"/>
              </w:rPr>
              <w:t xml:space="preserve">    （2）凡参与投标（报价）的相关人员，进场后应当做好个人防护，服从现场管理，全程佩戴口罩，座位保持安全距离或分散等候，不得扎堆聚集。</w:t>
            </w:r>
            <w:r>
              <w:rPr>
                <w:rFonts w:hint="eastAsia" w:hAnsi="宋体"/>
                <w:color w:val="auto"/>
                <w:sz w:val="24"/>
                <w:szCs w:val="22"/>
              </w:rPr>
              <w:br w:type="textWrapping"/>
            </w:r>
            <w:r>
              <w:rPr>
                <w:rFonts w:hint="eastAsia" w:hAnsi="宋体"/>
                <w:color w:val="auto"/>
                <w:sz w:val="24"/>
                <w:szCs w:val="22"/>
              </w:rPr>
              <w:t xml:space="preserve">    （3）投标（报价）人不配合工作人员防疫检查的，取消其投标资格。</w:t>
            </w:r>
          </w:p>
        </w:tc>
      </w:tr>
    </w:tbl>
    <w:p>
      <w:pPr>
        <w:adjustRightInd w:val="0"/>
        <w:snapToGrid w:val="0"/>
        <w:spacing w:line="360" w:lineRule="auto"/>
        <w:jc w:val="center"/>
        <w:rPr>
          <w:rFonts w:hAnsi="宋体" w:cs="宋体"/>
          <w:b/>
          <w:bCs/>
          <w:color w:val="auto"/>
          <w:sz w:val="32"/>
          <w:szCs w:val="32"/>
        </w:rPr>
      </w:pPr>
      <w:r>
        <w:rPr>
          <w:rFonts w:hint="eastAsia" w:hAnsi="宋体" w:cs="宋体"/>
          <w:b/>
          <w:bCs/>
          <w:color w:val="auto"/>
          <w:sz w:val="32"/>
          <w:szCs w:val="32"/>
        </w:rPr>
        <w:br w:type="page"/>
      </w:r>
      <w:r>
        <w:rPr>
          <w:rFonts w:hint="eastAsia" w:hAnsi="宋体" w:cs="宋体"/>
          <w:b/>
          <w:bCs/>
          <w:color w:val="auto"/>
          <w:sz w:val="32"/>
          <w:szCs w:val="32"/>
        </w:rPr>
        <w:t>二．供应商须知</w:t>
      </w:r>
    </w:p>
    <w:p>
      <w:pPr>
        <w:numPr>
          <w:ilvl w:val="0"/>
          <w:numId w:val="2"/>
        </w:numPr>
        <w:tabs>
          <w:tab w:val="left" w:pos="735"/>
          <w:tab w:val="clear" w:pos="855"/>
        </w:tabs>
        <w:adjustRightInd w:val="0"/>
        <w:snapToGrid w:val="0"/>
        <w:spacing w:line="360" w:lineRule="auto"/>
        <w:ind w:left="0" w:firstLine="420"/>
        <w:rPr>
          <w:rFonts w:hAnsi="宋体" w:cs="宋体"/>
          <w:bCs/>
          <w:color w:val="auto"/>
          <w:sz w:val="24"/>
        </w:rPr>
      </w:pPr>
      <w:r>
        <w:rPr>
          <w:rFonts w:hint="eastAsia" w:hAnsi="宋体" w:cs="宋体"/>
          <w:bCs/>
          <w:color w:val="auto"/>
          <w:sz w:val="24"/>
        </w:rPr>
        <w:t>遵循原则：</w:t>
      </w:r>
    </w:p>
    <w:p>
      <w:pPr>
        <w:adjustRightInd w:val="0"/>
        <w:snapToGrid w:val="0"/>
        <w:spacing w:line="360" w:lineRule="auto"/>
        <w:ind w:firstLine="523" w:firstLineChars="218"/>
        <w:rPr>
          <w:rFonts w:hAnsi="宋体" w:cs="宋体"/>
          <w:bCs/>
          <w:color w:val="auto"/>
          <w:sz w:val="24"/>
        </w:rPr>
      </w:pPr>
      <w:r>
        <w:rPr>
          <w:rFonts w:hint="eastAsia" w:hAnsi="宋体" w:cs="宋体"/>
          <w:bCs/>
          <w:color w:val="auto"/>
          <w:sz w:val="24"/>
        </w:rPr>
        <w:t>公开透明原则、公平竞争原则、公正原则和诚实信用原则。</w:t>
      </w:r>
    </w:p>
    <w:p>
      <w:pPr>
        <w:numPr>
          <w:ilvl w:val="0"/>
          <w:numId w:val="2"/>
        </w:numPr>
        <w:tabs>
          <w:tab w:val="left" w:pos="735"/>
          <w:tab w:val="clear" w:pos="855"/>
        </w:tabs>
        <w:adjustRightInd w:val="0"/>
        <w:snapToGrid w:val="0"/>
        <w:spacing w:line="360" w:lineRule="auto"/>
        <w:ind w:left="0" w:firstLine="420"/>
        <w:rPr>
          <w:rFonts w:hAnsi="宋体" w:cs="宋体"/>
          <w:bCs/>
          <w:color w:val="auto"/>
          <w:sz w:val="24"/>
        </w:rPr>
      </w:pPr>
      <w:r>
        <w:rPr>
          <w:rFonts w:hint="eastAsia" w:hAnsi="宋体" w:cs="宋体"/>
          <w:bCs/>
          <w:color w:val="auto"/>
          <w:sz w:val="24"/>
        </w:rPr>
        <w:t>磋商文件：</w:t>
      </w:r>
    </w:p>
    <w:p>
      <w:pPr>
        <w:numPr>
          <w:ilvl w:val="0"/>
          <w:numId w:val="3"/>
        </w:numPr>
        <w:tabs>
          <w:tab w:val="left" w:pos="-1260"/>
          <w:tab w:val="left" w:pos="525"/>
          <w:tab w:val="left" w:pos="1050"/>
        </w:tabs>
        <w:adjustRightInd w:val="0"/>
        <w:snapToGrid w:val="0"/>
        <w:spacing w:line="360" w:lineRule="auto"/>
        <w:ind w:left="0" w:firstLine="628" w:firstLineChars="262"/>
        <w:rPr>
          <w:rFonts w:hAnsi="宋体" w:cs="宋体"/>
          <w:bCs/>
          <w:color w:val="auto"/>
          <w:sz w:val="24"/>
        </w:rPr>
      </w:pPr>
      <w:r>
        <w:rPr>
          <w:rFonts w:hint="eastAsia" w:hAnsi="宋体" w:cs="宋体"/>
          <w:bCs/>
          <w:color w:val="auto"/>
          <w:sz w:val="24"/>
        </w:rPr>
        <w:t>磋商文件包括本文件目录所列全部内容，供应商应仔细阅读，并在响应文件中充分响应磋商文件的所有要求。</w:t>
      </w:r>
    </w:p>
    <w:p>
      <w:pPr>
        <w:numPr>
          <w:ilvl w:val="0"/>
          <w:numId w:val="3"/>
        </w:numPr>
        <w:tabs>
          <w:tab w:val="left" w:pos="0"/>
          <w:tab w:val="left" w:pos="525"/>
          <w:tab w:val="left" w:pos="1050"/>
        </w:tabs>
        <w:adjustRightInd w:val="0"/>
        <w:snapToGrid w:val="0"/>
        <w:spacing w:line="360" w:lineRule="auto"/>
        <w:ind w:left="0" w:firstLine="628" w:firstLineChars="262"/>
        <w:rPr>
          <w:rFonts w:hAnsi="宋体" w:cs="宋体"/>
          <w:bCs/>
          <w:color w:val="auto"/>
          <w:sz w:val="24"/>
        </w:rPr>
      </w:pPr>
      <w:r>
        <w:rPr>
          <w:rFonts w:hint="eastAsia" w:hAnsi="宋体" w:cs="宋体"/>
          <w:bCs/>
          <w:color w:val="auto"/>
          <w:sz w:val="24"/>
        </w:rPr>
        <w:t>供应商应向江阴方正建设工程造价事务所有限公司购买磋商文件及相关资料，按磋商文件要求提交全部资料并对磋商文件各项内容作出实质性响应，否则</w:t>
      </w:r>
      <w:r>
        <w:rPr>
          <w:rFonts w:hint="eastAsia" w:hAnsi="宋体"/>
          <w:bCs/>
          <w:color w:val="auto"/>
          <w:sz w:val="24"/>
          <w:szCs w:val="24"/>
        </w:rPr>
        <w:t>报价</w:t>
      </w:r>
      <w:r>
        <w:rPr>
          <w:rFonts w:hint="eastAsia" w:hAnsi="宋体" w:cs="宋体"/>
          <w:bCs/>
          <w:color w:val="auto"/>
          <w:sz w:val="24"/>
        </w:rPr>
        <w:t>无效。</w:t>
      </w:r>
    </w:p>
    <w:p>
      <w:pPr>
        <w:numPr>
          <w:ilvl w:val="0"/>
          <w:numId w:val="3"/>
        </w:numPr>
        <w:tabs>
          <w:tab w:val="left" w:pos="0"/>
          <w:tab w:val="left" w:pos="525"/>
          <w:tab w:val="left" w:pos="1050"/>
        </w:tabs>
        <w:adjustRightInd w:val="0"/>
        <w:snapToGrid w:val="0"/>
        <w:spacing w:line="360" w:lineRule="auto"/>
        <w:ind w:left="0" w:firstLine="628" w:firstLineChars="262"/>
        <w:rPr>
          <w:rFonts w:hAnsi="宋体" w:cs="宋体"/>
          <w:bCs/>
          <w:color w:val="auto"/>
          <w:sz w:val="24"/>
        </w:rPr>
      </w:pPr>
      <w:r>
        <w:rPr>
          <w:rFonts w:hint="eastAsia" w:hAnsi="宋体" w:cs="宋体"/>
          <w:bCs/>
          <w:color w:val="auto"/>
          <w:sz w:val="24"/>
        </w:rPr>
        <w:t>供应商一旦参加本项目</w:t>
      </w:r>
      <w:r>
        <w:rPr>
          <w:rFonts w:hint="eastAsia" w:hAnsi="宋体" w:cs="宋体"/>
          <w:color w:val="auto"/>
          <w:sz w:val="24"/>
        </w:rPr>
        <w:t>竞争性磋商</w:t>
      </w:r>
      <w:r>
        <w:rPr>
          <w:rFonts w:hint="eastAsia" w:hAnsi="宋体" w:cs="宋体"/>
          <w:bCs/>
          <w:color w:val="auto"/>
          <w:sz w:val="24"/>
        </w:rPr>
        <w:t>，即表明承诺接受了本磋商文件中的所有条件和规定。</w:t>
      </w:r>
    </w:p>
    <w:p>
      <w:pPr>
        <w:numPr>
          <w:ilvl w:val="0"/>
          <w:numId w:val="3"/>
        </w:numPr>
        <w:tabs>
          <w:tab w:val="left" w:pos="0"/>
          <w:tab w:val="left" w:pos="525"/>
          <w:tab w:val="left" w:pos="1050"/>
        </w:tabs>
        <w:adjustRightInd w:val="0"/>
        <w:snapToGrid w:val="0"/>
        <w:spacing w:line="360" w:lineRule="auto"/>
        <w:ind w:left="0" w:firstLine="628" w:firstLineChars="262"/>
        <w:rPr>
          <w:rFonts w:hAnsi="宋体" w:cs="宋体"/>
          <w:bCs/>
          <w:color w:val="auto"/>
          <w:sz w:val="24"/>
        </w:rPr>
      </w:pPr>
      <w:r>
        <w:rPr>
          <w:rFonts w:hint="eastAsia" w:hAnsi="宋体" w:cs="宋体"/>
          <w:color w:val="auto"/>
          <w:sz w:val="24"/>
          <w:szCs w:val="28"/>
        </w:rPr>
        <w:t>磋商文件一经售出、一律不退，且仅作为本次竞争性磋商使用</w:t>
      </w:r>
      <w:r>
        <w:rPr>
          <w:rFonts w:hint="eastAsia" w:hAnsi="宋体" w:cs="宋体"/>
          <w:bCs/>
          <w:color w:val="auto"/>
          <w:sz w:val="24"/>
        </w:rPr>
        <w:t>。</w:t>
      </w:r>
    </w:p>
    <w:p>
      <w:pPr>
        <w:tabs>
          <w:tab w:val="left" w:pos="630"/>
        </w:tabs>
        <w:adjustRightInd w:val="0"/>
        <w:snapToGrid w:val="0"/>
        <w:spacing w:line="360" w:lineRule="auto"/>
        <w:ind w:left="-3" w:leftChars="-1" w:firstLine="420" w:firstLineChars="175"/>
        <w:rPr>
          <w:rFonts w:hAnsi="宋体" w:cs="宋体"/>
          <w:bCs/>
          <w:color w:val="auto"/>
          <w:sz w:val="24"/>
        </w:rPr>
      </w:pPr>
      <w:r>
        <w:rPr>
          <w:rFonts w:hint="eastAsia" w:hAnsi="宋体" w:cs="宋体"/>
          <w:bCs/>
          <w:color w:val="auto"/>
          <w:sz w:val="24"/>
        </w:rPr>
        <w:t>（三） 磋商文件的解释：</w:t>
      </w:r>
    </w:p>
    <w:p>
      <w:pPr>
        <w:numPr>
          <w:ilvl w:val="2"/>
          <w:numId w:val="2"/>
        </w:numPr>
        <w:tabs>
          <w:tab w:val="left" w:pos="525"/>
          <w:tab w:val="left" w:pos="1050"/>
          <w:tab w:val="clear" w:pos="1740"/>
        </w:tabs>
        <w:adjustRightInd w:val="0"/>
        <w:snapToGrid w:val="0"/>
        <w:spacing w:line="360" w:lineRule="auto"/>
        <w:ind w:left="0" w:firstLine="628" w:firstLineChars="262"/>
        <w:rPr>
          <w:rFonts w:hAnsi="宋体" w:cs="宋体"/>
          <w:bCs/>
          <w:color w:val="auto"/>
          <w:sz w:val="24"/>
        </w:rPr>
      </w:pPr>
      <w:r>
        <w:rPr>
          <w:rFonts w:hint="eastAsia" w:hAnsi="宋体"/>
          <w:bCs/>
          <w:color w:val="auto"/>
          <w:sz w:val="24"/>
          <w:szCs w:val="24"/>
        </w:rPr>
        <w:t>报价供应商如有需要对磋商文件要求澄清的问题，请以书面形式提出，并按“磋商邀请函”第6项规定的时间前将电子邮件及书面传真（两种形式均须发送）至江阴方正建设工程造价事务所有限公司，联系方式详见磋商邀请函第1</w:t>
      </w:r>
      <w:r>
        <w:rPr>
          <w:rFonts w:hAnsi="宋体"/>
          <w:bCs/>
          <w:color w:val="auto"/>
          <w:sz w:val="24"/>
          <w:szCs w:val="24"/>
        </w:rPr>
        <w:t>5</w:t>
      </w:r>
      <w:r>
        <w:rPr>
          <w:rFonts w:hint="eastAsia" w:hAnsi="宋体"/>
          <w:bCs/>
          <w:color w:val="auto"/>
          <w:sz w:val="24"/>
          <w:szCs w:val="24"/>
        </w:rPr>
        <w:t>项。</w:t>
      </w:r>
    </w:p>
    <w:p>
      <w:pPr>
        <w:numPr>
          <w:ilvl w:val="2"/>
          <w:numId w:val="2"/>
        </w:numPr>
        <w:tabs>
          <w:tab w:val="left" w:pos="525"/>
          <w:tab w:val="left" w:pos="1050"/>
          <w:tab w:val="clear" w:pos="1740"/>
        </w:tabs>
        <w:adjustRightInd w:val="0"/>
        <w:snapToGrid w:val="0"/>
        <w:spacing w:line="360" w:lineRule="auto"/>
        <w:ind w:left="0" w:firstLine="628" w:firstLineChars="262"/>
        <w:rPr>
          <w:rFonts w:hAnsi="宋体" w:cs="宋体"/>
          <w:bCs/>
          <w:color w:val="auto"/>
          <w:sz w:val="24"/>
        </w:rPr>
      </w:pPr>
      <w:r>
        <w:rPr>
          <w:rFonts w:hint="eastAsia" w:hAnsi="宋体"/>
          <w:bCs/>
          <w:color w:val="auto"/>
          <w:sz w:val="24"/>
          <w:szCs w:val="24"/>
        </w:rPr>
        <w:t>采购人、江阴方正建设工程造价事务所有限公司将按“磋商邀请函”第6项规定的时间对报价供应商针对磋商文件书面提出的要求澄清的问题进行答疑</w:t>
      </w:r>
      <w:r>
        <w:rPr>
          <w:rFonts w:hint="eastAsia" w:hAnsi="宋体" w:cs="宋体"/>
          <w:bCs/>
          <w:color w:val="auto"/>
          <w:sz w:val="24"/>
        </w:rPr>
        <w:t>。</w:t>
      </w:r>
    </w:p>
    <w:p>
      <w:pPr>
        <w:numPr>
          <w:ilvl w:val="2"/>
          <w:numId w:val="2"/>
        </w:numPr>
        <w:tabs>
          <w:tab w:val="left" w:pos="525"/>
          <w:tab w:val="left" w:pos="1050"/>
          <w:tab w:val="clear" w:pos="1740"/>
        </w:tabs>
        <w:adjustRightInd w:val="0"/>
        <w:snapToGrid w:val="0"/>
        <w:spacing w:line="360" w:lineRule="auto"/>
        <w:ind w:left="0" w:firstLine="628" w:firstLineChars="262"/>
        <w:rPr>
          <w:rFonts w:hAnsi="宋体" w:cs="宋体"/>
          <w:bCs/>
          <w:color w:val="auto"/>
          <w:sz w:val="24"/>
        </w:rPr>
      </w:pPr>
      <w:r>
        <w:rPr>
          <w:rFonts w:hint="eastAsia" w:hAnsi="宋体" w:cs="宋体"/>
          <w:bCs/>
          <w:color w:val="auto"/>
          <w:sz w:val="24"/>
        </w:rPr>
        <w:t>本文件的最终解释权归采购人。</w:t>
      </w:r>
    </w:p>
    <w:p>
      <w:pPr>
        <w:adjustRightInd w:val="0"/>
        <w:snapToGrid w:val="0"/>
        <w:spacing w:line="360" w:lineRule="auto"/>
        <w:ind w:left="-3" w:leftChars="-1" w:firstLine="420" w:firstLineChars="175"/>
        <w:rPr>
          <w:rFonts w:hAnsi="宋体" w:cs="宋体"/>
          <w:bCs/>
          <w:color w:val="auto"/>
          <w:sz w:val="24"/>
        </w:rPr>
      </w:pPr>
      <w:r>
        <w:rPr>
          <w:rFonts w:hint="eastAsia" w:hAnsi="宋体" w:cs="宋体"/>
          <w:bCs/>
          <w:color w:val="auto"/>
          <w:sz w:val="24"/>
        </w:rPr>
        <w:t>（四） 磋商文件的补充或修正：</w:t>
      </w:r>
    </w:p>
    <w:p>
      <w:pPr>
        <w:numPr>
          <w:ilvl w:val="0"/>
          <w:numId w:val="5"/>
        </w:numPr>
        <w:tabs>
          <w:tab w:val="left" w:pos="525"/>
          <w:tab w:val="left" w:pos="945"/>
          <w:tab w:val="clear" w:pos="898"/>
        </w:tabs>
        <w:spacing w:line="360" w:lineRule="auto"/>
        <w:ind w:left="1" w:firstLine="523" w:firstLineChars="218"/>
        <w:rPr>
          <w:rFonts w:hAnsi="宋体"/>
          <w:bCs/>
          <w:color w:val="auto"/>
          <w:sz w:val="24"/>
          <w:szCs w:val="24"/>
        </w:rPr>
      </w:pPr>
      <w:r>
        <w:rPr>
          <w:rFonts w:hint="eastAsia" w:hAnsi="宋体"/>
          <w:bCs/>
          <w:color w:val="auto"/>
          <w:sz w:val="24"/>
          <w:szCs w:val="24"/>
        </w:rPr>
        <w:t>采购人或者采购代理机构可以对已发出的磋商文件进行必要的澄清或者修改，但不得改变采购标的和资格条件。澄清或者修改应当在</w:t>
      </w:r>
      <w:r>
        <w:rPr>
          <w:rFonts w:hint="eastAsia" w:hAnsi="宋体"/>
          <w:bCs/>
          <w:color w:val="auto"/>
          <w:sz w:val="24"/>
        </w:rPr>
        <w:t>江苏政府采购网、无锡政府采购网</w:t>
      </w:r>
      <w:r>
        <w:rPr>
          <w:rFonts w:hint="eastAsia" w:hAnsi="宋体"/>
          <w:bCs/>
          <w:color w:val="auto"/>
          <w:sz w:val="24"/>
          <w:szCs w:val="24"/>
        </w:rPr>
        <w:t>发布澄清公告。澄清或者修改的内容为磋商文件的组成部分，</w:t>
      </w:r>
      <w:r>
        <w:rPr>
          <w:rFonts w:hint="eastAsia" w:hAnsi="宋体"/>
          <w:color w:val="auto"/>
          <w:sz w:val="24"/>
        </w:rPr>
        <w:t>与磋商文件具有同等约束力</w:t>
      </w:r>
      <w:r>
        <w:rPr>
          <w:rFonts w:hint="eastAsia" w:hAnsi="宋体"/>
          <w:bCs/>
          <w:color w:val="auto"/>
          <w:sz w:val="24"/>
          <w:szCs w:val="24"/>
        </w:rPr>
        <w:t>。</w:t>
      </w:r>
    </w:p>
    <w:p>
      <w:pPr>
        <w:numPr>
          <w:ilvl w:val="0"/>
          <w:numId w:val="5"/>
        </w:numPr>
        <w:tabs>
          <w:tab w:val="left" w:pos="525"/>
          <w:tab w:val="left" w:pos="945"/>
          <w:tab w:val="clear" w:pos="898"/>
        </w:tabs>
        <w:spacing w:line="360" w:lineRule="auto"/>
        <w:ind w:left="1" w:firstLine="523" w:firstLineChars="218"/>
        <w:rPr>
          <w:rFonts w:hAnsi="宋体"/>
          <w:bCs/>
          <w:color w:val="auto"/>
          <w:sz w:val="24"/>
          <w:szCs w:val="24"/>
        </w:rPr>
      </w:pPr>
      <w:r>
        <w:rPr>
          <w:rFonts w:hint="eastAsia" w:hAnsi="宋体"/>
          <w:bCs/>
          <w:color w:val="auto"/>
          <w:sz w:val="24"/>
          <w:szCs w:val="24"/>
        </w:rPr>
        <w:t>澄清或者修改的内容可能影响响应文件编制的，采购人或者采购代理机构报价截止时间至少5日前，在江苏政府采购网、无锡政府采购网上发布更正公告，不足5日的，采购人或者采购代理机构将顺延提交响应文件的截止时间。</w:t>
      </w:r>
    </w:p>
    <w:p>
      <w:pPr>
        <w:numPr>
          <w:ilvl w:val="0"/>
          <w:numId w:val="5"/>
        </w:numPr>
        <w:tabs>
          <w:tab w:val="left" w:pos="525"/>
          <w:tab w:val="left" w:pos="945"/>
          <w:tab w:val="clear" w:pos="898"/>
        </w:tabs>
        <w:spacing w:line="360" w:lineRule="auto"/>
        <w:ind w:left="1" w:firstLine="523" w:firstLineChars="218"/>
        <w:rPr>
          <w:rFonts w:hAnsi="宋体"/>
          <w:bCs/>
          <w:color w:val="auto"/>
          <w:sz w:val="24"/>
          <w:szCs w:val="24"/>
        </w:rPr>
      </w:pPr>
      <w:r>
        <w:rPr>
          <w:rFonts w:hint="eastAsia" w:hAnsi="宋体"/>
          <w:bCs/>
          <w:color w:val="auto"/>
          <w:sz w:val="24"/>
          <w:szCs w:val="24"/>
        </w:rPr>
        <w:t>供应商应在报价截止时间前关注原采购公告媒体上发布的相关更正公告。因供应商未尽注意义务，未及时全面地关注更正公告导致其提交的报价材料不符合磋商要求，而造成的损失及风险（包括但不限于未成交）由供应商自行承担。</w:t>
      </w:r>
    </w:p>
    <w:p>
      <w:pPr>
        <w:adjustRightInd w:val="0"/>
        <w:snapToGrid w:val="0"/>
        <w:spacing w:line="360" w:lineRule="auto"/>
        <w:ind w:left="-3" w:leftChars="-1" w:firstLine="420" w:firstLineChars="175"/>
        <w:rPr>
          <w:rFonts w:hAnsi="宋体" w:cs="宋体"/>
          <w:bCs/>
          <w:color w:val="auto"/>
          <w:sz w:val="24"/>
        </w:rPr>
      </w:pPr>
      <w:r>
        <w:rPr>
          <w:rFonts w:hint="eastAsia" w:hAnsi="宋体" w:cs="宋体"/>
          <w:bCs/>
          <w:color w:val="auto"/>
          <w:sz w:val="24"/>
        </w:rPr>
        <w:t>（五） 响应文件的组成：</w:t>
      </w:r>
    </w:p>
    <w:p>
      <w:pPr>
        <w:pStyle w:val="103"/>
        <w:numPr>
          <w:ilvl w:val="0"/>
          <w:numId w:val="0"/>
        </w:numPr>
        <w:tabs>
          <w:tab w:val="left" w:pos="1050"/>
          <w:tab w:val="left" w:pos="1365"/>
          <w:tab w:val="clear" w:pos="1080"/>
        </w:tabs>
        <w:adjustRightInd w:val="0"/>
        <w:snapToGrid w:val="0"/>
        <w:spacing w:line="360" w:lineRule="auto"/>
        <w:ind w:firstLine="482" w:firstLineChars="200"/>
        <w:jc w:val="left"/>
        <w:rPr>
          <w:rFonts w:ascii="宋体" w:hAnsi="宋体"/>
          <w:color w:val="auto"/>
        </w:rPr>
      </w:pPr>
      <w:r>
        <w:rPr>
          <w:rFonts w:hint="eastAsia" w:ascii="宋体" w:hAnsi="宋体"/>
          <w:b/>
          <w:color w:val="auto"/>
        </w:rPr>
        <w:t>投标文件分为商务标（明标）和技术标（暗标）两部分，商务部分由证明文件部分、投标函部分、报价部分组成（装订成一册）；技术标部分单独装订成一册。明标一正两副，暗标一正五副；另需提供电子标书一份（U盘），电子标书需包括投标文件全部内容，电子标书密封于商务标正本中</w:t>
      </w:r>
      <w:r>
        <w:rPr>
          <w:rFonts w:hint="eastAsia" w:ascii="宋体" w:hAnsi="宋体"/>
          <w:color w:val="auto"/>
        </w:rPr>
        <w:t>。</w:t>
      </w:r>
    </w:p>
    <w:p>
      <w:pPr>
        <w:overflowPunct w:val="0"/>
        <w:spacing w:line="440" w:lineRule="exact"/>
        <w:ind w:firstLine="241" w:firstLineChars="100"/>
        <w:rPr>
          <w:rFonts w:hAnsi="宋体"/>
          <w:color w:val="auto"/>
          <w:sz w:val="24"/>
        </w:rPr>
      </w:pPr>
      <w:r>
        <w:rPr>
          <w:rFonts w:hint="eastAsia" w:hAnsi="宋体"/>
          <w:b/>
          <w:bCs/>
          <w:color w:val="auto"/>
          <w:sz w:val="24"/>
        </w:rPr>
        <w:t>第一部分 商务标（明标）</w:t>
      </w:r>
    </w:p>
    <w:p>
      <w:pPr>
        <w:pStyle w:val="103"/>
        <w:numPr>
          <w:ilvl w:val="0"/>
          <w:numId w:val="0"/>
        </w:numPr>
        <w:tabs>
          <w:tab w:val="left" w:pos="1050"/>
          <w:tab w:val="left" w:pos="1365"/>
          <w:tab w:val="clear" w:pos="1080"/>
        </w:tabs>
        <w:adjustRightInd w:val="0"/>
        <w:snapToGrid w:val="0"/>
        <w:spacing w:line="360" w:lineRule="auto"/>
        <w:ind w:firstLine="480" w:firstLineChars="200"/>
        <w:jc w:val="left"/>
        <w:rPr>
          <w:rFonts w:ascii="宋体" w:hAnsi="宋体" w:cs="宋体"/>
          <w:b/>
          <w:color w:val="auto"/>
        </w:rPr>
      </w:pPr>
      <w:r>
        <w:rPr>
          <w:rFonts w:hint="eastAsia" w:ascii="宋体" w:hAnsi="宋体"/>
          <w:color w:val="auto"/>
        </w:rPr>
        <w:t>1.证明文件部分</w:t>
      </w:r>
      <w:r>
        <w:rPr>
          <w:rFonts w:hint="eastAsia" w:ascii="宋体" w:hAnsi="宋体" w:cs="宋体"/>
          <w:b/>
          <w:color w:val="auto"/>
        </w:rPr>
        <w:t>：</w:t>
      </w:r>
    </w:p>
    <w:p>
      <w:pPr>
        <w:tabs>
          <w:tab w:val="left" w:pos="525"/>
          <w:tab w:val="left" w:pos="1050"/>
        </w:tabs>
        <w:adjustRightInd w:val="0"/>
        <w:snapToGrid w:val="0"/>
        <w:spacing w:line="360" w:lineRule="auto"/>
        <w:ind w:firstLine="480" w:firstLineChars="200"/>
        <w:rPr>
          <w:rFonts w:hAnsi="宋体" w:cs="宋体"/>
          <w:bCs/>
          <w:color w:val="auto"/>
          <w:sz w:val="24"/>
        </w:rPr>
      </w:pPr>
      <w:r>
        <w:rPr>
          <w:rFonts w:hint="eastAsia" w:hAnsi="宋体"/>
          <w:color w:val="auto"/>
          <w:sz w:val="24"/>
        </w:rPr>
        <w:t>1.1 资格、资信证明文件</w:t>
      </w:r>
      <w:r>
        <w:rPr>
          <w:rFonts w:hint="eastAsia" w:hAnsi="宋体" w:cs="宋体"/>
          <w:bCs/>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color w:val="auto"/>
          <w:sz w:val="24"/>
        </w:rPr>
        <w:t>（1）关于资格的声明函</w:t>
      </w:r>
      <w:r>
        <w:rPr>
          <w:rFonts w:hint="eastAsia" w:hAnsi="宋体" w:cs="宋体"/>
          <w:bCs/>
          <w:color w:val="auto"/>
          <w:sz w:val="24"/>
        </w:rPr>
        <w:t>（格式见附件）</w:t>
      </w:r>
      <w:r>
        <w:rPr>
          <w:rFonts w:hint="eastAsia" w:hAnsi="宋体" w:cs="宋体"/>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bCs/>
          <w:color w:val="auto"/>
          <w:sz w:val="24"/>
        </w:rPr>
        <w:t>（2）投标供应商法定代表人授权委托书</w:t>
      </w:r>
      <w:r>
        <w:rPr>
          <w:rFonts w:hint="eastAsia" w:hAnsi="宋体" w:cs="宋体"/>
          <w:color w:val="auto"/>
          <w:sz w:val="24"/>
        </w:rPr>
        <w:t>（</w:t>
      </w:r>
      <w:r>
        <w:rPr>
          <w:rFonts w:hint="eastAsia" w:hAnsi="宋体" w:cs="宋体"/>
          <w:bCs/>
          <w:color w:val="auto"/>
          <w:sz w:val="24"/>
        </w:rPr>
        <w:t>法定代表人亲自参与投标的除外，格式见附件</w:t>
      </w:r>
      <w:r>
        <w:rPr>
          <w:rFonts w:hint="eastAsia" w:hAnsi="宋体" w:cs="宋体"/>
          <w:color w:val="auto"/>
          <w:sz w:val="24"/>
        </w:rPr>
        <w:t>）</w:t>
      </w:r>
      <w:r>
        <w:rPr>
          <w:rFonts w:hint="eastAsia" w:hAnsi="宋体" w:cs="宋体"/>
          <w:bCs/>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bCs/>
          <w:color w:val="auto"/>
          <w:sz w:val="24"/>
        </w:rPr>
        <w:t>（3）投标供应商法定代表人身份证复印件及法定代表人授权代表身份证复印件</w:t>
      </w:r>
      <w:r>
        <w:rPr>
          <w:rFonts w:hint="eastAsia" w:hAnsi="宋体" w:cs="宋体"/>
          <w:b/>
          <w:color w:val="auto"/>
          <w:sz w:val="24"/>
        </w:rPr>
        <w:t>（</w:t>
      </w:r>
      <w:r>
        <w:rPr>
          <w:rFonts w:hint="eastAsia" w:hAnsi="宋体" w:cs="宋体"/>
          <w:b/>
          <w:bCs/>
          <w:color w:val="auto"/>
          <w:sz w:val="24"/>
        </w:rPr>
        <w:t>投标时必须携带参加开标会议的法定代表人或法定代表人授权代表有效身份证明原件</w:t>
      </w:r>
      <w:r>
        <w:rPr>
          <w:rFonts w:hint="eastAsia" w:hAnsi="宋体" w:cs="宋体"/>
          <w:b/>
          <w:color w:val="auto"/>
          <w:sz w:val="24"/>
        </w:rPr>
        <w:t>）</w:t>
      </w:r>
      <w:r>
        <w:rPr>
          <w:rFonts w:hint="eastAsia" w:hAnsi="宋体" w:cs="宋体"/>
          <w:b/>
          <w:bCs/>
          <w:color w:val="auto"/>
          <w:sz w:val="24"/>
        </w:rPr>
        <w:t>；</w:t>
      </w:r>
    </w:p>
    <w:p>
      <w:pPr>
        <w:spacing w:line="360" w:lineRule="auto"/>
        <w:ind w:firstLine="480" w:firstLineChars="200"/>
        <w:rPr>
          <w:rFonts w:hAnsi="宋体"/>
          <w:color w:val="auto"/>
          <w:sz w:val="24"/>
        </w:rPr>
      </w:pPr>
      <w:r>
        <w:rPr>
          <w:rFonts w:hint="eastAsia" w:hAnsi="宋体"/>
          <w:color w:val="auto"/>
          <w:sz w:val="24"/>
        </w:rPr>
        <w:t>（4）授权代表及项目负责人与企业签订的劳动合同和由法定的社保收缴部门出具的2021年09月-2022年02月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r>
        <w:rPr>
          <w:rFonts w:hint="eastAsia" w:hAnsi="宋体"/>
          <w:b/>
          <w:bCs/>
          <w:color w:val="auto"/>
          <w:sz w:val="24"/>
        </w:rPr>
        <w:t>（投标时必须提交原件或网上查询带有二维码/验证码的打印件）</w:t>
      </w:r>
      <w:r>
        <w:rPr>
          <w:rFonts w:hint="eastAsia" w:hAnsi="宋体"/>
          <w:color w:val="auto"/>
          <w:sz w:val="24"/>
        </w:rPr>
        <w:t>；</w:t>
      </w:r>
    </w:p>
    <w:p>
      <w:pPr>
        <w:spacing w:line="360" w:lineRule="auto"/>
        <w:ind w:firstLine="480" w:firstLineChars="200"/>
        <w:rPr>
          <w:rFonts w:hAnsi="宋体"/>
          <w:b/>
          <w:color w:val="auto"/>
          <w:sz w:val="24"/>
        </w:rPr>
      </w:pPr>
      <w:r>
        <w:rPr>
          <w:rFonts w:hint="eastAsia" w:hAnsi="宋体"/>
          <w:color w:val="auto"/>
          <w:sz w:val="24"/>
        </w:rPr>
        <w:t>（5）投标供应商有效期内企业法人营业执照、组织机构代码证、税务登记证复印件加盖公章</w:t>
      </w:r>
      <w:r>
        <w:rPr>
          <w:rFonts w:hint="eastAsia" w:hAnsi="宋体"/>
          <w:b/>
          <w:color w:val="auto"/>
          <w:sz w:val="24"/>
        </w:rPr>
        <w:t>（三证合一的投标供应商只需提供营业执照）；</w:t>
      </w:r>
    </w:p>
    <w:p>
      <w:pPr>
        <w:tabs>
          <w:tab w:val="left" w:pos="1276"/>
        </w:tabs>
        <w:spacing w:line="360" w:lineRule="auto"/>
        <w:ind w:firstLine="480" w:firstLineChars="200"/>
        <w:rPr>
          <w:rFonts w:hAnsi="宋体" w:cs="宋体"/>
          <w:color w:val="auto"/>
          <w:sz w:val="24"/>
        </w:rPr>
      </w:pPr>
      <w:r>
        <w:rPr>
          <w:rFonts w:hint="eastAsia" w:hAnsi="宋体" w:cs="宋体"/>
          <w:color w:val="auto"/>
          <w:sz w:val="24"/>
        </w:rPr>
        <w:t>（6）投标供应商</w:t>
      </w:r>
      <w:r>
        <w:rPr>
          <w:rFonts w:hint="eastAsia" w:hAnsi="宋体"/>
          <w:color w:val="auto"/>
          <w:sz w:val="24"/>
        </w:rPr>
        <w:t>有效期内</w:t>
      </w:r>
      <w:r>
        <w:rPr>
          <w:rFonts w:hint="eastAsia" w:hAnsi="宋体" w:cs="Arial"/>
          <w:color w:val="auto"/>
          <w:sz w:val="24"/>
        </w:rPr>
        <w:t>建筑机电安装工程专业承包贰级资质及</w:t>
      </w:r>
      <w:r>
        <w:rPr>
          <w:rFonts w:hAnsi="宋体" w:cs="Arial"/>
          <w:color w:val="auto"/>
          <w:sz w:val="24"/>
        </w:rPr>
        <w:t>以</w:t>
      </w:r>
      <w:r>
        <w:rPr>
          <w:rFonts w:hint="eastAsia" w:hAnsi="宋体" w:cs="Arial"/>
          <w:color w:val="auto"/>
          <w:sz w:val="24"/>
        </w:rPr>
        <w:t>上且具备有效的安全生产许可证证书</w:t>
      </w:r>
      <w:r>
        <w:rPr>
          <w:rFonts w:hint="eastAsia" w:hAnsi="宋体"/>
          <w:color w:val="auto"/>
          <w:sz w:val="24"/>
        </w:rPr>
        <w:t>复印件加盖公章；</w:t>
      </w:r>
    </w:p>
    <w:p>
      <w:pPr>
        <w:tabs>
          <w:tab w:val="left" w:pos="1276"/>
        </w:tabs>
        <w:spacing w:line="360" w:lineRule="auto"/>
        <w:ind w:firstLine="480" w:firstLineChars="200"/>
        <w:rPr>
          <w:rFonts w:hAnsi="宋体" w:cs="宋体"/>
          <w:color w:val="auto"/>
          <w:sz w:val="24"/>
          <w:szCs w:val="22"/>
        </w:rPr>
      </w:pPr>
      <w:r>
        <w:rPr>
          <w:rFonts w:hint="eastAsia" w:hAnsi="宋体" w:cs="宋体"/>
          <w:color w:val="auto"/>
          <w:sz w:val="24"/>
          <w:szCs w:val="22"/>
        </w:rPr>
        <w:t>（7）</w:t>
      </w:r>
      <w:r>
        <w:rPr>
          <w:rFonts w:hint="eastAsia" w:hAnsi="宋体" w:cs="宋体"/>
          <w:color w:val="auto"/>
          <w:sz w:val="24"/>
          <w:szCs w:val="24"/>
        </w:rPr>
        <w:t>投标供应商具备有效期内的安全生产许可证复印件</w:t>
      </w:r>
      <w:r>
        <w:rPr>
          <w:rFonts w:hint="eastAsia" w:hAnsi="宋体"/>
          <w:color w:val="auto"/>
          <w:sz w:val="24"/>
        </w:rPr>
        <w:t>加盖公章；</w:t>
      </w:r>
    </w:p>
    <w:p>
      <w:pPr>
        <w:tabs>
          <w:tab w:val="left" w:pos="1276"/>
        </w:tabs>
        <w:spacing w:line="360" w:lineRule="auto"/>
        <w:ind w:firstLine="480" w:firstLineChars="200"/>
        <w:rPr>
          <w:rFonts w:hAnsi="宋体" w:cs="宋体"/>
          <w:color w:val="auto"/>
          <w:sz w:val="24"/>
          <w:szCs w:val="24"/>
        </w:rPr>
      </w:pPr>
      <w:r>
        <w:rPr>
          <w:rFonts w:hint="eastAsia" w:hAnsi="宋体" w:cs="宋体"/>
          <w:bCs/>
          <w:color w:val="auto"/>
          <w:sz w:val="24"/>
        </w:rPr>
        <w:t>（8）</w:t>
      </w:r>
      <w:r>
        <w:rPr>
          <w:rFonts w:hint="eastAsia" w:hAnsi="宋体" w:cs="宋体"/>
          <w:color w:val="auto"/>
          <w:sz w:val="24"/>
          <w:szCs w:val="24"/>
        </w:rPr>
        <w:t>项目负责人具备二级及以上注册建造师（机电安装专业）和有效期内的《建筑施工企业项目负责人安全生产考核合格证书》（B证）复印件</w:t>
      </w:r>
      <w:r>
        <w:rPr>
          <w:rFonts w:hint="eastAsia" w:hAnsi="宋体"/>
          <w:color w:val="auto"/>
          <w:sz w:val="24"/>
        </w:rPr>
        <w:t>加盖公章；</w:t>
      </w:r>
    </w:p>
    <w:p>
      <w:pPr>
        <w:tabs>
          <w:tab w:val="left" w:pos="1050"/>
          <w:tab w:val="left" w:pos="1200"/>
        </w:tabs>
        <w:snapToGrid w:val="0"/>
        <w:spacing w:line="360" w:lineRule="auto"/>
        <w:ind w:firstLine="480" w:firstLineChars="200"/>
        <w:rPr>
          <w:rFonts w:hAnsi="宋体" w:cs="宋体"/>
          <w:bCs/>
          <w:color w:val="auto"/>
          <w:sz w:val="24"/>
        </w:rPr>
      </w:pPr>
      <w:r>
        <w:rPr>
          <w:rFonts w:hint="eastAsia" w:hAnsi="宋体" w:cs="宋体"/>
          <w:bCs/>
          <w:color w:val="auto"/>
          <w:sz w:val="24"/>
        </w:rPr>
        <w:t>（9）投标供应商近三个月中任意一个月份(不含投标当月)的财务状况报告（资产负债表、利润表）或由会计师事务所出具的2020年度审计报告和所附已审财务报告复印件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（10）投标供应商近三个月中任意一个月份(不含投标当月)的依法缴纳税收的相关材料（提供相关主管部门证明或银行代扣证明）复印件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（11）投标供应商近三个月中任意一个月份(不含投标当月)的依法缴纳社会保障资金的相关材料（提供相关主管部门证明或银行代扣证明）复印件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（12）承诺书；</w:t>
      </w:r>
      <w:r>
        <w:rPr>
          <w:rFonts w:hint="eastAsia" w:hAnsi="宋体" w:cs="宋体"/>
          <w:b/>
          <w:color w:val="auto"/>
          <w:sz w:val="24"/>
        </w:rPr>
        <w:t>（格式见附件）</w:t>
      </w:r>
    </w:p>
    <w:p>
      <w:pPr>
        <w:tabs>
          <w:tab w:val="left" w:pos="0"/>
        </w:tabs>
        <w:spacing w:line="360" w:lineRule="auto"/>
        <w:ind w:firstLine="472" w:firstLineChars="196"/>
        <w:rPr>
          <w:rFonts w:hAnsi="宋体" w:cs="宋体"/>
          <w:color w:val="auto"/>
          <w:sz w:val="24"/>
          <w:szCs w:val="28"/>
        </w:rPr>
      </w:pPr>
      <w:r>
        <w:rPr>
          <w:rFonts w:hint="eastAsia" w:hAnsi="宋体"/>
          <w:b/>
          <w:color w:val="auto"/>
          <w:sz w:val="24"/>
        </w:rPr>
        <w:t>*</w:t>
      </w:r>
      <w:r>
        <w:rPr>
          <w:rFonts w:hAnsi="宋体"/>
          <w:b/>
          <w:color w:val="auto"/>
          <w:sz w:val="24"/>
        </w:rPr>
        <w:t>注：</w:t>
      </w:r>
      <w:r>
        <w:rPr>
          <w:rFonts w:hint="eastAsia" w:hAnsi="宋体"/>
          <w:b/>
          <w:color w:val="auto"/>
          <w:sz w:val="24"/>
        </w:rPr>
        <w:t>投标</w:t>
      </w:r>
      <w:r>
        <w:rPr>
          <w:rFonts w:hAnsi="宋体"/>
          <w:b/>
          <w:color w:val="auto"/>
          <w:sz w:val="24"/>
        </w:rPr>
        <w:t>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w:t>
      </w:r>
      <w:r>
        <w:rPr>
          <w:rFonts w:hint="eastAsia" w:hAnsi="宋体"/>
          <w:b/>
          <w:color w:val="auto"/>
          <w:sz w:val="24"/>
        </w:rPr>
        <w:t>投标文件</w:t>
      </w:r>
      <w:r>
        <w:rPr>
          <w:rFonts w:hAnsi="宋体"/>
          <w:b/>
          <w:color w:val="auto"/>
          <w:sz w:val="24"/>
        </w:rPr>
        <w:t>的有效组成部分提交采购代理机构。信息登记表所记录的信息如能反映</w:t>
      </w:r>
      <w:r>
        <w:rPr>
          <w:rFonts w:hint="eastAsia" w:hAnsi="宋体"/>
          <w:b/>
          <w:color w:val="auto"/>
          <w:sz w:val="24"/>
        </w:rPr>
        <w:t>供应商</w:t>
      </w:r>
      <w:r>
        <w:rPr>
          <w:rFonts w:hAnsi="宋体"/>
          <w:b/>
          <w:color w:val="auto"/>
          <w:sz w:val="24"/>
        </w:rPr>
        <w:t>具备对应资格条件项的，在本项目评审时，可凭该信息登记表免于提供相应的资格证明材料的原件或公证件，否则必须按要求提供相应的资格</w:t>
      </w:r>
      <w:r>
        <w:rPr>
          <w:rFonts w:hint="eastAsia" w:hAnsi="宋体"/>
          <w:b/>
          <w:color w:val="auto"/>
          <w:sz w:val="24"/>
        </w:rPr>
        <w:t>、资信</w:t>
      </w:r>
      <w:r>
        <w:rPr>
          <w:rFonts w:hAnsi="宋体"/>
          <w:b/>
          <w:color w:val="auto"/>
          <w:sz w:val="24"/>
        </w:rPr>
        <w:t>证明材料原件或公证件。</w:t>
      </w:r>
    </w:p>
    <w:p>
      <w:pPr>
        <w:tabs>
          <w:tab w:val="left" w:pos="840"/>
          <w:tab w:val="left" w:pos="1050"/>
        </w:tabs>
        <w:spacing w:line="360" w:lineRule="auto"/>
        <w:ind w:firstLine="482" w:firstLineChars="200"/>
        <w:rPr>
          <w:rFonts w:hAnsi="宋体"/>
          <w:b/>
          <w:color w:val="auto"/>
          <w:sz w:val="24"/>
        </w:rPr>
      </w:pPr>
      <w:r>
        <w:rPr>
          <w:rFonts w:hint="eastAsia" w:hAnsi="宋体"/>
          <w:b/>
          <w:color w:val="auto"/>
          <w:sz w:val="24"/>
        </w:rPr>
        <w:t>上述资格、资信证明文件投标供应商必须按要求全部提供，否则投标文件无效。如上述资格、资信证明文件遇年检、换证，则必须提供法定年检、换证单位出具的有效证明复印件。投标供应商法定代表人或法定代表人授权代表为外籍、港、澳、台地区人士的，其身份证明须提供有效的护照或港澳同胞来往内地通行证、台湾同胞来往大陆通行证，或其它可在中国大陆有效居留的许可证明。</w:t>
      </w:r>
    </w:p>
    <w:p>
      <w:pPr>
        <w:adjustRightInd w:val="0"/>
        <w:snapToGrid w:val="0"/>
        <w:spacing w:line="360" w:lineRule="auto"/>
        <w:ind w:firstLine="480" w:firstLineChars="200"/>
        <w:rPr>
          <w:rFonts w:hAnsi="宋体" w:cs="宋体"/>
          <w:bCs/>
          <w:color w:val="auto"/>
          <w:sz w:val="24"/>
        </w:rPr>
      </w:pPr>
      <w:r>
        <w:rPr>
          <w:rFonts w:hint="eastAsia" w:hAnsi="宋体"/>
          <w:color w:val="auto"/>
          <w:sz w:val="24"/>
        </w:rPr>
        <w:t>1.2</w:t>
      </w:r>
      <w:r>
        <w:rPr>
          <w:rFonts w:hint="eastAsia" w:hAnsi="宋体" w:cs="宋体"/>
          <w:color w:val="auto"/>
          <w:sz w:val="24"/>
        </w:rPr>
        <w:t>补充性文件</w:t>
      </w:r>
    </w:p>
    <w:p>
      <w:pPr>
        <w:tabs>
          <w:tab w:val="left" w:pos="420"/>
          <w:tab w:val="left" w:pos="1155"/>
        </w:tabs>
        <w:spacing w:line="360" w:lineRule="auto"/>
        <w:ind w:firstLine="480" w:firstLineChars="200"/>
        <w:rPr>
          <w:rFonts w:hAnsi="宋体" w:cs="宋体"/>
          <w:bCs/>
          <w:color w:val="auto"/>
          <w:sz w:val="24"/>
        </w:rPr>
      </w:pPr>
      <w:r>
        <w:rPr>
          <w:rFonts w:hint="eastAsia" w:hAnsi="宋体" w:cs="宋体"/>
          <w:bCs/>
          <w:color w:val="auto"/>
          <w:sz w:val="24"/>
        </w:rPr>
        <w:t>（1）投标供应商提供《中小企业声明函》或《监狱企业证明文件》（</w:t>
      </w:r>
      <w:r>
        <w:rPr>
          <w:rFonts w:hint="eastAsia" w:hAnsi="宋体" w:cs="宋体"/>
          <w:color w:val="auto"/>
          <w:sz w:val="24"/>
          <w:szCs w:val="22"/>
        </w:rPr>
        <w:t>省级以上监狱管理局、戒毒管理局出具</w:t>
      </w:r>
      <w:r>
        <w:rPr>
          <w:rFonts w:hint="eastAsia" w:hAnsi="宋体" w:cs="宋体"/>
          <w:bCs/>
          <w:color w:val="auto"/>
          <w:sz w:val="24"/>
        </w:rPr>
        <w:t>）或《残疾人福利性单位声明函》</w:t>
      </w:r>
      <w:r>
        <w:rPr>
          <w:rFonts w:hint="eastAsia" w:hAnsi="宋体" w:cs="宋体"/>
          <w:b/>
          <w:color w:val="auto"/>
          <w:sz w:val="24"/>
        </w:rPr>
        <w:t>（格式见附件）。</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（2）供应商简介和经营情况说明；</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3）《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tabs>
          <w:tab w:val="left" w:pos="360"/>
          <w:tab w:val="left" w:pos="600"/>
        </w:tabs>
        <w:spacing w:line="360" w:lineRule="auto"/>
        <w:ind w:firstLine="480" w:firstLineChars="200"/>
        <w:rPr>
          <w:rFonts w:hAnsi="宋体" w:cs="宋体"/>
          <w:color w:val="auto"/>
          <w:sz w:val="24"/>
        </w:rPr>
      </w:pPr>
      <w:r>
        <w:rPr>
          <w:rFonts w:hint="eastAsia" w:hAnsi="宋体" w:cs="宋体"/>
          <w:bCs/>
          <w:color w:val="auto"/>
          <w:sz w:val="24"/>
        </w:rPr>
        <w:t>（4）</w:t>
      </w:r>
      <w:r>
        <w:rPr>
          <w:rFonts w:hint="eastAsia" w:hAnsi="宋体" w:cs="宋体"/>
          <w:color w:val="auto"/>
          <w:sz w:val="24"/>
        </w:rPr>
        <w:t>实施项目管理机构配备情况：</w:t>
      </w:r>
    </w:p>
    <w:p>
      <w:pPr>
        <w:widowControl/>
        <w:spacing w:line="360" w:lineRule="auto"/>
        <w:ind w:firstLine="720" w:firstLineChars="300"/>
        <w:jc w:val="left"/>
        <w:rPr>
          <w:rFonts w:hAnsi="宋体" w:cs="宋体"/>
          <w:color w:val="auto"/>
          <w:sz w:val="24"/>
        </w:rPr>
      </w:pPr>
      <w:r>
        <w:rPr>
          <w:rFonts w:hint="eastAsia" w:hAnsi="宋体" w:cs="宋体"/>
          <w:color w:val="auto"/>
          <w:sz w:val="24"/>
        </w:rPr>
        <w:t>1) 实施项目管理机构配备情况表（格式见附件）</w:t>
      </w:r>
    </w:p>
    <w:p>
      <w:pPr>
        <w:widowControl/>
        <w:spacing w:line="360" w:lineRule="auto"/>
        <w:ind w:firstLine="720" w:firstLineChars="300"/>
        <w:jc w:val="left"/>
        <w:rPr>
          <w:rFonts w:hAnsi="宋体" w:cs="宋体"/>
          <w:color w:val="auto"/>
          <w:sz w:val="24"/>
        </w:rPr>
      </w:pPr>
      <w:r>
        <w:rPr>
          <w:rFonts w:hint="eastAsia" w:hAnsi="宋体" w:cs="宋体"/>
          <w:color w:val="auto"/>
          <w:sz w:val="24"/>
        </w:rPr>
        <w:t>2) 项目负责人简历表（格式见附件）</w:t>
      </w:r>
    </w:p>
    <w:p>
      <w:pPr>
        <w:spacing w:line="360" w:lineRule="auto"/>
        <w:ind w:firstLine="720" w:firstLineChars="300"/>
        <w:jc w:val="left"/>
        <w:rPr>
          <w:rFonts w:hAnsi="宋体" w:cs="宋体"/>
          <w:bCs/>
          <w:color w:val="auto"/>
          <w:sz w:val="24"/>
        </w:rPr>
      </w:pPr>
      <w:r>
        <w:rPr>
          <w:rFonts w:hint="eastAsia" w:hAnsi="宋体" w:cs="宋体"/>
          <w:color w:val="auto"/>
          <w:sz w:val="24"/>
        </w:rPr>
        <w:t>3) 项目管理机构配备情况辅助说明资料（格式见附件）</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（5）对应评分标准所需的其他证明材料；</w:t>
      </w:r>
    </w:p>
    <w:p>
      <w:pPr>
        <w:spacing w:line="360" w:lineRule="auto"/>
        <w:ind w:firstLine="482" w:firstLineChars="200"/>
        <w:rPr>
          <w:rFonts w:hAnsi="宋体"/>
          <w:b/>
          <w:color w:val="auto"/>
          <w:sz w:val="24"/>
        </w:rPr>
      </w:pPr>
      <w:r>
        <w:rPr>
          <w:rFonts w:hint="eastAsia" w:hAnsi="宋体"/>
          <w:b/>
          <w:color w:val="auto"/>
          <w:sz w:val="24"/>
        </w:rPr>
        <w:t>2.响应函部分：</w:t>
      </w:r>
    </w:p>
    <w:p>
      <w:pPr>
        <w:spacing w:line="360" w:lineRule="auto"/>
        <w:ind w:firstLine="480" w:firstLineChars="200"/>
        <w:rPr>
          <w:rFonts w:hAnsi="宋体"/>
          <w:color w:val="auto"/>
          <w:sz w:val="24"/>
          <w:szCs w:val="22"/>
        </w:rPr>
      </w:pPr>
      <w:r>
        <w:rPr>
          <w:rFonts w:hint="eastAsia" w:hAnsi="宋体"/>
          <w:color w:val="auto"/>
          <w:sz w:val="24"/>
          <w:szCs w:val="22"/>
        </w:rPr>
        <w:t>（1）响应函（格式见附件）；</w:t>
      </w:r>
    </w:p>
    <w:p>
      <w:pPr>
        <w:spacing w:line="360" w:lineRule="auto"/>
        <w:ind w:firstLine="480" w:firstLineChars="200"/>
        <w:rPr>
          <w:rFonts w:hAnsi="宋体"/>
          <w:color w:val="auto"/>
          <w:sz w:val="24"/>
          <w:szCs w:val="22"/>
        </w:rPr>
      </w:pPr>
      <w:r>
        <w:rPr>
          <w:rFonts w:hint="eastAsia" w:hAnsi="宋体"/>
          <w:color w:val="auto"/>
          <w:sz w:val="24"/>
          <w:szCs w:val="22"/>
        </w:rPr>
        <w:t>（2）响应偏离表（格式见附件）；</w:t>
      </w:r>
    </w:p>
    <w:p>
      <w:pPr>
        <w:spacing w:line="360" w:lineRule="auto"/>
        <w:ind w:firstLine="480" w:firstLineChars="200"/>
        <w:rPr>
          <w:rFonts w:hAnsi="宋体"/>
          <w:color w:val="auto"/>
          <w:sz w:val="24"/>
        </w:rPr>
      </w:pPr>
      <w:r>
        <w:rPr>
          <w:rFonts w:hint="eastAsia" w:hAnsi="宋体"/>
          <w:color w:val="auto"/>
          <w:sz w:val="24"/>
        </w:rPr>
        <w:t>（3）报价供应商认为有必要提供的承诺、声明和资料。</w:t>
      </w:r>
    </w:p>
    <w:p>
      <w:pPr>
        <w:spacing w:line="360" w:lineRule="auto"/>
        <w:ind w:firstLine="482" w:firstLineChars="200"/>
        <w:rPr>
          <w:color w:val="auto"/>
        </w:rPr>
      </w:pPr>
      <w:r>
        <w:rPr>
          <w:rFonts w:hint="eastAsia" w:hAnsi="宋体"/>
          <w:b/>
          <w:color w:val="auto"/>
          <w:sz w:val="24"/>
        </w:rPr>
        <w:t>3、报价部分（格式见附件）</w:t>
      </w:r>
    </w:p>
    <w:p>
      <w:pPr>
        <w:spacing w:line="360" w:lineRule="auto"/>
        <w:ind w:firstLine="480" w:firstLineChars="200"/>
        <w:rPr>
          <w:rFonts w:hAnsi="宋体"/>
          <w:color w:val="auto"/>
          <w:sz w:val="24"/>
          <w:szCs w:val="22"/>
        </w:rPr>
      </w:pPr>
      <w:r>
        <w:rPr>
          <w:rFonts w:hint="eastAsia" w:hAnsi="宋体"/>
          <w:color w:val="auto"/>
          <w:sz w:val="24"/>
          <w:szCs w:val="22"/>
        </w:rPr>
        <w:t>（1）报价一览表（格式见附件）；</w:t>
      </w:r>
    </w:p>
    <w:p>
      <w:pPr>
        <w:spacing w:line="360" w:lineRule="auto"/>
        <w:ind w:firstLine="480" w:firstLineChars="200"/>
        <w:rPr>
          <w:rFonts w:hAnsi="宋体"/>
          <w:color w:val="auto"/>
          <w:sz w:val="24"/>
          <w:szCs w:val="22"/>
        </w:rPr>
      </w:pPr>
      <w:r>
        <w:rPr>
          <w:rFonts w:hint="eastAsia" w:hAnsi="宋体"/>
          <w:color w:val="auto"/>
          <w:sz w:val="24"/>
          <w:szCs w:val="22"/>
        </w:rPr>
        <w:t>（2）报价明细表（格式见附件）。</w:t>
      </w:r>
    </w:p>
    <w:p>
      <w:pPr>
        <w:spacing w:line="360" w:lineRule="auto"/>
        <w:ind w:firstLine="482" w:firstLineChars="200"/>
        <w:rPr>
          <w:rFonts w:hAnsi="宋体" w:cs="宋体"/>
          <w:color w:val="auto"/>
          <w:sz w:val="24"/>
          <w:szCs w:val="22"/>
        </w:rPr>
      </w:pPr>
      <w:r>
        <w:rPr>
          <w:rFonts w:hint="eastAsia" w:hAnsi="宋体" w:cs="宋体"/>
          <w:b/>
          <w:color w:val="auto"/>
          <w:sz w:val="24"/>
          <w:szCs w:val="22"/>
        </w:rPr>
        <w:t xml:space="preserve">第二部分：技术文件（暗标） </w:t>
      </w:r>
    </w:p>
    <w:p>
      <w:pPr>
        <w:spacing w:line="360" w:lineRule="auto"/>
        <w:ind w:firstLine="480" w:firstLineChars="200"/>
        <w:rPr>
          <w:color w:val="auto"/>
          <w:sz w:val="24"/>
        </w:rPr>
      </w:pPr>
      <w:r>
        <w:rPr>
          <w:color w:val="auto"/>
          <w:sz w:val="24"/>
        </w:rPr>
        <w:t>（</w:t>
      </w:r>
      <w:r>
        <w:rPr>
          <w:rFonts w:hint="eastAsia"/>
          <w:color w:val="auto"/>
          <w:sz w:val="24"/>
        </w:rPr>
        <w:t>1</w:t>
      </w:r>
      <w:r>
        <w:rPr>
          <w:color w:val="auto"/>
          <w:sz w:val="24"/>
        </w:rPr>
        <w:t>）</w:t>
      </w:r>
      <w:r>
        <w:rPr>
          <w:rFonts w:hint="eastAsia"/>
          <w:color w:val="auto"/>
          <w:sz w:val="24"/>
        </w:rPr>
        <w:t xml:space="preserve">总体概述：施工组织总体设想、方案针对性及施工段划分；  </w:t>
      </w:r>
    </w:p>
    <w:p>
      <w:pPr>
        <w:spacing w:line="360" w:lineRule="auto"/>
        <w:ind w:firstLine="480" w:firstLineChars="200"/>
        <w:rPr>
          <w:color w:val="auto"/>
          <w:sz w:val="24"/>
        </w:rPr>
      </w:pPr>
      <w:r>
        <w:rPr>
          <w:color w:val="auto"/>
          <w:sz w:val="24"/>
        </w:rPr>
        <w:t>（</w:t>
      </w:r>
      <w:r>
        <w:rPr>
          <w:rFonts w:hint="eastAsia"/>
          <w:color w:val="auto"/>
          <w:sz w:val="24"/>
        </w:rPr>
        <w:t>2</w:t>
      </w:r>
      <w:r>
        <w:rPr>
          <w:color w:val="auto"/>
          <w:sz w:val="24"/>
        </w:rPr>
        <w:t>）</w:t>
      </w:r>
      <w:r>
        <w:rPr>
          <w:rFonts w:hint="eastAsia"/>
          <w:color w:val="auto"/>
          <w:sz w:val="24"/>
        </w:rPr>
        <w:t xml:space="preserve">施工现场平面布置和临时设施、临时道路布置；  </w:t>
      </w:r>
    </w:p>
    <w:p>
      <w:pPr>
        <w:spacing w:line="360" w:lineRule="auto"/>
        <w:ind w:firstLine="480" w:firstLineChars="200"/>
        <w:rPr>
          <w:color w:val="auto"/>
          <w:sz w:val="24"/>
        </w:rPr>
      </w:pPr>
      <w:r>
        <w:rPr>
          <w:rFonts w:hint="eastAsia"/>
          <w:color w:val="auto"/>
          <w:sz w:val="24"/>
        </w:rPr>
        <w:t xml:space="preserve">（3）施工进度计划和各阶段进度的保证措施；  </w:t>
      </w:r>
    </w:p>
    <w:p>
      <w:pPr>
        <w:spacing w:line="360" w:lineRule="auto"/>
        <w:ind w:firstLine="480" w:firstLineChars="200"/>
        <w:rPr>
          <w:color w:val="auto"/>
          <w:sz w:val="24"/>
        </w:rPr>
      </w:pPr>
      <w:r>
        <w:rPr>
          <w:color w:val="auto"/>
          <w:sz w:val="24"/>
        </w:rPr>
        <w:t>（</w:t>
      </w:r>
      <w:r>
        <w:rPr>
          <w:rFonts w:hint="eastAsia"/>
          <w:color w:val="auto"/>
          <w:sz w:val="24"/>
        </w:rPr>
        <w:t>4</w:t>
      </w:r>
      <w:r>
        <w:rPr>
          <w:color w:val="auto"/>
          <w:sz w:val="24"/>
        </w:rPr>
        <w:t>）</w:t>
      </w:r>
      <w:r>
        <w:rPr>
          <w:rFonts w:hint="eastAsia"/>
          <w:color w:val="auto"/>
          <w:sz w:val="24"/>
        </w:rPr>
        <w:t xml:space="preserve">各分部分项工程的施工方案及质量保证措施； </w:t>
      </w:r>
    </w:p>
    <w:p>
      <w:pPr>
        <w:spacing w:line="360" w:lineRule="auto"/>
        <w:ind w:firstLine="480" w:firstLineChars="200"/>
        <w:rPr>
          <w:color w:val="auto"/>
          <w:sz w:val="24"/>
        </w:rPr>
      </w:pPr>
      <w:r>
        <w:rPr>
          <w:rFonts w:hint="eastAsia"/>
          <w:color w:val="auto"/>
          <w:sz w:val="24"/>
        </w:rPr>
        <w:t xml:space="preserve">（5）安全文明施工及环境保护措施； </w:t>
      </w:r>
    </w:p>
    <w:p>
      <w:pPr>
        <w:spacing w:line="360" w:lineRule="auto"/>
        <w:ind w:firstLine="480" w:firstLineChars="200"/>
        <w:rPr>
          <w:color w:val="auto"/>
          <w:sz w:val="24"/>
        </w:rPr>
      </w:pPr>
      <w:r>
        <w:rPr>
          <w:color w:val="auto"/>
          <w:sz w:val="24"/>
        </w:rPr>
        <w:t>（</w:t>
      </w:r>
      <w:r>
        <w:rPr>
          <w:rFonts w:hint="eastAsia"/>
          <w:color w:val="auto"/>
          <w:sz w:val="24"/>
        </w:rPr>
        <w:t>6</w:t>
      </w:r>
      <w:r>
        <w:rPr>
          <w:color w:val="auto"/>
          <w:sz w:val="24"/>
        </w:rPr>
        <w:t>）</w:t>
      </w:r>
      <w:r>
        <w:rPr>
          <w:rFonts w:hint="eastAsia"/>
          <w:color w:val="auto"/>
          <w:sz w:val="24"/>
        </w:rPr>
        <w:t>劳动力、机械设备和材料投入计划。</w:t>
      </w:r>
    </w:p>
    <w:p>
      <w:pPr>
        <w:spacing w:line="360" w:lineRule="auto"/>
        <w:ind w:firstLine="480" w:firstLineChars="200"/>
        <w:rPr>
          <w:rFonts w:hAnsi="宋体"/>
          <w:bCs/>
          <w:color w:val="auto"/>
          <w:sz w:val="24"/>
          <w:szCs w:val="24"/>
        </w:rPr>
      </w:pPr>
      <w:r>
        <w:rPr>
          <w:rFonts w:hint="eastAsia" w:hAnsi="宋体"/>
          <w:bCs/>
          <w:color w:val="auto"/>
          <w:sz w:val="24"/>
          <w:szCs w:val="24"/>
        </w:rPr>
        <w:t>（六）响应文件的制作：</w:t>
      </w:r>
    </w:p>
    <w:p>
      <w:pPr>
        <w:numPr>
          <w:ilvl w:val="0"/>
          <w:numId w:val="14"/>
        </w:numPr>
        <w:spacing w:line="360" w:lineRule="auto"/>
        <w:ind w:firstLine="480" w:firstLineChars="200"/>
        <w:rPr>
          <w:rFonts w:hAnsi="宋体"/>
          <w:color w:val="auto"/>
          <w:sz w:val="24"/>
        </w:rPr>
      </w:pPr>
      <w:r>
        <w:rPr>
          <w:rFonts w:hAnsi="宋体"/>
          <w:color w:val="auto"/>
          <w:sz w:val="24"/>
        </w:rPr>
        <w:t>报价</w:t>
      </w:r>
      <w:r>
        <w:rPr>
          <w:rFonts w:hint="eastAsia" w:hAnsi="宋体"/>
          <w:color w:val="auto"/>
          <w:sz w:val="24"/>
        </w:rPr>
        <w:t>说明：</w:t>
      </w:r>
    </w:p>
    <w:p>
      <w:pPr>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bCs/>
          <w:color w:val="auto"/>
          <w:sz w:val="24"/>
        </w:rPr>
        <w:t>本项目</w:t>
      </w:r>
      <w:r>
        <w:rPr>
          <w:rFonts w:hint="eastAsia" w:asciiTheme="minorEastAsia" w:hAnsiTheme="minorEastAsia" w:eastAsiaTheme="minorEastAsia" w:cstheme="minorEastAsia"/>
          <w:bCs/>
          <w:color w:val="auto"/>
          <w:sz w:val="24"/>
          <w:szCs w:val="24"/>
        </w:rPr>
        <w:t>总报价包括耗材及其配件、辅助材料、安装、保洁费、人工、机械、仓储、保险（临时保险）、运费、各种税费（购置税需方承担）、</w:t>
      </w:r>
      <w:r>
        <w:rPr>
          <w:rFonts w:hint="eastAsia" w:asciiTheme="minorEastAsia" w:hAnsiTheme="minorEastAsia" w:eastAsiaTheme="minorEastAsia" w:cstheme="minorEastAsia"/>
          <w:color w:val="auto"/>
          <w:sz w:val="24"/>
          <w:szCs w:val="24"/>
        </w:rPr>
        <w:t>专利技术</w:t>
      </w:r>
      <w:r>
        <w:rPr>
          <w:rFonts w:hint="eastAsia" w:asciiTheme="minorEastAsia" w:hAnsiTheme="minorEastAsia" w:eastAsiaTheme="minorEastAsia" w:cstheme="minorEastAsia"/>
          <w:bCs/>
          <w:color w:val="auto"/>
          <w:sz w:val="24"/>
          <w:szCs w:val="24"/>
        </w:rPr>
        <w:t>及售后服务等从项目成交起到项目正式交付以及免费质保期内所发生的一切费用。</w:t>
      </w:r>
    </w:p>
    <w:p>
      <w:pPr>
        <w:spacing w:line="360" w:lineRule="auto"/>
        <w:ind w:firstLine="480" w:firstLineChars="200"/>
        <w:rPr>
          <w:rFonts w:hAnsi="宋体"/>
          <w:bCs/>
          <w:color w:val="auto"/>
          <w:sz w:val="24"/>
        </w:rPr>
      </w:pPr>
      <w:r>
        <w:rPr>
          <w:rFonts w:hint="eastAsia" w:hAnsi="宋体"/>
          <w:bCs/>
          <w:color w:val="auto"/>
          <w:sz w:val="24"/>
        </w:rPr>
        <w:t>2</w:t>
      </w:r>
      <w:r>
        <w:rPr>
          <w:rFonts w:hAnsi="宋体"/>
          <w:bCs/>
          <w:color w:val="auto"/>
          <w:sz w:val="24"/>
        </w:rPr>
        <w:t>.</w:t>
      </w:r>
      <w:r>
        <w:rPr>
          <w:rFonts w:hint="eastAsia" w:hAnsi="宋体"/>
          <w:bCs/>
          <w:color w:val="auto"/>
          <w:sz w:val="24"/>
        </w:rPr>
        <w:t>本项目采用营改增后一般计税方法。</w:t>
      </w:r>
    </w:p>
    <w:p>
      <w:pPr>
        <w:spacing w:line="360" w:lineRule="auto"/>
        <w:ind w:firstLine="480" w:firstLineChars="200"/>
        <w:rPr>
          <w:rFonts w:hAnsi="宋体"/>
          <w:bCs/>
          <w:color w:val="auto"/>
          <w:sz w:val="24"/>
        </w:rPr>
      </w:pPr>
      <w:r>
        <w:rPr>
          <w:rFonts w:hint="eastAsia" w:hAnsi="宋体"/>
          <w:bCs/>
          <w:color w:val="auto"/>
          <w:sz w:val="24"/>
        </w:rPr>
        <w:t>3.报价供应商应综合考虑，本项目投标单价包含免费质保期费用等相关费用。</w:t>
      </w:r>
    </w:p>
    <w:p>
      <w:pPr>
        <w:pStyle w:val="25"/>
        <w:spacing w:line="360" w:lineRule="auto"/>
        <w:ind w:firstLine="482" w:firstLineChars="200"/>
        <w:rPr>
          <w:rFonts w:ascii="宋体" w:hAnsi="宋体" w:eastAsia="宋体"/>
          <w:b/>
          <w:bCs/>
          <w:color w:val="auto"/>
          <w:sz w:val="24"/>
          <w:szCs w:val="22"/>
        </w:rPr>
      </w:pPr>
      <w:r>
        <w:rPr>
          <w:rFonts w:hint="eastAsia" w:ascii="宋体" w:hAnsi="宋体" w:eastAsia="宋体"/>
          <w:b/>
          <w:color w:val="auto"/>
          <w:sz w:val="24"/>
          <w:szCs w:val="22"/>
        </w:rPr>
        <w:t>4.报价供应商的最后一轮报价为最终报价，相应的采购清单子目单价，进行同比例调整。</w:t>
      </w:r>
    </w:p>
    <w:p>
      <w:pPr>
        <w:spacing w:line="360" w:lineRule="auto"/>
        <w:ind w:firstLine="480" w:firstLineChars="200"/>
        <w:rPr>
          <w:rFonts w:hAnsi="宋体"/>
          <w:color w:val="auto"/>
          <w:sz w:val="24"/>
        </w:rPr>
      </w:pPr>
      <w:r>
        <w:rPr>
          <w:rFonts w:hint="eastAsia" w:hAnsi="宋体"/>
          <w:color w:val="auto"/>
          <w:sz w:val="24"/>
        </w:rPr>
        <w:t>2）响应文件的要求：</w:t>
      </w:r>
    </w:p>
    <w:p>
      <w:pPr>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所有文件、往来函件均应使用简体中文（规格、型号辅助符号除外）。</w:t>
      </w:r>
    </w:p>
    <w:p>
      <w:pPr>
        <w:spacing w:line="360" w:lineRule="auto"/>
        <w:ind w:firstLine="480" w:firstLineChars="200"/>
        <w:rPr>
          <w:rFonts w:hAnsi="宋体"/>
          <w:color w:val="auto"/>
          <w:sz w:val="24"/>
        </w:rPr>
      </w:pPr>
      <w:r>
        <w:rPr>
          <w:rFonts w:hAnsi="宋体"/>
          <w:color w:val="auto"/>
          <w:sz w:val="24"/>
        </w:rPr>
        <w:t>2.</w:t>
      </w:r>
      <w:r>
        <w:rPr>
          <w:rFonts w:hint="eastAsia" w:hAnsi="宋体"/>
          <w:bCs/>
          <w:color w:val="auto"/>
          <w:sz w:val="24"/>
        </w:rPr>
        <w:t xml:space="preserve"> 响应文件由报价供应商按给定格式如实填写（编写），须有法人（盖章）、法定代表人或被授权代表签字或盖章，方为有效，未尽事宜可自行补充。响应文件正文部分打印一律使用普白办公用纸A4，竖排版面。</w:t>
      </w:r>
    </w:p>
    <w:p>
      <w:pPr>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报价供应商报价一律以人民币为报价结算货币，结算单位为“元”。</w:t>
      </w:r>
    </w:p>
    <w:p>
      <w:pPr>
        <w:spacing w:line="360" w:lineRule="auto"/>
        <w:ind w:firstLine="480" w:firstLineChars="200"/>
        <w:rPr>
          <w:rFonts w:hAnsi="宋体"/>
          <w:color w:val="auto"/>
          <w:sz w:val="24"/>
        </w:rPr>
      </w:pPr>
      <w:r>
        <w:rPr>
          <w:rFonts w:hAnsi="宋体"/>
          <w:color w:val="auto"/>
          <w:sz w:val="24"/>
        </w:rPr>
        <w:t>4.</w:t>
      </w:r>
      <w:r>
        <w:rPr>
          <w:rFonts w:hint="eastAsia" w:hAnsi="宋体"/>
          <w:color w:val="auto"/>
          <w:sz w:val="24"/>
        </w:rPr>
        <w:t>响应文件格式部分，应由报价供应商按给定格式提供，不得更改。</w:t>
      </w:r>
    </w:p>
    <w:p>
      <w:pPr>
        <w:spacing w:line="360" w:lineRule="auto"/>
        <w:ind w:firstLine="480" w:firstLineChars="200"/>
        <w:rPr>
          <w:rFonts w:hAnsi="宋体"/>
          <w:color w:val="auto"/>
          <w:sz w:val="24"/>
        </w:rPr>
      </w:pPr>
      <w:r>
        <w:rPr>
          <w:rFonts w:hAnsi="宋体"/>
          <w:color w:val="auto"/>
          <w:sz w:val="24"/>
        </w:rPr>
        <w:t>5.</w:t>
      </w:r>
      <w:r>
        <w:rPr>
          <w:rFonts w:hint="eastAsia" w:hAnsi="宋体"/>
          <w:color w:val="auto"/>
          <w:sz w:val="24"/>
        </w:rPr>
        <w:t>响应文件应用不褪色的墨水书写或打印。</w:t>
      </w:r>
    </w:p>
    <w:p>
      <w:pPr>
        <w:tabs>
          <w:tab w:val="left" w:pos="0"/>
          <w:tab w:val="left" w:pos="704"/>
        </w:tabs>
        <w:spacing w:line="360" w:lineRule="auto"/>
        <w:ind w:firstLine="480" w:firstLineChars="200"/>
        <w:rPr>
          <w:rFonts w:hAnsi="宋体"/>
          <w:bCs/>
          <w:color w:val="auto"/>
          <w:sz w:val="24"/>
        </w:rPr>
      </w:pPr>
      <w:r>
        <w:rPr>
          <w:rFonts w:hAnsi="宋体"/>
          <w:bCs/>
          <w:color w:val="auto"/>
          <w:sz w:val="24"/>
        </w:rPr>
        <w:t>6.</w:t>
      </w:r>
      <w:r>
        <w:rPr>
          <w:rFonts w:hint="eastAsia" w:hAnsi="宋体"/>
          <w:bCs/>
          <w:color w:val="auto"/>
          <w:sz w:val="24"/>
        </w:rPr>
        <w:t>响应文件统一采用A4纸，按照响应函格式中的顺序制作，并编制目录和页码。</w:t>
      </w:r>
    </w:p>
    <w:p>
      <w:pPr>
        <w:wordWrap w:val="0"/>
        <w:topLinePunct/>
        <w:spacing w:line="360" w:lineRule="auto"/>
        <w:ind w:firstLine="480" w:firstLineChars="200"/>
        <w:rPr>
          <w:rFonts w:hAnsi="宋体" w:cs="宋体"/>
          <w:b/>
          <w:color w:val="auto"/>
          <w:sz w:val="24"/>
          <w:szCs w:val="24"/>
        </w:rPr>
      </w:pPr>
      <w:r>
        <w:rPr>
          <w:rFonts w:hAnsi="宋体"/>
          <w:bCs/>
          <w:color w:val="auto"/>
          <w:sz w:val="24"/>
        </w:rPr>
        <w:t>7.</w:t>
      </w:r>
      <w:r>
        <w:rPr>
          <w:rFonts w:hint="eastAsia" w:hAnsi="宋体"/>
          <w:bCs/>
          <w:color w:val="auto"/>
          <w:sz w:val="24"/>
        </w:rPr>
        <w:t xml:space="preserve"> 投标文件</w:t>
      </w:r>
      <w:r>
        <w:rPr>
          <w:rFonts w:hint="eastAsia" w:hAnsi="宋体"/>
          <w:color w:val="auto"/>
          <w:sz w:val="24"/>
        </w:rPr>
        <w:t>的份数：投标文件份数：明标一正两副，暗标一正五副；另需提供电子标书一份（U盘），电子标书需包括投标文件全部内容，电子标书密封于商务标正本中。</w:t>
      </w:r>
    </w:p>
    <w:p>
      <w:pPr>
        <w:tabs>
          <w:tab w:val="left" w:pos="0"/>
        </w:tabs>
        <w:spacing w:line="360" w:lineRule="auto"/>
        <w:ind w:firstLine="480" w:firstLineChars="200"/>
        <w:rPr>
          <w:rFonts w:hAnsi="宋体"/>
          <w:b/>
          <w:bCs/>
          <w:color w:val="auto"/>
          <w:sz w:val="24"/>
        </w:rPr>
      </w:pPr>
      <w:r>
        <w:rPr>
          <w:rFonts w:hint="eastAsia" w:hAnsi="宋体"/>
          <w:color w:val="auto"/>
          <w:sz w:val="24"/>
        </w:rPr>
        <w:t>8.</w:t>
      </w:r>
      <w:r>
        <w:rPr>
          <w:rFonts w:hint="eastAsia" w:hAnsi="宋体"/>
          <w:b/>
          <w:color w:val="auto"/>
          <w:sz w:val="24"/>
        </w:rPr>
        <w:t>供应商应将商务</w:t>
      </w:r>
      <w:r>
        <w:rPr>
          <w:rFonts w:hint="eastAsia" w:hAnsi="宋体"/>
          <w:b/>
          <w:bCs/>
          <w:color w:val="auto"/>
          <w:sz w:val="24"/>
        </w:rPr>
        <w:t>标（明标）正本及投标文件电子标书密封在一个封袋中并在封袋上清楚地标明“商务标正本”，将商务标（明标）的所有副本密封在另一个封袋中并在密封袋上清楚地标明“商务标副本”；技术标（暗标）正本单独密封在一个封袋中并在密封袋上清楚地标明“技术标正本”，技术标（暗标）所有副本单独密封在一个封袋中并在密封袋上清楚地标明“技术标副本”。招标文件中资格证明文件部分及评标办法中所需提供的原件资料需单独密封在一个封袋中（身份证可随身携带），并在密封袋上清楚地标明“原件资料”。所有投标文件封袋的封口处应加盖供应商印章。密封袋上还均应注明采购编号、项目名称、标段号、供应商名称。</w:t>
      </w:r>
    </w:p>
    <w:p>
      <w:pPr>
        <w:spacing w:line="360" w:lineRule="auto"/>
        <w:ind w:firstLine="480" w:firstLineChars="200"/>
        <w:rPr>
          <w:rFonts w:hAnsi="宋体"/>
          <w:color w:val="auto"/>
          <w:sz w:val="24"/>
        </w:rPr>
      </w:pPr>
      <w:r>
        <w:rPr>
          <w:rFonts w:hAnsi="宋体"/>
          <w:color w:val="auto"/>
          <w:sz w:val="24"/>
        </w:rPr>
        <w:t>9.</w:t>
      </w:r>
      <w:r>
        <w:rPr>
          <w:rFonts w:hint="eastAsia" w:hAnsi="宋体"/>
          <w:color w:val="auto"/>
          <w:sz w:val="24"/>
        </w:rPr>
        <w:t>响应文件不应有涂改、增删和潦草之处，如有必须修改时，修改处必须有法人、法定代表人或法定代表人授权代表的签章。</w:t>
      </w:r>
    </w:p>
    <w:p>
      <w:pPr>
        <w:tabs>
          <w:tab w:val="left" w:pos="0"/>
        </w:tabs>
        <w:spacing w:line="440" w:lineRule="exact"/>
        <w:ind w:firstLine="426" w:firstLineChars="177"/>
        <w:rPr>
          <w:rFonts w:hAnsi="宋体"/>
          <w:b/>
          <w:bCs/>
          <w:color w:val="auto"/>
          <w:sz w:val="24"/>
        </w:rPr>
      </w:pPr>
      <w:r>
        <w:rPr>
          <w:rFonts w:hint="eastAsia" w:hAnsi="宋体"/>
          <w:b/>
          <w:bCs/>
          <w:color w:val="auto"/>
          <w:sz w:val="24"/>
        </w:rPr>
        <w:t>10.暗标编制、装订要求：</w:t>
      </w:r>
    </w:p>
    <w:p>
      <w:pPr>
        <w:spacing w:line="440" w:lineRule="exact"/>
        <w:ind w:firstLine="426" w:firstLineChars="177"/>
        <w:rPr>
          <w:rFonts w:hAnsi="宋体"/>
          <w:b/>
          <w:bCs/>
          <w:color w:val="auto"/>
          <w:sz w:val="24"/>
        </w:rPr>
      </w:pPr>
      <w:r>
        <w:rPr>
          <w:rFonts w:hint="eastAsia" w:hAnsi="宋体"/>
          <w:b/>
          <w:bCs/>
          <w:color w:val="auto"/>
          <w:sz w:val="24"/>
        </w:rPr>
        <w:t>1</w:t>
      </w:r>
      <w:r>
        <w:rPr>
          <w:rFonts w:hAnsi="宋体"/>
          <w:b/>
          <w:bCs/>
          <w:color w:val="auto"/>
          <w:sz w:val="24"/>
        </w:rPr>
        <w:t>0.1</w:t>
      </w:r>
      <w:r>
        <w:rPr>
          <w:rFonts w:hint="eastAsia" w:hAnsi="宋体"/>
          <w:b/>
          <w:bCs/>
          <w:color w:val="auto"/>
          <w:sz w:val="24"/>
        </w:rPr>
        <w:t>暗标需单独成册，不得有分册。封面和装订夹采用招标人提供的统一样品,封底采用A4白色复印纸；</w:t>
      </w:r>
    </w:p>
    <w:p>
      <w:pPr>
        <w:spacing w:line="440" w:lineRule="exact"/>
        <w:ind w:firstLine="426" w:firstLineChars="177"/>
        <w:rPr>
          <w:rFonts w:hAnsi="宋体"/>
          <w:b/>
          <w:bCs/>
          <w:color w:val="auto"/>
          <w:sz w:val="24"/>
        </w:rPr>
      </w:pPr>
      <w:r>
        <w:rPr>
          <w:rFonts w:hint="eastAsia" w:hAnsi="宋体"/>
          <w:b/>
          <w:bCs/>
          <w:color w:val="auto"/>
          <w:sz w:val="24"/>
        </w:rPr>
        <w:t>1</w:t>
      </w:r>
      <w:r>
        <w:rPr>
          <w:rFonts w:hAnsi="宋体"/>
          <w:b/>
          <w:bCs/>
          <w:color w:val="auto"/>
          <w:sz w:val="24"/>
        </w:rPr>
        <w:t>0.2</w:t>
      </w:r>
      <w:r>
        <w:rPr>
          <w:rFonts w:hint="eastAsia" w:hAnsi="宋体"/>
          <w:b/>
          <w:bCs/>
          <w:color w:val="auto"/>
          <w:sz w:val="24"/>
        </w:rPr>
        <w:t>暗标不得出现投标人名称、人员姓名，要求版面整洁、字迹清楚、不许涂改，不得出现能显示企业特征或其它提示性的标记或标识，也不得采用任何不符合常规、有别于其它投标人的特殊做法；</w:t>
      </w:r>
    </w:p>
    <w:p>
      <w:pPr>
        <w:spacing w:line="360" w:lineRule="auto"/>
        <w:ind w:firstLine="426" w:firstLineChars="177"/>
        <w:rPr>
          <w:rFonts w:hAnsi="宋体"/>
          <w:b/>
          <w:bCs/>
          <w:color w:val="auto"/>
          <w:sz w:val="24"/>
        </w:rPr>
      </w:pPr>
      <w:r>
        <w:rPr>
          <w:rFonts w:hAnsi="宋体"/>
          <w:b/>
          <w:bCs/>
          <w:color w:val="auto"/>
          <w:sz w:val="24"/>
        </w:rPr>
        <w:t>10.3</w:t>
      </w:r>
      <w:r>
        <w:rPr>
          <w:rFonts w:hint="eastAsia" w:hAnsi="宋体"/>
          <w:b/>
          <w:bCs/>
          <w:color w:val="auto"/>
          <w:sz w:val="24"/>
        </w:rPr>
        <w:t>排版要求：使用word文件形式，A4白色复印纸单面打印，字体为小四号宋体，不得出现手写，单倍行间距，不得有任何加粗、斜体、下划线、边框、底纹、阴影等标记，不得设置页眉，页脚只准出现页码，采用小5号阿拉伯数字格式，设在页脚居中位置，页码应当连续，不得有空白页，装订必须在左侧装订。</w:t>
      </w:r>
    </w:p>
    <w:p>
      <w:pPr>
        <w:spacing w:line="360" w:lineRule="auto"/>
        <w:ind w:firstLine="426" w:firstLineChars="177"/>
        <w:rPr>
          <w:rFonts w:hAnsi="宋体"/>
          <w:b/>
          <w:bCs/>
          <w:color w:val="auto"/>
          <w:sz w:val="24"/>
        </w:rPr>
      </w:pPr>
      <w:r>
        <w:rPr>
          <w:rFonts w:hAnsi="宋体"/>
          <w:b/>
          <w:bCs/>
          <w:color w:val="auto"/>
          <w:sz w:val="24"/>
        </w:rPr>
        <w:t>10.4</w:t>
      </w:r>
      <w:r>
        <w:rPr>
          <w:rFonts w:hint="eastAsia" w:hAnsi="宋体"/>
          <w:b/>
          <w:bCs/>
          <w:color w:val="auto"/>
          <w:sz w:val="24"/>
        </w:rPr>
        <w:t>图表中字体用宋体字，字号不作限制。</w:t>
      </w:r>
    </w:p>
    <w:p>
      <w:pPr>
        <w:spacing w:line="360" w:lineRule="auto"/>
        <w:ind w:firstLine="424" w:firstLineChars="177"/>
        <w:rPr>
          <w:rFonts w:hAnsi="宋体"/>
          <w:b/>
          <w:bCs/>
          <w:color w:val="auto"/>
          <w:sz w:val="24"/>
        </w:rPr>
      </w:pPr>
      <w:r>
        <w:rPr>
          <w:rFonts w:hint="eastAsia" w:hAnsi="宋体" w:cs="宋体"/>
          <w:bCs/>
          <w:color w:val="auto"/>
          <w:sz w:val="24"/>
        </w:rPr>
        <w:t>（七） 无效响应文件的确认：</w:t>
      </w:r>
    </w:p>
    <w:p>
      <w:pPr>
        <w:adjustRightInd w:val="0"/>
        <w:snapToGrid w:val="0"/>
        <w:spacing w:line="360" w:lineRule="auto"/>
        <w:ind w:firstLine="240" w:firstLineChars="100"/>
        <w:rPr>
          <w:rFonts w:hAnsi="宋体" w:cs="宋体"/>
          <w:bCs/>
          <w:color w:val="auto"/>
          <w:sz w:val="24"/>
        </w:rPr>
      </w:pPr>
      <w:r>
        <w:rPr>
          <w:rFonts w:hint="eastAsia" w:hAnsi="宋体" w:cs="宋体"/>
          <w:bCs/>
          <w:color w:val="auto"/>
          <w:sz w:val="24"/>
        </w:rPr>
        <w:t>供应商有下列情况之一者，其响应文件无效：</w:t>
      </w:r>
    </w:p>
    <w:p>
      <w:pPr>
        <w:numPr>
          <w:ilvl w:val="0"/>
          <w:numId w:val="6"/>
        </w:numPr>
        <w:spacing w:line="360" w:lineRule="auto"/>
        <w:rPr>
          <w:rFonts w:hAnsi="宋体"/>
          <w:color w:val="auto"/>
          <w:sz w:val="24"/>
        </w:rPr>
      </w:pPr>
      <w:r>
        <w:rPr>
          <w:rFonts w:hint="eastAsia" w:hAnsi="宋体"/>
          <w:color w:val="auto"/>
          <w:sz w:val="24"/>
        </w:rPr>
        <w:t>响应文件未按规定的期限、地点送达的；</w:t>
      </w:r>
    </w:p>
    <w:p>
      <w:pPr>
        <w:numPr>
          <w:ilvl w:val="0"/>
          <w:numId w:val="6"/>
        </w:numPr>
        <w:spacing w:line="360" w:lineRule="auto"/>
        <w:rPr>
          <w:rFonts w:hAnsi="宋体"/>
          <w:color w:val="auto"/>
          <w:sz w:val="24"/>
        </w:rPr>
      </w:pPr>
      <w:r>
        <w:rPr>
          <w:rFonts w:hint="eastAsia" w:hAnsi="宋体"/>
          <w:color w:val="auto"/>
          <w:sz w:val="24"/>
        </w:rPr>
        <w:t>响应文件未按要求密封、签署、盖章的；</w:t>
      </w:r>
    </w:p>
    <w:p>
      <w:pPr>
        <w:numPr>
          <w:ilvl w:val="0"/>
          <w:numId w:val="6"/>
        </w:numPr>
        <w:spacing w:line="360" w:lineRule="auto"/>
        <w:rPr>
          <w:rFonts w:hAnsi="宋体"/>
          <w:color w:val="auto"/>
          <w:sz w:val="24"/>
        </w:rPr>
      </w:pPr>
      <w:r>
        <w:rPr>
          <w:rFonts w:hint="eastAsia" w:hAnsi="宋体"/>
          <w:color w:val="auto"/>
          <w:sz w:val="24"/>
        </w:rPr>
        <w:t>报价供应商的法定代表人或法定代表人授权代表，未准时参加磋商会议的；</w:t>
      </w:r>
    </w:p>
    <w:p>
      <w:pPr>
        <w:numPr>
          <w:ilvl w:val="0"/>
          <w:numId w:val="6"/>
        </w:numPr>
        <w:spacing w:line="360" w:lineRule="auto"/>
        <w:rPr>
          <w:rFonts w:hAnsi="宋体"/>
          <w:color w:val="auto"/>
          <w:sz w:val="24"/>
        </w:rPr>
      </w:pPr>
      <w:r>
        <w:rPr>
          <w:rFonts w:hint="eastAsia" w:hAnsi="宋体"/>
          <w:color w:val="auto"/>
          <w:sz w:val="24"/>
        </w:rPr>
        <w:t>报价供应商的法定代表人授权代表，无法定代表人授权委托书的；</w:t>
      </w:r>
    </w:p>
    <w:p>
      <w:pPr>
        <w:numPr>
          <w:ilvl w:val="0"/>
          <w:numId w:val="6"/>
        </w:numPr>
        <w:spacing w:line="360" w:lineRule="auto"/>
        <w:rPr>
          <w:rFonts w:hAnsi="宋体"/>
          <w:color w:val="auto"/>
          <w:sz w:val="24"/>
        </w:rPr>
      </w:pPr>
      <w:r>
        <w:rPr>
          <w:rFonts w:hint="eastAsia" w:hAnsi="宋体"/>
          <w:color w:val="auto"/>
          <w:sz w:val="24"/>
        </w:rPr>
        <w:t>不具备磋商文件中规定的资格要求及未按磋商文件规定的要求提供资格证明文件的；</w:t>
      </w:r>
    </w:p>
    <w:p>
      <w:pPr>
        <w:numPr>
          <w:ilvl w:val="0"/>
          <w:numId w:val="6"/>
        </w:numPr>
        <w:spacing w:line="360" w:lineRule="auto"/>
        <w:rPr>
          <w:rFonts w:hAnsi="宋体"/>
          <w:color w:val="auto"/>
          <w:sz w:val="24"/>
        </w:rPr>
      </w:pPr>
      <w:r>
        <w:rPr>
          <w:rFonts w:hint="eastAsia" w:hAnsi="宋体"/>
          <w:color w:val="auto"/>
          <w:sz w:val="24"/>
        </w:rPr>
        <w:t>响应文件含有采购人不能接受的附加条件的；</w:t>
      </w:r>
    </w:p>
    <w:p>
      <w:pPr>
        <w:numPr>
          <w:ilvl w:val="0"/>
          <w:numId w:val="6"/>
        </w:numPr>
        <w:spacing w:line="360" w:lineRule="auto"/>
        <w:rPr>
          <w:rFonts w:hAnsi="宋体"/>
          <w:color w:val="auto"/>
          <w:sz w:val="24"/>
        </w:rPr>
      </w:pPr>
      <w:r>
        <w:rPr>
          <w:rFonts w:hint="eastAsia" w:hAnsi="宋体"/>
          <w:color w:val="auto"/>
          <w:sz w:val="24"/>
        </w:rPr>
        <w:t>响应文件未按磋商文件规定的格式、内容和要求填写、制作的；</w:t>
      </w:r>
    </w:p>
    <w:p>
      <w:pPr>
        <w:numPr>
          <w:ilvl w:val="0"/>
          <w:numId w:val="6"/>
        </w:numPr>
        <w:spacing w:line="360" w:lineRule="auto"/>
        <w:rPr>
          <w:rFonts w:hAnsi="宋体"/>
          <w:color w:val="auto"/>
          <w:sz w:val="24"/>
        </w:rPr>
      </w:pPr>
      <w:r>
        <w:rPr>
          <w:rFonts w:hint="eastAsia" w:hAnsi="宋体"/>
          <w:color w:val="auto"/>
          <w:sz w:val="24"/>
        </w:rPr>
        <w:t>响应文件书写潦草、字迹模糊不清、无法辨认的；</w:t>
      </w:r>
    </w:p>
    <w:p>
      <w:pPr>
        <w:numPr>
          <w:ilvl w:val="0"/>
          <w:numId w:val="6"/>
        </w:numPr>
        <w:spacing w:line="360" w:lineRule="auto"/>
        <w:rPr>
          <w:rFonts w:hAnsi="宋体"/>
          <w:color w:val="auto"/>
          <w:sz w:val="24"/>
        </w:rPr>
      </w:pPr>
      <w:r>
        <w:rPr>
          <w:rFonts w:hint="eastAsia" w:hAnsi="宋体"/>
          <w:color w:val="auto"/>
          <w:sz w:val="24"/>
        </w:rPr>
        <w:t>响应文件中有磋商文件未允许提供的选择性内容的；</w:t>
      </w:r>
    </w:p>
    <w:p>
      <w:pPr>
        <w:numPr>
          <w:ilvl w:val="0"/>
          <w:numId w:val="6"/>
        </w:numPr>
        <w:spacing w:line="360" w:lineRule="auto"/>
        <w:rPr>
          <w:rFonts w:hAnsi="宋体"/>
          <w:color w:val="auto"/>
          <w:sz w:val="24"/>
        </w:rPr>
      </w:pPr>
      <w:r>
        <w:rPr>
          <w:rFonts w:hint="eastAsia" w:hAnsi="宋体"/>
          <w:color w:val="auto"/>
          <w:sz w:val="24"/>
        </w:rPr>
        <w:t>恶意串通其他报价供应商，故意哄抬价格或压价的；</w:t>
      </w:r>
    </w:p>
    <w:p>
      <w:pPr>
        <w:numPr>
          <w:ilvl w:val="0"/>
          <w:numId w:val="6"/>
        </w:numPr>
        <w:spacing w:line="360" w:lineRule="auto"/>
        <w:rPr>
          <w:rFonts w:hAnsi="宋体"/>
          <w:color w:val="auto"/>
          <w:sz w:val="24"/>
        </w:rPr>
      </w:pPr>
      <w:r>
        <w:rPr>
          <w:rFonts w:hint="eastAsia" w:hAnsi="宋体"/>
          <w:color w:val="auto"/>
          <w:sz w:val="24"/>
        </w:rPr>
        <w:t>提供虚假材料的（包括工商营业执照、财务报表、资格证明文件等）；</w:t>
      </w:r>
    </w:p>
    <w:p>
      <w:pPr>
        <w:numPr>
          <w:ilvl w:val="0"/>
          <w:numId w:val="6"/>
        </w:numPr>
        <w:spacing w:line="360" w:lineRule="auto"/>
        <w:rPr>
          <w:rFonts w:hAnsi="宋体"/>
          <w:color w:val="auto"/>
          <w:sz w:val="24"/>
        </w:rPr>
      </w:pPr>
      <w:r>
        <w:rPr>
          <w:rFonts w:hint="eastAsia" w:hAnsi="宋体"/>
          <w:color w:val="auto"/>
          <w:sz w:val="24"/>
        </w:rPr>
        <w:t>响应文件中商务标（明标）和技术标（暗标）未分别制作、装订、密封包装的；</w:t>
      </w:r>
    </w:p>
    <w:p>
      <w:pPr>
        <w:numPr>
          <w:ilvl w:val="0"/>
          <w:numId w:val="6"/>
        </w:numPr>
        <w:spacing w:line="360" w:lineRule="auto"/>
        <w:rPr>
          <w:rFonts w:hAnsi="宋体"/>
          <w:color w:val="auto"/>
          <w:sz w:val="24"/>
        </w:rPr>
      </w:pPr>
      <w:r>
        <w:rPr>
          <w:rFonts w:hint="eastAsia" w:hAnsi="宋体"/>
          <w:color w:val="auto"/>
          <w:sz w:val="24"/>
        </w:rPr>
        <w:t>响应文件商务标未加盖报价供应商公章及法定代表人或授权代表签字和盖章的；</w:t>
      </w:r>
    </w:p>
    <w:p>
      <w:pPr>
        <w:numPr>
          <w:ilvl w:val="0"/>
          <w:numId w:val="6"/>
        </w:numPr>
        <w:spacing w:line="360" w:lineRule="auto"/>
        <w:rPr>
          <w:rFonts w:hAnsi="宋体"/>
          <w:color w:val="auto"/>
          <w:sz w:val="24"/>
        </w:rPr>
      </w:pPr>
      <w:r>
        <w:rPr>
          <w:rFonts w:hint="eastAsia" w:hAnsi="宋体"/>
          <w:color w:val="auto"/>
          <w:sz w:val="24"/>
        </w:rPr>
        <w:t>不同报价供应商响应文件相互混装的；</w:t>
      </w:r>
    </w:p>
    <w:p>
      <w:pPr>
        <w:numPr>
          <w:ilvl w:val="0"/>
          <w:numId w:val="6"/>
        </w:numPr>
        <w:spacing w:line="360" w:lineRule="auto"/>
        <w:rPr>
          <w:rFonts w:hAnsi="宋体"/>
          <w:color w:val="auto"/>
          <w:sz w:val="24"/>
        </w:rPr>
      </w:pPr>
      <w:r>
        <w:rPr>
          <w:rFonts w:hint="eastAsia" w:hAnsi="宋体"/>
          <w:color w:val="auto"/>
          <w:sz w:val="24"/>
        </w:rPr>
        <w:t>不同报价供应商响应文件中的项目相关人员出现同一人的；</w:t>
      </w:r>
    </w:p>
    <w:p>
      <w:pPr>
        <w:numPr>
          <w:ilvl w:val="0"/>
          <w:numId w:val="6"/>
        </w:numPr>
        <w:spacing w:line="360" w:lineRule="auto"/>
        <w:rPr>
          <w:rFonts w:hAnsi="宋体"/>
          <w:color w:val="auto"/>
          <w:sz w:val="24"/>
        </w:rPr>
      </w:pPr>
      <w:r>
        <w:rPr>
          <w:rFonts w:hint="eastAsia" w:hAnsi="宋体"/>
          <w:color w:val="auto"/>
          <w:sz w:val="24"/>
        </w:rPr>
        <w:t>不同报价供应商聘请同一人为其报价提供技术或经济咨询服务的；</w:t>
      </w:r>
    </w:p>
    <w:p>
      <w:pPr>
        <w:numPr>
          <w:ilvl w:val="0"/>
          <w:numId w:val="6"/>
        </w:numPr>
        <w:spacing w:line="360" w:lineRule="auto"/>
        <w:rPr>
          <w:rFonts w:hAnsi="宋体"/>
          <w:color w:val="auto"/>
          <w:sz w:val="24"/>
        </w:rPr>
      </w:pPr>
      <w:r>
        <w:rPr>
          <w:rFonts w:hint="eastAsia" w:hAnsi="宋体"/>
          <w:color w:val="auto"/>
          <w:sz w:val="24"/>
        </w:rPr>
        <w:t>不同报价供应商的单位负责人为同一人或者存在直接控股、管理关系的；</w:t>
      </w:r>
    </w:p>
    <w:p>
      <w:pPr>
        <w:numPr>
          <w:ilvl w:val="0"/>
          <w:numId w:val="6"/>
        </w:numPr>
        <w:spacing w:line="360" w:lineRule="auto"/>
        <w:rPr>
          <w:rFonts w:hAnsi="宋体"/>
          <w:color w:val="auto"/>
          <w:sz w:val="24"/>
        </w:rPr>
      </w:pPr>
      <w:r>
        <w:rPr>
          <w:rFonts w:hint="eastAsia" w:hAnsi="宋体"/>
          <w:color w:val="auto"/>
          <w:sz w:val="24"/>
        </w:rPr>
        <w:t>报价供应商为本项目提供整体设计、规范编制或者项目管理、监理、检测等服务的；</w:t>
      </w:r>
    </w:p>
    <w:p>
      <w:pPr>
        <w:numPr>
          <w:ilvl w:val="0"/>
          <w:numId w:val="6"/>
        </w:numPr>
        <w:spacing w:line="360" w:lineRule="auto"/>
        <w:rPr>
          <w:rFonts w:hAnsi="宋体"/>
          <w:color w:val="auto"/>
          <w:sz w:val="24"/>
        </w:rPr>
      </w:pPr>
      <w:r>
        <w:rPr>
          <w:rFonts w:hint="eastAsia" w:hAnsi="宋体"/>
          <w:color w:val="auto"/>
          <w:sz w:val="24"/>
        </w:rPr>
        <w:t>不同报价供应商的响应文件异常一致或者投标报价呈规律性差异；</w:t>
      </w:r>
    </w:p>
    <w:p>
      <w:pPr>
        <w:numPr>
          <w:ilvl w:val="0"/>
          <w:numId w:val="6"/>
        </w:numPr>
        <w:spacing w:line="360" w:lineRule="auto"/>
        <w:rPr>
          <w:rFonts w:hAnsi="宋体"/>
          <w:color w:val="auto"/>
          <w:sz w:val="24"/>
        </w:rPr>
      </w:pPr>
      <w:r>
        <w:rPr>
          <w:rFonts w:hint="eastAsia" w:hAnsi="宋体"/>
          <w:color w:val="auto"/>
          <w:sz w:val="24"/>
        </w:rPr>
        <w:t>响应文件商务标中同一方案有选择性报价且未声明以哪一个为准的；</w:t>
      </w:r>
    </w:p>
    <w:p>
      <w:pPr>
        <w:numPr>
          <w:ilvl w:val="0"/>
          <w:numId w:val="6"/>
        </w:numPr>
        <w:spacing w:line="360" w:lineRule="auto"/>
        <w:rPr>
          <w:rFonts w:hAnsi="宋体"/>
          <w:color w:val="auto"/>
          <w:sz w:val="24"/>
        </w:rPr>
      </w:pPr>
      <w:r>
        <w:rPr>
          <w:rFonts w:hint="eastAsia" w:hAnsi="宋体"/>
          <w:color w:val="auto"/>
          <w:sz w:val="24"/>
        </w:rPr>
        <w:t>改变磋商文件规定的暂定价格或不可竞争费用的；改变磋商文件规定的工期、误期违约金 、质量标准及质量违约金的；</w:t>
      </w:r>
    </w:p>
    <w:p>
      <w:pPr>
        <w:numPr>
          <w:ilvl w:val="0"/>
          <w:numId w:val="6"/>
        </w:numPr>
        <w:spacing w:line="360" w:lineRule="auto"/>
        <w:rPr>
          <w:rFonts w:hAnsi="宋体"/>
          <w:color w:val="auto"/>
          <w:sz w:val="24"/>
        </w:rPr>
      </w:pPr>
      <w:r>
        <w:rPr>
          <w:rFonts w:hint="eastAsia" w:hAnsi="宋体"/>
          <w:color w:val="auto"/>
          <w:sz w:val="24"/>
        </w:rPr>
        <w:t>技术标（暗标）中出现该投标人单位名称、简称、人员姓名、Logo、商标、电话号码等任何标识标记及其他暗示性标志的；</w:t>
      </w:r>
    </w:p>
    <w:p>
      <w:pPr>
        <w:numPr>
          <w:ilvl w:val="0"/>
          <w:numId w:val="6"/>
        </w:numPr>
        <w:spacing w:line="360" w:lineRule="auto"/>
        <w:rPr>
          <w:rFonts w:hAnsi="宋体"/>
          <w:color w:val="auto"/>
          <w:sz w:val="24"/>
        </w:rPr>
      </w:pPr>
      <w:r>
        <w:rPr>
          <w:rFonts w:hint="eastAsia" w:hAnsi="宋体"/>
          <w:color w:val="auto"/>
          <w:sz w:val="24"/>
        </w:rPr>
        <w:t>商务标（明标）和技术标（暗标，其中某一标被本项目评委确认为无效响应文件的；</w:t>
      </w:r>
    </w:p>
    <w:p>
      <w:pPr>
        <w:numPr>
          <w:ilvl w:val="0"/>
          <w:numId w:val="6"/>
        </w:numPr>
        <w:spacing w:line="360" w:lineRule="auto"/>
        <w:rPr>
          <w:rFonts w:hAnsi="宋体"/>
          <w:color w:val="auto"/>
          <w:sz w:val="24"/>
        </w:rPr>
      </w:pPr>
      <w:r>
        <w:rPr>
          <w:rFonts w:hint="eastAsia" w:hAnsi="宋体"/>
          <w:color w:val="auto"/>
          <w:sz w:val="24"/>
        </w:rPr>
        <w:t>改变磋商文件提供的采购清单中的清单编码、计量单位、工程数量、项目特征；</w:t>
      </w:r>
    </w:p>
    <w:p>
      <w:pPr>
        <w:numPr>
          <w:ilvl w:val="0"/>
          <w:numId w:val="6"/>
        </w:numPr>
        <w:spacing w:line="360" w:lineRule="auto"/>
        <w:rPr>
          <w:rFonts w:hAnsi="宋体"/>
          <w:color w:val="auto"/>
          <w:sz w:val="24"/>
        </w:rPr>
      </w:pPr>
      <w:r>
        <w:rPr>
          <w:rFonts w:hint="eastAsia" w:hAnsi="宋体"/>
          <w:color w:val="auto"/>
          <w:sz w:val="24"/>
        </w:rPr>
        <w:t>未按要求提供技术文件的；</w:t>
      </w:r>
    </w:p>
    <w:p>
      <w:pPr>
        <w:numPr>
          <w:ilvl w:val="0"/>
          <w:numId w:val="6"/>
        </w:numPr>
        <w:spacing w:line="360" w:lineRule="auto"/>
        <w:rPr>
          <w:rFonts w:hAnsi="宋体"/>
          <w:color w:val="auto"/>
          <w:sz w:val="24"/>
        </w:rPr>
      </w:pPr>
      <w:r>
        <w:rPr>
          <w:rFonts w:hint="eastAsia" w:hAnsi="宋体"/>
          <w:color w:val="auto"/>
          <w:sz w:val="24"/>
        </w:rPr>
        <w:t>未按要求提供电子版或电子版内容不全、格式不符要求的；</w:t>
      </w:r>
    </w:p>
    <w:p>
      <w:pPr>
        <w:numPr>
          <w:ilvl w:val="0"/>
          <w:numId w:val="6"/>
        </w:numPr>
        <w:spacing w:line="360" w:lineRule="auto"/>
        <w:rPr>
          <w:rFonts w:hAnsi="宋体"/>
          <w:color w:val="auto"/>
          <w:sz w:val="24"/>
        </w:rPr>
      </w:pPr>
      <w:r>
        <w:rPr>
          <w:rFonts w:hint="eastAsia" w:hAnsi="宋体"/>
          <w:color w:val="auto"/>
          <w:sz w:val="24"/>
        </w:rPr>
        <w:t>响应文件报价出现前后不一致，报价供应商拒不确认修正后的报价的；</w:t>
      </w:r>
    </w:p>
    <w:p>
      <w:pPr>
        <w:numPr>
          <w:ilvl w:val="0"/>
          <w:numId w:val="6"/>
        </w:numPr>
        <w:spacing w:line="360" w:lineRule="auto"/>
        <w:rPr>
          <w:rFonts w:hAnsi="宋体"/>
          <w:color w:val="auto"/>
          <w:sz w:val="24"/>
        </w:rPr>
      </w:pPr>
      <w:r>
        <w:rPr>
          <w:rFonts w:hint="eastAsia" w:hAnsi="宋体"/>
          <w:color w:val="auto"/>
          <w:sz w:val="24"/>
        </w:rPr>
        <w:t>超过磋商文件规定的最高限价的；</w:t>
      </w:r>
    </w:p>
    <w:p>
      <w:pPr>
        <w:numPr>
          <w:ilvl w:val="0"/>
          <w:numId w:val="6"/>
        </w:numPr>
        <w:spacing w:line="360" w:lineRule="auto"/>
        <w:rPr>
          <w:rFonts w:hAnsi="宋体"/>
          <w:color w:val="auto"/>
          <w:sz w:val="24"/>
        </w:rPr>
      </w:pPr>
      <w:r>
        <w:rPr>
          <w:rFonts w:hint="eastAsia" w:hAnsi="宋体"/>
          <w:color w:val="auto"/>
          <w:sz w:val="24"/>
        </w:rPr>
        <w:t>磋商小组认为报价供应商的报价明显低于其他通过符合性审查报价供应商的报价，有可能影响产品质量或者不能诚信履约的，要求其在评标现场合理的时间内提供书面说明，必要时提交相关证明材料；报价供应商不能证明其报价合理性的；</w:t>
      </w:r>
    </w:p>
    <w:p>
      <w:pPr>
        <w:numPr>
          <w:ilvl w:val="0"/>
          <w:numId w:val="6"/>
        </w:numPr>
        <w:spacing w:line="360" w:lineRule="auto"/>
        <w:rPr>
          <w:rFonts w:hAnsi="宋体"/>
          <w:color w:val="auto"/>
          <w:sz w:val="24"/>
        </w:rPr>
      </w:pPr>
      <w:r>
        <w:rPr>
          <w:rFonts w:hint="eastAsia" w:hAnsi="宋体"/>
          <w:color w:val="auto"/>
          <w:sz w:val="24"/>
        </w:rPr>
        <w:t>未通过初步资格性审查、响应文件资格性检查、 响应文件符合性检查的；</w:t>
      </w:r>
    </w:p>
    <w:p>
      <w:pPr>
        <w:numPr>
          <w:ilvl w:val="0"/>
          <w:numId w:val="6"/>
        </w:numPr>
        <w:spacing w:line="360" w:lineRule="auto"/>
        <w:rPr>
          <w:rFonts w:hAnsi="宋体"/>
          <w:color w:val="auto"/>
          <w:sz w:val="24"/>
        </w:rPr>
      </w:pPr>
      <w:r>
        <w:rPr>
          <w:rFonts w:hint="eastAsia" w:hAnsi="宋体"/>
          <w:color w:val="auto"/>
          <w:sz w:val="24"/>
        </w:rPr>
        <w:t>列入失信被执行人、重大税收违法案件当事人名单、政府采购严重违法失信行为记录名单及其他不符合《中华人民共和国政府采购法》第二十二条规定条件的；</w:t>
      </w:r>
    </w:p>
    <w:p>
      <w:pPr>
        <w:numPr>
          <w:ilvl w:val="0"/>
          <w:numId w:val="6"/>
        </w:numPr>
        <w:spacing w:line="360" w:lineRule="auto"/>
        <w:rPr>
          <w:rFonts w:hAnsi="宋体"/>
          <w:color w:val="auto"/>
          <w:sz w:val="24"/>
        </w:rPr>
      </w:pPr>
      <w:r>
        <w:rPr>
          <w:rFonts w:hint="eastAsia" w:hAnsi="宋体"/>
          <w:color w:val="auto"/>
          <w:sz w:val="24"/>
        </w:rPr>
        <w:t>技术文件编制粗制滥造、内容不全、缺项漏项较多的，或经磋商小组评审得分达不到技术标分值60%的；</w:t>
      </w:r>
    </w:p>
    <w:p>
      <w:pPr>
        <w:numPr>
          <w:ilvl w:val="0"/>
          <w:numId w:val="6"/>
        </w:numPr>
        <w:spacing w:line="360" w:lineRule="auto"/>
        <w:rPr>
          <w:rFonts w:hAnsi="宋体"/>
          <w:color w:val="auto"/>
          <w:sz w:val="24"/>
        </w:rPr>
      </w:pPr>
      <w:r>
        <w:rPr>
          <w:rFonts w:hint="eastAsia" w:hAnsi="宋体"/>
          <w:color w:val="auto"/>
          <w:sz w:val="24"/>
        </w:rPr>
        <w:t>报价供应商的报价畸高或畸低，在询标时没有合理的解释或者不能提供计算依据和报价依据的；</w:t>
      </w:r>
    </w:p>
    <w:p>
      <w:pPr>
        <w:numPr>
          <w:ilvl w:val="0"/>
          <w:numId w:val="6"/>
        </w:numPr>
        <w:spacing w:line="360" w:lineRule="auto"/>
        <w:rPr>
          <w:rFonts w:hAnsi="宋体"/>
          <w:color w:val="auto"/>
          <w:sz w:val="24"/>
        </w:rPr>
      </w:pPr>
      <w:r>
        <w:rPr>
          <w:rFonts w:hint="eastAsia" w:hAnsi="宋体"/>
          <w:color w:val="auto"/>
          <w:sz w:val="24"/>
        </w:rPr>
        <w:t>不同报价供应商的响应文件的装订形式、纸张情况、目录序号、排版格式、文字风格等存在明显的相似性或一致性，特征显示由同一单位或者同一个人编制的；</w:t>
      </w:r>
    </w:p>
    <w:p>
      <w:pPr>
        <w:numPr>
          <w:ilvl w:val="0"/>
          <w:numId w:val="6"/>
        </w:numPr>
        <w:spacing w:line="360" w:lineRule="auto"/>
        <w:rPr>
          <w:rFonts w:hAnsi="宋体"/>
          <w:color w:val="auto"/>
          <w:sz w:val="24"/>
        </w:rPr>
      </w:pPr>
      <w:r>
        <w:rPr>
          <w:rFonts w:hint="eastAsia" w:hAnsi="宋体"/>
          <w:color w:val="auto"/>
          <w:sz w:val="24"/>
        </w:rPr>
        <w:t>不同报价供应商响应文件内容存在非正常一致、项目组成员或者联系人员出现同一人、响应文件中错误（或异常）一致或雷同、电子文档信息一致或雷同的；</w:t>
      </w:r>
    </w:p>
    <w:p>
      <w:pPr>
        <w:numPr>
          <w:ilvl w:val="0"/>
          <w:numId w:val="6"/>
        </w:numPr>
        <w:spacing w:line="360" w:lineRule="auto"/>
        <w:rPr>
          <w:rFonts w:hAnsi="宋体"/>
          <w:color w:val="auto"/>
          <w:sz w:val="24"/>
        </w:rPr>
      </w:pPr>
      <w:r>
        <w:rPr>
          <w:rFonts w:hint="eastAsia" w:hAnsi="宋体"/>
          <w:color w:val="auto"/>
          <w:sz w:val="24"/>
        </w:rPr>
        <w:t>不同报价供应商的委托代理人以及其他相关人员有在同一个单位缴纳社会保险的；</w:t>
      </w:r>
    </w:p>
    <w:p>
      <w:pPr>
        <w:numPr>
          <w:ilvl w:val="0"/>
          <w:numId w:val="6"/>
        </w:numPr>
        <w:spacing w:line="360" w:lineRule="auto"/>
        <w:rPr>
          <w:rFonts w:hAnsi="宋体"/>
          <w:color w:val="auto"/>
          <w:sz w:val="24"/>
        </w:rPr>
      </w:pPr>
      <w:r>
        <w:rPr>
          <w:rFonts w:hint="eastAsia" w:hAnsi="宋体"/>
          <w:color w:val="auto"/>
          <w:sz w:val="24"/>
        </w:rPr>
        <w:t>同一响应文件中单位名称落款与公章不是同一单位的；</w:t>
      </w:r>
    </w:p>
    <w:p>
      <w:pPr>
        <w:numPr>
          <w:ilvl w:val="0"/>
          <w:numId w:val="6"/>
        </w:numPr>
        <w:spacing w:line="360" w:lineRule="auto"/>
        <w:rPr>
          <w:rFonts w:hAnsi="宋体"/>
          <w:color w:val="auto"/>
          <w:sz w:val="24"/>
        </w:rPr>
      </w:pPr>
      <w:r>
        <w:rPr>
          <w:rFonts w:hint="eastAsia" w:hAnsi="宋体"/>
          <w:color w:val="auto"/>
          <w:sz w:val="24"/>
        </w:rPr>
        <w:t>不同报价供应商委托同一单位或者个人办理报价事宜的；</w:t>
      </w:r>
    </w:p>
    <w:p>
      <w:pPr>
        <w:numPr>
          <w:ilvl w:val="0"/>
          <w:numId w:val="6"/>
        </w:numPr>
        <w:spacing w:line="360" w:lineRule="auto"/>
        <w:rPr>
          <w:rFonts w:hAnsi="宋体"/>
          <w:bCs/>
          <w:color w:val="auto"/>
          <w:sz w:val="24"/>
          <w:szCs w:val="24"/>
        </w:rPr>
      </w:pPr>
      <w:r>
        <w:rPr>
          <w:rFonts w:hint="eastAsia" w:hAnsi="宋体"/>
          <w:color w:val="auto"/>
          <w:sz w:val="24"/>
        </w:rPr>
        <w:t>响应文件内容不全或不符合法律法规和磋商文件中规定的其他实质性要求的。</w:t>
      </w:r>
    </w:p>
    <w:p>
      <w:pPr>
        <w:spacing w:line="360" w:lineRule="auto"/>
        <w:ind w:firstLine="360" w:firstLineChars="150"/>
        <w:outlineLvl w:val="0"/>
        <w:rPr>
          <w:rFonts w:hAnsi="宋体" w:cs="宋体"/>
          <w:bCs/>
          <w:color w:val="auto"/>
          <w:sz w:val="24"/>
        </w:rPr>
      </w:pPr>
      <w:r>
        <w:rPr>
          <w:rFonts w:hint="eastAsia" w:hAnsi="宋体" w:cs="宋体"/>
          <w:bCs/>
          <w:color w:val="auto"/>
          <w:sz w:val="24"/>
        </w:rPr>
        <w:t>（八）磋商</w:t>
      </w:r>
      <w:r>
        <w:rPr>
          <w:rFonts w:hint="eastAsia" w:hAnsi="宋体" w:cs="宋体"/>
          <w:color w:val="auto"/>
          <w:sz w:val="24"/>
        </w:rPr>
        <w:t>、评审</w:t>
      </w:r>
      <w:r>
        <w:rPr>
          <w:rFonts w:hint="eastAsia" w:hAnsi="宋体" w:cs="宋体"/>
          <w:bCs/>
          <w:color w:val="auto"/>
          <w:sz w:val="24"/>
        </w:rPr>
        <w:t>：</w:t>
      </w:r>
    </w:p>
    <w:p>
      <w:pPr>
        <w:numPr>
          <w:ilvl w:val="1"/>
          <w:numId w:val="7"/>
        </w:numPr>
        <w:tabs>
          <w:tab w:val="left" w:pos="525"/>
          <w:tab w:val="left" w:pos="1050"/>
          <w:tab w:val="clear" w:pos="1290"/>
        </w:tabs>
        <w:spacing w:line="360" w:lineRule="auto"/>
        <w:ind w:left="1" w:firstLine="628" w:firstLineChars="262"/>
        <w:rPr>
          <w:rFonts w:hAnsi="宋体"/>
          <w:bCs/>
          <w:color w:val="auto"/>
          <w:sz w:val="24"/>
        </w:rPr>
      </w:pPr>
      <w:r>
        <w:rPr>
          <w:rFonts w:hint="eastAsia" w:hAnsi="宋体"/>
          <w:bCs/>
          <w:color w:val="auto"/>
          <w:sz w:val="24"/>
        </w:rPr>
        <w:t>由专家及采购人代表组成磋商小组，并实行回避制度。</w:t>
      </w:r>
    </w:p>
    <w:p>
      <w:pPr>
        <w:numPr>
          <w:ilvl w:val="1"/>
          <w:numId w:val="7"/>
        </w:numPr>
        <w:tabs>
          <w:tab w:val="left" w:pos="525"/>
          <w:tab w:val="left" w:pos="1050"/>
          <w:tab w:val="clear" w:pos="1290"/>
        </w:tabs>
        <w:spacing w:line="360" w:lineRule="auto"/>
        <w:ind w:left="1" w:firstLine="628" w:firstLineChars="262"/>
        <w:rPr>
          <w:rFonts w:hAnsi="宋体"/>
          <w:bCs/>
          <w:color w:val="auto"/>
          <w:sz w:val="24"/>
        </w:rPr>
      </w:pPr>
      <w:r>
        <w:rPr>
          <w:rFonts w:hint="eastAsia" w:hAnsi="宋体"/>
          <w:bCs/>
          <w:color w:val="auto"/>
          <w:sz w:val="24"/>
        </w:rPr>
        <w:t>响应文件的评审依据：</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2.1响应文件的纸质文件,正本与副本不符，以正本为准；</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2.2响应文件报价出现前后不一致的，除磋商文件另有规定外，按照下列规定修正：</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2.2.1响应文件中报价一览表（报价表）内容与响应文件中相应内容不一致的，以报价一览表（报价表）为准；</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2.2.2大写金额和小写金额不一致的，以大写金额为准；</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2.2.3商务标和技术标的纸质文件,正本与副本不符，以正本为准。</w:t>
      </w:r>
    </w:p>
    <w:p>
      <w:pPr>
        <w:tabs>
          <w:tab w:val="left" w:pos="630"/>
          <w:tab w:val="left" w:pos="1155"/>
          <w:tab w:val="left" w:pos="1320"/>
          <w:tab w:val="left" w:pos="1365"/>
        </w:tabs>
        <w:spacing w:line="360" w:lineRule="auto"/>
        <w:ind w:left="630"/>
        <w:rPr>
          <w:rFonts w:hAnsi="宋体"/>
          <w:bCs/>
          <w:color w:val="auto"/>
          <w:sz w:val="24"/>
        </w:rPr>
      </w:pPr>
      <w:r>
        <w:rPr>
          <w:rFonts w:hint="eastAsia" w:hAnsi="宋体"/>
          <w:bCs/>
          <w:color w:val="auto"/>
          <w:sz w:val="24"/>
        </w:rPr>
        <w:t>2.2.4单价金额小数点或者百分比有明显错位的，以报价一览表的总价为准，并修改单价；</w:t>
      </w:r>
    </w:p>
    <w:p>
      <w:pPr>
        <w:tabs>
          <w:tab w:val="left" w:pos="0"/>
          <w:tab w:val="left" w:pos="180"/>
          <w:tab w:val="left" w:pos="1155"/>
          <w:tab w:val="left" w:pos="1320"/>
          <w:tab w:val="left" w:pos="1365"/>
        </w:tabs>
        <w:spacing w:line="360" w:lineRule="auto"/>
        <w:ind w:firstLine="600" w:firstLineChars="250"/>
        <w:rPr>
          <w:rFonts w:hAnsi="宋体"/>
          <w:b/>
          <w:color w:val="auto"/>
          <w:sz w:val="24"/>
        </w:rPr>
      </w:pPr>
      <w:r>
        <w:rPr>
          <w:rFonts w:hint="eastAsia" w:hAnsi="宋体"/>
          <w:bCs/>
          <w:color w:val="auto"/>
          <w:sz w:val="24"/>
        </w:rPr>
        <w:t>2.2.5总价金额与按单价汇总金额不一致的，以单价金额计算结果为准。</w:t>
      </w:r>
      <w:r>
        <w:rPr>
          <w:rFonts w:hint="eastAsia" w:hAnsi="宋体"/>
          <w:b/>
          <w:color w:val="auto"/>
          <w:sz w:val="24"/>
        </w:rPr>
        <w:t>　</w:t>
      </w:r>
    </w:p>
    <w:p>
      <w:pPr>
        <w:tabs>
          <w:tab w:val="left" w:pos="0"/>
          <w:tab w:val="left" w:pos="180"/>
          <w:tab w:val="left" w:pos="1155"/>
          <w:tab w:val="left" w:pos="1320"/>
          <w:tab w:val="left" w:pos="1365"/>
        </w:tabs>
        <w:spacing w:line="360" w:lineRule="auto"/>
        <w:ind w:firstLine="600" w:firstLineChars="250"/>
        <w:rPr>
          <w:rFonts w:hAnsi="宋体" w:cs="宋体"/>
          <w:color w:val="auto"/>
          <w:sz w:val="24"/>
          <w:szCs w:val="28"/>
        </w:rPr>
      </w:pPr>
      <w:r>
        <w:rPr>
          <w:rFonts w:hint="eastAsia" w:hAnsi="宋体" w:cs="宋体"/>
          <w:color w:val="auto"/>
          <w:sz w:val="24"/>
          <w:szCs w:val="28"/>
        </w:rPr>
        <w:t>3.磋商开始工作程序</w:t>
      </w:r>
    </w:p>
    <w:p>
      <w:pPr>
        <w:tabs>
          <w:tab w:val="left" w:pos="0"/>
          <w:tab w:val="left" w:pos="180"/>
          <w:tab w:val="left" w:pos="1155"/>
          <w:tab w:val="left" w:pos="1320"/>
          <w:tab w:val="left" w:pos="1365"/>
        </w:tabs>
        <w:spacing w:line="360" w:lineRule="auto"/>
        <w:ind w:firstLine="600" w:firstLineChars="250"/>
        <w:rPr>
          <w:rFonts w:hAnsi="宋体" w:cs="宋体"/>
          <w:color w:val="auto"/>
          <w:sz w:val="24"/>
          <w:szCs w:val="28"/>
        </w:rPr>
      </w:pPr>
      <w:r>
        <w:rPr>
          <w:rFonts w:hint="eastAsia" w:hAnsi="宋体" w:cs="宋体"/>
          <w:color w:val="auto"/>
          <w:sz w:val="24"/>
          <w:szCs w:val="28"/>
        </w:rPr>
        <w:t>3.1 密封性审查：</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由供应商或其推选的代表检查响应文件的密封、签署、盖章情况，也可以由公证人员检查并公证；</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3.2初步资格性审查：</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由工作人员在公证或监督下，按照供应商签到时间顺序进行。审查内容有：</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3.2.1 供应商的响应文件是否规定的期限、地点送达；</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3.2.2 供应商的法定代表人或负责人或授权代表是否准时参加磋商会议；</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3.2.2 供应商的法定代表人授权代表是否提供有效的身份证明和法定代表人授权委托书</w:t>
      </w:r>
      <w:r>
        <w:rPr>
          <w:rFonts w:hint="eastAsia" w:hAnsi="宋体"/>
          <w:b/>
          <w:color w:val="auto"/>
          <w:sz w:val="24"/>
        </w:rPr>
        <w:t>（必须单独出具授权委托书原件，不另行拆封原件资料和响应文件</w:t>
      </w:r>
      <w:r>
        <w:rPr>
          <w:rFonts w:hint="eastAsia" w:hAnsi="宋体"/>
          <w:b/>
          <w:bCs/>
          <w:color w:val="auto"/>
          <w:sz w:val="24"/>
        </w:rPr>
        <w:t>，</w:t>
      </w:r>
      <w:r>
        <w:rPr>
          <w:rFonts w:hint="eastAsia" w:hAnsi="宋体"/>
          <w:b/>
          <w:color w:val="auto"/>
          <w:sz w:val="24"/>
        </w:rPr>
        <w:t>否则视作无效响应文件）</w:t>
      </w:r>
      <w:r>
        <w:rPr>
          <w:rFonts w:hint="eastAsia" w:hAnsi="宋体" w:cs="宋体"/>
          <w:color w:val="auto"/>
          <w:sz w:val="24"/>
          <w:szCs w:val="28"/>
        </w:rPr>
        <w:t>。</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工作人员将审查内容进行记录，由各供应商授权代表（或法定代表人）签字确定，并存档备查。</w:t>
      </w:r>
    </w:p>
    <w:p>
      <w:pPr>
        <w:tabs>
          <w:tab w:val="left" w:pos="840"/>
          <w:tab w:val="left" w:pos="1050"/>
        </w:tabs>
        <w:spacing w:line="360" w:lineRule="auto"/>
        <w:ind w:firstLine="628" w:firstLineChars="262"/>
        <w:rPr>
          <w:rFonts w:hAnsi="宋体" w:cs="宋体"/>
          <w:color w:val="auto"/>
          <w:sz w:val="24"/>
          <w:szCs w:val="28"/>
        </w:rPr>
      </w:pPr>
      <w:r>
        <w:rPr>
          <w:rFonts w:hint="eastAsia" w:hAnsi="宋体" w:cs="宋体"/>
          <w:color w:val="auto"/>
          <w:sz w:val="24"/>
          <w:szCs w:val="28"/>
        </w:rPr>
        <w:t>3.3经初步资格性审查确认无误后的响应文件，由工作人员对各供应商递交的响应文件“报价一览表（初次）”进行记录，初次报价保密，不对其他供应商公开。</w:t>
      </w:r>
    </w:p>
    <w:p>
      <w:pPr>
        <w:tabs>
          <w:tab w:val="left" w:pos="525"/>
        </w:tabs>
        <w:spacing w:line="360" w:lineRule="auto"/>
        <w:ind w:firstLine="600" w:firstLineChars="250"/>
        <w:rPr>
          <w:rFonts w:hAnsi="宋体" w:cs="宋体"/>
          <w:color w:val="auto"/>
          <w:sz w:val="24"/>
        </w:rPr>
      </w:pPr>
      <w:r>
        <w:rPr>
          <w:rFonts w:hint="eastAsia" w:hAnsi="宋体" w:cs="宋体"/>
          <w:color w:val="auto"/>
          <w:sz w:val="24"/>
          <w:szCs w:val="28"/>
        </w:rPr>
        <w:t>3.4</w:t>
      </w:r>
      <w:r>
        <w:rPr>
          <w:rFonts w:hint="eastAsia" w:hAnsi="宋体" w:cs="宋体"/>
          <w:color w:val="auto"/>
          <w:sz w:val="24"/>
        </w:rPr>
        <w:t>信用信息查询</w:t>
      </w:r>
    </w:p>
    <w:p>
      <w:pPr>
        <w:tabs>
          <w:tab w:val="left" w:pos="525"/>
        </w:tabs>
        <w:spacing w:line="360" w:lineRule="auto"/>
        <w:ind w:firstLine="600" w:firstLineChars="250"/>
        <w:rPr>
          <w:rFonts w:hAnsi="宋体" w:cs="宋体"/>
          <w:color w:val="auto"/>
          <w:sz w:val="24"/>
        </w:rPr>
      </w:pPr>
      <w:r>
        <w:rPr>
          <w:rFonts w:hint="eastAsia" w:hAnsi="宋体" w:cs="宋体"/>
          <w:color w:val="auto"/>
          <w:sz w:val="24"/>
        </w:rPr>
        <w:t>采购人或采购代理机构在磋商前通过“信用中国”网站(www.creditchina.gov.cn)、中国政府采购网(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hAnsi="宋体" w:cs="宋体"/>
          <w:color w:val="auto"/>
          <w:sz w:val="24"/>
        </w:rPr>
        <w:t>www.ccgp.gov.cn</w:t>
      </w:r>
      <w:r>
        <w:rPr>
          <w:rFonts w:hint="eastAsia" w:hAnsi="宋体" w:cs="宋体"/>
          <w:color w:val="auto"/>
          <w:sz w:val="24"/>
        </w:rPr>
        <w:fldChar w:fldCharType="end"/>
      </w:r>
      <w:r>
        <w:rPr>
          <w:rFonts w:hint="eastAsia" w:hAnsi="宋体" w:cs="宋体"/>
          <w:color w:val="auto"/>
          <w:sz w:val="24"/>
        </w:rPr>
        <w:t>)、“信用中国（江苏）”网站（www.jscredit.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tabs>
          <w:tab w:val="left" w:pos="840"/>
          <w:tab w:val="left" w:pos="1050"/>
        </w:tabs>
        <w:spacing w:line="360" w:lineRule="auto"/>
        <w:ind w:left="630"/>
        <w:rPr>
          <w:rFonts w:hAnsi="宋体" w:cs="宋体"/>
          <w:color w:val="auto"/>
          <w:sz w:val="24"/>
          <w:szCs w:val="28"/>
        </w:rPr>
      </w:pPr>
      <w:r>
        <w:rPr>
          <w:rFonts w:hint="eastAsia" w:hAnsi="宋体" w:cs="宋体"/>
          <w:color w:val="auto"/>
          <w:sz w:val="24"/>
          <w:szCs w:val="28"/>
        </w:rPr>
        <w:t>4.评审工作程序：</w:t>
      </w:r>
    </w:p>
    <w:p>
      <w:pPr>
        <w:tabs>
          <w:tab w:val="left" w:pos="1365"/>
        </w:tabs>
        <w:spacing w:line="360" w:lineRule="auto"/>
        <w:ind w:firstLine="600" w:firstLineChars="250"/>
        <w:rPr>
          <w:rFonts w:hAnsi="宋体" w:cs="宋体"/>
          <w:color w:val="auto"/>
          <w:sz w:val="24"/>
          <w:szCs w:val="28"/>
        </w:rPr>
      </w:pPr>
      <w:r>
        <w:rPr>
          <w:rFonts w:hint="eastAsia" w:hAnsi="宋体" w:cs="宋体"/>
          <w:color w:val="auto"/>
          <w:sz w:val="24"/>
          <w:szCs w:val="28"/>
        </w:rPr>
        <w:t>4.1磋商小组对响应文件的有效性、完整性和响应程度进行检查。</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4.1.1磋商小组依据法律法规和磋商文件的规定，对响应文件中的资格证明等进行审查，以确定供应商提供资格证明的合法性、真实性，是否具备磋商资格。</w:t>
      </w:r>
    </w:p>
    <w:p>
      <w:pPr>
        <w:tabs>
          <w:tab w:val="left" w:pos="1365"/>
        </w:tabs>
        <w:spacing w:line="360" w:lineRule="auto"/>
        <w:ind w:firstLine="600" w:firstLineChars="250"/>
        <w:rPr>
          <w:rFonts w:hAnsi="宋体" w:cs="宋体"/>
          <w:color w:val="auto"/>
          <w:sz w:val="24"/>
          <w:szCs w:val="28"/>
        </w:rPr>
      </w:pPr>
      <w:r>
        <w:rPr>
          <w:rFonts w:hint="eastAsia" w:hAnsi="宋体" w:cs="宋体"/>
          <w:color w:val="auto"/>
          <w:sz w:val="24"/>
          <w:szCs w:val="28"/>
        </w:rPr>
        <w:t>4.1.2对意见难以统一或出现争议的事项，磋商小组按照少数服从多数的原则，全体成员进行表决。</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4.1.3磋商小组对响应文件的有效性、完整性和对磋商文件要求的符合性进行审查，以确定是否对磋商文件的实质性要求做出响应。</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4.1.5磋商小组要求供应商澄清、说明或者更正响应文件应当以书面形式作出。供应商的澄清、说明或者更正应当由法定代表人或其授权代表签字或者加盖公章。由授权代表签字的，应当附法定代表人授权书。</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4.1.6</w:t>
      </w:r>
      <w:r>
        <w:rPr>
          <w:rFonts w:hint="eastAsia" w:hAnsi="宋体" w:cs="宋体"/>
          <w:b/>
          <w:bCs/>
          <w:color w:val="auto"/>
          <w:sz w:val="24"/>
          <w:szCs w:val="28"/>
        </w:rPr>
        <w:t>磋商小组所有成员应当按照签到时间顺序的逆序集中与单一供应商分别进行磋商，并给予所有参加磋商的供应商平等的磋商机会。</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4.1.7在磋商过程中，磋商小组可以根据磋商文件和磋商情况实质性变动采购需求中的技术、服务要求以及合同草案条款，但不得变动磋商文件中的其他内容。实质性变动的内容，须经采购人代表确认。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对磋商文件作出的实质性变动是磋商文件的有效组成部分，磋商小组应当及时以书面形式同时通知所有参加磋商的供应商。</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525"/>
        </w:tabs>
        <w:spacing w:line="360" w:lineRule="auto"/>
        <w:ind w:firstLine="600" w:firstLineChars="250"/>
        <w:rPr>
          <w:rFonts w:hAnsi="宋体" w:cs="宋体"/>
          <w:bCs/>
          <w:color w:val="auto"/>
          <w:sz w:val="24"/>
          <w:szCs w:val="28"/>
        </w:rPr>
      </w:pPr>
      <w:r>
        <w:rPr>
          <w:rFonts w:hint="eastAsia" w:hAnsi="宋体" w:cs="宋体"/>
          <w:bCs/>
          <w:color w:val="auto"/>
          <w:sz w:val="24"/>
          <w:szCs w:val="28"/>
        </w:rPr>
        <w:t>4.1.8磋商结束后，磋商小组应当要求所有实质性响应的供应商在规定时间内提交最后报价，提交最后报价的供应商为3家。最后报价是供应商响应文件的有效组成部分。</w:t>
      </w:r>
    </w:p>
    <w:p>
      <w:pPr>
        <w:tabs>
          <w:tab w:val="left" w:pos="525"/>
        </w:tabs>
        <w:spacing w:line="360" w:lineRule="auto"/>
        <w:ind w:firstLine="600" w:firstLineChars="250"/>
        <w:rPr>
          <w:rFonts w:hAnsi="宋体" w:cs="宋体"/>
          <w:color w:val="auto"/>
          <w:sz w:val="24"/>
          <w:szCs w:val="28"/>
        </w:rPr>
      </w:pPr>
      <w:r>
        <w:rPr>
          <w:rFonts w:hint="eastAsia" w:hAnsi="宋体" w:cs="宋体"/>
          <w:color w:val="auto"/>
          <w:sz w:val="24"/>
          <w:szCs w:val="28"/>
        </w:rPr>
        <w:t>4.1.9经磋商确定最终采购需求和提交最后报价的供应商后，由磋商小组采用综合评分法对提交最后报价的供应商的响应文件和最后报价进行综合评分。</w:t>
      </w:r>
    </w:p>
    <w:p>
      <w:pPr>
        <w:tabs>
          <w:tab w:val="left" w:pos="1365"/>
        </w:tabs>
        <w:spacing w:line="360" w:lineRule="auto"/>
        <w:ind w:firstLine="600" w:firstLineChars="250"/>
        <w:rPr>
          <w:rFonts w:hAnsi="宋体" w:cs="宋体"/>
          <w:color w:val="auto"/>
          <w:sz w:val="24"/>
          <w:szCs w:val="28"/>
        </w:rPr>
      </w:pPr>
      <w:r>
        <w:rPr>
          <w:rFonts w:hint="eastAsia" w:hAnsi="宋体" w:cs="宋体"/>
          <w:bCs/>
          <w:color w:val="auto"/>
          <w:sz w:val="24"/>
        </w:rPr>
        <w:t>关于磋商报价：响应文件里的报价作为第一轮报价，然后进行第二轮报价，磋商小组根据实际情况看是否需要进行第三轮报价等等，以供应商的最后一轮报价作为最终报价，</w:t>
      </w:r>
      <w:r>
        <w:rPr>
          <w:rFonts w:hint="eastAsia" w:hAnsi="宋体"/>
          <w:b/>
          <w:color w:val="auto"/>
          <w:sz w:val="24"/>
          <w:szCs w:val="22"/>
        </w:rPr>
        <w:t>相应的采购清单子目单价，进行同比例调整。</w:t>
      </w:r>
    </w:p>
    <w:p>
      <w:pPr>
        <w:tabs>
          <w:tab w:val="left" w:pos="1365"/>
        </w:tabs>
        <w:spacing w:line="360" w:lineRule="auto"/>
        <w:ind w:firstLine="600" w:firstLineChars="250"/>
        <w:rPr>
          <w:rFonts w:hAnsi="宋体" w:cs="宋体"/>
          <w:color w:val="auto"/>
          <w:sz w:val="24"/>
          <w:szCs w:val="28"/>
        </w:rPr>
      </w:pPr>
      <w:r>
        <w:rPr>
          <w:rFonts w:hint="eastAsia" w:hAnsi="宋体" w:cs="宋体"/>
          <w:color w:val="auto"/>
          <w:sz w:val="24"/>
          <w:szCs w:val="28"/>
        </w:rPr>
        <w:t>4.2 比较与评价</w:t>
      </w:r>
    </w:p>
    <w:p>
      <w:pPr>
        <w:tabs>
          <w:tab w:val="left" w:pos="1365"/>
        </w:tabs>
        <w:spacing w:line="360" w:lineRule="auto"/>
        <w:ind w:firstLine="480" w:firstLineChars="200"/>
        <w:rPr>
          <w:rFonts w:hAnsi="宋体" w:cs="宋体"/>
          <w:color w:val="auto"/>
          <w:sz w:val="24"/>
          <w:szCs w:val="28"/>
        </w:rPr>
      </w:pPr>
      <w:r>
        <w:rPr>
          <w:rFonts w:hint="eastAsia" w:hAnsi="宋体" w:cs="宋体"/>
          <w:color w:val="auto"/>
          <w:sz w:val="24"/>
          <w:szCs w:val="28"/>
        </w:rPr>
        <w:t>4.2.1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供应商的评审方法。</w:t>
      </w:r>
    </w:p>
    <w:p>
      <w:pPr>
        <w:tabs>
          <w:tab w:val="left" w:pos="1365"/>
        </w:tabs>
        <w:spacing w:line="360" w:lineRule="auto"/>
        <w:ind w:firstLine="480" w:firstLineChars="200"/>
        <w:rPr>
          <w:rFonts w:hAnsi="宋体" w:cs="宋体"/>
          <w:color w:val="auto"/>
          <w:sz w:val="24"/>
          <w:szCs w:val="28"/>
        </w:rPr>
      </w:pPr>
      <w:r>
        <w:rPr>
          <w:rFonts w:hint="eastAsia" w:hAnsi="宋体" w:cs="宋体"/>
          <w:color w:val="auto"/>
          <w:sz w:val="24"/>
          <w:szCs w:val="28"/>
        </w:rPr>
        <w:t>4.2.2磋商小组各成员独立对每个有效响应的文件进行评价、打分，然后汇总每个供应商每项评分因素的得分。</w:t>
      </w:r>
    </w:p>
    <w:p>
      <w:pPr>
        <w:tabs>
          <w:tab w:val="left" w:pos="1365"/>
        </w:tabs>
        <w:spacing w:line="360" w:lineRule="auto"/>
        <w:ind w:firstLine="480" w:firstLineChars="200"/>
        <w:rPr>
          <w:rFonts w:hAnsi="宋体" w:cs="宋体"/>
          <w:color w:val="auto"/>
          <w:sz w:val="24"/>
          <w:szCs w:val="28"/>
        </w:rPr>
      </w:pPr>
      <w:r>
        <w:rPr>
          <w:rFonts w:hint="eastAsia" w:hAnsi="宋体" w:cs="宋体"/>
          <w:color w:val="auto"/>
          <w:sz w:val="24"/>
          <w:szCs w:val="28"/>
        </w:rPr>
        <w:t>4.2.3评审全部结束后，由工作人员在公证或监督下，在评标室当场核对、汇总各供应商得分，确定各供应商总分和最终排序。</w:t>
      </w:r>
    </w:p>
    <w:p>
      <w:pPr>
        <w:spacing w:line="360" w:lineRule="auto"/>
        <w:ind w:firstLine="480" w:firstLineChars="200"/>
        <w:rPr>
          <w:rFonts w:hAnsi="宋体" w:cs="宋体"/>
          <w:color w:val="auto"/>
          <w:sz w:val="24"/>
        </w:rPr>
      </w:pPr>
      <w:r>
        <w:rPr>
          <w:rFonts w:hint="eastAsia" w:hAnsi="宋体" w:cs="宋体"/>
          <w:color w:val="auto"/>
          <w:sz w:val="24"/>
          <w:szCs w:val="28"/>
        </w:rPr>
        <w:t>4.2.4磋商小组应当根据综合评分情况，按照评审得分，由高到低顺序推荐三名以上成交候选供应商，并编写评审报告，评审得分相同的，按照最后报价由低到高的顺序推荐。评审得分且最后报价相同的，按照技术指标优劣顺序推荐</w:t>
      </w:r>
      <w:r>
        <w:rPr>
          <w:rFonts w:hint="eastAsia" w:hAnsi="宋体" w:cs="宋体"/>
          <w:bCs/>
          <w:color w:val="auto"/>
          <w:sz w:val="24"/>
        </w:rPr>
        <w:t>。</w:t>
      </w:r>
    </w:p>
    <w:p>
      <w:pPr>
        <w:tabs>
          <w:tab w:val="left" w:pos="525"/>
          <w:tab w:val="left" w:pos="945"/>
        </w:tabs>
        <w:spacing w:line="360" w:lineRule="auto"/>
        <w:ind w:left="741" w:leftChars="218"/>
        <w:rPr>
          <w:rFonts w:hAnsi="宋体" w:cs="宋体"/>
          <w:bCs/>
          <w:color w:val="auto"/>
          <w:sz w:val="24"/>
          <w:szCs w:val="24"/>
        </w:rPr>
      </w:pPr>
      <w:r>
        <w:rPr>
          <w:rFonts w:hint="eastAsia" w:hAnsi="宋体" w:cs="宋体"/>
          <w:bCs/>
          <w:color w:val="auto"/>
          <w:sz w:val="24"/>
          <w:szCs w:val="24"/>
        </w:rPr>
        <w:t>5.评分标准</w:t>
      </w:r>
    </w:p>
    <w:p>
      <w:pPr>
        <w:tabs>
          <w:tab w:val="left" w:pos="525"/>
          <w:tab w:val="left" w:pos="945"/>
        </w:tabs>
        <w:spacing w:line="360" w:lineRule="auto"/>
        <w:ind w:firstLine="480" w:firstLineChars="200"/>
        <w:rPr>
          <w:rFonts w:hAnsi="宋体" w:cs="宋体"/>
          <w:color w:val="auto"/>
          <w:sz w:val="24"/>
          <w:szCs w:val="28"/>
        </w:rPr>
      </w:pPr>
      <w:r>
        <w:rPr>
          <w:rFonts w:hint="eastAsia" w:hAnsi="宋体" w:cs="宋体"/>
          <w:color w:val="auto"/>
          <w:sz w:val="24"/>
          <w:szCs w:val="28"/>
        </w:rPr>
        <w:t>对通过符合性审查、商务及技术评审和报价评审的投标供应商，采用综合计分的办法进行评分。</w:t>
      </w:r>
    </w:p>
    <w:p>
      <w:pPr>
        <w:tabs>
          <w:tab w:val="left" w:pos="525"/>
          <w:tab w:val="left" w:pos="945"/>
        </w:tabs>
        <w:spacing w:line="360" w:lineRule="auto"/>
        <w:ind w:firstLine="480" w:firstLineChars="200"/>
        <w:rPr>
          <w:rFonts w:hAnsi="宋体" w:cs="宋体"/>
          <w:bCs/>
          <w:color w:val="auto"/>
          <w:sz w:val="24"/>
          <w:szCs w:val="24"/>
        </w:rPr>
      </w:pPr>
      <w:r>
        <w:rPr>
          <w:rFonts w:hint="eastAsia" w:hAnsi="宋体"/>
          <w:color w:val="auto"/>
          <w:sz w:val="24"/>
          <w:szCs w:val="22"/>
        </w:rPr>
        <w:t>磋商小组遵循公平、公正、择优原则，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响应文件满足磋商文件全部实质性要求且按评审因素的量化指标评审得分最高的报价供应商排名第一，为成交单位。若评审得分相同的，按最后报价由低到高顺序排列；评审得分且最后报价相同的，按技术指标优劣顺序排列。</w:t>
      </w:r>
      <w:r>
        <w:rPr>
          <w:rFonts w:hint="eastAsia" w:hAnsi="宋体" w:cs="宋体"/>
          <w:color w:val="auto"/>
          <w:sz w:val="24"/>
          <w:szCs w:val="28"/>
        </w:rPr>
        <w:t>标准具体如下：</w:t>
      </w:r>
    </w:p>
    <w:p>
      <w:pPr>
        <w:wordWrap w:val="0"/>
        <w:spacing w:line="360" w:lineRule="auto"/>
        <w:ind w:firstLine="482" w:firstLineChars="200"/>
        <w:jc w:val="left"/>
        <w:rPr>
          <w:rFonts w:hAnsi="宋体"/>
          <w:b/>
          <w:color w:val="auto"/>
          <w:sz w:val="24"/>
        </w:rPr>
      </w:pPr>
      <w:r>
        <w:rPr>
          <w:rFonts w:hint="eastAsia" w:hAnsi="宋体"/>
          <w:b/>
          <w:color w:val="auto"/>
          <w:sz w:val="24"/>
        </w:rPr>
        <w:t>（一)评分项目及总分（总分102分）</w:t>
      </w:r>
    </w:p>
    <w:p>
      <w:pPr>
        <w:wordWrap w:val="0"/>
        <w:spacing w:line="360" w:lineRule="auto"/>
        <w:ind w:firstLine="482" w:firstLineChars="200"/>
        <w:jc w:val="left"/>
        <w:rPr>
          <w:rFonts w:hAnsi="宋体"/>
          <w:b/>
          <w:color w:val="auto"/>
          <w:sz w:val="24"/>
        </w:rPr>
      </w:pPr>
      <w:r>
        <w:rPr>
          <w:rFonts w:hint="eastAsia" w:hAnsi="宋体"/>
          <w:b/>
          <w:color w:val="auto"/>
          <w:sz w:val="24"/>
        </w:rPr>
        <w:t>（1）报价                                 30分</w:t>
      </w:r>
    </w:p>
    <w:p>
      <w:pPr>
        <w:wordWrap w:val="0"/>
        <w:spacing w:line="360" w:lineRule="auto"/>
        <w:ind w:firstLine="482" w:firstLineChars="200"/>
        <w:jc w:val="left"/>
        <w:rPr>
          <w:rFonts w:hAnsi="宋体"/>
          <w:b/>
          <w:color w:val="auto"/>
          <w:sz w:val="24"/>
        </w:rPr>
      </w:pPr>
      <w:r>
        <w:rPr>
          <w:rFonts w:hint="eastAsia" w:hAnsi="宋体"/>
          <w:b/>
          <w:color w:val="auto"/>
          <w:sz w:val="24"/>
        </w:rPr>
        <w:t>（2）</w:t>
      </w:r>
      <w:r>
        <w:rPr>
          <w:rFonts w:hint="eastAsia" w:hAnsi="宋体"/>
          <w:b/>
          <w:color w:val="auto"/>
          <w:sz w:val="24"/>
          <w:szCs w:val="22"/>
        </w:rPr>
        <w:t xml:space="preserve">报价供应商评价                       </w:t>
      </w:r>
      <w:r>
        <w:rPr>
          <w:rFonts w:hint="eastAsia" w:hAnsi="宋体"/>
          <w:b/>
          <w:color w:val="auto"/>
          <w:sz w:val="24"/>
        </w:rPr>
        <w:t>18分</w:t>
      </w:r>
    </w:p>
    <w:p>
      <w:pPr>
        <w:wordWrap w:val="0"/>
        <w:spacing w:line="360" w:lineRule="auto"/>
        <w:ind w:firstLine="482" w:firstLineChars="200"/>
        <w:jc w:val="left"/>
        <w:rPr>
          <w:rFonts w:hAnsi="宋体"/>
          <w:b/>
          <w:color w:val="auto"/>
          <w:sz w:val="24"/>
        </w:rPr>
      </w:pPr>
      <w:r>
        <w:rPr>
          <w:rFonts w:hint="eastAsia" w:hAnsi="宋体"/>
          <w:b/>
          <w:bCs/>
          <w:color w:val="auto"/>
          <w:sz w:val="24"/>
        </w:rPr>
        <w:t>（3）</w:t>
      </w:r>
      <w:r>
        <w:rPr>
          <w:rFonts w:hint="eastAsia" w:hAnsi="宋体"/>
          <w:b/>
          <w:color w:val="auto"/>
          <w:sz w:val="24"/>
        </w:rPr>
        <w:t>技术方案                             52分</w:t>
      </w:r>
    </w:p>
    <w:p>
      <w:pPr>
        <w:wordWrap w:val="0"/>
        <w:spacing w:line="360" w:lineRule="auto"/>
        <w:ind w:firstLine="482" w:firstLineChars="200"/>
        <w:jc w:val="left"/>
        <w:rPr>
          <w:rFonts w:hAnsi="宋体"/>
          <w:b/>
          <w:color w:val="auto"/>
          <w:sz w:val="24"/>
        </w:rPr>
      </w:pPr>
      <w:r>
        <w:rPr>
          <w:rFonts w:hint="eastAsia" w:hAnsi="宋体"/>
          <w:b/>
          <w:color w:val="auto"/>
          <w:sz w:val="24"/>
        </w:rPr>
        <w:t>（4）加分因素                              2分</w:t>
      </w:r>
    </w:p>
    <w:p>
      <w:pPr>
        <w:wordWrap w:val="0"/>
        <w:spacing w:line="360" w:lineRule="auto"/>
        <w:ind w:firstLine="482" w:firstLineChars="200"/>
        <w:jc w:val="left"/>
        <w:rPr>
          <w:rFonts w:hAnsi="宋体"/>
          <w:b/>
          <w:color w:val="auto"/>
          <w:sz w:val="24"/>
        </w:rPr>
      </w:pPr>
      <w:r>
        <w:rPr>
          <w:rFonts w:hint="eastAsia" w:hAnsi="宋体"/>
          <w:b/>
          <w:color w:val="auto"/>
          <w:sz w:val="24"/>
        </w:rPr>
        <w:t>（二)各项目评分标准</w:t>
      </w:r>
    </w:p>
    <w:p>
      <w:pPr>
        <w:spacing w:line="360" w:lineRule="auto"/>
        <w:ind w:firstLine="482" w:firstLineChars="200"/>
        <w:rPr>
          <w:rFonts w:hAnsi="宋体"/>
          <w:b/>
          <w:color w:val="auto"/>
          <w:sz w:val="24"/>
          <w:szCs w:val="24"/>
        </w:rPr>
      </w:pPr>
      <w:r>
        <w:rPr>
          <w:rFonts w:hint="eastAsia" w:hAnsi="宋体"/>
          <w:b/>
          <w:color w:val="auto"/>
          <w:sz w:val="24"/>
          <w:szCs w:val="24"/>
        </w:rPr>
        <w:t>（1）报价（30分）</w:t>
      </w:r>
    </w:p>
    <w:p>
      <w:pPr>
        <w:tabs>
          <w:tab w:val="left" w:pos="945"/>
          <w:tab w:val="left" w:pos="1155"/>
        </w:tabs>
        <w:spacing w:line="360" w:lineRule="auto"/>
        <w:ind w:firstLine="566" w:firstLineChars="236"/>
        <w:rPr>
          <w:rFonts w:hAnsi="宋体"/>
          <w:color w:val="auto"/>
          <w:sz w:val="24"/>
          <w:szCs w:val="24"/>
        </w:rPr>
      </w:pPr>
      <w:r>
        <w:rPr>
          <w:rFonts w:hint="eastAsia" w:hAnsi="宋体" w:cs="宋体"/>
          <w:color w:val="auto"/>
          <w:sz w:val="24"/>
          <w:szCs w:val="28"/>
        </w:rPr>
        <w:t>价格分统一采用低价优先法计算，即满足磋商文件要求且最后报价最低的供应商的价格为磋商基准价，其价格分为满分。</w:t>
      </w:r>
      <w:r>
        <w:rPr>
          <w:rFonts w:hint="eastAsia" w:hAnsi="宋体" w:cs="宋体"/>
          <w:color w:val="auto"/>
          <w:sz w:val="24"/>
          <w:szCs w:val="24"/>
        </w:rPr>
        <w:t>其他供应商的价格分统一按照下列公式计算：</w:t>
      </w:r>
    </w:p>
    <w:p>
      <w:pPr>
        <w:tabs>
          <w:tab w:val="left" w:pos="945"/>
          <w:tab w:val="left" w:pos="1155"/>
        </w:tabs>
        <w:spacing w:line="360" w:lineRule="auto"/>
        <w:ind w:firstLine="472" w:firstLineChars="196"/>
        <w:rPr>
          <w:rFonts w:hAnsi="宋体" w:cs="宋体"/>
          <w:b/>
          <w:bCs/>
          <w:color w:val="auto"/>
          <w:sz w:val="24"/>
          <w:szCs w:val="24"/>
        </w:rPr>
      </w:pPr>
      <w:r>
        <w:rPr>
          <w:rFonts w:hint="eastAsia" w:hAnsi="宋体" w:cs="宋体"/>
          <w:b/>
          <w:bCs/>
          <w:color w:val="auto"/>
          <w:sz w:val="24"/>
          <w:szCs w:val="28"/>
        </w:rPr>
        <w:t>磋商</w:t>
      </w:r>
      <w:r>
        <w:rPr>
          <w:rFonts w:hint="eastAsia" w:hAnsi="宋体" w:cs="宋体"/>
          <w:b/>
          <w:bCs/>
          <w:color w:val="auto"/>
          <w:sz w:val="24"/>
          <w:szCs w:val="24"/>
        </w:rPr>
        <w:t>报价得分=（磋商基准价/</w:t>
      </w:r>
      <w:r>
        <w:rPr>
          <w:rFonts w:hint="eastAsia" w:hAnsi="宋体" w:cs="宋体"/>
          <w:b/>
          <w:bCs/>
          <w:color w:val="auto"/>
          <w:sz w:val="24"/>
          <w:szCs w:val="28"/>
        </w:rPr>
        <w:t>最后磋商报价</w:t>
      </w:r>
      <w:r>
        <w:rPr>
          <w:rFonts w:hint="eastAsia" w:hAnsi="宋体" w:cs="宋体"/>
          <w:b/>
          <w:bCs/>
          <w:color w:val="auto"/>
          <w:sz w:val="24"/>
          <w:szCs w:val="24"/>
        </w:rPr>
        <w:t>) ×价格权值×100</w:t>
      </w:r>
    </w:p>
    <w:p>
      <w:pPr>
        <w:tabs>
          <w:tab w:val="left" w:pos="1365"/>
        </w:tabs>
        <w:adjustRightInd w:val="0"/>
        <w:snapToGrid w:val="0"/>
        <w:spacing w:line="360" w:lineRule="auto"/>
        <w:ind w:firstLine="480" w:firstLineChars="200"/>
        <w:rPr>
          <w:rFonts w:hAnsi="宋体" w:cs="宋体"/>
          <w:color w:val="auto"/>
          <w:sz w:val="24"/>
        </w:rPr>
      </w:pPr>
      <w:r>
        <w:rPr>
          <w:rFonts w:hint="eastAsia" w:hAnsi="宋体" w:cs="宋体"/>
          <w:color w:val="auto"/>
          <w:sz w:val="24"/>
        </w:rPr>
        <w:t>价格扣除：</w:t>
      </w:r>
    </w:p>
    <w:p>
      <w:pPr>
        <w:tabs>
          <w:tab w:val="left" w:pos="1365"/>
        </w:tabs>
        <w:adjustRightInd w:val="0"/>
        <w:snapToGrid w:val="0"/>
        <w:spacing w:line="360" w:lineRule="auto"/>
        <w:ind w:firstLine="480" w:firstLineChars="200"/>
        <w:rPr>
          <w:rFonts w:hAnsi="宋体" w:cs="宋体"/>
          <w:color w:val="auto"/>
          <w:sz w:val="24"/>
        </w:rPr>
      </w:pPr>
      <w:r>
        <w:rPr>
          <w:rFonts w:hint="eastAsia" w:hAnsi="宋体" w:cs="宋体"/>
          <w:color w:val="auto"/>
          <w:sz w:val="24"/>
        </w:rPr>
        <w:t>根据省财政厅《关于做好政府采购支持企业发展有关事项的通知》（苏财购[2020]52号）的要求，对于非专门面向小微企业的项目，对小微企业报价给予 5%的扣除，用扣除后的价格参与评审。</w:t>
      </w:r>
    </w:p>
    <w:p>
      <w:pPr>
        <w:spacing w:line="360" w:lineRule="auto"/>
        <w:ind w:firstLine="480" w:firstLineChars="200"/>
        <w:rPr>
          <w:rFonts w:hAnsi="宋体" w:cs="宋体"/>
          <w:bCs/>
          <w:color w:val="auto"/>
          <w:sz w:val="24"/>
          <w:lang w:val="zh-CN"/>
        </w:rPr>
      </w:pPr>
      <w:r>
        <w:rPr>
          <w:rFonts w:hint="eastAsia" w:hAnsi="宋体" w:cs="宋体"/>
          <w:bCs/>
          <w:color w:val="auto"/>
          <w:sz w:val="24"/>
          <w:lang w:val="zh-CN"/>
        </w:rPr>
        <w:t>a.对小型和微型企业产品的价格给予</w:t>
      </w:r>
      <w:r>
        <w:rPr>
          <w:rFonts w:hint="eastAsia" w:hAnsi="宋体" w:cs="宋体"/>
          <w:bCs/>
          <w:color w:val="auto"/>
          <w:sz w:val="24"/>
        </w:rPr>
        <w:t>5</w:t>
      </w:r>
      <w:r>
        <w:rPr>
          <w:rFonts w:hint="eastAsia" w:hAnsi="宋体" w:cs="宋体"/>
          <w:bCs/>
          <w:color w:val="auto"/>
          <w:sz w:val="24"/>
          <w:lang w:val="zh-CN"/>
        </w:rPr>
        <w:t>%的扣除，用扣除后的价格进行评审。参加报价的中小企业，根据《政府采购促进中小企业发展管理办法》（财库[2020]46号）的规定提供《中小企业声明函》（格式见附件）。参与政府采购活动的供应商对其企业规模实行承诺制，由企业自行对照国家《中小企业划型标准规定》工信部联企业〔2011〕300号诚信确定自身企业规模，提供《中小企业声明函》，对其声明的真实性承担法律责任，在资格审查和评审过程中无需提供证明其企业规模的其他材料（中小企业划型标准详见《关于印发中小企业划型标准规定的通知》工信部联企业〔2011〕300号）。</w:t>
      </w:r>
    </w:p>
    <w:p>
      <w:pPr>
        <w:spacing w:line="360" w:lineRule="auto"/>
        <w:ind w:firstLine="480" w:firstLineChars="200"/>
        <w:rPr>
          <w:rFonts w:hAnsi="宋体" w:cs="宋体"/>
          <w:bCs/>
          <w:color w:val="auto"/>
          <w:sz w:val="24"/>
          <w:lang w:val="zh-CN"/>
        </w:rPr>
      </w:pPr>
      <w:r>
        <w:rPr>
          <w:rFonts w:hint="eastAsia" w:hAnsi="宋体" w:cs="宋体"/>
          <w:bCs/>
          <w:color w:val="auto"/>
          <w:sz w:val="24"/>
          <w:lang w:val="zh-CN"/>
        </w:rPr>
        <w:t>b.监狱和戒毒企业参加政府采购活动视同小型、微型企业，享受评审价格扣除</w:t>
      </w:r>
      <w:r>
        <w:rPr>
          <w:rFonts w:hint="eastAsia" w:hAnsi="宋体" w:cs="宋体"/>
          <w:bCs/>
          <w:color w:val="auto"/>
          <w:sz w:val="24"/>
        </w:rPr>
        <w:t>5</w:t>
      </w:r>
      <w:r>
        <w:rPr>
          <w:rFonts w:hint="eastAsia" w:hAnsi="宋体" w:cs="宋体"/>
          <w:bCs/>
          <w:color w:val="auto"/>
          <w:sz w:val="24"/>
          <w:lang w:val="zh-CN"/>
        </w:rPr>
        <w:t>%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按属于监狱和戒毒企业产品细目报价表认真填写，未按要求提供有效证明或相关内容表述不清的，不得享受价格扣除。）</w:t>
      </w:r>
    </w:p>
    <w:p>
      <w:pPr>
        <w:spacing w:line="360" w:lineRule="auto"/>
        <w:ind w:firstLine="480" w:firstLineChars="200"/>
        <w:rPr>
          <w:rFonts w:hAnsi="宋体" w:cs="宋体"/>
          <w:bCs/>
          <w:color w:val="auto"/>
          <w:sz w:val="24"/>
          <w:lang w:val="zh-CN"/>
        </w:rPr>
      </w:pPr>
      <w:r>
        <w:rPr>
          <w:rFonts w:hint="eastAsia" w:hAnsi="宋体" w:cs="宋体"/>
          <w:bCs/>
          <w:color w:val="auto"/>
          <w:sz w:val="24"/>
          <w:lang w:val="zh-CN"/>
        </w:rPr>
        <w:t>c.残疾人福利性单位参加政府采购活动视同小型、微型企业，享受评审价格扣除</w:t>
      </w:r>
      <w:r>
        <w:rPr>
          <w:rFonts w:hint="eastAsia" w:hAnsi="宋体" w:cs="宋体"/>
          <w:bCs/>
          <w:color w:val="auto"/>
          <w:sz w:val="24"/>
        </w:rPr>
        <w:t>5</w:t>
      </w:r>
      <w:r>
        <w:rPr>
          <w:rFonts w:hint="eastAsia" w:hAnsi="宋体" w:cs="宋体"/>
          <w:bCs/>
          <w:color w:val="auto"/>
          <w:sz w:val="24"/>
          <w:lang w:val="zh-CN"/>
        </w:rPr>
        <w:t>%的政府采购优惠政策。参加报价的残疾人福利性单位，应当按照财政部民政部《中国残疾人联合会关于促进残疾人就业政府采购政策的通知》(财库[2017]141号)的规定提供《残疾人福利性单位声明函》（格式见附件）。残疾人福利性单位属于小型、微型企业的，不重复享受政策。（按属于残疾人福利性单位产品细目报价表认真填写，如未按要求填写和提供有效声明函的，不得享受价格扣除。）</w:t>
      </w:r>
    </w:p>
    <w:p>
      <w:pPr>
        <w:tabs>
          <w:tab w:val="left" w:pos="1365"/>
        </w:tabs>
        <w:spacing w:line="360" w:lineRule="auto"/>
        <w:ind w:firstLine="480" w:firstLineChars="200"/>
        <w:rPr>
          <w:color w:val="auto"/>
        </w:rPr>
      </w:pPr>
      <w:r>
        <w:rPr>
          <w:rFonts w:hint="eastAsia" w:hAnsi="宋体" w:cs="宋体"/>
          <w:bCs/>
          <w:color w:val="auto"/>
          <w:sz w:val="24"/>
          <w:lang w:val="zh-CN"/>
        </w:rPr>
        <w:t>同一报</w:t>
      </w:r>
      <w:r>
        <w:rPr>
          <w:rFonts w:hint="eastAsia" w:hAnsi="宋体" w:cs="宋体"/>
          <w:bCs/>
          <w:color w:val="auto"/>
          <w:sz w:val="24"/>
        </w:rPr>
        <w:t>供应商</w:t>
      </w:r>
      <w:r>
        <w:rPr>
          <w:rFonts w:hint="eastAsia" w:hAnsi="宋体" w:cs="宋体"/>
          <w:bCs/>
          <w:color w:val="auto"/>
          <w:sz w:val="24"/>
          <w:lang w:val="zh-CN"/>
        </w:rPr>
        <w:t>，上述三项价格扣除优惠不得重复享受。</w:t>
      </w:r>
    </w:p>
    <w:p>
      <w:pPr>
        <w:tabs>
          <w:tab w:val="left" w:pos="945"/>
          <w:tab w:val="left" w:pos="1155"/>
        </w:tabs>
        <w:spacing w:line="360" w:lineRule="auto"/>
        <w:ind w:firstLine="470" w:firstLineChars="196"/>
        <w:rPr>
          <w:rFonts w:hAnsi="宋体" w:cs="宋体"/>
          <w:b/>
          <w:bCs/>
          <w:color w:val="auto"/>
          <w:sz w:val="24"/>
          <w:szCs w:val="24"/>
        </w:rPr>
      </w:pPr>
      <w:r>
        <w:rPr>
          <w:rFonts w:hint="eastAsia" w:hAnsi="宋体" w:cs="宋体"/>
          <w:color w:val="auto"/>
          <w:sz w:val="24"/>
          <w:szCs w:val="24"/>
        </w:rPr>
        <w:t>注：磋商小组认为报价供应商的报价明显低于其他通过符合性审查报价供应商的标价，有可能影响项目质量或者不能诚信履约的，应到要求其在评标现场合理的时间内提供书面说明，必要时提交相关证明材料；报价供应商不能证明其报价合理性的，磋商小组应到将其作为无效投标处理。</w:t>
      </w:r>
    </w:p>
    <w:p>
      <w:pPr>
        <w:tabs>
          <w:tab w:val="left" w:pos="945"/>
          <w:tab w:val="left" w:pos="1155"/>
        </w:tabs>
        <w:spacing w:line="360" w:lineRule="auto"/>
        <w:ind w:firstLine="241" w:firstLineChars="100"/>
        <w:rPr>
          <w:rFonts w:hAnsi="宋体"/>
          <w:b/>
          <w:color w:val="auto"/>
          <w:sz w:val="24"/>
          <w:szCs w:val="24"/>
        </w:rPr>
      </w:pPr>
      <w:r>
        <w:rPr>
          <w:rFonts w:hint="eastAsia" w:hAnsi="宋体"/>
          <w:b/>
          <w:color w:val="auto"/>
          <w:sz w:val="24"/>
          <w:szCs w:val="24"/>
        </w:rPr>
        <w:t>（2）投标供应商评价（18分）</w:t>
      </w:r>
    </w:p>
    <w:p>
      <w:pPr>
        <w:spacing w:line="360" w:lineRule="auto"/>
        <w:ind w:firstLine="480" w:firstLineChars="200"/>
        <w:rPr>
          <w:rFonts w:hAnsi="宋体" w:cs="宋体"/>
          <w:b/>
          <w:bCs/>
          <w:color w:val="auto"/>
          <w:sz w:val="24"/>
          <w:szCs w:val="24"/>
        </w:rPr>
      </w:pPr>
      <w:r>
        <w:rPr>
          <w:rFonts w:hint="eastAsia" w:hAnsi="宋体"/>
          <w:color w:val="auto"/>
          <w:sz w:val="24"/>
          <w:szCs w:val="24"/>
        </w:rPr>
        <w:t>1）</w:t>
      </w:r>
      <w:r>
        <w:rPr>
          <w:rFonts w:hint="eastAsia" w:hAnsi="宋体" w:cs="宋体"/>
          <w:color w:val="auto"/>
          <w:sz w:val="24"/>
          <w:lang w:val="zh-CN"/>
        </w:rPr>
        <w:t>企业业绩（</w:t>
      </w:r>
      <w:r>
        <w:rPr>
          <w:rFonts w:hint="eastAsia" w:hAnsi="宋体" w:cs="宋体"/>
          <w:color w:val="auto"/>
          <w:sz w:val="24"/>
        </w:rPr>
        <w:t>4分)</w:t>
      </w:r>
      <w:r>
        <w:rPr>
          <w:rFonts w:hint="eastAsia" w:hAnsi="宋体" w:cs="宋体"/>
          <w:color w:val="auto"/>
          <w:sz w:val="24"/>
          <w:lang w:val="zh-CN"/>
        </w:rPr>
        <w:t>：</w:t>
      </w:r>
      <w:r>
        <w:rPr>
          <w:rFonts w:hint="eastAsia" w:hAnsi="宋体" w:cs="宋体"/>
          <w:color w:val="auto"/>
          <w:sz w:val="24"/>
          <w:szCs w:val="24"/>
        </w:rPr>
        <w:t>报价供应商2018年1月1日以来有类似项目的，有1个，得2分，最多得4分；（类似项目是指</w:t>
      </w:r>
      <w:r>
        <w:rPr>
          <w:rFonts w:hint="eastAsia" w:hAnsi="宋体"/>
          <w:bCs/>
          <w:color w:val="auto"/>
          <w:sz w:val="24"/>
          <w:szCs w:val="24"/>
        </w:rPr>
        <w:t>与本次采购相同或类同的项目，</w:t>
      </w:r>
      <w:r>
        <w:rPr>
          <w:rFonts w:hint="eastAsia" w:hAnsi="宋体" w:cs="宋体"/>
          <w:color w:val="auto"/>
          <w:sz w:val="24"/>
          <w:szCs w:val="24"/>
        </w:rPr>
        <w:t>日期以竣工验收时间为准，提供合同、检测报告或竣工验收单，复印件加盖公章放入补充证明文件中</w:t>
      </w:r>
      <w:r>
        <w:rPr>
          <w:rFonts w:hint="eastAsia" w:hAnsi="宋体" w:cs="宋体"/>
          <w:bCs/>
          <w:color w:val="auto"/>
          <w:sz w:val="24"/>
          <w:szCs w:val="24"/>
        </w:rPr>
        <w:t>，</w:t>
      </w:r>
      <w:r>
        <w:rPr>
          <w:rFonts w:hint="eastAsia" w:hAnsi="宋体"/>
          <w:color w:val="auto"/>
          <w:sz w:val="24"/>
        </w:rPr>
        <w:t>投标时另提供原件核查，不提供不得分</w:t>
      </w:r>
      <w:r>
        <w:rPr>
          <w:rFonts w:hint="eastAsia" w:hAnsi="宋体" w:cs="宋体"/>
          <w:color w:val="auto"/>
          <w:sz w:val="24"/>
          <w:szCs w:val="24"/>
        </w:rPr>
        <w:t>）。</w:t>
      </w:r>
    </w:p>
    <w:p>
      <w:pPr>
        <w:spacing w:line="360" w:lineRule="auto"/>
        <w:ind w:firstLine="480" w:firstLineChars="200"/>
        <w:rPr>
          <w:rFonts w:hAnsi="宋体"/>
          <w:color w:val="auto"/>
          <w:sz w:val="24"/>
          <w:szCs w:val="24"/>
        </w:rPr>
      </w:pPr>
      <w:r>
        <w:rPr>
          <w:rFonts w:hint="eastAsia" w:hAnsi="宋体"/>
          <w:color w:val="auto"/>
          <w:sz w:val="24"/>
          <w:szCs w:val="24"/>
        </w:rPr>
        <w:t>2）相关资质、证书（14分）</w:t>
      </w:r>
    </w:p>
    <w:p>
      <w:pPr>
        <w:spacing w:line="360" w:lineRule="auto"/>
        <w:ind w:firstLine="480" w:firstLineChars="200"/>
        <w:rPr>
          <w:rFonts w:hAnsi="宋体"/>
          <w:color w:val="auto"/>
          <w:sz w:val="24"/>
        </w:rPr>
      </w:pPr>
      <w:r>
        <w:rPr>
          <w:rFonts w:hAnsi="宋体"/>
          <w:color w:val="auto"/>
          <w:sz w:val="24"/>
        </w:rPr>
        <w:t>①</w:t>
      </w:r>
      <w:r>
        <w:rPr>
          <w:rFonts w:hint="eastAsia" w:hAnsi="宋体"/>
          <w:color w:val="auto"/>
          <w:sz w:val="24"/>
        </w:rPr>
        <w:t>投标供应商具有有效的ISO9001质量管理体系认证证书、GB/T50430建筑施工行业质量管理体系、ISO14001环境管理体系认证证书、GB/T28001（或ISO45001）职业健康安全管理体系认证证书。每个证书得2分，最高得8分（须提供相关证书复印件加盖公章放入补充证明文件中，</w:t>
      </w:r>
      <w:r>
        <w:rPr>
          <w:rFonts w:hint="eastAsia" w:hAnsi="宋体" w:cs="宋体"/>
          <w:bCs/>
          <w:color w:val="auto"/>
          <w:sz w:val="24"/>
          <w:szCs w:val="24"/>
        </w:rPr>
        <w:t>提供原件核查，</w:t>
      </w:r>
      <w:r>
        <w:rPr>
          <w:rFonts w:hint="eastAsia" w:hAnsi="宋体"/>
          <w:color w:val="auto"/>
          <w:sz w:val="24"/>
        </w:rPr>
        <w:t>不提供不得分）。</w:t>
      </w:r>
    </w:p>
    <w:p>
      <w:pPr>
        <w:spacing w:line="360" w:lineRule="auto"/>
        <w:ind w:firstLine="480" w:firstLineChars="200"/>
        <w:rPr>
          <w:rFonts w:hAnsi="宋体"/>
          <w:color w:val="auto"/>
          <w:sz w:val="24"/>
        </w:rPr>
      </w:pPr>
      <w:r>
        <w:rPr>
          <w:rFonts w:hAnsi="宋体"/>
          <w:color w:val="auto"/>
          <w:sz w:val="24"/>
        </w:rPr>
        <w:t>②</w:t>
      </w:r>
      <w:r>
        <w:rPr>
          <w:rFonts w:hint="eastAsia" w:hAnsi="宋体"/>
          <w:color w:val="auto"/>
          <w:sz w:val="24"/>
        </w:rPr>
        <w:t>投标供应商具有GB/T27922《商品售后服务体系》五星级及以上售后服务认证证书</w:t>
      </w:r>
      <w:r>
        <w:rPr>
          <w:rFonts w:hint="eastAsia" w:hAnsi="宋体"/>
          <w:color w:val="auto"/>
          <w:sz w:val="24"/>
          <w:szCs w:val="24"/>
        </w:rPr>
        <w:t>的得2分</w:t>
      </w:r>
      <w:r>
        <w:rPr>
          <w:rFonts w:hint="eastAsia" w:hAnsi="宋体"/>
          <w:color w:val="auto"/>
          <w:sz w:val="24"/>
        </w:rPr>
        <w:t>（须提供相关证书复印件加盖公章放入补充证明文件中，</w:t>
      </w:r>
      <w:r>
        <w:rPr>
          <w:rFonts w:hint="eastAsia" w:hAnsi="宋体" w:cs="宋体"/>
          <w:bCs/>
          <w:color w:val="auto"/>
          <w:sz w:val="24"/>
          <w:szCs w:val="24"/>
        </w:rPr>
        <w:t>提供原件核查，</w:t>
      </w:r>
      <w:r>
        <w:rPr>
          <w:rFonts w:hint="eastAsia" w:hAnsi="宋体"/>
          <w:color w:val="auto"/>
          <w:sz w:val="24"/>
        </w:rPr>
        <w:t>不提供不得分）。</w:t>
      </w:r>
    </w:p>
    <w:p>
      <w:pPr>
        <w:spacing w:line="360" w:lineRule="auto"/>
        <w:ind w:firstLine="480" w:firstLineChars="200"/>
        <w:rPr>
          <w:rFonts w:hAnsi="宋体"/>
          <w:color w:val="auto"/>
          <w:sz w:val="24"/>
        </w:rPr>
      </w:pPr>
      <w:r>
        <w:rPr>
          <w:rFonts w:hAnsi="宋体"/>
          <w:color w:val="auto"/>
          <w:sz w:val="24"/>
        </w:rPr>
        <w:t>③</w:t>
      </w:r>
      <w:r>
        <w:rPr>
          <w:rFonts w:hint="eastAsia" w:hAnsi="宋体"/>
          <w:color w:val="auto"/>
          <w:sz w:val="24"/>
        </w:rPr>
        <w:t>投标供应商具有</w:t>
      </w:r>
      <w:r>
        <w:rPr>
          <w:rFonts w:hint="eastAsia" w:hAnsi="宋体" w:cs="宋体"/>
          <w:color w:val="auto"/>
          <w:sz w:val="24"/>
          <w:szCs w:val="24"/>
        </w:rPr>
        <w:t>特种设备生产许可证（承压类特种设备安装、修理、改造GC2级及以上资格）</w:t>
      </w:r>
      <w:r>
        <w:rPr>
          <w:rFonts w:hint="eastAsia" w:hAnsi="宋体"/>
          <w:color w:val="auto"/>
          <w:sz w:val="24"/>
        </w:rPr>
        <w:t>，得2分</w:t>
      </w:r>
      <w:r>
        <w:rPr>
          <w:rFonts w:hint="eastAsia" w:hAnsi="宋体" w:cs="Arial"/>
          <w:color w:val="auto"/>
          <w:sz w:val="24"/>
        </w:rPr>
        <w:t>；</w:t>
      </w:r>
      <w:r>
        <w:rPr>
          <w:rFonts w:hint="eastAsia" w:hAnsi="宋体" w:cs="宋体"/>
          <w:bCs/>
          <w:color w:val="auto"/>
          <w:sz w:val="24"/>
          <w:szCs w:val="24"/>
        </w:rPr>
        <w:t>（须提供相关证书复印件加盖公章放入补充证明文件中</w:t>
      </w:r>
      <w:r>
        <w:rPr>
          <w:rFonts w:hint="eastAsia" w:hAnsi="宋体"/>
          <w:color w:val="auto"/>
          <w:sz w:val="24"/>
        </w:rPr>
        <w:t>，</w:t>
      </w:r>
      <w:r>
        <w:rPr>
          <w:rFonts w:hint="eastAsia" w:hAnsi="宋体" w:cs="宋体"/>
          <w:bCs/>
          <w:color w:val="auto"/>
          <w:sz w:val="24"/>
          <w:szCs w:val="24"/>
        </w:rPr>
        <w:t>提供原件核查，</w:t>
      </w:r>
      <w:r>
        <w:rPr>
          <w:rFonts w:hint="eastAsia" w:hAnsi="宋体"/>
          <w:color w:val="auto"/>
          <w:sz w:val="24"/>
        </w:rPr>
        <w:t>不提供不得分</w:t>
      </w:r>
      <w:r>
        <w:rPr>
          <w:rFonts w:hint="eastAsia" w:hAnsi="宋体" w:cs="宋体"/>
          <w:bCs/>
          <w:color w:val="auto"/>
          <w:sz w:val="24"/>
          <w:szCs w:val="24"/>
        </w:rPr>
        <w:t>）</w:t>
      </w:r>
      <w:r>
        <w:rPr>
          <w:rFonts w:hint="eastAsia" w:hAnsi="宋体"/>
          <w:color w:val="auto"/>
          <w:sz w:val="24"/>
          <w:szCs w:val="24"/>
        </w:rPr>
        <w:t>。</w:t>
      </w:r>
    </w:p>
    <w:p>
      <w:pPr>
        <w:spacing w:line="360" w:lineRule="auto"/>
        <w:ind w:firstLine="480" w:firstLineChars="200"/>
        <w:rPr>
          <w:rFonts w:hAnsi="宋体"/>
          <w:color w:val="auto"/>
          <w:sz w:val="24"/>
          <w:szCs w:val="24"/>
        </w:rPr>
      </w:pPr>
      <w:r>
        <w:rPr>
          <w:rFonts w:hint="eastAsia" w:hAnsi="宋体"/>
          <w:color w:val="auto"/>
          <w:sz w:val="24"/>
        </w:rPr>
        <w:t>④</w:t>
      </w:r>
      <w:r>
        <w:rPr>
          <w:rFonts w:hint="eastAsia" w:hAnsi="宋体" w:cs="宋体"/>
          <w:color w:val="auto"/>
          <w:sz w:val="24"/>
          <w:lang w:val="zh-CN"/>
        </w:rPr>
        <w:t>投标供应商</w:t>
      </w:r>
      <w:r>
        <w:rPr>
          <w:rFonts w:hint="eastAsia" w:hAnsi="宋体"/>
          <w:color w:val="auto"/>
          <w:sz w:val="24"/>
        </w:rPr>
        <w:t>具备有效期内的</w:t>
      </w:r>
      <w:r>
        <w:rPr>
          <w:rFonts w:hint="eastAsia" w:hAnsi="宋体" w:cs="Arial"/>
          <w:color w:val="auto"/>
          <w:sz w:val="24"/>
        </w:rPr>
        <w:t>医疗器械生产许可证及医疗器械经营许可证（或</w:t>
      </w:r>
      <w:r>
        <w:rPr>
          <w:rFonts w:hAnsi="宋体" w:cs="Arial"/>
          <w:color w:val="auto"/>
          <w:sz w:val="24"/>
        </w:rPr>
        <w:t>第二类医疗器械备案凭证</w:t>
      </w:r>
      <w:r>
        <w:rPr>
          <w:rFonts w:hint="eastAsia" w:hAnsi="宋体" w:cs="Arial"/>
          <w:color w:val="auto"/>
          <w:sz w:val="24"/>
        </w:rPr>
        <w:t>），得2分；</w:t>
      </w:r>
      <w:r>
        <w:rPr>
          <w:rFonts w:hint="eastAsia" w:hAnsi="宋体" w:cs="宋体"/>
          <w:bCs/>
          <w:color w:val="auto"/>
          <w:sz w:val="24"/>
          <w:szCs w:val="24"/>
        </w:rPr>
        <w:t>（须提供相关证书复印件加盖公章放入补充证明文件中，提供原件核查，</w:t>
      </w:r>
      <w:r>
        <w:rPr>
          <w:rFonts w:hint="eastAsia" w:hAnsi="宋体"/>
          <w:color w:val="auto"/>
          <w:sz w:val="24"/>
        </w:rPr>
        <w:t>不提供不得分</w:t>
      </w:r>
      <w:r>
        <w:rPr>
          <w:rFonts w:hint="eastAsia" w:hAnsi="宋体" w:cs="宋体"/>
          <w:bCs/>
          <w:color w:val="auto"/>
          <w:sz w:val="24"/>
          <w:szCs w:val="24"/>
        </w:rPr>
        <w:t>）</w:t>
      </w:r>
      <w:r>
        <w:rPr>
          <w:rFonts w:hint="eastAsia" w:hAnsi="宋体"/>
          <w:color w:val="auto"/>
          <w:sz w:val="24"/>
          <w:szCs w:val="24"/>
        </w:rPr>
        <w:t>。</w:t>
      </w:r>
    </w:p>
    <w:p>
      <w:pPr>
        <w:spacing w:line="360" w:lineRule="auto"/>
        <w:ind w:firstLine="480" w:firstLineChars="200"/>
        <w:rPr>
          <w:rFonts w:hAnsi="宋体"/>
          <w:color w:val="auto"/>
          <w:sz w:val="24"/>
          <w:szCs w:val="24"/>
        </w:rPr>
      </w:pPr>
      <w:r>
        <w:rPr>
          <w:rFonts w:hint="eastAsia" w:hAnsi="宋体"/>
          <w:color w:val="auto"/>
          <w:sz w:val="24"/>
          <w:szCs w:val="24"/>
        </w:rPr>
        <w:t>上述证书如是电子证书的，需提供带有验证二维码的电子证书彩色打印件并加盖投标人公章，否则不予认可。</w:t>
      </w:r>
    </w:p>
    <w:p>
      <w:pPr>
        <w:spacing w:line="360" w:lineRule="auto"/>
        <w:ind w:firstLine="426" w:firstLineChars="177"/>
        <w:rPr>
          <w:rFonts w:hAnsi="宋体"/>
          <w:b/>
          <w:sz w:val="24"/>
          <w:szCs w:val="24"/>
        </w:rPr>
      </w:pPr>
      <w:r>
        <w:rPr>
          <w:rFonts w:hint="eastAsia" w:hAnsi="宋体"/>
          <w:b/>
          <w:sz w:val="24"/>
          <w:szCs w:val="24"/>
        </w:rPr>
        <w:t>（3）技术文件（52</w:t>
      </w:r>
      <w:r>
        <w:rPr>
          <w:rFonts w:hAnsi="宋体"/>
          <w:b/>
          <w:sz w:val="24"/>
          <w:szCs w:val="24"/>
        </w:rPr>
        <w:t>分）</w:t>
      </w:r>
    </w:p>
    <w:p>
      <w:pPr>
        <w:spacing w:line="360" w:lineRule="auto"/>
        <w:ind w:firstLine="482" w:firstLineChars="200"/>
        <w:rPr>
          <w:b/>
          <w:sz w:val="24"/>
        </w:rPr>
      </w:pPr>
      <w:r>
        <w:rPr>
          <w:rFonts w:hint="eastAsia"/>
          <w:b/>
          <w:sz w:val="24"/>
        </w:rPr>
        <w:t>1</w:t>
      </w:r>
      <w:r>
        <w:rPr>
          <w:b/>
          <w:sz w:val="24"/>
        </w:rPr>
        <w:t>）</w:t>
      </w:r>
      <w:r>
        <w:rPr>
          <w:rFonts w:hint="eastAsia"/>
          <w:b/>
          <w:sz w:val="24"/>
        </w:rPr>
        <w:t>总体概述：施工组织总体设想、方案针对性及施工段划分； 9分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针对本项目的施工组织总体设想：施工组织总体设想结合本项目现场环境及采购需求合理准确、内容完整详实的得3分；施工组织总体设想基本全面完整的得2分；施工组织总体设想有所欠缺的得1分；未进行阐述或提供的内容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②本项目的</w:t>
      </w:r>
      <w:r>
        <w:rPr>
          <w:rFonts w:hint="eastAsia"/>
          <w:sz w:val="24"/>
        </w:rPr>
        <w:t>方案针对性</w:t>
      </w:r>
      <w:r>
        <w:rPr>
          <w:rFonts w:hint="eastAsia" w:hAnsi="宋体"/>
          <w:bCs/>
          <w:sz w:val="24"/>
          <w:szCs w:val="22"/>
        </w:rPr>
        <w:t>：施工实施</w:t>
      </w:r>
      <w:r>
        <w:rPr>
          <w:rFonts w:hint="eastAsia"/>
          <w:sz w:val="24"/>
        </w:rPr>
        <w:t>方案</w:t>
      </w:r>
      <w:r>
        <w:rPr>
          <w:rFonts w:hint="eastAsia" w:hAnsi="宋体"/>
          <w:bCs/>
          <w:sz w:val="24"/>
          <w:szCs w:val="22"/>
        </w:rPr>
        <w:t>结合本项目采购需求针对性强、合理准确、内容完整详实的得3分；施工实施</w:t>
      </w:r>
      <w:r>
        <w:rPr>
          <w:rFonts w:hint="eastAsia"/>
          <w:sz w:val="24"/>
        </w:rPr>
        <w:t>方案针对性</w:t>
      </w:r>
      <w:r>
        <w:rPr>
          <w:rFonts w:hint="eastAsia" w:hAnsi="宋体"/>
          <w:bCs/>
          <w:sz w:val="24"/>
          <w:szCs w:val="22"/>
        </w:rPr>
        <w:t>基本全面完整的得2分；施工实施</w:t>
      </w:r>
      <w:r>
        <w:rPr>
          <w:rFonts w:hint="eastAsia"/>
          <w:sz w:val="24"/>
        </w:rPr>
        <w:t>方案针对性</w:t>
      </w:r>
      <w:r>
        <w:rPr>
          <w:rFonts w:hint="eastAsia" w:hAnsi="宋体"/>
          <w:bCs/>
          <w:sz w:val="24"/>
          <w:szCs w:val="22"/>
        </w:rPr>
        <w:t>有所欠缺的得1分；未进行阐述或提供的内容不合理或不满足采购需求的，该项不得分。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③针对本项目的</w:t>
      </w:r>
      <w:r>
        <w:rPr>
          <w:rFonts w:hint="eastAsia"/>
          <w:sz w:val="24"/>
        </w:rPr>
        <w:t>施工段划分</w:t>
      </w:r>
      <w:r>
        <w:rPr>
          <w:rFonts w:hint="eastAsia" w:hAnsi="宋体"/>
          <w:bCs/>
          <w:sz w:val="24"/>
          <w:szCs w:val="22"/>
        </w:rPr>
        <w:t>：结合本项目采购需求及实际施工段展开的划分方案科学合理、内容完整详实的得3分；</w:t>
      </w:r>
      <w:r>
        <w:rPr>
          <w:rFonts w:hint="eastAsia"/>
          <w:sz w:val="24"/>
        </w:rPr>
        <w:t>施工段划分方案</w:t>
      </w:r>
      <w:r>
        <w:rPr>
          <w:rFonts w:hint="eastAsia" w:hAnsi="宋体"/>
          <w:bCs/>
          <w:sz w:val="24"/>
          <w:szCs w:val="22"/>
        </w:rPr>
        <w:t>基本全面完整的得2分；</w:t>
      </w:r>
      <w:r>
        <w:rPr>
          <w:rFonts w:hint="eastAsia"/>
          <w:sz w:val="24"/>
        </w:rPr>
        <w:t>施工段划分方案</w:t>
      </w:r>
      <w:r>
        <w:rPr>
          <w:rFonts w:hint="eastAsia" w:hAnsi="宋体"/>
          <w:bCs/>
          <w:sz w:val="24"/>
          <w:szCs w:val="22"/>
        </w:rPr>
        <w:t>有所欠缺的得1分；未进行阐述或提供的内容不合理或不满足采购需求的，该项不得分。</w:t>
      </w:r>
    </w:p>
    <w:p>
      <w:pPr>
        <w:spacing w:line="360" w:lineRule="auto"/>
        <w:ind w:firstLine="482" w:firstLineChars="200"/>
        <w:rPr>
          <w:b/>
          <w:sz w:val="24"/>
        </w:rPr>
      </w:pPr>
      <w:r>
        <w:rPr>
          <w:rFonts w:hint="eastAsia"/>
          <w:b/>
          <w:sz w:val="24"/>
        </w:rPr>
        <w:t>2</w:t>
      </w:r>
      <w:r>
        <w:rPr>
          <w:b/>
          <w:sz w:val="24"/>
        </w:rPr>
        <w:t>）</w:t>
      </w:r>
      <w:r>
        <w:rPr>
          <w:rFonts w:hint="eastAsia"/>
          <w:b/>
          <w:sz w:val="24"/>
        </w:rPr>
        <w:t>施工现场平面布置和临时设施、临时道路布置； 9分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施工现场平面布置图：结合项目现场，施工现场布置图合理准确、内容完整详实的得3分；施工现场布置图基本全面完整的得2分；施工现场布置图有所欠缺的得1分；未提供布置图或布置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w:t>
      </w:r>
      <w:r>
        <w:rPr>
          <w:rFonts w:hint="eastAsia"/>
          <w:sz w:val="24"/>
        </w:rPr>
        <w:t>临时设施</w:t>
      </w:r>
      <w:r>
        <w:rPr>
          <w:rFonts w:hint="eastAsia" w:hAnsi="宋体"/>
          <w:bCs/>
          <w:sz w:val="24"/>
          <w:szCs w:val="22"/>
        </w:rPr>
        <w:t>：</w:t>
      </w:r>
      <w:r>
        <w:rPr>
          <w:rFonts w:hint="eastAsia"/>
          <w:sz w:val="24"/>
        </w:rPr>
        <w:t>临时设施布置方案</w:t>
      </w:r>
      <w:r>
        <w:rPr>
          <w:rFonts w:hint="eastAsia" w:hAnsi="宋体"/>
          <w:bCs/>
          <w:sz w:val="24"/>
          <w:szCs w:val="22"/>
        </w:rPr>
        <w:t>结合本项目现场，</w:t>
      </w:r>
      <w:r>
        <w:rPr>
          <w:rFonts w:hint="eastAsia"/>
          <w:sz w:val="24"/>
        </w:rPr>
        <w:t>临时设施布置</w:t>
      </w:r>
      <w:r>
        <w:rPr>
          <w:rFonts w:hint="eastAsia" w:hAnsi="宋体"/>
          <w:bCs/>
          <w:sz w:val="24"/>
          <w:szCs w:val="22"/>
        </w:rPr>
        <w:t>图合理准确、内容完整详实的得3分；</w:t>
      </w:r>
      <w:r>
        <w:rPr>
          <w:rFonts w:hint="eastAsia"/>
          <w:sz w:val="24"/>
        </w:rPr>
        <w:t>临时设施布置</w:t>
      </w:r>
      <w:r>
        <w:rPr>
          <w:rFonts w:hint="eastAsia" w:hAnsi="宋体"/>
          <w:bCs/>
          <w:sz w:val="24"/>
          <w:szCs w:val="22"/>
        </w:rPr>
        <w:t>图基本全面完整的得2分；</w:t>
      </w:r>
      <w:r>
        <w:rPr>
          <w:rFonts w:hint="eastAsia"/>
          <w:sz w:val="24"/>
        </w:rPr>
        <w:t>临时设施布置图</w:t>
      </w:r>
      <w:r>
        <w:rPr>
          <w:rFonts w:hint="eastAsia" w:hAnsi="宋体"/>
          <w:bCs/>
          <w:sz w:val="24"/>
          <w:szCs w:val="22"/>
        </w:rPr>
        <w:t>有所欠缺的得1分；未提供布置图或布置不合理或不满足采购需求的，该项不得分。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③</w:t>
      </w:r>
      <w:r>
        <w:rPr>
          <w:rFonts w:hint="eastAsia"/>
          <w:sz w:val="24"/>
        </w:rPr>
        <w:t>临时道路布置</w:t>
      </w:r>
      <w:r>
        <w:rPr>
          <w:rFonts w:hint="eastAsia" w:hAnsi="宋体"/>
          <w:bCs/>
          <w:sz w:val="24"/>
          <w:szCs w:val="22"/>
        </w:rPr>
        <w:t>：</w:t>
      </w:r>
      <w:r>
        <w:rPr>
          <w:rFonts w:hint="eastAsia"/>
          <w:sz w:val="24"/>
        </w:rPr>
        <w:t>临时道路布置方案</w:t>
      </w:r>
      <w:r>
        <w:rPr>
          <w:rFonts w:hint="eastAsia" w:hAnsi="宋体"/>
          <w:bCs/>
          <w:sz w:val="24"/>
          <w:szCs w:val="22"/>
        </w:rPr>
        <w:t>结合本项目现场，</w:t>
      </w:r>
      <w:r>
        <w:rPr>
          <w:rFonts w:hint="eastAsia"/>
          <w:sz w:val="24"/>
        </w:rPr>
        <w:t>临时道路布置图</w:t>
      </w:r>
      <w:r>
        <w:rPr>
          <w:rFonts w:hint="eastAsia" w:hAnsi="宋体"/>
          <w:bCs/>
          <w:sz w:val="24"/>
          <w:szCs w:val="22"/>
        </w:rPr>
        <w:t>合理准确、内容完整详实的得3分；</w:t>
      </w:r>
      <w:r>
        <w:rPr>
          <w:rFonts w:hint="eastAsia"/>
          <w:sz w:val="24"/>
        </w:rPr>
        <w:t>临时道路布置</w:t>
      </w:r>
      <w:r>
        <w:rPr>
          <w:rFonts w:hint="eastAsia" w:hAnsi="宋体"/>
          <w:bCs/>
          <w:sz w:val="24"/>
          <w:szCs w:val="22"/>
        </w:rPr>
        <w:t>图基本全面完整的得2分；</w:t>
      </w:r>
      <w:r>
        <w:rPr>
          <w:rFonts w:hint="eastAsia"/>
          <w:sz w:val="24"/>
        </w:rPr>
        <w:t>临时道路布置图</w:t>
      </w:r>
      <w:r>
        <w:rPr>
          <w:rFonts w:hint="eastAsia" w:hAnsi="宋体"/>
          <w:bCs/>
          <w:sz w:val="24"/>
          <w:szCs w:val="22"/>
        </w:rPr>
        <w:t>有所欠缺的得1分；未提供布置图或布置不合理或不满足采购需求的，该项不得分。</w:t>
      </w:r>
    </w:p>
    <w:p>
      <w:pPr>
        <w:spacing w:line="360" w:lineRule="auto"/>
        <w:ind w:firstLine="482" w:firstLineChars="200"/>
        <w:rPr>
          <w:b/>
          <w:sz w:val="24"/>
        </w:rPr>
      </w:pPr>
      <w:r>
        <w:rPr>
          <w:rFonts w:hint="eastAsia"/>
          <w:b/>
          <w:sz w:val="24"/>
        </w:rPr>
        <w:t>3）施工进度计划和各阶段进度的保证措施； 9分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w:t>
      </w:r>
      <w:r>
        <w:rPr>
          <w:rFonts w:hint="eastAsia"/>
          <w:sz w:val="24"/>
        </w:rPr>
        <w:t>施工进度计划</w:t>
      </w:r>
      <w:r>
        <w:rPr>
          <w:rFonts w:hint="eastAsia" w:hAnsi="宋体"/>
          <w:bCs/>
          <w:sz w:val="24"/>
          <w:szCs w:val="22"/>
        </w:rPr>
        <w:t>：结合项目现场及采购需求，施工进度计划编制说明、进度计划表内容完整详实且符合实际的得5分；施工进度计划编制说明、进度计划表基本全面完整的得3分；施工进度计划编制说明、进度计划表有所欠缺的得1分；未提供施工进度计划编制说明、进度计划表或计划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w:t>
      </w:r>
      <w:r>
        <w:rPr>
          <w:rFonts w:hint="eastAsia"/>
          <w:sz w:val="24"/>
        </w:rPr>
        <w:t>各阶段进度的保证措施</w:t>
      </w:r>
      <w:r>
        <w:rPr>
          <w:rFonts w:hint="eastAsia" w:hAnsi="宋体"/>
          <w:bCs/>
          <w:sz w:val="24"/>
          <w:szCs w:val="22"/>
        </w:rPr>
        <w:t>：</w:t>
      </w:r>
      <w:r>
        <w:rPr>
          <w:rFonts w:hint="eastAsia"/>
          <w:sz w:val="24"/>
        </w:rPr>
        <w:t>施工各阶段进度的保障措施</w:t>
      </w:r>
      <w:r>
        <w:rPr>
          <w:rFonts w:hint="eastAsia" w:hAnsi="宋体"/>
          <w:bCs/>
          <w:sz w:val="24"/>
          <w:szCs w:val="22"/>
        </w:rPr>
        <w:t>合理准确、内容完整详实的得4分；</w:t>
      </w:r>
      <w:r>
        <w:rPr>
          <w:rFonts w:hint="eastAsia"/>
          <w:sz w:val="24"/>
        </w:rPr>
        <w:t>施工各阶段进度的保障措施</w:t>
      </w:r>
      <w:r>
        <w:rPr>
          <w:rFonts w:hint="eastAsia" w:hAnsi="宋体"/>
          <w:bCs/>
          <w:sz w:val="24"/>
          <w:szCs w:val="22"/>
        </w:rPr>
        <w:t>基本全面完整的得2分；</w:t>
      </w:r>
      <w:r>
        <w:rPr>
          <w:rFonts w:hint="eastAsia"/>
          <w:sz w:val="24"/>
        </w:rPr>
        <w:t>施工各阶段进度的保障措施</w:t>
      </w:r>
      <w:r>
        <w:rPr>
          <w:rFonts w:hint="eastAsia" w:hAnsi="宋体"/>
          <w:bCs/>
          <w:sz w:val="24"/>
          <w:szCs w:val="22"/>
        </w:rPr>
        <w:t>有所欠缺的得1分；未提供</w:t>
      </w:r>
      <w:r>
        <w:rPr>
          <w:rFonts w:hint="eastAsia"/>
          <w:sz w:val="24"/>
        </w:rPr>
        <w:t>施工各阶段进度的保障措施</w:t>
      </w:r>
      <w:r>
        <w:rPr>
          <w:rFonts w:hint="eastAsia" w:hAnsi="宋体"/>
          <w:bCs/>
          <w:sz w:val="24"/>
          <w:szCs w:val="22"/>
        </w:rPr>
        <w:t>或措施不合理或不满足采购需求的，该项不得分。</w:t>
      </w:r>
    </w:p>
    <w:p>
      <w:pPr>
        <w:spacing w:line="360" w:lineRule="auto"/>
        <w:ind w:firstLine="482" w:firstLineChars="200"/>
        <w:rPr>
          <w:b/>
          <w:sz w:val="24"/>
        </w:rPr>
      </w:pPr>
      <w:r>
        <w:rPr>
          <w:rFonts w:hint="eastAsia"/>
          <w:b/>
          <w:sz w:val="24"/>
        </w:rPr>
        <w:t>4</w:t>
      </w:r>
      <w:r>
        <w:rPr>
          <w:b/>
          <w:sz w:val="24"/>
        </w:rPr>
        <w:t>）</w:t>
      </w:r>
      <w:r>
        <w:rPr>
          <w:rFonts w:hint="eastAsia"/>
          <w:b/>
          <w:sz w:val="24"/>
        </w:rPr>
        <w:t>各分部分项工程的施工方案及质量保证措施； 9分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w:t>
      </w:r>
      <w:r>
        <w:rPr>
          <w:rFonts w:hint="eastAsia"/>
          <w:sz w:val="24"/>
        </w:rPr>
        <w:t>各分部分项工程的施工方案：</w:t>
      </w:r>
      <w:r>
        <w:rPr>
          <w:rFonts w:hint="eastAsia" w:hAnsi="宋体"/>
          <w:bCs/>
          <w:sz w:val="24"/>
          <w:szCs w:val="22"/>
        </w:rPr>
        <w:t>结合项目现场及采购需求，</w:t>
      </w:r>
      <w:r>
        <w:rPr>
          <w:rFonts w:hint="eastAsia"/>
          <w:sz w:val="24"/>
        </w:rPr>
        <w:t>各分部分项工程的施工方案</w:t>
      </w:r>
      <w:r>
        <w:rPr>
          <w:rFonts w:hint="eastAsia" w:hAnsi="宋体"/>
          <w:bCs/>
          <w:sz w:val="24"/>
          <w:szCs w:val="22"/>
        </w:rPr>
        <w:t>内容完整详实且符合实际的得5分；</w:t>
      </w:r>
      <w:r>
        <w:rPr>
          <w:rFonts w:hint="eastAsia"/>
          <w:sz w:val="24"/>
        </w:rPr>
        <w:t>各分部分项工程的施工方案</w:t>
      </w:r>
      <w:r>
        <w:rPr>
          <w:rFonts w:hint="eastAsia" w:hAnsi="宋体"/>
          <w:bCs/>
          <w:sz w:val="24"/>
          <w:szCs w:val="22"/>
        </w:rPr>
        <w:t>基本全面完整的得3分；</w:t>
      </w:r>
      <w:r>
        <w:rPr>
          <w:rFonts w:hint="eastAsia"/>
          <w:sz w:val="24"/>
        </w:rPr>
        <w:t>各分部分项工程的施工方案</w:t>
      </w:r>
      <w:r>
        <w:rPr>
          <w:rFonts w:hint="eastAsia" w:hAnsi="宋体"/>
          <w:bCs/>
          <w:sz w:val="24"/>
          <w:szCs w:val="22"/>
        </w:rPr>
        <w:t>有所欠缺的得1分；未提供</w:t>
      </w:r>
      <w:r>
        <w:rPr>
          <w:rFonts w:hint="eastAsia"/>
          <w:sz w:val="24"/>
        </w:rPr>
        <w:t>各分部分项工程的施工方案</w:t>
      </w:r>
      <w:r>
        <w:rPr>
          <w:rFonts w:hint="eastAsia" w:hAnsi="宋体"/>
          <w:bCs/>
          <w:sz w:val="24"/>
          <w:szCs w:val="22"/>
        </w:rPr>
        <w:t>或方案不合理或不满足采购需求的，该项不得分。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w:t>
      </w:r>
      <w:r>
        <w:rPr>
          <w:rFonts w:hint="eastAsia"/>
          <w:sz w:val="24"/>
        </w:rPr>
        <w:t>各分部分项工程的质量保证措施</w:t>
      </w:r>
      <w:r>
        <w:rPr>
          <w:rFonts w:hint="eastAsia" w:hAnsi="宋体"/>
          <w:bCs/>
          <w:sz w:val="24"/>
          <w:szCs w:val="22"/>
        </w:rPr>
        <w:t>：</w:t>
      </w:r>
      <w:r>
        <w:rPr>
          <w:rFonts w:hint="eastAsia"/>
          <w:sz w:val="24"/>
        </w:rPr>
        <w:t>各分部分项工程的质量保证措施</w:t>
      </w:r>
      <w:r>
        <w:rPr>
          <w:rFonts w:hint="eastAsia" w:hAnsi="宋体"/>
          <w:bCs/>
          <w:sz w:val="24"/>
          <w:szCs w:val="22"/>
        </w:rPr>
        <w:t>合理准确、内容完整详实的得4分；</w:t>
      </w:r>
      <w:r>
        <w:rPr>
          <w:rFonts w:hint="eastAsia"/>
          <w:sz w:val="24"/>
        </w:rPr>
        <w:t>各分部分项工程的质量保证措施</w:t>
      </w:r>
      <w:r>
        <w:rPr>
          <w:rFonts w:hint="eastAsia" w:hAnsi="宋体"/>
          <w:bCs/>
          <w:sz w:val="24"/>
          <w:szCs w:val="22"/>
        </w:rPr>
        <w:t>基本全面完整的得2分；</w:t>
      </w:r>
      <w:r>
        <w:rPr>
          <w:rFonts w:hint="eastAsia"/>
          <w:sz w:val="24"/>
        </w:rPr>
        <w:t>各分部分项工程的质量保证措施</w:t>
      </w:r>
      <w:r>
        <w:rPr>
          <w:rFonts w:hint="eastAsia" w:hAnsi="宋体"/>
          <w:bCs/>
          <w:sz w:val="24"/>
          <w:szCs w:val="22"/>
        </w:rPr>
        <w:t>有所欠缺的得1分；未提供</w:t>
      </w:r>
      <w:r>
        <w:rPr>
          <w:rFonts w:hint="eastAsia"/>
          <w:sz w:val="24"/>
        </w:rPr>
        <w:t>各分部分项工程的质量保证措施</w:t>
      </w:r>
      <w:r>
        <w:rPr>
          <w:rFonts w:hint="eastAsia" w:hAnsi="宋体"/>
          <w:bCs/>
          <w:sz w:val="24"/>
          <w:szCs w:val="22"/>
        </w:rPr>
        <w:t>或措施不合理或不满足采购需求的，该项不得分。</w:t>
      </w:r>
    </w:p>
    <w:p>
      <w:pPr>
        <w:spacing w:line="360" w:lineRule="auto"/>
        <w:ind w:firstLine="482" w:firstLineChars="200"/>
        <w:rPr>
          <w:b/>
          <w:sz w:val="24"/>
        </w:rPr>
      </w:pPr>
      <w:r>
        <w:rPr>
          <w:rFonts w:hint="eastAsia"/>
          <w:b/>
          <w:sz w:val="24"/>
        </w:rPr>
        <w:t>5）安全文明施工及环境保护措施； 8分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w:t>
      </w:r>
      <w:r>
        <w:rPr>
          <w:rFonts w:hint="eastAsia"/>
          <w:sz w:val="24"/>
        </w:rPr>
        <w:t>安全文明施工方案：</w:t>
      </w:r>
      <w:r>
        <w:rPr>
          <w:rFonts w:hint="eastAsia" w:hAnsi="宋体"/>
          <w:bCs/>
          <w:sz w:val="24"/>
          <w:szCs w:val="22"/>
        </w:rPr>
        <w:t>结合项目现场及采购需求，</w:t>
      </w:r>
      <w:r>
        <w:rPr>
          <w:rFonts w:hint="eastAsia"/>
          <w:sz w:val="24"/>
        </w:rPr>
        <w:t>安全文明施工方案</w:t>
      </w:r>
      <w:r>
        <w:rPr>
          <w:rFonts w:hint="eastAsia" w:hAnsi="宋体"/>
          <w:bCs/>
          <w:sz w:val="24"/>
          <w:szCs w:val="22"/>
        </w:rPr>
        <w:t>内容完整详实且符合实际的得4分；</w:t>
      </w:r>
      <w:r>
        <w:rPr>
          <w:rFonts w:hint="eastAsia"/>
          <w:sz w:val="24"/>
        </w:rPr>
        <w:t>安全文明施工方案</w:t>
      </w:r>
      <w:r>
        <w:rPr>
          <w:rFonts w:hint="eastAsia" w:hAnsi="宋体"/>
          <w:bCs/>
          <w:sz w:val="24"/>
          <w:szCs w:val="22"/>
        </w:rPr>
        <w:t>基本全面完整的得2分；</w:t>
      </w:r>
      <w:r>
        <w:rPr>
          <w:rFonts w:hint="eastAsia"/>
          <w:sz w:val="24"/>
        </w:rPr>
        <w:t>安全文明施工方案</w:t>
      </w:r>
      <w:r>
        <w:rPr>
          <w:rFonts w:hint="eastAsia" w:hAnsi="宋体"/>
          <w:bCs/>
          <w:sz w:val="24"/>
          <w:szCs w:val="22"/>
        </w:rPr>
        <w:t>有所欠缺的得1分；未提供</w:t>
      </w:r>
      <w:r>
        <w:rPr>
          <w:rFonts w:hint="eastAsia"/>
          <w:sz w:val="24"/>
        </w:rPr>
        <w:t>安全文明施工方案</w:t>
      </w:r>
      <w:r>
        <w:rPr>
          <w:rFonts w:hint="eastAsia" w:hAnsi="宋体"/>
          <w:bCs/>
          <w:sz w:val="24"/>
          <w:szCs w:val="22"/>
        </w:rPr>
        <w:t>或方案不合理或不满足采购需求的，该项不得分。（0-4分）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w:t>
      </w:r>
      <w:r>
        <w:rPr>
          <w:rFonts w:hint="eastAsia"/>
          <w:sz w:val="24"/>
        </w:rPr>
        <w:t>环境保护措施</w:t>
      </w:r>
      <w:r>
        <w:rPr>
          <w:rFonts w:hint="eastAsia" w:hAnsi="宋体"/>
          <w:bCs/>
          <w:sz w:val="24"/>
          <w:szCs w:val="22"/>
        </w:rPr>
        <w:t>：</w:t>
      </w:r>
      <w:r>
        <w:rPr>
          <w:rFonts w:hint="eastAsia"/>
          <w:sz w:val="24"/>
        </w:rPr>
        <w:t>环境保护措施</w:t>
      </w:r>
      <w:r>
        <w:rPr>
          <w:rFonts w:hint="eastAsia" w:hAnsi="宋体"/>
          <w:bCs/>
          <w:sz w:val="24"/>
          <w:szCs w:val="22"/>
        </w:rPr>
        <w:t>合理准确、内容完整详实的得4分；</w:t>
      </w:r>
      <w:r>
        <w:rPr>
          <w:rFonts w:hint="eastAsia"/>
          <w:sz w:val="24"/>
        </w:rPr>
        <w:t>环境保护措施</w:t>
      </w:r>
      <w:r>
        <w:rPr>
          <w:rFonts w:hint="eastAsia" w:hAnsi="宋体"/>
          <w:bCs/>
          <w:sz w:val="24"/>
          <w:szCs w:val="22"/>
        </w:rPr>
        <w:t>基本全面完整的得2分；</w:t>
      </w:r>
      <w:r>
        <w:rPr>
          <w:rFonts w:hint="eastAsia"/>
          <w:sz w:val="24"/>
        </w:rPr>
        <w:t>环境保护措施</w:t>
      </w:r>
      <w:r>
        <w:rPr>
          <w:rFonts w:hint="eastAsia" w:hAnsi="宋体"/>
          <w:bCs/>
          <w:sz w:val="24"/>
          <w:szCs w:val="22"/>
        </w:rPr>
        <w:t>有所欠缺的得1分；未提供</w:t>
      </w:r>
      <w:r>
        <w:rPr>
          <w:rFonts w:hint="eastAsia"/>
          <w:sz w:val="24"/>
        </w:rPr>
        <w:t>环境保护措施</w:t>
      </w:r>
      <w:r>
        <w:rPr>
          <w:rFonts w:hint="eastAsia" w:hAnsi="宋体"/>
          <w:bCs/>
          <w:sz w:val="24"/>
          <w:szCs w:val="22"/>
        </w:rPr>
        <w:t>或措施不合理或不满足采购需求的，该项不得分。（0-4分）</w:t>
      </w:r>
    </w:p>
    <w:p>
      <w:pPr>
        <w:spacing w:line="360" w:lineRule="auto"/>
        <w:ind w:firstLine="482" w:firstLineChars="200"/>
        <w:rPr>
          <w:b/>
          <w:sz w:val="24"/>
        </w:rPr>
      </w:pPr>
      <w:r>
        <w:rPr>
          <w:rFonts w:hint="eastAsia"/>
          <w:b/>
          <w:sz w:val="24"/>
        </w:rPr>
        <w:t>6</w:t>
      </w:r>
      <w:r>
        <w:rPr>
          <w:b/>
          <w:sz w:val="24"/>
        </w:rPr>
        <w:t>）</w:t>
      </w:r>
      <w:r>
        <w:rPr>
          <w:rFonts w:hint="eastAsia"/>
          <w:b/>
          <w:sz w:val="24"/>
        </w:rPr>
        <w:t>劳动力、机械设备和材料投入计划。8分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①</w:t>
      </w:r>
      <w:r>
        <w:rPr>
          <w:rFonts w:hint="eastAsia"/>
          <w:sz w:val="24"/>
        </w:rPr>
        <w:t>劳动力投入计划：</w:t>
      </w:r>
      <w:r>
        <w:rPr>
          <w:rFonts w:hint="eastAsia" w:hAnsi="宋体"/>
          <w:bCs/>
          <w:sz w:val="24"/>
          <w:szCs w:val="22"/>
        </w:rPr>
        <w:t>结合项目现场、进度计划及采购需求，</w:t>
      </w:r>
      <w:r>
        <w:rPr>
          <w:rFonts w:hint="eastAsia"/>
          <w:sz w:val="24"/>
        </w:rPr>
        <w:t>劳动力投入计划</w:t>
      </w:r>
      <w:r>
        <w:rPr>
          <w:rFonts w:hint="eastAsia" w:hAnsi="宋体"/>
          <w:bCs/>
          <w:sz w:val="24"/>
          <w:szCs w:val="22"/>
        </w:rPr>
        <w:t>内容完整详实且符合实际的得3分；</w:t>
      </w:r>
      <w:r>
        <w:rPr>
          <w:rFonts w:hint="eastAsia"/>
          <w:sz w:val="24"/>
        </w:rPr>
        <w:t>劳动力投入计划</w:t>
      </w:r>
      <w:r>
        <w:rPr>
          <w:rFonts w:hint="eastAsia" w:hAnsi="宋体"/>
          <w:bCs/>
          <w:sz w:val="24"/>
          <w:szCs w:val="22"/>
        </w:rPr>
        <w:t>基本全面完整的得2分；</w:t>
      </w:r>
      <w:r>
        <w:rPr>
          <w:rFonts w:hint="eastAsia"/>
          <w:sz w:val="24"/>
        </w:rPr>
        <w:t>劳动力投入计划</w:t>
      </w:r>
      <w:r>
        <w:rPr>
          <w:rFonts w:hint="eastAsia" w:hAnsi="宋体"/>
          <w:bCs/>
          <w:sz w:val="24"/>
          <w:szCs w:val="22"/>
        </w:rPr>
        <w:t>有所欠缺的得1分；未提供</w:t>
      </w:r>
      <w:r>
        <w:rPr>
          <w:rFonts w:hint="eastAsia"/>
          <w:sz w:val="24"/>
        </w:rPr>
        <w:t>劳动力投入计划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②</w:t>
      </w:r>
      <w:r>
        <w:rPr>
          <w:rFonts w:hint="eastAsia"/>
          <w:sz w:val="24"/>
        </w:rPr>
        <w:t>机械设备投入计划</w:t>
      </w:r>
      <w:r>
        <w:rPr>
          <w:rFonts w:hint="eastAsia" w:hAnsi="宋体"/>
          <w:bCs/>
          <w:sz w:val="24"/>
          <w:szCs w:val="22"/>
        </w:rPr>
        <w:t>：结合项目现场、进度计划及采购需求，</w:t>
      </w:r>
      <w:r>
        <w:rPr>
          <w:rFonts w:hint="eastAsia"/>
          <w:sz w:val="24"/>
        </w:rPr>
        <w:t>机械设备投入计划</w:t>
      </w:r>
      <w:r>
        <w:rPr>
          <w:rFonts w:hint="eastAsia" w:hAnsi="宋体"/>
          <w:bCs/>
          <w:sz w:val="24"/>
          <w:szCs w:val="22"/>
        </w:rPr>
        <w:t>内容完整详实且符合实际的得3分；</w:t>
      </w:r>
      <w:r>
        <w:rPr>
          <w:rFonts w:hint="eastAsia"/>
          <w:sz w:val="24"/>
        </w:rPr>
        <w:t>机械设备投入计划</w:t>
      </w:r>
      <w:r>
        <w:rPr>
          <w:rFonts w:hint="eastAsia" w:hAnsi="宋体"/>
          <w:bCs/>
          <w:sz w:val="24"/>
          <w:szCs w:val="22"/>
        </w:rPr>
        <w:t>基本全面完整的得2分；</w:t>
      </w:r>
      <w:r>
        <w:rPr>
          <w:rFonts w:hint="eastAsia"/>
          <w:sz w:val="24"/>
        </w:rPr>
        <w:t>机械设备投入计划</w:t>
      </w:r>
      <w:r>
        <w:rPr>
          <w:rFonts w:hint="eastAsia" w:hAnsi="宋体"/>
          <w:bCs/>
          <w:sz w:val="24"/>
          <w:szCs w:val="22"/>
        </w:rPr>
        <w:t>有所欠缺的得1分；未提供</w:t>
      </w:r>
      <w:r>
        <w:rPr>
          <w:rFonts w:hint="eastAsia"/>
          <w:sz w:val="24"/>
        </w:rPr>
        <w:t>机械设备投入计划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p>
      <w:pPr>
        <w:tabs>
          <w:tab w:val="left" w:pos="840"/>
          <w:tab w:val="left" w:pos="1050"/>
        </w:tabs>
        <w:spacing w:line="360" w:lineRule="auto"/>
        <w:ind w:firstLine="480" w:firstLineChars="200"/>
        <w:rPr>
          <w:rFonts w:hAnsi="宋体"/>
          <w:bCs/>
          <w:sz w:val="24"/>
          <w:szCs w:val="22"/>
        </w:rPr>
      </w:pPr>
      <w:r>
        <w:rPr>
          <w:rFonts w:hint="eastAsia" w:hAnsi="宋体"/>
          <w:bCs/>
          <w:sz w:val="24"/>
          <w:szCs w:val="22"/>
        </w:rPr>
        <w:t>③</w:t>
      </w:r>
      <w:r>
        <w:rPr>
          <w:rFonts w:hint="eastAsia"/>
          <w:sz w:val="24"/>
        </w:rPr>
        <w:t>材料投入计划：</w:t>
      </w:r>
      <w:r>
        <w:rPr>
          <w:rFonts w:hint="eastAsia" w:hAnsi="宋体"/>
          <w:bCs/>
          <w:sz w:val="24"/>
          <w:szCs w:val="22"/>
        </w:rPr>
        <w:t>结合项目现场、进度计划及采购需求，</w:t>
      </w:r>
      <w:r>
        <w:rPr>
          <w:rFonts w:hint="eastAsia"/>
          <w:sz w:val="24"/>
        </w:rPr>
        <w:t>材料投入计划</w:t>
      </w:r>
      <w:r>
        <w:rPr>
          <w:rFonts w:hint="eastAsia" w:hAnsi="宋体"/>
          <w:bCs/>
          <w:sz w:val="24"/>
          <w:szCs w:val="22"/>
        </w:rPr>
        <w:t>内容完整详实且符合实际的得2分；</w:t>
      </w:r>
      <w:r>
        <w:rPr>
          <w:rFonts w:hint="eastAsia"/>
          <w:sz w:val="24"/>
        </w:rPr>
        <w:t>材料投入计划</w:t>
      </w:r>
      <w:r>
        <w:rPr>
          <w:rFonts w:hint="eastAsia" w:hAnsi="宋体"/>
          <w:bCs/>
          <w:sz w:val="24"/>
          <w:szCs w:val="22"/>
        </w:rPr>
        <w:t>基本全面完整的得1分；未提供</w:t>
      </w:r>
      <w:r>
        <w:rPr>
          <w:rFonts w:hint="eastAsia"/>
          <w:sz w:val="24"/>
        </w:rPr>
        <w:t>材料投入计划</w:t>
      </w:r>
      <w:r>
        <w:rPr>
          <w:rFonts w:hint="eastAsia" w:hAnsi="宋体"/>
          <w:bCs/>
          <w:sz w:val="24"/>
          <w:szCs w:val="22"/>
        </w:rPr>
        <w:t>或</w:t>
      </w:r>
      <w:r>
        <w:rPr>
          <w:rFonts w:hint="eastAsia"/>
          <w:sz w:val="24"/>
        </w:rPr>
        <w:t>计划</w:t>
      </w:r>
      <w:r>
        <w:rPr>
          <w:rFonts w:hint="eastAsia" w:hAnsi="宋体"/>
          <w:bCs/>
          <w:sz w:val="24"/>
          <w:szCs w:val="22"/>
        </w:rPr>
        <w:t>不合理或不满足采购需求的，该项不得分。</w:t>
      </w:r>
    </w:p>
    <w:p>
      <w:pPr>
        <w:widowControl/>
        <w:tabs>
          <w:tab w:val="left" w:pos="630"/>
        </w:tabs>
        <w:adjustRightInd w:val="0"/>
        <w:spacing w:line="360" w:lineRule="auto"/>
        <w:ind w:firstLine="482" w:firstLineChars="200"/>
        <w:jc w:val="left"/>
        <w:rPr>
          <w:rFonts w:hint="eastAsia" w:hAnsi="宋体" w:cs="宋体"/>
          <w:b/>
          <w:bCs/>
          <w:sz w:val="24"/>
        </w:rPr>
      </w:pPr>
      <w:r>
        <w:rPr>
          <w:rFonts w:hint="eastAsia" w:hAnsi="宋体"/>
          <w:b/>
          <w:sz w:val="24"/>
        </w:rPr>
        <w:t>评委按照上述评分内容对施工组织设计进行评分，</w:t>
      </w:r>
      <w:r>
        <w:rPr>
          <w:rFonts w:hint="eastAsia" w:hAnsi="宋体"/>
          <w:b/>
          <w:bCs/>
          <w:sz w:val="24"/>
        </w:rPr>
        <w:t>取所有技术标评委打分分值的平均值</w:t>
      </w:r>
      <w:r>
        <w:rPr>
          <w:rFonts w:hint="eastAsia" w:hAnsi="宋体"/>
          <w:b/>
          <w:sz w:val="24"/>
        </w:rPr>
        <w:t>。</w:t>
      </w:r>
    </w:p>
    <w:p>
      <w:pPr>
        <w:spacing w:line="360" w:lineRule="auto"/>
        <w:ind w:left="-3" w:leftChars="-1" w:firstLine="422" w:firstLineChars="175"/>
        <w:outlineLvl w:val="0"/>
        <w:rPr>
          <w:rFonts w:hAnsi="宋体" w:cs="宋体"/>
          <w:bCs/>
          <w:color w:val="auto"/>
          <w:sz w:val="24"/>
        </w:rPr>
      </w:pPr>
      <w:r>
        <w:rPr>
          <w:rFonts w:hint="eastAsia" w:hAnsi="宋体" w:cs="宋体"/>
          <w:b/>
          <w:color w:val="auto"/>
          <w:sz w:val="24"/>
          <w:shd w:val="clear" w:color="auto" w:fill="FFFFFF"/>
        </w:rPr>
        <w:t>（4）加分因素（2分）：</w:t>
      </w:r>
      <w:r>
        <w:rPr>
          <w:rFonts w:hint="eastAsia" w:hAnsi="宋体"/>
          <w:color w:val="auto"/>
          <w:sz w:val="24"/>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w:t>
      </w:r>
      <w:bookmarkStart w:id="37" w:name="_GoBack"/>
      <w:bookmarkEnd w:id="37"/>
      <w:r>
        <w:rPr>
          <w:rFonts w:hint="eastAsia" w:hAnsi="宋体"/>
          <w:color w:val="auto"/>
          <w:sz w:val="24"/>
        </w:rPr>
        <w:t>施政府采购环境标志产品认证机构名录》）出具的、处于有效期之内的节能产品、环境标志产品认证证书的，落实政府优先采购政策，分别予以加1分（同一产品同时具有节能产品、环境标志产品认证证书的不重复加分），强制采购的产品除外。</w:t>
      </w:r>
    </w:p>
    <w:p>
      <w:pPr>
        <w:spacing w:line="360" w:lineRule="auto"/>
        <w:ind w:left="-3" w:leftChars="-1" w:firstLine="420" w:firstLineChars="175"/>
        <w:outlineLvl w:val="0"/>
        <w:rPr>
          <w:rFonts w:hAnsi="宋体" w:cs="宋体"/>
          <w:bCs/>
          <w:color w:val="auto"/>
          <w:sz w:val="24"/>
        </w:rPr>
      </w:pPr>
      <w:r>
        <w:rPr>
          <w:rFonts w:hint="eastAsia" w:hAnsi="宋体" w:cs="宋体"/>
          <w:bCs/>
          <w:color w:val="auto"/>
          <w:sz w:val="24"/>
        </w:rPr>
        <w:t xml:space="preserve">（九） </w:t>
      </w:r>
      <w:r>
        <w:rPr>
          <w:rFonts w:hint="eastAsia" w:hAnsi="宋体" w:cs="宋体"/>
          <w:color w:val="auto"/>
          <w:sz w:val="24"/>
        </w:rPr>
        <w:t>确定</w:t>
      </w:r>
      <w:r>
        <w:rPr>
          <w:rFonts w:hint="eastAsia" w:hAnsi="宋体" w:cs="宋体"/>
          <w:bCs/>
          <w:color w:val="auto"/>
          <w:sz w:val="24"/>
        </w:rPr>
        <w:t>成交供应商：</w:t>
      </w:r>
    </w:p>
    <w:p>
      <w:pPr>
        <w:spacing w:line="360" w:lineRule="auto"/>
        <w:ind w:firstLine="720" w:firstLineChars="300"/>
        <w:rPr>
          <w:rFonts w:hAnsi="宋体"/>
          <w:bCs/>
          <w:color w:val="auto"/>
          <w:sz w:val="24"/>
        </w:rPr>
      </w:pPr>
      <w:r>
        <w:rPr>
          <w:rFonts w:hint="eastAsia" w:hAnsi="宋体"/>
          <w:bCs/>
          <w:color w:val="auto"/>
          <w:sz w:val="24"/>
        </w:rPr>
        <w:t>1．磋商小组根据磋商文件规定的评审方法和评分标准进行评审，按磋商文件的要求在3家成交候选单位中，依法确定成交供应商。自评审结束之日起2个工作日内将评审报告送交采购人。采购人自收到评审报告之日起5个工作日内按磋商文件的要求，在评审报告推荐的成交候选单位中，依法确定成交供应商。江阴方正建设工程造价事务所有限公司自成交供应商确定之日起2个工作日内，发出成交通知书，并在媒体（江苏政府采购网、无锡政府采购网）上发布成交结果公告。如有质疑，按《中华人民共和国政府采购法》、财政部《政府采购货物和服务招标投标管理办法》等有关法规处理。</w:t>
      </w:r>
    </w:p>
    <w:p>
      <w:pPr>
        <w:tabs>
          <w:tab w:val="left" w:pos="1155"/>
        </w:tabs>
        <w:spacing w:line="360" w:lineRule="auto"/>
        <w:ind w:firstLine="480" w:firstLineChars="200"/>
        <w:rPr>
          <w:rFonts w:hAnsi="宋体"/>
          <w:bCs/>
          <w:color w:val="auto"/>
          <w:sz w:val="24"/>
        </w:rPr>
      </w:pPr>
      <w:r>
        <w:rPr>
          <w:rFonts w:hAnsi="宋体"/>
          <w:bCs/>
          <w:color w:val="auto"/>
          <w:sz w:val="24"/>
        </w:rPr>
        <w:t>2</w:t>
      </w:r>
      <w:r>
        <w:rPr>
          <w:rFonts w:hint="eastAsia" w:hAnsi="宋体"/>
          <w:bCs/>
          <w:color w:val="auto"/>
          <w:sz w:val="24"/>
        </w:rPr>
        <w:t>．投标、开标及定标的整个过程均由</w:t>
      </w:r>
      <w:r>
        <w:rPr>
          <w:rFonts w:hint="eastAsia" w:hAnsi="宋体"/>
          <w:color w:val="auto"/>
          <w:sz w:val="24"/>
        </w:rPr>
        <w:t>采购监管部门的监督</w:t>
      </w:r>
      <w:r>
        <w:rPr>
          <w:rFonts w:hint="eastAsia" w:hAnsi="宋体"/>
          <w:bCs/>
          <w:color w:val="auto"/>
          <w:sz w:val="24"/>
        </w:rPr>
        <w:t>。</w:t>
      </w:r>
    </w:p>
    <w:p>
      <w:pPr>
        <w:tabs>
          <w:tab w:val="left" w:pos="525"/>
          <w:tab w:val="left" w:pos="945"/>
          <w:tab w:val="left" w:pos="1155"/>
        </w:tabs>
        <w:spacing w:line="360" w:lineRule="auto"/>
        <w:ind w:firstLine="480" w:firstLineChars="200"/>
        <w:rPr>
          <w:rFonts w:hAnsi="宋体"/>
          <w:bCs/>
          <w:color w:val="auto"/>
          <w:sz w:val="24"/>
          <w:szCs w:val="24"/>
        </w:rPr>
      </w:pPr>
      <w:r>
        <w:rPr>
          <w:rFonts w:hAnsi="宋体"/>
          <w:bCs/>
          <w:color w:val="auto"/>
          <w:sz w:val="24"/>
        </w:rPr>
        <w:t>3</w:t>
      </w:r>
      <w:r>
        <w:rPr>
          <w:rFonts w:hint="eastAsia" w:hAnsi="宋体"/>
          <w:bCs/>
          <w:color w:val="auto"/>
          <w:sz w:val="24"/>
        </w:rPr>
        <w:t>．在发布成交公告的同时，江阴方正建设工程造价事务所有限公司将向成交供应商发出中标通知书。</w:t>
      </w:r>
    </w:p>
    <w:p>
      <w:pPr>
        <w:spacing w:line="360" w:lineRule="auto"/>
        <w:ind w:left="-3" w:leftChars="-1" w:firstLine="420" w:firstLineChars="175"/>
        <w:outlineLvl w:val="0"/>
        <w:rPr>
          <w:rFonts w:hAnsi="宋体" w:cs="宋体"/>
          <w:bCs/>
          <w:color w:val="auto"/>
          <w:sz w:val="24"/>
        </w:rPr>
      </w:pPr>
      <w:r>
        <w:rPr>
          <w:rFonts w:hint="eastAsia" w:hAnsi="宋体" w:cs="宋体"/>
          <w:bCs/>
          <w:color w:val="auto"/>
          <w:sz w:val="24"/>
        </w:rPr>
        <w:t>（十） 废标的确认：</w:t>
      </w:r>
    </w:p>
    <w:p>
      <w:pPr>
        <w:spacing w:line="360" w:lineRule="auto"/>
        <w:ind w:firstLine="480" w:firstLineChars="200"/>
        <w:rPr>
          <w:rFonts w:hAnsi="宋体" w:cs="宋体"/>
          <w:bCs/>
          <w:color w:val="auto"/>
          <w:sz w:val="24"/>
        </w:rPr>
      </w:pPr>
      <w:r>
        <w:rPr>
          <w:rFonts w:hint="eastAsia" w:hAnsi="宋体" w:cs="宋体"/>
          <w:bCs/>
          <w:color w:val="auto"/>
          <w:sz w:val="24"/>
        </w:rPr>
        <w:t>在采购中，出现下列情况之一的，应予废标：</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1.符合专业条件的供应商或者对磋商文件作出实质性响应的供应商不足三家；</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2.出现影响采购公正的违法、违规行为；</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3.供应商的报价均超过采购预算，采购人不能支付的；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4.因重大变故，采购任务取消。</w:t>
      </w:r>
    </w:p>
    <w:p>
      <w:pPr>
        <w:spacing w:line="360" w:lineRule="auto"/>
        <w:ind w:firstLine="480" w:firstLineChars="200"/>
        <w:outlineLvl w:val="0"/>
        <w:rPr>
          <w:rFonts w:hAnsi="宋体"/>
          <w:bCs/>
          <w:color w:val="auto"/>
          <w:sz w:val="24"/>
          <w:szCs w:val="24"/>
        </w:rPr>
      </w:pPr>
      <w:r>
        <w:rPr>
          <w:rFonts w:hint="eastAsia" w:hAnsi="宋体"/>
          <w:bCs/>
          <w:color w:val="auto"/>
          <w:sz w:val="24"/>
          <w:szCs w:val="24"/>
        </w:rPr>
        <w:t>（十一）磋商保证金：</w:t>
      </w:r>
    </w:p>
    <w:p>
      <w:pPr>
        <w:tabs>
          <w:tab w:val="left" w:pos="735"/>
          <w:tab w:val="left" w:pos="945"/>
          <w:tab w:val="left" w:pos="1155"/>
        </w:tabs>
        <w:spacing w:line="360" w:lineRule="auto"/>
        <w:ind w:left="741" w:leftChars="218"/>
        <w:rPr>
          <w:rFonts w:hAnsi="宋体"/>
          <w:bCs/>
          <w:color w:val="auto"/>
          <w:sz w:val="24"/>
          <w:szCs w:val="24"/>
        </w:rPr>
      </w:pPr>
      <w:r>
        <w:rPr>
          <w:rFonts w:hint="eastAsia" w:hAnsi="宋体"/>
          <w:color w:val="auto"/>
          <w:sz w:val="24"/>
        </w:rPr>
        <w:t>本项目无需缴纳磋商保证金</w:t>
      </w:r>
      <w:r>
        <w:rPr>
          <w:rFonts w:hint="eastAsia" w:hAnsi="宋体"/>
          <w:bCs/>
          <w:color w:val="auto"/>
          <w:sz w:val="24"/>
        </w:rPr>
        <w:t>。</w:t>
      </w:r>
    </w:p>
    <w:p>
      <w:pPr>
        <w:spacing w:line="360" w:lineRule="auto"/>
        <w:ind w:left="-3" w:leftChars="-1" w:firstLine="420" w:firstLineChars="175"/>
        <w:outlineLvl w:val="0"/>
        <w:rPr>
          <w:rFonts w:hAnsi="宋体" w:cs="宋体"/>
          <w:bCs/>
          <w:color w:val="auto"/>
          <w:sz w:val="24"/>
        </w:rPr>
      </w:pPr>
      <w:r>
        <w:rPr>
          <w:rFonts w:hint="eastAsia" w:hAnsi="宋体" w:cs="宋体"/>
          <w:color w:val="auto"/>
          <w:sz w:val="24"/>
        </w:rPr>
        <w:t>（十二）</w:t>
      </w:r>
      <w:r>
        <w:rPr>
          <w:rFonts w:hint="eastAsia" w:hAnsi="宋体" w:cs="宋体"/>
          <w:bCs/>
          <w:color w:val="auto"/>
          <w:sz w:val="24"/>
        </w:rPr>
        <w:t>成交无效的确认：</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1.提供虚假材料谋取成交的；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2.采取不正当手段诋毁、排挤其他供应商的；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3.与招标采购单位、其他供应商恶意串通的；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4.向招标采购单位行贿或者提供其他不正当利益的；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5.拒绝有关部门监督检查或者提供虚假情况的；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6.采购人、采购代理机构发现磋商小组未按照磋商文件规定的评审标准进行评审的；</w:t>
      </w:r>
    </w:p>
    <w:p>
      <w:pPr>
        <w:tabs>
          <w:tab w:val="left" w:pos="525"/>
          <w:tab w:val="left" w:pos="1155"/>
          <w:tab w:val="left" w:pos="1260"/>
        </w:tabs>
        <w:spacing w:line="360" w:lineRule="auto"/>
        <w:ind w:firstLine="480" w:firstLineChars="200"/>
        <w:rPr>
          <w:rFonts w:hAnsi="宋体" w:cs="宋体"/>
          <w:bCs/>
          <w:color w:val="auto"/>
          <w:sz w:val="24"/>
          <w:szCs w:val="22"/>
        </w:rPr>
      </w:pPr>
      <w:r>
        <w:rPr>
          <w:rFonts w:hint="eastAsia" w:hAnsi="宋体" w:cs="宋体"/>
          <w:bCs/>
          <w:color w:val="auto"/>
          <w:sz w:val="24"/>
          <w:szCs w:val="22"/>
        </w:rPr>
        <w:t>7.成交供应商拒绝签订政府采购合同的。</w:t>
      </w:r>
    </w:p>
    <w:p>
      <w:pPr>
        <w:spacing w:line="360" w:lineRule="auto"/>
        <w:rPr>
          <w:rFonts w:hAnsi="宋体" w:cs="宋体"/>
          <w:bCs/>
          <w:color w:val="auto"/>
          <w:sz w:val="24"/>
        </w:rPr>
      </w:pPr>
      <w:r>
        <w:rPr>
          <w:rFonts w:hint="eastAsia" w:hAnsi="宋体" w:cs="宋体"/>
          <w:bCs/>
          <w:color w:val="auto"/>
          <w:sz w:val="24"/>
        </w:rPr>
        <w:t xml:space="preserve">    供应商有上述（1）至（6）项情形之一的，成交无效。有上述（1）至（7）项情形之一的，处以政府采购项目成交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napToGrid w:val="0"/>
        <w:spacing w:line="360" w:lineRule="auto"/>
        <w:ind w:left="-3" w:leftChars="-1" w:firstLine="420" w:firstLineChars="175"/>
        <w:outlineLvl w:val="0"/>
        <w:rPr>
          <w:rFonts w:hAnsi="宋体" w:cs="宋体"/>
          <w:bCs/>
          <w:color w:val="auto"/>
          <w:sz w:val="24"/>
        </w:rPr>
      </w:pPr>
      <w:r>
        <w:rPr>
          <w:rFonts w:hint="eastAsia" w:hAnsi="宋体" w:cs="宋体"/>
          <w:bCs/>
          <w:color w:val="auto"/>
          <w:sz w:val="24"/>
        </w:rPr>
        <w:t>（十三）签订</w:t>
      </w:r>
      <w:r>
        <w:rPr>
          <w:rFonts w:hint="eastAsia" w:hAnsi="宋体" w:cs="宋体"/>
          <w:color w:val="auto"/>
          <w:sz w:val="24"/>
        </w:rPr>
        <w:t>、履行</w:t>
      </w:r>
      <w:r>
        <w:rPr>
          <w:rFonts w:hint="eastAsia" w:hAnsi="宋体" w:cs="宋体"/>
          <w:bCs/>
          <w:color w:val="auto"/>
          <w:sz w:val="24"/>
        </w:rPr>
        <w:t>合同：</w:t>
      </w:r>
    </w:p>
    <w:p>
      <w:pPr>
        <w:tabs>
          <w:tab w:val="left" w:pos="525"/>
          <w:tab w:val="left" w:pos="1050"/>
        </w:tabs>
        <w:spacing w:line="360" w:lineRule="auto"/>
        <w:ind w:firstLine="480" w:firstLineChars="200"/>
        <w:rPr>
          <w:rFonts w:hAnsi="宋体"/>
          <w:bCs/>
          <w:color w:val="auto"/>
          <w:sz w:val="24"/>
        </w:rPr>
      </w:pPr>
      <w:r>
        <w:rPr>
          <w:rFonts w:hint="eastAsia" w:hAnsi="宋体"/>
          <w:bCs/>
          <w:color w:val="auto"/>
          <w:sz w:val="24"/>
        </w:rPr>
        <w:t>1.采购人</w:t>
      </w:r>
      <w:r>
        <w:rPr>
          <w:rFonts w:hAnsi="宋体" w:cs="微软雅黑"/>
          <w:color w:val="auto"/>
          <w:sz w:val="24"/>
        </w:rPr>
        <w:t>应当自中标通知书发出之日起</w:t>
      </w:r>
      <w:r>
        <w:rPr>
          <w:rFonts w:hint="eastAsia" w:hAnsi="宋体" w:cs="微软雅黑"/>
          <w:color w:val="auto"/>
          <w:sz w:val="24"/>
        </w:rPr>
        <w:t>三十日</w:t>
      </w:r>
      <w:r>
        <w:rPr>
          <w:rFonts w:hAnsi="宋体" w:cs="微软雅黑"/>
          <w:color w:val="auto"/>
          <w:sz w:val="24"/>
        </w:rPr>
        <w:t>内，按照</w:t>
      </w:r>
      <w:r>
        <w:rPr>
          <w:rFonts w:hint="eastAsia" w:hAnsi="宋体" w:cs="微软雅黑"/>
          <w:color w:val="auto"/>
          <w:sz w:val="24"/>
        </w:rPr>
        <w:t>磋商</w:t>
      </w:r>
      <w:r>
        <w:rPr>
          <w:rFonts w:hAnsi="宋体" w:cs="微软雅黑"/>
          <w:color w:val="auto"/>
          <w:sz w:val="24"/>
        </w:rPr>
        <w:t>文件和中标供应商</w:t>
      </w:r>
      <w:r>
        <w:rPr>
          <w:rFonts w:hint="eastAsia" w:hAnsi="宋体" w:cs="微软雅黑"/>
          <w:color w:val="auto"/>
          <w:sz w:val="24"/>
        </w:rPr>
        <w:t>响应文件</w:t>
      </w:r>
      <w:r>
        <w:rPr>
          <w:rFonts w:hAnsi="宋体" w:cs="微软雅黑"/>
          <w:color w:val="auto"/>
          <w:sz w:val="24"/>
        </w:rPr>
        <w:t>的约定，与中标供应商签订书面合同。所签订的合同不得对</w:t>
      </w:r>
      <w:r>
        <w:rPr>
          <w:rFonts w:hint="eastAsia" w:hAnsi="宋体" w:cs="微软雅黑"/>
          <w:color w:val="auto"/>
          <w:sz w:val="24"/>
        </w:rPr>
        <w:t>磋商</w:t>
      </w:r>
      <w:r>
        <w:rPr>
          <w:rFonts w:hAnsi="宋体" w:cs="微软雅黑"/>
          <w:color w:val="auto"/>
          <w:sz w:val="24"/>
        </w:rPr>
        <w:t>文件和中标供应商</w:t>
      </w:r>
      <w:r>
        <w:rPr>
          <w:rFonts w:hint="eastAsia" w:hAnsi="宋体" w:cs="微软雅黑"/>
          <w:color w:val="auto"/>
          <w:sz w:val="24"/>
        </w:rPr>
        <w:t>响应文件</w:t>
      </w:r>
      <w:r>
        <w:rPr>
          <w:rFonts w:hAnsi="宋体" w:cs="微软雅黑"/>
          <w:color w:val="auto"/>
          <w:sz w:val="24"/>
        </w:rPr>
        <w:t>作实质性修改。</w:t>
      </w:r>
      <w:r>
        <w:rPr>
          <w:rFonts w:hint="eastAsia" w:hAnsi="宋体" w:cs="微软雅黑"/>
          <w:color w:val="auto"/>
          <w:sz w:val="24"/>
        </w:rPr>
        <w:t>采购人</w:t>
      </w:r>
      <w:r>
        <w:rPr>
          <w:rFonts w:hAnsi="宋体" w:cs="微软雅黑"/>
          <w:color w:val="auto"/>
          <w:sz w:val="24"/>
        </w:rPr>
        <w:t>不得向中标供应商提出任何不合理的要求，作为签订合同的条件，不得与中标供应商私下订立背离合同实质性内容的协议。</w:t>
      </w:r>
      <w:r>
        <w:rPr>
          <w:rFonts w:hint="eastAsia" w:hAnsi="宋体" w:cs="微软雅黑"/>
          <w:color w:val="auto"/>
          <w:sz w:val="24"/>
        </w:rPr>
        <w:t>合同经江阴方正建设工程造价事务所有限公司见证后生效。</w:t>
      </w:r>
    </w:p>
    <w:p>
      <w:pPr>
        <w:tabs>
          <w:tab w:val="left" w:pos="780"/>
          <w:tab w:val="left" w:pos="1050"/>
          <w:tab w:val="left" w:pos="1140"/>
        </w:tabs>
        <w:spacing w:line="360" w:lineRule="auto"/>
        <w:ind w:firstLine="480" w:firstLineChars="200"/>
        <w:rPr>
          <w:rFonts w:hAnsi="宋体"/>
          <w:bCs/>
          <w:color w:val="auto"/>
          <w:sz w:val="24"/>
          <w:szCs w:val="24"/>
        </w:rPr>
      </w:pPr>
      <w:r>
        <w:rPr>
          <w:rFonts w:hint="eastAsia" w:hAnsi="宋体"/>
          <w:bCs/>
          <w:color w:val="auto"/>
          <w:sz w:val="24"/>
          <w:szCs w:val="24"/>
        </w:rPr>
        <w:t>2.江阴方正建设工程造价事务所有限公司监督合同的履行。成交方非因不可抗力未履行招、响应文件和合同规定的义务，一经查实，招标代理机构将根据具体情况提请政府采购管理部门作出相应处理。</w:t>
      </w:r>
    </w:p>
    <w:p>
      <w:pPr>
        <w:spacing w:line="360" w:lineRule="auto"/>
        <w:ind w:firstLine="480" w:firstLineChars="200"/>
        <w:rPr>
          <w:rFonts w:hAnsi="宋体"/>
          <w:bCs/>
          <w:color w:val="auto"/>
          <w:sz w:val="24"/>
          <w:szCs w:val="24"/>
        </w:rPr>
      </w:pPr>
      <w:r>
        <w:rPr>
          <w:rFonts w:hAnsi="宋体"/>
          <w:bCs/>
          <w:color w:val="auto"/>
          <w:sz w:val="24"/>
          <w:szCs w:val="24"/>
        </w:rPr>
        <w:t>3</w:t>
      </w:r>
      <w:r>
        <w:rPr>
          <w:rFonts w:hint="eastAsia" w:hAnsi="宋体"/>
          <w:bCs/>
          <w:color w:val="auto"/>
          <w:sz w:val="24"/>
          <w:szCs w:val="24"/>
        </w:rPr>
        <w:t>.</w:t>
      </w:r>
      <w:r>
        <w:rPr>
          <w:rFonts w:hint="eastAsia" w:hAnsi="宋体"/>
          <w:color w:val="auto"/>
          <w:sz w:val="24"/>
        </w:rPr>
        <w:t>若由于相应国家法律法规、地方法规、行业规章、政策文件等变动造成项目中止，项目参与各方均不承担违约责任。</w:t>
      </w:r>
    </w:p>
    <w:p>
      <w:pPr>
        <w:wordWrap w:val="0"/>
        <w:spacing w:line="360" w:lineRule="auto"/>
        <w:jc w:val="left"/>
        <w:rPr>
          <w:rFonts w:hAnsi="宋体"/>
          <w:color w:val="auto"/>
          <w:sz w:val="24"/>
        </w:rPr>
      </w:pPr>
      <w:r>
        <w:rPr>
          <w:rFonts w:hint="eastAsia" w:hAnsi="宋体"/>
          <w:bCs/>
          <w:color w:val="auto"/>
          <w:sz w:val="24"/>
          <w:szCs w:val="24"/>
        </w:rPr>
        <w:t>（十四）</w:t>
      </w:r>
      <w:r>
        <w:rPr>
          <w:rFonts w:hint="eastAsia" w:hAnsi="宋体"/>
          <w:color w:val="auto"/>
          <w:sz w:val="24"/>
        </w:rPr>
        <w:t>代理服务费：</w:t>
      </w:r>
    </w:p>
    <w:p>
      <w:pPr>
        <w:spacing w:line="324" w:lineRule="auto"/>
        <w:ind w:firstLine="482" w:firstLineChars="200"/>
        <w:rPr>
          <w:rFonts w:hAnsi="宋体"/>
          <w:b/>
          <w:bCs/>
          <w:color w:val="auto"/>
          <w:sz w:val="24"/>
        </w:rPr>
      </w:pPr>
      <w:r>
        <w:rPr>
          <w:rFonts w:hint="eastAsia" w:hAnsi="宋体"/>
          <w:b/>
          <w:bCs/>
          <w:color w:val="auto"/>
          <w:sz w:val="24"/>
        </w:rPr>
        <w:t>本项目招标代理费和评标费由中标供应商支付。具体计算方法如下：</w:t>
      </w:r>
    </w:p>
    <w:p>
      <w:pPr>
        <w:spacing w:line="360" w:lineRule="auto"/>
        <w:ind w:firstLine="482" w:firstLineChars="200"/>
        <w:jc w:val="left"/>
        <w:rPr>
          <w:rFonts w:hAnsi="宋体" w:cs="宋体"/>
          <w:b/>
          <w:bCs/>
          <w:color w:val="auto"/>
          <w:sz w:val="24"/>
          <w:szCs w:val="22"/>
        </w:rPr>
      </w:pPr>
      <w:r>
        <w:rPr>
          <w:rFonts w:hint="eastAsia" w:hAnsi="宋体" w:cs="宋体"/>
          <w:b/>
          <w:bCs/>
          <w:color w:val="auto"/>
          <w:sz w:val="24"/>
          <w:szCs w:val="22"/>
        </w:rPr>
        <w:t>采购代理费按照差额定率累进法计算，按下列费率打6.8折计取：100万元以下1%,100万-500万0.7%，500万-1000万0.55%，1000万-2000万0.35%；编标费按照差额定率累进法计算，按下列费率打6.8折计取：500万元以下3.8‰，500万-1000万3.4‰，1000万-2000万3.0‰。</w:t>
      </w:r>
    </w:p>
    <w:p>
      <w:pPr>
        <w:spacing w:line="360" w:lineRule="auto"/>
        <w:ind w:firstLine="482" w:firstLineChars="200"/>
        <w:rPr>
          <w:rFonts w:hAnsi="宋体" w:cs="宋体"/>
          <w:bCs/>
          <w:color w:val="auto"/>
          <w:sz w:val="24"/>
        </w:rPr>
      </w:pPr>
      <w:r>
        <w:rPr>
          <w:rFonts w:hint="eastAsia" w:hAnsi="宋体" w:cs="宋体"/>
          <w:b/>
          <w:color w:val="auto"/>
          <w:sz w:val="24"/>
          <w:szCs w:val="24"/>
        </w:rPr>
        <w:t>评标费根据实际情况由中标供应商在领取中标通知书时一次性支付。</w:t>
      </w:r>
    </w:p>
    <w:p>
      <w:pPr>
        <w:spacing w:line="360" w:lineRule="auto"/>
        <w:ind w:firstLine="480" w:firstLineChars="200"/>
        <w:rPr>
          <w:rFonts w:hAnsi="宋体" w:cs="宋体"/>
          <w:bCs/>
          <w:color w:val="auto"/>
          <w:sz w:val="24"/>
          <w:szCs w:val="24"/>
        </w:rPr>
      </w:pPr>
      <w:r>
        <w:rPr>
          <w:rFonts w:hint="eastAsia" w:hAnsi="宋体" w:cs="宋体"/>
          <w:bCs/>
          <w:color w:val="auto"/>
          <w:sz w:val="24"/>
        </w:rPr>
        <w:t>(十五) 政府采购信用担保</w:t>
      </w:r>
    </w:p>
    <w:p>
      <w:pPr>
        <w:spacing w:line="360" w:lineRule="auto"/>
        <w:ind w:firstLine="480" w:firstLineChars="200"/>
        <w:rPr>
          <w:rFonts w:hAnsi="宋体"/>
          <w:bCs/>
          <w:color w:val="auto"/>
          <w:sz w:val="24"/>
        </w:rPr>
      </w:pPr>
      <w:r>
        <w:rPr>
          <w:rFonts w:hint="eastAsia" w:hAnsi="宋体" w:cs="宋体"/>
          <w:bCs/>
          <w:color w:val="auto"/>
          <w:sz w:val="24"/>
        </w:rPr>
        <w:t>根据我市政府采购信用担保政策文件要求，履约担保要求如下：</w:t>
      </w:r>
    </w:p>
    <w:p>
      <w:pPr>
        <w:spacing w:line="360" w:lineRule="auto"/>
        <w:ind w:firstLine="480" w:firstLineChars="200"/>
        <w:rPr>
          <w:rFonts w:hAnsi="宋体"/>
          <w:bCs/>
          <w:color w:val="auto"/>
          <w:sz w:val="24"/>
        </w:rPr>
      </w:pPr>
      <w:r>
        <w:rPr>
          <w:rFonts w:hint="eastAsia" w:hAnsi="宋体"/>
          <w:bCs/>
          <w:color w:val="auto"/>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360" w:lineRule="auto"/>
        <w:ind w:firstLine="480" w:firstLineChars="200"/>
        <w:rPr>
          <w:color w:val="auto"/>
          <w:sz w:val="24"/>
        </w:rPr>
      </w:pPr>
      <w:r>
        <w:rPr>
          <w:rFonts w:hint="eastAsia" w:hAnsi="宋体"/>
          <w:bCs/>
          <w:color w:val="auto"/>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napToGrid w:val="0"/>
        <w:spacing w:line="360" w:lineRule="auto"/>
        <w:ind w:left="-3" w:leftChars="-1" w:firstLine="420" w:firstLineChars="175"/>
        <w:outlineLvl w:val="0"/>
        <w:rPr>
          <w:rFonts w:hAnsi="宋体" w:cs="宋体"/>
          <w:bCs/>
          <w:color w:val="auto"/>
          <w:sz w:val="24"/>
        </w:rPr>
      </w:pPr>
      <w:r>
        <w:rPr>
          <w:rFonts w:hint="eastAsia" w:hAnsi="宋体" w:cs="宋体"/>
          <w:bCs/>
          <w:color w:val="auto"/>
          <w:sz w:val="24"/>
        </w:rPr>
        <w:t>（十六）政府采购合同融资</w:t>
      </w:r>
    </w:p>
    <w:p>
      <w:pPr>
        <w:tabs>
          <w:tab w:val="left" w:pos="900"/>
        </w:tabs>
        <w:spacing w:line="360" w:lineRule="auto"/>
        <w:ind w:firstLine="720" w:firstLineChars="300"/>
        <w:rPr>
          <w:rFonts w:hAnsi="宋体" w:cs="宋体"/>
          <w:bCs/>
          <w:color w:val="auto"/>
          <w:sz w:val="24"/>
        </w:rPr>
      </w:pPr>
      <w:r>
        <w:rPr>
          <w:rFonts w:hint="eastAsia" w:hAnsi="宋体" w:cs="宋体"/>
          <w:bCs/>
          <w:color w:val="auto"/>
          <w:sz w:val="24"/>
        </w:rPr>
        <w:t>根据我市《关于开展政府采购合同融资工作的通知》（锡财购〔2020〕17号）要求，合同融资条款要求如下：</w:t>
      </w:r>
    </w:p>
    <w:p>
      <w:pPr>
        <w:spacing w:line="360" w:lineRule="auto"/>
        <w:ind w:firstLine="480" w:firstLineChars="200"/>
        <w:rPr>
          <w:rFonts w:hAnsi="宋体"/>
          <w:bCs/>
          <w:color w:val="auto"/>
          <w:sz w:val="24"/>
        </w:rPr>
      </w:pPr>
      <w:r>
        <w:rPr>
          <w:rFonts w:hint="eastAsia" w:hAnsi="宋体"/>
          <w:bCs/>
          <w:color w:val="auto"/>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846"/>
          <w:tab w:val="left" w:pos="1050"/>
        </w:tabs>
        <w:adjustRightInd w:val="0"/>
        <w:snapToGrid w:val="0"/>
        <w:spacing w:line="360" w:lineRule="auto"/>
        <w:ind w:firstLine="480" w:firstLineChars="200"/>
        <w:rPr>
          <w:rFonts w:hAnsi="宋体"/>
          <w:bCs/>
          <w:color w:val="auto"/>
          <w:sz w:val="24"/>
        </w:rPr>
      </w:pPr>
      <w:r>
        <w:rPr>
          <w:rFonts w:hint="eastAsia" w:hAnsi="宋体"/>
          <w:bCs/>
          <w:color w:val="auto"/>
          <w:sz w:val="24"/>
        </w:rPr>
        <w:t>中标、成交供应商可根据自身情况，自行决定是否选择采用合同融资形式，在无锡政府采购网——政采贷专栏提供的银行名录内自主选择合作银行。</w:t>
      </w:r>
    </w:p>
    <w:p>
      <w:pPr>
        <w:spacing w:line="360" w:lineRule="auto"/>
        <w:ind w:firstLine="480" w:firstLineChars="200"/>
        <w:rPr>
          <w:color w:val="auto"/>
        </w:rPr>
      </w:pPr>
      <w:r>
        <w:rPr>
          <w:rFonts w:hint="eastAsia" w:hAnsi="宋体"/>
          <w:color w:val="auto"/>
          <w:sz w:val="24"/>
        </w:rPr>
        <w:t>具体事项详见《关于开展政府采购合同融资工作的通知》（http://cz.wuxi.gov.cn/doc/2020/11/20/3111344.shtml）。</w:t>
      </w:r>
    </w:p>
    <w:p>
      <w:pPr>
        <w:spacing w:line="360" w:lineRule="auto"/>
        <w:ind w:firstLine="480" w:firstLineChars="200"/>
        <w:rPr>
          <w:rFonts w:hAnsi="宋体" w:cs="宋体"/>
          <w:color w:val="auto"/>
          <w:sz w:val="24"/>
        </w:rPr>
      </w:pPr>
      <w:r>
        <w:rPr>
          <w:rFonts w:hint="eastAsia" w:hAnsi="宋体" w:cs="宋体"/>
          <w:color w:val="auto"/>
          <w:sz w:val="24"/>
        </w:rPr>
        <w:t>（十七）其他：</w:t>
      </w:r>
    </w:p>
    <w:p>
      <w:pPr>
        <w:spacing w:line="360" w:lineRule="auto"/>
        <w:ind w:firstLine="480" w:firstLineChars="200"/>
        <w:jc w:val="left"/>
        <w:rPr>
          <w:rFonts w:hAnsi="宋体" w:cs="宋体"/>
          <w:bCs/>
          <w:color w:val="auto"/>
          <w:sz w:val="24"/>
        </w:rPr>
      </w:pPr>
      <w:r>
        <w:rPr>
          <w:rFonts w:hint="eastAsia" w:hAnsi="宋体" w:cs="宋体"/>
          <w:bCs/>
          <w:color w:val="auto"/>
          <w:sz w:val="24"/>
        </w:rPr>
        <w:t>磋商文件的条款必须认真审阅，磋商供应商应自行检查磋商文件页数是否齐全。若有遗漏、重复或不清楚，需立刻通知采购人予以更正；凡属对条款的误解所造成的投标价格失误，由供应商负责。</w:t>
      </w: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jc w:val="left"/>
        <w:rPr>
          <w:rFonts w:hAnsi="宋体"/>
          <w:color w:val="auto"/>
          <w:sz w:val="24"/>
        </w:rPr>
      </w:pPr>
      <w:r>
        <w:rPr>
          <w:rFonts w:hint="eastAsia" w:hAnsi="宋体"/>
          <w:color w:val="auto"/>
          <w:sz w:val="24"/>
        </w:rPr>
        <w:t>附件一：</w:t>
      </w:r>
    </w:p>
    <w:p>
      <w:pPr>
        <w:widowControl/>
        <w:tabs>
          <w:tab w:val="left" w:pos="360"/>
          <w:tab w:val="left" w:pos="960"/>
        </w:tabs>
        <w:spacing w:line="440" w:lineRule="exact"/>
        <w:ind w:firstLine="360" w:firstLineChars="150"/>
        <w:jc w:val="center"/>
        <w:rPr>
          <w:rFonts w:hAnsi="宋体"/>
          <w:color w:val="auto"/>
          <w:sz w:val="24"/>
        </w:rPr>
      </w:pPr>
      <w:r>
        <w:rPr>
          <w:rFonts w:hint="eastAsia" w:hAnsi="宋体"/>
          <w:color w:val="auto"/>
          <w:sz w:val="24"/>
        </w:rPr>
        <w:t>政府采购履约担保函（项目用）</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编号：</w:t>
      </w:r>
    </w:p>
    <w:p>
      <w:pPr>
        <w:widowControl/>
        <w:tabs>
          <w:tab w:val="left" w:pos="360"/>
          <w:tab w:val="left" w:pos="960"/>
        </w:tabs>
        <w:spacing w:line="440" w:lineRule="exact"/>
        <w:jc w:val="left"/>
        <w:rPr>
          <w:rFonts w:hAnsi="宋体"/>
          <w:color w:val="auto"/>
          <w:sz w:val="24"/>
        </w:rPr>
      </w:pPr>
      <w:r>
        <w:rPr>
          <w:rFonts w:hint="eastAsia" w:hAnsi="宋体"/>
          <w:color w:val="auto"/>
          <w:sz w:val="24"/>
        </w:rPr>
        <w:t xml:space="preserve">（采购人）： </w:t>
      </w:r>
    </w:p>
    <w:p>
      <w:pPr>
        <w:widowControl/>
        <w:tabs>
          <w:tab w:val="left" w:pos="360"/>
          <w:tab w:val="left" w:pos="960"/>
        </w:tabs>
        <w:spacing w:line="440" w:lineRule="exact"/>
        <w:ind w:firstLine="360" w:firstLineChars="150"/>
        <w:jc w:val="left"/>
        <w:rPr>
          <w:rFonts w:hAnsi="宋体"/>
          <w:color w:val="auto"/>
          <w:sz w:val="24"/>
        </w:rPr>
      </w:pP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鉴于你方与（以下简称供应商）于</w:t>
      </w:r>
      <w:r>
        <w:rPr>
          <w:rFonts w:hint="eastAsia" w:hAnsi="宋体"/>
          <w:color w:val="auto"/>
          <w:sz w:val="24"/>
          <w:u w:val="single"/>
        </w:rPr>
        <w:t xml:space="preserve">  年  月  日</w:t>
      </w:r>
      <w:r>
        <w:rPr>
          <w:rFonts w:hint="eastAsia" w:hAnsi="宋体"/>
          <w:color w:val="auto"/>
          <w:sz w:val="24"/>
        </w:rPr>
        <w:t>签定编号为的《政府采购合同》（以下简称主合同），且依据该合同的约定，供应商应在</w:t>
      </w:r>
      <w:r>
        <w:rPr>
          <w:rFonts w:hint="eastAsia" w:hAnsi="宋体"/>
          <w:color w:val="auto"/>
          <w:sz w:val="24"/>
          <w:u w:val="single"/>
        </w:rPr>
        <w:t xml:space="preserve">  年    月   日</w:t>
      </w:r>
      <w:r>
        <w:rPr>
          <w:rFonts w:hint="eastAsia" w:hAnsi="宋体"/>
          <w:color w:val="auto"/>
          <w:sz w:val="24"/>
        </w:rPr>
        <w:t>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一、保证责任的情形及保证金额</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（一）在供应商出现下列情形之一时，我方承担保证责任：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1．将中标项目转让给他人，或者在响应文件中未说明，且未经采购招标机构人同意，将中标项目分包给他人的；</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 xml:space="preserve">　　2．主合同约定的应当缴纳履约保证金的情形: </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（1）未按主合同约定的质量、数量和期限供应货物/提供服务/完成工程的；</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（2）</w:t>
      </w:r>
      <w:r>
        <w:rPr>
          <w:rFonts w:hint="eastAsia" w:hAnsi="宋体"/>
          <w:color w:val="auto"/>
          <w:sz w:val="24"/>
          <w:u w:val="single"/>
        </w:rPr>
        <w:t xml:space="preserve">                                                           。</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（二）我方的保证范围是主合同约定的合同价款总额的10%数额为</w:t>
      </w:r>
      <w:r>
        <w:rPr>
          <w:rFonts w:hint="eastAsia" w:hAnsi="宋体"/>
          <w:color w:val="auto"/>
          <w:sz w:val="24"/>
          <w:u w:val="single"/>
        </w:rPr>
        <w:t xml:space="preserve">   元</w:t>
      </w:r>
      <w:r>
        <w:rPr>
          <w:rFonts w:hint="eastAsia" w:hAnsi="宋体"/>
          <w:color w:val="auto"/>
          <w:sz w:val="24"/>
        </w:rPr>
        <w:t>（大写），币种为。（即主合同履约保证金金额）</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二、保证的方式及保证期间</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我方保证的方式为：连带责任保证。</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三、承担保证责任的程序</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四、保证责任的终止</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五、免责条款</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3．因不可抗力造成供应商不能履行供货义务的，我方不承担保证责任。</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六、争议的解决</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因本保函发生的纠纷，由你我双方协商解决，协商不成的，通过诉讼程序解决，诉讼管辖地法院为</w:t>
      </w:r>
      <w:r>
        <w:rPr>
          <w:rFonts w:hint="eastAsia" w:hAnsi="宋体"/>
          <w:color w:val="auto"/>
          <w:sz w:val="24"/>
          <w:u w:val="single"/>
        </w:rPr>
        <w:t>采购人所在地有管辖权</w:t>
      </w:r>
      <w:r>
        <w:rPr>
          <w:rFonts w:hint="eastAsia" w:hAnsi="宋体"/>
          <w:color w:val="auto"/>
          <w:sz w:val="24"/>
        </w:rPr>
        <w:t>法院。</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七、保函的生效</w:t>
      </w:r>
    </w:p>
    <w:p>
      <w:pPr>
        <w:widowControl/>
        <w:tabs>
          <w:tab w:val="left" w:pos="360"/>
          <w:tab w:val="left" w:pos="960"/>
        </w:tabs>
        <w:spacing w:line="440" w:lineRule="exact"/>
        <w:ind w:firstLine="360" w:firstLineChars="150"/>
        <w:jc w:val="left"/>
        <w:rPr>
          <w:rFonts w:hAnsi="宋体"/>
          <w:color w:val="auto"/>
          <w:sz w:val="24"/>
        </w:rPr>
      </w:pPr>
      <w:r>
        <w:rPr>
          <w:rFonts w:hint="eastAsia" w:hAnsi="宋体"/>
          <w:color w:val="auto"/>
          <w:sz w:val="24"/>
        </w:rPr>
        <w:t>本保函自我方加盖公章之日起生效。</w:t>
      </w:r>
    </w:p>
    <w:p>
      <w:pPr>
        <w:widowControl/>
        <w:tabs>
          <w:tab w:val="left" w:pos="360"/>
          <w:tab w:val="left" w:pos="960"/>
        </w:tabs>
        <w:spacing w:line="440" w:lineRule="exact"/>
        <w:jc w:val="left"/>
        <w:rPr>
          <w:rFonts w:hAnsi="宋体"/>
          <w:color w:val="auto"/>
          <w:sz w:val="24"/>
        </w:rPr>
      </w:pPr>
    </w:p>
    <w:p>
      <w:pPr>
        <w:widowControl/>
        <w:tabs>
          <w:tab w:val="left" w:pos="360"/>
          <w:tab w:val="left" w:pos="960"/>
        </w:tabs>
        <w:spacing w:line="440" w:lineRule="exact"/>
        <w:ind w:firstLine="360" w:firstLineChars="150"/>
        <w:jc w:val="right"/>
        <w:rPr>
          <w:rFonts w:hAnsi="宋体"/>
          <w:color w:val="auto"/>
          <w:sz w:val="24"/>
        </w:rPr>
      </w:pPr>
      <w:r>
        <w:rPr>
          <w:rFonts w:hint="eastAsia" w:hAnsi="宋体"/>
          <w:color w:val="auto"/>
          <w:sz w:val="24"/>
        </w:rPr>
        <w:t>保证人：（公章）</w:t>
      </w:r>
    </w:p>
    <w:p>
      <w:pPr>
        <w:widowControl/>
        <w:tabs>
          <w:tab w:val="left" w:pos="360"/>
          <w:tab w:val="left" w:pos="960"/>
        </w:tabs>
        <w:spacing w:line="440" w:lineRule="exact"/>
        <w:ind w:firstLine="360" w:firstLineChars="150"/>
        <w:jc w:val="right"/>
        <w:rPr>
          <w:rFonts w:hAnsi="宋体"/>
          <w:color w:val="auto"/>
          <w:sz w:val="24"/>
        </w:rPr>
      </w:pPr>
    </w:p>
    <w:p>
      <w:pPr>
        <w:jc w:val="right"/>
        <w:outlineLvl w:val="0"/>
        <w:rPr>
          <w:rFonts w:hAnsi="宋体"/>
          <w:bCs/>
          <w:color w:val="auto"/>
          <w:sz w:val="28"/>
          <w:szCs w:val="28"/>
        </w:rPr>
      </w:pPr>
      <w:r>
        <w:rPr>
          <w:rFonts w:hint="eastAsia" w:hAnsi="宋体"/>
          <w:color w:val="auto"/>
          <w:sz w:val="24"/>
        </w:rPr>
        <w:t xml:space="preserve"> 年     月      日</w:t>
      </w:r>
    </w:p>
    <w:p>
      <w:pPr>
        <w:outlineLvl w:val="0"/>
        <w:rPr>
          <w:rFonts w:hAnsi="宋体"/>
          <w:bCs/>
          <w:color w:val="auto"/>
          <w:sz w:val="28"/>
          <w:szCs w:val="28"/>
        </w:rPr>
      </w:pPr>
    </w:p>
    <w:p>
      <w:pPr>
        <w:outlineLvl w:val="0"/>
        <w:rPr>
          <w:rFonts w:hAnsi="宋体"/>
          <w:bCs/>
          <w:color w:val="auto"/>
          <w:sz w:val="28"/>
          <w:szCs w:val="28"/>
        </w:rPr>
      </w:pPr>
    </w:p>
    <w:p>
      <w:pPr>
        <w:spacing w:line="360" w:lineRule="auto"/>
        <w:ind w:firstLine="883" w:firstLineChars="200"/>
        <w:jc w:val="center"/>
        <w:rPr>
          <w:rFonts w:hAnsi="宋体" w:cs="宋体"/>
          <w:color w:val="auto"/>
          <w:sz w:val="24"/>
        </w:rPr>
      </w:pPr>
      <w:r>
        <w:rPr>
          <w:rFonts w:hint="eastAsia" w:hAnsi="宋体" w:cs="宋体"/>
          <w:b/>
          <w:bCs/>
          <w:color w:val="auto"/>
          <w:kern w:val="44"/>
          <w:sz w:val="44"/>
          <w:szCs w:val="44"/>
        </w:rPr>
        <w:br w:type="page"/>
      </w:r>
      <w:r>
        <w:rPr>
          <w:rFonts w:hint="eastAsia" w:hAnsi="宋体" w:cs="宋体"/>
          <w:b/>
          <w:bCs/>
          <w:color w:val="auto"/>
          <w:sz w:val="32"/>
          <w:szCs w:val="32"/>
        </w:rPr>
        <w:t>三．采购需求</w:t>
      </w:r>
      <w:bookmarkStart w:id="0" w:name="_Toc461520339"/>
    </w:p>
    <w:bookmarkEnd w:id="0"/>
    <w:p>
      <w:pPr>
        <w:adjustRightInd w:val="0"/>
        <w:spacing w:beforeLines="50" w:afterLines="50" w:line="360" w:lineRule="auto"/>
        <w:jc w:val="left"/>
        <w:textAlignment w:val="baseline"/>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一、项目概述</w:t>
      </w:r>
    </w:p>
    <w:p>
      <w:pPr>
        <w:spacing w:after="5" w:line="360" w:lineRule="auto"/>
        <w:ind w:firstLine="480" w:firstLineChars="200"/>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color="000000"/>
        </w:rPr>
        <w:t>1、项目名称：</w:t>
      </w:r>
      <w:r>
        <w:rPr>
          <w:rFonts w:hint="eastAsia" w:hAnsi="宋体" w:cs="宋体"/>
          <w:bCs/>
          <w:color w:val="auto"/>
          <w:sz w:val="24"/>
          <w:szCs w:val="22"/>
        </w:rPr>
        <w:t>无锡市精神卫生中心精神科病房楼供应室、制剂室、实验区配套工程；</w:t>
      </w:r>
    </w:p>
    <w:p>
      <w:pPr>
        <w:spacing w:after="5" w:line="360" w:lineRule="auto"/>
        <w:ind w:firstLine="480" w:firstLineChars="200"/>
        <w:rPr>
          <w:rFonts w:asciiTheme="minorEastAsia" w:hAnsiTheme="minorEastAsia" w:eastAsiaTheme="minorEastAsia"/>
          <w:color w:val="auto"/>
          <w:sz w:val="24"/>
          <w:szCs w:val="24"/>
          <w:u w:color="000000"/>
        </w:rPr>
      </w:pPr>
      <w:r>
        <w:rPr>
          <w:rFonts w:hint="eastAsia" w:asciiTheme="minorEastAsia" w:hAnsiTheme="minorEastAsia" w:eastAsiaTheme="minorEastAsia"/>
          <w:color w:val="auto"/>
          <w:sz w:val="24"/>
          <w:szCs w:val="24"/>
          <w:u w:color="000000"/>
        </w:rPr>
        <w:t>2、项目地点：无锡市钱荣路156号；</w:t>
      </w:r>
    </w:p>
    <w:p>
      <w:pPr>
        <w:spacing w:after="5" w:line="360" w:lineRule="auto"/>
        <w:ind w:firstLine="480" w:firstLineChars="200"/>
        <w:rPr>
          <w:rFonts w:asciiTheme="minorEastAsia" w:hAnsiTheme="minorEastAsia" w:eastAsiaTheme="minorEastAsia"/>
          <w:color w:val="auto"/>
          <w:sz w:val="24"/>
          <w:szCs w:val="24"/>
          <w:u w:color="000000"/>
        </w:rPr>
      </w:pPr>
      <w:r>
        <w:rPr>
          <w:rFonts w:hint="eastAsia" w:asciiTheme="minorEastAsia" w:hAnsiTheme="minorEastAsia" w:eastAsiaTheme="minorEastAsia"/>
          <w:color w:val="auto"/>
          <w:sz w:val="24"/>
          <w:szCs w:val="24"/>
          <w:u w:color="000000"/>
        </w:rPr>
        <w:t>3、工期：90日历天，具体开工时间以甲方开工令为准。</w:t>
      </w:r>
      <w:r>
        <w:rPr>
          <w:rFonts w:asciiTheme="minorEastAsia" w:hAnsiTheme="minorEastAsia" w:eastAsiaTheme="minorEastAsia"/>
          <w:color w:val="auto"/>
          <w:sz w:val="24"/>
          <w:szCs w:val="24"/>
          <w:u w:color="000000"/>
        </w:rPr>
        <w:t>误期违约金</w:t>
      </w:r>
      <w:r>
        <w:rPr>
          <w:rFonts w:hint="eastAsia" w:asciiTheme="minorEastAsia" w:hAnsiTheme="minorEastAsia" w:eastAsiaTheme="minorEastAsia"/>
          <w:color w:val="auto"/>
          <w:sz w:val="24"/>
          <w:szCs w:val="24"/>
          <w:u w:color="000000"/>
        </w:rPr>
        <w:t>：按照合同价的万分之五元/天支付违约金，不设上限。</w:t>
      </w:r>
    </w:p>
    <w:p>
      <w:pPr>
        <w:spacing w:after="5" w:line="360" w:lineRule="auto"/>
        <w:ind w:firstLine="480" w:firstLineChars="200"/>
        <w:rPr>
          <w:rFonts w:asciiTheme="minorEastAsia" w:hAnsiTheme="minorEastAsia" w:eastAsiaTheme="minorEastAsia"/>
          <w:color w:val="auto"/>
          <w:sz w:val="24"/>
          <w:szCs w:val="24"/>
          <w:u w:color="000000"/>
        </w:rPr>
      </w:pPr>
      <w:r>
        <w:rPr>
          <w:rFonts w:hint="eastAsia" w:asciiTheme="minorEastAsia" w:hAnsiTheme="minorEastAsia" w:eastAsiaTheme="minorEastAsia"/>
          <w:color w:val="auto"/>
          <w:sz w:val="24"/>
          <w:szCs w:val="24"/>
          <w:u w:color="000000"/>
        </w:rPr>
        <w:t>4、质量标准：一次性验收通过，1</w:t>
      </w:r>
      <w:r>
        <w:rPr>
          <w:rFonts w:asciiTheme="minorEastAsia" w:hAnsiTheme="minorEastAsia" w:eastAsiaTheme="minorEastAsia"/>
          <w:color w:val="auto"/>
          <w:sz w:val="24"/>
          <w:szCs w:val="24"/>
          <w:u w:color="000000"/>
        </w:rPr>
        <w:t>00</w:t>
      </w:r>
      <w:r>
        <w:rPr>
          <w:rFonts w:hint="eastAsia" w:asciiTheme="minorEastAsia" w:hAnsiTheme="minorEastAsia" w:eastAsiaTheme="minorEastAsia"/>
          <w:color w:val="auto"/>
          <w:sz w:val="24"/>
          <w:szCs w:val="24"/>
          <w:u w:color="000000"/>
        </w:rPr>
        <w:t>%</w:t>
      </w:r>
      <w:r>
        <w:rPr>
          <w:rFonts w:asciiTheme="minorEastAsia" w:hAnsiTheme="minorEastAsia" w:eastAsiaTheme="minorEastAsia"/>
          <w:color w:val="auto"/>
          <w:sz w:val="24"/>
          <w:szCs w:val="24"/>
          <w:u w:color="000000"/>
        </w:rPr>
        <w:t>合格</w:t>
      </w:r>
      <w:r>
        <w:rPr>
          <w:rFonts w:hint="eastAsia" w:asciiTheme="minorEastAsia" w:hAnsiTheme="minorEastAsia" w:eastAsiaTheme="minorEastAsia"/>
          <w:color w:val="auto"/>
          <w:sz w:val="24"/>
          <w:szCs w:val="24"/>
          <w:u w:color="000000"/>
        </w:rPr>
        <w:t>。</w:t>
      </w:r>
      <w:r>
        <w:rPr>
          <w:rFonts w:asciiTheme="minorEastAsia" w:hAnsiTheme="minorEastAsia" w:eastAsiaTheme="minorEastAsia"/>
          <w:color w:val="auto"/>
          <w:sz w:val="24"/>
          <w:szCs w:val="24"/>
          <w:u w:color="000000"/>
        </w:rPr>
        <w:t>质量违约</w:t>
      </w:r>
      <w:r>
        <w:rPr>
          <w:rFonts w:hint="eastAsia" w:asciiTheme="minorEastAsia" w:hAnsiTheme="minorEastAsia" w:eastAsiaTheme="minorEastAsia"/>
          <w:color w:val="auto"/>
          <w:sz w:val="24"/>
          <w:szCs w:val="24"/>
          <w:u w:color="000000"/>
        </w:rPr>
        <w:t>：</w:t>
      </w:r>
      <w:r>
        <w:rPr>
          <w:rFonts w:asciiTheme="minorEastAsia" w:hAnsiTheme="minorEastAsia" w:eastAsiaTheme="minorEastAsia"/>
          <w:color w:val="auto"/>
          <w:sz w:val="24"/>
          <w:szCs w:val="24"/>
          <w:u w:color="000000"/>
        </w:rPr>
        <w:t>合同价的</w:t>
      </w:r>
      <w:r>
        <w:rPr>
          <w:rFonts w:hint="eastAsia" w:asciiTheme="minorEastAsia" w:hAnsiTheme="minorEastAsia" w:eastAsiaTheme="minorEastAsia"/>
          <w:color w:val="auto"/>
          <w:sz w:val="24"/>
          <w:szCs w:val="24"/>
          <w:u w:color="000000"/>
        </w:rPr>
        <w:t>5%；</w:t>
      </w:r>
    </w:p>
    <w:p>
      <w:pPr>
        <w:spacing w:line="360" w:lineRule="auto"/>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6、免费质保期：2年（自工程竣工验收后）；</w:t>
      </w:r>
    </w:p>
    <w:p>
      <w:pPr>
        <w:spacing w:line="360" w:lineRule="auto"/>
        <w:ind w:firstLine="480"/>
        <w:rPr>
          <w:rFonts w:cs="宋体"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7、</w:t>
      </w:r>
      <w:r>
        <w:rPr>
          <w:rFonts w:asciiTheme="minorEastAsia" w:hAnsiTheme="minorEastAsia" w:eastAsiaTheme="minorEastAsia"/>
          <w:bCs/>
          <w:color w:val="auto"/>
          <w:sz w:val="24"/>
          <w:szCs w:val="24"/>
        </w:rPr>
        <w:t>踏勘现场</w:t>
      </w:r>
      <w:r>
        <w:rPr>
          <w:rFonts w:hint="eastAsia" w:asciiTheme="minorEastAsia" w:hAnsiTheme="minorEastAsia" w:eastAsiaTheme="minorEastAsia"/>
          <w:bCs/>
          <w:color w:val="auto"/>
          <w:sz w:val="24"/>
          <w:szCs w:val="24"/>
        </w:rPr>
        <w:t>：</w:t>
      </w:r>
      <w:r>
        <w:rPr>
          <w:rFonts w:asciiTheme="minorEastAsia" w:hAnsiTheme="minorEastAsia" w:eastAsiaTheme="minorEastAsia"/>
          <w:bCs/>
          <w:color w:val="auto"/>
          <w:sz w:val="24"/>
          <w:szCs w:val="24"/>
        </w:rPr>
        <w:t>投标人自行踏勘</w:t>
      </w:r>
      <w:r>
        <w:rPr>
          <w:rFonts w:hint="eastAsia" w:asciiTheme="minorEastAsia" w:hAnsiTheme="minorEastAsia" w:eastAsiaTheme="minorEastAsia"/>
          <w:bCs/>
          <w:color w:val="auto"/>
          <w:sz w:val="24"/>
          <w:szCs w:val="24"/>
        </w:rPr>
        <w:t>；</w:t>
      </w:r>
    </w:p>
    <w:p>
      <w:pPr>
        <w:spacing w:line="360" w:lineRule="auto"/>
        <w:ind w:firstLine="48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8、采购预算：1332.505237万元；</w:t>
      </w:r>
    </w:p>
    <w:p>
      <w:pPr>
        <w:spacing w:line="360" w:lineRule="auto"/>
        <w:ind w:firstLine="48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9、最高投标限价：1332.505237</w:t>
      </w:r>
      <w:r>
        <w:rPr>
          <w:rFonts w:asciiTheme="minorEastAsia" w:hAnsiTheme="minorEastAsia" w:eastAsiaTheme="minorEastAsia"/>
          <w:bCs/>
          <w:color w:val="auto"/>
          <w:sz w:val="24"/>
          <w:szCs w:val="24"/>
        </w:rPr>
        <w:t>万元</w:t>
      </w:r>
    </w:p>
    <w:p>
      <w:pPr>
        <w:spacing w:line="360" w:lineRule="auto"/>
        <w:ind w:firstLine="48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10、付款方式：</w:t>
      </w:r>
    </w:p>
    <w:p>
      <w:pPr>
        <w:widowControl/>
        <w:adjustRightInd w:val="0"/>
        <w:spacing w:beforeLines="50" w:afterLines="50" w:line="360" w:lineRule="auto"/>
        <w:ind w:left="476" w:leftChars="140" w:firstLine="480" w:firstLineChars="200"/>
        <w:jc w:val="left"/>
        <w:rPr>
          <w:rFonts w:cs="Arial"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1）合同签订后，且乙方向甲方提供合同总价的10%履约保函后30日内，甲方向乙方支付合同总价的</w:t>
      </w:r>
      <w:r>
        <w:rPr>
          <w:rFonts w:asciiTheme="minorEastAsia" w:hAnsiTheme="minorEastAsia" w:eastAsiaTheme="minorEastAsia"/>
          <w:color w:val="auto"/>
          <w:sz w:val="24"/>
          <w:szCs w:val="24"/>
        </w:rPr>
        <w:t>30</w:t>
      </w:r>
      <w:r>
        <w:rPr>
          <w:rFonts w:hint="eastAsia" w:asciiTheme="minorEastAsia" w:hAnsiTheme="minorEastAsia" w:eastAsiaTheme="minorEastAsia"/>
          <w:color w:val="auto"/>
          <w:sz w:val="24"/>
          <w:szCs w:val="24"/>
        </w:rPr>
        <w:t xml:space="preserve">%作为项目预付款； </w:t>
      </w:r>
    </w:p>
    <w:p>
      <w:pPr>
        <w:tabs>
          <w:tab w:val="left" w:pos="525"/>
          <w:tab w:val="left" w:pos="1050"/>
          <w:tab w:val="left" w:pos="1155"/>
        </w:tabs>
        <w:spacing w:line="360" w:lineRule="auto"/>
        <w:ind w:left="357" w:leftChars="105" w:firstLine="640" w:firstLineChars="267"/>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2）配套</w:t>
      </w:r>
      <w:r>
        <w:rPr>
          <w:rFonts w:hint="eastAsia" w:asciiTheme="minorEastAsia" w:hAnsiTheme="minorEastAsia" w:eastAsiaTheme="minorEastAsia"/>
          <w:color w:val="auto"/>
          <w:sz w:val="24"/>
          <w:szCs w:val="24"/>
        </w:rPr>
        <w:t>设备进场，甲方向乙方支付至合同总价的7</w:t>
      </w:r>
      <w:r>
        <w:rPr>
          <w:rFonts w:asciiTheme="minorEastAsia" w:hAnsiTheme="minorEastAsia" w:eastAsiaTheme="minorEastAsia"/>
          <w:color w:val="auto"/>
          <w:sz w:val="24"/>
          <w:szCs w:val="24"/>
        </w:rPr>
        <w:t>0</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1000" w:firstLineChars="417"/>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hint="eastAsia" w:asciiTheme="minorEastAsia" w:hAnsiTheme="minorEastAsia" w:eastAsiaTheme="minorEastAsia"/>
          <w:color w:val="auto"/>
          <w:sz w:val="24"/>
          <w:szCs w:val="24"/>
        </w:rPr>
        <w:t>项目完</w:t>
      </w:r>
      <w:r>
        <w:rPr>
          <w:rFonts w:asciiTheme="minorEastAsia" w:hAnsiTheme="minorEastAsia" w:eastAsiaTheme="minorEastAsia"/>
          <w:color w:val="auto"/>
          <w:sz w:val="24"/>
          <w:szCs w:val="24"/>
        </w:rPr>
        <w:t>工后</w:t>
      </w:r>
      <w:r>
        <w:rPr>
          <w:rFonts w:hint="eastAsia" w:asciiTheme="minorEastAsia" w:hAnsiTheme="minorEastAsia" w:eastAsiaTheme="minorEastAsia"/>
          <w:color w:val="auto"/>
          <w:sz w:val="24"/>
          <w:szCs w:val="24"/>
        </w:rPr>
        <w:t>30日内支</w:t>
      </w:r>
      <w:r>
        <w:rPr>
          <w:rFonts w:asciiTheme="minorEastAsia" w:hAnsiTheme="minorEastAsia" w:eastAsiaTheme="minorEastAsia"/>
          <w:color w:val="auto"/>
          <w:sz w:val="24"/>
          <w:szCs w:val="24"/>
        </w:rPr>
        <w:t>付</w:t>
      </w:r>
      <w:r>
        <w:rPr>
          <w:rFonts w:hint="eastAsia" w:asciiTheme="minorEastAsia" w:hAnsiTheme="minorEastAsia" w:eastAsiaTheme="minorEastAsia"/>
          <w:color w:val="auto"/>
          <w:sz w:val="24"/>
          <w:szCs w:val="24"/>
        </w:rPr>
        <w:t>至合同总价的85</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1000" w:firstLineChars="417"/>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4）项目</w:t>
      </w:r>
      <w:r>
        <w:rPr>
          <w:rFonts w:hint="eastAsia" w:asciiTheme="minorEastAsia" w:hAnsiTheme="minorEastAsia" w:eastAsiaTheme="minorEastAsia"/>
          <w:color w:val="auto"/>
          <w:sz w:val="24"/>
          <w:szCs w:val="24"/>
        </w:rPr>
        <w:t>竣工验收合格后30日内支付至合同总价的90</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1000" w:firstLineChars="417"/>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5）</w:t>
      </w:r>
      <w:r>
        <w:rPr>
          <w:rFonts w:hint="eastAsia" w:asciiTheme="minorEastAsia" w:hAnsiTheme="minorEastAsia" w:eastAsiaTheme="minorEastAsia"/>
          <w:color w:val="auto"/>
          <w:sz w:val="24"/>
          <w:szCs w:val="24"/>
        </w:rPr>
        <w:t>项目结算审计后30日内支付至工程结算价的</w:t>
      </w:r>
      <w:r>
        <w:rPr>
          <w:rFonts w:asciiTheme="minorEastAsia" w:hAnsiTheme="minorEastAsia" w:eastAsiaTheme="minorEastAsia"/>
          <w:color w:val="auto"/>
          <w:sz w:val="24"/>
          <w:szCs w:val="24"/>
        </w:rPr>
        <w:t>9</w:t>
      </w: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1000" w:firstLineChars="417"/>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6）</w:t>
      </w:r>
      <w:r>
        <w:rPr>
          <w:rFonts w:hint="eastAsia" w:asciiTheme="minorEastAsia" w:hAnsiTheme="minorEastAsia" w:eastAsiaTheme="minorEastAsia"/>
          <w:color w:val="auto"/>
          <w:sz w:val="24"/>
          <w:szCs w:val="24"/>
        </w:rPr>
        <w:t xml:space="preserve">余款 3 </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为质保金，质保期满后五个工作日内一次性付清。</w:t>
      </w:r>
    </w:p>
    <w:p>
      <w:pPr>
        <w:spacing w:line="360" w:lineRule="auto"/>
        <w:rPr>
          <w:rFonts w:asciiTheme="minorEastAsia" w:hAnsiTheme="minorEastAsia" w:eastAsiaTheme="minorEastAsia"/>
          <w:b/>
          <w:bCs/>
          <w:color w:val="auto"/>
          <w:sz w:val="24"/>
          <w:szCs w:val="24"/>
        </w:rPr>
      </w:pPr>
      <w:r>
        <w:rPr>
          <w:rFonts w:asciiTheme="minorEastAsia" w:hAnsiTheme="minorEastAsia" w:eastAsiaTheme="minorEastAsia"/>
          <w:b/>
          <w:bCs/>
          <w:color w:val="auto"/>
          <w:sz w:val="24"/>
          <w:szCs w:val="24"/>
        </w:rPr>
        <w:t>二</w:t>
      </w:r>
      <w:r>
        <w:rPr>
          <w:rFonts w:hint="eastAsia" w:asciiTheme="minorEastAsia" w:hAnsiTheme="minorEastAsia" w:eastAsiaTheme="minorEastAsia"/>
          <w:b/>
          <w:bCs/>
          <w:color w:val="auto"/>
          <w:sz w:val="24"/>
          <w:szCs w:val="24"/>
        </w:rPr>
        <w:t>、 工程量清单及图纸</w:t>
      </w:r>
    </w:p>
    <w:p>
      <w:pPr>
        <w:spacing w:line="360" w:lineRule="auto"/>
        <w:ind w:firstLine="480" w:firstLineChars="200"/>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工程量清单</w:t>
      </w:r>
      <w:r>
        <w:rPr>
          <w:rFonts w:hint="eastAsia" w:asciiTheme="minorEastAsia" w:hAnsiTheme="minorEastAsia" w:eastAsiaTheme="minorEastAsia"/>
          <w:bCs/>
          <w:color w:val="auto"/>
          <w:sz w:val="24"/>
          <w:szCs w:val="24"/>
        </w:rPr>
        <w:t>及图纸在发放磋商文件时由采购人统一提供，另附。</w:t>
      </w:r>
    </w:p>
    <w:p>
      <w:pPr>
        <w:spacing w:beforeLines="50" w:afterLines="50" w:line="360" w:lineRule="auto"/>
        <w:ind w:firstLine="234" w:firstLineChars="97"/>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三、技术要求</w:t>
      </w:r>
    </w:p>
    <w:p>
      <w:pPr>
        <w:spacing w:beforeLines="50" w:afterLines="50" w:line="360" w:lineRule="auto"/>
        <w:ind w:firstLine="472" w:firstLineChars="196"/>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w:t>
      </w:r>
      <w:r>
        <w:rPr>
          <w:rFonts w:hint="eastAsia" w:cs="宋体" w:asciiTheme="minorEastAsia" w:hAnsiTheme="minorEastAsia" w:eastAsiaTheme="minorEastAsia"/>
          <w:b/>
          <w:bCs/>
          <w:color w:val="auto"/>
          <w:kern w:val="2"/>
          <w:sz w:val="24"/>
          <w:szCs w:val="24"/>
        </w:rPr>
        <w:t>工程</w:t>
      </w:r>
      <w:r>
        <w:rPr>
          <w:rFonts w:hint="eastAsia" w:cs="宋体" w:asciiTheme="minorEastAsia" w:hAnsiTheme="minorEastAsia" w:eastAsiaTheme="minorEastAsia"/>
          <w:b/>
          <w:color w:val="auto"/>
          <w:kern w:val="2"/>
          <w:sz w:val="24"/>
          <w:szCs w:val="24"/>
        </w:rPr>
        <w:t>招标范围</w:t>
      </w:r>
    </w:p>
    <w:p>
      <w:pPr>
        <w:spacing w:beforeLines="50" w:afterLines="50" w:line="360" w:lineRule="auto"/>
        <w:ind w:firstLine="360" w:firstLineChars="1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包括：一层供应室、一层制剂室、四层中心实验室（含细胞房、PCR实验室）、制剂设备等。</w:t>
      </w:r>
    </w:p>
    <w:p>
      <w:pPr>
        <w:spacing w:beforeLines="50" w:afterLines="50" w:line="360" w:lineRule="auto"/>
        <w:ind w:firstLine="360" w:firstLineChars="1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本次采购项目包括上述区域（范围）内的</w:t>
      </w:r>
      <w:r>
        <w:rPr>
          <w:rFonts w:hint="eastAsia" w:cs="宋体" w:asciiTheme="minorEastAsia" w:hAnsiTheme="minorEastAsia" w:eastAsiaTheme="minorEastAsia"/>
          <w:color w:val="auto"/>
          <w:sz w:val="24"/>
          <w:szCs w:val="24"/>
        </w:rPr>
        <w:t>室内维护结构及配套基本装备</w:t>
      </w:r>
      <w:r>
        <w:rPr>
          <w:rFonts w:hint="eastAsia" w:cs="宋体" w:asciiTheme="minorEastAsia" w:hAnsiTheme="minorEastAsia" w:eastAsiaTheme="minorEastAsia"/>
          <w:color w:val="auto"/>
          <w:kern w:val="2"/>
          <w:sz w:val="24"/>
          <w:szCs w:val="24"/>
        </w:rPr>
        <w:t>、</w:t>
      </w:r>
      <w:r>
        <w:rPr>
          <w:rFonts w:hint="eastAsia" w:cs="宋体" w:asciiTheme="minorEastAsia" w:hAnsiTheme="minorEastAsia" w:eastAsiaTheme="minorEastAsia"/>
          <w:color w:val="auto"/>
          <w:sz w:val="24"/>
          <w:szCs w:val="24"/>
        </w:rPr>
        <w:t>空气处理设备及配套（</w:t>
      </w:r>
      <w:r>
        <w:rPr>
          <w:rFonts w:hint="eastAsia" w:cs="宋体" w:asciiTheme="minorEastAsia" w:hAnsiTheme="minorEastAsia" w:eastAsiaTheme="minorEastAsia"/>
          <w:color w:val="auto"/>
          <w:kern w:val="2"/>
          <w:sz w:val="24"/>
          <w:szCs w:val="24"/>
        </w:rPr>
        <w:t>净化空调系统</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kern w:val="2"/>
          <w:sz w:val="24"/>
          <w:szCs w:val="24"/>
        </w:rPr>
        <w:t>、</w:t>
      </w:r>
      <w:r>
        <w:rPr>
          <w:rFonts w:hint="eastAsia" w:cs="宋体" w:asciiTheme="minorEastAsia" w:hAnsiTheme="minorEastAsia" w:eastAsiaTheme="minorEastAsia"/>
          <w:color w:val="auto"/>
          <w:sz w:val="24"/>
          <w:szCs w:val="24"/>
        </w:rPr>
        <w:t>配电及自动控制系统（包括不限于</w:t>
      </w:r>
      <w:r>
        <w:rPr>
          <w:rFonts w:hint="eastAsia" w:cs="宋体" w:asciiTheme="minorEastAsia" w:hAnsiTheme="minorEastAsia" w:eastAsiaTheme="minorEastAsia"/>
          <w:color w:val="auto"/>
          <w:kern w:val="2"/>
          <w:sz w:val="24"/>
          <w:szCs w:val="24"/>
        </w:rPr>
        <w:t>照明系统、电气动力系统及综合布线系统、监控系统等系统）、集中供气系统、配套室内给排水系统材料的供应和安装、调试、验收、培训、售后服务等，具体如下：</w:t>
      </w:r>
    </w:p>
    <w:tbl>
      <w:tblPr>
        <w:tblStyle w:val="69"/>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1"/>
        <w:gridCol w:w="1755"/>
        <w:gridCol w:w="796"/>
        <w:gridCol w:w="444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trPr>
        <w:tc>
          <w:tcPr>
            <w:tcW w:w="621" w:type="dxa"/>
            <w:shd w:val="clear" w:color="auto" w:fill="auto"/>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楼层</w:t>
            </w:r>
          </w:p>
        </w:tc>
        <w:tc>
          <w:tcPr>
            <w:tcW w:w="1755" w:type="dxa"/>
            <w:shd w:val="clear" w:color="auto" w:fill="auto"/>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区域</w:t>
            </w:r>
          </w:p>
        </w:tc>
        <w:tc>
          <w:tcPr>
            <w:tcW w:w="796" w:type="dxa"/>
            <w:shd w:val="clear" w:color="auto" w:fill="auto"/>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面积(㎡)</w:t>
            </w:r>
          </w:p>
        </w:tc>
        <w:tc>
          <w:tcPr>
            <w:tcW w:w="4449" w:type="dxa"/>
            <w:shd w:val="clear" w:color="auto" w:fill="auto"/>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项目范围</w:t>
            </w:r>
          </w:p>
        </w:tc>
        <w:tc>
          <w:tcPr>
            <w:tcW w:w="1985" w:type="dxa"/>
            <w:shd w:val="clear" w:color="auto" w:fill="auto"/>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吊顶高度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621" w:type="dxa"/>
            <w:vMerge w:val="restart"/>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1F</w:t>
            </w:r>
          </w:p>
        </w:tc>
        <w:tc>
          <w:tcPr>
            <w:tcW w:w="1755"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供应室</w:t>
            </w:r>
          </w:p>
        </w:tc>
        <w:tc>
          <w:tcPr>
            <w:tcW w:w="796"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680</w:t>
            </w:r>
          </w:p>
        </w:tc>
        <w:tc>
          <w:tcPr>
            <w:tcW w:w="4449"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设置有去污区、检查包装灭菌区、无菌区/低温灭菌间、检测室等配套设置及相关走廊、辅房；</w:t>
            </w:r>
          </w:p>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办公区已在原内装范围内招标，不包括在本次采购范围内；</w:t>
            </w:r>
          </w:p>
        </w:tc>
        <w:tc>
          <w:tcPr>
            <w:tcW w:w="1985"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工作区3.0m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vMerge w:val="continue"/>
            <w:vAlign w:val="center"/>
          </w:tcPr>
          <w:p>
            <w:pPr>
              <w:spacing w:beforeLines="50" w:afterLines="50" w:line="360" w:lineRule="auto"/>
              <w:jc w:val="center"/>
              <w:rPr>
                <w:rFonts w:cs="宋体" w:asciiTheme="minorEastAsia" w:hAnsiTheme="minorEastAsia" w:eastAsiaTheme="minorEastAsia"/>
                <w:b/>
                <w:bCs/>
                <w:color w:val="auto"/>
                <w:kern w:val="2"/>
                <w:sz w:val="24"/>
                <w:szCs w:val="24"/>
              </w:rPr>
            </w:pPr>
          </w:p>
        </w:tc>
        <w:tc>
          <w:tcPr>
            <w:tcW w:w="1755"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w:t>
            </w:r>
          </w:p>
        </w:tc>
        <w:tc>
          <w:tcPr>
            <w:tcW w:w="796"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900</w:t>
            </w:r>
          </w:p>
        </w:tc>
        <w:tc>
          <w:tcPr>
            <w:tcW w:w="4449"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设置有配药液浓缩间、泡制中药汤剂间、灌装间、器具清洗存放间、清洗灭菌室、管理、准备区、阳性对照、微生物限度、微生物培养室,等配套设置相关走廊、缓冲间及其辅房；</w:t>
            </w:r>
          </w:p>
        </w:tc>
        <w:tc>
          <w:tcPr>
            <w:tcW w:w="1985"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21"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4F</w:t>
            </w:r>
          </w:p>
        </w:tc>
        <w:tc>
          <w:tcPr>
            <w:tcW w:w="1755"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中心实验室</w:t>
            </w:r>
          </w:p>
        </w:tc>
        <w:tc>
          <w:tcPr>
            <w:tcW w:w="796"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870</w:t>
            </w:r>
          </w:p>
        </w:tc>
        <w:tc>
          <w:tcPr>
            <w:tcW w:w="4449"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设置综合实验室、电生理实验室、蛋白质免疫实验室、高效液相色谱分析、制水间、精神疾病样本库、退更、研究生办公室、PCR实验室、细胞实验室及其附属走廊等，其中PCR实验室设准备区、制备区、扩增区、分析区及专用通道。</w:t>
            </w:r>
          </w:p>
        </w:tc>
        <w:tc>
          <w:tcPr>
            <w:tcW w:w="1985"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76" w:type="dxa"/>
            <w:gridSpan w:val="2"/>
            <w:vAlign w:val="center"/>
          </w:tcPr>
          <w:p>
            <w:pPr>
              <w:spacing w:beforeLines="50" w:afterLines="50" w:line="360" w:lineRule="auto"/>
              <w:jc w:val="center"/>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小计（总面积：约）</w:t>
            </w:r>
          </w:p>
        </w:tc>
        <w:tc>
          <w:tcPr>
            <w:tcW w:w="796" w:type="dxa"/>
            <w:vAlign w:val="center"/>
          </w:tcPr>
          <w:p>
            <w:pPr>
              <w:spacing w:beforeLines="50" w:after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2450</w:t>
            </w:r>
          </w:p>
        </w:tc>
        <w:tc>
          <w:tcPr>
            <w:tcW w:w="4449" w:type="dxa"/>
            <w:vAlign w:val="center"/>
          </w:tcPr>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辅房详见设计图纸。</w:t>
            </w:r>
          </w:p>
        </w:tc>
        <w:tc>
          <w:tcPr>
            <w:tcW w:w="1985" w:type="dxa"/>
            <w:vAlign w:val="center"/>
          </w:tcPr>
          <w:p>
            <w:pPr>
              <w:spacing w:beforeLines="50" w:afterLines="50" w:line="360" w:lineRule="auto"/>
              <w:jc w:val="center"/>
              <w:rPr>
                <w:rFonts w:cs="宋体" w:asciiTheme="minorEastAsia" w:hAnsiTheme="minorEastAsia" w:eastAsiaTheme="minorEastAsia"/>
                <w:b/>
                <w:bCs/>
                <w:color w:val="auto"/>
                <w:kern w:val="2"/>
                <w:sz w:val="24"/>
                <w:szCs w:val="24"/>
              </w:rPr>
            </w:pPr>
          </w:p>
        </w:tc>
      </w:tr>
    </w:tbl>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备注：所有设计范围内的新风机房、空调机房均为原顶。1F建筑层高5.4m，4F建筑层高3.9m。</w:t>
      </w:r>
    </w:p>
    <w:p>
      <w:pPr>
        <w:spacing w:beforeLines="50" w:afterLines="50" w:line="360" w:lineRule="auto"/>
        <w:ind w:firstLine="472" w:firstLineChars="196"/>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 xml:space="preserve">2、具体项目内容 </w:t>
      </w:r>
    </w:p>
    <w:p>
      <w:pPr>
        <w:spacing w:beforeLines="50" w:afterLines="50" w:line="360" w:lineRule="auto"/>
        <w:ind w:firstLine="470" w:firstLineChars="196"/>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color w:val="auto"/>
          <w:kern w:val="2"/>
          <w:sz w:val="24"/>
          <w:szCs w:val="24"/>
        </w:rPr>
        <w:t>2.1</w:t>
      </w:r>
      <w:r>
        <w:rPr>
          <w:rFonts w:hint="eastAsia" w:cs="宋体" w:asciiTheme="minorEastAsia" w:hAnsiTheme="minorEastAsia" w:eastAsiaTheme="minorEastAsia"/>
          <w:color w:val="auto"/>
          <w:sz w:val="24"/>
          <w:szCs w:val="24"/>
        </w:rPr>
        <w:t>室内维护结构及配套基本装备</w:t>
      </w:r>
    </w:p>
    <w:p>
      <w:pPr>
        <w:numPr>
          <w:ilvl w:val="0"/>
          <w:numId w:val="12"/>
        </w:numPr>
        <w:spacing w:beforeLines="50" w:afterLines="50" w:line="360" w:lineRule="auto"/>
        <w:ind w:left="0" w:firstLine="44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净化安装承包商负责招标范围内的所有装修装饰，包括墙面、顶面、地面、嵌入式医疗装备（清单范围）、内门、内窗等全部内容，施工分界处的装饰界面收口工作由总包单位完成。</w:t>
      </w:r>
    </w:p>
    <w:p>
      <w:pPr>
        <w:numPr>
          <w:ilvl w:val="0"/>
          <w:numId w:val="12"/>
        </w:numPr>
        <w:spacing w:beforeLines="50" w:afterLines="50" w:line="360" w:lineRule="auto"/>
        <w:ind w:left="0" w:firstLine="44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w:t>
      </w:r>
      <w:r>
        <w:rPr>
          <w:rFonts w:hint="eastAsia" w:cs="宋体" w:asciiTheme="minorEastAsia" w:hAnsiTheme="minorEastAsia" w:eastAsiaTheme="minorEastAsia"/>
          <w:color w:val="auto"/>
          <w:sz w:val="24"/>
          <w:szCs w:val="24"/>
        </w:rPr>
        <w:t>医用空气处理设备及配套</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建设方负责将大楼集中供应的系统管道在各设备所在层面相应管道井或净化施工界面处预留接口及阀门。净化安装承包商负责：</w:t>
      </w:r>
    </w:p>
    <w:p>
      <w:pPr>
        <w:numPr>
          <w:ilvl w:val="0"/>
          <w:numId w:val="13"/>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招标范围内的所有空调冷冻（热水）供回水、冷凝水、加湿用水、设备排水等系统的设备材料采购、施工、安装、冲洗、打压、调试工作；</w:t>
      </w:r>
    </w:p>
    <w:p>
      <w:pPr>
        <w:numPr>
          <w:ilvl w:val="0"/>
          <w:numId w:val="13"/>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招标范围内除防排烟系统以外的包括空调送回风系统、排风系统、新风系统等所有系统设备材料采购、施工、安装、调试等工作。</w:t>
      </w:r>
    </w:p>
    <w:p>
      <w:pPr>
        <w:numPr>
          <w:ilvl w:val="0"/>
          <w:numId w:val="13"/>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招标范围内多联机系统设备材料采购、施工、安装、调试等工作（不包括四层中心实验室的综合实验室、电生理实验室、蛋白质免疫实验室、高效液相色谱分析、制水间、精神疾病样本库、退更、研究生办公室等区域，详见设计和清单）。</w:t>
      </w:r>
    </w:p>
    <w:p>
      <w:pPr>
        <w:numPr>
          <w:ilvl w:val="0"/>
          <w:numId w:val="13"/>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2.3</w:t>
      </w:r>
      <w:r>
        <w:rPr>
          <w:rFonts w:hint="eastAsia" w:cs="宋体" w:asciiTheme="minorEastAsia" w:hAnsiTheme="minorEastAsia" w:eastAsiaTheme="minorEastAsia"/>
          <w:color w:val="auto"/>
          <w:sz w:val="24"/>
          <w:szCs w:val="24"/>
        </w:rPr>
        <w:t>配电及自动控制系统</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建设方负责将电缆、桥架从低压柜敷设到招标范围内的各施工楼层各类电源总配电箱（不含总配电箱）。净化安装承包商负责：</w:t>
      </w:r>
    </w:p>
    <w:p>
      <w:pPr>
        <w:numPr>
          <w:ilvl w:val="0"/>
          <w:numId w:val="15"/>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净化范围内的总配电箱由净化安装承包商负责。从上述总配电箱开始其后的所有设备、管线、桥架、开关、插座、灯具等采购、安装、调试、验收。</w:t>
      </w:r>
    </w:p>
    <w:p>
      <w:pPr>
        <w:numPr>
          <w:ilvl w:val="0"/>
          <w:numId w:val="15"/>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净化区域需要和非净化区域共用的配电箱由大楼安装单位提供，出线回路按照净化区域配电要求预留回路。</w:t>
      </w:r>
    </w:p>
    <w:p>
      <w:pPr>
        <w:numPr>
          <w:ilvl w:val="0"/>
          <w:numId w:val="15"/>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施工范围内所有等电位箱及接地线的采购、安装，建设方提供各类接地的接地点。</w:t>
      </w:r>
    </w:p>
    <w:p>
      <w:pPr>
        <w:numPr>
          <w:ilvl w:val="0"/>
          <w:numId w:val="15"/>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2.4智能化及控制系统</w:t>
      </w:r>
    </w:p>
    <w:p>
      <w:pPr>
        <w:numPr>
          <w:ilvl w:val="0"/>
          <w:numId w:val="16"/>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完成其施工的通风空调系统的自动控制，并负责相关设备、材料采购、安装、调试和验收并预留大楼BA接口，并负责免费提供设备与其他设备的对接；</w:t>
      </w:r>
    </w:p>
    <w:p>
      <w:pPr>
        <w:numPr>
          <w:ilvl w:val="0"/>
          <w:numId w:val="16"/>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招标图纸及工程量清单涉及的弱电系统（电视监控、网络电话、门禁系统、综合布线系统等），弱电井内设备及其相关工作、四层中心实验室弱电系统不在本次采购范围内；</w:t>
      </w:r>
    </w:p>
    <w:p>
      <w:pPr>
        <w:numPr>
          <w:ilvl w:val="0"/>
          <w:numId w:val="16"/>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净化区域内其它弱电系统末端设备在天花、墙面的定位、开孔及收口工作，并配合相关施工及调试工作。</w:t>
      </w:r>
    </w:p>
    <w:p>
      <w:pPr>
        <w:spacing w:beforeLines="50" w:afterLines="50" w:line="360" w:lineRule="auto"/>
        <w:ind w:left="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2.5集中供气系统（含专用管道、配套设备安装）</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净化安装承包商负责招标范围内的气体管道、终端、配件等的采购、安装及调试（如有）。</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2.6配套室内给排水系统</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建设方负责将给水管道安装至各施工楼层给水管道井及净化施工界面处，并预留阀门（含阀门），提供各层排水立管的接入点。净化安装承包商负责：</w:t>
      </w:r>
    </w:p>
    <w:p>
      <w:pPr>
        <w:numPr>
          <w:ilvl w:val="0"/>
          <w:numId w:val="17"/>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从预留阀门处开始至招标范围内的所有给水管道、卫生洁具、相关配件的采购、安装、施工、调试；</w:t>
      </w:r>
    </w:p>
    <w:p>
      <w:pPr>
        <w:numPr>
          <w:ilvl w:val="0"/>
          <w:numId w:val="17"/>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排水设施与排水立管接入点之间的管道连接。</w:t>
      </w:r>
    </w:p>
    <w:p>
      <w:pPr>
        <w:numPr>
          <w:ilvl w:val="0"/>
          <w:numId w:val="17"/>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纯水管道的预留。</w:t>
      </w:r>
    </w:p>
    <w:p>
      <w:pPr>
        <w:numPr>
          <w:ilvl w:val="0"/>
          <w:numId w:val="17"/>
        </w:numPr>
        <w:spacing w:beforeLines="50" w:afterLines="50" w:line="360" w:lineRule="auto"/>
        <w:ind w:left="0" w:firstLine="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2.7其他内容</w:t>
      </w:r>
    </w:p>
    <w:p>
      <w:pPr>
        <w:spacing w:beforeLines="50" w:afterLines="50" w:line="360" w:lineRule="auto"/>
        <w:ind w:left="170" w:leftChars="50" w:firstLine="360" w:firstLineChars="1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1)招标清单中未含的办公家具、活动家具、移动设备、吧台、治疗室柜等设备，供应室设备、PCR实验室的实验设备、实验室气体系统等不在本招标范围内。</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本工程所有消防系统不在招标范围，包括防排烟、消防喷淋、烟感报警、应急照明、疏散指示等。净化安装承包商负责招标范围内的防排烟口、消防喷淋头、烟感报警器等安装位置协调及其相关的天花开孔及收口工作，并配合最终消防系统调试验收。</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建设方负责招标范围内所有主体砼结构施工、土建墙体砌筑抹灰、沉降区回填、地面找平、设备混凝土基础、净化不需要的已砌墙体的拆除、外幕墙百叶、防火门等。净化安装承包商负责完成招标范围内的所有装修装饰，以及各类孔洞、修补粉墙及界面处不同材料的收边、收口、打胶工作。</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 净化工程内医疗设备等需要配合事宜，由设备厂家提供经医院确认并正式签章出图的水、电、气、蒸汽管线图，净化供应商负责按配合图予以配合，工程量按实结算。</w:t>
      </w:r>
    </w:p>
    <w:p>
      <w:pPr>
        <w:spacing w:beforeLines="50" w:afterLines="50" w:line="360" w:lineRule="auto"/>
        <w:ind w:firstLine="482"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3、基本服务内容</w:t>
      </w:r>
    </w:p>
    <w:p>
      <w:pPr>
        <w:spacing w:beforeLines="50" w:afterLines="50" w:line="360" w:lineRule="auto"/>
        <w:ind w:left="42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本工程中中标人的技术服务至少应包括以下内容：</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提供设备和材料并负责运输至施工现场并就位；</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净化空调机组和相关设备的安装；</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调试、检测和接受主管部门验收直至合格；</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用户培训；</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交付建设方正式启用；</w:t>
      </w:r>
    </w:p>
    <w:p>
      <w:pPr>
        <w:numPr>
          <w:ilvl w:val="0"/>
          <w:numId w:val="18"/>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售后服务。</w:t>
      </w:r>
      <w:bookmarkStart w:id="1" w:name="_Toc385114460"/>
      <w:bookmarkStart w:id="2" w:name="_Toc301809065"/>
      <w:bookmarkStart w:id="3" w:name="_Toc282266134"/>
      <w:bookmarkStart w:id="4" w:name="_Toc385167592"/>
      <w:bookmarkStart w:id="5" w:name="_Toc282180548"/>
      <w:bookmarkStart w:id="6" w:name="_Toc385114024"/>
    </w:p>
    <w:p>
      <w:pPr>
        <w:numPr>
          <w:ilvl w:val="0"/>
          <w:numId w:val="18"/>
        </w:numPr>
        <w:spacing w:beforeLines="50" w:afterLines="50" w:line="360" w:lineRule="auto"/>
        <w:ind w:firstLine="482"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4、系统调试验收</w:t>
      </w:r>
      <w:bookmarkEnd w:id="1"/>
      <w:bookmarkEnd w:id="2"/>
      <w:bookmarkEnd w:id="3"/>
      <w:bookmarkEnd w:id="4"/>
      <w:bookmarkEnd w:id="5"/>
      <w:bookmarkEnd w:id="6"/>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标人在系统安装和接线工程全部完成后，必须由确保一次性验收合格（费用由招标人支付），如不能一次性通过验收，安装单位除需承担相应的验收费用，还需承担由此产生的整改以及给采购人因此造成的损失等费用。</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▲净化测试项目为：静压差、送风量、新风量、温度、相对湿度、噪声、洁净度、照度、尘埃粒子。具体项目遵照设计和相关规范的要求执行。</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对测试不合格项目，施工方应及时整改，在整改后，对诸如送风量、新风量、洁净度、噪声等主要指标仍不能达标的，业主将保留追究其经济及法律责任的权利。</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中标人应于工程完成的一个月前，将测试计划和测试运行记录表格提供给建设方审批，供测试验收时使用。测试计划包括测试验收内容、方法和步骤等。</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中标人应提供验收测试工具和仪表等必用的设备和仪器。</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测试验收时，必须有详细的技术记录。测试结束后，承包方应在记录上签字并送交建设方。</w:t>
      </w:r>
    </w:p>
    <w:p>
      <w:pPr>
        <w:numPr>
          <w:ilvl w:val="0"/>
          <w:numId w:val="1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所有的测试运行结束后，系统的技术文字资料和有关的事项必须经过建设方审批，完全符合要求后，方可正式交付建设方。</w:t>
      </w:r>
      <w:bookmarkStart w:id="7" w:name="_Toc385114461"/>
      <w:bookmarkStart w:id="8" w:name="_Toc301809066"/>
      <w:bookmarkStart w:id="9" w:name="_Toc282180549"/>
      <w:bookmarkStart w:id="10" w:name="_Toc282266135"/>
      <w:bookmarkStart w:id="11" w:name="_Toc385114025"/>
      <w:bookmarkStart w:id="12" w:name="_Toc385167593"/>
      <w:bookmarkStart w:id="13" w:name="_Toc114930404"/>
    </w:p>
    <w:p>
      <w:pPr>
        <w:spacing w:beforeLines="50" w:afterLines="50" w:line="360" w:lineRule="auto"/>
        <w:ind w:left="48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5、用户培训</w:t>
      </w:r>
      <w:bookmarkEnd w:id="7"/>
      <w:bookmarkEnd w:id="8"/>
      <w:bookmarkEnd w:id="9"/>
      <w:bookmarkEnd w:id="10"/>
      <w:bookmarkEnd w:id="11"/>
      <w:bookmarkEnd w:id="12"/>
      <w:bookmarkEnd w:id="13"/>
    </w:p>
    <w:p>
      <w:pPr>
        <w:numPr>
          <w:ilvl w:val="0"/>
          <w:numId w:val="20"/>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系统安装前介绍系统的接线、配电要求、安装要求。</w:t>
      </w:r>
    </w:p>
    <w:p>
      <w:pPr>
        <w:numPr>
          <w:ilvl w:val="0"/>
          <w:numId w:val="20"/>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调试中应安排建设方的管理人员跟随调试的全过程，使他们熟悉整个系统的结构，调试过程以及操作过程中的注意事项。</w:t>
      </w:r>
    </w:p>
    <w:p>
      <w:pPr>
        <w:numPr>
          <w:ilvl w:val="0"/>
          <w:numId w:val="20"/>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对维护和操作人员进行全面培训。</w:t>
      </w:r>
      <w:bookmarkStart w:id="14" w:name="_Toc385167594"/>
      <w:bookmarkStart w:id="15" w:name="_Toc282180550"/>
      <w:bookmarkStart w:id="16" w:name="_Toc301809067"/>
      <w:bookmarkStart w:id="17" w:name="_Toc385114462"/>
      <w:bookmarkStart w:id="18" w:name="_Toc385114026"/>
      <w:bookmarkStart w:id="19" w:name="_Toc282266136"/>
    </w:p>
    <w:p>
      <w:pPr>
        <w:spacing w:beforeLines="50" w:afterLines="50" w:line="360" w:lineRule="auto"/>
        <w:ind w:left="48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6、其他</w:t>
      </w:r>
      <w:bookmarkEnd w:id="14"/>
      <w:bookmarkEnd w:id="15"/>
      <w:bookmarkEnd w:id="16"/>
      <w:bookmarkEnd w:id="17"/>
      <w:bookmarkEnd w:id="18"/>
      <w:bookmarkEnd w:id="19"/>
      <w:r>
        <w:rPr>
          <w:rFonts w:hint="eastAsia" w:cs="宋体" w:asciiTheme="minorEastAsia" w:hAnsiTheme="minorEastAsia" w:eastAsiaTheme="minorEastAsia"/>
          <w:b/>
          <w:color w:val="auto"/>
          <w:kern w:val="2"/>
          <w:sz w:val="24"/>
          <w:szCs w:val="24"/>
        </w:rPr>
        <w:t>要求</w:t>
      </w:r>
    </w:p>
    <w:p>
      <w:pPr>
        <w:numPr>
          <w:ilvl w:val="0"/>
          <w:numId w:val="21"/>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承包方式：专业总承包，交钥匙工程。按照招标范围总承包，即包材料、包施工、包工期、包质量、包安全、包调试、包售后。</w:t>
      </w:r>
    </w:p>
    <w:p>
      <w:pPr>
        <w:numPr>
          <w:ilvl w:val="0"/>
          <w:numId w:val="21"/>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中标人需根据招标图纸及业主要求，进行深化设计后出正式施工图，根据需要积极配合建设单位做好相应的图纸和方案的审查工作。</w:t>
      </w:r>
    </w:p>
    <w:p>
      <w:pPr>
        <w:numPr>
          <w:ilvl w:val="0"/>
          <w:numId w:val="21"/>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制剂室中标人需根据中标设备进行二次优化设计，并提供医药类设计资格的设计院的图纸。</w:t>
      </w:r>
    </w:p>
    <w:p>
      <w:pPr>
        <w:adjustRightInd w:val="0"/>
        <w:spacing w:beforeLines="50" w:afterLines="50" w:line="360" w:lineRule="auto"/>
        <w:jc w:val="left"/>
        <w:textAlignment w:val="baseline"/>
        <w:rPr>
          <w:rFonts w:cs="宋体" w:asciiTheme="minorEastAsia" w:hAnsiTheme="minorEastAsia" w:eastAsiaTheme="minorEastAsia"/>
          <w:b/>
          <w:color w:val="auto"/>
          <w:sz w:val="24"/>
          <w:szCs w:val="24"/>
        </w:rPr>
      </w:pPr>
      <w:bookmarkStart w:id="20" w:name="_Toc461520340"/>
      <w:r>
        <w:rPr>
          <w:rFonts w:hint="eastAsia" w:cs="宋体" w:asciiTheme="minorEastAsia" w:hAnsiTheme="minorEastAsia" w:eastAsiaTheme="minorEastAsia"/>
          <w:b/>
          <w:color w:val="auto"/>
          <w:sz w:val="24"/>
          <w:szCs w:val="24"/>
        </w:rPr>
        <w:t>二、技术标准与规范</w:t>
      </w:r>
      <w:bookmarkEnd w:id="20"/>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医疗专项区及相关配套辅助用房方案、施工工艺、设备及材料的选择应具有国际水准，满足现代化医院的使用要求。设备及工艺安排具有先进性、高可靠性、适用性、舒适性、经济性，并具备灵活的升级及改造条件。其中经济性包括建设的经济性及使用的经济性。</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方案总体满足分区明确、洁污分明、人流与物流通道合理；配套设施完善、功能与设施先进完备的原则。</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材料、设备选择要高标准、高技术要求，并满足成熟、可靠、经济的要求，所选用的材料、设备必须经过实际工程使用证明满足上述要求。</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本项目所有设备和材料所涉及的设计标准与规范、产品标准与规范、工程标准与规范等必须符合中华人民共和国相应的最新版标准和规范。主要包括（但不局限于）：</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《综合医院建筑设计规范》　GB51039</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《洁净室施工及验收规范》　GB50591</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《生物安全实验室建筑技术规范》　GB50346</w:t>
      </w:r>
    </w:p>
    <w:p>
      <w:pPr>
        <w:spacing w:beforeLines="50" w:afterLines="50" w:line="360" w:lineRule="auto"/>
        <w:ind w:left="1414" w:leftChars="337" w:hanging="268" w:hangingChars="112"/>
        <w:outlineLvl w:val="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《供应室消毒管理规范》  WS310.1</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《江苏省医院消毒供应中心(室)验收评价标准》</w:t>
      </w:r>
    </w:p>
    <w:p>
      <w:pPr>
        <w:spacing w:beforeLines="50" w:afterLines="50" w:line="360" w:lineRule="auto"/>
        <w:ind w:left="1414" w:leftChars="337" w:hanging="268" w:hangingChars="112"/>
        <w:outlineLvl w:val="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《医疗机构制剂配制质量管理规范》</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《临床基因扩增检验实验室管理暂行办法》</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《医院消毒卫生标准》 GB15982</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《建筑设计防火规范》 GB50016</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《建筑装饰装修工程质量验收规范 》  GB50210</w:t>
      </w:r>
    </w:p>
    <w:p>
      <w:pPr>
        <w:spacing w:beforeLines="50" w:afterLines="50" w:line="360" w:lineRule="auto"/>
        <w:ind w:left="1414" w:leftChars="337" w:hanging="268" w:hangingChars="112"/>
        <w:outlineLvl w:val="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《建筑内部装修设计防火规范》　GB50222</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《民用建筑供暖通风及空气调节设计规范》  GB50736</w:t>
      </w:r>
    </w:p>
    <w:p>
      <w:pPr>
        <w:spacing w:beforeLines="50" w:afterLines="50" w:line="360" w:lineRule="auto"/>
        <w:ind w:left="1414" w:leftChars="337" w:hanging="268" w:hangingChars="112"/>
        <w:outlineLvl w:val="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《通风与空调工程施工规范》　 GB 50738</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《洁净手术室用空气调节机组》 GB/T19569</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《民用建筑电气设计规范》　JGJ 16</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《建筑照明设计标准》      GB 50034</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《医疗建筑电气设计规范》　JGJ 312</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《建筑给水排水设计规范》　GB50015</w:t>
      </w:r>
    </w:p>
    <w:p>
      <w:pPr>
        <w:spacing w:beforeLines="50" w:afterLines="50" w:line="360" w:lineRule="auto"/>
        <w:ind w:left="1414" w:leftChars="337" w:hanging="268" w:hangingChars="11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《医用气体工程技术规范》  GB50751</w:t>
      </w:r>
      <w:bookmarkStart w:id="21" w:name="_Toc461520341"/>
    </w:p>
    <w:p>
      <w:pPr>
        <w:adjustRightInd w:val="0"/>
        <w:spacing w:beforeLines="50" w:afterLines="50" w:line="360" w:lineRule="auto"/>
        <w:jc w:val="left"/>
        <w:textAlignment w:val="baseline"/>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三、技术规格与要求</w:t>
      </w:r>
      <w:bookmarkEnd w:id="21"/>
    </w:p>
    <w:p>
      <w:pPr>
        <w:adjustRightInd w:val="0"/>
        <w:spacing w:beforeLines="50" w:afterLines="50" w:line="360" w:lineRule="auto"/>
        <w:ind w:firstLine="472" w:firstLineChars="196"/>
        <w:jc w:val="left"/>
        <w:textAlignment w:val="baseline"/>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kern w:val="2"/>
          <w:sz w:val="24"/>
          <w:szCs w:val="24"/>
        </w:rPr>
        <w:t>（一）室内维护结构及配套基本装备</w:t>
      </w:r>
    </w:p>
    <w:p>
      <w:pPr>
        <w:adjustRightInd w:val="0"/>
        <w:spacing w:beforeLines="50" w:afterLines="50" w:line="360" w:lineRule="auto"/>
        <w:ind w:firstLine="472" w:firstLineChars="196"/>
        <w:jc w:val="left"/>
        <w:textAlignment w:val="baseline"/>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kern w:val="2"/>
          <w:sz w:val="24"/>
          <w:szCs w:val="24"/>
        </w:rPr>
        <w:t>A、室内维护结构技术要求</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装饰应遵循不产尘、不积尘、耐腐蚀、防潮防霉、易清洁和符合防火要求的总原则。地面应平整，采用耐磨、防滑、耐腐蚀、易清洁、环保、不易起尘与不开裂的材料制作。墙面应使用不易开裂、阻燃、易清洗和耐碰撞的材料。净化区内与室内空气直接接触的外露材料不得使用木材和石膏。</w:t>
      </w:r>
    </w:p>
    <w:p>
      <w:pPr>
        <w:spacing w:beforeLines="50" w:afterLines="50" w:line="360" w:lineRule="auto"/>
        <w:ind w:firstLine="482"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color w:val="auto"/>
          <w:kern w:val="2"/>
          <w:sz w:val="24"/>
          <w:szCs w:val="24"/>
        </w:rPr>
        <w:t>1、一层消毒供应室</w:t>
      </w:r>
    </w:p>
    <w:tbl>
      <w:tblPr>
        <w:tblStyle w:val="69"/>
        <w:tblW w:w="95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134"/>
        <w:gridCol w:w="439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12"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房间名称</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级别或环境标准</w:t>
            </w:r>
          </w:p>
        </w:tc>
        <w:tc>
          <w:tcPr>
            <w:tcW w:w="439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建筑设置</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气流状态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1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去污区、通道、洁具2、缓冲2</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III类环境</w:t>
            </w:r>
          </w:p>
        </w:tc>
        <w:tc>
          <w:tcPr>
            <w:tcW w:w="4394"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276"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去污区对相邻房间负压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1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检查包装及灭菌区、辅料间、备用、缓冲1、洁具1检测室、清洁物品入口、库房1、消毒、缓冲4、低温灭菌间</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II类环境</w:t>
            </w:r>
          </w:p>
        </w:tc>
        <w:tc>
          <w:tcPr>
            <w:tcW w:w="4394"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1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无菌区、一次性物品库、发放、蒸汽发生器</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II类环境</w:t>
            </w:r>
          </w:p>
        </w:tc>
        <w:tc>
          <w:tcPr>
            <w:tcW w:w="4394"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1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洁车清洗、洗车间、水处理</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4394"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300*600墙面砖（墙）+600*600*1.0mm厚铝扣板（顶）+300*300/600*600防滑地砖（地）</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bl>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（1）墙面：</w:t>
      </w:r>
    </w:p>
    <w:p>
      <w:pPr>
        <w:spacing w:beforeLines="50" w:afterLines="50" w:line="360" w:lineRule="auto"/>
        <w:ind w:left="31" w:leftChars="9"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消毒供应中心（除洁车清洗、洗车间、水处理外）所有区域墙面均采用50mm厚成品钢制洁净室维护系统，要求墙面具有高强度、耐撞击、易清洁、耐腐蚀、防霉防潮等。夹角处安装阴角R（R≥40）条，密封胶密封处理，阳角处设置专用防撞护角至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b.清洗机、灭菌器两侧的墙面采用不锈钢隔断封堵。</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c.洁车清洗、洗车间、水处理等湿区墙面采用2mm厚聚氨酯涂膜涂层防水处理后，贴300*600优质墙面砖到顶。。</w:t>
      </w:r>
    </w:p>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（2）地面：</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a.消毒供应中心（除洁车清洗、洗车间、水处理、设备仓内地面外）所有区域找平后的地面采用3mm厚水泥自流平处理后，面铺2mmPVC卷材地板。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b.卷(片)材之间所有拼缝均用同质专用焊条处理成平整无缝，与墙体均为专用R（R≥30）圆弧连接。</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c.湿区地面先用2mm厚聚氨酯进行防水处理并找平后，面铺600*600地砖。</w:t>
      </w:r>
    </w:p>
    <w:p>
      <w:pPr>
        <w:spacing w:beforeLines="50" w:afterLines="50" w:line="360" w:lineRule="auto"/>
        <w:ind w:firstLine="120" w:firstLineChars="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bookmarkStart w:id="22" w:name="_Toc461520343"/>
      <w:r>
        <w:rPr>
          <w:rFonts w:hint="eastAsia" w:cs="宋体" w:asciiTheme="minorEastAsia" w:hAnsiTheme="minorEastAsia" w:eastAsiaTheme="minorEastAsia"/>
          <w:color w:val="auto"/>
          <w:kern w:val="2"/>
          <w:sz w:val="24"/>
          <w:szCs w:val="24"/>
        </w:rPr>
        <w:t>a.顶面采用50mm厚成品钢制洁净室维护系统顶面，按设计要求设置检修口,吊顶高度为3.0m</w:t>
      </w:r>
      <w:bookmarkEnd w:id="22"/>
      <w:r>
        <w:rPr>
          <w:rFonts w:hint="eastAsia" w:cs="宋体" w:asciiTheme="minorEastAsia" w:hAnsiTheme="minorEastAsia" w:eastAsiaTheme="minorEastAsia"/>
          <w:color w:val="auto"/>
          <w:kern w:val="2"/>
          <w:sz w:val="24"/>
          <w:szCs w:val="24"/>
        </w:rPr>
        <w:t>.</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其中洁车清洗、洗车间、水处理顶面采用铝扣板吊顶，板厚≥1.0mm。</w:t>
      </w:r>
    </w:p>
    <w:p>
      <w:pPr>
        <w:spacing w:beforeLines="50" w:afterLines="50" w:line="360" w:lineRule="auto"/>
        <w:ind w:left="1080" w:hanging="1080" w:hangingChars="4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（4）门及其他：</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a.选用平开门，门体材质采用钢制材料，表面喷塑、烤漆等表面工艺处理，同质门套，带观察窗（卫生间门不设）、不锈钢门吸。门体规格尺寸见招标图纸及清单。</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b.所有外窗均应设置20mm大理石窗台板。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c.室内所有阴角采用型材专用圆弧，接口严密。</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d.洁净区内的窗户、进入室内的管道、风口、灯具与墙壁或顶棚的连接部位均应密封，以减少积尘、避免污染和便于清洁。</w:t>
      </w:r>
    </w:p>
    <w:p>
      <w:pPr>
        <w:spacing w:beforeLines="50" w:afterLines="50" w:line="360" w:lineRule="auto"/>
        <w:ind w:left="1080" w:hanging="1080" w:hangingChars="4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（5）设备：</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a.消毒供应中心室内有推车经过区域的墙面设置不锈钢防撞带，要求SUS304材质，厚度≥1.2mm，宽度200mm，安装高度为中心距地800mm，安装后与墙面齐平，无毛刺、利角。</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2、一层制剂室</w:t>
      </w:r>
    </w:p>
    <w:tbl>
      <w:tblPr>
        <w:tblStyle w:val="69"/>
        <w:tblW w:w="979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276"/>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房间名称</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级别或环境标准</w:t>
            </w:r>
          </w:p>
        </w:tc>
        <w:tc>
          <w:tcPr>
            <w:tcW w:w="3827"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建筑设置</w:t>
            </w:r>
          </w:p>
        </w:tc>
        <w:tc>
          <w:tcPr>
            <w:tcW w:w="1559"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气流状态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备用、通道、清洁间、洁具、废物出口、外清、标签、外包装、灭菌、库房、管理室、男女更衣、更鞋、过道、洁具、资料室、记录、普通检验、备用、微生物培养、留样间、危化间</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82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559"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洗烘衣、手消毒穿衣、洗手脱衣、称量间、配液间、灌装间、器具存放、器具清洗、接受暂存、准备区、清洗灭菌、洗手脱衣、穿衣手消毒</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十万级</w:t>
            </w:r>
          </w:p>
        </w:tc>
        <w:tc>
          <w:tcPr>
            <w:tcW w:w="382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559"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阳性对照、微生物限度</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万级</w:t>
            </w:r>
          </w:p>
        </w:tc>
        <w:tc>
          <w:tcPr>
            <w:tcW w:w="382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559"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成品库、包材库、中药饮片原料库、中药饮片称量室</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82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75轻钢龙骨+12mm防潮石膏板刷乳胶漆或土建墙刷乳胶漆（墙）+600*600*1.0mm厚铝扣板（顶）+2.0mm厚PVC卷材（地）</w:t>
            </w:r>
          </w:p>
        </w:tc>
        <w:tc>
          <w:tcPr>
            <w:tcW w:w="1559"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3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中药熬制间、蒸汽发生器、备用、纯水制备间、空调机房</w:t>
            </w:r>
          </w:p>
        </w:tc>
        <w:tc>
          <w:tcPr>
            <w:tcW w:w="127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827"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300*600墙面砖（墙）+600*600*1.0mm厚铝扣板（顶）+300*300/600*600防滑地砖（地）</w:t>
            </w:r>
          </w:p>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其中空调机房墙面为原土建墙刷乳胶漆，顶面为原顶涂刷乳胶漆。</w:t>
            </w:r>
          </w:p>
        </w:tc>
        <w:tc>
          <w:tcPr>
            <w:tcW w:w="1559"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bl>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（1）墙面：</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制剂室除成品库、包材库、中药饮片原料库、中药饮片称量室、蒸汽发生器、备用、纯水制备间、空调机房外所有区域墙面均采用50mm厚成品钢制洁净室维护系统，要求墙面具有高强度、耐撞击、易清洁、耐腐蚀、防霉防潮等。夹角处安装阴角R（R≥40）条，密封胶密封处理，阳角处设置专用防撞护角至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b.成品库、包材库、中药饮片原料库、中药饮片称量室、空调机房等区域墙面采用轻钢龙骨石膏板隔墙/原土建墙处刷防霉、耐擦洗乳胶漆。 </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C.蒸汽发生器、备用、制水间的墙面采用2mm厚聚氨酯涂膜涂层防水处理后，贴300*600优质墙面砖到顶。</w:t>
      </w:r>
    </w:p>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（2）地面：</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a.制剂室（除中药熬制间、蒸汽发生器、备用、纯水制备间、空调机房外）所有区域找平后的地面采用3mm厚水泥自流平处理后，面铺2mmPVC卷材地板。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b.卷(片)材之间所有拼缝均用同质专用焊条处理成平整无缝，与墙体均为专用R（R≥30）圆弧连接。</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c.湿区（中药熬制间、蒸汽发生器、备用、纯水制备间、空调机房）地面先用2mm厚聚氨酯进行防水处理并找平后，面铺600*600/300*300mm地砖。</w:t>
      </w:r>
    </w:p>
    <w:p>
      <w:pPr>
        <w:spacing w:beforeLines="50" w:afterLines="50" w:line="360" w:lineRule="auto"/>
        <w:ind w:firstLine="120" w:firstLineChars="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a.顶面（除成品库、包材库、中药饮片原料库、中药饮片称量室、蒸汽发生器、备用、纯水制备间、空调机房外）采用50mm厚成品钢制洁净室维护系统做顶面维护，按设计要求设置检修口。吊顶高度为2.6m。</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成品库、包材库、中药饮片原料库、中药饮片称量室、蒸汽发生器、备用、纯水制备间等区域吊顶采用轻钢龙骨+铝扣板吊顶，龙骨间距符合规范及设计要求，板厚≥1.0mm，空调机房顶面为原顶，材质为原顶涂刷乳胶漆。</w:t>
      </w:r>
    </w:p>
    <w:p>
      <w:pPr>
        <w:spacing w:beforeLines="50" w:afterLines="50" w:line="360" w:lineRule="auto"/>
        <w:ind w:left="1080" w:hanging="1080" w:hangingChars="4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（4）门及其他：</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a.选用平开门，门体材质采用钢制材料，表面喷塑、烤漆等表面工艺处理，同质门套，带观察窗（卫生间门不设）、不锈钢门吸。门体规格尺寸见招标图纸及清单。</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b.所有外窗均应设置20mm大理石窗台板。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c.室内所有阴角采用型材专用圆弧，接口严密。</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d.洁净区内的窗户、进入室内的管道、风口、灯具与墙壁或顶棚的连接部位均应密封，以减少积尘、避免污染和便于清洁。</w:t>
      </w:r>
    </w:p>
    <w:p>
      <w:pPr>
        <w:spacing w:beforeLines="50" w:afterLines="50" w:line="360" w:lineRule="auto"/>
        <w:ind w:left="1080" w:hanging="1080" w:hangingChars="4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（5）设备：</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a.制剂室内乳胶漆墙面设置不锈钢护角，高度到吊顶高度。</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b.生物安全柜排风管不得直接裸露，需包裹处理。</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cs="宋体" w:asciiTheme="minorEastAsia" w:hAnsiTheme="minorEastAsia" w:eastAsiaTheme="minorEastAsia"/>
          <w:color w:val="auto"/>
          <w:kern w:val="2"/>
          <w:sz w:val="24"/>
          <w:szCs w:val="24"/>
        </w:rPr>
        <w:t xml:space="preserve">C. </w:t>
      </w:r>
      <w:r>
        <w:rPr>
          <w:rFonts w:hint="eastAsia" w:cs="宋体" w:asciiTheme="minorEastAsia" w:hAnsiTheme="minorEastAsia" w:eastAsiaTheme="minorEastAsia"/>
          <w:color w:val="auto"/>
          <w:kern w:val="2"/>
          <w:sz w:val="24"/>
          <w:szCs w:val="24"/>
        </w:rPr>
        <w:t>中药熬制间地面标高为</w:t>
      </w:r>
      <w:r>
        <w:rPr>
          <w:rFonts w:cs="宋体" w:asciiTheme="minorEastAsia" w:hAnsiTheme="minorEastAsia" w:eastAsiaTheme="minorEastAsia"/>
          <w:color w:val="auto"/>
          <w:kern w:val="2"/>
          <w:sz w:val="24"/>
          <w:szCs w:val="24"/>
        </w:rPr>
        <w:t>-标高，从门至熬制设备的钢制平台及药渣外运的提升设备需综合考虑在设备部分的报价中，不单独列项，中标</w:t>
      </w:r>
      <w:r>
        <w:rPr>
          <w:rFonts w:hint="eastAsia" w:cs="宋体" w:asciiTheme="minorEastAsia" w:hAnsiTheme="minorEastAsia" w:eastAsiaTheme="minorEastAsia"/>
          <w:color w:val="auto"/>
          <w:kern w:val="2"/>
          <w:sz w:val="24"/>
          <w:szCs w:val="24"/>
        </w:rPr>
        <w:t>人需考虑在综合报价内。</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3、四层中心实验室</w:t>
      </w:r>
    </w:p>
    <w:tbl>
      <w:tblPr>
        <w:tblStyle w:val="69"/>
        <w:tblW w:w="965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1134"/>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62"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房间名称</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级别或环境标准</w:t>
            </w:r>
          </w:p>
        </w:tc>
        <w:tc>
          <w:tcPr>
            <w:tcW w:w="3686"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建筑设置</w:t>
            </w:r>
          </w:p>
        </w:tc>
        <w:tc>
          <w:tcPr>
            <w:tcW w:w="1275"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气流状态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6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综合实验室、电生理实验室、蛋白质免疫实验室、高效液相色谱分析、精神疾病样本库、退更、研究生办公室、预留2、走道</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686"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75轻钢龙骨+12mm防潮石膏板刷乳胶漆或土建墙刷乳胶漆（墙）+600*600*1.0mm厚铝扣板（顶）+2.0mm厚PVC卷材（地）</w:t>
            </w:r>
          </w:p>
        </w:tc>
        <w:tc>
          <w:tcPr>
            <w:tcW w:w="1275"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6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PCR实验室设准备区、制备区、扩增区、分析区及专用通道、细胞房</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686"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50mm厚成品钢制洁净室维护系统（墙）+ 50mm厚成品钢制洁净室维护系统（顶）+ 2.0mm厚PVC卷材（地）</w:t>
            </w:r>
          </w:p>
        </w:tc>
        <w:tc>
          <w:tcPr>
            <w:tcW w:w="1275"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62"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制水间、危化物室、机房</w:t>
            </w:r>
          </w:p>
        </w:tc>
        <w:tc>
          <w:tcPr>
            <w:tcW w:w="1134"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3686" w:type="dxa"/>
            <w:vAlign w:val="center"/>
          </w:tcPr>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300*600墙面砖（墙）+600*600*1.0mm厚铝扣板（顶）+300*300/600*600防滑地砖（地）</w:t>
            </w:r>
          </w:p>
          <w:p>
            <w:pPr>
              <w:spacing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其中（1）空调机房顶面为原顶涂刷抗菌涂料，（2）危化物室地面为PVC卷材。</w:t>
            </w:r>
          </w:p>
        </w:tc>
        <w:tc>
          <w:tcPr>
            <w:tcW w:w="1275" w:type="dxa"/>
            <w:vAlign w:val="center"/>
          </w:tcPr>
          <w:p>
            <w:pPr>
              <w:spacing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r>
    </w:tbl>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（1）墙面：</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 PCR实验室设准备区、制备区、扩增区、分析区及专用通道、细胞房等区域墙面均采用50mm厚成品钢制洁净室维护系统，要求墙面具有高强度、耐撞击、易清洁、耐腐蚀、防霉防潮等。夹角处安装阴角R（R≥40）条，密封胶密封处理，阳角处设置专用防撞护角至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b.综合实验室、电生理实验室、蛋白质免疫实验室、高效液相色谱分析、精神疾病样本库、退更、研究生办公室、预留2、走道等区域墙面采用轻钢龙骨石膏板隔墙/原土建墙处刷防乳胶漆。 </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c.制水间、危化物室、机房等墙面采用2mm厚聚氨酯涂膜涂层防水处理后，贴300*600优质墙面砖到顶。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d.根据设计所示，部分墙面采用大面积观察窗，观察窗墙面需满足设计和结构荷载要求。</w:t>
      </w:r>
    </w:p>
    <w:p>
      <w:pPr>
        <w:spacing w:beforeLines="50" w:afterLines="50" w:line="360" w:lineRule="auto"/>
        <w:ind w:left="1157" w:leftChars="58" w:hanging="960" w:hanging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（2）地面：</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a.中心实验室（除制水间、机房外）所有区域找平后的地面采用3mm厚水泥自流平处理后，面铺2mmPVC卷材地板。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 卷(片)材之间所有拼缝均用同质专用焊条处理成平整无缝，与墙体均为专用R（R≥30）圆弧连接。</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c.湿区（制水间、机房）地面先用2mm厚聚氨酯进行防水处理并找平后，面铺600*600/300*300mm地砖。</w:t>
      </w:r>
    </w:p>
    <w:p>
      <w:pPr>
        <w:spacing w:beforeLines="50" w:afterLines="50" w:line="360" w:lineRule="auto"/>
        <w:ind w:firstLine="120" w:firstLineChars="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（3）吊顶：</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顶面（PCR实验室设准备区、制备区、扩增区、分析区及专用通道、细胞房等区域）采用50mm厚成品钢制洁净室维护系统做顶面维护，按设计要求设置检修口。其余区域采用铝扣板吊顶，吊顶高度为2.6m。其中空调机房顶面为原顶，材质为原顶涂刷乳胶漆。</w:t>
      </w:r>
    </w:p>
    <w:p>
      <w:pPr>
        <w:spacing w:beforeLines="50" w:afterLines="50" w:line="360" w:lineRule="auto"/>
        <w:ind w:left="1080" w:hanging="1080" w:hangingChars="4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（4）门及其他：</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 选用平开门，门体材质采用钢制材料，表面喷塑、烤漆等表面工艺处理，同质门套，带观察窗（卫生间门不设）、不锈钢门吸。门体规格尺寸见招标图纸及清单。</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 所有外窗均应设置20mm大理石窗台板。</w:t>
      </w:r>
    </w:p>
    <w:p>
      <w:pPr>
        <w:spacing w:beforeLines="50" w:after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c.室内所有阴角采用型材专用圆弧，接口严密。</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d.洁净区内的窗户、进入室内的管道、风口、灯具与墙壁或顶棚的连接部位均应密封，以减少积尘、避免污染和便于清洁。</w:t>
      </w:r>
    </w:p>
    <w:p>
      <w:pPr>
        <w:spacing w:beforeLines="50" w:afterLines="50" w:line="360" w:lineRule="auto"/>
        <w:ind w:left="2"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e.生物安全柜排风管不得直接裸露，需包裹处理。</w:t>
      </w:r>
    </w:p>
    <w:p>
      <w:pPr>
        <w:numPr>
          <w:ilvl w:val="0"/>
          <w:numId w:val="22"/>
        </w:num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主要建筑装饰材料质量要求：</w:t>
      </w:r>
    </w:p>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1、PVC胶地板：</w:t>
      </w:r>
    </w:p>
    <w:p>
      <w:pPr>
        <w:numPr>
          <w:ilvl w:val="0"/>
          <w:numId w:val="23"/>
        </w:numPr>
        <w:spacing w:beforeLines="50" w:afterLines="50" w:line="360" w:lineRule="auto"/>
        <w:ind w:firstLine="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PVC卷材（含PU耐磨层），单层均质透芯，厚度为2mm。</w:t>
      </w:r>
    </w:p>
    <w:p>
      <w:pPr>
        <w:numPr>
          <w:ilvl w:val="0"/>
          <w:numId w:val="23"/>
        </w:numPr>
        <w:spacing w:beforeLines="50" w:afterLines="50" w:line="360" w:lineRule="auto"/>
        <w:ind w:left="0" w:firstLine="56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符合欧盟EN 649生产规范；</w:t>
      </w:r>
    </w:p>
    <w:p>
      <w:pPr>
        <w:numPr>
          <w:ilvl w:val="0"/>
          <w:numId w:val="23"/>
        </w:numPr>
        <w:spacing w:beforeLines="50" w:afterLines="50" w:line="360" w:lineRule="auto"/>
        <w:ind w:left="0" w:firstLine="56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耐磨等级：≧Group T；防滑性能：通过欧盟DIN51130防滑测试，防滑性能达到R9标准.</w:t>
      </w:r>
    </w:p>
    <w:p>
      <w:pPr>
        <w:numPr>
          <w:ilvl w:val="0"/>
          <w:numId w:val="23"/>
        </w:numPr>
        <w:spacing w:beforeLines="50" w:afterLines="50" w:line="360" w:lineRule="auto"/>
        <w:ind w:left="0" w:firstLine="56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防火性能：达到GB8624-2012.B1级防火要求；</w:t>
      </w:r>
    </w:p>
    <w:p>
      <w:pPr>
        <w:numPr>
          <w:ilvl w:val="0"/>
          <w:numId w:val="23"/>
        </w:numPr>
        <w:spacing w:beforeLines="50" w:afterLines="50" w:line="360" w:lineRule="auto"/>
        <w:ind w:left="0" w:firstLine="56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抗电阻性：静电负荷＜2KV；</w:t>
      </w:r>
    </w:p>
    <w:p>
      <w:pPr>
        <w:spacing w:beforeLines="50" w:afterLines="50"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2、界面剂、自流平、胶水</w:t>
      </w:r>
    </w:p>
    <w:p>
      <w:pPr>
        <w:numPr>
          <w:ilvl w:val="0"/>
          <w:numId w:val="24"/>
        </w:numPr>
        <w:spacing w:beforeLines="50" w:afterLines="50" w:line="360" w:lineRule="auto"/>
        <w:ind w:left="2"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用料必须选用不低于汉高、优成品牌的质量要求，三种辅料品牌应统一。</w:t>
      </w:r>
    </w:p>
    <w:p>
      <w:pPr>
        <w:numPr>
          <w:ilvl w:val="0"/>
          <w:numId w:val="24"/>
        </w:numPr>
        <w:spacing w:beforeLines="50" w:afterLines="50" w:line="360" w:lineRule="auto"/>
        <w:ind w:left="2"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自流平28d抗压强度不低于C25的强度标准，局部地面防潮起砂处理须使用环保型无水无溶剂本体类环氧树脂界面剂处理。</w:t>
      </w:r>
    </w:p>
    <w:p>
      <w:pPr>
        <w:numPr>
          <w:ilvl w:val="0"/>
          <w:numId w:val="24"/>
        </w:numPr>
        <w:spacing w:beforeLines="50" w:afterLines="50" w:line="360" w:lineRule="auto"/>
        <w:ind w:left="2"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地板使用的胶水必须通过GB18583-2008检测并符合现行国家标准《民用建筑工程室内环境污染控制规范》GB50325-2010的规定。</w:t>
      </w:r>
    </w:p>
    <w:p>
      <w:pPr>
        <w:numPr>
          <w:ilvl w:val="0"/>
          <w:numId w:val="24"/>
        </w:numPr>
        <w:spacing w:beforeLines="50" w:afterLines="50" w:line="360" w:lineRule="auto"/>
        <w:ind w:left="2"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产品符合基层材料和面层材料使用的相容性要求。</w:t>
      </w:r>
    </w:p>
    <w:p>
      <w:pPr>
        <w:spacing w:beforeLines="50" w:afterLines="50"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3、成品钢制洁净室维护系统</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厚度50mm，表面（双面）彩涂钢板厚≥0.476mm；</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镀锌板冷拉型边框，无机玻镁板夹芯；</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具有良好的抗弯、抗冲击、防潮；</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具有很好的隔热保温、隔音作用；</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防火要求： A级不燃；</w:t>
      </w:r>
    </w:p>
    <w:p>
      <w:pPr>
        <w:numPr>
          <w:ilvl w:val="0"/>
          <w:numId w:val="25"/>
        </w:numPr>
        <w:spacing w:beforeLines="50" w:afterLines="50" w:line="360" w:lineRule="auto"/>
        <w:ind w:left="426" w:firstLine="6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绿色环保、对人体无危害、对环境无污染。</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（二）</w:t>
      </w:r>
      <w:r>
        <w:rPr>
          <w:rFonts w:hint="eastAsia" w:cs="宋体" w:asciiTheme="minorEastAsia" w:hAnsiTheme="minorEastAsia" w:eastAsiaTheme="minorEastAsia"/>
          <w:b/>
          <w:color w:val="auto"/>
          <w:sz w:val="24"/>
          <w:szCs w:val="24"/>
        </w:rPr>
        <w:t>医用空气处理设备及配套</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整体要求：选用节能环保的空气净化系统和先进的气流组织模式，各净化区应按国家现行相关规范的要求设置其相对邻室的气压，以保持洁净室的级别及无菌净化要求，并使洁净区处于受控状态。</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（1）主要洁净室技术指标：</w:t>
      </w:r>
    </w:p>
    <w:tbl>
      <w:tblPr>
        <w:tblStyle w:val="69"/>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851"/>
        <w:gridCol w:w="992"/>
        <w:gridCol w:w="992"/>
        <w:gridCol w:w="851"/>
        <w:gridCol w:w="850"/>
        <w:gridCol w:w="1418"/>
        <w:gridCol w:w="803"/>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blHeader/>
          <w:jc w:val="center"/>
        </w:trPr>
        <w:tc>
          <w:tcPr>
            <w:tcW w:w="1843"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名称</w:t>
            </w:r>
          </w:p>
        </w:tc>
        <w:tc>
          <w:tcPr>
            <w:tcW w:w="851"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室内压力</w:t>
            </w:r>
          </w:p>
        </w:tc>
        <w:tc>
          <w:tcPr>
            <w:tcW w:w="992"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最小换气次数(≥次/h)</w:t>
            </w:r>
          </w:p>
        </w:tc>
        <w:tc>
          <w:tcPr>
            <w:tcW w:w="992"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工作区</w:t>
            </w:r>
          </w:p>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平均风</w:t>
            </w:r>
          </w:p>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速（m/s）</w:t>
            </w:r>
          </w:p>
        </w:tc>
        <w:tc>
          <w:tcPr>
            <w:tcW w:w="851"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温度（℃）</w:t>
            </w:r>
          </w:p>
        </w:tc>
        <w:tc>
          <w:tcPr>
            <w:tcW w:w="850"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相对湿度（%）</w:t>
            </w:r>
          </w:p>
        </w:tc>
        <w:tc>
          <w:tcPr>
            <w:tcW w:w="1418" w:type="dxa"/>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最小新风量</w:t>
            </w:r>
          </w:p>
        </w:tc>
        <w:tc>
          <w:tcPr>
            <w:tcW w:w="803"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噪声</w:t>
            </w:r>
          </w:p>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dB(A)</w:t>
            </w:r>
          </w:p>
        </w:tc>
        <w:tc>
          <w:tcPr>
            <w:tcW w:w="898" w:type="dxa"/>
            <w:vMerge w:val="restart"/>
            <w:shd w:val="clear" w:color="auto" w:fill="auto"/>
            <w:vAlign w:val="center"/>
          </w:tcPr>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最少术间自净时间</w:t>
            </w:r>
          </w:p>
          <w:p>
            <w:pPr>
              <w:spacing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blHeader/>
          <w:jc w:val="center"/>
        </w:trPr>
        <w:tc>
          <w:tcPr>
            <w:tcW w:w="1843"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851"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992"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992"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851"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850"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c>
          <w:tcPr>
            <w:tcW w:w="1418" w:type="dxa"/>
            <w:shd w:val="clear" w:color="auto" w:fill="auto"/>
            <w:vAlign w:val="center"/>
          </w:tcPr>
          <w:p>
            <w:pPr>
              <w:spacing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m3/h·㎡或次/h（仅指本栏括号中数据</w:t>
            </w:r>
          </w:p>
        </w:tc>
        <w:tc>
          <w:tcPr>
            <w:tcW w:w="803" w:type="dxa"/>
            <w:vMerge w:val="continue"/>
            <w:shd w:val="clear" w:color="auto" w:fill="auto"/>
            <w:vAlign w:val="center"/>
          </w:tcPr>
          <w:p>
            <w:pPr>
              <w:spacing w:beforeLines="50" w:line="360" w:lineRule="auto"/>
              <w:rPr>
                <w:rFonts w:cs="宋体" w:asciiTheme="minorEastAsia" w:hAnsiTheme="minorEastAsia" w:eastAsiaTheme="minorEastAsia"/>
                <w:b/>
                <w:bCs/>
                <w:color w:val="auto"/>
                <w:spacing w:val="-10"/>
                <w:kern w:val="2"/>
                <w:sz w:val="24"/>
                <w:szCs w:val="24"/>
              </w:rPr>
            </w:pPr>
          </w:p>
        </w:tc>
        <w:tc>
          <w:tcPr>
            <w:tcW w:w="898" w:type="dxa"/>
            <w:vMerge w:val="continue"/>
            <w:shd w:val="clear" w:color="auto" w:fill="auto"/>
          </w:tcPr>
          <w:p>
            <w:pPr>
              <w:spacing w:beforeLines="50" w:line="360" w:lineRule="auto"/>
              <w:rPr>
                <w:rFonts w:cs="宋体" w:asciiTheme="minorEastAsia" w:hAnsiTheme="minorEastAsia" w:eastAsiaTheme="minorEastAsia"/>
                <w:b/>
                <w:bCs/>
                <w:color w:val="auto"/>
                <w:spacing w:val="-1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498" w:type="dxa"/>
            <w:gridSpan w:val="9"/>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一层供应室（满足</w:t>
            </w:r>
            <w:r>
              <w:rPr>
                <w:rFonts w:hint="eastAsia" w:cs="宋体" w:asciiTheme="minorEastAsia" w:hAnsiTheme="minorEastAsia" w:eastAsiaTheme="minorEastAsia"/>
                <w:color w:val="auto"/>
                <w:kern w:val="2"/>
                <w:sz w:val="24"/>
                <w:szCs w:val="24"/>
              </w:rPr>
              <w:t>按WS310.1-2016</w:t>
            </w: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去污区</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负</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16~21</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30~60</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检查、包装及灭菌区</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20~23</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30~60</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无菌物品存放区</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24</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70</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498" w:type="dxa"/>
            <w:gridSpan w:val="9"/>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一层制剂室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接收暂放\器具清洗存放\通道、灌装间、洗烘衣、手消毒穿衣、洗手脱衣、炮制中药、清洗灭菌、准备区、洗手脱衣1-2、手消毒穿衣1-2</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45~65</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≤52</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阳性对照、微生物限度</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45~65</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≤52</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外外包装、灭菌室、标签、清、洁具、更鞋、男更衣、女更衣、管理室</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17~26</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≤52</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过道、记录、资料室、洁具、普通检验、过道2、留样间</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17~26</w:t>
            </w:r>
          </w:p>
        </w:tc>
        <w:tc>
          <w:tcPr>
            <w:tcW w:w="850"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w:t>
            </w:r>
          </w:p>
        </w:tc>
        <w:tc>
          <w:tcPr>
            <w:tcW w:w="1418"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w:t>
            </w:r>
          </w:p>
        </w:tc>
        <w:tc>
          <w:tcPr>
            <w:tcW w:w="803" w:type="dxa"/>
            <w:vAlign w:val="center"/>
          </w:tcPr>
          <w:p>
            <w:pPr>
              <w:spacing w:beforeLines="50" w:line="360" w:lineRule="auto"/>
              <w:jc w:val="center"/>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≤52</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498" w:type="dxa"/>
            <w:gridSpan w:val="9"/>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四层PCR实验室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试剂准备</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12</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40-60</w:t>
            </w:r>
          </w:p>
        </w:tc>
        <w:tc>
          <w:tcPr>
            <w:tcW w:w="141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全新风</w:t>
            </w:r>
          </w:p>
        </w:tc>
        <w:tc>
          <w:tcPr>
            <w:tcW w:w="803"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制备间</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-20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12</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40-60</w:t>
            </w:r>
          </w:p>
        </w:tc>
        <w:tc>
          <w:tcPr>
            <w:tcW w:w="141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全新风</w:t>
            </w:r>
          </w:p>
        </w:tc>
        <w:tc>
          <w:tcPr>
            <w:tcW w:w="803"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扩增区、分析区</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-15</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12</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40-60</w:t>
            </w:r>
          </w:p>
        </w:tc>
        <w:tc>
          <w:tcPr>
            <w:tcW w:w="141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全新风</w:t>
            </w:r>
          </w:p>
        </w:tc>
        <w:tc>
          <w:tcPr>
            <w:tcW w:w="803"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外走廊</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12</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40-60</w:t>
            </w:r>
          </w:p>
        </w:tc>
        <w:tc>
          <w:tcPr>
            <w:tcW w:w="141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全新风</w:t>
            </w:r>
          </w:p>
        </w:tc>
        <w:tc>
          <w:tcPr>
            <w:tcW w:w="803"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3" w:type="dxa"/>
            <w:vAlign w:val="center"/>
          </w:tcPr>
          <w:p>
            <w:pPr>
              <w:spacing w:beforeLines="50" w:line="360" w:lineRule="auto"/>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细胞培养室</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正</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30</w:t>
            </w:r>
          </w:p>
        </w:tc>
        <w:tc>
          <w:tcPr>
            <w:tcW w:w="992"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c>
          <w:tcPr>
            <w:tcW w:w="851"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18-26</w:t>
            </w:r>
          </w:p>
        </w:tc>
        <w:tc>
          <w:tcPr>
            <w:tcW w:w="850"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40-60</w:t>
            </w:r>
          </w:p>
        </w:tc>
        <w:tc>
          <w:tcPr>
            <w:tcW w:w="141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全新风</w:t>
            </w:r>
          </w:p>
        </w:tc>
        <w:tc>
          <w:tcPr>
            <w:tcW w:w="803"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≤55</w:t>
            </w:r>
          </w:p>
        </w:tc>
        <w:tc>
          <w:tcPr>
            <w:tcW w:w="898" w:type="dxa"/>
            <w:vAlign w:val="center"/>
          </w:tcPr>
          <w:p>
            <w:pPr>
              <w:spacing w:beforeLines="50" w:line="360" w:lineRule="auto"/>
              <w:jc w:val="center"/>
              <w:rPr>
                <w:rFonts w:cs="宋体" w:asciiTheme="minorEastAsia" w:hAnsiTheme="minorEastAsia" w:eastAsiaTheme="minorEastAsia"/>
                <w:color w:val="auto"/>
                <w:spacing w:val="-10"/>
                <w:kern w:val="2"/>
                <w:sz w:val="24"/>
                <w:szCs w:val="24"/>
              </w:rPr>
            </w:pPr>
            <w:r>
              <w:rPr>
                <w:rFonts w:hint="eastAsia" w:cs="宋体" w:asciiTheme="minorEastAsia" w:hAnsiTheme="minorEastAsia" w:eastAsiaTheme="minorEastAsia"/>
                <w:color w:val="auto"/>
                <w:spacing w:val="-10"/>
                <w:kern w:val="2"/>
                <w:sz w:val="24"/>
                <w:szCs w:val="24"/>
              </w:rPr>
              <w:t>—</w:t>
            </w:r>
          </w:p>
        </w:tc>
      </w:tr>
    </w:tbl>
    <w:p>
      <w:pPr>
        <w:spacing w:beforeLines="50" w:afterLines="50" w:line="360" w:lineRule="auto"/>
        <w:ind w:firstLine="480" w:firstLineChars="200"/>
        <w:rPr>
          <w:rFonts w:cs="宋体" w:asciiTheme="minorEastAsia" w:hAnsiTheme="minorEastAsia" w:eastAsiaTheme="minorEastAsia"/>
          <w:color w:val="auto"/>
          <w:kern w:val="2"/>
          <w:sz w:val="24"/>
          <w:szCs w:val="24"/>
          <w:lang w:val="zh-CN"/>
        </w:rPr>
      </w:pPr>
      <w:r>
        <w:rPr>
          <w:rFonts w:hint="eastAsia" w:cs="宋体" w:asciiTheme="minorEastAsia" w:hAnsiTheme="minorEastAsia" w:eastAsiaTheme="minorEastAsia"/>
          <w:color w:val="auto"/>
          <w:kern w:val="2"/>
          <w:sz w:val="24"/>
          <w:szCs w:val="24"/>
          <w:lang w:val="zh-CN"/>
        </w:rPr>
        <w:t>注：其他表内未注明的项目需满足相关规范、标准的要求。</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（2）一层消毒供应室通风系统：</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一层供应室无菌区、灭菌打包区及去污区采用多联机+新风除湿机组（一台）的空调形式。整体满足《医院消毒供应中心管理规范》（WS310.1-2016）规定的温度、湿度、换气次数、压力等技术要求。</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供应室无菌区、灭菌打包区及去污区机组功能段依次为：进风段、初效过滤器段、送风机段、中效过滤器段、双表冷盘管段、加热段、加湿段、出风段。</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供应室各区域按需设置排风系统；消毒间及蒸汽灭菌间需设置强制排风。</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无菌区及灭菌打包和去污区空调夏季冷负荷200KW（冷冻水循环水量35m3/h），夏季电再热量27KW；冬季热负荷80KW。过渡季节设计冷负荷为120kW（冷冻水冷量为21m3/h），夏季电再热量27KW。新风机组接机房内预留的供回水管，管径DN100，风机盘管直接接入走廊主管道。</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空调水系统供回水采用两管制，冷冻水供水温度7°C，回水14°C；热水供水为60°C，回水温度为50°C。</w:t>
      </w:r>
    </w:p>
    <w:p>
      <w:pPr>
        <w:numPr>
          <w:ilvl w:val="0"/>
          <w:numId w:val="26"/>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空调机组冬季采用电极式加湿，加湿量为65kg/h，就近接入大楼给水管。</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（3）一层制剂室通风系统：</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制剂室的万级、十万级净化区采用全空气净化空调形式，系统设粗（G4）、中（F7）、高效（H13）三级过滤，共设置2台净化循环空调机组，机组自取新风。</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制剂室无净化要求的区域采用风机盘管+新风机组相结合的空调形式，设置一台普通的新风机组。</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机组功能段设置：制剂室净化循环机组依次为：混风段、初效过滤段、送风机、中效过滤段、双表冷盘管段、氟盘管段、电加热段、加湿段、出风段。制剂室普通新风机组功能段依次为：进风段、初效过滤段、送风机段、表冷盘管段、出风段。</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制剂室万级、十万级净化区域采用高效送风口吊顶送风，单层竖百叶风口布置于侧墙下部，气流组织上送下侧回。</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洁净区正压通过调节新风量和排风量之差来实现。</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净化空调区域夏季设计冷负荷100KW（冷冻水循环水量18m3/h），电再热负荷为30KW，冬季热负荷为50KW，采用两管制接4轴交H轴处制剂室空调机房内甲方预留的供回水接口及阀门。过渡季节冷负荷为60KW（两台机组自带冷源），电再热负荷为30KW。</w:t>
      </w:r>
    </w:p>
    <w:p>
      <w:pPr>
        <w:tabs>
          <w:tab w:val="left" w:pos="709"/>
          <w:tab w:val="left" w:pos="851"/>
          <w:tab w:val="left" w:pos="1701"/>
        </w:tabs>
        <w:spacing w:beforeLines="50" w:afterLines="50" w:line="360" w:lineRule="auto"/>
        <w:ind w:left="851" w:firstLine="567"/>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剂室普通空调区域机组夏季设计冷负荷80KW（冷冻水循环水量15m3/h），冬季热负荷为50KW，冬季预热负荷为6KW，采用两管制，接4轴交H轴处制剂室空调机房内甲方预留的供回水接口及阀门。风机盘管系统东边区域水系统与净化机组一起接入机房预留的接口，西边中药饮片原料库区域风机盘管接入走廊风机盘管主管道。</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中药熬制间因产热量较大，采用多联机系统，可在过渡季节实现制冷要求。</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净化空调冷热源空调供回水采用两管制，冷冻水供水温度7°C，回水12°C。其中1F制剂室夏冬季采用大楼的冷热源，在过渡季节大楼不再提供冷源的时候由净化机组自带的风冷冷凝机组提供冷源；</w:t>
      </w:r>
    </w:p>
    <w:p>
      <w:pPr>
        <w:numPr>
          <w:ilvl w:val="0"/>
          <w:numId w:val="27"/>
        </w:numPr>
        <w:tabs>
          <w:tab w:val="left" w:pos="709"/>
          <w:tab w:val="left" w:pos="851"/>
          <w:tab w:val="left" w:pos="1701"/>
        </w:tabs>
        <w:spacing w:beforeLines="50" w:afterLines="50" w:line="360" w:lineRule="auto"/>
        <w:ind w:firstLine="42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冬季采用电极式加湿器加湿，水质达到饮用水标准，制剂室净化区域加湿量为：40kg/h，就近接入大楼给水管。</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（4）中心实验室通风系统</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PCR实验室及细胞房采用全空气净化空调形式，系统设粗（G4）、中（F7）、高效（H13）三级过滤，共设置2台净化全新风空调机组，机组自取新风。机组设于同层空调机房（位置见图）。</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净化循环空调机组依次为进风段、初效过滤器段（G4）、送风机段、中效过滤段（F7）、双表冷盘管段、加热段、加湿段、出风段。</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CR实验室净化新风空调机组依次为：进风段、初效过滤段、送风机段、中效过滤段、氟盘管段、电再热段、加湿段、出风段。细胞培养室净化新风空调机组依次为：进风段、初效过滤段、送风机段、中效过滤段、氟盘管段、电再热段、加湿段、出风段。</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PCR采用高效送风口吊顶送风，各房间内高效过滤排风口布置于侧墙下部，气流组织上送下侧排。细胞培养室区域采用高效送风口吊顶送风，单层竖百叶风口布置于侧墙下部，气流组织上送下侧回。</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洁净区正压通过调节新风量和排风量之差来实现。</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PCR实验室净化空调夏季设计冷负荷120KW（冷冻水循环水量22m3/h），电再热负荷为25KW，冬季热负荷为50KW，冬季预热负荷为15KW；过渡季节冷负荷为72KW（冷冻水循环水量13m3/h），电再热负荷为15KW。冷热源机组自带。</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细胞培养室实验室净化空调夏季设计冷负荷120KW（冷冻水循环水量22m3/h），电再热负荷为25KW，冬季热负荷为50KW，冬季预热负荷为15KW；过渡季节冷负荷为72KW（冷冻水循环水量13m3/h），电再热负荷为15KW。冷热源机组自带。</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冬季采用电极式加湿器加湿，水质达到饮用水标准，其中PCR实验室净化区域加湿量为：45kg/h，细胞培养室净化区域加湿量为：45kg/h。就近接入大楼给水管。</w:t>
      </w:r>
    </w:p>
    <w:p>
      <w:pPr>
        <w:numPr>
          <w:ilvl w:val="0"/>
          <w:numId w:val="28"/>
        </w:numPr>
        <w:tabs>
          <w:tab w:val="left" w:pos="709"/>
          <w:tab w:val="left" w:pos="851"/>
          <w:tab w:val="left" w:pos="1560"/>
          <w:tab w:val="left" w:pos="1701"/>
        </w:tabs>
        <w:spacing w:beforeLines="50" w:afterLines="50" w:line="360" w:lineRule="auto"/>
        <w:ind w:left="851" w:firstLine="425"/>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本项目中的综合实验室、电生理实验室、蛋白质免疫实验室、高效液相色谱分析、制水间、精神疾病样本库、退更、研究生办公室等房间的VRV空调系统由大楼统一设置，不在本次招标范围内。</w:t>
      </w:r>
    </w:p>
    <w:p>
      <w:pPr>
        <w:spacing w:beforeLines="50" w:after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（5）空调系统的节能要求</w:t>
      </w:r>
    </w:p>
    <w:p>
      <w:pPr>
        <w:numPr>
          <w:ilvl w:val="0"/>
          <w:numId w:val="29"/>
        </w:num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新风机组和循环机组均采用变频定风量控制，既始终保持系统风量恒定，有节省运行费用。</w:t>
      </w:r>
    </w:p>
    <w:p>
      <w:pPr>
        <w:numPr>
          <w:ilvl w:val="0"/>
          <w:numId w:val="29"/>
        </w:num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新风集中处理，供冷季节新风机组深度除湿，承担室内全部的湿负荷。循环机组可实现干工况运行，只承担室内冷负荷。节省常规恒温恒湿空调除湿能耗和再热能耗。</w:t>
      </w:r>
    </w:p>
    <w:p>
      <w:pPr>
        <w:numPr>
          <w:ilvl w:val="0"/>
          <w:numId w:val="29"/>
        </w:num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所有净化机组均采用先进的恒风量控制技术。利用控制器、变频器、传感器自动感应过滤器的堵塞情况，自动调整风机马达的转速，保持系统风量恒定，节省运行费用。</w:t>
      </w:r>
    </w:p>
    <w:p>
      <w:pPr>
        <w:numPr>
          <w:ilvl w:val="0"/>
          <w:numId w:val="29"/>
        </w:num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所有通风空调设备均选择节能产品，并可以根据外界负荷变化调节风量和水量大小。</w:t>
      </w:r>
    </w:p>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（6）主要设备、材料的性能描述</w:t>
      </w:r>
    </w:p>
    <w:p>
      <w:pPr>
        <w:spacing w:before="50" w:afterLines="50" w:line="360" w:lineRule="auto"/>
        <w:ind w:firstLine="569" w:firstLineChars="236"/>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fldChar w:fldCharType="begin"/>
      </w:r>
      <w:r>
        <w:rPr>
          <w:rFonts w:hint="eastAsia" w:cs="宋体" w:asciiTheme="minorEastAsia" w:hAnsiTheme="minorEastAsia" w:eastAsiaTheme="minorEastAsia"/>
          <w:b/>
          <w:color w:val="auto"/>
          <w:kern w:val="2"/>
          <w:sz w:val="24"/>
          <w:szCs w:val="24"/>
        </w:rPr>
        <w:instrText xml:space="preserve"> = 1 \* GB3 </w:instrText>
      </w:r>
      <w:r>
        <w:rPr>
          <w:rFonts w:hint="eastAsia" w:cs="宋体" w:asciiTheme="minorEastAsia" w:hAnsiTheme="minorEastAsia" w:eastAsiaTheme="minorEastAsia"/>
          <w:b/>
          <w:color w:val="auto"/>
          <w:kern w:val="2"/>
          <w:sz w:val="24"/>
          <w:szCs w:val="24"/>
        </w:rPr>
        <w:fldChar w:fldCharType="separate"/>
      </w:r>
      <w:r>
        <w:rPr>
          <w:rFonts w:hint="eastAsia" w:cs="宋体" w:asciiTheme="minorEastAsia" w:hAnsiTheme="minorEastAsia" w:eastAsiaTheme="minorEastAsia"/>
          <w:b/>
          <w:color w:val="auto"/>
          <w:kern w:val="2"/>
          <w:sz w:val="24"/>
          <w:szCs w:val="24"/>
        </w:rPr>
        <w:t>①</w:t>
      </w:r>
      <w:r>
        <w:rPr>
          <w:rFonts w:hint="eastAsia" w:cs="宋体" w:asciiTheme="minorEastAsia" w:hAnsiTheme="minorEastAsia" w:eastAsiaTheme="minorEastAsia"/>
          <w:b/>
          <w:color w:val="auto"/>
          <w:kern w:val="2"/>
          <w:sz w:val="24"/>
          <w:szCs w:val="24"/>
        </w:rPr>
        <w:fldChar w:fldCharType="end"/>
      </w:r>
      <w:r>
        <w:rPr>
          <w:rFonts w:hint="eastAsia" w:cs="宋体" w:asciiTheme="minorEastAsia" w:hAnsiTheme="minorEastAsia" w:eastAsiaTheme="minorEastAsia"/>
          <w:b/>
          <w:color w:val="auto"/>
          <w:kern w:val="2"/>
          <w:sz w:val="24"/>
          <w:szCs w:val="24"/>
        </w:rPr>
        <w:t>医用新风处理机组及其他医用空调机组</w:t>
      </w:r>
    </w:p>
    <w:p>
      <w:pPr>
        <w:spacing w:before="50" w:afterLines="50" w:line="360" w:lineRule="auto"/>
        <w:ind w:firstLine="552" w:firstLineChars="230"/>
        <w:outlineLvl w:val="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1）总体要求</w:t>
      </w:r>
    </w:p>
    <w:p>
      <w:pPr>
        <w:numPr>
          <w:ilvl w:val="0"/>
          <w:numId w:val="30"/>
        </w:numPr>
        <w:tabs>
          <w:tab w:val="left" w:pos="851"/>
          <w:tab w:val="left" w:pos="1418"/>
        </w:tabs>
        <w:spacing w:before="50" w:afterLines="50" w:line="360" w:lineRule="auto"/>
        <w:ind w:firstLine="566" w:firstLineChars="23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须是通过ISO9001系列质量体系认证的生产厂家产品，并获得TUV、CRAA等产品认证。所提供的设备达到欧洲EN1886标准的要求，箱体应有足够的强度（D1级）；必须具有完整可靠的框架结构，漏风率L1级；隔热板采用聚氨酯或岩棉，厚50mm以上，传热系数不低于T2级，热桥因子不低于TB2级。内表面应光滑平整，无毛刺，无死角，不易积尘。提供相关证书及证明资料。</w:t>
      </w:r>
    </w:p>
    <w:p>
      <w:pPr>
        <w:numPr>
          <w:ilvl w:val="0"/>
          <w:numId w:val="30"/>
        </w:numPr>
        <w:tabs>
          <w:tab w:val="left" w:pos="851"/>
          <w:tab w:val="left" w:pos="1418"/>
        </w:tabs>
        <w:spacing w:before="50" w:afterLines="50" w:line="360" w:lineRule="auto"/>
        <w:ind w:firstLine="566" w:firstLineChars="23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净化新风机组具有双冷源深度除湿功能（按设计），提供相关证明资料。</w:t>
      </w:r>
    </w:p>
    <w:p>
      <w:pPr>
        <w:spacing w:before="50" w:afterLines="50" w:line="360" w:lineRule="auto"/>
        <w:ind w:left="63"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2）风机：</w:t>
      </w:r>
    </w:p>
    <w:p>
      <w:pPr>
        <w:numPr>
          <w:ilvl w:val="0"/>
          <w:numId w:val="31"/>
        </w:numPr>
        <w:tabs>
          <w:tab w:val="left" w:pos="851"/>
          <w:tab w:val="left" w:pos="1418"/>
        </w:tabs>
        <w:spacing w:before="50" w:afterLines="50" w:line="360" w:lineRule="auto"/>
        <w:ind w:firstLine="566" w:firstLineChars="23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风机选型符合高效、低噪原则。采用直驱式无蜗壳风机或离心风机。风机变频控制，能够准确调节风量。风机叶轮做防腐处理，并且经过动、静平衡测试。</w:t>
      </w:r>
    </w:p>
    <w:p>
      <w:pPr>
        <w:numPr>
          <w:ilvl w:val="0"/>
          <w:numId w:val="31"/>
        </w:numPr>
        <w:tabs>
          <w:tab w:val="left" w:pos="851"/>
          <w:tab w:val="left" w:pos="1418"/>
        </w:tabs>
        <w:spacing w:before="50" w:afterLines="50" w:line="360" w:lineRule="auto"/>
        <w:ind w:firstLine="566" w:firstLineChars="236"/>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风机轴承耐磨性好，使用寿命长，底座为弹簧减震底座。</w:t>
      </w:r>
    </w:p>
    <w:p>
      <w:pPr>
        <w:spacing w:before="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3）电机：采用优质电机，自带过热保护装置;</w:t>
      </w:r>
    </w:p>
    <w:p>
      <w:pPr>
        <w:spacing w:before="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4）表冷器：</w:t>
      </w:r>
    </w:p>
    <w:p>
      <w:pPr>
        <w:numPr>
          <w:ilvl w:val="0"/>
          <w:numId w:val="32"/>
        </w:numPr>
        <w:tabs>
          <w:tab w:val="left" w:pos="709"/>
        </w:tabs>
        <w:spacing w:before="50" w:afterLines="50" w:line="360" w:lineRule="auto"/>
        <w:ind w:firstLine="424" w:firstLineChars="17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表冷、加热盘管的框架采用铝合金材料制作，冷凝盘管采用不锈钢材料制造，保证光滑不积尘。</w:t>
      </w:r>
    </w:p>
    <w:p>
      <w:pPr>
        <w:numPr>
          <w:ilvl w:val="0"/>
          <w:numId w:val="32"/>
        </w:numPr>
        <w:tabs>
          <w:tab w:val="left" w:pos="709"/>
        </w:tabs>
        <w:spacing w:before="50" w:afterLines="50" w:line="360" w:lineRule="auto"/>
        <w:ind w:firstLine="424" w:firstLineChars="17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冷热盘管采用优质紫铜管套防腐亲水铝翅片，翅片为不带波纹的平翅片，避免积尘，保证排水容易。</w:t>
      </w:r>
    </w:p>
    <w:p>
      <w:pPr>
        <w:numPr>
          <w:ilvl w:val="0"/>
          <w:numId w:val="32"/>
        </w:numPr>
        <w:tabs>
          <w:tab w:val="left" w:pos="709"/>
        </w:tabs>
        <w:spacing w:before="50" w:afterLines="50" w:line="360" w:lineRule="auto"/>
        <w:ind w:firstLine="424" w:firstLineChars="17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净化新风机组表冷器迎风风速最大不超过2m/s，其他机组不超过2.5m/s。</w:t>
      </w:r>
    </w:p>
    <w:p>
      <w:pPr>
        <w:numPr>
          <w:ilvl w:val="0"/>
          <w:numId w:val="32"/>
        </w:numPr>
        <w:tabs>
          <w:tab w:val="left" w:pos="709"/>
        </w:tabs>
        <w:spacing w:before="50" w:afterLines="50" w:line="360" w:lineRule="auto"/>
        <w:ind w:firstLine="424" w:firstLineChars="17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冷凝水盘为304不锈钢干式水盘，整板成型无接缝的大坡度设计，确保冷凝水排水顺畅。</w:t>
      </w:r>
    </w:p>
    <w:p>
      <w:pPr>
        <w:numPr>
          <w:ilvl w:val="0"/>
          <w:numId w:val="32"/>
        </w:numPr>
        <w:tabs>
          <w:tab w:val="left" w:pos="709"/>
        </w:tabs>
        <w:spacing w:before="50" w:afterLines="50" w:line="360" w:lineRule="auto"/>
        <w:ind w:firstLine="424" w:firstLineChars="177"/>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冷热盘管承压均不小于1.6MPa，水阻力不大于50kPa。</w:t>
      </w:r>
    </w:p>
    <w:p>
      <w:pPr>
        <w:spacing w:before="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5）各机组详细规格及参数见图纸和清单。</w:t>
      </w:r>
    </w:p>
    <w:p>
      <w:pPr>
        <w:spacing w:before="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6）提供制造商针对本项目的售后服务承诺书。</w:t>
      </w:r>
    </w:p>
    <w:p>
      <w:pPr>
        <w:spacing w:beforeLines="50" w:afterLines="50" w:line="360" w:lineRule="auto"/>
        <w:ind w:firstLine="482" w:firstLineChars="20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2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②</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多联机及分体式空调</w:t>
      </w:r>
    </w:p>
    <w:p>
      <w:pPr>
        <w:numPr>
          <w:ilvl w:val="0"/>
          <w:numId w:val="33"/>
        </w:numPr>
        <w:tabs>
          <w:tab w:val="left" w:pos="709"/>
        </w:tabs>
        <w:spacing w:beforeLines="50" w:afterLines="50" w:line="360" w:lineRule="auto"/>
        <w:ind w:firstLine="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系统标准化、高集成化、设备安装位置自由；超高机外静压，最高可达110Pa；</w:t>
      </w:r>
    </w:p>
    <w:p>
      <w:pPr>
        <w:numPr>
          <w:ilvl w:val="0"/>
          <w:numId w:val="33"/>
        </w:numPr>
        <w:tabs>
          <w:tab w:val="left" w:pos="709"/>
        </w:tabs>
        <w:spacing w:beforeLines="50" w:afterLines="50" w:line="360" w:lineRule="auto"/>
        <w:ind w:firstLine="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更多室内机形式、容量可供选择；</w:t>
      </w:r>
    </w:p>
    <w:p>
      <w:pPr>
        <w:numPr>
          <w:ilvl w:val="0"/>
          <w:numId w:val="33"/>
        </w:numPr>
        <w:tabs>
          <w:tab w:val="left" w:pos="709"/>
        </w:tabs>
        <w:spacing w:beforeLines="50" w:afterLines="50" w:line="360" w:lineRule="auto"/>
        <w:ind w:firstLine="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滤网种类齐全、高效过滤PM2.5等多种有害物质；</w:t>
      </w:r>
    </w:p>
    <w:p>
      <w:pPr>
        <w:numPr>
          <w:ilvl w:val="0"/>
          <w:numId w:val="33"/>
        </w:numPr>
        <w:tabs>
          <w:tab w:val="left" w:pos="709"/>
        </w:tabs>
        <w:spacing w:beforeLines="50" w:afterLines="50" w:line="360" w:lineRule="auto"/>
        <w:ind w:firstLine="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室内机最低运转音≤35分贝；</w:t>
      </w:r>
    </w:p>
    <w:p>
      <w:pPr>
        <w:numPr>
          <w:ilvl w:val="0"/>
          <w:numId w:val="33"/>
        </w:numPr>
        <w:tabs>
          <w:tab w:val="left" w:pos="709"/>
        </w:tabs>
        <w:spacing w:beforeLines="50" w:afterLines="50" w:line="360" w:lineRule="auto"/>
        <w:ind w:firstLine="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自带抑菌技术；多联机组最高综合能效系数IPLV符合国家标准要求。</w:t>
      </w:r>
    </w:p>
    <w:p>
      <w:pPr>
        <w:spacing w:beforeLines="50" w:afterLines="50" w:line="360" w:lineRule="auto"/>
        <w:ind w:firstLine="482" w:firstLineChars="20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3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③</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排风机</w:t>
      </w:r>
    </w:p>
    <w:p>
      <w:pPr>
        <w:numPr>
          <w:ilvl w:val="0"/>
          <w:numId w:val="34"/>
        </w:num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采用高效长寿马达。</w:t>
      </w:r>
    </w:p>
    <w:p>
      <w:pPr>
        <w:numPr>
          <w:ilvl w:val="0"/>
          <w:numId w:val="34"/>
        </w:num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采用离心式风机。</w:t>
      </w:r>
    </w:p>
    <w:p>
      <w:pPr>
        <w:numPr>
          <w:ilvl w:val="0"/>
          <w:numId w:val="34"/>
        </w:num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噪声不大于45dB。</w:t>
      </w:r>
    </w:p>
    <w:p>
      <w:pPr>
        <w:numPr>
          <w:ilvl w:val="0"/>
          <w:numId w:val="34"/>
        </w:num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用高性能双向吸入型千叶涡轮扇叶设计。</w:t>
      </w:r>
    </w:p>
    <w:p>
      <w:pPr>
        <w:spacing w:beforeLines="50" w:afterLines="50" w:line="360" w:lineRule="auto"/>
        <w:ind w:firstLine="420"/>
        <w:rPr>
          <w:rFonts w:cs="宋体" w:asciiTheme="minorEastAsia" w:hAnsiTheme="minorEastAsia" w:eastAsiaTheme="minorEastAsia"/>
          <w:b/>
          <w:bCs/>
          <w:color w:val="auto"/>
          <w:kern w:val="2"/>
          <w:sz w:val="24"/>
          <w:szCs w:val="24"/>
        </w:rPr>
      </w:pPr>
      <w:bookmarkStart w:id="23" w:name="_Toc461520399"/>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4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④</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高效过滤器</w:t>
      </w:r>
      <w:bookmarkEnd w:id="23"/>
    </w:p>
    <w:p>
      <w:pPr>
        <w:numPr>
          <w:ilvl w:val="0"/>
          <w:numId w:val="35"/>
        </w:numPr>
        <w:tabs>
          <w:tab w:val="left" w:pos="709"/>
        </w:tabs>
        <w:spacing w:beforeLines="50" w:afterLines="50" w:line="360" w:lineRule="auto"/>
        <w:ind w:firstLine="12" w:firstLineChars="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由防水、阻燃的玻璃纤维滤纸组成，用DIN标准列出的氨基酸胶把滤料固定在质轻的电镀铝挤型材框架上；</w:t>
      </w:r>
    </w:p>
    <w:p>
      <w:pPr>
        <w:numPr>
          <w:ilvl w:val="0"/>
          <w:numId w:val="35"/>
        </w:numPr>
        <w:tabs>
          <w:tab w:val="left" w:pos="709"/>
        </w:tabs>
        <w:spacing w:beforeLines="50" w:afterLines="50" w:line="360" w:lineRule="auto"/>
        <w:ind w:firstLine="12" w:firstLineChars="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确保相同的褶层间距，保证最佳气流通过，同时达到高容尘量，充分利用过滤器整个深度上的滤材。以最小阻力达到最高的效率，从而降低运行成本。</w:t>
      </w:r>
    </w:p>
    <w:p>
      <w:pPr>
        <w:numPr>
          <w:ilvl w:val="0"/>
          <w:numId w:val="35"/>
        </w:numPr>
        <w:tabs>
          <w:tab w:val="left" w:pos="709"/>
        </w:tabs>
        <w:spacing w:beforeLines="50" w:afterLines="50" w:line="360" w:lineRule="auto"/>
        <w:ind w:firstLine="12" w:firstLineChars="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在进风面和出风面都可以装有喷塑的护面网，以保护滤纸不被损坏。</w:t>
      </w:r>
    </w:p>
    <w:p>
      <w:pPr>
        <w:numPr>
          <w:ilvl w:val="0"/>
          <w:numId w:val="35"/>
        </w:numPr>
        <w:tabs>
          <w:tab w:val="left" w:pos="709"/>
        </w:tabs>
        <w:spacing w:beforeLines="50" w:afterLines="50" w:line="360" w:lineRule="auto"/>
        <w:ind w:firstLine="12" w:firstLineChars="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重量轻，结构小巧紧凑；</w:t>
      </w:r>
    </w:p>
    <w:p>
      <w:pPr>
        <w:numPr>
          <w:ilvl w:val="0"/>
          <w:numId w:val="35"/>
        </w:numPr>
        <w:tabs>
          <w:tab w:val="left" w:pos="709"/>
        </w:tabs>
        <w:spacing w:beforeLines="50" w:afterLines="50" w:line="360" w:lineRule="auto"/>
        <w:ind w:firstLine="12" w:firstLineChars="5"/>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组成材料具有极低微的化学气体产生特性，以达到特殊工况的严格要求；</w:t>
      </w:r>
    </w:p>
    <w:p>
      <w:pPr>
        <w:numPr>
          <w:ilvl w:val="0"/>
          <w:numId w:val="35"/>
        </w:numPr>
        <w:tabs>
          <w:tab w:val="left" w:pos="426"/>
        </w:tabs>
        <w:spacing w:beforeLines="50" w:afterLines="50" w:line="360" w:lineRule="auto"/>
        <w:ind w:left="426"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所有高效过滤器均需进行检漏测试，随货提供与过滤器一一对应的检测报告。</w:t>
      </w:r>
    </w:p>
    <w:p>
      <w:pPr>
        <w:spacing w:beforeLines="50" w:afterLines="50" w:line="360" w:lineRule="auto"/>
        <w:ind w:firstLine="482" w:firstLineChars="20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5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⑤</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消声器、消声弯头、风管附件</w:t>
      </w:r>
    </w:p>
    <w:p>
      <w:pPr>
        <w:numPr>
          <w:ilvl w:val="0"/>
          <w:numId w:val="36"/>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消音器或消音部件的用材应能耐腐蚀、不吸潮、不积尘、不产尘。</w:t>
      </w:r>
    </w:p>
    <w:p>
      <w:pPr>
        <w:numPr>
          <w:ilvl w:val="0"/>
          <w:numId w:val="36"/>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消音器无纺棉填充材料必须符合《洁净室施工及验收规范》GB50591的规定要求，消音器内、外层选用优质镀锌钢板制作，严禁现场制作或组装。</w:t>
      </w:r>
    </w:p>
    <w:p>
      <w:pPr>
        <w:numPr>
          <w:ilvl w:val="0"/>
          <w:numId w:val="36"/>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风管辅助设备包括风阀、消声器等的用材应能耐腐蚀、不吸潮、不积尘、不产尘。风阀为对开多叶密闭阀。</w:t>
      </w:r>
    </w:p>
    <w:p>
      <w:pPr>
        <w:numPr>
          <w:ilvl w:val="0"/>
          <w:numId w:val="36"/>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新风口需安装新风百叶及防虫网，排风口需按照排风百叶；回风口和排风口材料均为铝合金，结构方便拆除清洗，符合卫生标准。</w:t>
      </w:r>
    </w:p>
    <w:p>
      <w:pPr>
        <w:spacing w:beforeLines="50" w:afterLines="50" w:line="360" w:lineRule="auto"/>
        <w:ind w:firstLine="482" w:firstLineChars="20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6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⑥</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保温材料：</w:t>
      </w:r>
    </w:p>
    <w:p>
      <w:pPr>
        <w:numPr>
          <w:ilvl w:val="0"/>
          <w:numId w:val="37"/>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bookmarkStart w:id="24" w:name="_Toc461520413"/>
      <w:r>
        <w:rPr>
          <w:rFonts w:hint="eastAsia" w:cs="宋体" w:asciiTheme="minorEastAsia" w:hAnsiTheme="minorEastAsia" w:eastAsiaTheme="minorEastAsia"/>
          <w:color w:val="auto"/>
          <w:kern w:val="2"/>
          <w:sz w:val="24"/>
          <w:szCs w:val="24"/>
        </w:rPr>
        <w:t>国产优质品牌产品。</w:t>
      </w:r>
      <w:bookmarkEnd w:id="24"/>
    </w:p>
    <w:p>
      <w:pPr>
        <w:numPr>
          <w:ilvl w:val="0"/>
          <w:numId w:val="37"/>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bookmarkStart w:id="25" w:name="_Toc461520414"/>
      <w:r>
        <w:rPr>
          <w:rFonts w:hint="eastAsia" w:cs="宋体" w:asciiTheme="minorEastAsia" w:hAnsiTheme="minorEastAsia" w:eastAsiaTheme="minorEastAsia"/>
          <w:color w:val="auto"/>
          <w:kern w:val="2"/>
          <w:sz w:val="24"/>
          <w:szCs w:val="24"/>
        </w:rPr>
        <w:t>室内保温材料采用闭泡橡塑保温材料，难燃B1级。</w:t>
      </w:r>
      <w:bookmarkEnd w:id="25"/>
    </w:p>
    <w:p>
      <w:pPr>
        <w:numPr>
          <w:ilvl w:val="0"/>
          <w:numId w:val="37"/>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bookmarkStart w:id="26" w:name="_Toc461520415"/>
      <w:r>
        <w:rPr>
          <w:rFonts w:hint="eastAsia" w:cs="宋体" w:asciiTheme="minorEastAsia" w:hAnsiTheme="minorEastAsia" w:eastAsiaTheme="minorEastAsia"/>
          <w:color w:val="auto"/>
          <w:kern w:val="2"/>
          <w:sz w:val="24"/>
          <w:szCs w:val="24"/>
        </w:rPr>
        <w:t>采用与保温材料与之相配套的专用胶水（接口粘接后形成一体）。</w:t>
      </w:r>
      <w:bookmarkEnd w:id="26"/>
    </w:p>
    <w:p>
      <w:pPr>
        <w:numPr>
          <w:ilvl w:val="0"/>
          <w:numId w:val="37"/>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bookmarkStart w:id="27" w:name="_Toc461520416"/>
      <w:r>
        <w:rPr>
          <w:rFonts w:hint="eastAsia" w:cs="宋体" w:asciiTheme="minorEastAsia" w:hAnsiTheme="minorEastAsia" w:eastAsiaTheme="minorEastAsia"/>
          <w:color w:val="auto"/>
          <w:kern w:val="2"/>
          <w:sz w:val="24"/>
          <w:szCs w:val="24"/>
        </w:rPr>
        <w:t>湿阻因子≥20000；真空吸水率≤10%。</w:t>
      </w:r>
      <w:bookmarkEnd w:id="27"/>
    </w:p>
    <w:p>
      <w:pPr>
        <w:numPr>
          <w:ilvl w:val="0"/>
          <w:numId w:val="37"/>
        </w:numPr>
        <w:tabs>
          <w:tab w:val="left" w:pos="709"/>
        </w:tabs>
        <w:spacing w:beforeLines="50" w:afterLines="50" w:line="360" w:lineRule="auto"/>
        <w:ind w:firstLine="480" w:firstLineChars="200"/>
        <w:jc w:val="left"/>
        <w:rPr>
          <w:rFonts w:cs="宋体" w:asciiTheme="minorEastAsia" w:hAnsiTheme="minorEastAsia" w:eastAsiaTheme="minorEastAsia"/>
          <w:color w:val="auto"/>
          <w:kern w:val="2"/>
          <w:sz w:val="24"/>
          <w:szCs w:val="24"/>
        </w:rPr>
      </w:pPr>
      <w:bookmarkStart w:id="28" w:name="_Toc461520417"/>
      <w:r>
        <w:rPr>
          <w:rFonts w:hint="eastAsia" w:cs="宋体" w:asciiTheme="minorEastAsia" w:hAnsiTheme="minorEastAsia" w:eastAsiaTheme="minorEastAsia"/>
          <w:color w:val="auto"/>
          <w:kern w:val="2"/>
          <w:sz w:val="24"/>
          <w:szCs w:val="24"/>
        </w:rPr>
        <w:t>40℃下导热系数≤0.04W/(m.k)；0℃下导热系数≤0.035W/(m.k)。</w:t>
      </w:r>
      <w:bookmarkEnd w:id="28"/>
    </w:p>
    <w:p>
      <w:pPr>
        <w:spacing w:beforeLines="50" w:afterLines="50" w:line="360" w:lineRule="auto"/>
        <w:ind w:firstLine="482"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7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⑦</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空调通风及水系统其他要求</w:t>
      </w:r>
    </w:p>
    <w:p>
      <w:pPr>
        <w:numPr>
          <w:ilvl w:val="0"/>
          <w:numId w:val="38"/>
        </w:numPr>
        <w:tabs>
          <w:tab w:val="left" w:pos="709"/>
          <w:tab w:val="left" w:pos="780"/>
        </w:tabs>
        <w:spacing w:beforeLines="50" w:afterLines="50" w:line="360" w:lineRule="auto"/>
        <w:ind w:firstLine="11"/>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通风管道均采用优质镀锌钢板，钢板厚度满足中压系统需要。</w:t>
      </w:r>
    </w:p>
    <w:p>
      <w:pPr>
        <w:numPr>
          <w:ilvl w:val="0"/>
          <w:numId w:val="38"/>
        </w:numPr>
        <w:tabs>
          <w:tab w:val="left" w:pos="709"/>
          <w:tab w:val="left" w:pos="780"/>
        </w:tabs>
        <w:spacing w:beforeLines="50" w:afterLines="50" w:line="360" w:lineRule="auto"/>
        <w:ind w:firstLine="11"/>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空调风管采用优质镀锌钢板制作，风口材料均为铝合金，结构方便拆除清洗，符合卫生标准。</w:t>
      </w:r>
    </w:p>
    <w:p>
      <w:pPr>
        <w:numPr>
          <w:ilvl w:val="0"/>
          <w:numId w:val="38"/>
        </w:numPr>
        <w:tabs>
          <w:tab w:val="left" w:pos="709"/>
          <w:tab w:val="left" w:pos="780"/>
        </w:tabs>
        <w:spacing w:beforeLines="50" w:afterLines="50" w:line="360" w:lineRule="auto"/>
        <w:ind w:firstLine="11"/>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≥DN65的水管阀门采用蜗轮蝶阀；≤DN50的水管阀门均为铜制阀门；每台空调机组上的水管均安装表盘式温度计和压力表。</w:t>
      </w:r>
    </w:p>
    <w:p>
      <w:pPr>
        <w:spacing w:beforeLines="50" w:afterLines="50" w:line="360" w:lineRule="auto"/>
        <w:ind w:firstLine="472" w:firstLineChars="196"/>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fldChar w:fldCharType="begin"/>
      </w:r>
      <w:r>
        <w:rPr>
          <w:rFonts w:hint="eastAsia" w:cs="宋体" w:asciiTheme="minorEastAsia" w:hAnsiTheme="minorEastAsia" w:eastAsiaTheme="minorEastAsia"/>
          <w:b/>
          <w:bCs/>
          <w:color w:val="auto"/>
          <w:kern w:val="2"/>
          <w:sz w:val="24"/>
          <w:szCs w:val="24"/>
        </w:rPr>
        <w:instrText xml:space="preserve"> = 8 \* GB3 </w:instrText>
      </w:r>
      <w:r>
        <w:rPr>
          <w:rFonts w:hint="eastAsia" w:cs="宋体" w:asciiTheme="minorEastAsia" w:hAnsiTheme="minorEastAsia" w:eastAsiaTheme="minorEastAsia"/>
          <w:b/>
          <w:bCs/>
          <w:color w:val="auto"/>
          <w:kern w:val="2"/>
          <w:sz w:val="24"/>
          <w:szCs w:val="24"/>
        </w:rPr>
        <w:fldChar w:fldCharType="separate"/>
      </w:r>
      <w:r>
        <w:rPr>
          <w:rFonts w:hint="eastAsia" w:cs="宋体" w:asciiTheme="minorEastAsia" w:hAnsiTheme="minorEastAsia" w:eastAsiaTheme="minorEastAsia"/>
          <w:b/>
          <w:bCs/>
          <w:color w:val="auto"/>
          <w:kern w:val="2"/>
          <w:sz w:val="24"/>
          <w:szCs w:val="24"/>
        </w:rPr>
        <w:t>⑧</w:t>
      </w:r>
      <w:r>
        <w:rPr>
          <w:rFonts w:hint="eastAsia" w:cs="宋体" w:asciiTheme="minorEastAsia" w:hAnsiTheme="minorEastAsia" w:eastAsiaTheme="minorEastAsia"/>
          <w:b/>
          <w:bCs/>
          <w:color w:val="auto"/>
          <w:kern w:val="2"/>
          <w:sz w:val="24"/>
          <w:szCs w:val="24"/>
        </w:rPr>
        <w:fldChar w:fldCharType="end"/>
      </w:r>
      <w:r>
        <w:rPr>
          <w:rFonts w:hint="eastAsia" w:cs="宋体" w:asciiTheme="minorEastAsia" w:hAnsiTheme="minorEastAsia" w:eastAsiaTheme="minorEastAsia"/>
          <w:b/>
          <w:bCs/>
          <w:color w:val="auto"/>
          <w:kern w:val="2"/>
          <w:sz w:val="24"/>
          <w:szCs w:val="24"/>
        </w:rPr>
        <w:t>其他</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各空调通风系统上均按照规范还需要配置风阀、风量测定孔、防火阀、消音装置、送风口、回风口和排风口；冷热水管道系统上均按照规范还需要配置各种冷水阀、排气阀和排污阀、温度表和压力表等。所有管道需按相关规范、标准的要求进行标识，标识要求清晰可见，方向准确，不易脱落。</w:t>
      </w:r>
    </w:p>
    <w:p>
      <w:pPr>
        <w:spacing w:beforeLines="50" w:after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（三）配电、智能化及自动控制系统</w:t>
      </w:r>
    </w:p>
    <w:p>
      <w:pPr>
        <w:spacing w:beforeLines="50" w:afterLines="50" w:line="360" w:lineRule="auto"/>
        <w:jc w:val="left"/>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1、总体要求：</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（1）采用TN-S三相五线制供电系统，电源中线N和保护线PE在变压器处分开并相对绝缘，保护线上的接地电阻不大于1欧姆。</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（2）所有电缆、电线、桥架应选用行业著名品牌产品，应采用阻燃及以上级别电缆、电线。电线电缆采用低烟无卤。</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（3）各区域按相关规范要求做好等电位接地。</w:t>
      </w:r>
    </w:p>
    <w:p>
      <w:pPr>
        <w:spacing w:beforeLines="50" w:afterLines="50" w:line="360" w:lineRule="auto"/>
        <w:jc w:val="left"/>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2、电气系统配置</w:t>
      </w:r>
    </w:p>
    <w:p>
      <w:pPr>
        <w:spacing w:beforeLines="50" w:afterLines="50"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2.1消毒供应室：</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（1）招标方提供总电缆至供应室区域配电箱，区域配电箱(含)之后的配电由中标单位完成。</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（2）供应中心总配电柜采用双路电源自动切换控制，与备用电源切换的时间小于0.5sec。</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（3）房间内照度满足《医院消毒供应中心管理规范》（WS310.1-2016）相关要求，照明系统全部采用嵌入式LED洁净密封灯盘，禁止用普通灯照明。插座根据需要设置。</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（4）空调自动化控制系统要求：</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新风处理系统采用多功能控制器、温湿度传感器，压差开关、风阀执行器、电动比例积分调节阀、变频器等对系统的风量及温湿度进行控制。</w:t>
      </w:r>
    </w:p>
    <w:p>
      <w:pPr>
        <w:spacing w:beforeLines="50" w:afterLines="50"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2.2制剂室</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（1）招标方提供总电缆至区域配电箱，采用双路电源可靠供电。</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（2）平均照度应在200LX以上，域内的照明系统全部采用嵌入式LED洁净密封灯盘，禁止用普通灯照明。</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（3）插座及相关设备的配电满足设计和设备使用需求。</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（4）空调自动化控制系统要求：</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净化空调系统控制设机房本地控制、室内远程控制。智能远程控制面板应与墙面齐平严密。</w:t>
      </w:r>
    </w:p>
    <w:p>
      <w:pPr>
        <w:spacing w:beforeLines="50" w:after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2.3 PCR实验室及细胞房</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（1）招标方提供总电缆至区域配电箱，采用双路电源可靠供电。</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（2）域内的照明系统全部采用嵌入式LED洁净密封灯盘，禁止用普通灯照明。</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（3）区域内的平均照度&gt;500lux。</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（4）区域内设置紫外线杀菌灯，定时开关延时控制。</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（5）空调自动化控制系统要求：</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净化空调系统控制设机房本地控制、室内远程控制。智能远程控制面板应与墙面齐平严密。</w:t>
      </w:r>
    </w:p>
    <w:p>
      <w:pPr>
        <w:spacing w:beforeLines="50" w:afterLines="50" w:line="360" w:lineRule="auto"/>
        <w:jc w:val="left"/>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3、弱电系统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3.1电话、计算机网络系统：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a．根据要求在墙面或其他设备要求的位置设置六类网络终端（插座）。</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b．系统布线应采用六类非屏蔽电缆，其传输性能应符合TIA/EIA 568B.2六类标准。</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3.2电视监控系统：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本区域设置一套电视监控系统，主要出入口、相关工作区及走廊设置彩色半球摄像机。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采用NVR硬盘录像机控制系统，录像时间≥48小时。</w:t>
      </w:r>
    </w:p>
    <w:p>
      <w:p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系统由摄像机、硬盘录像机、19.5寸液晶显示器等主要设备组成。</w:t>
      </w:r>
    </w:p>
    <w:p>
      <w:p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系统通过硬盘录像机进行集中控制和处理，视频图像通过显示器显示。系统可实现记录图像的回放、检索等，同时，监控画面可任意切换，任意分割、任意组合排列。</w:t>
      </w:r>
    </w:p>
    <w:p>
      <w:pPr>
        <w:tabs>
          <w:tab w:val="left" w:pos="709"/>
        </w:tabs>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彩色半球摄像机要求最高分辨率可达3M(2048×1536) @ 25 fps,并可输出实时图像，采用ROI等视频压缩技术,压缩比高,且处理非常灵活,超低码率。</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3.3可视对讲门禁系统：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本区域设置一套可视门禁对讲系统，位置按设计。在相关外出口分别设置彩色可视对讲门禁主机。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进入人员通过刷卡或者使用设置在门口的可视对讲主机与护士监控站联系，获得允许后可以进入。</w:t>
      </w:r>
    </w:p>
    <w:p>
      <w:pPr>
        <w:spacing w:beforeLines="50" w:afterLines="50" w:line="360" w:lineRule="auto"/>
        <w:jc w:val="left"/>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4、主要设备、材料的性能要求</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4.1配电箱及箱内主要元件</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配电箱内元件应排列整齐、固定可靠、各电气元件应可单独拆装。柜体采用优质冷轧钢板，表面应酸洗、磷化后用静电粉末高温喷涂，板材厚度应符合国家配电柜相关标准要求。</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配电箱内门开启应为0～180度，配电箱门应自带门锁。</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配电箱内所配导线端部应标明线号，箱体内应有一次接线及二次接线原理图。</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配电箱及箱内所有二次元器件等均应通过国家相应安全认证，必须有“CCC”认证标志。</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所有元件应具有经久耐用、操作安全、维护方便等优点。</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配电箱塑壳断路器额定分断能力50KA以上，电子脱扣器保护，三段保护，推荐品牌：ABB Tmax、施耐德NSX、西门子3VL。</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微型断路器额定分断能力6KA以上，推荐品牌：施耐德C65系列、ABB的S200系列、西门子5SJ6系列。</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4.2LED灯具</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密闭型灯具，规格详设计，满足设计的额照度要求，色温一致性好、色容差小于5；</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关键元器件采用进口材料，参数稳定，具有开路、短路、过压等保护功能，可在180~240V的宽输入电压环境下正常工作；</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专业厂家产品，产品通过CCC强制性产品认证，提供制造厂家或代理商出具的2年质保承诺。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4.3主要自控元器件</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（1）控制器：</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微处理器采用32位或者16位，工作频率10MHZ及以上。</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具有备用电池，可维持内存中的程序和数据信息至少72小时。</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预先配置应用程序模块，具有直接数字控制和程序逻辑控制功能，并具有联网协同工作的功能。</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可进行应用软件修改与下载程序，并具有密码保护功能。</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采用Modbus、Lon或C-bus通讯协议。</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安全等级：遵循UL标准的95安全等级；防护等级：IP20以上。</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（2）电动比例积分调节阀、 温湿度传感器、压差传感器：</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具有高可靠性，高稳定性，无需经常维护，检修方便。</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测量控制用传感器精度不低于3%；计量用传感器不低于2%。</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温湿度传感器时间常数不大于20秒。</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传感器和执行器的变送器要求采用统一的0～10VDC或4～20MA信号。</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工作电压：AC/DC24V</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（3）变频器</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内置PID控制回路，可自行编写控制参数。</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带通信接口，实现与控制器通信功能。</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每台变频器必需独立配置操作显示屏。</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安全等级：遵循UL标准的95安全等级；防护等级：IP20以上。</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每个变频器需配置独立的操作面板。</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4.4净化智能自控系统</w:t>
      </w:r>
    </w:p>
    <w:p>
      <w:p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将净化机组配电及智能自控系统集中，必须具备如下功能：</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每套医用机组配置单独的智能操作屏，不与其他机组共用。</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在本地的操作控制屏上实现人机友好、图形界面、动态显示的功能。</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室内IP情报控制面板中净化系统的全部功能在此屏中得以实现。</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风机运行频率显示，自动风量调频切换，手动频率设定、值班频率设定。</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过滤网堵塞报警、缺风报警、防冻报警以及风机运行情况及过载报警等功能。</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具有净化系统的输入信号、输出信号等均可实时监测。</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净化系统的控制操作、运行状态以及故障监测均可实时监控。</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具有控制参数优先设置级别，具有最低三种密码权限设置，方便不同的人员进行操作，对机组的安全运行多层保护。</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可以对机组的故障信息进行实时报警，以及历史记录查询。</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具有手动、自动功能，可方便机组调试、强制等控制功能。</w:t>
      </w:r>
    </w:p>
    <w:p>
      <w:pPr>
        <w:numPr>
          <w:ilvl w:val="0"/>
          <w:numId w:val="39"/>
        </w:numPr>
        <w:spacing w:beforeLines="50" w:after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可以进行系统时钟设置，定时对空调机组进行开关机操作。</w:t>
      </w:r>
    </w:p>
    <w:p>
      <w:pPr>
        <w:spacing w:beforeLines="50" w:afterLines="50" w:line="360" w:lineRule="auto"/>
        <w:rPr>
          <w:rFonts w:cs="宋体" w:asciiTheme="minorEastAsia" w:hAnsiTheme="minorEastAsia" w:eastAsiaTheme="minorEastAsia"/>
          <w:b/>
          <w:color w:val="auto"/>
          <w:kern w:val="2"/>
          <w:sz w:val="24"/>
          <w:szCs w:val="24"/>
        </w:rPr>
      </w:pPr>
    </w:p>
    <w:p>
      <w:pPr>
        <w:spacing w:beforeLines="50" w:after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（四）给排水系统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应按最新版WS310、GB51039、GB50591给水排水技术规范要求进行设备采购及安装。工作区内的盥洗设备应同时设置冷热水并设置混水龙头。</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招标范围内所有洁具均包含在投标报价中，应采用不易积存污物及易于清扫的卫生洁具及附件，国家环保或节能要求的产品，须满足相关要求。</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给水系统：冷热水管道采用(SUS304)薄壁不锈钢管道，采用卡压连接/PSP钢塑复合管，螺纹连接（具体详设计）；纯水采用316L薄壁不锈钢管道；供应室蒸汽由设备自身供给；卫生间内嵌墙暗敷的冷、热水支管均采用带PVC保温层的不锈钢管。管道均应暗装，管道穿越墙壁、楼板时应加套管并密封。</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排水系统：室内污、废水采用UPVC排水管，粘接连接；供应室清洗消毒器、灭菌器排水管采用无缝不锈钢管，钎焊连接。     </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保温：吊顶内给水管采用泡沫橡塑管壳（DN15-100保温厚度为10mm）进行防结露保温，热水管及热回水管采用泡沫橡塑管壳（DN15-25保温厚度为32mm;DN32-50保温厚度为36mm）进行保温，外扎玻璃布一道;蒸汽管道采用超细离心玻璃棉管壳（50mm厚）外加0.5mm厚铝箔保温。</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洁净区内的排水设备，必须在排水口下部设置高水封装置。洁净区内的地漏必须为高水封防臭地漏并加密封盖，水封高度不得小于50mm。洁净区的排水横管直径应比常规大一级。</w:t>
      </w:r>
    </w:p>
    <w:p>
      <w:pPr>
        <w:spacing w:beforeLines="50" w:afterLines="50" w:line="360" w:lineRule="auto"/>
        <w:rPr>
          <w:rFonts w:cs="宋体" w:asciiTheme="minorEastAsia" w:hAnsiTheme="minorEastAsia" w:eastAsiaTheme="minorEastAsia"/>
          <w:b/>
          <w:color w:val="auto"/>
          <w:kern w:val="2"/>
          <w:sz w:val="24"/>
          <w:szCs w:val="24"/>
        </w:rPr>
      </w:pPr>
    </w:p>
    <w:p>
      <w:pPr>
        <w:spacing w:beforeLines="50" w:after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（五）医用气体系统</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压缩空气接自本层医气管井预留减压阀门后的第一个阀门，楼层二级减压稳压装置及其后的管道均在本招标范围内。管道全部采用优质紫铜管。</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气体管道井出口处安装压缩空气二级减压箱一只，对终端压缩空气起到减压和稳压的作用。</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高温灭菌器、等离子灭菌器、清洗喷枪、打包台每点设置压缩空气，压缩空气的压力范围为0.40~0.45MPA。</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消毒供应室也预留环氧乙烷直排条件，要求采用铜管外套金属管道，焊接或压力连接，无泄漏，排放位置要求至建筑最高点，周围15m范围内无新风口或人员环境，具体要求详设备要求。</w:t>
      </w:r>
    </w:p>
    <w:p>
      <w:pPr>
        <w:spacing w:beforeLines="50" w:after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（六）主要工程材料、设备品牌推荐表</w:t>
      </w:r>
    </w:p>
    <w:tbl>
      <w:tblPr>
        <w:tblStyle w:val="7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8"/>
        <w:gridCol w:w="4961"/>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518"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名称</w:t>
            </w:r>
          </w:p>
        </w:tc>
        <w:tc>
          <w:tcPr>
            <w:tcW w:w="4961"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推荐品牌</w:t>
            </w:r>
          </w:p>
        </w:tc>
        <w:tc>
          <w:tcPr>
            <w:tcW w:w="2268" w:type="dxa"/>
            <w:vAlign w:val="center"/>
          </w:tcPr>
          <w:p>
            <w:pPr>
              <w:spacing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PVC卷材</w:t>
            </w:r>
          </w:p>
        </w:tc>
        <w:tc>
          <w:tcPr>
            <w:tcW w:w="4961" w:type="dxa"/>
          </w:tcPr>
          <w:p>
            <w:pPr>
              <w:pStyle w:val="52"/>
              <w:spacing w:line="360" w:lineRule="auto"/>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kern w:val="2"/>
              </w:rPr>
              <w:t>洁福（美宝琳埃特拉斯）、得嘉（Primo Premium)、保丽（prestige卓越百彩系列）</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铝扣板</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2"/>
                <w:sz w:val="24"/>
                <w:szCs w:val="24"/>
              </w:rPr>
              <w:t>虹普斯、阿姆斯壮、乐思龙</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钢制平开门/钢制气密门</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远大、茂力泰克、格满林</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新风机组、循环机组</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约克（YAM系列）、雅士（AAHM-H2系列）、新晃（SGT-M系列）</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空调自控系统</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西门子、霍尼韦尔、江森</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多联机、分体式空调</w:t>
            </w:r>
          </w:p>
        </w:tc>
        <w:tc>
          <w:tcPr>
            <w:tcW w:w="4961" w:type="dxa"/>
          </w:tcPr>
          <w:p>
            <w:pPr>
              <w:pStyle w:val="52"/>
              <w:spacing w:line="360" w:lineRule="auto"/>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rPr>
              <w:t>大金、美的、东芝、格力</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排风机</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2"/>
                <w:sz w:val="24"/>
                <w:szCs w:val="24"/>
              </w:rPr>
              <w:t>松下、华德、尼科达</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pStyle w:val="52"/>
              <w:spacing w:line="360" w:lineRule="auto"/>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rPr>
              <w:t>消声器、消声弯头及风口、风阀</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阿斯顿、上海显隆、绿乐</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电线、电缆</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远东、江南、上上、远程</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LED灯具</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zh-CN"/>
              </w:rPr>
              <w:t>洁奥，亮美聚、</w:t>
            </w:r>
            <w:r>
              <w:rPr>
                <w:rFonts w:hint="eastAsia" w:cs="宋体" w:asciiTheme="minorEastAsia" w:hAnsiTheme="minorEastAsia" w:eastAsiaTheme="minorEastAsia"/>
                <w:color w:val="auto"/>
                <w:sz w:val="24"/>
                <w:szCs w:val="24"/>
              </w:rPr>
              <w:t>侨光</w:t>
            </w:r>
            <w:r>
              <w:rPr>
                <w:rFonts w:hint="eastAsia" w:cs="宋体" w:asciiTheme="minorEastAsia" w:hAnsiTheme="minorEastAsia" w:eastAsiaTheme="minorEastAsia"/>
                <w:color w:val="auto"/>
                <w:sz w:val="24"/>
                <w:szCs w:val="24"/>
                <w:lang w:val="zh-CN"/>
              </w:rPr>
              <w:tab/>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自控元器件</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西门子、霍尼韦尔、江森</w:t>
            </w:r>
          </w:p>
        </w:tc>
        <w:tc>
          <w:tcPr>
            <w:tcW w:w="226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控制器、电动比例积分调节阀、 温湿度传感器、压差传感器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变频器</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ABB、西门子、丹弗斯</w:t>
            </w:r>
          </w:p>
        </w:tc>
        <w:tc>
          <w:tcPr>
            <w:tcW w:w="2268" w:type="dxa"/>
          </w:tcPr>
          <w:p>
            <w:pPr>
              <w:spacing w:line="360" w:lineRule="auto"/>
              <w:rPr>
                <w:rFonts w:cs="宋体" w:asciiTheme="minorEastAsia" w:hAnsiTheme="minorEastAsia" w:eastAsiaTheme="minorEastAsia"/>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2518"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薄壁不锈钢管</w:t>
            </w:r>
          </w:p>
        </w:tc>
        <w:tc>
          <w:tcPr>
            <w:tcW w:w="4961" w:type="dxa"/>
          </w:tcPr>
          <w:p>
            <w:pPr>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zh-CN"/>
              </w:rPr>
              <w:t>金羊、创通、永占</w:t>
            </w:r>
          </w:p>
        </w:tc>
        <w:tc>
          <w:tcPr>
            <w:tcW w:w="2268" w:type="dxa"/>
          </w:tcPr>
          <w:p>
            <w:pPr>
              <w:spacing w:line="360" w:lineRule="auto"/>
              <w:rPr>
                <w:rFonts w:cs="宋体" w:asciiTheme="minorEastAsia" w:hAnsiTheme="minorEastAsia" w:eastAsiaTheme="minorEastAsia"/>
                <w:color w:val="auto"/>
                <w:sz w:val="24"/>
                <w:szCs w:val="24"/>
              </w:rPr>
            </w:pPr>
          </w:p>
        </w:tc>
      </w:tr>
    </w:tbl>
    <w:p>
      <w:pPr>
        <w:pageBreakBefore/>
        <w:spacing w:beforeLines="50" w:after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（七）配套设备部分</w:t>
      </w:r>
    </w:p>
    <w:p>
      <w:pPr>
        <w:spacing w:beforeLines="50" w:afterLines="50" w:line="360" w:lineRule="auto"/>
        <w:rPr>
          <w:rFonts w:cs="宋体" w:asciiTheme="minorEastAsia" w:hAnsiTheme="minorEastAsia" w:eastAsiaTheme="minorEastAsia"/>
          <w:b/>
          <w:bCs/>
          <w:color w:val="auto"/>
          <w:kern w:val="2"/>
          <w:sz w:val="24"/>
          <w:szCs w:val="24"/>
        </w:rPr>
      </w:pPr>
      <w:bookmarkStart w:id="29" w:name="RANGE_A6_I28"/>
      <w:r>
        <w:rPr>
          <w:rFonts w:hint="eastAsia" w:cs="宋体" w:asciiTheme="minorEastAsia" w:hAnsiTheme="minorEastAsia" w:eastAsiaTheme="minorEastAsia"/>
          <w:b/>
          <w:bCs/>
          <w:color w:val="auto"/>
          <w:kern w:val="2"/>
          <w:sz w:val="24"/>
          <w:szCs w:val="24"/>
        </w:rPr>
        <w:t>1、供应室</w:t>
      </w:r>
    </w:p>
    <w:tbl>
      <w:tblPr>
        <w:tblStyle w:val="69"/>
        <w:tblW w:w="974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5"/>
        <w:gridCol w:w="1418"/>
        <w:gridCol w:w="1701"/>
        <w:gridCol w:w="595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0" w:hRule="atLeast"/>
        </w:trPr>
        <w:tc>
          <w:tcPr>
            <w:tcW w:w="675"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序号</w:t>
            </w:r>
          </w:p>
        </w:tc>
        <w:tc>
          <w:tcPr>
            <w:tcW w:w="1418"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名称</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参考规格</w:t>
            </w:r>
          </w:p>
        </w:tc>
        <w:tc>
          <w:tcPr>
            <w:tcW w:w="5953"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采购要求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等离子吸顶式空气消毒机</w:t>
            </w:r>
          </w:p>
        </w:tc>
        <w:tc>
          <w:tcPr>
            <w:tcW w:w="1701" w:type="dxa"/>
            <w:tcBorders>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bCs/>
                <w:color w:val="auto"/>
                <w:kern w:val="2"/>
                <w:sz w:val="24"/>
                <w:szCs w:val="24"/>
              </w:rPr>
            </w:pPr>
            <w:r>
              <w:rPr>
                <w:rFonts w:hint="eastAsia" w:asciiTheme="minorEastAsia" w:hAnsiTheme="minorEastAsia" w:eastAsiaTheme="minorEastAsia"/>
                <w:color w:val="auto"/>
                <w:kern w:val="2"/>
                <w:sz w:val="24"/>
                <w:szCs w:val="24"/>
              </w:rPr>
              <w:t>消毒面积150m</w:t>
            </w:r>
            <w:r>
              <w:rPr>
                <w:rFonts w:hint="eastAsia" w:asciiTheme="minorEastAsia" w:hAnsiTheme="minorEastAsia" w:eastAsiaTheme="minorEastAsia"/>
                <w:color w:val="auto"/>
                <w:kern w:val="2"/>
                <w:sz w:val="24"/>
                <w:szCs w:val="24"/>
                <w:vertAlign w:val="superscript"/>
              </w:rPr>
              <w:t>3</w:t>
            </w:r>
            <w:r>
              <w:rPr>
                <w:rFonts w:hint="eastAsia" w:asciiTheme="minorEastAsia" w:hAnsiTheme="minorEastAsia" w:eastAsiaTheme="minorEastAsia"/>
                <w:color w:val="auto"/>
                <w:kern w:val="2"/>
                <w:sz w:val="24"/>
                <w:szCs w:val="24"/>
              </w:rPr>
              <w:t>，  循环风量1500m</w:t>
            </w:r>
            <w:r>
              <w:rPr>
                <w:rFonts w:hint="eastAsia" w:asciiTheme="minorEastAsia" w:hAnsiTheme="minorEastAsia" w:eastAsiaTheme="minorEastAsia"/>
                <w:color w:val="auto"/>
                <w:kern w:val="2"/>
                <w:sz w:val="24"/>
                <w:szCs w:val="24"/>
                <w:vertAlign w:val="superscript"/>
              </w:rPr>
              <w:t>3</w:t>
            </w:r>
            <w:r>
              <w:rPr>
                <w:rFonts w:hint="eastAsia" w:asciiTheme="minorEastAsia" w:hAnsiTheme="minorEastAsia" w:eastAsiaTheme="minorEastAsia"/>
                <w:color w:val="auto"/>
                <w:kern w:val="2"/>
                <w:sz w:val="24"/>
                <w:szCs w:val="24"/>
              </w:rPr>
              <w:t>/h</w:t>
            </w:r>
          </w:p>
        </w:tc>
        <w:tc>
          <w:tcPr>
            <w:tcW w:w="5953" w:type="dxa"/>
            <w:tcBorders>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1</w:t>
            </w:r>
            <w:r>
              <w:rPr>
                <w:rFonts w:hint="eastAsia" w:cs="仿宋" w:asciiTheme="minorEastAsia" w:hAnsiTheme="minorEastAsia" w:eastAsiaTheme="minorEastAsia"/>
                <w:b/>
                <w:color w:val="auto"/>
                <w:kern w:val="2"/>
                <w:sz w:val="24"/>
                <w:szCs w:val="24"/>
              </w:rPr>
              <w:t>.</w:t>
            </w:r>
            <w:r>
              <w:rPr>
                <w:rFonts w:hint="eastAsia" w:cs="仿宋" w:asciiTheme="minorEastAsia" w:hAnsiTheme="minorEastAsia" w:eastAsiaTheme="minorEastAsia"/>
                <w:color w:val="auto"/>
                <w:kern w:val="2"/>
                <w:sz w:val="24"/>
                <w:szCs w:val="24"/>
              </w:rPr>
              <w:t xml:space="preserve"> 安装方式：吸顶嵌入式，外形尺寸：（L×W×H）：680×680×450（mm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）；最大适用体积：150 m</w:t>
            </w:r>
            <w:r>
              <w:rPr>
                <w:rFonts w:hint="eastAsia" w:cs="仿宋" w:asciiTheme="minorEastAsia" w:hAnsiTheme="minorEastAsia" w:eastAsiaTheme="minorEastAsia"/>
                <w:color w:val="auto"/>
                <w:kern w:val="2"/>
                <w:sz w:val="24"/>
                <w:szCs w:val="24"/>
                <w:vertAlign w:val="superscript"/>
              </w:rPr>
              <w:t xml:space="preserve">3 </w:t>
            </w:r>
            <w:r>
              <w:rPr>
                <w:rFonts w:hint="eastAsia" w:cs="仿宋" w:asciiTheme="minorEastAsia" w:hAnsiTheme="minorEastAsia" w:eastAsiaTheme="minorEastAsia"/>
                <w:color w:val="auto"/>
                <w:kern w:val="2"/>
                <w:sz w:val="24"/>
                <w:szCs w:val="24"/>
              </w:rPr>
              <w:t>；额定循环风量：1500 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/h。</w:t>
            </w:r>
          </w:p>
          <w:p>
            <w:pPr>
              <w:spacing w:line="360" w:lineRule="auto"/>
              <w:ind w:firstLine="120" w:firstLineChars="5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2. 等离子体杀菌净化模块由等离子体杀菌区和等离子体积尘区组成，等离子体杀菌区富含电子、离子、激发态的原子、分子以及活性自由基等粒子，可有效杀灭空气中的各种细菌、病毒、真菌等病原微生物；等离子体积尘区可有效吸附经过杀菌区带上电荷的尘埃粒子。</w:t>
            </w:r>
          </w:p>
          <w:p>
            <w:pPr>
              <w:spacing w:line="360" w:lineRule="auto"/>
              <w:ind w:firstLine="120" w:firstLineChars="5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3. 可在有人状态下进行连续动态消毒，三挡可调风速供用户选择，手动、定时、临时多种工作模式方便用户操作，模块化设计，方便用户维护保养。一键锁定功能，防止误操作。</w:t>
            </w:r>
          </w:p>
          <w:p>
            <w:pPr>
              <w:spacing w:line="360" w:lineRule="auto"/>
              <w:ind w:firstLine="120" w:firstLineChars="5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4. 工作时间自动累计功能，液晶中文显示屏，远红外线遥控，等离子体杀菌净化模块故障报警、过滤器清洗报警。</w:t>
            </w:r>
          </w:p>
          <w:p>
            <w:pPr>
              <w:spacing w:line="360" w:lineRule="auto"/>
              <w:ind w:firstLine="120" w:firstLineChars="5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5.等离子体密度：5.6×10</w:t>
            </w:r>
            <w:r>
              <w:rPr>
                <w:rFonts w:hint="eastAsia" w:cs="仿宋" w:asciiTheme="minorEastAsia" w:hAnsiTheme="minorEastAsia" w:eastAsiaTheme="minorEastAsia"/>
                <w:color w:val="auto"/>
                <w:kern w:val="2"/>
                <w:sz w:val="24"/>
                <w:szCs w:val="24"/>
                <w:vertAlign w:val="superscript"/>
              </w:rPr>
              <w:t>18 _</w:t>
            </w:r>
            <w:r>
              <w:rPr>
                <w:rFonts w:hint="eastAsia" w:cs="仿宋" w:asciiTheme="minorEastAsia" w:hAnsiTheme="minorEastAsia" w:eastAsiaTheme="minorEastAsia"/>
                <w:color w:val="auto"/>
                <w:kern w:val="2"/>
                <w:sz w:val="24"/>
                <w:szCs w:val="24"/>
              </w:rPr>
              <w:t>1.25×10</w:t>
            </w:r>
            <w:r>
              <w:rPr>
                <w:rFonts w:hint="eastAsia" w:cs="仿宋" w:asciiTheme="minorEastAsia" w:hAnsiTheme="minorEastAsia" w:eastAsiaTheme="minorEastAsia"/>
                <w:color w:val="auto"/>
                <w:kern w:val="2"/>
                <w:sz w:val="24"/>
                <w:szCs w:val="24"/>
                <w:vertAlign w:val="superscript"/>
              </w:rPr>
              <w:t>19</w:t>
            </w:r>
            <w:r>
              <w:rPr>
                <w:rFonts w:hint="eastAsia" w:cs="仿宋" w:asciiTheme="minorEastAsia" w:hAnsiTheme="minorEastAsia" w:eastAsiaTheme="minorEastAsia"/>
                <w:color w:val="auto"/>
                <w:kern w:val="2"/>
                <w:sz w:val="24"/>
                <w:szCs w:val="24"/>
              </w:rPr>
              <w:t>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，负离子密度：≥4.82×10</w:t>
            </w:r>
            <w:r>
              <w:rPr>
                <w:rFonts w:hint="eastAsia" w:cs="仿宋" w:asciiTheme="minorEastAsia" w:hAnsiTheme="minorEastAsia" w:eastAsiaTheme="minorEastAsia"/>
                <w:color w:val="auto"/>
                <w:kern w:val="2"/>
                <w:sz w:val="24"/>
                <w:szCs w:val="24"/>
                <w:vertAlign w:val="superscript"/>
              </w:rPr>
              <w:t>7</w:t>
            </w:r>
            <w:r>
              <w:rPr>
                <w:rFonts w:hint="eastAsia" w:cs="仿宋" w:asciiTheme="minorEastAsia" w:hAnsiTheme="minorEastAsia" w:eastAsiaTheme="minorEastAsia"/>
                <w:color w:val="auto"/>
                <w:kern w:val="2"/>
                <w:sz w:val="24"/>
                <w:szCs w:val="24"/>
              </w:rPr>
              <w:t>个/cm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设备持续工作2小时，甲醛的净化效率为96.1%、氨的净化效率为95.2%、苯的净化效率为96.1%、TVOC净化效率为98.0%。</w:t>
            </w:r>
          </w:p>
          <w:p>
            <w:pPr>
              <w:spacing w:line="360" w:lineRule="auto"/>
              <w:ind w:firstLine="120" w:firstLineChars="5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6. 输入功率：≤140W；电源：AC 220V  50Hz。</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电动升降    传递窗</w:t>
            </w:r>
          </w:p>
        </w:tc>
        <w:tc>
          <w:tcPr>
            <w:tcW w:w="1701" w:type="dxa"/>
            <w:tcBorders>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高1600*宽1000*厚度86mm，可根据现场尺寸调整</w:t>
            </w:r>
          </w:p>
        </w:tc>
        <w:tc>
          <w:tcPr>
            <w:tcW w:w="5953" w:type="dxa"/>
            <w:tcBorders>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1个为</w:t>
            </w:r>
            <w:r>
              <w:rPr>
                <w:rFonts w:asciiTheme="minorEastAsia" w:hAnsiTheme="minorEastAsia" w:eastAsiaTheme="minorEastAsia"/>
                <w:color w:val="auto"/>
                <w:kern w:val="2"/>
                <w:sz w:val="24"/>
                <w:szCs w:val="24"/>
              </w:rPr>
              <w:t>单面、电动升降</w:t>
            </w:r>
            <w:r>
              <w:rPr>
                <w:rFonts w:hint="eastAsia" w:asciiTheme="minorEastAsia" w:hAnsiTheme="minorEastAsia" w:eastAsiaTheme="minorEastAsia"/>
                <w:color w:val="auto"/>
                <w:kern w:val="2"/>
                <w:sz w:val="24"/>
                <w:szCs w:val="24"/>
              </w:rPr>
              <w:t>、双面控制；另4个2个/组（双面）、电动升降、中间设台面宽70cm。</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封口包装</w:t>
            </w:r>
          </w:p>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工作站</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1800*700*850/1900mm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1.尺寸：1800×700×850/1900（mm）；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2.规格：主体304不锈钢结构，单面使用，单层台面</w:t>
            </w:r>
            <w:r>
              <w:rPr>
                <w:rFonts w:hint="eastAsia" w:asciiTheme="minorEastAsia" w:hAnsiTheme="minorEastAsia" w:eastAsiaTheme="minorEastAsia"/>
                <w:color w:val="auto"/>
                <w:kern w:val="2"/>
                <w:sz w:val="24"/>
                <w:szCs w:val="24"/>
                <w:shd w:val="clear" w:color="auto" w:fill="FFFFFF"/>
              </w:rPr>
              <w:t>，气动升降，带上</w:t>
            </w:r>
            <w:r>
              <w:rPr>
                <w:rFonts w:hint="eastAsia" w:asciiTheme="minorEastAsia" w:hAnsiTheme="minorEastAsia" w:eastAsiaTheme="minorEastAsia"/>
                <w:color w:val="auto"/>
                <w:kern w:val="2"/>
                <w:sz w:val="24"/>
                <w:szCs w:val="24"/>
              </w:rPr>
              <w:t>架，上架顶上设有LED检查灯，正面两只储物篮筐，上架立柱设有电源插座、网络端口、电脑支架和高压气枪，底部四角配不锈钢高度调节脚；材质：国标304不锈钢，Gr(%)含量：17.50～19.50，Ni(%)的含量：8.00～10.50，抗拉强度Rm（MPa）≥515，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器械检查    打包台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1800*700*850/1900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1.尺寸：1800×700×850/1450（mm）；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2.规格：主体304不锈钢结构，单面使用，单层台面，共四抽，带双层上架，上架设有LED检查灯，底部四角配不锈钢高度调节脚；</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3.材质：国标304不锈钢，Gr(%)含量：17.50～19.50，Ni(%)的含量：8.00～10.50，抗拉强度Rm（MPa）≥515；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电动密封    下送车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1170*670*1280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1.尺寸：1030/1170×670×1280（mm）；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电动式，正面对开门，柜门采用复合式双层结构设计，右侧把手，设有电量显示、旋转式手柄、电磁刹车和高负载电机，采用24V70AH增强铅酸蓄电池电源供电，充电时间约7-8小时，工作时间8小时左右，配四只承重脚轮，把手侧两只带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3.材质：国标304不锈钢，Gr(%)含量：17.50～19.50，Ni(%)的含量：8.00～10.50，抗拉强度Rm（MPa）≥515。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2"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6</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电动收污车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1200*650*1100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1.尺寸：1200×650×1100（mm）；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2.规格：主体304不锈钢结构，电动式，正面对开门，柜门采用复合式双层结构设计，右侧把手，设有电量显示、旋转式手柄、电磁刹车和高负载电机，配四只承重脚轮，把手侧两只带刹车；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7</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纸袋切割机</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304不锈钢材质,尺寸：≥300×2000（mm）</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8" w:hRule="atLeast"/>
        </w:trPr>
        <w:tc>
          <w:tcPr>
            <w:tcW w:w="675" w:type="dxa"/>
            <w:vMerge w:val="restart"/>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8</w:t>
            </w:r>
          </w:p>
        </w:tc>
        <w:tc>
          <w:tcPr>
            <w:tcW w:w="1418" w:type="dxa"/>
            <w:vMerge w:val="restart"/>
            <w:tcBorders>
              <w:left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敷料柜</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 xml:space="preserve">960*250/420*1750 mm  </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1.尺寸：960×250/420×1750（mm）；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2.规格：主体304不锈钢结构，上柜宽度250mm，为玻璃推拉门，内有两层不锈钢可调隔板，下柜宽度420mm，不锈钢对开门，内有一层不锈钢可调隔板；</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3.材质：Gr(%)含量：17.50～19.50，Ni(%)的含量：8.00～10.50，抗拉强度Rm（MPa）≥515，并提供304不锈钢材质检测报告；</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8" w:hRule="atLeast"/>
        </w:trPr>
        <w:tc>
          <w:tcPr>
            <w:tcW w:w="675" w:type="dxa"/>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 w:val="24"/>
                <w:szCs w:val="24"/>
              </w:rPr>
            </w:pPr>
          </w:p>
        </w:tc>
        <w:tc>
          <w:tcPr>
            <w:tcW w:w="1418" w:type="dxa"/>
            <w:vMerge w:val="continue"/>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 w:val="24"/>
                <w:szCs w:val="24"/>
              </w:rPr>
            </w:pP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960*400*1750mm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1.尺寸：960×400×1750（mm）；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2.规格：主体304不锈钢结构，四门两抽，抽屉、柜门均采用复合式双层结构设计，上为玻璃对开门，内设两层不锈钢可调隔板，中间两抽屉，下为不锈钢对开门，内设一层不锈钢可调隔板；</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9</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器械柜</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960*400*1750mm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1.尺寸960x400x1750(mm)；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2.规格：主体304不锈钢结构，玻璃双开门，四层不锈钢隔板；</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3.材质：Gr（%）含量：17.5-19.50，Ni(%)的含量8.00-10.5，抗拉强度Rm（Mpa）&gt;515；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4.主材厚度：主管材厚度&gt;1.2mm,主板材厚度＞1.0m 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10</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空气压缩机</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医用静音无油空气压缩机≥20L。</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11</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气枪</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304不锈钢材质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12</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水枪</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304不锈钢材质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13</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移动式      空气消毒机</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asciiTheme="minorEastAsia" w:hAnsiTheme="minorEastAsia" w:eastAsiaTheme="minorEastAsia"/>
                <w:color w:val="auto"/>
                <w:kern w:val="2"/>
                <w:sz w:val="24"/>
                <w:szCs w:val="24"/>
              </w:rPr>
              <w:t>消毒面积应≥100m</w:t>
            </w:r>
            <w:r>
              <w:rPr>
                <w:rFonts w:hint="eastAsia" w:asciiTheme="minorEastAsia" w:hAnsiTheme="minorEastAsia" w:eastAsiaTheme="minorEastAsia"/>
                <w:color w:val="auto"/>
                <w:kern w:val="2"/>
                <w:sz w:val="24"/>
                <w:szCs w:val="24"/>
                <w:vertAlign w:val="superscript"/>
              </w:rPr>
              <w:t>3</w:t>
            </w:r>
          </w:p>
        </w:tc>
        <w:tc>
          <w:tcPr>
            <w:tcW w:w="5953" w:type="dxa"/>
            <w:tcBorders>
              <w:left w:val="single" w:color="auto" w:sz="4" w:space="0"/>
              <w:bottom w:val="single" w:color="auto" w:sz="4" w:space="0"/>
              <w:right w:val="single" w:color="auto" w:sz="4" w:space="0"/>
            </w:tcBorders>
            <w:vAlign w:val="center"/>
          </w:tcPr>
          <w:p>
            <w:pPr>
              <w:spacing w:line="360" w:lineRule="auto"/>
              <w:ind w:firstLine="241"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b/>
                <w:color w:val="auto"/>
                <w:kern w:val="2"/>
                <w:sz w:val="24"/>
                <w:szCs w:val="24"/>
              </w:rPr>
              <w:t>1.</w:t>
            </w:r>
            <w:r>
              <w:rPr>
                <w:rFonts w:hint="eastAsia" w:cs="仿宋" w:asciiTheme="minorEastAsia" w:hAnsiTheme="minorEastAsia" w:eastAsiaTheme="minorEastAsia"/>
                <w:bCs/>
                <w:color w:val="auto"/>
                <w:kern w:val="2"/>
                <w:sz w:val="24"/>
                <w:szCs w:val="24"/>
              </w:rPr>
              <w:t>采用优质冷轧钢板，结构强度高，完全阻燃；表面静电喷涂，防尘效果好、</w:t>
            </w:r>
            <w:r>
              <w:rPr>
                <w:rFonts w:hint="eastAsia" w:cs="仿宋" w:asciiTheme="minorEastAsia" w:hAnsiTheme="minorEastAsia" w:eastAsiaTheme="minorEastAsia"/>
                <w:color w:val="auto"/>
                <w:kern w:val="2"/>
                <w:sz w:val="24"/>
                <w:szCs w:val="24"/>
              </w:rPr>
              <w:t>使用寿命长、安全系数高；</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2、外观尺寸≤400×400×950（mm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），采用移动式安装方式，配备医用静音脚轮，移动灵活方便；</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 xml:space="preserve">3、人机共存，可在有人状态下进行连续动态消毒，对人及物品没有任何伤害； </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 xml:space="preserve">4、整机重量≤40kg，额定循环风量≥1000m³/h，可适用于100m³体积及以下的场所； </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5、杀菌区电场强度≥8500V，集尘区电场强度达到4000V，等离子体发生器寿命≥30000h；</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6、配备负离子发生器，所产生负离子密度≥4.82×10</w:t>
            </w:r>
            <w:r>
              <w:rPr>
                <w:rFonts w:hint="eastAsia" w:cs="仿宋" w:asciiTheme="minorEastAsia" w:hAnsiTheme="minorEastAsia" w:eastAsiaTheme="minorEastAsia"/>
                <w:color w:val="auto"/>
                <w:kern w:val="2"/>
                <w:sz w:val="24"/>
                <w:szCs w:val="24"/>
                <w:vertAlign w:val="superscript"/>
              </w:rPr>
              <w:t>7</w:t>
            </w:r>
            <w:r>
              <w:rPr>
                <w:rFonts w:hint="eastAsia" w:cs="仿宋" w:asciiTheme="minorEastAsia" w:hAnsiTheme="minorEastAsia" w:eastAsiaTheme="minorEastAsia"/>
                <w:color w:val="auto"/>
                <w:kern w:val="2"/>
                <w:sz w:val="24"/>
                <w:szCs w:val="24"/>
              </w:rPr>
              <w:t>个/cm</w:t>
            </w:r>
            <w:r>
              <w:rPr>
                <w:rFonts w:hint="eastAsia" w:cs="仿宋" w:asciiTheme="minorEastAsia" w:hAnsiTheme="minorEastAsia" w:eastAsiaTheme="minorEastAsia"/>
                <w:color w:val="auto"/>
                <w:kern w:val="2"/>
                <w:sz w:val="24"/>
                <w:szCs w:val="24"/>
                <w:vertAlign w:val="superscript"/>
              </w:rPr>
              <w:t>3</w:t>
            </w:r>
            <w:r>
              <w:rPr>
                <w:rFonts w:hint="eastAsia" w:cs="仿宋" w:asciiTheme="minorEastAsia" w:hAnsiTheme="minorEastAsia" w:eastAsiaTheme="minorEastAsia"/>
                <w:color w:val="auto"/>
                <w:kern w:val="2"/>
                <w:sz w:val="24"/>
                <w:szCs w:val="24"/>
              </w:rPr>
              <w:t>。采用</w:t>
            </w:r>
            <w:r>
              <w:rPr>
                <w:rFonts w:hint="eastAsia" w:cs="仿宋" w:asciiTheme="minorEastAsia" w:hAnsiTheme="minorEastAsia" w:eastAsiaTheme="minorEastAsia"/>
                <w:bCs/>
                <w:color w:val="auto"/>
                <w:kern w:val="2"/>
                <w:sz w:val="24"/>
                <w:szCs w:val="24"/>
              </w:rPr>
              <w:t>高档液晶显示屏，远程红外线遥控；</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7、</w:t>
            </w:r>
            <w:r>
              <w:rPr>
                <w:rFonts w:hint="eastAsia" w:cs="仿宋" w:asciiTheme="minorEastAsia" w:hAnsiTheme="minorEastAsia" w:eastAsiaTheme="minorEastAsia"/>
                <w:bCs/>
                <w:color w:val="auto"/>
                <w:kern w:val="2"/>
                <w:sz w:val="24"/>
                <w:szCs w:val="24"/>
              </w:rPr>
              <w:t>高、中、低三挡可调风速供用户选择；手控、遥控多种控制方式供用户选择；手动、定时、临时多种工作模式方便用户操作；遥控器上设有一键锁定功能，防止误操作；</w:t>
            </w:r>
          </w:p>
          <w:p>
            <w:pPr>
              <w:spacing w:line="360" w:lineRule="auto"/>
              <w:ind w:firstLine="240" w:firstLineChars="100"/>
              <w:rPr>
                <w:rFonts w:cs="仿宋" w:asciiTheme="minorEastAsia" w:hAnsiTheme="minorEastAsia" w:eastAsiaTheme="minorEastAsia"/>
                <w:color w:val="auto"/>
                <w:kern w:val="2"/>
                <w:sz w:val="24"/>
                <w:szCs w:val="24"/>
              </w:rPr>
            </w:pPr>
            <w:r>
              <w:rPr>
                <w:rFonts w:hint="eastAsia" w:cs="仿宋" w:asciiTheme="minorEastAsia" w:hAnsiTheme="minorEastAsia" w:eastAsiaTheme="minorEastAsia"/>
                <w:color w:val="auto"/>
                <w:kern w:val="2"/>
                <w:sz w:val="24"/>
                <w:szCs w:val="24"/>
              </w:rPr>
              <w:t>8、</w:t>
            </w:r>
            <w:r>
              <w:rPr>
                <w:rFonts w:hint="eastAsia" w:cs="仿宋" w:asciiTheme="minorEastAsia" w:hAnsiTheme="minorEastAsia" w:eastAsiaTheme="minorEastAsia"/>
                <w:bCs/>
                <w:color w:val="auto"/>
                <w:kern w:val="2"/>
                <w:sz w:val="24"/>
                <w:szCs w:val="24"/>
              </w:rPr>
              <w:t>程控数量（定时消毒）≥6组，具备工作时间自动累计功能，满足临床需求；</w:t>
            </w:r>
            <w:r>
              <w:rPr>
                <w:rFonts w:hint="eastAsia" w:cs="仿宋" w:asciiTheme="minorEastAsia" w:hAnsiTheme="minorEastAsia" w:eastAsiaTheme="minorEastAsia"/>
                <w:color w:val="auto"/>
                <w:kern w:val="2"/>
                <w:sz w:val="24"/>
                <w:szCs w:val="24"/>
              </w:rPr>
              <w:t xml:space="preserve"> 采用V型分子过滤器，采用新型多功能两段式等离子体模块，杀菌效率高，集尘效果好，方便维护保养。</w:t>
            </w:r>
          </w:p>
          <w:p>
            <w:pPr>
              <w:spacing w:line="360" w:lineRule="auto"/>
              <w:ind w:firstLine="240" w:firstLineChars="1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9.</w:t>
            </w:r>
            <w:r>
              <w:rPr>
                <w:rFonts w:hint="eastAsia" w:asciiTheme="minorEastAsia" w:hAnsiTheme="minorEastAsia" w:eastAsiaTheme="minorEastAsia"/>
                <w:color w:val="auto"/>
                <w:kern w:val="2"/>
                <w:sz w:val="24"/>
                <w:szCs w:val="24"/>
              </w:rPr>
              <w:t>产品具有报警功能，等离子体</w:t>
            </w:r>
            <w:r>
              <w:rPr>
                <w:rFonts w:asciiTheme="minorEastAsia" w:hAnsiTheme="minorEastAsia" w:eastAsiaTheme="minorEastAsia"/>
                <w:color w:val="auto"/>
                <w:kern w:val="2"/>
                <w:sz w:val="24"/>
                <w:szCs w:val="24"/>
              </w:rPr>
              <w:t>杀菌净化模块故障报警</w:t>
            </w:r>
            <w:r>
              <w:rPr>
                <w:rFonts w:hint="eastAsia" w:asciiTheme="minorEastAsia" w:hAnsiTheme="minorEastAsia" w:eastAsiaTheme="minorEastAsia"/>
                <w:color w:val="auto"/>
                <w:kern w:val="2"/>
                <w:sz w:val="24"/>
                <w:szCs w:val="24"/>
              </w:rPr>
              <w:t>、</w:t>
            </w:r>
            <w:r>
              <w:rPr>
                <w:rFonts w:asciiTheme="minorEastAsia" w:hAnsiTheme="minorEastAsia" w:eastAsiaTheme="minorEastAsia"/>
                <w:color w:val="auto"/>
                <w:kern w:val="2"/>
                <w:sz w:val="24"/>
                <w:szCs w:val="24"/>
              </w:rPr>
              <w:t>过滤器清洗</w:t>
            </w:r>
            <w:r>
              <w:rPr>
                <w:rFonts w:hint="eastAsia" w:asciiTheme="minorEastAsia" w:hAnsiTheme="minorEastAsia" w:eastAsiaTheme="minorEastAsia"/>
                <w:color w:val="auto"/>
                <w:kern w:val="2"/>
                <w:sz w:val="24"/>
                <w:szCs w:val="24"/>
              </w:rPr>
              <w:t>维护报警、风机故障报警</w:t>
            </w:r>
            <w:r>
              <w:rPr>
                <w:rFonts w:asciiTheme="minorEastAsia" w:hAnsiTheme="minorEastAsia" w:eastAsiaTheme="minorEastAsia"/>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14</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除湿机</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r>
              <w:rPr>
                <w:rFonts w:hint="eastAsia" w:cs="仿宋_GB2312" w:asciiTheme="minorEastAsia" w:hAnsiTheme="minorEastAsia" w:eastAsiaTheme="minorEastAsia"/>
                <w:bCs/>
                <w:color w:val="auto"/>
                <w:kern w:val="2"/>
                <w:sz w:val="24"/>
                <w:szCs w:val="24"/>
              </w:rPr>
              <w:t>除湿面积</w:t>
            </w:r>
            <w:r>
              <w:rPr>
                <w:rFonts w:hint="eastAsia" w:asciiTheme="minorEastAsia" w:hAnsiTheme="minorEastAsia" w:eastAsiaTheme="minorEastAsia"/>
                <w:color w:val="auto"/>
                <w:kern w:val="2"/>
                <w:sz w:val="24"/>
                <w:szCs w:val="24"/>
              </w:rPr>
              <w:t>50-180m</w:t>
            </w:r>
            <w:r>
              <w:rPr>
                <w:rFonts w:hint="eastAsia" w:asciiTheme="minorEastAsia" w:hAnsiTheme="minorEastAsia" w:eastAsiaTheme="minorEastAsia"/>
                <w:color w:val="auto"/>
                <w:kern w:val="2"/>
                <w:sz w:val="24"/>
                <w:szCs w:val="24"/>
                <w:vertAlign w:val="superscript"/>
              </w:rPr>
              <w:t>2</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cs="仿宋_GB2312" w:asciiTheme="minorEastAsia" w:hAnsiTheme="minorEastAsia" w:eastAsiaTheme="minorEastAsia"/>
                <w:bCs/>
                <w:color w:val="auto"/>
                <w:kern w:val="2"/>
                <w:sz w:val="24"/>
                <w:szCs w:val="24"/>
              </w:rPr>
              <w:t>日除湿量35L/日，水箱容量5.6L,适用面积50-180</w:t>
            </w:r>
            <w:r>
              <w:rPr>
                <w:rFonts w:hint="eastAsia" w:asciiTheme="minorEastAsia" w:hAnsiTheme="minorEastAsia" w:eastAsiaTheme="minorEastAsia"/>
                <w:color w:val="auto"/>
                <w:kern w:val="2"/>
                <w:sz w:val="24"/>
                <w:szCs w:val="24"/>
              </w:rPr>
              <w:t>m</w:t>
            </w:r>
            <w:r>
              <w:rPr>
                <w:rFonts w:hint="eastAsia" w:asciiTheme="minorEastAsia" w:hAnsiTheme="minorEastAsia" w:eastAsiaTheme="minorEastAsia"/>
                <w:color w:val="auto"/>
                <w:kern w:val="2"/>
                <w:sz w:val="24"/>
                <w:szCs w:val="24"/>
                <w:vertAlign w:val="superscript"/>
              </w:rPr>
              <w:t>2</w:t>
            </w:r>
            <w:r>
              <w:rPr>
                <w:rFonts w:hint="eastAsia" w:asciiTheme="minorEastAsia" w:hAnsiTheme="minorEastAsia" w:eastAsiaTheme="minorEastAsia"/>
                <w:color w:val="auto"/>
                <w:kern w:val="2"/>
                <w:sz w:val="24"/>
                <w:szCs w:val="24"/>
              </w:rPr>
              <w:t>，低噪除湿，智能恒温，负离子净化。插管排水（免倒水），水位实时监控，水满停机，</w:t>
            </w:r>
            <w:r>
              <w:rPr>
                <w:rFonts w:hint="eastAsia" w:cs="仿宋_GB2312" w:asciiTheme="minorEastAsia" w:hAnsiTheme="minorEastAsia" w:eastAsiaTheme="minorEastAsia"/>
                <w:bCs/>
                <w:color w:val="auto"/>
                <w:kern w:val="2"/>
                <w:sz w:val="24"/>
                <w:szCs w:val="24"/>
              </w:rPr>
              <w:t>湿度控制范围</w:t>
            </w:r>
            <w:r>
              <w:rPr>
                <w:rFonts w:hint="eastAsia" w:asciiTheme="minorEastAsia" w:hAnsiTheme="minorEastAsia" w:eastAsiaTheme="minorEastAsia"/>
                <w:color w:val="auto"/>
                <w:kern w:val="2"/>
                <w:sz w:val="24"/>
                <w:szCs w:val="24"/>
              </w:rPr>
              <w:t>30-80%。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15</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小车高压    清洗机</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可移动式清洗机。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16</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洗眼器</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304不锈钢材质，双眼。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17</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器械检查    放大镜</w:t>
            </w:r>
          </w:p>
        </w:tc>
        <w:tc>
          <w:tcPr>
            <w:tcW w:w="1701"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Cs/>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用于器械检查保养，≥8倍。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18</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不锈钢      污物接收台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1800*600*850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1.尺寸：1800×600×850（mm）；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三层台面，无门，三面封闭；3.材质：Gr(%)含量：17.50～19.50，Ni(%)的含量：8.00～10.50，抗拉强度Rm（MPa）≥515.4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19</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不锈钢      清洗分类台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1800*700*850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1.尺寸：1800×700×850（mm）；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层，上层平板台面，下层条形板，底部四角配不锈钢高度调节脚；3.材质：Gr(%)含量：17.50～19.50，Ni(%)的含量：8.00～10.50，抗拉强度Rm（MPa）≥515，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20</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不锈钢干燥  物品工作台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1800*1300*850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1.尺寸：1800×1300×850（mm）；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面使用，双层，上层平板台面，下层条形板，共八抽，抽屉采用复合式双层结构设计，底部四角配不锈钢高度调节脚；3.材质：Gr(%)含量：17.50～19.50，Ni(%)的含量：8.00～10.50，抗拉强度Rm（MPa）≥515，4.主材厚度：主管材厚度≥1.2mm，主板材厚度≥1.0mm；5.导轨：优质静音伸缩自吸导轨，提供304不锈钢检测报告.垂直向下静载荷≥300N. 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21</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 xml:space="preserve">全不锈钢    清洗工作台 </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1800*1080*850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1.尺寸：1800×1080×850（mm）；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层台面，四抽，抽屉采用复合式双层结构设计，底部四角配不锈钢高度调节脚；3.材质：Gr(%)含量：17.50～19.50，Ni(%)的含量：8.00～10.50，抗拉强度Rm（MPa）≥515，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22</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不锈钢      器械工作台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1800*550/750*850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1.尺寸：1800×550/750×850（mm）；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2.规格：主体304不锈钢结构，阶梯式，上四抽屉，深度750mm，下四柜门，深度550mm，柜门带锁；3.材质：国标304不锈钢，符合GB/T 3280-2015中06Gr19Ni10(304)的技术要求，Gr(%)含量：17.50～19.50，Ni(%)的含量：8.00～10.50，抗拉强度Rm（MPa）≥515，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23</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不锈钢转运车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1060*550*850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1.尺寸：900/1060×550×850（mm）；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层台面，无护栏，两侧把手，配四只医用万向脚轮，前两只带刹车；底部四角配有防撞圈。3.材质：国标304不锈钢，Gr(%)含量：17.50～19.50，Ni(%)的含量：8.00～10.50，抗拉强度Rm（MPa）≥515，并提供304不锈钢材质检测报告；4.主材厚度：主管材厚度≥1.2mm，主板材厚度≥1.0mm；5.脚轮：φ75全ABS防锈聚胺酯静音脚轮，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24</w:t>
            </w:r>
          </w:p>
        </w:tc>
        <w:tc>
          <w:tcPr>
            <w:tcW w:w="1418" w:type="dxa"/>
            <w:vMerge w:val="restart"/>
            <w:tcBorders>
              <w:left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器械检查打包台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2000*1300*850/1450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1.尺寸：2000×1300×850/1450（mm）；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2.规格：主体304不锈钢结构，双面使用，单层台面，共四抽，抽屉采用复合式双层结构设计，带双层上架，上架设有LED检查灯，底部四角配不锈钢高度调节脚；</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25</w:t>
            </w:r>
          </w:p>
        </w:tc>
        <w:tc>
          <w:tcPr>
            <w:tcW w:w="1418" w:type="dxa"/>
            <w:vMerge w:val="continue"/>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2000*1300*850/1900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1.尺寸：2000×1300×850/1900（mm）；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面使用，单层台面，四个活动储物柜，每个储物柜配四抽屉，抽屉采用复合结构，带双层上架，上架顶上设有LED检查灯，上层储物篮筐，下层翻转药盒，上架立柱设有电源插座、网络端口、电脑支架和高压气枪，台面上配带光源放大镜，底部四角配不锈钢高度调节脚；</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26</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敷料检查打包台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2000*1300*850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1.尺寸：2000×1300×850（mm）；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2.规格：主体304不锈钢结构，双面使用，单层台面，带检查灯，共八抽，底部四角配不锈钢高度调节脚；</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5.导轨：优质静音伸缩自吸导轨，垂直向下静载荷≥300N.提供304不锈钢检测报告。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27</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不锈钢送货车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1140*820*930</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1.尺寸：1140×820×930（mm）；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2.规格：主体304不锈钢结构，单层平板底，斗式，四周圆管护栏，左侧可开门，右侧把手，配四只承重脚轮，把手侧两只万向带刹车，其余两只定向无刹车；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5.脚轮：左侧两只12寸免充气轮，右侧两只5寸立柱轮，提供304不锈钢检测报告。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28</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包布转运车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1000*400*800/900/1000</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1.尺寸：1000×400×800/900/1000（mm）；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2.规格：主体304不锈钢结构，三列，阶梯式，第一列高度800mm，第二列高度900mm，第三列高度1000mm，配四只医用万向脚轮，前两只带刹车；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29</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篮筐转运车（储物篮筐）</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560*580*1630</w:t>
            </w:r>
          </w:p>
        </w:tc>
        <w:tc>
          <w:tcPr>
            <w:tcW w:w="5953" w:type="dxa"/>
            <w:tcBorders>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1.尺寸：560×580×1630（mm）；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2.规格：主体304不锈钢结构，双列，存放8只篮筐，对称式，中间4只长方体篮筐，倾斜摆放，方便放置物品，其余4只斜口篮筐，配四只医用万向脚轮，前两只带刹车；</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3.材质：Ni(%)的含量：8.00～10.50，抗拉强度Rm（MPa）≥515；</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5.脚轮：φ75全ABS防锈聚胺酯静音脚轮，防卷发.提供304不锈钢检测报告。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不锈钢篮筐</w:t>
            </w:r>
          </w:p>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储物架</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5层</w:t>
            </w:r>
            <w:r>
              <w:rPr>
                <w:rFonts w:hint="eastAsia" w:asciiTheme="minorEastAsia" w:hAnsiTheme="minorEastAsia" w:eastAsiaTheme="minorEastAsia"/>
                <w:color w:val="auto"/>
                <w:kern w:val="2"/>
                <w:sz w:val="24"/>
                <w:szCs w:val="24"/>
              </w:rPr>
              <w:t>,</w:t>
            </w:r>
            <w:r>
              <w:rPr>
                <w:rFonts w:asciiTheme="minorEastAsia" w:hAnsiTheme="minorEastAsia" w:eastAsiaTheme="minorEastAsia"/>
                <w:color w:val="auto"/>
                <w:kern w:val="2"/>
                <w:sz w:val="24"/>
                <w:szCs w:val="24"/>
              </w:rPr>
              <w:t>尺寸</w:t>
            </w:r>
            <w:r>
              <w:rPr>
                <w:rFonts w:hint="eastAsia" w:asciiTheme="minorEastAsia" w:hAnsiTheme="minorEastAsia" w:eastAsiaTheme="minorEastAsia"/>
                <w:color w:val="auto"/>
                <w:kern w:val="2"/>
                <w:sz w:val="24"/>
                <w:szCs w:val="24"/>
              </w:rPr>
              <w:t>根据篮筐</w:t>
            </w:r>
            <w:r>
              <w:rPr>
                <w:rFonts w:asciiTheme="minorEastAsia" w:hAnsiTheme="minorEastAsia" w:eastAsiaTheme="minorEastAsia"/>
                <w:color w:val="auto"/>
                <w:kern w:val="2"/>
                <w:sz w:val="24"/>
                <w:szCs w:val="24"/>
              </w:rPr>
              <w:t>定制</w:t>
            </w:r>
          </w:p>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现有尺寸2300cm*80cm*170cm</w:t>
            </w:r>
          </w:p>
        </w:tc>
        <w:tc>
          <w:tcPr>
            <w:tcW w:w="5953" w:type="dxa"/>
            <w:tcBorders>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1.尺寸：1130×950×1775（mm），5层；</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2.规格：主体304不锈钢结构，双面使用，四列，对称式，一面可存储20只灭菌篮筐，底角配不锈钢高度调节脚；</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31</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不锈钢灭菌篮筐</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540*375*190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304不锈钢材质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vMerge w:val="restart"/>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32</w:t>
            </w:r>
          </w:p>
        </w:tc>
        <w:tc>
          <w:tcPr>
            <w:tcW w:w="1418" w:type="dxa"/>
            <w:vMerge w:val="restart"/>
            <w:tcBorders>
              <w:left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不锈钢轨道敷料存放架</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1500*500*2000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1.尺寸：1500×500×2000（mm）；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2.规格：主体304不锈钢结构，四层，板条面，底角配移动滑轮；沿轨道滑行；</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vMerge w:val="continue"/>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p>
        </w:tc>
        <w:tc>
          <w:tcPr>
            <w:tcW w:w="1418" w:type="dxa"/>
            <w:vMerge w:val="continue"/>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1500*500*2000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1.尺寸：1500×500×2000（mm）；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2.规格：主体304不锈钢结构，四层，模具冲孔板面，组合式，底角配移动滑轮；沿轨道滑行，层板高度可调节。</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5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33</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不锈钢送货车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1140*820*930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1.尺寸：1140×820×930（mm）；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2.规格：主体304不锈钢结构，单层平板底，斗式，四周圆管护栏，左侧可开门，右侧把手，配四只承重脚轮，把手侧两只万向带刹车，其余两只定向无刹车；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5.脚轮：左侧两只12寸免充气轮，右侧两只5寸立柱轮；提供304不锈钢检测报告。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34</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不锈钢电动送货车</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1200*750*840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1.尺寸：1200/1400×750×840（mm）；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2.规格：主体304不锈钢结构，电动式，单层平板底，右侧把手，设有电量显示、旋转式手柄、电磁刹车和高负载电机，配四只承重脚轮，把手侧两只带刹车；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5.脚轮：左侧两只10寸键槽充气轮，右侧两只8寸聚胺酯承重脚轮，提供304不锈钢检测报告。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right w:val="single" w:color="auto" w:sz="4" w:space="0"/>
            </w:tcBorders>
          </w:tcPr>
          <w:p>
            <w:pPr>
              <w:autoSpaceDN w:val="0"/>
              <w:spacing w:line="360" w:lineRule="auto"/>
              <w:jc w:val="center"/>
              <w:textAlignment w:val="center"/>
              <w:rPr>
                <w:rFonts w:asciiTheme="minorEastAsia" w:hAnsiTheme="minorEastAsia" w:eastAsiaTheme="minorEastAsia"/>
                <w:color w:val="auto"/>
                <w:kern w:val="2"/>
                <w:sz w:val="24"/>
                <w:szCs w:val="24"/>
              </w:rPr>
            </w:pPr>
          </w:p>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35</w:t>
            </w:r>
          </w:p>
        </w:tc>
        <w:tc>
          <w:tcPr>
            <w:tcW w:w="1418" w:type="dxa"/>
            <w:vMerge w:val="restart"/>
            <w:tcBorders>
              <w:left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地架</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1500*500*260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1.尺寸：1500×500×260（mm）；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2.规格：主体304不锈钢结构，单层，板条面，底角配塑胶脚套；</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36</w:t>
            </w:r>
          </w:p>
        </w:tc>
        <w:tc>
          <w:tcPr>
            <w:tcW w:w="1418" w:type="dxa"/>
            <w:vMerge w:val="continue"/>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1200*500*260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1.尺寸：1200×500×260（mm）；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2.规格：主体304不锈钢结构，单层，板条面，底角配塑胶脚套；</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37</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不锈钢更衣柜</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960*500*1800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1.尺寸：960×500×1800（mm）；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2.规格：主体304不锈钢结构，三门，带锁，门内设挂衣架；</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38</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不锈钢拖鞋架</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620*460*1630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1.尺寸：620×460×1630（mm）；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2.规格：主体304不锈钢结构，单列，4只挂篮，每只可挂11只拖鞋，共可挂44只拖鞋，配四只医用万向脚轮，前两只带刹车；</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5.脚轮：φ75全ABS防锈聚胺酯静音脚轮.提供304不锈钢检测报告。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39</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鞋柜</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960*500*1800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1.尺寸：960×400×1800（mm）；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2.规格：主体碳钢喷塑结构，九个柜门，带锁；3.主材厚度：主管材厚度≥1.0mm，主板材厚度≥0.8mm；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4.喷塑：采用双层处理工艺。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40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鞋柜</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960*400*1800</w:t>
            </w:r>
            <w:r>
              <w:rPr>
                <w:rFonts w:hint="eastAsia" w:asciiTheme="minorEastAsia" w:hAnsiTheme="minorEastAsia" w:eastAsiaTheme="minorEastAsia"/>
                <w:color w:val="auto"/>
                <w:kern w:val="2"/>
                <w:sz w:val="24"/>
                <w:szCs w:val="24"/>
              </w:rPr>
              <w:t>mm</w:t>
            </w:r>
          </w:p>
        </w:tc>
        <w:tc>
          <w:tcPr>
            <w:tcW w:w="5953"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1.尺寸：960×400×1800（mm）；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2.规格：主体碳钢喷塑结构，十八个柜门，带锁；</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3.主材厚度：主管材厚度≥1.0mm，主板材厚度≥0.8mm；</w:t>
            </w:r>
          </w:p>
          <w:p>
            <w:pPr>
              <w:autoSpaceDN w:val="0"/>
              <w:spacing w:line="360" w:lineRule="auto"/>
              <w:jc w:val="left"/>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4.喷塑：采用双层处理工艺。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41</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互锁传递窗</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bCs/>
                <w:color w:val="auto"/>
                <w:kern w:val="2"/>
                <w:sz w:val="24"/>
                <w:szCs w:val="24"/>
              </w:rPr>
            </w:pPr>
            <w:r>
              <w:rPr>
                <w:rFonts w:asciiTheme="minorEastAsia" w:hAnsiTheme="minorEastAsia" w:eastAsiaTheme="minorEastAsia"/>
                <w:color w:val="auto"/>
                <w:kern w:val="2"/>
                <w:sz w:val="24"/>
                <w:szCs w:val="24"/>
              </w:rPr>
              <w:t>600*580*700</w:t>
            </w:r>
            <w:r>
              <w:rPr>
                <w:rFonts w:hint="eastAsia" w:asciiTheme="minorEastAsia" w:hAnsiTheme="minorEastAsia" w:eastAsiaTheme="minorEastAsia"/>
                <w:color w:val="auto"/>
                <w:kern w:val="2"/>
                <w:sz w:val="24"/>
                <w:szCs w:val="24"/>
              </w:rPr>
              <w:t>mm</w:t>
            </w:r>
          </w:p>
        </w:tc>
        <w:tc>
          <w:tcPr>
            <w:tcW w:w="5953" w:type="dxa"/>
            <w:tcBorders>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1.尺寸：600×580×700(深)（mm）；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2.规格：主体304不锈钢结构，单台，电动互锁；</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3.材质：国标304不锈钢，Gr(%)含量：17.50～19.50，Ni(%)的含量：8.00～10.50，抗拉强度Rm（MPa）≥515；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5" w:hRule="atLeast"/>
        </w:trPr>
        <w:tc>
          <w:tcPr>
            <w:tcW w:w="675"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42</w:t>
            </w:r>
          </w:p>
        </w:tc>
        <w:tc>
          <w:tcPr>
            <w:tcW w:w="1418"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cs="仿宋_GB2312"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不锈钢电脑登记工作台</w:t>
            </w:r>
          </w:p>
        </w:tc>
        <w:tc>
          <w:tcPr>
            <w:tcW w:w="1701" w:type="dxa"/>
            <w:tcBorders>
              <w:left w:val="single" w:color="auto" w:sz="4" w:space="0"/>
              <w:bottom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w:t>
            </w:r>
            <w:r>
              <w:rPr>
                <w:rFonts w:hint="eastAsia" w:asciiTheme="minorEastAsia" w:hAnsiTheme="minorEastAsia" w:eastAsiaTheme="minorEastAsia"/>
                <w:color w:val="auto"/>
                <w:kern w:val="2"/>
                <w:sz w:val="24"/>
                <w:szCs w:val="24"/>
              </w:rPr>
              <w:t>4</w:t>
            </w:r>
            <w:r>
              <w:rPr>
                <w:rFonts w:asciiTheme="minorEastAsia" w:hAnsiTheme="minorEastAsia" w:eastAsiaTheme="minorEastAsia"/>
                <w:color w:val="auto"/>
                <w:kern w:val="2"/>
                <w:sz w:val="24"/>
                <w:szCs w:val="24"/>
              </w:rPr>
              <w:t>00*600*850</w:t>
            </w:r>
            <w:r>
              <w:rPr>
                <w:rFonts w:hint="eastAsia" w:asciiTheme="minorEastAsia" w:hAnsiTheme="minorEastAsia" w:eastAsiaTheme="minorEastAsia"/>
                <w:color w:val="auto"/>
                <w:kern w:val="2"/>
                <w:sz w:val="24"/>
                <w:szCs w:val="24"/>
              </w:rPr>
              <w:t>mm</w:t>
            </w:r>
          </w:p>
          <w:p>
            <w:pPr>
              <w:autoSpaceDN w:val="0"/>
              <w:spacing w:line="360" w:lineRule="auto"/>
              <w:jc w:val="center"/>
              <w:textAlignment w:val="center"/>
              <w:rPr>
                <w:rFonts w:asciiTheme="minorEastAsia" w:hAnsiTheme="minorEastAsia" w:eastAsiaTheme="minorEastAsia"/>
                <w:color w:val="auto"/>
                <w:kern w:val="2"/>
                <w:sz w:val="24"/>
                <w:szCs w:val="24"/>
              </w:rPr>
            </w:pPr>
          </w:p>
        </w:tc>
        <w:tc>
          <w:tcPr>
            <w:tcW w:w="5953" w:type="dxa"/>
            <w:tcBorders>
              <w:left w:val="single" w:color="auto" w:sz="4" w:space="0"/>
              <w:bottom w:val="single" w:color="auto" w:sz="4" w:space="0"/>
              <w:right w:val="single" w:color="auto" w:sz="4" w:space="0"/>
            </w:tcBorders>
            <w:vAlign w:val="center"/>
          </w:tcPr>
          <w:p>
            <w:pPr>
              <w:numPr>
                <w:ilvl w:val="0"/>
                <w:numId w:val="40"/>
              </w:num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尺寸：1400×600×850（mm）；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2.规格：主体304不锈钢结构，做电脑桌用，左侧无门，放主机，中间一抽板，放键盘，右侧一抽一柜，放物品，台面设有穿线孔；抽屉、柜门均采用复合式双层结构设计。</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3.材质：Gr(%)含量：17.50～19.50，Ni(%)的含量：8.00～10.50，抗拉强度Rm（MPa）≥515；</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4.主材厚度：主管材厚度≥1.2mm，主板材厚度≥1.0mm；</w:t>
            </w:r>
          </w:p>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5.导轨：垂直向下静载荷≥300N，提供304不锈钢检测报告。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2" w:hRule="atLeast"/>
        </w:trPr>
        <w:tc>
          <w:tcPr>
            <w:tcW w:w="675" w:type="dxa"/>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43</w:t>
            </w:r>
          </w:p>
        </w:tc>
        <w:tc>
          <w:tcPr>
            <w:tcW w:w="1418" w:type="dxa"/>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换鞋凳</w:t>
            </w:r>
          </w:p>
        </w:tc>
        <w:tc>
          <w:tcPr>
            <w:tcW w:w="1701" w:type="dxa"/>
            <w:tcBorders>
              <w:left w:val="single" w:color="auto" w:sz="4" w:space="0"/>
              <w:right w:val="single" w:color="auto" w:sz="4" w:space="0"/>
            </w:tcBorders>
            <w:vAlign w:val="center"/>
          </w:tcPr>
          <w:p>
            <w:pPr>
              <w:autoSpaceDN w:val="0"/>
              <w:spacing w:line="360" w:lineRule="auto"/>
              <w:jc w:val="center"/>
              <w:textAlignment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尺寸根据实地测量</w:t>
            </w:r>
          </w:p>
        </w:tc>
        <w:tc>
          <w:tcPr>
            <w:tcW w:w="5953" w:type="dxa"/>
            <w:tcBorders>
              <w:left w:val="single" w:color="auto" w:sz="4" w:space="0"/>
              <w:right w:val="single" w:color="auto" w:sz="4" w:space="0"/>
            </w:tcBorders>
            <w:vAlign w:val="center"/>
          </w:tcPr>
          <w:p>
            <w:pPr>
              <w:spacing w:line="360" w:lineRule="auto"/>
              <w:jc w:val="lef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定制304不锈钢材质</w:t>
            </w:r>
          </w:p>
        </w:tc>
      </w:tr>
    </w:tbl>
    <w:p>
      <w:pPr>
        <w:spacing w:beforeLines="50" w:afterLines="50" w:line="360" w:lineRule="auto"/>
        <w:rPr>
          <w:rFonts w:cs="宋体" w:asciiTheme="minorEastAsia" w:hAnsiTheme="minorEastAsia" w:eastAsiaTheme="minorEastAsia"/>
          <w:b/>
          <w:bCs/>
          <w:color w:val="auto"/>
          <w:kern w:val="2"/>
          <w:sz w:val="24"/>
          <w:szCs w:val="24"/>
        </w:rPr>
      </w:pP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2、制剂室</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（1）蒸汽发生器</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本机电加热蒸汽发生器是由密闭蒸汽容器、全自动控电系统、高压进水泵、法兰士不锈钢电热管组件等组成。通过加热密闭容器里的软化水来产生热蒸汽。采用国内外知名品牌电器元件，噪音小，无污染。                                          </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1、单路配电，电源：≥108KW </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2、产气量&gt;108kg/h ,能满足不小于800L灭菌器供气量</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3、应有多种保护功能及报警功能，如漏电保护，自动补水，具有缺水、超温、超压自动断电并报警保护功能，保证设备在使用过程中发生故障及时预警，确保操作人员安全</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4、控制器显示状态丰富，操作简单方便。</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5、电热元件与炉体连接装拆方便，利于维护保养。</w:t>
      </w:r>
    </w:p>
    <w:p>
      <w:pPr>
        <w:spacing w:beforeLines="50" w:afterLines="50"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6、采用步进式分时投入法控制电热元件，均匀加热，减少对电网的冲击，加热元件可手动投入或停止，方便用户灵活调整。</w:t>
      </w:r>
    </w:p>
    <w:p>
      <w:pPr>
        <w:spacing w:beforeLines="50" w:afterLines="50" w:line="360" w:lineRule="auto"/>
        <w:ind w:firstLine="484" w:firstLineChars="202"/>
        <w:jc w:val="left"/>
        <w:outlineLvl w:val="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color w:val="auto"/>
          <w:kern w:val="2"/>
          <w:sz w:val="24"/>
          <w:szCs w:val="24"/>
        </w:rPr>
        <w:t xml:space="preserve">7、具有专项检测报告 </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（2）口服液灌封机</w:t>
      </w:r>
    </w:p>
    <w:p>
      <w:pPr>
        <w:spacing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本机能完成塑料瓶或玻璃瓶的液体灌装、自动理盖戴盖和封口。瓶子由输送带进入，经输送带上定量灌装后，进入等分盘，瓶子随等分盘转动，经落盖口时，自动戴上盖子，经锁口位置时，盖子被锁紧在瓶口上。</w:t>
      </w:r>
    </w:p>
    <w:p>
      <w:pPr>
        <w:spacing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灌装为直拉式柱塞泵，内壁研磨精度≤0.3微米，并提供实测数据；灌装头由机械凸轮操纵进入行星转盘定位式灌装，确保灌装液体时平稳无晃动，针头采用内R60度虹吸针头倒角光滑度为120，可以解决针头滴液挂液。由于采用了双向不锈钢密封阀，以及双密封，边灌注边提升减少飞沫，保证了液体无冲击飞溅，瓶外无滴漏。活塞泵定量精确，调节方便，完成灌装后转入下一工位(上盖、旋（轧）盖工位)。</w:t>
      </w:r>
    </w:p>
    <w:p>
      <w:pPr>
        <w:spacing w:line="360" w:lineRule="auto"/>
        <w:ind w:firstLine="484" w:firstLineChars="202"/>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color w:val="auto"/>
          <w:kern w:val="2"/>
          <w:sz w:val="24"/>
          <w:szCs w:val="24"/>
        </w:rPr>
        <w:t>2、计量调整分粗调和精调，确保灌装的精度误差≤±1%；</w:t>
      </w:r>
    </w:p>
    <w:p>
      <w:pPr>
        <w:spacing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旋（轧）盖机构采用恒扭力设计，根据瓶盖和瓶口螺纹配合的松紧度来调整扭力，旋（轧）盖到位后能自动打滑，旋（轧）盖头套采用进口硅胶材料，达到不伤盖不伤瓶的目的。同时还有调节的余地。(在出厂时已调至正确位置，无须进行调整)。旋（轧）盖完成后瓶子由拨盘回转送上传送带至连线上或收集盘上均可。</w:t>
      </w:r>
    </w:p>
    <w:p>
      <w:pPr>
        <w:spacing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4、设备机械凸轮一体成型，运行过程中无明显噪音。主传动系统由电机、电机减速器、凸轮分割器、齿轮、链轮等组成，传动平稳，磨损小，使用寿命长，机构更具合理。</w:t>
      </w:r>
    </w:p>
    <w:p>
      <w:pPr>
        <w:spacing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5、设备需符合GMP标准，台面上工件安装需打胶处理，并配有清洗水槽。</w:t>
      </w:r>
    </w:p>
    <w:p>
      <w:pPr>
        <w:spacing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6、电控系统主体电控箱及所有控制面板与按键具有断电保护操作功能，运行安全可靠。</w:t>
      </w:r>
    </w:p>
    <w:p>
      <w:pPr>
        <w:spacing w:line="360" w:lineRule="auto"/>
        <w:ind w:firstLine="484" w:firstLineChars="20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7、主要参数：（1）生产能力30-</w:t>
      </w:r>
      <w:r>
        <w:rPr>
          <w:rFonts w:cs="宋体" w:asciiTheme="minorEastAsia" w:hAnsiTheme="minorEastAsia" w:eastAsiaTheme="minorEastAsia"/>
          <w:color w:val="auto"/>
          <w:kern w:val="2"/>
          <w:sz w:val="24"/>
          <w:szCs w:val="24"/>
        </w:rPr>
        <w:t>10</w:t>
      </w:r>
      <w:r>
        <w:rPr>
          <w:rFonts w:hint="eastAsia" w:cs="宋体" w:asciiTheme="minorEastAsia" w:hAnsiTheme="minorEastAsia" w:eastAsiaTheme="minorEastAsia"/>
          <w:color w:val="auto"/>
          <w:kern w:val="2"/>
          <w:sz w:val="24"/>
          <w:szCs w:val="24"/>
        </w:rPr>
        <w:t xml:space="preserve">0瓶/分钟     （2）灌装误差≤1%  </w:t>
      </w:r>
    </w:p>
    <w:p>
      <w:pPr>
        <w:spacing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（3） 灌装头数：2-8头          （4）旋盖头数：1-2头    </w:t>
      </w:r>
    </w:p>
    <w:p>
      <w:pPr>
        <w:spacing w:line="360" w:lineRule="auto"/>
        <w:ind w:firstLine="840" w:firstLineChars="35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（5）设备功率：≤3.5KW          （6）气源压力：0.4-0.7mpa </w:t>
      </w:r>
    </w:p>
    <w:p>
      <w:pPr>
        <w:spacing w:line="360" w:lineRule="auto"/>
        <w:ind w:firstLine="840" w:firstLineChars="350"/>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color w:val="auto"/>
          <w:kern w:val="2"/>
          <w:sz w:val="24"/>
          <w:szCs w:val="24"/>
        </w:rPr>
        <w:t xml:space="preserve">（7）设备尺寸：2450*900*1650mm   </w:t>
      </w:r>
    </w:p>
    <w:p>
      <w:pPr>
        <w:spacing w:beforeLines="50" w:afterLines="50" w:line="360" w:lineRule="auto"/>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（3）500ml口服液灌装生产线</w:t>
      </w:r>
    </w:p>
    <w:p>
      <w:pPr>
        <w:spacing w:beforeLines="50" w:afterLines="50"/>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500ml口服液灌装生产线包括直筒提取罐及附件设备，由2.4m³正锥提取罐、除沫器、冷凝器、冷凝器支架、冷却器、油水分离器、双联过滤器、操作平台及内部相关管道组成。联动线的布局以现场实际情况，经使用方确认后为准（安装前需提供优化后的深化设计供使用单位二次确认）。</w:t>
      </w:r>
    </w:p>
    <w:p>
      <w:pPr>
        <w:spacing w:beforeLines="50" w:afterLines="50"/>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提取和浓缩器提取过程可以使用泵迫使制药业在制药行业中循环使用，以提高提取效率。药液从罐底部的液体出口流出，提取浓缩设备被药液过滤器过滤并通过泵返回到提取罐。提取完成后，提取的液体将从罐底部的液体出口排出，经过过滤器，然后将化学溶液送至下一个浓缩区进行处理。</w:t>
      </w:r>
    </w:p>
    <w:p>
      <w:pPr>
        <w:spacing w:beforeLines="50" w:afterLines="50"/>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主要配件:提取罐、除沫器、冷凝器、冷却器、油水分离器、加热器、蒸发室、立冷集液罐、进料口、过滤器、温度控制器、出料阀、机架、控制柜、真空泵等；</w:t>
      </w:r>
      <w:r>
        <w:rPr>
          <w:rFonts w:hint="eastAsia" w:cs="宋体" w:asciiTheme="minorEastAsia" w:hAnsiTheme="minorEastAsia" w:eastAsiaTheme="minorEastAsia"/>
          <w:color w:val="auto"/>
          <w:sz w:val="24"/>
          <w:szCs w:val="24"/>
        </w:rPr>
        <w:t>应配备相应蒸汽发生器组合，满足罐组的能耗需求；</w:t>
      </w:r>
    </w:p>
    <w:p>
      <w:pPr>
        <w:spacing w:beforeLines="50" w:afterLines="50"/>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提取物药用成份质量提高。由于提取时间短，温度又随机自控，提取物质量明显提高。</w:t>
      </w:r>
    </w:p>
    <w:p>
      <w:pPr>
        <w:spacing w:beforeLines="50" w:afterLines="50"/>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组凡与药物、溶剂接触的仪器、设备、管道等材料材质均采用优质不锈钢。内部均无死角，抛光至镜面，易清洗；底盖的密封改为气压密封，可靠性提高；提取罐出液改为双过滤层，不易堵塞；提取罐、分离器均设双作用惯性除沫器，效果好；加热器采用高光洁度薄壁无缝管；冷凝器中采用薄壁小口径无缝管，双管程，传热效果好；</w:t>
      </w:r>
    </w:p>
    <w:p>
      <w:pPr>
        <w:spacing w:line="440" w:lineRule="exact"/>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A、直筒提取罐</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1.结构形式：设备由2</w:t>
      </w:r>
      <w:r>
        <w:rPr>
          <w:rFonts w:cs="宋体" w:asciiTheme="minorEastAsia" w:hAnsiTheme="minorEastAsia" w:eastAsiaTheme="minorEastAsia"/>
          <w:color w:val="auto"/>
          <w:kern w:val="2"/>
          <w:sz w:val="24"/>
          <w:szCs w:val="24"/>
        </w:rPr>
        <w:t>.4</w:t>
      </w:r>
      <w:r>
        <w:rPr>
          <w:rFonts w:hint="eastAsia" w:cs="宋体" w:asciiTheme="minorEastAsia" w:hAnsiTheme="minorEastAsia" w:eastAsiaTheme="minorEastAsia"/>
          <w:color w:val="auto"/>
          <w:kern w:val="2"/>
          <w:sz w:val="24"/>
          <w:szCs w:val="24"/>
        </w:rPr>
        <w:t>m³直筒提取罐:ø300除沫器:7.4㎡冷凝器:冷凝器支架:0.85㎡冷却器:油水分离器:双联过滤器:操作平台及内部相关管道组成。</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2.表面处理要求：设备内表面镜面抛光，外表面亚光处理，确保无卫生死角，符合GMP要求。</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3.平台框架用14#型槽钢，踏板用厚度3mm不锈钢花纹板，梯子、踏板、栏杆用不锈钢。</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4.内胆：直筒型罐体，有效容积：2</w:t>
      </w:r>
      <w:r>
        <w:rPr>
          <w:rFonts w:cs="宋体" w:asciiTheme="minorEastAsia" w:hAnsiTheme="minorEastAsia" w:eastAsiaTheme="minorEastAsia"/>
          <w:color w:val="auto"/>
          <w:kern w:val="2"/>
          <w:sz w:val="24"/>
          <w:szCs w:val="24"/>
        </w:rPr>
        <w:t>4</w:t>
      </w:r>
      <w:r>
        <w:rPr>
          <w:rFonts w:hint="eastAsia" w:cs="宋体" w:asciiTheme="minorEastAsia" w:hAnsiTheme="minorEastAsia" w:eastAsiaTheme="minorEastAsia"/>
          <w:color w:val="auto"/>
          <w:kern w:val="2"/>
          <w:sz w:val="24"/>
          <w:szCs w:val="24"/>
        </w:rPr>
        <w:t>00L。</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设计压力：常压，工作压力：常压；设计温度：120℃，工作温度：≤100℃；工作介质：药液。</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5.夹套：采用夹套换热，换热面积6.3m2。</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设计压力：0.09Mpa，工作压力：&lt;0.09Mpa，工作介质：</w:t>
      </w:r>
      <w:r>
        <w:rPr>
          <w:rFonts w:hint="eastAsia" w:cs="宋体" w:asciiTheme="minorEastAsia" w:hAnsiTheme="minorEastAsia" w:eastAsiaTheme="minorEastAsia"/>
          <w:strike/>
          <w:color w:val="auto"/>
          <w:kern w:val="2"/>
          <w:sz w:val="24"/>
          <w:szCs w:val="24"/>
        </w:rPr>
        <w:t>饱和</w:t>
      </w:r>
      <w:r>
        <w:rPr>
          <w:rFonts w:hint="eastAsia" w:cs="宋体" w:asciiTheme="minorEastAsia" w:hAnsiTheme="minorEastAsia" w:eastAsiaTheme="minorEastAsia"/>
          <w:color w:val="auto"/>
          <w:kern w:val="2"/>
          <w:sz w:val="24"/>
          <w:szCs w:val="24"/>
        </w:rPr>
        <w:t>水蒸汽。</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6.投料口为手动快开投料口，尺寸Φ350。</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7.气动底部出渣：内覆上拱型过滤网，过滤精度80目。</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8.除沫器：尺寸为Φ300×478mm，内有不锈钢波纹填料。</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9.冷凝器：采用列管冷凝器，冷凝器换热面积为8.6m2。</w:t>
      </w:r>
    </w:p>
    <w:p>
      <w:pPr>
        <w:spacing w:line="440" w:lineRule="exact"/>
        <w:ind w:left="1160" w:leftChars="200" w:hanging="480" w:hanging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管程：设计压力：常压，工作压力：常压；设计温度：120℃，工作温度≤95℃。工作介质：二次蒸汽。</w:t>
      </w:r>
    </w:p>
    <w:p>
      <w:pPr>
        <w:spacing w:line="440" w:lineRule="exact"/>
        <w:ind w:left="1210" w:leftChars="250" w:hanging="360" w:hangingChars="15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壳程：设计压力：0.09Mpa，工作压力：常压；设计温度：50℃，工作温度：15～30℃。工作介质：冷却水。</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冷却水器：盘管冷却器，冷却器换热面积为0.85m2。</w:t>
      </w:r>
    </w:p>
    <w:p>
      <w:pPr>
        <w:spacing w:line="440" w:lineRule="exact"/>
        <w:ind w:left="1160" w:leftChars="200" w:hanging="480" w:hanging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管程：设计压力：常压，工作压力：常压；设计温度：120℃，工作温度≤95℃。工作介质：冷凝液。</w:t>
      </w:r>
    </w:p>
    <w:p>
      <w:pPr>
        <w:spacing w:line="440" w:lineRule="exact"/>
        <w:ind w:left="1160" w:leftChars="200" w:hanging="480" w:hanging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壳程：设计压力：009Mpa，工作压力：常压；设计温度：50℃，工作温度：15～30℃。工作介质：冷却水。</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11.</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油水分离器：玻璃视盅，罐体容积为4L。</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12.</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双联过滤器：流量为1.5m3/h，过滤精度120目。</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设备厚度及材质：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13.1罐体：</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内胆：内胆筒体δ=4mm/SUS304，上椭圆封头δ=4mm/SUS304，材质为SUS304。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夹套：夹套筒体δ=6mm/Q245R。</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保温：外包筒体δ=2mm/SUS304。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13.2除沫器：尺寸为Φ300×478mm，筒体δ=2.5mm/SUS304。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13.3冷凝器：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壳程：直段尺寸为Φ350×1300mm，筒体δ=2.5mm/SUS304。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13.4冷却器：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壳程：筒体δ=3.0mm/SUS304。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13.5油水分离器：不锈钢。</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13.6冷凝器支架：采用60×40×2方管制作，材质为304。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13.7双联过滤器：尺寸为ø300×480mm，过滤精度120目，材质为304。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13.8保温层材料：硅酸铝，厚度50mm。</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其它附件：</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14.1清洗器：采用1套国产Φ25/360º自动旋转清洗球，能够保证罐内表面任何位置的自动在线清洗，符合GMP规范要求；</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14.2温度表：螺纹连接M27×2，安装于罐的中部，能够保证罐内温度正确可靠，配双金属温度计（量程：0～150°）数量1件；</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14.3压力表：螺纹接口M20×1.5，压力表数量1件；</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14.4视镜：DN80视镜2件；</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14.5防爆视镜灯：配视镜灯1套（弱电）；</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14.6控制箱：用于控制出渣门安全开启与关闭。</w:t>
      </w:r>
    </w:p>
    <w:p>
      <w:pPr>
        <w:spacing w:line="440" w:lineRule="exact"/>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B、3000L提取液储罐</w:t>
      </w:r>
    </w:p>
    <w:p>
      <w:pPr>
        <w:spacing w:line="440" w:lineRule="exact"/>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立式单层支脚安装，椭圆封头；直筒段：ф1400×1700×4㎜，全容积：3.4m³，有效容积：3.0m³。配有：快开人孔，旋转清洗球、玻璃管液位计、压力表、温度计、放空阀、防爆视灯。</w:t>
      </w:r>
    </w:p>
    <w:p>
      <w:pPr>
        <w:spacing w:line="440" w:lineRule="exact"/>
        <w:jc w:val="left"/>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C、单效外循环浓缩器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1.结构形式：由加热器、蒸发器、气液分离器、冷凝收液器、内部连接管道法兰卡箍阀门仪表组成。</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2.容器类别为常压容器。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3.表面处理要求：设备内表面镜面抛光，外表面亚光处理，确保无卫生死角，符合GMP要求。</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4.蒸发量为1000kg/h。</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5.加热器采用列管式换热，材质SUS304，直径Ф500，厚度为4mm，换热面积11㎡。</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6.蒸发器直径为Ф1000mm，材质为304不锈钢，厚度为4mm，下部锥形。罐内设计压力为-0.09Mpa，罐体正面上部分配有1个DN125视镜，下部分大视镜ø350快开人孔。下部与加热器相连的物料管道为ø133。</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7.保温层为硅酸铝，厚度50mm，外层采用2mm/304不锈钢板全封闭全氩弧焊接保温。</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8.冷凝器材质为304不锈钢，立式冷凝器，冷凝面积为13.9㎡，筒体Ф450×1500，厚度为3 mm。</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9.集液罐器全容积为562L，全304不锈钢材质，厚度为3mm。</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10.集液器手动操作排水，在真空连续状态下可以联续排水，减少人工操作。</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11.容器内壁镜面抛光，外表面亚光处理。</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12.配置真空表、温度计、旋转清洗球等相应的阀门仪表。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13.设备尺寸及材质</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13.1加热器加热器壳程：δ=4mm/SUS304，保温筒体δ=2mm/SUS304。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13.2蒸发器内筒体δ=4mm/SUS304，上椭圆封头δ=4mm/SUS304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保温筒体δ=2mm/SUS304，内筒锥体δ=4mm/SUS304，保温锥体δ=2mm/SUS304。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13.3冷却器壳程：筒体δ=3mm/SUS304。</w:t>
      </w:r>
    </w:p>
    <w:p>
      <w:pPr>
        <w:spacing w:line="440" w:lineRule="exact"/>
        <w:ind w:firstLine="482" w:firstLineChars="201"/>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13.4集液罐筒体δ=3mm/SUS304，上下椭圆封头δ=3mm/SUS304，材质为SUS304。</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（4）洗瓶机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为口服液瓶或输液瓶等瓶子的清洗设备，釆用转鼓结构、供瓶盘供瓶、拨轮送瓶的形式。供瓶盘将瓶子整理成列送至拨轮处，二拨轮每转一周把四个瓶子拨进转鼓，转鼓作间歇转动，转鼓上的瓶子随转鼓转动，分别经过回用水冲淋、纯水清洗及净化压缩空气吹淋完成洗瓶。</w:t>
      </w:r>
    </w:p>
    <w:p>
      <w:pPr>
        <w:spacing w:line="360" w:lineRule="auto"/>
        <w:ind w:left="282" w:leftChars="83" w:firstLine="393" w:firstLineChars="164"/>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1、采用转鼓式回转机构，瓶子经轨道定位后实现3</w:t>
      </w:r>
      <w:r>
        <w:rPr>
          <w:rFonts w:cs="宋体" w:asciiTheme="minorEastAsia" w:hAnsiTheme="minorEastAsia" w:eastAsiaTheme="minorEastAsia"/>
          <w:color w:val="auto"/>
          <w:kern w:val="2"/>
          <w:sz w:val="24"/>
          <w:szCs w:val="24"/>
        </w:rPr>
        <w:t>60</w:t>
      </w:r>
      <w:r>
        <w:rPr>
          <w:rFonts w:hint="eastAsia" w:cs="宋体" w:asciiTheme="minorEastAsia" w:hAnsiTheme="minorEastAsia" w:eastAsiaTheme="minorEastAsia"/>
          <w:color w:val="auto"/>
          <w:kern w:val="2"/>
          <w:sz w:val="24"/>
          <w:szCs w:val="24"/>
        </w:rPr>
        <w:t>°翻转，至相应清洗工位，回用水增压至0</w:t>
      </w:r>
      <w:r>
        <w:rPr>
          <w:rFonts w:cs="宋体" w:asciiTheme="minorEastAsia" w:hAnsiTheme="minorEastAsia" w:eastAsiaTheme="minorEastAsia"/>
          <w:color w:val="auto"/>
          <w:kern w:val="2"/>
          <w:sz w:val="24"/>
          <w:szCs w:val="24"/>
        </w:rPr>
        <w:t>.2-0.3M</w:t>
      </w:r>
      <w:r>
        <w:rPr>
          <w:rFonts w:hint="eastAsia" w:cs="宋体" w:asciiTheme="minorEastAsia" w:hAnsiTheme="minorEastAsia" w:eastAsiaTheme="minorEastAsia"/>
          <w:color w:val="auto"/>
          <w:kern w:val="2"/>
          <w:sz w:val="24"/>
          <w:szCs w:val="24"/>
        </w:rPr>
        <w:t>pa一次高压冲洗，纯净水0</w:t>
      </w:r>
      <w:r>
        <w:rPr>
          <w:rFonts w:cs="宋体" w:asciiTheme="minorEastAsia" w:hAnsiTheme="minorEastAsia" w:eastAsiaTheme="minorEastAsia"/>
          <w:color w:val="auto"/>
          <w:kern w:val="2"/>
          <w:sz w:val="24"/>
          <w:szCs w:val="24"/>
        </w:rPr>
        <w:t>.2-0.3M</w:t>
      </w:r>
      <w:r>
        <w:rPr>
          <w:rFonts w:hint="eastAsia" w:cs="宋体" w:asciiTheme="minorEastAsia" w:hAnsiTheme="minorEastAsia" w:eastAsiaTheme="minorEastAsia"/>
          <w:color w:val="auto"/>
          <w:kern w:val="2"/>
          <w:sz w:val="24"/>
          <w:szCs w:val="24"/>
        </w:rPr>
        <w:t>pa二次高压冲洗，洁净压缩空气0</w:t>
      </w:r>
      <w:r>
        <w:rPr>
          <w:rFonts w:cs="宋体" w:asciiTheme="minorEastAsia" w:hAnsiTheme="minorEastAsia" w:eastAsiaTheme="minorEastAsia"/>
          <w:color w:val="auto"/>
          <w:kern w:val="2"/>
          <w:sz w:val="24"/>
          <w:szCs w:val="24"/>
        </w:rPr>
        <w:t>.4-0.7M</w:t>
      </w:r>
      <w:r>
        <w:rPr>
          <w:rFonts w:hint="eastAsia" w:cs="宋体" w:asciiTheme="minorEastAsia" w:hAnsiTheme="minorEastAsia" w:eastAsiaTheme="minorEastAsia"/>
          <w:color w:val="auto"/>
          <w:kern w:val="2"/>
          <w:sz w:val="24"/>
          <w:szCs w:val="24"/>
        </w:rPr>
        <w:t>pa三次高压冲洗，确保每个瓶子清洗充分。</w:t>
      </w:r>
    </w:p>
    <w:p>
      <w:pPr>
        <w:spacing w:line="360" w:lineRule="auto"/>
        <w:ind w:left="360" w:leftChars="106" w:firstLine="360" w:firstLineChars="15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2、设计有循环水系统，纯净水清洗完成后，再经过1</w:t>
      </w:r>
      <w:r>
        <w:rPr>
          <w:rFonts w:cs="宋体" w:asciiTheme="minorEastAsia" w:hAnsiTheme="minorEastAsia" w:eastAsiaTheme="minorEastAsia"/>
          <w:color w:val="auto"/>
          <w:kern w:val="2"/>
          <w:sz w:val="24"/>
          <w:szCs w:val="24"/>
        </w:rPr>
        <w:t>00</w:t>
      </w:r>
      <w:r>
        <w:rPr>
          <w:rFonts w:hint="eastAsia" w:cs="宋体" w:asciiTheme="minorEastAsia" w:hAnsiTheme="minorEastAsia" w:eastAsiaTheme="minorEastAsia"/>
          <w:color w:val="auto"/>
          <w:kern w:val="2"/>
          <w:sz w:val="24"/>
          <w:szCs w:val="24"/>
        </w:rPr>
        <w:t>目滤网过滤后，降级用作回用水，有效节省能源损耗。</w:t>
      </w:r>
    </w:p>
    <w:p>
      <w:pPr>
        <w:spacing w:beforeLines="50" w:afterLines="50" w:line="360" w:lineRule="auto"/>
        <w:ind w:left="709"/>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3、瓶子定位轨道均由激光切割并焊接，定位精准，更换规格方便。</w:t>
      </w:r>
    </w:p>
    <w:p>
      <w:pPr>
        <w:spacing w:beforeLines="50" w:afterLines="50" w:line="360" w:lineRule="auto"/>
        <w:ind w:left="360" w:firstLine="349"/>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4、采用高精度等分结构，可避免离心力，确保长时间使用不会出现磨损间隙。</w:t>
      </w:r>
    </w:p>
    <w:p>
      <w:pPr>
        <w:spacing w:beforeLines="50" w:afterLines="50" w:line="360" w:lineRule="auto"/>
        <w:ind w:firstLine="792" w:firstLineChars="33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5、回用水流量：0.5m³/h　　　　</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 xml:space="preserve">       压力：0.2～0.3MPa</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纯化水耗量：0.5m³/h　　　     压力：0.2～0.3MPa</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净化压缩空气：0.4m³/min　     压力：0.4～0.7MPa</w:t>
      </w:r>
    </w:p>
    <w:p>
      <w:pPr>
        <w:spacing w:beforeLines="50" w:afterLines="50" w:line="360" w:lineRule="auto"/>
        <w:ind w:firstLine="792" w:firstLineChars="33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6、电源：380V　50Hz</w:t>
      </w:r>
      <w:r>
        <w:rPr>
          <w:rFonts w:hint="eastAsia" w:cs="宋体" w:asciiTheme="minorEastAsia" w:hAnsiTheme="minorEastAsia" w:eastAsiaTheme="minorEastAsia"/>
          <w:color w:val="auto"/>
          <w:kern w:val="2"/>
          <w:sz w:val="24"/>
          <w:szCs w:val="24"/>
        </w:rPr>
        <w:tab/>
      </w:r>
      <w:r>
        <w:rPr>
          <w:rFonts w:hint="eastAsia" w:cs="宋体" w:asciiTheme="minorEastAsia" w:hAnsiTheme="minorEastAsia" w:eastAsiaTheme="minorEastAsia"/>
          <w:color w:val="auto"/>
          <w:kern w:val="2"/>
          <w:sz w:val="24"/>
          <w:szCs w:val="24"/>
        </w:rPr>
        <w:t>三相四线制         功率：3Kw</w:t>
      </w:r>
    </w:p>
    <w:p>
      <w:pPr>
        <w:spacing w:beforeLines="50" w:afterLines="50" w:line="360" w:lineRule="auto"/>
        <w:ind w:firstLine="792" w:firstLineChars="33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7、外形尺寸：1900×1200×1500mm</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（5）理瓶机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本机为玻璃瓶或塑料瓶液体灌装生产联动线的辅机，具有储瓶、理瓶之功能。能与灌装机、贴标机联机生产。与后续设备完全配套，同步控制。</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1，本机旋转A3铁板表面应进行校平处理，再覆304不锈钢板。A3板厚度不低于12mm，不锈钢板不低于2mm；</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2，理瓶机出口有一定的可调范围，确保不同瓶型规格可快速切换。</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3，转盘直径≥φ800mm</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4，外形参考尺寸：1300×1000×1200</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（6）不干胶贴签机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能完成口服液瓶、塑料瓶或其它各类圆型瓶子的不干胶贴签。触摸屏操作，PLC全程控制；根据不同的标签，智能检索，确定参数；另引用热打印机头同步打印批号，无瓶不出签、不打印，故障自动停机、显示报警。</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本机抗干扰性强，人性化程度高，性能稳定可靠。</w:t>
      </w:r>
    </w:p>
    <w:p>
      <w:pPr>
        <w:spacing w:beforeLines="50" w:afterLines="50" w:line="360" w:lineRule="auto"/>
        <w:ind w:left="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1、本机出标及进标均采用伺服系统，确保贴标精度，保证贴标效率。</w:t>
      </w:r>
    </w:p>
    <w:p>
      <w:pPr>
        <w:spacing w:beforeLines="50" w:afterLines="50" w:line="360" w:lineRule="auto"/>
        <w:ind w:left="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2、设备含故障报警功能，且有效提示故障点。便于故障检查维护。</w:t>
      </w:r>
    </w:p>
    <w:p>
      <w:pPr>
        <w:spacing w:beforeLines="50" w:afterLines="50" w:line="360" w:lineRule="auto"/>
        <w:ind w:left="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3、智能检索，无瓶不出标，无瓶不贴标。缺色带报警等功能。</w:t>
      </w:r>
    </w:p>
    <w:p>
      <w:pPr>
        <w:spacing w:beforeLines="50" w:afterLines="50" w:line="360" w:lineRule="auto"/>
        <w:ind w:left="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4、含色带打码功能，高频动作选用进口气动元件，保证使用寿命。</w:t>
      </w:r>
    </w:p>
    <w:p>
      <w:pPr>
        <w:spacing w:beforeLines="50" w:afterLines="50" w:line="360" w:lineRule="auto"/>
        <w:ind w:left="42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5、主要技术参数</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生产能力：20～</w:t>
      </w:r>
      <w:r>
        <w:rPr>
          <w:rFonts w:cs="宋体" w:asciiTheme="minorEastAsia" w:hAnsiTheme="minorEastAsia" w:eastAsiaTheme="minorEastAsia"/>
          <w:color w:val="auto"/>
          <w:kern w:val="2"/>
          <w:sz w:val="24"/>
          <w:szCs w:val="24"/>
        </w:rPr>
        <w:t>8</w:t>
      </w:r>
      <w:r>
        <w:rPr>
          <w:rFonts w:hint="eastAsia" w:cs="宋体" w:asciiTheme="minorEastAsia" w:hAnsiTheme="minorEastAsia" w:eastAsiaTheme="minorEastAsia"/>
          <w:color w:val="auto"/>
          <w:kern w:val="2"/>
          <w:sz w:val="24"/>
          <w:szCs w:val="24"/>
        </w:rPr>
        <w:t>0瓶/分</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适用瓶子：圆型瓶子</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贴标精度：±1mm</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标签规格：长10～80mm  宽10～80mm</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标签卷规格：外径350mm   内径76mm</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标签间隙：≥3mm</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气源压力：≥0.4MPa</w:t>
      </w:r>
    </w:p>
    <w:p>
      <w:pPr>
        <w:spacing w:beforeLines="50" w:afterLines="50" w:line="360" w:lineRule="auto"/>
        <w:ind w:left="420" w:firstLine="652" w:firstLineChars="272"/>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贴签率：≥99</w:t>
      </w:r>
      <w:r>
        <w:rPr>
          <w:rFonts w:cs="宋体" w:asciiTheme="minorEastAsia" w:hAnsiTheme="minorEastAsia" w:eastAsiaTheme="minorEastAsia"/>
          <w:color w:val="auto"/>
          <w:kern w:val="2"/>
          <w:sz w:val="24"/>
          <w:szCs w:val="24"/>
        </w:rPr>
        <w:t>.5</w:t>
      </w:r>
      <w:r>
        <w:rPr>
          <w:rFonts w:hint="eastAsia" w:cs="宋体" w:asciiTheme="minorEastAsia" w:hAnsiTheme="minorEastAsia" w:eastAsiaTheme="minorEastAsia"/>
          <w:color w:val="auto"/>
          <w:kern w:val="2"/>
          <w:sz w:val="24"/>
          <w:szCs w:val="24"/>
        </w:rPr>
        <w:t>%</w:t>
      </w:r>
    </w:p>
    <w:p>
      <w:pPr>
        <w:spacing w:beforeLines="50" w:afterLines="50" w:line="360" w:lineRule="auto"/>
        <w:outlineLvl w:val="0"/>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（7）制水机</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双级反渗透纯水设备，由两组级别的RO膜组成。水由砂罐、碳罐、精滤过滤后直接进入RO主机后分离出来的纯水再由高压泵加压后再次进入RO主机，经过第二次分离后使水质变的更纯来供给生产用水点直接使用的系统。一级反渗透纯水设备工作时是原水泵将原水加压经过石英砂过滤器、活性炭过滤器、精密过滤器等，再通过高压泵泵加压经过两组孔径为1/10000μm（相当于大肠杆菌大小的1/6000，病毒的1/300）的反渗透RO膜，使较高浓度的水变为低浓度水，同时将污染物、重金属、细菌、病毒等大量混入水中的杂质全部隔离，水温在25°c左右时出水电导率可保证在0.1~0.055us/cm以内，且反渗透主机的除盐率在99%以上，从而得到至清至纯的纯水。</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1、纯化水系统工艺流程为：原水罐→原水泵→板式换热器→多介质过滤器→活性炭过滤器→保安过滤器→一级高压泵→一级反渗透→二级高压泵→二级反渗透→纯化水罐→纯化水输送泵→紫外灭菌器→用水点→双管板换热器→回水合格不合格切换等组成。另外配有反渗透膜在线化学清洗过滤装置及电锅炉。    </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2、采用自动化控制系统整个系统设计简捷合理、易于操作具有可靠稳定性 。</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3、所有和纯化水直接接触的不锈钢管道采用自动氩弧焊轨道焊接或手动充氩气保护焊。并提供有效的氩气合格证（氩气纯度为：99.999%）。</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4、必须使用卫生级设计的阀门、泵和接口，在微生物控制比较严格的场合禁止使用球阀（二级反渗透出水以后），必须使用隔膜阀。</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对原水、一、二级反渗透产水的电导率(此电导率的值可以设定)进行连续性的监控，带有不合格水排放和自动报警功能；当产品水的电导率低于设定值的时候产品水开始进入纯化水贮罐，当产品水电导率高于设定值的时候产品水要进入原水贮罐。</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6、高压泵采用行业一线品牌多级离心式，泵体过流材质为SUS304，供水流量、扬程满足反渗透膜正常工作要求，水泵采用变频控制减小对膜的冲击。变频器采用西门子或施耐德/ABB等进口知名品牌。</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7、纯化水贮罐配置360度喷洒的喷淋头；电加热型呼吸器，且滤芯孔径为0.22μm，材质为PTFE，采用国内一线品牌。液位自动控制；纯化水采用室温循环贮存。</w:t>
      </w:r>
    </w:p>
    <w:p>
      <w:pPr>
        <w:spacing w:beforeLines="50" w:afterLines="50" w:line="360" w:lineRule="auto"/>
        <w:ind w:firstLine="480" w:firstLineChars="20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8、相关配置说明</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8.1预处理系统：</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石英砂过滤器：过滤罐 Ф400×1650mm</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操作方式：全自动控制</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配置上布水器、下布水器、中心管、精制石英砂、配阀组、连接管</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活性炭过滤器：过滤罐 Ф400×1650mm</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操作方式：全自动控制</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配置上布水器、下布水器、中心管、果壳活性炭、配阀组、连接管、阻垢剂加药系统：配置加药箱、计量泵、阻垢剂</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8.2主机系统：</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精密过滤器20〃5芯，快速拆卸式，含滤芯，低压表</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一级高压泵：</w:t>
      </w:r>
      <w:r>
        <w:rPr>
          <w:rFonts w:cs="宋体" w:asciiTheme="minorEastAsia" w:hAnsiTheme="minorEastAsia" w:eastAsiaTheme="minorEastAsia"/>
          <w:color w:val="auto"/>
          <w:kern w:val="2"/>
          <w:sz w:val="24"/>
          <w:szCs w:val="24"/>
        </w:rPr>
        <w:t>Q=3m3/h  H=104m   2.2KW</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二级高压泵：</w:t>
      </w:r>
      <w:r>
        <w:rPr>
          <w:rFonts w:cs="宋体" w:asciiTheme="minorEastAsia" w:hAnsiTheme="minorEastAsia" w:eastAsiaTheme="minorEastAsia"/>
          <w:color w:val="auto"/>
          <w:kern w:val="2"/>
          <w:sz w:val="24"/>
          <w:szCs w:val="24"/>
        </w:rPr>
        <w:t>Q=2m3/h  H=112m   1.5KW</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一级反渗透装置：压力容器、压力容器管夹、压力容器堵头、膜元件 4040</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二级反渗透装置：压力容器、压力容器管夹、压力容器堵头、膜元件 4040</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包含配件：一级进水压力表、一级浓水压力表、二级进水压力表、二级浓水压力表、一级纯水流量计、一级浓水流量计、二级纯水流量计、二级浓水流量计、一级冲洗电磁阀、二级冲洗电磁阀、一级泵出口调节阀、二级泵出口调节阀、一级废水调节阀、二级废水调节阀。</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8.3电控系统：</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电器元件：电流、电压显示、电机缺相、过载保护、电流过载功能、膜冲洗装置、电流表、电压表、一级水质在线显示仪、二级水质在线显示仪</w:t>
      </w:r>
    </w:p>
    <w:p>
      <w:pPr>
        <w:spacing w:line="360" w:lineRule="auto"/>
        <w:ind w:firstLine="648" w:firstLineChars="270"/>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8.4储水系统：中间纯水箱 1T 无菌，液位显示开关、连接管、1T无菌纯水箱，液位显示开关、连接管</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（8）霉菌培养箱</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立式箱体，由电气控制系统，制冷系统、制热系统、显示系统组成，箱体内部采用高密度聚氨酯整体发泡，具有重量轻、保温性能好等特点。</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智能电脑温度控制器，数码显示、控温精度高。具有高低温报警、温感器故障报警和安全锁功能。</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采用新型全封闭压缩机，运转平衡，噪音低，使用寿命长。</w:t>
      </w:r>
    </w:p>
    <w:p>
      <w:pPr>
        <w:spacing w:beforeLines="50" w:after="50" w:line="360" w:lineRule="auto"/>
        <w:ind w:firstLine="960" w:firstLine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容积≥150L </w:t>
      </w:r>
    </w:p>
    <w:p>
      <w:pPr>
        <w:spacing w:beforeLines="50" w:after="50" w:line="360" w:lineRule="auto"/>
        <w:ind w:firstLine="960" w:firstLine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温度范围：2~48℃</w:t>
      </w:r>
    </w:p>
    <w:p>
      <w:pPr>
        <w:spacing w:beforeLines="50" w:after="50" w:line="360" w:lineRule="auto"/>
        <w:ind w:firstLine="960" w:firstLineChars="4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外形尺寸≥595×570×865mm</w:t>
      </w:r>
    </w:p>
    <w:p>
      <w:pPr>
        <w:spacing w:beforeLines="50" w:after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（9）通用型烘箱</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产品结构为立式箱体，由电气控制系统，制冷系统、加热系统、显示系统组成。</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箱体内部采用高密度聚氨酯整体发泡，保温层厚度合理设计，使设备在高温运行时热量不外传，保温效果好。</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微电脑程序控制温度，数字式显示，读数极为方便，控温精度高。</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采用新型全封闭压缩机，使用寿命长，噪音低。</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安装方式可选。</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箱体内胆为不锈钢材质，外壳均采用优质钢板。</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冷却/加热方式：风冷+发热丝 </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制冷剂：无氟制冷剂</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噪音≤42dB(a)</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功率≤120W</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温度范围：0-100℃</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外形尺寸（宽×深×高）：≥595×570×865mm  </w:t>
      </w:r>
    </w:p>
    <w:p>
      <w:pPr>
        <w:spacing w:beforeLines="50" w:after="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有效容积≥150L</w:t>
      </w:r>
    </w:p>
    <w:p>
      <w:pPr>
        <w:spacing w:before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 xml:space="preserve"> (10) 恒温水浴锅</w:t>
      </w:r>
    </w:p>
    <w:p>
      <w:pPr>
        <w:spacing w:before="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1、选用优质不锈钢水箱，有优越的抗腐蚀性能。</w:t>
      </w:r>
    </w:p>
    <w:p>
      <w:pPr>
        <w:spacing w:before="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2、温控精确，数字显示，自动控温。</w:t>
      </w:r>
    </w:p>
    <w:p>
      <w:pPr>
        <w:spacing w:before="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3、操作简便，使用安全。</w:t>
      </w:r>
    </w:p>
    <w:p>
      <w:pPr>
        <w:spacing w:before="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4、带有磁力搅拌，加速水温均匀。</w:t>
      </w:r>
    </w:p>
    <w:p>
      <w:pPr>
        <w:spacing w:before="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5、孔数：4个；温控范围：室温~100℃；温升速度：至100℃≤70MIN；控温精度：≤±0.5℃。</w:t>
      </w:r>
    </w:p>
    <w:p>
      <w:pPr>
        <w:spacing w:before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（11）制剂室主要设备品牌</w:t>
      </w:r>
    </w:p>
    <w:tbl>
      <w:tblPr>
        <w:tblStyle w:val="69"/>
        <w:tblW w:w="927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520"/>
        <w:gridCol w:w="1880"/>
        <w:gridCol w:w="20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序号</w:t>
            </w:r>
          </w:p>
        </w:tc>
        <w:tc>
          <w:tcPr>
            <w:tcW w:w="2520" w:type="dxa"/>
            <w:vAlign w:val="center"/>
          </w:tcPr>
          <w:p>
            <w:pPr>
              <w:widowControl/>
              <w:spacing w:beforeLines="50" w:afterLines="50"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名     称</w:t>
            </w:r>
          </w:p>
        </w:tc>
        <w:tc>
          <w:tcPr>
            <w:tcW w:w="5840" w:type="dxa"/>
            <w:gridSpan w:val="3"/>
            <w:vAlign w:val="center"/>
          </w:tcPr>
          <w:p>
            <w:pPr>
              <w:widowControl/>
              <w:spacing w:beforeLines="50" w:afterLines="50"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品牌/厂家推荐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252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kern w:val="2"/>
                <w:sz w:val="24"/>
                <w:szCs w:val="24"/>
              </w:rPr>
              <w:t>蒸汽发生器</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新华医疗</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南通联灌</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山东康辉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252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kern w:val="2"/>
                <w:sz w:val="24"/>
                <w:szCs w:val="24"/>
              </w:rPr>
              <w:t>500ml口服液灌装生产线</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鹏进机械</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南通联灌</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贝康制药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252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制水机</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杭州天创</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山东康辉</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南通联灌</w:t>
            </w:r>
          </w:p>
        </w:tc>
      </w:tr>
    </w:tbl>
    <w:p>
      <w:pPr>
        <w:spacing w:beforeLines="50" w:line="360" w:lineRule="auto"/>
        <w:rPr>
          <w:rFonts w:cs="宋体" w:asciiTheme="minorEastAsia" w:hAnsiTheme="minorEastAsia" w:eastAsiaTheme="minorEastAsia"/>
          <w:b/>
          <w:bCs/>
          <w:color w:val="auto"/>
          <w:kern w:val="2"/>
          <w:sz w:val="24"/>
          <w:szCs w:val="24"/>
        </w:rPr>
      </w:pPr>
    </w:p>
    <w:p>
      <w:pPr>
        <w:spacing w:before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3、中心实验室</w:t>
      </w:r>
    </w:p>
    <w:p>
      <w:pPr>
        <w:spacing w:beforeLines="50" w:line="360" w:lineRule="auto"/>
        <w:rPr>
          <w:rFonts w:cs="宋体" w:asciiTheme="minorEastAsia" w:hAnsiTheme="minorEastAsia" w:eastAsiaTheme="minorEastAsia"/>
          <w:b/>
          <w:bCs/>
          <w:color w:val="auto"/>
          <w:kern w:val="2"/>
          <w:sz w:val="24"/>
          <w:szCs w:val="24"/>
        </w:rPr>
      </w:pPr>
      <w:r>
        <w:rPr>
          <w:rFonts w:hint="eastAsia" w:cs="宋体" w:asciiTheme="minorEastAsia" w:hAnsiTheme="minorEastAsia" w:eastAsiaTheme="minorEastAsia"/>
          <w:b/>
          <w:bCs/>
          <w:color w:val="auto"/>
          <w:kern w:val="2"/>
          <w:sz w:val="24"/>
          <w:szCs w:val="24"/>
        </w:rPr>
        <w:t>（1）全钢实验台：</w:t>
      </w:r>
    </w:p>
    <w:p>
      <w:pPr>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产品包括中央台、边台、仪器台等实验室操作台。高度(含调整脚及台面厚度) 除有特别说明者外，为830mm。（具体配置与有关参数，应参照相关设备清单、图纸和技术条款）</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1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①</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color w:val="auto"/>
          <w:kern w:val="2"/>
          <w:sz w:val="24"/>
          <w:szCs w:val="24"/>
        </w:rPr>
        <w:t>台面材料：</w:t>
      </w:r>
    </w:p>
    <w:p>
      <w:pPr>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国内知名品牌≥12.7mm厚实芯双面理化膜台面，台面边缘用同质材料板双层加厚，由专业生产厂家用CNC机械加工而成。为了确保使用者的健康安全，产品需通过国家化学建材质量监督检验中心、SGS等知名检测机构检测，各项性能满足或高于如下要求：</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化学性能--台面板材正反两面需经过国家级检测部门参照GB/T17657-2013人造板及饰面人造板理化性能试验办法(4.41表面耐污染性能测定一方法2中室温24h测试条件)加盖玻片与不加盖玻片进行不少于</w:t>
      </w:r>
      <w:r>
        <w:rPr>
          <w:rFonts w:hint="eastAsia" w:cs="宋体" w:asciiTheme="minorEastAsia" w:hAnsiTheme="minorEastAsia" w:eastAsiaTheme="minorEastAsia"/>
          <w:b/>
          <w:bCs/>
          <w:color w:val="auto"/>
          <w:kern w:val="11"/>
          <w:sz w:val="24"/>
          <w:szCs w:val="24"/>
        </w:rPr>
        <w:t>108</w:t>
      </w:r>
      <w:r>
        <w:rPr>
          <w:rFonts w:hint="eastAsia" w:cs="宋体" w:asciiTheme="minorEastAsia" w:hAnsiTheme="minorEastAsia" w:eastAsiaTheme="minorEastAsia"/>
          <w:color w:val="auto"/>
          <w:kern w:val="11"/>
          <w:sz w:val="24"/>
          <w:szCs w:val="24"/>
        </w:rPr>
        <w:t>项化学试剂及有机溶液检测，硫酸（98%）、氢氟酸（48%）王水、铬酸、高锰酸钾（10%）、等检验结果均为无明显变化，分级结果为“5级”。</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环保性能---台面甲醛释放量检测达到国家标准(GB 18580-2017)E1级的技术指标要求，检测结果为合格，甲醛释放放量检测结果值小于0.08mg/M</w:t>
      </w:r>
      <w:r>
        <w:rPr>
          <w:rFonts w:hint="eastAsia" w:cs="宋体" w:asciiTheme="minorEastAsia" w:hAnsiTheme="minorEastAsia" w:eastAsiaTheme="minorEastAsia"/>
          <w:color w:val="auto"/>
          <w:kern w:val="11"/>
          <w:sz w:val="24"/>
          <w:szCs w:val="24"/>
          <w:vertAlign w:val="superscript"/>
        </w:rPr>
        <w:t>3</w:t>
      </w:r>
      <w:r>
        <w:rPr>
          <w:rFonts w:hint="eastAsia" w:cs="宋体" w:asciiTheme="minorEastAsia" w:hAnsiTheme="minorEastAsia" w:eastAsiaTheme="minorEastAsia"/>
          <w:color w:val="auto"/>
          <w:kern w:val="11"/>
          <w:sz w:val="24"/>
          <w:szCs w:val="24"/>
        </w:rPr>
        <w:t>。</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物理性能-----按照 GB/T 17657-2013的标准及相关的检测方法进行不少于</w:t>
      </w:r>
      <w:r>
        <w:rPr>
          <w:rFonts w:hint="eastAsia" w:cs="宋体" w:asciiTheme="minorEastAsia" w:hAnsiTheme="minorEastAsia" w:eastAsiaTheme="minorEastAsia"/>
          <w:b/>
          <w:bCs/>
          <w:color w:val="auto"/>
          <w:kern w:val="11"/>
          <w:sz w:val="24"/>
          <w:szCs w:val="24"/>
        </w:rPr>
        <w:t>25</w:t>
      </w:r>
      <w:r>
        <w:rPr>
          <w:rFonts w:hint="eastAsia" w:cs="宋体" w:asciiTheme="minorEastAsia" w:hAnsiTheme="minorEastAsia" w:eastAsiaTheme="minorEastAsia"/>
          <w:color w:val="auto"/>
          <w:kern w:val="11"/>
          <w:sz w:val="24"/>
          <w:szCs w:val="24"/>
        </w:rPr>
        <w:t>项检测，结果为：密度≥1.39g/㎝³，24h吸水率≤0.1%，静曲强度大于135MPa，弹性模量≥10320MPa,顺纹抗压强度大于206MPa，表面耐水蒸气性能 5级 无变化，漆膜硬度：＞9H；</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防霉性能：霉菌生长情况0级，抗菌性：不少于11种的菌种检测结果抗菌率&gt;99.9%；</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具有甲醛及三聚氰胺迁移检测报告，结果为未检出；</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经SEFA8-M-2016之 8.1条款49项化学试剂检测，评级结果为0级-无可见变化；</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用ATLAS氙灯老化试验机根据GB/T16422.2-2014标准在满足两种条件的情况下进行1450小时以上氙灯抗老化耐候测试，结果为5级，无明显变化。</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参照US EPA3540C：1996方法，采用GC-MS设备对不少于39项邻苯二甲酸脂进行检测，结果为未检出；</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参照AfPS GS 2019:01PAK方法，采用GC-MS设备对不少于15项多环芳香烃（PAHs15)进行检测，结果为未检出；</w:t>
      </w:r>
    </w:p>
    <w:p>
      <w:pPr>
        <w:spacing w:beforeLines="50" w:line="360" w:lineRule="auto"/>
        <w:ind w:firstLine="480" w:firstLineChars="200"/>
        <w:rPr>
          <w:rFonts w:cs="宋体" w:asciiTheme="minorEastAsia" w:hAnsiTheme="minorEastAsia" w:eastAsiaTheme="minorEastAsia"/>
          <w:color w:val="auto"/>
          <w:kern w:val="11"/>
          <w:sz w:val="24"/>
          <w:szCs w:val="24"/>
        </w:rPr>
      </w:pPr>
      <w:r>
        <w:rPr>
          <w:rFonts w:hint="eastAsia" w:cs="宋体" w:asciiTheme="minorEastAsia" w:hAnsiTheme="minorEastAsia" w:eastAsiaTheme="minorEastAsia"/>
          <w:color w:val="auto"/>
          <w:kern w:val="11"/>
          <w:sz w:val="24"/>
          <w:szCs w:val="24"/>
        </w:rPr>
        <w:t>根据ISO 21702：2019对H1N1、H3N2进行抗病毒活性试验，抗病毒活性率结果≥99.9%。</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2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②</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color w:val="auto"/>
          <w:kern w:val="2"/>
          <w:sz w:val="24"/>
          <w:szCs w:val="24"/>
        </w:rPr>
        <w:t>柜体材料</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柜体为落地式结构，可以单独或组合使用。所有底柜正面应为平装嵌入式结构设计，以避免勾住实验袍等造成意外。所有钣金的表面接缝均应满焊，焊接处均应打磨平整以保持为连续的平滑表面。</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柜体：主框架采用1.0mm厚一级冷轧钢板（SPCCT）经CNC机压成形、焊接制作，表面经磷化处理、“阿克苏诺贝尔”亮面环氧树脂粉末涂装处理（涂层厚度≥75微米）。</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背板：应有必要的开孔，不得于安装现场开孔；外防护层为卡套式，以方便拆装。 </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门板：采用厚1.0mm一级冷轧钢板（SPCCT）经CNC机压成形、焊接制作，表面经磷化处理、“阿克苏诺贝尔”亮面环氧树脂粉末涂装处理（涂层厚度≥75微米）。柜门为双包结构，并且采用矿物质纤维填充隔音。</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柜内层板：采用厚1.0mm一级冷轧钢板（SPCCT）经CNC机压成形、焊接制作，表面经磷化处理、“阿克苏诺贝尔”亮面环氧树脂粉末涂装处理（涂层厚度≥75微米），层板可以上下调节。</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抽屉：采用厚1.0mm一级冷轧钢板（SPCCT）经CNC机压成形、焊接制作，表面经磷化处理、“阿克苏诺贝尔”亮面环氧树脂粉末涂装处理（涂层厚度≥75微米），为四面抽墙一体成型式设计并与抽头锁合，抽头为双层结构，内具隔音材质。</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踢脚板：采用厚1.0mm一级冷轧钢板（SPCCT）经CNC机压成形、焊接制作，表面经“阿克苏诺贝尔”亮面环氧树脂粉末涂装处理（涂层厚度≥75微米）。除正面凹入部分外，两侧需与柜体钢板一体成型，不得以小料拼接烧焊制作，以确保整体承重能力。</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3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③</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color w:val="auto"/>
          <w:kern w:val="2"/>
          <w:sz w:val="24"/>
          <w:szCs w:val="24"/>
        </w:rPr>
        <w:t>试剂架：</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根据布局，按需求配置单面型或双面型两种式样以方便中央台及边台使用试剂架。采用台面安装式设计，以方便配置增减拆装。</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钢制立柱：采用厚1.2mm一级冷轧钢板（SPCCT）经CNC机压成形、焊接制作，表面经磷化处理、“阿克苏诺贝尔”亮面环氧树脂粉末涂装处理（涂层厚度≥75微米）。立柱上具有整排挂孔供活动层板悬挂用，层板上下调节间距每格应小于25mm。立柱与立柱之间距不得超过1500mm，立柱结构可以布线，每隔1.5m配有3个万用电源插座。</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固定片、调节架支撑翼、后挡板：采用优质1.0mm厚宝钢产一级冷轧钢板冲折制作，表面经磷化处理、“阿克苏诺贝尔”亮面环氧树脂粉末涂装处理（涂层厚度≥75微米）。</w:t>
      </w:r>
    </w:p>
    <w:p>
      <w:pPr>
        <w:numPr>
          <w:ilvl w:val="0"/>
          <w:numId w:val="41"/>
        </w:numPr>
        <w:tabs>
          <w:tab w:val="left" w:pos="0"/>
        </w:tabs>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试剂架层板：10mm厚钢化玻璃或1.2mm钢制层板带环氧喷涂，分上下2层，高低可调活动式，层板外缘采用钢板折边挡边或者不锈钢管挡杆。</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4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④</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color w:val="auto"/>
          <w:kern w:val="2"/>
          <w:sz w:val="24"/>
          <w:szCs w:val="24"/>
        </w:rPr>
        <w:t>钢制功能柱：</w:t>
      </w:r>
    </w:p>
    <w:p>
      <w:pPr>
        <w:tabs>
          <w:tab w:val="left" w:pos="1260"/>
        </w:tabs>
        <w:autoSpaceDE w:val="0"/>
        <w:autoSpaceDN w:val="0"/>
        <w:adjustRightInd w:val="0"/>
        <w:spacing w:beforeLines="50" w:line="360" w:lineRule="auto"/>
        <w:jc w:val="left"/>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    采用厚1.2mm一级冷轧钢板（SPCCT）经CNC机压成形、焊接制作，表面经磷化处理、“阿克苏诺贝尔”亮面环氧树脂粉末涂装处理（涂层厚度≥75微米）。功能立柱</w:t>
      </w:r>
      <w:r>
        <w:rPr>
          <w:rFonts w:hint="eastAsia" w:cs="宋体" w:asciiTheme="minorEastAsia" w:hAnsiTheme="minorEastAsia" w:eastAsiaTheme="minorEastAsia"/>
          <w:color w:val="auto"/>
          <w:sz w:val="24"/>
          <w:szCs w:val="24"/>
        </w:rPr>
        <w:t>应有足够的内部空间及必要的开孔，以便通过及容纳实验台需要的公用系统管线及相关配件，管线槽内的强电/弱电/水/气等应具各自独立的区隔。高度根据现场情况从天花接至实验台台面。</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5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⑤</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color w:val="auto"/>
          <w:kern w:val="2"/>
          <w:sz w:val="24"/>
          <w:szCs w:val="24"/>
        </w:rPr>
        <w:t>五金及配件：</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抽屉滑轨：采用三节托底式阻尼滑轨，表面经防蚀处理，具止落装置。滑轨50000次抽拉试验。抽屉应易于拆卸，允许抽屉互换。</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铰链：采用不锈钢优质铰链，应有三度空间微调位置功能，以调整门板的间隙。铰链需通过国际标准ANSI /BIFMA，50000次拉开测试。</w:t>
      </w:r>
    </w:p>
    <w:p>
      <w:pPr>
        <w:tabs>
          <w:tab w:val="left" w:pos="0"/>
        </w:tabs>
        <w:spacing w:beforeLines="50" w:line="360" w:lineRule="auto"/>
        <w:ind w:left="680" w:left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把手：一体成型折弯把手。</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（2）通风柜：</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1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①</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台下柜体：</w:t>
      </w:r>
      <w:r>
        <w:rPr>
          <w:rFonts w:hint="eastAsia" w:cs="宋体" w:asciiTheme="minorEastAsia" w:hAnsiTheme="minorEastAsia" w:eastAsiaTheme="minorEastAsia"/>
          <w:color w:val="auto"/>
          <w:kern w:val="2"/>
          <w:sz w:val="24"/>
          <w:szCs w:val="24"/>
        </w:rPr>
        <w:t>一级冷轧钢板</w:t>
      </w:r>
      <w:r>
        <w:rPr>
          <w:rFonts w:hint="eastAsia" w:cs="宋体" w:asciiTheme="minorEastAsia" w:hAnsiTheme="minorEastAsia" w:eastAsiaTheme="minorEastAsia"/>
          <w:bCs/>
          <w:color w:val="auto"/>
          <w:kern w:val="2"/>
          <w:sz w:val="24"/>
          <w:szCs w:val="24"/>
        </w:rPr>
        <w:t>，钢板厚度1.0mm，经磷化、酸洗后喷涂</w:t>
      </w:r>
      <w:r>
        <w:rPr>
          <w:rFonts w:hint="eastAsia" w:cs="宋体" w:asciiTheme="minorEastAsia" w:hAnsiTheme="minorEastAsia" w:eastAsiaTheme="minorEastAsia"/>
          <w:color w:val="auto"/>
          <w:kern w:val="2"/>
          <w:sz w:val="24"/>
          <w:szCs w:val="24"/>
        </w:rPr>
        <w:t>“阿克苏诺贝尔”亮面环氧树脂粉末</w:t>
      </w:r>
      <w:r>
        <w:rPr>
          <w:rFonts w:hint="eastAsia" w:cs="宋体" w:asciiTheme="minorEastAsia" w:hAnsiTheme="minorEastAsia" w:eastAsiaTheme="minorEastAsia"/>
          <w:bCs/>
          <w:color w:val="auto"/>
          <w:kern w:val="2"/>
          <w:sz w:val="24"/>
          <w:szCs w:val="24"/>
        </w:rPr>
        <w:t>（厚度80-100微米），再经高温烘烤固化，表面硬度、耐腐蚀性极强，适用于化学实验室。其特点坚固承重。</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2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②</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导流板（内衬旁板）：采用5mm厚抗倍特板板（部分采用5mm厚陶瓷纤维板），最佳安装位置与角度使排气分布均匀，不产生死角。三段式导流板设计控制有害气体浓度小于0.5ml/M</w:t>
      </w:r>
      <w:r>
        <w:rPr>
          <w:rFonts w:hint="eastAsia" w:cs="宋体" w:asciiTheme="minorEastAsia" w:hAnsiTheme="minorEastAsia" w:eastAsiaTheme="minorEastAsia"/>
          <w:bCs/>
          <w:color w:val="auto"/>
          <w:kern w:val="2"/>
          <w:sz w:val="24"/>
          <w:szCs w:val="24"/>
          <w:vertAlign w:val="superscript"/>
        </w:rPr>
        <w:t>3</w:t>
      </w:r>
      <w:r>
        <w:rPr>
          <w:rFonts w:hint="eastAsia" w:cs="宋体" w:asciiTheme="minorEastAsia" w:hAnsiTheme="minorEastAsia" w:eastAsiaTheme="minorEastAsia"/>
          <w:bCs/>
          <w:color w:val="auto"/>
          <w:kern w:val="2"/>
          <w:sz w:val="24"/>
          <w:szCs w:val="24"/>
        </w:rPr>
        <w:t>的性能指标分别从不同的段区排出，确保无残留气体存在。导流板可由柜内轻易拆下清理、检修及复原。</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3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③</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台面：采用20mm厚陶瓷台面，四周5mm一体成型阻水边，具有耐酸碱、耐腐蚀、耐高温等特点。</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4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④</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玻璃移动门：5mm厚钢化透明白玻璃，采用同步带式无段式平衡砝码设计，视窗可停留在任一位置。</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5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⑤</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水龙头：采用优质品牌实验室专用PP小杯槽，颜色为黑色。实验室专用铜质白色烤漆，进口陶瓷阀芯靠边的水龙头。</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6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⑥</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其他：220V、10A万用插座，化验室专用单联上水咀及下水，设置三防式日光灯，功率：30W。PP水槽及其他功能的配制。</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fldChar w:fldCharType="begin"/>
      </w:r>
      <w:r>
        <w:rPr>
          <w:rFonts w:hint="eastAsia" w:cs="宋体" w:asciiTheme="minorEastAsia" w:hAnsiTheme="minorEastAsia" w:eastAsiaTheme="minorEastAsia"/>
          <w:bCs/>
          <w:color w:val="auto"/>
          <w:kern w:val="2"/>
          <w:sz w:val="24"/>
          <w:szCs w:val="24"/>
        </w:rPr>
        <w:instrText xml:space="preserve"> = 7 \* GB3 </w:instrText>
      </w:r>
      <w:r>
        <w:rPr>
          <w:rFonts w:hint="eastAsia" w:cs="宋体" w:asciiTheme="minorEastAsia" w:hAnsiTheme="minorEastAsia" w:eastAsiaTheme="minorEastAsia"/>
          <w:bCs/>
          <w:color w:val="auto"/>
          <w:kern w:val="2"/>
          <w:sz w:val="24"/>
          <w:szCs w:val="24"/>
        </w:rPr>
        <w:fldChar w:fldCharType="separate"/>
      </w:r>
      <w:r>
        <w:rPr>
          <w:rFonts w:hint="eastAsia" w:cs="宋体" w:asciiTheme="minorEastAsia" w:hAnsiTheme="minorEastAsia" w:eastAsiaTheme="minorEastAsia"/>
          <w:bCs/>
          <w:color w:val="auto"/>
          <w:kern w:val="2"/>
          <w:sz w:val="24"/>
          <w:szCs w:val="24"/>
        </w:rPr>
        <w:t>⑦</w:t>
      </w:r>
      <w:r>
        <w:rPr>
          <w:rFonts w:hint="eastAsia" w:cs="宋体" w:asciiTheme="minorEastAsia" w:hAnsiTheme="minorEastAsia" w:eastAsiaTheme="minorEastAsia"/>
          <w:bCs/>
          <w:color w:val="auto"/>
          <w:kern w:val="2"/>
          <w:sz w:val="24"/>
          <w:szCs w:val="24"/>
        </w:rPr>
        <w:fldChar w:fldCharType="end"/>
      </w:r>
      <w:r>
        <w:rPr>
          <w:rFonts w:hint="eastAsia" w:cs="宋体" w:asciiTheme="minorEastAsia" w:hAnsiTheme="minorEastAsia" w:eastAsiaTheme="minorEastAsia"/>
          <w:bCs/>
          <w:color w:val="auto"/>
          <w:kern w:val="2"/>
          <w:sz w:val="24"/>
          <w:szCs w:val="24"/>
        </w:rPr>
        <w:t>技术指标：</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a、工作面风速：0.5m/s±20%。</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b、排风量：350～1350m</w:t>
      </w:r>
      <w:r>
        <w:rPr>
          <w:rFonts w:hint="eastAsia" w:cs="宋体" w:asciiTheme="minorEastAsia" w:hAnsiTheme="minorEastAsia" w:eastAsiaTheme="minorEastAsia"/>
          <w:bCs/>
          <w:color w:val="auto"/>
          <w:kern w:val="2"/>
          <w:sz w:val="24"/>
          <w:szCs w:val="24"/>
          <w:vertAlign w:val="superscript"/>
        </w:rPr>
        <w:t>3</w:t>
      </w:r>
      <w:r>
        <w:rPr>
          <w:rFonts w:hint="eastAsia" w:cs="宋体" w:asciiTheme="minorEastAsia" w:hAnsiTheme="minorEastAsia" w:eastAsiaTheme="minorEastAsia"/>
          <w:bCs/>
          <w:color w:val="auto"/>
          <w:kern w:val="2"/>
          <w:sz w:val="24"/>
          <w:szCs w:val="24"/>
        </w:rPr>
        <w:t>/h。</w:t>
      </w:r>
    </w:p>
    <w:p>
      <w:pPr>
        <w:spacing w:beforeLines="50" w:line="360" w:lineRule="auto"/>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c、工作电压：AC220V～380V。</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（3）气瓶柜：</w:t>
      </w:r>
    </w:p>
    <w:p>
      <w:pPr>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sz w:val="24"/>
          <w:szCs w:val="24"/>
        </w:rPr>
        <w:t>尺寸：L900*D450*H1800mm</w:t>
      </w:r>
    </w:p>
    <w:p>
      <w:pPr>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bCs/>
          <w:color w:val="auto"/>
          <w:kern w:val="2"/>
          <w:sz w:val="24"/>
          <w:szCs w:val="24"/>
        </w:rPr>
        <w:t>柜体、门板：</w:t>
      </w:r>
      <w:r>
        <w:rPr>
          <w:rFonts w:hint="eastAsia" w:cs="宋体" w:asciiTheme="minorEastAsia" w:hAnsiTheme="minorEastAsia" w:eastAsiaTheme="minorEastAsia"/>
          <w:color w:val="auto"/>
          <w:kern w:val="2"/>
          <w:sz w:val="24"/>
          <w:szCs w:val="24"/>
        </w:rPr>
        <w:t>采用1.0mm厚一级冷轧钢板（SPCCT）经CNC机压成形、焊接制作，表面经磷化处理、“阿克苏诺贝尔”亮面环氧树脂粉末涂装处理（涂层厚度≥75微米）。视窗采用5mm厚钢化玻璃；配有气瓶固定架。</w:t>
      </w:r>
    </w:p>
    <w:p>
      <w:pPr>
        <w:spacing w:before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（4）货架</w:t>
      </w:r>
    </w:p>
    <w:p>
      <w:pPr>
        <w:tabs>
          <w:tab w:val="left" w:pos="840"/>
        </w:tabs>
        <w:autoSpaceDE w:val="0"/>
        <w:autoSpaceDN w:val="0"/>
        <w:adjustRightInd w:val="0"/>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每组货架均应为完整独立的落地型全钢制框架结构设计；</w:t>
      </w:r>
    </w:p>
    <w:p>
      <w:pPr>
        <w:tabs>
          <w:tab w:val="left" w:pos="840"/>
        </w:tabs>
        <w:autoSpaceDE w:val="0"/>
        <w:autoSpaceDN w:val="0"/>
        <w:adjustRightInd w:val="0"/>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立柱采用38*38*1.5mm厚等边角钢双边冲孔制作而成，表面经环氧树脂静电喷涂；</w:t>
      </w:r>
    </w:p>
    <w:p>
      <w:pPr>
        <w:tabs>
          <w:tab w:val="left" w:pos="840"/>
        </w:tabs>
        <w:autoSpaceDE w:val="0"/>
        <w:autoSpaceDN w:val="0"/>
        <w:adjustRightInd w:val="0"/>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层板：4层，采用0.7mm厚钢板按照所需尺寸四边折弯制作而成，表面经过喷塑处理，耐腐蚀；层板荷重至少150公斤/每层。</w:t>
      </w:r>
    </w:p>
    <w:p>
      <w:pPr>
        <w:tabs>
          <w:tab w:val="left" w:pos="840"/>
        </w:tabs>
        <w:autoSpaceDE w:val="0"/>
        <w:autoSpaceDN w:val="0"/>
        <w:adjustRightInd w:val="0"/>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支柱具整排挂孔供活动层板悬挂用，挂孔上下调节间距约50mm；</w:t>
      </w:r>
    </w:p>
    <w:p>
      <w:pPr>
        <w:spacing w:before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（5）其它配件要求</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1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①</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b/>
          <w:color w:val="auto"/>
          <w:kern w:val="2"/>
          <w:sz w:val="24"/>
          <w:szCs w:val="24"/>
        </w:rPr>
        <w:t>水槽/杯槽：</w:t>
      </w:r>
    </w:p>
    <w:p>
      <w:pPr>
        <w:spacing w:beforeLines="50" w:line="360" w:lineRule="auto"/>
        <w:ind w:firstLine="470" w:firstLineChars="19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采用高密度黑色PP一体成型，耐强腐蚀；受力边厚可达7mm，平整不变形；槽沿表面处理为皮纹，耐刻；水槽底部有泄水坡度及提笼式落水头，可将废水完全排出。</w:t>
      </w:r>
    </w:p>
    <w:p>
      <w:pPr>
        <w:tabs>
          <w:tab w:val="left" w:pos="0"/>
        </w:tabs>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配件：下水管安装PP防虹吸瓶式存水器。</w:t>
      </w:r>
    </w:p>
    <w:p>
      <w:pPr>
        <w:tabs>
          <w:tab w:val="left" w:pos="0"/>
        </w:tabs>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颜色：黑色。</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fldChar w:fldCharType="begin"/>
      </w:r>
      <w:r>
        <w:rPr>
          <w:rFonts w:hint="eastAsia" w:cs="宋体" w:asciiTheme="minorEastAsia" w:hAnsiTheme="minorEastAsia" w:eastAsiaTheme="minorEastAsia"/>
          <w:b/>
          <w:color w:val="auto"/>
          <w:kern w:val="2"/>
          <w:sz w:val="24"/>
          <w:szCs w:val="24"/>
        </w:rPr>
        <w:instrText xml:space="preserve"> = 2 \* GB3 </w:instrText>
      </w:r>
      <w:r>
        <w:rPr>
          <w:rFonts w:hint="eastAsia" w:cs="宋体" w:asciiTheme="minorEastAsia" w:hAnsiTheme="minorEastAsia" w:eastAsiaTheme="minorEastAsia"/>
          <w:b/>
          <w:color w:val="auto"/>
          <w:kern w:val="2"/>
          <w:sz w:val="24"/>
          <w:szCs w:val="24"/>
        </w:rPr>
        <w:fldChar w:fldCharType="separate"/>
      </w:r>
      <w:r>
        <w:rPr>
          <w:rFonts w:hint="eastAsia" w:cs="宋体" w:asciiTheme="minorEastAsia" w:hAnsiTheme="minorEastAsia" w:eastAsiaTheme="minorEastAsia"/>
          <w:b/>
          <w:color w:val="auto"/>
          <w:kern w:val="2"/>
          <w:sz w:val="24"/>
          <w:szCs w:val="24"/>
        </w:rPr>
        <w:t>②</w:t>
      </w:r>
      <w:r>
        <w:rPr>
          <w:rFonts w:hint="eastAsia" w:cs="宋体" w:asciiTheme="minorEastAsia" w:hAnsiTheme="minorEastAsia" w:eastAsiaTheme="minorEastAsia"/>
          <w:b/>
          <w:color w:val="auto"/>
          <w:kern w:val="2"/>
          <w:sz w:val="24"/>
          <w:szCs w:val="24"/>
        </w:rPr>
        <w:fldChar w:fldCharType="end"/>
      </w:r>
      <w:r>
        <w:rPr>
          <w:rFonts w:hint="eastAsia" w:cs="宋体" w:asciiTheme="minorEastAsia" w:hAnsiTheme="minorEastAsia" w:eastAsiaTheme="minorEastAsia"/>
          <w:b/>
          <w:color w:val="auto"/>
          <w:kern w:val="2"/>
          <w:sz w:val="24"/>
          <w:szCs w:val="24"/>
        </w:rPr>
        <w:t>三口水龙头：</w:t>
      </w:r>
    </w:p>
    <w:p>
      <w:pPr>
        <w:spacing w:beforeLines="50" w:line="360" w:lineRule="auto"/>
        <w:ind w:firstLine="470" w:firstLineChars="19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加厚铜质；高亮度环氧树脂涂层，耐腐蚀、耐热，防紫外线辐射；90度旋转陶瓷阀芯，使用寿命开关50万次，静态最大耐压20巴。</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fldChar w:fldCharType="begin"/>
      </w:r>
      <w:r>
        <w:rPr>
          <w:rFonts w:hint="eastAsia" w:cs="宋体" w:asciiTheme="minorEastAsia" w:hAnsiTheme="minorEastAsia" w:eastAsiaTheme="minorEastAsia"/>
          <w:b/>
          <w:color w:val="auto"/>
          <w:kern w:val="2"/>
          <w:sz w:val="24"/>
          <w:szCs w:val="24"/>
        </w:rPr>
        <w:instrText xml:space="preserve"> = 3 \* GB3 </w:instrText>
      </w:r>
      <w:r>
        <w:rPr>
          <w:rFonts w:hint="eastAsia" w:cs="宋体" w:asciiTheme="minorEastAsia" w:hAnsiTheme="minorEastAsia" w:eastAsiaTheme="minorEastAsia"/>
          <w:b/>
          <w:color w:val="auto"/>
          <w:kern w:val="2"/>
          <w:sz w:val="24"/>
          <w:szCs w:val="24"/>
        </w:rPr>
        <w:fldChar w:fldCharType="separate"/>
      </w:r>
      <w:r>
        <w:rPr>
          <w:rFonts w:hint="eastAsia" w:cs="宋体" w:asciiTheme="minorEastAsia" w:hAnsiTheme="minorEastAsia" w:eastAsiaTheme="minorEastAsia"/>
          <w:b/>
          <w:color w:val="auto"/>
          <w:kern w:val="2"/>
          <w:sz w:val="24"/>
          <w:szCs w:val="24"/>
        </w:rPr>
        <w:t>③</w:t>
      </w:r>
      <w:r>
        <w:rPr>
          <w:rFonts w:hint="eastAsia" w:cs="宋体" w:asciiTheme="minorEastAsia" w:hAnsiTheme="minorEastAsia" w:eastAsiaTheme="minorEastAsia"/>
          <w:b/>
          <w:color w:val="auto"/>
          <w:kern w:val="2"/>
          <w:sz w:val="24"/>
          <w:szCs w:val="24"/>
        </w:rPr>
        <w:fldChar w:fldCharType="end"/>
      </w:r>
      <w:r>
        <w:rPr>
          <w:rFonts w:hint="eastAsia" w:cs="宋体" w:asciiTheme="minorEastAsia" w:hAnsiTheme="minorEastAsia" w:eastAsiaTheme="minorEastAsia"/>
          <w:b/>
          <w:color w:val="auto"/>
          <w:kern w:val="2"/>
          <w:sz w:val="24"/>
          <w:szCs w:val="24"/>
        </w:rPr>
        <w:t>感应龙头：</w:t>
      </w:r>
    </w:p>
    <w:p>
      <w:pPr>
        <w:spacing w:beforeLines="50" w:line="360" w:lineRule="auto"/>
        <w:ind w:firstLine="484" w:firstLineChars="202"/>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bCs/>
          <w:color w:val="auto"/>
          <w:kern w:val="2"/>
          <w:sz w:val="24"/>
          <w:szCs w:val="24"/>
        </w:rPr>
        <w:t>360°出水管自由旋转，SUS304不锈钢全铜阀芯片。</w:t>
      </w:r>
    </w:p>
    <w:p>
      <w:pPr>
        <w:spacing w:beforeLines="50" w:line="360" w:lineRule="auto"/>
        <w:ind w:firstLine="484" w:firstLineChars="202"/>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红外线工艺，感应技术，内置红外线感应控制盒精密芯片，交流供电方式。</w:t>
      </w:r>
    </w:p>
    <w:p>
      <w:pPr>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sz w:val="24"/>
          <w:szCs w:val="24"/>
        </w:rPr>
        <w:t>旋转鹅颈高度不低于27cm。</w:t>
      </w:r>
    </w:p>
    <w:p>
      <w:pPr>
        <w:spacing w:beforeLines="50" w:line="360" w:lineRule="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4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④</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b/>
          <w:color w:val="auto"/>
          <w:kern w:val="2"/>
          <w:sz w:val="24"/>
          <w:szCs w:val="24"/>
        </w:rPr>
        <w:t>台上式单口洗眼器：</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高亮度环氧树脂喷涂层、耐腐蚀、耐热、防紫外线辐射。</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喷淋头：软性橡胶，出水轻缓压处理呈泡壮水柱，防止冲伤眼睛。</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防层盖：ABS材质，使用时自动被水冲开。</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手柄：内铜制，外PP。</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金属环扣：具锁定水流功能，方便使用。</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控水阀：加厚铜制，高密度PP手把，其闭门可自动关闭。</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供水软管：长度1.5米，软件PVC管外覆不锈钢网。</w:t>
      </w:r>
    </w:p>
    <w:p>
      <w:pPr>
        <w:tabs>
          <w:tab w:val="left" w:pos="0"/>
        </w:tabs>
        <w:spacing w:beforeLines="50" w:line="360" w:lineRule="auto"/>
        <w:ind w:firstLine="484" w:firstLineChars="202"/>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最大耐水压：18kg。</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5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⑤</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b/>
          <w:color w:val="auto"/>
          <w:kern w:val="2"/>
          <w:sz w:val="24"/>
          <w:szCs w:val="24"/>
        </w:rPr>
        <w:t xml:space="preserve">紧急冲淋洗眼器: </w:t>
      </w:r>
    </w:p>
    <w:p>
      <w:pPr>
        <w:spacing w:beforeLines="50" w:line="360" w:lineRule="auto"/>
        <w:ind w:firstLine="470" w:firstLineChars="196"/>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 xml:space="preserve">主体为不锈钢烤漆；冲淋器由不锈钢入水管、304不锈钢球阀开关、不锈钢拉杆和304不锈钢冲淋头组成；SUS304不锈钢洗眼盘，加厚铜质洗眼喷头，内置不锈钢过滤网，可过滤水中杂物。设备总高2175mm，花洒操作高度为1480mm，花洒头直径225mm </w:t>
      </w:r>
    </w:p>
    <w:p>
      <w:pPr>
        <w:spacing w:beforeLines="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6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⑥</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b/>
          <w:color w:val="auto"/>
          <w:kern w:val="2"/>
          <w:sz w:val="24"/>
          <w:szCs w:val="24"/>
        </w:rPr>
        <w:t>电源插座：</w:t>
      </w:r>
    </w:p>
    <w:p>
      <w:pPr>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五孔电源插座，86型，220V/10A~16A（含电线、PVC线管，具体按设计）；</w:t>
      </w:r>
    </w:p>
    <w:p>
      <w:pPr>
        <w:tabs>
          <w:tab w:val="left" w:pos="1260"/>
        </w:tabs>
        <w:spacing w:beforeLines="50" w:line="360" w:lineRule="auto"/>
        <w:rPr>
          <w:rFonts w:cs="宋体" w:asciiTheme="minorEastAsia" w:hAnsiTheme="minorEastAsia" w:eastAsiaTheme="minorEastAsia"/>
          <w:color w:val="auto"/>
          <w:kern w:val="2"/>
          <w:sz w:val="24"/>
          <w:szCs w:val="24"/>
          <w:lang w:val="zh-CN"/>
        </w:rPr>
      </w:pPr>
      <w:r>
        <w:rPr>
          <w:rFonts w:hint="eastAsia" w:cs="宋体" w:asciiTheme="minorEastAsia" w:hAnsiTheme="minorEastAsia" w:eastAsiaTheme="minorEastAsia"/>
          <w:color w:val="auto"/>
          <w:kern w:val="2"/>
          <w:sz w:val="24"/>
          <w:szCs w:val="24"/>
        </w:rPr>
        <w:fldChar w:fldCharType="begin"/>
      </w:r>
      <w:r>
        <w:rPr>
          <w:rFonts w:hint="eastAsia" w:cs="宋体" w:asciiTheme="minorEastAsia" w:hAnsiTheme="minorEastAsia" w:eastAsiaTheme="minorEastAsia"/>
          <w:color w:val="auto"/>
          <w:kern w:val="2"/>
          <w:sz w:val="24"/>
          <w:szCs w:val="24"/>
        </w:rPr>
        <w:instrText xml:space="preserve"> = 7 \* GB3 </w:instrText>
      </w:r>
      <w:r>
        <w:rPr>
          <w:rFonts w:hint="eastAsia" w:cs="宋体" w:asciiTheme="minorEastAsia" w:hAnsiTheme="minorEastAsia" w:eastAsiaTheme="minorEastAsia"/>
          <w:color w:val="auto"/>
          <w:kern w:val="2"/>
          <w:sz w:val="24"/>
          <w:szCs w:val="24"/>
        </w:rPr>
        <w:fldChar w:fldCharType="separate"/>
      </w:r>
      <w:r>
        <w:rPr>
          <w:rFonts w:hint="eastAsia" w:cs="宋体" w:asciiTheme="minorEastAsia" w:hAnsiTheme="minorEastAsia" w:eastAsiaTheme="minorEastAsia"/>
          <w:color w:val="auto"/>
          <w:kern w:val="2"/>
          <w:sz w:val="24"/>
          <w:szCs w:val="24"/>
        </w:rPr>
        <w:t>⑦</w:t>
      </w:r>
      <w:r>
        <w:rPr>
          <w:rFonts w:hint="eastAsia" w:cs="宋体" w:asciiTheme="minorEastAsia" w:hAnsiTheme="minorEastAsia" w:eastAsiaTheme="minorEastAsia"/>
          <w:color w:val="auto"/>
          <w:kern w:val="2"/>
          <w:sz w:val="24"/>
          <w:szCs w:val="24"/>
        </w:rPr>
        <w:fldChar w:fldCharType="end"/>
      </w:r>
      <w:r>
        <w:rPr>
          <w:rFonts w:hint="eastAsia" w:cs="宋体" w:asciiTheme="minorEastAsia" w:hAnsiTheme="minorEastAsia" w:eastAsiaTheme="minorEastAsia"/>
          <w:b/>
          <w:bCs/>
          <w:color w:val="auto"/>
          <w:kern w:val="2"/>
          <w:sz w:val="24"/>
          <w:szCs w:val="24"/>
        </w:rPr>
        <w:t>岛型插座盒：</w:t>
      </w:r>
    </w:p>
    <w:p>
      <w:pPr>
        <w:tabs>
          <w:tab w:val="left" w:pos="0"/>
        </w:tabs>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应以1.0mm厚冷轧钢板制作,表面经环氧树脂粉体烤漆处理；</w:t>
      </w:r>
    </w:p>
    <w:p>
      <w:pPr>
        <w:tabs>
          <w:tab w:val="left" w:pos="0"/>
        </w:tabs>
        <w:spacing w:beforeLines="50" w:line="360" w:lineRule="auto"/>
        <w:ind w:firstLine="480" w:firstLineChars="20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插座盒为仰角设计以方便使用；</w:t>
      </w:r>
      <w:bookmarkEnd w:id="29"/>
    </w:p>
    <w:p>
      <w:pPr>
        <w:spacing w:beforeLines="50" w:line="360" w:lineRule="auto"/>
        <w:outlineLvl w:val="0"/>
        <w:rPr>
          <w:rFonts w:cs="宋体" w:asciiTheme="minorEastAsia" w:hAnsiTheme="minorEastAsia" w:eastAsiaTheme="minorEastAsia"/>
          <w:b/>
          <w:color w:val="auto"/>
          <w:kern w:val="2"/>
          <w:sz w:val="24"/>
          <w:szCs w:val="24"/>
        </w:rPr>
      </w:pPr>
      <w:bookmarkStart w:id="30" w:name="_Toc425156135"/>
      <w:bookmarkEnd w:id="30"/>
      <w:r>
        <w:rPr>
          <w:rFonts w:hint="eastAsia" w:cs="宋体" w:asciiTheme="minorEastAsia" w:hAnsiTheme="minorEastAsia" w:eastAsiaTheme="minorEastAsia"/>
          <w:b/>
          <w:color w:val="auto"/>
          <w:kern w:val="2"/>
          <w:sz w:val="24"/>
          <w:szCs w:val="24"/>
        </w:rPr>
        <w:t>（6）中心实验室真空烘箱参数</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最高温度可达200℃</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夹层加热方式，真空夹层和其他与触媒接触的元件全部采用不锈钢材料，抗腐蚀</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体积 25L，紧凑型设计，节省空间</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*最大真空度1×10-2mbar</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*标配2块隔板, 每块隔板最大承重20kg</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*温度均一性≤±4℃（at 200℃下）</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配有惰性气体连接口, 可控制箱体内气氛环境</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带有可调节温度保护, 可以根据样品设置温度报警</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双层安全玻璃门，在烘箱使用寿命内都有防爆功能</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标配的断流器可实时保护烘箱和样品</w:t>
      </w:r>
    </w:p>
    <w:p>
      <w:pPr>
        <w:pStyle w:val="108"/>
        <w:numPr>
          <w:ilvl w:val="0"/>
          <w:numId w:val="42"/>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配置：真空干燥箱、真空泵</w:t>
      </w:r>
    </w:p>
    <w:p>
      <w:pPr>
        <w:spacing w:beforeLines="50" w:line="360" w:lineRule="auto"/>
        <w:outlineLvl w:val="0"/>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（7）中心实验室通用型烘箱</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最高温度可达250℃；</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*体积≥104L；</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采用微处理控制温度, 大屏幕数字显示；</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隔板最大承重25kg；</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*温度均一度≤±2.5℃（at 150℃）</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*温度稳定性≤±0.3℃（at 150℃）</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可两台叠放使用</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箱体内部不锈钢材质为1.4016，圆角设计</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自动超温报警系统</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*自带校正功能</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*机械对流循环功能</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可以实现定时运行或连续运行</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可以调节空气进气口大小和排气口大小</w:t>
      </w:r>
    </w:p>
    <w:p>
      <w:pPr>
        <w:pStyle w:val="108"/>
        <w:numPr>
          <w:ilvl w:val="0"/>
          <w:numId w:val="43"/>
        </w:numPr>
        <w:tabs>
          <w:tab w:val="left" w:pos="0"/>
        </w:tabs>
        <w:spacing w:beforeLines="50" w:line="360" w:lineRule="auto"/>
        <w:ind w:left="0" w:firstLine="420" w:firstLineChars="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*带有RS232数据接口</w:t>
      </w:r>
    </w:p>
    <w:p>
      <w:pPr>
        <w:spacing w:beforeLines="50" w:after="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（8）中心实验室全波长酶标仪参数</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用途：适于酶活性实验，蛋白浓度测定、核酸浓度测定、ELISA、细胞增殖和凋亡、动力学检测、内毒素检测、细菌生长曲线测定</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光源：氙灯</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波长选择：光栅</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★波长范围：200-1000nm，1nm步进</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★带宽&lt; 2.6nm</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读数范围：最大可达4个Abs</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线性@450nm：0-2.5 Abs，2%</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准确性@450nm：1.0% + 0.003Abs（0-2.0 Abs），2.0%（2.0-2.5 Abs）</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精确性@450nm：SD &lt; 0.003Abs 或 CV &lt; 1.0%</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★7英寸图形化超灵敏触摸屏，8种语言，含中文操作界面，支持U盘数据导出以及Cloud数据云分享</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具有自动光程校准功能，无需软件，单机可自动输出校准数据</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★整板测量速度：96孔板：6s，384孔板：10s</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★波长扫描速度：10s，200-1000nm，1nm步进</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温度范围：标配孵育器，室温至45℃</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振荡器：振荡模式，振荡速度，振荡时间可调</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与自动化系统兼容，可扩展至高通量自动化检测系统，无需人工干预</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标准配套软件：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1）仪器控制和高级分析功能二合一，实时显示运行结果，一键选择列表、板布局等多种直观数据显示方式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★2）中文、英文、西班牙语等8种语言选择设置，Windows 直观界面，图标按钮显示基于 SQL 数据库</w:t>
      </w:r>
    </w:p>
    <w:p>
      <w:pPr>
        <w:pStyle w:val="108"/>
        <w:numPr>
          <w:ilvl w:val="0"/>
          <w:numId w:val="4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智能化安全监控设置，测量数据自动保存，断电后恢复等</w:t>
      </w:r>
    </w:p>
    <w:p>
      <w:pPr>
        <w:pStyle w:val="108"/>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4）智能化自动填充铺板布局，可自定义测量模板及命名、颜色设置</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5）可自定义Blank subtraction, Curve Fit, Cut-Off 等计算模式；自动孔间光程校准；数据测量及分析过程可包括：扣减本底、定量曲线拟合，动力学计算，临界值分析和质控等；自动保存标准曲线</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★6）具有强大的结果报告输出功能，xls/pdf/txt/xml格式，一键输出excel/PDF表格，支持报告email 发送。</w:t>
      </w:r>
    </w:p>
    <w:p>
      <w:pPr>
        <w:pStyle w:val="108"/>
        <w:numPr>
          <w:ilvl w:val="0"/>
          <w:numId w:val="44"/>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配置清单：触摸屏主机 1台、软件 1套、电脑1台</w:t>
      </w:r>
    </w:p>
    <w:p>
      <w:pPr>
        <w:spacing w:beforeLines="50" w:after="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（9）中心实验室化学发光成像仪参数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 硬件性能</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图像分辨率：4 Mega pixel;</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★CCD温度：-30℃（绝对温度，不依赖室温）</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CCD制冷方式：peltier（芯片制冷）</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★CCD暗电流：0.001 e/p/s</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CCD读出噪音：4.5 e-rms</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信噪比：≥ 75dB</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16 bit输出，65,536 级灰度</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动态范围：≥ 4 OD</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★425nm处量子转化效率（Q/E）：55％</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全自动变焦镜头：马达自动控制镜头12-75 mm，f/1.2，凝胶图像的聚焦和光圈的调整可通过软件和面板进行双重控制</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最大样品面积：26×35 cm，紫外透射面积：19.4×26 cm</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照明模式：透射白光；透射UV，侧面白光</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制备型UV灯模式和抽屉式灯箱方便进行切胶操作</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激发光源：302nm紫外透射、侧白光、透射白光（可选）、透射蓝光（可选）</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滤光片位置：3个</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发射滤光片：标配1个（琥珀色）</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曝光时间：最短0.001s，每0.001s步进</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兼容SYBR® Green等非EB核酸染料</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实时在线积累时间：0.1s-3000s</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★硬件平场校正：专利的平场校正功能，使用平场校正滤光片及校正板辅助软件校正，保证成像时的背景均一，图像背景各部位的误差&lt;5％</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紫外自动关闭保护</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UV防护板：方便直接用紫外平台进行样品肉眼观察</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切胶尺：切割凝胶</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荧光尺：系统检测并用于测量长度</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操作简单：放入样品后，不需要手动调整对焦、光圈、曝光时间等参数，只需要点击主机按钮即可得到成像结果</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软件可控制曝光时间以看到微弱信号</w:t>
      </w:r>
    </w:p>
    <w:p>
      <w:pPr>
        <w:pStyle w:val="108"/>
        <w:numPr>
          <w:ilvl w:val="1"/>
          <w:numId w:val="46"/>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显示过饱和像素保证精确定量</w:t>
      </w:r>
    </w:p>
    <w:p>
      <w:pPr>
        <w:pStyle w:val="108"/>
        <w:numPr>
          <w:ilvl w:val="1"/>
          <w:numId w:val="46"/>
        </w:numPr>
        <w:spacing w:line="360" w:lineRule="auto"/>
        <w:ind w:left="0" w:firstLine="480"/>
        <w:rPr>
          <w:rFonts w:hint="default"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rPr>
        <w:t>★Stain-Free成像功能：可以实现样品蛋白质条带电泳结束之后直接成像，无需固定、染色和脱色；且提供简易操作的免染总蛋白定量方法</w:t>
      </w:r>
      <w:r>
        <w:rPr>
          <w:rFonts w:hint="eastAsia" w:asciiTheme="minorEastAsia" w:hAnsiTheme="minorEastAsia" w:eastAsiaTheme="minorEastAsia"/>
          <w:color w:val="auto"/>
          <w:sz w:val="24"/>
          <w:szCs w:val="24"/>
          <w:highlight w:val="none"/>
          <w:lang w:val="en-US" w:eastAsia="zh-CN"/>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 软件功能</w:t>
      </w:r>
    </w:p>
    <w:p>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fldChar w:fldCharType="begin"/>
      </w:r>
      <w:r>
        <w:rPr>
          <w:rFonts w:hint="eastAsia" w:asciiTheme="minorEastAsia" w:hAnsiTheme="minorEastAsia" w:eastAsiaTheme="minorEastAsia"/>
          <w:color w:val="auto"/>
          <w:sz w:val="24"/>
          <w:szCs w:val="24"/>
        </w:rPr>
        <w:instrText xml:space="preserve">= 2.1 \* GB1</w:instrText>
      </w:r>
      <w:r>
        <w:rPr>
          <w:rFonts w:asciiTheme="minorEastAsia" w:hAnsiTheme="minorEastAsia" w:eastAsiaTheme="minorEastAsia"/>
          <w:color w:val="auto"/>
          <w:sz w:val="24"/>
          <w:szCs w:val="24"/>
        </w:rPr>
        <w:fldChar w:fldCharType="separate"/>
      </w:r>
      <w:r>
        <w:rPr>
          <w:rFonts w:hint="eastAsia" w:asciiTheme="minorEastAsia" w:hAnsiTheme="minorEastAsia" w:eastAsiaTheme="minorEastAsia"/>
          <w:color w:val="auto"/>
          <w:sz w:val="24"/>
          <w:szCs w:val="24"/>
        </w:rPr>
        <w:t>⒉</w:t>
      </w:r>
      <w:r>
        <w:rPr>
          <w:rFonts w:asciiTheme="minorEastAsia" w:hAnsiTheme="minorEastAsia" w:eastAsiaTheme="minorEastAsia"/>
          <w:color w:val="auto"/>
          <w:sz w:val="24"/>
          <w:szCs w:val="24"/>
        </w:rPr>
        <w:fldChar w:fldCharType="end"/>
      </w:r>
      <w:r>
        <w:rPr>
          <w:rFonts w:hint="eastAsia" w:asciiTheme="minorEastAsia" w:hAnsiTheme="minorEastAsia" w:eastAsiaTheme="minorEastAsia"/>
          <w:color w:val="auto"/>
          <w:sz w:val="24"/>
          <w:szCs w:val="24"/>
        </w:rPr>
        <w:t>1 显示过饱和像素保证精确定量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 电脑分析软件可对数据进行优化、定量、分析图像及报</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告输出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 软件可自由安装于多台电脑，同时分析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2.4 添加各种格式的文字注释</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2.5 自动条带检测，自动分子量测算，自动条带浓度测算</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2.6 相对含量百分数分析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2.7 绝对浓度、密度计算</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2.8 12种预设染料颜色标记显示及输出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2.9 多幅图像合并显示并分析功能</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2.10 报告输出：包括图像仪名称、仪器序列号、使用者姓名、成像时间、光源名称、滤光片名称、泳道图示、条带标注等</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2.11 图像输出格式：.tif、.bmp、.png、.jpg、.mscn</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2.12 数据输出方式：剪贴板输出、数据库输出、Excel表格</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式输出、PDF输出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2.13 配有软件操作指南flash</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2.14 ★中文版、英文版软件自由切换；软件免费升级</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 配置：主机1台、分析控制软件及附件1套、计算机1台</w:t>
      </w:r>
    </w:p>
    <w:p>
      <w:pPr>
        <w:spacing w:beforeLines="50" w:after="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（10）中心实验室蛋白全能自动转印系统参数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 ★转印通量：4块小胶或2块中型胶；2个转印盘设计，</w:t>
      </w:r>
    </w:p>
    <w:p>
      <w:pPr>
        <w:pStyle w:val="108"/>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可运行2个独立的转印程序。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 使用便捷：有即用型转印耗材包，无需人工准备缓冲液和膜。</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3.★转印速度：3分钟内完成2块TGX小胶的转印；7分钟内完成4块普通小胶或2块中型胶的转印。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 ★电源：整合型电源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 ★用户界面：显示屏程序化操作，可实现在无人照看下的程序自动运行监控；有预设程序帮助指导实验设计，并可根据实际需要人为修改程序并存储调用（25个程序）。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6.电极设计：6弹簧配合板式电极设计，确保压力及场强均一。</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 ★应用性：可兼容传统实验试剂和耗材</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 更快、更高通量的转印：在7分钟内转印标准小型或中型凝胶；高效转印大/小分子量蛋白质；单次运行能够转印1-4块小型凝胶或1-2块中型凝胶；各运行之间无需冷却期</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 无需缓冲液或转印膜制备：即用型转印包，无需缓冲液或薄膜制备；可用于NC膜或PVDF的转印包；转印包中含有专利缓冲液</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 灵活开放系统：可选择快速预设程序，或手动输入转印条件；兼容传统的半干转印耗材，可进行30分钟的半干转印；兼容各种凝胶类型和浓度比例；可由用户自定义并储存程序</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环境友好：耗材对环境无害，无需废物处理成本；单次使用耗材，减少不必要的浪费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 ★坚固耐用：耐用的聚碳酸酯外壳；阳极镀铂和阴极不锈钢能够重复使用，且便于清洗；使用周期试验弹簧确保了可重现性；紧凑型手柄设计，便于移动</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 配置：主机一台，滚轮一个</w:t>
      </w:r>
    </w:p>
    <w:p>
      <w:pPr>
        <w:spacing w:beforeLines="50" w:after="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（11）中心实验室蛋白电泳套装参数</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可同时运行1-4块胶</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封边垫条固定在玻板上，便于精确对齐</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特殊塑料的电泳梳，不会抑制凝胶聚合反应，制胶过程中，内置的脊可避免与空气接触，保证凝胶均一聚合</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专利的上样</w:t>
      </w:r>
      <w:r>
        <w:rPr>
          <w:rFonts w:hint="eastAsia" w:asciiTheme="minorEastAsia" w:hAnsiTheme="minorEastAsia" w:eastAsiaTheme="minorEastAsia"/>
          <w:color w:val="auto"/>
          <w:sz w:val="24"/>
          <w:szCs w:val="24"/>
        </w:rPr>
        <w:t>引</w:t>
      </w:r>
      <w:r>
        <w:rPr>
          <w:rFonts w:asciiTheme="minorEastAsia" w:hAnsiTheme="minorEastAsia" w:eastAsiaTheme="minorEastAsia"/>
          <w:color w:val="auto"/>
          <w:sz w:val="24"/>
          <w:szCs w:val="24"/>
        </w:rPr>
        <w:t>导</w:t>
      </w:r>
      <w:r>
        <w:rPr>
          <w:rFonts w:hint="eastAsia" w:asciiTheme="minorEastAsia" w:hAnsiTheme="minorEastAsia" w:eastAsiaTheme="minorEastAsia"/>
          <w:color w:val="auto"/>
          <w:sz w:val="24"/>
          <w:szCs w:val="24"/>
        </w:rPr>
        <w:t>装置</w:t>
      </w:r>
      <w:r>
        <w:rPr>
          <w:rFonts w:asciiTheme="minorEastAsia" w:hAnsiTheme="minorEastAsia" w:eastAsiaTheme="minorEastAsia"/>
          <w:color w:val="auto"/>
          <w:sz w:val="24"/>
          <w:szCs w:val="24"/>
        </w:rPr>
        <w:t>，防止泳道遗漏上样或重复上样</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带有简单凸轮的制胶框，确保在任何水平面上精确对齐</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输出范围：电压</w:t>
      </w:r>
      <w:r>
        <w:rPr>
          <w:rFonts w:asciiTheme="minorEastAsia" w:hAnsiTheme="minorEastAsia" w:eastAsiaTheme="minorEastAsia"/>
          <w:color w:val="auto"/>
          <w:sz w:val="24"/>
          <w:szCs w:val="24"/>
        </w:rPr>
        <w:t>10-300 V</w:t>
      </w:r>
      <w:r>
        <w:rPr>
          <w:rFonts w:hint="eastAsia" w:asciiTheme="minorEastAsia" w:hAnsiTheme="minorEastAsia" w:eastAsiaTheme="minorEastAsia"/>
          <w:color w:val="auto"/>
          <w:sz w:val="24"/>
          <w:szCs w:val="24"/>
        </w:rPr>
        <w:t>；电流</w:t>
      </w:r>
      <w:r>
        <w:rPr>
          <w:rFonts w:asciiTheme="minorEastAsia" w:hAnsiTheme="minorEastAsia" w:eastAsiaTheme="minorEastAsia"/>
          <w:color w:val="auto"/>
          <w:sz w:val="24"/>
          <w:szCs w:val="24"/>
        </w:rPr>
        <w:t>4-400 mA</w:t>
      </w:r>
      <w:r>
        <w:rPr>
          <w:rFonts w:hint="eastAsia" w:asciiTheme="minorEastAsia" w:hAnsiTheme="minorEastAsia" w:eastAsiaTheme="minorEastAsia"/>
          <w:color w:val="auto"/>
          <w:sz w:val="24"/>
          <w:szCs w:val="24"/>
        </w:rPr>
        <w:t>；功率</w:t>
      </w:r>
      <w:r>
        <w:rPr>
          <w:rFonts w:asciiTheme="minorEastAsia" w:hAnsiTheme="minorEastAsia" w:eastAsiaTheme="minorEastAsia"/>
          <w:color w:val="auto"/>
          <w:sz w:val="24"/>
          <w:szCs w:val="24"/>
        </w:rPr>
        <w:t>75 W (</w:t>
      </w:r>
      <w:r>
        <w:rPr>
          <w:rFonts w:hint="eastAsia" w:asciiTheme="minorEastAsia" w:hAnsiTheme="minorEastAsia" w:eastAsiaTheme="minorEastAsia"/>
          <w:color w:val="auto"/>
          <w:sz w:val="24"/>
          <w:szCs w:val="24"/>
        </w:rPr>
        <w:t>最大</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★输出类型：恒压、恒流、恒功率，可定时</w:t>
      </w:r>
      <w:r>
        <w:rPr>
          <w:rFonts w:asciiTheme="minorEastAsia" w:hAnsiTheme="minorEastAsia" w:eastAsiaTheme="minorEastAsia"/>
          <w:color w:val="auto"/>
          <w:sz w:val="24"/>
          <w:szCs w:val="24"/>
        </w:rPr>
        <w:t>1-999</w:t>
      </w:r>
      <w:r>
        <w:rPr>
          <w:rFonts w:hint="eastAsia" w:asciiTheme="minorEastAsia" w:hAnsiTheme="minorEastAsia" w:eastAsiaTheme="minorEastAsia"/>
          <w:color w:val="auto"/>
          <w:sz w:val="24"/>
          <w:szCs w:val="24"/>
        </w:rPr>
        <w:t>分钟；</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有暂停</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继续功能；</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★有断电后自动恢复功能；</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★安全标准：通过</w:t>
      </w:r>
      <w:r>
        <w:rPr>
          <w:rFonts w:asciiTheme="minorEastAsia" w:hAnsiTheme="minorEastAsia" w:eastAsiaTheme="minorEastAsia"/>
          <w:color w:val="auto"/>
          <w:sz w:val="24"/>
          <w:szCs w:val="24"/>
        </w:rPr>
        <w:t>EN-61010, CE</w:t>
      </w:r>
      <w:r>
        <w:rPr>
          <w:rFonts w:hint="eastAsia" w:asciiTheme="minorEastAsia" w:hAnsiTheme="minorEastAsia" w:eastAsiaTheme="minorEastAsia"/>
          <w:color w:val="auto"/>
          <w:sz w:val="24"/>
          <w:szCs w:val="24"/>
        </w:rPr>
        <w:t>标准；</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可以</w:t>
      </w:r>
      <w:r>
        <w:rPr>
          <w:rFonts w:asciiTheme="minorEastAsia" w:hAnsiTheme="minorEastAsia" w:eastAsiaTheme="minorEastAsia"/>
          <w:color w:val="auto"/>
          <w:sz w:val="24"/>
          <w:szCs w:val="24"/>
        </w:rPr>
        <w:t>200V</w:t>
      </w:r>
      <w:r>
        <w:rPr>
          <w:rFonts w:hint="eastAsia" w:asciiTheme="minorEastAsia" w:hAnsiTheme="minorEastAsia" w:eastAsiaTheme="minorEastAsia"/>
          <w:color w:val="auto"/>
          <w:sz w:val="24"/>
          <w:szCs w:val="24"/>
        </w:rPr>
        <w:t>电压转印，仅需</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个小时，也可以</w:t>
      </w:r>
      <w:r>
        <w:rPr>
          <w:rFonts w:asciiTheme="minorEastAsia" w:hAnsiTheme="minorEastAsia" w:eastAsiaTheme="minorEastAsia"/>
          <w:color w:val="auto"/>
          <w:sz w:val="24"/>
          <w:szCs w:val="24"/>
        </w:rPr>
        <w:t>30V</w:t>
      </w:r>
      <w:r>
        <w:rPr>
          <w:rFonts w:hint="eastAsia" w:asciiTheme="minorEastAsia" w:hAnsiTheme="minorEastAsia" w:eastAsiaTheme="minorEastAsia"/>
          <w:color w:val="auto"/>
          <w:sz w:val="24"/>
          <w:szCs w:val="24"/>
        </w:rPr>
        <w:t>过夜转移；</w:t>
      </w:r>
    </w:p>
    <w:p>
      <w:pPr>
        <w:pStyle w:val="108"/>
        <w:numPr>
          <w:ilvl w:val="0"/>
          <w:numId w:val="47"/>
        </w:numPr>
        <w:spacing w:line="360" w:lineRule="auto"/>
        <w:ind w:left="0" w:firstLine="403"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在低压下也能获得高效、稳定的转移。</w:t>
      </w:r>
    </w:p>
    <w:p>
      <w:pPr>
        <w:spacing w:beforeLines="50" w:after="50" w:line="360" w:lineRule="auto"/>
        <w:rPr>
          <w:rFonts w:cs="宋体" w:asciiTheme="minorEastAsia" w:hAnsiTheme="minorEastAsia" w:eastAsiaTheme="minorEastAsia"/>
          <w:b/>
          <w:color w:val="auto"/>
          <w:kern w:val="2"/>
          <w:sz w:val="24"/>
          <w:szCs w:val="24"/>
        </w:rPr>
      </w:pPr>
      <w:r>
        <w:rPr>
          <w:rFonts w:hint="eastAsia" w:cs="宋体" w:asciiTheme="minorEastAsia" w:hAnsiTheme="minorEastAsia" w:eastAsiaTheme="minorEastAsia"/>
          <w:b/>
          <w:color w:val="auto"/>
          <w:kern w:val="2"/>
          <w:sz w:val="24"/>
          <w:szCs w:val="24"/>
        </w:rPr>
        <w:t>（12）实验室主要材料设备推荐参考品牌表：</w:t>
      </w:r>
    </w:p>
    <w:tbl>
      <w:tblPr>
        <w:tblStyle w:val="69"/>
        <w:tblW w:w="927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60"/>
        <w:gridCol w:w="1860"/>
        <w:gridCol w:w="1880"/>
        <w:gridCol w:w="20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序号</w:t>
            </w:r>
          </w:p>
        </w:tc>
        <w:tc>
          <w:tcPr>
            <w:tcW w:w="2520" w:type="dxa"/>
            <w:gridSpan w:val="2"/>
            <w:vAlign w:val="center"/>
          </w:tcPr>
          <w:p>
            <w:pPr>
              <w:widowControl/>
              <w:spacing w:beforeLines="50" w:afterLines="50" w:line="36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名     称</w:t>
            </w:r>
          </w:p>
        </w:tc>
        <w:tc>
          <w:tcPr>
            <w:tcW w:w="5840" w:type="dxa"/>
            <w:gridSpan w:val="3"/>
            <w:vAlign w:val="center"/>
          </w:tcPr>
          <w:p>
            <w:pPr>
              <w:widowControl/>
              <w:spacing w:beforeLines="50" w:afterLines="50" w:line="36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品牌/厂家推荐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restart"/>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2520" w:type="dxa"/>
            <w:gridSpan w:val="2"/>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实验室家具</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凯利勋</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北京成威</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上海育皓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vAlign w:val="center"/>
          </w:tcPr>
          <w:p>
            <w:pPr>
              <w:widowControl/>
              <w:spacing w:beforeLines="50" w:afterLines="50" w:line="360" w:lineRule="auto"/>
              <w:jc w:val="center"/>
              <w:rPr>
                <w:rFonts w:cs="宋体" w:asciiTheme="minorEastAsia" w:hAnsiTheme="minorEastAsia" w:eastAsiaTheme="minorEastAsia"/>
                <w:b/>
                <w:bCs/>
                <w:color w:val="auto"/>
                <w:kern w:val="44"/>
                <w:sz w:val="24"/>
                <w:szCs w:val="24"/>
              </w:rPr>
            </w:pPr>
          </w:p>
        </w:tc>
        <w:tc>
          <w:tcPr>
            <w:tcW w:w="660" w:type="dxa"/>
            <w:vMerge w:val="restart"/>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其中</w:t>
            </w:r>
          </w:p>
        </w:tc>
        <w:tc>
          <w:tcPr>
            <w:tcW w:w="186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实验桌台面</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千思板</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威盛亚理化板</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优抗板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vAlign w:val="center"/>
          </w:tcPr>
          <w:p>
            <w:pPr>
              <w:widowControl/>
              <w:spacing w:beforeLines="50" w:afterLines="50" w:line="360" w:lineRule="auto"/>
              <w:jc w:val="center"/>
              <w:rPr>
                <w:rFonts w:cs="宋体" w:asciiTheme="minorEastAsia" w:hAnsiTheme="minorEastAsia" w:eastAsiaTheme="minorEastAsia"/>
                <w:b/>
                <w:bCs/>
                <w:color w:val="auto"/>
                <w:kern w:val="44"/>
                <w:sz w:val="24"/>
                <w:szCs w:val="24"/>
              </w:rPr>
            </w:pPr>
          </w:p>
        </w:tc>
        <w:tc>
          <w:tcPr>
            <w:tcW w:w="660" w:type="dxa"/>
            <w:vMerge w:val="continue"/>
            <w:vAlign w:val="center"/>
          </w:tcPr>
          <w:p>
            <w:pPr>
              <w:widowControl/>
              <w:spacing w:beforeLines="50" w:afterLines="50" w:line="360" w:lineRule="auto"/>
              <w:jc w:val="center"/>
              <w:rPr>
                <w:rFonts w:cs="宋体" w:asciiTheme="minorEastAsia" w:hAnsiTheme="minorEastAsia" w:eastAsiaTheme="minorEastAsia"/>
                <w:b/>
                <w:bCs/>
                <w:color w:val="auto"/>
                <w:kern w:val="44"/>
                <w:sz w:val="24"/>
                <w:szCs w:val="24"/>
              </w:rPr>
            </w:pPr>
          </w:p>
        </w:tc>
        <w:tc>
          <w:tcPr>
            <w:tcW w:w="186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通风柜陶瓷台面</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榕德</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千特</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莫诺莱特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vAlign w:val="center"/>
          </w:tcPr>
          <w:p>
            <w:pPr>
              <w:widowControl/>
              <w:spacing w:beforeLines="50" w:afterLines="50" w:line="360" w:lineRule="auto"/>
              <w:jc w:val="center"/>
              <w:rPr>
                <w:rFonts w:cs="宋体" w:asciiTheme="minorEastAsia" w:hAnsiTheme="minorEastAsia" w:eastAsiaTheme="minorEastAsia"/>
                <w:b/>
                <w:bCs/>
                <w:color w:val="auto"/>
                <w:kern w:val="44"/>
                <w:sz w:val="24"/>
                <w:szCs w:val="24"/>
              </w:rPr>
            </w:pPr>
          </w:p>
        </w:tc>
        <w:tc>
          <w:tcPr>
            <w:tcW w:w="660" w:type="dxa"/>
            <w:vMerge w:val="continue"/>
            <w:vAlign w:val="center"/>
          </w:tcPr>
          <w:p>
            <w:pPr>
              <w:widowControl/>
              <w:spacing w:beforeLines="50" w:afterLines="50" w:line="360" w:lineRule="auto"/>
              <w:jc w:val="center"/>
              <w:rPr>
                <w:rFonts w:cs="宋体" w:asciiTheme="minorEastAsia" w:hAnsiTheme="minorEastAsia" w:eastAsiaTheme="minorEastAsia"/>
                <w:b/>
                <w:bCs/>
                <w:color w:val="auto"/>
                <w:kern w:val="44"/>
                <w:sz w:val="24"/>
                <w:szCs w:val="24"/>
              </w:rPr>
            </w:pPr>
          </w:p>
        </w:tc>
        <w:tc>
          <w:tcPr>
            <w:tcW w:w="186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水槽及龙头</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上海台雄</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博朗</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TOF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2520" w:type="dxa"/>
            <w:gridSpan w:val="2"/>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通风柜</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凯利勋</w:t>
            </w:r>
          </w:p>
        </w:tc>
        <w:tc>
          <w:tcPr>
            <w:tcW w:w="20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北京成威</w:t>
            </w:r>
          </w:p>
        </w:tc>
        <w:tc>
          <w:tcPr>
            <w:tcW w:w="1880" w:type="dxa"/>
            <w:vAlign w:val="center"/>
          </w:tcPr>
          <w:p>
            <w:pPr>
              <w:widowControl/>
              <w:spacing w:beforeLines="50" w:afterLines="50" w:line="360"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上海育皓</w:t>
            </w:r>
          </w:p>
        </w:tc>
      </w:tr>
    </w:tbl>
    <w:p>
      <w:pPr>
        <w:tabs>
          <w:tab w:val="center" w:pos="4819"/>
        </w:tabs>
        <w:rPr>
          <w:rFonts w:hAnsi="宋体"/>
          <w:b/>
          <w:bCs/>
          <w:color w:val="auto"/>
          <w:szCs w:val="21"/>
        </w:rPr>
      </w:pPr>
    </w:p>
    <w:p>
      <w:pPr>
        <w:rPr>
          <w:rFonts w:hAnsi="宋体"/>
          <w:color w:val="auto"/>
          <w:sz w:val="32"/>
          <w:szCs w:val="32"/>
        </w:rPr>
        <w:sectPr>
          <w:footerReference r:id="rId9" w:type="default"/>
          <w:pgSz w:w="11906" w:h="16838"/>
          <w:pgMar w:top="1134" w:right="1134" w:bottom="1134" w:left="1134" w:header="851" w:footer="992" w:gutter="0"/>
          <w:cols w:space="720" w:num="1"/>
          <w:docGrid w:linePitch="312" w:charSpace="0"/>
        </w:sectPr>
      </w:pPr>
    </w:p>
    <w:p>
      <w:pPr>
        <w:numPr>
          <w:ilvl w:val="0"/>
          <w:numId w:val="48"/>
        </w:numPr>
        <w:adjustRightInd w:val="0"/>
        <w:snapToGrid w:val="0"/>
        <w:spacing w:line="360" w:lineRule="auto"/>
        <w:jc w:val="center"/>
        <w:rPr>
          <w:rFonts w:hAnsi="宋体" w:cs="宋体"/>
          <w:b/>
          <w:bCs/>
          <w:color w:val="auto"/>
          <w:sz w:val="32"/>
          <w:szCs w:val="32"/>
        </w:rPr>
      </w:pPr>
      <w:r>
        <w:rPr>
          <w:rFonts w:hint="eastAsia" w:hAnsi="宋体" w:cs="宋体"/>
          <w:b/>
          <w:bCs/>
          <w:color w:val="auto"/>
          <w:sz w:val="32"/>
          <w:szCs w:val="32"/>
        </w:rPr>
        <w:t>合同书（格式）</w:t>
      </w:r>
    </w:p>
    <w:p>
      <w:pPr>
        <w:wordWrap w:val="0"/>
        <w:topLinePunct/>
        <w:snapToGrid w:val="0"/>
        <w:spacing w:line="360" w:lineRule="auto"/>
        <w:rPr>
          <w:rFonts w:hAnsi="宋体" w:cs="宋体"/>
          <w:b/>
          <w:color w:val="auto"/>
          <w:sz w:val="28"/>
          <w:szCs w:val="28"/>
        </w:rPr>
      </w:pPr>
      <w:r>
        <w:rPr>
          <w:rFonts w:hint="eastAsia" w:hAnsi="宋体" w:cs="宋体"/>
          <w:b/>
          <w:color w:val="auto"/>
          <w:sz w:val="28"/>
          <w:szCs w:val="28"/>
        </w:rPr>
        <w:t>项目编号：</w:t>
      </w:r>
    </w:p>
    <w:p>
      <w:pPr>
        <w:pStyle w:val="2"/>
        <w:numPr>
          <w:ilvl w:val="0"/>
          <w:numId w:val="0"/>
        </w:numPr>
        <w:ind w:left="992" w:hanging="992"/>
        <w:jc w:val="center"/>
        <w:rPr>
          <w:color w:val="auto"/>
        </w:rPr>
      </w:pPr>
      <w:r>
        <w:rPr>
          <w:rFonts w:hint="eastAsia" w:hAnsi="宋体" w:cs="宋体"/>
          <w:bCs w:val="0"/>
          <w:color w:val="auto"/>
          <w:sz w:val="30"/>
          <w:szCs w:val="30"/>
        </w:rPr>
        <w:t>无锡市精神卫生中心精神科病房楼供应室、制剂室、实验区配套工程</w:t>
      </w:r>
    </w:p>
    <w:p>
      <w:pPr>
        <w:pStyle w:val="2"/>
        <w:numPr>
          <w:ilvl w:val="0"/>
          <w:numId w:val="0"/>
        </w:numPr>
        <w:jc w:val="center"/>
        <w:rPr>
          <w:rFonts w:eastAsia="楷体_GB2312" w:cs="Arial"/>
          <w:color w:val="auto"/>
          <w:sz w:val="44"/>
          <w:szCs w:val="44"/>
        </w:rPr>
      </w:pPr>
    </w:p>
    <w:p>
      <w:pPr>
        <w:pStyle w:val="2"/>
        <w:numPr>
          <w:ilvl w:val="0"/>
          <w:numId w:val="0"/>
        </w:numPr>
        <w:jc w:val="center"/>
        <w:rPr>
          <w:rFonts w:eastAsia="楷体_GB2312" w:cs="Arial"/>
          <w:color w:val="auto"/>
          <w:sz w:val="44"/>
          <w:szCs w:val="44"/>
        </w:rPr>
      </w:pPr>
    </w:p>
    <w:p>
      <w:pPr>
        <w:pStyle w:val="2"/>
        <w:numPr>
          <w:ilvl w:val="0"/>
          <w:numId w:val="0"/>
        </w:numPr>
        <w:jc w:val="center"/>
        <w:rPr>
          <w:rFonts w:eastAsia="楷体_GB2312" w:cs="Arial"/>
          <w:color w:val="auto"/>
          <w:sz w:val="44"/>
          <w:szCs w:val="44"/>
        </w:rPr>
      </w:pPr>
      <w:r>
        <w:rPr>
          <w:rFonts w:hint="eastAsia" w:eastAsia="楷体_GB2312" w:cs="Arial"/>
          <w:color w:val="auto"/>
          <w:sz w:val="44"/>
          <w:szCs w:val="44"/>
        </w:rPr>
        <w:t>合同书</w:t>
      </w:r>
    </w:p>
    <w:p>
      <w:pPr>
        <w:rPr>
          <w:color w:val="auto"/>
        </w:rPr>
      </w:pPr>
    </w:p>
    <w:p>
      <w:pPr>
        <w:adjustRightInd w:val="0"/>
        <w:spacing w:line="288" w:lineRule="auto"/>
        <w:ind w:left="1805" w:leftChars="531" w:right="960"/>
        <w:rPr>
          <w:rFonts w:ascii="Arial" w:hAnsi="Arial" w:eastAsia="楷体_GB2312" w:cs="Arial"/>
          <w:b/>
          <w:color w:val="auto"/>
          <w:sz w:val="32"/>
          <w:szCs w:val="32"/>
        </w:rPr>
      </w:pPr>
    </w:p>
    <w:p>
      <w:pPr>
        <w:adjustRightInd w:val="0"/>
        <w:spacing w:line="288" w:lineRule="auto"/>
        <w:ind w:left="1805" w:leftChars="531" w:right="960"/>
        <w:rPr>
          <w:rFonts w:ascii="Arial" w:hAnsi="Arial" w:eastAsia="楷体_GB2312" w:cs="Arial"/>
          <w:b/>
          <w:color w:val="auto"/>
          <w:sz w:val="32"/>
          <w:szCs w:val="32"/>
        </w:rPr>
      </w:pPr>
    </w:p>
    <w:p>
      <w:pPr>
        <w:adjustRightInd w:val="0"/>
        <w:spacing w:line="288" w:lineRule="auto"/>
        <w:ind w:left="1805" w:leftChars="531" w:right="960"/>
        <w:rPr>
          <w:rFonts w:ascii="Arial" w:hAnsi="Arial" w:eastAsia="楷体_GB2312" w:cs="Arial"/>
          <w:b/>
          <w:color w:val="auto"/>
          <w:sz w:val="32"/>
          <w:szCs w:val="32"/>
        </w:rPr>
      </w:pPr>
    </w:p>
    <w:p>
      <w:pPr>
        <w:adjustRightInd w:val="0"/>
        <w:spacing w:line="288" w:lineRule="auto"/>
        <w:ind w:left="1805" w:leftChars="531" w:right="960"/>
        <w:rPr>
          <w:rFonts w:ascii="Arial" w:hAnsi="Arial" w:eastAsia="楷体_GB2312" w:cs="Arial"/>
          <w:b/>
          <w:color w:val="auto"/>
          <w:sz w:val="32"/>
          <w:szCs w:val="32"/>
        </w:rPr>
      </w:pPr>
    </w:p>
    <w:p>
      <w:pPr>
        <w:adjustRightInd w:val="0"/>
        <w:spacing w:line="288" w:lineRule="auto"/>
        <w:ind w:left="1805" w:leftChars="531" w:right="960"/>
        <w:rPr>
          <w:rFonts w:ascii="Arial" w:hAnsi="Arial" w:eastAsia="楷体_GB2312" w:cs="Arial"/>
          <w:b/>
          <w:color w:val="auto"/>
          <w:sz w:val="32"/>
          <w:szCs w:val="32"/>
        </w:rPr>
      </w:pPr>
      <w:r>
        <w:rPr>
          <w:rFonts w:hint="eastAsia" w:ascii="Arial" w:hAnsi="Arial" w:eastAsia="楷体_GB2312" w:cs="Arial"/>
          <w:b/>
          <w:color w:val="auto"/>
          <w:sz w:val="32"/>
          <w:szCs w:val="32"/>
        </w:rPr>
        <w:t>发包人（全称）：</w:t>
      </w:r>
    </w:p>
    <w:p>
      <w:pPr>
        <w:adjustRightInd w:val="0"/>
        <w:spacing w:line="288" w:lineRule="auto"/>
        <w:ind w:left="1805" w:leftChars="531" w:right="1600"/>
        <w:rPr>
          <w:rFonts w:ascii="Arial" w:hAnsi="Arial" w:eastAsia="楷体_GB2312" w:cs="Arial"/>
          <w:b/>
          <w:color w:val="auto"/>
          <w:sz w:val="32"/>
          <w:szCs w:val="32"/>
        </w:rPr>
      </w:pPr>
    </w:p>
    <w:p>
      <w:pPr>
        <w:adjustRightInd w:val="0"/>
        <w:spacing w:line="288" w:lineRule="auto"/>
        <w:ind w:left="1805" w:leftChars="531" w:right="1600"/>
        <w:rPr>
          <w:rFonts w:ascii="Arial" w:hAnsi="Arial" w:eastAsia="楷体_GB2312" w:cs="Arial"/>
          <w:b/>
          <w:color w:val="auto"/>
          <w:sz w:val="32"/>
          <w:szCs w:val="32"/>
        </w:rPr>
      </w:pPr>
      <w:r>
        <w:rPr>
          <w:rFonts w:hint="eastAsia" w:ascii="Arial" w:hAnsi="Arial" w:eastAsia="楷体_GB2312" w:cs="Arial"/>
          <w:b/>
          <w:color w:val="auto"/>
          <w:sz w:val="32"/>
          <w:szCs w:val="32"/>
        </w:rPr>
        <w:t>承包人（全称）：</w:t>
      </w:r>
    </w:p>
    <w:p>
      <w:pPr>
        <w:adjustRightInd w:val="0"/>
        <w:spacing w:line="288" w:lineRule="auto"/>
        <w:ind w:right="960"/>
        <w:jc w:val="center"/>
        <w:rPr>
          <w:rFonts w:ascii="Arial" w:hAnsi="Arial" w:eastAsia="楷体_GB2312" w:cs="Arial"/>
          <w:b/>
          <w:color w:val="auto"/>
          <w:sz w:val="32"/>
          <w:szCs w:val="32"/>
        </w:rPr>
      </w:pPr>
    </w:p>
    <w:p>
      <w:pPr>
        <w:adjustRightInd w:val="0"/>
        <w:spacing w:line="288" w:lineRule="auto"/>
        <w:ind w:right="960"/>
        <w:jc w:val="center"/>
        <w:rPr>
          <w:rFonts w:ascii="Arial" w:hAnsi="Arial" w:eastAsia="楷体_GB2312" w:cs="Arial"/>
          <w:b/>
          <w:color w:val="auto"/>
          <w:szCs w:val="24"/>
        </w:rPr>
      </w:pPr>
      <w:r>
        <w:rPr>
          <w:rFonts w:hint="eastAsia" w:ascii="Arial" w:hAnsi="Arial" w:eastAsia="楷体_GB2312" w:cs="Arial"/>
          <w:b/>
          <w:color w:val="auto"/>
          <w:sz w:val="32"/>
          <w:szCs w:val="32"/>
        </w:rPr>
        <w:t>年   月   日</w:t>
      </w:r>
    </w:p>
    <w:p>
      <w:pPr>
        <w:pStyle w:val="2"/>
        <w:numPr>
          <w:ilvl w:val="0"/>
          <w:numId w:val="0"/>
        </w:numPr>
        <w:rPr>
          <w:color w:val="auto"/>
        </w:rPr>
      </w:pPr>
    </w:p>
    <w:p>
      <w:pPr>
        <w:pStyle w:val="26"/>
        <w:ind w:left="680"/>
        <w:jc w:val="left"/>
        <w:rPr>
          <w:rFonts w:cs="仿宋" w:asciiTheme="minorEastAsia" w:hAnsiTheme="minorEastAsia" w:eastAsiaTheme="minorEastAsia"/>
          <w:color w:val="auto"/>
          <w:spacing w:val="-6"/>
          <w:sz w:val="21"/>
          <w:szCs w:val="21"/>
        </w:rPr>
      </w:pPr>
      <w:r>
        <w:rPr>
          <w:rFonts w:hint="eastAsia" w:cs="仿宋" w:asciiTheme="minorEastAsia" w:hAnsiTheme="minorEastAsia" w:eastAsiaTheme="minorEastAsia"/>
          <w:color w:val="auto"/>
          <w:spacing w:val="-6"/>
          <w:sz w:val="21"/>
          <w:szCs w:val="21"/>
        </w:rPr>
        <w:br w:type="page"/>
      </w:r>
    </w:p>
    <w:p>
      <w:p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发包人（全称）：（下称甲方）</w:t>
      </w:r>
    </w:p>
    <w:p>
      <w:p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承包人（全称）：（下称乙方）</w:t>
      </w:r>
    </w:p>
    <w:p>
      <w:pPr>
        <w:adjustRightInd w:val="0"/>
        <w:spacing w:beforeLines="50" w:afterLines="50" w:line="360" w:lineRule="auto"/>
        <w:ind w:firstLine="480" w:firstLineChars="20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依照《中华人民共和国民法典》、《中华人民共和国建筑法》及相关法律、行政法规，遵循平等、自愿、公平和诚信原则，合同双方就无锡市精神卫生中心精神科病房楼供应室、制剂室、实验区配套工程事宜经协商一致，订立本合同。</w:t>
      </w:r>
    </w:p>
    <w:p>
      <w:pPr>
        <w:pStyle w:val="108"/>
        <w:numPr>
          <w:ilvl w:val="0"/>
          <w:numId w:val="49"/>
        </w:numPr>
        <w:adjustRightInd w:val="0"/>
        <w:spacing w:beforeLines="50" w:afterLines="50" w:line="360" w:lineRule="auto"/>
        <w:ind w:firstLineChars="0"/>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工程概况</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1.工程名称：无锡市精神卫生中心精神科病房楼供应室、制剂室、实验区配套工程。</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工程内容及规模：无锡市精神卫生中心精神科病房楼供应室、制剂室、实验区配套工程，包括室内维护结构及配套基本装备、空气处理设备及配套（净化空调系统）、配电及自动控制系统（包括不限于照明系统、电气动力系统及综合布线系统、监控系统等系统）、配套室内给排水系统、机制设备等材料的供应和安装、调试、验收、培训、售后服务等内容。</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工程承包范围：一层供应室、一层制剂室、四层中心实验室（含细胞房、PCR实验室）、制剂设备等。本次采购项目包括上述区域（范围）内的室内维护结构及配套基本装备、空气处理设备及配套（净化空调系统）、配电及自动控制系统（包括不限于照明系统、电气动力系统及综合布线系统、监控系统等系统）、集中供气系统、配套室内给排水系统材料的供应和安装、调试、验收、培训、售后服务等。</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4.承包方式：乙方对上述范围内的工程实行包工包料施工，对工程的工期、质量、验收、技术服务及员工培训等负责。</w:t>
      </w:r>
    </w:p>
    <w:p>
      <w:p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二、工程主要生产技术（或建筑设计方案）来源：</w:t>
      </w:r>
    </w:p>
    <w:p>
      <w:pPr>
        <w:adjustRightInd w:val="0"/>
        <w:spacing w:beforeLines="50" w:afterLines="50" w:line="360" w:lineRule="auto"/>
        <w:ind w:firstLine="720" w:firstLineChars="30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甲方提供设计图纸，乙方负责图纸深化并经甲方确认后施工。</w:t>
      </w:r>
    </w:p>
    <w:p>
      <w:pPr>
        <w:pStyle w:val="108"/>
        <w:numPr>
          <w:ilvl w:val="0"/>
          <w:numId w:val="50"/>
        </w:numPr>
        <w:adjustRightInd w:val="0"/>
        <w:spacing w:beforeLines="50" w:afterLines="50" w:line="360" w:lineRule="auto"/>
        <w:ind w:firstLineChars="0"/>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主要日期：</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1.合同期限：合同生效至保修期满。</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2.施工期限：总工期为90个日历天。</w:t>
      </w:r>
      <w:r>
        <w:rPr>
          <w:rFonts w:hint="eastAsia" w:hAnsi="宋体" w:cs="宋体"/>
          <w:color w:val="auto"/>
          <w:sz w:val="24"/>
          <w:szCs w:val="24"/>
        </w:rPr>
        <w:t>具体开工时间以甲方开工令为准。</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3.乙方须在合同签订后10天内完成（包含但不限于人员、机械设备、材料在内的工作）进场施工准备工作。乙方必须按照本合同约定的竣工日期或甲方单位同意顺延的工期竣工并向甲方交付本工程。</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4.工程质量标准：</w:t>
      </w:r>
      <w:r>
        <w:rPr>
          <w:rFonts w:hint="eastAsia" w:cs="Arial" w:asciiTheme="minorEastAsia" w:hAnsiTheme="minorEastAsia" w:eastAsiaTheme="minorEastAsia"/>
          <w:color w:val="auto"/>
          <w:sz w:val="24"/>
          <w:szCs w:val="24"/>
          <w:u w:val="single"/>
        </w:rPr>
        <w:t>一次性通过验收，100%合格</w:t>
      </w:r>
      <w:r>
        <w:rPr>
          <w:rFonts w:hint="eastAsia" w:cs="Arial" w:asciiTheme="minorEastAsia" w:hAnsiTheme="minorEastAsia" w:eastAsiaTheme="minorEastAsia"/>
          <w:color w:val="auto"/>
          <w:sz w:val="24"/>
          <w:szCs w:val="24"/>
        </w:rPr>
        <w:t>。</w:t>
      </w:r>
    </w:p>
    <w:p>
      <w:pPr>
        <w:adjustRightInd w:val="0"/>
        <w:spacing w:beforeLines="50" w:afterLines="50" w:line="360" w:lineRule="auto"/>
        <w:ind w:firstLine="48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5.免费质保期：</w:t>
      </w:r>
      <w:r>
        <w:rPr>
          <w:rFonts w:hint="eastAsia" w:cs="Arial" w:asciiTheme="minorEastAsia" w:hAnsiTheme="minorEastAsia" w:eastAsiaTheme="minorEastAsia"/>
          <w:color w:val="auto"/>
          <w:sz w:val="24"/>
          <w:szCs w:val="24"/>
          <w:u w:val="single"/>
        </w:rPr>
        <w:t xml:space="preserve">  2  </w:t>
      </w:r>
      <w:r>
        <w:rPr>
          <w:rFonts w:hint="eastAsia" w:cs="Arial" w:asciiTheme="minorEastAsia" w:hAnsiTheme="minorEastAsia" w:eastAsiaTheme="minorEastAsia"/>
          <w:color w:val="auto"/>
          <w:sz w:val="24"/>
          <w:szCs w:val="24"/>
        </w:rPr>
        <w:t>年，自本工程验收合格之日起算。</w:t>
      </w:r>
    </w:p>
    <w:p>
      <w:p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四、合同价格和付款：</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1.合同总价：人民币大写：,小写：。本合同为</w:t>
      </w:r>
      <w:r>
        <w:rPr>
          <w:rFonts w:hint="eastAsia" w:asciiTheme="minorEastAsia" w:hAnsiTheme="minorEastAsia" w:eastAsiaTheme="minorEastAsia"/>
          <w:color w:val="auto"/>
          <w:sz w:val="24"/>
          <w:szCs w:val="24"/>
          <w:shd w:val="clear" w:color="auto" w:fill="FFFFFF"/>
        </w:rPr>
        <w:t>固定单价合同</w:t>
      </w:r>
      <w:r>
        <w:rPr>
          <w:rFonts w:hint="eastAsia" w:cs="Arial" w:asciiTheme="minorEastAsia" w:hAnsiTheme="minorEastAsia" w:eastAsiaTheme="minorEastAsia"/>
          <w:color w:val="auto"/>
          <w:sz w:val="24"/>
          <w:szCs w:val="24"/>
        </w:rPr>
        <w:t>。最终结算价以甲方委托的专业审计机构经审计的结算审定价为准。</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2.付款方式:</w:t>
      </w:r>
    </w:p>
    <w:p>
      <w:pPr>
        <w:widowControl/>
        <w:adjustRightInd w:val="0"/>
        <w:spacing w:beforeLines="50" w:afterLines="50" w:line="360" w:lineRule="auto"/>
        <w:ind w:firstLine="480" w:firstLineChars="200"/>
        <w:jc w:val="left"/>
        <w:rPr>
          <w:rFonts w:cs="Arial"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1）合同签订后，且乙方向甲方提供合同总价的10%履约保函后30日内，甲方向乙方支付合同总价的</w:t>
      </w:r>
      <w:r>
        <w:rPr>
          <w:rFonts w:asciiTheme="minorEastAsia" w:hAnsiTheme="minorEastAsia" w:eastAsiaTheme="minorEastAsia"/>
          <w:color w:val="auto"/>
          <w:sz w:val="24"/>
          <w:szCs w:val="24"/>
          <w:u w:val="single"/>
        </w:rPr>
        <w:t>30</w:t>
      </w:r>
      <w:r>
        <w:rPr>
          <w:rFonts w:hint="eastAsia" w:asciiTheme="minorEastAsia" w:hAnsiTheme="minorEastAsia" w:eastAsiaTheme="minorEastAsia"/>
          <w:color w:val="auto"/>
          <w:sz w:val="24"/>
          <w:szCs w:val="24"/>
        </w:rPr>
        <w:t xml:space="preserve">%作为项目预付款； </w:t>
      </w:r>
    </w:p>
    <w:p>
      <w:pPr>
        <w:tabs>
          <w:tab w:val="left" w:pos="525"/>
          <w:tab w:val="left" w:pos="1050"/>
          <w:tab w:val="left" w:pos="1155"/>
        </w:tabs>
        <w:spacing w:line="360" w:lineRule="auto"/>
        <w:ind w:firstLine="523" w:firstLineChars="218"/>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2）配套</w:t>
      </w:r>
      <w:r>
        <w:rPr>
          <w:rFonts w:hint="eastAsia" w:asciiTheme="minorEastAsia" w:hAnsiTheme="minorEastAsia" w:eastAsiaTheme="minorEastAsia"/>
          <w:color w:val="auto"/>
          <w:sz w:val="24"/>
          <w:szCs w:val="24"/>
        </w:rPr>
        <w:t>设备进场后30日内，甲方向乙方支付至合同总价的</w:t>
      </w:r>
      <w:r>
        <w:rPr>
          <w:rFonts w:hint="eastAsia" w:asciiTheme="minorEastAsia" w:hAnsiTheme="minorEastAsia" w:eastAsiaTheme="minorEastAsia"/>
          <w:color w:val="auto"/>
          <w:sz w:val="24"/>
          <w:szCs w:val="24"/>
          <w:u w:val="single"/>
        </w:rPr>
        <w:t>7</w:t>
      </w:r>
      <w:r>
        <w:rPr>
          <w:rFonts w:asciiTheme="minorEastAsia" w:hAnsiTheme="minorEastAsia" w:eastAsiaTheme="minorEastAsia"/>
          <w:color w:val="auto"/>
          <w:sz w:val="24"/>
          <w:szCs w:val="24"/>
          <w:u w:val="single"/>
        </w:rPr>
        <w:t>0</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523" w:firstLineChars="218"/>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hint="eastAsia" w:asciiTheme="minorEastAsia" w:hAnsiTheme="minorEastAsia" w:eastAsiaTheme="minorEastAsia"/>
          <w:color w:val="auto"/>
          <w:sz w:val="24"/>
          <w:szCs w:val="24"/>
        </w:rPr>
        <w:t>项目完</w:t>
      </w:r>
      <w:r>
        <w:rPr>
          <w:rFonts w:asciiTheme="minorEastAsia" w:hAnsiTheme="minorEastAsia" w:eastAsiaTheme="minorEastAsia"/>
          <w:color w:val="auto"/>
          <w:sz w:val="24"/>
          <w:szCs w:val="24"/>
        </w:rPr>
        <w:t>工后</w:t>
      </w:r>
      <w:r>
        <w:rPr>
          <w:rFonts w:hint="eastAsia" w:asciiTheme="minorEastAsia" w:hAnsiTheme="minorEastAsia" w:eastAsiaTheme="minorEastAsia"/>
          <w:color w:val="auto"/>
          <w:sz w:val="24"/>
          <w:szCs w:val="24"/>
        </w:rPr>
        <w:t>30日内支</w:t>
      </w:r>
      <w:r>
        <w:rPr>
          <w:rFonts w:asciiTheme="minorEastAsia" w:hAnsiTheme="minorEastAsia" w:eastAsiaTheme="minorEastAsia"/>
          <w:color w:val="auto"/>
          <w:sz w:val="24"/>
          <w:szCs w:val="24"/>
        </w:rPr>
        <w:t>付</w:t>
      </w:r>
      <w:r>
        <w:rPr>
          <w:rFonts w:hint="eastAsia" w:asciiTheme="minorEastAsia" w:hAnsiTheme="minorEastAsia" w:eastAsiaTheme="minorEastAsia"/>
          <w:color w:val="auto"/>
          <w:sz w:val="24"/>
          <w:szCs w:val="24"/>
        </w:rPr>
        <w:t>至合同总价的</w:t>
      </w:r>
      <w:r>
        <w:rPr>
          <w:rFonts w:hint="eastAsia" w:asciiTheme="minorEastAsia" w:hAnsiTheme="minorEastAsia" w:eastAsiaTheme="minorEastAsia"/>
          <w:color w:val="auto"/>
          <w:sz w:val="24"/>
          <w:szCs w:val="24"/>
          <w:u w:val="single"/>
        </w:rPr>
        <w:t>85</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523" w:firstLineChars="218"/>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4）项目</w:t>
      </w:r>
      <w:r>
        <w:rPr>
          <w:rFonts w:hint="eastAsia" w:asciiTheme="minorEastAsia" w:hAnsiTheme="minorEastAsia" w:eastAsiaTheme="minorEastAsia"/>
          <w:color w:val="auto"/>
          <w:sz w:val="24"/>
          <w:szCs w:val="24"/>
        </w:rPr>
        <w:t>竣工验收合格后30日内支付至合同总价的</w:t>
      </w:r>
      <w:r>
        <w:rPr>
          <w:rFonts w:hint="eastAsia" w:asciiTheme="minorEastAsia" w:hAnsiTheme="minorEastAsia" w:eastAsiaTheme="minorEastAsia"/>
          <w:color w:val="auto"/>
          <w:sz w:val="24"/>
          <w:szCs w:val="24"/>
          <w:u w:val="single"/>
        </w:rPr>
        <w:t>90</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tabs>
          <w:tab w:val="left" w:pos="525"/>
          <w:tab w:val="left" w:pos="1050"/>
          <w:tab w:val="left" w:pos="1155"/>
        </w:tabs>
        <w:spacing w:line="360" w:lineRule="auto"/>
        <w:ind w:firstLine="523" w:firstLineChars="218"/>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5）</w:t>
      </w:r>
      <w:r>
        <w:rPr>
          <w:rFonts w:hint="eastAsia" w:asciiTheme="minorEastAsia" w:hAnsiTheme="minorEastAsia" w:eastAsiaTheme="minorEastAsia"/>
          <w:color w:val="auto"/>
          <w:sz w:val="24"/>
          <w:szCs w:val="24"/>
        </w:rPr>
        <w:t>项目结算审计后30日内支付至工程结算价的</w:t>
      </w:r>
      <w:r>
        <w:rPr>
          <w:rFonts w:asciiTheme="minorEastAsia" w:hAnsiTheme="minorEastAsia" w:eastAsiaTheme="minorEastAsia"/>
          <w:color w:val="auto"/>
          <w:sz w:val="24"/>
          <w:szCs w:val="24"/>
          <w:u w:val="single"/>
        </w:rPr>
        <w:t>9</w:t>
      </w:r>
      <w:r>
        <w:rPr>
          <w:rFonts w:hint="eastAsia" w:asciiTheme="minorEastAsia" w:hAnsiTheme="minorEastAsia" w:eastAsiaTheme="minorEastAsia"/>
          <w:color w:val="auto"/>
          <w:sz w:val="24"/>
          <w:szCs w:val="24"/>
          <w:u w:val="single"/>
        </w:rPr>
        <w:t>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w:t>
      </w:r>
    </w:p>
    <w:p>
      <w:pPr>
        <w:pStyle w:val="108"/>
        <w:numPr>
          <w:ilvl w:val="0"/>
          <w:numId w:val="51"/>
        </w:numPr>
        <w:tabs>
          <w:tab w:val="left" w:pos="525"/>
          <w:tab w:val="left" w:pos="1050"/>
          <w:tab w:val="left" w:pos="1155"/>
        </w:tabs>
        <w:spacing w:line="360" w:lineRule="auto"/>
        <w:ind w:firstLineChars="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余款</w:t>
      </w:r>
      <w:r>
        <w:rPr>
          <w:rFonts w:hint="eastAsia" w:asciiTheme="minorEastAsia" w:hAnsiTheme="minorEastAsia" w:eastAsiaTheme="minorEastAsia"/>
          <w:color w:val="auto"/>
          <w:sz w:val="24"/>
          <w:szCs w:val="24"/>
          <w:u w:val="single"/>
        </w:rPr>
        <w:t xml:space="preserve"> 3 </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为质保金，质保期满后五个工作日内一次性付清。</w:t>
      </w:r>
    </w:p>
    <w:p>
      <w:pPr>
        <w:widowControl/>
        <w:adjustRightInd w:val="0"/>
        <w:spacing w:beforeLines="50" w:afterLines="50" w:line="360" w:lineRule="auto"/>
        <w:ind w:firstLine="470" w:firstLineChars="196"/>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3.合同总价包含：设备材料费、运输费、装卸货费、施工费、技术服务与培训费、质保期内的维修费、税金（按国家规定）、责任等完成本项目的所有费用。</w:t>
      </w:r>
    </w:p>
    <w:p>
      <w:pPr>
        <w:spacing w:line="360" w:lineRule="auto"/>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b/>
          <w:bCs/>
          <w:color w:val="auto"/>
          <w:sz w:val="24"/>
          <w:szCs w:val="24"/>
        </w:rPr>
        <w:t>五、</w:t>
      </w:r>
      <w:r>
        <w:rPr>
          <w:rFonts w:hint="eastAsia" w:cs="华文中宋" w:asciiTheme="minorEastAsia" w:hAnsiTheme="minorEastAsia" w:eastAsiaTheme="minorEastAsia"/>
          <w:b/>
          <w:color w:val="auto"/>
          <w:sz w:val="24"/>
          <w:szCs w:val="24"/>
        </w:rPr>
        <w:t>验收：</w:t>
      </w:r>
      <w:r>
        <w:rPr>
          <w:rFonts w:hint="eastAsia" w:cs="华文中宋" w:asciiTheme="minorEastAsia" w:hAnsiTheme="minorEastAsia" w:eastAsiaTheme="minorEastAsia"/>
          <w:color w:val="auto"/>
          <w:sz w:val="24"/>
          <w:szCs w:val="24"/>
        </w:rPr>
        <w:t>乙方需在工程完工后30天内提交竣工资料。</w:t>
      </w:r>
    </w:p>
    <w:p>
      <w:pPr>
        <w:spacing w:line="360" w:lineRule="auto"/>
        <w:rPr>
          <w:rFonts w:cs="宋体" w:asciiTheme="minorEastAsia" w:hAnsiTheme="minorEastAsia" w:eastAsiaTheme="minorEastAsia"/>
          <w:color w:val="auto"/>
          <w:sz w:val="24"/>
          <w:szCs w:val="24"/>
        </w:rPr>
      </w:pPr>
      <w:r>
        <w:rPr>
          <w:rFonts w:hint="eastAsia" w:cs="华文中宋" w:asciiTheme="minorEastAsia" w:hAnsiTheme="minorEastAsia" w:eastAsiaTheme="minorEastAsia"/>
          <w:b/>
          <w:bCs/>
          <w:color w:val="auto"/>
          <w:sz w:val="24"/>
          <w:szCs w:val="24"/>
        </w:rPr>
        <w:t>六、质量保证：</w:t>
      </w:r>
    </w:p>
    <w:p>
      <w:pPr>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1.质量要求：一次性通过验收，100%合格。</w:t>
      </w:r>
    </w:p>
    <w:p>
      <w:pPr>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项目完工后不能出现任何质量问题，一经发现乙方无条件修复，所产生的人工和材料费用由乙方自行承担；乙方在施工中如有违反国家行业规范及上述条规的，施工中有质量不合格的部分，甲方一经发现，立刻要求乙方返工整改，直到符合质量要求为止。</w:t>
      </w:r>
    </w:p>
    <w:p>
      <w:pPr>
        <w:spacing w:line="360" w:lineRule="auto"/>
        <w:ind w:firstLine="480" w:firstLineChars="200"/>
        <w:rPr>
          <w:rFonts w:cs="宋体" w:asciiTheme="minorEastAsia" w:hAnsiTheme="minorEastAsia" w:eastAsiaTheme="minorEastAsia"/>
          <w:bCs/>
          <w:color w:val="auto"/>
          <w:sz w:val="24"/>
          <w:szCs w:val="24"/>
        </w:rPr>
      </w:pPr>
      <w:r>
        <w:rPr>
          <w:rFonts w:hint="eastAsia" w:cs="华文中宋" w:asciiTheme="minorEastAsia" w:hAnsiTheme="minorEastAsia" w:eastAsiaTheme="minorEastAsia"/>
          <w:bCs/>
          <w:color w:val="auto"/>
          <w:sz w:val="24"/>
          <w:szCs w:val="24"/>
        </w:rPr>
        <w:t>3.乙方应保证货物是全新、未使用的、无假冒、伪劣并完全符合国家及行业技术规范和本合同规定的质量、规格和性能要求。</w:t>
      </w:r>
      <w:r>
        <w:rPr>
          <w:rFonts w:hint="eastAsia" w:cs="华文中宋" w:asciiTheme="minorEastAsia" w:hAnsiTheme="minorEastAsia" w:eastAsiaTheme="minorEastAsia"/>
          <w:color w:val="auto"/>
          <w:sz w:val="24"/>
          <w:szCs w:val="24"/>
        </w:rPr>
        <w:t>乙方应保证所提供的货物经正确安装、正常运行，在使用寿命期内具有满意的性能。</w:t>
      </w:r>
    </w:p>
    <w:p>
      <w:pPr>
        <w:spacing w:line="360" w:lineRule="auto"/>
        <w:ind w:firstLine="480" w:firstLineChars="200"/>
        <w:rPr>
          <w:rFonts w:cs="华文中宋" w:asciiTheme="minorEastAsia" w:hAnsiTheme="minorEastAsia" w:eastAsiaTheme="minorEastAsia"/>
          <w:color w:val="auto"/>
          <w:sz w:val="24"/>
          <w:szCs w:val="24"/>
        </w:rPr>
      </w:pPr>
      <w:r>
        <w:rPr>
          <w:rFonts w:hint="eastAsia" w:cs="宋体" w:asciiTheme="minorEastAsia" w:hAnsiTheme="minorEastAsia" w:eastAsiaTheme="minorEastAsia"/>
          <w:bCs/>
          <w:color w:val="auto"/>
          <w:sz w:val="24"/>
          <w:szCs w:val="24"/>
        </w:rPr>
        <w:t>4</w:t>
      </w:r>
      <w:r>
        <w:rPr>
          <w:rFonts w:hint="eastAsia" w:cs="华文中宋" w:asciiTheme="minorEastAsia" w:hAnsiTheme="minorEastAsia" w:eastAsiaTheme="minorEastAsia"/>
          <w:color w:val="auto"/>
          <w:sz w:val="24"/>
          <w:szCs w:val="24"/>
        </w:rPr>
        <w:t>.设备材料的品种、质量、规格等均应符合国家颁布的标准和设计规范要求，且必须满足竞争性磋商文件规定的技术规格、相关规范规定标准及工程自身的要求。</w:t>
      </w:r>
    </w:p>
    <w:p>
      <w:pPr>
        <w:spacing w:line="360" w:lineRule="auto"/>
        <w:ind w:firstLine="480" w:firstLineChars="200"/>
        <w:rPr>
          <w:rFonts w:cs="宋体" w:asciiTheme="minorEastAsia" w:hAnsiTheme="minorEastAsia" w:eastAsiaTheme="minorEastAsia"/>
          <w:bCs/>
          <w:color w:val="auto"/>
          <w:sz w:val="24"/>
          <w:szCs w:val="24"/>
        </w:rPr>
      </w:pPr>
      <w:r>
        <w:rPr>
          <w:rFonts w:hint="eastAsia" w:cs="华文中宋" w:asciiTheme="minorEastAsia" w:hAnsiTheme="minorEastAsia" w:eastAsiaTheme="minorEastAsia"/>
          <w:color w:val="auto"/>
          <w:sz w:val="24"/>
          <w:szCs w:val="24"/>
        </w:rPr>
        <w:t>5.在货物验收后的质量保证期内，如甲方使用不当等甲方造成的问题，乙方应配合解决，但费用由甲方负责。</w:t>
      </w:r>
    </w:p>
    <w:p>
      <w:pPr>
        <w:spacing w:line="360" w:lineRule="auto"/>
        <w:rPr>
          <w:rFonts w:cs="华文中宋" w:asciiTheme="minorEastAsia" w:hAnsiTheme="minorEastAsia" w:eastAsiaTheme="minorEastAsia"/>
          <w:b/>
          <w:bCs/>
          <w:color w:val="auto"/>
          <w:sz w:val="24"/>
          <w:szCs w:val="24"/>
        </w:rPr>
      </w:pPr>
      <w:r>
        <w:rPr>
          <w:rFonts w:hint="eastAsia" w:cs="华文中宋" w:asciiTheme="minorEastAsia" w:hAnsiTheme="minorEastAsia" w:eastAsiaTheme="minorEastAsia"/>
          <w:b/>
          <w:bCs/>
          <w:color w:val="auto"/>
          <w:sz w:val="24"/>
          <w:szCs w:val="24"/>
        </w:rPr>
        <w:t>七、运输及交货：</w:t>
      </w:r>
    </w:p>
    <w:p>
      <w:pPr>
        <w:pStyle w:val="33"/>
        <w:adjustRightInd w:val="0"/>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1.乙方负责安排运输工具，将货物运达甲方指定的地点，货物运输、装、卸费用由乙方承担并负责设备安装前所有货物的妥善保管,乙方负责此过程相关的安全工作。</w:t>
      </w:r>
    </w:p>
    <w:p>
      <w:pPr>
        <w:pStyle w:val="33"/>
        <w:adjustRightInd w:val="0"/>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2.在设备正常安装期间，乙方负责施工现场安全工作及保卫工作、库房内尚未安装的设备及部件的保管工作、已安装部件、库房外部件成品的保护工作。</w:t>
      </w:r>
    </w:p>
    <w:p>
      <w:pPr>
        <w:widowControl/>
        <w:spacing w:line="360" w:lineRule="auto"/>
        <w:jc w:val="left"/>
        <w:rPr>
          <w:rFonts w:cs="华文中宋" w:asciiTheme="minorEastAsia" w:hAnsiTheme="minorEastAsia" w:eastAsiaTheme="minorEastAsia"/>
          <w:b/>
          <w:bCs/>
          <w:color w:val="auto"/>
          <w:sz w:val="24"/>
          <w:szCs w:val="24"/>
        </w:rPr>
      </w:pPr>
      <w:bookmarkStart w:id="31" w:name="_Toc268015119"/>
      <w:r>
        <w:rPr>
          <w:rFonts w:hint="eastAsia" w:cs="华文中宋" w:asciiTheme="minorEastAsia" w:hAnsiTheme="minorEastAsia" w:eastAsiaTheme="minorEastAsia"/>
          <w:b/>
          <w:bCs/>
          <w:color w:val="auto"/>
          <w:sz w:val="24"/>
          <w:szCs w:val="24"/>
          <w:highlight w:val="lightGray"/>
        </w:rPr>
        <w:t>八、</w:t>
      </w:r>
      <w:r>
        <w:rPr>
          <w:rFonts w:hint="eastAsia" w:cs="华文中宋" w:asciiTheme="minorEastAsia" w:hAnsiTheme="minorEastAsia" w:eastAsiaTheme="minorEastAsia"/>
          <w:b/>
          <w:bCs/>
          <w:color w:val="auto"/>
          <w:sz w:val="24"/>
          <w:szCs w:val="24"/>
        </w:rPr>
        <w:t>检验</w:t>
      </w:r>
      <w:bookmarkEnd w:id="31"/>
      <w:r>
        <w:rPr>
          <w:rFonts w:hint="eastAsia" w:cs="华文中宋" w:asciiTheme="minorEastAsia" w:hAnsiTheme="minorEastAsia" w:eastAsiaTheme="minorEastAsia"/>
          <w:b/>
          <w:bCs/>
          <w:color w:val="auto"/>
          <w:sz w:val="24"/>
          <w:szCs w:val="24"/>
        </w:rPr>
        <w:t>：</w:t>
      </w:r>
    </w:p>
    <w:p>
      <w:pPr>
        <w:pStyle w:val="33"/>
        <w:adjustRightInd w:val="0"/>
        <w:spacing w:line="360" w:lineRule="auto"/>
        <w:ind w:firstLine="480" w:firstLineChars="200"/>
        <w:rPr>
          <w:rFonts w:cs="华文中宋" w:asciiTheme="minorEastAsia" w:hAnsiTheme="minorEastAsia" w:eastAsiaTheme="minorEastAsia"/>
          <w:color w:val="auto"/>
          <w:sz w:val="24"/>
          <w:szCs w:val="24"/>
        </w:rPr>
      </w:pPr>
      <w:bookmarkStart w:id="32" w:name="_Toc268015121"/>
      <w:r>
        <w:rPr>
          <w:rFonts w:hint="eastAsia" w:cs="华文中宋" w:asciiTheme="minorEastAsia" w:hAnsiTheme="minorEastAsia" w:eastAsiaTheme="minorEastAsia"/>
          <w:bCs/>
          <w:color w:val="auto"/>
          <w:sz w:val="24"/>
          <w:szCs w:val="24"/>
        </w:rPr>
        <w:t>1.</w:t>
      </w:r>
      <w:r>
        <w:rPr>
          <w:rFonts w:hint="eastAsia" w:cs="华文中宋" w:asciiTheme="minorEastAsia" w:hAnsiTheme="minorEastAsia" w:eastAsiaTheme="minorEastAsia"/>
          <w:color w:val="auto"/>
          <w:sz w:val="24"/>
          <w:szCs w:val="24"/>
        </w:rPr>
        <w:t>设备到达到货地点后，如因包装不当造成质量下降或破损、缺件等，乙方承担质量责任，如运输、装卸部门造成的破损、缺件等事故，由乙方承担并出面协调处理及解决。</w:t>
      </w:r>
    </w:p>
    <w:p>
      <w:pPr>
        <w:pStyle w:val="33"/>
        <w:adjustRightInd w:val="0"/>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2.本项目由乙方全面负责，乙方提供的外购、自制的一切设备设施的质量由乙方负责，甲方发现有不合格或型号差错的情况由乙方自行调换处理。</w:t>
      </w:r>
    </w:p>
    <w:p>
      <w:pPr>
        <w:pStyle w:val="33"/>
        <w:adjustRightInd w:val="0"/>
        <w:spacing w:line="360" w:lineRule="auto"/>
        <w:ind w:left="510"/>
        <w:rPr>
          <w:rFonts w:cs="华文中宋" w:asciiTheme="minorEastAsia" w:hAnsiTheme="minorEastAsia" w:eastAsiaTheme="minorEastAsia"/>
          <w:b/>
          <w:bCs/>
          <w:color w:val="auto"/>
          <w:kern w:val="0"/>
          <w:sz w:val="24"/>
          <w:szCs w:val="24"/>
        </w:rPr>
      </w:pPr>
      <w:r>
        <w:rPr>
          <w:rFonts w:hint="eastAsia" w:cs="华文中宋" w:asciiTheme="minorEastAsia" w:hAnsiTheme="minorEastAsia" w:eastAsiaTheme="minorEastAsia"/>
          <w:color w:val="auto"/>
          <w:sz w:val="24"/>
          <w:szCs w:val="24"/>
        </w:rPr>
        <w:t>3.完工检验：</w:t>
      </w:r>
      <w:r>
        <w:rPr>
          <w:rFonts w:hint="eastAsia" w:cs="华文中宋" w:asciiTheme="minorEastAsia" w:hAnsiTheme="minorEastAsia" w:eastAsiaTheme="minorEastAsia"/>
          <w:bCs/>
          <w:color w:val="auto"/>
          <w:sz w:val="24"/>
          <w:szCs w:val="24"/>
        </w:rPr>
        <w:t>工程验收按国家及本合同规定的有关技术标准规范的要求。</w:t>
      </w:r>
    </w:p>
    <w:p>
      <w:pPr>
        <w:pStyle w:val="108"/>
        <w:widowControl/>
        <w:numPr>
          <w:ilvl w:val="0"/>
          <w:numId w:val="52"/>
        </w:numPr>
        <w:spacing w:line="360" w:lineRule="auto"/>
        <w:ind w:firstLineChars="0"/>
        <w:jc w:val="left"/>
        <w:rPr>
          <w:rFonts w:cs="华文中宋" w:asciiTheme="minorEastAsia" w:hAnsiTheme="minorEastAsia" w:eastAsiaTheme="minorEastAsia"/>
          <w:b/>
          <w:bCs/>
          <w:color w:val="auto"/>
          <w:sz w:val="24"/>
          <w:szCs w:val="24"/>
        </w:rPr>
      </w:pPr>
      <w:r>
        <w:rPr>
          <w:rFonts w:hint="eastAsia" w:cs="华文中宋" w:asciiTheme="minorEastAsia" w:hAnsiTheme="minorEastAsia" w:eastAsiaTheme="minorEastAsia"/>
          <w:b/>
          <w:bCs/>
          <w:color w:val="auto"/>
          <w:sz w:val="24"/>
          <w:szCs w:val="24"/>
        </w:rPr>
        <w:t>延期交货</w:t>
      </w:r>
      <w:bookmarkEnd w:id="32"/>
      <w:r>
        <w:rPr>
          <w:rFonts w:hint="eastAsia" w:cs="华文中宋" w:asciiTheme="minorEastAsia" w:hAnsiTheme="minorEastAsia" w:eastAsiaTheme="minorEastAsia"/>
          <w:b/>
          <w:bCs/>
          <w:color w:val="auto"/>
          <w:sz w:val="24"/>
          <w:szCs w:val="24"/>
        </w:rPr>
        <w:t>（时间）：</w:t>
      </w:r>
    </w:p>
    <w:p>
      <w:pPr>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1.乙方应按照合同中甲方规定的时间完工和提供服务。期间乙方须根据实际工程施工进度及时跟进，因乙方原因导致工程延误的，乙方按照合同总价的万分之五/天支付违约金，不设上限。乙方逾期完工达20日的，甲方有权解除本合同，并要求乙方支付合同总价10%的违约金，</w:t>
      </w:r>
      <w:r>
        <w:rPr>
          <w:rFonts w:hint="eastAsia"/>
          <w:bCs/>
          <w:color w:val="auto"/>
          <w:sz w:val="24"/>
        </w:rPr>
        <w:t>违约金不足以补偿损失的，</w:t>
      </w:r>
      <w:r>
        <w:rPr>
          <w:rFonts w:hint="eastAsia" w:hAnsi="宋体"/>
          <w:bCs/>
          <w:color w:val="auto"/>
          <w:sz w:val="24"/>
        </w:rPr>
        <w:t>乙方还应赔偿不足部分。</w:t>
      </w:r>
    </w:p>
    <w:p>
      <w:pPr>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2.在履行合同过程中，如果乙方遇到不能按时交货和提供服务的情况，应及时以书面形式将不能按时交货的理由、延误时间通知甲方。甲方在收到乙方通知后，应进行分析，如果同意，酌情延长交货时间。</w:t>
      </w:r>
    </w:p>
    <w:p>
      <w:pPr>
        <w:widowControl/>
        <w:spacing w:line="360" w:lineRule="auto"/>
        <w:jc w:val="left"/>
        <w:rPr>
          <w:rFonts w:cs="华文中宋" w:asciiTheme="minorEastAsia" w:hAnsiTheme="minorEastAsia" w:eastAsiaTheme="minorEastAsia"/>
          <w:b/>
          <w:color w:val="auto"/>
          <w:sz w:val="24"/>
          <w:szCs w:val="24"/>
        </w:rPr>
      </w:pPr>
      <w:bookmarkStart w:id="33" w:name="_Toc268015123"/>
      <w:r>
        <w:rPr>
          <w:rFonts w:hint="eastAsia" w:cs="华文中宋" w:asciiTheme="minorEastAsia" w:hAnsiTheme="minorEastAsia" w:eastAsiaTheme="minorEastAsia"/>
          <w:b/>
          <w:color w:val="auto"/>
          <w:sz w:val="24"/>
          <w:szCs w:val="24"/>
          <w:highlight w:val="lightGray"/>
        </w:rPr>
        <w:t>十、</w:t>
      </w:r>
      <w:r>
        <w:rPr>
          <w:rFonts w:hint="eastAsia" w:cs="华文中宋" w:asciiTheme="minorEastAsia" w:hAnsiTheme="minorEastAsia" w:eastAsiaTheme="minorEastAsia"/>
          <w:b/>
          <w:color w:val="auto"/>
          <w:sz w:val="24"/>
          <w:szCs w:val="24"/>
        </w:rPr>
        <w:t>不可抗力</w:t>
      </w:r>
      <w:bookmarkEnd w:id="33"/>
      <w:r>
        <w:rPr>
          <w:rFonts w:hint="eastAsia" w:cs="华文中宋" w:asciiTheme="minorEastAsia" w:hAnsiTheme="minorEastAsia" w:eastAsiaTheme="minorEastAsia"/>
          <w:b/>
          <w:color w:val="auto"/>
          <w:sz w:val="24"/>
          <w:szCs w:val="24"/>
        </w:rPr>
        <w:t>：</w:t>
      </w:r>
    </w:p>
    <w:p>
      <w:pPr>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1.如果双方中任何一方由于战争、严重火灾、水灾、台风和地震以及其它经双方同意属于不可抗力的事故，致使合同履行受阻时，履行合同的期限应予延长，延长的期限应相当于事故所影响的时间。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480" w:firstLineChars="200"/>
        <w:rPr>
          <w:rFonts w:cs="华文中宋" w:asciiTheme="minorEastAsia" w:hAnsiTheme="minorEastAsia" w:eastAsiaTheme="minorEastAsia"/>
          <w:color w:val="auto"/>
          <w:sz w:val="24"/>
          <w:szCs w:val="24"/>
        </w:rPr>
      </w:pPr>
      <w:r>
        <w:rPr>
          <w:rFonts w:hint="eastAsia" w:cs="华文中宋" w:asciiTheme="minorEastAsia" w:hAnsiTheme="minorEastAsia" w:eastAsiaTheme="minorEastAsia"/>
          <w:color w:val="auto"/>
          <w:sz w:val="24"/>
          <w:szCs w:val="24"/>
        </w:rPr>
        <w:t>2.受事故影响的一方应在不可抗力的事故发生后尽快以书面形式通知另一方，并在事故发生后14天内，将有关权威部门出具的证明文件寄给或送给另一方。如果不可抗力影响时间持延续180天以上，双方应通过友好协商在合理的时间内达成进一步履行合同的协议。</w:t>
      </w:r>
    </w:p>
    <w:p>
      <w:pPr>
        <w:numPr>
          <w:ilvl w:val="255"/>
          <w:numId w:val="0"/>
        </w:num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十一、甲乙履约责任：</w:t>
      </w:r>
    </w:p>
    <w:p>
      <w:pPr>
        <w:numPr>
          <w:ilvl w:val="255"/>
          <w:numId w:val="0"/>
        </w:numPr>
        <w:adjustRightInd w:val="0"/>
        <w:spacing w:beforeLines="50" w:afterLines="50" w:line="360" w:lineRule="auto"/>
        <w:ind w:firstLine="480" w:firstLineChars="20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1.工程经验收不合格的</w:t>
      </w:r>
      <w:r>
        <w:rPr>
          <w:rFonts w:cs="Arial" w:asciiTheme="minorEastAsia" w:hAnsiTheme="minorEastAsia" w:eastAsiaTheme="minorEastAsia"/>
          <w:color w:val="auto"/>
          <w:sz w:val="24"/>
          <w:szCs w:val="24"/>
        </w:rPr>
        <w:t>，乙方</w:t>
      </w:r>
      <w:r>
        <w:rPr>
          <w:rFonts w:hint="eastAsia" w:cs="Arial" w:asciiTheme="minorEastAsia" w:hAnsiTheme="minorEastAsia" w:eastAsiaTheme="minorEastAsia"/>
          <w:color w:val="auto"/>
          <w:sz w:val="24"/>
          <w:szCs w:val="24"/>
        </w:rPr>
        <w:t>应按照甲方的要求进行整修直</w:t>
      </w:r>
      <w:r>
        <w:rPr>
          <w:rFonts w:cs="Arial" w:asciiTheme="minorEastAsia" w:hAnsiTheme="minorEastAsia" w:eastAsiaTheme="minorEastAsia"/>
          <w:color w:val="auto"/>
          <w:sz w:val="24"/>
          <w:szCs w:val="24"/>
        </w:rPr>
        <w:t>至合格，</w:t>
      </w:r>
      <w:r>
        <w:rPr>
          <w:rFonts w:hint="eastAsia" w:cs="Arial" w:asciiTheme="minorEastAsia" w:hAnsiTheme="minorEastAsia" w:eastAsiaTheme="minorEastAsia"/>
          <w:color w:val="auto"/>
          <w:sz w:val="24"/>
          <w:szCs w:val="24"/>
        </w:rPr>
        <w:t>相应的验收费用及整修费用均由乙方承担，且乙方还应向甲方支付合同总价</w:t>
      </w:r>
      <w:r>
        <w:rPr>
          <w:rFonts w:cs="Arial" w:asciiTheme="minorEastAsia" w:hAnsiTheme="minorEastAsia" w:eastAsiaTheme="minorEastAsia"/>
          <w:color w:val="auto"/>
          <w:sz w:val="24"/>
          <w:szCs w:val="24"/>
        </w:rPr>
        <w:t>5%</w:t>
      </w:r>
      <w:r>
        <w:rPr>
          <w:rFonts w:hint="eastAsia" w:cs="Arial" w:asciiTheme="minorEastAsia" w:hAnsiTheme="minorEastAsia" w:eastAsiaTheme="minorEastAsia"/>
          <w:color w:val="auto"/>
          <w:sz w:val="24"/>
          <w:szCs w:val="24"/>
        </w:rPr>
        <w:t>的</w:t>
      </w:r>
      <w:r>
        <w:rPr>
          <w:rFonts w:cs="Arial" w:asciiTheme="minorEastAsia" w:hAnsiTheme="minorEastAsia" w:eastAsiaTheme="minorEastAsia"/>
          <w:color w:val="auto"/>
          <w:sz w:val="24"/>
          <w:szCs w:val="24"/>
        </w:rPr>
        <w:t>质量违约金，</w:t>
      </w:r>
      <w:r>
        <w:rPr>
          <w:rFonts w:hint="eastAsia"/>
          <w:bCs/>
          <w:color w:val="auto"/>
          <w:sz w:val="24"/>
        </w:rPr>
        <w:t>违约金不足以补偿损失的，</w:t>
      </w:r>
      <w:r>
        <w:rPr>
          <w:rFonts w:hint="eastAsia" w:hAnsi="宋体"/>
          <w:bCs/>
          <w:color w:val="auto"/>
          <w:sz w:val="24"/>
        </w:rPr>
        <w:t>乙方还应赔偿不足部分。</w:t>
      </w:r>
      <w:r>
        <w:rPr>
          <w:rFonts w:cs="Arial" w:asciiTheme="minorEastAsia" w:hAnsiTheme="minorEastAsia" w:eastAsiaTheme="minorEastAsia"/>
          <w:color w:val="auto"/>
          <w:sz w:val="24"/>
          <w:szCs w:val="24"/>
        </w:rPr>
        <w:t>返修工期并入总工期计算。</w:t>
      </w:r>
    </w:p>
    <w:p>
      <w:pPr>
        <w:spacing w:line="360" w:lineRule="auto"/>
        <w:ind w:firstLine="480" w:firstLineChars="200"/>
        <w:jc w:val="left"/>
        <w:rPr>
          <w:rFonts w:hAnsi="宋体"/>
          <w:color w:val="auto"/>
          <w:sz w:val="24"/>
        </w:rPr>
      </w:pPr>
      <w:r>
        <w:rPr>
          <w:rFonts w:hint="eastAsia" w:ascii="Calibri" w:hAnsi="宋体"/>
          <w:color w:val="auto"/>
          <w:sz w:val="24"/>
        </w:rPr>
        <w:t>2.</w:t>
      </w:r>
      <w:r>
        <w:rPr>
          <w:rFonts w:hint="eastAsia" w:cs="Arial" w:asciiTheme="minorEastAsia" w:hAnsiTheme="minorEastAsia" w:eastAsiaTheme="minorEastAsia"/>
          <w:color w:val="auto"/>
          <w:sz w:val="24"/>
          <w:szCs w:val="24"/>
        </w:rPr>
        <w:t>因乙方</w:t>
      </w:r>
      <w:r>
        <w:rPr>
          <w:rFonts w:hint="eastAsia" w:hAnsi="宋体" w:cs="Arial"/>
          <w:color w:val="auto"/>
          <w:sz w:val="24"/>
          <w:szCs w:val="24"/>
        </w:rPr>
        <w:t>原因引起的工程质量、施工</w:t>
      </w:r>
      <w:r>
        <w:rPr>
          <w:rFonts w:hint="eastAsia" w:cs="Arial" w:asciiTheme="minorEastAsia" w:hAnsiTheme="minorEastAsia" w:eastAsiaTheme="minorEastAsia"/>
          <w:color w:val="auto"/>
          <w:sz w:val="24"/>
          <w:szCs w:val="24"/>
        </w:rPr>
        <w:t>安全等问题对他人造成损害的，乙方须承担因此产生的所有责任和后果</w:t>
      </w:r>
      <w:r>
        <w:rPr>
          <w:rFonts w:hint="eastAsia" w:hAnsi="宋体"/>
          <w:color w:val="auto"/>
          <w:sz w:val="24"/>
        </w:rPr>
        <w:t>（</w:t>
      </w:r>
      <w:r>
        <w:rPr>
          <w:rFonts w:hint="eastAsia" w:hAnsi="宋体"/>
          <w:bCs/>
          <w:color w:val="auto"/>
          <w:sz w:val="24"/>
        </w:rPr>
        <w:t>包括但不限于甲方先行赔付的赔偿金、支出的律师费、诉讼费、差旅费等合理费用）</w:t>
      </w:r>
      <w:r>
        <w:rPr>
          <w:rFonts w:hint="eastAsia" w:hAnsi="宋体"/>
          <w:color w:val="auto"/>
          <w:sz w:val="24"/>
        </w:rPr>
        <w:t>。</w:t>
      </w:r>
      <w:r>
        <w:rPr>
          <w:rFonts w:hint="eastAsia" w:cs="Arial" w:asciiTheme="minorEastAsia" w:hAnsiTheme="minorEastAsia" w:eastAsiaTheme="minorEastAsia"/>
          <w:color w:val="auto"/>
          <w:sz w:val="24"/>
          <w:szCs w:val="24"/>
        </w:rPr>
        <w:t>若甲方认为需先行处理的（基于甲方的特殊性，甲方</w:t>
      </w:r>
      <w:r>
        <w:rPr>
          <w:rFonts w:hint="eastAsia" w:hAnsi="宋体" w:cs="Arial"/>
          <w:color w:val="auto"/>
          <w:sz w:val="24"/>
          <w:szCs w:val="24"/>
        </w:rPr>
        <w:t>可以调解结案），</w:t>
      </w:r>
      <w:r>
        <w:rPr>
          <w:rFonts w:hint="eastAsia" w:ascii="Calibri" w:hAnsi="宋体"/>
          <w:color w:val="auto"/>
          <w:sz w:val="24"/>
        </w:rPr>
        <w:t>处理结案后甲方有权向乙方全额追偿（乙方对追偿数额放弃抗辩权）。</w:t>
      </w:r>
    </w:p>
    <w:p>
      <w:pPr>
        <w:numPr>
          <w:ilvl w:val="255"/>
          <w:numId w:val="0"/>
        </w:numPr>
        <w:adjustRightInd w:val="0"/>
        <w:spacing w:beforeLines="50" w:afterLines="50" w:line="360" w:lineRule="auto"/>
        <w:ind w:firstLine="480" w:firstLineChars="20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3.任何一方违反本合同约定导致本合同无法履行的，违约方需支付守约方本项目合同总价的10%作为违约金，如违约金不足以弥补守约方造成的实际损失，违约方应赔偿守约方所有的实际损失。</w:t>
      </w:r>
    </w:p>
    <w:p>
      <w:pPr>
        <w:spacing w:line="360" w:lineRule="auto"/>
        <w:rPr>
          <w:rFonts w:cs="华文中宋" w:asciiTheme="minorEastAsia" w:hAnsiTheme="minorEastAsia" w:eastAsiaTheme="minorEastAsia"/>
          <w:b/>
          <w:color w:val="auto"/>
          <w:sz w:val="24"/>
          <w:szCs w:val="24"/>
        </w:rPr>
      </w:pPr>
      <w:r>
        <w:rPr>
          <w:rFonts w:hint="eastAsia" w:cs="华文中宋" w:asciiTheme="minorEastAsia" w:hAnsiTheme="minorEastAsia" w:eastAsiaTheme="minorEastAsia"/>
          <w:b/>
          <w:color w:val="auto"/>
          <w:sz w:val="24"/>
          <w:szCs w:val="24"/>
        </w:rPr>
        <w:t>十二</w:t>
      </w:r>
      <w:r>
        <w:rPr>
          <w:rFonts w:hint="eastAsia" w:cs="Arial" w:asciiTheme="minorEastAsia" w:hAnsiTheme="minorEastAsia" w:eastAsiaTheme="minorEastAsia"/>
          <w:b/>
          <w:color w:val="auto"/>
          <w:sz w:val="24"/>
          <w:szCs w:val="24"/>
        </w:rPr>
        <w:t>、</w:t>
      </w:r>
      <w:r>
        <w:rPr>
          <w:rFonts w:hint="eastAsia" w:cs="华文中宋" w:asciiTheme="minorEastAsia" w:hAnsiTheme="minorEastAsia" w:eastAsiaTheme="minorEastAsia"/>
          <w:b/>
          <w:color w:val="auto"/>
          <w:sz w:val="24"/>
          <w:szCs w:val="24"/>
        </w:rPr>
        <w:t>合同纠纷：</w:t>
      </w:r>
    </w:p>
    <w:p>
      <w:pPr>
        <w:spacing w:line="360" w:lineRule="auto"/>
        <w:ind w:firstLine="480" w:firstLineChars="200"/>
        <w:rPr>
          <w:rFonts w:cs="Arial"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甲乙双方应通过友好协商，解决在执行本合同中所发生的或与本合同有关的一切争端，如果协商仍得不到解决，由无锡仲裁委员会仲裁；除正在进行仲裁的部分外，本合同其它部分应继续执行。</w:t>
      </w:r>
    </w:p>
    <w:p>
      <w:pPr>
        <w:numPr>
          <w:ilvl w:val="255"/>
          <w:numId w:val="0"/>
        </w:numPr>
        <w:adjustRightInd w:val="0"/>
        <w:spacing w:beforeLines="50" w:afterLines="50" w:line="360" w:lineRule="auto"/>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十三、合同生效及其他：</w:t>
      </w:r>
    </w:p>
    <w:p>
      <w:pPr>
        <w:widowControl/>
        <w:numPr>
          <w:ilvl w:val="0"/>
          <w:numId w:val="53"/>
        </w:numPr>
        <w:adjustRightInd w:val="0"/>
        <w:spacing w:beforeLines="50" w:afterLines="50" w:line="360" w:lineRule="auto"/>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合同订立时间：年月日。</w:t>
      </w:r>
    </w:p>
    <w:p>
      <w:pPr>
        <w:widowControl/>
        <w:numPr>
          <w:ilvl w:val="0"/>
          <w:numId w:val="53"/>
        </w:numPr>
        <w:adjustRightInd w:val="0"/>
        <w:spacing w:beforeLines="50" w:afterLines="50" w:line="360" w:lineRule="auto"/>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合同订立地点：</w:t>
      </w:r>
      <w:r>
        <w:rPr>
          <w:rFonts w:hint="eastAsia" w:cs="Arial" w:asciiTheme="minorEastAsia" w:hAnsiTheme="minorEastAsia" w:eastAsiaTheme="minorEastAsia"/>
          <w:color w:val="auto"/>
          <w:sz w:val="24"/>
          <w:szCs w:val="24"/>
          <w:u w:val="single"/>
        </w:rPr>
        <w:t xml:space="preserve">   。</w:t>
      </w:r>
    </w:p>
    <w:p>
      <w:pPr>
        <w:widowControl/>
        <w:numPr>
          <w:ilvl w:val="0"/>
          <w:numId w:val="53"/>
        </w:numPr>
        <w:adjustRightInd w:val="0"/>
        <w:spacing w:beforeLines="50" w:afterLines="50" w:line="360" w:lineRule="auto"/>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本合同在以下条件满足之后生效：本合同经双方签字（盖章）后生效。</w:t>
      </w:r>
    </w:p>
    <w:p>
      <w:pPr>
        <w:pStyle w:val="108"/>
        <w:widowControl/>
        <w:numPr>
          <w:ilvl w:val="0"/>
          <w:numId w:val="53"/>
        </w:numPr>
        <w:adjustRightInd w:val="0"/>
        <w:spacing w:beforeLines="50" w:afterLines="50" w:line="360" w:lineRule="auto"/>
        <w:ind w:firstLineChars="0"/>
        <w:jc w:val="left"/>
        <w:rPr>
          <w:rFonts w:cs="Arial" w:asciiTheme="minorEastAsia" w:hAnsiTheme="minorEastAsia" w:eastAsiaTheme="minorEastAsia"/>
          <w:color w:val="auto"/>
          <w:sz w:val="24"/>
          <w:szCs w:val="24"/>
        </w:rPr>
      </w:pPr>
      <w:r>
        <w:rPr>
          <w:rFonts w:hint="eastAsia" w:hAnsi="宋体"/>
          <w:bCs/>
          <w:color w:val="auto"/>
          <w:sz w:val="24"/>
          <w:szCs w:val="24"/>
        </w:rPr>
        <w:t>合同一式六份，甲乙双方各执二份，江阴方正建设工程造价事务所有限公司二份。</w:t>
      </w:r>
    </w:p>
    <w:p>
      <w:pPr>
        <w:pStyle w:val="26"/>
        <w:spacing w:line="360" w:lineRule="auto"/>
        <w:ind w:left="68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本合同未约定事宜，另行签订补充协议。</w:t>
      </w:r>
    </w:p>
    <w:p>
      <w:pPr>
        <w:pStyle w:val="26"/>
        <w:spacing w:line="360" w:lineRule="auto"/>
        <w:ind w:left="418" w:leftChars="123"/>
        <w:jc w:val="left"/>
        <w:rPr>
          <w:rFonts w:cs="仿宋" w:asciiTheme="minorEastAsia" w:hAnsiTheme="minorEastAsia" w:eastAsiaTheme="minorEastAsia"/>
          <w:color w:val="auto"/>
          <w:spacing w:val="-6"/>
          <w:sz w:val="24"/>
          <w:szCs w:val="24"/>
        </w:rPr>
      </w:pPr>
      <w:r>
        <w:rPr>
          <w:rFonts w:hint="eastAsia" w:cs="Arial" w:asciiTheme="minorEastAsia" w:hAnsiTheme="minorEastAsia" w:eastAsiaTheme="minorEastAsia"/>
          <w:color w:val="auto"/>
          <w:sz w:val="24"/>
          <w:szCs w:val="24"/>
        </w:rPr>
        <w:t xml:space="preserve">5. </w:t>
      </w:r>
      <w:r>
        <w:rPr>
          <w:rFonts w:hint="eastAsia" w:hAnsi="宋体"/>
          <w:bCs/>
          <w:color w:val="auto"/>
          <w:sz w:val="24"/>
          <w:szCs w:val="24"/>
        </w:rPr>
        <w:t>竞争性磋商文件、响应文件及成交通知书，乙方在报价、谈判过程中所作其它有关承诺、声明、书面澄清等均为本合同不可分割的部分，与本合同具有同等法律效力。</w:t>
      </w:r>
      <w:r>
        <w:rPr>
          <w:rFonts w:hAnsi="宋体" w:cs="宋体"/>
          <w:color w:val="auto"/>
          <w:sz w:val="24"/>
          <w:szCs w:val="24"/>
          <w:lang w:val="zh-TW" w:eastAsia="zh-TW"/>
        </w:rPr>
        <w:t>若该等条款与本合同内容相冲突的，以本合同内容为准。</w:t>
      </w:r>
    </w:p>
    <w:tbl>
      <w:tblPr>
        <w:tblStyle w:val="7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甲方（盖章）：</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法定（授权）代表人（签字）：</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法定（授权）代表人（签字）：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纳税人识别号：</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电话：</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地址：</w:t>
            </w:r>
          </w:p>
        </w:tc>
        <w:tc>
          <w:tcPr>
            <w:tcW w:w="4621" w:type="dxa"/>
          </w:tcPr>
          <w:p>
            <w:pPr>
              <w:tabs>
                <w:tab w:val="left" w:pos="5150"/>
              </w:tabs>
              <w:autoSpaceDE w:val="0"/>
              <w:autoSpaceDN w:val="0"/>
              <w:adjustRightInd w:val="0"/>
              <w:spacing w:before="100" w:after="100" w:line="360" w:lineRule="auto"/>
              <w:ind w:left="720" w:right="6" w:hanging="720" w:hangingChars="30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账号：</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开户行：</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日期：</w:t>
            </w:r>
          </w:p>
        </w:tc>
        <w:tc>
          <w:tcPr>
            <w:tcW w:w="4621" w:type="dxa"/>
          </w:tcPr>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日期：</w:t>
            </w:r>
          </w:p>
        </w:tc>
      </w:tr>
    </w:tbl>
    <w:p>
      <w:pPr>
        <w:tabs>
          <w:tab w:val="left" w:pos="5150"/>
        </w:tabs>
        <w:autoSpaceDE w:val="0"/>
        <w:autoSpaceDN w:val="0"/>
        <w:adjustRightInd w:val="0"/>
        <w:spacing w:before="100" w:after="100" w:line="360" w:lineRule="auto"/>
        <w:ind w:right="6"/>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见证单位：江阴方正建设工程造价事务所有限公司（盖章）</w:t>
      </w:r>
    </w:p>
    <w:p>
      <w:pPr>
        <w:tabs>
          <w:tab w:val="left" w:pos="5150"/>
        </w:tabs>
        <w:autoSpaceDE w:val="0"/>
        <w:autoSpaceDN w:val="0"/>
        <w:adjustRightInd w:val="0"/>
        <w:spacing w:before="100" w:after="100" w:line="360" w:lineRule="auto"/>
        <w:ind w:right="6"/>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日期：</w:t>
      </w:r>
    </w:p>
    <w:p>
      <w:pPr>
        <w:pStyle w:val="2"/>
        <w:numPr>
          <w:ilvl w:val="0"/>
          <w:numId w:val="0"/>
        </w:numPr>
        <w:ind w:left="992" w:hanging="992"/>
        <w:jc w:val="left"/>
        <w:rPr>
          <w:color w:val="auto"/>
        </w:rPr>
      </w:pPr>
      <w:r>
        <w:rPr>
          <w:rFonts w:hint="eastAsia" w:hAnsi="宋体"/>
          <w:bCs w:val="0"/>
          <w:color w:val="auto"/>
          <w:sz w:val="24"/>
          <w:szCs w:val="24"/>
        </w:rPr>
        <w:t>★.</w:t>
      </w:r>
      <w:r>
        <w:rPr>
          <w:rFonts w:hint="eastAsia" w:hAnsi="宋体"/>
          <w:b w:val="0"/>
          <w:bCs w:val="0"/>
          <w:color w:val="auto"/>
          <w:sz w:val="24"/>
          <w:szCs w:val="24"/>
        </w:rPr>
        <w:t>备注：</w:t>
      </w:r>
      <w:r>
        <w:rPr>
          <w:rFonts w:hint="eastAsia" w:hAnsi="宋体"/>
          <w:bCs w:val="0"/>
          <w:color w:val="auto"/>
          <w:sz w:val="24"/>
          <w:szCs w:val="24"/>
        </w:rPr>
        <w:t>供需双方必须以本格式文本拟订合同。</w:t>
      </w:r>
      <w:bookmarkStart w:id="34" w:name="五．合同条款"/>
      <w:bookmarkEnd w:id="34"/>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1"/>
          <w:szCs w:val="21"/>
        </w:rPr>
      </w:pPr>
    </w:p>
    <w:p>
      <w:pPr>
        <w:pStyle w:val="26"/>
        <w:ind w:left="680"/>
        <w:jc w:val="left"/>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附件一：</w:t>
      </w:r>
    </w:p>
    <w:p>
      <w:pPr>
        <w:spacing w:beforeLines="50" w:afterLines="50" w:line="312" w:lineRule="auto"/>
        <w:jc w:val="center"/>
        <w:rPr>
          <w:rFonts w:cs="黑体" w:asciiTheme="minorEastAsia" w:hAnsiTheme="minorEastAsia" w:eastAsiaTheme="minorEastAsia"/>
          <w:color w:val="auto"/>
          <w:sz w:val="24"/>
          <w:szCs w:val="24"/>
        </w:rPr>
      </w:pPr>
      <w:r>
        <w:rPr>
          <w:rFonts w:hint="eastAsia" w:cs="黑体" w:asciiTheme="minorEastAsia" w:hAnsiTheme="minorEastAsia" w:eastAsiaTheme="minorEastAsia"/>
          <w:color w:val="auto"/>
          <w:sz w:val="24"/>
          <w:szCs w:val="24"/>
        </w:rPr>
        <w:t>履约担保</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（发包人名称）：</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鉴于（发包人名称，以下简称“发包人”）与</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承包人名称）（以下称“承包人”）于年月日就（工程名称）施工及有关事项协商一致共同签订《无锡市精神卫生中心精神科病房楼供应室、制剂室、实验区配套工程合同书》。我方愿意无条件地、不可撤销地就承包人履行与你方签订的合同，向你方提供连带责任担保。 </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 担保金额人民币（大写）元（</w:t>
      </w:r>
      <w:r>
        <w:rPr>
          <w:rFonts w:hint="eastAsia" w:cs="宋体"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rPr>
        <w:t>）。</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 担保有效期自你方与承包人签订的合同生效之日起至你方签发或应签发工程接收证书之日止。</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 在本担保有效期内，因承包人违反合同约定的义务给你方造成经济损失时，我方在收到你方以书面形式提出的在担保金额内的赔偿要求后，在7天内无条件支付。</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 你方和承包人按合同约定变更合同时，我方承担本担保规定的义务不变。</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 因本保函发生的纠纷，可由双方协商解决，协商不成的，任何一方均可提请</w:t>
      </w:r>
      <w:r>
        <w:rPr>
          <w:rFonts w:hint="eastAsia" w:cs="仿宋" w:asciiTheme="minorEastAsia" w:hAnsiTheme="minorEastAsia" w:eastAsiaTheme="minorEastAsia"/>
          <w:color w:val="auto"/>
          <w:sz w:val="24"/>
          <w:szCs w:val="24"/>
          <w:u w:val="single"/>
        </w:rPr>
        <w:t xml:space="preserve">        无锡</w:t>
      </w:r>
      <w:r>
        <w:rPr>
          <w:rFonts w:hint="eastAsia" w:cs="仿宋" w:asciiTheme="minorEastAsia" w:hAnsiTheme="minorEastAsia" w:eastAsiaTheme="minorEastAsia"/>
          <w:color w:val="auto"/>
          <w:sz w:val="24"/>
          <w:szCs w:val="24"/>
        </w:rPr>
        <w:t>仲裁委员会仲裁。</w:t>
      </w:r>
    </w:p>
    <w:p>
      <w:pPr>
        <w:spacing w:line="312"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6. 本保函自我方法定代表人（或其授权代理人）签字并加盖公章之日起生效。</w:t>
      </w:r>
    </w:p>
    <w:p>
      <w:pPr>
        <w:spacing w:line="312" w:lineRule="auto"/>
        <w:rPr>
          <w:rFonts w:cs="仿宋" w:asciiTheme="minorEastAsia" w:hAnsiTheme="minorEastAsia" w:eastAsiaTheme="minorEastAsia"/>
          <w:color w:val="auto"/>
          <w:sz w:val="24"/>
          <w:szCs w:val="24"/>
        </w:rPr>
      </w:pP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担 保 人：  （盖单位章）</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法定代表人或其委托代理人：（签字）</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    址：                        </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邮政编码：</w:t>
      </w:r>
    </w:p>
    <w:p>
      <w:pPr>
        <w:spacing w:line="312" w:lineRule="auto"/>
        <w:rPr>
          <w:rFonts w:cs="仿宋" w:asciiTheme="minorEastAsia" w:hAnsiTheme="minorEastAsia" w:eastAsiaTheme="minorEastAsia"/>
          <w:color w:val="auto"/>
          <w:sz w:val="24"/>
          <w:szCs w:val="24"/>
          <w:u w:val="single"/>
        </w:rPr>
      </w:pPr>
      <w:r>
        <w:rPr>
          <w:rFonts w:hint="eastAsia" w:cs="仿宋" w:asciiTheme="minorEastAsia" w:hAnsiTheme="minorEastAsia" w:eastAsiaTheme="minorEastAsia"/>
          <w:color w:val="auto"/>
          <w:sz w:val="24"/>
          <w:szCs w:val="24"/>
        </w:rPr>
        <w:t>电    话：</w:t>
      </w:r>
    </w:p>
    <w:p>
      <w:pPr>
        <w:spacing w:line="312"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传    真：</w:t>
      </w:r>
    </w:p>
    <w:p>
      <w:pPr>
        <w:spacing w:line="312" w:lineRule="auto"/>
        <w:jc w:val="left"/>
        <w:rPr>
          <w:rFonts w:cs="仿宋" w:asciiTheme="minorEastAsia" w:hAnsiTheme="minorEastAsia" w:eastAsiaTheme="minorEastAsia"/>
          <w:color w:val="auto"/>
          <w:sz w:val="24"/>
          <w:szCs w:val="24"/>
          <w:u w:val="single"/>
        </w:rPr>
      </w:pPr>
    </w:p>
    <w:p>
      <w:pPr>
        <w:spacing w:line="312" w:lineRule="auto"/>
        <w:ind w:left="1519" w:hanging="1519" w:hangingChars="63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年月日</w:t>
      </w:r>
    </w:p>
    <w:p>
      <w:pPr>
        <w:spacing w:line="312" w:lineRule="auto"/>
        <w:ind w:left="1519" w:hanging="1519" w:hangingChars="633"/>
        <w:rPr>
          <w:rFonts w:asciiTheme="minorEastAsia" w:hAnsiTheme="minorEastAsia" w:eastAsiaTheme="minorEastAsia"/>
          <w:color w:val="auto"/>
          <w:sz w:val="24"/>
          <w:szCs w:val="24"/>
        </w:rPr>
      </w:pPr>
    </w:p>
    <w:p>
      <w:pPr>
        <w:pStyle w:val="2"/>
        <w:numPr>
          <w:ilvl w:val="0"/>
          <w:numId w:val="0"/>
        </w:numPr>
        <w:rPr>
          <w:rFonts w:asciiTheme="minorEastAsia" w:hAnsiTheme="minorEastAsia" w:eastAsiaTheme="minorEastAsia"/>
          <w:color w:val="auto"/>
          <w:sz w:val="21"/>
          <w:szCs w:val="21"/>
        </w:rPr>
      </w:pPr>
    </w:p>
    <w:p>
      <w:pPr>
        <w:pStyle w:val="2"/>
        <w:numPr>
          <w:ilvl w:val="0"/>
          <w:numId w:val="0"/>
        </w:numPr>
        <w:ind w:left="992"/>
        <w:rPr>
          <w:color w:val="auto"/>
        </w:rPr>
      </w:pPr>
    </w:p>
    <w:p>
      <w:pPr>
        <w:spacing w:line="440" w:lineRule="exact"/>
        <w:rPr>
          <w:rFonts w:hAnsi="宋体" w:cs="宋体"/>
          <w:b/>
          <w:bCs/>
          <w:color w:val="auto"/>
          <w:sz w:val="32"/>
          <w:szCs w:val="32"/>
        </w:rPr>
      </w:pPr>
    </w:p>
    <w:p>
      <w:pPr>
        <w:topLinePunct/>
        <w:spacing w:line="360" w:lineRule="auto"/>
        <w:rPr>
          <w:rFonts w:hAnsi="宋体" w:cs="宋体"/>
          <w:b/>
          <w:bCs/>
          <w:color w:val="auto"/>
          <w:sz w:val="32"/>
          <w:szCs w:val="32"/>
        </w:rPr>
      </w:pPr>
    </w:p>
    <w:p>
      <w:pPr>
        <w:topLinePunct/>
        <w:spacing w:line="360" w:lineRule="auto"/>
        <w:rPr>
          <w:rFonts w:hAnsi="宋体" w:cs="宋体"/>
          <w:b/>
          <w:bCs/>
          <w:color w:val="auto"/>
          <w:sz w:val="32"/>
          <w:szCs w:val="32"/>
        </w:rPr>
      </w:pPr>
      <w:r>
        <w:rPr>
          <w:rFonts w:hint="eastAsia" w:hAnsi="宋体" w:cs="宋体"/>
          <w:b/>
          <w:bCs/>
          <w:color w:val="auto"/>
          <w:sz w:val="32"/>
          <w:szCs w:val="32"/>
        </w:rPr>
        <w:t>五．附件（响应文件格式）</w:t>
      </w:r>
    </w:p>
    <w:p>
      <w:pPr>
        <w:spacing w:line="360" w:lineRule="auto"/>
        <w:jc w:val="right"/>
        <w:outlineLvl w:val="0"/>
        <w:rPr>
          <w:rFonts w:hAnsi="宋体" w:cs="宋体"/>
          <w:b/>
          <w:color w:val="auto"/>
          <w:sz w:val="32"/>
          <w:szCs w:val="32"/>
        </w:rPr>
      </w:pPr>
    </w:p>
    <w:p>
      <w:pPr>
        <w:spacing w:line="360" w:lineRule="auto"/>
        <w:jc w:val="center"/>
        <w:rPr>
          <w:rFonts w:cs="宋体" w:asciiTheme="minorEastAsia" w:hAnsiTheme="minorEastAsia" w:eastAsiaTheme="minorEastAsia"/>
          <w:b/>
          <w:color w:val="auto"/>
          <w:sz w:val="48"/>
        </w:rPr>
      </w:pPr>
      <w:bookmarkStart w:id="35" w:name="校园网系统报价和服务承诺表（格式）"/>
      <w:bookmarkEnd w:id="35"/>
      <w:bookmarkStart w:id="36" w:name="（报价人）法定代表人授权书（格式）"/>
      <w:bookmarkEnd w:id="36"/>
      <w:r>
        <w:rPr>
          <w:rFonts w:hint="eastAsia" w:cs="宋体" w:asciiTheme="minorEastAsia" w:hAnsiTheme="minorEastAsia" w:eastAsiaTheme="minorEastAsia"/>
          <w:b/>
          <w:color w:val="auto"/>
          <w:sz w:val="48"/>
        </w:rPr>
        <w:t>项目竞争性磋商</w:t>
      </w:r>
    </w:p>
    <w:p>
      <w:pPr>
        <w:spacing w:line="360" w:lineRule="auto"/>
        <w:jc w:val="center"/>
        <w:rPr>
          <w:rFonts w:cs="宋体" w:asciiTheme="minorEastAsia" w:hAnsiTheme="minorEastAsia" w:eastAsiaTheme="minorEastAsia"/>
          <w:b/>
          <w:color w:val="auto"/>
          <w:sz w:val="72"/>
        </w:rPr>
      </w:pPr>
      <w:r>
        <w:rPr>
          <w:rFonts w:hint="eastAsia" w:cs="宋体" w:asciiTheme="minorEastAsia" w:hAnsiTheme="minorEastAsia" w:eastAsiaTheme="minorEastAsia"/>
          <w:b/>
          <w:color w:val="auto"/>
          <w:sz w:val="72"/>
        </w:rPr>
        <w:t>响应文件</w:t>
      </w:r>
    </w:p>
    <w:p>
      <w:pPr>
        <w:spacing w:line="360" w:lineRule="auto"/>
        <w:jc w:val="center"/>
        <w:rPr>
          <w:rFonts w:cs="宋体" w:asciiTheme="minorEastAsia" w:hAnsiTheme="minorEastAsia" w:eastAsiaTheme="minorEastAsia"/>
          <w:b/>
          <w:color w:val="auto"/>
          <w:sz w:val="48"/>
        </w:rPr>
      </w:pPr>
    </w:p>
    <w:p>
      <w:pPr>
        <w:spacing w:line="360" w:lineRule="auto"/>
        <w:jc w:val="center"/>
        <w:rPr>
          <w:rFonts w:cs="宋体" w:asciiTheme="minorEastAsia" w:hAnsiTheme="minorEastAsia" w:eastAsiaTheme="minorEastAsia"/>
          <w:b/>
          <w:color w:val="auto"/>
          <w:sz w:val="48"/>
        </w:rPr>
      </w:pPr>
    </w:p>
    <w:p>
      <w:pPr>
        <w:snapToGrid w:val="0"/>
        <w:spacing w:line="360" w:lineRule="auto"/>
        <w:rPr>
          <w:rFonts w:hAnsi="宋体" w:cs="宋体"/>
          <w:b/>
          <w:color w:val="auto"/>
          <w:sz w:val="28"/>
          <w:u w:val="single"/>
        </w:rPr>
      </w:pPr>
      <w:r>
        <w:rPr>
          <w:rFonts w:hint="eastAsia" w:cs="宋体" w:asciiTheme="minorEastAsia" w:hAnsiTheme="minorEastAsia" w:eastAsiaTheme="minorEastAsia"/>
          <w:b/>
          <w:color w:val="auto"/>
          <w:sz w:val="28"/>
        </w:rPr>
        <w:t xml:space="preserve">采购编号： </w:t>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p>
    <w:p>
      <w:pPr>
        <w:snapToGrid w:val="0"/>
        <w:spacing w:line="360" w:lineRule="auto"/>
        <w:rPr>
          <w:rFonts w:cs="宋体" w:asciiTheme="minorEastAsia" w:hAnsiTheme="minorEastAsia" w:eastAsiaTheme="minorEastAsia"/>
          <w:b/>
          <w:color w:val="auto"/>
          <w:sz w:val="30"/>
          <w:u w:val="single"/>
        </w:rPr>
      </w:pPr>
      <w:r>
        <w:rPr>
          <w:rFonts w:hint="eastAsia" w:cs="宋体" w:asciiTheme="minorEastAsia" w:hAnsiTheme="minorEastAsia" w:eastAsiaTheme="minorEastAsia"/>
          <w:b/>
          <w:color w:val="auto"/>
          <w:sz w:val="28"/>
        </w:rPr>
        <w:t>项目</w:t>
      </w:r>
      <w:r>
        <w:rPr>
          <w:rFonts w:hint="eastAsia" w:cs="宋体" w:asciiTheme="minorEastAsia" w:hAnsiTheme="minorEastAsia" w:eastAsiaTheme="minorEastAsia"/>
          <w:b/>
          <w:color w:val="auto"/>
          <w:sz w:val="30"/>
        </w:rPr>
        <w:t>名称：</w:t>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p>
    <w:p>
      <w:pPr>
        <w:snapToGrid w:val="0"/>
        <w:spacing w:line="360" w:lineRule="auto"/>
        <w:rPr>
          <w:rFonts w:cs="宋体" w:asciiTheme="minorEastAsia" w:hAnsiTheme="minorEastAsia" w:eastAsiaTheme="minorEastAsia"/>
          <w:color w:val="auto"/>
          <w:sz w:val="30"/>
          <w:szCs w:val="30"/>
        </w:rPr>
      </w:pPr>
      <w:r>
        <w:rPr>
          <w:rFonts w:hint="eastAsia" w:cs="宋体" w:asciiTheme="minorEastAsia" w:hAnsiTheme="minorEastAsia" w:eastAsiaTheme="minorEastAsia"/>
          <w:b/>
          <w:color w:val="auto"/>
          <w:sz w:val="30"/>
        </w:rPr>
        <w:t>响应文件内容：</w:t>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ab/>
      </w:r>
    </w:p>
    <w:p>
      <w:pPr>
        <w:snapToGrid w:val="0"/>
        <w:spacing w:line="360" w:lineRule="auto"/>
        <w:rPr>
          <w:rFonts w:hAnsi="宋体" w:cs="宋体"/>
          <w:b/>
          <w:bCs/>
          <w:color w:val="auto"/>
          <w:sz w:val="30"/>
          <w:szCs w:val="30"/>
          <w:u w:val="single"/>
        </w:rPr>
      </w:pPr>
    </w:p>
    <w:p>
      <w:pPr>
        <w:snapToGrid w:val="0"/>
        <w:spacing w:line="360" w:lineRule="auto"/>
        <w:rPr>
          <w:rFonts w:hAnsi="宋体" w:cs="宋体"/>
          <w:b/>
          <w:color w:val="auto"/>
          <w:sz w:val="30"/>
          <w:szCs w:val="30"/>
        </w:rPr>
      </w:pPr>
      <w:r>
        <w:rPr>
          <w:rFonts w:hint="eastAsia" w:hAnsi="宋体" w:cs="宋体"/>
          <w:b/>
          <w:bCs/>
          <w:color w:val="auto"/>
          <w:sz w:val="30"/>
          <w:szCs w:val="30"/>
        </w:rPr>
        <w:t>年月日时分</w:t>
      </w:r>
      <w:r>
        <w:rPr>
          <w:rFonts w:hint="eastAsia" w:hAnsi="宋体" w:cs="宋体"/>
          <w:color w:val="auto"/>
          <w:sz w:val="30"/>
          <w:szCs w:val="30"/>
        </w:rPr>
        <w:t>开标，此时间以前不得开封；</w:t>
      </w:r>
    </w:p>
    <w:p>
      <w:pPr>
        <w:snapToGrid w:val="0"/>
        <w:spacing w:line="360" w:lineRule="auto"/>
        <w:rPr>
          <w:rFonts w:cs="宋体" w:asciiTheme="minorEastAsia" w:hAnsiTheme="minorEastAsia" w:eastAsiaTheme="minorEastAsia"/>
          <w:b/>
          <w:color w:val="auto"/>
          <w:sz w:val="30"/>
        </w:rPr>
      </w:pPr>
    </w:p>
    <w:p>
      <w:pPr>
        <w:snapToGrid w:val="0"/>
        <w:spacing w:line="360" w:lineRule="auto"/>
        <w:rPr>
          <w:rFonts w:cs="宋体" w:asciiTheme="minorEastAsia" w:hAnsiTheme="minorEastAsia" w:eastAsiaTheme="minorEastAsia"/>
          <w:b/>
          <w:color w:val="auto"/>
          <w:sz w:val="30"/>
          <w:u w:val="single"/>
        </w:rPr>
      </w:pPr>
      <w:r>
        <w:rPr>
          <w:rFonts w:hint="eastAsia" w:cs="宋体" w:asciiTheme="minorEastAsia" w:hAnsiTheme="minorEastAsia" w:eastAsiaTheme="minorEastAsia"/>
          <w:b/>
          <w:color w:val="auto"/>
          <w:sz w:val="30"/>
        </w:rPr>
        <w:t>供应商：</w:t>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 xml:space="preserve">                   （盖公章）</w:t>
      </w:r>
    </w:p>
    <w:p>
      <w:pPr>
        <w:snapToGrid w:val="0"/>
        <w:spacing w:line="360" w:lineRule="auto"/>
        <w:rPr>
          <w:rFonts w:cs="宋体" w:asciiTheme="minorEastAsia" w:hAnsiTheme="minorEastAsia" w:eastAsiaTheme="minorEastAsia"/>
          <w:b/>
          <w:color w:val="auto"/>
          <w:sz w:val="30"/>
        </w:rPr>
      </w:pPr>
      <w:r>
        <w:rPr>
          <w:rFonts w:hint="eastAsia" w:cs="宋体" w:asciiTheme="minorEastAsia" w:hAnsiTheme="minorEastAsia" w:eastAsiaTheme="minorEastAsia"/>
          <w:b/>
          <w:color w:val="auto"/>
          <w:sz w:val="30"/>
        </w:rPr>
        <w:t>法定代表人或</w:t>
      </w:r>
    </w:p>
    <w:p>
      <w:pPr>
        <w:snapToGrid w:val="0"/>
        <w:spacing w:line="360" w:lineRule="auto"/>
        <w:rPr>
          <w:rFonts w:cs="宋体" w:asciiTheme="minorEastAsia" w:hAnsiTheme="minorEastAsia" w:eastAsiaTheme="minorEastAsia"/>
          <w:b/>
          <w:color w:val="auto"/>
          <w:sz w:val="30"/>
          <w:u w:val="single"/>
        </w:rPr>
      </w:pPr>
      <w:r>
        <w:rPr>
          <w:rFonts w:hint="eastAsia" w:cs="宋体" w:asciiTheme="minorEastAsia" w:hAnsiTheme="minorEastAsia" w:eastAsiaTheme="minorEastAsia"/>
          <w:b/>
          <w:color w:val="auto"/>
          <w:sz w:val="30"/>
        </w:rPr>
        <w:t>其委托代理人：</w:t>
      </w:r>
      <w:r>
        <w:rPr>
          <w:rFonts w:hint="eastAsia" w:cs="宋体" w:asciiTheme="minorEastAsia" w:hAnsiTheme="minorEastAsia" w:eastAsiaTheme="minorEastAsia"/>
          <w:b/>
          <w:color w:val="auto"/>
          <w:sz w:val="30"/>
          <w:u w:val="single"/>
        </w:rPr>
        <w:tab/>
      </w:r>
      <w:r>
        <w:rPr>
          <w:rFonts w:hint="eastAsia" w:cs="宋体" w:asciiTheme="minorEastAsia" w:hAnsiTheme="minorEastAsia" w:eastAsiaTheme="minorEastAsia"/>
          <w:b/>
          <w:color w:val="auto"/>
          <w:sz w:val="30"/>
          <w:u w:val="single"/>
        </w:rPr>
        <w:t xml:space="preserve">          （签字或盖章）</w:t>
      </w:r>
    </w:p>
    <w:p>
      <w:pPr>
        <w:snapToGrid w:val="0"/>
        <w:spacing w:line="360" w:lineRule="auto"/>
        <w:rPr>
          <w:rFonts w:cs="宋体" w:asciiTheme="minorEastAsia" w:hAnsiTheme="minorEastAsia" w:eastAsiaTheme="minorEastAsia"/>
          <w:b/>
          <w:color w:val="auto"/>
          <w:sz w:val="30"/>
        </w:rPr>
      </w:pPr>
    </w:p>
    <w:p>
      <w:pPr>
        <w:snapToGrid w:val="0"/>
        <w:spacing w:line="360" w:lineRule="auto"/>
        <w:jc w:val="center"/>
        <w:rPr>
          <w:rFonts w:cs="宋体" w:asciiTheme="minorEastAsia" w:hAnsiTheme="minorEastAsia" w:eastAsiaTheme="minorEastAsia"/>
          <w:b/>
          <w:color w:val="auto"/>
          <w:sz w:val="30"/>
        </w:rPr>
      </w:pPr>
      <w:r>
        <w:rPr>
          <w:rFonts w:hint="eastAsia" w:cs="宋体" w:asciiTheme="minorEastAsia" w:hAnsiTheme="minorEastAsia" w:eastAsiaTheme="minorEastAsia"/>
          <w:b/>
          <w:color w:val="auto"/>
          <w:sz w:val="30"/>
        </w:rPr>
        <w:t>日  期： 年 月   日</w:t>
      </w:r>
    </w:p>
    <w:p>
      <w:pPr>
        <w:pageBreakBefore/>
        <w:outlineLvl w:val="0"/>
        <w:rPr>
          <w:rFonts w:hAnsi="宋体" w:cs="宋体"/>
          <w:bCs/>
          <w:color w:val="auto"/>
          <w:sz w:val="24"/>
          <w:szCs w:val="24"/>
        </w:rPr>
      </w:pPr>
      <w:r>
        <w:rPr>
          <w:rFonts w:hint="eastAsia" w:hAnsi="宋体" w:cs="宋体"/>
          <w:bCs/>
          <w:color w:val="auto"/>
          <w:sz w:val="24"/>
          <w:szCs w:val="24"/>
        </w:rPr>
        <w:t>（一）响应函（格式）：</w:t>
      </w:r>
    </w:p>
    <w:p>
      <w:pPr>
        <w:spacing w:line="360" w:lineRule="auto"/>
        <w:jc w:val="center"/>
        <w:rPr>
          <w:rFonts w:hAnsi="宋体" w:cs="宋体"/>
          <w:bCs/>
          <w:color w:val="auto"/>
          <w:sz w:val="24"/>
          <w:szCs w:val="24"/>
        </w:rPr>
      </w:pPr>
      <w:r>
        <w:rPr>
          <w:rFonts w:hint="eastAsia" w:hAnsi="宋体" w:cs="宋体"/>
          <w:bCs/>
          <w:color w:val="auto"/>
          <w:sz w:val="28"/>
          <w:szCs w:val="28"/>
        </w:rPr>
        <w:t>响应函</w:t>
      </w:r>
    </w:p>
    <w:p>
      <w:pPr>
        <w:widowControl/>
        <w:topLinePunct/>
        <w:spacing w:before="4" w:line="360" w:lineRule="auto"/>
        <w:rPr>
          <w:rFonts w:hAnsi="宋体" w:cs="宋体"/>
          <w:color w:val="auto"/>
          <w:sz w:val="24"/>
        </w:rPr>
      </w:pPr>
      <w:r>
        <w:rPr>
          <w:rFonts w:hint="eastAsia" w:hAnsi="宋体" w:cs="宋体"/>
          <w:color w:val="auto"/>
          <w:sz w:val="24"/>
        </w:rPr>
        <w:t>致：江阴方正建设工程造价事务所有限公司</w:t>
      </w:r>
    </w:p>
    <w:p>
      <w:pPr>
        <w:topLinePunct/>
        <w:spacing w:line="360" w:lineRule="auto"/>
        <w:ind w:firstLine="480" w:firstLineChars="200"/>
        <w:rPr>
          <w:rFonts w:hAnsi="宋体" w:cs="宋体"/>
          <w:color w:val="auto"/>
          <w:sz w:val="24"/>
        </w:rPr>
      </w:pPr>
      <w:r>
        <w:rPr>
          <w:rFonts w:hint="eastAsia" w:hAnsi="宋体" w:cs="宋体"/>
          <w:color w:val="auto"/>
          <w:sz w:val="24"/>
        </w:rPr>
        <w:t>一、根据已收到的采购编号为的</w:t>
      </w:r>
      <w:r>
        <w:rPr>
          <w:rFonts w:hint="eastAsia" w:hAnsi="宋体" w:cs="宋体"/>
          <w:b/>
          <w:color w:val="auto"/>
          <w:sz w:val="24"/>
          <w:u w:val="single"/>
        </w:rPr>
        <w:t xml:space="preserve">    （采购项目名称 ）   </w:t>
      </w:r>
      <w:r>
        <w:rPr>
          <w:rFonts w:hint="eastAsia" w:hAnsi="宋体" w:cs="宋体"/>
          <w:color w:val="auto"/>
          <w:sz w:val="24"/>
        </w:rPr>
        <w:t>的磋商文件，遵照国家法律、法规和规章的有关规定，我方经过踏勘现场和对磋商文件等所有文件的研究后，我方愿以人民币(大写)元（RMB</w:t>
      </w:r>
      <w:r>
        <w:rPr>
          <w:rFonts w:hint="eastAsia" w:hAnsi="宋体" w:cs="宋体"/>
          <w:color w:val="auto"/>
          <w:sz w:val="24"/>
          <w:u w:val="single"/>
        </w:rPr>
        <w:t xml:space="preserve">￥      </w:t>
      </w:r>
      <w:r>
        <w:rPr>
          <w:rFonts w:hint="eastAsia" w:hAnsi="宋体" w:cs="宋体"/>
          <w:color w:val="auto"/>
          <w:sz w:val="24"/>
        </w:rPr>
        <w:t>元）的投标报价并按上述合同条款质量标准和工程量清单的条件要求承包工程的施工、竣工，并承担任何质量缺陷保修责任。</w:t>
      </w:r>
    </w:p>
    <w:p>
      <w:pPr>
        <w:topLinePunct/>
        <w:spacing w:line="360" w:lineRule="auto"/>
        <w:ind w:firstLine="480" w:firstLineChars="200"/>
        <w:rPr>
          <w:rFonts w:hAnsi="宋体" w:cs="宋体"/>
          <w:color w:val="auto"/>
          <w:sz w:val="24"/>
        </w:rPr>
      </w:pPr>
      <w:r>
        <w:rPr>
          <w:rFonts w:hint="eastAsia" w:hAnsi="宋体" w:cs="宋体"/>
          <w:color w:val="auto"/>
          <w:sz w:val="24"/>
        </w:rPr>
        <w:t>二、我方已详细审核全部磋商文件，包括修改文件（如有时）及有关附件，并响应磋商文件各条款。</w:t>
      </w:r>
    </w:p>
    <w:p>
      <w:pPr>
        <w:topLinePunct/>
        <w:spacing w:line="360" w:lineRule="auto"/>
        <w:ind w:firstLine="480" w:firstLineChars="200"/>
        <w:rPr>
          <w:rFonts w:hAnsi="宋体" w:cs="宋体"/>
          <w:color w:val="auto"/>
          <w:sz w:val="24"/>
        </w:rPr>
      </w:pPr>
      <w:r>
        <w:rPr>
          <w:rFonts w:hint="eastAsia" w:hAnsi="宋体" w:cs="宋体"/>
          <w:color w:val="auto"/>
          <w:sz w:val="24"/>
        </w:rPr>
        <w:t>三、我方承认开标一览表是我方响应函的组成部分。</w:t>
      </w:r>
    </w:p>
    <w:p>
      <w:pPr>
        <w:topLinePunct/>
        <w:spacing w:line="360" w:lineRule="auto"/>
        <w:ind w:firstLine="480" w:firstLineChars="200"/>
        <w:rPr>
          <w:rFonts w:hAnsi="宋体" w:cs="宋体"/>
          <w:color w:val="auto"/>
          <w:sz w:val="24"/>
        </w:rPr>
      </w:pPr>
      <w:r>
        <w:rPr>
          <w:rFonts w:hint="eastAsia" w:hAnsi="宋体" w:cs="宋体"/>
          <w:color w:val="auto"/>
          <w:sz w:val="24"/>
        </w:rPr>
        <w:t>四、一旦我方中标，我方保证按合同协议书中规定的工期</w:t>
      </w:r>
      <w:r>
        <w:rPr>
          <w:rFonts w:hint="eastAsia" w:hAnsi="宋体" w:cs="宋体"/>
          <w:color w:val="auto"/>
          <w:sz w:val="24"/>
          <w:u w:val="single"/>
        </w:rPr>
        <w:t xml:space="preserve">      </w:t>
      </w:r>
      <w:r>
        <w:rPr>
          <w:rFonts w:hint="eastAsia" w:hAnsi="宋体" w:cs="宋体"/>
          <w:b/>
          <w:color w:val="auto"/>
          <w:sz w:val="24"/>
        </w:rPr>
        <w:t>日历天</w:t>
      </w:r>
      <w:r>
        <w:rPr>
          <w:rFonts w:hint="eastAsia" w:hAnsi="宋体" w:cs="宋体"/>
          <w:color w:val="auto"/>
          <w:sz w:val="24"/>
        </w:rPr>
        <w:t>内完成并移交全部工程，并承担违约责任如下：</w:t>
      </w:r>
      <w:r>
        <w:rPr>
          <w:rFonts w:hint="eastAsia" w:hAnsi="宋体" w:cs="宋体"/>
          <w:color w:val="auto"/>
          <w:sz w:val="24"/>
          <w:u w:val="single"/>
        </w:rPr>
        <w:t xml:space="preserve">                                      。</w:t>
      </w:r>
    </w:p>
    <w:p>
      <w:pPr>
        <w:topLinePunct/>
        <w:spacing w:line="360" w:lineRule="auto"/>
        <w:ind w:firstLine="480" w:firstLineChars="200"/>
        <w:rPr>
          <w:rFonts w:hAnsi="宋体" w:cs="宋体"/>
          <w:color w:val="auto"/>
          <w:sz w:val="24"/>
        </w:rPr>
      </w:pPr>
      <w:r>
        <w:rPr>
          <w:rFonts w:hint="eastAsia" w:hAnsi="宋体" w:cs="宋体"/>
          <w:color w:val="auto"/>
          <w:sz w:val="24"/>
        </w:rPr>
        <w:t>五、除非另外达成协议并生效，你方的成交通知书和本响应文件将成为约束双方的合同文件的组成部分；</w:t>
      </w:r>
    </w:p>
    <w:p>
      <w:pPr>
        <w:topLinePunct/>
        <w:spacing w:line="360" w:lineRule="auto"/>
        <w:ind w:firstLine="480" w:firstLineChars="200"/>
        <w:rPr>
          <w:rFonts w:hAnsi="宋体" w:cs="宋体"/>
          <w:color w:val="auto"/>
          <w:sz w:val="24"/>
        </w:rPr>
      </w:pPr>
      <w:r>
        <w:rPr>
          <w:rFonts w:hint="eastAsia" w:hAnsi="宋体" w:cs="宋体"/>
          <w:color w:val="auto"/>
          <w:sz w:val="24"/>
        </w:rPr>
        <w:t>六、我方将采取一切有效技术、管理措施，确保该工程质量达到</w:t>
      </w:r>
      <w:r>
        <w:rPr>
          <w:rFonts w:hint="eastAsia" w:hAnsi="宋体" w:cs="宋体"/>
          <w:color w:val="auto"/>
          <w:sz w:val="24"/>
          <w:u w:val="single"/>
        </w:rPr>
        <w:t xml:space="preserve">          </w:t>
      </w:r>
      <w:r>
        <w:rPr>
          <w:rFonts w:hint="eastAsia" w:hAnsi="宋体" w:cs="宋体"/>
          <w:color w:val="auto"/>
          <w:sz w:val="24"/>
        </w:rPr>
        <w:t>等级，并承担违约责任如下：</w:t>
      </w:r>
      <w:r>
        <w:rPr>
          <w:rFonts w:hint="eastAsia" w:hAnsi="宋体" w:cs="宋体"/>
          <w:color w:val="auto"/>
          <w:sz w:val="24"/>
          <w:u w:val="single"/>
        </w:rPr>
        <w:t xml:space="preserve">                                                 。</w:t>
      </w:r>
    </w:p>
    <w:p>
      <w:pPr>
        <w:topLinePunct/>
        <w:spacing w:line="360" w:lineRule="auto"/>
        <w:ind w:firstLine="482" w:firstLineChars="200"/>
        <w:rPr>
          <w:rFonts w:hAnsi="宋体" w:cs="宋体"/>
          <w:b/>
          <w:color w:val="auto"/>
          <w:sz w:val="24"/>
        </w:rPr>
      </w:pPr>
      <w:r>
        <w:rPr>
          <w:rFonts w:hint="eastAsia" w:hAnsi="宋体" w:cs="宋体"/>
          <w:b/>
          <w:color w:val="auto"/>
          <w:sz w:val="24"/>
        </w:rPr>
        <w:t>我公司出具的项目负责人为：</w:t>
      </w:r>
      <w:r>
        <w:rPr>
          <w:rFonts w:hint="eastAsia" w:hAnsi="宋体" w:cs="宋体"/>
          <w:b/>
          <w:color w:val="auto"/>
          <w:sz w:val="24"/>
          <w:u w:val="single"/>
        </w:rPr>
        <w:t xml:space="preserve">           </w:t>
      </w:r>
      <w:r>
        <w:rPr>
          <w:rFonts w:hint="eastAsia" w:hAnsi="宋体" w:cs="宋体"/>
          <w:b/>
          <w:color w:val="auto"/>
          <w:sz w:val="24"/>
        </w:rPr>
        <w:t>，资质情况：</w:t>
      </w:r>
      <w:r>
        <w:rPr>
          <w:rFonts w:hint="eastAsia" w:hAnsi="宋体" w:cs="宋体"/>
          <w:b/>
          <w:color w:val="auto"/>
          <w:sz w:val="24"/>
          <w:u w:val="single"/>
        </w:rPr>
        <w:t xml:space="preserve">              </w:t>
      </w:r>
      <w:r>
        <w:rPr>
          <w:rFonts w:hint="eastAsia" w:hAnsi="宋体" w:cs="宋体"/>
          <w:b/>
          <w:color w:val="auto"/>
          <w:sz w:val="24"/>
        </w:rPr>
        <w:t>。</w:t>
      </w:r>
    </w:p>
    <w:p>
      <w:pPr>
        <w:widowControl/>
        <w:topLinePunct/>
        <w:spacing w:before="4" w:line="360" w:lineRule="auto"/>
        <w:ind w:left="340" w:leftChars="100" w:firstLine="240" w:firstLineChars="100"/>
        <w:rPr>
          <w:rFonts w:hAnsi="宋体" w:cs="宋体"/>
          <w:color w:val="auto"/>
          <w:sz w:val="24"/>
        </w:rPr>
      </w:pPr>
      <w:r>
        <w:rPr>
          <w:rFonts w:hint="eastAsia" w:hAnsi="宋体" w:cs="宋体"/>
          <w:color w:val="auto"/>
          <w:sz w:val="24"/>
        </w:rPr>
        <w:t>七、我方愿意提供江阴方正建设工程造价事务所有限公司在磋商文件中要求的文件、资料（具体内容如下）：</w:t>
      </w:r>
    </w:p>
    <w:p>
      <w:pPr>
        <w:pStyle w:val="103"/>
        <w:numPr>
          <w:ilvl w:val="0"/>
          <w:numId w:val="0"/>
        </w:numPr>
        <w:tabs>
          <w:tab w:val="left" w:pos="1050"/>
          <w:tab w:val="left" w:pos="1365"/>
          <w:tab w:val="clear" w:pos="1080"/>
        </w:tabs>
        <w:adjustRightInd w:val="0"/>
        <w:snapToGrid w:val="0"/>
        <w:spacing w:line="360" w:lineRule="auto"/>
        <w:ind w:firstLine="482" w:firstLineChars="200"/>
        <w:jc w:val="left"/>
        <w:rPr>
          <w:rFonts w:ascii="宋体" w:hAnsi="宋体"/>
          <w:color w:val="auto"/>
        </w:rPr>
      </w:pPr>
      <w:r>
        <w:rPr>
          <w:rFonts w:hint="eastAsia" w:ascii="宋体" w:hAnsi="宋体"/>
          <w:b/>
          <w:color w:val="auto"/>
        </w:rPr>
        <w:t>投标文件分为商务标（明标）和技术标（暗标）两部分，商务部分由证明文件部分、投标函部分、报价部分组成（装订成一册）；技术标部分单独装订成一册。明标一正两副，暗标一正五副；另需提供电子标书一份（U盘），电子标书需包括投标文件全部内容，电子标书密封于商务标正本中</w:t>
      </w:r>
      <w:r>
        <w:rPr>
          <w:rFonts w:hint="eastAsia" w:ascii="宋体" w:hAnsi="宋体"/>
          <w:color w:val="auto"/>
        </w:rPr>
        <w:t>。</w:t>
      </w:r>
    </w:p>
    <w:p>
      <w:pPr>
        <w:overflowPunct w:val="0"/>
        <w:spacing w:line="440" w:lineRule="exact"/>
        <w:ind w:firstLine="241" w:firstLineChars="100"/>
        <w:rPr>
          <w:rFonts w:hAnsi="宋体"/>
          <w:color w:val="auto"/>
          <w:sz w:val="24"/>
        </w:rPr>
      </w:pPr>
      <w:r>
        <w:rPr>
          <w:rFonts w:hint="eastAsia" w:hAnsi="宋体"/>
          <w:b/>
          <w:bCs/>
          <w:color w:val="auto"/>
          <w:sz w:val="24"/>
        </w:rPr>
        <w:t>第一部分 商务标（明标）</w:t>
      </w:r>
    </w:p>
    <w:p>
      <w:pPr>
        <w:pStyle w:val="103"/>
        <w:numPr>
          <w:ilvl w:val="0"/>
          <w:numId w:val="0"/>
        </w:numPr>
        <w:tabs>
          <w:tab w:val="left" w:pos="1050"/>
          <w:tab w:val="left" w:pos="1365"/>
          <w:tab w:val="clear" w:pos="1080"/>
        </w:tabs>
        <w:adjustRightInd w:val="0"/>
        <w:snapToGrid w:val="0"/>
        <w:spacing w:line="360" w:lineRule="auto"/>
        <w:ind w:firstLine="480" w:firstLineChars="200"/>
        <w:jc w:val="left"/>
        <w:rPr>
          <w:rFonts w:ascii="宋体" w:hAnsi="宋体" w:cs="宋体"/>
          <w:b/>
          <w:color w:val="auto"/>
        </w:rPr>
      </w:pPr>
      <w:r>
        <w:rPr>
          <w:rFonts w:hint="eastAsia" w:ascii="宋体" w:hAnsi="宋体"/>
          <w:color w:val="auto"/>
        </w:rPr>
        <w:t>1.证明文件部分</w:t>
      </w:r>
      <w:r>
        <w:rPr>
          <w:rFonts w:hint="eastAsia" w:ascii="宋体" w:hAnsi="宋体" w:cs="宋体"/>
          <w:b/>
          <w:color w:val="auto"/>
        </w:rPr>
        <w:t>：</w:t>
      </w:r>
    </w:p>
    <w:p>
      <w:pPr>
        <w:tabs>
          <w:tab w:val="left" w:pos="525"/>
          <w:tab w:val="left" w:pos="1050"/>
        </w:tabs>
        <w:adjustRightInd w:val="0"/>
        <w:snapToGrid w:val="0"/>
        <w:spacing w:line="360" w:lineRule="auto"/>
        <w:ind w:firstLine="480" w:firstLineChars="200"/>
        <w:rPr>
          <w:rFonts w:hAnsi="宋体" w:cs="宋体"/>
          <w:bCs/>
          <w:color w:val="auto"/>
          <w:sz w:val="24"/>
        </w:rPr>
      </w:pPr>
      <w:r>
        <w:rPr>
          <w:rFonts w:hint="eastAsia" w:hAnsi="宋体"/>
          <w:color w:val="auto"/>
          <w:sz w:val="24"/>
        </w:rPr>
        <w:t>1.1 资格、资信证明文件</w:t>
      </w:r>
      <w:r>
        <w:rPr>
          <w:rFonts w:hint="eastAsia" w:hAnsi="宋体" w:cs="宋体"/>
          <w:bCs/>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color w:val="auto"/>
          <w:sz w:val="24"/>
        </w:rPr>
        <w:t>（1）关于资格的声明函</w:t>
      </w:r>
      <w:r>
        <w:rPr>
          <w:rFonts w:hint="eastAsia" w:hAnsi="宋体" w:cs="宋体"/>
          <w:bCs/>
          <w:color w:val="auto"/>
          <w:sz w:val="24"/>
        </w:rPr>
        <w:t>（格式见附件）</w:t>
      </w:r>
      <w:r>
        <w:rPr>
          <w:rFonts w:hint="eastAsia" w:hAnsi="宋体" w:cs="宋体"/>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bCs/>
          <w:color w:val="auto"/>
          <w:sz w:val="24"/>
        </w:rPr>
        <w:t>（2）投标供应商法定代表人授权委托书</w:t>
      </w:r>
      <w:r>
        <w:rPr>
          <w:rFonts w:hint="eastAsia" w:hAnsi="宋体" w:cs="宋体"/>
          <w:color w:val="auto"/>
          <w:sz w:val="24"/>
        </w:rPr>
        <w:t>（</w:t>
      </w:r>
      <w:r>
        <w:rPr>
          <w:rFonts w:hint="eastAsia" w:hAnsi="宋体" w:cs="宋体"/>
          <w:bCs/>
          <w:color w:val="auto"/>
          <w:sz w:val="24"/>
        </w:rPr>
        <w:t>法定代表人亲自参与投标的除外，格式见附件</w:t>
      </w:r>
      <w:r>
        <w:rPr>
          <w:rFonts w:hint="eastAsia" w:hAnsi="宋体" w:cs="宋体"/>
          <w:color w:val="auto"/>
          <w:sz w:val="24"/>
        </w:rPr>
        <w:t>）</w:t>
      </w:r>
      <w:r>
        <w:rPr>
          <w:rFonts w:hint="eastAsia" w:hAnsi="宋体" w:cs="宋体"/>
          <w:bCs/>
          <w:color w:val="auto"/>
          <w:sz w:val="24"/>
        </w:rPr>
        <w:t>；</w:t>
      </w:r>
    </w:p>
    <w:p>
      <w:pPr>
        <w:tabs>
          <w:tab w:val="left" w:pos="1276"/>
        </w:tabs>
        <w:spacing w:line="360" w:lineRule="auto"/>
        <w:ind w:firstLine="480" w:firstLineChars="200"/>
        <w:rPr>
          <w:rFonts w:hAnsi="宋体" w:cs="宋体"/>
          <w:color w:val="auto"/>
          <w:sz w:val="24"/>
        </w:rPr>
      </w:pPr>
      <w:r>
        <w:rPr>
          <w:rFonts w:hint="eastAsia" w:hAnsi="宋体" w:cs="宋体"/>
          <w:bCs/>
          <w:color w:val="auto"/>
          <w:sz w:val="24"/>
        </w:rPr>
        <w:t>（3）投标供应商法定代表人身份证复印件及法定代表人授权代表身份证复印件</w:t>
      </w:r>
      <w:r>
        <w:rPr>
          <w:rFonts w:hint="eastAsia" w:hAnsi="宋体" w:cs="宋体"/>
          <w:b/>
          <w:color w:val="auto"/>
          <w:sz w:val="24"/>
        </w:rPr>
        <w:t>（</w:t>
      </w:r>
      <w:r>
        <w:rPr>
          <w:rFonts w:hint="eastAsia" w:hAnsi="宋体" w:cs="宋体"/>
          <w:b/>
          <w:bCs/>
          <w:color w:val="auto"/>
          <w:sz w:val="24"/>
        </w:rPr>
        <w:t>投标时必须携带参加开标会议的法定代表人或法定代表人授权代表有效身份证明原件</w:t>
      </w:r>
      <w:r>
        <w:rPr>
          <w:rFonts w:hint="eastAsia" w:hAnsi="宋体" w:cs="宋体"/>
          <w:b/>
          <w:color w:val="auto"/>
          <w:sz w:val="24"/>
        </w:rPr>
        <w:t>）</w:t>
      </w:r>
      <w:r>
        <w:rPr>
          <w:rFonts w:hint="eastAsia" w:hAnsi="宋体" w:cs="宋体"/>
          <w:b/>
          <w:bCs/>
          <w:color w:val="auto"/>
          <w:sz w:val="24"/>
        </w:rPr>
        <w:t>；</w:t>
      </w:r>
    </w:p>
    <w:p>
      <w:pPr>
        <w:spacing w:line="360" w:lineRule="auto"/>
        <w:ind w:firstLine="480" w:firstLineChars="200"/>
        <w:rPr>
          <w:rFonts w:hAnsi="宋体"/>
          <w:color w:val="auto"/>
          <w:sz w:val="24"/>
        </w:rPr>
      </w:pPr>
      <w:r>
        <w:rPr>
          <w:rFonts w:hint="eastAsia" w:hAnsi="宋体"/>
          <w:color w:val="auto"/>
          <w:sz w:val="24"/>
        </w:rPr>
        <w:t>（4）授权代表及项目负责人与企业签订的劳动合同和由法定的社保收缴部门出具的2021年6月-2021年11月的投标供应商依法为其缴纳社会保险证明（社会保险证明须提交原件或含有县(区)级及以上社保部门电子签章或带二维码验证的打印件）（如投标人成立时间迟于要求的开始月份，则时间要求为投标人成立时间至截止时间）</w:t>
      </w:r>
      <w:r>
        <w:rPr>
          <w:rFonts w:hint="eastAsia" w:hAnsi="宋体"/>
          <w:b/>
          <w:bCs/>
          <w:color w:val="auto"/>
          <w:sz w:val="24"/>
        </w:rPr>
        <w:t>（投标时必须提交原件或网上查询带有二维码/验证码的打印件）</w:t>
      </w:r>
      <w:r>
        <w:rPr>
          <w:rFonts w:hint="eastAsia" w:hAnsi="宋体"/>
          <w:color w:val="auto"/>
          <w:sz w:val="24"/>
        </w:rPr>
        <w:t>；</w:t>
      </w:r>
    </w:p>
    <w:p>
      <w:pPr>
        <w:spacing w:line="360" w:lineRule="auto"/>
        <w:ind w:firstLine="480" w:firstLineChars="200"/>
        <w:rPr>
          <w:rFonts w:hAnsi="宋体"/>
          <w:b/>
          <w:color w:val="auto"/>
          <w:sz w:val="24"/>
        </w:rPr>
      </w:pPr>
      <w:r>
        <w:rPr>
          <w:rFonts w:hint="eastAsia" w:hAnsi="宋体"/>
          <w:color w:val="auto"/>
          <w:sz w:val="24"/>
        </w:rPr>
        <w:t>（5）投标供应商有效期内企业法人营业执照、组织机构代码证、税务登记证复印件加盖公章</w:t>
      </w:r>
      <w:r>
        <w:rPr>
          <w:rFonts w:hint="eastAsia" w:hAnsi="宋体"/>
          <w:b/>
          <w:color w:val="auto"/>
          <w:sz w:val="24"/>
        </w:rPr>
        <w:t>（三证合一的投标供应商只需提供营业执照）；</w:t>
      </w:r>
    </w:p>
    <w:p>
      <w:pPr>
        <w:tabs>
          <w:tab w:val="left" w:pos="1276"/>
        </w:tabs>
        <w:spacing w:line="360" w:lineRule="auto"/>
        <w:ind w:firstLine="480" w:firstLineChars="200"/>
        <w:rPr>
          <w:rFonts w:hAnsi="宋体" w:cs="宋体"/>
          <w:color w:val="auto"/>
          <w:sz w:val="24"/>
        </w:rPr>
      </w:pPr>
      <w:r>
        <w:rPr>
          <w:rFonts w:hint="eastAsia" w:hAnsi="宋体" w:cs="宋体"/>
          <w:color w:val="auto"/>
          <w:sz w:val="24"/>
        </w:rPr>
        <w:t>（6）投标供应商</w:t>
      </w:r>
      <w:r>
        <w:rPr>
          <w:rFonts w:hint="eastAsia" w:hAnsi="宋体"/>
          <w:color w:val="auto"/>
          <w:sz w:val="24"/>
        </w:rPr>
        <w:t>有效期内</w:t>
      </w:r>
      <w:r>
        <w:rPr>
          <w:rFonts w:hint="eastAsia" w:hAnsi="宋体" w:cs="Arial"/>
          <w:color w:val="auto"/>
          <w:sz w:val="24"/>
        </w:rPr>
        <w:t>建筑机电安装工程专业承包贰级资质及</w:t>
      </w:r>
      <w:r>
        <w:rPr>
          <w:rFonts w:hAnsi="宋体" w:cs="Arial"/>
          <w:color w:val="auto"/>
          <w:sz w:val="24"/>
        </w:rPr>
        <w:t>以</w:t>
      </w:r>
      <w:r>
        <w:rPr>
          <w:rFonts w:hint="eastAsia" w:hAnsi="宋体" w:cs="Arial"/>
          <w:color w:val="auto"/>
          <w:sz w:val="24"/>
        </w:rPr>
        <w:t>上且具备有效的安全生产许可证证书</w:t>
      </w:r>
      <w:r>
        <w:rPr>
          <w:rFonts w:hint="eastAsia" w:hAnsi="宋体"/>
          <w:color w:val="auto"/>
          <w:sz w:val="24"/>
        </w:rPr>
        <w:t>复印件加盖公章；</w:t>
      </w:r>
    </w:p>
    <w:p>
      <w:pPr>
        <w:tabs>
          <w:tab w:val="left" w:pos="1276"/>
        </w:tabs>
        <w:spacing w:line="360" w:lineRule="auto"/>
        <w:ind w:firstLine="480" w:firstLineChars="200"/>
        <w:rPr>
          <w:rFonts w:hAnsi="宋体" w:cs="宋体"/>
          <w:color w:val="auto"/>
          <w:sz w:val="24"/>
          <w:szCs w:val="22"/>
        </w:rPr>
      </w:pPr>
      <w:r>
        <w:rPr>
          <w:rFonts w:hint="eastAsia" w:hAnsi="宋体" w:cs="宋体"/>
          <w:color w:val="auto"/>
          <w:sz w:val="24"/>
          <w:szCs w:val="22"/>
        </w:rPr>
        <w:t>（7）</w:t>
      </w:r>
      <w:r>
        <w:rPr>
          <w:rFonts w:hint="eastAsia" w:hAnsi="宋体" w:cs="宋体"/>
          <w:color w:val="auto"/>
          <w:sz w:val="24"/>
          <w:szCs w:val="24"/>
        </w:rPr>
        <w:t>投标供应商具备有效期内的安全生产许可证复印件</w:t>
      </w:r>
      <w:r>
        <w:rPr>
          <w:rFonts w:hint="eastAsia" w:hAnsi="宋体"/>
          <w:color w:val="auto"/>
          <w:sz w:val="24"/>
        </w:rPr>
        <w:t>加盖公章；</w:t>
      </w:r>
    </w:p>
    <w:p>
      <w:pPr>
        <w:tabs>
          <w:tab w:val="left" w:pos="1276"/>
        </w:tabs>
        <w:spacing w:line="360" w:lineRule="auto"/>
        <w:ind w:firstLine="480" w:firstLineChars="200"/>
        <w:rPr>
          <w:rFonts w:hAnsi="宋体" w:cs="宋体"/>
          <w:color w:val="auto"/>
          <w:sz w:val="24"/>
          <w:szCs w:val="24"/>
        </w:rPr>
      </w:pPr>
      <w:r>
        <w:rPr>
          <w:rFonts w:hint="eastAsia" w:hAnsi="宋体" w:cs="宋体"/>
          <w:bCs/>
          <w:color w:val="auto"/>
          <w:sz w:val="24"/>
        </w:rPr>
        <w:t>（8）</w:t>
      </w:r>
      <w:r>
        <w:rPr>
          <w:rFonts w:hint="eastAsia" w:hAnsi="宋体" w:cs="宋体"/>
          <w:color w:val="auto"/>
          <w:sz w:val="24"/>
          <w:szCs w:val="24"/>
        </w:rPr>
        <w:t>项目负责人具备二级及以上注册建造师（机电安装专业）和有效期内的《建筑施工企业项目负责人安全生产考核合格证书》（B证）复印件</w:t>
      </w:r>
      <w:r>
        <w:rPr>
          <w:rFonts w:hint="eastAsia" w:hAnsi="宋体"/>
          <w:color w:val="auto"/>
          <w:sz w:val="24"/>
        </w:rPr>
        <w:t>加盖公章；</w:t>
      </w:r>
    </w:p>
    <w:p>
      <w:pPr>
        <w:tabs>
          <w:tab w:val="left" w:pos="1050"/>
          <w:tab w:val="left" w:pos="1200"/>
        </w:tabs>
        <w:snapToGrid w:val="0"/>
        <w:spacing w:line="360" w:lineRule="auto"/>
        <w:ind w:firstLine="480" w:firstLineChars="200"/>
        <w:rPr>
          <w:rFonts w:hAnsi="宋体" w:cs="宋体"/>
          <w:bCs/>
          <w:color w:val="auto"/>
          <w:sz w:val="24"/>
        </w:rPr>
      </w:pPr>
      <w:r>
        <w:rPr>
          <w:rFonts w:hint="eastAsia" w:hAnsi="宋体" w:cs="宋体"/>
          <w:bCs/>
          <w:color w:val="auto"/>
          <w:sz w:val="24"/>
        </w:rPr>
        <w:t>（9）投标供应商近三个月中任意一个月份(不含投标当月)的财务状况报告（资产负债表、利润表）或由会计师事务所出具的2020年度审计报告和所附已审财务报告复印件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（10）投标供应商近三个月中任意一个月份(不含投标当月)的依法缴纳税收的相关材料（提供相关主管部门证明或银行代扣证明）复印件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（11）投标供应商近三个月中任意一个月份(不含投标当月)的依法缴纳社会保障资金的相关材料（提供相关主管部门证明或银行代扣证明）复印件</w:t>
      </w:r>
      <w:r>
        <w:rPr>
          <w:rFonts w:hint="eastAsia" w:hAnsi="宋体"/>
          <w:color w:val="auto"/>
          <w:sz w:val="24"/>
        </w:rPr>
        <w:t>加盖公章</w:t>
      </w:r>
      <w:r>
        <w:rPr>
          <w:rFonts w:hint="eastAsia" w:hAnsi="宋体" w:cs="宋体"/>
          <w:bCs/>
          <w:color w:val="auto"/>
          <w:sz w:val="24"/>
        </w:rPr>
        <w:t>；</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（12）承诺书；</w:t>
      </w:r>
      <w:r>
        <w:rPr>
          <w:rFonts w:hint="eastAsia" w:hAnsi="宋体" w:cs="宋体"/>
          <w:b/>
          <w:color w:val="auto"/>
          <w:sz w:val="24"/>
        </w:rPr>
        <w:t>（格式见附件）</w:t>
      </w:r>
    </w:p>
    <w:p>
      <w:pPr>
        <w:tabs>
          <w:tab w:val="left" w:pos="0"/>
        </w:tabs>
        <w:spacing w:line="360" w:lineRule="auto"/>
        <w:ind w:firstLine="472" w:firstLineChars="196"/>
        <w:rPr>
          <w:rFonts w:hAnsi="宋体" w:cs="宋体"/>
          <w:color w:val="auto"/>
          <w:sz w:val="24"/>
          <w:szCs w:val="28"/>
        </w:rPr>
      </w:pPr>
      <w:r>
        <w:rPr>
          <w:rFonts w:hint="eastAsia" w:hAnsi="宋体"/>
          <w:b/>
          <w:color w:val="auto"/>
          <w:sz w:val="24"/>
        </w:rPr>
        <w:t>*</w:t>
      </w:r>
      <w:r>
        <w:rPr>
          <w:rFonts w:hAnsi="宋体"/>
          <w:b/>
          <w:color w:val="auto"/>
          <w:sz w:val="24"/>
        </w:rPr>
        <w:t>注：</w:t>
      </w:r>
      <w:r>
        <w:rPr>
          <w:rFonts w:hint="eastAsia" w:hAnsi="宋体"/>
          <w:b/>
          <w:color w:val="auto"/>
          <w:sz w:val="24"/>
        </w:rPr>
        <w:t>投标</w:t>
      </w:r>
      <w:r>
        <w:rPr>
          <w:rFonts w:hAnsi="宋体"/>
          <w:b/>
          <w:color w:val="auto"/>
          <w:sz w:val="24"/>
        </w:rPr>
        <w:t>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w:t>
      </w:r>
      <w:r>
        <w:rPr>
          <w:rFonts w:hint="eastAsia" w:hAnsi="宋体"/>
          <w:b/>
          <w:color w:val="auto"/>
          <w:sz w:val="24"/>
        </w:rPr>
        <w:t>投标文件</w:t>
      </w:r>
      <w:r>
        <w:rPr>
          <w:rFonts w:hAnsi="宋体"/>
          <w:b/>
          <w:color w:val="auto"/>
          <w:sz w:val="24"/>
        </w:rPr>
        <w:t>的有效组成部分提交采购代理机构。信息登记表所记录的信息如能反映</w:t>
      </w:r>
      <w:r>
        <w:rPr>
          <w:rFonts w:hint="eastAsia" w:hAnsi="宋体"/>
          <w:b/>
          <w:color w:val="auto"/>
          <w:sz w:val="24"/>
        </w:rPr>
        <w:t>供应商</w:t>
      </w:r>
      <w:r>
        <w:rPr>
          <w:rFonts w:hAnsi="宋体"/>
          <w:b/>
          <w:color w:val="auto"/>
          <w:sz w:val="24"/>
        </w:rPr>
        <w:t>具备对应资格条件项的，在本项目评审时，可凭该信息登记表免于提供相应的资格证明材料的原件或公证件，否则必须按要求提供相应的资格</w:t>
      </w:r>
      <w:r>
        <w:rPr>
          <w:rFonts w:hint="eastAsia" w:hAnsi="宋体"/>
          <w:b/>
          <w:color w:val="auto"/>
          <w:sz w:val="24"/>
        </w:rPr>
        <w:t>、资信</w:t>
      </w:r>
      <w:r>
        <w:rPr>
          <w:rFonts w:hAnsi="宋体"/>
          <w:b/>
          <w:color w:val="auto"/>
          <w:sz w:val="24"/>
        </w:rPr>
        <w:t>证明材料原件或公证件。</w:t>
      </w:r>
    </w:p>
    <w:p>
      <w:pPr>
        <w:tabs>
          <w:tab w:val="left" w:pos="840"/>
          <w:tab w:val="left" w:pos="1050"/>
        </w:tabs>
        <w:spacing w:line="360" w:lineRule="auto"/>
        <w:ind w:firstLine="482" w:firstLineChars="200"/>
        <w:rPr>
          <w:rFonts w:hAnsi="宋体"/>
          <w:b/>
          <w:color w:val="auto"/>
          <w:sz w:val="24"/>
        </w:rPr>
      </w:pPr>
      <w:r>
        <w:rPr>
          <w:rFonts w:hint="eastAsia" w:hAnsi="宋体"/>
          <w:b/>
          <w:color w:val="auto"/>
          <w:sz w:val="24"/>
        </w:rPr>
        <w:t>上述资格、资信证明文件投标供应商必须按要求全部提供，否则投标文件无效。如上述资格、资信证明文件遇年检、换证，则必须提供法定年检、换证单位出具的有效证明复印件。投标供应商法定代表人或法定代表人授权代表为外籍、港、澳、台地区人士的，其身份证明须提供有效的护照或港澳同胞来往内地通行证、台湾同胞来往大陆通行证，或其它可在中国大陆有效居留的许可证明。</w:t>
      </w:r>
    </w:p>
    <w:p>
      <w:pPr>
        <w:adjustRightInd w:val="0"/>
        <w:snapToGrid w:val="0"/>
        <w:spacing w:line="360" w:lineRule="auto"/>
        <w:ind w:firstLine="480" w:firstLineChars="200"/>
        <w:rPr>
          <w:rFonts w:hAnsi="宋体" w:cs="宋体"/>
          <w:bCs/>
          <w:color w:val="auto"/>
          <w:sz w:val="24"/>
        </w:rPr>
      </w:pPr>
      <w:r>
        <w:rPr>
          <w:rFonts w:hint="eastAsia" w:hAnsi="宋体"/>
          <w:color w:val="auto"/>
          <w:sz w:val="24"/>
        </w:rPr>
        <w:t>1.2</w:t>
      </w:r>
      <w:r>
        <w:rPr>
          <w:rFonts w:hint="eastAsia" w:hAnsi="宋体" w:cs="宋体"/>
          <w:color w:val="auto"/>
          <w:sz w:val="24"/>
        </w:rPr>
        <w:t>补充性文件</w:t>
      </w:r>
    </w:p>
    <w:p>
      <w:pPr>
        <w:tabs>
          <w:tab w:val="left" w:pos="420"/>
          <w:tab w:val="left" w:pos="1155"/>
        </w:tabs>
        <w:spacing w:line="360" w:lineRule="auto"/>
        <w:ind w:firstLine="480" w:firstLineChars="200"/>
        <w:rPr>
          <w:rFonts w:hAnsi="宋体" w:cs="宋体"/>
          <w:bCs/>
          <w:color w:val="auto"/>
          <w:sz w:val="24"/>
        </w:rPr>
      </w:pPr>
      <w:r>
        <w:rPr>
          <w:rFonts w:hint="eastAsia" w:hAnsi="宋体" w:cs="宋体"/>
          <w:bCs/>
          <w:color w:val="auto"/>
          <w:sz w:val="24"/>
        </w:rPr>
        <w:t>（1）投标供应商提供《中小企业声明函》或《监狱企业证明文件》（</w:t>
      </w:r>
      <w:r>
        <w:rPr>
          <w:rFonts w:hint="eastAsia" w:hAnsi="宋体" w:cs="宋体"/>
          <w:color w:val="auto"/>
          <w:sz w:val="24"/>
          <w:szCs w:val="22"/>
        </w:rPr>
        <w:t>省级以上监狱管理局、戒毒管理局出具</w:t>
      </w:r>
      <w:r>
        <w:rPr>
          <w:rFonts w:hint="eastAsia" w:hAnsi="宋体" w:cs="宋体"/>
          <w:bCs/>
          <w:color w:val="auto"/>
          <w:sz w:val="24"/>
        </w:rPr>
        <w:t>）或《残疾人福利性单位声明函》</w:t>
      </w:r>
      <w:r>
        <w:rPr>
          <w:rFonts w:hint="eastAsia" w:hAnsi="宋体" w:cs="宋体"/>
          <w:b/>
          <w:color w:val="auto"/>
          <w:sz w:val="24"/>
        </w:rPr>
        <w:t>（格式见附件）。</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（2）供应商简介和经营情况说明；</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3）《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tabs>
          <w:tab w:val="left" w:pos="360"/>
          <w:tab w:val="left" w:pos="600"/>
        </w:tabs>
        <w:spacing w:line="360" w:lineRule="auto"/>
        <w:ind w:firstLine="480" w:firstLineChars="200"/>
        <w:rPr>
          <w:rFonts w:hAnsi="宋体" w:cs="宋体"/>
          <w:color w:val="auto"/>
          <w:sz w:val="24"/>
        </w:rPr>
      </w:pPr>
      <w:r>
        <w:rPr>
          <w:rFonts w:hint="eastAsia" w:hAnsi="宋体" w:cs="宋体"/>
          <w:bCs/>
          <w:color w:val="auto"/>
          <w:sz w:val="24"/>
        </w:rPr>
        <w:t>（4）</w:t>
      </w:r>
      <w:r>
        <w:rPr>
          <w:rFonts w:hint="eastAsia" w:hAnsi="宋体" w:cs="宋体"/>
          <w:color w:val="auto"/>
          <w:sz w:val="24"/>
        </w:rPr>
        <w:t>实施项目管理机构配备情况：</w:t>
      </w:r>
    </w:p>
    <w:p>
      <w:pPr>
        <w:widowControl/>
        <w:spacing w:line="360" w:lineRule="auto"/>
        <w:ind w:firstLine="720" w:firstLineChars="300"/>
        <w:jc w:val="left"/>
        <w:rPr>
          <w:rFonts w:hAnsi="宋体" w:cs="宋体"/>
          <w:color w:val="auto"/>
          <w:sz w:val="24"/>
        </w:rPr>
      </w:pPr>
      <w:r>
        <w:rPr>
          <w:rFonts w:hint="eastAsia" w:hAnsi="宋体" w:cs="宋体"/>
          <w:color w:val="auto"/>
          <w:sz w:val="24"/>
        </w:rPr>
        <w:t>1) 实施项目管理机构配备情况表（格式见附件）</w:t>
      </w:r>
    </w:p>
    <w:p>
      <w:pPr>
        <w:widowControl/>
        <w:spacing w:line="360" w:lineRule="auto"/>
        <w:ind w:firstLine="720" w:firstLineChars="300"/>
        <w:jc w:val="left"/>
        <w:rPr>
          <w:rFonts w:hAnsi="宋体" w:cs="宋体"/>
          <w:color w:val="auto"/>
          <w:sz w:val="24"/>
        </w:rPr>
      </w:pPr>
      <w:r>
        <w:rPr>
          <w:rFonts w:hint="eastAsia" w:hAnsi="宋体" w:cs="宋体"/>
          <w:color w:val="auto"/>
          <w:sz w:val="24"/>
        </w:rPr>
        <w:t>2) 项目负责人简历表（格式见附件）</w:t>
      </w:r>
    </w:p>
    <w:p>
      <w:pPr>
        <w:spacing w:line="360" w:lineRule="auto"/>
        <w:ind w:firstLine="720" w:firstLineChars="300"/>
        <w:jc w:val="left"/>
        <w:rPr>
          <w:rFonts w:hAnsi="宋体" w:cs="宋体"/>
          <w:bCs/>
          <w:color w:val="auto"/>
          <w:sz w:val="24"/>
        </w:rPr>
      </w:pPr>
      <w:r>
        <w:rPr>
          <w:rFonts w:hint="eastAsia" w:hAnsi="宋体" w:cs="宋体"/>
          <w:color w:val="auto"/>
          <w:sz w:val="24"/>
        </w:rPr>
        <w:t>3) 项目管理机构配备情况辅助说明资料（格式见附件）</w:t>
      </w:r>
    </w:p>
    <w:p>
      <w:pPr>
        <w:tabs>
          <w:tab w:val="left" w:pos="360"/>
          <w:tab w:val="left" w:pos="600"/>
        </w:tabs>
        <w:spacing w:line="360" w:lineRule="auto"/>
        <w:ind w:firstLine="480" w:firstLineChars="200"/>
        <w:rPr>
          <w:rFonts w:hAnsi="宋体" w:cs="宋体"/>
          <w:bCs/>
          <w:color w:val="auto"/>
          <w:sz w:val="24"/>
        </w:rPr>
      </w:pPr>
      <w:r>
        <w:rPr>
          <w:rFonts w:hint="eastAsia" w:hAnsi="宋体" w:cs="宋体"/>
          <w:bCs/>
          <w:color w:val="auto"/>
          <w:sz w:val="24"/>
        </w:rPr>
        <w:t>（5）对应评分标准所需的其他证明材料；</w:t>
      </w:r>
    </w:p>
    <w:p>
      <w:pPr>
        <w:spacing w:line="360" w:lineRule="auto"/>
        <w:ind w:firstLine="482" w:firstLineChars="200"/>
        <w:rPr>
          <w:rFonts w:hAnsi="宋体"/>
          <w:b/>
          <w:color w:val="auto"/>
          <w:sz w:val="24"/>
        </w:rPr>
      </w:pPr>
      <w:r>
        <w:rPr>
          <w:rFonts w:hint="eastAsia" w:hAnsi="宋体"/>
          <w:b/>
          <w:color w:val="auto"/>
          <w:sz w:val="24"/>
        </w:rPr>
        <w:t>2.响应函部分：</w:t>
      </w:r>
    </w:p>
    <w:p>
      <w:pPr>
        <w:spacing w:line="360" w:lineRule="auto"/>
        <w:ind w:firstLine="480" w:firstLineChars="200"/>
        <w:rPr>
          <w:rFonts w:hAnsi="宋体"/>
          <w:color w:val="auto"/>
          <w:sz w:val="24"/>
          <w:szCs w:val="22"/>
        </w:rPr>
      </w:pPr>
      <w:r>
        <w:rPr>
          <w:rFonts w:hint="eastAsia" w:hAnsi="宋体"/>
          <w:color w:val="auto"/>
          <w:sz w:val="24"/>
          <w:szCs w:val="22"/>
        </w:rPr>
        <w:t>（1）响应函（格式见附件）；</w:t>
      </w:r>
    </w:p>
    <w:p>
      <w:pPr>
        <w:spacing w:line="360" w:lineRule="auto"/>
        <w:ind w:firstLine="480" w:firstLineChars="200"/>
        <w:rPr>
          <w:rFonts w:hAnsi="宋体"/>
          <w:color w:val="auto"/>
          <w:sz w:val="24"/>
          <w:szCs w:val="22"/>
        </w:rPr>
      </w:pPr>
      <w:r>
        <w:rPr>
          <w:rFonts w:hint="eastAsia" w:hAnsi="宋体"/>
          <w:color w:val="auto"/>
          <w:sz w:val="24"/>
          <w:szCs w:val="22"/>
        </w:rPr>
        <w:t>（2）响应偏离表（格式见附件）；</w:t>
      </w:r>
    </w:p>
    <w:p>
      <w:pPr>
        <w:spacing w:line="360" w:lineRule="auto"/>
        <w:ind w:firstLine="480" w:firstLineChars="200"/>
        <w:rPr>
          <w:rFonts w:hAnsi="宋体"/>
          <w:color w:val="auto"/>
          <w:sz w:val="24"/>
        </w:rPr>
      </w:pPr>
      <w:r>
        <w:rPr>
          <w:rFonts w:hint="eastAsia" w:hAnsi="宋体"/>
          <w:color w:val="auto"/>
          <w:sz w:val="24"/>
        </w:rPr>
        <w:t>（3）报价供应商认为有必要提供的承诺、声明和资料。</w:t>
      </w:r>
    </w:p>
    <w:p>
      <w:pPr>
        <w:spacing w:line="360" w:lineRule="auto"/>
        <w:ind w:firstLine="482" w:firstLineChars="200"/>
        <w:rPr>
          <w:color w:val="auto"/>
        </w:rPr>
      </w:pPr>
      <w:r>
        <w:rPr>
          <w:rFonts w:hint="eastAsia" w:hAnsi="宋体"/>
          <w:b/>
          <w:color w:val="auto"/>
          <w:sz w:val="24"/>
        </w:rPr>
        <w:t>3、报价部分（格式见附件）</w:t>
      </w:r>
    </w:p>
    <w:p>
      <w:pPr>
        <w:spacing w:line="360" w:lineRule="auto"/>
        <w:ind w:firstLine="480" w:firstLineChars="200"/>
        <w:rPr>
          <w:rFonts w:hAnsi="宋体"/>
          <w:color w:val="auto"/>
          <w:sz w:val="24"/>
          <w:szCs w:val="22"/>
        </w:rPr>
      </w:pPr>
      <w:r>
        <w:rPr>
          <w:rFonts w:hint="eastAsia" w:hAnsi="宋体"/>
          <w:color w:val="auto"/>
          <w:sz w:val="24"/>
          <w:szCs w:val="22"/>
        </w:rPr>
        <w:t>（1）报价一览表（格式见附件）；</w:t>
      </w:r>
    </w:p>
    <w:p>
      <w:pPr>
        <w:spacing w:line="360" w:lineRule="auto"/>
        <w:ind w:firstLine="480" w:firstLineChars="200"/>
        <w:rPr>
          <w:rFonts w:hAnsi="宋体"/>
          <w:color w:val="auto"/>
          <w:sz w:val="24"/>
          <w:szCs w:val="22"/>
        </w:rPr>
      </w:pPr>
      <w:r>
        <w:rPr>
          <w:rFonts w:hint="eastAsia" w:hAnsi="宋体"/>
          <w:color w:val="auto"/>
          <w:sz w:val="24"/>
          <w:szCs w:val="22"/>
        </w:rPr>
        <w:t>（2）报价明细表（格式见附件）。</w:t>
      </w:r>
    </w:p>
    <w:p>
      <w:pPr>
        <w:spacing w:line="360" w:lineRule="auto"/>
        <w:ind w:firstLine="482" w:firstLineChars="200"/>
        <w:rPr>
          <w:rFonts w:hAnsi="宋体" w:cs="宋体"/>
          <w:color w:val="auto"/>
          <w:sz w:val="24"/>
          <w:szCs w:val="22"/>
        </w:rPr>
      </w:pPr>
      <w:r>
        <w:rPr>
          <w:rFonts w:hint="eastAsia" w:hAnsi="宋体" w:cs="宋体"/>
          <w:b/>
          <w:color w:val="auto"/>
          <w:sz w:val="24"/>
          <w:szCs w:val="22"/>
        </w:rPr>
        <w:t xml:space="preserve">第二部分：技术文件（暗标） </w:t>
      </w:r>
    </w:p>
    <w:p>
      <w:pPr>
        <w:spacing w:line="360" w:lineRule="auto"/>
        <w:ind w:firstLine="480" w:firstLineChars="200"/>
        <w:rPr>
          <w:color w:val="auto"/>
          <w:sz w:val="24"/>
        </w:rPr>
      </w:pPr>
      <w:r>
        <w:rPr>
          <w:color w:val="auto"/>
          <w:sz w:val="24"/>
        </w:rPr>
        <w:t>（</w:t>
      </w:r>
      <w:r>
        <w:rPr>
          <w:rFonts w:hint="eastAsia"/>
          <w:color w:val="auto"/>
          <w:sz w:val="24"/>
        </w:rPr>
        <w:t>1</w:t>
      </w:r>
      <w:r>
        <w:rPr>
          <w:color w:val="auto"/>
          <w:sz w:val="24"/>
        </w:rPr>
        <w:t>）</w:t>
      </w:r>
      <w:r>
        <w:rPr>
          <w:rFonts w:hint="eastAsia"/>
          <w:color w:val="auto"/>
          <w:sz w:val="24"/>
        </w:rPr>
        <w:t xml:space="preserve">总体概述：施工组织总体设想、方案针对性及施工段划分；  </w:t>
      </w:r>
    </w:p>
    <w:p>
      <w:pPr>
        <w:spacing w:line="360" w:lineRule="auto"/>
        <w:ind w:firstLine="480" w:firstLineChars="200"/>
        <w:rPr>
          <w:color w:val="auto"/>
          <w:sz w:val="24"/>
        </w:rPr>
      </w:pPr>
      <w:r>
        <w:rPr>
          <w:color w:val="auto"/>
          <w:sz w:val="24"/>
        </w:rPr>
        <w:t>（</w:t>
      </w:r>
      <w:r>
        <w:rPr>
          <w:rFonts w:hint="eastAsia"/>
          <w:color w:val="auto"/>
          <w:sz w:val="24"/>
        </w:rPr>
        <w:t>2</w:t>
      </w:r>
      <w:r>
        <w:rPr>
          <w:color w:val="auto"/>
          <w:sz w:val="24"/>
        </w:rPr>
        <w:t>）</w:t>
      </w:r>
      <w:r>
        <w:rPr>
          <w:rFonts w:hint="eastAsia"/>
          <w:color w:val="auto"/>
          <w:sz w:val="24"/>
        </w:rPr>
        <w:t xml:space="preserve">施工现场平面布置和临时设施、临时道路布置；  </w:t>
      </w:r>
    </w:p>
    <w:p>
      <w:pPr>
        <w:spacing w:line="360" w:lineRule="auto"/>
        <w:ind w:firstLine="480" w:firstLineChars="200"/>
        <w:rPr>
          <w:color w:val="auto"/>
          <w:sz w:val="24"/>
        </w:rPr>
      </w:pPr>
      <w:r>
        <w:rPr>
          <w:rFonts w:hint="eastAsia"/>
          <w:color w:val="auto"/>
          <w:sz w:val="24"/>
        </w:rPr>
        <w:t xml:space="preserve">（3）施工进度计划和各阶段进度的保证措施；  </w:t>
      </w:r>
    </w:p>
    <w:p>
      <w:pPr>
        <w:spacing w:line="360" w:lineRule="auto"/>
        <w:ind w:firstLine="480" w:firstLineChars="200"/>
        <w:rPr>
          <w:color w:val="auto"/>
          <w:sz w:val="24"/>
        </w:rPr>
      </w:pPr>
      <w:r>
        <w:rPr>
          <w:color w:val="auto"/>
          <w:sz w:val="24"/>
        </w:rPr>
        <w:t>（</w:t>
      </w:r>
      <w:r>
        <w:rPr>
          <w:rFonts w:hint="eastAsia"/>
          <w:color w:val="auto"/>
          <w:sz w:val="24"/>
        </w:rPr>
        <w:t>4</w:t>
      </w:r>
      <w:r>
        <w:rPr>
          <w:color w:val="auto"/>
          <w:sz w:val="24"/>
        </w:rPr>
        <w:t>）</w:t>
      </w:r>
      <w:r>
        <w:rPr>
          <w:rFonts w:hint="eastAsia"/>
          <w:color w:val="auto"/>
          <w:sz w:val="24"/>
        </w:rPr>
        <w:t xml:space="preserve">各分部分项工程的施工方案及质量保证措施； </w:t>
      </w:r>
    </w:p>
    <w:p>
      <w:pPr>
        <w:spacing w:line="360" w:lineRule="auto"/>
        <w:ind w:firstLine="480" w:firstLineChars="200"/>
        <w:rPr>
          <w:color w:val="auto"/>
          <w:sz w:val="24"/>
        </w:rPr>
      </w:pPr>
      <w:r>
        <w:rPr>
          <w:rFonts w:hint="eastAsia"/>
          <w:color w:val="auto"/>
          <w:sz w:val="24"/>
        </w:rPr>
        <w:t xml:space="preserve">（5）安全文明施工及环境保护措施； </w:t>
      </w:r>
    </w:p>
    <w:p>
      <w:pPr>
        <w:spacing w:line="360" w:lineRule="auto"/>
        <w:ind w:firstLine="480" w:firstLineChars="200"/>
        <w:rPr>
          <w:color w:val="auto"/>
          <w:sz w:val="24"/>
        </w:rPr>
      </w:pPr>
      <w:r>
        <w:rPr>
          <w:color w:val="auto"/>
          <w:sz w:val="24"/>
        </w:rPr>
        <w:t>（</w:t>
      </w:r>
      <w:r>
        <w:rPr>
          <w:rFonts w:hint="eastAsia"/>
          <w:color w:val="auto"/>
          <w:sz w:val="24"/>
        </w:rPr>
        <w:t>6</w:t>
      </w:r>
      <w:r>
        <w:rPr>
          <w:color w:val="auto"/>
          <w:sz w:val="24"/>
        </w:rPr>
        <w:t>）</w:t>
      </w:r>
      <w:r>
        <w:rPr>
          <w:rFonts w:hint="eastAsia"/>
          <w:color w:val="auto"/>
          <w:sz w:val="24"/>
        </w:rPr>
        <w:t>劳动力、机械设备和材料投入计划。</w:t>
      </w:r>
    </w:p>
    <w:p>
      <w:pPr>
        <w:spacing w:line="360" w:lineRule="auto"/>
        <w:ind w:firstLine="480" w:firstLineChars="200"/>
        <w:rPr>
          <w:rFonts w:hAnsi="宋体" w:cs="宋体"/>
          <w:color w:val="auto"/>
          <w:sz w:val="24"/>
        </w:rPr>
      </w:pPr>
      <w:r>
        <w:rPr>
          <w:rFonts w:hint="eastAsia" w:hAnsi="宋体" w:cs="宋体"/>
          <w:color w:val="auto"/>
          <w:sz w:val="24"/>
        </w:rPr>
        <w:t>八、我方同意按磋商文件中的规定，本响应文件报价的有效期限为成交通知书发出之日起90天。</w:t>
      </w:r>
    </w:p>
    <w:p>
      <w:pPr>
        <w:spacing w:line="360" w:lineRule="auto"/>
        <w:ind w:firstLine="480" w:firstLineChars="200"/>
        <w:rPr>
          <w:rFonts w:hAnsi="宋体" w:cs="宋体"/>
          <w:color w:val="auto"/>
          <w:sz w:val="24"/>
        </w:rPr>
      </w:pPr>
      <w:r>
        <w:rPr>
          <w:rFonts w:hint="eastAsia" w:hAnsi="宋体" w:cs="宋体"/>
          <w:color w:val="auto"/>
          <w:sz w:val="24"/>
        </w:rPr>
        <w:t>九、如果我方的响应文件被接受，我方将履行磋商文件中规定的每一项要求，按期、按质、按量，完成交货任务。</w:t>
      </w:r>
    </w:p>
    <w:p>
      <w:pPr>
        <w:spacing w:line="360" w:lineRule="auto"/>
        <w:ind w:firstLine="480" w:firstLineChars="200"/>
        <w:rPr>
          <w:rFonts w:hAnsi="宋体" w:cs="宋体"/>
          <w:color w:val="auto"/>
          <w:sz w:val="24"/>
        </w:rPr>
      </w:pPr>
      <w:r>
        <w:rPr>
          <w:rFonts w:hint="eastAsia" w:hAnsi="宋体" w:cs="宋体"/>
          <w:color w:val="auto"/>
          <w:sz w:val="24"/>
        </w:rPr>
        <w:t>十、我方认为你们有权决定成交人。</w:t>
      </w:r>
    </w:p>
    <w:p>
      <w:pPr>
        <w:spacing w:line="360" w:lineRule="auto"/>
        <w:ind w:firstLine="480" w:firstLineChars="200"/>
        <w:rPr>
          <w:rFonts w:hAnsi="宋体" w:cs="宋体"/>
          <w:color w:val="auto"/>
          <w:sz w:val="24"/>
        </w:rPr>
      </w:pPr>
      <w:r>
        <w:rPr>
          <w:rFonts w:hint="eastAsia" w:hAnsi="宋体" w:cs="宋体"/>
          <w:color w:val="auto"/>
          <w:sz w:val="24"/>
        </w:rPr>
        <w:t>十一、我方愿意遵守《中华人民共和国政府采购法》，并按《中华人民共和国民法典》和合同条款履行自己的全部责任。在合同履行过程中，双方如有争议，由江阴方正建设工程造价事务所有限公司协调解决。如协商不能解决，双方可向无锡仲裁委员会按其仲裁规则申请仲裁，</w:t>
      </w:r>
    </w:p>
    <w:p>
      <w:pPr>
        <w:spacing w:line="360" w:lineRule="auto"/>
        <w:ind w:firstLine="480" w:firstLineChars="200"/>
        <w:rPr>
          <w:rFonts w:hAnsi="宋体" w:cs="宋体"/>
          <w:color w:val="auto"/>
          <w:sz w:val="24"/>
        </w:rPr>
      </w:pPr>
      <w:r>
        <w:rPr>
          <w:rFonts w:hint="eastAsia" w:hAnsi="宋体" w:cs="宋体"/>
          <w:color w:val="auto"/>
          <w:sz w:val="24"/>
        </w:rPr>
        <w:t>十二、我方认可并保证遵守磋商文件的所有规定，放弃对磋商文件提出质疑的权利。</w:t>
      </w:r>
    </w:p>
    <w:p>
      <w:pPr>
        <w:spacing w:line="360" w:lineRule="auto"/>
        <w:ind w:firstLine="480" w:firstLineChars="200"/>
        <w:rPr>
          <w:rFonts w:hAnsi="宋体" w:cs="宋体"/>
          <w:color w:val="auto"/>
          <w:sz w:val="24"/>
        </w:rPr>
      </w:pPr>
      <w:r>
        <w:rPr>
          <w:rFonts w:hint="eastAsia" w:hAnsi="宋体" w:cs="宋体"/>
          <w:color w:val="auto"/>
          <w:sz w:val="24"/>
        </w:rPr>
        <w:t>十三、如果我方被确定为成交人，我方愿意在签订合同时交纳成交合同总金额10%的履约保证金。且我方如无不可抗力，又未履行磋商文件、响应文件合同条款的，一经查实，我方愿意赔偿由此而造成的一切损失，并同意接受按磋商文件的相关要求对我方进行的处理。</w:t>
      </w:r>
    </w:p>
    <w:p>
      <w:pPr>
        <w:widowControl/>
        <w:topLinePunct/>
        <w:spacing w:before="4" w:line="360" w:lineRule="auto"/>
        <w:rPr>
          <w:rFonts w:hAnsi="宋体" w:cs="宋体"/>
          <w:color w:val="auto"/>
          <w:sz w:val="24"/>
        </w:rPr>
      </w:pPr>
    </w:p>
    <w:p>
      <w:pPr>
        <w:widowControl/>
        <w:topLinePunct/>
        <w:spacing w:before="4" w:line="360" w:lineRule="auto"/>
        <w:rPr>
          <w:rFonts w:hAnsi="宋体" w:cs="宋体"/>
          <w:color w:val="auto"/>
          <w:sz w:val="24"/>
        </w:rPr>
      </w:pPr>
      <w:r>
        <w:rPr>
          <w:rFonts w:hint="eastAsia" w:hAnsi="宋体" w:cs="宋体"/>
          <w:color w:val="auto"/>
          <w:sz w:val="24"/>
        </w:rPr>
        <w:t>投标供应商：（盖章）</w:t>
      </w:r>
    </w:p>
    <w:p>
      <w:pPr>
        <w:widowControl/>
        <w:topLinePunct/>
        <w:spacing w:before="4" w:line="360" w:lineRule="auto"/>
        <w:rPr>
          <w:rFonts w:hAnsi="宋体" w:cs="宋体"/>
          <w:color w:val="auto"/>
          <w:sz w:val="24"/>
        </w:rPr>
      </w:pPr>
      <w:r>
        <w:rPr>
          <w:rFonts w:hint="eastAsia" w:hAnsi="宋体" w:cs="宋体"/>
          <w:color w:val="auto"/>
          <w:sz w:val="24"/>
        </w:rPr>
        <w:t>法定代表人或被授权代表：（签字或盖章）</w:t>
      </w:r>
    </w:p>
    <w:p>
      <w:pPr>
        <w:widowControl/>
        <w:topLinePunct/>
        <w:spacing w:before="4" w:line="360" w:lineRule="auto"/>
        <w:rPr>
          <w:rFonts w:hAnsi="宋体" w:cs="宋体"/>
          <w:color w:val="auto"/>
          <w:sz w:val="24"/>
        </w:rPr>
      </w:pPr>
      <w:r>
        <w:rPr>
          <w:rFonts w:hint="eastAsia" w:hAnsi="宋体" w:cs="宋体"/>
          <w:color w:val="auto"/>
          <w:sz w:val="24"/>
        </w:rPr>
        <w:t>电话：                   传真：</w:t>
      </w:r>
    </w:p>
    <w:p>
      <w:pPr>
        <w:widowControl/>
        <w:topLinePunct/>
        <w:spacing w:before="4" w:line="360" w:lineRule="auto"/>
        <w:rPr>
          <w:rFonts w:hAnsi="宋体" w:cs="宋体"/>
          <w:color w:val="auto"/>
          <w:sz w:val="24"/>
        </w:rPr>
      </w:pPr>
      <w:r>
        <w:rPr>
          <w:rFonts w:hint="eastAsia" w:hAnsi="宋体" w:cs="宋体"/>
          <w:color w:val="auto"/>
          <w:sz w:val="24"/>
        </w:rPr>
        <w:t>地址：                   邮编：</w:t>
      </w:r>
    </w:p>
    <w:p>
      <w:pPr>
        <w:widowControl/>
        <w:topLinePunct/>
        <w:spacing w:before="4" w:line="360" w:lineRule="auto"/>
        <w:rPr>
          <w:rFonts w:hAnsi="宋体" w:cs="宋体"/>
          <w:color w:val="auto"/>
          <w:sz w:val="24"/>
        </w:rPr>
      </w:pPr>
      <w:r>
        <w:rPr>
          <w:rFonts w:hint="eastAsia" w:hAnsi="宋体" w:cs="宋体"/>
          <w:color w:val="auto"/>
          <w:sz w:val="24"/>
        </w:rPr>
        <w:t>开户名称：</w:t>
      </w:r>
    </w:p>
    <w:p>
      <w:pPr>
        <w:widowControl/>
        <w:topLinePunct/>
        <w:spacing w:before="4" w:line="360" w:lineRule="auto"/>
        <w:rPr>
          <w:rFonts w:hAnsi="宋体" w:cs="宋体"/>
          <w:color w:val="auto"/>
          <w:sz w:val="24"/>
        </w:rPr>
      </w:pPr>
      <w:r>
        <w:rPr>
          <w:rFonts w:hint="eastAsia" w:hAnsi="宋体" w:cs="宋体"/>
          <w:color w:val="auto"/>
          <w:sz w:val="24"/>
        </w:rPr>
        <w:t>开户银行：</w:t>
      </w:r>
    </w:p>
    <w:p>
      <w:pPr>
        <w:spacing w:line="400" w:lineRule="exact"/>
        <w:rPr>
          <w:rFonts w:hAnsi="宋体" w:cs="宋体"/>
          <w:bCs/>
          <w:color w:val="auto"/>
          <w:sz w:val="24"/>
          <w:szCs w:val="22"/>
        </w:rPr>
      </w:pPr>
      <w:r>
        <w:rPr>
          <w:rFonts w:hint="eastAsia" w:hAnsi="宋体" w:cs="宋体"/>
          <w:color w:val="auto"/>
          <w:sz w:val="24"/>
        </w:rPr>
        <w:t>开户账号：</w:t>
      </w:r>
    </w:p>
    <w:p>
      <w:pPr>
        <w:jc w:val="center"/>
        <w:outlineLvl w:val="0"/>
        <w:rPr>
          <w:rFonts w:hAnsi="宋体" w:cs="宋体"/>
          <w:bCs/>
          <w:color w:val="auto"/>
          <w:sz w:val="24"/>
          <w:szCs w:val="24"/>
        </w:rPr>
      </w:pPr>
      <w:r>
        <w:rPr>
          <w:rFonts w:hint="eastAsia" w:hAnsi="宋体" w:cs="宋体"/>
          <w:color w:val="auto"/>
          <w:sz w:val="24"/>
        </w:rPr>
        <w:br w:type="page"/>
      </w:r>
      <w:r>
        <w:rPr>
          <w:rFonts w:hint="eastAsia" w:hAnsi="宋体" w:cs="宋体"/>
          <w:color w:val="auto"/>
          <w:sz w:val="24"/>
        </w:rPr>
        <w:t>（二）</w:t>
      </w:r>
      <w:r>
        <w:rPr>
          <w:rFonts w:hint="eastAsia" w:hAnsi="宋体" w:cs="宋体"/>
          <w:bCs/>
          <w:color w:val="auto"/>
          <w:sz w:val="24"/>
          <w:szCs w:val="24"/>
        </w:rPr>
        <w:t>报价一览表（格式）</w:t>
      </w:r>
    </w:p>
    <w:p>
      <w:pPr>
        <w:outlineLvl w:val="0"/>
        <w:rPr>
          <w:rFonts w:hAnsi="宋体" w:cs="宋体"/>
          <w:bCs/>
          <w:color w:val="auto"/>
          <w:sz w:val="30"/>
          <w:szCs w:val="30"/>
        </w:rPr>
      </w:pPr>
    </w:p>
    <w:p>
      <w:pPr>
        <w:adjustRightInd w:val="0"/>
        <w:snapToGrid w:val="0"/>
        <w:spacing w:line="300" w:lineRule="auto"/>
        <w:rPr>
          <w:rFonts w:hAnsi="宋体" w:cs="宋体"/>
          <w:bCs/>
          <w:color w:val="auto"/>
          <w:sz w:val="24"/>
        </w:rPr>
      </w:pPr>
      <w:r>
        <w:rPr>
          <w:rFonts w:hint="eastAsia" w:hAnsi="宋体" w:cs="宋体"/>
          <w:color w:val="auto"/>
          <w:sz w:val="24"/>
        </w:rPr>
        <w:t xml:space="preserve">投标供应商全称（加盖公章）：  </w:t>
      </w:r>
      <w:r>
        <w:rPr>
          <w:rFonts w:hint="eastAsia" w:hAnsi="宋体" w:cs="宋体"/>
          <w:color w:val="auto"/>
          <w:sz w:val="24"/>
          <w:szCs w:val="28"/>
        </w:rPr>
        <w:t xml:space="preserve">                        采购</w:t>
      </w:r>
      <w:r>
        <w:rPr>
          <w:rFonts w:hint="eastAsia" w:hAnsi="宋体" w:cs="宋体"/>
          <w:bCs/>
          <w:color w:val="auto"/>
          <w:sz w:val="24"/>
        </w:rPr>
        <w:t>编号：</w:t>
      </w:r>
    </w:p>
    <w:tbl>
      <w:tblPr>
        <w:tblStyle w:val="69"/>
        <w:tblW w:w="9380" w:type="dxa"/>
        <w:tblInd w:w="96" w:type="dxa"/>
        <w:tblLayout w:type="fixed"/>
        <w:tblCellMar>
          <w:top w:w="0" w:type="dxa"/>
          <w:left w:w="108" w:type="dxa"/>
          <w:bottom w:w="0" w:type="dxa"/>
          <w:right w:w="108" w:type="dxa"/>
        </w:tblCellMar>
      </w:tblPr>
      <w:tblGrid>
        <w:gridCol w:w="3413"/>
        <w:gridCol w:w="5967"/>
      </w:tblGrid>
      <w:tr>
        <w:tblPrEx>
          <w:tblCellMar>
            <w:top w:w="0" w:type="dxa"/>
            <w:left w:w="108" w:type="dxa"/>
            <w:bottom w:w="0" w:type="dxa"/>
            <w:right w:w="108" w:type="dxa"/>
          </w:tblCellMar>
        </w:tblPrEx>
        <w:trPr>
          <w:trHeight w:val="1244"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4"/>
              </w:rPr>
            </w:pPr>
            <w:r>
              <w:rPr>
                <w:rFonts w:hint="eastAsia" w:hAnsi="宋体" w:cs="宋体"/>
                <w:color w:val="auto"/>
                <w:sz w:val="24"/>
              </w:rPr>
              <w:t>项目总报价</w:t>
            </w:r>
          </w:p>
          <w:p>
            <w:pPr>
              <w:widowControl/>
              <w:jc w:val="center"/>
              <w:rPr>
                <w:rFonts w:hAnsi="宋体" w:cs="宋体"/>
                <w:b/>
                <w:bCs/>
                <w:color w:val="auto"/>
                <w:sz w:val="24"/>
              </w:rPr>
            </w:pPr>
            <w:r>
              <w:rPr>
                <w:rFonts w:hint="eastAsia" w:hAnsi="宋体" w:cs="宋体"/>
                <w:color w:val="auto"/>
                <w:sz w:val="24"/>
              </w:rPr>
              <w:t>（人民币）</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r>
              <w:rPr>
                <w:rFonts w:hint="eastAsia" w:hAnsi="宋体" w:cs="宋体"/>
                <w:color w:val="auto"/>
                <w:sz w:val="24"/>
              </w:rPr>
              <w:t>大写：</w:t>
            </w:r>
          </w:p>
          <w:p>
            <w:pPr>
              <w:widowControl/>
              <w:jc w:val="left"/>
              <w:rPr>
                <w:rFonts w:hAnsi="宋体" w:cs="宋体"/>
                <w:color w:val="auto"/>
                <w:sz w:val="24"/>
              </w:rPr>
            </w:pPr>
          </w:p>
          <w:p>
            <w:pPr>
              <w:widowControl/>
              <w:jc w:val="left"/>
              <w:rPr>
                <w:rFonts w:hAnsi="宋体" w:cs="宋体"/>
                <w:color w:val="auto"/>
                <w:sz w:val="24"/>
              </w:rPr>
            </w:pPr>
            <w:r>
              <w:rPr>
                <w:rFonts w:hint="eastAsia" w:hAnsi="宋体" w:cs="宋体"/>
                <w:color w:val="auto"/>
                <w:sz w:val="24"/>
              </w:rPr>
              <w:t>小写：</w:t>
            </w:r>
          </w:p>
        </w:tc>
      </w:tr>
      <w:tr>
        <w:tblPrEx>
          <w:tblCellMar>
            <w:top w:w="0" w:type="dxa"/>
            <w:left w:w="108" w:type="dxa"/>
            <w:bottom w:w="0" w:type="dxa"/>
            <w:right w:w="108" w:type="dxa"/>
          </w:tblCellMar>
        </w:tblPrEx>
        <w:trPr>
          <w:trHeight w:val="93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bCs/>
                <w:color w:val="auto"/>
                <w:sz w:val="24"/>
              </w:rPr>
            </w:pPr>
            <w:r>
              <w:rPr>
                <w:rFonts w:hint="eastAsia" w:hAnsi="宋体" w:cs="宋体"/>
                <w:color w:val="auto"/>
                <w:sz w:val="24"/>
                <w:szCs w:val="22"/>
              </w:rPr>
              <w:t>工期</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3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4"/>
                <w:szCs w:val="22"/>
              </w:rPr>
            </w:pPr>
            <w:r>
              <w:rPr>
                <w:rFonts w:hint="eastAsia" w:asciiTheme="minorEastAsia" w:hAnsiTheme="minorEastAsia" w:eastAsiaTheme="minorEastAsia"/>
                <w:bCs/>
                <w:color w:val="auto"/>
                <w:sz w:val="24"/>
              </w:rPr>
              <w:t>误期违约金</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3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4"/>
                <w:szCs w:val="22"/>
              </w:rPr>
            </w:pPr>
            <w:r>
              <w:rPr>
                <w:rFonts w:hint="eastAsia" w:hAnsi="宋体" w:cs="宋体"/>
                <w:color w:val="auto"/>
                <w:sz w:val="24"/>
                <w:szCs w:val="22"/>
              </w:rPr>
              <w:t>质量要求</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3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4"/>
                <w:szCs w:val="22"/>
              </w:rPr>
            </w:pPr>
            <w:r>
              <w:rPr>
                <w:rFonts w:hint="eastAsia" w:hAnsi="宋体" w:cs="宋体"/>
                <w:color w:val="auto"/>
                <w:sz w:val="24"/>
                <w:szCs w:val="22"/>
              </w:rPr>
              <w:t>质量违约金</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1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sz w:val="24"/>
              </w:rPr>
            </w:pPr>
            <w:r>
              <w:rPr>
                <w:rFonts w:hint="eastAsia" w:hAnsi="宋体" w:cs="宋体"/>
                <w:bCs/>
                <w:color w:val="auto"/>
                <w:sz w:val="24"/>
              </w:rPr>
              <w:t>项目负责人</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15" w:hRule="atLeast"/>
        </w:trPr>
        <w:tc>
          <w:tcPr>
            <w:tcW w:w="3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bCs/>
                <w:color w:val="auto"/>
                <w:sz w:val="24"/>
              </w:rPr>
            </w:pPr>
            <w:r>
              <w:rPr>
                <w:rFonts w:hint="eastAsia" w:hAnsi="宋体" w:cs="宋体"/>
                <w:bCs/>
                <w:color w:val="auto"/>
                <w:sz w:val="24"/>
              </w:rPr>
              <w:t>免费质保期</w:t>
            </w:r>
          </w:p>
        </w:tc>
        <w:tc>
          <w:tcPr>
            <w:tcW w:w="59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cs="宋体"/>
                <w:color w:val="auto"/>
                <w:sz w:val="24"/>
              </w:rPr>
            </w:pPr>
          </w:p>
        </w:tc>
      </w:tr>
      <w:tr>
        <w:tblPrEx>
          <w:tblCellMar>
            <w:top w:w="0" w:type="dxa"/>
            <w:left w:w="108" w:type="dxa"/>
            <w:bottom w:w="0" w:type="dxa"/>
            <w:right w:w="108" w:type="dxa"/>
          </w:tblCellMar>
        </w:tblPrEx>
        <w:trPr>
          <w:trHeight w:val="915" w:hRule="atLeast"/>
        </w:trPr>
        <w:tc>
          <w:tcPr>
            <w:tcW w:w="9380" w:type="dxa"/>
            <w:gridSpan w:val="2"/>
            <w:tcBorders>
              <w:top w:val="single" w:color="auto" w:sz="4" w:space="0"/>
              <w:left w:val="single" w:color="auto" w:sz="4" w:space="0"/>
              <w:bottom w:val="single" w:color="auto" w:sz="4" w:space="0"/>
              <w:right w:val="single" w:color="auto" w:sz="4" w:space="0"/>
            </w:tcBorders>
            <w:noWrap/>
            <w:vAlign w:val="center"/>
          </w:tcPr>
          <w:p>
            <w:pPr>
              <w:spacing w:line="340" w:lineRule="exact"/>
              <w:rPr>
                <w:rFonts w:hAnsi="宋体"/>
                <w:bCs/>
                <w:color w:val="auto"/>
                <w:sz w:val="24"/>
              </w:rPr>
            </w:pPr>
            <w:r>
              <w:rPr>
                <w:rFonts w:hint="eastAsia" w:hAnsi="宋体"/>
                <w:bCs/>
                <w:color w:val="auto"/>
                <w:sz w:val="24"/>
              </w:rPr>
              <w:t>是否属于小微型企业、监狱企业、残疾人福利性单位：</w:t>
            </w:r>
          </w:p>
          <w:p>
            <w:pPr>
              <w:widowControl/>
              <w:jc w:val="left"/>
              <w:rPr>
                <w:rFonts w:hAnsi="宋体" w:cs="宋体"/>
                <w:color w:val="auto"/>
                <w:sz w:val="24"/>
              </w:rPr>
            </w:pPr>
            <w:r>
              <w:rPr>
                <w:rFonts w:hint="eastAsia" w:hAnsi="宋体"/>
                <w:color w:val="auto"/>
                <w:sz w:val="24"/>
              </w:rPr>
              <w:t xml:space="preserve">小型□        微型□      </w:t>
            </w:r>
            <w:r>
              <w:rPr>
                <w:rFonts w:hint="eastAsia" w:hAnsi="宋体"/>
                <w:bCs/>
                <w:color w:val="auto"/>
                <w:sz w:val="24"/>
              </w:rPr>
              <w:t>监狱企业</w:t>
            </w:r>
            <w:r>
              <w:rPr>
                <w:rFonts w:hint="eastAsia" w:hAnsi="宋体"/>
                <w:color w:val="auto"/>
                <w:sz w:val="24"/>
              </w:rPr>
              <w:t xml:space="preserve">□     </w:t>
            </w:r>
            <w:r>
              <w:rPr>
                <w:rFonts w:hint="eastAsia" w:hAnsi="宋体"/>
                <w:bCs/>
                <w:color w:val="auto"/>
                <w:sz w:val="24"/>
              </w:rPr>
              <w:t>残疾人福利性单位</w:t>
            </w:r>
            <w:r>
              <w:rPr>
                <w:rFonts w:hint="eastAsia" w:hAnsi="宋体"/>
                <w:color w:val="auto"/>
                <w:sz w:val="24"/>
              </w:rPr>
              <w:t>□</w:t>
            </w:r>
          </w:p>
        </w:tc>
      </w:tr>
    </w:tbl>
    <w:p>
      <w:pPr>
        <w:overflowPunct w:val="0"/>
        <w:spacing w:line="360" w:lineRule="auto"/>
        <w:rPr>
          <w:rFonts w:hAnsi="宋体" w:cs="宋体"/>
          <w:color w:val="auto"/>
          <w:sz w:val="24"/>
        </w:rPr>
      </w:pPr>
    </w:p>
    <w:p>
      <w:pPr>
        <w:overflowPunct w:val="0"/>
        <w:spacing w:line="360" w:lineRule="auto"/>
        <w:rPr>
          <w:rFonts w:hAnsi="宋体" w:cs="宋体"/>
          <w:color w:val="auto"/>
          <w:sz w:val="24"/>
        </w:rPr>
      </w:pPr>
      <w:r>
        <w:rPr>
          <w:rFonts w:hint="eastAsia" w:hAnsi="宋体" w:cs="宋体"/>
          <w:color w:val="auto"/>
          <w:sz w:val="24"/>
        </w:rPr>
        <w:t>法定代表人或授权代表签字：                            日期：   年   月   日</w:t>
      </w:r>
    </w:p>
    <w:p>
      <w:pPr>
        <w:overflowPunct w:val="0"/>
        <w:spacing w:line="360" w:lineRule="auto"/>
        <w:rPr>
          <w:rFonts w:hAnsi="宋体" w:cs="宋体"/>
          <w:color w:val="auto"/>
          <w:sz w:val="24"/>
        </w:rPr>
      </w:pPr>
    </w:p>
    <w:p>
      <w:pPr>
        <w:overflowPunct w:val="0"/>
        <w:spacing w:line="360" w:lineRule="auto"/>
        <w:rPr>
          <w:rFonts w:hAnsi="宋体" w:cs="宋体"/>
          <w:color w:val="auto"/>
          <w:sz w:val="24"/>
        </w:rPr>
      </w:pPr>
      <w:r>
        <w:rPr>
          <w:rFonts w:hint="eastAsia" w:hAnsi="宋体" w:cs="宋体"/>
          <w:color w:val="auto"/>
          <w:sz w:val="24"/>
        </w:rPr>
        <w:t>填写说明：</w:t>
      </w:r>
    </w:p>
    <w:p>
      <w:pPr>
        <w:spacing w:line="500" w:lineRule="exact"/>
        <w:ind w:firstLine="480" w:firstLineChars="200"/>
        <w:rPr>
          <w:rFonts w:hAnsi="宋体" w:cs="宋体"/>
          <w:color w:val="auto"/>
          <w:sz w:val="24"/>
        </w:rPr>
      </w:pPr>
      <w:r>
        <w:rPr>
          <w:rFonts w:hint="eastAsia" w:hAnsi="宋体" w:cs="宋体"/>
          <w:color w:val="auto"/>
          <w:sz w:val="24"/>
        </w:rPr>
        <w:t>1、开标一览表中的内容应与响应函内容一致，否则评标时一律按开标一览表中内容为准，开标一览表中必须盖章或签字。</w:t>
      </w:r>
    </w:p>
    <w:p>
      <w:pPr>
        <w:spacing w:line="500" w:lineRule="exact"/>
        <w:ind w:firstLine="480" w:firstLineChars="200"/>
        <w:rPr>
          <w:rFonts w:hAnsi="宋体" w:cs="宋体"/>
          <w:b/>
          <w:color w:val="auto"/>
          <w:sz w:val="24"/>
        </w:rPr>
      </w:pPr>
      <w:r>
        <w:rPr>
          <w:rFonts w:hint="eastAsia" w:hAnsi="宋体" w:cs="宋体"/>
          <w:color w:val="auto"/>
          <w:sz w:val="24"/>
        </w:rPr>
        <w:t>2、投标供应商必须提供《中小企业声明函》、《残疾人福利性单位声明函》或由省级以上监狱管理局、戒毒管理局(含新疆生产建设兵团)出具的属于监狱企业的证明文件复印件，如未按要求填写和提供有效证明或相关内容表述不清的，不得享受价格扣除。投标供应商对所报相关数据的真实性负责，采购人有权将相关内容进行公示。</w:t>
      </w:r>
    </w:p>
    <w:p>
      <w:pPr>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报价明细表</w:t>
      </w:r>
    </w:p>
    <w:p>
      <w:pPr>
        <w:pStyle w:val="2"/>
        <w:numPr>
          <w:ilvl w:val="0"/>
          <w:numId w:val="0"/>
        </w:numPr>
        <w:ind w:left="992"/>
        <w:rPr>
          <w:color w:val="auto"/>
        </w:rPr>
      </w:pPr>
    </w:p>
    <w:p>
      <w:pPr>
        <w:spacing w:before="5" w:line="560" w:lineRule="atLeast"/>
        <w:ind w:firstLine="904" w:firstLineChars="300"/>
        <w:rPr>
          <w:rFonts w:hAnsi="宋体" w:cs="宋体"/>
          <w:b/>
          <w:bCs/>
          <w:color w:val="auto"/>
          <w:sz w:val="30"/>
          <w:szCs w:val="30"/>
        </w:rPr>
      </w:pPr>
      <w:r>
        <w:rPr>
          <w:rFonts w:hint="eastAsia" w:hAnsi="宋体" w:cs="宋体"/>
          <w:b/>
          <w:bCs/>
          <w:color w:val="auto"/>
          <w:sz w:val="30"/>
          <w:szCs w:val="30"/>
        </w:rPr>
        <w:t>具体详见工程量清单</w:t>
      </w: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spacing w:before="5"/>
        <w:ind w:firstLine="964" w:firstLineChars="400"/>
        <w:rPr>
          <w:rFonts w:hAnsi="宋体" w:cs="宋体"/>
          <w:b/>
          <w:bCs/>
          <w:color w:val="auto"/>
          <w:sz w:val="24"/>
        </w:rPr>
      </w:pPr>
      <w:r>
        <w:rPr>
          <w:rFonts w:hint="eastAsia" w:hAnsi="宋体" w:cs="宋体"/>
          <w:b/>
          <w:bCs/>
          <w:color w:val="auto"/>
          <w:sz w:val="24"/>
        </w:rPr>
        <w:t>注：1、报价供应商在此处附上已填写完价格的工程量清单。</w:t>
      </w:r>
    </w:p>
    <w:p>
      <w:pPr>
        <w:pStyle w:val="2"/>
        <w:numPr>
          <w:ilvl w:val="0"/>
          <w:numId w:val="0"/>
        </w:numPr>
        <w:ind w:left="992" w:hanging="992"/>
        <w:rPr>
          <w:color w:val="auto"/>
        </w:rPr>
      </w:pPr>
      <w:r>
        <w:rPr>
          <w:rFonts w:hint="eastAsia"/>
          <w:color w:val="auto"/>
        </w:rPr>
        <w:t xml:space="preserve">    </w:t>
      </w:r>
      <w:r>
        <w:rPr>
          <w:rFonts w:hint="eastAsia" w:ascii="宋体" w:hAnsi="宋体" w:eastAsia="宋体" w:cs="宋体"/>
          <w:color w:val="auto"/>
          <w:kern w:val="0"/>
          <w:sz w:val="24"/>
          <w:szCs w:val="20"/>
        </w:rPr>
        <w:t xml:space="preserve">        2、报价供应商应按照采购需求中提供的主要材料和设备品牌表选定品牌。</w:t>
      </w:r>
    </w:p>
    <w:p>
      <w:pPr>
        <w:spacing w:line="400" w:lineRule="exact"/>
        <w:ind w:firstLine="340" w:firstLineChars="100"/>
        <w:outlineLvl w:val="0"/>
        <w:rPr>
          <w:rFonts w:cs="宋体" w:asciiTheme="minorEastAsia" w:hAnsiTheme="minorEastAsia" w:eastAsiaTheme="minorEastAsia"/>
          <w:color w:val="auto"/>
          <w:szCs w:val="21"/>
        </w:rPr>
      </w:pPr>
    </w:p>
    <w:p>
      <w:pPr>
        <w:rPr>
          <w:color w:val="auto"/>
        </w:rPr>
      </w:pPr>
    </w:p>
    <w:p>
      <w:pPr>
        <w:spacing w:line="360" w:lineRule="auto"/>
        <w:outlineLvl w:val="0"/>
        <w:rPr>
          <w:rFonts w:hAnsi="宋体" w:cs="宋体"/>
          <w:bCs/>
          <w:color w:val="auto"/>
          <w:sz w:val="24"/>
          <w:szCs w:val="22"/>
        </w:rPr>
      </w:pPr>
      <w:r>
        <w:rPr>
          <w:rFonts w:hint="eastAsia" w:hAnsi="宋体" w:cs="宋体"/>
          <w:bCs/>
          <w:color w:val="auto"/>
          <w:sz w:val="24"/>
          <w:szCs w:val="22"/>
        </w:rPr>
        <w:t>投标供应商（盖章）：</w:t>
      </w:r>
    </w:p>
    <w:p>
      <w:pPr>
        <w:rPr>
          <w:rFonts w:hAnsi="宋体" w:cs="宋体"/>
          <w:color w:val="auto"/>
          <w:sz w:val="24"/>
        </w:rPr>
      </w:pPr>
    </w:p>
    <w:p>
      <w:pPr>
        <w:overflowPunct w:val="0"/>
        <w:spacing w:line="360" w:lineRule="auto"/>
        <w:rPr>
          <w:rFonts w:hAnsi="宋体" w:cs="宋体"/>
          <w:color w:val="auto"/>
          <w:sz w:val="24"/>
        </w:rPr>
      </w:pPr>
      <w:r>
        <w:rPr>
          <w:rFonts w:hint="eastAsia" w:hAnsi="宋体" w:cs="宋体"/>
          <w:color w:val="auto"/>
          <w:sz w:val="24"/>
        </w:rPr>
        <w:t xml:space="preserve">法定代表人或授权代表签字：                           </w:t>
      </w:r>
    </w:p>
    <w:p>
      <w:pPr>
        <w:overflowPunct w:val="0"/>
        <w:spacing w:line="360" w:lineRule="auto"/>
        <w:ind w:firstLine="5880" w:firstLineChars="2450"/>
        <w:rPr>
          <w:rFonts w:hAnsi="宋体" w:cs="宋体"/>
          <w:color w:val="auto"/>
          <w:sz w:val="24"/>
        </w:rPr>
      </w:pPr>
      <w:r>
        <w:rPr>
          <w:rFonts w:hint="eastAsia" w:hAnsi="宋体" w:cs="宋体"/>
          <w:color w:val="auto"/>
          <w:sz w:val="24"/>
        </w:rPr>
        <w:t xml:space="preserve"> 日期：   年   月   日</w:t>
      </w:r>
    </w:p>
    <w:p>
      <w:pPr>
        <w:rPr>
          <w:rFonts w:hAnsi="宋体" w:cs="宋体"/>
          <w:color w:val="auto"/>
          <w:sz w:val="24"/>
        </w:rPr>
      </w:pPr>
    </w:p>
    <w:p>
      <w:pPr>
        <w:widowControl/>
        <w:shd w:val="clear" w:color="auto" w:fill="FFFFFF"/>
        <w:spacing w:line="360" w:lineRule="auto"/>
        <w:rPr>
          <w:rFonts w:cs="宋体" w:asciiTheme="minorEastAsia" w:hAnsiTheme="minorEastAsia" w:eastAsiaTheme="minorEastAsia"/>
          <w:b/>
          <w:color w:val="auto"/>
          <w:sz w:val="30"/>
          <w:szCs w:val="30"/>
        </w:rPr>
      </w:pPr>
    </w:p>
    <w:p>
      <w:pPr>
        <w:widowControl/>
        <w:shd w:val="clear" w:color="auto" w:fill="FFFFFF"/>
        <w:spacing w:line="360" w:lineRule="auto"/>
        <w:rPr>
          <w:rFonts w:cs="宋体" w:asciiTheme="minorEastAsia" w:hAnsiTheme="minorEastAsia" w:eastAsiaTheme="minorEastAsia"/>
          <w:b/>
          <w:color w:val="auto"/>
          <w:sz w:val="30"/>
          <w:szCs w:val="30"/>
        </w:rPr>
      </w:pPr>
    </w:p>
    <w:p>
      <w:pPr>
        <w:widowControl/>
        <w:shd w:val="clear" w:color="auto" w:fill="FFFFFF"/>
        <w:spacing w:line="360" w:lineRule="auto"/>
        <w:rPr>
          <w:rFonts w:cs="宋体" w:asciiTheme="minorEastAsia" w:hAnsiTheme="minorEastAsia" w:eastAsiaTheme="minorEastAsia"/>
          <w:b/>
          <w:color w:val="auto"/>
          <w:sz w:val="30"/>
          <w:szCs w:val="30"/>
        </w:rPr>
      </w:pPr>
    </w:p>
    <w:p>
      <w:pPr>
        <w:jc w:val="left"/>
        <w:outlineLvl w:val="0"/>
        <w:rPr>
          <w:rFonts w:hAnsi="宋体" w:cs="宋体"/>
          <w:bCs/>
          <w:color w:val="auto"/>
          <w:sz w:val="24"/>
        </w:rPr>
        <w:sectPr>
          <w:headerReference r:id="rId10" w:type="default"/>
          <w:footerReference r:id="rId11" w:type="default"/>
          <w:pgSz w:w="11906" w:h="16838"/>
          <w:pgMar w:top="1440" w:right="1440" w:bottom="1440" w:left="1440" w:header="851" w:footer="992" w:gutter="0"/>
          <w:cols w:space="720" w:num="1"/>
          <w:docGrid w:linePitch="312" w:charSpace="0"/>
        </w:sectPr>
      </w:pPr>
    </w:p>
    <w:p>
      <w:pPr>
        <w:jc w:val="left"/>
        <w:outlineLvl w:val="0"/>
        <w:rPr>
          <w:rFonts w:hAnsi="宋体" w:cs="宋体"/>
          <w:bCs/>
          <w:color w:val="auto"/>
          <w:sz w:val="24"/>
        </w:rPr>
      </w:pPr>
      <w:r>
        <w:rPr>
          <w:rFonts w:hint="eastAsia" w:hAnsi="宋体" w:cs="宋体"/>
          <w:bCs/>
          <w:color w:val="auto"/>
          <w:sz w:val="24"/>
        </w:rPr>
        <w:t>（三）承诺书（格式）</w:t>
      </w:r>
    </w:p>
    <w:p>
      <w:pPr>
        <w:ind w:left="420"/>
        <w:jc w:val="center"/>
        <w:outlineLvl w:val="0"/>
        <w:rPr>
          <w:rFonts w:hAnsi="宋体" w:cs="宋体"/>
          <w:bCs/>
          <w:color w:val="auto"/>
          <w:sz w:val="32"/>
          <w:szCs w:val="32"/>
        </w:rPr>
      </w:pPr>
    </w:p>
    <w:p>
      <w:pPr>
        <w:keepNext/>
        <w:jc w:val="center"/>
        <w:outlineLvl w:val="2"/>
        <w:rPr>
          <w:rFonts w:hAnsi="宋体" w:cs="宋体"/>
          <w:bCs/>
          <w:color w:val="auto"/>
          <w:sz w:val="28"/>
          <w:szCs w:val="28"/>
        </w:rPr>
      </w:pPr>
      <w:r>
        <w:rPr>
          <w:rFonts w:hint="eastAsia" w:hAnsi="宋体" w:cs="宋体"/>
          <w:b/>
          <w:color w:val="auto"/>
          <w:sz w:val="28"/>
          <w:szCs w:val="22"/>
        </w:rPr>
        <w:t>承诺书一</w:t>
      </w:r>
    </w:p>
    <w:p>
      <w:pPr>
        <w:spacing w:line="360" w:lineRule="auto"/>
        <w:outlineLvl w:val="0"/>
        <w:rPr>
          <w:rFonts w:hAnsi="宋体" w:cs="宋体"/>
          <w:bCs/>
          <w:color w:val="auto"/>
          <w:sz w:val="24"/>
          <w:szCs w:val="22"/>
        </w:rPr>
      </w:pPr>
      <w:r>
        <w:rPr>
          <w:rFonts w:hint="eastAsia" w:hAnsi="宋体" w:cs="宋体"/>
          <w:bCs/>
          <w:color w:val="auto"/>
          <w:sz w:val="24"/>
          <w:szCs w:val="22"/>
        </w:rPr>
        <w:t>（投标供应商名称）在此承诺：</w:t>
      </w:r>
    </w:p>
    <w:p>
      <w:pPr>
        <w:spacing w:line="360" w:lineRule="auto"/>
        <w:ind w:firstLine="360" w:firstLineChars="150"/>
        <w:outlineLvl w:val="0"/>
        <w:rPr>
          <w:rFonts w:hAnsi="宋体" w:cs="宋体"/>
          <w:bCs/>
          <w:color w:val="auto"/>
          <w:sz w:val="24"/>
          <w:szCs w:val="22"/>
        </w:rPr>
      </w:pPr>
    </w:p>
    <w:p>
      <w:pPr>
        <w:spacing w:line="360" w:lineRule="auto"/>
        <w:ind w:firstLine="600" w:firstLineChars="250"/>
        <w:outlineLvl w:val="0"/>
        <w:rPr>
          <w:rFonts w:hAnsi="宋体" w:cs="宋体"/>
          <w:bCs/>
          <w:color w:val="auto"/>
          <w:sz w:val="24"/>
          <w:szCs w:val="22"/>
        </w:rPr>
      </w:pPr>
      <w:r>
        <w:rPr>
          <w:rFonts w:hint="eastAsia" w:hAnsi="宋体" w:cs="宋体"/>
          <w:bCs/>
          <w:color w:val="auto"/>
          <w:sz w:val="24"/>
          <w:szCs w:val="22"/>
        </w:rPr>
        <w:t>我公司(单位)愿针对此次</w:t>
      </w:r>
      <w:r>
        <w:rPr>
          <w:rFonts w:hint="eastAsia" w:hAnsi="宋体" w:cs="宋体"/>
          <w:bCs/>
          <w:color w:val="auto"/>
          <w:sz w:val="24"/>
          <w:szCs w:val="22"/>
          <w:u w:val="single"/>
        </w:rPr>
        <w:t xml:space="preserve">              （项目名称）</w:t>
      </w:r>
      <w:r>
        <w:rPr>
          <w:rFonts w:hint="eastAsia" w:hAnsi="宋体" w:cs="宋体"/>
          <w:bCs/>
          <w:color w:val="auto"/>
          <w:sz w:val="24"/>
          <w:szCs w:val="22"/>
        </w:rPr>
        <w:t>进行投标。</w:t>
      </w:r>
      <w:r>
        <w:rPr>
          <w:rFonts w:hint="eastAsia" w:hAnsi="宋体" w:cs="宋体"/>
          <w:bCs/>
          <w:color w:val="auto"/>
          <w:sz w:val="24"/>
          <w:szCs w:val="22"/>
        </w:rPr>
        <w:cr/>
      </w:r>
      <w:r>
        <w:rPr>
          <w:rFonts w:hint="eastAsia" w:hAnsi="宋体" w:cs="宋体"/>
          <w:bCs/>
          <w:color w:val="auto"/>
          <w:sz w:val="24"/>
          <w:szCs w:val="22"/>
        </w:rPr>
        <w:t xml:space="preserve">     我公司符合《中华人民共和国政府采购法》第二十二条的规定，在此郑重承诺具备以下条件：</w:t>
      </w:r>
      <w:r>
        <w:rPr>
          <w:rFonts w:hint="eastAsia" w:hAnsi="宋体" w:cs="宋体"/>
          <w:bCs/>
          <w:color w:val="auto"/>
          <w:sz w:val="24"/>
          <w:szCs w:val="22"/>
        </w:rPr>
        <w:cr/>
      </w:r>
      <w:r>
        <w:rPr>
          <w:rFonts w:hint="eastAsia" w:hAnsi="宋体" w:cs="宋体"/>
          <w:bCs/>
          <w:color w:val="auto"/>
          <w:sz w:val="24"/>
          <w:szCs w:val="22"/>
        </w:rPr>
        <w:t xml:space="preserve">    (一)具有独立承担民事责任的能力；</w:t>
      </w:r>
      <w:r>
        <w:rPr>
          <w:rFonts w:hint="eastAsia" w:hAnsi="宋体" w:cs="宋体"/>
          <w:bCs/>
          <w:color w:val="auto"/>
          <w:sz w:val="24"/>
          <w:szCs w:val="22"/>
        </w:rPr>
        <w:cr/>
      </w:r>
      <w:r>
        <w:rPr>
          <w:rFonts w:hint="eastAsia" w:hAnsi="宋体" w:cs="宋体"/>
          <w:bCs/>
          <w:color w:val="auto"/>
          <w:sz w:val="24"/>
          <w:szCs w:val="22"/>
        </w:rPr>
        <w:t xml:space="preserve">    (二)具有良好的商业信誉和健全的财务会计制度；</w:t>
      </w:r>
      <w:r>
        <w:rPr>
          <w:rFonts w:hint="eastAsia" w:hAnsi="宋体" w:cs="宋体"/>
          <w:bCs/>
          <w:color w:val="auto"/>
          <w:sz w:val="24"/>
          <w:szCs w:val="22"/>
        </w:rPr>
        <w:cr/>
      </w:r>
      <w:r>
        <w:rPr>
          <w:rFonts w:hint="eastAsia" w:hAnsi="宋体" w:cs="宋体"/>
          <w:bCs/>
          <w:color w:val="auto"/>
          <w:sz w:val="24"/>
          <w:szCs w:val="22"/>
        </w:rPr>
        <w:t xml:space="preserve">    (三)具有履行合同所必需的设备和专业技术能力；</w:t>
      </w:r>
      <w:r>
        <w:rPr>
          <w:rFonts w:hint="eastAsia" w:hAnsi="宋体" w:cs="宋体"/>
          <w:bCs/>
          <w:color w:val="auto"/>
          <w:sz w:val="24"/>
          <w:szCs w:val="22"/>
        </w:rPr>
        <w:cr/>
      </w:r>
      <w:r>
        <w:rPr>
          <w:rFonts w:hint="eastAsia" w:hAnsi="宋体" w:cs="宋体"/>
          <w:bCs/>
          <w:color w:val="auto"/>
          <w:sz w:val="24"/>
          <w:szCs w:val="22"/>
        </w:rPr>
        <w:t xml:space="preserve">    (四)有依法缴纳税收和社会保障资金的良好记录；</w:t>
      </w:r>
      <w:r>
        <w:rPr>
          <w:rFonts w:hint="eastAsia" w:hAnsi="宋体" w:cs="宋体"/>
          <w:bCs/>
          <w:color w:val="auto"/>
          <w:sz w:val="24"/>
          <w:szCs w:val="22"/>
        </w:rPr>
        <w:cr/>
      </w:r>
      <w:r>
        <w:rPr>
          <w:rFonts w:hint="eastAsia" w:hAnsi="宋体" w:cs="宋体"/>
          <w:bCs/>
          <w:color w:val="auto"/>
          <w:sz w:val="24"/>
          <w:szCs w:val="22"/>
        </w:rPr>
        <w:t xml:space="preserve">    (五)近三年内，在经营活动中没有重大违法记录；</w:t>
      </w:r>
      <w:r>
        <w:rPr>
          <w:rFonts w:hint="eastAsia" w:hAnsi="宋体" w:cs="宋体"/>
          <w:bCs/>
          <w:color w:val="auto"/>
          <w:sz w:val="24"/>
          <w:szCs w:val="22"/>
        </w:rPr>
        <w:cr/>
      </w:r>
      <w:r>
        <w:rPr>
          <w:rFonts w:hint="eastAsia" w:hAnsi="宋体" w:cs="宋体"/>
          <w:bCs/>
          <w:color w:val="auto"/>
          <w:sz w:val="24"/>
          <w:szCs w:val="22"/>
        </w:rPr>
        <w:t xml:space="preserve">    (六)响应文件中所有关于投标资格的文件、证明、陈述均是真实的、准确的。</w:t>
      </w:r>
      <w:r>
        <w:rPr>
          <w:rFonts w:hint="eastAsia" w:hAnsi="宋体" w:cs="宋体"/>
          <w:bCs/>
          <w:color w:val="auto"/>
          <w:sz w:val="24"/>
          <w:szCs w:val="22"/>
        </w:rPr>
        <w:cr/>
      </w:r>
      <w:r>
        <w:rPr>
          <w:rFonts w:hint="eastAsia" w:hAnsi="宋体" w:cs="宋体"/>
          <w:bCs/>
          <w:color w:val="auto"/>
          <w:sz w:val="24"/>
          <w:szCs w:val="22"/>
        </w:rPr>
        <w:t>若有违背，我公司(单位)愿意承担由此而产生的一切后果。</w:t>
      </w:r>
    </w:p>
    <w:p>
      <w:pPr>
        <w:spacing w:line="360" w:lineRule="auto"/>
        <w:ind w:firstLine="360" w:firstLineChars="150"/>
        <w:outlineLvl w:val="0"/>
        <w:rPr>
          <w:rFonts w:hAnsi="宋体" w:cs="宋体"/>
          <w:bCs/>
          <w:color w:val="auto"/>
          <w:sz w:val="24"/>
          <w:szCs w:val="22"/>
        </w:rPr>
      </w:pPr>
    </w:p>
    <w:p>
      <w:pPr>
        <w:spacing w:line="360" w:lineRule="auto"/>
        <w:ind w:firstLine="360" w:firstLineChars="150"/>
        <w:outlineLvl w:val="0"/>
        <w:rPr>
          <w:rFonts w:hAnsi="宋体" w:cs="宋体"/>
          <w:bCs/>
          <w:color w:val="auto"/>
          <w:sz w:val="24"/>
          <w:szCs w:val="22"/>
        </w:rPr>
      </w:pPr>
    </w:p>
    <w:p>
      <w:pPr>
        <w:spacing w:line="360" w:lineRule="auto"/>
        <w:ind w:firstLine="360" w:firstLineChars="150"/>
        <w:outlineLvl w:val="0"/>
        <w:rPr>
          <w:rFonts w:hAnsi="宋体" w:cs="宋体"/>
          <w:bCs/>
          <w:color w:val="auto"/>
          <w:sz w:val="24"/>
          <w:szCs w:val="22"/>
        </w:rPr>
      </w:pPr>
      <w:r>
        <w:rPr>
          <w:rFonts w:hint="eastAsia" w:hAnsi="宋体" w:cs="宋体"/>
          <w:bCs/>
          <w:color w:val="auto"/>
          <w:sz w:val="24"/>
          <w:szCs w:val="22"/>
        </w:rPr>
        <w:t>投标供应商（盖章）：</w:t>
      </w:r>
    </w:p>
    <w:p>
      <w:pPr>
        <w:spacing w:line="360" w:lineRule="auto"/>
        <w:ind w:firstLine="360" w:firstLineChars="150"/>
        <w:outlineLvl w:val="0"/>
        <w:rPr>
          <w:rFonts w:hAnsi="宋体" w:cs="宋体"/>
          <w:bCs/>
          <w:color w:val="auto"/>
          <w:sz w:val="24"/>
          <w:szCs w:val="22"/>
        </w:rPr>
      </w:pPr>
      <w:r>
        <w:rPr>
          <w:rFonts w:hint="eastAsia" w:hAnsi="宋体" w:cs="宋体"/>
          <w:bCs/>
          <w:color w:val="auto"/>
          <w:sz w:val="24"/>
          <w:szCs w:val="22"/>
        </w:rPr>
        <w:t>法定代表人或法定代表人授权代表签字或盖章：</w:t>
      </w:r>
    </w:p>
    <w:p>
      <w:pPr>
        <w:keepNext/>
        <w:jc w:val="center"/>
        <w:outlineLvl w:val="2"/>
        <w:rPr>
          <w:rFonts w:hAnsi="宋体" w:cs="宋体"/>
          <w:b/>
          <w:color w:val="auto"/>
          <w:sz w:val="32"/>
          <w:szCs w:val="32"/>
        </w:rPr>
      </w:pPr>
      <w:r>
        <w:rPr>
          <w:rFonts w:hint="eastAsia" w:hAnsi="宋体" w:cs="宋体"/>
          <w:bCs/>
          <w:color w:val="auto"/>
          <w:sz w:val="24"/>
        </w:rPr>
        <w:br w:type="page"/>
      </w:r>
      <w:r>
        <w:rPr>
          <w:rFonts w:hint="eastAsia" w:hAnsi="宋体" w:cs="宋体"/>
          <w:b/>
          <w:color w:val="auto"/>
          <w:sz w:val="28"/>
          <w:szCs w:val="22"/>
        </w:rPr>
        <w:t>承诺书二</w:t>
      </w:r>
    </w:p>
    <w:p>
      <w:pPr>
        <w:spacing w:line="360" w:lineRule="auto"/>
        <w:rPr>
          <w:rFonts w:hAnsi="宋体" w:cs="宋体"/>
          <w:color w:val="auto"/>
          <w:sz w:val="24"/>
        </w:rPr>
      </w:pPr>
    </w:p>
    <w:p>
      <w:pPr>
        <w:spacing w:line="360" w:lineRule="auto"/>
        <w:outlineLvl w:val="0"/>
        <w:rPr>
          <w:rFonts w:hAnsi="宋体" w:cs="宋体"/>
          <w:bCs/>
          <w:color w:val="auto"/>
          <w:sz w:val="24"/>
          <w:szCs w:val="22"/>
        </w:rPr>
      </w:pPr>
      <w:r>
        <w:rPr>
          <w:rFonts w:hint="eastAsia" w:hAnsi="宋体" w:cs="宋体"/>
          <w:bCs/>
          <w:color w:val="auto"/>
          <w:sz w:val="24"/>
          <w:szCs w:val="22"/>
        </w:rPr>
        <w:t>致：（采购人名称）</w:t>
      </w:r>
    </w:p>
    <w:p>
      <w:pPr>
        <w:spacing w:line="360" w:lineRule="auto"/>
        <w:ind w:firstLine="480" w:firstLineChars="200"/>
        <w:outlineLvl w:val="0"/>
        <w:rPr>
          <w:rFonts w:hAnsi="宋体" w:cs="宋体"/>
          <w:bCs/>
          <w:color w:val="auto"/>
          <w:sz w:val="24"/>
          <w:szCs w:val="22"/>
        </w:rPr>
      </w:pPr>
      <w:r>
        <w:rPr>
          <w:rFonts w:hint="eastAsia" w:hAnsi="宋体" w:cs="宋体"/>
          <w:bCs/>
          <w:color w:val="auto"/>
          <w:sz w:val="24"/>
          <w:szCs w:val="22"/>
        </w:rPr>
        <w:t>我公司自愿参加贵单位（公司）项目的投标，并接受对我公司的资格审查，我公司承诺：本公司参加政府采购活动前3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采购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我公司保证参与（拟采购项目名称）投标的拟任项目负责人</w:t>
      </w:r>
      <w:r>
        <w:rPr>
          <w:rFonts w:hint="eastAsia" w:hAnsi="宋体"/>
          <w:color w:val="auto"/>
          <w:sz w:val="24"/>
        </w:rPr>
        <w:t>无任何在建工程项目，</w:t>
      </w:r>
      <w:r>
        <w:rPr>
          <w:rFonts w:hint="eastAsia" w:asciiTheme="minorEastAsia" w:hAnsiTheme="minorEastAsia" w:eastAsiaTheme="minorEastAsia"/>
          <w:color w:val="auto"/>
          <w:sz w:val="24"/>
        </w:rPr>
        <w:t>提交的注册建造师注册证书原件是真实的，以上承诺如有不实，采购人可取消我方投标资格，如中标采购人可取消本公司的中标资格，我公司承担一切由此造成的法律后果。</w:t>
      </w:r>
    </w:p>
    <w:p>
      <w:pPr>
        <w:spacing w:before="240" w:line="360" w:lineRule="auto"/>
        <w:ind w:firstLine="480"/>
        <w:rPr>
          <w:rFonts w:hAnsi="宋体" w:cs="宋体"/>
          <w:color w:val="auto"/>
          <w:sz w:val="24"/>
        </w:rPr>
      </w:pPr>
    </w:p>
    <w:p>
      <w:pPr>
        <w:spacing w:before="240" w:line="360" w:lineRule="auto"/>
        <w:ind w:firstLine="480"/>
        <w:rPr>
          <w:rFonts w:hAnsi="宋体" w:cs="宋体"/>
          <w:color w:val="auto"/>
          <w:sz w:val="24"/>
        </w:rPr>
      </w:pPr>
    </w:p>
    <w:p>
      <w:pPr>
        <w:wordWrap w:val="0"/>
        <w:spacing w:before="240" w:line="360" w:lineRule="auto"/>
        <w:ind w:right="480" w:firstLine="4560" w:firstLineChars="1900"/>
        <w:rPr>
          <w:rFonts w:hAnsi="宋体" w:cs="宋体"/>
          <w:color w:val="auto"/>
          <w:sz w:val="24"/>
        </w:rPr>
      </w:pPr>
      <w:r>
        <w:rPr>
          <w:rFonts w:hint="eastAsia" w:hAnsi="宋体" w:cs="宋体"/>
          <w:color w:val="auto"/>
          <w:sz w:val="24"/>
        </w:rPr>
        <w:t xml:space="preserve">投标供应商：（盖章）  </w:t>
      </w:r>
    </w:p>
    <w:p>
      <w:pPr>
        <w:wordWrap w:val="0"/>
        <w:spacing w:before="240" w:line="360" w:lineRule="auto"/>
        <w:ind w:right="480" w:firstLine="4560" w:firstLineChars="1900"/>
        <w:rPr>
          <w:rFonts w:hAnsi="宋体" w:cs="宋体"/>
          <w:color w:val="auto"/>
          <w:sz w:val="24"/>
        </w:rPr>
      </w:pPr>
      <w:r>
        <w:rPr>
          <w:rFonts w:hint="eastAsia" w:hAnsi="宋体" w:cs="宋体"/>
          <w:color w:val="auto"/>
          <w:sz w:val="24"/>
        </w:rPr>
        <w:t xml:space="preserve">法定代表人签名或盖章：          </w:t>
      </w:r>
    </w:p>
    <w:p>
      <w:pPr>
        <w:wordWrap w:val="0"/>
        <w:spacing w:before="240" w:line="360" w:lineRule="auto"/>
        <w:ind w:firstLine="480"/>
        <w:jc w:val="center"/>
        <w:rPr>
          <w:rFonts w:hAnsi="宋体" w:cs="宋体"/>
          <w:color w:val="auto"/>
          <w:sz w:val="24"/>
        </w:rPr>
      </w:pPr>
      <w:r>
        <w:rPr>
          <w:rFonts w:hint="eastAsia" w:hAnsi="宋体" w:cs="宋体"/>
          <w:color w:val="auto"/>
          <w:sz w:val="24"/>
        </w:rPr>
        <w:t xml:space="preserve">           年    月    日</w:t>
      </w:r>
    </w:p>
    <w:p>
      <w:pPr>
        <w:pStyle w:val="2"/>
        <w:numPr>
          <w:ilvl w:val="4"/>
          <w:numId w:val="0"/>
        </w:numPr>
        <w:rPr>
          <w:rFonts w:ascii="宋体" w:hAnsi="宋体" w:eastAsia="宋体" w:cs="宋体"/>
          <w:color w:val="auto"/>
          <w:sz w:val="24"/>
        </w:rPr>
      </w:pPr>
    </w:p>
    <w:p>
      <w:pPr>
        <w:rPr>
          <w:rFonts w:hAnsi="宋体" w:cs="宋体"/>
          <w:color w:val="auto"/>
          <w:sz w:val="24"/>
        </w:rPr>
      </w:pPr>
    </w:p>
    <w:p>
      <w:pPr>
        <w:pStyle w:val="2"/>
        <w:numPr>
          <w:ilvl w:val="0"/>
          <w:numId w:val="0"/>
        </w:numPr>
        <w:rPr>
          <w:rFonts w:ascii="宋体" w:hAnsi="宋体" w:eastAsia="宋体" w:cs="宋体"/>
          <w:b w:val="0"/>
          <w:bCs w:val="0"/>
          <w:color w:val="auto"/>
          <w:kern w:val="0"/>
          <w:sz w:val="34"/>
          <w:szCs w:val="20"/>
        </w:rPr>
      </w:pPr>
    </w:p>
    <w:p>
      <w:pPr>
        <w:rPr>
          <w:color w:val="auto"/>
        </w:rPr>
      </w:pPr>
    </w:p>
    <w:p>
      <w:pPr>
        <w:keepNext/>
        <w:jc w:val="center"/>
        <w:outlineLvl w:val="2"/>
        <w:rPr>
          <w:rFonts w:hAnsi="宋体" w:cs="宋体"/>
          <w:b/>
          <w:color w:val="auto"/>
          <w:sz w:val="28"/>
          <w:szCs w:val="22"/>
        </w:rPr>
      </w:pPr>
      <w:r>
        <w:rPr>
          <w:rFonts w:hint="eastAsia" w:hAnsi="宋体" w:cs="宋体"/>
          <w:b/>
          <w:color w:val="auto"/>
          <w:sz w:val="28"/>
          <w:szCs w:val="22"/>
        </w:rPr>
        <w:t>承诺书三（廉洁承诺书格式）</w:t>
      </w:r>
    </w:p>
    <w:p>
      <w:pPr>
        <w:spacing w:line="520" w:lineRule="exact"/>
        <w:ind w:firstLine="480" w:firstLineChars="200"/>
        <w:rPr>
          <w:rFonts w:hAnsi="宋体" w:cs="宋体"/>
          <w:color w:val="auto"/>
          <w:sz w:val="24"/>
        </w:rPr>
      </w:pPr>
      <w:r>
        <w:rPr>
          <w:rFonts w:hint="eastAsia" w:hAnsi="宋体" w:cs="宋体"/>
          <w:color w:val="auto"/>
          <w:sz w:val="24"/>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hAnsi="宋体" w:cs="宋体"/>
          <w:color w:val="auto"/>
          <w:sz w:val="24"/>
        </w:rPr>
      </w:pPr>
      <w:r>
        <w:rPr>
          <w:rFonts w:hint="eastAsia" w:hAnsi="宋体" w:cs="宋体"/>
          <w:color w:val="auto"/>
          <w:sz w:val="24"/>
        </w:rPr>
        <w:t>1、自觉遵守国家法律法规及有关廉政建设制度。</w:t>
      </w:r>
    </w:p>
    <w:p>
      <w:pPr>
        <w:spacing w:line="520" w:lineRule="exact"/>
        <w:ind w:firstLine="480" w:firstLineChars="200"/>
        <w:rPr>
          <w:rFonts w:hAnsi="宋体" w:cs="宋体"/>
          <w:color w:val="auto"/>
          <w:sz w:val="24"/>
        </w:rPr>
      </w:pPr>
      <w:r>
        <w:rPr>
          <w:rFonts w:hint="eastAsia" w:hAnsi="宋体" w:cs="宋体"/>
          <w:color w:val="auto"/>
          <w:sz w:val="24"/>
        </w:rPr>
        <w:t>2、主动了解贵局招投标纪律，积极配合贵局执行招投标廉政建设的有关规定。</w:t>
      </w:r>
    </w:p>
    <w:p>
      <w:pPr>
        <w:spacing w:line="520" w:lineRule="exact"/>
        <w:ind w:firstLine="480" w:firstLineChars="200"/>
        <w:rPr>
          <w:rFonts w:hAnsi="宋体" w:cs="宋体"/>
          <w:color w:val="auto"/>
          <w:sz w:val="24"/>
        </w:rPr>
      </w:pPr>
      <w:r>
        <w:rPr>
          <w:rFonts w:hint="eastAsia" w:hAnsi="宋体" w:cs="宋体"/>
          <w:color w:val="auto"/>
          <w:sz w:val="24"/>
        </w:rPr>
        <w:t>3、不使用不正当手段妨碍、排挤其他投标单位或串通投标。</w:t>
      </w:r>
    </w:p>
    <w:p>
      <w:pPr>
        <w:spacing w:line="520" w:lineRule="exact"/>
        <w:ind w:firstLine="480" w:firstLineChars="200"/>
        <w:rPr>
          <w:rFonts w:hAnsi="宋体" w:cs="宋体"/>
          <w:color w:val="auto"/>
          <w:sz w:val="24"/>
        </w:rPr>
      </w:pPr>
      <w:r>
        <w:rPr>
          <w:rFonts w:hint="eastAsia" w:hAnsi="宋体" w:cs="宋体"/>
          <w:color w:val="auto"/>
          <w:sz w:val="24"/>
        </w:rPr>
        <w:t>4、按照招标文件规定的方式进行投标，不隐瞒本单位投标资质的真实情况，投标资质符合规定。</w:t>
      </w:r>
    </w:p>
    <w:p>
      <w:pPr>
        <w:spacing w:line="520" w:lineRule="exact"/>
        <w:ind w:firstLine="480" w:firstLineChars="200"/>
        <w:rPr>
          <w:rFonts w:hAnsi="宋体" w:cs="宋体"/>
          <w:color w:val="auto"/>
          <w:sz w:val="24"/>
        </w:rPr>
      </w:pPr>
      <w:r>
        <w:rPr>
          <w:rFonts w:hint="eastAsia" w:hAnsi="宋体" w:cs="宋体"/>
          <w:color w:val="auto"/>
          <w:sz w:val="24"/>
        </w:rPr>
        <w:t>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hAnsi="宋体" w:cs="宋体"/>
          <w:color w:val="auto"/>
          <w:sz w:val="24"/>
        </w:rPr>
      </w:pPr>
      <w:r>
        <w:rPr>
          <w:rFonts w:hint="eastAsia" w:hAnsi="宋体" w:cs="宋体"/>
          <w:color w:val="auto"/>
          <w:sz w:val="24"/>
        </w:rPr>
        <w:t>6、不向设计招标的单位及个人购置或提供通讯工具、交通工具和高档办公用品等。</w:t>
      </w:r>
    </w:p>
    <w:p>
      <w:pPr>
        <w:spacing w:line="520" w:lineRule="exact"/>
        <w:ind w:firstLine="480" w:firstLineChars="200"/>
        <w:rPr>
          <w:rFonts w:hAnsi="宋体" w:cs="宋体"/>
          <w:color w:val="auto"/>
          <w:sz w:val="24"/>
        </w:rPr>
      </w:pPr>
      <w:r>
        <w:rPr>
          <w:rFonts w:hint="eastAsia" w:hAnsi="宋体" w:cs="宋体"/>
          <w:color w:val="auto"/>
          <w:sz w:val="24"/>
        </w:rPr>
        <w:t>7、不向涉及招标的单位及个人的配偶、子女、亲属分包此次招标项目。</w:t>
      </w:r>
    </w:p>
    <w:p>
      <w:pPr>
        <w:spacing w:line="520" w:lineRule="exact"/>
        <w:ind w:firstLine="480" w:firstLineChars="200"/>
        <w:rPr>
          <w:rFonts w:hAnsi="宋体" w:cs="宋体"/>
          <w:color w:val="auto"/>
          <w:sz w:val="24"/>
        </w:rPr>
      </w:pPr>
      <w:r>
        <w:rPr>
          <w:rFonts w:hint="eastAsia" w:hAnsi="宋体" w:cs="宋体"/>
          <w:color w:val="auto"/>
          <w:sz w:val="24"/>
        </w:rPr>
        <w:t>8、不向涉及招标的单位及个人支付好处费、介绍费。</w:t>
      </w:r>
    </w:p>
    <w:p>
      <w:pPr>
        <w:spacing w:line="520" w:lineRule="exact"/>
        <w:ind w:firstLine="480" w:firstLineChars="200"/>
        <w:rPr>
          <w:rFonts w:hAnsi="宋体" w:cs="宋体"/>
          <w:color w:val="auto"/>
          <w:sz w:val="24"/>
        </w:rPr>
      </w:pPr>
      <w:r>
        <w:rPr>
          <w:rFonts w:hint="eastAsia" w:hAnsi="宋体" w:cs="宋体"/>
          <w:color w:val="auto"/>
          <w:sz w:val="24"/>
        </w:rPr>
        <w:t>9、一旦发现相关人员在招标过程中有索要财物等不廉洁行为，坚决予以抵制，并及时向贵局纪检监察室举报。</w:t>
      </w:r>
    </w:p>
    <w:p>
      <w:pPr>
        <w:spacing w:line="520" w:lineRule="exact"/>
        <w:ind w:firstLine="480" w:firstLineChars="200"/>
        <w:rPr>
          <w:rFonts w:hAnsi="宋体" w:cs="宋体"/>
          <w:color w:val="auto"/>
          <w:sz w:val="24"/>
        </w:rPr>
      </w:pPr>
      <w:r>
        <w:rPr>
          <w:rFonts w:hint="eastAsia" w:hAnsi="宋体" w:cs="宋体"/>
          <w:color w:val="auto"/>
          <w:sz w:val="24"/>
        </w:rPr>
        <w:t>我们若违反上述承诺，愿接收取消投标资格及其他任何形式的处理。</w:t>
      </w:r>
    </w:p>
    <w:p>
      <w:pPr>
        <w:spacing w:line="520" w:lineRule="exact"/>
        <w:ind w:firstLine="480" w:firstLineChars="200"/>
        <w:rPr>
          <w:rFonts w:hAnsi="宋体" w:cs="宋体"/>
          <w:color w:val="auto"/>
          <w:sz w:val="24"/>
        </w:rPr>
      </w:pPr>
    </w:p>
    <w:p>
      <w:pPr>
        <w:spacing w:line="360" w:lineRule="auto"/>
        <w:ind w:firstLine="480" w:firstLineChars="200"/>
        <w:rPr>
          <w:rFonts w:hAnsi="宋体" w:cs="宋体"/>
          <w:color w:val="auto"/>
          <w:sz w:val="24"/>
        </w:rPr>
      </w:pPr>
      <w:r>
        <w:rPr>
          <w:rFonts w:hint="eastAsia" w:hAnsi="宋体" w:cs="宋体"/>
          <w:color w:val="auto"/>
          <w:sz w:val="24"/>
        </w:rPr>
        <w:t xml:space="preserve">投标供应商（公章）：             </w:t>
      </w:r>
    </w:p>
    <w:p>
      <w:pPr>
        <w:spacing w:line="360" w:lineRule="auto"/>
        <w:ind w:firstLine="480" w:firstLineChars="200"/>
        <w:rPr>
          <w:rFonts w:hAnsi="宋体" w:cs="宋体"/>
          <w:color w:val="auto"/>
          <w:sz w:val="24"/>
        </w:rPr>
      </w:pPr>
      <w:r>
        <w:rPr>
          <w:rFonts w:hint="eastAsia" w:hAnsi="宋体" w:cs="宋体"/>
          <w:color w:val="auto"/>
          <w:sz w:val="24"/>
        </w:rPr>
        <w:t>法定代表人或授权代理人：          （签字或盖章）</w:t>
      </w:r>
    </w:p>
    <w:p>
      <w:pPr>
        <w:widowControl/>
        <w:shd w:val="clear" w:color="auto" w:fill="FFFFFF"/>
        <w:spacing w:line="360" w:lineRule="auto"/>
        <w:rPr>
          <w:rFonts w:hAnsi="宋体" w:cs="宋体"/>
          <w:bCs/>
          <w:color w:val="auto"/>
          <w:sz w:val="24"/>
        </w:rPr>
      </w:pPr>
      <w:r>
        <w:rPr>
          <w:rFonts w:hint="eastAsia" w:hAnsi="宋体" w:cs="宋体"/>
          <w:color w:val="auto"/>
          <w:sz w:val="24"/>
          <w:szCs w:val="22"/>
        </w:rPr>
        <w:t xml:space="preserve">    年    月     日</w:t>
      </w:r>
    </w:p>
    <w:p>
      <w:pPr>
        <w:widowControl/>
        <w:shd w:val="clear" w:color="auto" w:fill="FFFFFF"/>
        <w:spacing w:line="360" w:lineRule="auto"/>
        <w:rPr>
          <w:rFonts w:hAnsi="宋体" w:cs="宋体"/>
          <w:bCs/>
          <w:color w:val="auto"/>
          <w:sz w:val="24"/>
        </w:rPr>
      </w:pPr>
    </w:p>
    <w:p>
      <w:pPr>
        <w:widowControl/>
        <w:shd w:val="clear" w:color="auto" w:fill="FFFFFF"/>
        <w:spacing w:line="360" w:lineRule="auto"/>
        <w:rPr>
          <w:rFonts w:hAnsi="宋体" w:cs="宋体"/>
          <w:bCs/>
          <w:color w:val="auto"/>
          <w:sz w:val="24"/>
        </w:rPr>
      </w:pPr>
    </w:p>
    <w:p>
      <w:pPr>
        <w:widowControl/>
        <w:shd w:val="clear" w:color="auto" w:fill="FFFFFF"/>
        <w:spacing w:line="360" w:lineRule="auto"/>
        <w:rPr>
          <w:rFonts w:hAnsi="宋体" w:cs="宋体"/>
          <w:b/>
          <w:color w:val="auto"/>
          <w:sz w:val="30"/>
          <w:szCs w:val="30"/>
        </w:rPr>
      </w:pPr>
    </w:p>
    <w:p>
      <w:pPr>
        <w:widowControl/>
        <w:shd w:val="clear" w:color="auto" w:fill="FFFFFF"/>
        <w:spacing w:line="360" w:lineRule="auto"/>
        <w:rPr>
          <w:rFonts w:hAnsi="宋体" w:cs="宋体"/>
          <w:b/>
          <w:color w:val="auto"/>
          <w:sz w:val="30"/>
          <w:szCs w:val="30"/>
        </w:rPr>
      </w:pPr>
    </w:p>
    <w:p>
      <w:pPr>
        <w:keepNext/>
        <w:jc w:val="center"/>
        <w:outlineLvl w:val="2"/>
        <w:rPr>
          <w:rFonts w:hAnsi="宋体" w:cs="宋体"/>
          <w:b/>
          <w:color w:val="auto"/>
          <w:sz w:val="28"/>
          <w:szCs w:val="22"/>
        </w:rPr>
      </w:pPr>
      <w:r>
        <w:rPr>
          <w:rFonts w:hint="eastAsia" w:hAnsi="宋体" w:cs="宋体"/>
          <w:b/>
          <w:color w:val="auto"/>
          <w:sz w:val="28"/>
          <w:szCs w:val="22"/>
        </w:rPr>
        <w:t>承诺书四 不拖欠农民工工资承诺书</w:t>
      </w:r>
    </w:p>
    <w:p>
      <w:pPr>
        <w:rPr>
          <w:rFonts w:hAnsi="宋体" w:cs="宋体"/>
          <w:color w:val="auto"/>
        </w:rPr>
      </w:pPr>
    </w:p>
    <w:p>
      <w:pPr>
        <w:adjustRightInd w:val="0"/>
        <w:snapToGrid w:val="0"/>
        <w:spacing w:line="360" w:lineRule="auto"/>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（采购人名称）    </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为保护农民工的合法权益，不拖欠农民工工资，本签名人郑重承诺：</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本企业如果中标承建</w:t>
      </w:r>
      <w:r>
        <w:rPr>
          <w:rFonts w:hint="eastAsia" w:hAnsi="宋体" w:cs="宋体"/>
          <w:color w:val="auto"/>
          <w:sz w:val="24"/>
          <w:u w:val="single"/>
        </w:rPr>
        <w:t xml:space="preserve">                       工程</w:t>
      </w:r>
      <w:r>
        <w:rPr>
          <w:rFonts w:hint="eastAsia" w:hAnsi="宋体" w:cs="宋体"/>
          <w:color w:val="auto"/>
          <w:sz w:val="24"/>
        </w:rPr>
        <w:t>项目，需要使用农民工时，将保证做到：</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1、按照《劳动法》规定雇佣和使用农民工，工资将直接发放给农民工本人，严禁发放给“包工头”。</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3、如果发生违反规定拖欠或克扣农民工工资行为，造成农民工上访，本公司愿意接受业主暂停我公司1年期间参加业主招标项目投标资格的处罚，同时愿意接受交通行政主管部门依照有关规定作出的其它处罚决定。</w:t>
      </w:r>
    </w:p>
    <w:p>
      <w:pPr>
        <w:adjustRightInd w:val="0"/>
        <w:snapToGrid w:val="0"/>
        <w:spacing w:line="360" w:lineRule="auto"/>
        <w:ind w:firstLine="513" w:firstLineChars="214"/>
        <w:rPr>
          <w:rFonts w:hAnsi="宋体" w:cs="宋体"/>
          <w:color w:val="auto"/>
          <w:sz w:val="24"/>
        </w:rPr>
      </w:pPr>
      <w:r>
        <w:rPr>
          <w:rFonts w:hint="eastAsia" w:hAnsi="宋体" w:cs="宋体"/>
          <w:color w:val="auto"/>
          <w:sz w:val="24"/>
        </w:rPr>
        <w:t>4、本公司同意：在合同执行期间由业主按规定每月扣留工程计量款的1%作为农民工工资保障金：工程结束后，业主代表视承包人对农民工工资支付情况，据实结算返还剩余的保障金。</w:t>
      </w:r>
    </w:p>
    <w:p>
      <w:pPr>
        <w:adjustRightInd w:val="0"/>
        <w:snapToGrid w:val="0"/>
        <w:spacing w:line="360" w:lineRule="auto"/>
        <w:ind w:firstLine="513" w:firstLineChars="214"/>
        <w:rPr>
          <w:rFonts w:hAnsi="宋体" w:cs="宋体"/>
          <w:color w:val="auto"/>
          <w:sz w:val="24"/>
        </w:rPr>
      </w:pPr>
    </w:p>
    <w:p>
      <w:pPr>
        <w:spacing w:before="240" w:line="360" w:lineRule="auto"/>
        <w:ind w:right="480" w:firstLine="2760" w:firstLineChars="1150"/>
        <w:jc w:val="right"/>
        <w:rPr>
          <w:rFonts w:hAnsi="宋体" w:cs="宋体"/>
          <w:color w:val="auto"/>
          <w:sz w:val="24"/>
        </w:rPr>
      </w:pPr>
      <w:r>
        <w:rPr>
          <w:rFonts w:hint="eastAsia" w:hAnsi="宋体" w:cs="宋体"/>
          <w:color w:val="auto"/>
          <w:sz w:val="24"/>
        </w:rPr>
        <w:t>投标供应商：（公章）</w:t>
      </w:r>
    </w:p>
    <w:p>
      <w:pPr>
        <w:wordWrap w:val="0"/>
        <w:spacing w:before="240" w:line="360" w:lineRule="auto"/>
        <w:ind w:firstLine="480"/>
        <w:jc w:val="right"/>
        <w:rPr>
          <w:rFonts w:hAnsi="宋体" w:cs="宋体"/>
          <w:color w:val="auto"/>
          <w:sz w:val="24"/>
        </w:rPr>
      </w:pPr>
      <w:r>
        <w:rPr>
          <w:rFonts w:hint="eastAsia" w:hAnsi="宋体" w:cs="宋体"/>
          <w:color w:val="auto"/>
          <w:sz w:val="24"/>
        </w:rPr>
        <w:t>法定代表人或其被授权代表：   （签字和盖章）</w:t>
      </w:r>
    </w:p>
    <w:p>
      <w:pPr>
        <w:pStyle w:val="25"/>
        <w:rPr>
          <w:color w:val="auto"/>
        </w:rPr>
      </w:pPr>
    </w:p>
    <w:p>
      <w:pPr>
        <w:widowControl/>
        <w:shd w:val="clear" w:color="auto" w:fill="FFFFFF"/>
        <w:spacing w:line="360" w:lineRule="auto"/>
        <w:rPr>
          <w:rFonts w:hAnsi="宋体" w:cs="宋体"/>
          <w:color w:val="auto"/>
          <w:sz w:val="24"/>
        </w:rPr>
      </w:pPr>
      <w:r>
        <w:rPr>
          <w:rFonts w:hint="eastAsia" w:hAnsi="宋体" w:cs="宋体"/>
          <w:color w:val="auto"/>
          <w:sz w:val="24"/>
        </w:rPr>
        <w:t xml:space="preserve">                                              年    月    日</w:t>
      </w:r>
    </w:p>
    <w:p>
      <w:pPr>
        <w:pStyle w:val="2"/>
        <w:numPr>
          <w:ilvl w:val="0"/>
          <w:numId w:val="0"/>
        </w:numPr>
        <w:rPr>
          <w:color w:val="auto"/>
        </w:rPr>
      </w:pPr>
    </w:p>
    <w:p>
      <w:pPr>
        <w:rPr>
          <w:color w:val="auto"/>
        </w:rPr>
      </w:pPr>
    </w:p>
    <w:p>
      <w:pPr>
        <w:pStyle w:val="25"/>
        <w:rPr>
          <w:color w:val="auto"/>
        </w:rPr>
      </w:pPr>
    </w:p>
    <w:p>
      <w:pPr>
        <w:pStyle w:val="25"/>
        <w:rPr>
          <w:color w:val="auto"/>
        </w:rPr>
      </w:pPr>
    </w:p>
    <w:p>
      <w:pPr>
        <w:pStyle w:val="25"/>
        <w:rPr>
          <w:color w:val="auto"/>
        </w:rPr>
      </w:pPr>
    </w:p>
    <w:p>
      <w:pPr>
        <w:pStyle w:val="25"/>
        <w:rPr>
          <w:color w:val="auto"/>
        </w:rPr>
      </w:pPr>
    </w:p>
    <w:p>
      <w:pPr>
        <w:keepNext/>
        <w:jc w:val="center"/>
        <w:outlineLvl w:val="2"/>
        <w:rPr>
          <w:rFonts w:hAnsi="宋体" w:cs="宋体"/>
          <w:b/>
          <w:color w:val="auto"/>
          <w:sz w:val="28"/>
          <w:szCs w:val="22"/>
        </w:rPr>
      </w:pPr>
      <w:r>
        <w:rPr>
          <w:rFonts w:hint="eastAsia" w:hAnsi="宋体" w:cs="宋体"/>
          <w:b/>
          <w:color w:val="auto"/>
          <w:sz w:val="28"/>
          <w:szCs w:val="22"/>
        </w:rPr>
        <w:t>承诺书五</w:t>
      </w:r>
    </w:p>
    <w:p>
      <w:pPr>
        <w:rPr>
          <w:rFonts w:hAnsi="宋体"/>
          <w:color w:val="auto"/>
          <w:sz w:val="24"/>
          <w:szCs w:val="24"/>
        </w:rPr>
      </w:pPr>
    </w:p>
    <w:p>
      <w:pPr>
        <w:rPr>
          <w:rFonts w:hAnsi="宋体"/>
          <w:color w:val="auto"/>
          <w:sz w:val="24"/>
          <w:szCs w:val="24"/>
          <w:u w:val="single"/>
        </w:rPr>
      </w:pPr>
      <w:r>
        <w:rPr>
          <w:rFonts w:hint="eastAsia" w:hAnsi="宋体"/>
          <w:color w:val="auto"/>
          <w:sz w:val="24"/>
          <w:szCs w:val="24"/>
        </w:rPr>
        <w:t>（采购人名称）：</w:t>
      </w:r>
    </w:p>
    <w:p>
      <w:pPr>
        <w:rPr>
          <w:rFonts w:hAnsi="宋体"/>
          <w:color w:val="auto"/>
          <w:sz w:val="24"/>
          <w:szCs w:val="24"/>
          <w:u w:val="single"/>
        </w:rPr>
      </w:pPr>
    </w:p>
    <w:p>
      <w:pPr>
        <w:adjustRightInd w:val="0"/>
        <w:snapToGrid w:val="0"/>
        <w:spacing w:line="560" w:lineRule="exact"/>
        <w:ind w:firstLine="480" w:firstLineChars="200"/>
        <w:rPr>
          <w:rFonts w:hAnsi="宋体"/>
          <w:color w:val="auto"/>
          <w:sz w:val="24"/>
          <w:szCs w:val="24"/>
        </w:rPr>
      </w:pPr>
      <w:r>
        <w:rPr>
          <w:rFonts w:hint="eastAsia" w:hAnsi="宋体"/>
          <w:color w:val="auto"/>
          <w:sz w:val="24"/>
          <w:szCs w:val="24"/>
        </w:rPr>
        <w:t>我公司理解并支持公司，关于</w:t>
      </w:r>
      <w:r>
        <w:rPr>
          <w:rFonts w:hint="eastAsia" w:hAnsi="宋体"/>
          <w:color w:val="auto"/>
          <w:sz w:val="24"/>
          <w:szCs w:val="24"/>
          <w:u w:val="single"/>
          <w:lang w:val="en-US" w:eastAsia="zh-CN"/>
        </w:rPr>
        <w:t xml:space="preserve">        </w:t>
      </w:r>
      <w:r>
        <w:rPr>
          <w:rFonts w:hint="eastAsia" w:hAnsi="宋体"/>
          <w:color w:val="auto"/>
          <w:sz w:val="24"/>
          <w:szCs w:val="24"/>
        </w:rPr>
        <w:t>（项目名称）标段（以下简称“本工程”）加强监管的初衷和做法。郑重承诺：在本工程中标后，严格执行采购人关于质量、安全、文明施工、进度工期、工程款支付、结算审计等规章制度。不更换投标项目经理且项目组成员悉数到场参与项目管理。不违法转包、分包。如若在本工程建设过程中，有违反上述的情况或被行政主管部门通报的，则立即清退出场。工程完工后，如若因质量、工期、文明施工方面的问题被主管部门督办或举报、投诉，则接受罚款、暂缓支付工程款等处罚，并承担一切因上述引发的后果。</w:t>
      </w:r>
    </w:p>
    <w:p>
      <w:pPr>
        <w:ind w:firstLine="420"/>
        <w:rPr>
          <w:rFonts w:hAnsi="宋体"/>
          <w:color w:val="auto"/>
          <w:sz w:val="24"/>
          <w:szCs w:val="24"/>
        </w:rPr>
      </w:pPr>
    </w:p>
    <w:p>
      <w:pPr>
        <w:ind w:firstLine="420"/>
        <w:rPr>
          <w:rFonts w:hAnsi="宋体"/>
          <w:color w:val="auto"/>
          <w:sz w:val="24"/>
          <w:szCs w:val="24"/>
        </w:rPr>
      </w:pPr>
      <w:r>
        <w:rPr>
          <w:rFonts w:hint="eastAsia" w:hAnsi="宋体"/>
          <w:color w:val="auto"/>
          <w:sz w:val="24"/>
          <w:szCs w:val="24"/>
        </w:rPr>
        <w:t>特此承诺。</w:t>
      </w:r>
    </w:p>
    <w:p>
      <w:pPr>
        <w:ind w:firstLine="420"/>
        <w:rPr>
          <w:rFonts w:hAnsi="宋体"/>
          <w:color w:val="auto"/>
          <w:sz w:val="24"/>
          <w:szCs w:val="24"/>
        </w:rPr>
      </w:pPr>
    </w:p>
    <w:p>
      <w:pPr>
        <w:rPr>
          <w:rFonts w:hAnsi="宋体"/>
          <w:color w:val="auto"/>
          <w:sz w:val="24"/>
          <w:szCs w:val="24"/>
        </w:rPr>
      </w:pPr>
    </w:p>
    <w:p>
      <w:pPr>
        <w:wordWrap w:val="0"/>
        <w:spacing w:line="360" w:lineRule="auto"/>
        <w:ind w:firstLine="420"/>
        <w:jc w:val="right"/>
        <w:rPr>
          <w:rFonts w:hAnsi="宋体"/>
          <w:color w:val="auto"/>
          <w:sz w:val="24"/>
          <w:szCs w:val="24"/>
        </w:rPr>
      </w:pPr>
      <w:r>
        <w:rPr>
          <w:rFonts w:hint="eastAsia" w:hAnsi="宋体"/>
          <w:color w:val="auto"/>
          <w:sz w:val="24"/>
          <w:szCs w:val="24"/>
        </w:rPr>
        <w:t>申请人：（盖单位章）</w:t>
      </w:r>
    </w:p>
    <w:p>
      <w:pPr>
        <w:wordWrap w:val="0"/>
        <w:spacing w:line="360" w:lineRule="auto"/>
        <w:ind w:firstLine="420"/>
        <w:jc w:val="right"/>
        <w:rPr>
          <w:rFonts w:hAnsi="宋体"/>
          <w:color w:val="auto"/>
          <w:sz w:val="24"/>
          <w:szCs w:val="24"/>
        </w:rPr>
      </w:pPr>
      <w:r>
        <w:rPr>
          <w:rFonts w:hint="eastAsia" w:hAnsi="宋体"/>
          <w:color w:val="auto"/>
          <w:sz w:val="24"/>
          <w:szCs w:val="24"/>
        </w:rPr>
        <w:t>法定代表人或其委托代理人：（签字）</w:t>
      </w:r>
    </w:p>
    <w:p>
      <w:pPr>
        <w:pStyle w:val="28"/>
        <w:spacing w:line="360" w:lineRule="auto"/>
        <w:ind w:left="0" w:right="34"/>
        <w:jc w:val="right"/>
        <w:rPr>
          <w:rFonts w:ascii="宋体" w:hAnsi="宋体"/>
          <w:color w:val="auto"/>
          <w:szCs w:val="24"/>
        </w:rPr>
      </w:pPr>
      <w:r>
        <w:rPr>
          <w:rFonts w:hint="eastAsia" w:ascii="宋体" w:hAnsi="宋体"/>
          <w:color w:val="auto"/>
          <w:szCs w:val="24"/>
        </w:rPr>
        <w:t>年      月</w:t>
      </w:r>
    </w:p>
    <w:p>
      <w:pPr>
        <w:pStyle w:val="25"/>
        <w:rPr>
          <w:color w:val="auto"/>
        </w:rPr>
      </w:pPr>
    </w:p>
    <w:p>
      <w:pPr>
        <w:rPr>
          <w:color w:val="auto"/>
        </w:rPr>
      </w:pPr>
    </w:p>
    <w:p>
      <w:pPr>
        <w:pStyle w:val="2"/>
        <w:numPr>
          <w:ilvl w:val="0"/>
          <w:numId w:val="0"/>
        </w:numPr>
        <w:rPr>
          <w:color w:val="auto"/>
        </w:rPr>
      </w:pPr>
    </w:p>
    <w:p>
      <w:pPr>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jc w:val="left"/>
        <w:outlineLvl w:val="0"/>
        <w:rPr>
          <w:rFonts w:hAnsi="宋体" w:cs="宋体"/>
          <w:bCs/>
          <w:color w:val="auto"/>
          <w:sz w:val="24"/>
        </w:rPr>
      </w:pPr>
      <w:r>
        <w:rPr>
          <w:rFonts w:hint="eastAsia" w:hAnsi="宋体" w:cs="宋体"/>
          <w:bCs/>
          <w:color w:val="auto"/>
          <w:sz w:val="24"/>
        </w:rPr>
        <w:t>（四）法定代表人授权委托书（格式）</w:t>
      </w:r>
    </w:p>
    <w:p>
      <w:pPr>
        <w:jc w:val="center"/>
        <w:outlineLvl w:val="0"/>
        <w:rPr>
          <w:rFonts w:hAnsi="宋体" w:cs="宋体"/>
          <w:b/>
          <w:bCs/>
          <w:color w:val="auto"/>
          <w:sz w:val="30"/>
          <w:szCs w:val="30"/>
        </w:rPr>
      </w:pPr>
    </w:p>
    <w:p>
      <w:pPr>
        <w:jc w:val="center"/>
        <w:outlineLvl w:val="0"/>
        <w:rPr>
          <w:rFonts w:hAnsi="宋体" w:cs="宋体"/>
          <w:b/>
          <w:bCs/>
          <w:color w:val="auto"/>
          <w:sz w:val="30"/>
          <w:szCs w:val="30"/>
        </w:rPr>
      </w:pPr>
      <w:r>
        <w:rPr>
          <w:rFonts w:hint="eastAsia" w:hAnsi="宋体" w:cs="宋体"/>
          <w:b/>
          <w:bCs/>
          <w:color w:val="auto"/>
          <w:sz w:val="30"/>
          <w:szCs w:val="30"/>
        </w:rPr>
        <w:t>法定代表人授权委托书</w:t>
      </w:r>
    </w:p>
    <w:p>
      <w:pPr>
        <w:jc w:val="left"/>
        <w:outlineLvl w:val="0"/>
        <w:rPr>
          <w:rFonts w:hAnsi="宋体" w:cs="宋体"/>
          <w:bCs/>
          <w:color w:val="auto"/>
          <w:sz w:val="24"/>
        </w:rPr>
      </w:pPr>
    </w:p>
    <w:p>
      <w:pPr>
        <w:topLinePunct/>
        <w:snapToGrid w:val="0"/>
        <w:spacing w:line="360" w:lineRule="auto"/>
        <w:jc w:val="center"/>
        <w:rPr>
          <w:rFonts w:hAnsi="宋体" w:cs="宋体"/>
          <w:color w:val="auto"/>
          <w:sz w:val="24"/>
        </w:rPr>
      </w:pPr>
      <w:r>
        <w:rPr>
          <w:rFonts w:hint="eastAsia" w:hAnsi="宋体" w:cs="宋体"/>
          <w:color w:val="auto"/>
          <w:sz w:val="24"/>
        </w:rPr>
        <w:t>采购编号：</w:t>
      </w:r>
    </w:p>
    <w:p>
      <w:pPr>
        <w:topLinePunct/>
        <w:snapToGrid w:val="0"/>
        <w:spacing w:line="360" w:lineRule="auto"/>
        <w:jc w:val="center"/>
        <w:rPr>
          <w:rFonts w:hAnsi="宋体" w:cs="宋体"/>
          <w:color w:val="auto"/>
          <w:sz w:val="24"/>
        </w:rPr>
      </w:pPr>
      <w:r>
        <w:rPr>
          <w:rFonts w:hint="eastAsia" w:hAnsi="宋体" w:cs="宋体"/>
          <w:color w:val="auto"/>
          <w:sz w:val="24"/>
        </w:rPr>
        <w:t xml:space="preserve">    日期：</w:t>
      </w:r>
    </w:p>
    <w:p>
      <w:pPr>
        <w:topLinePunct/>
        <w:snapToGrid w:val="0"/>
        <w:spacing w:line="360" w:lineRule="auto"/>
        <w:rPr>
          <w:rFonts w:hAnsi="宋体" w:cs="宋体"/>
          <w:color w:val="auto"/>
          <w:sz w:val="24"/>
          <w:u w:val="single"/>
        </w:rPr>
      </w:pPr>
      <w:r>
        <w:rPr>
          <w:rFonts w:hint="eastAsia" w:hAnsi="宋体" w:cs="宋体"/>
          <w:color w:val="auto"/>
          <w:sz w:val="24"/>
          <w:u w:val="single"/>
        </w:rPr>
        <w:t>江阴方正建设工程造价事务所有限公司：</w:t>
      </w:r>
    </w:p>
    <w:p>
      <w:pPr>
        <w:topLinePunct/>
        <w:snapToGrid w:val="0"/>
        <w:spacing w:line="360" w:lineRule="auto"/>
        <w:rPr>
          <w:rFonts w:hAnsi="宋体" w:cs="宋体"/>
          <w:color w:val="auto"/>
          <w:sz w:val="24"/>
        </w:rPr>
      </w:pPr>
      <w:r>
        <w:rPr>
          <w:rFonts w:hint="eastAsia" w:hAnsi="宋体" w:cs="宋体"/>
          <w:color w:val="auto"/>
          <w:sz w:val="24"/>
          <w:u w:val="single"/>
        </w:rPr>
        <w:t xml:space="preserve">     （投标供应商名称）       </w:t>
      </w:r>
      <w:r>
        <w:rPr>
          <w:rFonts w:hint="eastAsia" w:hAnsi="宋体" w:cs="宋体"/>
          <w:color w:val="auto"/>
          <w:sz w:val="24"/>
        </w:rPr>
        <w:t>系中华人民共和国合法企业</w:t>
      </w:r>
    </w:p>
    <w:p>
      <w:pPr>
        <w:topLinePunct/>
        <w:snapToGrid w:val="0"/>
        <w:spacing w:line="360" w:lineRule="auto"/>
        <w:rPr>
          <w:rFonts w:hAnsi="宋体" w:cs="宋体"/>
          <w:color w:val="auto"/>
          <w:sz w:val="24"/>
        </w:rPr>
      </w:pPr>
      <w:r>
        <w:rPr>
          <w:rFonts w:hint="eastAsia" w:hAnsi="宋体" w:cs="宋体"/>
          <w:color w:val="auto"/>
          <w:sz w:val="24"/>
        </w:rPr>
        <w:t>法定地址：                      特授权      代表我公司（单位）全权办理针对本项目（采购编号：          ）的报价等具体工作，并签署全部有关文件、协议及合同。</w:t>
      </w:r>
    </w:p>
    <w:p>
      <w:pPr>
        <w:topLinePunct/>
        <w:snapToGrid w:val="0"/>
        <w:spacing w:line="360" w:lineRule="auto"/>
        <w:ind w:firstLine="480"/>
        <w:rPr>
          <w:rFonts w:hAnsi="宋体" w:cs="宋体"/>
          <w:color w:val="auto"/>
          <w:sz w:val="24"/>
        </w:rPr>
      </w:pPr>
      <w:r>
        <w:rPr>
          <w:rFonts w:hint="eastAsia" w:hAnsi="宋体" w:cs="宋体"/>
          <w:color w:val="auto"/>
          <w:sz w:val="24"/>
        </w:rPr>
        <w:t>我公司（单位）对被授权人的签名负全部责任。</w:t>
      </w:r>
    </w:p>
    <w:p>
      <w:pPr>
        <w:topLinePunct/>
        <w:snapToGrid w:val="0"/>
        <w:spacing w:line="360" w:lineRule="auto"/>
        <w:ind w:firstLine="480"/>
        <w:rPr>
          <w:rFonts w:hAnsi="宋体" w:cs="宋体"/>
          <w:color w:val="auto"/>
          <w:sz w:val="24"/>
        </w:rPr>
      </w:pPr>
      <w:r>
        <w:rPr>
          <w:rFonts w:hint="eastAsia" w:hAnsi="宋体" w:cs="宋体"/>
          <w:color w:val="auto"/>
          <w:sz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hAnsi="宋体" w:cs="宋体"/>
          <w:color w:val="auto"/>
          <w:sz w:val="24"/>
        </w:rPr>
      </w:pPr>
      <w:r>
        <w:rPr>
          <w:rFonts w:hint="eastAsia" w:hAnsi="宋体" w:cs="宋体"/>
          <w:color w:val="auto"/>
          <w:sz w:val="24"/>
        </w:rPr>
        <w:t>被授权人情况：</w:t>
      </w:r>
    </w:p>
    <w:p>
      <w:pPr>
        <w:topLinePunct/>
        <w:snapToGrid w:val="0"/>
        <w:spacing w:line="360" w:lineRule="auto"/>
        <w:ind w:firstLine="480"/>
        <w:rPr>
          <w:rFonts w:hAnsi="宋体" w:cs="宋体"/>
          <w:color w:val="auto"/>
          <w:sz w:val="24"/>
        </w:rPr>
      </w:pPr>
      <w:r>
        <w:rPr>
          <w:rFonts w:hint="eastAsia" w:hAnsi="宋体" w:cs="宋体"/>
          <w:color w:val="auto"/>
          <w:sz w:val="24"/>
        </w:rPr>
        <w:t>姓名：          性别：         年龄：          职务：</w:t>
      </w:r>
    </w:p>
    <w:p>
      <w:pPr>
        <w:topLinePunct/>
        <w:snapToGrid w:val="0"/>
        <w:spacing w:line="360" w:lineRule="auto"/>
        <w:ind w:firstLine="480"/>
        <w:rPr>
          <w:rFonts w:hAnsi="宋体" w:cs="宋体"/>
          <w:color w:val="auto"/>
          <w:sz w:val="24"/>
        </w:rPr>
      </w:pPr>
      <w:r>
        <w:rPr>
          <w:rFonts w:hint="eastAsia" w:hAnsi="宋体" w:cs="宋体"/>
          <w:color w:val="auto"/>
          <w:sz w:val="24"/>
        </w:rPr>
        <w:t>身份证号码：                   电话：</w:t>
      </w:r>
    </w:p>
    <w:p>
      <w:pPr>
        <w:topLinePunct/>
        <w:snapToGrid w:val="0"/>
        <w:spacing w:line="360" w:lineRule="auto"/>
        <w:ind w:firstLine="480"/>
        <w:rPr>
          <w:rFonts w:hAnsi="宋体" w:cs="宋体"/>
          <w:color w:val="auto"/>
          <w:sz w:val="24"/>
        </w:rPr>
      </w:pPr>
      <w:r>
        <w:rPr>
          <w:rFonts w:hint="eastAsia" w:hAnsi="宋体" w:cs="宋体"/>
          <w:color w:val="auto"/>
          <w:sz w:val="24"/>
        </w:rPr>
        <w:t>通讯地址：</w:t>
      </w:r>
    </w:p>
    <w:p>
      <w:pPr>
        <w:topLinePunct/>
        <w:snapToGrid w:val="0"/>
        <w:spacing w:line="360" w:lineRule="auto"/>
        <w:ind w:firstLine="480"/>
        <w:rPr>
          <w:rFonts w:hAnsi="宋体" w:cs="宋体"/>
          <w:color w:val="auto"/>
          <w:sz w:val="24"/>
        </w:rPr>
      </w:pPr>
      <w:r>
        <w:rPr>
          <w:rFonts w:hint="eastAsia" w:hAnsi="宋体" w:cs="宋体"/>
          <w:color w:val="auto"/>
          <w:sz w:val="24"/>
        </w:rPr>
        <w:t>被授权人签名：                  投标供应商（盖章）：</w:t>
      </w:r>
    </w:p>
    <w:p>
      <w:pPr>
        <w:topLinePunct/>
        <w:snapToGrid w:val="0"/>
        <w:spacing w:line="360" w:lineRule="auto"/>
        <w:ind w:firstLine="4320" w:firstLineChars="1800"/>
        <w:rPr>
          <w:rFonts w:hAnsi="宋体" w:cs="宋体"/>
          <w:color w:val="auto"/>
          <w:sz w:val="24"/>
        </w:rPr>
      </w:pPr>
      <w:r>
        <w:rPr>
          <w:rFonts w:hint="eastAsia" w:hAnsi="宋体" w:cs="宋体"/>
          <w:color w:val="auto"/>
          <w:sz w:val="24"/>
        </w:rPr>
        <w:t>法定代表人（签字或盖章）：</w:t>
      </w:r>
    </w:p>
    <w:p>
      <w:pPr>
        <w:topLinePunct/>
        <w:snapToGrid w:val="0"/>
        <w:spacing w:line="360" w:lineRule="auto"/>
        <w:ind w:firstLine="4320" w:firstLineChars="1800"/>
        <w:rPr>
          <w:rFonts w:hAnsi="宋体" w:cs="宋体"/>
          <w:color w:val="auto"/>
          <w:sz w:val="24"/>
        </w:rPr>
      </w:pPr>
      <w:r>
        <w:rPr>
          <w:rFonts w:hint="eastAsia" w:hAnsi="宋体" w:cs="宋体"/>
          <w:color w:val="auto"/>
          <w:sz w:val="24"/>
        </w:rPr>
        <w:t>年     月     日</w:t>
      </w:r>
    </w:p>
    <w:p>
      <w:pPr>
        <w:topLinePunct/>
        <w:snapToGrid w:val="0"/>
        <w:spacing w:line="360" w:lineRule="auto"/>
        <w:ind w:firstLine="5760" w:firstLineChars="2400"/>
        <w:rPr>
          <w:rFonts w:hAnsi="宋体" w:cs="宋体"/>
          <w:color w:val="auto"/>
          <w:sz w:val="24"/>
        </w:rPr>
      </w:pPr>
    </w:p>
    <w:tbl>
      <w:tblPr>
        <w:tblStyle w:val="69"/>
        <w:tblW w:w="101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noWrap/>
          </w:tcPr>
          <w:p>
            <w:pPr>
              <w:widowControl/>
              <w:topLinePunct/>
              <w:spacing w:before="4" w:line="360" w:lineRule="auto"/>
              <w:rPr>
                <w:rFonts w:hAnsi="宋体" w:cs="宋体"/>
                <w:color w:val="auto"/>
                <w:sz w:val="24"/>
              </w:rPr>
            </w:pPr>
          </w:p>
          <w:p>
            <w:pPr>
              <w:widowControl/>
              <w:topLinePunct/>
              <w:spacing w:before="4" w:line="360" w:lineRule="auto"/>
              <w:rPr>
                <w:rFonts w:hAnsi="宋体" w:cs="宋体"/>
                <w:color w:val="auto"/>
                <w:sz w:val="24"/>
              </w:rPr>
            </w:pPr>
          </w:p>
          <w:p>
            <w:pPr>
              <w:widowControl/>
              <w:topLinePunct/>
              <w:spacing w:before="4" w:line="360" w:lineRule="auto"/>
              <w:jc w:val="center"/>
              <w:rPr>
                <w:rFonts w:hAnsi="宋体" w:cs="宋体"/>
                <w:color w:val="auto"/>
                <w:sz w:val="24"/>
              </w:rPr>
            </w:pPr>
            <w:r>
              <w:rPr>
                <w:rFonts w:hint="eastAsia" w:hAnsi="宋体" w:cs="宋体"/>
                <w:color w:val="auto"/>
                <w:sz w:val="24"/>
              </w:rPr>
              <w:t>法定代表人身份证复印件</w:t>
            </w:r>
          </w:p>
        </w:tc>
        <w:tc>
          <w:tcPr>
            <w:tcW w:w="720" w:type="dxa"/>
            <w:tcBorders>
              <w:top w:val="nil"/>
              <w:bottom w:val="nil"/>
            </w:tcBorders>
            <w:noWrap/>
          </w:tcPr>
          <w:p>
            <w:pPr>
              <w:widowControl/>
              <w:jc w:val="left"/>
              <w:rPr>
                <w:rFonts w:hAnsi="宋体" w:cs="宋体"/>
                <w:color w:val="auto"/>
                <w:sz w:val="24"/>
              </w:rPr>
            </w:pPr>
          </w:p>
        </w:tc>
        <w:tc>
          <w:tcPr>
            <w:tcW w:w="4792" w:type="dxa"/>
            <w:noWrap/>
          </w:tcPr>
          <w:p>
            <w:pPr>
              <w:widowControl/>
              <w:topLinePunct/>
              <w:spacing w:before="4" w:line="360" w:lineRule="auto"/>
              <w:rPr>
                <w:rFonts w:hAnsi="宋体" w:cs="宋体"/>
                <w:color w:val="auto"/>
                <w:sz w:val="24"/>
              </w:rPr>
            </w:pPr>
          </w:p>
          <w:p>
            <w:pPr>
              <w:widowControl/>
              <w:topLinePunct/>
              <w:spacing w:before="4" w:line="360" w:lineRule="auto"/>
              <w:rPr>
                <w:rFonts w:hAnsi="宋体" w:cs="宋体"/>
                <w:color w:val="auto"/>
                <w:sz w:val="24"/>
              </w:rPr>
            </w:pPr>
          </w:p>
          <w:p>
            <w:pPr>
              <w:widowControl/>
              <w:topLinePunct/>
              <w:spacing w:before="4" w:line="360" w:lineRule="auto"/>
              <w:jc w:val="center"/>
              <w:rPr>
                <w:rFonts w:hAnsi="宋体" w:cs="宋体"/>
                <w:color w:val="auto"/>
                <w:sz w:val="24"/>
              </w:rPr>
            </w:pPr>
            <w:r>
              <w:rPr>
                <w:rFonts w:hint="eastAsia" w:hAnsi="宋体" w:cs="宋体"/>
                <w:color w:val="auto"/>
                <w:sz w:val="24"/>
              </w:rPr>
              <w:t>授权代表身份证复印件</w:t>
            </w:r>
          </w:p>
        </w:tc>
      </w:tr>
    </w:tbl>
    <w:p>
      <w:pPr>
        <w:widowControl/>
        <w:shd w:val="clear" w:color="auto" w:fill="FFFFFF"/>
        <w:spacing w:line="360" w:lineRule="auto"/>
        <w:rPr>
          <w:rFonts w:hAnsi="宋体" w:cs="宋体"/>
          <w:b/>
          <w:color w:val="auto"/>
          <w:sz w:val="30"/>
          <w:szCs w:val="30"/>
        </w:rPr>
      </w:pPr>
    </w:p>
    <w:p>
      <w:pPr>
        <w:widowControl/>
        <w:shd w:val="clear" w:color="auto" w:fill="FFFFFF"/>
        <w:spacing w:line="360" w:lineRule="auto"/>
        <w:rPr>
          <w:rFonts w:hAnsi="宋体" w:cs="宋体"/>
          <w:b/>
          <w:color w:val="auto"/>
          <w:sz w:val="30"/>
          <w:szCs w:val="30"/>
        </w:rPr>
      </w:pPr>
    </w:p>
    <w:p>
      <w:pPr>
        <w:widowControl/>
        <w:shd w:val="clear" w:color="auto" w:fill="FFFFFF"/>
        <w:spacing w:line="360" w:lineRule="auto"/>
        <w:rPr>
          <w:rFonts w:hAnsi="宋体" w:cs="宋体"/>
          <w:b/>
          <w:color w:val="auto"/>
          <w:sz w:val="30"/>
          <w:szCs w:val="30"/>
        </w:rPr>
      </w:pPr>
    </w:p>
    <w:p>
      <w:pPr>
        <w:jc w:val="left"/>
        <w:outlineLvl w:val="0"/>
        <w:rPr>
          <w:rFonts w:hAnsi="宋体" w:cs="宋体"/>
          <w:bCs/>
          <w:color w:val="auto"/>
          <w:sz w:val="24"/>
          <w:szCs w:val="22"/>
        </w:rPr>
      </w:pPr>
      <w:r>
        <w:rPr>
          <w:rFonts w:hint="eastAsia" w:hAnsi="宋体" w:cs="宋体"/>
          <w:bCs/>
          <w:color w:val="auto"/>
          <w:sz w:val="24"/>
          <w:szCs w:val="22"/>
        </w:rPr>
        <w:t>（五）关于资格的声明函（格式）</w:t>
      </w:r>
    </w:p>
    <w:p>
      <w:pPr>
        <w:topLinePunct/>
        <w:snapToGrid w:val="0"/>
        <w:spacing w:line="360" w:lineRule="auto"/>
        <w:jc w:val="center"/>
        <w:rPr>
          <w:rFonts w:hAnsi="宋体" w:cs="宋体"/>
          <w:color w:val="auto"/>
          <w:sz w:val="24"/>
        </w:rPr>
      </w:pPr>
    </w:p>
    <w:p>
      <w:pPr>
        <w:jc w:val="center"/>
        <w:outlineLvl w:val="0"/>
        <w:rPr>
          <w:rFonts w:hAnsi="宋体" w:cs="宋体"/>
          <w:b/>
          <w:bCs/>
          <w:color w:val="auto"/>
          <w:sz w:val="30"/>
          <w:szCs w:val="30"/>
        </w:rPr>
      </w:pPr>
      <w:r>
        <w:rPr>
          <w:rFonts w:hint="eastAsia" w:hAnsi="宋体" w:cs="宋体"/>
          <w:b/>
          <w:bCs/>
          <w:color w:val="auto"/>
          <w:sz w:val="30"/>
          <w:szCs w:val="30"/>
        </w:rPr>
        <w:t>关于资格的声明函</w:t>
      </w:r>
    </w:p>
    <w:p>
      <w:pPr>
        <w:topLinePunct/>
        <w:snapToGrid w:val="0"/>
        <w:spacing w:line="360" w:lineRule="auto"/>
        <w:jc w:val="center"/>
        <w:rPr>
          <w:rFonts w:hAnsi="宋体" w:cs="宋体"/>
          <w:color w:val="auto"/>
          <w:sz w:val="24"/>
        </w:rPr>
      </w:pPr>
    </w:p>
    <w:p>
      <w:pPr>
        <w:topLinePunct/>
        <w:snapToGrid w:val="0"/>
        <w:spacing w:line="360" w:lineRule="auto"/>
        <w:jc w:val="center"/>
        <w:rPr>
          <w:rFonts w:hAnsi="宋体" w:cs="宋体"/>
          <w:color w:val="auto"/>
          <w:sz w:val="24"/>
        </w:rPr>
      </w:pPr>
      <w:r>
        <w:rPr>
          <w:rFonts w:hint="eastAsia" w:hAnsi="宋体" w:cs="宋体"/>
          <w:color w:val="auto"/>
          <w:sz w:val="24"/>
        </w:rPr>
        <w:t>采购编号：</w:t>
      </w:r>
    </w:p>
    <w:p>
      <w:pPr>
        <w:topLinePunct/>
        <w:snapToGrid w:val="0"/>
        <w:spacing w:line="360" w:lineRule="auto"/>
        <w:jc w:val="center"/>
        <w:rPr>
          <w:rFonts w:hAnsi="宋体" w:cs="宋体"/>
          <w:color w:val="auto"/>
          <w:sz w:val="24"/>
        </w:rPr>
      </w:pPr>
      <w:r>
        <w:rPr>
          <w:rFonts w:hint="eastAsia" w:hAnsi="宋体" w:cs="宋体"/>
          <w:color w:val="auto"/>
          <w:sz w:val="24"/>
        </w:rPr>
        <w:t xml:space="preserve">    日期：</w:t>
      </w:r>
    </w:p>
    <w:p>
      <w:pPr>
        <w:topLinePunct/>
        <w:snapToGrid w:val="0"/>
        <w:spacing w:line="360" w:lineRule="auto"/>
        <w:jc w:val="center"/>
        <w:rPr>
          <w:rFonts w:hAnsi="宋体" w:cs="宋体"/>
          <w:color w:val="auto"/>
          <w:sz w:val="24"/>
        </w:rPr>
      </w:pPr>
    </w:p>
    <w:p>
      <w:pPr>
        <w:jc w:val="center"/>
        <w:rPr>
          <w:rFonts w:hAnsi="宋体" w:cs="宋体"/>
          <w:color w:val="auto"/>
        </w:rPr>
      </w:pPr>
    </w:p>
    <w:p>
      <w:pPr>
        <w:topLinePunct/>
        <w:snapToGrid w:val="0"/>
        <w:spacing w:line="360" w:lineRule="auto"/>
        <w:rPr>
          <w:rFonts w:hAnsi="宋体" w:cs="宋体"/>
          <w:color w:val="auto"/>
          <w:sz w:val="24"/>
          <w:u w:val="single"/>
        </w:rPr>
      </w:pPr>
      <w:r>
        <w:rPr>
          <w:rFonts w:hint="eastAsia" w:hAnsi="宋体" w:cs="宋体"/>
          <w:color w:val="auto"/>
          <w:sz w:val="24"/>
          <w:u w:val="single"/>
        </w:rPr>
        <w:t>江阴方正建设工程造价事务所有限公司：</w:t>
      </w:r>
    </w:p>
    <w:p>
      <w:pPr>
        <w:pStyle w:val="28"/>
        <w:spacing w:line="360" w:lineRule="auto"/>
        <w:ind w:left="0" w:right="34" w:firstLine="403"/>
        <w:rPr>
          <w:rFonts w:ascii="宋体" w:hAnsi="宋体" w:cs="宋体"/>
          <w:color w:val="auto"/>
          <w:szCs w:val="24"/>
        </w:rPr>
      </w:pPr>
      <w:r>
        <w:rPr>
          <w:rFonts w:hint="eastAsia" w:ascii="宋体" w:hAnsi="宋体" w:cs="宋体"/>
          <w:color w:val="auto"/>
          <w:szCs w:val="24"/>
        </w:rPr>
        <w:t>我公司（单位）在参加本次政府采购活动前三年内，在经营活动中没有重大违法记录。</w:t>
      </w:r>
    </w:p>
    <w:p>
      <w:pPr>
        <w:pStyle w:val="28"/>
        <w:spacing w:line="360" w:lineRule="auto"/>
        <w:ind w:left="0" w:right="34" w:firstLine="403"/>
        <w:rPr>
          <w:rFonts w:ascii="宋体" w:hAnsi="宋体" w:cs="宋体"/>
          <w:color w:val="auto"/>
          <w:szCs w:val="24"/>
        </w:rPr>
      </w:pPr>
      <w:r>
        <w:rPr>
          <w:rFonts w:hint="eastAsia" w:ascii="宋体" w:hAnsi="宋体" w:cs="宋体"/>
          <w:color w:val="auto"/>
          <w:szCs w:val="24"/>
        </w:rPr>
        <w:t>我公司愿针对本项目（采购编号：　　　　）进行报价，响应文件中所有关于报价资格的文件、证明、陈述均是真实的、准确的。若有违背，我公司（单位）        愿意承担由此而产生的一切后果。</w:t>
      </w:r>
    </w:p>
    <w:p>
      <w:pPr>
        <w:pStyle w:val="28"/>
        <w:ind w:left="0" w:right="34" w:firstLine="403"/>
        <w:rPr>
          <w:rFonts w:ascii="宋体" w:hAnsi="宋体" w:cs="宋体"/>
          <w:color w:val="auto"/>
          <w:szCs w:val="24"/>
        </w:rPr>
      </w:pPr>
    </w:p>
    <w:p>
      <w:pPr>
        <w:pStyle w:val="28"/>
        <w:ind w:left="0" w:right="34" w:firstLine="403"/>
        <w:rPr>
          <w:rFonts w:ascii="宋体" w:hAnsi="宋体" w:cs="宋体"/>
          <w:color w:val="auto"/>
          <w:sz w:val="21"/>
        </w:rPr>
      </w:pPr>
    </w:p>
    <w:p>
      <w:pPr>
        <w:pStyle w:val="28"/>
        <w:ind w:left="0" w:right="34" w:firstLine="403"/>
        <w:rPr>
          <w:rFonts w:ascii="宋体" w:hAnsi="宋体" w:cs="宋体"/>
          <w:color w:val="auto"/>
          <w:sz w:val="21"/>
        </w:rPr>
      </w:pPr>
    </w:p>
    <w:p>
      <w:pPr>
        <w:spacing w:line="360" w:lineRule="auto"/>
        <w:outlineLvl w:val="0"/>
        <w:rPr>
          <w:rFonts w:hAnsi="宋体" w:cs="宋体"/>
          <w:b/>
          <w:bCs/>
          <w:color w:val="auto"/>
          <w:sz w:val="24"/>
        </w:rPr>
      </w:pPr>
    </w:p>
    <w:p>
      <w:pPr>
        <w:spacing w:line="360" w:lineRule="auto"/>
        <w:jc w:val="left"/>
        <w:outlineLvl w:val="0"/>
        <w:rPr>
          <w:rFonts w:hAnsi="宋体" w:cs="宋体"/>
          <w:bCs/>
          <w:color w:val="auto"/>
          <w:sz w:val="24"/>
        </w:rPr>
      </w:pPr>
      <w:r>
        <w:rPr>
          <w:rFonts w:hint="eastAsia" w:hAnsi="宋体" w:cs="宋体"/>
          <w:bCs/>
          <w:color w:val="auto"/>
          <w:sz w:val="24"/>
        </w:rPr>
        <w:t xml:space="preserve">                投标供应商（盖章）：</w:t>
      </w:r>
    </w:p>
    <w:p>
      <w:pPr>
        <w:spacing w:line="360" w:lineRule="auto"/>
        <w:outlineLvl w:val="0"/>
        <w:rPr>
          <w:rFonts w:hAnsi="宋体" w:cs="宋体"/>
          <w:bCs/>
          <w:color w:val="auto"/>
          <w:sz w:val="24"/>
        </w:rPr>
      </w:pPr>
      <w:r>
        <w:rPr>
          <w:rFonts w:hint="eastAsia" w:hAnsi="宋体" w:cs="宋体"/>
          <w:bCs/>
          <w:color w:val="auto"/>
          <w:sz w:val="24"/>
        </w:rPr>
        <w:t>　　　　　　　　　　　法定代表人或法定代表人授权代表签字或盖章：</w:t>
      </w:r>
    </w:p>
    <w:p>
      <w:pPr>
        <w:spacing w:line="360" w:lineRule="auto"/>
        <w:outlineLvl w:val="0"/>
        <w:rPr>
          <w:rFonts w:hAnsi="宋体" w:cs="宋体"/>
          <w:bCs/>
          <w:color w:val="auto"/>
          <w:sz w:val="24"/>
        </w:rPr>
      </w:pPr>
      <w:r>
        <w:rPr>
          <w:rFonts w:hint="eastAsia" w:hAnsi="宋体" w:cs="宋体"/>
          <w:bCs/>
          <w:color w:val="auto"/>
          <w:sz w:val="24"/>
        </w:rPr>
        <w:t xml:space="preserve">                                   年     月     日</w:t>
      </w:r>
    </w:p>
    <w:p>
      <w:pPr>
        <w:adjustRightInd w:val="0"/>
        <w:snapToGrid w:val="0"/>
        <w:spacing w:line="360" w:lineRule="auto"/>
        <w:outlineLvl w:val="0"/>
        <w:rPr>
          <w:rFonts w:hAnsi="宋体" w:cs="宋体"/>
          <w:b/>
          <w:color w:val="auto"/>
          <w:sz w:val="32"/>
          <w:szCs w:val="32"/>
        </w:rPr>
      </w:pPr>
    </w:p>
    <w:p>
      <w:pPr>
        <w:widowControl/>
        <w:spacing w:line="360" w:lineRule="auto"/>
        <w:rPr>
          <w:rFonts w:hAnsi="宋体" w:cs="宋体"/>
          <w:b/>
          <w:color w:val="auto"/>
          <w:sz w:val="30"/>
          <w:szCs w:val="30"/>
        </w:rPr>
      </w:pPr>
    </w:p>
    <w:p>
      <w:pPr>
        <w:widowControl/>
        <w:spacing w:line="360" w:lineRule="auto"/>
        <w:rPr>
          <w:rFonts w:hAnsi="宋体" w:cs="宋体"/>
          <w:b/>
          <w:color w:val="auto"/>
          <w:sz w:val="30"/>
          <w:szCs w:val="30"/>
        </w:rPr>
      </w:pPr>
    </w:p>
    <w:p>
      <w:pPr>
        <w:pStyle w:val="2"/>
        <w:numPr>
          <w:ilvl w:val="4"/>
          <w:numId w:val="0"/>
        </w:numPr>
        <w:rPr>
          <w:rFonts w:ascii="宋体" w:hAnsi="宋体" w:eastAsia="宋体" w:cs="宋体"/>
          <w:color w:val="auto"/>
        </w:rPr>
      </w:pPr>
    </w:p>
    <w:p>
      <w:pPr>
        <w:rPr>
          <w:rFonts w:hAnsi="宋体" w:cs="宋体"/>
          <w:color w:val="auto"/>
        </w:rPr>
      </w:pPr>
    </w:p>
    <w:p>
      <w:pPr>
        <w:jc w:val="left"/>
        <w:outlineLvl w:val="0"/>
        <w:rPr>
          <w:rFonts w:hAnsi="宋体" w:cs="宋体"/>
          <w:bCs/>
          <w:color w:val="auto"/>
          <w:sz w:val="24"/>
          <w:szCs w:val="22"/>
        </w:rPr>
      </w:pPr>
    </w:p>
    <w:p>
      <w:pPr>
        <w:pStyle w:val="2"/>
        <w:numPr>
          <w:ilvl w:val="4"/>
          <w:numId w:val="0"/>
        </w:numPr>
        <w:ind w:leftChars="0"/>
      </w:pPr>
    </w:p>
    <w:p>
      <w:pPr>
        <w:jc w:val="left"/>
        <w:outlineLvl w:val="0"/>
        <w:rPr>
          <w:rFonts w:hAnsi="宋体" w:cs="宋体"/>
          <w:bCs/>
          <w:color w:val="auto"/>
          <w:sz w:val="24"/>
          <w:szCs w:val="22"/>
        </w:rPr>
      </w:pPr>
      <w:r>
        <w:rPr>
          <w:rFonts w:hint="eastAsia" w:hAnsi="宋体" w:cs="宋体"/>
          <w:bCs/>
          <w:color w:val="auto"/>
          <w:sz w:val="24"/>
          <w:szCs w:val="22"/>
        </w:rPr>
        <w:t>（六）实施项目管理机构配备情况（格式）</w:t>
      </w:r>
    </w:p>
    <w:p>
      <w:pPr>
        <w:snapToGrid w:val="0"/>
        <w:spacing w:line="360" w:lineRule="auto"/>
        <w:outlineLvl w:val="0"/>
        <w:rPr>
          <w:rFonts w:hAnsi="宋体" w:cs="宋体"/>
          <w:bCs/>
          <w:color w:val="auto"/>
          <w:sz w:val="24"/>
        </w:rPr>
      </w:pPr>
    </w:p>
    <w:p>
      <w:pPr>
        <w:jc w:val="center"/>
        <w:outlineLvl w:val="0"/>
        <w:rPr>
          <w:rFonts w:hAnsi="宋体" w:cs="宋体"/>
          <w:bCs/>
          <w:color w:val="auto"/>
          <w:sz w:val="24"/>
        </w:rPr>
      </w:pPr>
      <w:r>
        <w:rPr>
          <w:rFonts w:hint="eastAsia" w:hAnsi="宋体" w:cs="宋体"/>
          <w:bCs/>
          <w:color w:val="auto"/>
          <w:sz w:val="24"/>
        </w:rPr>
        <w:t>（1）项目管理机构配备情况表</w:t>
      </w:r>
    </w:p>
    <w:p>
      <w:pPr>
        <w:spacing w:after="120" w:line="360" w:lineRule="auto"/>
        <w:rPr>
          <w:rFonts w:hAnsi="宋体" w:cs="宋体"/>
          <w:color w:val="auto"/>
          <w:sz w:val="24"/>
        </w:rPr>
      </w:pPr>
      <w:r>
        <w:rPr>
          <w:rFonts w:hint="eastAsia" w:hAnsi="宋体" w:cs="宋体"/>
          <w:color w:val="auto"/>
          <w:sz w:val="24"/>
        </w:rPr>
        <w:t>工程名称：</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1"/>
          <w:szCs w:val="16"/>
        </w:rPr>
        <w:tab/>
      </w:r>
      <w:r>
        <w:rPr>
          <w:rFonts w:hint="eastAsia" w:hAnsi="宋体" w:cs="宋体"/>
          <w:color w:val="auto"/>
          <w:sz w:val="24"/>
          <w:szCs w:val="15"/>
        </w:rPr>
        <w:t>表1</w:t>
      </w:r>
    </w:p>
    <w:tbl>
      <w:tblPr>
        <w:tblStyle w:val="69"/>
        <w:tblpPr w:leftFromText="180" w:rightFromText="180" w:vertAnchor="text" w:horzAnchor="page" w:tblpX="1416"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808"/>
        <w:gridCol w:w="738"/>
        <w:gridCol w:w="773"/>
        <w:gridCol w:w="735"/>
        <w:gridCol w:w="820"/>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noWrap/>
            <w:vAlign w:val="center"/>
          </w:tcPr>
          <w:p>
            <w:pPr>
              <w:spacing w:line="360" w:lineRule="auto"/>
              <w:jc w:val="center"/>
              <w:rPr>
                <w:rFonts w:hAnsi="宋体" w:cs="宋体"/>
                <w:color w:val="auto"/>
                <w:sz w:val="24"/>
                <w:szCs w:val="16"/>
              </w:rPr>
            </w:pPr>
            <w:r>
              <w:rPr>
                <w:rFonts w:hint="eastAsia" w:hAnsi="宋体" w:cs="宋体"/>
                <w:color w:val="auto"/>
                <w:sz w:val="24"/>
                <w:szCs w:val="16"/>
              </w:rPr>
              <w:t>职务</w:t>
            </w:r>
          </w:p>
        </w:tc>
        <w:tc>
          <w:tcPr>
            <w:tcW w:w="686" w:type="dxa"/>
            <w:vMerge w:val="restart"/>
            <w:noWrap/>
            <w:vAlign w:val="center"/>
          </w:tcPr>
          <w:p>
            <w:pPr>
              <w:spacing w:line="360" w:lineRule="auto"/>
              <w:jc w:val="center"/>
              <w:rPr>
                <w:rFonts w:hAnsi="宋体" w:cs="宋体"/>
                <w:color w:val="auto"/>
                <w:sz w:val="24"/>
                <w:szCs w:val="16"/>
              </w:rPr>
            </w:pPr>
            <w:r>
              <w:rPr>
                <w:rFonts w:hint="eastAsia" w:hAnsi="宋体" w:cs="宋体"/>
                <w:color w:val="auto"/>
                <w:sz w:val="24"/>
                <w:szCs w:val="16"/>
              </w:rPr>
              <w:t>姓名</w:t>
            </w:r>
          </w:p>
        </w:tc>
        <w:tc>
          <w:tcPr>
            <w:tcW w:w="686" w:type="dxa"/>
            <w:vMerge w:val="restart"/>
            <w:noWrap/>
            <w:vAlign w:val="center"/>
          </w:tcPr>
          <w:p>
            <w:pPr>
              <w:spacing w:line="360" w:lineRule="auto"/>
              <w:jc w:val="center"/>
              <w:rPr>
                <w:rFonts w:hAnsi="宋体" w:cs="宋体"/>
                <w:color w:val="auto"/>
                <w:sz w:val="24"/>
                <w:szCs w:val="16"/>
              </w:rPr>
            </w:pPr>
            <w:r>
              <w:rPr>
                <w:rFonts w:hint="eastAsia" w:hAnsi="宋体" w:cs="宋体"/>
                <w:color w:val="auto"/>
                <w:sz w:val="24"/>
                <w:szCs w:val="16"/>
              </w:rPr>
              <w:t>职称</w:t>
            </w:r>
          </w:p>
        </w:tc>
        <w:tc>
          <w:tcPr>
            <w:tcW w:w="5081" w:type="dxa"/>
            <w:gridSpan w:val="6"/>
            <w:noWrap/>
            <w:vAlign w:val="center"/>
          </w:tcPr>
          <w:p>
            <w:pPr>
              <w:spacing w:line="360" w:lineRule="auto"/>
              <w:jc w:val="center"/>
              <w:rPr>
                <w:rFonts w:hAnsi="宋体" w:cs="宋体"/>
                <w:color w:val="auto"/>
                <w:sz w:val="24"/>
                <w:szCs w:val="16"/>
              </w:rPr>
            </w:pPr>
            <w:r>
              <w:rPr>
                <w:rFonts w:hint="eastAsia" w:hAnsi="宋体" w:cs="宋体"/>
                <w:color w:val="auto"/>
                <w:sz w:val="24"/>
                <w:szCs w:val="16"/>
              </w:rPr>
              <w:t>执业或职业资格证明</w:t>
            </w:r>
          </w:p>
        </w:tc>
        <w:tc>
          <w:tcPr>
            <w:tcW w:w="2310" w:type="dxa"/>
            <w:gridSpan w:val="2"/>
            <w:noWrap/>
            <w:vAlign w:val="center"/>
          </w:tcPr>
          <w:p>
            <w:pPr>
              <w:spacing w:line="360" w:lineRule="auto"/>
              <w:jc w:val="center"/>
              <w:rPr>
                <w:rFonts w:hAnsi="宋体" w:cs="宋体"/>
                <w:color w:val="auto"/>
                <w:sz w:val="24"/>
                <w:szCs w:val="16"/>
              </w:rPr>
            </w:pPr>
            <w:r>
              <w:rPr>
                <w:rFonts w:hint="eastAsia" w:hAnsi="宋体" w:cs="宋体"/>
                <w:color w:val="auto"/>
                <w:sz w:val="24"/>
                <w:szCs w:val="16"/>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noWrap/>
          </w:tcPr>
          <w:p>
            <w:pPr>
              <w:spacing w:line="360" w:lineRule="auto"/>
              <w:rPr>
                <w:rFonts w:hAnsi="宋体" w:cs="宋体"/>
                <w:color w:val="auto"/>
                <w:sz w:val="24"/>
                <w:szCs w:val="16"/>
              </w:rPr>
            </w:pPr>
          </w:p>
        </w:tc>
        <w:tc>
          <w:tcPr>
            <w:tcW w:w="686" w:type="dxa"/>
            <w:vMerge w:val="continue"/>
            <w:noWrap/>
          </w:tcPr>
          <w:p>
            <w:pPr>
              <w:spacing w:line="360" w:lineRule="auto"/>
              <w:rPr>
                <w:rFonts w:hAnsi="宋体" w:cs="宋体"/>
                <w:color w:val="auto"/>
                <w:sz w:val="24"/>
                <w:szCs w:val="16"/>
              </w:rPr>
            </w:pPr>
          </w:p>
        </w:tc>
        <w:tc>
          <w:tcPr>
            <w:tcW w:w="686" w:type="dxa"/>
            <w:vMerge w:val="continue"/>
            <w:noWrap/>
          </w:tcPr>
          <w:p>
            <w:pPr>
              <w:spacing w:line="360" w:lineRule="auto"/>
              <w:rPr>
                <w:rFonts w:hAnsi="宋体" w:cs="宋体"/>
                <w:color w:val="auto"/>
                <w:sz w:val="24"/>
                <w:szCs w:val="16"/>
              </w:rPr>
            </w:pPr>
          </w:p>
        </w:tc>
        <w:tc>
          <w:tcPr>
            <w:tcW w:w="1207"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证书名称</w:t>
            </w:r>
          </w:p>
        </w:tc>
        <w:tc>
          <w:tcPr>
            <w:tcW w:w="808"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级别</w:t>
            </w:r>
          </w:p>
        </w:tc>
        <w:tc>
          <w:tcPr>
            <w:tcW w:w="738"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证号</w:t>
            </w:r>
          </w:p>
        </w:tc>
        <w:tc>
          <w:tcPr>
            <w:tcW w:w="773"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专业</w:t>
            </w:r>
          </w:p>
        </w:tc>
        <w:tc>
          <w:tcPr>
            <w:tcW w:w="735"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身份证号</w:t>
            </w:r>
          </w:p>
        </w:tc>
        <w:tc>
          <w:tcPr>
            <w:tcW w:w="820"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原服务单位</w:t>
            </w:r>
          </w:p>
        </w:tc>
        <w:tc>
          <w:tcPr>
            <w:tcW w:w="1065"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项目数</w:t>
            </w:r>
          </w:p>
        </w:tc>
        <w:tc>
          <w:tcPr>
            <w:tcW w:w="1245" w:type="dxa"/>
            <w:noWrap/>
            <w:vAlign w:val="center"/>
          </w:tcPr>
          <w:p>
            <w:pPr>
              <w:spacing w:line="360" w:lineRule="auto"/>
              <w:jc w:val="center"/>
              <w:rPr>
                <w:rFonts w:hAnsi="宋体" w:cs="宋体"/>
                <w:color w:val="auto"/>
                <w:sz w:val="24"/>
                <w:szCs w:val="16"/>
              </w:rPr>
            </w:pPr>
            <w:r>
              <w:rPr>
                <w:rFonts w:hint="eastAsia" w:hAnsi="宋体" w:cs="宋体"/>
                <w:color w:val="auto"/>
                <w:sz w:val="24"/>
                <w:szCs w:val="16"/>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1207" w:type="dxa"/>
            <w:noWrap/>
          </w:tcPr>
          <w:p>
            <w:pPr>
              <w:spacing w:line="360" w:lineRule="auto"/>
              <w:rPr>
                <w:rFonts w:hAnsi="宋体" w:cs="宋体"/>
                <w:color w:val="auto"/>
                <w:sz w:val="24"/>
                <w:szCs w:val="16"/>
              </w:rPr>
            </w:pPr>
          </w:p>
        </w:tc>
        <w:tc>
          <w:tcPr>
            <w:tcW w:w="808" w:type="dxa"/>
            <w:noWrap/>
          </w:tcPr>
          <w:p>
            <w:pPr>
              <w:spacing w:line="360" w:lineRule="auto"/>
              <w:rPr>
                <w:rFonts w:hAnsi="宋体" w:cs="宋体"/>
                <w:color w:val="auto"/>
                <w:sz w:val="24"/>
                <w:szCs w:val="16"/>
              </w:rPr>
            </w:pPr>
          </w:p>
        </w:tc>
        <w:tc>
          <w:tcPr>
            <w:tcW w:w="738" w:type="dxa"/>
            <w:noWrap/>
          </w:tcPr>
          <w:p>
            <w:pPr>
              <w:spacing w:line="360" w:lineRule="auto"/>
              <w:rPr>
                <w:rFonts w:hAnsi="宋体" w:cs="宋体"/>
                <w:color w:val="auto"/>
                <w:sz w:val="24"/>
                <w:szCs w:val="16"/>
              </w:rPr>
            </w:pPr>
          </w:p>
        </w:tc>
        <w:tc>
          <w:tcPr>
            <w:tcW w:w="773" w:type="dxa"/>
            <w:noWrap/>
          </w:tcPr>
          <w:p>
            <w:pPr>
              <w:spacing w:line="360" w:lineRule="auto"/>
              <w:rPr>
                <w:rFonts w:hAnsi="宋体" w:cs="宋体"/>
                <w:color w:val="auto"/>
                <w:sz w:val="24"/>
                <w:szCs w:val="16"/>
              </w:rPr>
            </w:pPr>
          </w:p>
        </w:tc>
        <w:tc>
          <w:tcPr>
            <w:tcW w:w="735" w:type="dxa"/>
            <w:noWrap/>
          </w:tcPr>
          <w:p>
            <w:pPr>
              <w:spacing w:line="360" w:lineRule="auto"/>
              <w:rPr>
                <w:rFonts w:hAnsi="宋体" w:cs="宋体"/>
                <w:color w:val="auto"/>
                <w:sz w:val="24"/>
                <w:szCs w:val="16"/>
              </w:rPr>
            </w:pPr>
          </w:p>
        </w:tc>
        <w:tc>
          <w:tcPr>
            <w:tcW w:w="820" w:type="dxa"/>
            <w:noWrap/>
          </w:tcPr>
          <w:p>
            <w:pPr>
              <w:spacing w:line="360" w:lineRule="auto"/>
              <w:rPr>
                <w:rFonts w:hAnsi="宋体" w:cs="宋体"/>
                <w:color w:val="auto"/>
                <w:sz w:val="24"/>
                <w:szCs w:val="16"/>
              </w:rPr>
            </w:pPr>
          </w:p>
        </w:tc>
        <w:tc>
          <w:tcPr>
            <w:tcW w:w="1065" w:type="dxa"/>
            <w:noWrap/>
          </w:tcPr>
          <w:p>
            <w:pPr>
              <w:spacing w:line="360" w:lineRule="auto"/>
              <w:rPr>
                <w:rFonts w:hAnsi="宋体" w:cs="宋体"/>
                <w:color w:val="auto"/>
                <w:sz w:val="24"/>
                <w:szCs w:val="16"/>
              </w:rPr>
            </w:pPr>
          </w:p>
        </w:tc>
        <w:tc>
          <w:tcPr>
            <w:tcW w:w="1245" w:type="dxa"/>
            <w:noWrap/>
          </w:tcPr>
          <w:p>
            <w:pPr>
              <w:spacing w:line="360" w:lineRule="auto"/>
              <w:rPr>
                <w:rFonts w:hAnsi="宋体" w:cs="宋体"/>
                <w:color w:val="auto"/>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1207" w:type="dxa"/>
            <w:noWrap/>
          </w:tcPr>
          <w:p>
            <w:pPr>
              <w:spacing w:line="360" w:lineRule="auto"/>
              <w:rPr>
                <w:rFonts w:hAnsi="宋体" w:cs="宋体"/>
                <w:color w:val="auto"/>
                <w:sz w:val="24"/>
                <w:szCs w:val="16"/>
              </w:rPr>
            </w:pPr>
          </w:p>
        </w:tc>
        <w:tc>
          <w:tcPr>
            <w:tcW w:w="808" w:type="dxa"/>
            <w:noWrap/>
          </w:tcPr>
          <w:p>
            <w:pPr>
              <w:spacing w:line="360" w:lineRule="auto"/>
              <w:rPr>
                <w:rFonts w:hAnsi="宋体" w:cs="宋体"/>
                <w:color w:val="auto"/>
                <w:sz w:val="24"/>
                <w:szCs w:val="16"/>
              </w:rPr>
            </w:pPr>
          </w:p>
        </w:tc>
        <w:tc>
          <w:tcPr>
            <w:tcW w:w="738" w:type="dxa"/>
            <w:noWrap/>
          </w:tcPr>
          <w:p>
            <w:pPr>
              <w:spacing w:line="360" w:lineRule="auto"/>
              <w:rPr>
                <w:rFonts w:hAnsi="宋体" w:cs="宋体"/>
                <w:color w:val="auto"/>
                <w:sz w:val="24"/>
                <w:szCs w:val="16"/>
              </w:rPr>
            </w:pPr>
          </w:p>
        </w:tc>
        <w:tc>
          <w:tcPr>
            <w:tcW w:w="773" w:type="dxa"/>
            <w:noWrap/>
          </w:tcPr>
          <w:p>
            <w:pPr>
              <w:spacing w:line="360" w:lineRule="auto"/>
              <w:rPr>
                <w:rFonts w:hAnsi="宋体" w:cs="宋体"/>
                <w:color w:val="auto"/>
                <w:sz w:val="24"/>
                <w:szCs w:val="16"/>
              </w:rPr>
            </w:pPr>
          </w:p>
        </w:tc>
        <w:tc>
          <w:tcPr>
            <w:tcW w:w="735" w:type="dxa"/>
            <w:noWrap/>
          </w:tcPr>
          <w:p>
            <w:pPr>
              <w:spacing w:line="360" w:lineRule="auto"/>
              <w:rPr>
                <w:rFonts w:hAnsi="宋体" w:cs="宋体"/>
                <w:color w:val="auto"/>
                <w:sz w:val="24"/>
                <w:szCs w:val="16"/>
              </w:rPr>
            </w:pPr>
          </w:p>
        </w:tc>
        <w:tc>
          <w:tcPr>
            <w:tcW w:w="820" w:type="dxa"/>
            <w:noWrap/>
          </w:tcPr>
          <w:p>
            <w:pPr>
              <w:spacing w:line="360" w:lineRule="auto"/>
              <w:rPr>
                <w:rFonts w:hAnsi="宋体" w:cs="宋体"/>
                <w:color w:val="auto"/>
                <w:sz w:val="24"/>
                <w:szCs w:val="16"/>
              </w:rPr>
            </w:pPr>
          </w:p>
        </w:tc>
        <w:tc>
          <w:tcPr>
            <w:tcW w:w="1065" w:type="dxa"/>
            <w:noWrap/>
          </w:tcPr>
          <w:p>
            <w:pPr>
              <w:spacing w:line="360" w:lineRule="auto"/>
              <w:rPr>
                <w:rFonts w:hAnsi="宋体" w:cs="宋体"/>
                <w:color w:val="auto"/>
                <w:sz w:val="24"/>
                <w:szCs w:val="16"/>
              </w:rPr>
            </w:pPr>
          </w:p>
        </w:tc>
        <w:tc>
          <w:tcPr>
            <w:tcW w:w="1245" w:type="dxa"/>
            <w:noWrap/>
          </w:tcPr>
          <w:p>
            <w:pPr>
              <w:spacing w:line="360" w:lineRule="auto"/>
              <w:rPr>
                <w:rFonts w:hAnsi="宋体" w:cs="宋体"/>
                <w:color w:val="auto"/>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686" w:type="dxa"/>
            <w:noWrap/>
          </w:tcPr>
          <w:p>
            <w:pPr>
              <w:spacing w:line="360" w:lineRule="auto"/>
              <w:rPr>
                <w:rFonts w:hAnsi="宋体" w:cs="宋体"/>
                <w:color w:val="auto"/>
                <w:sz w:val="24"/>
                <w:szCs w:val="16"/>
              </w:rPr>
            </w:pPr>
          </w:p>
        </w:tc>
        <w:tc>
          <w:tcPr>
            <w:tcW w:w="1207" w:type="dxa"/>
            <w:noWrap/>
          </w:tcPr>
          <w:p>
            <w:pPr>
              <w:spacing w:line="360" w:lineRule="auto"/>
              <w:rPr>
                <w:rFonts w:hAnsi="宋体" w:cs="宋体"/>
                <w:color w:val="auto"/>
                <w:sz w:val="24"/>
                <w:szCs w:val="16"/>
              </w:rPr>
            </w:pPr>
          </w:p>
        </w:tc>
        <w:tc>
          <w:tcPr>
            <w:tcW w:w="808" w:type="dxa"/>
            <w:noWrap/>
          </w:tcPr>
          <w:p>
            <w:pPr>
              <w:spacing w:line="360" w:lineRule="auto"/>
              <w:rPr>
                <w:rFonts w:hAnsi="宋体" w:cs="宋体"/>
                <w:color w:val="auto"/>
                <w:sz w:val="24"/>
                <w:szCs w:val="16"/>
              </w:rPr>
            </w:pPr>
          </w:p>
        </w:tc>
        <w:tc>
          <w:tcPr>
            <w:tcW w:w="738" w:type="dxa"/>
            <w:noWrap/>
          </w:tcPr>
          <w:p>
            <w:pPr>
              <w:spacing w:line="360" w:lineRule="auto"/>
              <w:rPr>
                <w:rFonts w:hAnsi="宋体" w:cs="宋体"/>
                <w:color w:val="auto"/>
                <w:sz w:val="24"/>
                <w:szCs w:val="16"/>
              </w:rPr>
            </w:pPr>
          </w:p>
        </w:tc>
        <w:tc>
          <w:tcPr>
            <w:tcW w:w="773" w:type="dxa"/>
            <w:noWrap/>
          </w:tcPr>
          <w:p>
            <w:pPr>
              <w:spacing w:line="360" w:lineRule="auto"/>
              <w:rPr>
                <w:rFonts w:hAnsi="宋体" w:cs="宋体"/>
                <w:color w:val="auto"/>
                <w:sz w:val="24"/>
                <w:szCs w:val="16"/>
              </w:rPr>
            </w:pPr>
          </w:p>
        </w:tc>
        <w:tc>
          <w:tcPr>
            <w:tcW w:w="735" w:type="dxa"/>
            <w:noWrap/>
          </w:tcPr>
          <w:p>
            <w:pPr>
              <w:spacing w:line="360" w:lineRule="auto"/>
              <w:rPr>
                <w:rFonts w:hAnsi="宋体" w:cs="宋体"/>
                <w:color w:val="auto"/>
                <w:sz w:val="24"/>
                <w:szCs w:val="16"/>
              </w:rPr>
            </w:pPr>
          </w:p>
        </w:tc>
        <w:tc>
          <w:tcPr>
            <w:tcW w:w="820" w:type="dxa"/>
            <w:noWrap/>
          </w:tcPr>
          <w:p>
            <w:pPr>
              <w:spacing w:line="360" w:lineRule="auto"/>
              <w:rPr>
                <w:rFonts w:hAnsi="宋体" w:cs="宋体"/>
                <w:color w:val="auto"/>
                <w:sz w:val="24"/>
                <w:szCs w:val="16"/>
              </w:rPr>
            </w:pPr>
          </w:p>
        </w:tc>
        <w:tc>
          <w:tcPr>
            <w:tcW w:w="1065" w:type="dxa"/>
            <w:noWrap/>
          </w:tcPr>
          <w:p>
            <w:pPr>
              <w:spacing w:line="360" w:lineRule="auto"/>
              <w:rPr>
                <w:rFonts w:hAnsi="宋体" w:cs="宋体"/>
                <w:color w:val="auto"/>
                <w:sz w:val="24"/>
                <w:szCs w:val="16"/>
              </w:rPr>
            </w:pPr>
          </w:p>
        </w:tc>
        <w:tc>
          <w:tcPr>
            <w:tcW w:w="1245" w:type="dxa"/>
            <w:noWrap/>
          </w:tcPr>
          <w:p>
            <w:pPr>
              <w:spacing w:line="360" w:lineRule="auto"/>
              <w:rPr>
                <w:rFonts w:hAnsi="宋体" w:cs="宋体"/>
                <w:color w:val="auto"/>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1"/>
            <w:noWrap/>
          </w:tcPr>
          <w:p>
            <w:pPr>
              <w:spacing w:line="360" w:lineRule="auto"/>
              <w:ind w:firstLine="360"/>
              <w:rPr>
                <w:rFonts w:hAnsi="宋体" w:cs="宋体"/>
                <w:color w:val="auto"/>
                <w:sz w:val="24"/>
                <w:szCs w:val="16"/>
              </w:rPr>
            </w:pPr>
            <w:r>
              <w:rPr>
                <w:rFonts w:hint="eastAsia" w:hAnsi="宋体" w:cs="宋体"/>
                <w:color w:val="auto"/>
                <w:sz w:val="24"/>
                <w:szCs w:val="16"/>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Pr>
        <w:rPr>
          <w:rFonts w:hAnsi="宋体" w:cs="宋体"/>
          <w:color w:val="auto"/>
        </w:rPr>
      </w:pPr>
    </w:p>
    <w:p>
      <w:pPr>
        <w:rPr>
          <w:rFonts w:hAnsi="宋体" w:cs="宋体"/>
          <w:color w:val="auto"/>
        </w:rPr>
      </w:pPr>
    </w:p>
    <w:p>
      <w:pPr>
        <w:pStyle w:val="5"/>
        <w:jc w:val="center"/>
        <w:rPr>
          <w:rFonts w:ascii="宋体" w:hAnsi="宋体" w:eastAsia="宋体" w:cs="宋体"/>
          <w:b w:val="0"/>
          <w:color w:val="auto"/>
          <w:sz w:val="24"/>
          <w:szCs w:val="24"/>
        </w:rPr>
      </w:pPr>
      <w:r>
        <w:rPr>
          <w:rFonts w:hint="eastAsia" w:ascii="宋体" w:hAnsi="宋体" w:eastAsia="宋体" w:cs="宋体"/>
          <w:b w:val="0"/>
          <w:color w:val="auto"/>
          <w:sz w:val="24"/>
          <w:szCs w:val="24"/>
        </w:rPr>
        <w:t>（2）项目负责人简历表</w:t>
      </w:r>
    </w:p>
    <w:p>
      <w:pPr>
        <w:spacing w:after="120" w:line="360" w:lineRule="auto"/>
        <w:ind w:firstLine="240" w:firstLineChars="100"/>
        <w:rPr>
          <w:rFonts w:hAnsi="宋体" w:cs="宋体"/>
          <w:color w:val="auto"/>
          <w:sz w:val="21"/>
        </w:rPr>
      </w:pPr>
      <w:r>
        <w:rPr>
          <w:rFonts w:hint="eastAsia" w:hAnsi="宋体" w:cs="宋体"/>
          <w:color w:val="auto"/>
          <w:sz w:val="24"/>
        </w:rPr>
        <w:t>工程名称：</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1"/>
          <w:szCs w:val="16"/>
        </w:rPr>
        <w:tab/>
      </w:r>
      <w:r>
        <w:rPr>
          <w:rFonts w:hint="eastAsia" w:hAnsi="宋体" w:cs="宋体"/>
          <w:color w:val="auto"/>
          <w:sz w:val="24"/>
          <w:szCs w:val="15"/>
        </w:rPr>
        <w:t>表2</w:t>
      </w:r>
    </w:p>
    <w:tbl>
      <w:tblPr>
        <w:tblStyle w:val="69"/>
        <w:tblW w:w="9167"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ign w:val="center"/>
          </w:tcPr>
          <w:p>
            <w:pPr>
              <w:spacing w:line="360" w:lineRule="auto"/>
              <w:jc w:val="center"/>
              <w:rPr>
                <w:rFonts w:hAnsi="宋体" w:cs="宋体"/>
                <w:color w:val="auto"/>
                <w:sz w:val="21"/>
                <w:szCs w:val="16"/>
              </w:rPr>
            </w:pPr>
            <w:r>
              <w:rPr>
                <w:rFonts w:hint="eastAsia" w:hAnsi="宋体" w:cs="宋体"/>
                <w:color w:val="auto"/>
                <w:sz w:val="21"/>
                <w:szCs w:val="16"/>
              </w:rPr>
              <w:t>姓名</w:t>
            </w:r>
          </w:p>
        </w:tc>
        <w:tc>
          <w:tcPr>
            <w:tcW w:w="2610" w:type="dxa"/>
            <w:gridSpan w:val="4"/>
            <w:noWrap/>
            <w:vAlign w:val="center"/>
          </w:tcPr>
          <w:p>
            <w:pPr>
              <w:spacing w:line="360" w:lineRule="auto"/>
              <w:jc w:val="center"/>
              <w:rPr>
                <w:rFonts w:hAnsi="宋体" w:cs="宋体"/>
                <w:color w:val="auto"/>
                <w:sz w:val="21"/>
                <w:szCs w:val="16"/>
              </w:rPr>
            </w:pPr>
          </w:p>
        </w:tc>
        <w:tc>
          <w:tcPr>
            <w:tcW w:w="840" w:type="dxa"/>
            <w:noWrap/>
            <w:vAlign w:val="center"/>
          </w:tcPr>
          <w:p>
            <w:pPr>
              <w:spacing w:line="360" w:lineRule="auto"/>
              <w:jc w:val="center"/>
              <w:rPr>
                <w:rFonts w:hAnsi="宋体" w:cs="宋体"/>
                <w:color w:val="auto"/>
                <w:sz w:val="21"/>
                <w:szCs w:val="16"/>
              </w:rPr>
            </w:pPr>
            <w:r>
              <w:rPr>
                <w:rFonts w:hint="eastAsia" w:hAnsi="宋体" w:cs="宋体"/>
                <w:color w:val="auto"/>
                <w:sz w:val="21"/>
                <w:szCs w:val="16"/>
              </w:rPr>
              <w:t>性别</w:t>
            </w:r>
          </w:p>
        </w:tc>
        <w:tc>
          <w:tcPr>
            <w:tcW w:w="1680" w:type="dxa"/>
            <w:gridSpan w:val="3"/>
            <w:noWrap/>
            <w:vAlign w:val="center"/>
          </w:tcPr>
          <w:p>
            <w:pPr>
              <w:spacing w:line="360" w:lineRule="auto"/>
              <w:jc w:val="center"/>
              <w:rPr>
                <w:rFonts w:hAnsi="宋体" w:cs="宋体"/>
                <w:color w:val="auto"/>
                <w:sz w:val="21"/>
                <w:szCs w:val="16"/>
              </w:rPr>
            </w:pPr>
          </w:p>
        </w:tc>
        <w:tc>
          <w:tcPr>
            <w:tcW w:w="108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年龄</w:t>
            </w:r>
          </w:p>
        </w:tc>
        <w:tc>
          <w:tcPr>
            <w:tcW w:w="2222" w:type="dxa"/>
            <w:gridSpan w:val="2"/>
            <w:noWrap/>
            <w:vAlign w:val="center"/>
          </w:tcPr>
          <w:p>
            <w:pPr>
              <w:spacing w:line="360" w:lineRule="auto"/>
              <w:jc w:val="center"/>
              <w:rPr>
                <w:rFonts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ign w:val="center"/>
          </w:tcPr>
          <w:p>
            <w:pPr>
              <w:spacing w:line="360" w:lineRule="auto"/>
              <w:jc w:val="center"/>
              <w:rPr>
                <w:rFonts w:hAnsi="宋体" w:cs="宋体"/>
                <w:color w:val="auto"/>
                <w:sz w:val="21"/>
                <w:szCs w:val="16"/>
              </w:rPr>
            </w:pPr>
            <w:r>
              <w:rPr>
                <w:rFonts w:hint="eastAsia" w:hAnsi="宋体" w:cs="宋体"/>
                <w:color w:val="auto"/>
                <w:sz w:val="21"/>
                <w:szCs w:val="16"/>
              </w:rPr>
              <w:t>职务</w:t>
            </w:r>
          </w:p>
        </w:tc>
        <w:tc>
          <w:tcPr>
            <w:tcW w:w="2610" w:type="dxa"/>
            <w:gridSpan w:val="4"/>
            <w:noWrap/>
            <w:vAlign w:val="center"/>
          </w:tcPr>
          <w:p>
            <w:pPr>
              <w:spacing w:line="360" w:lineRule="auto"/>
              <w:jc w:val="center"/>
              <w:rPr>
                <w:rFonts w:hAnsi="宋体" w:cs="宋体"/>
                <w:color w:val="auto"/>
                <w:sz w:val="21"/>
                <w:szCs w:val="16"/>
              </w:rPr>
            </w:pPr>
          </w:p>
        </w:tc>
        <w:tc>
          <w:tcPr>
            <w:tcW w:w="840" w:type="dxa"/>
            <w:noWrap/>
            <w:vAlign w:val="center"/>
          </w:tcPr>
          <w:p>
            <w:pPr>
              <w:spacing w:line="360" w:lineRule="auto"/>
              <w:jc w:val="center"/>
              <w:rPr>
                <w:rFonts w:hAnsi="宋体" w:cs="宋体"/>
                <w:color w:val="auto"/>
                <w:sz w:val="21"/>
                <w:szCs w:val="16"/>
              </w:rPr>
            </w:pPr>
            <w:r>
              <w:rPr>
                <w:rFonts w:hint="eastAsia" w:hAnsi="宋体" w:cs="宋体"/>
                <w:color w:val="auto"/>
                <w:sz w:val="21"/>
                <w:szCs w:val="16"/>
              </w:rPr>
              <w:t>职称</w:t>
            </w:r>
          </w:p>
        </w:tc>
        <w:tc>
          <w:tcPr>
            <w:tcW w:w="1680" w:type="dxa"/>
            <w:gridSpan w:val="3"/>
            <w:noWrap/>
            <w:vAlign w:val="center"/>
          </w:tcPr>
          <w:p>
            <w:pPr>
              <w:spacing w:line="360" w:lineRule="auto"/>
              <w:jc w:val="center"/>
              <w:rPr>
                <w:rFonts w:hAnsi="宋体" w:cs="宋体"/>
                <w:color w:val="auto"/>
                <w:sz w:val="21"/>
                <w:szCs w:val="16"/>
              </w:rPr>
            </w:pPr>
          </w:p>
        </w:tc>
        <w:tc>
          <w:tcPr>
            <w:tcW w:w="108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学历</w:t>
            </w:r>
          </w:p>
        </w:tc>
        <w:tc>
          <w:tcPr>
            <w:tcW w:w="2222" w:type="dxa"/>
            <w:gridSpan w:val="2"/>
            <w:noWrap/>
            <w:vAlign w:val="center"/>
          </w:tcPr>
          <w:p>
            <w:pPr>
              <w:spacing w:line="360" w:lineRule="auto"/>
              <w:jc w:val="center"/>
              <w:rPr>
                <w:rFonts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noWrap/>
            <w:vAlign w:val="center"/>
          </w:tcPr>
          <w:p>
            <w:pPr>
              <w:spacing w:line="360" w:lineRule="auto"/>
              <w:jc w:val="center"/>
              <w:rPr>
                <w:rFonts w:hAnsi="宋体" w:cs="宋体"/>
                <w:color w:val="auto"/>
                <w:sz w:val="21"/>
                <w:szCs w:val="16"/>
              </w:rPr>
            </w:pPr>
            <w:r>
              <w:rPr>
                <w:rFonts w:hint="eastAsia" w:hAnsi="宋体" w:cs="宋体"/>
                <w:color w:val="auto"/>
                <w:sz w:val="21"/>
                <w:szCs w:val="16"/>
              </w:rPr>
              <w:t>参加工作时间</w:t>
            </w:r>
          </w:p>
        </w:tc>
        <w:tc>
          <w:tcPr>
            <w:tcW w:w="1890" w:type="dxa"/>
            <w:gridSpan w:val="4"/>
            <w:noWrap/>
            <w:vAlign w:val="center"/>
          </w:tcPr>
          <w:p>
            <w:pPr>
              <w:spacing w:line="360" w:lineRule="auto"/>
              <w:jc w:val="center"/>
              <w:rPr>
                <w:rFonts w:hAnsi="宋体" w:cs="宋体"/>
                <w:color w:val="auto"/>
                <w:sz w:val="21"/>
                <w:szCs w:val="16"/>
              </w:rPr>
            </w:pPr>
          </w:p>
        </w:tc>
        <w:tc>
          <w:tcPr>
            <w:tcW w:w="2625" w:type="dxa"/>
            <w:gridSpan w:val="5"/>
            <w:noWrap/>
            <w:vAlign w:val="center"/>
          </w:tcPr>
          <w:p>
            <w:pPr>
              <w:spacing w:line="360" w:lineRule="auto"/>
              <w:jc w:val="center"/>
              <w:rPr>
                <w:rFonts w:hAnsi="宋体" w:cs="宋体"/>
                <w:color w:val="auto"/>
                <w:sz w:val="21"/>
                <w:szCs w:val="16"/>
              </w:rPr>
            </w:pPr>
            <w:r>
              <w:rPr>
                <w:rFonts w:hint="eastAsia" w:hAnsi="宋体" w:cs="宋体"/>
                <w:color w:val="auto"/>
                <w:sz w:val="21"/>
                <w:szCs w:val="16"/>
              </w:rPr>
              <w:t>担任项目负责人年限</w:t>
            </w:r>
          </w:p>
        </w:tc>
        <w:tc>
          <w:tcPr>
            <w:tcW w:w="1817" w:type="dxa"/>
            <w:noWrap/>
            <w:vAlign w:val="center"/>
          </w:tcPr>
          <w:p>
            <w:pPr>
              <w:spacing w:line="360" w:lineRule="auto"/>
              <w:jc w:val="center"/>
              <w:rPr>
                <w:rFonts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67" w:type="dxa"/>
            <w:gridSpan w:val="13"/>
            <w:noWrap/>
            <w:vAlign w:val="center"/>
          </w:tcPr>
          <w:p>
            <w:pPr>
              <w:spacing w:line="360" w:lineRule="auto"/>
              <w:jc w:val="center"/>
              <w:rPr>
                <w:rFonts w:hAnsi="宋体" w:cs="宋体"/>
                <w:color w:val="auto"/>
                <w:sz w:val="21"/>
                <w:szCs w:val="16"/>
              </w:rPr>
            </w:pPr>
            <w:r>
              <w:rPr>
                <w:rFonts w:hint="eastAsia" w:hAnsi="宋体" w:cs="宋体"/>
                <w:color w:val="auto"/>
                <w:sz w:val="21"/>
                <w:szCs w:val="16"/>
              </w:rPr>
              <w:t>在建和已完项目项目情况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8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建设单位</w:t>
            </w:r>
          </w:p>
        </w:tc>
        <w:tc>
          <w:tcPr>
            <w:tcW w:w="168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项目名称</w:t>
            </w:r>
          </w:p>
        </w:tc>
        <w:tc>
          <w:tcPr>
            <w:tcW w:w="1580" w:type="dxa"/>
            <w:gridSpan w:val="4"/>
            <w:noWrap/>
            <w:vAlign w:val="center"/>
          </w:tcPr>
          <w:p>
            <w:pPr>
              <w:spacing w:line="360" w:lineRule="auto"/>
              <w:jc w:val="center"/>
              <w:rPr>
                <w:rFonts w:hAnsi="宋体" w:cs="宋体"/>
                <w:color w:val="auto"/>
                <w:sz w:val="21"/>
                <w:szCs w:val="16"/>
              </w:rPr>
            </w:pPr>
            <w:r>
              <w:rPr>
                <w:rFonts w:hint="eastAsia" w:hAnsi="宋体" w:cs="宋体"/>
                <w:color w:val="auto"/>
                <w:sz w:val="21"/>
                <w:szCs w:val="16"/>
              </w:rPr>
              <w:t>建设规模</w:t>
            </w:r>
          </w:p>
        </w:tc>
        <w:tc>
          <w:tcPr>
            <w:tcW w:w="156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开、竣工</w:t>
            </w:r>
          </w:p>
          <w:p>
            <w:pPr>
              <w:spacing w:line="360" w:lineRule="auto"/>
              <w:jc w:val="center"/>
              <w:rPr>
                <w:rFonts w:hAnsi="宋体" w:cs="宋体"/>
                <w:color w:val="auto"/>
                <w:sz w:val="21"/>
                <w:szCs w:val="16"/>
              </w:rPr>
            </w:pPr>
            <w:r>
              <w:rPr>
                <w:rFonts w:hint="eastAsia" w:hAnsi="宋体" w:cs="宋体"/>
                <w:color w:val="auto"/>
                <w:sz w:val="21"/>
                <w:szCs w:val="16"/>
              </w:rPr>
              <w:t>日期</w:t>
            </w:r>
          </w:p>
        </w:tc>
        <w:tc>
          <w:tcPr>
            <w:tcW w:w="1050" w:type="dxa"/>
            <w:gridSpan w:val="2"/>
            <w:noWrap/>
            <w:vAlign w:val="center"/>
          </w:tcPr>
          <w:p>
            <w:pPr>
              <w:spacing w:line="360" w:lineRule="auto"/>
              <w:jc w:val="center"/>
              <w:rPr>
                <w:rFonts w:hAnsi="宋体" w:cs="宋体"/>
                <w:color w:val="auto"/>
                <w:sz w:val="21"/>
                <w:szCs w:val="16"/>
              </w:rPr>
            </w:pPr>
            <w:r>
              <w:rPr>
                <w:rFonts w:hint="eastAsia" w:hAnsi="宋体" w:cs="宋体"/>
                <w:color w:val="auto"/>
                <w:sz w:val="21"/>
                <w:szCs w:val="16"/>
              </w:rPr>
              <w:t>在建或已 完</w:t>
            </w:r>
          </w:p>
        </w:tc>
        <w:tc>
          <w:tcPr>
            <w:tcW w:w="1817" w:type="dxa"/>
            <w:noWrap/>
            <w:vAlign w:val="center"/>
          </w:tcPr>
          <w:p>
            <w:pPr>
              <w:spacing w:line="360" w:lineRule="auto"/>
              <w:jc w:val="center"/>
              <w:rPr>
                <w:rFonts w:hAnsi="宋体" w:cs="宋体"/>
                <w:color w:val="auto"/>
                <w:sz w:val="21"/>
                <w:szCs w:val="16"/>
              </w:rPr>
            </w:pPr>
            <w:r>
              <w:rPr>
                <w:rFonts w:hint="eastAsia" w:hAnsi="宋体" w:cs="宋体"/>
                <w:color w:val="auto"/>
                <w:sz w:val="21"/>
                <w:szCs w:val="16"/>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480" w:type="dxa"/>
            <w:gridSpan w:val="2"/>
            <w:noWrap/>
            <w:vAlign w:val="center"/>
          </w:tcPr>
          <w:p>
            <w:pPr>
              <w:spacing w:line="360" w:lineRule="auto"/>
              <w:jc w:val="center"/>
              <w:rPr>
                <w:rFonts w:hAnsi="宋体" w:cs="宋体"/>
                <w:color w:val="auto"/>
                <w:sz w:val="21"/>
                <w:szCs w:val="16"/>
              </w:rPr>
            </w:pPr>
          </w:p>
        </w:tc>
        <w:tc>
          <w:tcPr>
            <w:tcW w:w="1680" w:type="dxa"/>
            <w:gridSpan w:val="2"/>
            <w:noWrap/>
            <w:vAlign w:val="center"/>
          </w:tcPr>
          <w:p>
            <w:pPr>
              <w:spacing w:line="360" w:lineRule="auto"/>
              <w:jc w:val="center"/>
              <w:rPr>
                <w:rFonts w:hAnsi="宋体" w:cs="宋体"/>
                <w:color w:val="auto"/>
                <w:sz w:val="21"/>
                <w:szCs w:val="16"/>
              </w:rPr>
            </w:pPr>
          </w:p>
        </w:tc>
        <w:tc>
          <w:tcPr>
            <w:tcW w:w="1580" w:type="dxa"/>
            <w:gridSpan w:val="4"/>
            <w:noWrap/>
            <w:vAlign w:val="center"/>
          </w:tcPr>
          <w:p>
            <w:pPr>
              <w:spacing w:line="360" w:lineRule="auto"/>
              <w:jc w:val="center"/>
              <w:rPr>
                <w:rFonts w:hAnsi="宋体" w:cs="宋体"/>
                <w:color w:val="auto"/>
                <w:sz w:val="21"/>
                <w:szCs w:val="16"/>
              </w:rPr>
            </w:pPr>
          </w:p>
        </w:tc>
        <w:tc>
          <w:tcPr>
            <w:tcW w:w="1560" w:type="dxa"/>
            <w:gridSpan w:val="2"/>
            <w:noWrap/>
            <w:vAlign w:val="center"/>
          </w:tcPr>
          <w:p>
            <w:pPr>
              <w:spacing w:line="360" w:lineRule="auto"/>
              <w:jc w:val="center"/>
              <w:rPr>
                <w:rFonts w:hAnsi="宋体" w:cs="宋体"/>
                <w:color w:val="auto"/>
                <w:sz w:val="21"/>
                <w:szCs w:val="16"/>
              </w:rPr>
            </w:pPr>
          </w:p>
        </w:tc>
        <w:tc>
          <w:tcPr>
            <w:tcW w:w="1050" w:type="dxa"/>
            <w:gridSpan w:val="2"/>
            <w:noWrap/>
            <w:vAlign w:val="center"/>
          </w:tcPr>
          <w:p>
            <w:pPr>
              <w:spacing w:line="360" w:lineRule="auto"/>
              <w:jc w:val="center"/>
              <w:rPr>
                <w:rFonts w:hAnsi="宋体" w:cs="宋体"/>
                <w:color w:val="auto"/>
                <w:sz w:val="21"/>
                <w:szCs w:val="16"/>
              </w:rPr>
            </w:pPr>
          </w:p>
        </w:tc>
        <w:tc>
          <w:tcPr>
            <w:tcW w:w="1817" w:type="dxa"/>
            <w:noWrap/>
            <w:vAlign w:val="center"/>
          </w:tcPr>
          <w:p>
            <w:pPr>
              <w:spacing w:line="360" w:lineRule="auto"/>
              <w:jc w:val="center"/>
              <w:rPr>
                <w:rFonts w:hAnsi="宋体" w:cs="宋体"/>
                <w:color w:val="auto"/>
                <w:sz w:val="21"/>
                <w:szCs w:val="16"/>
              </w:rPr>
            </w:pPr>
          </w:p>
        </w:tc>
      </w:tr>
    </w:tbl>
    <w:p>
      <w:pPr>
        <w:wordWrap w:val="0"/>
        <w:spacing w:line="360" w:lineRule="auto"/>
        <w:jc w:val="right"/>
        <w:rPr>
          <w:rFonts w:hAnsi="宋体" w:cs="宋体"/>
          <w:color w:val="auto"/>
        </w:rPr>
      </w:pPr>
    </w:p>
    <w:p>
      <w:pPr>
        <w:pStyle w:val="5"/>
        <w:ind w:left="420"/>
        <w:jc w:val="center"/>
        <w:rPr>
          <w:rFonts w:ascii="宋体" w:hAnsi="宋体" w:eastAsia="宋体" w:cs="宋体"/>
          <w:b w:val="0"/>
          <w:color w:val="auto"/>
          <w:sz w:val="24"/>
          <w:szCs w:val="24"/>
        </w:rPr>
      </w:pPr>
      <w:r>
        <w:rPr>
          <w:rFonts w:hint="eastAsia" w:ascii="宋体" w:hAnsi="宋体" w:eastAsia="宋体" w:cs="宋体"/>
          <w:b w:val="0"/>
          <w:color w:val="auto"/>
          <w:sz w:val="24"/>
          <w:szCs w:val="24"/>
        </w:rPr>
        <w:t>（3）项目管理机构配备情况辅助说明资料</w:t>
      </w:r>
    </w:p>
    <w:p>
      <w:pPr>
        <w:ind w:left="420"/>
        <w:rPr>
          <w:color w:val="auto"/>
        </w:rPr>
      </w:pPr>
      <w:r>
        <w:rPr>
          <w:rFonts w:hint="eastAsia" w:hAnsi="宋体" w:cs="宋体"/>
          <w:color w:val="auto"/>
          <w:sz w:val="24"/>
        </w:rPr>
        <w:t>工程名称：</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1"/>
          <w:szCs w:val="16"/>
        </w:rPr>
        <w:tab/>
      </w:r>
      <w:r>
        <w:rPr>
          <w:rFonts w:hint="eastAsia" w:hAnsi="宋体" w:cs="宋体"/>
          <w:color w:val="auto"/>
          <w:sz w:val="24"/>
          <w:szCs w:val="15"/>
        </w:rPr>
        <w:t>表4</w:t>
      </w:r>
    </w:p>
    <w:tbl>
      <w:tblPr>
        <w:tblStyle w:val="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8" w:type="dxa"/>
            <w:noWrap/>
          </w:tcPr>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jc w:val="center"/>
              <w:rPr>
                <w:rFonts w:hAnsi="宋体" w:cs="宋体"/>
                <w:b/>
                <w:color w:val="auto"/>
              </w:rPr>
            </w:pPr>
          </w:p>
          <w:p>
            <w:pPr>
              <w:tabs>
                <w:tab w:val="left" w:pos="0"/>
              </w:tabs>
              <w:spacing w:line="360" w:lineRule="auto"/>
              <w:ind w:right="-212"/>
              <w:rPr>
                <w:rFonts w:hAnsi="宋体" w:cs="宋体"/>
                <w:color w:val="auto"/>
              </w:rPr>
            </w:pPr>
          </w:p>
        </w:tc>
      </w:tr>
    </w:tbl>
    <w:p>
      <w:pPr>
        <w:pStyle w:val="33"/>
        <w:spacing w:before="120" w:line="360" w:lineRule="auto"/>
        <w:ind w:right="34"/>
        <w:rPr>
          <w:rFonts w:hAnsi="宋体" w:cs="宋体"/>
          <w:color w:val="auto"/>
        </w:rPr>
      </w:pPr>
      <w:r>
        <w:rPr>
          <w:rFonts w:hint="eastAsia" w:hAnsi="宋体" w:cs="宋体"/>
          <w:color w:val="auto"/>
        </w:rPr>
        <w:t>注：1.辅助说明资料主要包括管理机构的机构设置、职责分工、有关复印证明资料以及投标供应商认为有必要提供的资料。辅助说明资料格式不做统一规定，由投标供应商自行设计。</w:t>
      </w:r>
    </w:p>
    <w:p>
      <w:pPr>
        <w:pStyle w:val="33"/>
        <w:spacing w:line="360" w:lineRule="auto"/>
        <w:ind w:right="34"/>
        <w:rPr>
          <w:rFonts w:hAnsi="宋体" w:cs="宋体"/>
          <w:b/>
          <w:color w:val="auto"/>
          <w:sz w:val="30"/>
          <w:szCs w:val="30"/>
        </w:rPr>
      </w:pPr>
      <w:r>
        <w:rPr>
          <w:rFonts w:hint="eastAsia" w:hAnsi="宋体" w:cs="宋体"/>
          <w:color w:val="auto"/>
        </w:rPr>
        <w:t>2.项目管理班子配备情况辅助说明资料另附（与本响应文件一起装订）。</w:t>
      </w: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pStyle w:val="2"/>
        <w:numPr>
          <w:ilvl w:val="0"/>
          <w:numId w:val="0"/>
        </w:numPr>
        <w:ind w:left="992" w:hanging="992"/>
        <w:rPr>
          <w:color w:val="auto"/>
        </w:rPr>
      </w:pPr>
    </w:p>
    <w:p>
      <w:pPr>
        <w:widowControl/>
        <w:topLinePunct/>
        <w:spacing w:before="4" w:line="360" w:lineRule="auto"/>
        <w:jc w:val="left"/>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（七）投标偏离表（格式）</w:t>
      </w:r>
    </w:p>
    <w:p>
      <w:pPr>
        <w:ind w:firstLine="490" w:firstLineChars="175"/>
        <w:jc w:val="center"/>
        <w:outlineLvl w:val="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投标偏离表</w:t>
      </w:r>
    </w:p>
    <w:p>
      <w:pPr>
        <w:spacing w:line="400" w:lineRule="exact"/>
        <w:jc w:val="center"/>
        <w:outlineLvl w:val="0"/>
        <w:rPr>
          <w:rFonts w:asciiTheme="minorEastAsia" w:hAnsiTheme="minorEastAsia" w:eastAsiaTheme="minorEastAsia"/>
          <w:bCs/>
          <w:color w:val="auto"/>
          <w:sz w:val="28"/>
          <w:szCs w:val="28"/>
        </w:rPr>
      </w:pPr>
    </w:p>
    <w:p>
      <w:pPr>
        <w:spacing w:line="4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投标人名称（盖章）                    政府采购编号：</w:t>
      </w:r>
    </w:p>
    <w:tbl>
      <w:tblPr>
        <w:tblStyle w:val="69"/>
        <w:tblW w:w="9087" w:type="dxa"/>
        <w:tblInd w:w="0" w:type="dxa"/>
        <w:tblLayout w:type="fixed"/>
        <w:tblCellMar>
          <w:top w:w="0" w:type="dxa"/>
          <w:left w:w="0" w:type="dxa"/>
          <w:bottom w:w="0" w:type="dxa"/>
          <w:right w:w="0" w:type="dxa"/>
        </w:tblCellMar>
      </w:tblPr>
      <w:tblGrid>
        <w:gridCol w:w="1905"/>
        <w:gridCol w:w="2835"/>
        <w:gridCol w:w="2363"/>
        <w:gridCol w:w="1984"/>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采购要求</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实报内容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Cs/>
                <w:color w:val="auto"/>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rPr>
            </w:pPr>
          </w:p>
        </w:tc>
      </w:tr>
    </w:tbl>
    <w:p>
      <w:pPr>
        <w:rPr>
          <w:rFonts w:asciiTheme="minorEastAsia" w:hAnsiTheme="minorEastAsia" w:eastAsiaTheme="minorEastAsia"/>
          <w:b/>
          <w:bCs/>
          <w:color w:val="auto"/>
          <w:sz w:val="24"/>
        </w:rPr>
      </w:pPr>
    </w:p>
    <w:p>
      <w:pPr>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法定代表人或法定代表人授权代表签字或盖章：</w:t>
      </w:r>
    </w:p>
    <w:p>
      <w:pPr>
        <w:rPr>
          <w:rFonts w:asciiTheme="minorEastAsia" w:hAnsiTheme="minorEastAsia" w:eastAsiaTheme="minorEastAsia"/>
          <w:bCs/>
          <w:color w:val="auto"/>
          <w:sz w:val="30"/>
        </w:rPr>
      </w:pPr>
    </w:p>
    <w:p>
      <w:pPr>
        <w:outlineLvl w:val="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注：上表如需要自行延长。</w:t>
      </w:r>
    </w:p>
    <w:p>
      <w:pPr>
        <w:spacing w:line="480" w:lineRule="auto"/>
        <w:rPr>
          <w:rFonts w:asciiTheme="minorEastAsia" w:hAnsiTheme="minorEastAsia" w:eastAsiaTheme="minorEastAsia"/>
          <w:bCs/>
          <w:color w:val="auto"/>
          <w:sz w:val="24"/>
          <w:szCs w:val="24"/>
        </w:rPr>
      </w:pPr>
    </w:p>
    <w:p>
      <w:pPr>
        <w:jc w:val="left"/>
        <w:outlineLvl w:val="0"/>
        <w:rPr>
          <w:rFonts w:hAnsi="宋体" w:cs="宋体"/>
          <w:bCs/>
          <w:color w:val="auto"/>
          <w:sz w:val="24"/>
          <w:szCs w:val="22"/>
        </w:rPr>
      </w:pPr>
    </w:p>
    <w:p>
      <w:pPr>
        <w:pStyle w:val="2"/>
        <w:numPr>
          <w:ilvl w:val="0"/>
          <w:numId w:val="0"/>
        </w:numPr>
        <w:ind w:left="992"/>
        <w:rPr>
          <w:color w:val="auto"/>
        </w:rPr>
      </w:pPr>
    </w:p>
    <w:p>
      <w:pPr>
        <w:jc w:val="left"/>
        <w:outlineLvl w:val="0"/>
        <w:rPr>
          <w:rFonts w:hAnsi="宋体" w:cs="宋体"/>
          <w:bCs/>
          <w:color w:val="auto"/>
          <w:sz w:val="24"/>
          <w:szCs w:val="22"/>
        </w:rPr>
      </w:pPr>
    </w:p>
    <w:p>
      <w:pPr>
        <w:pStyle w:val="2"/>
        <w:numPr>
          <w:ilvl w:val="0"/>
          <w:numId w:val="0"/>
        </w:numPr>
        <w:ind w:left="992"/>
        <w:rPr>
          <w:color w:val="auto"/>
        </w:rPr>
      </w:pPr>
    </w:p>
    <w:p>
      <w:pPr>
        <w:rPr>
          <w:color w:val="auto"/>
        </w:rPr>
      </w:pPr>
    </w:p>
    <w:p>
      <w:pPr>
        <w:jc w:val="left"/>
        <w:outlineLvl w:val="0"/>
        <w:rPr>
          <w:rFonts w:hAnsi="宋体" w:cs="宋体"/>
          <w:bCs/>
          <w:color w:val="auto"/>
          <w:sz w:val="24"/>
          <w:szCs w:val="22"/>
        </w:rPr>
      </w:pPr>
    </w:p>
    <w:p>
      <w:pPr>
        <w:jc w:val="left"/>
        <w:outlineLvl w:val="0"/>
        <w:rPr>
          <w:rFonts w:hAnsi="宋体" w:cs="宋体"/>
          <w:bCs/>
          <w:color w:val="auto"/>
          <w:sz w:val="24"/>
          <w:szCs w:val="22"/>
        </w:rPr>
      </w:pPr>
      <w:r>
        <w:rPr>
          <w:rFonts w:hint="eastAsia" w:hAnsi="宋体" w:cs="宋体"/>
          <w:bCs/>
          <w:color w:val="auto"/>
          <w:sz w:val="24"/>
          <w:szCs w:val="22"/>
        </w:rPr>
        <w:t>（八）投标供应商简介和经营情况说明表（格式）</w:t>
      </w:r>
    </w:p>
    <w:p>
      <w:pPr>
        <w:snapToGrid w:val="0"/>
        <w:spacing w:line="360" w:lineRule="auto"/>
        <w:jc w:val="center"/>
        <w:outlineLvl w:val="0"/>
        <w:rPr>
          <w:rFonts w:hAnsi="宋体" w:cs="宋体"/>
          <w:bCs/>
          <w:color w:val="auto"/>
          <w:sz w:val="28"/>
          <w:szCs w:val="28"/>
        </w:rPr>
      </w:pPr>
    </w:p>
    <w:p>
      <w:pPr>
        <w:snapToGrid w:val="0"/>
        <w:spacing w:line="360" w:lineRule="auto"/>
        <w:jc w:val="center"/>
        <w:outlineLvl w:val="0"/>
        <w:rPr>
          <w:rFonts w:hAnsi="宋体" w:cs="宋体"/>
          <w:bCs/>
          <w:color w:val="auto"/>
          <w:sz w:val="28"/>
          <w:szCs w:val="28"/>
        </w:rPr>
      </w:pPr>
      <w:r>
        <w:rPr>
          <w:rFonts w:hint="eastAsia" w:hAnsi="宋体" w:cs="宋体"/>
          <w:bCs/>
          <w:color w:val="auto"/>
          <w:sz w:val="28"/>
          <w:szCs w:val="28"/>
        </w:rPr>
        <w:t>投标供应商简介和经营情况说明表</w:t>
      </w:r>
    </w:p>
    <w:p>
      <w:pPr>
        <w:spacing w:line="460" w:lineRule="exact"/>
        <w:jc w:val="center"/>
        <w:rPr>
          <w:rFonts w:hAnsi="宋体" w:cs="宋体"/>
          <w:color w:val="auto"/>
          <w:sz w:val="24"/>
        </w:rPr>
      </w:pPr>
      <w:r>
        <w:rPr>
          <w:rFonts w:hint="eastAsia" w:hAnsi="宋体" w:cs="宋体"/>
          <w:color w:val="auto"/>
          <w:sz w:val="24"/>
        </w:rPr>
        <w:t>（内容写不完的栏目可相应扩展）</w:t>
      </w:r>
    </w:p>
    <w:p>
      <w:pPr>
        <w:pStyle w:val="15"/>
        <w:overflowPunct w:val="0"/>
        <w:ind w:firstLine="0"/>
        <w:rPr>
          <w:rFonts w:ascii="宋体" w:hAnsi="宋体" w:cs="宋体"/>
          <w:b/>
          <w:bCs/>
          <w:color w:val="auto"/>
          <w:sz w:val="24"/>
        </w:rPr>
      </w:pPr>
      <w:r>
        <w:rPr>
          <w:rFonts w:hint="eastAsia" w:ascii="宋体" w:hAnsi="宋体" w:cs="宋体"/>
          <w:b/>
          <w:bCs/>
          <w:color w:val="auto"/>
          <w:sz w:val="24"/>
        </w:rPr>
        <w:t>投标供应商（盖章）</w:t>
      </w:r>
    </w:p>
    <w:tbl>
      <w:tblPr>
        <w:tblStyle w:val="69"/>
        <w:tblW w:w="9127"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c>
          <w:tcPr>
            <w:tcW w:w="1757"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成立日期</w:t>
            </w: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企业地址</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c>
          <w:tcPr>
            <w:tcW w:w="1757"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注册资本</w:t>
            </w: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840" w:firstLineChars="350"/>
              <w:rPr>
                <w:rFonts w:ascii="宋体" w:hAnsi="宋体" w:cs="宋体"/>
                <w:color w:val="auto"/>
                <w:sz w:val="24"/>
                <w:szCs w:val="24"/>
              </w:rPr>
            </w:pPr>
            <w:r>
              <w:rPr>
                <w:rFonts w:hint="eastAsia" w:ascii="宋体" w:hAnsi="宋体" w:cs="宋体"/>
                <w:color w:val="auto"/>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经营范围</w:t>
            </w:r>
          </w:p>
        </w:tc>
        <w:tc>
          <w:tcPr>
            <w:tcW w:w="6617" w:type="dxa"/>
            <w:gridSpan w:val="4"/>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职工人数</w:t>
            </w:r>
          </w:p>
        </w:tc>
        <w:tc>
          <w:tcPr>
            <w:tcW w:w="21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其中：</w:t>
            </w:r>
          </w:p>
          <w:p>
            <w:pPr>
              <w:pStyle w:val="15"/>
              <w:overflowPunct w:val="0"/>
              <w:spacing w:line="400" w:lineRule="exact"/>
              <w:ind w:left="1255" w:leftChars="228" w:hanging="480" w:hangingChars="200"/>
              <w:rPr>
                <w:rFonts w:ascii="宋体" w:hAnsi="宋体" w:cs="宋体"/>
                <w:color w:val="auto"/>
                <w:sz w:val="24"/>
                <w:szCs w:val="24"/>
              </w:rPr>
            </w:pPr>
            <w:r>
              <w:rPr>
                <w:rFonts w:hint="eastAsia" w:ascii="宋体" w:hAnsi="宋体" w:cs="宋体"/>
                <w:color w:val="auto"/>
                <w:sz w:val="24"/>
                <w:szCs w:val="24"/>
              </w:rPr>
              <w:t>中级职称人数、</w:t>
            </w:r>
          </w:p>
          <w:p>
            <w:pPr>
              <w:pStyle w:val="15"/>
              <w:overflowPunct w:val="0"/>
              <w:spacing w:line="400" w:lineRule="exact"/>
              <w:ind w:left="1255" w:leftChars="228" w:hanging="480" w:hangingChars="200"/>
              <w:rPr>
                <w:rFonts w:ascii="宋体" w:hAnsi="宋体" w:cs="宋体"/>
                <w:color w:val="auto"/>
                <w:sz w:val="24"/>
                <w:szCs w:val="24"/>
              </w:rPr>
            </w:pPr>
            <w:r>
              <w:rPr>
                <w:rFonts w:hint="eastAsia" w:ascii="宋体" w:hAnsi="宋体" w:cs="宋体"/>
                <w:color w:val="auto"/>
                <w:sz w:val="24"/>
                <w:szCs w:val="24"/>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2020年12月资产总额</w:t>
            </w:r>
          </w:p>
        </w:tc>
        <w:tc>
          <w:tcPr>
            <w:tcW w:w="21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净资产</w:t>
            </w: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2020年12月股东权益</w:t>
            </w:r>
          </w:p>
        </w:tc>
        <w:tc>
          <w:tcPr>
            <w:tcW w:w="21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2020年业务收入</w:t>
            </w: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2020年实现利润</w:t>
            </w:r>
          </w:p>
        </w:tc>
        <w:tc>
          <w:tcPr>
            <w:tcW w:w="21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1320" w:firstLineChars="550"/>
              <w:rPr>
                <w:rFonts w:ascii="宋体" w:hAnsi="宋体" w:cs="宋体"/>
                <w:color w:val="auto"/>
                <w:sz w:val="24"/>
                <w:szCs w:val="24"/>
              </w:rPr>
            </w:pPr>
            <w:r>
              <w:rPr>
                <w:rFonts w:hint="eastAsia" w:ascii="宋体" w:hAnsi="宋体" w:cs="宋体"/>
                <w:color w:val="auto"/>
                <w:sz w:val="24"/>
                <w:szCs w:val="24"/>
              </w:rPr>
              <w:t>万元</w:t>
            </w:r>
          </w:p>
        </w:tc>
        <w:tc>
          <w:tcPr>
            <w:tcW w:w="1906"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办公面积</w:t>
            </w:r>
          </w:p>
          <w:p>
            <w:pPr>
              <w:pStyle w:val="15"/>
              <w:overflowPunct w:val="0"/>
              <w:spacing w:line="400" w:lineRule="exact"/>
              <w:ind w:firstLine="480"/>
              <w:rPr>
                <w:rFonts w:ascii="宋体" w:hAnsi="宋体" w:cs="宋体"/>
                <w:color w:val="auto"/>
                <w:sz w:val="24"/>
                <w:szCs w:val="24"/>
              </w:rPr>
            </w:pPr>
          </w:p>
        </w:tc>
        <w:tc>
          <w:tcPr>
            <w:tcW w:w="2110"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 xml:space="preserve">     平方米</w:t>
            </w:r>
          </w:p>
        </w:tc>
        <w:tc>
          <w:tcPr>
            <w:tcW w:w="1906"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其中：</w:t>
            </w:r>
          </w:p>
        </w:tc>
        <w:tc>
          <w:tcPr>
            <w:tcW w:w="2601" w:type="dxa"/>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自有面积    平方米</w:t>
            </w:r>
          </w:p>
          <w:p>
            <w:pPr>
              <w:pStyle w:val="15"/>
              <w:overflowPunct w:val="0"/>
              <w:spacing w:line="400" w:lineRule="exact"/>
              <w:ind w:firstLine="0"/>
              <w:rPr>
                <w:rFonts w:ascii="宋体" w:hAnsi="宋体" w:cs="宋体"/>
                <w:color w:val="auto"/>
                <w:sz w:val="24"/>
                <w:szCs w:val="24"/>
              </w:rPr>
            </w:pPr>
            <w:r>
              <w:rPr>
                <w:rFonts w:hint="eastAsia" w:ascii="宋体" w:hAnsi="宋体" w:cs="宋体"/>
                <w:color w:val="auto"/>
                <w:sz w:val="24"/>
                <w:szCs w:val="24"/>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bCs/>
                <w:color w:val="auto"/>
                <w:sz w:val="24"/>
                <w:szCs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最近3年内有无因违纪或是其他原因被投诉或起诉的情况及说明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最近3年内主要负责人有无因经济犯罪被司法机关追究的情况及说明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spacing w:line="360" w:lineRule="auto"/>
              <w:ind w:firstLine="480" w:firstLineChars="200"/>
              <w:rPr>
                <w:rFonts w:hAnsi="宋体" w:cs="宋体"/>
                <w:color w:val="auto"/>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r>
              <w:rPr>
                <w:rFonts w:hint="eastAsia" w:ascii="宋体" w:hAnsi="宋体" w:cs="宋体"/>
                <w:color w:val="auto"/>
                <w:sz w:val="24"/>
                <w:szCs w:val="24"/>
              </w:rPr>
              <w:t>其他需要说明的情况</w:t>
            </w:r>
          </w:p>
        </w:tc>
        <w:tc>
          <w:tcPr>
            <w:tcW w:w="4507" w:type="dxa"/>
            <w:gridSpan w:val="3"/>
            <w:tcBorders>
              <w:top w:val="single" w:color="auto" w:sz="6" w:space="0"/>
              <w:left w:val="single" w:color="auto" w:sz="6" w:space="0"/>
              <w:right w:val="single" w:color="auto" w:sz="6" w:space="0"/>
            </w:tcBorders>
            <w:noWrap/>
          </w:tcPr>
          <w:p>
            <w:pPr>
              <w:pStyle w:val="15"/>
              <w:overflowPunct w:val="0"/>
              <w:spacing w:line="400" w:lineRule="exact"/>
              <w:ind w:firstLine="480"/>
              <w:rPr>
                <w:rFonts w:ascii="宋体" w:hAnsi="宋体" w:cs="宋体"/>
                <w:color w:val="auto"/>
                <w:sz w:val="24"/>
                <w:szCs w:val="24"/>
              </w:rPr>
            </w:pPr>
          </w:p>
        </w:tc>
      </w:tr>
    </w:tbl>
    <w:p>
      <w:pPr>
        <w:rPr>
          <w:rFonts w:hAnsi="宋体" w:cs="宋体"/>
          <w:b/>
          <w:bCs/>
          <w:color w:val="auto"/>
          <w:sz w:val="24"/>
        </w:rPr>
      </w:pPr>
      <w:r>
        <w:rPr>
          <w:rFonts w:hint="eastAsia" w:hAnsi="宋体" w:cs="宋体"/>
          <w:b/>
          <w:bCs/>
          <w:color w:val="auto"/>
          <w:sz w:val="24"/>
        </w:rPr>
        <w:t>法定代表人或授权委托人签字或盖章：</w:t>
      </w:r>
    </w:p>
    <w:p>
      <w:pPr>
        <w:rPr>
          <w:rFonts w:hAnsi="宋体" w:cs="宋体"/>
          <w:b/>
          <w:bCs/>
          <w:color w:val="auto"/>
          <w:sz w:val="24"/>
        </w:rPr>
      </w:pPr>
      <w:r>
        <w:rPr>
          <w:rFonts w:hint="eastAsia" w:hAnsi="宋体" w:cs="宋体"/>
          <w:b/>
          <w:bCs/>
          <w:color w:val="auto"/>
          <w:sz w:val="24"/>
        </w:rPr>
        <w:t>日期：</w:t>
      </w: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r>
        <w:rPr>
          <w:rFonts w:hint="eastAsia" w:hAnsi="宋体" w:cs="宋体"/>
          <w:bCs/>
          <w:color w:val="auto"/>
          <w:sz w:val="24"/>
          <w:szCs w:val="22"/>
        </w:rPr>
        <w:t>（九）中小企业声明函（格式）：</w:t>
      </w:r>
    </w:p>
    <w:p>
      <w:pPr>
        <w:snapToGrid w:val="0"/>
        <w:spacing w:line="360" w:lineRule="auto"/>
        <w:jc w:val="center"/>
        <w:outlineLvl w:val="0"/>
        <w:rPr>
          <w:rFonts w:hAnsi="宋体" w:cs="宋体"/>
          <w:bCs/>
          <w:color w:val="auto"/>
          <w:sz w:val="28"/>
          <w:szCs w:val="28"/>
        </w:rPr>
      </w:pPr>
    </w:p>
    <w:p>
      <w:pPr>
        <w:snapToGrid w:val="0"/>
        <w:spacing w:line="360" w:lineRule="auto"/>
        <w:jc w:val="center"/>
        <w:outlineLvl w:val="0"/>
        <w:rPr>
          <w:rFonts w:hAnsi="宋体" w:cs="宋体"/>
          <w:bCs/>
          <w:color w:val="auto"/>
          <w:sz w:val="28"/>
          <w:szCs w:val="28"/>
        </w:rPr>
      </w:pPr>
      <w:r>
        <w:rPr>
          <w:rFonts w:hint="eastAsia" w:hAnsi="宋体" w:cs="宋体"/>
          <w:bCs/>
          <w:color w:val="auto"/>
          <w:sz w:val="28"/>
          <w:szCs w:val="28"/>
        </w:rPr>
        <w:t>中小企业声明函（工程）</w:t>
      </w:r>
    </w:p>
    <w:p>
      <w:pPr>
        <w:spacing w:line="500" w:lineRule="exact"/>
        <w:ind w:firstLine="720" w:firstLineChars="300"/>
        <w:rPr>
          <w:rFonts w:hAnsi="宋体" w:cs="宋体"/>
          <w:bCs/>
          <w:color w:val="auto"/>
          <w:sz w:val="24"/>
          <w:szCs w:val="24"/>
        </w:rPr>
      </w:pPr>
      <w:r>
        <w:rPr>
          <w:rFonts w:hint="eastAsia" w:hAnsi="宋体" w:cs="宋体"/>
          <w:bCs/>
          <w:color w:val="auto"/>
          <w:kern w:val="2"/>
          <w:sz w:val="24"/>
          <w:szCs w:val="24"/>
        </w:rPr>
        <w:t>本公司（联合体）郑重声明，根据《政府采购促进中小企业发展管理办法》（财库﹝2020﹞46 号）的规定，本公司（联合体）参加</w:t>
      </w:r>
      <w:r>
        <w:rPr>
          <w:rFonts w:hint="eastAsia" w:hAnsi="宋体" w:cs="宋体"/>
          <w:bCs/>
          <w:color w:val="auto"/>
          <w:kern w:val="2"/>
          <w:sz w:val="24"/>
          <w:szCs w:val="24"/>
          <w:u w:val="single"/>
        </w:rPr>
        <w:t>（单位名称）</w:t>
      </w:r>
      <w:r>
        <w:rPr>
          <w:rFonts w:hint="eastAsia" w:hAnsi="宋体" w:cs="宋体"/>
          <w:bCs/>
          <w:color w:val="auto"/>
          <w:kern w:val="2"/>
          <w:sz w:val="24"/>
          <w:szCs w:val="24"/>
        </w:rPr>
        <w:t>的</w:t>
      </w:r>
      <w:r>
        <w:rPr>
          <w:rFonts w:hint="eastAsia" w:hAnsi="宋体" w:cs="宋体"/>
          <w:bCs/>
          <w:color w:val="auto"/>
          <w:kern w:val="2"/>
          <w:sz w:val="24"/>
          <w:szCs w:val="24"/>
          <w:u w:val="single"/>
        </w:rPr>
        <w:t>（项目名称）</w:t>
      </w:r>
      <w:r>
        <w:rPr>
          <w:rFonts w:hint="eastAsia" w:hAnsi="宋体" w:cs="宋体"/>
          <w:bCs/>
          <w:color w:val="auto"/>
          <w:kern w:val="2"/>
          <w:sz w:val="24"/>
          <w:szCs w:val="24"/>
        </w:rPr>
        <w:t>采购活动，</w:t>
      </w:r>
      <w:r>
        <w:rPr>
          <w:rFonts w:hint="eastAsia" w:hAnsi="宋体" w:cs="宋体"/>
          <w:b/>
          <w:color w:val="auto"/>
          <w:kern w:val="2"/>
          <w:sz w:val="24"/>
          <w:szCs w:val="24"/>
        </w:rPr>
        <w:t>工程的施工单位全部为符合政策要求的中小企业</w:t>
      </w:r>
      <w:r>
        <w:rPr>
          <w:rFonts w:hint="eastAsia" w:hAnsi="宋体" w:cs="宋体"/>
          <w:bCs/>
          <w:color w:val="auto"/>
          <w:kern w:val="2"/>
          <w:sz w:val="24"/>
          <w:szCs w:val="24"/>
        </w:rPr>
        <w:t>。相关企业（含联合体中的中小企业、签订分包意向协议的中小企业）的具体情况如下：</w:t>
      </w:r>
    </w:p>
    <w:p>
      <w:pPr>
        <w:spacing w:line="500" w:lineRule="exact"/>
        <w:ind w:firstLine="480" w:firstLineChars="200"/>
        <w:rPr>
          <w:rFonts w:hAnsi="宋体" w:cs="宋体"/>
          <w:bCs/>
          <w:color w:val="auto"/>
          <w:sz w:val="24"/>
          <w:szCs w:val="24"/>
        </w:rPr>
      </w:pPr>
      <w:r>
        <w:rPr>
          <w:rFonts w:hint="eastAsia" w:hAnsi="宋体" w:cs="宋体"/>
          <w:bCs/>
          <w:color w:val="auto"/>
          <w:kern w:val="2"/>
          <w:sz w:val="24"/>
          <w:szCs w:val="24"/>
        </w:rPr>
        <w:t>1.(</w:t>
      </w:r>
      <w:r>
        <w:rPr>
          <w:rFonts w:hint="eastAsia" w:hAnsi="宋体" w:cs="宋体"/>
          <w:bCs/>
          <w:color w:val="auto"/>
          <w:kern w:val="2"/>
          <w:sz w:val="24"/>
          <w:szCs w:val="24"/>
          <w:u w:val="single"/>
        </w:rPr>
        <w:t>标的名称)</w:t>
      </w:r>
      <w:r>
        <w:rPr>
          <w:rFonts w:hint="eastAsia" w:hAnsi="宋体" w:cs="宋体"/>
          <w:bCs/>
          <w:color w:val="auto"/>
          <w:kern w:val="2"/>
          <w:sz w:val="24"/>
          <w:szCs w:val="24"/>
        </w:rPr>
        <w:t>，属于</w:t>
      </w:r>
      <w:r>
        <w:rPr>
          <w:rFonts w:hint="eastAsia" w:hAnsi="宋体" w:cs="宋体"/>
          <w:bCs/>
          <w:color w:val="auto"/>
          <w:kern w:val="2"/>
          <w:sz w:val="24"/>
          <w:szCs w:val="24"/>
          <w:u w:val="single"/>
        </w:rPr>
        <w:t>（采购文件中明确的所属行业）</w:t>
      </w:r>
      <w:r>
        <w:rPr>
          <w:rFonts w:hint="eastAsia" w:hAnsi="宋体" w:cs="宋体"/>
          <w:bCs/>
          <w:color w:val="auto"/>
          <w:kern w:val="2"/>
          <w:sz w:val="24"/>
          <w:szCs w:val="24"/>
        </w:rPr>
        <w:t>；承建（承接）企业为</w:t>
      </w:r>
      <w:r>
        <w:rPr>
          <w:rFonts w:hint="eastAsia" w:hAnsi="宋体" w:cs="宋体"/>
          <w:bCs/>
          <w:color w:val="auto"/>
          <w:kern w:val="2"/>
          <w:sz w:val="24"/>
          <w:szCs w:val="24"/>
          <w:u w:val="single"/>
        </w:rPr>
        <w:t>（企业名称）</w:t>
      </w:r>
      <w:r>
        <w:rPr>
          <w:rFonts w:hint="eastAsia" w:hAnsi="宋体" w:cs="宋体"/>
          <w:bCs/>
          <w:color w:val="auto"/>
          <w:kern w:val="2"/>
          <w:sz w:val="24"/>
          <w:szCs w:val="24"/>
        </w:rPr>
        <w:t>，从业人员人，营业收入为万元，资产总额为万元，属于</w:t>
      </w:r>
      <w:r>
        <w:rPr>
          <w:rFonts w:hint="eastAsia" w:hAnsi="宋体" w:cs="宋体"/>
          <w:bCs/>
          <w:color w:val="auto"/>
          <w:kern w:val="2"/>
          <w:sz w:val="24"/>
          <w:szCs w:val="24"/>
          <w:u w:val="single"/>
        </w:rPr>
        <w:t>（中型企业、小型企业、微型企业）</w:t>
      </w:r>
      <w:r>
        <w:rPr>
          <w:rFonts w:hint="eastAsia" w:hAnsi="宋体" w:cs="宋体"/>
          <w:bCs/>
          <w:color w:val="auto"/>
          <w:kern w:val="2"/>
          <w:sz w:val="24"/>
          <w:szCs w:val="24"/>
        </w:rPr>
        <w:t>；</w:t>
      </w:r>
    </w:p>
    <w:p>
      <w:pPr>
        <w:spacing w:line="500" w:lineRule="exact"/>
        <w:ind w:firstLine="480" w:firstLineChars="200"/>
        <w:rPr>
          <w:rFonts w:hAnsi="宋体" w:cs="宋体"/>
          <w:bCs/>
          <w:color w:val="auto"/>
          <w:sz w:val="24"/>
          <w:szCs w:val="24"/>
        </w:rPr>
      </w:pPr>
      <w:r>
        <w:rPr>
          <w:rFonts w:hint="eastAsia" w:hAnsi="宋体" w:cs="宋体"/>
          <w:bCs/>
          <w:color w:val="auto"/>
          <w:kern w:val="2"/>
          <w:sz w:val="24"/>
          <w:szCs w:val="24"/>
        </w:rPr>
        <w:t>2.(</w:t>
      </w:r>
      <w:r>
        <w:rPr>
          <w:rFonts w:hint="eastAsia" w:hAnsi="宋体" w:cs="宋体"/>
          <w:bCs/>
          <w:color w:val="auto"/>
          <w:kern w:val="2"/>
          <w:sz w:val="24"/>
          <w:szCs w:val="24"/>
          <w:u w:val="single"/>
        </w:rPr>
        <w:t>标的名称)</w:t>
      </w:r>
      <w:r>
        <w:rPr>
          <w:rFonts w:hint="eastAsia" w:hAnsi="宋体" w:cs="宋体"/>
          <w:bCs/>
          <w:color w:val="auto"/>
          <w:kern w:val="2"/>
          <w:sz w:val="24"/>
          <w:szCs w:val="24"/>
        </w:rPr>
        <w:t>，属于</w:t>
      </w:r>
      <w:r>
        <w:rPr>
          <w:rFonts w:hint="eastAsia" w:hAnsi="宋体" w:cs="宋体"/>
          <w:bCs/>
          <w:color w:val="auto"/>
          <w:kern w:val="2"/>
          <w:sz w:val="24"/>
          <w:szCs w:val="24"/>
          <w:u w:val="single"/>
        </w:rPr>
        <w:t>（采购文件中明确的所属行业）</w:t>
      </w:r>
      <w:r>
        <w:rPr>
          <w:rFonts w:hint="eastAsia" w:hAnsi="宋体" w:cs="宋体"/>
          <w:bCs/>
          <w:color w:val="auto"/>
          <w:kern w:val="2"/>
          <w:sz w:val="24"/>
          <w:szCs w:val="24"/>
        </w:rPr>
        <w:t>；承建（承接）企业为</w:t>
      </w:r>
      <w:r>
        <w:rPr>
          <w:rFonts w:hint="eastAsia" w:hAnsi="宋体" w:cs="宋体"/>
          <w:bCs/>
          <w:color w:val="auto"/>
          <w:kern w:val="2"/>
          <w:sz w:val="24"/>
          <w:szCs w:val="24"/>
          <w:u w:val="single"/>
        </w:rPr>
        <w:t>（企业名称）</w:t>
      </w:r>
      <w:r>
        <w:rPr>
          <w:rFonts w:hint="eastAsia" w:hAnsi="宋体" w:cs="宋体"/>
          <w:bCs/>
          <w:color w:val="auto"/>
          <w:kern w:val="2"/>
          <w:sz w:val="24"/>
          <w:szCs w:val="24"/>
        </w:rPr>
        <w:t>，从业人员人，营业收入为万元，资产总额为万元，属于</w:t>
      </w:r>
      <w:r>
        <w:rPr>
          <w:rFonts w:hint="eastAsia" w:hAnsi="宋体" w:cs="宋体"/>
          <w:bCs/>
          <w:color w:val="auto"/>
          <w:kern w:val="2"/>
          <w:sz w:val="24"/>
          <w:szCs w:val="24"/>
          <w:u w:val="single"/>
        </w:rPr>
        <w:t>（中型企业、小型企业、微型企业）</w:t>
      </w:r>
      <w:r>
        <w:rPr>
          <w:rFonts w:hint="eastAsia" w:hAnsi="宋体" w:cs="宋体"/>
          <w:bCs/>
          <w:color w:val="auto"/>
          <w:kern w:val="2"/>
          <w:sz w:val="24"/>
          <w:szCs w:val="24"/>
        </w:rPr>
        <w:t>；</w:t>
      </w:r>
    </w:p>
    <w:p>
      <w:pPr>
        <w:spacing w:line="360" w:lineRule="auto"/>
        <w:rPr>
          <w:rFonts w:hAnsi="宋体" w:cs="宋体"/>
          <w:bCs/>
          <w:color w:val="auto"/>
          <w:sz w:val="24"/>
          <w:szCs w:val="24"/>
        </w:rPr>
      </w:pPr>
      <w:r>
        <w:rPr>
          <w:rFonts w:hint="eastAsia" w:hAnsi="宋体" w:cs="宋体"/>
          <w:bCs/>
          <w:color w:val="auto"/>
          <w:kern w:val="2"/>
          <w:sz w:val="24"/>
          <w:szCs w:val="24"/>
        </w:rPr>
        <w:t xml:space="preserve"> ......</w:t>
      </w:r>
    </w:p>
    <w:p>
      <w:pPr>
        <w:spacing w:line="360" w:lineRule="auto"/>
        <w:rPr>
          <w:rFonts w:hAnsi="宋体" w:cs="宋体"/>
          <w:bCs/>
          <w:color w:val="auto"/>
          <w:sz w:val="24"/>
          <w:szCs w:val="24"/>
        </w:rPr>
      </w:pPr>
    </w:p>
    <w:p>
      <w:pPr>
        <w:spacing w:line="360" w:lineRule="auto"/>
        <w:ind w:firstLine="480" w:firstLineChars="200"/>
        <w:rPr>
          <w:rFonts w:hAnsi="宋体" w:cs="宋体"/>
          <w:bCs/>
          <w:color w:val="auto"/>
          <w:sz w:val="24"/>
          <w:szCs w:val="24"/>
        </w:rPr>
      </w:pPr>
      <w:r>
        <w:rPr>
          <w:rFonts w:hint="eastAsia" w:hAnsi="宋体" w:cs="宋体"/>
          <w:bCs/>
          <w:color w:val="auto"/>
          <w:kern w:val="2"/>
          <w:sz w:val="24"/>
          <w:szCs w:val="24"/>
        </w:rPr>
        <w:t>以上企业，不属于大企业的分支机构，不存在控股股东为大企业的情形，也不存在与大企业的负责人为同一人的情形。</w:t>
      </w:r>
    </w:p>
    <w:p>
      <w:pPr>
        <w:spacing w:line="360" w:lineRule="auto"/>
        <w:ind w:firstLine="480" w:firstLineChars="200"/>
        <w:rPr>
          <w:rFonts w:hAnsi="宋体" w:cs="宋体"/>
          <w:bCs/>
          <w:color w:val="auto"/>
          <w:sz w:val="24"/>
          <w:szCs w:val="24"/>
        </w:rPr>
      </w:pPr>
      <w:r>
        <w:rPr>
          <w:rFonts w:hint="eastAsia" w:hAnsi="宋体" w:cs="宋体"/>
          <w:bCs/>
          <w:color w:val="auto"/>
          <w:kern w:val="2"/>
          <w:sz w:val="24"/>
          <w:szCs w:val="24"/>
        </w:rPr>
        <w:t>本企业对上述声明内容的真实性负责。如有虚假，将依法承担相应责任。</w:t>
      </w:r>
    </w:p>
    <w:p>
      <w:pPr>
        <w:spacing w:line="360" w:lineRule="auto"/>
        <w:rPr>
          <w:rFonts w:hAnsi="宋体" w:cs="宋体"/>
          <w:bCs/>
          <w:color w:val="auto"/>
          <w:sz w:val="24"/>
          <w:szCs w:val="24"/>
        </w:rPr>
      </w:pPr>
    </w:p>
    <w:p>
      <w:pPr>
        <w:spacing w:line="360" w:lineRule="auto"/>
        <w:jc w:val="right"/>
        <w:rPr>
          <w:rFonts w:hAnsi="宋体" w:cs="宋体"/>
          <w:bCs/>
          <w:color w:val="auto"/>
          <w:sz w:val="24"/>
          <w:szCs w:val="24"/>
        </w:rPr>
      </w:pPr>
    </w:p>
    <w:p>
      <w:pPr>
        <w:spacing w:line="360" w:lineRule="auto"/>
        <w:jc w:val="right"/>
        <w:rPr>
          <w:rFonts w:hAnsi="宋体" w:cs="宋体"/>
          <w:bCs/>
          <w:color w:val="auto"/>
          <w:sz w:val="24"/>
          <w:szCs w:val="24"/>
        </w:rPr>
      </w:pPr>
      <w:r>
        <w:rPr>
          <w:rFonts w:hint="eastAsia" w:hAnsi="宋体" w:cs="宋体"/>
          <w:bCs/>
          <w:color w:val="auto"/>
          <w:kern w:val="2"/>
          <w:sz w:val="24"/>
          <w:szCs w:val="24"/>
        </w:rPr>
        <w:t>企业名称（盖章）：</w:t>
      </w:r>
    </w:p>
    <w:p>
      <w:pPr>
        <w:spacing w:line="360" w:lineRule="auto"/>
        <w:jc w:val="center"/>
        <w:rPr>
          <w:rFonts w:hAnsi="宋体"/>
          <w:b/>
          <w:color w:val="auto"/>
          <w:sz w:val="22"/>
          <w:szCs w:val="22"/>
        </w:rPr>
      </w:pPr>
      <w:r>
        <w:rPr>
          <w:rFonts w:hint="eastAsia" w:hAnsi="宋体" w:cs="宋体"/>
          <w:bCs/>
          <w:color w:val="auto"/>
          <w:kern w:val="2"/>
          <w:sz w:val="24"/>
          <w:szCs w:val="24"/>
        </w:rPr>
        <w:t>日 期：</w:t>
      </w:r>
    </w:p>
    <w:p>
      <w:pPr>
        <w:spacing w:line="360" w:lineRule="auto"/>
        <w:ind w:firstLine="442" w:firstLineChars="200"/>
        <w:rPr>
          <w:rFonts w:hAnsi="宋体"/>
          <w:b/>
          <w:color w:val="auto"/>
          <w:sz w:val="22"/>
          <w:szCs w:val="22"/>
        </w:rPr>
      </w:pPr>
    </w:p>
    <w:p>
      <w:pPr>
        <w:spacing w:line="360" w:lineRule="auto"/>
        <w:ind w:firstLine="442" w:firstLineChars="200"/>
        <w:rPr>
          <w:color w:val="auto"/>
        </w:rPr>
      </w:pPr>
      <w:r>
        <w:rPr>
          <w:rFonts w:hint="eastAsia" w:hAnsi="宋体"/>
          <w:b/>
          <w:color w:val="auto"/>
          <w:sz w:val="22"/>
          <w:szCs w:val="22"/>
        </w:rPr>
        <w:t>备注：1、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360" w:lineRule="auto"/>
        <w:ind w:firstLine="442" w:firstLineChars="200"/>
        <w:rPr>
          <w:rFonts w:hAnsi="宋体"/>
          <w:b/>
          <w:color w:val="auto"/>
          <w:sz w:val="22"/>
          <w:szCs w:val="22"/>
        </w:rPr>
      </w:pPr>
      <w:r>
        <w:rPr>
          <w:rFonts w:hint="eastAsia" w:hAnsi="宋体"/>
          <w:b/>
          <w:color w:val="auto"/>
          <w:sz w:val="22"/>
          <w:szCs w:val="22"/>
        </w:rPr>
        <w:t>2、在工程采购项目中，工程由中小企业承建，即工程施工单位为中小企业。</w:t>
      </w:r>
    </w:p>
    <w:p>
      <w:pPr>
        <w:spacing w:line="360" w:lineRule="auto"/>
        <w:ind w:firstLine="440" w:firstLineChars="200"/>
        <w:rPr>
          <w:rFonts w:hAnsi="宋体"/>
          <w:bCs/>
          <w:color w:val="auto"/>
          <w:sz w:val="22"/>
          <w:szCs w:val="22"/>
        </w:rPr>
      </w:pPr>
      <w:r>
        <w:rPr>
          <w:rFonts w:hint="eastAsia" w:hAnsi="宋体"/>
          <w:bCs/>
          <w:color w:val="auto"/>
          <w:sz w:val="22"/>
          <w:szCs w:val="22"/>
          <w:vertAlign w:val="superscript"/>
        </w:rPr>
        <w:t>1</w:t>
      </w:r>
      <w:r>
        <w:rPr>
          <w:rFonts w:hint="eastAsia" w:hAnsi="宋体"/>
          <w:bCs/>
          <w:color w:val="auto"/>
          <w:sz w:val="22"/>
          <w:szCs w:val="22"/>
        </w:rPr>
        <w:t>从业人员、营业收入、资产总额填报上一年度数据，无上一年度数据的新成立企业可不填报。</w:t>
      </w: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p>
    <w:p>
      <w:pPr>
        <w:jc w:val="left"/>
        <w:outlineLvl w:val="0"/>
        <w:rPr>
          <w:rFonts w:hAnsi="宋体" w:cs="宋体"/>
          <w:bCs/>
          <w:color w:val="auto"/>
          <w:sz w:val="24"/>
          <w:szCs w:val="22"/>
        </w:rPr>
      </w:pPr>
      <w:r>
        <w:rPr>
          <w:rFonts w:hint="eastAsia" w:hAnsi="宋体" w:cs="宋体"/>
          <w:bCs/>
          <w:color w:val="auto"/>
          <w:sz w:val="24"/>
          <w:szCs w:val="22"/>
        </w:rPr>
        <w:t>残疾人福利性单位声明函（格式）</w:t>
      </w:r>
    </w:p>
    <w:p>
      <w:pPr>
        <w:rPr>
          <w:rFonts w:hAnsi="宋体" w:cs="宋体"/>
          <w:color w:val="auto"/>
        </w:rPr>
      </w:pPr>
    </w:p>
    <w:p>
      <w:pPr>
        <w:snapToGrid w:val="0"/>
        <w:spacing w:line="360" w:lineRule="auto"/>
        <w:jc w:val="center"/>
        <w:outlineLvl w:val="0"/>
        <w:rPr>
          <w:rFonts w:hAnsi="宋体" w:cs="宋体"/>
          <w:bCs/>
          <w:color w:val="auto"/>
          <w:sz w:val="28"/>
          <w:szCs w:val="28"/>
        </w:rPr>
      </w:pPr>
    </w:p>
    <w:p>
      <w:pPr>
        <w:snapToGrid w:val="0"/>
        <w:spacing w:line="360" w:lineRule="auto"/>
        <w:jc w:val="center"/>
        <w:outlineLvl w:val="0"/>
        <w:rPr>
          <w:rFonts w:hAnsi="宋体" w:cs="宋体"/>
          <w:bCs/>
          <w:color w:val="auto"/>
          <w:sz w:val="28"/>
          <w:szCs w:val="28"/>
        </w:rPr>
      </w:pPr>
      <w:r>
        <w:rPr>
          <w:rFonts w:hint="eastAsia" w:hAnsi="宋体" w:cs="宋体"/>
          <w:bCs/>
          <w:color w:val="auto"/>
          <w:sz w:val="28"/>
          <w:szCs w:val="28"/>
        </w:rPr>
        <w:t>残疾人福利性单位声明函</w:t>
      </w:r>
    </w:p>
    <w:p>
      <w:pPr>
        <w:snapToGrid w:val="0"/>
        <w:spacing w:line="360" w:lineRule="auto"/>
        <w:jc w:val="center"/>
        <w:outlineLvl w:val="0"/>
        <w:rPr>
          <w:rFonts w:hAnsi="宋体" w:cs="宋体"/>
          <w:bCs/>
          <w:color w:val="auto"/>
          <w:sz w:val="28"/>
          <w:szCs w:val="28"/>
        </w:rPr>
      </w:pPr>
    </w:p>
    <w:p>
      <w:pPr>
        <w:spacing w:line="440" w:lineRule="exact"/>
        <w:ind w:firstLine="480" w:firstLineChars="200"/>
        <w:outlineLvl w:val="0"/>
        <w:rPr>
          <w:rFonts w:hAnsi="宋体" w:cs="宋体"/>
          <w:color w:val="auto"/>
          <w:sz w:val="24"/>
        </w:rPr>
      </w:pPr>
      <w:r>
        <w:rPr>
          <w:rFonts w:hint="eastAsia" w:hAnsi="宋体" w:cs="宋体"/>
          <w:color w:val="auto"/>
          <w:sz w:val="24"/>
        </w:rPr>
        <w:t>本公司郑重承诺，根据《财政部司法部中国残疾人联合会关于促进残疾人就业政府采购政策的通知》（财库（2017）141号）的规定，本单位为符合条件的残疾人福利性单位，且本单位参加单位的项目采购活动提供本企业制造的货物，由本公司承担工程、提供服务，或者提供其他残疾人福利性单位制造的货物（不包括使用非残疾人福利性单位注册商标的货物）。</w:t>
      </w:r>
    </w:p>
    <w:p>
      <w:pPr>
        <w:spacing w:line="440" w:lineRule="exact"/>
        <w:outlineLvl w:val="0"/>
        <w:rPr>
          <w:rFonts w:hAnsi="宋体" w:cs="宋体"/>
          <w:color w:val="auto"/>
          <w:sz w:val="24"/>
        </w:rPr>
      </w:pPr>
    </w:p>
    <w:p>
      <w:pPr>
        <w:spacing w:line="440" w:lineRule="exact"/>
        <w:ind w:firstLine="480" w:firstLineChars="200"/>
        <w:outlineLvl w:val="0"/>
        <w:rPr>
          <w:rFonts w:hAnsi="宋体" w:cs="宋体"/>
          <w:color w:val="auto"/>
          <w:sz w:val="24"/>
        </w:rPr>
      </w:pPr>
      <w:r>
        <w:rPr>
          <w:rFonts w:hint="eastAsia" w:hAnsi="宋体" w:cs="宋体"/>
          <w:color w:val="auto"/>
          <w:sz w:val="24"/>
        </w:rPr>
        <w:t>本公司对上述声明的真实性负责。如有虚假，将依法承担相应责任。</w:t>
      </w:r>
    </w:p>
    <w:p>
      <w:pPr>
        <w:spacing w:line="440" w:lineRule="exact"/>
        <w:outlineLvl w:val="0"/>
        <w:rPr>
          <w:rFonts w:hAnsi="宋体" w:cs="宋体"/>
          <w:color w:val="auto"/>
          <w:sz w:val="24"/>
        </w:rPr>
      </w:pPr>
    </w:p>
    <w:p>
      <w:pPr>
        <w:spacing w:line="440" w:lineRule="exact"/>
        <w:outlineLvl w:val="0"/>
        <w:rPr>
          <w:rFonts w:hAnsi="宋体" w:cs="宋体"/>
          <w:color w:val="auto"/>
          <w:sz w:val="24"/>
        </w:rPr>
      </w:pPr>
      <w:r>
        <w:rPr>
          <w:rFonts w:hint="eastAsia" w:hAnsi="宋体" w:cs="宋体"/>
          <w:color w:val="auto"/>
          <w:sz w:val="24"/>
        </w:rPr>
        <w:tab/>
      </w:r>
    </w:p>
    <w:p>
      <w:pPr>
        <w:spacing w:line="440" w:lineRule="exact"/>
        <w:outlineLvl w:val="0"/>
        <w:rPr>
          <w:rFonts w:hAnsi="宋体" w:cs="宋体"/>
          <w:color w:val="auto"/>
          <w:sz w:val="24"/>
        </w:rPr>
      </w:pPr>
    </w:p>
    <w:p>
      <w:pPr>
        <w:spacing w:line="440" w:lineRule="exact"/>
        <w:jc w:val="right"/>
        <w:outlineLvl w:val="0"/>
        <w:rPr>
          <w:rFonts w:hAnsi="宋体" w:cs="宋体"/>
          <w:color w:val="auto"/>
          <w:sz w:val="24"/>
        </w:rPr>
      </w:pPr>
      <w:r>
        <w:rPr>
          <w:rFonts w:hint="eastAsia" w:hAnsi="宋体" w:cs="宋体"/>
          <w:color w:val="auto"/>
          <w:sz w:val="24"/>
        </w:rPr>
        <w:t>企业名称（盖章）：</w:t>
      </w:r>
    </w:p>
    <w:p>
      <w:pPr>
        <w:spacing w:line="440" w:lineRule="exact"/>
        <w:jc w:val="right"/>
        <w:outlineLvl w:val="0"/>
        <w:rPr>
          <w:rFonts w:hAnsi="宋体" w:cs="宋体"/>
          <w:color w:val="auto"/>
          <w:sz w:val="24"/>
        </w:rPr>
      </w:pPr>
    </w:p>
    <w:p>
      <w:pPr>
        <w:spacing w:line="440" w:lineRule="exact"/>
        <w:jc w:val="right"/>
        <w:outlineLvl w:val="0"/>
        <w:rPr>
          <w:rFonts w:hAnsi="宋体" w:cs="宋体"/>
          <w:color w:val="auto"/>
          <w:sz w:val="24"/>
        </w:rPr>
      </w:pPr>
      <w:r>
        <w:rPr>
          <w:rFonts w:hint="eastAsia" w:hAnsi="宋体" w:cs="宋体"/>
          <w:color w:val="auto"/>
          <w:sz w:val="24"/>
        </w:rPr>
        <w:t>日　　　　　　期：</w:t>
      </w: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jc w:val="center"/>
        <w:rPr>
          <w:rFonts w:hAnsi="宋体" w:cs="宋体"/>
          <w:b/>
          <w:bCs/>
          <w:color w:val="auto"/>
          <w:sz w:val="32"/>
          <w:szCs w:val="32"/>
        </w:rPr>
      </w:pPr>
    </w:p>
    <w:p>
      <w:pPr>
        <w:pStyle w:val="2"/>
        <w:numPr>
          <w:ilvl w:val="4"/>
          <w:numId w:val="0"/>
        </w:numPr>
        <w:rPr>
          <w:rFonts w:ascii="宋体" w:hAnsi="宋体" w:eastAsia="宋体" w:cs="宋体"/>
          <w:color w:val="auto"/>
        </w:rPr>
      </w:pPr>
    </w:p>
    <w:p>
      <w:pPr>
        <w:rPr>
          <w:rFonts w:hAnsi="宋体" w:cs="宋体"/>
          <w:color w:val="auto"/>
        </w:rPr>
      </w:pPr>
    </w:p>
    <w:p>
      <w:pPr>
        <w:jc w:val="left"/>
        <w:outlineLvl w:val="0"/>
        <w:rPr>
          <w:rFonts w:hAnsi="宋体" w:cs="宋体"/>
          <w:bCs/>
          <w:color w:val="auto"/>
          <w:sz w:val="24"/>
          <w:szCs w:val="22"/>
        </w:rPr>
      </w:pPr>
    </w:p>
    <w:p>
      <w:pPr>
        <w:jc w:val="center"/>
        <w:outlineLvl w:val="0"/>
        <w:rPr>
          <w:rFonts w:hAnsi="宋体" w:cs="宋体"/>
          <w:color w:val="auto"/>
          <w:sz w:val="24"/>
        </w:rPr>
      </w:pPr>
      <w:r>
        <w:rPr>
          <w:rFonts w:hint="eastAsia" w:hAnsi="宋体" w:cs="宋体"/>
          <w:b/>
          <w:bCs/>
          <w:color w:val="auto"/>
          <w:sz w:val="30"/>
          <w:szCs w:val="30"/>
        </w:rPr>
        <w:t>（十）技术文件：</w:t>
      </w:r>
    </w:p>
    <w:p>
      <w:pPr>
        <w:jc w:val="center"/>
        <w:rPr>
          <w:rFonts w:hAnsi="宋体" w:cs="宋体"/>
          <w:color w:val="auto"/>
          <w:sz w:val="24"/>
        </w:rPr>
      </w:pPr>
    </w:p>
    <w:p>
      <w:pPr>
        <w:spacing w:line="360" w:lineRule="auto"/>
        <w:jc w:val="center"/>
        <w:rPr>
          <w:rFonts w:hAnsi="宋体" w:cs="宋体"/>
          <w:color w:val="auto"/>
          <w:sz w:val="24"/>
        </w:rPr>
      </w:pPr>
      <w:r>
        <w:rPr>
          <w:rFonts w:hint="eastAsia" w:hAnsi="宋体" w:cs="宋体"/>
          <w:b/>
          <w:bCs/>
          <w:color w:val="auto"/>
          <w:sz w:val="40"/>
          <w:szCs w:val="40"/>
        </w:rPr>
        <w:t>目  录</w:t>
      </w:r>
    </w:p>
    <w:p>
      <w:pPr>
        <w:spacing w:line="360" w:lineRule="auto"/>
        <w:ind w:firstLine="480" w:firstLineChars="200"/>
        <w:rPr>
          <w:color w:val="auto"/>
          <w:sz w:val="24"/>
        </w:rPr>
      </w:pPr>
      <w:r>
        <w:rPr>
          <w:color w:val="auto"/>
          <w:sz w:val="24"/>
        </w:rPr>
        <w:t>（</w:t>
      </w:r>
      <w:r>
        <w:rPr>
          <w:rFonts w:hint="eastAsia"/>
          <w:color w:val="auto"/>
          <w:sz w:val="24"/>
        </w:rPr>
        <w:t>1</w:t>
      </w:r>
      <w:r>
        <w:rPr>
          <w:color w:val="auto"/>
          <w:sz w:val="24"/>
        </w:rPr>
        <w:t>）</w:t>
      </w:r>
      <w:r>
        <w:rPr>
          <w:rFonts w:hint="eastAsia"/>
          <w:color w:val="auto"/>
          <w:sz w:val="24"/>
        </w:rPr>
        <w:t xml:space="preserve">总体概述：施工组织总体设想、方案针对性及施工段划分；  </w:t>
      </w:r>
    </w:p>
    <w:p>
      <w:pPr>
        <w:spacing w:line="360" w:lineRule="auto"/>
        <w:ind w:firstLine="480" w:firstLineChars="200"/>
        <w:rPr>
          <w:color w:val="auto"/>
          <w:sz w:val="24"/>
        </w:rPr>
      </w:pPr>
      <w:r>
        <w:rPr>
          <w:color w:val="auto"/>
          <w:sz w:val="24"/>
        </w:rPr>
        <w:t>（</w:t>
      </w:r>
      <w:r>
        <w:rPr>
          <w:rFonts w:hint="eastAsia"/>
          <w:color w:val="auto"/>
          <w:sz w:val="24"/>
        </w:rPr>
        <w:t>2</w:t>
      </w:r>
      <w:r>
        <w:rPr>
          <w:color w:val="auto"/>
          <w:sz w:val="24"/>
        </w:rPr>
        <w:t>）</w:t>
      </w:r>
      <w:r>
        <w:rPr>
          <w:rFonts w:hint="eastAsia"/>
          <w:color w:val="auto"/>
          <w:sz w:val="24"/>
        </w:rPr>
        <w:t xml:space="preserve">施工现场平面布置和临时设施、临时道路布置；  </w:t>
      </w:r>
    </w:p>
    <w:p>
      <w:pPr>
        <w:spacing w:line="360" w:lineRule="auto"/>
        <w:ind w:firstLine="480" w:firstLineChars="200"/>
        <w:rPr>
          <w:color w:val="auto"/>
          <w:sz w:val="24"/>
        </w:rPr>
      </w:pPr>
      <w:r>
        <w:rPr>
          <w:rFonts w:hint="eastAsia"/>
          <w:color w:val="auto"/>
          <w:sz w:val="24"/>
        </w:rPr>
        <w:t xml:space="preserve">（3）施工进度计划和各阶段进度的保证措施；  </w:t>
      </w:r>
    </w:p>
    <w:p>
      <w:pPr>
        <w:spacing w:line="360" w:lineRule="auto"/>
        <w:ind w:firstLine="480" w:firstLineChars="200"/>
        <w:rPr>
          <w:color w:val="auto"/>
          <w:sz w:val="24"/>
        </w:rPr>
      </w:pPr>
      <w:r>
        <w:rPr>
          <w:color w:val="auto"/>
          <w:sz w:val="24"/>
        </w:rPr>
        <w:t>（</w:t>
      </w:r>
      <w:r>
        <w:rPr>
          <w:rFonts w:hint="eastAsia"/>
          <w:color w:val="auto"/>
          <w:sz w:val="24"/>
        </w:rPr>
        <w:t>4</w:t>
      </w:r>
      <w:r>
        <w:rPr>
          <w:color w:val="auto"/>
          <w:sz w:val="24"/>
        </w:rPr>
        <w:t>）</w:t>
      </w:r>
      <w:r>
        <w:rPr>
          <w:rFonts w:hint="eastAsia"/>
          <w:color w:val="auto"/>
          <w:sz w:val="24"/>
        </w:rPr>
        <w:t xml:space="preserve">各分部分项工程的施工方案及质量保证措施； </w:t>
      </w:r>
    </w:p>
    <w:p>
      <w:pPr>
        <w:spacing w:line="360" w:lineRule="auto"/>
        <w:ind w:firstLine="480" w:firstLineChars="200"/>
        <w:rPr>
          <w:color w:val="auto"/>
          <w:sz w:val="24"/>
        </w:rPr>
      </w:pPr>
      <w:r>
        <w:rPr>
          <w:rFonts w:hint="eastAsia"/>
          <w:color w:val="auto"/>
          <w:sz w:val="24"/>
        </w:rPr>
        <w:t xml:space="preserve">（5）安全文明施工及环境保护措施； </w:t>
      </w:r>
    </w:p>
    <w:p>
      <w:pPr>
        <w:tabs>
          <w:tab w:val="left" w:pos="1050"/>
        </w:tabs>
        <w:spacing w:line="360" w:lineRule="auto"/>
        <w:ind w:firstLine="480" w:firstLineChars="200"/>
        <w:rPr>
          <w:rFonts w:hAnsi="宋体" w:cs="宋体"/>
          <w:color w:val="auto"/>
          <w:sz w:val="24"/>
        </w:rPr>
      </w:pPr>
      <w:r>
        <w:rPr>
          <w:color w:val="auto"/>
          <w:sz w:val="24"/>
        </w:rPr>
        <w:t>（</w:t>
      </w:r>
      <w:r>
        <w:rPr>
          <w:rFonts w:hint="eastAsia"/>
          <w:color w:val="auto"/>
          <w:sz w:val="24"/>
        </w:rPr>
        <w:t>6</w:t>
      </w:r>
      <w:r>
        <w:rPr>
          <w:color w:val="auto"/>
          <w:sz w:val="24"/>
        </w:rPr>
        <w:t>）</w:t>
      </w:r>
      <w:r>
        <w:rPr>
          <w:rFonts w:hint="eastAsia"/>
          <w:color w:val="auto"/>
          <w:sz w:val="24"/>
        </w:rPr>
        <w:t>劳动力、机械设备和材料投入计划。</w:t>
      </w:r>
    </w:p>
    <w:p>
      <w:pPr>
        <w:outlineLvl w:val="0"/>
        <w:rPr>
          <w:color w:val="auto"/>
        </w:rPr>
      </w:pPr>
      <w:r>
        <w:rPr>
          <w:rFonts w:hint="eastAsia" w:hAnsi="宋体" w:cs="宋体"/>
          <w:b/>
          <w:bCs/>
          <w:color w:val="auto"/>
          <w:sz w:val="24"/>
        </w:rPr>
        <w:t>（请按照以上所列顺序编制，有格式的按照提供的格式做，未提供格式的自拟格式）</w:t>
      </w:r>
    </w:p>
    <w:p>
      <w:pPr>
        <w:rPr>
          <w:color w:val="auto"/>
        </w:rPr>
      </w:pPr>
    </w:p>
    <w:sectPr>
      <w:footerReference r:id="rId12"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 New Roman PSMT">
    <w:altName w:val="宋体"/>
    <w:panose1 w:val="00000000000000000000"/>
    <w:charset w:val="86"/>
    <w:family w:val="auto"/>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410"/>
        <w:tab w:val="clear" w:pos="4153"/>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80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87"/>
      </w:tabs>
    </w:pPr>
    <w:r>
      <w:pict>
        <v:shape id="_x0000_s3073" o:spid="_x0000_s3073"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PlfknQAAAAAwEAAA8AAAAAAAAAAQAgAAAAIgAAAGRycy9kb3ducmV2&#10;LnhtbFBLAQIUABQAAAAIAIdO4kD3zUz8ywEAAJkDAAAOAAAAAAAAAAEAIAAAAB8BAABkcnMvZTJv&#10;RG9jLnhtbFBLBQYAAAAABgAGAFkBAABcBQAAAAA=&#1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94</w:t>
                </w:r>
                <w:r>
                  <w:fldChar w:fldCharType="end"/>
                </w: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87"/>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right="420"/>
      <w:rPr>
        <w:rFonts w:hAnsi="宋体" w:cs="宋体"/>
        <w:sz w:val="21"/>
        <w:szCs w:val="21"/>
        <w:u w:val="single"/>
      </w:rPr>
    </w:pPr>
    <w:r>
      <w:rPr>
        <w:rFonts w:hint="eastAsia" w:hAnsi="宋体" w:cs="宋体"/>
        <w:sz w:val="21"/>
        <w:szCs w:val="21"/>
        <w:u w:val="single"/>
      </w:rPr>
      <w:t>JYFZCGWX2022-006 无锡市精神卫生中心精神科病房楼供应室、制剂室、实验区配套工程</w:t>
    </w:r>
  </w:p>
  <w:p>
    <w:pPr>
      <w:widowControl/>
      <w:wordWrap w:val="0"/>
      <w:topLinePunct/>
      <w:snapToGrid w:val="0"/>
      <w:spacing w:line="360" w:lineRule="auto"/>
      <w:ind w:firstLine="316" w:firstLineChars="150"/>
      <w:jc w:val="right"/>
      <w:rPr>
        <w:rFonts w:hAnsi="宋体"/>
        <w:b/>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EB60B"/>
    <w:multiLevelType w:val="singleLevel"/>
    <w:tmpl w:val="939EB60B"/>
    <w:lvl w:ilvl="0" w:tentative="0">
      <w:start w:val="1"/>
      <w:numFmt w:val="decimal"/>
      <w:lvlText w:val="%1."/>
      <w:lvlJc w:val="left"/>
      <w:pPr>
        <w:tabs>
          <w:tab w:val="left" w:pos="312"/>
        </w:tabs>
      </w:pPr>
    </w:lvl>
  </w:abstractNum>
  <w:abstractNum w:abstractNumId="1">
    <w:nsid w:val="980C846E"/>
    <w:multiLevelType w:val="singleLevel"/>
    <w:tmpl w:val="980C846E"/>
    <w:lvl w:ilvl="0" w:tentative="0">
      <w:start w:val="1"/>
      <w:numFmt w:val="decimal"/>
      <w:pStyle w:val="236"/>
      <w:lvlText w:val="%1."/>
      <w:lvlJc w:val="left"/>
      <w:pPr>
        <w:tabs>
          <w:tab w:val="left" w:pos="420"/>
        </w:tabs>
        <w:ind w:left="845" w:hanging="425"/>
      </w:pPr>
      <w:rPr>
        <w:rFonts w:hint="default"/>
      </w:rPr>
    </w:lvl>
  </w:abstractNum>
  <w:abstractNum w:abstractNumId="2">
    <w:nsid w:val="F5ACB5F3"/>
    <w:multiLevelType w:val="singleLevel"/>
    <w:tmpl w:val="F5ACB5F3"/>
    <w:lvl w:ilvl="0" w:tentative="0">
      <w:start w:val="1"/>
      <w:numFmt w:val="decimal"/>
      <w:suff w:val="nothing"/>
      <w:lvlText w:val="%1）"/>
      <w:lvlJc w:val="left"/>
    </w:lvl>
  </w:abstractNum>
  <w:abstractNum w:abstractNumId="3">
    <w:nsid w:val="0000000B"/>
    <w:multiLevelType w:val="multilevel"/>
    <w:tmpl w:val="0000000B"/>
    <w:lvl w:ilvl="0" w:tentative="0">
      <w:start w:val="1"/>
      <w:numFmt w:val="japaneseCounting"/>
      <w:pStyle w:val="29"/>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pStyle w:val="241"/>
      <w:lvlText w:val="%1."/>
      <w:lvlJc w:val="left"/>
      <w:pPr>
        <w:tabs>
          <w:tab w:val="left" w:pos="1095"/>
        </w:tabs>
        <w:ind w:left="1095"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30"/>
        </w:tabs>
        <w:ind w:left="1130" w:hanging="420"/>
      </w:pPr>
      <w:rPr>
        <w:rFonts w:hint="eastAsia"/>
        <w:lang w:val="en-US"/>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00000011"/>
    <w:multiLevelType w:val="multilevel"/>
    <w:tmpl w:val="00000011"/>
    <w:lvl w:ilvl="0" w:tentative="0">
      <w:start w:val="1"/>
      <w:numFmt w:val="decimal"/>
      <w:pStyle w:val="110"/>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6">
    <w:nsid w:val="00000013"/>
    <w:multiLevelType w:val="multilevel"/>
    <w:tmpl w:val="00000013"/>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pStyle w:val="4"/>
      <w:isLgl/>
      <w:lvlText w:val="%1.%2"/>
      <w:lvlJc w:val="left"/>
      <w:pPr>
        <w:tabs>
          <w:tab w:val="left" w:pos="567"/>
        </w:tabs>
        <w:ind w:left="567" w:hanging="567"/>
      </w:pPr>
      <w:rPr>
        <w:rFonts w:hint="eastAsia"/>
      </w:rPr>
    </w:lvl>
    <w:lvl w:ilvl="2" w:tentative="0">
      <w:start w:val="1"/>
      <w:numFmt w:val="decimal"/>
      <w:pStyle w:val="278"/>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2"/>
      <w:isLgl/>
      <w:lvlText w:val="%1.%2.%3.%4.%5"/>
      <w:lvlJc w:val="left"/>
      <w:pPr>
        <w:tabs>
          <w:tab w:val="left" w:pos="1080"/>
        </w:tabs>
        <w:ind w:left="992" w:hanging="992"/>
      </w:pPr>
      <w:rPr>
        <w:rFonts w:hint="eastAsia"/>
      </w:rPr>
    </w:lvl>
    <w:lvl w:ilvl="5" w:tentative="0">
      <w:start w:val="1"/>
      <w:numFmt w:val="decimal"/>
      <w:pStyle w:val="6"/>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4"/>
    <w:multiLevelType w:val="multilevel"/>
    <w:tmpl w:val="0000001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0000015"/>
    <w:multiLevelType w:val="multilevel"/>
    <w:tmpl w:val="00000015"/>
    <w:lvl w:ilvl="0" w:tentative="0">
      <w:start w:val="7"/>
      <w:numFmt w:val="japaneseCounting"/>
      <w:pStyle w:val="21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D"/>
    <w:multiLevelType w:val="singleLevel"/>
    <w:tmpl w:val="0000001D"/>
    <w:lvl w:ilvl="0" w:tentative="0">
      <w:start w:val="1"/>
      <w:numFmt w:val="decimal"/>
      <w:pStyle w:val="34"/>
      <w:lvlText w:val="%1．"/>
      <w:lvlJc w:val="left"/>
      <w:pPr>
        <w:tabs>
          <w:tab w:val="left" w:pos="3360"/>
        </w:tabs>
        <w:ind w:left="3360" w:hanging="420"/>
      </w:pPr>
      <w:rPr>
        <w:rFonts w:hint="eastAsia"/>
      </w:rPr>
    </w:lvl>
  </w:abstractNum>
  <w:abstractNum w:abstractNumId="10">
    <w:nsid w:val="00000021"/>
    <w:multiLevelType w:val="singleLevel"/>
    <w:tmpl w:val="00000021"/>
    <w:lvl w:ilvl="0" w:tentative="0">
      <w:start w:val="1"/>
      <w:numFmt w:val="decimal"/>
      <w:pStyle w:val="103"/>
      <w:lvlText w:val="%1．"/>
      <w:lvlJc w:val="left"/>
      <w:pPr>
        <w:tabs>
          <w:tab w:val="left" w:pos="552"/>
        </w:tabs>
        <w:ind w:left="552" w:hanging="420"/>
      </w:pPr>
      <w:rPr>
        <w:rFonts w:hint="eastAsia"/>
      </w:rPr>
    </w:lvl>
  </w:abstractNum>
  <w:abstractNum w:abstractNumId="11">
    <w:nsid w:val="037D7738"/>
    <w:multiLevelType w:val="multilevel"/>
    <w:tmpl w:val="037D7738"/>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4350D5"/>
    <w:multiLevelType w:val="multilevel"/>
    <w:tmpl w:val="074350D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94670F0"/>
    <w:multiLevelType w:val="multilevel"/>
    <w:tmpl w:val="094670F0"/>
    <w:lvl w:ilvl="0" w:tentative="0">
      <w:start w:val="1"/>
      <w:numFmt w:val="decimal"/>
      <w:lvlText w:val="%1）"/>
      <w:lvlJc w:val="left"/>
      <w:pPr>
        <w:ind w:left="36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B3B8953"/>
    <w:multiLevelType w:val="singleLevel"/>
    <w:tmpl w:val="0B3B8953"/>
    <w:lvl w:ilvl="0" w:tentative="0">
      <w:start w:val="1"/>
      <w:numFmt w:val="lowerLetter"/>
      <w:lvlText w:val="%1."/>
      <w:lvlJc w:val="left"/>
      <w:pPr>
        <w:ind w:left="425" w:hanging="425"/>
      </w:pPr>
      <w:rPr>
        <w:rFonts w:hint="default"/>
      </w:rPr>
    </w:lvl>
  </w:abstractNum>
  <w:abstractNum w:abstractNumId="15">
    <w:nsid w:val="121443D1"/>
    <w:multiLevelType w:val="multilevel"/>
    <w:tmpl w:val="121443D1"/>
    <w:lvl w:ilvl="0" w:tentative="0">
      <w:start w:val="1"/>
      <w:numFmt w:val="decimal"/>
      <w:lvlText w:val="%1）"/>
      <w:lvlJc w:val="left"/>
      <w:pPr>
        <w:ind w:left="786" w:hanging="360"/>
      </w:pPr>
      <w:rPr>
        <w:rFonts w:hint="default"/>
      </w:rPr>
    </w:lvl>
    <w:lvl w:ilvl="1" w:tentative="0">
      <w:start w:val="1"/>
      <w:numFmt w:val="lowerLetter"/>
      <w:pStyle w:val="242"/>
      <w:lvlText w:val="%2)"/>
      <w:lvlJc w:val="left"/>
      <w:pPr>
        <w:ind w:left="1285" w:hanging="420"/>
      </w:pPr>
    </w:lvl>
    <w:lvl w:ilvl="2" w:tentative="0">
      <w:start w:val="1"/>
      <w:numFmt w:val="lowerRoman"/>
      <w:lvlText w:val="%3."/>
      <w:lvlJc w:val="right"/>
      <w:pPr>
        <w:ind w:left="1705" w:hanging="420"/>
      </w:pPr>
    </w:lvl>
    <w:lvl w:ilvl="3" w:tentative="0">
      <w:start w:val="1"/>
      <w:numFmt w:val="decimal"/>
      <w:lvlText w:val="%4."/>
      <w:lvlJc w:val="left"/>
      <w:pPr>
        <w:ind w:left="2125" w:hanging="420"/>
      </w:pPr>
    </w:lvl>
    <w:lvl w:ilvl="4" w:tentative="0">
      <w:start w:val="1"/>
      <w:numFmt w:val="lowerLetter"/>
      <w:lvlText w:val="%5)"/>
      <w:lvlJc w:val="left"/>
      <w:pPr>
        <w:ind w:left="2545" w:hanging="420"/>
      </w:pPr>
    </w:lvl>
    <w:lvl w:ilvl="5" w:tentative="0">
      <w:start w:val="1"/>
      <w:numFmt w:val="lowerRoman"/>
      <w:lvlText w:val="%6."/>
      <w:lvlJc w:val="right"/>
      <w:pPr>
        <w:ind w:left="2965" w:hanging="420"/>
      </w:pPr>
    </w:lvl>
    <w:lvl w:ilvl="6" w:tentative="0">
      <w:start w:val="1"/>
      <w:numFmt w:val="decimal"/>
      <w:lvlText w:val="%7."/>
      <w:lvlJc w:val="left"/>
      <w:pPr>
        <w:ind w:left="3385" w:hanging="420"/>
      </w:pPr>
    </w:lvl>
    <w:lvl w:ilvl="7" w:tentative="0">
      <w:start w:val="1"/>
      <w:numFmt w:val="lowerLetter"/>
      <w:lvlText w:val="%8)"/>
      <w:lvlJc w:val="left"/>
      <w:pPr>
        <w:ind w:left="3805" w:hanging="420"/>
      </w:pPr>
    </w:lvl>
    <w:lvl w:ilvl="8" w:tentative="0">
      <w:start w:val="1"/>
      <w:numFmt w:val="lowerRoman"/>
      <w:lvlText w:val="%9."/>
      <w:lvlJc w:val="right"/>
      <w:pPr>
        <w:ind w:left="4225" w:hanging="420"/>
      </w:pPr>
    </w:lvl>
  </w:abstractNum>
  <w:abstractNum w:abstractNumId="16">
    <w:nsid w:val="1447204A"/>
    <w:multiLevelType w:val="singleLevel"/>
    <w:tmpl w:val="1447204A"/>
    <w:lvl w:ilvl="0" w:tentative="0">
      <w:start w:val="1"/>
      <w:numFmt w:val="decimal"/>
      <w:suff w:val="space"/>
      <w:lvlText w:val="%1)"/>
      <w:lvlJc w:val="left"/>
    </w:lvl>
  </w:abstractNum>
  <w:abstractNum w:abstractNumId="17">
    <w:nsid w:val="19B90677"/>
    <w:multiLevelType w:val="multilevel"/>
    <w:tmpl w:val="19B90677"/>
    <w:lvl w:ilvl="0" w:tentative="0">
      <w:start w:val="1"/>
      <w:numFmt w:val="decimalEnclosedCircleChinese"/>
      <w:lvlText w:val="%1　"/>
      <w:lvlJc w:val="left"/>
      <w:pPr>
        <w:ind w:left="1271"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1A09D297"/>
    <w:multiLevelType w:val="singleLevel"/>
    <w:tmpl w:val="1A09D297"/>
    <w:lvl w:ilvl="0" w:tentative="0">
      <w:start w:val="4"/>
      <w:numFmt w:val="chineseCounting"/>
      <w:suff w:val="nothing"/>
      <w:lvlText w:val="%1．"/>
      <w:lvlJc w:val="left"/>
      <w:rPr>
        <w:rFonts w:hint="eastAsia"/>
      </w:rPr>
    </w:lvl>
  </w:abstractNum>
  <w:abstractNum w:abstractNumId="19">
    <w:nsid w:val="1BAC391B"/>
    <w:multiLevelType w:val="multilevel"/>
    <w:tmpl w:val="1BAC391B"/>
    <w:lvl w:ilvl="0" w:tentative="0">
      <w:start w:val="1"/>
      <w:numFmt w:val="lowerLetter"/>
      <w:lvlText w:val="%1、"/>
      <w:lvlJc w:val="left"/>
      <w:pPr>
        <w:ind w:left="562" w:hanging="420"/>
      </w:pPr>
      <w:rPr>
        <w:rFonts w:hint="default"/>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20">
    <w:nsid w:val="24F457ED"/>
    <w:multiLevelType w:val="multilevel"/>
    <w:tmpl w:val="24F45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7436DC"/>
    <w:multiLevelType w:val="multilevel"/>
    <w:tmpl w:val="277436DC"/>
    <w:lvl w:ilvl="0" w:tentative="0">
      <w:start w:val="1"/>
      <w:numFmt w:val="lowerLetter"/>
      <w:lvlText w:val="%1."/>
      <w:lvlJc w:val="left"/>
      <w:pPr>
        <w:ind w:left="562" w:hanging="420"/>
      </w:pPr>
      <w:rPr>
        <w:rFonts w:hint="eastAsia"/>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2">
    <w:nsid w:val="34945E9E"/>
    <w:multiLevelType w:val="multilevel"/>
    <w:tmpl w:val="34945E9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4F30E8B"/>
    <w:multiLevelType w:val="singleLevel"/>
    <w:tmpl w:val="34F30E8B"/>
    <w:lvl w:ilvl="0" w:tentative="0">
      <w:start w:val="1"/>
      <w:numFmt w:val="decimal"/>
      <w:suff w:val="space"/>
      <w:lvlText w:val="%1)"/>
      <w:lvlJc w:val="left"/>
    </w:lvl>
  </w:abstractNum>
  <w:abstractNum w:abstractNumId="24">
    <w:nsid w:val="35843897"/>
    <w:multiLevelType w:val="multilevel"/>
    <w:tmpl w:val="35843897"/>
    <w:lvl w:ilvl="0" w:tentative="0">
      <w:start w:val="1"/>
      <w:numFmt w:val="lowerLetter"/>
      <w:lvlText w:val="%1、"/>
      <w:lvlJc w:val="left"/>
      <w:pPr>
        <w:ind w:left="562" w:hanging="420"/>
      </w:pPr>
      <w:rPr>
        <w:rFonts w:hint="default"/>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25">
    <w:nsid w:val="35C74F64"/>
    <w:multiLevelType w:val="multilevel"/>
    <w:tmpl w:val="35C74F64"/>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6E64A4E"/>
    <w:multiLevelType w:val="multilevel"/>
    <w:tmpl w:val="36E64A4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78659AB"/>
    <w:multiLevelType w:val="multilevel"/>
    <w:tmpl w:val="378659AB"/>
    <w:lvl w:ilvl="0" w:tentative="0">
      <w:start w:val="1"/>
      <w:numFmt w:val="decimal"/>
      <w:lvlText w:val="%1."/>
      <w:lvlJc w:val="left"/>
      <w:pPr>
        <w:ind w:left="405" w:hanging="405"/>
      </w:pPr>
      <w:rPr>
        <w:rFonts w:cs="Times New Roman"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B683662"/>
    <w:multiLevelType w:val="multilevel"/>
    <w:tmpl w:val="3B6836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1203889"/>
    <w:multiLevelType w:val="multilevel"/>
    <w:tmpl w:val="4120388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1DC48F5"/>
    <w:multiLevelType w:val="multilevel"/>
    <w:tmpl w:val="41DC48F5"/>
    <w:lvl w:ilvl="0" w:tentative="0">
      <w:start w:val="1"/>
      <w:numFmt w:val="decimal"/>
      <w:pStyle w:val="105"/>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31">
    <w:nsid w:val="43682815"/>
    <w:multiLevelType w:val="multilevel"/>
    <w:tmpl w:val="4368281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3751EE9"/>
    <w:multiLevelType w:val="multilevel"/>
    <w:tmpl w:val="43751EE9"/>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4B506FB"/>
    <w:multiLevelType w:val="multilevel"/>
    <w:tmpl w:val="44B506FB"/>
    <w:lvl w:ilvl="0" w:tentative="0">
      <w:start w:val="1"/>
      <w:numFmt w:val="decimalEnclosedCircleChinese"/>
      <w:lvlText w:val="%1　"/>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44CD2AA6"/>
    <w:multiLevelType w:val="multilevel"/>
    <w:tmpl w:val="44CD2AA6"/>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77F1D9D"/>
    <w:multiLevelType w:val="multilevel"/>
    <w:tmpl w:val="477F1D9D"/>
    <w:lvl w:ilvl="0" w:tentative="0">
      <w:start w:val="1"/>
      <w:numFmt w:val="decimal"/>
      <w:pStyle w:val="20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89F4BCE"/>
    <w:multiLevelType w:val="multilevel"/>
    <w:tmpl w:val="489F4BCE"/>
    <w:lvl w:ilvl="0" w:tentative="0">
      <w:start w:val="1"/>
      <w:numFmt w:val="decimal"/>
      <w:lvlText w:val="%1."/>
      <w:lvlJc w:val="left"/>
      <w:pPr>
        <w:ind w:left="782" w:hanging="362"/>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1B1459E"/>
    <w:multiLevelType w:val="multilevel"/>
    <w:tmpl w:val="51B1459E"/>
    <w:lvl w:ilvl="0" w:tentative="0">
      <w:start w:val="2"/>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C7A1082"/>
    <w:multiLevelType w:val="multilevel"/>
    <w:tmpl w:val="5C7A108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D467F41"/>
    <w:multiLevelType w:val="multilevel"/>
    <w:tmpl w:val="5D467F41"/>
    <w:lvl w:ilvl="0" w:tentative="0">
      <w:start w:val="6"/>
      <w:numFmt w:val="decimal"/>
      <w:lvlText w:val="%1）"/>
      <w:lvlJc w:val="left"/>
      <w:pPr>
        <w:ind w:left="883" w:hanging="360"/>
      </w:pPr>
      <w:rPr>
        <w:rFonts w:hint="default"/>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40">
    <w:nsid w:val="5E9F41B6"/>
    <w:multiLevelType w:val="multilevel"/>
    <w:tmpl w:val="5E9F41B6"/>
    <w:lvl w:ilvl="0" w:tentative="0">
      <w:start w:val="1"/>
      <w:numFmt w:val="lowerLetter"/>
      <w:lvlText w:val="%1."/>
      <w:lvlJc w:val="left"/>
      <w:pPr>
        <w:ind w:left="562" w:hanging="420"/>
      </w:pPr>
      <w:rPr>
        <w:rFonts w:hint="eastAsia"/>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41">
    <w:nsid w:val="6086465C"/>
    <w:multiLevelType w:val="multilevel"/>
    <w:tmpl w:val="6086465C"/>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30C1BC3"/>
    <w:multiLevelType w:val="multilevel"/>
    <w:tmpl w:val="630C1BC3"/>
    <w:lvl w:ilvl="0" w:tentative="0">
      <w:start w:val="1"/>
      <w:numFmt w:val="decimal"/>
      <w:pStyle w:val="111"/>
      <w:lvlText w:val="%1."/>
      <w:lvlJc w:val="left"/>
      <w:pPr>
        <w:tabs>
          <w:tab w:val="left" w:pos="510"/>
        </w:tabs>
        <w:ind w:left="510" w:hanging="360"/>
      </w:pPr>
      <w:rPr>
        <w:rFonts w:hint="eastAsia"/>
      </w:rPr>
    </w:lvl>
    <w:lvl w:ilvl="1" w:tentative="0">
      <w:start w:val="1"/>
      <w:numFmt w:val="decimal"/>
      <w:pStyle w:val="113"/>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pStyle w:val="112"/>
      <w:lvlText w:val="（%4）"/>
      <w:lvlJc w:val="left"/>
      <w:pPr>
        <w:tabs>
          <w:tab w:val="left" w:pos="2405"/>
        </w:tabs>
        <w:ind w:left="2405"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43">
    <w:nsid w:val="6565317E"/>
    <w:multiLevelType w:val="multilevel"/>
    <w:tmpl w:val="6565317E"/>
    <w:lvl w:ilvl="0" w:tentative="0">
      <w:start w:val="1"/>
      <w:numFmt w:val="decimalEnclosedCircleChinese"/>
      <w:lvlText w:val="%1　"/>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4">
    <w:nsid w:val="6A352ED1"/>
    <w:multiLevelType w:val="singleLevel"/>
    <w:tmpl w:val="6A352ED1"/>
    <w:lvl w:ilvl="0" w:tentative="0">
      <w:start w:val="1"/>
      <w:numFmt w:val="decimal"/>
      <w:suff w:val="space"/>
      <w:lvlText w:val="%1)"/>
      <w:lvlJc w:val="left"/>
    </w:lvl>
  </w:abstractNum>
  <w:abstractNum w:abstractNumId="45">
    <w:nsid w:val="6B380A3D"/>
    <w:multiLevelType w:val="multilevel"/>
    <w:tmpl w:val="6B380A3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BB83714"/>
    <w:multiLevelType w:val="multilevel"/>
    <w:tmpl w:val="6BB83714"/>
    <w:lvl w:ilvl="0" w:tentative="0">
      <w:start w:val="1"/>
      <w:numFmt w:val="lowerLetter"/>
      <w:lvlText w:val="%1、"/>
      <w:lvlJc w:val="left"/>
      <w:pPr>
        <w:ind w:left="562" w:hanging="420"/>
      </w:pPr>
      <w:rPr>
        <w:rFonts w:hint="default"/>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7">
    <w:nsid w:val="71593639"/>
    <w:multiLevelType w:val="multilevel"/>
    <w:tmpl w:val="71593639"/>
    <w:lvl w:ilvl="0" w:tentative="0">
      <w:start w:val="1"/>
      <w:numFmt w:val="decimal"/>
      <w:lvlText w:val="%1"/>
      <w:lvlJc w:val="left"/>
      <w:pPr>
        <w:ind w:left="555" w:hanging="55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8">
    <w:nsid w:val="71DB1EA1"/>
    <w:multiLevelType w:val="multilevel"/>
    <w:tmpl w:val="71DB1EA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2A203F7"/>
    <w:multiLevelType w:val="multilevel"/>
    <w:tmpl w:val="72A203F7"/>
    <w:lvl w:ilvl="0" w:tentative="0">
      <w:start w:val="1"/>
      <w:numFmt w:val="lowerLetter"/>
      <w:lvlText w:val="%1."/>
      <w:lvlJc w:val="left"/>
      <w:pPr>
        <w:ind w:left="360" w:hanging="360"/>
      </w:pPr>
      <w:rPr>
        <w:rFonts w:hint="eastAsia"/>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0">
    <w:nsid w:val="756A3AD5"/>
    <w:multiLevelType w:val="multilevel"/>
    <w:tmpl w:val="756A3AD5"/>
    <w:lvl w:ilvl="0" w:tentative="0">
      <w:start w:val="1"/>
      <w:numFmt w:val="decimal"/>
      <w:lvlText w:val="%1）"/>
      <w:lvlJc w:val="left"/>
      <w:pPr>
        <w:ind w:left="780" w:hanging="360"/>
      </w:pPr>
      <w:rPr>
        <w:rFonts w:hint="default"/>
      </w:rPr>
    </w:lvl>
    <w:lvl w:ilvl="1" w:tentative="0">
      <w:start w:val="1"/>
      <w:numFmt w:val="lowerLetter"/>
      <w:pStyle w:val="26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A166494"/>
    <w:multiLevelType w:val="multilevel"/>
    <w:tmpl w:val="7A16649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A944ED8"/>
    <w:multiLevelType w:val="singleLevel"/>
    <w:tmpl w:val="7A944ED8"/>
    <w:lvl w:ilvl="0" w:tentative="0">
      <w:start w:val="1"/>
      <w:numFmt w:val="decimal"/>
      <w:suff w:val="space"/>
      <w:lvlText w:val="%1)"/>
      <w:lvlJc w:val="left"/>
    </w:lvl>
  </w:abstractNum>
  <w:num w:numId="1">
    <w:abstractNumId w:val="6"/>
  </w:num>
  <w:num w:numId="2">
    <w:abstractNumId w:val="3"/>
  </w:num>
  <w:num w:numId="3">
    <w:abstractNumId w:val="9"/>
  </w:num>
  <w:num w:numId="4">
    <w:abstractNumId w:val="10"/>
  </w:num>
  <w:num w:numId="5">
    <w:abstractNumId w:val="30"/>
  </w:num>
  <w:num w:numId="6">
    <w:abstractNumId w:val="5"/>
  </w:num>
  <w:num w:numId="7">
    <w:abstractNumId w:val="42"/>
  </w:num>
  <w:num w:numId="8">
    <w:abstractNumId w:val="35"/>
  </w:num>
  <w:num w:numId="9">
    <w:abstractNumId w:val="8"/>
  </w:num>
  <w:num w:numId="10">
    <w:abstractNumId w:val="1"/>
  </w:num>
  <w:num w:numId="11">
    <w:abstractNumId w:val="4"/>
  </w:num>
  <w:num w:numId="12">
    <w:abstractNumId w:val="15"/>
  </w:num>
  <w:num w:numId="13">
    <w:abstractNumId w:val="50"/>
  </w:num>
  <w:num w:numId="14">
    <w:abstractNumId w:val="2"/>
  </w:num>
  <w:num w:numId="15">
    <w:abstractNumId w:val="38"/>
  </w:num>
  <w:num w:numId="16">
    <w:abstractNumId w:val="29"/>
  </w:num>
  <w:num w:numId="17">
    <w:abstractNumId w:val="13"/>
  </w:num>
  <w:num w:numId="18">
    <w:abstractNumId w:val="44"/>
  </w:num>
  <w:num w:numId="19">
    <w:abstractNumId w:val="23"/>
  </w:num>
  <w:num w:numId="20">
    <w:abstractNumId w:val="16"/>
  </w:num>
  <w:num w:numId="21">
    <w:abstractNumId w:val="52"/>
  </w:num>
  <w:num w:numId="22">
    <w:abstractNumId w:val="37"/>
  </w:num>
  <w:num w:numId="23">
    <w:abstractNumId w:val="21"/>
  </w:num>
  <w:num w:numId="24">
    <w:abstractNumId w:val="40"/>
  </w:num>
  <w:num w:numId="25">
    <w:abstractNumId w:val="49"/>
  </w:num>
  <w:num w:numId="26">
    <w:abstractNumId w:val="43"/>
  </w:num>
  <w:num w:numId="27">
    <w:abstractNumId w:val="33"/>
  </w:num>
  <w:num w:numId="28">
    <w:abstractNumId w:val="17"/>
  </w:num>
  <w:num w:numId="29">
    <w:abstractNumId w:val="14"/>
  </w:num>
  <w:num w:numId="30">
    <w:abstractNumId w:val="46"/>
  </w:num>
  <w:num w:numId="31">
    <w:abstractNumId w:val="24"/>
  </w:num>
  <w:num w:numId="32">
    <w:abstractNumId w:val="19"/>
  </w:num>
  <w:num w:numId="33">
    <w:abstractNumId w:val="25"/>
  </w:num>
  <w:num w:numId="34">
    <w:abstractNumId w:val="26"/>
  </w:num>
  <w:num w:numId="35">
    <w:abstractNumId w:val="45"/>
  </w:num>
  <w:num w:numId="36">
    <w:abstractNumId w:val="22"/>
  </w:num>
  <w:num w:numId="37">
    <w:abstractNumId w:val="51"/>
  </w:num>
  <w:num w:numId="38">
    <w:abstractNumId w:val="12"/>
  </w:num>
  <w:num w:numId="39">
    <w:abstractNumId w:val="31"/>
  </w:num>
  <w:num w:numId="40">
    <w:abstractNumId w:val="0"/>
  </w:num>
  <w:num w:numId="41">
    <w:abstractNumId w:val="7"/>
  </w:num>
  <w:num w:numId="42">
    <w:abstractNumId w:val="28"/>
  </w:num>
  <w:num w:numId="43">
    <w:abstractNumId w:val="20"/>
  </w:num>
  <w:num w:numId="44">
    <w:abstractNumId w:val="27"/>
  </w:num>
  <w:num w:numId="45">
    <w:abstractNumId w:val="11"/>
  </w:num>
  <w:num w:numId="46">
    <w:abstractNumId w:val="47"/>
  </w:num>
  <w:num w:numId="47">
    <w:abstractNumId w:val="41"/>
  </w:num>
  <w:num w:numId="48">
    <w:abstractNumId w:val="18"/>
  </w:num>
  <w:num w:numId="49">
    <w:abstractNumId w:val="48"/>
  </w:num>
  <w:num w:numId="50">
    <w:abstractNumId w:val="34"/>
  </w:num>
  <w:num w:numId="51">
    <w:abstractNumId w:val="39"/>
  </w:num>
  <w:num w:numId="52">
    <w:abstractNumId w:val="32"/>
  </w:num>
  <w:num w:numId="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75CE8"/>
    <w:rsid w:val="000070C5"/>
    <w:rsid w:val="00026106"/>
    <w:rsid w:val="000426F4"/>
    <w:rsid w:val="00050BC0"/>
    <w:rsid w:val="00060A82"/>
    <w:rsid w:val="000610BE"/>
    <w:rsid w:val="00063B5D"/>
    <w:rsid w:val="00067133"/>
    <w:rsid w:val="00075CE8"/>
    <w:rsid w:val="000764E8"/>
    <w:rsid w:val="00085814"/>
    <w:rsid w:val="0008639D"/>
    <w:rsid w:val="00090928"/>
    <w:rsid w:val="00090C94"/>
    <w:rsid w:val="000957D8"/>
    <w:rsid w:val="000A0F75"/>
    <w:rsid w:val="000A1F0C"/>
    <w:rsid w:val="000A48B4"/>
    <w:rsid w:val="000E3FB1"/>
    <w:rsid w:val="000E6A8E"/>
    <w:rsid w:val="000F5F4F"/>
    <w:rsid w:val="00122E25"/>
    <w:rsid w:val="0012394F"/>
    <w:rsid w:val="0012452C"/>
    <w:rsid w:val="0013736D"/>
    <w:rsid w:val="00140258"/>
    <w:rsid w:val="00157CCD"/>
    <w:rsid w:val="001A299D"/>
    <w:rsid w:val="001B55AC"/>
    <w:rsid w:val="001C33B8"/>
    <w:rsid w:val="001D05F6"/>
    <w:rsid w:val="001D2241"/>
    <w:rsid w:val="001E50F4"/>
    <w:rsid w:val="00210E3A"/>
    <w:rsid w:val="00293D19"/>
    <w:rsid w:val="002A5C2B"/>
    <w:rsid w:val="002A619F"/>
    <w:rsid w:val="002B1930"/>
    <w:rsid w:val="002B4E6C"/>
    <w:rsid w:val="00303EA6"/>
    <w:rsid w:val="00321426"/>
    <w:rsid w:val="0035272E"/>
    <w:rsid w:val="0036180F"/>
    <w:rsid w:val="003620B6"/>
    <w:rsid w:val="00365040"/>
    <w:rsid w:val="003A26A6"/>
    <w:rsid w:val="003C62DA"/>
    <w:rsid w:val="003E190B"/>
    <w:rsid w:val="003E6FFC"/>
    <w:rsid w:val="003E73B3"/>
    <w:rsid w:val="003F18BF"/>
    <w:rsid w:val="003F3163"/>
    <w:rsid w:val="004426C3"/>
    <w:rsid w:val="0045675A"/>
    <w:rsid w:val="0047447E"/>
    <w:rsid w:val="00477CF9"/>
    <w:rsid w:val="0048176E"/>
    <w:rsid w:val="00481D13"/>
    <w:rsid w:val="00486C1B"/>
    <w:rsid w:val="00490897"/>
    <w:rsid w:val="00497E3C"/>
    <w:rsid w:val="004A14F0"/>
    <w:rsid w:val="004B16F7"/>
    <w:rsid w:val="004F06BC"/>
    <w:rsid w:val="00532E82"/>
    <w:rsid w:val="005400C6"/>
    <w:rsid w:val="005A51D8"/>
    <w:rsid w:val="005B0813"/>
    <w:rsid w:val="005C0DEC"/>
    <w:rsid w:val="005E4FE2"/>
    <w:rsid w:val="005F40E2"/>
    <w:rsid w:val="006017E3"/>
    <w:rsid w:val="00610405"/>
    <w:rsid w:val="006423AE"/>
    <w:rsid w:val="00652EBE"/>
    <w:rsid w:val="00654997"/>
    <w:rsid w:val="00664B40"/>
    <w:rsid w:val="006854B0"/>
    <w:rsid w:val="006900FA"/>
    <w:rsid w:val="00697DEA"/>
    <w:rsid w:val="006A723C"/>
    <w:rsid w:val="006B764A"/>
    <w:rsid w:val="006B7F92"/>
    <w:rsid w:val="006C27EE"/>
    <w:rsid w:val="006C6F31"/>
    <w:rsid w:val="006F3D77"/>
    <w:rsid w:val="00717FCD"/>
    <w:rsid w:val="007227B5"/>
    <w:rsid w:val="0072556B"/>
    <w:rsid w:val="007325CE"/>
    <w:rsid w:val="00733C5A"/>
    <w:rsid w:val="00747286"/>
    <w:rsid w:val="007570BD"/>
    <w:rsid w:val="00763D05"/>
    <w:rsid w:val="00766EC7"/>
    <w:rsid w:val="007676AC"/>
    <w:rsid w:val="00791E77"/>
    <w:rsid w:val="007B1E71"/>
    <w:rsid w:val="007D687C"/>
    <w:rsid w:val="007E7892"/>
    <w:rsid w:val="007F01B1"/>
    <w:rsid w:val="007F4B8C"/>
    <w:rsid w:val="007F6303"/>
    <w:rsid w:val="008048DD"/>
    <w:rsid w:val="00805B92"/>
    <w:rsid w:val="008179F8"/>
    <w:rsid w:val="00831346"/>
    <w:rsid w:val="00831682"/>
    <w:rsid w:val="00844133"/>
    <w:rsid w:val="0085278E"/>
    <w:rsid w:val="00855339"/>
    <w:rsid w:val="00860842"/>
    <w:rsid w:val="00863A66"/>
    <w:rsid w:val="008721AB"/>
    <w:rsid w:val="00885C2C"/>
    <w:rsid w:val="00891D08"/>
    <w:rsid w:val="008D03FD"/>
    <w:rsid w:val="008D7AE8"/>
    <w:rsid w:val="008F13CD"/>
    <w:rsid w:val="008F618A"/>
    <w:rsid w:val="00916D1C"/>
    <w:rsid w:val="00942D88"/>
    <w:rsid w:val="009705CA"/>
    <w:rsid w:val="0099172E"/>
    <w:rsid w:val="009963A5"/>
    <w:rsid w:val="009D2741"/>
    <w:rsid w:val="009E5A78"/>
    <w:rsid w:val="009E6AD2"/>
    <w:rsid w:val="00A1062B"/>
    <w:rsid w:val="00A71B30"/>
    <w:rsid w:val="00A90943"/>
    <w:rsid w:val="00AA2304"/>
    <w:rsid w:val="00AA3150"/>
    <w:rsid w:val="00AB4807"/>
    <w:rsid w:val="00AC102A"/>
    <w:rsid w:val="00AC134A"/>
    <w:rsid w:val="00AC3AB1"/>
    <w:rsid w:val="00AC749E"/>
    <w:rsid w:val="00AD4991"/>
    <w:rsid w:val="00AD65A2"/>
    <w:rsid w:val="00AE1ECA"/>
    <w:rsid w:val="00AF37E1"/>
    <w:rsid w:val="00B15A9E"/>
    <w:rsid w:val="00B5340A"/>
    <w:rsid w:val="00B64C10"/>
    <w:rsid w:val="00B8276F"/>
    <w:rsid w:val="00B86CEA"/>
    <w:rsid w:val="00BA7ED8"/>
    <w:rsid w:val="00BB722E"/>
    <w:rsid w:val="00BE6448"/>
    <w:rsid w:val="00C019A2"/>
    <w:rsid w:val="00C139A2"/>
    <w:rsid w:val="00C170BC"/>
    <w:rsid w:val="00C23FE3"/>
    <w:rsid w:val="00C30DC2"/>
    <w:rsid w:val="00C337ED"/>
    <w:rsid w:val="00C530F0"/>
    <w:rsid w:val="00C53B4E"/>
    <w:rsid w:val="00C66CEF"/>
    <w:rsid w:val="00C73890"/>
    <w:rsid w:val="00C918F1"/>
    <w:rsid w:val="00C93A6C"/>
    <w:rsid w:val="00CB4D8F"/>
    <w:rsid w:val="00CC312B"/>
    <w:rsid w:val="00CC5872"/>
    <w:rsid w:val="00CC7A19"/>
    <w:rsid w:val="00CD0D01"/>
    <w:rsid w:val="00CD305F"/>
    <w:rsid w:val="00CF1BFA"/>
    <w:rsid w:val="00CF77AD"/>
    <w:rsid w:val="00D01655"/>
    <w:rsid w:val="00D058D1"/>
    <w:rsid w:val="00D14A0E"/>
    <w:rsid w:val="00D258D9"/>
    <w:rsid w:val="00D36B8B"/>
    <w:rsid w:val="00D40B26"/>
    <w:rsid w:val="00D4539D"/>
    <w:rsid w:val="00D51DFC"/>
    <w:rsid w:val="00D71A03"/>
    <w:rsid w:val="00D805F6"/>
    <w:rsid w:val="00E00350"/>
    <w:rsid w:val="00E052E1"/>
    <w:rsid w:val="00E3198E"/>
    <w:rsid w:val="00E34F7B"/>
    <w:rsid w:val="00E43C92"/>
    <w:rsid w:val="00E62B73"/>
    <w:rsid w:val="00E63342"/>
    <w:rsid w:val="00E67108"/>
    <w:rsid w:val="00E773D1"/>
    <w:rsid w:val="00E85400"/>
    <w:rsid w:val="00E90ED6"/>
    <w:rsid w:val="00E950CE"/>
    <w:rsid w:val="00EA2983"/>
    <w:rsid w:val="00EB4407"/>
    <w:rsid w:val="00EB5D66"/>
    <w:rsid w:val="00EC105E"/>
    <w:rsid w:val="00EC51F8"/>
    <w:rsid w:val="00ED3B6A"/>
    <w:rsid w:val="00EE7905"/>
    <w:rsid w:val="00EE7E3D"/>
    <w:rsid w:val="00EF36E7"/>
    <w:rsid w:val="00F40F28"/>
    <w:rsid w:val="00F535E0"/>
    <w:rsid w:val="00F63DC6"/>
    <w:rsid w:val="00F66008"/>
    <w:rsid w:val="00F91958"/>
    <w:rsid w:val="00F93A07"/>
    <w:rsid w:val="00F94988"/>
    <w:rsid w:val="00FA35DC"/>
    <w:rsid w:val="00FC34B4"/>
    <w:rsid w:val="00FD4B7F"/>
    <w:rsid w:val="00FE0F35"/>
    <w:rsid w:val="00FF6CBC"/>
    <w:rsid w:val="01241B06"/>
    <w:rsid w:val="012577DB"/>
    <w:rsid w:val="016F3D4C"/>
    <w:rsid w:val="01752FC3"/>
    <w:rsid w:val="017873A4"/>
    <w:rsid w:val="02956A5C"/>
    <w:rsid w:val="029A63CB"/>
    <w:rsid w:val="02AB7776"/>
    <w:rsid w:val="03314CF8"/>
    <w:rsid w:val="035944C7"/>
    <w:rsid w:val="037C6EE0"/>
    <w:rsid w:val="04246459"/>
    <w:rsid w:val="04354633"/>
    <w:rsid w:val="046E2F1D"/>
    <w:rsid w:val="04DB4E62"/>
    <w:rsid w:val="04F613EB"/>
    <w:rsid w:val="053F7F9B"/>
    <w:rsid w:val="056F4D4C"/>
    <w:rsid w:val="058B37F5"/>
    <w:rsid w:val="0592009D"/>
    <w:rsid w:val="05926E2D"/>
    <w:rsid w:val="059C3840"/>
    <w:rsid w:val="05BE1FE7"/>
    <w:rsid w:val="05D159A9"/>
    <w:rsid w:val="05D57F06"/>
    <w:rsid w:val="05E653CB"/>
    <w:rsid w:val="06093F9C"/>
    <w:rsid w:val="06363529"/>
    <w:rsid w:val="064D2D13"/>
    <w:rsid w:val="06960B3B"/>
    <w:rsid w:val="06B60D33"/>
    <w:rsid w:val="06CE7A47"/>
    <w:rsid w:val="06E57248"/>
    <w:rsid w:val="06EC3FB2"/>
    <w:rsid w:val="072434D8"/>
    <w:rsid w:val="07771871"/>
    <w:rsid w:val="077F2C84"/>
    <w:rsid w:val="079E1562"/>
    <w:rsid w:val="07F43FA3"/>
    <w:rsid w:val="083F0A33"/>
    <w:rsid w:val="08426548"/>
    <w:rsid w:val="08A041BF"/>
    <w:rsid w:val="08C510B7"/>
    <w:rsid w:val="0985131E"/>
    <w:rsid w:val="09993F4D"/>
    <w:rsid w:val="09B1683E"/>
    <w:rsid w:val="09DE6364"/>
    <w:rsid w:val="09E95396"/>
    <w:rsid w:val="09F269DD"/>
    <w:rsid w:val="0A7637A8"/>
    <w:rsid w:val="0A8D440E"/>
    <w:rsid w:val="0AE0452F"/>
    <w:rsid w:val="0AEA2A02"/>
    <w:rsid w:val="0B3E1B40"/>
    <w:rsid w:val="0BDB0663"/>
    <w:rsid w:val="0BF21ECD"/>
    <w:rsid w:val="0C082F66"/>
    <w:rsid w:val="0C721D3B"/>
    <w:rsid w:val="0C803CF7"/>
    <w:rsid w:val="0C8F0CF4"/>
    <w:rsid w:val="0CA039A2"/>
    <w:rsid w:val="0D1E3DD0"/>
    <w:rsid w:val="0D296A3D"/>
    <w:rsid w:val="0D8D0C0D"/>
    <w:rsid w:val="0D9C799F"/>
    <w:rsid w:val="0DA16738"/>
    <w:rsid w:val="0DE153DA"/>
    <w:rsid w:val="0E1E7EBA"/>
    <w:rsid w:val="0E2E23E8"/>
    <w:rsid w:val="0E70517E"/>
    <w:rsid w:val="0E7273A8"/>
    <w:rsid w:val="0E9B475F"/>
    <w:rsid w:val="0EC843E8"/>
    <w:rsid w:val="0ED76E7E"/>
    <w:rsid w:val="0F255F9B"/>
    <w:rsid w:val="0FB84E95"/>
    <w:rsid w:val="0FC03D33"/>
    <w:rsid w:val="0FED09C4"/>
    <w:rsid w:val="1012140F"/>
    <w:rsid w:val="10D75D0B"/>
    <w:rsid w:val="1166268A"/>
    <w:rsid w:val="123F3965"/>
    <w:rsid w:val="12440069"/>
    <w:rsid w:val="1256495B"/>
    <w:rsid w:val="128637A9"/>
    <w:rsid w:val="129F2289"/>
    <w:rsid w:val="12D04E72"/>
    <w:rsid w:val="13BA3050"/>
    <w:rsid w:val="13F015BE"/>
    <w:rsid w:val="13FD214D"/>
    <w:rsid w:val="142F6A8A"/>
    <w:rsid w:val="143516C6"/>
    <w:rsid w:val="144A4818"/>
    <w:rsid w:val="144D79BE"/>
    <w:rsid w:val="14AE0081"/>
    <w:rsid w:val="15236A01"/>
    <w:rsid w:val="1553250C"/>
    <w:rsid w:val="15744225"/>
    <w:rsid w:val="15A11A48"/>
    <w:rsid w:val="15C17895"/>
    <w:rsid w:val="15F5577E"/>
    <w:rsid w:val="16222938"/>
    <w:rsid w:val="162F3DF8"/>
    <w:rsid w:val="16374F4A"/>
    <w:rsid w:val="165949E2"/>
    <w:rsid w:val="16AB074C"/>
    <w:rsid w:val="173C6BD5"/>
    <w:rsid w:val="17AE2582"/>
    <w:rsid w:val="17B61AAF"/>
    <w:rsid w:val="17F06616"/>
    <w:rsid w:val="18267CA4"/>
    <w:rsid w:val="18297794"/>
    <w:rsid w:val="1835267E"/>
    <w:rsid w:val="18395DC2"/>
    <w:rsid w:val="18664DF0"/>
    <w:rsid w:val="18C63235"/>
    <w:rsid w:val="192A0726"/>
    <w:rsid w:val="1992413B"/>
    <w:rsid w:val="19BE1864"/>
    <w:rsid w:val="19D75531"/>
    <w:rsid w:val="1A3448E4"/>
    <w:rsid w:val="1B407BBC"/>
    <w:rsid w:val="1B4D5548"/>
    <w:rsid w:val="1B536A9B"/>
    <w:rsid w:val="1B6E0716"/>
    <w:rsid w:val="1B754368"/>
    <w:rsid w:val="1B75684C"/>
    <w:rsid w:val="1CC932F4"/>
    <w:rsid w:val="1CD21AE3"/>
    <w:rsid w:val="1CD25AEE"/>
    <w:rsid w:val="1D1C6406"/>
    <w:rsid w:val="1D5A6EC1"/>
    <w:rsid w:val="1D5E77F9"/>
    <w:rsid w:val="1D7B4523"/>
    <w:rsid w:val="1D7D67BF"/>
    <w:rsid w:val="1D9A1EEE"/>
    <w:rsid w:val="1DA33B45"/>
    <w:rsid w:val="1E1D092D"/>
    <w:rsid w:val="1E214A2D"/>
    <w:rsid w:val="1E41644F"/>
    <w:rsid w:val="1E467F0E"/>
    <w:rsid w:val="1E9D47F9"/>
    <w:rsid w:val="1EB25642"/>
    <w:rsid w:val="1EDE6242"/>
    <w:rsid w:val="1EDF0AE7"/>
    <w:rsid w:val="1EEF5D7F"/>
    <w:rsid w:val="1EF455EA"/>
    <w:rsid w:val="1F122123"/>
    <w:rsid w:val="1FEA5995"/>
    <w:rsid w:val="20504E37"/>
    <w:rsid w:val="205D3E93"/>
    <w:rsid w:val="206A4F4A"/>
    <w:rsid w:val="208F46A9"/>
    <w:rsid w:val="20D46341"/>
    <w:rsid w:val="21367CA5"/>
    <w:rsid w:val="214E4EED"/>
    <w:rsid w:val="215E1298"/>
    <w:rsid w:val="2173489F"/>
    <w:rsid w:val="21B176D5"/>
    <w:rsid w:val="21BC5589"/>
    <w:rsid w:val="21D05644"/>
    <w:rsid w:val="22933EAF"/>
    <w:rsid w:val="22B12860"/>
    <w:rsid w:val="22CB124E"/>
    <w:rsid w:val="22FD2EAA"/>
    <w:rsid w:val="23252AD2"/>
    <w:rsid w:val="23317ECD"/>
    <w:rsid w:val="23495F58"/>
    <w:rsid w:val="236F0CC3"/>
    <w:rsid w:val="23731D97"/>
    <w:rsid w:val="237D5455"/>
    <w:rsid w:val="238F6575"/>
    <w:rsid w:val="23917A40"/>
    <w:rsid w:val="23C62AD9"/>
    <w:rsid w:val="242D5FB8"/>
    <w:rsid w:val="247A397B"/>
    <w:rsid w:val="24E231A5"/>
    <w:rsid w:val="25231381"/>
    <w:rsid w:val="254A3778"/>
    <w:rsid w:val="25C22834"/>
    <w:rsid w:val="25CA704B"/>
    <w:rsid w:val="26AC79F8"/>
    <w:rsid w:val="26D810AA"/>
    <w:rsid w:val="270A4BCF"/>
    <w:rsid w:val="270F4828"/>
    <w:rsid w:val="275110B8"/>
    <w:rsid w:val="276B5619"/>
    <w:rsid w:val="27765580"/>
    <w:rsid w:val="27B527C0"/>
    <w:rsid w:val="27C546B8"/>
    <w:rsid w:val="27CD6FE1"/>
    <w:rsid w:val="27F94E4A"/>
    <w:rsid w:val="2839763B"/>
    <w:rsid w:val="28490595"/>
    <w:rsid w:val="285E6612"/>
    <w:rsid w:val="28B43DF8"/>
    <w:rsid w:val="28D7173E"/>
    <w:rsid w:val="28D95609"/>
    <w:rsid w:val="290D5E26"/>
    <w:rsid w:val="29120111"/>
    <w:rsid w:val="29475246"/>
    <w:rsid w:val="29852AD1"/>
    <w:rsid w:val="29A94342"/>
    <w:rsid w:val="2A005E7B"/>
    <w:rsid w:val="2A254FED"/>
    <w:rsid w:val="2A51399B"/>
    <w:rsid w:val="2A5306A1"/>
    <w:rsid w:val="2A785351"/>
    <w:rsid w:val="2A94106B"/>
    <w:rsid w:val="2AD62957"/>
    <w:rsid w:val="2AE038F2"/>
    <w:rsid w:val="2AE55880"/>
    <w:rsid w:val="2AF630C0"/>
    <w:rsid w:val="2B091D99"/>
    <w:rsid w:val="2B276A5C"/>
    <w:rsid w:val="2B396A6C"/>
    <w:rsid w:val="2B47730B"/>
    <w:rsid w:val="2B4E1ADF"/>
    <w:rsid w:val="2B9B17F4"/>
    <w:rsid w:val="2B9E4117"/>
    <w:rsid w:val="2BAA4B76"/>
    <w:rsid w:val="2BAB1BB3"/>
    <w:rsid w:val="2BB64FC1"/>
    <w:rsid w:val="2BE74C48"/>
    <w:rsid w:val="2C1B6323"/>
    <w:rsid w:val="2C1D125C"/>
    <w:rsid w:val="2C302FDA"/>
    <w:rsid w:val="2C4F0505"/>
    <w:rsid w:val="2C5C0BBD"/>
    <w:rsid w:val="2C96267B"/>
    <w:rsid w:val="2CB07BF3"/>
    <w:rsid w:val="2CC06181"/>
    <w:rsid w:val="2CE12B43"/>
    <w:rsid w:val="2DB639EF"/>
    <w:rsid w:val="2DD41002"/>
    <w:rsid w:val="2DE66A51"/>
    <w:rsid w:val="2DF430F7"/>
    <w:rsid w:val="2E1B7DBB"/>
    <w:rsid w:val="2E787076"/>
    <w:rsid w:val="2E84212D"/>
    <w:rsid w:val="2E933762"/>
    <w:rsid w:val="2E982822"/>
    <w:rsid w:val="2EC3488B"/>
    <w:rsid w:val="2EDE02FB"/>
    <w:rsid w:val="2EE44E64"/>
    <w:rsid w:val="2F484C35"/>
    <w:rsid w:val="2F68235C"/>
    <w:rsid w:val="2F9E5D5F"/>
    <w:rsid w:val="2FBF3236"/>
    <w:rsid w:val="2FC575BB"/>
    <w:rsid w:val="2FD651D5"/>
    <w:rsid w:val="2FF00EF9"/>
    <w:rsid w:val="308269EC"/>
    <w:rsid w:val="30AF6064"/>
    <w:rsid w:val="30B11D68"/>
    <w:rsid w:val="31151164"/>
    <w:rsid w:val="312F1ED4"/>
    <w:rsid w:val="31446E97"/>
    <w:rsid w:val="314A485D"/>
    <w:rsid w:val="3198557C"/>
    <w:rsid w:val="31BF3657"/>
    <w:rsid w:val="31CB0C0E"/>
    <w:rsid w:val="31E44A28"/>
    <w:rsid w:val="321D6BA0"/>
    <w:rsid w:val="32467B10"/>
    <w:rsid w:val="32661B8F"/>
    <w:rsid w:val="327036FF"/>
    <w:rsid w:val="327D2F35"/>
    <w:rsid w:val="330C3C7A"/>
    <w:rsid w:val="33455EFB"/>
    <w:rsid w:val="33674984"/>
    <w:rsid w:val="33802A31"/>
    <w:rsid w:val="3387277C"/>
    <w:rsid w:val="33907DF6"/>
    <w:rsid w:val="34037900"/>
    <w:rsid w:val="340E0631"/>
    <w:rsid w:val="340E3885"/>
    <w:rsid w:val="34404E37"/>
    <w:rsid w:val="34494A3F"/>
    <w:rsid w:val="345A5858"/>
    <w:rsid w:val="34E109A7"/>
    <w:rsid w:val="357757F6"/>
    <w:rsid w:val="35824BA1"/>
    <w:rsid w:val="35AE08E1"/>
    <w:rsid w:val="35CC1D23"/>
    <w:rsid w:val="364A51BE"/>
    <w:rsid w:val="366C01FB"/>
    <w:rsid w:val="36AC1CD0"/>
    <w:rsid w:val="36C0465D"/>
    <w:rsid w:val="36EB76BC"/>
    <w:rsid w:val="370A0218"/>
    <w:rsid w:val="37523001"/>
    <w:rsid w:val="37915940"/>
    <w:rsid w:val="37CB4EF5"/>
    <w:rsid w:val="38E14296"/>
    <w:rsid w:val="38F10098"/>
    <w:rsid w:val="38F45020"/>
    <w:rsid w:val="38FD6E01"/>
    <w:rsid w:val="39180AB5"/>
    <w:rsid w:val="393B572A"/>
    <w:rsid w:val="39503383"/>
    <w:rsid w:val="3A3168AF"/>
    <w:rsid w:val="3A744556"/>
    <w:rsid w:val="3A9B73A2"/>
    <w:rsid w:val="3AF061F3"/>
    <w:rsid w:val="3B373927"/>
    <w:rsid w:val="3B3D1DAB"/>
    <w:rsid w:val="3B9A77CD"/>
    <w:rsid w:val="3BB24969"/>
    <w:rsid w:val="3BE66E57"/>
    <w:rsid w:val="3C0904E3"/>
    <w:rsid w:val="3C1732DC"/>
    <w:rsid w:val="3C747B7E"/>
    <w:rsid w:val="3C885A21"/>
    <w:rsid w:val="3CE612CB"/>
    <w:rsid w:val="3D2E23A8"/>
    <w:rsid w:val="3D5E3003"/>
    <w:rsid w:val="3DAF3420"/>
    <w:rsid w:val="3DFF232A"/>
    <w:rsid w:val="3E1F7685"/>
    <w:rsid w:val="3E2116DA"/>
    <w:rsid w:val="3E4118DD"/>
    <w:rsid w:val="3E594080"/>
    <w:rsid w:val="3EA3445F"/>
    <w:rsid w:val="3ED0295F"/>
    <w:rsid w:val="3EDE0A21"/>
    <w:rsid w:val="3F747CFD"/>
    <w:rsid w:val="3FB70E29"/>
    <w:rsid w:val="3FF35E0E"/>
    <w:rsid w:val="40947FB1"/>
    <w:rsid w:val="409A4D4F"/>
    <w:rsid w:val="41261C17"/>
    <w:rsid w:val="414523FD"/>
    <w:rsid w:val="41A20DA9"/>
    <w:rsid w:val="41D37C44"/>
    <w:rsid w:val="421107CE"/>
    <w:rsid w:val="425A3F23"/>
    <w:rsid w:val="4289517A"/>
    <w:rsid w:val="42C35F6C"/>
    <w:rsid w:val="42F60D4E"/>
    <w:rsid w:val="433C7CEE"/>
    <w:rsid w:val="43471050"/>
    <w:rsid w:val="435D529B"/>
    <w:rsid w:val="437B7EE9"/>
    <w:rsid w:val="43B26FB8"/>
    <w:rsid w:val="43B354F5"/>
    <w:rsid w:val="43E63F1A"/>
    <w:rsid w:val="44105E3F"/>
    <w:rsid w:val="4419780D"/>
    <w:rsid w:val="444315B2"/>
    <w:rsid w:val="444F0130"/>
    <w:rsid w:val="448E6807"/>
    <w:rsid w:val="4495178A"/>
    <w:rsid w:val="44A04A77"/>
    <w:rsid w:val="44D02FA4"/>
    <w:rsid w:val="44EC6D10"/>
    <w:rsid w:val="44F307E7"/>
    <w:rsid w:val="458E5052"/>
    <w:rsid w:val="45932DC0"/>
    <w:rsid w:val="466F7D1F"/>
    <w:rsid w:val="468A62E7"/>
    <w:rsid w:val="46C11B76"/>
    <w:rsid w:val="46DD46D6"/>
    <w:rsid w:val="46EC717B"/>
    <w:rsid w:val="46FF39B8"/>
    <w:rsid w:val="470D1CEE"/>
    <w:rsid w:val="470F0A4B"/>
    <w:rsid w:val="477912EF"/>
    <w:rsid w:val="47BC545F"/>
    <w:rsid w:val="49033C19"/>
    <w:rsid w:val="49407329"/>
    <w:rsid w:val="49E2134D"/>
    <w:rsid w:val="49F25433"/>
    <w:rsid w:val="49FC056E"/>
    <w:rsid w:val="4A21053D"/>
    <w:rsid w:val="4A837379"/>
    <w:rsid w:val="4A8B279F"/>
    <w:rsid w:val="4AB368C6"/>
    <w:rsid w:val="4B0B04B0"/>
    <w:rsid w:val="4B9B24CA"/>
    <w:rsid w:val="4BD5212A"/>
    <w:rsid w:val="4BFA0DF1"/>
    <w:rsid w:val="4C010868"/>
    <w:rsid w:val="4C1A7C1C"/>
    <w:rsid w:val="4C307089"/>
    <w:rsid w:val="4C502326"/>
    <w:rsid w:val="4C8110CC"/>
    <w:rsid w:val="4C9D15DC"/>
    <w:rsid w:val="4CA61CBA"/>
    <w:rsid w:val="4CDD604F"/>
    <w:rsid w:val="4D14271C"/>
    <w:rsid w:val="4D5C795E"/>
    <w:rsid w:val="4D6C1E8A"/>
    <w:rsid w:val="4D8F35D3"/>
    <w:rsid w:val="4EA01D0A"/>
    <w:rsid w:val="4EAA0393"/>
    <w:rsid w:val="4EFA3222"/>
    <w:rsid w:val="4F08541B"/>
    <w:rsid w:val="4F3F7465"/>
    <w:rsid w:val="4F71060C"/>
    <w:rsid w:val="4F854B4D"/>
    <w:rsid w:val="4F90085F"/>
    <w:rsid w:val="4FB27013"/>
    <w:rsid w:val="507A66B7"/>
    <w:rsid w:val="50A51313"/>
    <w:rsid w:val="50B37FE4"/>
    <w:rsid w:val="50B40148"/>
    <w:rsid w:val="51243D94"/>
    <w:rsid w:val="515739F0"/>
    <w:rsid w:val="51B76D35"/>
    <w:rsid w:val="5208399B"/>
    <w:rsid w:val="52622CAC"/>
    <w:rsid w:val="527252B8"/>
    <w:rsid w:val="52E76D7E"/>
    <w:rsid w:val="52E931DE"/>
    <w:rsid w:val="53267BBD"/>
    <w:rsid w:val="53594D4B"/>
    <w:rsid w:val="53746373"/>
    <w:rsid w:val="53962216"/>
    <w:rsid w:val="540F67AD"/>
    <w:rsid w:val="5439763E"/>
    <w:rsid w:val="543D0C72"/>
    <w:rsid w:val="54497577"/>
    <w:rsid w:val="54563A5E"/>
    <w:rsid w:val="54857CFB"/>
    <w:rsid w:val="54A47F9A"/>
    <w:rsid w:val="54C16074"/>
    <w:rsid w:val="54CD62DB"/>
    <w:rsid w:val="54CE7BD2"/>
    <w:rsid w:val="54E31620"/>
    <w:rsid w:val="54EE3880"/>
    <w:rsid w:val="553E700C"/>
    <w:rsid w:val="55AB6FA7"/>
    <w:rsid w:val="55AC126B"/>
    <w:rsid w:val="55C02836"/>
    <w:rsid w:val="55D95F00"/>
    <w:rsid w:val="55E9118C"/>
    <w:rsid w:val="562A5032"/>
    <w:rsid w:val="563E1CF4"/>
    <w:rsid w:val="56B479E5"/>
    <w:rsid w:val="56FE512A"/>
    <w:rsid w:val="573F0BE0"/>
    <w:rsid w:val="579455B7"/>
    <w:rsid w:val="57FD357E"/>
    <w:rsid w:val="580A24F1"/>
    <w:rsid w:val="588555B8"/>
    <w:rsid w:val="58C822D1"/>
    <w:rsid w:val="58F51B2C"/>
    <w:rsid w:val="59957396"/>
    <w:rsid w:val="59CE3BD2"/>
    <w:rsid w:val="59E43DC7"/>
    <w:rsid w:val="59E52FAA"/>
    <w:rsid w:val="5A021823"/>
    <w:rsid w:val="5A355DBF"/>
    <w:rsid w:val="5A4E66D6"/>
    <w:rsid w:val="5A697C3F"/>
    <w:rsid w:val="5A7D3D0F"/>
    <w:rsid w:val="5A897632"/>
    <w:rsid w:val="5AB7652E"/>
    <w:rsid w:val="5ACB5D30"/>
    <w:rsid w:val="5AE13037"/>
    <w:rsid w:val="5B1B1431"/>
    <w:rsid w:val="5B251564"/>
    <w:rsid w:val="5B37438D"/>
    <w:rsid w:val="5BD418EB"/>
    <w:rsid w:val="5BEF36B3"/>
    <w:rsid w:val="5C271013"/>
    <w:rsid w:val="5C2D0514"/>
    <w:rsid w:val="5C6445D6"/>
    <w:rsid w:val="5CAA564F"/>
    <w:rsid w:val="5CC96A6D"/>
    <w:rsid w:val="5D03746B"/>
    <w:rsid w:val="5D7030F7"/>
    <w:rsid w:val="5D9B5F70"/>
    <w:rsid w:val="5E950637"/>
    <w:rsid w:val="5EB95FAA"/>
    <w:rsid w:val="5ECA3BD7"/>
    <w:rsid w:val="5F2C7E08"/>
    <w:rsid w:val="5F5409DA"/>
    <w:rsid w:val="5FAB4896"/>
    <w:rsid w:val="5FC078FC"/>
    <w:rsid w:val="5FDC4649"/>
    <w:rsid w:val="5FF43958"/>
    <w:rsid w:val="600A32A3"/>
    <w:rsid w:val="604F0851"/>
    <w:rsid w:val="606C3347"/>
    <w:rsid w:val="607C6FBA"/>
    <w:rsid w:val="60841EA2"/>
    <w:rsid w:val="610B7637"/>
    <w:rsid w:val="613245F2"/>
    <w:rsid w:val="616F5B49"/>
    <w:rsid w:val="62276C75"/>
    <w:rsid w:val="62426656"/>
    <w:rsid w:val="624A6B2C"/>
    <w:rsid w:val="62843269"/>
    <w:rsid w:val="62D811F9"/>
    <w:rsid w:val="62EB71E9"/>
    <w:rsid w:val="631E03BB"/>
    <w:rsid w:val="63262B56"/>
    <w:rsid w:val="639B4AD7"/>
    <w:rsid w:val="63DD2DE4"/>
    <w:rsid w:val="64074D5F"/>
    <w:rsid w:val="648715A7"/>
    <w:rsid w:val="65477AEE"/>
    <w:rsid w:val="65566363"/>
    <w:rsid w:val="655868B6"/>
    <w:rsid w:val="657B1796"/>
    <w:rsid w:val="65BD2836"/>
    <w:rsid w:val="65DE3CD2"/>
    <w:rsid w:val="660E1D6F"/>
    <w:rsid w:val="661A1BB6"/>
    <w:rsid w:val="664B513C"/>
    <w:rsid w:val="66635AFA"/>
    <w:rsid w:val="667844F4"/>
    <w:rsid w:val="670933D1"/>
    <w:rsid w:val="67AB66C8"/>
    <w:rsid w:val="67D674D5"/>
    <w:rsid w:val="67EA2BD1"/>
    <w:rsid w:val="680C6C83"/>
    <w:rsid w:val="68216F5D"/>
    <w:rsid w:val="683F0D43"/>
    <w:rsid w:val="68464BB3"/>
    <w:rsid w:val="68834CC2"/>
    <w:rsid w:val="68A816E0"/>
    <w:rsid w:val="68E2005D"/>
    <w:rsid w:val="68F71C1C"/>
    <w:rsid w:val="690A7BA1"/>
    <w:rsid w:val="691F66E4"/>
    <w:rsid w:val="69D84A44"/>
    <w:rsid w:val="69EC4CB1"/>
    <w:rsid w:val="6A296C70"/>
    <w:rsid w:val="6A423C2F"/>
    <w:rsid w:val="6A5C5168"/>
    <w:rsid w:val="6A6E1FCD"/>
    <w:rsid w:val="6AD6538F"/>
    <w:rsid w:val="6AD7577F"/>
    <w:rsid w:val="6AF03F23"/>
    <w:rsid w:val="6B12579E"/>
    <w:rsid w:val="6B2569C9"/>
    <w:rsid w:val="6B2822C7"/>
    <w:rsid w:val="6B320D8A"/>
    <w:rsid w:val="6B741413"/>
    <w:rsid w:val="6B8D462D"/>
    <w:rsid w:val="6BCE7087"/>
    <w:rsid w:val="6BDC1CF4"/>
    <w:rsid w:val="6D890D97"/>
    <w:rsid w:val="6E16174B"/>
    <w:rsid w:val="6E340AAD"/>
    <w:rsid w:val="6E49624F"/>
    <w:rsid w:val="6E701132"/>
    <w:rsid w:val="6E9C1A93"/>
    <w:rsid w:val="6EB12EC9"/>
    <w:rsid w:val="6ECF13D5"/>
    <w:rsid w:val="6ECF6C5E"/>
    <w:rsid w:val="6F4A4555"/>
    <w:rsid w:val="6FD55785"/>
    <w:rsid w:val="6FF072D0"/>
    <w:rsid w:val="6FF53D76"/>
    <w:rsid w:val="6FF95268"/>
    <w:rsid w:val="704331BE"/>
    <w:rsid w:val="7056191E"/>
    <w:rsid w:val="705C33D8"/>
    <w:rsid w:val="70CA3A07"/>
    <w:rsid w:val="70E56782"/>
    <w:rsid w:val="710025B1"/>
    <w:rsid w:val="711F1BD7"/>
    <w:rsid w:val="713C34FF"/>
    <w:rsid w:val="713E7C58"/>
    <w:rsid w:val="71636F8C"/>
    <w:rsid w:val="716E7E41"/>
    <w:rsid w:val="721B2367"/>
    <w:rsid w:val="72435ED2"/>
    <w:rsid w:val="731A396D"/>
    <w:rsid w:val="73387869"/>
    <w:rsid w:val="74AE30D9"/>
    <w:rsid w:val="74B12E4D"/>
    <w:rsid w:val="74F77E0A"/>
    <w:rsid w:val="752528EC"/>
    <w:rsid w:val="757918F4"/>
    <w:rsid w:val="75C95A3F"/>
    <w:rsid w:val="75CA37C2"/>
    <w:rsid w:val="76646A93"/>
    <w:rsid w:val="76721B88"/>
    <w:rsid w:val="76A837B4"/>
    <w:rsid w:val="76B44B47"/>
    <w:rsid w:val="76D240FC"/>
    <w:rsid w:val="76D55EA0"/>
    <w:rsid w:val="76D87BD3"/>
    <w:rsid w:val="778A52B3"/>
    <w:rsid w:val="77D1723C"/>
    <w:rsid w:val="783579E7"/>
    <w:rsid w:val="7862727F"/>
    <w:rsid w:val="787E2F86"/>
    <w:rsid w:val="78E126E3"/>
    <w:rsid w:val="78EF7B98"/>
    <w:rsid w:val="792F42BB"/>
    <w:rsid w:val="79D60CEC"/>
    <w:rsid w:val="7A976D7E"/>
    <w:rsid w:val="7A9A2087"/>
    <w:rsid w:val="7AAD234C"/>
    <w:rsid w:val="7ACF2DD1"/>
    <w:rsid w:val="7AD93F0A"/>
    <w:rsid w:val="7BA8215C"/>
    <w:rsid w:val="7BAC28F1"/>
    <w:rsid w:val="7BAD3492"/>
    <w:rsid w:val="7BEE0778"/>
    <w:rsid w:val="7C3E43D4"/>
    <w:rsid w:val="7C8D5DE0"/>
    <w:rsid w:val="7CA453E3"/>
    <w:rsid w:val="7CAF2AE1"/>
    <w:rsid w:val="7CD54D6F"/>
    <w:rsid w:val="7CE61EAD"/>
    <w:rsid w:val="7CFE1C0B"/>
    <w:rsid w:val="7D5B1B45"/>
    <w:rsid w:val="7D71574C"/>
    <w:rsid w:val="7DAA32A9"/>
    <w:rsid w:val="7E1A5D1D"/>
    <w:rsid w:val="7E315A26"/>
    <w:rsid w:val="7E7F48BC"/>
    <w:rsid w:val="7E806478"/>
    <w:rsid w:val="7EBC1164"/>
    <w:rsid w:val="7F141E9F"/>
    <w:rsid w:val="7F72580B"/>
    <w:rsid w:val="7FE30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86"/>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2"/>
    <w:basedOn w:val="1"/>
    <w:next w:val="1"/>
    <w:link w:val="87"/>
    <w:qFormat/>
    <w:uiPriority w:val="0"/>
    <w:pPr>
      <w:keepNext/>
      <w:keepLines/>
      <w:numPr>
        <w:ilvl w:val="1"/>
        <w:numId w:val="1"/>
      </w:numPr>
      <w:spacing w:before="260" w:after="260" w:line="416" w:lineRule="auto"/>
      <w:outlineLvl w:val="1"/>
    </w:pPr>
    <w:rPr>
      <w:rFonts w:ascii="Arial" w:hAnsi="Arial" w:eastAsia="黑体"/>
      <w:b/>
      <w:bCs/>
      <w:kern w:val="2"/>
      <w:sz w:val="32"/>
      <w:szCs w:val="32"/>
    </w:rPr>
  </w:style>
  <w:style w:type="paragraph" w:styleId="5">
    <w:name w:val="heading 3"/>
    <w:basedOn w:val="1"/>
    <w:next w:val="1"/>
    <w:link w:val="88"/>
    <w:qFormat/>
    <w:uiPriority w:val="0"/>
    <w:pPr>
      <w:keepNext/>
      <w:keepLines/>
      <w:spacing w:line="416" w:lineRule="auto"/>
      <w:outlineLvl w:val="2"/>
    </w:pPr>
    <w:rPr>
      <w:rFonts w:ascii="黑体" w:eastAsia="黑体"/>
      <w:b/>
      <w:bCs/>
      <w:kern w:val="2"/>
      <w:sz w:val="32"/>
      <w:szCs w:val="32"/>
    </w:rPr>
  </w:style>
  <w:style w:type="paragraph" w:styleId="2">
    <w:name w:val="heading 4"/>
    <w:basedOn w:val="1"/>
    <w:next w:val="1"/>
    <w:link w:val="420"/>
    <w:qFormat/>
    <w:uiPriority w:val="0"/>
    <w:pPr>
      <w:keepNext/>
      <w:keepLines/>
      <w:numPr>
        <w:ilvl w:val="4"/>
        <w:numId w:val="1"/>
      </w:numPr>
      <w:spacing w:before="280" w:after="290" w:line="376" w:lineRule="auto"/>
      <w:outlineLvl w:val="3"/>
    </w:pPr>
    <w:rPr>
      <w:rFonts w:ascii="Arial" w:hAnsi="Arial" w:eastAsia="黑体"/>
      <w:b/>
      <w:bCs/>
      <w:kern w:val="2"/>
      <w:sz w:val="28"/>
      <w:szCs w:val="28"/>
    </w:rPr>
  </w:style>
  <w:style w:type="paragraph" w:styleId="6">
    <w:name w:val="heading 5"/>
    <w:basedOn w:val="1"/>
    <w:next w:val="1"/>
    <w:link w:val="89"/>
    <w:qFormat/>
    <w:uiPriority w:val="0"/>
    <w:pPr>
      <w:keepNext/>
      <w:keepLines/>
      <w:numPr>
        <w:ilvl w:val="5"/>
        <w:numId w:val="1"/>
      </w:numPr>
      <w:spacing w:before="280" w:after="290" w:line="376" w:lineRule="auto"/>
      <w:outlineLvl w:val="4"/>
    </w:pPr>
    <w:rPr>
      <w:rFonts w:ascii="黑体" w:eastAsia="黑体"/>
      <w:b/>
      <w:bCs/>
      <w:kern w:val="2"/>
      <w:sz w:val="28"/>
      <w:szCs w:val="28"/>
    </w:rPr>
  </w:style>
  <w:style w:type="paragraph" w:styleId="7">
    <w:name w:val="heading 6"/>
    <w:basedOn w:val="1"/>
    <w:next w:val="1"/>
    <w:link w:val="9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2"/>
      <w:sz w:val="24"/>
      <w:szCs w:val="24"/>
    </w:rPr>
  </w:style>
  <w:style w:type="paragraph" w:styleId="8">
    <w:name w:val="heading 7"/>
    <w:basedOn w:val="1"/>
    <w:next w:val="1"/>
    <w:link w:val="91"/>
    <w:qFormat/>
    <w:uiPriority w:val="0"/>
    <w:pPr>
      <w:keepNext/>
      <w:keepLines/>
      <w:tabs>
        <w:tab w:val="left" w:pos="1296"/>
      </w:tabs>
      <w:adjustRightInd w:val="0"/>
      <w:spacing w:before="240" w:after="64" w:line="320" w:lineRule="atLeast"/>
      <w:ind w:left="1296" w:hanging="1296"/>
      <w:textAlignment w:val="baseline"/>
      <w:outlineLvl w:val="6"/>
    </w:pPr>
    <w:rPr>
      <w:rFonts w:ascii="Times New Roman"/>
      <w:b/>
      <w:kern w:val="2"/>
      <w:sz w:val="24"/>
      <w:szCs w:val="24"/>
    </w:rPr>
  </w:style>
  <w:style w:type="paragraph" w:styleId="9">
    <w:name w:val="heading 8"/>
    <w:basedOn w:val="1"/>
    <w:next w:val="1"/>
    <w:link w:val="9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2"/>
      <w:sz w:val="24"/>
      <w:szCs w:val="24"/>
    </w:rPr>
  </w:style>
  <w:style w:type="paragraph" w:styleId="10">
    <w:name w:val="heading 9"/>
    <w:basedOn w:val="1"/>
    <w:next w:val="1"/>
    <w:link w:val="9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2"/>
      <w:sz w:val="21"/>
      <w:szCs w:val="24"/>
    </w:rPr>
  </w:style>
  <w:style w:type="character" w:default="1" w:styleId="71">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kern w:val="2"/>
      <w:sz w:val="21"/>
    </w:rPr>
  </w:style>
  <w:style w:type="paragraph" w:styleId="12">
    <w:name w:val="toc 7"/>
    <w:basedOn w:val="1"/>
    <w:next w:val="1"/>
    <w:qFormat/>
    <w:uiPriority w:val="0"/>
    <w:pPr>
      <w:adjustRightInd w:val="0"/>
      <w:spacing w:line="288" w:lineRule="auto"/>
      <w:ind w:left="1260" w:firstLine="420"/>
      <w:jc w:val="left"/>
      <w:textAlignment w:val="baseline"/>
    </w:pPr>
    <w:rPr>
      <w:rFonts w:ascii="Times New Roman"/>
      <w:kern w:val="2"/>
      <w:sz w:val="18"/>
      <w:szCs w:val="18"/>
    </w:rPr>
  </w:style>
  <w:style w:type="paragraph" w:styleId="13">
    <w:name w:val="index 8"/>
    <w:basedOn w:val="1"/>
    <w:next w:val="1"/>
    <w:qFormat/>
    <w:uiPriority w:val="0"/>
    <w:pPr>
      <w:ind w:left="1400" w:leftChars="1400"/>
    </w:pPr>
    <w:rPr>
      <w:rFonts w:ascii="Times New Roman"/>
      <w:kern w:val="2"/>
      <w:sz w:val="21"/>
    </w:rPr>
  </w:style>
  <w:style w:type="paragraph" w:styleId="14">
    <w:name w:val="List Number"/>
    <w:basedOn w:val="1"/>
    <w:qFormat/>
    <w:uiPriority w:val="0"/>
    <w:pPr>
      <w:widowControl/>
      <w:tabs>
        <w:tab w:val="left" w:pos="720"/>
      </w:tabs>
      <w:spacing w:afterLines="50"/>
      <w:ind w:left="720" w:hanging="720"/>
      <w:jc w:val="left"/>
    </w:pPr>
    <w:rPr>
      <w:rFonts w:ascii="Times New Roman"/>
      <w:sz w:val="24"/>
    </w:rPr>
  </w:style>
  <w:style w:type="paragraph" w:styleId="15">
    <w:name w:val="Normal Indent"/>
    <w:basedOn w:val="1"/>
    <w:link w:val="94"/>
    <w:qFormat/>
    <w:uiPriority w:val="0"/>
    <w:pPr>
      <w:widowControl/>
      <w:ind w:firstLine="420"/>
      <w:jc w:val="left"/>
    </w:pPr>
    <w:rPr>
      <w:rFonts w:ascii="Times New Roman"/>
      <w:sz w:val="20"/>
    </w:rPr>
  </w:style>
  <w:style w:type="paragraph" w:styleId="16">
    <w:name w:val="caption"/>
    <w:basedOn w:val="1"/>
    <w:next w:val="1"/>
    <w:unhideWhenUsed/>
    <w:qFormat/>
    <w:uiPriority w:val="0"/>
    <w:rPr>
      <w:rFonts w:eastAsia="黑体" w:asciiTheme="majorHAnsi" w:hAnsiTheme="majorHAnsi" w:cstheme="majorBidi"/>
      <w:sz w:val="20"/>
    </w:rPr>
  </w:style>
  <w:style w:type="paragraph" w:styleId="17">
    <w:name w:val="index 5"/>
    <w:basedOn w:val="1"/>
    <w:next w:val="1"/>
    <w:qFormat/>
    <w:uiPriority w:val="0"/>
    <w:pPr>
      <w:ind w:left="800" w:leftChars="800"/>
    </w:pPr>
    <w:rPr>
      <w:rFonts w:ascii="Times New Roman"/>
      <w:kern w:val="2"/>
      <w:sz w:val="21"/>
    </w:rPr>
  </w:style>
  <w:style w:type="paragraph" w:styleId="18">
    <w:name w:val="Document Map"/>
    <w:basedOn w:val="1"/>
    <w:link w:val="115"/>
    <w:qFormat/>
    <w:uiPriority w:val="0"/>
    <w:pPr>
      <w:shd w:val="clear" w:color="auto" w:fill="000080"/>
    </w:pPr>
    <w:rPr>
      <w:rFonts w:ascii="Times New Roman"/>
      <w:kern w:val="2"/>
      <w:sz w:val="21"/>
      <w:szCs w:val="24"/>
    </w:rPr>
  </w:style>
  <w:style w:type="paragraph" w:styleId="19">
    <w:name w:val="annotation text"/>
    <w:basedOn w:val="1"/>
    <w:link w:val="107"/>
    <w:qFormat/>
    <w:uiPriority w:val="0"/>
    <w:pPr>
      <w:jc w:val="left"/>
    </w:pPr>
    <w:rPr>
      <w:rFonts w:ascii="Calibri" w:hAnsi="Calibri" w:eastAsia="微软雅黑"/>
      <w:kern w:val="2"/>
      <w:sz w:val="21"/>
    </w:rPr>
  </w:style>
  <w:style w:type="paragraph" w:styleId="20">
    <w:name w:val="index 6"/>
    <w:basedOn w:val="1"/>
    <w:next w:val="1"/>
    <w:qFormat/>
    <w:uiPriority w:val="0"/>
    <w:pPr>
      <w:ind w:left="1000" w:leftChars="1000"/>
    </w:pPr>
    <w:rPr>
      <w:rFonts w:ascii="Times New Roman"/>
      <w:kern w:val="2"/>
      <w:sz w:val="21"/>
    </w:rPr>
  </w:style>
  <w:style w:type="paragraph" w:styleId="21">
    <w:name w:val="Salutation"/>
    <w:basedOn w:val="1"/>
    <w:next w:val="1"/>
    <w:link w:val="116"/>
    <w:qFormat/>
    <w:uiPriority w:val="0"/>
    <w:pPr>
      <w:adjustRightInd w:val="0"/>
      <w:spacing w:after="20" w:line="288" w:lineRule="auto"/>
      <w:ind w:firstLine="420"/>
      <w:textAlignment w:val="baseline"/>
    </w:pPr>
    <w:rPr>
      <w:rFonts w:ascii="Times New Roman"/>
      <w:kern w:val="2"/>
      <w:sz w:val="28"/>
      <w:szCs w:val="24"/>
    </w:rPr>
  </w:style>
  <w:style w:type="paragraph" w:styleId="22">
    <w:name w:val="Body Text 3"/>
    <w:basedOn w:val="1"/>
    <w:link w:val="117"/>
    <w:qFormat/>
    <w:uiPriority w:val="0"/>
    <w:pPr>
      <w:adjustRightInd w:val="0"/>
      <w:spacing w:after="20" w:line="288" w:lineRule="auto"/>
      <w:jc w:val="center"/>
      <w:textAlignment w:val="baseline"/>
    </w:pPr>
    <w:rPr>
      <w:rFonts w:ascii="Times New Roman"/>
      <w:b/>
      <w:bCs/>
      <w:kern w:val="2"/>
      <w:sz w:val="24"/>
      <w:szCs w:val="24"/>
    </w:rPr>
  </w:style>
  <w:style w:type="paragraph" w:styleId="23">
    <w:name w:val="Closing"/>
    <w:basedOn w:val="1"/>
    <w:link w:val="118"/>
    <w:qFormat/>
    <w:uiPriority w:val="0"/>
    <w:pPr>
      <w:adjustRightInd w:val="0"/>
      <w:spacing w:after="20" w:line="288" w:lineRule="auto"/>
      <w:ind w:left="100" w:leftChars="2100" w:firstLine="420"/>
      <w:textAlignment w:val="baseline"/>
    </w:pPr>
    <w:rPr>
      <w:rFonts w:ascii="Times New Roman"/>
      <w:kern w:val="2"/>
      <w:sz w:val="28"/>
      <w:szCs w:val="24"/>
    </w:rPr>
  </w:style>
  <w:style w:type="paragraph" w:styleId="24">
    <w:name w:val="List Bullet 3"/>
    <w:basedOn w:val="1"/>
    <w:qFormat/>
    <w:uiPriority w:val="0"/>
    <w:pPr>
      <w:tabs>
        <w:tab w:val="left" w:pos="420"/>
        <w:tab w:val="left" w:pos="552"/>
      </w:tabs>
      <w:ind w:left="552" w:hanging="420"/>
    </w:pPr>
    <w:rPr>
      <w:rFonts w:ascii="Times New Roman"/>
      <w:kern w:val="2"/>
      <w:sz w:val="21"/>
      <w:szCs w:val="24"/>
    </w:rPr>
  </w:style>
  <w:style w:type="paragraph" w:styleId="25">
    <w:name w:val="Body Text"/>
    <w:basedOn w:val="1"/>
    <w:link w:val="95"/>
    <w:qFormat/>
    <w:uiPriority w:val="0"/>
    <w:pPr>
      <w:autoSpaceDE w:val="0"/>
      <w:autoSpaceDN w:val="0"/>
      <w:adjustRightInd w:val="0"/>
    </w:pPr>
    <w:rPr>
      <w:rFonts w:ascii="仿宋_GB2312" w:eastAsia="仿宋_GB2312"/>
      <w:sz w:val="28"/>
    </w:rPr>
  </w:style>
  <w:style w:type="paragraph" w:styleId="26">
    <w:name w:val="Body Text Indent"/>
    <w:basedOn w:val="1"/>
    <w:link w:val="114"/>
    <w:unhideWhenUsed/>
    <w:qFormat/>
    <w:uiPriority w:val="0"/>
    <w:pPr>
      <w:spacing w:after="120"/>
      <w:ind w:left="420" w:leftChars="200"/>
    </w:pPr>
  </w:style>
  <w:style w:type="paragraph" w:styleId="27">
    <w:name w:val="List 2"/>
    <w:basedOn w:val="1"/>
    <w:qFormat/>
    <w:uiPriority w:val="0"/>
    <w:pPr>
      <w:ind w:left="100" w:leftChars="200" w:hanging="200" w:hangingChars="200"/>
    </w:pPr>
    <w:rPr>
      <w:rFonts w:ascii="Times New Roman"/>
      <w:kern w:val="2"/>
      <w:sz w:val="21"/>
    </w:rPr>
  </w:style>
  <w:style w:type="paragraph" w:styleId="28">
    <w:name w:val="Block Text"/>
    <w:basedOn w:val="1"/>
    <w:qFormat/>
    <w:uiPriority w:val="0"/>
    <w:pPr>
      <w:adjustRightInd w:val="0"/>
      <w:ind w:left="420" w:right="33"/>
      <w:jc w:val="left"/>
      <w:textAlignment w:val="baseline"/>
    </w:pPr>
    <w:rPr>
      <w:rFonts w:ascii="Times New Roman"/>
      <w:sz w:val="24"/>
    </w:rPr>
  </w:style>
  <w:style w:type="paragraph" w:styleId="29">
    <w:name w:val="List Bullet 2"/>
    <w:basedOn w:val="1"/>
    <w:qFormat/>
    <w:uiPriority w:val="0"/>
    <w:pPr>
      <w:numPr>
        <w:ilvl w:val="0"/>
        <w:numId w:val="2"/>
      </w:numPr>
      <w:tabs>
        <w:tab w:val="left" w:pos="780"/>
      </w:tabs>
      <w:ind w:left="780"/>
    </w:pPr>
    <w:rPr>
      <w:rFonts w:ascii="Times New Roman"/>
      <w:kern w:val="2"/>
      <w:sz w:val="21"/>
      <w:szCs w:val="24"/>
    </w:rPr>
  </w:style>
  <w:style w:type="paragraph" w:styleId="30">
    <w:name w:val="index 4"/>
    <w:basedOn w:val="1"/>
    <w:next w:val="1"/>
    <w:qFormat/>
    <w:uiPriority w:val="0"/>
    <w:pPr>
      <w:ind w:left="600" w:leftChars="600"/>
    </w:pPr>
    <w:rPr>
      <w:rFonts w:ascii="Times New Roman"/>
      <w:kern w:val="2"/>
      <w:sz w:val="21"/>
    </w:rPr>
  </w:style>
  <w:style w:type="paragraph" w:styleId="31">
    <w:name w:val="toc 5"/>
    <w:basedOn w:val="1"/>
    <w:next w:val="1"/>
    <w:qFormat/>
    <w:uiPriority w:val="0"/>
    <w:pPr>
      <w:adjustRightInd w:val="0"/>
      <w:spacing w:line="288" w:lineRule="auto"/>
      <w:ind w:left="840" w:firstLine="420"/>
      <w:jc w:val="left"/>
      <w:textAlignment w:val="baseline"/>
    </w:pPr>
    <w:rPr>
      <w:rFonts w:ascii="Times New Roman"/>
      <w:kern w:val="2"/>
      <w:sz w:val="18"/>
      <w:szCs w:val="18"/>
    </w:rPr>
  </w:style>
  <w:style w:type="paragraph" w:styleId="32">
    <w:name w:val="toc 3"/>
    <w:basedOn w:val="1"/>
    <w:next w:val="1"/>
    <w:qFormat/>
    <w:uiPriority w:val="0"/>
    <w:pPr>
      <w:adjustRightInd w:val="0"/>
      <w:spacing w:line="288" w:lineRule="auto"/>
      <w:ind w:left="420" w:firstLine="420"/>
      <w:jc w:val="left"/>
      <w:textAlignment w:val="baseline"/>
    </w:pPr>
    <w:rPr>
      <w:rFonts w:ascii="Times New Roman"/>
      <w:iCs/>
      <w:kern w:val="2"/>
      <w:sz w:val="20"/>
    </w:rPr>
  </w:style>
  <w:style w:type="paragraph" w:styleId="33">
    <w:name w:val="Plain Text"/>
    <w:basedOn w:val="1"/>
    <w:link w:val="96"/>
    <w:qFormat/>
    <w:uiPriority w:val="0"/>
    <w:rPr>
      <w:rFonts w:hAnsi="Courier New"/>
      <w:kern w:val="2"/>
      <w:sz w:val="21"/>
      <w:szCs w:val="21"/>
    </w:rPr>
  </w:style>
  <w:style w:type="paragraph" w:styleId="34">
    <w:name w:val="List Bullet 5"/>
    <w:basedOn w:val="1"/>
    <w:qFormat/>
    <w:uiPriority w:val="0"/>
    <w:pPr>
      <w:widowControl/>
      <w:numPr>
        <w:ilvl w:val="0"/>
        <w:numId w:val="3"/>
      </w:numPr>
      <w:tabs>
        <w:tab w:val="left" w:pos="2040"/>
      </w:tabs>
      <w:spacing w:line="360" w:lineRule="exact"/>
    </w:pPr>
    <w:rPr>
      <w:rFonts w:ascii="Times New Roman" w:eastAsia="楷体_GB2312"/>
      <w:kern w:val="2"/>
      <w:sz w:val="24"/>
    </w:rPr>
  </w:style>
  <w:style w:type="paragraph" w:styleId="35">
    <w:name w:val="toc 8"/>
    <w:basedOn w:val="1"/>
    <w:next w:val="1"/>
    <w:qFormat/>
    <w:uiPriority w:val="0"/>
    <w:pPr>
      <w:adjustRightInd w:val="0"/>
      <w:spacing w:line="288" w:lineRule="auto"/>
      <w:ind w:left="1470" w:firstLine="420"/>
      <w:jc w:val="left"/>
      <w:textAlignment w:val="baseline"/>
    </w:pPr>
    <w:rPr>
      <w:rFonts w:ascii="Times New Roman"/>
      <w:kern w:val="2"/>
      <w:sz w:val="18"/>
      <w:szCs w:val="18"/>
    </w:rPr>
  </w:style>
  <w:style w:type="paragraph" w:styleId="36">
    <w:name w:val="index 3"/>
    <w:basedOn w:val="1"/>
    <w:next w:val="1"/>
    <w:qFormat/>
    <w:uiPriority w:val="0"/>
    <w:pPr>
      <w:ind w:left="400" w:leftChars="400"/>
    </w:pPr>
    <w:rPr>
      <w:rFonts w:ascii="Times New Roman"/>
      <w:kern w:val="2"/>
      <w:sz w:val="21"/>
    </w:rPr>
  </w:style>
  <w:style w:type="paragraph" w:styleId="37">
    <w:name w:val="Date"/>
    <w:basedOn w:val="1"/>
    <w:next w:val="1"/>
    <w:link w:val="121"/>
    <w:qFormat/>
    <w:uiPriority w:val="0"/>
    <w:pPr>
      <w:ind w:left="100" w:leftChars="2500"/>
    </w:pPr>
    <w:rPr>
      <w:rFonts w:ascii="楷体_GB2312" w:eastAsia="楷体_GB2312"/>
      <w:b/>
      <w:kern w:val="2"/>
      <w:sz w:val="28"/>
      <w:szCs w:val="24"/>
    </w:rPr>
  </w:style>
  <w:style w:type="paragraph" w:styleId="38">
    <w:name w:val="Body Text Indent 2"/>
    <w:basedOn w:val="1"/>
    <w:link w:val="122"/>
    <w:qFormat/>
    <w:uiPriority w:val="0"/>
    <w:pPr>
      <w:tabs>
        <w:tab w:val="left" w:pos="0"/>
        <w:tab w:val="left" w:pos="1134"/>
      </w:tabs>
      <w:snapToGrid w:val="0"/>
      <w:spacing w:line="400" w:lineRule="exact"/>
      <w:ind w:firstLine="559" w:firstLineChars="233"/>
    </w:pPr>
    <w:rPr>
      <w:rFonts w:ascii="楷体_GB2312" w:eastAsia="楷体_GB2312"/>
      <w:kern w:val="2"/>
      <w:sz w:val="24"/>
      <w:szCs w:val="24"/>
    </w:rPr>
  </w:style>
  <w:style w:type="paragraph" w:styleId="39">
    <w:name w:val="endnote text"/>
    <w:basedOn w:val="1"/>
    <w:link w:val="455"/>
    <w:semiHidden/>
    <w:qFormat/>
    <w:uiPriority w:val="0"/>
    <w:pPr>
      <w:jc w:val="left"/>
    </w:pPr>
    <w:rPr>
      <w:rFonts w:ascii="Times New Roman"/>
      <w:sz w:val="20"/>
    </w:rPr>
  </w:style>
  <w:style w:type="paragraph" w:styleId="40">
    <w:name w:val="List Continue 5"/>
    <w:basedOn w:val="1"/>
    <w:qFormat/>
    <w:uiPriority w:val="0"/>
    <w:pPr>
      <w:spacing w:after="120"/>
      <w:ind w:left="2100" w:leftChars="1000"/>
    </w:pPr>
    <w:rPr>
      <w:rFonts w:ascii="Times New Roman"/>
      <w:kern w:val="2"/>
      <w:sz w:val="21"/>
    </w:rPr>
  </w:style>
  <w:style w:type="paragraph" w:styleId="41">
    <w:name w:val="Balloon Text"/>
    <w:basedOn w:val="1"/>
    <w:link w:val="97"/>
    <w:qFormat/>
    <w:uiPriority w:val="0"/>
    <w:rPr>
      <w:sz w:val="18"/>
      <w:szCs w:val="18"/>
    </w:rPr>
  </w:style>
  <w:style w:type="paragraph" w:styleId="42">
    <w:name w:val="footer"/>
    <w:basedOn w:val="1"/>
    <w:link w:val="98"/>
    <w:qFormat/>
    <w:uiPriority w:val="0"/>
    <w:pPr>
      <w:tabs>
        <w:tab w:val="center" w:pos="4153"/>
        <w:tab w:val="right" w:pos="8306"/>
      </w:tabs>
      <w:snapToGrid w:val="0"/>
      <w:jc w:val="left"/>
    </w:pPr>
    <w:rPr>
      <w:rFonts w:ascii="Times New Roman"/>
      <w:kern w:val="2"/>
      <w:sz w:val="18"/>
      <w:szCs w:val="18"/>
    </w:rPr>
  </w:style>
  <w:style w:type="paragraph" w:styleId="43">
    <w:name w:val="header"/>
    <w:basedOn w:val="1"/>
    <w:link w:val="99"/>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44">
    <w:name w:val="toc 1"/>
    <w:basedOn w:val="1"/>
    <w:next w:val="1"/>
    <w:qFormat/>
    <w:uiPriority w:val="0"/>
    <w:pPr>
      <w:tabs>
        <w:tab w:val="right" w:leader="dot" w:pos="8296"/>
      </w:tabs>
      <w:adjustRightInd w:val="0"/>
      <w:spacing w:before="120" w:after="120" w:line="288" w:lineRule="auto"/>
      <w:textAlignment w:val="baseline"/>
    </w:pPr>
    <w:rPr>
      <w:rFonts w:ascii="黑体" w:hAnsi="宋体" w:eastAsia="黑体"/>
      <w:caps/>
      <w:kern w:val="2"/>
      <w:sz w:val="30"/>
      <w:szCs w:val="30"/>
    </w:rPr>
  </w:style>
  <w:style w:type="paragraph" w:styleId="45">
    <w:name w:val="List Continue 4"/>
    <w:basedOn w:val="1"/>
    <w:qFormat/>
    <w:uiPriority w:val="0"/>
    <w:pPr>
      <w:spacing w:after="120"/>
      <w:ind w:left="1680" w:leftChars="800"/>
    </w:pPr>
    <w:rPr>
      <w:rFonts w:ascii="Times New Roman"/>
      <w:kern w:val="2"/>
      <w:sz w:val="21"/>
    </w:rPr>
  </w:style>
  <w:style w:type="paragraph" w:styleId="46">
    <w:name w:val="toc 4"/>
    <w:basedOn w:val="1"/>
    <w:next w:val="1"/>
    <w:qFormat/>
    <w:uiPriority w:val="0"/>
    <w:pPr>
      <w:adjustRightInd w:val="0"/>
      <w:spacing w:line="288" w:lineRule="auto"/>
      <w:ind w:left="630" w:firstLine="420"/>
      <w:jc w:val="left"/>
      <w:textAlignment w:val="baseline"/>
    </w:pPr>
    <w:rPr>
      <w:rFonts w:ascii="Times New Roman"/>
      <w:kern w:val="2"/>
      <w:sz w:val="18"/>
      <w:szCs w:val="18"/>
    </w:rPr>
  </w:style>
  <w:style w:type="paragraph" w:styleId="47">
    <w:name w:val="Subtitle"/>
    <w:basedOn w:val="1"/>
    <w:next w:val="1"/>
    <w:link w:val="123"/>
    <w:qFormat/>
    <w:uiPriority w:val="0"/>
    <w:pPr>
      <w:spacing w:before="240" w:after="60" w:line="312" w:lineRule="auto"/>
      <w:jc w:val="center"/>
      <w:outlineLvl w:val="1"/>
    </w:pPr>
    <w:rPr>
      <w:rFonts w:ascii="幼圆" w:hAnsi="幼圆"/>
      <w:b/>
      <w:bCs/>
      <w:kern w:val="28"/>
      <w:sz w:val="32"/>
      <w:szCs w:val="32"/>
    </w:rPr>
  </w:style>
  <w:style w:type="paragraph" w:styleId="48">
    <w:name w:val="List"/>
    <w:basedOn w:val="1"/>
    <w:qFormat/>
    <w:uiPriority w:val="0"/>
    <w:pPr>
      <w:tabs>
        <w:tab w:val="left" w:pos="420"/>
        <w:tab w:val="left" w:pos="552"/>
      </w:tabs>
      <w:autoSpaceDE w:val="0"/>
      <w:autoSpaceDN w:val="0"/>
      <w:adjustRightInd w:val="0"/>
      <w:spacing w:after="20" w:line="288" w:lineRule="auto"/>
      <w:ind w:left="552" w:hanging="420"/>
      <w:textAlignment w:val="baseline"/>
    </w:pPr>
    <w:rPr>
      <w:rFonts w:ascii="Times New Roman"/>
      <w:sz w:val="21"/>
      <w:lang w:val="en-GB"/>
    </w:rPr>
  </w:style>
  <w:style w:type="paragraph" w:styleId="49">
    <w:name w:val="footnote text"/>
    <w:basedOn w:val="1"/>
    <w:link w:val="124"/>
    <w:qFormat/>
    <w:uiPriority w:val="0"/>
    <w:pPr>
      <w:adjustRightInd w:val="0"/>
      <w:spacing w:after="60" w:line="360" w:lineRule="exact"/>
      <w:ind w:firstLine="425"/>
      <w:jc w:val="left"/>
      <w:textAlignment w:val="baseline"/>
    </w:pPr>
    <w:rPr>
      <w:rFonts w:ascii="Times New Roman"/>
      <w:sz w:val="18"/>
      <w:szCs w:val="18"/>
    </w:rPr>
  </w:style>
  <w:style w:type="paragraph" w:styleId="50">
    <w:name w:val="toc 6"/>
    <w:basedOn w:val="1"/>
    <w:next w:val="1"/>
    <w:qFormat/>
    <w:uiPriority w:val="0"/>
    <w:pPr>
      <w:adjustRightInd w:val="0"/>
      <w:spacing w:line="288" w:lineRule="auto"/>
      <w:ind w:left="1050" w:firstLine="420"/>
      <w:jc w:val="left"/>
      <w:textAlignment w:val="baseline"/>
    </w:pPr>
    <w:rPr>
      <w:rFonts w:ascii="Times New Roman"/>
      <w:kern w:val="2"/>
      <w:sz w:val="18"/>
      <w:szCs w:val="18"/>
    </w:rPr>
  </w:style>
  <w:style w:type="paragraph" w:styleId="51">
    <w:name w:val="List 5"/>
    <w:basedOn w:val="1"/>
    <w:qFormat/>
    <w:uiPriority w:val="0"/>
    <w:pPr>
      <w:ind w:left="100" w:leftChars="800" w:hanging="200" w:hangingChars="200"/>
    </w:pPr>
    <w:rPr>
      <w:rFonts w:ascii="Times New Roman"/>
      <w:kern w:val="2"/>
      <w:sz w:val="21"/>
    </w:rPr>
  </w:style>
  <w:style w:type="paragraph" w:styleId="52">
    <w:name w:val="Body Text Indent 3"/>
    <w:basedOn w:val="1"/>
    <w:link w:val="100"/>
    <w:qFormat/>
    <w:uiPriority w:val="0"/>
    <w:pPr>
      <w:spacing w:line="300" w:lineRule="auto"/>
      <w:ind w:firstLine="480" w:firstLineChars="200"/>
      <w:jc w:val="left"/>
    </w:pPr>
    <w:rPr>
      <w:sz w:val="24"/>
      <w:szCs w:val="24"/>
    </w:rPr>
  </w:style>
  <w:style w:type="paragraph" w:styleId="53">
    <w:name w:val="index 7"/>
    <w:basedOn w:val="1"/>
    <w:next w:val="1"/>
    <w:qFormat/>
    <w:uiPriority w:val="0"/>
    <w:pPr>
      <w:ind w:left="1200" w:leftChars="1200"/>
    </w:pPr>
    <w:rPr>
      <w:rFonts w:ascii="Times New Roman"/>
      <w:kern w:val="2"/>
      <w:sz w:val="21"/>
    </w:rPr>
  </w:style>
  <w:style w:type="paragraph" w:styleId="54">
    <w:name w:val="index 9"/>
    <w:basedOn w:val="1"/>
    <w:next w:val="1"/>
    <w:qFormat/>
    <w:uiPriority w:val="0"/>
    <w:pPr>
      <w:ind w:left="1600" w:leftChars="1600"/>
    </w:pPr>
    <w:rPr>
      <w:rFonts w:ascii="Times New Roman"/>
      <w:kern w:val="2"/>
      <w:sz w:val="21"/>
    </w:rPr>
  </w:style>
  <w:style w:type="paragraph" w:styleId="55">
    <w:name w:val="toc 2"/>
    <w:basedOn w:val="1"/>
    <w:next w:val="1"/>
    <w:qFormat/>
    <w:uiPriority w:val="0"/>
    <w:pPr>
      <w:adjustRightInd w:val="0"/>
      <w:spacing w:line="288" w:lineRule="auto"/>
      <w:ind w:left="210" w:firstLine="420"/>
      <w:jc w:val="left"/>
      <w:textAlignment w:val="baseline"/>
    </w:pPr>
    <w:rPr>
      <w:rFonts w:ascii="Times New Roman"/>
      <w:smallCaps/>
      <w:kern w:val="2"/>
      <w:sz w:val="20"/>
    </w:rPr>
  </w:style>
  <w:style w:type="paragraph" w:styleId="56">
    <w:name w:val="toc 9"/>
    <w:basedOn w:val="1"/>
    <w:next w:val="1"/>
    <w:qFormat/>
    <w:uiPriority w:val="0"/>
    <w:pPr>
      <w:adjustRightInd w:val="0"/>
      <w:spacing w:line="288" w:lineRule="auto"/>
      <w:ind w:left="1680" w:firstLine="420"/>
      <w:jc w:val="left"/>
      <w:textAlignment w:val="baseline"/>
    </w:pPr>
    <w:rPr>
      <w:rFonts w:ascii="Times New Roman"/>
      <w:kern w:val="2"/>
      <w:sz w:val="18"/>
      <w:szCs w:val="18"/>
    </w:rPr>
  </w:style>
  <w:style w:type="paragraph" w:styleId="57">
    <w:name w:val="Body Text 2"/>
    <w:basedOn w:val="1"/>
    <w:link w:val="125"/>
    <w:qFormat/>
    <w:uiPriority w:val="0"/>
    <w:pPr>
      <w:adjustRightInd w:val="0"/>
      <w:spacing w:after="20" w:line="720" w:lineRule="auto"/>
      <w:ind w:firstLine="420"/>
      <w:textAlignment w:val="baseline"/>
    </w:pPr>
    <w:rPr>
      <w:rFonts w:ascii="Times New Roman"/>
      <w:kern w:val="2"/>
      <w:sz w:val="30"/>
      <w:szCs w:val="24"/>
    </w:rPr>
  </w:style>
  <w:style w:type="paragraph" w:styleId="58">
    <w:name w:val="List 4"/>
    <w:basedOn w:val="1"/>
    <w:qFormat/>
    <w:uiPriority w:val="0"/>
    <w:pPr>
      <w:ind w:left="100" w:leftChars="600" w:hanging="200" w:hangingChars="200"/>
    </w:pPr>
    <w:rPr>
      <w:rFonts w:ascii="Times New Roman"/>
      <w:kern w:val="2"/>
      <w:sz w:val="21"/>
    </w:rPr>
  </w:style>
  <w:style w:type="paragraph" w:styleId="59">
    <w:name w:val="List Continue 2"/>
    <w:basedOn w:val="1"/>
    <w:qFormat/>
    <w:uiPriority w:val="0"/>
    <w:pPr>
      <w:spacing w:after="120"/>
      <w:ind w:left="840" w:leftChars="400"/>
    </w:pPr>
    <w:rPr>
      <w:rFonts w:ascii="Times New Roman"/>
      <w:kern w:val="2"/>
      <w:sz w:val="21"/>
    </w:rPr>
  </w:style>
  <w:style w:type="paragraph" w:styleId="60">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8" w:lineRule="auto"/>
      <w:ind w:firstLine="420"/>
      <w:jc w:val="left"/>
      <w:textAlignment w:val="baseline"/>
    </w:pPr>
    <w:rPr>
      <w:rFonts w:ascii="黑体" w:hAnsi="Courier New" w:eastAsia="黑体"/>
      <w:sz w:val="20"/>
    </w:rPr>
  </w:style>
  <w:style w:type="paragraph" w:styleId="61">
    <w:name w:val="Normal (Web)"/>
    <w:basedOn w:val="1"/>
    <w:link w:val="126"/>
    <w:qFormat/>
    <w:uiPriority w:val="99"/>
    <w:pPr>
      <w:widowControl/>
      <w:adjustRightInd w:val="0"/>
      <w:spacing w:before="100" w:beforeAutospacing="1" w:after="100" w:afterAutospacing="1" w:line="288" w:lineRule="auto"/>
      <w:ind w:firstLine="420"/>
      <w:jc w:val="left"/>
      <w:textAlignment w:val="baseline"/>
    </w:pPr>
    <w:rPr>
      <w:rFonts w:hAnsi="宋体"/>
      <w:sz w:val="24"/>
      <w:szCs w:val="24"/>
    </w:rPr>
  </w:style>
  <w:style w:type="paragraph" w:styleId="62">
    <w:name w:val="List Continue 3"/>
    <w:basedOn w:val="1"/>
    <w:qFormat/>
    <w:uiPriority w:val="0"/>
    <w:pPr>
      <w:spacing w:after="120"/>
      <w:ind w:left="1260" w:leftChars="600"/>
    </w:pPr>
    <w:rPr>
      <w:rFonts w:ascii="Times New Roman"/>
      <w:kern w:val="2"/>
      <w:sz w:val="21"/>
    </w:rPr>
  </w:style>
  <w:style w:type="paragraph" w:styleId="63">
    <w:name w:val="index 1"/>
    <w:basedOn w:val="1"/>
    <w:next w:val="1"/>
    <w:qFormat/>
    <w:uiPriority w:val="0"/>
    <w:rPr>
      <w:rFonts w:ascii="Times New Roman"/>
      <w:kern w:val="2"/>
      <w:sz w:val="21"/>
    </w:rPr>
  </w:style>
  <w:style w:type="paragraph" w:styleId="64">
    <w:name w:val="index 2"/>
    <w:basedOn w:val="1"/>
    <w:next w:val="1"/>
    <w:qFormat/>
    <w:uiPriority w:val="0"/>
    <w:pPr>
      <w:ind w:left="200" w:leftChars="200"/>
    </w:pPr>
    <w:rPr>
      <w:rFonts w:ascii="Times New Roman"/>
      <w:kern w:val="2"/>
      <w:sz w:val="21"/>
    </w:rPr>
  </w:style>
  <w:style w:type="paragraph" w:styleId="65">
    <w:name w:val="Title"/>
    <w:basedOn w:val="1"/>
    <w:link w:val="127"/>
    <w:qFormat/>
    <w:uiPriority w:val="0"/>
    <w:pPr>
      <w:adjustRightInd w:val="0"/>
      <w:spacing w:before="240" w:after="60" w:line="288" w:lineRule="auto"/>
      <w:ind w:firstLine="420"/>
      <w:jc w:val="center"/>
      <w:textAlignment w:val="baseline"/>
      <w:outlineLvl w:val="0"/>
    </w:pPr>
    <w:rPr>
      <w:rFonts w:ascii="Arial" w:hAnsi="Arial"/>
      <w:b/>
      <w:bCs/>
      <w:kern w:val="2"/>
      <w:sz w:val="32"/>
      <w:szCs w:val="32"/>
    </w:rPr>
  </w:style>
  <w:style w:type="paragraph" w:styleId="66">
    <w:name w:val="annotation subject"/>
    <w:basedOn w:val="19"/>
    <w:next w:val="19"/>
    <w:link w:val="128"/>
    <w:qFormat/>
    <w:uiPriority w:val="0"/>
    <w:rPr>
      <w:rFonts w:ascii="Times New Roman" w:hAnsi="Times New Roman" w:eastAsia="宋体"/>
      <w:b/>
      <w:bCs/>
      <w:szCs w:val="24"/>
    </w:rPr>
  </w:style>
  <w:style w:type="paragraph" w:styleId="67">
    <w:name w:val="Body Text First Indent"/>
    <w:basedOn w:val="25"/>
    <w:link w:val="129"/>
    <w:qFormat/>
    <w:uiPriority w:val="0"/>
    <w:pPr>
      <w:spacing w:after="120"/>
      <w:ind w:firstLine="420" w:firstLineChars="100"/>
    </w:pPr>
    <w:rPr>
      <w:sz w:val="21"/>
      <w:szCs w:val="24"/>
    </w:rPr>
  </w:style>
  <w:style w:type="paragraph" w:styleId="68">
    <w:name w:val="Body Text First Indent 2"/>
    <w:basedOn w:val="26"/>
    <w:link w:val="130"/>
    <w:qFormat/>
    <w:uiPriority w:val="0"/>
    <w:pPr>
      <w:ind w:firstLine="420" w:firstLineChars="200"/>
    </w:pPr>
    <w:rPr>
      <w:rFonts w:ascii="Cambria" w:hAnsi="Cambria" w:eastAsia="华文细黑"/>
      <w:kern w:val="2"/>
      <w:sz w:val="21"/>
    </w:rPr>
  </w:style>
  <w:style w:type="table" w:styleId="70">
    <w:name w:val="Table Grid"/>
    <w:basedOn w:val="6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2">
    <w:name w:val="Strong"/>
    <w:qFormat/>
    <w:uiPriority w:val="22"/>
    <w:rPr>
      <w:b/>
      <w:bCs/>
    </w:rPr>
  </w:style>
  <w:style w:type="character" w:styleId="73">
    <w:name w:val="page number"/>
    <w:qFormat/>
    <w:uiPriority w:val="0"/>
  </w:style>
  <w:style w:type="character" w:styleId="74">
    <w:name w:val="FollowedHyperlink"/>
    <w:qFormat/>
    <w:uiPriority w:val="0"/>
    <w:rPr>
      <w:rFonts w:ascii="Times New Roman" w:hAnsi="Times New Roman" w:eastAsia="宋体" w:cs="Times New Roman"/>
      <w:color w:val="auto"/>
      <w:u w:val="none"/>
    </w:rPr>
  </w:style>
  <w:style w:type="character" w:styleId="75">
    <w:name w:val="Emphasis"/>
    <w:qFormat/>
    <w:uiPriority w:val="20"/>
  </w:style>
  <w:style w:type="character" w:styleId="76">
    <w:name w:val="HTML Definition"/>
    <w:qFormat/>
    <w:uiPriority w:val="0"/>
  </w:style>
  <w:style w:type="character" w:styleId="77">
    <w:name w:val="HTML Typewriter"/>
    <w:unhideWhenUsed/>
    <w:qFormat/>
    <w:uiPriority w:val="0"/>
    <w:rPr>
      <w:rFonts w:ascii="宋体" w:hAnsi="宋体" w:eastAsia="宋体" w:cs="宋体"/>
      <w:sz w:val="24"/>
      <w:szCs w:val="24"/>
    </w:rPr>
  </w:style>
  <w:style w:type="character" w:styleId="78">
    <w:name w:val="HTML Variable"/>
    <w:qFormat/>
    <w:uiPriority w:val="0"/>
  </w:style>
  <w:style w:type="character" w:styleId="79">
    <w:name w:val="Hyperlink"/>
    <w:qFormat/>
    <w:uiPriority w:val="0"/>
    <w:rPr>
      <w:color w:val="333333"/>
      <w:u w:val="none"/>
    </w:rPr>
  </w:style>
  <w:style w:type="character" w:styleId="80">
    <w:name w:val="HTML Code"/>
    <w:qFormat/>
    <w:uiPriority w:val="0"/>
    <w:rPr>
      <w:rFonts w:ascii="Courier New" w:hAnsi="Courier New"/>
      <w:sz w:val="20"/>
    </w:rPr>
  </w:style>
  <w:style w:type="character" w:styleId="81">
    <w:name w:val="annotation reference"/>
    <w:qFormat/>
    <w:uiPriority w:val="0"/>
    <w:rPr>
      <w:sz w:val="21"/>
      <w:szCs w:val="21"/>
    </w:rPr>
  </w:style>
  <w:style w:type="character" w:styleId="82">
    <w:name w:val="HTML Cite"/>
    <w:qFormat/>
    <w:uiPriority w:val="0"/>
  </w:style>
  <w:style w:type="character" w:styleId="83">
    <w:name w:val="footnote reference"/>
    <w:uiPriority w:val="0"/>
    <w:rPr>
      <w:rFonts w:ascii="宋体" w:hAnsi="宋体" w:eastAsia="宋体"/>
      <w:vertAlign w:val="superscript"/>
    </w:rPr>
  </w:style>
  <w:style w:type="character" w:styleId="84">
    <w:name w:val="HTML Keyboard"/>
    <w:qFormat/>
    <w:uiPriority w:val="0"/>
    <w:rPr>
      <w:rFonts w:ascii="Arial" w:hAnsi="Arial" w:cs="Arial"/>
      <w:sz w:val="20"/>
    </w:rPr>
  </w:style>
  <w:style w:type="character" w:styleId="85">
    <w:name w:val="HTML Sample"/>
    <w:qFormat/>
    <w:uiPriority w:val="0"/>
    <w:rPr>
      <w:rFonts w:ascii="Arial" w:hAnsi="Arial" w:cs="Arial"/>
    </w:rPr>
  </w:style>
  <w:style w:type="character" w:customStyle="1" w:styleId="86">
    <w:name w:val="标题 1 Char"/>
    <w:link w:val="3"/>
    <w:qFormat/>
    <w:uiPriority w:val="0"/>
    <w:rPr>
      <w:rFonts w:ascii="黑体" w:hAnsi="Times New Roman" w:eastAsia="黑体" w:cs="Times New Roman"/>
      <w:b/>
      <w:bCs/>
      <w:kern w:val="44"/>
      <w:sz w:val="44"/>
      <w:szCs w:val="44"/>
    </w:rPr>
  </w:style>
  <w:style w:type="character" w:customStyle="1" w:styleId="87">
    <w:name w:val="标题 2 Char"/>
    <w:basedOn w:val="71"/>
    <w:link w:val="4"/>
    <w:qFormat/>
    <w:uiPriority w:val="0"/>
    <w:rPr>
      <w:rFonts w:ascii="Arial" w:hAnsi="Arial" w:eastAsia="黑体" w:cs="Times New Roman"/>
      <w:b/>
      <w:bCs/>
      <w:kern w:val="2"/>
      <w:sz w:val="32"/>
      <w:szCs w:val="32"/>
    </w:rPr>
  </w:style>
  <w:style w:type="character" w:customStyle="1" w:styleId="88">
    <w:name w:val="标题 3 Char"/>
    <w:link w:val="5"/>
    <w:qFormat/>
    <w:uiPriority w:val="0"/>
    <w:rPr>
      <w:rFonts w:ascii="黑体" w:hAnsi="Times New Roman" w:eastAsia="黑体" w:cs="Times New Roman"/>
      <w:b/>
      <w:bCs/>
      <w:kern w:val="2"/>
      <w:sz w:val="32"/>
      <w:szCs w:val="32"/>
    </w:rPr>
  </w:style>
  <w:style w:type="character" w:customStyle="1" w:styleId="89">
    <w:name w:val="标题 5 Char"/>
    <w:basedOn w:val="71"/>
    <w:link w:val="6"/>
    <w:qFormat/>
    <w:uiPriority w:val="0"/>
    <w:rPr>
      <w:rFonts w:ascii="黑体" w:hAnsi="Times New Roman" w:eastAsia="黑体" w:cs="Times New Roman"/>
      <w:b/>
      <w:bCs/>
      <w:kern w:val="2"/>
      <w:sz w:val="28"/>
      <w:szCs w:val="28"/>
    </w:rPr>
  </w:style>
  <w:style w:type="character" w:customStyle="1" w:styleId="90">
    <w:name w:val="标题 6 Char"/>
    <w:basedOn w:val="71"/>
    <w:link w:val="7"/>
    <w:qFormat/>
    <w:uiPriority w:val="0"/>
    <w:rPr>
      <w:rFonts w:ascii="Arial" w:hAnsi="Arial" w:eastAsia="黑体" w:cs="Times New Roman"/>
      <w:b/>
      <w:kern w:val="2"/>
      <w:sz w:val="24"/>
      <w:szCs w:val="24"/>
    </w:rPr>
  </w:style>
  <w:style w:type="character" w:customStyle="1" w:styleId="91">
    <w:name w:val="标题 7 Char"/>
    <w:basedOn w:val="71"/>
    <w:link w:val="8"/>
    <w:qFormat/>
    <w:uiPriority w:val="0"/>
    <w:rPr>
      <w:rFonts w:ascii="Times New Roman" w:hAnsi="Times New Roman" w:eastAsia="宋体" w:cs="Times New Roman"/>
      <w:b/>
      <w:kern w:val="2"/>
      <w:sz w:val="24"/>
      <w:szCs w:val="24"/>
    </w:rPr>
  </w:style>
  <w:style w:type="character" w:customStyle="1" w:styleId="92">
    <w:name w:val="标题 8 Char"/>
    <w:basedOn w:val="71"/>
    <w:link w:val="9"/>
    <w:qFormat/>
    <w:uiPriority w:val="0"/>
    <w:rPr>
      <w:rFonts w:ascii="Arial" w:hAnsi="Arial" w:eastAsia="黑体" w:cs="Times New Roman"/>
      <w:kern w:val="2"/>
      <w:sz w:val="24"/>
      <w:szCs w:val="24"/>
    </w:rPr>
  </w:style>
  <w:style w:type="character" w:customStyle="1" w:styleId="93">
    <w:name w:val="标题 9 Char"/>
    <w:basedOn w:val="71"/>
    <w:link w:val="10"/>
    <w:qFormat/>
    <w:uiPriority w:val="0"/>
    <w:rPr>
      <w:rFonts w:ascii="Arial" w:hAnsi="Arial" w:eastAsia="黑体" w:cs="Times New Roman"/>
      <w:kern w:val="2"/>
      <w:sz w:val="21"/>
      <w:szCs w:val="24"/>
    </w:rPr>
  </w:style>
  <w:style w:type="character" w:customStyle="1" w:styleId="94">
    <w:name w:val="正文缩进 Char"/>
    <w:link w:val="15"/>
    <w:qFormat/>
    <w:uiPriority w:val="0"/>
    <w:rPr>
      <w:rFonts w:ascii="Times New Roman" w:hAnsi="Times New Roman" w:eastAsia="宋体" w:cs="Times New Roman"/>
    </w:rPr>
  </w:style>
  <w:style w:type="character" w:customStyle="1" w:styleId="95">
    <w:name w:val="正文文本 Char1"/>
    <w:basedOn w:val="71"/>
    <w:link w:val="25"/>
    <w:qFormat/>
    <w:uiPriority w:val="0"/>
    <w:rPr>
      <w:rFonts w:ascii="仿宋_GB2312" w:hAnsi="Times New Roman" w:eastAsia="仿宋_GB2312" w:cs="Times New Roman"/>
      <w:sz w:val="28"/>
    </w:rPr>
  </w:style>
  <w:style w:type="character" w:customStyle="1" w:styleId="96">
    <w:name w:val="纯文本 Char"/>
    <w:link w:val="33"/>
    <w:qFormat/>
    <w:uiPriority w:val="0"/>
    <w:rPr>
      <w:rFonts w:ascii="宋体" w:hAnsi="Courier New" w:eastAsia="宋体" w:cs="Times New Roman"/>
      <w:kern w:val="2"/>
      <w:sz w:val="21"/>
      <w:szCs w:val="21"/>
    </w:rPr>
  </w:style>
  <w:style w:type="character" w:customStyle="1" w:styleId="97">
    <w:name w:val="批注框文本 Char"/>
    <w:basedOn w:val="71"/>
    <w:link w:val="41"/>
    <w:qFormat/>
    <w:uiPriority w:val="0"/>
    <w:rPr>
      <w:rFonts w:ascii="宋体" w:hAnsi="Times New Roman" w:eastAsia="宋体" w:cs="Times New Roman"/>
      <w:sz w:val="18"/>
      <w:szCs w:val="18"/>
    </w:rPr>
  </w:style>
  <w:style w:type="character" w:customStyle="1" w:styleId="98">
    <w:name w:val="页脚 Char"/>
    <w:link w:val="42"/>
    <w:qFormat/>
    <w:uiPriority w:val="0"/>
    <w:rPr>
      <w:rFonts w:ascii="Times New Roman" w:hAnsi="Times New Roman" w:eastAsia="宋体" w:cs="Times New Roman"/>
      <w:kern w:val="2"/>
      <w:sz w:val="18"/>
      <w:szCs w:val="18"/>
    </w:rPr>
  </w:style>
  <w:style w:type="character" w:customStyle="1" w:styleId="99">
    <w:name w:val="页眉 Char"/>
    <w:basedOn w:val="71"/>
    <w:link w:val="43"/>
    <w:qFormat/>
    <w:uiPriority w:val="0"/>
    <w:rPr>
      <w:rFonts w:ascii="Times New Roman" w:hAnsi="Times New Roman" w:eastAsia="宋体" w:cs="Times New Roman"/>
      <w:kern w:val="2"/>
      <w:sz w:val="18"/>
      <w:szCs w:val="18"/>
    </w:rPr>
  </w:style>
  <w:style w:type="character" w:customStyle="1" w:styleId="100">
    <w:name w:val="正文文本缩进 3 Char"/>
    <w:link w:val="52"/>
    <w:qFormat/>
    <w:uiPriority w:val="0"/>
    <w:rPr>
      <w:rFonts w:ascii="宋体" w:hAnsi="Times New Roman" w:eastAsia="宋体" w:cs="Times New Roman"/>
      <w:sz w:val="24"/>
      <w:szCs w:val="24"/>
    </w:rPr>
  </w:style>
  <w:style w:type="character" w:customStyle="1" w:styleId="101">
    <w:name w:val="HTML 预设格式 Char"/>
    <w:link w:val="60"/>
    <w:qFormat/>
    <w:uiPriority w:val="0"/>
    <w:rPr>
      <w:rFonts w:ascii="黑体" w:hAnsi="Courier New" w:eastAsia="黑体" w:cs="Times New Roman"/>
    </w:rPr>
  </w:style>
  <w:style w:type="paragraph" w:customStyle="1" w:styleId="102">
    <w:name w:val="普通文字"/>
    <w:basedOn w:val="1"/>
    <w:next w:val="1"/>
    <w:qFormat/>
    <w:uiPriority w:val="0"/>
    <w:rPr>
      <w:sz w:val="24"/>
      <w:u w:color="000000"/>
    </w:rPr>
  </w:style>
  <w:style w:type="paragraph" w:customStyle="1" w:styleId="103">
    <w:name w:val="Char"/>
    <w:basedOn w:val="1"/>
    <w:qFormat/>
    <w:uiPriority w:val="0"/>
    <w:pPr>
      <w:numPr>
        <w:ilvl w:val="0"/>
        <w:numId w:val="4"/>
      </w:numPr>
      <w:tabs>
        <w:tab w:val="left" w:pos="1080"/>
        <w:tab w:val="clear" w:pos="552"/>
      </w:tabs>
    </w:pPr>
    <w:rPr>
      <w:rFonts w:ascii="Times New Roman"/>
      <w:kern w:val="2"/>
      <w:sz w:val="24"/>
      <w:szCs w:val="24"/>
    </w:rPr>
  </w:style>
  <w:style w:type="paragraph" w:customStyle="1" w:styleId="104">
    <w:name w:val="_Style 5"/>
    <w:basedOn w:val="3"/>
    <w:next w:val="1"/>
    <w:qFormat/>
    <w:uiPriority w:val="0"/>
    <w:pPr>
      <w:numPr>
        <w:numId w:val="0"/>
      </w:numPr>
      <w:jc w:val="both"/>
      <w:outlineLvl w:val="9"/>
    </w:pPr>
    <w:rPr>
      <w:rFonts w:ascii="Cambria" w:hAnsi="Cambria" w:eastAsia="华文细黑" w:cs="Cambria"/>
    </w:rPr>
  </w:style>
  <w:style w:type="paragraph" w:customStyle="1" w:styleId="105">
    <w:name w:val="项目编号1"/>
    <w:basedOn w:val="1"/>
    <w:next w:val="1"/>
    <w:qFormat/>
    <w:uiPriority w:val="0"/>
    <w:pPr>
      <w:numPr>
        <w:ilvl w:val="0"/>
        <w:numId w:val="5"/>
      </w:numPr>
      <w:tabs>
        <w:tab w:val="left" w:pos="2460"/>
      </w:tabs>
      <w:spacing w:line="360" w:lineRule="auto"/>
      <w:jc w:val="left"/>
    </w:pPr>
    <w:rPr>
      <w:kern w:val="2"/>
      <w:sz w:val="24"/>
      <w:szCs w:val="24"/>
    </w:rPr>
  </w:style>
  <w:style w:type="character" w:customStyle="1" w:styleId="106">
    <w:name w:val="批注文字 Char1"/>
    <w:link w:val="19"/>
    <w:qFormat/>
    <w:uiPriority w:val="0"/>
    <w:rPr>
      <w:rFonts w:ascii="Calibri" w:hAnsi="Calibri" w:eastAsia="微软雅黑" w:cs="Times New Roman"/>
      <w:kern w:val="2"/>
      <w:sz w:val="21"/>
    </w:rPr>
  </w:style>
  <w:style w:type="character" w:customStyle="1" w:styleId="107">
    <w:name w:val="批注文字 Char"/>
    <w:basedOn w:val="71"/>
    <w:link w:val="19"/>
    <w:qFormat/>
    <w:uiPriority w:val="0"/>
    <w:rPr>
      <w:rFonts w:ascii="宋体" w:hAnsi="Times New Roman" w:eastAsia="宋体" w:cs="Times New Roman"/>
      <w:sz w:val="34"/>
    </w:rPr>
  </w:style>
  <w:style w:type="paragraph" w:styleId="108">
    <w:name w:val="List Paragraph"/>
    <w:basedOn w:val="1"/>
    <w:link w:val="109"/>
    <w:unhideWhenUsed/>
    <w:qFormat/>
    <w:uiPriority w:val="34"/>
    <w:pPr>
      <w:ind w:firstLine="420" w:firstLineChars="200"/>
    </w:pPr>
  </w:style>
  <w:style w:type="character" w:customStyle="1" w:styleId="109">
    <w:name w:val="列出段落 Char"/>
    <w:link w:val="108"/>
    <w:qFormat/>
    <w:uiPriority w:val="34"/>
    <w:rPr>
      <w:rFonts w:ascii="宋体" w:hAnsi="Times New Roman" w:eastAsia="宋体" w:cs="Times New Roman"/>
      <w:sz w:val="34"/>
    </w:rPr>
  </w:style>
  <w:style w:type="paragraph" w:customStyle="1" w:styleId="110">
    <w:name w:val="题注4"/>
    <w:basedOn w:val="1"/>
    <w:next w:val="16"/>
    <w:qFormat/>
    <w:uiPriority w:val="0"/>
    <w:pPr>
      <w:framePr w:hSpace="180" w:wrap="around" w:vAnchor="text" w:hAnchor="margin" w:y="514"/>
      <w:numPr>
        <w:ilvl w:val="0"/>
        <w:numId w:val="6"/>
      </w:numPr>
      <w:ind w:left="0" w:firstLine="0"/>
      <w:jc w:val="center"/>
    </w:pPr>
    <w:rPr>
      <w:rFonts w:ascii="Times New Roman"/>
      <w:b/>
      <w:color w:val="000000"/>
      <w:kern w:val="2"/>
      <w:sz w:val="21"/>
      <w:szCs w:val="21"/>
      <w:lang w:val="en-GB"/>
    </w:rPr>
  </w:style>
  <w:style w:type="paragraph" w:customStyle="1" w:styleId="111">
    <w:name w:val="Char Char Char Char"/>
    <w:basedOn w:val="1"/>
    <w:qFormat/>
    <w:uiPriority w:val="0"/>
    <w:pPr>
      <w:widowControl/>
      <w:numPr>
        <w:ilvl w:val="0"/>
        <w:numId w:val="7"/>
      </w:numPr>
      <w:tabs>
        <w:tab w:val="left" w:pos="1095"/>
      </w:tabs>
      <w:spacing w:after="120" w:line="360" w:lineRule="auto"/>
      <w:ind w:left="560" w:firstLine="480" w:firstLineChars="200"/>
      <w:jc w:val="left"/>
    </w:pPr>
    <w:rPr>
      <w:rFonts w:ascii="Verdana" w:hAnsi="Verdana"/>
      <w:sz w:val="24"/>
      <w:szCs w:val="24"/>
    </w:rPr>
  </w:style>
  <w:style w:type="paragraph" w:customStyle="1" w:styleId="112">
    <w:name w:val="文档-标题3"/>
    <w:basedOn w:val="1"/>
    <w:next w:val="1"/>
    <w:qFormat/>
    <w:uiPriority w:val="0"/>
    <w:pPr>
      <w:keepNext/>
      <w:keepLines/>
      <w:numPr>
        <w:ilvl w:val="3"/>
        <w:numId w:val="7"/>
      </w:numPr>
      <w:spacing w:before="260" w:after="260" w:line="416" w:lineRule="auto"/>
      <w:jc w:val="left"/>
      <w:outlineLvl w:val="2"/>
    </w:pPr>
    <w:rPr>
      <w:rFonts w:ascii="Calibri" w:hAnsi="Calibri"/>
      <w:b/>
      <w:bCs/>
      <w:color w:val="7030A0"/>
      <w:kern w:val="2"/>
      <w:sz w:val="32"/>
      <w:szCs w:val="32"/>
    </w:rPr>
  </w:style>
  <w:style w:type="paragraph" w:customStyle="1" w:styleId="113">
    <w:name w:val="文档-标题2"/>
    <w:basedOn w:val="1"/>
    <w:next w:val="1"/>
    <w:qFormat/>
    <w:uiPriority w:val="0"/>
    <w:pPr>
      <w:keepNext/>
      <w:keepLines/>
      <w:numPr>
        <w:ilvl w:val="1"/>
        <w:numId w:val="7"/>
      </w:numPr>
      <w:spacing w:before="260" w:after="260" w:line="416" w:lineRule="auto"/>
      <w:jc w:val="left"/>
      <w:outlineLvl w:val="1"/>
    </w:pPr>
    <w:rPr>
      <w:rFonts w:ascii="Cambria" w:hAnsi="Cambria"/>
      <w:b/>
      <w:bCs/>
      <w:color w:val="7030A0"/>
      <w:kern w:val="2"/>
      <w:sz w:val="32"/>
      <w:szCs w:val="32"/>
    </w:rPr>
  </w:style>
  <w:style w:type="character" w:customStyle="1" w:styleId="114">
    <w:name w:val="正文文本缩进 Char"/>
    <w:basedOn w:val="71"/>
    <w:link w:val="26"/>
    <w:qFormat/>
    <w:uiPriority w:val="0"/>
    <w:rPr>
      <w:rFonts w:ascii="宋体" w:hAnsi="Times New Roman" w:eastAsia="宋体" w:cs="Times New Roman"/>
      <w:sz w:val="34"/>
    </w:rPr>
  </w:style>
  <w:style w:type="character" w:customStyle="1" w:styleId="115">
    <w:name w:val="文档结构图 Char"/>
    <w:basedOn w:val="71"/>
    <w:link w:val="18"/>
    <w:qFormat/>
    <w:uiPriority w:val="0"/>
    <w:rPr>
      <w:rFonts w:ascii="Times New Roman" w:hAnsi="Times New Roman" w:eastAsia="宋体" w:cs="Times New Roman"/>
      <w:kern w:val="2"/>
      <w:sz w:val="21"/>
      <w:szCs w:val="24"/>
      <w:shd w:val="clear" w:color="auto" w:fill="000080"/>
    </w:rPr>
  </w:style>
  <w:style w:type="character" w:customStyle="1" w:styleId="116">
    <w:name w:val="称呼 Char"/>
    <w:basedOn w:val="71"/>
    <w:link w:val="21"/>
    <w:qFormat/>
    <w:uiPriority w:val="0"/>
    <w:rPr>
      <w:rFonts w:ascii="Times New Roman" w:hAnsi="Times New Roman" w:eastAsia="宋体" w:cs="Times New Roman"/>
      <w:kern w:val="2"/>
      <w:sz w:val="28"/>
      <w:szCs w:val="24"/>
    </w:rPr>
  </w:style>
  <w:style w:type="character" w:customStyle="1" w:styleId="117">
    <w:name w:val="正文文本 3 Char"/>
    <w:basedOn w:val="71"/>
    <w:link w:val="22"/>
    <w:qFormat/>
    <w:uiPriority w:val="0"/>
    <w:rPr>
      <w:rFonts w:ascii="Times New Roman" w:hAnsi="Times New Roman" w:eastAsia="宋体" w:cs="Times New Roman"/>
      <w:b/>
      <w:bCs/>
      <w:kern w:val="2"/>
      <w:sz w:val="24"/>
      <w:szCs w:val="24"/>
    </w:rPr>
  </w:style>
  <w:style w:type="character" w:customStyle="1" w:styleId="118">
    <w:name w:val="结束语 Char"/>
    <w:basedOn w:val="71"/>
    <w:link w:val="23"/>
    <w:qFormat/>
    <w:uiPriority w:val="0"/>
    <w:rPr>
      <w:rFonts w:ascii="Times New Roman" w:hAnsi="Times New Roman" w:eastAsia="宋体" w:cs="Times New Roman"/>
      <w:kern w:val="2"/>
      <w:sz w:val="28"/>
      <w:szCs w:val="24"/>
    </w:rPr>
  </w:style>
  <w:style w:type="character" w:customStyle="1" w:styleId="119">
    <w:name w:val="正文文本 Char"/>
    <w:qFormat/>
    <w:uiPriority w:val="0"/>
    <w:rPr>
      <w:rFonts w:ascii="仿宋_GB2312" w:eastAsia="仿宋_GB2312"/>
      <w:sz w:val="28"/>
    </w:rPr>
  </w:style>
  <w:style w:type="character" w:customStyle="1" w:styleId="120">
    <w:name w:val="正文文本缩进 Char1"/>
    <w:uiPriority w:val="0"/>
    <w:rPr>
      <w:rFonts w:ascii="仿宋_GB2312" w:eastAsia="仿宋_GB2312"/>
      <w:sz w:val="28"/>
    </w:rPr>
  </w:style>
  <w:style w:type="character" w:customStyle="1" w:styleId="121">
    <w:name w:val="日期 Char"/>
    <w:basedOn w:val="71"/>
    <w:link w:val="37"/>
    <w:qFormat/>
    <w:uiPriority w:val="0"/>
    <w:rPr>
      <w:rFonts w:ascii="楷体_GB2312" w:hAnsi="Times New Roman" w:eastAsia="楷体_GB2312" w:cs="Times New Roman"/>
      <w:b/>
      <w:kern w:val="2"/>
      <w:sz w:val="28"/>
      <w:szCs w:val="24"/>
    </w:rPr>
  </w:style>
  <w:style w:type="character" w:customStyle="1" w:styleId="122">
    <w:name w:val="正文文本缩进 2 Char"/>
    <w:basedOn w:val="71"/>
    <w:link w:val="38"/>
    <w:qFormat/>
    <w:uiPriority w:val="0"/>
    <w:rPr>
      <w:rFonts w:ascii="楷体_GB2312" w:hAnsi="Times New Roman" w:eastAsia="楷体_GB2312" w:cs="Times New Roman"/>
      <w:kern w:val="2"/>
      <w:sz w:val="24"/>
      <w:szCs w:val="24"/>
    </w:rPr>
  </w:style>
  <w:style w:type="character" w:customStyle="1" w:styleId="123">
    <w:name w:val="副标题 Char"/>
    <w:basedOn w:val="71"/>
    <w:link w:val="47"/>
    <w:qFormat/>
    <w:uiPriority w:val="0"/>
    <w:rPr>
      <w:rFonts w:ascii="幼圆" w:hAnsi="幼圆" w:eastAsia="宋体" w:cs="Times New Roman"/>
      <w:b/>
      <w:bCs/>
      <w:kern w:val="28"/>
      <w:sz w:val="32"/>
      <w:szCs w:val="32"/>
    </w:rPr>
  </w:style>
  <w:style w:type="character" w:customStyle="1" w:styleId="124">
    <w:name w:val="脚注文本 Char"/>
    <w:basedOn w:val="71"/>
    <w:link w:val="49"/>
    <w:uiPriority w:val="0"/>
    <w:rPr>
      <w:rFonts w:ascii="Times New Roman" w:hAnsi="Times New Roman" w:eastAsia="宋体" w:cs="Times New Roman"/>
      <w:sz w:val="18"/>
      <w:szCs w:val="18"/>
    </w:rPr>
  </w:style>
  <w:style w:type="character" w:customStyle="1" w:styleId="125">
    <w:name w:val="正文文本 2 Char"/>
    <w:basedOn w:val="71"/>
    <w:link w:val="57"/>
    <w:qFormat/>
    <w:uiPriority w:val="0"/>
    <w:rPr>
      <w:rFonts w:ascii="Times New Roman" w:hAnsi="Times New Roman" w:eastAsia="宋体" w:cs="Times New Roman"/>
      <w:kern w:val="2"/>
      <w:sz w:val="30"/>
      <w:szCs w:val="24"/>
    </w:rPr>
  </w:style>
  <w:style w:type="character" w:customStyle="1" w:styleId="126">
    <w:name w:val="普通(网站) Char"/>
    <w:link w:val="61"/>
    <w:qFormat/>
    <w:uiPriority w:val="99"/>
    <w:rPr>
      <w:rFonts w:ascii="宋体" w:hAnsi="宋体" w:eastAsia="宋体" w:cs="Times New Roman"/>
      <w:sz w:val="24"/>
      <w:szCs w:val="24"/>
    </w:rPr>
  </w:style>
  <w:style w:type="character" w:customStyle="1" w:styleId="127">
    <w:name w:val="标题 Char"/>
    <w:basedOn w:val="71"/>
    <w:link w:val="65"/>
    <w:qFormat/>
    <w:uiPriority w:val="0"/>
    <w:rPr>
      <w:rFonts w:ascii="Arial" w:hAnsi="Arial" w:eastAsia="宋体" w:cs="Times New Roman"/>
      <w:b/>
      <w:bCs/>
      <w:kern w:val="2"/>
      <w:sz w:val="32"/>
      <w:szCs w:val="32"/>
    </w:rPr>
  </w:style>
  <w:style w:type="character" w:customStyle="1" w:styleId="128">
    <w:name w:val="批注主题 Char"/>
    <w:basedOn w:val="106"/>
    <w:link w:val="66"/>
    <w:qFormat/>
    <w:uiPriority w:val="0"/>
    <w:rPr>
      <w:rFonts w:ascii="Times New Roman" w:hAnsi="Times New Roman" w:eastAsia="宋体"/>
      <w:b/>
      <w:bCs/>
      <w:szCs w:val="24"/>
    </w:rPr>
  </w:style>
  <w:style w:type="character" w:customStyle="1" w:styleId="129">
    <w:name w:val="正文首行缩进 Char"/>
    <w:basedOn w:val="95"/>
    <w:link w:val="67"/>
    <w:qFormat/>
    <w:uiPriority w:val="0"/>
  </w:style>
  <w:style w:type="character" w:customStyle="1" w:styleId="130">
    <w:name w:val="正文首行缩进 2 Char"/>
    <w:basedOn w:val="114"/>
    <w:link w:val="68"/>
    <w:qFormat/>
    <w:uiPriority w:val="0"/>
    <w:rPr>
      <w:rFonts w:ascii="Cambria" w:hAnsi="Cambria" w:eastAsia="华文细黑"/>
      <w:kern w:val="2"/>
      <w:sz w:val="21"/>
    </w:rPr>
  </w:style>
  <w:style w:type="paragraph" w:customStyle="1" w:styleId="1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2">
    <w:name w:val="明显引用 Char"/>
    <w:qFormat/>
    <w:uiPriority w:val="0"/>
    <w:rPr>
      <w:b/>
      <w:bCs/>
      <w:i/>
      <w:iCs/>
      <w:color w:val="4F81BD"/>
      <w:kern w:val="2"/>
      <w:sz w:val="21"/>
      <w:szCs w:val="22"/>
    </w:rPr>
  </w:style>
  <w:style w:type="paragraph" w:styleId="133">
    <w:name w:val="Intense Quote"/>
    <w:basedOn w:val="1"/>
    <w:next w:val="1"/>
    <w:link w:val="13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134">
    <w:name w:val="明显引用 Char1"/>
    <w:basedOn w:val="71"/>
    <w:link w:val="133"/>
    <w:qFormat/>
    <w:uiPriority w:val="30"/>
    <w:rPr>
      <w:rFonts w:ascii="宋体" w:hAnsi="Times New Roman" w:eastAsia="宋体" w:cs="Times New Roman"/>
      <w:b/>
      <w:bCs/>
      <w:i/>
      <w:iCs/>
      <w:color w:val="5B9BD5" w:themeColor="accent1"/>
      <w:sz w:val="34"/>
    </w:rPr>
  </w:style>
  <w:style w:type="character" w:customStyle="1" w:styleId="135">
    <w:name w:val="明显强调1"/>
    <w:qFormat/>
    <w:uiPriority w:val="0"/>
    <w:rPr>
      <w:b/>
      <w:bCs/>
      <w:i/>
      <w:iCs/>
      <w:color w:val="4F81BD"/>
    </w:rPr>
  </w:style>
  <w:style w:type="character" w:customStyle="1" w:styleId="136">
    <w:name w:val="bds_nopic2"/>
    <w:uiPriority w:val="0"/>
  </w:style>
  <w:style w:type="character" w:customStyle="1" w:styleId="137">
    <w:name w:val="bds_nopic"/>
    <w:qFormat/>
    <w:uiPriority w:val="0"/>
  </w:style>
  <w:style w:type="character" w:customStyle="1" w:styleId="138">
    <w:name w:val="CITE"/>
    <w:uiPriority w:val="0"/>
    <w:rPr>
      <w:i/>
    </w:rPr>
  </w:style>
  <w:style w:type="character" w:customStyle="1" w:styleId="139">
    <w:name w:val="批注主题 Char1"/>
    <w:qFormat/>
    <w:uiPriority w:val="0"/>
    <w:rPr>
      <w:b/>
      <w:bCs/>
      <w:kern w:val="2"/>
      <w:sz w:val="21"/>
      <w:szCs w:val="22"/>
    </w:rPr>
  </w:style>
  <w:style w:type="character" w:customStyle="1" w:styleId="140">
    <w:name w:val="标题 31"/>
    <w:qFormat/>
    <w:uiPriority w:val="0"/>
    <w:rPr>
      <w:rFonts w:hint="eastAsia" w:ascii="黑体" w:hAnsi="ˎ̥" w:eastAsia="黑体"/>
      <w:sz w:val="28"/>
    </w:rPr>
  </w:style>
  <w:style w:type="character" w:customStyle="1" w:styleId="141">
    <w:name w:val="bds_more2"/>
    <w:uiPriority w:val="0"/>
    <w:rPr>
      <w:rFonts w:hint="eastAsia" w:ascii="宋体" w:hAnsi="宋体" w:eastAsia="宋体" w:cs="宋体"/>
    </w:rPr>
  </w:style>
  <w:style w:type="character" w:customStyle="1" w:styleId="142">
    <w:name w:val="font11"/>
    <w:qFormat/>
    <w:uiPriority w:val="0"/>
    <w:rPr>
      <w:rFonts w:hint="eastAsia" w:ascii="宋体" w:hAnsi="宋体" w:eastAsia="宋体" w:cs="宋体"/>
      <w:color w:val="000000"/>
      <w:sz w:val="20"/>
      <w:szCs w:val="20"/>
      <w:u w:val="none"/>
    </w:rPr>
  </w:style>
  <w:style w:type="character" w:customStyle="1" w:styleId="143">
    <w:name w:val="副标题 Char1"/>
    <w:qFormat/>
    <w:uiPriority w:val="0"/>
    <w:rPr>
      <w:rFonts w:ascii="Cambria" w:hAnsi="Cambria" w:cs="Times New Roman"/>
      <w:b/>
      <w:bCs/>
      <w:kern w:val="28"/>
      <w:sz w:val="32"/>
      <w:szCs w:val="32"/>
    </w:rPr>
  </w:style>
  <w:style w:type="character" w:customStyle="1" w:styleId="144">
    <w:name w:val="书籍标题1"/>
    <w:qFormat/>
    <w:uiPriority w:val="0"/>
    <w:rPr>
      <w:b/>
      <w:bCs/>
      <w:smallCaps/>
      <w:spacing w:val="5"/>
    </w:rPr>
  </w:style>
  <w:style w:type="character" w:customStyle="1" w:styleId="145">
    <w:name w:val="bds_more"/>
    <w:qFormat/>
    <w:uiPriority w:val="0"/>
  </w:style>
  <w:style w:type="character" w:customStyle="1" w:styleId="146">
    <w:name w:val="不明显强调1"/>
    <w:qFormat/>
    <w:uiPriority w:val="0"/>
    <w:rPr>
      <w:i/>
      <w:iCs/>
      <w:color w:val="808080"/>
    </w:rPr>
  </w:style>
  <w:style w:type="character" w:customStyle="1" w:styleId="147">
    <w:name w:val="Char Char Char"/>
    <w:qFormat/>
    <w:uiPriority w:val="0"/>
    <w:rPr>
      <w:rFonts w:ascii="宋体" w:hAnsi="宋体" w:eastAsia="宋体"/>
      <w:b/>
      <w:sz w:val="24"/>
      <w:lang w:val="en-US" w:eastAsia="zh-CN" w:bidi="ar-SA"/>
    </w:rPr>
  </w:style>
  <w:style w:type="character" w:customStyle="1" w:styleId="148">
    <w:name w:val="明显参考1"/>
    <w:qFormat/>
    <w:uiPriority w:val="0"/>
    <w:rPr>
      <w:b/>
      <w:bCs/>
      <w:smallCaps/>
      <w:color w:val="C0504D"/>
      <w:spacing w:val="5"/>
      <w:u w:val="single"/>
    </w:rPr>
  </w:style>
  <w:style w:type="character" w:customStyle="1" w:styleId="149">
    <w:name w:val="Typewriter"/>
    <w:qFormat/>
    <w:uiPriority w:val="0"/>
    <w:rPr>
      <w:rFonts w:ascii="华文细黑" w:hAnsi="华文细黑"/>
      <w:sz w:val="20"/>
    </w:rPr>
  </w:style>
  <w:style w:type="character" w:customStyle="1" w:styleId="150">
    <w:name w:val="文档结构图 Char1"/>
    <w:qFormat/>
    <w:uiPriority w:val="0"/>
    <w:rPr>
      <w:rFonts w:ascii="华文细黑"/>
      <w:kern w:val="2"/>
      <w:sz w:val="18"/>
      <w:szCs w:val="18"/>
    </w:rPr>
  </w:style>
  <w:style w:type="character" w:customStyle="1" w:styleId="151">
    <w:name w:val="批注文字 Char Char"/>
    <w:qFormat/>
    <w:uiPriority w:val="0"/>
    <w:rPr>
      <w:rFonts w:ascii="华文细黑" w:hAnsi="Cambria" w:eastAsia="华文细黑" w:cs="Cambria"/>
      <w:sz w:val="28"/>
      <w:szCs w:val="20"/>
    </w:rPr>
  </w:style>
  <w:style w:type="character" w:customStyle="1" w:styleId="152">
    <w:name w:val="Comment"/>
    <w:qFormat/>
    <w:uiPriority w:val="0"/>
    <w:rPr>
      <w:vanish/>
    </w:rPr>
  </w:style>
  <w:style w:type="character" w:customStyle="1" w:styleId="153">
    <w:name w:val="Char Char"/>
    <w:qFormat/>
    <w:uiPriority w:val="0"/>
    <w:rPr>
      <w:rFonts w:eastAsia="宋体"/>
      <w:b/>
      <w:bCs/>
      <w:sz w:val="32"/>
      <w:szCs w:val="44"/>
      <w:lang w:val="en-US" w:eastAsia="zh-CN" w:bidi="ar-SA"/>
    </w:rPr>
  </w:style>
  <w:style w:type="character" w:customStyle="1" w:styleId="154">
    <w:name w:val="Char Char3"/>
    <w:qFormat/>
    <w:uiPriority w:val="0"/>
    <w:rPr>
      <w:rFonts w:ascii="幼圆" w:hAnsi="华文细黑" w:eastAsia="幼圆" w:cs="Tahoma"/>
      <w:b/>
      <w:bCs/>
      <w:kern w:val="2"/>
      <w:sz w:val="24"/>
      <w:szCs w:val="24"/>
      <w:lang w:val="en-US" w:eastAsia="zh-CN" w:bidi="ar-SA"/>
    </w:rPr>
  </w:style>
  <w:style w:type="character" w:customStyle="1" w:styleId="155">
    <w:name w:val="bds_more1"/>
    <w:qFormat/>
    <w:uiPriority w:val="0"/>
  </w:style>
  <w:style w:type="character" w:customStyle="1" w:styleId="156">
    <w:name w:val="Variable"/>
    <w:qFormat/>
    <w:uiPriority w:val="0"/>
    <w:rPr>
      <w:i/>
    </w:rPr>
  </w:style>
  <w:style w:type="character" w:customStyle="1" w:styleId="157">
    <w:name w:val="批注框文本 Char1"/>
    <w:qFormat/>
    <w:uiPriority w:val="0"/>
    <w:rPr>
      <w:kern w:val="2"/>
      <w:sz w:val="18"/>
      <w:szCs w:val="18"/>
    </w:rPr>
  </w:style>
  <w:style w:type="character" w:customStyle="1" w:styleId="158">
    <w:name w:val="textcontents"/>
    <w:qFormat/>
    <w:uiPriority w:val="0"/>
    <w:rPr>
      <w:rFonts w:cs="Cambria"/>
    </w:rPr>
  </w:style>
  <w:style w:type="character" w:customStyle="1" w:styleId="159">
    <w:name w:val="text_list1"/>
    <w:qFormat/>
    <w:uiPriority w:val="0"/>
    <w:rPr>
      <w:rFonts w:hint="default" w:ascii="Arial" w:hAnsi="Arial" w:cs="Arial"/>
      <w:color w:val="000000"/>
      <w:sz w:val="16"/>
      <w:szCs w:val="16"/>
    </w:rPr>
  </w:style>
  <w:style w:type="character" w:customStyle="1" w:styleId="160">
    <w:name w:val="bds_nopic1"/>
    <w:qFormat/>
    <w:uiPriority w:val="0"/>
  </w:style>
  <w:style w:type="character" w:customStyle="1" w:styleId="161">
    <w:name w:val="Char Char1"/>
    <w:qFormat/>
    <w:uiPriority w:val="0"/>
    <w:rPr>
      <w:rFonts w:ascii="幼圆" w:hAnsi="Tahoma" w:eastAsia="幼圆" w:cs="Tahoma"/>
      <w:b/>
      <w:bCs/>
      <w:kern w:val="2"/>
      <w:sz w:val="32"/>
      <w:szCs w:val="32"/>
      <w:lang w:val="en-US" w:eastAsia="zh-CN" w:bidi="ar-SA"/>
    </w:rPr>
  </w:style>
  <w:style w:type="character" w:customStyle="1" w:styleId="162">
    <w:name w:val="HTML 预设格式 Char1"/>
    <w:qFormat/>
    <w:uiPriority w:val="0"/>
    <w:rPr>
      <w:rFonts w:ascii="Courier New" w:hAnsi="Courier New" w:cs="Courier New"/>
      <w:kern w:val="2"/>
    </w:rPr>
  </w:style>
  <w:style w:type="paragraph" w:customStyle="1" w:styleId="163">
    <w:name w:val="正文文本缩进1"/>
    <w:basedOn w:val="1"/>
    <w:uiPriority w:val="0"/>
    <w:pPr>
      <w:widowControl/>
      <w:spacing w:line="360" w:lineRule="auto"/>
      <w:ind w:firstLine="573"/>
      <w:jc w:val="left"/>
    </w:pPr>
    <w:rPr>
      <w:rFonts w:ascii="Cambria" w:hAnsi="Cambria" w:eastAsia="华文细黑"/>
      <w:kern w:val="2"/>
      <w:sz w:val="21"/>
      <w:szCs w:val="24"/>
    </w:rPr>
  </w:style>
  <w:style w:type="character" w:customStyle="1" w:styleId="164">
    <w:name w:val="HTML Markup"/>
    <w:uiPriority w:val="0"/>
    <w:rPr>
      <w:vanish/>
      <w:color w:val="FF0000"/>
    </w:rPr>
  </w:style>
  <w:style w:type="character" w:customStyle="1" w:styleId="165">
    <w:name w:val="Char Char2"/>
    <w:qFormat/>
    <w:uiPriority w:val="0"/>
    <w:rPr>
      <w:rFonts w:eastAsia="宋体"/>
      <w:b/>
      <w:bCs/>
      <w:sz w:val="32"/>
      <w:szCs w:val="44"/>
      <w:lang w:val="en-US" w:eastAsia="zh-CN" w:bidi="ar-SA"/>
    </w:rPr>
  </w:style>
  <w:style w:type="character" w:customStyle="1" w:styleId="166">
    <w:name w:val="Para head"/>
    <w:qFormat/>
    <w:uiPriority w:val="0"/>
    <w:rPr>
      <w:rFonts w:ascii="Arial" w:hAnsi="Arial" w:eastAsia="Times New Roman"/>
      <w:sz w:val="20"/>
    </w:rPr>
  </w:style>
  <w:style w:type="character" w:customStyle="1" w:styleId="167">
    <w:name w:val="Keyboard"/>
    <w:uiPriority w:val="0"/>
    <w:rPr>
      <w:rFonts w:ascii="华文细黑" w:hAnsi="华文细黑"/>
      <w:b/>
      <w:sz w:val="20"/>
    </w:rPr>
  </w:style>
  <w:style w:type="character" w:customStyle="1" w:styleId="168">
    <w:name w:val="Sample"/>
    <w:uiPriority w:val="0"/>
    <w:rPr>
      <w:rFonts w:ascii="华文细黑" w:hAnsi="华文细黑"/>
    </w:rPr>
  </w:style>
  <w:style w:type="character" w:customStyle="1" w:styleId="169">
    <w:name w:val="样式 三号 下划线"/>
    <w:qFormat/>
    <w:uiPriority w:val="0"/>
    <w:rPr>
      <w:sz w:val="28"/>
      <w:u w:val="single"/>
    </w:rPr>
  </w:style>
  <w:style w:type="character" w:customStyle="1" w:styleId="170">
    <w:name w:val="引用 Char1"/>
    <w:qFormat/>
    <w:uiPriority w:val="29"/>
    <w:rPr>
      <w:i/>
      <w:iCs/>
      <w:color w:val="000000"/>
      <w:kern w:val="2"/>
      <w:sz w:val="21"/>
      <w:szCs w:val="24"/>
    </w:rPr>
  </w:style>
  <w:style w:type="character" w:customStyle="1" w:styleId="171">
    <w:name w:val="表格正文 Char"/>
    <w:link w:val="172"/>
    <w:qFormat/>
    <w:uiPriority w:val="0"/>
    <w:rPr>
      <w:kern w:val="2"/>
      <w:sz w:val="21"/>
      <w:szCs w:val="24"/>
    </w:rPr>
  </w:style>
  <w:style w:type="paragraph" w:customStyle="1" w:styleId="172">
    <w:name w:val="表格正文"/>
    <w:basedOn w:val="1"/>
    <w:link w:val="171"/>
    <w:qFormat/>
    <w:uiPriority w:val="0"/>
    <w:rPr>
      <w:rFonts w:asciiTheme="minorHAnsi" w:hAnsiTheme="minorHAnsi" w:eastAsiaTheme="minorEastAsia" w:cstheme="minorBidi"/>
      <w:kern w:val="2"/>
      <w:sz w:val="21"/>
      <w:szCs w:val="24"/>
    </w:rPr>
  </w:style>
  <w:style w:type="character" w:customStyle="1" w:styleId="173">
    <w:name w:val="样式 标题 3 + (中文) 黑体 小四 非加粗 段前: 7.8 磅 段后: 0 磅 行距: 固定值 20 磅 Char"/>
    <w:qFormat/>
    <w:uiPriority w:val="0"/>
    <w:rPr>
      <w:rFonts w:ascii="幼圆" w:hAnsi="华文细黑" w:eastAsia="幼圆" w:cs="华文细黑"/>
      <w:b/>
      <w:bCs/>
      <w:kern w:val="2"/>
      <w:sz w:val="24"/>
      <w:lang w:val="en-US" w:eastAsia="zh-CN" w:bidi="ar-SA"/>
    </w:rPr>
  </w:style>
  <w:style w:type="character" w:customStyle="1" w:styleId="174">
    <w:name w:val="font41"/>
    <w:uiPriority w:val="0"/>
    <w:rPr>
      <w:rFonts w:hint="default" w:ascii="Times New Roman" w:hAnsi="Times New Roman" w:cs="Times New Roman"/>
      <w:color w:val="000000"/>
      <w:sz w:val="18"/>
      <w:szCs w:val="18"/>
      <w:u w:val="none"/>
    </w:rPr>
  </w:style>
  <w:style w:type="character" w:customStyle="1" w:styleId="175">
    <w:name w:val="称呼 Char1"/>
    <w:uiPriority w:val="0"/>
    <w:rPr>
      <w:kern w:val="2"/>
      <w:sz w:val="21"/>
      <w:szCs w:val="24"/>
    </w:rPr>
  </w:style>
  <w:style w:type="character" w:customStyle="1" w:styleId="176">
    <w:name w:val="脚注文本 Char1"/>
    <w:qFormat/>
    <w:uiPriority w:val="0"/>
    <w:rPr>
      <w:kern w:val="2"/>
      <w:sz w:val="18"/>
      <w:szCs w:val="18"/>
    </w:rPr>
  </w:style>
  <w:style w:type="character" w:customStyle="1" w:styleId="177">
    <w:name w:val="font81"/>
    <w:qFormat/>
    <w:uiPriority w:val="0"/>
    <w:rPr>
      <w:rFonts w:hint="eastAsia" w:ascii="宋体" w:hAnsi="宋体" w:eastAsia="宋体" w:cs="宋体"/>
      <w:b/>
      <w:color w:val="000000"/>
      <w:sz w:val="24"/>
      <w:szCs w:val="24"/>
      <w:u w:val="none"/>
    </w:rPr>
  </w:style>
  <w:style w:type="character" w:customStyle="1" w:styleId="178">
    <w:name w:val="text"/>
    <w:qFormat/>
    <w:uiPriority w:val="0"/>
    <w:rPr>
      <w:b/>
      <w:color w:val="000000"/>
      <w:sz w:val="21"/>
      <w:szCs w:val="21"/>
    </w:rPr>
  </w:style>
  <w:style w:type="character" w:customStyle="1" w:styleId="179">
    <w:name w:val="标题5 Char Char"/>
    <w:link w:val="180"/>
    <w:uiPriority w:val="0"/>
    <w:rPr>
      <w:rFonts w:ascii="Tahoma" w:hAnsi="Tahoma"/>
      <w:b/>
      <w:bCs/>
      <w:sz w:val="24"/>
      <w:szCs w:val="32"/>
    </w:rPr>
  </w:style>
  <w:style w:type="paragraph" w:customStyle="1" w:styleId="180">
    <w:name w:val="标题5"/>
    <w:basedOn w:val="5"/>
    <w:link w:val="179"/>
    <w:qFormat/>
    <w:uiPriority w:val="0"/>
    <w:pPr>
      <w:spacing w:before="260" w:after="260" w:line="413" w:lineRule="auto"/>
    </w:pPr>
    <w:rPr>
      <w:rFonts w:ascii="Tahoma" w:hAnsi="Tahoma" w:eastAsiaTheme="minorEastAsia" w:cstheme="minorBidi"/>
      <w:kern w:val="0"/>
      <w:sz w:val="24"/>
    </w:rPr>
  </w:style>
  <w:style w:type="character" w:customStyle="1" w:styleId="181">
    <w:name w:val="不明显参考1"/>
    <w:qFormat/>
    <w:uiPriority w:val="0"/>
    <w:rPr>
      <w:smallCaps/>
      <w:color w:val="C0504D"/>
      <w:u w:val="single"/>
    </w:rPr>
  </w:style>
  <w:style w:type="character" w:customStyle="1" w:styleId="182">
    <w:name w:val="gray"/>
    <w:qFormat/>
    <w:uiPriority w:val="0"/>
    <w:rPr>
      <w:color w:val="666666"/>
    </w:rPr>
  </w:style>
  <w:style w:type="character" w:customStyle="1" w:styleId="183">
    <w:name w:val="引用 Char"/>
    <w:qFormat/>
    <w:uiPriority w:val="0"/>
    <w:rPr>
      <w:i/>
      <w:iCs/>
      <w:color w:val="000000"/>
      <w:kern w:val="2"/>
      <w:sz w:val="21"/>
      <w:szCs w:val="22"/>
    </w:rPr>
  </w:style>
  <w:style w:type="paragraph" w:styleId="184">
    <w:name w:val="Quote"/>
    <w:basedOn w:val="1"/>
    <w:next w:val="1"/>
    <w:link w:val="185"/>
    <w:qFormat/>
    <w:uiPriority w:val="0"/>
    <w:rPr>
      <w:rFonts w:asciiTheme="minorHAnsi" w:hAnsiTheme="minorHAnsi" w:eastAsiaTheme="minorEastAsia" w:cstheme="minorBidi"/>
      <w:i/>
      <w:iCs/>
      <w:color w:val="000000"/>
      <w:kern w:val="2"/>
      <w:sz w:val="21"/>
      <w:szCs w:val="22"/>
    </w:rPr>
  </w:style>
  <w:style w:type="character" w:customStyle="1" w:styleId="185">
    <w:name w:val="引用 Char2"/>
    <w:basedOn w:val="71"/>
    <w:link w:val="184"/>
    <w:semiHidden/>
    <w:qFormat/>
    <w:uiPriority w:val="99"/>
    <w:rPr>
      <w:rFonts w:ascii="宋体" w:hAnsi="Times New Roman" w:eastAsia="宋体" w:cs="Times New Roman"/>
      <w:i/>
      <w:iCs/>
      <w:color w:val="000000" w:themeColor="text1"/>
      <w:sz w:val="34"/>
    </w:rPr>
  </w:style>
  <w:style w:type="character" w:customStyle="1" w:styleId="186">
    <w:name w:val="chword"/>
    <w:uiPriority w:val="0"/>
  </w:style>
  <w:style w:type="character" w:customStyle="1" w:styleId="187">
    <w:name w:val="itm1"/>
    <w:uiPriority w:val="0"/>
    <w:rPr>
      <w:rFonts w:hint="eastAsia" w:ascii="宋体" w:hAnsi="宋体" w:eastAsia="宋体"/>
      <w:sz w:val="21"/>
      <w:szCs w:val="21"/>
    </w:rPr>
  </w:style>
  <w:style w:type="character" w:customStyle="1" w:styleId="188">
    <w:name w:val="text1"/>
    <w:qFormat/>
    <w:uiPriority w:val="0"/>
    <w:rPr>
      <w:b/>
      <w:color w:val="000000"/>
      <w:sz w:val="21"/>
      <w:szCs w:val="21"/>
    </w:rPr>
  </w:style>
  <w:style w:type="character" w:customStyle="1" w:styleId="189">
    <w:name w:val="日期 Char1"/>
    <w:qFormat/>
    <w:uiPriority w:val="0"/>
    <w:rPr>
      <w:kern w:val="2"/>
      <w:sz w:val="21"/>
      <w:szCs w:val="22"/>
    </w:rPr>
  </w:style>
  <w:style w:type="character" w:customStyle="1" w:styleId="190">
    <w:name w:val="CODE"/>
    <w:qFormat/>
    <w:uiPriority w:val="0"/>
    <w:rPr>
      <w:rFonts w:ascii="华文细黑" w:hAnsi="华文细黑"/>
      <w:sz w:val="20"/>
    </w:rPr>
  </w:style>
  <w:style w:type="character" w:customStyle="1" w:styleId="191">
    <w:name w:val="Char Char4"/>
    <w:qFormat/>
    <w:uiPriority w:val="0"/>
    <w:rPr>
      <w:rFonts w:ascii="华文细黑" w:hAnsi="华文细黑" w:eastAsia="幼圆" w:cs="Tahoma"/>
      <w:b/>
      <w:kern w:val="2"/>
      <w:sz w:val="28"/>
      <w:szCs w:val="32"/>
      <w:lang w:val="en-US" w:eastAsia="zh-CN" w:bidi="ar-SA"/>
    </w:rPr>
  </w:style>
  <w:style w:type="character" w:customStyle="1" w:styleId="192">
    <w:name w:val="font21"/>
    <w:uiPriority w:val="0"/>
    <w:rPr>
      <w:rFonts w:hint="eastAsia" w:ascii="宋体" w:hAnsi="宋体" w:eastAsia="宋体" w:cs="宋体"/>
      <w:color w:val="000000"/>
      <w:sz w:val="20"/>
      <w:szCs w:val="20"/>
      <w:u w:val="none"/>
      <w:vertAlign w:val="superscript"/>
    </w:rPr>
  </w:style>
  <w:style w:type="character" w:customStyle="1" w:styleId="193">
    <w:name w:val="结束语 Char1"/>
    <w:qFormat/>
    <w:uiPriority w:val="0"/>
    <w:rPr>
      <w:kern w:val="2"/>
      <w:sz w:val="21"/>
      <w:szCs w:val="24"/>
    </w:rPr>
  </w:style>
  <w:style w:type="character" w:customStyle="1" w:styleId="194">
    <w:name w:val="Definition"/>
    <w:qFormat/>
    <w:uiPriority w:val="0"/>
    <w:rPr>
      <w:i/>
    </w:rPr>
  </w:style>
  <w:style w:type="paragraph" w:customStyle="1" w:styleId="1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0"/>
    </w:rPr>
  </w:style>
  <w:style w:type="paragraph" w:customStyle="1" w:styleId="196">
    <w:name w:val="名词解释11"/>
    <w:basedOn w:val="197"/>
    <w:uiPriority w:val="0"/>
    <w:pPr>
      <w:spacing w:after="0"/>
      <w:ind w:firstLine="0"/>
    </w:pPr>
  </w:style>
  <w:style w:type="paragraph" w:customStyle="1" w:styleId="197">
    <w:name w:val="名词解释"/>
    <w:basedOn w:val="1"/>
    <w:qFormat/>
    <w:uiPriority w:val="0"/>
    <w:pPr>
      <w:adjustRightInd w:val="0"/>
      <w:spacing w:after="20" w:line="288" w:lineRule="auto"/>
      <w:ind w:left="2325" w:hanging="2325"/>
      <w:textAlignment w:val="baseline"/>
    </w:pPr>
    <w:rPr>
      <w:rFonts w:ascii="Times New Roman"/>
      <w:sz w:val="21"/>
    </w:rPr>
  </w:style>
  <w:style w:type="paragraph" w:customStyle="1" w:styleId="198">
    <w:name w:val="xl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hAnsi="宋体"/>
      <w:color w:val="0000FF"/>
      <w:sz w:val="24"/>
      <w:szCs w:val="24"/>
    </w:rPr>
  </w:style>
  <w:style w:type="paragraph" w:customStyle="1" w:styleId="199">
    <w:name w:val="空半行"/>
    <w:basedOn w:val="1"/>
    <w:qFormat/>
    <w:uiPriority w:val="0"/>
    <w:pPr>
      <w:adjustRightInd w:val="0"/>
      <w:spacing w:line="120" w:lineRule="exact"/>
      <w:textAlignment w:val="baseline"/>
    </w:pPr>
    <w:rPr>
      <w:rFonts w:ascii="Cambria" w:hAnsi="Cambria" w:eastAsia="Tahoma" w:cs="Cambria"/>
      <w:color w:val="FFFFFF"/>
      <w:sz w:val="30"/>
    </w:rPr>
  </w:style>
  <w:style w:type="paragraph" w:customStyle="1" w:styleId="200">
    <w:name w:val="Char Char Char Char Char Char Char Char Char Char"/>
    <w:basedOn w:val="1"/>
    <w:uiPriority w:val="0"/>
    <w:pPr>
      <w:tabs>
        <w:tab w:val="left" w:pos="420"/>
        <w:tab w:val="left" w:pos="552"/>
      </w:tabs>
      <w:ind w:left="552" w:hanging="420"/>
    </w:pPr>
    <w:rPr>
      <w:rFonts w:ascii="Times New Roman"/>
      <w:kern w:val="2"/>
      <w:sz w:val="24"/>
      <w:szCs w:val="24"/>
    </w:rPr>
  </w:style>
  <w:style w:type="paragraph" w:customStyle="1" w:styleId="201">
    <w:name w:val="font5"/>
    <w:basedOn w:val="1"/>
    <w:qFormat/>
    <w:uiPriority w:val="0"/>
    <w:pPr>
      <w:widowControl/>
      <w:spacing w:before="100" w:beforeAutospacing="1" w:after="100" w:afterAutospacing="1"/>
      <w:jc w:val="left"/>
    </w:pPr>
    <w:rPr>
      <w:rFonts w:hint="eastAsia" w:hAnsi="宋体"/>
      <w:sz w:val="18"/>
      <w:szCs w:val="18"/>
    </w:rPr>
  </w:style>
  <w:style w:type="paragraph" w:customStyle="1" w:styleId="202">
    <w:name w:val="Char Char Char Char Char Char Char"/>
    <w:basedOn w:val="1"/>
    <w:uiPriority w:val="0"/>
    <w:pPr>
      <w:widowControl/>
      <w:spacing w:after="160" w:line="240" w:lineRule="exact"/>
      <w:jc w:val="left"/>
    </w:pPr>
    <w:rPr>
      <w:rFonts w:ascii="Arial" w:hAnsi="Arial" w:eastAsia="Times New Roman" w:cs="Verdana"/>
      <w:b/>
      <w:sz w:val="24"/>
      <w:szCs w:val="24"/>
      <w:lang w:eastAsia="en-US"/>
    </w:rPr>
  </w:style>
  <w:style w:type="paragraph" w:customStyle="1" w:styleId="203">
    <w:name w:val="TOC 标题1"/>
    <w:basedOn w:val="3"/>
    <w:next w:val="1"/>
    <w:qFormat/>
    <w:uiPriority w:val="0"/>
    <w:pPr>
      <w:numPr>
        <w:numId w:val="0"/>
      </w:numPr>
      <w:jc w:val="both"/>
      <w:outlineLvl w:val="9"/>
    </w:pPr>
    <w:rPr>
      <w:rFonts w:ascii="Cambria" w:hAnsi="Cambria" w:eastAsia="华文细黑" w:cs="Cambria"/>
    </w:rPr>
  </w:style>
  <w:style w:type="paragraph" w:customStyle="1" w:styleId="204">
    <w:name w:val="程序代码"/>
    <w:basedOn w:val="1"/>
    <w:qFormat/>
    <w:uiPriority w:val="0"/>
    <w:pPr>
      <w:adjustRightInd w:val="0"/>
      <w:spacing w:after="20" w:line="288" w:lineRule="auto"/>
      <w:ind w:left="839" w:firstLine="420"/>
      <w:textAlignment w:val="baseline"/>
    </w:pPr>
    <w:rPr>
      <w:rFonts w:ascii="Times New Roman" w:eastAsia="仿宋_GB2312"/>
      <w:kern w:val="2"/>
      <w:sz w:val="21"/>
      <w:szCs w:val="24"/>
    </w:rPr>
  </w:style>
  <w:style w:type="paragraph" w:customStyle="1" w:styleId="205">
    <w:name w:val="xl29"/>
    <w:basedOn w:val="1"/>
    <w:uiPriority w:val="0"/>
    <w:pPr>
      <w:widowControl/>
      <w:pBdr>
        <w:top w:val="single" w:color="auto" w:sz="4" w:space="0"/>
        <w:bottom w:val="single" w:color="auto" w:sz="4" w:space="0"/>
      </w:pBdr>
      <w:spacing w:before="100" w:beforeAutospacing="1" w:after="100" w:afterAutospacing="1"/>
      <w:jc w:val="right"/>
      <w:textAlignment w:val="center"/>
    </w:pPr>
    <w:rPr>
      <w:rFonts w:hAnsi="宋体"/>
      <w:b/>
      <w:bCs/>
      <w:sz w:val="20"/>
    </w:rPr>
  </w:style>
  <w:style w:type="paragraph" w:customStyle="1" w:styleId="206">
    <w:name w:val="默认段落字体 Para Char"/>
    <w:basedOn w:val="1"/>
    <w:qFormat/>
    <w:uiPriority w:val="0"/>
    <w:pPr>
      <w:spacing w:line="360" w:lineRule="auto"/>
      <w:ind w:firstLine="200" w:firstLineChars="200"/>
    </w:pPr>
    <w:rPr>
      <w:rFonts w:ascii="华文细黑" w:hAnsi="华文细黑" w:eastAsia="华文细黑" w:cs="华文细黑"/>
      <w:kern w:val="2"/>
      <w:sz w:val="24"/>
      <w:szCs w:val="24"/>
    </w:rPr>
  </w:style>
  <w:style w:type="paragraph" w:customStyle="1" w:styleId="207">
    <w:name w:val="CM4"/>
    <w:basedOn w:val="208"/>
    <w:next w:val="208"/>
    <w:qFormat/>
    <w:uiPriority w:val="99"/>
    <w:pPr>
      <w:spacing w:line="468" w:lineRule="atLeast"/>
    </w:pPr>
    <w:rPr>
      <w:rFonts w:ascii="Times New Roman PSMT" w:hAnsi="Times New Roman" w:eastAsia="Times New Roman PSMT" w:cs="Times New Roman PSMT"/>
      <w:color w:val="auto"/>
    </w:rPr>
  </w:style>
  <w:style w:type="paragraph" w:customStyle="1" w:styleId="208">
    <w:name w:val="Default"/>
    <w:qFormat/>
    <w:uiPriority w:val="0"/>
    <w:pPr>
      <w:widowControl w:val="0"/>
      <w:autoSpaceDE w:val="0"/>
      <w:autoSpaceDN w:val="0"/>
      <w:adjustRightInd w:val="0"/>
    </w:pPr>
    <w:rPr>
      <w:rFonts w:ascii="宋体" w:hAnsi="宋体" w:eastAsia="华文细黑" w:cs="宋体"/>
      <w:color w:val="000000"/>
      <w:sz w:val="24"/>
      <w:szCs w:val="24"/>
      <w:lang w:val="en-US" w:eastAsia="zh-CN" w:bidi="ar-SA"/>
    </w:rPr>
  </w:style>
  <w:style w:type="paragraph" w:customStyle="1" w:styleId="209">
    <w:name w:val="Char Char Char Char1"/>
    <w:basedOn w:val="1"/>
    <w:qFormat/>
    <w:uiPriority w:val="0"/>
    <w:pPr>
      <w:widowControl/>
      <w:numPr>
        <w:ilvl w:val="0"/>
        <w:numId w:val="8"/>
      </w:numPr>
      <w:spacing w:after="120" w:line="360" w:lineRule="auto"/>
      <w:ind w:left="560" w:firstLine="480" w:firstLineChars="200"/>
      <w:jc w:val="left"/>
    </w:pPr>
    <w:rPr>
      <w:rFonts w:ascii="Verdana" w:hAnsi="Verdana"/>
      <w:sz w:val="24"/>
      <w:szCs w:val="24"/>
    </w:rPr>
  </w:style>
  <w:style w:type="paragraph" w:customStyle="1" w:styleId="210">
    <w:name w:val="样式 标题 3 + (中文) 黑体 小四 非加粗 段前: 7.8 磅 段后: 0 磅 行距: 固定值 20 磅"/>
    <w:basedOn w:val="5"/>
    <w:uiPriority w:val="0"/>
    <w:pPr>
      <w:tabs>
        <w:tab w:val="left" w:pos="7200"/>
      </w:tabs>
      <w:spacing w:line="400" w:lineRule="exact"/>
      <w:jc w:val="left"/>
    </w:pPr>
    <w:rPr>
      <w:rFonts w:ascii="华文细黑" w:hAnsi="华文细黑" w:eastAsia="幼圆" w:cs="华文细黑"/>
      <w:bCs w:val="0"/>
      <w:sz w:val="30"/>
      <w:szCs w:val="20"/>
    </w:rPr>
  </w:style>
  <w:style w:type="paragraph" w:customStyle="1" w:styleId="211">
    <w:name w:val="Char Char Char Char Char Char Char Char Char Char1"/>
    <w:basedOn w:val="1"/>
    <w:qFormat/>
    <w:uiPriority w:val="0"/>
    <w:pPr>
      <w:tabs>
        <w:tab w:val="left" w:pos="425"/>
      </w:tabs>
      <w:ind w:left="425" w:hanging="425"/>
    </w:pPr>
    <w:rPr>
      <w:rFonts w:ascii="Times New Roman"/>
      <w:kern w:val="2"/>
      <w:sz w:val="28"/>
    </w:rPr>
  </w:style>
  <w:style w:type="paragraph" w:customStyle="1" w:styleId="212">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b/>
      <w:bCs/>
      <w:sz w:val="20"/>
    </w:rPr>
  </w:style>
  <w:style w:type="paragraph" w:customStyle="1" w:styleId="213">
    <w:name w:val="样式1"/>
    <w:basedOn w:val="1"/>
    <w:qFormat/>
    <w:uiPriority w:val="0"/>
    <w:pPr>
      <w:spacing w:before="120" w:after="120" w:line="300" w:lineRule="auto"/>
    </w:pPr>
    <w:rPr>
      <w:rFonts w:hAnsi="宋体"/>
      <w:b/>
      <w:kern w:val="2"/>
      <w:sz w:val="24"/>
    </w:rPr>
  </w:style>
  <w:style w:type="paragraph" w:customStyle="1" w:styleId="214">
    <w:name w:val="Javis"/>
    <w:basedOn w:val="1"/>
    <w:qFormat/>
    <w:uiPriority w:val="0"/>
    <w:pPr>
      <w:ind w:right="210" w:rightChars="100"/>
    </w:pPr>
    <w:rPr>
      <w:rFonts w:ascii="Times New Roman" w:cs="宋体"/>
      <w:kern w:val="2"/>
      <w:sz w:val="24"/>
    </w:rPr>
  </w:style>
  <w:style w:type="paragraph" w:customStyle="1" w:styleId="215">
    <w:name w:val="样式2"/>
    <w:basedOn w:val="3"/>
    <w:qFormat/>
    <w:uiPriority w:val="0"/>
    <w:pPr>
      <w:numPr>
        <w:numId w:val="9"/>
      </w:numPr>
      <w:tabs>
        <w:tab w:val="left" w:pos="425"/>
        <w:tab w:val="left" w:pos="1200"/>
      </w:tabs>
      <w:jc w:val="both"/>
    </w:pPr>
    <w:rPr>
      <w:rFonts w:ascii="Times New Roman"/>
      <w:sz w:val="32"/>
    </w:rPr>
  </w:style>
  <w:style w:type="paragraph" w:customStyle="1" w:styleId="216">
    <w:name w:val="a2"/>
    <w:basedOn w:val="1"/>
    <w:qFormat/>
    <w:uiPriority w:val="0"/>
    <w:pPr>
      <w:widowControl/>
      <w:spacing w:before="100" w:beforeAutospacing="1" w:after="100" w:afterAutospacing="1"/>
      <w:jc w:val="left"/>
    </w:pPr>
    <w:rPr>
      <w:rFonts w:hAnsi="宋体" w:cs="宋体"/>
      <w:sz w:val="24"/>
      <w:szCs w:val="24"/>
    </w:rPr>
  </w:style>
  <w:style w:type="paragraph" w:customStyle="1" w:styleId="217">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20"/>
    </w:rPr>
  </w:style>
  <w:style w:type="paragraph" w:customStyle="1" w:styleId="218">
    <w:name w:val="Char Char Char Char Char Char"/>
    <w:basedOn w:val="1"/>
    <w:uiPriority w:val="0"/>
    <w:pPr>
      <w:widowControl/>
      <w:spacing w:after="160" w:line="240" w:lineRule="exact"/>
      <w:jc w:val="left"/>
    </w:pPr>
    <w:rPr>
      <w:rFonts w:ascii="黑体" w:hAnsi="Verdana" w:eastAsia="黑体"/>
      <w:sz w:val="32"/>
      <w:szCs w:val="32"/>
    </w:rPr>
  </w:style>
  <w:style w:type="paragraph" w:customStyle="1" w:styleId="219">
    <w:name w:val="Char Char Char Char Char Char1"/>
    <w:basedOn w:val="1"/>
    <w:qFormat/>
    <w:uiPriority w:val="0"/>
    <w:pPr>
      <w:widowControl/>
      <w:spacing w:after="160" w:line="240" w:lineRule="exact"/>
      <w:jc w:val="left"/>
    </w:pPr>
    <w:rPr>
      <w:rFonts w:ascii="黑体" w:hAnsi="Verdana" w:eastAsia="黑体"/>
      <w:sz w:val="32"/>
      <w:szCs w:val="32"/>
    </w:rPr>
  </w:style>
  <w:style w:type="paragraph" w:customStyle="1" w:styleId="220">
    <w:name w:val="函数注释2"/>
    <w:basedOn w:val="1"/>
    <w:qFormat/>
    <w:uiPriority w:val="0"/>
    <w:pPr>
      <w:adjustRightInd w:val="0"/>
      <w:spacing w:after="20" w:line="288" w:lineRule="auto"/>
      <w:ind w:left="1680" w:firstLine="420"/>
      <w:textAlignment w:val="baseline"/>
    </w:pPr>
    <w:rPr>
      <w:rFonts w:ascii="Times New Roman"/>
      <w:kern w:val="2"/>
      <w:sz w:val="21"/>
      <w:szCs w:val="24"/>
    </w:rPr>
  </w:style>
  <w:style w:type="paragraph" w:customStyle="1" w:styleId="221">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sz w:val="24"/>
      <w:szCs w:val="24"/>
    </w:rPr>
  </w:style>
  <w:style w:type="paragraph" w:customStyle="1" w:styleId="222">
    <w:name w:val="表格标题"/>
    <w:basedOn w:val="1"/>
    <w:uiPriority w:val="0"/>
    <w:pPr>
      <w:adjustRightInd w:val="0"/>
      <w:spacing w:before="120" w:line="400" w:lineRule="exact"/>
      <w:jc w:val="center"/>
      <w:textAlignment w:val="baseline"/>
    </w:pPr>
    <w:rPr>
      <w:rFonts w:ascii="Times New Roman" w:eastAsia="文鼎CS中宋"/>
      <w:spacing w:val="8"/>
      <w:sz w:val="24"/>
    </w:rPr>
  </w:style>
  <w:style w:type="paragraph" w:customStyle="1" w:styleId="223">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224">
    <w:name w:val="默认段落字体 Para Char Char Char Char Char Char Char"/>
    <w:basedOn w:val="1"/>
    <w:qFormat/>
    <w:uiPriority w:val="0"/>
    <w:rPr>
      <w:rFonts w:ascii="Times New Roman" w:eastAsia="华文细黑" w:cs="Cambria"/>
      <w:kern w:val="2"/>
      <w:sz w:val="24"/>
    </w:rPr>
  </w:style>
  <w:style w:type="paragraph" w:customStyle="1" w:styleId="225">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hAnsi="宋体"/>
      <w:color w:val="000000"/>
      <w:sz w:val="24"/>
      <w:szCs w:val="24"/>
    </w:rPr>
  </w:style>
  <w:style w:type="paragraph" w:customStyle="1" w:styleId="226">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Ansi="宋体"/>
      <w:sz w:val="24"/>
      <w:szCs w:val="24"/>
    </w:rPr>
  </w:style>
  <w:style w:type="paragraph" w:customStyle="1" w:styleId="227">
    <w:name w:val="表中"/>
    <w:basedOn w:val="1"/>
    <w:qFormat/>
    <w:uiPriority w:val="0"/>
    <w:pPr>
      <w:adjustRightInd w:val="0"/>
      <w:spacing w:line="360" w:lineRule="atLeast"/>
      <w:jc w:val="center"/>
      <w:textAlignment w:val="baseline"/>
    </w:pPr>
    <w:rPr>
      <w:rFonts w:ascii="Times New Roman"/>
      <w:sz w:val="21"/>
    </w:rPr>
  </w:style>
  <w:style w:type="paragraph" w:customStyle="1" w:styleId="228">
    <w:name w:val="样式 标题 1 + 黑体 三号 非加粗 居中 段前: 6 磅 段后: 6 磅 行距: 固定值 20 磅"/>
    <w:basedOn w:val="3"/>
    <w:qFormat/>
    <w:uiPriority w:val="0"/>
    <w:pPr>
      <w:numPr>
        <w:numId w:val="0"/>
      </w:numPr>
      <w:spacing w:before="120" w:after="120" w:line="400" w:lineRule="exact"/>
    </w:pPr>
    <w:rPr>
      <w:rFonts w:ascii="幼圆" w:hAnsi="幼圆" w:eastAsia="幼圆" w:cs="华文细黑"/>
      <w:b w:val="0"/>
      <w:bCs w:val="0"/>
      <w:kern w:val="2"/>
      <w:sz w:val="32"/>
      <w:szCs w:val="20"/>
    </w:rPr>
  </w:style>
  <w:style w:type="paragraph" w:customStyle="1" w:styleId="229">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30">
    <w:name w:val="列表2"/>
    <w:basedOn w:val="1"/>
    <w:qFormat/>
    <w:uiPriority w:val="0"/>
    <w:pPr>
      <w:tabs>
        <w:tab w:val="left" w:pos="1470"/>
      </w:tabs>
      <w:adjustRightInd w:val="0"/>
      <w:spacing w:after="20" w:line="288" w:lineRule="auto"/>
      <w:ind w:left="1469" w:hanging="420"/>
      <w:textAlignment w:val="baseline"/>
    </w:pPr>
    <w:rPr>
      <w:rFonts w:ascii="Times New Roman"/>
      <w:kern w:val="2"/>
      <w:sz w:val="21"/>
      <w:szCs w:val="24"/>
    </w:rPr>
  </w:style>
  <w:style w:type="paragraph" w:customStyle="1" w:styleId="231">
    <w:name w:val="标准文字"/>
    <w:basedOn w:val="1"/>
    <w:qFormat/>
    <w:uiPriority w:val="0"/>
    <w:pPr>
      <w:adjustRightInd w:val="0"/>
      <w:spacing w:after="20" w:line="360" w:lineRule="auto"/>
      <w:ind w:firstLine="420"/>
      <w:textAlignment w:val="baseline"/>
    </w:pPr>
    <w:rPr>
      <w:rFonts w:ascii="Times New Roman"/>
      <w:kern w:val="2"/>
      <w:sz w:val="21"/>
      <w:szCs w:val="24"/>
    </w:rPr>
  </w:style>
  <w:style w:type="paragraph" w:customStyle="1" w:styleId="23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3">
    <w:name w:val="默认段落字体 Para Char Char Char"/>
    <w:basedOn w:val="1"/>
    <w:uiPriority w:val="0"/>
    <w:rPr>
      <w:rFonts w:ascii="Times New Roman"/>
      <w:kern w:val="2"/>
      <w:sz w:val="21"/>
      <w:szCs w:val="24"/>
    </w:rPr>
  </w:style>
  <w:style w:type="paragraph" w:customStyle="1" w:styleId="234">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sz w:val="24"/>
      <w:szCs w:val="24"/>
    </w:rPr>
  </w:style>
  <w:style w:type="paragraph" w:customStyle="1" w:styleId="235">
    <w:name w:val="z-Top of Form"/>
    <w:next w:val="1"/>
    <w:qFormat/>
    <w:uiPriority w:val="0"/>
    <w:pPr>
      <w:widowControl w:val="0"/>
      <w:pBdr>
        <w:bottom w:val="double" w:color="000000" w:sz="2" w:space="0"/>
      </w:pBdr>
      <w:autoSpaceDE w:val="0"/>
      <w:autoSpaceDN w:val="0"/>
      <w:adjustRightInd w:val="0"/>
      <w:jc w:val="center"/>
    </w:pPr>
    <w:rPr>
      <w:rFonts w:ascii="Tahoma" w:hAnsi="Tahoma" w:eastAsia="华文细黑" w:cs="Cambria"/>
      <w:vanish/>
      <w:sz w:val="16"/>
      <w:lang w:val="en-US" w:eastAsia="zh-CN" w:bidi="ar-SA"/>
    </w:rPr>
  </w:style>
  <w:style w:type="paragraph" w:customStyle="1" w:styleId="236">
    <w:name w:val="简介正文"/>
    <w:basedOn w:val="1"/>
    <w:qFormat/>
    <w:uiPriority w:val="0"/>
    <w:pPr>
      <w:numPr>
        <w:ilvl w:val="0"/>
        <w:numId w:val="10"/>
      </w:numPr>
      <w:tabs>
        <w:tab w:val="clear" w:pos="420"/>
      </w:tabs>
      <w:adjustRightInd w:val="0"/>
      <w:spacing w:after="20" w:line="520" w:lineRule="exact"/>
      <w:ind w:left="1701" w:hanging="1701"/>
      <w:textAlignment w:val="baseline"/>
    </w:pPr>
    <w:rPr>
      <w:rFonts w:ascii="Times New Roman"/>
      <w:kern w:val="2"/>
      <w:sz w:val="24"/>
    </w:rPr>
  </w:style>
  <w:style w:type="paragraph" w:customStyle="1" w:styleId="237">
    <w:name w:val="Char Char Char Char Char Char Char Char Char Char2"/>
    <w:basedOn w:val="1"/>
    <w:uiPriority w:val="0"/>
    <w:pPr>
      <w:tabs>
        <w:tab w:val="left" w:pos="360"/>
      </w:tabs>
    </w:pPr>
    <w:rPr>
      <w:rFonts w:ascii="Times New Roman"/>
      <w:kern w:val="2"/>
      <w:sz w:val="21"/>
      <w:szCs w:val="24"/>
    </w:rPr>
  </w:style>
  <w:style w:type="paragraph" w:customStyle="1" w:styleId="238">
    <w:name w:val="TOC 标题11"/>
    <w:basedOn w:val="3"/>
    <w:next w:val="1"/>
    <w:unhideWhenUsed/>
    <w:qFormat/>
    <w:uiPriority w:val="39"/>
    <w:pPr>
      <w:widowControl/>
      <w:tabs>
        <w:tab w:val="left" w:pos="988"/>
        <w:tab w:val="clear" w:pos="1800"/>
      </w:tabs>
      <w:spacing w:before="240" w:after="0" w:line="259" w:lineRule="auto"/>
      <w:ind w:left="0" w:firstLine="0"/>
      <w:jc w:val="left"/>
      <w:outlineLvl w:val="9"/>
    </w:pPr>
    <w:rPr>
      <w:rFonts w:ascii="Cambria" w:hAnsi="Cambria" w:eastAsia="宋体"/>
      <w:b w:val="0"/>
      <w:bCs w:val="0"/>
      <w:color w:val="365F90"/>
      <w:kern w:val="0"/>
      <w:sz w:val="32"/>
      <w:szCs w:val="32"/>
    </w:rPr>
  </w:style>
  <w:style w:type="paragraph" w:customStyle="1" w:styleId="239">
    <w:name w:val="yyn"/>
    <w:basedOn w:val="1"/>
    <w:qFormat/>
    <w:uiPriority w:val="0"/>
    <w:pPr>
      <w:keepNext/>
      <w:widowControl/>
      <w:overflowPunct w:val="0"/>
      <w:autoSpaceDE w:val="0"/>
      <w:autoSpaceDN w:val="0"/>
      <w:adjustRightInd w:val="0"/>
      <w:spacing w:line="360" w:lineRule="auto"/>
      <w:ind w:right="562" w:firstLine="576"/>
      <w:textAlignment w:val="baseline"/>
    </w:pPr>
    <w:rPr>
      <w:kern w:val="16"/>
      <w:sz w:val="28"/>
    </w:rPr>
  </w:style>
  <w:style w:type="paragraph" w:customStyle="1" w:styleId="240">
    <w:name w:val="xl50"/>
    <w:basedOn w:val="1"/>
    <w:uiPriority w:val="0"/>
    <w:pPr>
      <w:widowControl/>
      <w:spacing w:before="100" w:beforeAutospacing="1" w:after="100" w:afterAutospacing="1"/>
      <w:jc w:val="center"/>
      <w:textAlignment w:val="center"/>
    </w:pPr>
    <w:rPr>
      <w:rFonts w:hAnsi="宋体"/>
      <w:b/>
      <w:bCs/>
      <w:sz w:val="40"/>
      <w:szCs w:val="40"/>
    </w:rPr>
  </w:style>
  <w:style w:type="paragraph" w:customStyle="1" w:styleId="241">
    <w:name w:val="项目编号3"/>
    <w:basedOn w:val="1"/>
    <w:next w:val="1"/>
    <w:qFormat/>
    <w:uiPriority w:val="0"/>
    <w:pPr>
      <w:numPr>
        <w:ilvl w:val="0"/>
        <w:numId w:val="11"/>
      </w:numPr>
      <w:spacing w:line="360" w:lineRule="auto"/>
      <w:ind w:left="0" w:firstLine="200" w:firstLineChars="200"/>
      <w:jc w:val="left"/>
    </w:pPr>
    <w:rPr>
      <w:kern w:val="2"/>
      <w:sz w:val="24"/>
      <w:szCs w:val="24"/>
    </w:rPr>
  </w:style>
  <w:style w:type="paragraph" w:customStyle="1" w:styleId="242">
    <w:name w:val="项目符号1"/>
    <w:basedOn w:val="1"/>
    <w:uiPriority w:val="0"/>
    <w:pPr>
      <w:numPr>
        <w:ilvl w:val="1"/>
        <w:numId w:val="12"/>
      </w:numPr>
      <w:tabs>
        <w:tab w:val="left" w:pos="1260"/>
      </w:tabs>
    </w:pPr>
    <w:rPr>
      <w:rFonts w:ascii="Times New Roman"/>
      <w:kern w:val="2"/>
      <w:sz w:val="21"/>
    </w:rPr>
  </w:style>
  <w:style w:type="paragraph" w:customStyle="1" w:styleId="243">
    <w:name w:val="默认段落字体 Para Char Char Char1 Char"/>
    <w:basedOn w:val="1"/>
    <w:uiPriority w:val="0"/>
    <w:pPr>
      <w:spacing w:line="360" w:lineRule="auto"/>
      <w:ind w:left="420" w:firstLine="420"/>
    </w:pPr>
    <w:rPr>
      <w:rFonts w:ascii="Times New Roman"/>
      <w:sz w:val="24"/>
      <w:szCs w:val="21"/>
    </w:rPr>
  </w:style>
  <w:style w:type="paragraph" w:customStyle="1" w:styleId="244">
    <w:name w:val="正文2"/>
    <w:basedOn w:val="1"/>
    <w:uiPriority w:val="0"/>
    <w:pPr>
      <w:widowControl/>
      <w:spacing w:after="160" w:line="360" w:lineRule="auto"/>
      <w:ind w:firstLine="200" w:firstLineChars="200"/>
      <w:jc w:val="left"/>
    </w:pPr>
    <w:rPr>
      <w:rFonts w:ascii="Verdana" w:hAnsi="Verdana" w:eastAsia="黑体"/>
      <w:sz w:val="21"/>
      <w:lang w:eastAsia="en-US"/>
    </w:rPr>
  </w:style>
  <w:style w:type="paragraph" w:customStyle="1" w:styleId="2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46">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hAnsi="宋体"/>
      <w:color w:val="000000"/>
      <w:sz w:val="24"/>
      <w:szCs w:val="24"/>
    </w:rPr>
  </w:style>
  <w:style w:type="paragraph" w:customStyle="1" w:styleId="247">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ascii="Times New Roman" w:eastAsia="仿宋_GB2312"/>
      <w:sz w:val="18"/>
    </w:rPr>
  </w:style>
  <w:style w:type="paragraph" w:customStyle="1" w:styleId="248">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rFonts w:ascii="Times New Roman"/>
      <w:sz w:val="24"/>
    </w:rPr>
  </w:style>
  <w:style w:type="paragraph" w:customStyle="1" w:styleId="249">
    <w:name w:val="Blockquote"/>
    <w:basedOn w:val="1"/>
    <w:uiPriority w:val="0"/>
    <w:pPr>
      <w:autoSpaceDE w:val="0"/>
      <w:autoSpaceDN w:val="0"/>
      <w:adjustRightInd w:val="0"/>
      <w:spacing w:before="100" w:after="100"/>
      <w:ind w:left="360" w:right="360"/>
      <w:jc w:val="left"/>
    </w:pPr>
    <w:rPr>
      <w:rFonts w:ascii="Cambria" w:hAnsi="Cambria" w:eastAsia="华文细黑" w:cs="Cambria"/>
      <w:sz w:val="24"/>
    </w:rPr>
  </w:style>
  <w:style w:type="paragraph" w:customStyle="1" w:styleId="250">
    <w:name w:val="重点"/>
    <w:basedOn w:val="1"/>
    <w:qFormat/>
    <w:uiPriority w:val="0"/>
    <w:pPr>
      <w:shd w:val="pct10" w:color="auto" w:fill="auto"/>
      <w:adjustRightInd w:val="0"/>
      <w:spacing w:after="20" w:line="288" w:lineRule="auto"/>
      <w:ind w:firstLine="420"/>
      <w:textAlignment w:val="baseline"/>
    </w:pPr>
    <w:rPr>
      <w:rFonts w:ascii="Times New Roman" w:eastAsia="黑体"/>
      <w:b/>
      <w:kern w:val="2"/>
      <w:sz w:val="21"/>
      <w:szCs w:val="24"/>
    </w:rPr>
  </w:style>
  <w:style w:type="paragraph" w:customStyle="1" w:styleId="251">
    <w:name w:val="列出段落1"/>
    <w:basedOn w:val="1"/>
    <w:qFormat/>
    <w:uiPriority w:val="0"/>
    <w:pPr>
      <w:spacing w:before="120" w:after="120" w:line="360" w:lineRule="auto"/>
      <w:ind w:firstLine="420"/>
    </w:pPr>
    <w:rPr>
      <w:rFonts w:ascii="Calibri" w:hAnsi="Calibri"/>
      <w:kern w:val="2"/>
      <w:sz w:val="24"/>
      <w:szCs w:val="22"/>
    </w:rPr>
  </w:style>
  <w:style w:type="paragraph" w:customStyle="1" w:styleId="252">
    <w:name w:val="Char1"/>
    <w:basedOn w:val="1"/>
    <w:uiPriority w:val="0"/>
    <w:rPr>
      <w:rFonts w:ascii="仿宋_GB2312" w:eastAsia="仿宋_GB2312"/>
      <w:b/>
      <w:kern w:val="2"/>
      <w:sz w:val="32"/>
      <w:szCs w:val="32"/>
    </w:rPr>
  </w:style>
  <w:style w:type="paragraph" w:customStyle="1" w:styleId="253">
    <w:name w:val="z-Bottom of Form"/>
    <w:next w:val="1"/>
    <w:uiPriority w:val="0"/>
    <w:pPr>
      <w:widowControl w:val="0"/>
      <w:pBdr>
        <w:top w:val="double" w:color="000000" w:sz="2" w:space="0"/>
      </w:pBdr>
      <w:autoSpaceDE w:val="0"/>
      <w:autoSpaceDN w:val="0"/>
      <w:adjustRightInd w:val="0"/>
      <w:jc w:val="center"/>
    </w:pPr>
    <w:rPr>
      <w:rFonts w:ascii="Tahoma" w:hAnsi="Tahoma" w:eastAsia="华文细黑" w:cs="Cambria"/>
      <w:vanish/>
      <w:sz w:val="16"/>
      <w:lang w:val="en-US" w:eastAsia="zh-CN" w:bidi="ar-SA"/>
    </w:rPr>
  </w:style>
  <w:style w:type="paragraph" w:customStyle="1" w:styleId="254">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55">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Ansi="宋体"/>
      <w:b/>
      <w:bCs/>
      <w:sz w:val="20"/>
    </w:rPr>
  </w:style>
  <w:style w:type="paragraph" w:customStyle="1" w:styleId="256">
    <w:name w:val="标准式样"/>
    <w:basedOn w:val="55"/>
    <w:qFormat/>
    <w:uiPriority w:val="0"/>
  </w:style>
  <w:style w:type="paragraph" w:customStyle="1" w:styleId="25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258">
    <w:name w:val="Char Char Char Char Char Char Char Char Char Char Char Char Char Char Char Char"/>
    <w:basedOn w:val="1"/>
    <w:uiPriority w:val="0"/>
    <w:pPr>
      <w:tabs>
        <w:tab w:val="left" w:pos="360"/>
      </w:tabs>
    </w:pPr>
    <w:rPr>
      <w:rFonts w:ascii="Times New Roman"/>
      <w:kern w:val="2"/>
      <w:sz w:val="24"/>
      <w:szCs w:val="24"/>
    </w:rPr>
  </w:style>
  <w:style w:type="paragraph" w:customStyle="1" w:styleId="259">
    <w:name w:val="xl22"/>
    <w:basedOn w:val="1"/>
    <w:uiPriority w:val="0"/>
    <w:pPr>
      <w:widowControl/>
      <w:pBdr>
        <w:top w:val="single" w:color="000000" w:sz="4" w:space="0"/>
        <w:bottom w:val="single" w:color="000000" w:sz="4" w:space="0"/>
      </w:pBdr>
      <w:spacing w:before="100" w:beforeAutospacing="1" w:after="100" w:afterAutospacing="1"/>
      <w:jc w:val="left"/>
      <w:textAlignment w:val="center"/>
    </w:pPr>
    <w:rPr>
      <w:rFonts w:hAnsi="宋体"/>
      <w:color w:val="000000"/>
      <w:sz w:val="24"/>
      <w:szCs w:val="24"/>
    </w:rPr>
  </w:style>
  <w:style w:type="paragraph" w:customStyle="1" w:styleId="260">
    <w:name w:val="回信地址"/>
    <w:basedOn w:val="1"/>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rFonts w:ascii="Times New Roman"/>
      <w:sz w:val="16"/>
    </w:rPr>
  </w:style>
  <w:style w:type="paragraph" w:customStyle="1" w:styleId="261">
    <w:name w:val="Char Char Char1 Char Char Char"/>
    <w:basedOn w:val="1"/>
    <w:uiPriority w:val="0"/>
    <w:pPr>
      <w:ind w:firstLine="200" w:firstLineChars="200"/>
    </w:pPr>
    <w:rPr>
      <w:rFonts w:ascii="Tahoma" w:hAnsi="Tahoma"/>
      <w:kern w:val="2"/>
      <w:sz w:val="24"/>
    </w:rPr>
  </w:style>
  <w:style w:type="paragraph" w:customStyle="1" w:styleId="262">
    <w:name w:val="表头"/>
    <w:basedOn w:val="1"/>
    <w:qFormat/>
    <w:uiPriority w:val="0"/>
    <w:pPr>
      <w:adjustRightInd w:val="0"/>
      <w:snapToGrid w:val="0"/>
      <w:spacing w:line="320" w:lineRule="atLeast"/>
      <w:jc w:val="center"/>
      <w:textAlignment w:val="baseline"/>
    </w:pPr>
    <w:rPr>
      <w:rFonts w:ascii="Times New Roman" w:eastAsia="黑体"/>
      <w:spacing w:val="-10"/>
      <w:sz w:val="21"/>
    </w:rPr>
  </w:style>
  <w:style w:type="paragraph" w:customStyle="1" w:styleId="263">
    <w:name w:val="font6"/>
    <w:basedOn w:val="1"/>
    <w:qFormat/>
    <w:uiPriority w:val="0"/>
    <w:pPr>
      <w:widowControl/>
      <w:adjustRightInd w:val="0"/>
      <w:spacing w:before="100" w:beforeAutospacing="1" w:after="100" w:afterAutospacing="1" w:line="288" w:lineRule="auto"/>
      <w:ind w:firstLine="420"/>
      <w:jc w:val="left"/>
      <w:textAlignment w:val="baseline"/>
    </w:pPr>
    <w:rPr>
      <w:rFonts w:ascii="Times New Roman"/>
      <w:sz w:val="24"/>
      <w:szCs w:val="24"/>
    </w:rPr>
  </w:style>
  <w:style w:type="paragraph" w:customStyle="1" w:styleId="264">
    <w:name w:val="菲页2"/>
    <w:basedOn w:val="5"/>
    <w:uiPriority w:val="0"/>
    <w:pPr>
      <w:widowControl/>
      <w:spacing w:before="120" w:after="120" w:line="360" w:lineRule="auto"/>
      <w:ind w:left="6233" w:hanging="420"/>
      <w:jc w:val="center"/>
    </w:pPr>
    <w:rPr>
      <w:rFonts w:hAnsi="宋体"/>
      <w:b w:val="0"/>
      <w:bCs w:val="0"/>
      <w:kern w:val="0"/>
      <w:sz w:val="44"/>
      <w:szCs w:val="20"/>
    </w:rPr>
  </w:style>
  <w:style w:type="paragraph" w:customStyle="1" w:styleId="265">
    <w:name w:val="Default Paragraph Font Para Char"/>
    <w:basedOn w:val="1"/>
    <w:uiPriority w:val="0"/>
    <w:pPr>
      <w:widowControl/>
      <w:spacing w:after="160" w:line="240" w:lineRule="exact"/>
      <w:jc w:val="left"/>
    </w:pPr>
    <w:rPr>
      <w:rFonts w:ascii="Times New Roman"/>
      <w:kern w:val="2"/>
      <w:sz w:val="21"/>
      <w:szCs w:val="24"/>
    </w:rPr>
  </w:style>
  <w:style w:type="paragraph" w:customStyle="1" w:styleId="266">
    <w:name w:val="CM41"/>
    <w:basedOn w:val="208"/>
    <w:next w:val="208"/>
    <w:qFormat/>
    <w:uiPriority w:val="99"/>
    <w:pPr>
      <w:spacing w:after="478"/>
    </w:pPr>
    <w:rPr>
      <w:rFonts w:ascii="Times New Roman PSMT" w:hAnsi="Times New Roman" w:eastAsia="Times New Roman PSMT" w:cs="Times New Roman PSMT"/>
      <w:color w:val="auto"/>
    </w:rPr>
  </w:style>
  <w:style w:type="paragraph" w:customStyle="1" w:styleId="267">
    <w:name w:val="章标题"/>
    <w:next w:val="1"/>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268">
    <w:name w:val="xl24"/>
    <w:basedOn w:val="1"/>
    <w:uiPriority w:val="0"/>
    <w:pPr>
      <w:widowControl/>
      <w:pBdr>
        <w:top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69">
    <w:name w:val="菲页1"/>
    <w:basedOn w:val="4"/>
    <w:uiPriority w:val="0"/>
    <w:pPr>
      <w:widowControl/>
      <w:numPr>
        <w:ilvl w:val="0"/>
        <w:numId w:val="0"/>
      </w:numPr>
      <w:tabs>
        <w:tab w:val="clear" w:pos="567"/>
      </w:tabs>
      <w:jc w:val="center"/>
    </w:pPr>
    <w:rPr>
      <w:rFonts w:ascii="黑体" w:hAnsi="宋体"/>
      <w:b w:val="0"/>
      <w:bCs w:val="0"/>
      <w:kern w:val="0"/>
      <w:sz w:val="52"/>
      <w:szCs w:val="20"/>
    </w:rPr>
  </w:style>
  <w:style w:type="paragraph" w:customStyle="1" w:styleId="270">
    <w:name w:val="xl26"/>
    <w:basedOn w:val="1"/>
    <w:uiPriority w:val="0"/>
    <w:pPr>
      <w:widowControl/>
      <w:pBdr>
        <w:top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271">
    <w:name w:val="目录文字"/>
    <w:basedOn w:val="1"/>
    <w:uiPriority w:val="0"/>
    <w:pPr>
      <w:widowControl/>
      <w:spacing w:line="480" w:lineRule="auto"/>
      <w:jc w:val="left"/>
    </w:pPr>
    <w:rPr>
      <w:rFonts w:hAnsi="宋体"/>
      <w:sz w:val="24"/>
    </w:rPr>
  </w:style>
  <w:style w:type="paragraph" w:customStyle="1" w:styleId="272">
    <w:name w:val="Definition List"/>
    <w:basedOn w:val="1"/>
    <w:next w:val="273"/>
    <w:qFormat/>
    <w:uiPriority w:val="0"/>
    <w:pPr>
      <w:autoSpaceDE w:val="0"/>
      <w:autoSpaceDN w:val="0"/>
      <w:adjustRightInd w:val="0"/>
      <w:ind w:left="360"/>
      <w:jc w:val="left"/>
    </w:pPr>
    <w:rPr>
      <w:rFonts w:ascii="Cambria" w:hAnsi="Cambria" w:eastAsia="华文细黑" w:cs="Cambria"/>
      <w:sz w:val="24"/>
    </w:rPr>
  </w:style>
  <w:style w:type="paragraph" w:customStyle="1" w:styleId="273">
    <w:name w:val="Definition Term"/>
    <w:basedOn w:val="1"/>
    <w:next w:val="272"/>
    <w:uiPriority w:val="0"/>
    <w:pPr>
      <w:autoSpaceDE w:val="0"/>
      <w:autoSpaceDN w:val="0"/>
      <w:adjustRightInd w:val="0"/>
      <w:jc w:val="left"/>
    </w:pPr>
    <w:rPr>
      <w:rFonts w:ascii="Cambria" w:hAnsi="Cambria" w:eastAsia="华文细黑" w:cs="Cambria"/>
      <w:sz w:val="24"/>
    </w:rPr>
  </w:style>
  <w:style w:type="paragraph" w:customStyle="1" w:styleId="274">
    <w:name w:val="表蕊"/>
    <w:basedOn w:val="1"/>
    <w:uiPriority w:val="0"/>
    <w:pPr>
      <w:adjustRightInd w:val="0"/>
      <w:spacing w:line="320" w:lineRule="atLeast"/>
      <w:jc w:val="left"/>
      <w:textAlignment w:val="baseline"/>
    </w:pPr>
    <w:rPr>
      <w:rFonts w:ascii="Times New Roman" w:eastAsia="楷体_GB2312"/>
      <w:spacing w:val="-10"/>
      <w:sz w:val="21"/>
    </w:rPr>
  </w:style>
  <w:style w:type="paragraph" w:customStyle="1" w:styleId="275">
    <w:name w:val="1"/>
    <w:basedOn w:val="1"/>
    <w:uiPriority w:val="0"/>
    <w:pPr>
      <w:spacing w:line="360" w:lineRule="auto"/>
      <w:ind w:firstLine="200" w:firstLineChars="200"/>
    </w:pPr>
    <w:rPr>
      <w:rFonts w:ascii="华文细黑" w:hAnsi="华文细黑" w:eastAsia="华文细黑" w:cs="华文细黑"/>
      <w:kern w:val="2"/>
      <w:sz w:val="24"/>
      <w:szCs w:val="24"/>
    </w:rPr>
  </w:style>
  <w:style w:type="paragraph" w:customStyle="1" w:styleId="276">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hAnsi="Arial"/>
      <w:smallCaps/>
      <w:spacing w:val="-20"/>
      <w:kern w:val="2"/>
      <w:sz w:val="24"/>
    </w:rPr>
  </w:style>
  <w:style w:type="paragraph" w:customStyle="1" w:styleId="277">
    <w:name w:val="表格"/>
    <w:basedOn w:val="1"/>
    <w:uiPriority w:val="0"/>
    <w:pPr>
      <w:jc w:val="center"/>
    </w:pPr>
    <w:rPr>
      <w:rFonts w:ascii="Times New Roman"/>
      <w:kern w:val="2"/>
      <w:sz w:val="21"/>
      <w:szCs w:val="21"/>
    </w:rPr>
  </w:style>
  <w:style w:type="paragraph" w:customStyle="1" w:styleId="278">
    <w:name w:val="样式一"/>
    <w:basedOn w:val="1"/>
    <w:uiPriority w:val="0"/>
    <w:pPr>
      <w:numPr>
        <w:ilvl w:val="2"/>
        <w:numId w:val="1"/>
      </w:numPr>
      <w:autoSpaceDE w:val="0"/>
      <w:autoSpaceDN w:val="0"/>
      <w:adjustRightInd w:val="0"/>
      <w:spacing w:before="100" w:after="100" w:line="360" w:lineRule="exact"/>
      <w:textAlignment w:val="baseline"/>
    </w:pPr>
    <w:rPr>
      <w:rFonts w:hAnsi="宋体" w:eastAsia="黑体"/>
      <w:sz w:val="24"/>
      <w:lang w:val="en-GB"/>
    </w:rPr>
  </w:style>
  <w:style w:type="paragraph" w:customStyle="1" w:styleId="279">
    <w:name w:val="正文(缩进)"/>
    <w:basedOn w:val="1"/>
    <w:uiPriority w:val="0"/>
    <w:pPr>
      <w:widowControl/>
      <w:spacing w:line="360" w:lineRule="auto"/>
      <w:ind w:firstLine="200" w:firstLineChars="200"/>
    </w:pPr>
    <w:rPr>
      <w:rFonts w:ascii="Times New Roman" w:eastAsia="仿宋_GB2312"/>
      <w:kern w:val="2"/>
      <w:sz w:val="24"/>
    </w:rPr>
  </w:style>
  <w:style w:type="paragraph" w:customStyle="1" w:styleId="280">
    <w:name w:val="Address"/>
    <w:basedOn w:val="1"/>
    <w:next w:val="1"/>
    <w:uiPriority w:val="0"/>
    <w:pPr>
      <w:autoSpaceDE w:val="0"/>
      <w:autoSpaceDN w:val="0"/>
      <w:adjustRightInd w:val="0"/>
      <w:jc w:val="left"/>
    </w:pPr>
    <w:rPr>
      <w:rFonts w:ascii="Cambria" w:hAnsi="Cambria" w:eastAsia="华文细黑" w:cs="Cambria"/>
      <w:i/>
      <w:sz w:val="24"/>
    </w:rPr>
  </w:style>
  <w:style w:type="paragraph" w:customStyle="1" w:styleId="281">
    <w:name w:val="ZDY正文"/>
    <w:basedOn w:val="1"/>
    <w:qFormat/>
    <w:uiPriority w:val="0"/>
    <w:pPr>
      <w:spacing w:beforeLines="50" w:line="360" w:lineRule="auto"/>
      <w:ind w:firstLine="200" w:firstLineChars="200"/>
      <w:jc w:val="left"/>
    </w:pPr>
    <w:rPr>
      <w:rFonts w:hAnsi="宋体"/>
      <w:kern w:val="2"/>
      <w:sz w:val="24"/>
      <w:szCs w:val="24"/>
    </w:rPr>
  </w:style>
  <w:style w:type="paragraph" w:customStyle="1" w:styleId="282">
    <w:name w:val="font0"/>
    <w:basedOn w:val="1"/>
    <w:uiPriority w:val="0"/>
    <w:pPr>
      <w:widowControl/>
      <w:spacing w:before="100" w:beforeAutospacing="1" w:after="100" w:afterAutospacing="1"/>
      <w:jc w:val="left"/>
    </w:pPr>
    <w:rPr>
      <w:rFonts w:hint="eastAsia" w:hAnsi="宋体"/>
      <w:sz w:val="18"/>
      <w:szCs w:val="18"/>
    </w:rPr>
  </w:style>
  <w:style w:type="paragraph" w:customStyle="1" w:styleId="283">
    <w:name w:val="p0"/>
    <w:basedOn w:val="1"/>
    <w:qFormat/>
    <w:uiPriority w:val="0"/>
    <w:pPr>
      <w:widowControl/>
    </w:pPr>
    <w:rPr>
      <w:rFonts w:ascii="Times New Roman"/>
      <w:sz w:val="21"/>
      <w:szCs w:val="21"/>
    </w:rPr>
  </w:style>
  <w:style w:type="paragraph" w:customStyle="1" w:styleId="284">
    <w:name w:val="xl3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b/>
      <w:bCs/>
      <w:sz w:val="20"/>
    </w:rPr>
  </w:style>
  <w:style w:type="paragraph" w:customStyle="1" w:styleId="285">
    <w:name w:val="样式 纯文本 + 楷体_GB2312 小四 行距: 固定值 20 磅1"/>
    <w:basedOn w:val="33"/>
    <w:uiPriority w:val="0"/>
    <w:pPr>
      <w:spacing w:line="400" w:lineRule="exact"/>
      <w:ind w:firstLine="200" w:firstLineChars="200"/>
    </w:pPr>
    <w:rPr>
      <w:rFonts w:ascii="楷体_GB2312" w:eastAsia="楷体_GB2312"/>
      <w:sz w:val="24"/>
      <w:szCs w:val="20"/>
    </w:rPr>
  </w:style>
  <w:style w:type="paragraph" w:customStyle="1" w:styleId="286">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b/>
      <w:bCs/>
      <w:sz w:val="20"/>
    </w:rPr>
  </w:style>
  <w:style w:type="paragraph" w:customStyle="1" w:styleId="287">
    <w:name w:val="Char Char Char Char Char Char Char Char Char Char Char Char Char Char Char Char1"/>
    <w:basedOn w:val="1"/>
    <w:uiPriority w:val="0"/>
    <w:pPr>
      <w:tabs>
        <w:tab w:val="left" w:pos="360"/>
      </w:tabs>
    </w:pPr>
    <w:rPr>
      <w:rFonts w:ascii="Times New Roman"/>
      <w:kern w:val="2"/>
      <w:sz w:val="24"/>
      <w:szCs w:val="24"/>
    </w:rPr>
  </w:style>
  <w:style w:type="paragraph" w:customStyle="1" w:styleId="288">
    <w:name w:val="xl49"/>
    <w:basedOn w:val="1"/>
    <w:uiPriority w:val="0"/>
    <w:pPr>
      <w:widowControl/>
      <w:spacing w:before="100" w:beforeAutospacing="1" w:after="100" w:afterAutospacing="1"/>
      <w:jc w:val="center"/>
      <w:textAlignment w:val="center"/>
    </w:pPr>
    <w:rPr>
      <w:rFonts w:hAnsi="宋体"/>
      <w:b/>
      <w:bCs/>
      <w:color w:val="000000"/>
      <w:sz w:val="40"/>
      <w:szCs w:val="40"/>
    </w:rPr>
  </w:style>
  <w:style w:type="paragraph" w:customStyle="1" w:styleId="289">
    <w:name w:val="列表_名词"/>
    <w:basedOn w:val="196"/>
    <w:qFormat/>
    <w:uiPriority w:val="0"/>
    <w:pPr>
      <w:tabs>
        <w:tab w:val="left" w:pos="2745"/>
      </w:tabs>
      <w:ind w:left="2745" w:hanging="420"/>
    </w:pPr>
  </w:style>
  <w:style w:type="paragraph" w:customStyle="1" w:styleId="290">
    <w:name w:val="目录"/>
    <w:basedOn w:val="1"/>
    <w:next w:val="1"/>
    <w:uiPriority w:val="0"/>
    <w:pPr>
      <w:adjustRightInd w:val="0"/>
      <w:spacing w:before="360" w:after="360" w:line="360" w:lineRule="auto"/>
      <w:ind w:firstLine="420"/>
      <w:jc w:val="center"/>
      <w:textAlignment w:val="baseline"/>
    </w:pPr>
    <w:rPr>
      <w:rFonts w:ascii="Times New Roman"/>
      <w:b/>
      <w:spacing w:val="200"/>
      <w:kern w:val="2"/>
      <w:sz w:val="36"/>
    </w:rPr>
  </w:style>
  <w:style w:type="paragraph" w:customStyle="1" w:styleId="291">
    <w:name w:val="修订1"/>
    <w:qFormat/>
    <w:uiPriority w:val="0"/>
    <w:rPr>
      <w:rFonts w:ascii="Cambria" w:hAnsi="Cambria" w:eastAsia="华文细黑" w:cs="Cambria"/>
      <w:kern w:val="2"/>
      <w:sz w:val="21"/>
      <w:szCs w:val="24"/>
      <w:lang w:val="en-US" w:eastAsia="zh-CN" w:bidi="ar-SA"/>
    </w:rPr>
  </w:style>
  <w:style w:type="paragraph" w:customStyle="1" w:styleId="292">
    <w:name w:val="菲页(卷)"/>
    <w:basedOn w:val="3"/>
    <w:next w:val="293"/>
    <w:qFormat/>
    <w:uiPriority w:val="0"/>
    <w:pPr>
      <w:keepLines w:val="0"/>
      <w:widowControl/>
      <w:spacing w:before="0" w:after="0" w:line="240" w:lineRule="auto"/>
      <w:ind w:left="780" w:hanging="360"/>
      <w:outlineLvl w:val="1"/>
    </w:pPr>
    <w:rPr>
      <w:b w:val="0"/>
      <w:bCs w:val="0"/>
      <w:kern w:val="0"/>
      <w:sz w:val="52"/>
      <w:szCs w:val="20"/>
    </w:rPr>
  </w:style>
  <w:style w:type="paragraph" w:customStyle="1" w:styleId="293">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4">
    <w:name w:val="Char2"/>
    <w:basedOn w:val="1"/>
    <w:qFormat/>
    <w:uiPriority w:val="0"/>
    <w:rPr>
      <w:rFonts w:ascii="仿宋_GB2312" w:eastAsia="仿宋_GB2312"/>
      <w:b/>
      <w:kern w:val="2"/>
      <w:sz w:val="32"/>
      <w:szCs w:val="32"/>
    </w:rPr>
  </w:style>
  <w:style w:type="paragraph" w:styleId="295">
    <w:name w:val="No Spacing"/>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296">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sz w:val="24"/>
      <w:szCs w:val="24"/>
    </w:rPr>
  </w:style>
  <w:style w:type="paragraph" w:customStyle="1" w:styleId="297">
    <w:name w:val="标题0"/>
    <w:basedOn w:val="65"/>
    <w:next w:val="65"/>
    <w:uiPriority w:val="0"/>
    <w:rPr>
      <w:sz w:val="52"/>
    </w:rPr>
  </w:style>
  <w:style w:type="paragraph" w:customStyle="1" w:styleId="298">
    <w:name w:val="产品型号"/>
    <w:basedOn w:val="1"/>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hAnsi="宋体"/>
      <w:b/>
      <w:kern w:val="2"/>
      <w:sz w:val="30"/>
    </w:rPr>
  </w:style>
  <w:style w:type="paragraph" w:customStyle="1" w:styleId="299">
    <w:name w:val="样式 标题 2 + Times New Roman 四号 非加粗 段前: 5 磅 段后: 0 磅 行距: 固定值 20..."/>
    <w:basedOn w:val="4"/>
    <w:uiPriority w:val="0"/>
    <w:pPr>
      <w:numPr>
        <w:ilvl w:val="0"/>
        <w:numId w:val="0"/>
      </w:numPr>
      <w:tabs>
        <w:tab w:val="clear" w:pos="567"/>
      </w:tabs>
      <w:spacing w:before="100" w:after="0" w:line="400" w:lineRule="exact"/>
    </w:pPr>
    <w:rPr>
      <w:rFonts w:ascii="Cambria" w:hAnsi="Cambria" w:eastAsia="幼圆" w:cs="华文细黑"/>
      <w:b w:val="0"/>
      <w:bCs w:val="0"/>
      <w:color w:val="FF0000"/>
      <w:sz w:val="30"/>
      <w:szCs w:val="20"/>
    </w:rPr>
  </w:style>
  <w:style w:type="paragraph" w:customStyle="1" w:styleId="300">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sz w:val="24"/>
      <w:szCs w:val="24"/>
    </w:rPr>
  </w:style>
  <w:style w:type="paragraph" w:customStyle="1" w:styleId="30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20"/>
    </w:rPr>
  </w:style>
  <w:style w:type="paragraph" w:customStyle="1" w:styleId="30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hAnsi="宋体"/>
      <w:b/>
      <w:bCs/>
      <w:sz w:val="20"/>
    </w:rPr>
  </w:style>
  <w:style w:type="paragraph" w:customStyle="1" w:styleId="303">
    <w:name w:val="列出段落2"/>
    <w:basedOn w:val="1"/>
    <w:qFormat/>
    <w:uiPriority w:val="34"/>
    <w:pPr>
      <w:ind w:firstLine="420" w:firstLineChars="200"/>
    </w:pPr>
    <w:rPr>
      <w:rFonts w:ascii="Calibri" w:hAnsi="Calibri"/>
      <w:kern w:val="2"/>
      <w:sz w:val="21"/>
      <w:szCs w:val="22"/>
    </w:rPr>
  </w:style>
  <w:style w:type="paragraph" w:customStyle="1" w:styleId="30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0"/>
    </w:rPr>
  </w:style>
  <w:style w:type="paragraph" w:customStyle="1" w:styleId="305">
    <w:name w:val="表格文字"/>
    <w:basedOn w:val="1"/>
    <w:qFormat/>
    <w:uiPriority w:val="0"/>
    <w:pPr>
      <w:adjustRightInd w:val="0"/>
      <w:spacing w:line="288" w:lineRule="auto"/>
      <w:jc w:val="left"/>
      <w:textAlignment w:val="baseline"/>
    </w:pPr>
    <w:rPr>
      <w:rFonts w:ascii="Times New Roman"/>
      <w:sz w:val="21"/>
    </w:rPr>
  </w:style>
  <w:style w:type="paragraph" w:customStyle="1" w:styleId="306">
    <w:name w:val="图形"/>
    <w:basedOn w:val="1"/>
    <w:uiPriority w:val="0"/>
    <w:pPr>
      <w:adjustRightInd w:val="0"/>
      <w:spacing w:after="20" w:line="288" w:lineRule="auto"/>
      <w:ind w:firstLine="420"/>
      <w:jc w:val="center"/>
      <w:textAlignment w:val="baseline"/>
    </w:pPr>
    <w:rPr>
      <w:rFonts w:ascii="Times New Roman"/>
      <w:kern w:val="2"/>
      <w:sz w:val="21"/>
      <w:szCs w:val="24"/>
    </w:rPr>
  </w:style>
  <w:style w:type="paragraph" w:customStyle="1" w:styleId="3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20"/>
    </w:rPr>
  </w:style>
  <w:style w:type="paragraph" w:customStyle="1" w:styleId="308">
    <w:name w:val="xl38"/>
    <w:basedOn w:val="1"/>
    <w:qFormat/>
    <w:uiPriority w:val="0"/>
    <w:pPr>
      <w:widowControl/>
      <w:spacing w:before="100" w:beforeAutospacing="1" w:after="100" w:afterAutospacing="1"/>
      <w:jc w:val="center"/>
    </w:pPr>
    <w:rPr>
      <w:rFonts w:hint="eastAsia" w:ascii="隶书" w:hAnsi="宋体" w:eastAsia="隶书"/>
      <w:b/>
      <w:bCs/>
      <w:sz w:val="48"/>
      <w:szCs w:val="48"/>
    </w:rPr>
  </w:style>
  <w:style w:type="paragraph" w:customStyle="1" w:styleId="309">
    <w:name w:val="样式 (西文) 仿宋_GB2312 居中 行距: 1.5 倍行距"/>
    <w:basedOn w:val="1"/>
    <w:uiPriority w:val="0"/>
    <w:pPr>
      <w:spacing w:line="360" w:lineRule="auto"/>
      <w:jc w:val="center"/>
    </w:pPr>
    <w:rPr>
      <w:rFonts w:ascii="华文细黑" w:hAnsi="华文细黑" w:eastAsia="华文细黑" w:cs="华文细黑"/>
      <w:sz w:val="21"/>
    </w:rPr>
  </w:style>
  <w:style w:type="paragraph" w:customStyle="1" w:styleId="310">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Ansi="宋体"/>
      <w:color w:val="000000"/>
      <w:sz w:val="24"/>
      <w:szCs w:val="24"/>
    </w:rPr>
  </w:style>
  <w:style w:type="paragraph" w:customStyle="1" w:styleId="311">
    <w:name w:val="Char Char Char Char Char Char Char11"/>
    <w:basedOn w:val="1"/>
    <w:qFormat/>
    <w:uiPriority w:val="0"/>
    <w:pPr>
      <w:widowControl/>
      <w:spacing w:after="160" w:line="240" w:lineRule="exact"/>
      <w:jc w:val="left"/>
    </w:pPr>
    <w:rPr>
      <w:rFonts w:ascii="Arial" w:hAnsi="Arial" w:eastAsia="Times New Roman" w:cs="Verdana"/>
      <w:b/>
      <w:sz w:val="24"/>
      <w:szCs w:val="24"/>
      <w:lang w:eastAsia="en-US"/>
    </w:rPr>
  </w:style>
  <w:style w:type="paragraph" w:customStyle="1" w:styleId="312">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Ansi="宋体"/>
      <w:b/>
      <w:bCs/>
      <w:sz w:val="20"/>
    </w:rPr>
  </w:style>
  <w:style w:type="paragraph" w:customStyle="1" w:styleId="313">
    <w:name w:val="Char Char Char1 Char Char Char1"/>
    <w:basedOn w:val="1"/>
    <w:qFormat/>
    <w:uiPriority w:val="0"/>
    <w:pPr>
      <w:ind w:firstLine="200" w:firstLineChars="200"/>
    </w:pPr>
    <w:rPr>
      <w:rFonts w:ascii="Tahoma" w:hAnsi="Tahoma"/>
      <w:kern w:val="2"/>
      <w:sz w:val="24"/>
    </w:rPr>
  </w:style>
  <w:style w:type="paragraph" w:customStyle="1" w:styleId="314">
    <w:name w:val="flNote"/>
    <w:basedOn w:val="1"/>
    <w:qFormat/>
    <w:uiPriority w:val="0"/>
    <w:pPr>
      <w:adjustRightInd w:val="0"/>
      <w:spacing w:before="320" w:after="160" w:line="360" w:lineRule="atLeast"/>
      <w:jc w:val="center"/>
      <w:textAlignment w:val="baseline"/>
    </w:pPr>
    <w:rPr>
      <w:rFonts w:ascii="Tahoma" w:hAnsi="Cambria" w:eastAsia="幼圆" w:cs="Cambria"/>
      <w:sz w:val="30"/>
    </w:rPr>
  </w:style>
  <w:style w:type="paragraph" w:customStyle="1" w:styleId="315">
    <w:name w:val="font7"/>
    <w:basedOn w:val="1"/>
    <w:qFormat/>
    <w:uiPriority w:val="0"/>
    <w:pPr>
      <w:widowControl/>
      <w:adjustRightInd w:val="0"/>
      <w:spacing w:before="100" w:beforeAutospacing="1" w:after="100" w:afterAutospacing="1" w:line="288" w:lineRule="auto"/>
      <w:ind w:firstLine="420"/>
      <w:jc w:val="left"/>
      <w:textAlignment w:val="baseline"/>
    </w:pPr>
    <w:rPr>
      <w:rFonts w:ascii="Times New Roman"/>
      <w:b/>
      <w:bCs/>
      <w:sz w:val="24"/>
      <w:szCs w:val="24"/>
    </w:rPr>
  </w:style>
  <w:style w:type="paragraph" w:customStyle="1" w:styleId="316">
    <w:name w:val="函数注释1"/>
    <w:basedOn w:val="1"/>
    <w:qFormat/>
    <w:uiPriority w:val="0"/>
    <w:pPr>
      <w:adjustRightInd w:val="0"/>
      <w:spacing w:after="20" w:line="320" w:lineRule="exact"/>
      <w:ind w:left="1678" w:right="210" w:hanging="1049"/>
      <w:jc w:val="left"/>
      <w:textAlignment w:val="baseline"/>
    </w:pPr>
    <w:rPr>
      <w:rFonts w:ascii="Times New Roman"/>
      <w:sz w:val="21"/>
    </w:rPr>
  </w:style>
  <w:style w:type="paragraph" w:customStyle="1" w:styleId="317">
    <w:name w:val="正文11"/>
    <w:basedOn w:val="1"/>
    <w:qFormat/>
    <w:uiPriority w:val="0"/>
    <w:pPr>
      <w:spacing w:line="360" w:lineRule="auto"/>
      <w:ind w:firstLine="361"/>
    </w:pPr>
    <w:rPr>
      <w:rFonts w:hAnsi="宋体"/>
      <w:kern w:val="2"/>
      <w:sz w:val="21"/>
    </w:rPr>
  </w:style>
  <w:style w:type="paragraph" w:customStyle="1" w:styleId="318">
    <w:name w:val="xl146"/>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hAnsi="宋体" w:cs="宋体"/>
      <w:b/>
      <w:bCs/>
      <w:sz w:val="20"/>
    </w:rPr>
  </w:style>
  <w:style w:type="paragraph" w:customStyle="1" w:styleId="319">
    <w:name w:val="_Style 115"/>
    <w:basedOn w:val="1"/>
    <w:next w:val="108"/>
    <w:qFormat/>
    <w:uiPriority w:val="34"/>
    <w:pPr>
      <w:ind w:firstLine="420" w:firstLineChars="200"/>
    </w:pPr>
    <w:rPr>
      <w:rFonts w:ascii="Times New Roman"/>
      <w:kern w:val="2"/>
      <w:sz w:val="21"/>
      <w:szCs w:val="24"/>
    </w:rPr>
  </w:style>
  <w:style w:type="paragraph" w:customStyle="1" w:styleId="32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2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32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hAnsi="宋体" w:cs="宋体"/>
      <w:b/>
      <w:bCs/>
      <w:sz w:val="20"/>
    </w:rPr>
  </w:style>
  <w:style w:type="paragraph" w:customStyle="1" w:styleId="323">
    <w:name w:val="font9"/>
    <w:basedOn w:val="1"/>
    <w:qFormat/>
    <w:uiPriority w:val="0"/>
    <w:pPr>
      <w:widowControl/>
      <w:spacing w:before="100" w:beforeAutospacing="1" w:after="100" w:afterAutospacing="1"/>
      <w:jc w:val="left"/>
    </w:pPr>
    <w:rPr>
      <w:rFonts w:hAnsi="宋体" w:cs="宋体"/>
      <w:sz w:val="18"/>
      <w:szCs w:val="18"/>
    </w:rPr>
  </w:style>
  <w:style w:type="paragraph" w:customStyle="1" w:styleId="32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2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hAnsi="宋体" w:cs="宋体"/>
      <w:b/>
      <w:bCs/>
      <w:color w:val="000000"/>
      <w:sz w:val="20"/>
    </w:rPr>
  </w:style>
  <w:style w:type="paragraph" w:customStyle="1" w:styleId="32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2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hAnsi="宋体" w:cs="宋体"/>
      <w:b/>
      <w:bCs/>
      <w:sz w:val="20"/>
    </w:rPr>
  </w:style>
  <w:style w:type="paragraph" w:customStyle="1" w:styleId="328">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2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330">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31">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3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3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3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36">
    <w:name w:val="xl72"/>
    <w:basedOn w:val="1"/>
    <w:qFormat/>
    <w:uiPriority w:val="0"/>
    <w:pPr>
      <w:widowControl/>
      <w:spacing w:before="100" w:beforeAutospacing="1" w:after="100" w:afterAutospacing="1"/>
      <w:jc w:val="center"/>
    </w:pPr>
    <w:rPr>
      <w:rFonts w:hAnsi="宋体" w:cs="宋体"/>
      <w:sz w:val="24"/>
      <w:szCs w:val="24"/>
    </w:rPr>
  </w:style>
  <w:style w:type="paragraph" w:customStyle="1" w:styleId="33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3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40">
    <w:name w:val="xl12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4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4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sz w:val="20"/>
    </w:rPr>
  </w:style>
  <w:style w:type="paragraph" w:customStyle="1" w:styleId="3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344">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4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46">
    <w:name w:val="xl145"/>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hAnsi="宋体" w:cs="宋体"/>
      <w:b/>
      <w:bCs/>
      <w:sz w:val="20"/>
    </w:rPr>
  </w:style>
  <w:style w:type="paragraph" w:customStyle="1" w:styleId="347">
    <w:name w:val="xl14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34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3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3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351">
    <w:name w:val="列出段落211"/>
    <w:basedOn w:val="1"/>
    <w:qFormat/>
    <w:uiPriority w:val="0"/>
    <w:pPr>
      <w:spacing w:before="100" w:beforeAutospacing="1" w:after="100" w:afterAutospacing="1"/>
      <w:ind w:left="720"/>
    </w:pPr>
    <w:rPr>
      <w:rFonts w:ascii="Times New Roman"/>
      <w:color w:val="000000"/>
      <w:kern w:val="2"/>
      <w:sz w:val="21"/>
      <w:szCs w:val="21"/>
    </w:rPr>
  </w:style>
  <w:style w:type="paragraph" w:customStyle="1" w:styleId="35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color w:val="000000"/>
      <w:sz w:val="20"/>
    </w:rPr>
  </w:style>
  <w:style w:type="paragraph" w:customStyle="1" w:styleId="35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5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35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hAnsi="宋体" w:cs="宋体"/>
      <w:sz w:val="20"/>
    </w:rPr>
  </w:style>
  <w:style w:type="paragraph" w:customStyle="1" w:styleId="358">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59">
    <w:name w:val="xl97"/>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hAnsi="宋体" w:cs="宋体"/>
      <w:b/>
      <w:bCs/>
      <w:color w:val="000000"/>
      <w:sz w:val="20"/>
    </w:rPr>
  </w:style>
  <w:style w:type="paragraph" w:customStyle="1" w:styleId="36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62">
    <w:name w:val="xl12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6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6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66">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67">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color w:val="000000"/>
      <w:sz w:val="20"/>
    </w:rPr>
  </w:style>
  <w:style w:type="paragraph" w:customStyle="1" w:styleId="368">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69">
    <w:name w:val="xl98"/>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hAnsi="宋体" w:cs="宋体"/>
      <w:b/>
      <w:bCs/>
      <w:color w:val="000000"/>
      <w:sz w:val="20"/>
    </w:rPr>
  </w:style>
  <w:style w:type="paragraph" w:customStyle="1" w:styleId="37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7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sz w:val="20"/>
    </w:rPr>
  </w:style>
  <w:style w:type="paragraph" w:customStyle="1" w:styleId="372">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sz w:val="20"/>
    </w:rPr>
  </w:style>
  <w:style w:type="paragraph" w:customStyle="1" w:styleId="37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37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3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37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78">
    <w:name w:val="xl14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379">
    <w:name w:val="xl99"/>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left"/>
    </w:pPr>
    <w:rPr>
      <w:rFonts w:hAnsi="宋体" w:cs="宋体"/>
      <w:b/>
      <w:bCs/>
      <w:color w:val="000000"/>
      <w:sz w:val="20"/>
    </w:rPr>
  </w:style>
  <w:style w:type="paragraph" w:customStyle="1" w:styleId="38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8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38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color w:val="000000"/>
      <w:sz w:val="20"/>
    </w:rPr>
  </w:style>
  <w:style w:type="paragraph" w:customStyle="1" w:styleId="3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84">
    <w:name w:val="正文段"/>
    <w:basedOn w:val="1"/>
    <w:qFormat/>
    <w:uiPriority w:val="0"/>
    <w:pPr>
      <w:snapToGrid w:val="0"/>
      <w:spacing w:after="240" w:line="240" w:lineRule="atLeast"/>
      <w:ind w:firstLine="425"/>
    </w:pPr>
    <w:rPr>
      <w:kern w:val="2"/>
      <w:sz w:val="24"/>
    </w:rPr>
  </w:style>
  <w:style w:type="paragraph" w:customStyle="1" w:styleId="385">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86">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b/>
      <w:bCs/>
      <w:sz w:val="20"/>
    </w:rPr>
  </w:style>
  <w:style w:type="paragraph" w:customStyle="1" w:styleId="387">
    <w:name w:val="xl11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38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89">
    <w:name w:val="xl73"/>
    <w:basedOn w:val="1"/>
    <w:qFormat/>
    <w:uiPriority w:val="0"/>
    <w:pPr>
      <w:widowControl/>
      <w:spacing w:before="100" w:beforeAutospacing="1" w:after="100" w:afterAutospacing="1"/>
    </w:pPr>
    <w:rPr>
      <w:rFonts w:hAnsi="宋体" w:cs="宋体"/>
      <w:sz w:val="24"/>
      <w:szCs w:val="24"/>
    </w:rPr>
  </w:style>
  <w:style w:type="paragraph" w:customStyle="1" w:styleId="39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391">
    <w:name w:val="_Style 27"/>
    <w:basedOn w:val="1"/>
    <w:qFormat/>
    <w:uiPriority w:val="0"/>
    <w:rPr>
      <w:rFonts w:ascii="Times New Roman"/>
      <w:kern w:val="2"/>
      <w:sz w:val="21"/>
      <w:szCs w:val="24"/>
    </w:rPr>
  </w:style>
  <w:style w:type="paragraph" w:customStyle="1" w:styleId="392">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hAnsi="宋体" w:cs="宋体"/>
      <w:sz w:val="20"/>
    </w:rPr>
  </w:style>
  <w:style w:type="paragraph" w:customStyle="1" w:styleId="3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9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95">
    <w:name w:val="样式 标题 1 + 四号 居中 段前: 12 磅 段后: 12 磅 行距: 单倍行距"/>
    <w:basedOn w:val="3"/>
    <w:qFormat/>
    <w:uiPriority w:val="0"/>
    <w:pPr>
      <w:tabs>
        <w:tab w:val="clear" w:pos="1800"/>
      </w:tabs>
      <w:adjustRightInd w:val="0"/>
      <w:spacing w:before="240" w:after="240" w:line="240" w:lineRule="auto"/>
      <w:ind w:left="720" w:hanging="720"/>
      <w:textAlignment w:val="baseline"/>
    </w:pPr>
    <w:rPr>
      <w:rFonts w:ascii="Times New Roman" w:eastAsia="宋体" w:cs="宋体"/>
      <w:sz w:val="28"/>
      <w:szCs w:val="20"/>
    </w:rPr>
  </w:style>
  <w:style w:type="paragraph" w:customStyle="1" w:styleId="396">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9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98">
    <w:name w:val="xl68"/>
    <w:basedOn w:val="1"/>
    <w:uiPriority w:val="0"/>
    <w:pPr>
      <w:widowControl/>
      <w:spacing w:before="100" w:beforeAutospacing="1" w:after="100" w:afterAutospacing="1"/>
      <w:jc w:val="left"/>
    </w:pPr>
    <w:rPr>
      <w:rFonts w:hAnsi="宋体" w:cs="宋体"/>
      <w:sz w:val="24"/>
      <w:szCs w:val="24"/>
    </w:rPr>
  </w:style>
  <w:style w:type="paragraph" w:customStyle="1" w:styleId="39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sz w:val="20"/>
    </w:rPr>
  </w:style>
  <w:style w:type="paragraph" w:customStyle="1" w:styleId="400">
    <w:name w:val="xl147"/>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left"/>
    </w:pPr>
    <w:rPr>
      <w:rFonts w:hAnsi="宋体" w:cs="宋体"/>
      <w:b/>
      <w:bCs/>
      <w:sz w:val="20"/>
    </w:rPr>
  </w:style>
  <w:style w:type="paragraph" w:customStyle="1" w:styleId="40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sz w:val="20"/>
    </w:rPr>
  </w:style>
  <w:style w:type="paragraph" w:customStyle="1" w:styleId="402">
    <w:name w:val="font8"/>
    <w:basedOn w:val="1"/>
    <w:qFormat/>
    <w:uiPriority w:val="0"/>
    <w:pPr>
      <w:widowControl/>
      <w:spacing w:before="100" w:beforeAutospacing="1" w:after="100" w:afterAutospacing="1"/>
      <w:jc w:val="left"/>
    </w:pPr>
    <w:rPr>
      <w:rFonts w:hAnsi="宋体" w:cs="宋体"/>
      <w:color w:val="000000"/>
      <w:sz w:val="20"/>
    </w:rPr>
  </w:style>
  <w:style w:type="paragraph" w:customStyle="1" w:styleId="403">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hAnsi="宋体" w:cs="宋体"/>
      <w:color w:val="000000"/>
      <w:sz w:val="20"/>
    </w:rPr>
  </w:style>
  <w:style w:type="paragraph" w:customStyle="1" w:styleId="404">
    <w:name w:val="_Style 1"/>
    <w:basedOn w:val="1"/>
    <w:qFormat/>
    <w:uiPriority w:val="34"/>
    <w:pPr>
      <w:widowControl/>
      <w:adjustRightInd w:val="0"/>
      <w:snapToGrid w:val="0"/>
      <w:spacing w:after="200"/>
      <w:ind w:left="720"/>
      <w:contextualSpacing/>
      <w:jc w:val="left"/>
    </w:pPr>
    <w:rPr>
      <w:rFonts w:ascii="Arial" w:hAnsi="Arial" w:eastAsia="黑体"/>
      <w:sz w:val="24"/>
      <w:szCs w:val="22"/>
      <w:lang w:eastAsia="en-US" w:bidi="en-US"/>
    </w:rPr>
  </w:style>
  <w:style w:type="paragraph" w:customStyle="1" w:styleId="405">
    <w:name w:val="xl14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000000"/>
      <w:sz w:val="20"/>
    </w:rPr>
  </w:style>
  <w:style w:type="paragraph" w:customStyle="1" w:styleId="40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sz w:val="20"/>
    </w:rPr>
  </w:style>
  <w:style w:type="paragraph" w:customStyle="1" w:styleId="40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0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09">
    <w:name w:val="font10"/>
    <w:basedOn w:val="1"/>
    <w:qFormat/>
    <w:uiPriority w:val="0"/>
    <w:pPr>
      <w:widowControl/>
      <w:spacing w:before="100" w:beforeAutospacing="1" w:after="100" w:afterAutospacing="1"/>
      <w:jc w:val="left"/>
    </w:pPr>
    <w:rPr>
      <w:rFonts w:hAnsi="宋体" w:cs="宋体"/>
      <w:color w:val="000000"/>
      <w:sz w:val="22"/>
      <w:szCs w:val="22"/>
    </w:rPr>
  </w:style>
  <w:style w:type="paragraph" w:customStyle="1" w:styleId="410">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color w:val="FF0000"/>
      <w:sz w:val="20"/>
    </w:rPr>
  </w:style>
  <w:style w:type="paragraph" w:customStyle="1" w:styleId="41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4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413">
    <w:name w:val="xl70"/>
    <w:basedOn w:val="1"/>
    <w:qFormat/>
    <w:uiPriority w:val="0"/>
    <w:pPr>
      <w:widowControl/>
      <w:spacing w:before="100" w:beforeAutospacing="1" w:after="100" w:afterAutospacing="1"/>
      <w:jc w:val="center"/>
    </w:pPr>
    <w:rPr>
      <w:rFonts w:hAnsi="宋体" w:cs="宋体"/>
      <w:sz w:val="24"/>
      <w:szCs w:val="24"/>
    </w:rPr>
  </w:style>
  <w:style w:type="paragraph" w:customStyle="1" w:styleId="414">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4"/>
      <w:szCs w:val="24"/>
    </w:rPr>
  </w:style>
  <w:style w:type="character" w:customStyle="1" w:styleId="415">
    <w:name w:val="font101"/>
    <w:basedOn w:val="71"/>
    <w:qFormat/>
    <w:uiPriority w:val="0"/>
    <w:rPr>
      <w:rFonts w:hint="eastAsia" w:ascii="宋体" w:hAnsi="宋体" w:eastAsia="宋体" w:cs="宋体"/>
      <w:color w:val="000000"/>
      <w:sz w:val="20"/>
      <w:szCs w:val="20"/>
      <w:u w:val="none"/>
      <w:vertAlign w:val="superscript"/>
    </w:rPr>
  </w:style>
  <w:style w:type="character" w:customStyle="1" w:styleId="416">
    <w:name w:val="font01"/>
    <w:basedOn w:val="71"/>
    <w:qFormat/>
    <w:uiPriority w:val="0"/>
    <w:rPr>
      <w:rFonts w:hint="eastAsia" w:ascii="宋体" w:hAnsi="宋体" w:eastAsia="宋体" w:cs="宋体"/>
      <w:color w:val="000000"/>
      <w:sz w:val="20"/>
      <w:szCs w:val="20"/>
      <w:u w:val="none"/>
    </w:rPr>
  </w:style>
  <w:style w:type="character" w:customStyle="1" w:styleId="417">
    <w:name w:val="font91"/>
    <w:basedOn w:val="71"/>
    <w:qFormat/>
    <w:uiPriority w:val="0"/>
    <w:rPr>
      <w:rFonts w:hint="eastAsia" w:ascii="宋体" w:hAnsi="宋体" w:eastAsia="宋体" w:cs="宋体"/>
      <w:color w:val="000000"/>
      <w:sz w:val="20"/>
      <w:szCs w:val="20"/>
      <w:u w:val="none"/>
    </w:rPr>
  </w:style>
  <w:style w:type="character" w:customStyle="1" w:styleId="418">
    <w:name w:val="font112"/>
    <w:basedOn w:val="71"/>
    <w:qFormat/>
    <w:uiPriority w:val="0"/>
    <w:rPr>
      <w:rFonts w:hint="eastAsia" w:ascii="宋体" w:hAnsi="宋体" w:eastAsia="宋体" w:cs="宋体"/>
      <w:color w:val="000000"/>
      <w:sz w:val="20"/>
      <w:szCs w:val="20"/>
      <w:u w:val="none"/>
      <w:vertAlign w:val="superscript"/>
    </w:rPr>
  </w:style>
  <w:style w:type="paragraph" w:customStyle="1" w:styleId="419">
    <w:name w:val="样式 小四 段前: 5 磅 段后: 5 磅 首行缩进:  2 字符"/>
    <w:basedOn w:val="1"/>
    <w:qFormat/>
    <w:uiPriority w:val="99"/>
    <w:pPr>
      <w:spacing w:line="360" w:lineRule="auto"/>
      <w:jc w:val="center"/>
    </w:pPr>
    <w:rPr>
      <w:rFonts w:hAnsi="宋体" w:cs="宋体"/>
      <w:color w:val="FF0000"/>
      <w:kern w:val="2"/>
      <w:sz w:val="24"/>
      <w:szCs w:val="24"/>
    </w:rPr>
  </w:style>
  <w:style w:type="character" w:customStyle="1" w:styleId="420">
    <w:name w:val="标题 4 Char"/>
    <w:link w:val="2"/>
    <w:qFormat/>
    <w:uiPriority w:val="0"/>
    <w:rPr>
      <w:rFonts w:ascii="Arial" w:hAnsi="Arial" w:eastAsia="黑体" w:cs="Times New Roman"/>
      <w:b/>
      <w:bCs/>
      <w:kern w:val="2"/>
      <w:sz w:val="28"/>
      <w:szCs w:val="28"/>
    </w:rPr>
  </w:style>
  <w:style w:type="character" w:customStyle="1" w:styleId="421">
    <w:name w:val="riqi"/>
    <w:basedOn w:val="71"/>
    <w:qFormat/>
    <w:uiPriority w:val="0"/>
  </w:style>
  <w:style w:type="character" w:customStyle="1" w:styleId="422">
    <w:name w:val="Body text|2 + PMingLiU"/>
    <w:basedOn w:val="423"/>
    <w:unhideWhenUsed/>
    <w:qFormat/>
    <w:uiPriority w:val="0"/>
    <w:rPr>
      <w:rFonts w:ascii="PMingLiU" w:hAnsi="PMingLiU" w:eastAsia="PMingLiU" w:cs="PMingLiU"/>
      <w:color w:val="000000"/>
      <w:spacing w:val="0"/>
      <w:w w:val="100"/>
      <w:position w:val="0"/>
      <w:sz w:val="36"/>
      <w:szCs w:val="36"/>
      <w:lang w:val="zh-CN" w:eastAsia="zh-CN" w:bidi="zh-CN"/>
    </w:rPr>
  </w:style>
  <w:style w:type="character" w:customStyle="1" w:styleId="423">
    <w:name w:val="Body text|2_"/>
    <w:basedOn w:val="71"/>
    <w:link w:val="424"/>
    <w:qFormat/>
    <w:uiPriority w:val="0"/>
    <w:rPr>
      <w:shd w:val="clear" w:color="auto" w:fill="FFFFFF"/>
    </w:rPr>
  </w:style>
  <w:style w:type="paragraph" w:customStyle="1" w:styleId="424">
    <w:name w:val="Body text|2"/>
    <w:basedOn w:val="1"/>
    <w:link w:val="423"/>
    <w:qFormat/>
    <w:uiPriority w:val="0"/>
    <w:pPr>
      <w:shd w:val="clear" w:color="auto" w:fill="FFFFFF"/>
    </w:pPr>
    <w:rPr>
      <w:rFonts w:asciiTheme="minorHAnsi" w:hAnsiTheme="minorHAnsi" w:eastAsiaTheme="minorEastAsia" w:cstheme="minorBidi"/>
      <w:sz w:val="20"/>
    </w:rPr>
  </w:style>
  <w:style w:type="character" w:customStyle="1" w:styleId="425">
    <w:name w:val="Body text|2 + PMingLiU1"/>
    <w:basedOn w:val="423"/>
    <w:unhideWhenUsed/>
    <w:qFormat/>
    <w:uiPriority w:val="0"/>
    <w:rPr>
      <w:rFonts w:ascii="PMingLiU" w:hAnsi="PMingLiU" w:eastAsia="PMingLiU" w:cs="PMingLiU"/>
      <w:color w:val="000000"/>
      <w:spacing w:val="0"/>
      <w:w w:val="100"/>
      <w:position w:val="0"/>
      <w:sz w:val="38"/>
      <w:szCs w:val="38"/>
      <w:lang w:val="zh-CN" w:eastAsia="zh-CN" w:bidi="zh-CN"/>
    </w:rPr>
  </w:style>
  <w:style w:type="character" w:customStyle="1" w:styleId="426">
    <w:name w:val="中等深浅网格 1 - 强调文字颜色 61"/>
    <w:qFormat/>
    <w:uiPriority w:val="0"/>
    <w:rPr>
      <w:smallCaps/>
      <w:color w:val="C0504D"/>
      <w:u w:val="single"/>
    </w:rPr>
  </w:style>
  <w:style w:type="character" w:customStyle="1" w:styleId="427">
    <w:name w:val="中等深浅网格 3 - 强调文字颜色 61"/>
    <w:qFormat/>
    <w:uiPriority w:val="0"/>
    <w:rPr>
      <w:b/>
      <w:bCs/>
      <w:smallCaps/>
      <w:spacing w:val="5"/>
    </w:rPr>
  </w:style>
  <w:style w:type="character" w:customStyle="1" w:styleId="428">
    <w:name w:val="cat_title5"/>
    <w:basedOn w:val="71"/>
    <w:qFormat/>
    <w:uiPriority w:val="0"/>
  </w:style>
  <w:style w:type="character" w:customStyle="1" w:styleId="429">
    <w:name w:val="浅色底纹 - 强调文字颜色 1字符"/>
    <w:link w:val="430"/>
    <w:qFormat/>
    <w:uiPriority w:val="0"/>
    <w:rPr>
      <w:b/>
      <w:bCs/>
      <w:i/>
      <w:iCs/>
      <w:color w:val="4F81BD"/>
      <w:kern w:val="2"/>
      <w:sz w:val="21"/>
      <w:szCs w:val="22"/>
    </w:rPr>
  </w:style>
  <w:style w:type="paragraph" w:customStyle="1" w:styleId="430">
    <w:name w:val="浅色底纹 - 强调文字颜色 11"/>
    <w:basedOn w:val="1"/>
    <w:next w:val="1"/>
    <w:link w:val="4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431">
    <w:name w:val="bds_more4"/>
    <w:basedOn w:val="71"/>
    <w:qFormat/>
    <w:uiPriority w:val="0"/>
  </w:style>
  <w:style w:type="character" w:customStyle="1" w:styleId="432">
    <w:name w:val="中等深浅列表 1 - 强调文字颜色 61"/>
    <w:qFormat/>
    <w:uiPriority w:val="0"/>
    <w:rPr>
      <w:i/>
      <w:iCs/>
      <w:color w:val="808080"/>
    </w:rPr>
  </w:style>
  <w:style w:type="character" w:customStyle="1" w:styleId="433">
    <w:name w:val="cat_title2"/>
    <w:basedOn w:val="71"/>
    <w:qFormat/>
    <w:uiPriority w:val="0"/>
  </w:style>
  <w:style w:type="character" w:customStyle="1" w:styleId="434">
    <w:name w:val="cat_title3"/>
    <w:basedOn w:val="71"/>
    <w:qFormat/>
    <w:uiPriority w:val="0"/>
  </w:style>
  <w:style w:type="character" w:customStyle="1" w:styleId="435">
    <w:name w:val="cat_title"/>
    <w:basedOn w:val="71"/>
    <w:qFormat/>
    <w:uiPriority w:val="0"/>
  </w:style>
  <w:style w:type="character" w:customStyle="1" w:styleId="436">
    <w:name w:val="bds_more3"/>
    <w:basedOn w:val="71"/>
    <w:qFormat/>
    <w:uiPriority w:val="0"/>
    <w:rPr>
      <w:rFonts w:hint="eastAsia" w:ascii="宋体" w:hAnsi="宋体" w:eastAsia="宋体" w:cs="宋体"/>
    </w:rPr>
  </w:style>
  <w:style w:type="character" w:customStyle="1" w:styleId="437">
    <w:name w:val="彩色网格字符"/>
    <w:link w:val="438"/>
    <w:qFormat/>
    <w:uiPriority w:val="0"/>
    <w:rPr>
      <w:i/>
      <w:iCs/>
      <w:color w:val="000000"/>
      <w:kern w:val="2"/>
      <w:sz w:val="21"/>
      <w:szCs w:val="22"/>
    </w:rPr>
  </w:style>
  <w:style w:type="paragraph" w:customStyle="1" w:styleId="438">
    <w:name w:val="彩色网格1"/>
    <w:basedOn w:val="1"/>
    <w:next w:val="1"/>
    <w:link w:val="437"/>
    <w:qFormat/>
    <w:uiPriority w:val="0"/>
    <w:rPr>
      <w:rFonts w:asciiTheme="minorHAnsi" w:hAnsiTheme="minorHAnsi" w:eastAsiaTheme="minorEastAsia" w:cstheme="minorBidi"/>
      <w:i/>
      <w:iCs/>
      <w:color w:val="000000"/>
      <w:kern w:val="2"/>
      <w:sz w:val="21"/>
      <w:szCs w:val="22"/>
    </w:rPr>
  </w:style>
  <w:style w:type="character" w:customStyle="1" w:styleId="439">
    <w:name w:val="中等深浅列表 2 - 强调文字颜色 61"/>
    <w:qFormat/>
    <w:uiPriority w:val="0"/>
    <w:rPr>
      <w:b/>
      <w:bCs/>
      <w:i/>
      <w:iCs/>
      <w:color w:val="4F81BD"/>
    </w:rPr>
  </w:style>
  <w:style w:type="character" w:customStyle="1" w:styleId="440">
    <w:name w:val="标题4 Char Char"/>
    <w:link w:val="441"/>
    <w:qFormat/>
    <w:uiPriority w:val="0"/>
    <w:rPr>
      <w:rFonts w:ascii="Arial" w:hAnsi="Arial"/>
      <w:b/>
      <w:bCs/>
      <w:sz w:val="24"/>
      <w:szCs w:val="32"/>
    </w:rPr>
  </w:style>
  <w:style w:type="paragraph" w:customStyle="1" w:styleId="441">
    <w:name w:val="标题4"/>
    <w:basedOn w:val="4"/>
    <w:next w:val="30"/>
    <w:link w:val="440"/>
    <w:qFormat/>
    <w:uiPriority w:val="0"/>
    <w:pPr>
      <w:numPr>
        <w:ilvl w:val="0"/>
        <w:numId w:val="0"/>
      </w:numPr>
      <w:tabs>
        <w:tab w:val="clear" w:pos="567"/>
      </w:tabs>
      <w:spacing w:line="413" w:lineRule="auto"/>
      <w:jc w:val="center"/>
    </w:pPr>
    <w:rPr>
      <w:rFonts w:eastAsiaTheme="minorEastAsia" w:cstheme="minorBidi"/>
      <w:kern w:val="0"/>
      <w:sz w:val="24"/>
    </w:rPr>
  </w:style>
  <w:style w:type="character" w:customStyle="1" w:styleId="442">
    <w:name w:val="daily"/>
    <w:basedOn w:val="71"/>
    <w:qFormat/>
    <w:uiPriority w:val="0"/>
    <w:rPr>
      <w:rFonts w:ascii="Lucida Sans Unicode" w:hAnsi="Lucida Sans Unicode" w:eastAsia="Lucida Sans Unicode" w:cs="Lucida Sans Unicode"/>
    </w:rPr>
  </w:style>
  <w:style w:type="character" w:customStyle="1" w:styleId="443">
    <w:name w:val="cat_title4"/>
    <w:basedOn w:val="71"/>
    <w:qFormat/>
    <w:uiPriority w:val="0"/>
  </w:style>
  <w:style w:type="character" w:customStyle="1" w:styleId="444">
    <w:name w:val="中等深浅网格 2 - 强调文字颜色 61"/>
    <w:qFormat/>
    <w:uiPriority w:val="0"/>
    <w:rPr>
      <w:b/>
      <w:bCs/>
      <w:smallCaps/>
      <w:color w:val="C0504D"/>
      <w:spacing w:val="5"/>
      <w:u w:val="single"/>
    </w:rPr>
  </w:style>
  <w:style w:type="character" w:customStyle="1" w:styleId="445">
    <w:name w:val="cat_title1"/>
    <w:basedOn w:val="71"/>
    <w:qFormat/>
    <w:uiPriority w:val="0"/>
  </w:style>
  <w:style w:type="character" w:customStyle="1" w:styleId="446">
    <w:name w:val="on"/>
    <w:basedOn w:val="71"/>
    <w:qFormat/>
    <w:uiPriority w:val="0"/>
  </w:style>
  <w:style w:type="paragraph" w:customStyle="1" w:styleId="447">
    <w:name w:val="彩色列表1"/>
    <w:basedOn w:val="1"/>
    <w:qFormat/>
    <w:uiPriority w:val="0"/>
    <w:pPr>
      <w:ind w:firstLine="420" w:firstLineChars="200"/>
    </w:pPr>
    <w:rPr>
      <w:rFonts w:ascii="Calibri" w:hAnsi="Calibri"/>
      <w:kern w:val="2"/>
      <w:sz w:val="21"/>
      <w:szCs w:val="22"/>
    </w:rPr>
  </w:style>
  <w:style w:type="paragraph" w:customStyle="1" w:styleId="448">
    <w:name w:val="彩色底纹 - 强调文字颜色 61"/>
    <w:basedOn w:val="3"/>
    <w:next w:val="1"/>
    <w:qFormat/>
    <w:uiPriority w:val="0"/>
    <w:pPr>
      <w:numPr>
        <w:ilvl w:val="0"/>
        <w:numId w:val="0"/>
      </w:numPr>
      <w:tabs>
        <w:tab w:val="clear" w:pos="1800"/>
      </w:tabs>
      <w:spacing w:line="576" w:lineRule="auto"/>
      <w:jc w:val="both"/>
      <w:outlineLvl w:val="9"/>
    </w:pPr>
    <w:rPr>
      <w:rFonts w:ascii="Calibri" w:hAnsi="Calibri" w:eastAsia="宋体"/>
    </w:rPr>
  </w:style>
  <w:style w:type="paragraph" w:customStyle="1" w:styleId="449">
    <w:name w:val="彩色底纹1"/>
    <w:qFormat/>
    <w:uiPriority w:val="0"/>
    <w:rPr>
      <w:rFonts w:ascii="Calibri" w:hAnsi="Calibri" w:eastAsia="宋体" w:cs="Times New Roman"/>
      <w:kern w:val="2"/>
      <w:sz w:val="21"/>
      <w:szCs w:val="24"/>
      <w:lang w:val="en-US" w:eastAsia="zh-CN" w:bidi="ar-SA"/>
    </w:rPr>
  </w:style>
  <w:style w:type="paragraph" w:customStyle="1" w:styleId="450">
    <w:name w:val="纯文本1"/>
    <w:basedOn w:val="1"/>
    <w:qFormat/>
    <w:uiPriority w:val="0"/>
    <w:pPr>
      <w:adjustRightInd w:val="0"/>
      <w:spacing w:line="312" w:lineRule="atLeast"/>
      <w:textAlignment w:val="baseline"/>
    </w:pPr>
    <w:rPr>
      <w:rFonts w:hAnsi="Courier New"/>
      <w:sz w:val="21"/>
    </w:rPr>
  </w:style>
  <w:style w:type="paragraph" w:customStyle="1" w:styleId="451">
    <w:name w:val="正文文字缩进 3"/>
    <w:basedOn w:val="1"/>
    <w:next w:val="1"/>
    <w:qFormat/>
    <w:uiPriority w:val="0"/>
    <w:pPr>
      <w:spacing w:line="540" w:lineRule="exact"/>
      <w:ind w:firstLine="520"/>
    </w:pPr>
    <w:rPr>
      <w:rFonts w:ascii="仿宋_GB2312" w:hAnsi="Calibri" w:eastAsia="仿宋_GB2312"/>
      <w:sz w:val="26"/>
      <w:u w:color="000000"/>
    </w:rPr>
  </w:style>
  <w:style w:type="character" w:customStyle="1" w:styleId="452">
    <w:name w:val="纯文本 Char1"/>
    <w:basedOn w:val="71"/>
    <w:qFormat/>
    <w:uiPriority w:val="0"/>
    <w:rPr>
      <w:rFonts w:ascii="宋体" w:hAnsi="Courier New" w:cs="Courier New"/>
      <w:sz w:val="21"/>
      <w:szCs w:val="21"/>
    </w:rPr>
  </w:style>
  <w:style w:type="character" w:customStyle="1" w:styleId="453">
    <w:name w:val="标题 4 Char1"/>
    <w:qFormat/>
    <w:locked/>
    <w:uiPriority w:val="0"/>
    <w:rPr>
      <w:rFonts w:ascii="Arial" w:hAnsi="Arial" w:eastAsia="黑体" w:cs="Times New Roman"/>
      <w:b/>
      <w:bCs/>
      <w:sz w:val="28"/>
      <w:szCs w:val="28"/>
    </w:rPr>
  </w:style>
  <w:style w:type="paragraph" w:customStyle="1" w:styleId="454">
    <w:name w:val="正文（首行缩进两字）"/>
    <w:basedOn w:val="1"/>
    <w:qFormat/>
    <w:uiPriority w:val="0"/>
    <w:rPr>
      <w:rFonts w:ascii="Times New Roman"/>
      <w:kern w:val="2"/>
      <w:sz w:val="21"/>
      <w:szCs w:val="24"/>
    </w:rPr>
  </w:style>
  <w:style w:type="character" w:customStyle="1" w:styleId="455">
    <w:name w:val="尾注文本 Char"/>
    <w:basedOn w:val="71"/>
    <w:link w:val="39"/>
    <w:semiHidden/>
    <w:qFormat/>
    <w:uiPriority w:val="0"/>
    <w:rPr>
      <w:rFonts w:ascii="Times New Roman" w:hAnsi="Times New Roman" w:eastAsia="宋体" w:cs="Times New Roman"/>
    </w:rPr>
  </w:style>
  <w:style w:type="character" w:customStyle="1" w:styleId="456">
    <w:name w:val="font51"/>
    <w:qFormat/>
    <w:uiPriority w:val="0"/>
    <w:rPr>
      <w:rFonts w:ascii="Times New Roman" w:hAnsi="Times New Roman" w:cs="Times New Roman"/>
      <w:color w:val="000000"/>
      <w:sz w:val="20"/>
      <w:szCs w:val="20"/>
      <w:u w:val="none"/>
    </w:rPr>
  </w:style>
  <w:style w:type="character" w:customStyle="1" w:styleId="457">
    <w:name w:val="tit"/>
    <w:qFormat/>
    <w:uiPriority w:val="0"/>
    <w:rPr>
      <w:rFonts w:cs="Times New Roman"/>
    </w:rPr>
  </w:style>
  <w:style w:type="character" w:customStyle="1" w:styleId="458">
    <w:name w:val="current"/>
    <w:qFormat/>
    <w:uiPriority w:val="0"/>
    <w:rPr>
      <w:rFonts w:cs="Times New Roman"/>
      <w:b/>
      <w:color w:val="99210B"/>
    </w:rPr>
  </w:style>
  <w:style w:type="character" w:customStyle="1" w:styleId="459">
    <w:name w:val="legend"/>
    <w:qFormat/>
    <w:uiPriority w:val="0"/>
    <w:rPr>
      <w:rFonts w:cs="Times New Roman"/>
      <w:color w:val="73B304"/>
      <w:shd w:val="clear" w:color="auto" w:fill="FFFFFF"/>
    </w:rPr>
  </w:style>
  <w:style w:type="character" w:customStyle="1" w:styleId="460">
    <w:name w:val="标题 Char1"/>
    <w:qFormat/>
    <w:uiPriority w:val="0"/>
    <w:rPr>
      <w:rFonts w:ascii="Cambria" w:hAnsi="Cambria" w:cs="Times New Roman"/>
      <w:b/>
      <w:bCs/>
      <w:kern w:val="2"/>
      <w:sz w:val="32"/>
      <w:szCs w:val="32"/>
    </w:rPr>
  </w:style>
  <w:style w:type="character" w:customStyle="1" w:styleId="461">
    <w:name w:val="highlight"/>
    <w:qFormat/>
    <w:uiPriority w:val="0"/>
    <w:rPr>
      <w:rFonts w:cs="Times New Roman"/>
      <w:sz w:val="24"/>
      <w:szCs w:val="24"/>
    </w:rPr>
  </w:style>
  <w:style w:type="character" w:customStyle="1" w:styleId="462">
    <w:name w:val="页脚 Char Char"/>
    <w:qFormat/>
    <w:uiPriority w:val="0"/>
    <w:rPr>
      <w:kern w:val="2"/>
      <w:sz w:val="18"/>
    </w:rPr>
  </w:style>
  <w:style w:type="character" w:customStyle="1" w:styleId="463">
    <w:name w:val="Table"/>
    <w:qFormat/>
    <w:uiPriority w:val="0"/>
    <w:rPr>
      <w:rFonts w:ascii="Arial" w:hAnsi="Arial" w:cs="Times New Roman"/>
      <w:sz w:val="20"/>
    </w:rPr>
  </w:style>
  <w:style w:type="character" w:customStyle="1" w:styleId="464">
    <w:name w:val="apple-style-span"/>
    <w:qFormat/>
    <w:uiPriority w:val="0"/>
    <w:rPr>
      <w:rFonts w:cs="Times New Roman"/>
    </w:rPr>
  </w:style>
  <w:style w:type="character" w:customStyle="1" w:styleId="465">
    <w:name w:val="正文文本缩进 3 Char Char"/>
    <w:qFormat/>
    <w:uiPriority w:val="0"/>
    <w:rPr>
      <w:kern w:val="2"/>
      <w:sz w:val="24"/>
    </w:rPr>
  </w:style>
  <w:style w:type="character" w:customStyle="1" w:styleId="466">
    <w:name w:val="maywed421"/>
    <w:qFormat/>
    <w:uiPriority w:val="0"/>
    <w:rPr>
      <w:color w:val="366FB6"/>
      <w:u w:val="none"/>
    </w:rPr>
  </w:style>
  <w:style w:type="character" w:customStyle="1" w:styleId="467">
    <w:name w:val="num"/>
    <w:qFormat/>
    <w:uiPriority w:val="0"/>
    <w:rPr>
      <w:rFonts w:cs="Times New Roman"/>
      <w:b/>
      <w:color w:val="FF7800"/>
    </w:rPr>
  </w:style>
  <w:style w:type="character" w:customStyle="1" w:styleId="468">
    <w:name w:val="链接"/>
    <w:qFormat/>
    <w:uiPriority w:val="0"/>
    <w:rPr>
      <w:rFonts w:ascii="Times New Roman" w:eastAsia="宋体" w:cs="Times New Roman"/>
      <w:color w:val="0000FF"/>
      <w:sz w:val="21"/>
      <w:u w:val="single" w:color="0000FF"/>
      <w:vertAlign w:val="baseline"/>
      <w:lang w:val="en-US" w:eastAsia="zh-CN"/>
    </w:rPr>
  </w:style>
  <w:style w:type="character" w:customStyle="1" w:styleId="469">
    <w:name w:val="批注框文本 字符"/>
    <w:qFormat/>
    <w:uiPriority w:val="0"/>
    <w:rPr>
      <w:kern w:val="2"/>
      <w:sz w:val="18"/>
      <w:szCs w:val="18"/>
    </w:rPr>
  </w:style>
  <w:style w:type="character" w:customStyle="1" w:styleId="470">
    <w:name w:val="正文文本 Char Char"/>
    <w:qFormat/>
    <w:uiPriority w:val="0"/>
    <w:rPr>
      <w:rFonts w:ascii="仿宋_GB2312" w:eastAsia="仿宋_GB2312"/>
      <w:kern w:val="2"/>
      <w:sz w:val="24"/>
    </w:rPr>
  </w:style>
  <w:style w:type="character" w:customStyle="1" w:styleId="471">
    <w:name w:val="Char Char5"/>
    <w:qFormat/>
    <w:uiPriority w:val="0"/>
    <w:rPr>
      <w:kern w:val="2"/>
      <w:sz w:val="18"/>
    </w:rPr>
  </w:style>
  <w:style w:type="character" w:customStyle="1" w:styleId="472">
    <w:name w:val="line1"/>
    <w:qFormat/>
    <w:uiPriority w:val="0"/>
    <w:rPr>
      <w:rFonts w:ascii="Verdana" w:hAnsi="Verdana" w:cs="Times New Roman"/>
      <w:spacing w:val="240"/>
      <w:sz w:val="22"/>
      <w:szCs w:val="22"/>
    </w:rPr>
  </w:style>
  <w:style w:type="character" w:customStyle="1" w:styleId="473">
    <w:name w:val="p12"/>
    <w:qFormat/>
    <w:uiPriority w:val="0"/>
  </w:style>
  <w:style w:type="character" w:customStyle="1" w:styleId="474">
    <w:name w:val="txt1"/>
    <w:qFormat/>
    <w:uiPriority w:val="0"/>
    <w:rPr>
      <w:rFonts w:cs="Times New Roman"/>
      <w:color w:val="000000"/>
      <w:sz w:val="18"/>
      <w:szCs w:val="18"/>
      <w:u w:val="none"/>
    </w:rPr>
  </w:style>
  <w:style w:type="character" w:customStyle="1" w:styleId="475">
    <w:name w:val="默认段落字体1"/>
    <w:qFormat/>
    <w:uiPriority w:val="0"/>
    <w:rPr>
      <w:rFonts w:ascii="Times New Roman" w:eastAsia="宋体"/>
      <w:color w:val="000000"/>
      <w:spacing w:val="0"/>
      <w:w w:val="100"/>
      <w:sz w:val="21"/>
      <w:u w:val="none" w:color="000000"/>
      <w:vertAlign w:val="baseline"/>
      <w:lang w:val="en-US" w:eastAsia="zh-CN"/>
    </w:rPr>
  </w:style>
  <w:style w:type="character" w:customStyle="1" w:styleId="476">
    <w:name w:val="font31"/>
    <w:qFormat/>
    <w:uiPriority w:val="0"/>
    <w:rPr>
      <w:rFonts w:ascii="宋体" w:hAnsi="宋体" w:eastAsia="宋体" w:cs="宋体"/>
      <w:color w:val="000000"/>
      <w:sz w:val="20"/>
      <w:szCs w:val="20"/>
      <w:u w:val="none"/>
    </w:rPr>
  </w:style>
  <w:style w:type="character" w:customStyle="1" w:styleId="477">
    <w:name w:val="页眉 Char Char"/>
    <w:qFormat/>
    <w:uiPriority w:val="0"/>
    <w:rPr>
      <w:kern w:val="2"/>
      <w:sz w:val="18"/>
    </w:rPr>
  </w:style>
  <w:style w:type="paragraph" w:customStyle="1" w:styleId="478">
    <w:name w:val="文章副标题"/>
    <w:basedOn w:val="1"/>
    <w:next w:val="267"/>
    <w:qFormat/>
    <w:uiPriority w:val="0"/>
    <w:pPr>
      <w:widowControl/>
      <w:spacing w:before="187" w:after="175" w:line="1496" w:lineRule="atLeast"/>
      <w:jc w:val="center"/>
      <w:textAlignment w:val="baseline"/>
    </w:pPr>
    <w:rPr>
      <w:rFonts w:ascii="Times New Roman"/>
      <w:color w:val="000000"/>
      <w:sz w:val="36"/>
      <w:u w:color="000000"/>
    </w:rPr>
  </w:style>
  <w:style w:type="paragraph" w:customStyle="1" w:styleId="479">
    <w:name w:val="节标题"/>
    <w:basedOn w:val="1"/>
    <w:next w:val="480"/>
    <w:qFormat/>
    <w:uiPriority w:val="0"/>
    <w:pPr>
      <w:widowControl/>
      <w:spacing w:line="1156" w:lineRule="atLeast"/>
      <w:jc w:val="center"/>
      <w:textAlignment w:val="baseline"/>
    </w:pPr>
    <w:rPr>
      <w:rFonts w:ascii="Times New Roman"/>
      <w:color w:val="000000"/>
      <w:sz w:val="28"/>
      <w:u w:color="000000"/>
    </w:rPr>
  </w:style>
  <w:style w:type="paragraph" w:customStyle="1" w:styleId="480">
    <w:name w:val="小节标题"/>
    <w:basedOn w:val="1"/>
    <w:next w:val="1"/>
    <w:qFormat/>
    <w:uiPriority w:val="0"/>
    <w:pPr>
      <w:widowControl/>
      <w:spacing w:before="175" w:after="102" w:line="997" w:lineRule="atLeast"/>
      <w:textAlignment w:val="baseline"/>
    </w:pPr>
    <w:rPr>
      <w:rFonts w:ascii="Times New Roman" w:eastAsia="黑体"/>
      <w:color w:val="000000"/>
      <w:sz w:val="21"/>
      <w:u w:color="000000"/>
    </w:rPr>
  </w:style>
  <w:style w:type="paragraph" w:customStyle="1" w:styleId="48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48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FF0000"/>
      <w:sz w:val="24"/>
      <w:szCs w:val="24"/>
    </w:rPr>
  </w:style>
  <w:style w:type="paragraph" w:customStyle="1" w:styleId="483">
    <w:name w:val="目录标题"/>
    <w:basedOn w:val="1"/>
    <w:next w:val="1"/>
    <w:qFormat/>
    <w:uiPriority w:val="0"/>
    <w:pPr>
      <w:widowControl/>
      <w:spacing w:before="215" w:after="419" w:line="1746" w:lineRule="atLeast"/>
      <w:ind w:firstLine="419"/>
      <w:jc w:val="center"/>
      <w:textAlignment w:val="baseline"/>
    </w:pPr>
    <w:rPr>
      <w:rFonts w:ascii="Arial" w:eastAsia="黑体"/>
      <w:color w:val="000000"/>
      <w:spacing w:val="34"/>
      <w:sz w:val="42"/>
      <w:u w:color="000000"/>
    </w:rPr>
  </w:style>
  <w:style w:type="paragraph" w:customStyle="1" w:styleId="484">
    <w:name w:val="目录3"/>
    <w:basedOn w:val="1"/>
    <w:next w:val="1"/>
    <w:qFormat/>
    <w:uiPriority w:val="0"/>
    <w:pPr>
      <w:widowControl/>
      <w:tabs>
        <w:tab w:val="left" w:leader="dot" w:pos="8486"/>
      </w:tabs>
      <w:spacing w:line="963" w:lineRule="atLeast"/>
      <w:ind w:left="419" w:firstLine="419"/>
      <w:textAlignment w:val="baseline"/>
    </w:pPr>
    <w:rPr>
      <w:rFonts w:ascii="Times New Roman"/>
      <w:color w:val="000000"/>
      <w:sz w:val="21"/>
      <w:u w:color="000000"/>
    </w:rPr>
  </w:style>
  <w:style w:type="paragraph" w:customStyle="1" w:styleId="485">
    <w:name w:val="目录2"/>
    <w:basedOn w:val="1"/>
    <w:next w:val="1"/>
    <w:qFormat/>
    <w:uiPriority w:val="0"/>
    <w:pPr>
      <w:widowControl/>
      <w:tabs>
        <w:tab w:val="left" w:leader="dot" w:pos="8486"/>
      </w:tabs>
      <w:spacing w:line="963" w:lineRule="atLeast"/>
      <w:ind w:left="419" w:firstLine="419"/>
      <w:textAlignment w:val="baseline"/>
    </w:pPr>
    <w:rPr>
      <w:rFonts w:ascii="Times New Roman"/>
      <w:color w:val="000000"/>
      <w:sz w:val="21"/>
      <w:u w:color="000000"/>
    </w:rPr>
  </w:style>
  <w:style w:type="paragraph" w:customStyle="1" w:styleId="486">
    <w:name w:val="正文文字缩进 2"/>
    <w:basedOn w:val="1"/>
    <w:qFormat/>
    <w:uiPriority w:val="0"/>
    <w:pPr>
      <w:widowControl/>
      <w:spacing w:before="102" w:after="102" w:line="1547" w:lineRule="atLeast"/>
      <w:ind w:firstLine="532"/>
      <w:textAlignment w:val="baseline"/>
    </w:pPr>
    <w:rPr>
      <w:color w:val="000000"/>
      <w:sz w:val="28"/>
      <w:u w:color="00000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8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489">
    <w:name w:val="宏"/>
    <w:basedOn w:val="1"/>
    <w:qFormat/>
    <w:uiPriority w:val="0"/>
    <w:pPr>
      <w:autoSpaceDE w:val="0"/>
      <w:autoSpaceDN w:val="0"/>
      <w:adjustRightInd w:val="0"/>
      <w:ind w:left="840" w:right="-120"/>
      <w:jc w:val="left"/>
    </w:pPr>
    <w:rPr>
      <w:rFonts w:hAnsi="Tms Rmn"/>
      <w:sz w:val="20"/>
    </w:rPr>
  </w:style>
  <w:style w:type="paragraph" w:customStyle="1" w:styleId="49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color w:val="FF0000"/>
      <w:sz w:val="24"/>
      <w:szCs w:val="24"/>
    </w:rPr>
  </w:style>
  <w:style w:type="paragraph" w:customStyle="1" w:styleId="491">
    <w:name w:val="文章总标题"/>
    <w:basedOn w:val="1"/>
    <w:next w:val="478"/>
    <w:qFormat/>
    <w:uiPriority w:val="0"/>
    <w:pPr>
      <w:widowControl/>
      <w:spacing w:before="566" w:after="544" w:line="2267" w:lineRule="atLeast"/>
      <w:jc w:val="center"/>
      <w:textAlignment w:val="baseline"/>
    </w:pPr>
    <w:rPr>
      <w:rFonts w:ascii="Arial" w:eastAsia="黑体"/>
      <w:color w:val="000000"/>
      <w:sz w:val="54"/>
      <w:u w:color="000000"/>
    </w:rPr>
  </w:style>
  <w:style w:type="paragraph" w:customStyle="1" w:styleId="492">
    <w:name w:val="列出段落21"/>
    <w:basedOn w:val="1"/>
    <w:qFormat/>
    <w:uiPriority w:val="0"/>
    <w:pPr>
      <w:widowControl/>
      <w:ind w:firstLine="420" w:firstLineChars="200"/>
      <w:jc w:val="left"/>
    </w:pPr>
    <w:rPr>
      <w:rFonts w:ascii="Calibri" w:hAnsi="Calibri" w:cs="宋体"/>
      <w:sz w:val="21"/>
      <w:szCs w:val="22"/>
    </w:rPr>
  </w:style>
  <w:style w:type="paragraph" w:customStyle="1" w:styleId="493">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494">
    <w:name w:val="正文文字"/>
    <w:basedOn w:val="1"/>
    <w:qFormat/>
    <w:uiPriority w:val="0"/>
    <w:pPr>
      <w:widowControl/>
      <w:spacing w:line="1218" w:lineRule="atLeast"/>
      <w:ind w:firstLine="419"/>
      <w:textAlignment w:val="baseline"/>
    </w:pPr>
    <w:rPr>
      <w:rFonts w:ascii="仿宋_GB2312" w:eastAsia="仿宋_GB2312"/>
      <w:color w:val="000000"/>
      <w:sz w:val="28"/>
      <w:u w:color="000000"/>
    </w:rPr>
  </w:style>
  <w:style w:type="paragraph" w:customStyle="1" w:styleId="495">
    <w:name w:val="普通 (Web)"/>
    <w:basedOn w:val="1"/>
    <w:qFormat/>
    <w:uiPriority w:val="0"/>
    <w:pPr>
      <w:widowControl/>
      <w:spacing w:before="102" w:after="102" w:line="1099" w:lineRule="atLeast"/>
      <w:ind w:firstLine="419"/>
      <w:jc w:val="left"/>
      <w:textAlignment w:val="baseline"/>
    </w:pPr>
    <w:rPr>
      <w:color w:val="000000"/>
      <w:sz w:val="24"/>
      <w:u w:color="000000"/>
    </w:rPr>
  </w:style>
  <w:style w:type="paragraph" w:customStyle="1" w:styleId="496">
    <w:name w:val="普通表格1"/>
    <w:qFormat/>
    <w:uiPriority w:val="0"/>
    <w:pPr>
      <w:spacing w:line="997"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49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49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sz w:val="24"/>
      <w:szCs w:val="24"/>
    </w:rPr>
  </w:style>
  <w:style w:type="paragraph" w:customStyle="1" w:styleId="49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color w:val="FF0000"/>
      <w:sz w:val="24"/>
      <w:szCs w:val="24"/>
    </w:rPr>
  </w:style>
  <w:style w:type="paragraph" w:customStyle="1" w:styleId="500">
    <w:name w:val="目录1"/>
    <w:basedOn w:val="1"/>
    <w:next w:val="1"/>
    <w:qFormat/>
    <w:uiPriority w:val="0"/>
    <w:pPr>
      <w:widowControl/>
      <w:tabs>
        <w:tab w:val="left" w:leader="dot" w:pos="8486"/>
      </w:tabs>
      <w:spacing w:after="102" w:line="861" w:lineRule="atLeast"/>
      <w:ind w:firstLine="419"/>
      <w:jc w:val="left"/>
      <w:textAlignment w:val="baseline"/>
    </w:pPr>
    <w:rPr>
      <w:rFonts w:ascii="Times New Roman"/>
      <w:color w:val="000000"/>
      <w:sz w:val="21"/>
      <w:u w:color="000000"/>
    </w:rPr>
  </w:style>
  <w:style w:type="paragraph" w:customStyle="1" w:styleId="501">
    <w:name w:val="目录4"/>
    <w:basedOn w:val="1"/>
    <w:next w:val="1"/>
    <w:qFormat/>
    <w:uiPriority w:val="0"/>
    <w:pPr>
      <w:widowControl/>
      <w:tabs>
        <w:tab w:val="left" w:leader="dot" w:pos="8486"/>
      </w:tabs>
      <w:spacing w:line="963" w:lineRule="atLeast"/>
      <w:ind w:left="419" w:firstLine="629"/>
      <w:textAlignment w:val="baseline"/>
    </w:pPr>
    <w:rPr>
      <w:rFonts w:ascii="Times New Roman"/>
      <w:color w:val="000000"/>
      <w:sz w:val="21"/>
      <w:u w:color="000000"/>
    </w:rPr>
  </w:style>
  <w:style w:type="paragraph" w:customStyle="1" w:styleId="50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color w:val="FF0000"/>
      <w:sz w:val="24"/>
      <w:szCs w:val="24"/>
    </w:rPr>
  </w:style>
  <w:style w:type="paragraph" w:customStyle="1" w:styleId="503">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color w:val="FF0000"/>
      <w:sz w:val="24"/>
      <w:szCs w:val="24"/>
    </w:rPr>
  </w:style>
  <w:style w:type="paragraph" w:customStyle="1" w:styleId="504">
    <w:name w:val="正文文字缩进"/>
    <w:basedOn w:val="1"/>
    <w:qFormat/>
    <w:uiPriority w:val="0"/>
    <w:pPr>
      <w:widowControl/>
      <w:spacing w:line="1218" w:lineRule="atLeast"/>
      <w:ind w:firstLine="561"/>
      <w:textAlignment w:val="baseline"/>
    </w:pPr>
    <w:rPr>
      <w:rFonts w:ascii="仿宋_GB2312" w:eastAsia="仿宋_GB2312"/>
      <w:color w:val="000000"/>
      <w:sz w:val="28"/>
      <w:u w:color="000000"/>
    </w:rPr>
  </w:style>
  <w:style w:type="paragraph" w:customStyle="1" w:styleId="50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506">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hAnsi="宋体" w:cs="宋体"/>
      <w:color w:val="FF0000"/>
      <w:sz w:val="24"/>
      <w:szCs w:val="24"/>
    </w:rPr>
  </w:style>
  <w:style w:type="paragraph" w:customStyle="1" w:styleId="507">
    <w:name w:val="标题 11"/>
    <w:basedOn w:val="1"/>
    <w:next w:val="1"/>
    <w:qFormat/>
    <w:uiPriority w:val="0"/>
    <w:pPr>
      <w:widowControl/>
      <w:tabs>
        <w:tab w:val="left" w:pos="1156"/>
      </w:tabs>
      <w:spacing w:line="1218" w:lineRule="atLeast"/>
      <w:ind w:left="1258"/>
      <w:textAlignment w:val="baseline"/>
    </w:pPr>
    <w:rPr>
      <w:rFonts w:ascii="Arial" w:eastAsia="仿宋_GB2312"/>
      <w:color w:val="000000"/>
      <w:sz w:val="28"/>
      <w:u w:color="000000"/>
    </w:rPr>
  </w:style>
  <w:style w:type="paragraph" w:customStyle="1" w:styleId="508">
    <w:name w:val="p15"/>
    <w:basedOn w:val="1"/>
    <w:qFormat/>
    <w:uiPriority w:val="0"/>
    <w:pPr>
      <w:ind w:firstLine="420"/>
    </w:pPr>
    <w:rPr>
      <w:rFonts w:ascii="Calibri" w:hAnsi="Calibri" w:cs="宋体"/>
      <w:kern w:val="2"/>
      <w:sz w:val="21"/>
      <w:szCs w:val="21"/>
    </w:rPr>
  </w:style>
  <w:style w:type="paragraph" w:customStyle="1" w:styleId="509">
    <w:name w:val="简单回函地址"/>
    <w:basedOn w:val="1"/>
    <w:qFormat/>
    <w:uiPriority w:val="0"/>
    <w:rPr>
      <w:rFonts w:ascii="Times New Roman"/>
      <w:kern w:val="2"/>
      <w:sz w:val="21"/>
    </w:rPr>
  </w:style>
  <w:style w:type="paragraph" w:customStyle="1" w:styleId="51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4"/>
      <w:szCs w:val="24"/>
    </w:rPr>
  </w:style>
  <w:style w:type="paragraph" w:customStyle="1" w:styleId="511">
    <w:name w:val="表内文字"/>
    <w:basedOn w:val="1"/>
    <w:qFormat/>
    <w:uiPriority w:val="0"/>
    <w:pPr>
      <w:tabs>
        <w:tab w:val="left" w:pos="1418"/>
      </w:tabs>
      <w:spacing w:line="360" w:lineRule="auto"/>
      <w:jc w:val="center"/>
    </w:pPr>
    <w:rPr>
      <w:rFonts w:ascii="仿宋_GB2312" w:eastAsia="仿宋_GB2312"/>
      <w:spacing w:val="-20"/>
      <w:sz w:val="24"/>
    </w:rPr>
  </w:style>
  <w:style w:type="paragraph" w:customStyle="1" w:styleId="512">
    <w:name w:val="Char Char Char Char Char Char Char1"/>
    <w:basedOn w:val="1"/>
    <w:qFormat/>
    <w:uiPriority w:val="0"/>
    <w:pPr>
      <w:tabs>
        <w:tab w:val="left" w:pos="432"/>
      </w:tabs>
      <w:ind w:left="432" w:hanging="432"/>
    </w:pPr>
    <w:rPr>
      <w:rFonts w:ascii="Tahoma" w:hAnsi="Tahoma"/>
      <w:kern w:val="2"/>
      <w:sz w:val="24"/>
    </w:rPr>
  </w:style>
  <w:style w:type="paragraph" w:customStyle="1" w:styleId="513">
    <w:name w:val="默认段落字体 Para Char Char Char Char Char Char Char Char Char1 Char Char Char Char"/>
    <w:basedOn w:val="1"/>
    <w:qFormat/>
    <w:uiPriority w:val="0"/>
    <w:rPr>
      <w:rFonts w:ascii="Tahoma" w:hAnsi="Tahoma"/>
      <w:kern w:val="2"/>
      <w:sz w:val="24"/>
    </w:rPr>
  </w:style>
  <w:style w:type="paragraph" w:customStyle="1" w:styleId="514">
    <w:name w:val="Char Char1 Char Char Char Char Char Char"/>
    <w:basedOn w:val="1"/>
    <w:qFormat/>
    <w:uiPriority w:val="0"/>
    <w:pPr>
      <w:widowControl/>
      <w:jc w:val="center"/>
    </w:pPr>
    <w:rPr>
      <w:rFonts w:hAnsi="宋体"/>
      <w:b/>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60285</Words>
  <Characters>67140</Characters>
  <Lines>511</Lines>
  <Paragraphs>143</Paragraphs>
  <TotalTime>1</TotalTime>
  <ScaleCrop>false</ScaleCrop>
  <LinksUpToDate>false</LinksUpToDate>
  <CharactersWithSpaces>68961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2021-12-15T21:30:00Z</dcterms:created>
  <dc:creator>zch</dc:creator>
  <cp:lastModifiedBy>dl</cp:lastModifiedBy>
  <cp:lastPrinted>2022-03-22T04:34:00Z</cp:lastPrinted>
  <dcterms:modified xsi:type="dcterms:W3CDTF">2022-03-23T03:23:23Z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0E9158EAA25043A7A06B8C8ACA3EEFB1</vt:lpwstr>
  </property>
</Properties>
</file>